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353"/>
        <w:gridCol w:w="1026"/>
        <w:gridCol w:w="2234"/>
      </w:tblGrid>
      <w:tr w:rsidR="004C6D0B" w:rsidRPr="00E45ACC" w14:paraId="2C4C258E" w14:textId="77777777" w:rsidTr="004C6D0B">
        <w:trPr>
          <w:cantSplit/>
        </w:trPr>
        <w:tc>
          <w:tcPr>
            <w:tcW w:w="1418" w:type="dxa"/>
            <w:vAlign w:val="center"/>
          </w:tcPr>
          <w:p w14:paraId="38D42864" w14:textId="77777777" w:rsidR="004C6D0B" w:rsidRPr="00E45ACC" w:rsidRDefault="004C6D0B" w:rsidP="004C6D0B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E45ACC">
              <w:rPr>
                <w:lang w:eastAsia="ru-RU"/>
              </w:rPr>
              <w:drawing>
                <wp:inline distT="0" distB="0" distL="0" distR="0" wp14:anchorId="71D9DB5D" wp14:editId="4DC16EA7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</w:tcPr>
          <w:p w14:paraId="3E1E5600" w14:textId="77777777" w:rsidR="004C6D0B" w:rsidRPr="00E45ACC" w:rsidRDefault="004C6D0B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E45ACC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(ВКР-23)</w:t>
            </w:r>
            <w:r w:rsidRPr="00E45ACC">
              <w:rPr>
                <w:rFonts w:ascii="Verdana" w:hAnsi="Verdana"/>
                <w:b/>
                <w:bCs/>
                <w:sz w:val="18"/>
                <w:szCs w:val="18"/>
              </w:rPr>
              <w:br/>
              <w:t>Дубай, 20 ноября – 15 декабря 2023 года</w:t>
            </w:r>
          </w:p>
        </w:tc>
        <w:tc>
          <w:tcPr>
            <w:tcW w:w="2234" w:type="dxa"/>
            <w:vAlign w:val="center"/>
          </w:tcPr>
          <w:p w14:paraId="2CD61764" w14:textId="77777777" w:rsidR="004C6D0B" w:rsidRPr="00E45ACC" w:rsidRDefault="004C6D0B" w:rsidP="008A37F1">
            <w:pPr>
              <w:spacing w:before="0" w:line="240" w:lineRule="atLeast"/>
              <w:jc w:val="center"/>
            </w:pPr>
            <w:bookmarkStart w:id="1" w:name="ditulogo"/>
            <w:bookmarkEnd w:id="1"/>
            <w:r w:rsidRPr="00E45ACC">
              <w:rPr>
                <w:lang w:eastAsia="ru-RU"/>
              </w:rPr>
              <w:drawing>
                <wp:inline distT="0" distB="0" distL="0" distR="0" wp14:anchorId="10BEDDDA" wp14:editId="0551BE3A">
                  <wp:extent cx="1015340" cy="101534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147" cy="1025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E45ACC" w14:paraId="45503A03" w14:textId="77777777" w:rsidTr="001226EC">
        <w:trPr>
          <w:cantSplit/>
        </w:trPr>
        <w:tc>
          <w:tcPr>
            <w:tcW w:w="6771" w:type="dxa"/>
            <w:gridSpan w:val="2"/>
            <w:tcBorders>
              <w:bottom w:val="single" w:sz="12" w:space="0" w:color="auto"/>
            </w:tcBorders>
          </w:tcPr>
          <w:p w14:paraId="00498458" w14:textId="77777777" w:rsidR="005651C9" w:rsidRPr="00E45ACC" w:rsidRDefault="005651C9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</w:p>
        </w:tc>
        <w:tc>
          <w:tcPr>
            <w:tcW w:w="3260" w:type="dxa"/>
            <w:gridSpan w:val="2"/>
            <w:tcBorders>
              <w:bottom w:val="single" w:sz="12" w:space="0" w:color="auto"/>
            </w:tcBorders>
          </w:tcPr>
          <w:p w14:paraId="1F66C996" w14:textId="77777777" w:rsidR="005651C9" w:rsidRPr="00E45ACC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E45ACC" w14:paraId="65CCD882" w14:textId="77777777" w:rsidTr="001226EC">
        <w:trPr>
          <w:cantSplit/>
        </w:trPr>
        <w:tc>
          <w:tcPr>
            <w:tcW w:w="6771" w:type="dxa"/>
            <w:gridSpan w:val="2"/>
            <w:tcBorders>
              <w:top w:val="single" w:sz="12" w:space="0" w:color="auto"/>
            </w:tcBorders>
          </w:tcPr>
          <w:p w14:paraId="31CE67FF" w14:textId="77777777" w:rsidR="005651C9" w:rsidRPr="00E45ACC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260" w:type="dxa"/>
            <w:gridSpan w:val="2"/>
            <w:tcBorders>
              <w:top w:val="single" w:sz="12" w:space="0" w:color="auto"/>
            </w:tcBorders>
          </w:tcPr>
          <w:p w14:paraId="5678727C" w14:textId="77777777" w:rsidR="005651C9" w:rsidRPr="00E45ACC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E45ACC" w14:paraId="333A3F05" w14:textId="77777777" w:rsidTr="001226EC">
        <w:trPr>
          <w:cantSplit/>
        </w:trPr>
        <w:tc>
          <w:tcPr>
            <w:tcW w:w="6771" w:type="dxa"/>
            <w:gridSpan w:val="2"/>
          </w:tcPr>
          <w:p w14:paraId="7E9AEEC8" w14:textId="77777777" w:rsidR="005651C9" w:rsidRPr="00E45ACC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E45ACC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  <w:gridSpan w:val="2"/>
          </w:tcPr>
          <w:p w14:paraId="18C75CA7" w14:textId="6839DC12" w:rsidR="005651C9" w:rsidRPr="00E45ACC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E45ACC">
              <w:rPr>
                <w:rFonts w:ascii="Verdana" w:hAnsi="Verdana"/>
                <w:b/>
                <w:bCs/>
                <w:sz w:val="18"/>
                <w:szCs w:val="18"/>
              </w:rPr>
              <w:t>Документ 4</w:t>
            </w:r>
            <w:r w:rsidR="008A37F1" w:rsidRPr="00E45ACC">
              <w:rPr>
                <w:rFonts w:ascii="Verdana" w:hAnsi="Verdana"/>
                <w:b/>
                <w:bCs/>
                <w:sz w:val="18"/>
                <w:szCs w:val="18"/>
              </w:rPr>
              <w:t>9</w:t>
            </w:r>
            <w:r w:rsidR="005651C9" w:rsidRPr="00E45ACC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E45ACC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E45ACC" w14:paraId="3793E5A4" w14:textId="77777777" w:rsidTr="001226EC">
        <w:trPr>
          <w:cantSplit/>
        </w:trPr>
        <w:tc>
          <w:tcPr>
            <w:tcW w:w="6771" w:type="dxa"/>
            <w:gridSpan w:val="2"/>
          </w:tcPr>
          <w:p w14:paraId="5C90802D" w14:textId="77777777" w:rsidR="000F33D8" w:rsidRPr="00E45ACC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gridSpan w:val="2"/>
          </w:tcPr>
          <w:p w14:paraId="2E9224A0" w14:textId="46DFF857" w:rsidR="000F33D8" w:rsidRPr="00E45ACC" w:rsidRDefault="008A37F1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E45ACC">
              <w:rPr>
                <w:rFonts w:ascii="Verdana" w:hAnsi="Verdana"/>
                <w:b/>
                <w:bCs/>
                <w:sz w:val="18"/>
                <w:szCs w:val="18"/>
              </w:rPr>
              <w:t>7 июля</w:t>
            </w:r>
            <w:r w:rsidR="000F33D8" w:rsidRPr="00E45ACC">
              <w:rPr>
                <w:rFonts w:ascii="Verdana" w:hAnsi="Verdana"/>
                <w:b/>
                <w:bCs/>
                <w:sz w:val="18"/>
                <w:szCs w:val="18"/>
              </w:rPr>
              <w:t xml:space="preserve"> 2023 года</w:t>
            </w:r>
          </w:p>
        </w:tc>
      </w:tr>
      <w:tr w:rsidR="000F33D8" w:rsidRPr="00E45ACC" w14:paraId="57A10523" w14:textId="77777777" w:rsidTr="001226EC">
        <w:trPr>
          <w:cantSplit/>
        </w:trPr>
        <w:tc>
          <w:tcPr>
            <w:tcW w:w="6771" w:type="dxa"/>
            <w:gridSpan w:val="2"/>
          </w:tcPr>
          <w:p w14:paraId="3FDDA469" w14:textId="77777777" w:rsidR="000F33D8" w:rsidRPr="00E45ACC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gridSpan w:val="2"/>
          </w:tcPr>
          <w:p w14:paraId="34F93633" w14:textId="51268D3C" w:rsidR="000F33D8" w:rsidRPr="00E45ACC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E45ACC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E45ACC" w14:paraId="0C22FE94" w14:textId="77777777" w:rsidTr="009546EA">
        <w:trPr>
          <w:cantSplit/>
        </w:trPr>
        <w:tc>
          <w:tcPr>
            <w:tcW w:w="10031" w:type="dxa"/>
            <w:gridSpan w:val="4"/>
          </w:tcPr>
          <w:p w14:paraId="574EFBE9" w14:textId="77777777" w:rsidR="000F33D8" w:rsidRPr="00E45ACC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8A37F1" w:rsidRPr="00E45ACC" w14:paraId="01417D0E" w14:textId="77777777">
        <w:trPr>
          <w:cantSplit/>
        </w:trPr>
        <w:tc>
          <w:tcPr>
            <w:tcW w:w="10031" w:type="dxa"/>
            <w:gridSpan w:val="4"/>
          </w:tcPr>
          <w:p w14:paraId="358D1A94" w14:textId="7E05F06F" w:rsidR="008A37F1" w:rsidRPr="00E45ACC" w:rsidRDefault="008A37F1" w:rsidP="008A37F1">
            <w:pPr>
              <w:pStyle w:val="Source"/>
              <w:rPr>
                <w:szCs w:val="26"/>
              </w:rPr>
            </w:pPr>
            <w:bookmarkStart w:id="4" w:name="dsource" w:colFirst="0" w:colLast="0"/>
            <w:r w:rsidRPr="00E45ACC">
              <w:rPr>
                <w:rFonts w:cs="Calibri"/>
                <w:szCs w:val="28"/>
              </w:rPr>
              <w:t>Записка Генерального секретаря</w:t>
            </w:r>
          </w:p>
        </w:tc>
      </w:tr>
      <w:tr w:rsidR="008A37F1" w:rsidRPr="00E45ACC" w14:paraId="3B507D8C" w14:textId="77777777">
        <w:trPr>
          <w:cantSplit/>
        </w:trPr>
        <w:tc>
          <w:tcPr>
            <w:tcW w:w="10031" w:type="dxa"/>
            <w:gridSpan w:val="4"/>
          </w:tcPr>
          <w:p w14:paraId="48673B08" w14:textId="287BDEB7" w:rsidR="008A37F1" w:rsidRPr="00E45ACC" w:rsidRDefault="008A37F1" w:rsidP="004627CD">
            <w:pPr>
              <w:pStyle w:val="Title1"/>
              <w:rPr>
                <w:szCs w:val="26"/>
              </w:rPr>
            </w:pPr>
            <w:bookmarkStart w:id="5" w:name="dtitle1" w:colFirst="0" w:colLast="0"/>
            <w:bookmarkEnd w:id="4"/>
            <w:r w:rsidRPr="00E45ACC">
              <w:t xml:space="preserve">Отчет Радиорегламентарного комитета для ВКР-23 </w:t>
            </w:r>
            <w:r w:rsidR="004627CD" w:rsidRPr="00E45ACC">
              <w:t xml:space="preserve">О ПРИМЕНЕНИИ ПУНКТА 12 РАЗДЕЛА </w:t>
            </w:r>
            <w:r w:rsidR="004627CD" w:rsidRPr="00E45ACC">
              <w:rPr>
                <w:i/>
                <w:iCs/>
              </w:rPr>
              <w:t>РЕШАЕТ</w:t>
            </w:r>
            <w:r w:rsidR="004627CD" w:rsidRPr="00E45ACC">
              <w:t xml:space="preserve"> резолюции </w:t>
            </w:r>
            <w:r w:rsidRPr="00E45ACC">
              <w:t>35 (ВКР-19)</w:t>
            </w:r>
          </w:p>
        </w:tc>
      </w:tr>
      <w:tr w:rsidR="000F33D8" w:rsidRPr="00E45ACC" w14:paraId="3A34726E" w14:textId="77777777">
        <w:trPr>
          <w:cantSplit/>
        </w:trPr>
        <w:tc>
          <w:tcPr>
            <w:tcW w:w="10031" w:type="dxa"/>
            <w:gridSpan w:val="4"/>
          </w:tcPr>
          <w:p w14:paraId="19ED286C" w14:textId="78136EB7" w:rsidR="000F33D8" w:rsidRPr="00E45ACC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E45ACC" w14:paraId="45E34E83" w14:textId="77777777">
        <w:trPr>
          <w:cantSplit/>
        </w:trPr>
        <w:tc>
          <w:tcPr>
            <w:tcW w:w="10031" w:type="dxa"/>
            <w:gridSpan w:val="4"/>
          </w:tcPr>
          <w:p w14:paraId="0916AC79" w14:textId="1C8B526D" w:rsidR="000F33D8" w:rsidRPr="00E45ACC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</w:p>
        </w:tc>
      </w:tr>
    </w:tbl>
    <w:bookmarkEnd w:id="7"/>
    <w:p w14:paraId="7ABDF61B" w14:textId="07A2E676" w:rsidR="008A37F1" w:rsidRPr="00E45ACC" w:rsidRDefault="008A37F1" w:rsidP="008A37F1">
      <w:pPr>
        <w:pStyle w:val="Normalaftertitle"/>
      </w:pPr>
      <w:r w:rsidRPr="00E45ACC">
        <w:t xml:space="preserve">Имею честь представить вниманию Конференции по просьбе Директора Бюро радиосвязи </w:t>
      </w:r>
      <w:r w:rsidRPr="00E45ACC">
        <w:rPr>
          <w:color w:val="000000"/>
          <w:szCs w:val="18"/>
        </w:rPr>
        <w:t>отчет Радиорегламентарного комитета для ВКР-</w:t>
      </w:r>
      <w:r w:rsidR="00AF3DFF" w:rsidRPr="00E45ACC">
        <w:rPr>
          <w:color w:val="000000"/>
          <w:szCs w:val="18"/>
        </w:rPr>
        <w:t>23</w:t>
      </w:r>
      <w:r w:rsidR="004627CD" w:rsidRPr="00E45ACC">
        <w:rPr>
          <w:color w:val="000000"/>
          <w:szCs w:val="18"/>
        </w:rPr>
        <w:t xml:space="preserve"> о применении пункта 12 раздела </w:t>
      </w:r>
      <w:r w:rsidR="004627CD" w:rsidRPr="00E45ACC">
        <w:rPr>
          <w:i/>
          <w:color w:val="000000"/>
          <w:szCs w:val="18"/>
        </w:rPr>
        <w:t>решает</w:t>
      </w:r>
      <w:r w:rsidR="004627CD" w:rsidRPr="00E45ACC">
        <w:rPr>
          <w:color w:val="000000"/>
          <w:szCs w:val="18"/>
        </w:rPr>
        <w:t xml:space="preserve"> </w:t>
      </w:r>
      <w:r w:rsidRPr="00E45ACC">
        <w:rPr>
          <w:color w:val="000000"/>
          <w:szCs w:val="18"/>
        </w:rPr>
        <w:t>Резолюции</w:t>
      </w:r>
      <w:r w:rsidR="004627CD" w:rsidRPr="00E45ACC">
        <w:rPr>
          <w:color w:val="000000"/>
          <w:szCs w:val="18"/>
        </w:rPr>
        <w:t> </w:t>
      </w:r>
      <w:r w:rsidR="00AF3DFF" w:rsidRPr="00E45ACC">
        <w:rPr>
          <w:b/>
          <w:bCs/>
          <w:color w:val="000000"/>
          <w:szCs w:val="18"/>
        </w:rPr>
        <w:t>35</w:t>
      </w:r>
      <w:r w:rsidR="004627CD" w:rsidRPr="00E45ACC">
        <w:rPr>
          <w:b/>
          <w:bCs/>
          <w:color w:val="000000"/>
          <w:szCs w:val="18"/>
        </w:rPr>
        <w:t xml:space="preserve"> </w:t>
      </w:r>
      <w:r w:rsidRPr="00E45ACC">
        <w:rPr>
          <w:b/>
          <w:bCs/>
          <w:color w:val="000000"/>
          <w:szCs w:val="18"/>
        </w:rPr>
        <w:t>(ВКР</w:t>
      </w:r>
      <w:r w:rsidRPr="00E45ACC">
        <w:rPr>
          <w:b/>
          <w:bCs/>
          <w:szCs w:val="18"/>
        </w:rPr>
        <w:t>-</w:t>
      </w:r>
      <w:r w:rsidR="00AF3DFF" w:rsidRPr="00E45ACC">
        <w:rPr>
          <w:b/>
          <w:bCs/>
          <w:szCs w:val="18"/>
        </w:rPr>
        <w:t>19</w:t>
      </w:r>
      <w:r w:rsidRPr="00E45ACC">
        <w:rPr>
          <w:b/>
          <w:bCs/>
          <w:szCs w:val="18"/>
        </w:rPr>
        <w:t>)</w:t>
      </w:r>
      <w:r w:rsidRPr="00E45ACC">
        <w:t>.</w:t>
      </w:r>
    </w:p>
    <w:p w14:paraId="649762E4" w14:textId="112073C8" w:rsidR="008A37F1" w:rsidRPr="00E45ACC" w:rsidRDefault="008A37F1" w:rsidP="008A37F1">
      <w:pPr>
        <w:tabs>
          <w:tab w:val="clear" w:pos="1134"/>
          <w:tab w:val="clear" w:pos="1871"/>
          <w:tab w:val="clear" w:pos="2268"/>
          <w:tab w:val="center" w:pos="7088"/>
        </w:tabs>
        <w:spacing w:before="1440"/>
      </w:pPr>
      <w:r w:rsidRPr="00E45ACC">
        <w:rPr>
          <w:szCs w:val="18"/>
        </w:rPr>
        <w:tab/>
        <w:t>Дорин Богдан-Мартин</w:t>
      </w:r>
      <w:r w:rsidRPr="00E45ACC">
        <w:rPr>
          <w:sz w:val="20"/>
          <w:szCs w:val="16"/>
        </w:rPr>
        <w:br/>
      </w:r>
      <w:r w:rsidRPr="00E45ACC">
        <w:rPr>
          <w:szCs w:val="18"/>
        </w:rPr>
        <w:tab/>
        <w:t>Генеральный секретарь</w:t>
      </w:r>
    </w:p>
    <w:p w14:paraId="29A35058" w14:textId="794DFEFB" w:rsidR="008A37F1" w:rsidRPr="00E45ACC" w:rsidRDefault="008A37F1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E45ACC">
        <w:br w:type="page"/>
      </w:r>
    </w:p>
    <w:p w14:paraId="5D4FED60" w14:textId="77777777" w:rsidR="004627CD" w:rsidRPr="00E45ACC" w:rsidRDefault="004627CD" w:rsidP="00AF3DFF">
      <w:pPr>
        <w:pStyle w:val="Title1"/>
      </w:pPr>
      <w:r w:rsidRPr="00E45ACC">
        <w:lastRenderedPageBreak/>
        <w:t xml:space="preserve">Отчет Радиорегламентарного комитета для ВКР-23 О ПРИМЕНЕНИИ ПУНКТА 12 РАЗДЕЛА </w:t>
      </w:r>
      <w:r w:rsidRPr="00E45ACC">
        <w:rPr>
          <w:i/>
          <w:iCs/>
        </w:rPr>
        <w:t>РЕШАЕТ</w:t>
      </w:r>
      <w:r w:rsidRPr="00E45ACC">
        <w:t xml:space="preserve"> резолюции 35 (ВКР-19)</w:t>
      </w:r>
    </w:p>
    <w:p w14:paraId="46B3DF5E" w14:textId="70FD007A" w:rsidR="00AF3DFF" w:rsidRPr="00E45ACC" w:rsidRDefault="004627CD" w:rsidP="00AF3DFF">
      <w:pPr>
        <w:spacing w:before="360"/>
        <w:rPr>
          <w:szCs w:val="22"/>
        </w:rPr>
      </w:pPr>
      <w:r w:rsidRPr="00E45ACC">
        <w:rPr>
          <w:szCs w:val="22"/>
        </w:rPr>
        <w:t>Радиорегламентарный комитет получил</w:t>
      </w:r>
      <w:r w:rsidR="00AF3DFF" w:rsidRPr="00E45ACC">
        <w:rPr>
          <w:szCs w:val="22"/>
        </w:rPr>
        <w:t xml:space="preserve"> </w:t>
      </w:r>
      <w:r w:rsidR="006E308B" w:rsidRPr="00E45ACC">
        <w:rPr>
          <w:szCs w:val="22"/>
        </w:rPr>
        <w:t xml:space="preserve">4 апреля 2023 года </w:t>
      </w:r>
      <w:r w:rsidR="008F77B0" w:rsidRPr="00E45ACC">
        <w:rPr>
          <w:szCs w:val="22"/>
        </w:rPr>
        <w:t xml:space="preserve">представление администрации Лихтенштейна </w:t>
      </w:r>
      <w:r w:rsidR="00AF3DFF" w:rsidRPr="00E45ACC">
        <w:rPr>
          <w:szCs w:val="22"/>
        </w:rPr>
        <w:t>(</w:t>
      </w:r>
      <w:r w:rsidR="008F77B0" w:rsidRPr="00E45ACC">
        <w:rPr>
          <w:szCs w:val="22"/>
        </w:rPr>
        <w:t>Документ</w:t>
      </w:r>
      <w:r w:rsidR="00AF3DFF" w:rsidRPr="00E45ACC">
        <w:rPr>
          <w:szCs w:val="22"/>
        </w:rPr>
        <w:t xml:space="preserve"> RRB23-1/14) </w:t>
      </w:r>
      <w:r w:rsidR="008F77B0" w:rsidRPr="00E45ACC">
        <w:rPr>
          <w:szCs w:val="22"/>
        </w:rPr>
        <w:t>с просьбой о применении пункта</w:t>
      </w:r>
      <w:r w:rsidR="00820890" w:rsidRPr="00E45ACC">
        <w:rPr>
          <w:szCs w:val="22"/>
        </w:rPr>
        <w:t> </w:t>
      </w:r>
      <w:r w:rsidR="008F77B0" w:rsidRPr="00E45ACC">
        <w:rPr>
          <w:szCs w:val="22"/>
        </w:rPr>
        <w:t xml:space="preserve">12 раздела </w:t>
      </w:r>
      <w:r w:rsidR="008F77B0" w:rsidRPr="00E45ACC">
        <w:rPr>
          <w:i/>
          <w:iCs/>
          <w:szCs w:val="22"/>
        </w:rPr>
        <w:t>решает</w:t>
      </w:r>
      <w:r w:rsidR="008F77B0" w:rsidRPr="00E45ACC">
        <w:rPr>
          <w:szCs w:val="22"/>
        </w:rPr>
        <w:t xml:space="preserve"> </w:t>
      </w:r>
      <w:r w:rsidR="00F3215B" w:rsidRPr="00E45ACC">
        <w:rPr>
          <w:szCs w:val="22"/>
        </w:rPr>
        <w:t>Резолюции </w:t>
      </w:r>
      <w:r w:rsidR="00F3215B" w:rsidRPr="00E45ACC">
        <w:rPr>
          <w:b/>
          <w:bCs/>
          <w:szCs w:val="22"/>
        </w:rPr>
        <w:t>35 (ВКР-19</w:t>
      </w:r>
      <w:r w:rsidR="00AF3DFF" w:rsidRPr="00E45ACC">
        <w:rPr>
          <w:b/>
          <w:bCs/>
          <w:szCs w:val="22"/>
        </w:rPr>
        <w:t>)</w:t>
      </w:r>
      <w:r w:rsidR="00AF3DFF" w:rsidRPr="00E45ACC">
        <w:rPr>
          <w:szCs w:val="22"/>
        </w:rPr>
        <w:t xml:space="preserve"> </w:t>
      </w:r>
      <w:r w:rsidR="008F77B0" w:rsidRPr="00E45ACC">
        <w:rPr>
          <w:szCs w:val="22"/>
        </w:rPr>
        <w:t xml:space="preserve">к частотным присвоениям спутниковым системам </w:t>
      </w:r>
      <w:r w:rsidR="00AF3DFF" w:rsidRPr="00E45ACC">
        <w:rPr>
          <w:szCs w:val="22"/>
        </w:rPr>
        <w:t xml:space="preserve">3ECOM-1 </w:t>
      </w:r>
      <w:r w:rsidR="008F77B0" w:rsidRPr="00E45ACC">
        <w:rPr>
          <w:szCs w:val="22"/>
        </w:rPr>
        <w:t>и</w:t>
      </w:r>
      <w:r w:rsidR="00AF3DFF" w:rsidRPr="00E45ACC">
        <w:rPr>
          <w:szCs w:val="22"/>
        </w:rPr>
        <w:t xml:space="preserve"> 3ECOM-3.</w:t>
      </w:r>
    </w:p>
    <w:p w14:paraId="7D8CFA8D" w14:textId="5D676A37" w:rsidR="00AF3DFF" w:rsidRPr="00E45ACC" w:rsidRDefault="00AF3DFF" w:rsidP="00AF3DFF">
      <w:r w:rsidRPr="00E45ACC">
        <w:rPr>
          <w:lang w:bidi="ru-RU"/>
        </w:rPr>
        <w:t xml:space="preserve">Комитет </w:t>
      </w:r>
      <w:r w:rsidR="004627CD" w:rsidRPr="00E45ACC">
        <w:rPr>
          <w:lang w:bidi="ru-RU"/>
        </w:rPr>
        <w:t>изучил вопрос о рассмотрении</w:t>
      </w:r>
      <w:r w:rsidRPr="00E45ACC">
        <w:rPr>
          <w:lang w:bidi="ru-RU"/>
        </w:rPr>
        <w:t xml:space="preserve"> представлени</w:t>
      </w:r>
      <w:r w:rsidR="004627CD" w:rsidRPr="00E45ACC">
        <w:rPr>
          <w:lang w:bidi="ru-RU"/>
        </w:rPr>
        <w:t>я</w:t>
      </w:r>
      <w:r w:rsidRPr="00E45ACC">
        <w:rPr>
          <w:lang w:bidi="ru-RU"/>
        </w:rPr>
        <w:t xml:space="preserve"> администрации Лихтенштейна на своем 92</w:t>
      </w:r>
      <w:r w:rsidRPr="00E45ACC">
        <w:rPr>
          <w:lang w:bidi="ru-RU"/>
        </w:rPr>
        <w:noBreakHyphen/>
        <w:t>м собрании (</w:t>
      </w:r>
      <w:proofErr w:type="gramStart"/>
      <w:r w:rsidRPr="00E45ACC">
        <w:rPr>
          <w:lang w:bidi="ru-RU"/>
        </w:rPr>
        <w:t>20−24</w:t>
      </w:r>
      <w:proofErr w:type="gramEnd"/>
      <w:r w:rsidRPr="00E45ACC">
        <w:rPr>
          <w:lang w:bidi="ru-RU"/>
        </w:rPr>
        <w:t xml:space="preserve"> марта 2023 г.). </w:t>
      </w:r>
      <w:r w:rsidR="004627CD" w:rsidRPr="00E45ACC">
        <w:rPr>
          <w:lang w:bidi="ru-RU"/>
        </w:rPr>
        <w:t xml:space="preserve">Однако </w:t>
      </w:r>
      <w:r w:rsidR="00820890" w:rsidRPr="00E45ACC">
        <w:rPr>
          <w:lang w:bidi="ru-RU"/>
        </w:rPr>
        <w:t>Комитет отметил, что представление было получено в такие сроки, что у других администраций практически не было возможности своевременно представить замечания для рассмотрения на 92</w:t>
      </w:r>
      <w:r w:rsidR="00820890" w:rsidRPr="00E45ACC">
        <w:rPr>
          <w:lang w:bidi="ru-RU"/>
        </w:rPr>
        <w:noBreakHyphen/>
        <w:t xml:space="preserve">м собрании в соответствии с </w:t>
      </w:r>
      <w:r w:rsidR="00820890" w:rsidRPr="00E45ACC">
        <w:rPr>
          <w:szCs w:val="22"/>
        </w:rPr>
        <w:t>пунктом 12</w:t>
      </w:r>
      <w:r w:rsidR="004D64E2" w:rsidRPr="00E45ACC">
        <w:t xml:space="preserve"> </w:t>
      </w:r>
      <w:r w:rsidR="004D64E2" w:rsidRPr="00E45ACC">
        <w:rPr>
          <w:szCs w:val="22"/>
        </w:rPr>
        <w:t>a)</w:t>
      </w:r>
      <w:r w:rsidR="00820890" w:rsidRPr="00E45ACC">
        <w:rPr>
          <w:szCs w:val="22"/>
        </w:rPr>
        <w:t xml:space="preserve"> раздела </w:t>
      </w:r>
      <w:r w:rsidR="00820890" w:rsidRPr="00E45ACC">
        <w:rPr>
          <w:i/>
          <w:iCs/>
          <w:szCs w:val="22"/>
        </w:rPr>
        <w:t>решает</w:t>
      </w:r>
      <w:r w:rsidR="00820890" w:rsidRPr="00E45ACC">
        <w:rPr>
          <w:szCs w:val="22"/>
        </w:rPr>
        <w:t xml:space="preserve"> Резолюции </w:t>
      </w:r>
      <w:r w:rsidR="00820890" w:rsidRPr="00E45ACC">
        <w:rPr>
          <w:b/>
          <w:bCs/>
          <w:szCs w:val="22"/>
        </w:rPr>
        <w:t>35 (ВКР-19)</w:t>
      </w:r>
      <w:r w:rsidR="00820890" w:rsidRPr="00E45ACC">
        <w:rPr>
          <w:bCs/>
          <w:szCs w:val="22"/>
        </w:rPr>
        <w:t>.</w:t>
      </w:r>
      <w:r w:rsidR="00820890" w:rsidRPr="00E45ACC">
        <w:rPr>
          <w:lang w:bidi="ru-RU"/>
        </w:rPr>
        <w:t xml:space="preserve"> </w:t>
      </w:r>
      <w:r w:rsidRPr="00E45ACC">
        <w:rPr>
          <w:lang w:bidi="ru-RU"/>
        </w:rPr>
        <w:t>С учетом того</w:t>
      </w:r>
      <w:r w:rsidR="006E308B" w:rsidRPr="00E45ACC">
        <w:rPr>
          <w:lang w:bidi="ru-RU"/>
        </w:rPr>
        <w:t>,</w:t>
      </w:r>
      <w:r w:rsidRPr="00E45ACC">
        <w:rPr>
          <w:lang w:bidi="ru-RU"/>
        </w:rPr>
        <w:t xml:space="preserve"> что ВКР-19 преследовала цель обеспечить администрациям разумную возможность для представления замечаний по таким просьбам, Комитет решил перенести рассмотрение </w:t>
      </w:r>
      <w:r w:rsidR="006E308B" w:rsidRPr="00E45ACC">
        <w:rPr>
          <w:lang w:bidi="ru-RU"/>
        </w:rPr>
        <w:t xml:space="preserve">поступившей от администрации Лихтенштейна просьбы </w:t>
      </w:r>
      <w:r w:rsidRPr="00E45ACC">
        <w:rPr>
          <w:lang w:bidi="ru-RU"/>
        </w:rPr>
        <w:t xml:space="preserve">и принятие решения </w:t>
      </w:r>
      <w:r w:rsidR="006E308B" w:rsidRPr="00E45ACC">
        <w:rPr>
          <w:lang w:bidi="ru-RU"/>
        </w:rPr>
        <w:t>по ней</w:t>
      </w:r>
      <w:r w:rsidRPr="00E45ACC">
        <w:rPr>
          <w:lang w:bidi="ru-RU"/>
        </w:rPr>
        <w:t xml:space="preserve"> на </w:t>
      </w:r>
      <w:r w:rsidR="00820890" w:rsidRPr="00E45ACC">
        <w:rPr>
          <w:lang w:bidi="ru-RU"/>
        </w:rPr>
        <w:t>свое 93</w:t>
      </w:r>
      <w:r w:rsidR="00820890" w:rsidRPr="00E45ACC">
        <w:rPr>
          <w:lang w:bidi="ru-RU"/>
        </w:rPr>
        <w:noBreakHyphen/>
        <w:t xml:space="preserve">е </w:t>
      </w:r>
      <w:r w:rsidRPr="00E45ACC">
        <w:rPr>
          <w:lang w:bidi="ru-RU"/>
        </w:rPr>
        <w:t>собрание (26 июня − 4 июля 2023 г.</w:t>
      </w:r>
      <w:r w:rsidRPr="00E45ACC">
        <w:t>).</w:t>
      </w:r>
    </w:p>
    <w:p w14:paraId="24AB931F" w14:textId="6C37DEFC" w:rsidR="00820890" w:rsidRPr="00E45ACC" w:rsidRDefault="00820890" w:rsidP="00AF3DFF">
      <w:pPr>
        <w:rPr>
          <w:szCs w:val="22"/>
        </w:rPr>
      </w:pPr>
      <w:r w:rsidRPr="00E45ACC">
        <w:rPr>
          <w:lang w:bidi="ru-RU"/>
        </w:rPr>
        <w:t xml:space="preserve">Две администрации, а именно администрации Франции и Германии, представили свои замечания в отношении просьбы администрации Лихтенштейна о применении </w:t>
      </w:r>
      <w:r w:rsidRPr="00E45ACC">
        <w:rPr>
          <w:szCs w:val="22"/>
        </w:rPr>
        <w:t xml:space="preserve">пункта 12 раздела </w:t>
      </w:r>
      <w:r w:rsidRPr="00E45ACC">
        <w:rPr>
          <w:i/>
          <w:iCs/>
          <w:szCs w:val="22"/>
        </w:rPr>
        <w:t>решает</w:t>
      </w:r>
      <w:r w:rsidRPr="00E45ACC">
        <w:rPr>
          <w:szCs w:val="22"/>
        </w:rPr>
        <w:t xml:space="preserve"> Резолюции </w:t>
      </w:r>
      <w:r w:rsidRPr="00E45ACC">
        <w:rPr>
          <w:b/>
          <w:bCs/>
          <w:szCs w:val="22"/>
        </w:rPr>
        <w:t>35 (ВКР-19)</w:t>
      </w:r>
      <w:r w:rsidRPr="00E45ACC">
        <w:rPr>
          <w:szCs w:val="22"/>
        </w:rPr>
        <w:t xml:space="preserve"> к частотным присвоениям спутниковым системам 3ECOM-1 и 3ECOM-3.</w:t>
      </w:r>
    </w:p>
    <w:p w14:paraId="3672524C" w14:textId="1C9CA408" w:rsidR="00820890" w:rsidRPr="00E45ACC" w:rsidRDefault="00820890" w:rsidP="00AF3DFF">
      <w:r w:rsidRPr="00E45ACC">
        <w:t>На своем 93</w:t>
      </w:r>
      <w:r w:rsidRPr="00E45ACC">
        <w:rPr>
          <w:lang w:bidi="ru-RU"/>
        </w:rPr>
        <w:noBreakHyphen/>
        <w:t xml:space="preserve">м собрании </w:t>
      </w:r>
      <w:r w:rsidR="00EA4D4E" w:rsidRPr="00E45ACC">
        <w:rPr>
          <w:lang w:bidi="ru-RU"/>
        </w:rPr>
        <w:t xml:space="preserve">Комитет </w:t>
      </w:r>
      <w:r w:rsidRPr="00E45ACC">
        <w:t xml:space="preserve">тщательно рассмотрел </w:t>
      </w:r>
      <w:r w:rsidR="00EA4D4E" w:rsidRPr="00E45ACC">
        <w:t>представления администрации</w:t>
      </w:r>
      <w:r w:rsidRPr="00E45ACC">
        <w:t xml:space="preserve"> Лихтенштейна (</w:t>
      </w:r>
      <w:r w:rsidR="00EA4D4E" w:rsidRPr="00E45ACC">
        <w:t>Д</w:t>
      </w:r>
      <w:r w:rsidRPr="00E45ACC">
        <w:t xml:space="preserve">окументы RRB23-2/3, 5 и 7), а также </w:t>
      </w:r>
      <w:r w:rsidR="00EA4D4E" w:rsidRPr="00E45ACC">
        <w:t>замечания администраций Германии (Д</w:t>
      </w:r>
      <w:r w:rsidRPr="00E45ACC">
        <w:t>окумент RRB23-2/6) и Франции (</w:t>
      </w:r>
      <w:r w:rsidR="00EA4D4E" w:rsidRPr="00E45ACC">
        <w:t>Д</w:t>
      </w:r>
      <w:r w:rsidRPr="00E45ACC">
        <w:t>окумент RRB23-2/4).</w:t>
      </w:r>
    </w:p>
    <w:p w14:paraId="7AD50B4F" w14:textId="1B9657B0" w:rsidR="00EA4D4E" w:rsidRPr="00E45ACC" w:rsidRDefault="00EA4D4E" w:rsidP="00AF3DFF">
      <w:r w:rsidRPr="00E45ACC">
        <w:t>В отношении замечаний администраций Франции и Германии Комитет отметил, что:</w:t>
      </w:r>
    </w:p>
    <w:p w14:paraId="3EF1B519" w14:textId="78B1AD64" w:rsidR="00EA4D4E" w:rsidRPr="00E45ACC" w:rsidRDefault="00AF3DFF" w:rsidP="00AF3DFF">
      <w:pPr>
        <w:pStyle w:val="enumlev1"/>
      </w:pPr>
      <w:r w:rsidRPr="00E45ACC">
        <w:t>•</w:t>
      </w:r>
      <w:r w:rsidRPr="00E45ACC">
        <w:tab/>
      </w:r>
      <w:r w:rsidR="006E308B" w:rsidRPr="00E45ACC">
        <w:t>а</w:t>
      </w:r>
      <w:r w:rsidR="00EA4D4E" w:rsidRPr="00E45ACC">
        <w:t xml:space="preserve">дминистрация Лихтенштейна подтвердила, что новый спутниковый оператор спутниковых систем 3ECOM будет соблюдать технические условия и параметры, которые обсуждались </w:t>
      </w:r>
      <w:r w:rsidR="008B058F" w:rsidRPr="00E45ACC">
        <w:t xml:space="preserve">c участием прежнего спутникового оператора </w:t>
      </w:r>
      <w:r w:rsidR="00EA4D4E" w:rsidRPr="00E45ACC">
        <w:t>Лихтенштейна и спутниковы</w:t>
      </w:r>
      <w:r w:rsidR="008B058F" w:rsidRPr="00E45ACC">
        <w:t>х</w:t>
      </w:r>
      <w:r w:rsidR="00EA4D4E" w:rsidRPr="00E45ACC">
        <w:t xml:space="preserve"> оператор</w:t>
      </w:r>
      <w:r w:rsidR="008B058F" w:rsidRPr="00E45ACC">
        <w:t>ов</w:t>
      </w:r>
      <w:r w:rsidR="00EA4D4E" w:rsidRPr="00E45ACC">
        <w:t xml:space="preserve"> администрации Франции;</w:t>
      </w:r>
    </w:p>
    <w:p w14:paraId="729C327E" w14:textId="55E76D0C" w:rsidR="00EA4D4E" w:rsidRPr="00E45ACC" w:rsidRDefault="00AF3DFF" w:rsidP="00AF3DFF">
      <w:pPr>
        <w:pStyle w:val="enumlev1"/>
      </w:pPr>
      <w:r w:rsidRPr="00E45ACC">
        <w:t>•</w:t>
      </w:r>
      <w:r w:rsidRPr="00E45ACC">
        <w:tab/>
      </w:r>
      <w:r w:rsidR="00EA4D4E" w:rsidRPr="00E45ACC">
        <w:t xml:space="preserve">между администрациями Лихтенштейна и Франции </w:t>
      </w:r>
      <w:r w:rsidR="006E308B" w:rsidRPr="00E45ACC">
        <w:t>осуществляется</w:t>
      </w:r>
      <w:r w:rsidR="00EA4D4E" w:rsidRPr="00E45ACC">
        <w:t xml:space="preserve"> </w:t>
      </w:r>
      <w:r w:rsidR="00867945" w:rsidRPr="00E45ACC">
        <w:t xml:space="preserve">координация </w:t>
      </w:r>
      <w:r w:rsidR="00EA4D4E" w:rsidRPr="00E45ACC">
        <w:t>(последнее собрание по координации было проведено 26</w:t>
      </w:r>
      <w:r w:rsidR="008B058F" w:rsidRPr="00E45ACC">
        <w:t>–</w:t>
      </w:r>
      <w:r w:rsidR="00EA4D4E" w:rsidRPr="00E45ACC">
        <w:t>27 июня 2023 года);</w:t>
      </w:r>
    </w:p>
    <w:p w14:paraId="26CB680A" w14:textId="2438F5AF" w:rsidR="00EA4D4E" w:rsidRPr="00E45ACC" w:rsidRDefault="00AF3DFF" w:rsidP="00AF3DFF">
      <w:pPr>
        <w:pStyle w:val="enumlev1"/>
      </w:pPr>
      <w:r w:rsidRPr="00E45ACC">
        <w:t>•</w:t>
      </w:r>
      <w:r w:rsidRPr="00E45ACC">
        <w:tab/>
      </w:r>
      <w:r w:rsidR="006E308B" w:rsidRPr="00E45ACC">
        <w:t xml:space="preserve">Комитет обладает </w:t>
      </w:r>
      <w:r w:rsidR="00154F07" w:rsidRPr="00E45ACC">
        <w:t>полномочия</w:t>
      </w:r>
      <w:r w:rsidR="006E308B" w:rsidRPr="00E45ACC">
        <w:t>ми</w:t>
      </w:r>
      <w:r w:rsidR="00154F07" w:rsidRPr="00E45ACC">
        <w:t xml:space="preserve"> принять</w:t>
      </w:r>
      <w:r w:rsidR="00EA4D4E" w:rsidRPr="00E45ACC">
        <w:t xml:space="preserve"> положительн</w:t>
      </w:r>
      <w:r w:rsidR="00154F07" w:rsidRPr="00E45ACC">
        <w:t>ое или отрицательное решение относительно представлений</w:t>
      </w:r>
      <w:r w:rsidR="00EA4D4E" w:rsidRPr="00E45ACC">
        <w:t xml:space="preserve"> в соответствии с </w:t>
      </w:r>
      <w:r w:rsidR="00154F07" w:rsidRPr="00E45ACC">
        <w:rPr>
          <w:szCs w:val="22"/>
        </w:rPr>
        <w:t xml:space="preserve">пунктом 12 раздела </w:t>
      </w:r>
      <w:r w:rsidR="00154F07" w:rsidRPr="00E45ACC">
        <w:rPr>
          <w:i/>
          <w:iCs/>
          <w:szCs w:val="22"/>
        </w:rPr>
        <w:t>решает</w:t>
      </w:r>
      <w:r w:rsidR="00154F07" w:rsidRPr="00E45ACC">
        <w:rPr>
          <w:szCs w:val="22"/>
        </w:rPr>
        <w:t xml:space="preserve"> Резолюции </w:t>
      </w:r>
      <w:r w:rsidR="00154F07" w:rsidRPr="00E45ACC">
        <w:rPr>
          <w:b/>
          <w:bCs/>
          <w:szCs w:val="22"/>
        </w:rPr>
        <w:t>35 (ВКР-19)</w:t>
      </w:r>
      <w:r w:rsidR="00EA4D4E" w:rsidRPr="00E45ACC">
        <w:t xml:space="preserve"> на любом </w:t>
      </w:r>
      <w:r w:rsidR="00154F07" w:rsidRPr="00E45ACC">
        <w:t>собрании</w:t>
      </w:r>
      <w:r w:rsidR="00EA4D4E" w:rsidRPr="00E45ACC">
        <w:t>, но не позднее своего 93</w:t>
      </w:r>
      <w:r w:rsidR="00154F07" w:rsidRPr="00E45ACC">
        <w:rPr>
          <w:lang w:bidi="ru-RU"/>
        </w:rPr>
        <w:noBreakHyphen/>
      </w:r>
      <w:r w:rsidR="00EA4D4E" w:rsidRPr="00E45ACC">
        <w:t xml:space="preserve">го </w:t>
      </w:r>
      <w:r w:rsidR="00154F07" w:rsidRPr="00E45ACC">
        <w:t>собрания.</w:t>
      </w:r>
      <w:r w:rsidR="00EA4D4E" w:rsidRPr="00E45ACC">
        <w:t xml:space="preserve"> </w:t>
      </w:r>
    </w:p>
    <w:p w14:paraId="184128AB" w14:textId="01AFCF35" w:rsidR="00154F07" w:rsidRPr="00E45ACC" w:rsidRDefault="00154F07" w:rsidP="00AF3DFF">
      <w:pPr>
        <w:rPr>
          <w:szCs w:val="22"/>
        </w:rPr>
      </w:pPr>
      <w:r w:rsidRPr="00E45ACC">
        <w:rPr>
          <w:lang w:bidi="ru-RU"/>
        </w:rPr>
        <w:t xml:space="preserve">В отношении просьбы о применении </w:t>
      </w:r>
      <w:r w:rsidRPr="00E45ACC">
        <w:rPr>
          <w:szCs w:val="22"/>
        </w:rPr>
        <w:t xml:space="preserve">пункта 12 раздела </w:t>
      </w:r>
      <w:r w:rsidRPr="00E45ACC">
        <w:rPr>
          <w:i/>
          <w:iCs/>
          <w:szCs w:val="22"/>
        </w:rPr>
        <w:t>решает</w:t>
      </w:r>
      <w:r w:rsidRPr="00E45ACC">
        <w:rPr>
          <w:szCs w:val="22"/>
        </w:rPr>
        <w:t xml:space="preserve"> Резолюции </w:t>
      </w:r>
      <w:r w:rsidRPr="00E45ACC">
        <w:rPr>
          <w:b/>
          <w:bCs/>
          <w:szCs w:val="22"/>
        </w:rPr>
        <w:t>35 (ВКР-19)</w:t>
      </w:r>
      <w:r w:rsidRPr="00E45ACC">
        <w:rPr>
          <w:szCs w:val="22"/>
        </w:rPr>
        <w:t xml:space="preserve"> к частотным присвоениям спутниковым системам 3ECOM-1 и 3ECOM-3, Комитет отметил, что:</w:t>
      </w:r>
    </w:p>
    <w:p w14:paraId="0DC8FE76" w14:textId="5CE54F58" w:rsidR="00154F07" w:rsidRPr="00E45ACC" w:rsidRDefault="00AF3DFF" w:rsidP="00AF3DFF">
      <w:pPr>
        <w:pStyle w:val="enumlev1"/>
        <w:rPr>
          <w:szCs w:val="22"/>
        </w:rPr>
      </w:pPr>
      <w:r w:rsidRPr="00E45ACC">
        <w:t>•</w:t>
      </w:r>
      <w:r w:rsidRPr="00E45ACC">
        <w:tab/>
      </w:r>
      <w:r w:rsidR="00154F07" w:rsidRPr="00E45ACC">
        <w:t xml:space="preserve">для </w:t>
      </w:r>
      <w:r w:rsidR="00154F07" w:rsidRPr="00E45ACC">
        <w:rPr>
          <w:szCs w:val="22"/>
        </w:rPr>
        <w:t>частотных присвоений спутниковым системам 3ECOM-1 и 3ECOM-3 семилетний регламентарный период, установленный в п. </w:t>
      </w:r>
      <w:r w:rsidR="00154F07" w:rsidRPr="00E45ACC">
        <w:rPr>
          <w:b/>
          <w:bCs/>
        </w:rPr>
        <w:t>11.44</w:t>
      </w:r>
      <w:r w:rsidR="00154F07" w:rsidRPr="00E45ACC">
        <w:rPr>
          <w:bCs/>
        </w:rPr>
        <w:t>, закончился 28 ноября 2022 года;</w:t>
      </w:r>
    </w:p>
    <w:p w14:paraId="209D8B27" w14:textId="7E5EC935" w:rsidR="00AF3DFF" w:rsidRPr="00E45ACC" w:rsidRDefault="00AF3DFF" w:rsidP="00AF3DFF">
      <w:pPr>
        <w:pStyle w:val="enumlev1"/>
      </w:pPr>
      <w:r w:rsidRPr="00E45ACC">
        <w:t>•</w:t>
      </w:r>
      <w:r w:rsidRPr="00E45ACC">
        <w:tab/>
      </w:r>
      <w:r w:rsidR="00154F07" w:rsidRPr="00E45ACC">
        <w:t>согласно пункту </w:t>
      </w:r>
      <w:r w:rsidRPr="00E45ACC">
        <w:t xml:space="preserve">2) </w:t>
      </w:r>
      <w:r w:rsidR="00154F07" w:rsidRPr="00E45ACC">
        <w:t>Дополнения </w:t>
      </w:r>
      <w:r w:rsidRPr="00E45ACC">
        <w:t xml:space="preserve">2 </w:t>
      </w:r>
      <w:r w:rsidR="00827C30" w:rsidRPr="00E45ACC">
        <w:t xml:space="preserve">к </w:t>
      </w:r>
      <w:r w:rsidR="00F3215B" w:rsidRPr="00E45ACC">
        <w:t>Резолюции </w:t>
      </w:r>
      <w:r w:rsidR="00F3215B" w:rsidRPr="00E45ACC">
        <w:rPr>
          <w:b/>
          <w:bCs/>
        </w:rPr>
        <w:t>35 (ВКР-19</w:t>
      </w:r>
      <w:r w:rsidRPr="00E45ACC">
        <w:rPr>
          <w:b/>
          <w:bCs/>
        </w:rPr>
        <w:t>)</w:t>
      </w:r>
      <w:r w:rsidRPr="00E45ACC">
        <w:t>:</w:t>
      </w:r>
    </w:p>
    <w:p w14:paraId="1CD4D1D9" w14:textId="5CB20A5F" w:rsidR="00827C30" w:rsidRPr="00E45ACC" w:rsidRDefault="00AF3DFF" w:rsidP="00AF3DFF">
      <w:pPr>
        <w:pStyle w:val="enumlev1"/>
      </w:pPr>
      <w:r w:rsidRPr="00E45ACC">
        <w:t>•</w:t>
      </w:r>
      <w:r w:rsidRPr="00E45ACC">
        <w:tab/>
      </w:r>
      <w:r w:rsidR="00827C30" w:rsidRPr="00E45ACC">
        <w:t xml:space="preserve">представлены подробные объяснения трудностей, с которыми столкнулся оператор и которые привели к </w:t>
      </w:r>
      <w:r w:rsidR="008B6B82" w:rsidRPr="00E45ACC">
        <w:t>невыполнению</w:t>
      </w:r>
      <w:r w:rsidR="00827C30" w:rsidRPr="00E45ACC">
        <w:t xml:space="preserve"> </w:t>
      </w:r>
      <w:r w:rsidR="0084782D" w:rsidRPr="00E45ACC">
        <w:t xml:space="preserve">требований </w:t>
      </w:r>
      <w:r w:rsidR="00827C30" w:rsidRPr="00E45ACC">
        <w:t xml:space="preserve">первого этапа в соответствии с пунктом 11a) раздела </w:t>
      </w:r>
      <w:r w:rsidR="00827C30" w:rsidRPr="00E45ACC">
        <w:rPr>
          <w:i/>
        </w:rPr>
        <w:t>решает</w:t>
      </w:r>
      <w:r w:rsidR="00827C30" w:rsidRPr="00E45ACC">
        <w:t xml:space="preserve"> Резолюции </w:t>
      </w:r>
      <w:r w:rsidR="00827C30" w:rsidRPr="00E45ACC">
        <w:rPr>
          <w:b/>
        </w:rPr>
        <w:t>35 (ВКР-19)</w:t>
      </w:r>
      <w:r w:rsidR="00827C30" w:rsidRPr="00E45ACC">
        <w:t xml:space="preserve"> для спутниковых систем 3ECOM-1 и 3ECOM-3;</w:t>
      </w:r>
    </w:p>
    <w:p w14:paraId="00A1B606" w14:textId="3544CB75" w:rsidR="00827C30" w:rsidRPr="00E45ACC" w:rsidRDefault="00AF3DFF" w:rsidP="00AF3DFF">
      <w:pPr>
        <w:pStyle w:val="enumlev1"/>
      </w:pPr>
      <w:r w:rsidRPr="00E45ACC">
        <w:t>•</w:t>
      </w:r>
      <w:r w:rsidRPr="00E45ACC">
        <w:tab/>
      </w:r>
      <w:r w:rsidR="00827C30" w:rsidRPr="00E45ACC">
        <w:t>представлено полное описание спутникового проекта с указанием этапов разработки и предпри</w:t>
      </w:r>
      <w:r w:rsidR="008B6B82" w:rsidRPr="00E45ACC">
        <w:t>нятых на данный момент действий</w:t>
      </w:r>
      <w:r w:rsidR="00827C30" w:rsidRPr="00E45ACC">
        <w:t xml:space="preserve">; </w:t>
      </w:r>
    </w:p>
    <w:p w14:paraId="4CD6768E" w14:textId="1B6E2D9E" w:rsidR="00827C30" w:rsidRPr="00E45ACC" w:rsidRDefault="00AF3DFF" w:rsidP="00AF3DFF">
      <w:pPr>
        <w:pStyle w:val="enumlev1"/>
      </w:pPr>
      <w:r w:rsidRPr="00E45ACC">
        <w:t>•</w:t>
      </w:r>
      <w:r w:rsidRPr="00E45ACC">
        <w:tab/>
      </w:r>
      <w:r w:rsidR="008B058F" w:rsidRPr="00E45ACC">
        <w:t xml:space="preserve">представлен </w:t>
      </w:r>
      <w:r w:rsidR="00827C30" w:rsidRPr="00E45ACC">
        <w:t xml:space="preserve">также </w:t>
      </w:r>
      <w:r w:rsidR="008B058F" w:rsidRPr="00E45ACC">
        <w:t>план-график производства и запуска всей группировки</w:t>
      </w:r>
      <w:r w:rsidR="00AE1534" w:rsidRPr="00E45ACC">
        <w:t>;</w:t>
      </w:r>
    </w:p>
    <w:p w14:paraId="7BB506CD" w14:textId="6CD8D871" w:rsidR="00AE1534" w:rsidRPr="00E45ACC" w:rsidRDefault="00AF3DFF" w:rsidP="00AF3DFF">
      <w:pPr>
        <w:pStyle w:val="enumlev1"/>
        <w:rPr>
          <w:bCs/>
        </w:rPr>
      </w:pPr>
      <w:r w:rsidRPr="00E45ACC">
        <w:t>•</w:t>
      </w:r>
      <w:r w:rsidRPr="00E45ACC">
        <w:tab/>
      </w:r>
      <w:r w:rsidR="00AE1534" w:rsidRPr="00E45ACC">
        <w:t>согласно пункту 3) Дополнения 2 к Резолюции </w:t>
      </w:r>
      <w:r w:rsidR="00AE1534" w:rsidRPr="00E45ACC">
        <w:rPr>
          <w:b/>
          <w:bCs/>
        </w:rPr>
        <w:t>35 (ВКР-19)</w:t>
      </w:r>
      <w:r w:rsidR="00AE1534" w:rsidRPr="00E45ACC">
        <w:t xml:space="preserve"> </w:t>
      </w:r>
      <w:r w:rsidR="00AE1534" w:rsidRPr="00E45ACC">
        <w:rPr>
          <w:bCs/>
        </w:rPr>
        <w:t>предприняты и продолжают предприниматься усилия по завершению координации с другими выявленными сетями;</w:t>
      </w:r>
    </w:p>
    <w:p w14:paraId="589A36C5" w14:textId="55F46348" w:rsidR="00AF3DFF" w:rsidRPr="00E45ACC" w:rsidRDefault="00AF3DFF" w:rsidP="00AE1534">
      <w:pPr>
        <w:pStyle w:val="enumlev1"/>
      </w:pPr>
      <w:r w:rsidRPr="00E45ACC">
        <w:t>•</w:t>
      </w:r>
      <w:r w:rsidRPr="00E45ACC">
        <w:tab/>
      </w:r>
      <w:r w:rsidR="00AE1534" w:rsidRPr="00E45ACC">
        <w:t>согласно пп. 4) и 5) Дополнения 2 к Резолюции </w:t>
      </w:r>
      <w:r w:rsidR="00AE1534" w:rsidRPr="00E45ACC">
        <w:rPr>
          <w:b/>
          <w:bCs/>
        </w:rPr>
        <w:t>35 (ВКР-19)</w:t>
      </w:r>
      <w:r w:rsidRPr="00E45ACC">
        <w:t xml:space="preserve"> </w:t>
      </w:r>
      <w:r w:rsidR="00AE1534" w:rsidRPr="00E45ACC">
        <w:t xml:space="preserve">предоставлено </w:t>
      </w:r>
      <w:r w:rsidRPr="00E45ACC">
        <w:t xml:space="preserve">явное доказательство наличия имеющего обязательную силу контракта на производство или поставку достаточного числа спутников для выполнения требования этапа, предусмотренного в подпункте 7b) раздела </w:t>
      </w:r>
      <w:r w:rsidRPr="00E45ACC">
        <w:rPr>
          <w:i/>
          <w:iCs/>
        </w:rPr>
        <w:t>решает</w:t>
      </w:r>
      <w:r w:rsidR="00AE1534" w:rsidRPr="00E45ACC">
        <w:t>, а также</w:t>
      </w:r>
      <w:r w:rsidRPr="00E45ACC">
        <w:t xml:space="preserve"> явное доказательство наличия имеющего обязательную силу контракта на запуск достаточного числа </w:t>
      </w:r>
      <w:r w:rsidRPr="00E45ACC">
        <w:lastRenderedPageBreak/>
        <w:t xml:space="preserve">спутников для выполнения требования этапа, предусмотренного в подпункте 7b) раздела </w:t>
      </w:r>
      <w:r w:rsidRPr="00E45ACC">
        <w:rPr>
          <w:i/>
          <w:iCs/>
        </w:rPr>
        <w:t>решает</w:t>
      </w:r>
      <w:r w:rsidRPr="00E45ACC">
        <w:t>.</w:t>
      </w:r>
    </w:p>
    <w:p w14:paraId="7C0F6259" w14:textId="09C3E4B4" w:rsidR="00AE1534" w:rsidRPr="00E45ACC" w:rsidRDefault="00AE1534" w:rsidP="00AF3DFF">
      <w:r w:rsidRPr="00E45ACC">
        <w:t xml:space="preserve">Комитет отметил, что график выполнения программы является сложным, однако </w:t>
      </w:r>
      <w:r w:rsidR="00311C6D" w:rsidRPr="00E45ACC">
        <w:t>учет непредвиденных обстоятельств позволяет снизить риски</w:t>
      </w:r>
      <w:r w:rsidR="00493E24" w:rsidRPr="00E45ACC">
        <w:t>; кроме того, было</w:t>
      </w:r>
      <w:r w:rsidRPr="00E45ACC">
        <w:t xml:space="preserve"> обеспечено финансирование проекта со стороны материнской компании</w:t>
      </w:r>
      <w:r w:rsidR="00493E24" w:rsidRPr="00E45ACC">
        <w:t>.</w:t>
      </w:r>
    </w:p>
    <w:p w14:paraId="22B3D213" w14:textId="00729C5E" w:rsidR="00AE1534" w:rsidRPr="00E45ACC" w:rsidRDefault="00493E24" w:rsidP="00AF3DFF">
      <w:r w:rsidRPr="00E45ACC">
        <w:t xml:space="preserve">Таким образом, Комитет пришел к </w:t>
      </w:r>
      <w:r w:rsidR="001B023F" w:rsidRPr="00E45ACC">
        <w:t>заключению</w:t>
      </w:r>
      <w:r w:rsidRPr="00E45ACC">
        <w:t>, что администрация Лихтенштейна выполнила условия, предоставив всю информацию, перечисленную в Дополнении 2 к Резолюции </w:t>
      </w:r>
      <w:r w:rsidRPr="00E45ACC">
        <w:rPr>
          <w:b/>
          <w:bCs/>
        </w:rPr>
        <w:t>35 (ВКР-19)</w:t>
      </w:r>
      <w:r w:rsidRPr="00E45ACC">
        <w:t xml:space="preserve">, </w:t>
      </w:r>
      <w:r w:rsidR="00D072E3" w:rsidRPr="00E45ACC">
        <w:t xml:space="preserve">которая необходима </w:t>
      </w:r>
      <w:r w:rsidRPr="00E45ACC">
        <w:t xml:space="preserve">для демонстрации наличия у нее </w:t>
      </w:r>
      <w:r w:rsidR="007E2B46" w:rsidRPr="00E45ACC">
        <w:t xml:space="preserve">заслуживающего доверия </w:t>
      </w:r>
      <w:r w:rsidRPr="00E45ACC">
        <w:t xml:space="preserve">плана выполнения второго этапа, и поэтому решил удовлетворить просьбу администрации Лихтенштейна, </w:t>
      </w:r>
      <w:r w:rsidR="007E2B46" w:rsidRPr="00E45ACC">
        <w:t>сделав</w:t>
      </w:r>
      <w:r w:rsidRPr="00E45ACC">
        <w:t xml:space="preserve"> положительное заключение в соответствии с </w:t>
      </w:r>
      <w:r w:rsidRPr="00E45ACC">
        <w:rPr>
          <w:szCs w:val="22"/>
        </w:rPr>
        <w:t xml:space="preserve">пунктом 12 раздела </w:t>
      </w:r>
      <w:r w:rsidRPr="00E45ACC">
        <w:rPr>
          <w:i/>
          <w:iCs/>
          <w:szCs w:val="22"/>
        </w:rPr>
        <w:t>решает</w:t>
      </w:r>
      <w:r w:rsidRPr="00E45ACC">
        <w:rPr>
          <w:szCs w:val="22"/>
        </w:rPr>
        <w:t xml:space="preserve"> Резолюции </w:t>
      </w:r>
      <w:r w:rsidRPr="00E45ACC">
        <w:rPr>
          <w:b/>
          <w:bCs/>
          <w:szCs w:val="22"/>
        </w:rPr>
        <w:t>35 (ВКР-19)</w:t>
      </w:r>
      <w:r w:rsidRPr="00E45ACC">
        <w:t>.</w:t>
      </w:r>
    </w:p>
    <w:p w14:paraId="304F6B73" w14:textId="77777777" w:rsidR="00FB22C4" w:rsidRPr="00E45ACC" w:rsidRDefault="00FB22C4" w:rsidP="00FB22C4">
      <w:pPr>
        <w:spacing w:before="720"/>
        <w:jc w:val="center"/>
      </w:pPr>
      <w:r w:rsidRPr="00E45ACC">
        <w:t>______________</w:t>
      </w:r>
    </w:p>
    <w:sectPr w:rsidR="00FB22C4" w:rsidRPr="00E45ACC">
      <w:headerReference w:type="default" r:id="rId13"/>
      <w:footerReference w:type="even" r:id="rId14"/>
      <w:footerReference w:type="default" r:id="rId15"/>
      <w:footerReference w:type="first" r:id="rId16"/>
      <w:pgSz w:w="11907" w:h="16840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D2C26" w14:textId="77777777" w:rsidR="007D152A" w:rsidRDefault="007D152A">
      <w:r>
        <w:separator/>
      </w:r>
    </w:p>
  </w:endnote>
  <w:endnote w:type="continuationSeparator" w:id="0">
    <w:p w14:paraId="3F344524" w14:textId="77777777" w:rsidR="007D152A" w:rsidRDefault="007D1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BCA37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3E5996E4" w14:textId="54E22273"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651C9">
      <w:rPr>
        <w:noProof/>
        <w:lang w:val="fr-FR"/>
      </w:rPr>
      <w:t>Document3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E45ACC">
      <w:rPr>
        <w:noProof/>
      </w:rPr>
      <w:t>18.07.23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651C9">
      <w:rPr>
        <w:noProof/>
      </w:rPr>
      <w:t>17.06.03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E9A34" w14:textId="223E36DE" w:rsidR="00567276" w:rsidRPr="008A37F1" w:rsidRDefault="008A37F1" w:rsidP="008A37F1">
    <w:pPr>
      <w:pStyle w:val="Footer"/>
      <w:rPr>
        <w:lang w:val="en-US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>
      <w:rPr>
        <w:lang w:val="fr-FR"/>
      </w:rPr>
      <w:t>P:\RUS\ITU-R\CONF-R\CMR23\000\049R.docx</w:t>
    </w:r>
    <w:r>
      <w:fldChar w:fldCharType="end"/>
    </w:r>
    <w:r w:rsidRPr="008E27A8">
      <w:rPr>
        <w:lang w:val="en-US"/>
      </w:rPr>
      <w:t xml:space="preserve"> (</w:t>
    </w:r>
    <w:r w:rsidRPr="008A37F1">
      <w:rPr>
        <w:lang w:val="en-US"/>
      </w:rPr>
      <w:t>525845</w:t>
    </w:r>
    <w:r w:rsidRPr="008E27A8">
      <w:rPr>
        <w:lang w:val="en-US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6FC97" w14:textId="58B9302E" w:rsidR="00567276" w:rsidRPr="008E27A8" w:rsidRDefault="00567276" w:rsidP="00FB67E5">
    <w:pPr>
      <w:pStyle w:val="Footer"/>
      <w:rPr>
        <w:lang w:val="en-US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8A37F1">
      <w:rPr>
        <w:lang w:val="fr-FR"/>
      </w:rPr>
      <w:t>P:\RUS\ITU-R\CONF-R\CMR23\000\049R.docx</w:t>
    </w:r>
    <w:r>
      <w:fldChar w:fldCharType="end"/>
    </w:r>
    <w:r w:rsidR="008E27A8" w:rsidRPr="008E27A8">
      <w:rPr>
        <w:lang w:val="en-US"/>
      </w:rPr>
      <w:t xml:space="preserve"> (</w:t>
    </w:r>
    <w:r w:rsidR="008A37F1" w:rsidRPr="008A37F1">
      <w:rPr>
        <w:lang w:val="en-US"/>
      </w:rPr>
      <w:t>525845</w:t>
    </w:r>
    <w:r w:rsidR="008E27A8" w:rsidRPr="008E27A8">
      <w:rPr>
        <w:lang w:val="en-US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569B50" w14:textId="77777777" w:rsidR="007D152A" w:rsidRDefault="007D152A">
      <w:r>
        <w:rPr>
          <w:b/>
        </w:rPr>
        <w:t>_______________</w:t>
      </w:r>
    </w:p>
  </w:footnote>
  <w:footnote w:type="continuationSeparator" w:id="0">
    <w:p w14:paraId="5FB376C7" w14:textId="77777777" w:rsidR="007D152A" w:rsidRDefault="007D15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F6520" w14:textId="77777777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867945">
      <w:rPr>
        <w:noProof/>
      </w:rPr>
      <w:t>2</w:t>
    </w:r>
    <w:r>
      <w:fldChar w:fldCharType="end"/>
    </w:r>
  </w:p>
  <w:p w14:paraId="0AA73FEA" w14:textId="16784FA0" w:rsidR="00567276" w:rsidRDefault="002C0AAB" w:rsidP="00F65316">
    <w:pPr>
      <w:pStyle w:val="Header"/>
      <w:rPr>
        <w:lang w:val="en-US"/>
      </w:rPr>
    </w:pPr>
    <w:r>
      <w:t>WRC</w:t>
    </w:r>
    <w:r w:rsidR="001D46DF">
      <w:rPr>
        <w:lang w:val="en-US"/>
      </w:rPr>
      <w:t>23</w:t>
    </w:r>
    <w:r w:rsidR="00567276">
      <w:t>/</w:t>
    </w:r>
    <w:r w:rsidR="00F761D2">
      <w:t>4</w:t>
    </w:r>
    <w:r w:rsidR="008A37F1">
      <w:rPr>
        <w:lang w:val="ru-RU"/>
      </w:rPr>
      <w:t>9</w:t>
    </w:r>
    <w:r w:rsidR="00F761D2">
      <w:t>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1143814618">
    <w:abstractNumId w:val="0"/>
  </w:num>
  <w:num w:numId="2" w16cid:durableId="777065688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51C9"/>
    <w:rsid w:val="000260F1"/>
    <w:rsid w:val="0003535B"/>
    <w:rsid w:val="000A0EF3"/>
    <w:rsid w:val="000C3F55"/>
    <w:rsid w:val="000F33D8"/>
    <w:rsid w:val="000F39B4"/>
    <w:rsid w:val="00113D0B"/>
    <w:rsid w:val="001226EC"/>
    <w:rsid w:val="00123B68"/>
    <w:rsid w:val="00124C09"/>
    <w:rsid w:val="00126F2E"/>
    <w:rsid w:val="00146961"/>
    <w:rsid w:val="001521AE"/>
    <w:rsid w:val="00154F07"/>
    <w:rsid w:val="001A5585"/>
    <w:rsid w:val="001B023F"/>
    <w:rsid w:val="001D46DF"/>
    <w:rsid w:val="001E5FB4"/>
    <w:rsid w:val="00202CA0"/>
    <w:rsid w:val="00230582"/>
    <w:rsid w:val="002449AA"/>
    <w:rsid w:val="00245A1F"/>
    <w:rsid w:val="00290C74"/>
    <w:rsid w:val="002A2D3F"/>
    <w:rsid w:val="002C0AAB"/>
    <w:rsid w:val="00300F84"/>
    <w:rsid w:val="00311C6D"/>
    <w:rsid w:val="003201C7"/>
    <w:rsid w:val="003258F2"/>
    <w:rsid w:val="00344EB8"/>
    <w:rsid w:val="00346BEC"/>
    <w:rsid w:val="00371E4B"/>
    <w:rsid w:val="00373759"/>
    <w:rsid w:val="00377DFE"/>
    <w:rsid w:val="003C583C"/>
    <w:rsid w:val="003D3998"/>
    <w:rsid w:val="003F0078"/>
    <w:rsid w:val="00434A7C"/>
    <w:rsid w:val="0045143A"/>
    <w:rsid w:val="004627CD"/>
    <w:rsid w:val="00493E24"/>
    <w:rsid w:val="004A58F4"/>
    <w:rsid w:val="004B716F"/>
    <w:rsid w:val="004C1369"/>
    <w:rsid w:val="004C47ED"/>
    <w:rsid w:val="004C6D0B"/>
    <w:rsid w:val="004D64E2"/>
    <w:rsid w:val="004E0F9F"/>
    <w:rsid w:val="004F3B0D"/>
    <w:rsid w:val="0051315E"/>
    <w:rsid w:val="005144A9"/>
    <w:rsid w:val="00514E1F"/>
    <w:rsid w:val="00521B1D"/>
    <w:rsid w:val="005305D5"/>
    <w:rsid w:val="00540D1E"/>
    <w:rsid w:val="005651C9"/>
    <w:rsid w:val="00567276"/>
    <w:rsid w:val="005755E2"/>
    <w:rsid w:val="0058637F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57DE0"/>
    <w:rsid w:val="006860BB"/>
    <w:rsid w:val="00692C06"/>
    <w:rsid w:val="006A6E9B"/>
    <w:rsid w:val="006E308B"/>
    <w:rsid w:val="00763F4F"/>
    <w:rsid w:val="00775720"/>
    <w:rsid w:val="007917AE"/>
    <w:rsid w:val="007A08B5"/>
    <w:rsid w:val="007D152A"/>
    <w:rsid w:val="007E2B46"/>
    <w:rsid w:val="00811633"/>
    <w:rsid w:val="00812452"/>
    <w:rsid w:val="00815749"/>
    <w:rsid w:val="00820890"/>
    <w:rsid w:val="00827C30"/>
    <w:rsid w:val="0084782D"/>
    <w:rsid w:val="00867945"/>
    <w:rsid w:val="00872FC8"/>
    <w:rsid w:val="008A37F1"/>
    <w:rsid w:val="008B058F"/>
    <w:rsid w:val="008B1A64"/>
    <w:rsid w:val="008B43F2"/>
    <w:rsid w:val="008B6B82"/>
    <w:rsid w:val="008C3257"/>
    <w:rsid w:val="008C401C"/>
    <w:rsid w:val="008E27A8"/>
    <w:rsid w:val="008F77B0"/>
    <w:rsid w:val="009119CC"/>
    <w:rsid w:val="00917C0A"/>
    <w:rsid w:val="00941A02"/>
    <w:rsid w:val="00966C93"/>
    <w:rsid w:val="00987FA4"/>
    <w:rsid w:val="009B5CC2"/>
    <w:rsid w:val="009D3D63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66E6"/>
    <w:rsid w:val="00AE1534"/>
    <w:rsid w:val="00AF3DFF"/>
    <w:rsid w:val="00B24E60"/>
    <w:rsid w:val="00B468A6"/>
    <w:rsid w:val="00B75113"/>
    <w:rsid w:val="00B958BD"/>
    <w:rsid w:val="00BA13A4"/>
    <w:rsid w:val="00BA1AA1"/>
    <w:rsid w:val="00BA35DC"/>
    <w:rsid w:val="00BC5313"/>
    <w:rsid w:val="00BD0D2F"/>
    <w:rsid w:val="00BD1129"/>
    <w:rsid w:val="00BE0582"/>
    <w:rsid w:val="00C0572C"/>
    <w:rsid w:val="00C20466"/>
    <w:rsid w:val="00C2049B"/>
    <w:rsid w:val="00C266F4"/>
    <w:rsid w:val="00C324A8"/>
    <w:rsid w:val="00C55EBC"/>
    <w:rsid w:val="00C56E7A"/>
    <w:rsid w:val="00C779CE"/>
    <w:rsid w:val="00C916AF"/>
    <w:rsid w:val="00CC47C6"/>
    <w:rsid w:val="00CC4DE6"/>
    <w:rsid w:val="00CE5E47"/>
    <w:rsid w:val="00CF020F"/>
    <w:rsid w:val="00D072E3"/>
    <w:rsid w:val="00D2355D"/>
    <w:rsid w:val="00D53715"/>
    <w:rsid w:val="00D7331A"/>
    <w:rsid w:val="00DE2EBA"/>
    <w:rsid w:val="00E2253F"/>
    <w:rsid w:val="00E43E99"/>
    <w:rsid w:val="00E45ACC"/>
    <w:rsid w:val="00E5155F"/>
    <w:rsid w:val="00E65919"/>
    <w:rsid w:val="00E976C1"/>
    <w:rsid w:val="00EA0C0C"/>
    <w:rsid w:val="00EA4D4E"/>
    <w:rsid w:val="00EB66F7"/>
    <w:rsid w:val="00EF43E7"/>
    <w:rsid w:val="00F1578A"/>
    <w:rsid w:val="00F21A03"/>
    <w:rsid w:val="00F3215B"/>
    <w:rsid w:val="00F33B22"/>
    <w:rsid w:val="00F65316"/>
    <w:rsid w:val="00F65C19"/>
    <w:rsid w:val="00F761D2"/>
    <w:rsid w:val="00F97203"/>
    <w:rsid w:val="00FB22C4"/>
    <w:rsid w:val="00FB67E5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6C0AFB"/>
  <w15:docId w15:val="{209AB5E4-2749-403F-9598-BB42432A3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paragraph" w:customStyle="1" w:styleId="VolumeTitle0">
    <w:name w:val="VolumeTitle"/>
    <w:basedOn w:val="Normal"/>
    <w:next w:val="Normal"/>
    <w:rsid w:val="002C7747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200" w:line="276" w:lineRule="auto"/>
      <w:jc w:val="center"/>
      <w:textAlignment w:val="auto"/>
    </w:pPr>
    <w:rPr>
      <w:rFonts w:asciiTheme="minorHAnsi" w:eastAsiaTheme="minorEastAsia" w:hAnsiTheme="minorHAnsi" w:cstheme="minorBidi"/>
      <w:b/>
      <w:bCs/>
      <w:sz w:val="32"/>
      <w:szCs w:val="32"/>
      <w:lang w:val="en-US" w:eastAsia="zh-CN"/>
    </w:rPr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4627CD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4627CD"/>
    <w:rPr>
      <w:rFonts w:ascii="Tahoma" w:hAnsi="Tahoma" w:cs="Tahoma"/>
      <w:sz w:val="16"/>
      <w:szCs w:val="16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R23-WRC23-C-0041!!MSW-R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Props1.xml><?xml version="1.0" encoding="utf-8"?>
<ds:datastoreItem xmlns:ds="http://schemas.openxmlformats.org/officeDocument/2006/customXml" ds:itemID="{DBCECBD8-BB0A-4485-9FAD-93DD5F5DD583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C54D3BE-DBF7-40BF-B922-62A5BF78787B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3</Pages>
  <Words>738</Words>
  <Characters>4208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R23-WRC23-C-0041!!MSW-R</vt:lpstr>
      <vt:lpstr>R23-WRC23-C-0041!!MSW-R</vt:lpstr>
    </vt:vector>
  </TitlesOfParts>
  <Manager>General Secretariat - Pool</Manager>
  <Company>International Telecommunication Union (ITU)</Company>
  <LinksUpToDate>false</LinksUpToDate>
  <CharactersWithSpaces>4937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R23-WRC23-C-0041!!MSW-R</dc:title>
  <dc:subject>World Radiocommunication Conference - 2019</dc:subject>
  <dc:creator>Documents Proposals Manager (DPM)</dc:creator>
  <cp:keywords>DPM_v2023.5.24.1_prod</cp:keywords>
  <dc:description/>
  <cp:lastModifiedBy>Antipina, Nadezda</cp:lastModifiedBy>
  <cp:revision>14</cp:revision>
  <cp:lastPrinted>2003-06-17T08:22:00Z</cp:lastPrinted>
  <dcterms:created xsi:type="dcterms:W3CDTF">2023-07-11T14:33:00Z</dcterms:created>
  <dcterms:modified xsi:type="dcterms:W3CDTF">2023-07-18T12:07:00Z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