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D66AE0" w14:paraId="093B45B5" w14:textId="77777777" w:rsidTr="00B23EDF">
        <w:trPr>
          <w:cantSplit/>
        </w:trPr>
        <w:tc>
          <w:tcPr>
            <w:tcW w:w="1418" w:type="dxa"/>
            <w:vAlign w:val="center"/>
          </w:tcPr>
          <w:p w14:paraId="4D274823" w14:textId="77777777" w:rsidR="00B23EDF" w:rsidRPr="00D66AE0" w:rsidRDefault="00B23EDF" w:rsidP="00610EE2">
            <w:pPr>
              <w:spacing w:before="100" w:beforeAutospacing="1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D66AE0">
              <w:rPr>
                <w:noProof/>
                <w:lang w:val="en-US"/>
              </w:rPr>
              <w:drawing>
                <wp:inline distT="0" distB="0" distL="0" distR="0" wp14:anchorId="79617551" wp14:editId="2ADE9A4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770743D9" w14:textId="7319934C" w:rsidR="00B23EDF" w:rsidRPr="00D66AE0" w:rsidRDefault="00B23EDF" w:rsidP="00610EE2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D66AE0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(CMR-23)</w:t>
            </w:r>
            <w:r w:rsidRPr="00D66AE0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D66AE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Dubaï, 20 novembre </w:t>
            </w:r>
            <w:r w:rsidR="00D66AE0" w:rsidRPr="00D66AE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D66AE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6CC2D391" w14:textId="77777777" w:rsidR="00B23EDF" w:rsidRPr="00D66AE0" w:rsidRDefault="00B23EDF" w:rsidP="00610EE2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 w:rsidRPr="00D66AE0">
              <w:rPr>
                <w:noProof/>
                <w:lang w:val="en-US"/>
              </w:rPr>
              <w:drawing>
                <wp:inline distT="0" distB="0" distL="0" distR="0" wp14:anchorId="38D1D815" wp14:editId="655B773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D66AE0" w14:paraId="37718AA5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1EDF71D" w14:textId="77777777" w:rsidR="00587A4E" w:rsidRPr="00D66AE0" w:rsidRDefault="00587A4E" w:rsidP="00610EE2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12DDC83" w14:textId="77777777" w:rsidR="00587A4E" w:rsidRPr="00D66AE0" w:rsidRDefault="00587A4E" w:rsidP="00610EE2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587A4E" w:rsidRPr="00D66AE0" w14:paraId="79F7700C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9E0BBDA" w14:textId="77777777" w:rsidR="00587A4E" w:rsidRPr="00D66AE0" w:rsidRDefault="00587A4E" w:rsidP="00610EE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9360DA" w14:textId="77777777" w:rsidR="00587A4E" w:rsidRPr="00D66AE0" w:rsidRDefault="00587A4E" w:rsidP="00610EE2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587A4E" w:rsidRPr="00D66AE0" w14:paraId="16312A75" w14:textId="77777777" w:rsidTr="00773113">
        <w:trPr>
          <w:cantSplit/>
        </w:trPr>
        <w:tc>
          <w:tcPr>
            <w:tcW w:w="6911" w:type="dxa"/>
            <w:gridSpan w:val="2"/>
          </w:tcPr>
          <w:p w14:paraId="249268EF" w14:textId="77777777" w:rsidR="00587A4E" w:rsidRPr="00D66AE0" w:rsidRDefault="008D6821" w:rsidP="00610EE2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66AE0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FD053F2" w14:textId="433FFBE1" w:rsidR="00587A4E" w:rsidRPr="00D66AE0" w:rsidRDefault="00587A4E" w:rsidP="00610EE2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D66AE0">
              <w:rPr>
                <w:rFonts w:ascii="Verdana" w:hAnsi="Verdana"/>
                <w:b/>
                <w:sz w:val="20"/>
                <w:lang w:val="fr-CH"/>
              </w:rPr>
              <w:t xml:space="preserve">Document </w:t>
            </w:r>
            <w:r w:rsidR="003C41FB" w:rsidRPr="00D66AE0">
              <w:rPr>
                <w:rFonts w:ascii="Verdana" w:hAnsi="Verdana"/>
                <w:b/>
                <w:sz w:val="20"/>
                <w:lang w:val="fr-CH"/>
              </w:rPr>
              <w:t>49</w:t>
            </w:r>
            <w:r w:rsidRPr="00D66AE0">
              <w:rPr>
                <w:rFonts w:ascii="Verdana" w:hAnsi="Verdana"/>
                <w:b/>
                <w:sz w:val="20"/>
                <w:lang w:val="fr-CH"/>
              </w:rPr>
              <w:t>-F</w:t>
            </w:r>
          </w:p>
        </w:tc>
      </w:tr>
      <w:bookmarkEnd w:id="1"/>
      <w:tr w:rsidR="00587A4E" w:rsidRPr="00D66AE0" w14:paraId="744B6458" w14:textId="77777777" w:rsidTr="00773113">
        <w:trPr>
          <w:cantSplit/>
        </w:trPr>
        <w:tc>
          <w:tcPr>
            <w:tcW w:w="6911" w:type="dxa"/>
            <w:gridSpan w:val="2"/>
          </w:tcPr>
          <w:p w14:paraId="77367F2D" w14:textId="77777777" w:rsidR="00587A4E" w:rsidRPr="00D66AE0" w:rsidRDefault="00587A4E" w:rsidP="00610EE2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00B9D5CA" w14:textId="3B11A873" w:rsidR="00587A4E" w:rsidRPr="00D66AE0" w:rsidRDefault="003C41FB" w:rsidP="00610EE2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66AE0">
              <w:rPr>
                <w:rFonts w:ascii="Verdana" w:hAnsi="Verdana"/>
                <w:b/>
                <w:sz w:val="20"/>
                <w:lang w:val="fr-CH"/>
              </w:rPr>
              <w:t>7 juillet</w:t>
            </w:r>
            <w:r w:rsidR="00587A4E" w:rsidRPr="00D66AE0">
              <w:rPr>
                <w:rFonts w:ascii="Verdana" w:hAnsi="Verdana"/>
                <w:b/>
                <w:sz w:val="20"/>
                <w:lang w:val="fr-CH"/>
              </w:rPr>
              <w:t xml:space="preserve"> 20</w:t>
            </w:r>
            <w:r w:rsidR="00CD3928" w:rsidRPr="00D66AE0">
              <w:rPr>
                <w:rFonts w:ascii="Verdana" w:hAnsi="Verdana"/>
                <w:b/>
                <w:sz w:val="20"/>
                <w:lang w:val="fr-CH"/>
              </w:rPr>
              <w:t>23</w:t>
            </w:r>
          </w:p>
        </w:tc>
      </w:tr>
      <w:tr w:rsidR="00587A4E" w:rsidRPr="00D66AE0" w14:paraId="29A4655F" w14:textId="77777777" w:rsidTr="00773113">
        <w:trPr>
          <w:cantSplit/>
        </w:trPr>
        <w:tc>
          <w:tcPr>
            <w:tcW w:w="6911" w:type="dxa"/>
            <w:gridSpan w:val="2"/>
          </w:tcPr>
          <w:p w14:paraId="0B558C7E" w14:textId="77777777" w:rsidR="00587A4E" w:rsidRPr="00D66AE0" w:rsidRDefault="00587A4E" w:rsidP="00610EE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6BFB7AD6" w14:textId="77777777" w:rsidR="00587A4E" w:rsidRPr="00D66AE0" w:rsidRDefault="00587A4E" w:rsidP="00610EE2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66AE0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587A4E" w:rsidRPr="00D66AE0" w14:paraId="607E4B8B" w14:textId="77777777" w:rsidTr="00773113">
        <w:trPr>
          <w:cantSplit/>
        </w:trPr>
        <w:tc>
          <w:tcPr>
            <w:tcW w:w="10031" w:type="dxa"/>
            <w:gridSpan w:val="4"/>
          </w:tcPr>
          <w:p w14:paraId="22D1AA48" w14:textId="77777777" w:rsidR="00587A4E" w:rsidRPr="00D66AE0" w:rsidRDefault="00587A4E" w:rsidP="00610EE2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587A4E" w:rsidRPr="00D66AE0" w14:paraId="6F88E1AF" w14:textId="77777777" w:rsidTr="00773113">
        <w:trPr>
          <w:cantSplit/>
        </w:trPr>
        <w:tc>
          <w:tcPr>
            <w:tcW w:w="10031" w:type="dxa"/>
            <w:gridSpan w:val="4"/>
          </w:tcPr>
          <w:p w14:paraId="682506F5" w14:textId="7A669365" w:rsidR="00587A4E" w:rsidRPr="00D66AE0" w:rsidRDefault="003C41FB" w:rsidP="00610EE2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D66AE0">
              <w:rPr>
                <w:lang w:val="fr-CH"/>
              </w:rPr>
              <w:t>Note de la Secrétaire générale</w:t>
            </w:r>
          </w:p>
        </w:tc>
      </w:tr>
      <w:tr w:rsidR="00587A4E" w:rsidRPr="00D66AE0" w14:paraId="462633B3" w14:textId="77777777" w:rsidTr="00773113">
        <w:trPr>
          <w:cantSplit/>
        </w:trPr>
        <w:tc>
          <w:tcPr>
            <w:tcW w:w="10031" w:type="dxa"/>
            <w:gridSpan w:val="4"/>
          </w:tcPr>
          <w:p w14:paraId="7146DA00" w14:textId="7D80B0F2" w:rsidR="00587A4E" w:rsidRPr="00D66AE0" w:rsidRDefault="003C41FB" w:rsidP="00610EE2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66AE0">
              <w:rPr>
                <w:lang w:val="fr-CH"/>
              </w:rPr>
              <w:t>RAPPORT DU COMITÉ DU RÈGL</w:t>
            </w:r>
            <w:r w:rsidR="00131AC9">
              <w:rPr>
                <w:lang w:val="fr-CH"/>
              </w:rPr>
              <w:t>EMENT DES RADIOCOMMUNICATIONS À </w:t>
            </w:r>
            <w:r w:rsidRPr="00D66AE0">
              <w:rPr>
                <w:lang w:val="fr-CH"/>
              </w:rPr>
              <w:t>LA CMR-23 SUR LA RÉSOLUTION 35 (CMR-19)</w:t>
            </w:r>
          </w:p>
        </w:tc>
      </w:tr>
      <w:tr w:rsidR="00587A4E" w:rsidRPr="00D66AE0" w14:paraId="33318163" w14:textId="77777777" w:rsidTr="00773113">
        <w:trPr>
          <w:cantSplit/>
        </w:trPr>
        <w:tc>
          <w:tcPr>
            <w:tcW w:w="10031" w:type="dxa"/>
            <w:gridSpan w:val="4"/>
          </w:tcPr>
          <w:p w14:paraId="429A440D" w14:textId="77777777" w:rsidR="00587A4E" w:rsidRPr="00D66AE0" w:rsidRDefault="00587A4E" w:rsidP="00610EE2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587A4E" w:rsidRPr="00D66AE0" w14:paraId="0C135ABD" w14:textId="77777777" w:rsidTr="00773113">
        <w:trPr>
          <w:cantSplit/>
        </w:trPr>
        <w:tc>
          <w:tcPr>
            <w:tcW w:w="10031" w:type="dxa"/>
            <w:gridSpan w:val="4"/>
          </w:tcPr>
          <w:p w14:paraId="0D3D8491" w14:textId="77777777" w:rsidR="00587A4E" w:rsidRPr="00D66AE0" w:rsidRDefault="00587A4E" w:rsidP="00610EE2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14:paraId="24CB9932" w14:textId="53AE7D0B" w:rsidR="003C41FB" w:rsidRPr="00D66AE0" w:rsidRDefault="003C41FB" w:rsidP="00610EE2">
      <w:pPr>
        <w:rPr>
          <w:lang w:val="fr-CH"/>
        </w:rPr>
      </w:pPr>
      <w:r w:rsidRPr="00D66AE0">
        <w:rPr>
          <w:lang w:val="fr-CH"/>
        </w:rPr>
        <w:t>J'ai l'honneur de porter à l'attention de la Conférence, à la demande du Directeur du Bureau des radiocommunications, le rapport du Comité du Règlement des radiocommunications à la CMR</w:t>
      </w:r>
      <w:r w:rsidR="00610EE2" w:rsidRPr="00D66AE0">
        <w:rPr>
          <w:lang w:val="fr-CH"/>
        </w:rPr>
        <w:noBreakHyphen/>
      </w:r>
      <w:r w:rsidRPr="00D66AE0">
        <w:rPr>
          <w:lang w:val="fr-CH"/>
        </w:rPr>
        <w:t xml:space="preserve">23 sur </w:t>
      </w:r>
      <w:r w:rsidR="00001D82" w:rsidRPr="00D66AE0">
        <w:rPr>
          <w:lang w:val="fr-CH"/>
        </w:rPr>
        <w:t xml:space="preserve">l'application du point 12 du </w:t>
      </w:r>
      <w:r w:rsidR="00001D82" w:rsidRPr="00D66AE0">
        <w:rPr>
          <w:i/>
          <w:iCs/>
          <w:lang w:val="fr-CH"/>
        </w:rPr>
        <w:t xml:space="preserve">décide </w:t>
      </w:r>
      <w:r w:rsidR="00001D82" w:rsidRPr="00D66AE0">
        <w:rPr>
          <w:lang w:val="fr-CH"/>
        </w:rPr>
        <w:t xml:space="preserve">de </w:t>
      </w:r>
      <w:r w:rsidRPr="00D66AE0">
        <w:rPr>
          <w:lang w:val="fr-CH"/>
        </w:rPr>
        <w:t xml:space="preserve">la Résolution </w:t>
      </w:r>
      <w:r w:rsidRPr="00D66AE0">
        <w:rPr>
          <w:b/>
          <w:bCs/>
          <w:lang w:val="fr-CH"/>
        </w:rPr>
        <w:t>35 (CMR-19)</w:t>
      </w:r>
      <w:r w:rsidRPr="00D66AE0">
        <w:rPr>
          <w:lang w:val="fr-CH"/>
        </w:rPr>
        <w:t>.</w:t>
      </w:r>
    </w:p>
    <w:p w14:paraId="5D8CB0A4" w14:textId="47ED0527" w:rsidR="00F372DE" w:rsidRPr="00D66AE0" w:rsidRDefault="003C41FB" w:rsidP="00610EE2">
      <w:pPr>
        <w:tabs>
          <w:tab w:val="clear" w:pos="1134"/>
          <w:tab w:val="clear" w:pos="1871"/>
          <w:tab w:val="clear" w:pos="2268"/>
          <w:tab w:val="center" w:pos="6804"/>
        </w:tabs>
        <w:spacing w:before="840"/>
        <w:rPr>
          <w:lang w:val="fr-CH"/>
        </w:rPr>
      </w:pPr>
      <w:r w:rsidRPr="00D66AE0">
        <w:rPr>
          <w:lang w:val="fr-CH"/>
        </w:rPr>
        <w:tab/>
        <w:t>Doreen Bogdan-Martin</w:t>
      </w:r>
      <w:r w:rsidRPr="00D66AE0">
        <w:rPr>
          <w:lang w:val="fr-CH"/>
        </w:rPr>
        <w:br/>
      </w:r>
      <w:r w:rsidRPr="00D66AE0">
        <w:rPr>
          <w:lang w:val="fr-CH"/>
        </w:rPr>
        <w:tab/>
      </w:r>
      <w:r w:rsidR="00F35080" w:rsidRPr="00D66AE0">
        <w:rPr>
          <w:lang w:val="fr-CH"/>
        </w:rPr>
        <w:t>Secrétaire générale</w:t>
      </w:r>
    </w:p>
    <w:p w14:paraId="49FCDBF5" w14:textId="048F326E" w:rsidR="003C41FB" w:rsidRPr="00D66AE0" w:rsidRDefault="003C41FB" w:rsidP="00610E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66AE0">
        <w:rPr>
          <w:lang w:val="fr-CH"/>
        </w:rPr>
        <w:br w:type="page"/>
      </w:r>
    </w:p>
    <w:p w14:paraId="5CF0C033" w14:textId="0DFA1B64" w:rsidR="003C41FB" w:rsidRPr="00D66AE0" w:rsidRDefault="00177AF5" w:rsidP="00610EE2">
      <w:pPr>
        <w:pStyle w:val="Title1"/>
        <w:rPr>
          <w:lang w:val="fr-CH"/>
        </w:rPr>
      </w:pPr>
      <w:r w:rsidRPr="00D66AE0">
        <w:rPr>
          <w:lang w:val="fr-CH"/>
        </w:rPr>
        <w:lastRenderedPageBreak/>
        <w:t>RAPPORT DU COMITÉ DU RÈGL</w:t>
      </w:r>
      <w:r w:rsidR="00131AC9">
        <w:rPr>
          <w:lang w:val="fr-CH"/>
        </w:rPr>
        <w:t>EMENT DES RADIOCOMMUNICATIONS À </w:t>
      </w:r>
      <w:r w:rsidRPr="00D66AE0">
        <w:rPr>
          <w:lang w:val="fr-CH"/>
        </w:rPr>
        <w:t>LA cmr</w:t>
      </w:r>
      <w:r w:rsidR="00610EE2" w:rsidRPr="00D66AE0">
        <w:rPr>
          <w:lang w:val="fr-CH"/>
        </w:rPr>
        <w:noBreakHyphen/>
      </w:r>
      <w:r w:rsidRPr="00D66AE0">
        <w:rPr>
          <w:lang w:val="fr-CH"/>
        </w:rPr>
        <w:t xml:space="preserve">23 SUR L'APPLICATION DU POINT 12 DU </w:t>
      </w:r>
      <w:r w:rsidRPr="00D66AE0">
        <w:rPr>
          <w:i/>
          <w:iCs/>
          <w:lang w:val="fr-CH"/>
        </w:rPr>
        <w:t>DÉCIDE</w:t>
      </w:r>
      <w:r w:rsidR="00131AC9">
        <w:rPr>
          <w:lang w:val="fr-CH"/>
        </w:rPr>
        <w:t xml:space="preserve"> DE LA </w:t>
      </w:r>
      <w:r w:rsidRPr="00D66AE0">
        <w:rPr>
          <w:lang w:val="fr-CH"/>
        </w:rPr>
        <w:t>RÉSOLUTION 35 (CMR-19)</w:t>
      </w:r>
    </w:p>
    <w:p w14:paraId="1B0A4C28" w14:textId="656F59BC" w:rsidR="003C41FB" w:rsidRPr="00D66AE0" w:rsidRDefault="00D018D6" w:rsidP="00131AC9">
      <w:pPr>
        <w:spacing w:before="240"/>
        <w:rPr>
          <w:lang w:val="fr-CH"/>
        </w:rPr>
      </w:pPr>
      <w:r w:rsidRPr="00D66AE0">
        <w:rPr>
          <w:lang w:val="fr-CH"/>
        </w:rPr>
        <w:t xml:space="preserve">Le </w:t>
      </w:r>
      <w:r w:rsidR="00F20681" w:rsidRPr="00D66AE0">
        <w:rPr>
          <w:lang w:val="fr-CH"/>
        </w:rPr>
        <w:t xml:space="preserve">4 avril 2023, le </w:t>
      </w:r>
      <w:r w:rsidRPr="00D66AE0">
        <w:rPr>
          <w:lang w:val="fr-CH"/>
        </w:rPr>
        <w:t>Comité du Règlement des radiocommunications a reçu une communication soumise par l'Administra</w:t>
      </w:r>
      <w:r w:rsidR="00131AC9">
        <w:rPr>
          <w:lang w:val="fr-CH"/>
        </w:rPr>
        <w:t>tion du Liechtenstein (Document</w:t>
      </w:r>
      <w:r w:rsidRPr="00D66AE0">
        <w:rPr>
          <w:lang w:val="fr-CH"/>
        </w:rPr>
        <w:t xml:space="preserve"> RRB23-1/14)</w:t>
      </w:r>
      <w:r w:rsidR="00F20681" w:rsidRPr="00D66AE0">
        <w:rPr>
          <w:lang w:val="fr-CH"/>
        </w:rPr>
        <w:t xml:space="preserve"> demandant l'application du point 12 du </w:t>
      </w:r>
      <w:r w:rsidR="00F20681" w:rsidRPr="00D66AE0">
        <w:rPr>
          <w:i/>
          <w:iCs/>
          <w:lang w:val="fr-CH"/>
        </w:rPr>
        <w:t>décide</w:t>
      </w:r>
      <w:r w:rsidR="00F20681" w:rsidRPr="00D66AE0">
        <w:rPr>
          <w:lang w:val="fr-CH"/>
        </w:rPr>
        <w:t xml:space="preserve"> de la Résolution </w:t>
      </w:r>
      <w:r w:rsidR="00F20681" w:rsidRPr="00D66AE0">
        <w:rPr>
          <w:b/>
          <w:bCs/>
          <w:lang w:val="fr-CH"/>
        </w:rPr>
        <w:t>35 (CMR-19)</w:t>
      </w:r>
      <w:r w:rsidR="00F20681" w:rsidRPr="00D66AE0">
        <w:rPr>
          <w:lang w:val="fr-CH"/>
        </w:rPr>
        <w:t xml:space="preserve"> aux assignations de fréquence des systèmes à satellites 3ECOM-1 et 3ECOM-3.</w:t>
      </w:r>
    </w:p>
    <w:p w14:paraId="1523C5C1" w14:textId="3064AFA3" w:rsidR="003C41FB" w:rsidRPr="00D66AE0" w:rsidRDefault="003C41FB" w:rsidP="00610EE2">
      <w:pPr>
        <w:rPr>
          <w:lang w:val="fr-CH"/>
        </w:rPr>
      </w:pPr>
      <w:r w:rsidRPr="00D66AE0">
        <w:rPr>
          <w:lang w:val="fr-CH"/>
        </w:rPr>
        <w:t xml:space="preserve">Le </w:t>
      </w:r>
      <w:r w:rsidR="00F20681" w:rsidRPr="00D66AE0">
        <w:rPr>
          <w:lang w:val="fr-CH"/>
        </w:rPr>
        <w:t xml:space="preserve">RRB a examiné le traitement de la communication soumise par l'Administration du Lichtenstein à sa 92ème réunion (20-24 mars 2023). Or, il a noté </w:t>
      </w:r>
      <w:r w:rsidRPr="00D66AE0">
        <w:rPr>
          <w:lang w:val="fr-CH"/>
        </w:rPr>
        <w:t xml:space="preserve">que la date de réception de la communication soumise ne permettait guère aux autres administrations de soumettre leurs observations à temps pour pouvoir être examinées lors de </w:t>
      </w:r>
      <w:r w:rsidR="00F20681" w:rsidRPr="00D66AE0">
        <w:rPr>
          <w:lang w:val="fr-CH"/>
        </w:rPr>
        <w:t>92ème</w:t>
      </w:r>
      <w:r w:rsidRPr="00D66AE0">
        <w:rPr>
          <w:lang w:val="fr-CH"/>
        </w:rPr>
        <w:t xml:space="preserve"> réunion</w:t>
      </w:r>
      <w:r w:rsidR="00F20681" w:rsidRPr="00D66AE0">
        <w:rPr>
          <w:lang w:val="fr-CH"/>
        </w:rPr>
        <w:t xml:space="preserve"> du RRB ,conformément au point 12 du </w:t>
      </w:r>
      <w:r w:rsidR="00F20681" w:rsidRPr="00D66AE0">
        <w:rPr>
          <w:i/>
          <w:iCs/>
          <w:lang w:val="fr-CH"/>
        </w:rPr>
        <w:t>décide</w:t>
      </w:r>
      <w:r w:rsidR="00F20681" w:rsidRPr="00D66AE0">
        <w:rPr>
          <w:lang w:val="fr-CH"/>
        </w:rPr>
        <w:t xml:space="preserve"> de la Résolution </w:t>
      </w:r>
      <w:r w:rsidR="00F20681" w:rsidRPr="00D66AE0">
        <w:rPr>
          <w:b/>
          <w:bCs/>
          <w:lang w:val="fr-CH"/>
        </w:rPr>
        <w:t>35 (CMR-19)</w:t>
      </w:r>
      <w:r w:rsidRPr="00D66AE0">
        <w:rPr>
          <w:lang w:val="fr-CH"/>
        </w:rPr>
        <w:t xml:space="preserve">. Dans la mesure où l'intention de la CMR-19 était de donner aux administrations une possibilité raisonnable de formuler des observations concernant ces demandes, le Comité a décidé de reporter à </w:t>
      </w:r>
      <w:r w:rsidR="00F20681" w:rsidRPr="00D66AE0">
        <w:rPr>
          <w:lang w:val="fr-CH"/>
        </w:rPr>
        <w:t>sa 93ème</w:t>
      </w:r>
      <w:r w:rsidRPr="00D66AE0">
        <w:rPr>
          <w:lang w:val="fr-CH"/>
        </w:rPr>
        <w:t xml:space="preserve"> réunion </w:t>
      </w:r>
      <w:r w:rsidR="00131AC9">
        <w:rPr>
          <w:lang w:val="fr-CH"/>
        </w:rPr>
        <w:t xml:space="preserve">(26 juin – </w:t>
      </w:r>
      <w:r w:rsidR="00F20681" w:rsidRPr="00D66AE0">
        <w:rPr>
          <w:lang w:val="fr-CH"/>
        </w:rPr>
        <w:t>4 juillet 2023)</w:t>
      </w:r>
      <w:r w:rsidRPr="00D66AE0">
        <w:rPr>
          <w:lang w:val="fr-CH"/>
        </w:rPr>
        <w:t xml:space="preserve"> l'examen de la demande de l'Administration du Liechtenstein et la décision en la matière.</w:t>
      </w:r>
    </w:p>
    <w:p w14:paraId="41A90690" w14:textId="6B112C47" w:rsidR="003C41FB" w:rsidRPr="00D66AE0" w:rsidRDefault="00F4031E" w:rsidP="00610EE2">
      <w:pPr>
        <w:rPr>
          <w:lang w:val="fr-CH"/>
        </w:rPr>
      </w:pPr>
      <w:r w:rsidRPr="00D66AE0">
        <w:rPr>
          <w:lang w:val="fr-CH"/>
        </w:rPr>
        <w:t>Deux administrations, à savoir les Administratio</w:t>
      </w:r>
      <w:r w:rsidR="00131AC9">
        <w:rPr>
          <w:lang w:val="fr-CH"/>
        </w:rPr>
        <w:t>ns de la France et de l'Allemagn</w:t>
      </w:r>
      <w:r w:rsidRPr="00D66AE0">
        <w:rPr>
          <w:lang w:val="fr-CH"/>
        </w:rPr>
        <w:t>e, ont soumis des observations sur la demande de l'Administration du Liechtenstein relative à l'application du point</w:t>
      </w:r>
      <w:r w:rsidR="00610EE2" w:rsidRPr="00D66AE0">
        <w:rPr>
          <w:lang w:val="fr-CH"/>
        </w:rPr>
        <w:t> </w:t>
      </w:r>
      <w:r w:rsidRPr="00D66AE0">
        <w:rPr>
          <w:lang w:val="fr-CH"/>
        </w:rPr>
        <w:t xml:space="preserve">12 du </w:t>
      </w:r>
      <w:r w:rsidRPr="00D66AE0">
        <w:rPr>
          <w:i/>
          <w:iCs/>
          <w:lang w:val="fr-CH"/>
        </w:rPr>
        <w:t>décide</w:t>
      </w:r>
      <w:r w:rsidRPr="00D66AE0">
        <w:rPr>
          <w:lang w:val="fr-CH"/>
        </w:rPr>
        <w:t xml:space="preserve"> de la Résolution </w:t>
      </w:r>
      <w:r w:rsidRPr="00D66AE0">
        <w:rPr>
          <w:b/>
          <w:bCs/>
          <w:lang w:val="fr-CH"/>
        </w:rPr>
        <w:t>35 (CMR-19)</w:t>
      </w:r>
      <w:r w:rsidRPr="00D66AE0">
        <w:rPr>
          <w:lang w:val="fr-CH"/>
        </w:rPr>
        <w:t xml:space="preserve"> aux assignations de fréquence des systèmes à satellites</w:t>
      </w:r>
      <w:r w:rsidR="00610EE2" w:rsidRPr="00D66AE0">
        <w:rPr>
          <w:lang w:val="fr-CH"/>
        </w:rPr>
        <w:t> </w:t>
      </w:r>
      <w:r w:rsidRPr="00D66AE0">
        <w:rPr>
          <w:lang w:val="fr-CH"/>
        </w:rPr>
        <w:t>3</w:t>
      </w:r>
      <w:r w:rsidR="00131AC9">
        <w:rPr>
          <w:lang w:val="fr-CH"/>
        </w:rPr>
        <w:t>E</w:t>
      </w:r>
      <w:r w:rsidRPr="00D66AE0">
        <w:rPr>
          <w:lang w:val="fr-CH"/>
        </w:rPr>
        <w:t>COM-1 et 3ECOM-3</w:t>
      </w:r>
      <w:r w:rsidR="003C41FB" w:rsidRPr="00D66AE0">
        <w:rPr>
          <w:lang w:val="fr-CH"/>
        </w:rPr>
        <w:t>.</w:t>
      </w:r>
    </w:p>
    <w:p w14:paraId="0C6D88D3" w14:textId="6CE72FAE" w:rsidR="003C41FB" w:rsidRPr="00D66AE0" w:rsidRDefault="00F4031E" w:rsidP="00610EE2">
      <w:pPr>
        <w:rPr>
          <w:lang w:val="fr-CH"/>
        </w:rPr>
      </w:pPr>
      <w:r w:rsidRPr="00D66AE0">
        <w:rPr>
          <w:lang w:val="fr-CH"/>
        </w:rPr>
        <w:t>À sa 93ème réunion, le Comité a examiné de façon approfondie les communications de l'Administration du Liechtenstein (Documents RRB23-2/3, 5 et 7) et les observations formulées par le</w:t>
      </w:r>
      <w:r w:rsidR="00131AC9">
        <w:rPr>
          <w:lang w:val="fr-CH"/>
        </w:rPr>
        <w:t>s Administrations de l'Allemagn</w:t>
      </w:r>
      <w:r w:rsidRPr="00D66AE0">
        <w:rPr>
          <w:lang w:val="fr-CH"/>
        </w:rPr>
        <w:t>e (Document RRB23-2/6) et de la France (Document</w:t>
      </w:r>
      <w:r w:rsidR="00610EE2" w:rsidRPr="00D66AE0">
        <w:rPr>
          <w:lang w:val="fr-CH"/>
        </w:rPr>
        <w:t> </w:t>
      </w:r>
      <w:r w:rsidRPr="00D66AE0">
        <w:rPr>
          <w:lang w:val="fr-CH"/>
        </w:rPr>
        <w:t>RRB23</w:t>
      </w:r>
      <w:r w:rsidR="00610EE2" w:rsidRPr="00D66AE0">
        <w:rPr>
          <w:lang w:val="fr-CH"/>
        </w:rPr>
        <w:noBreakHyphen/>
      </w:r>
      <w:r w:rsidRPr="00D66AE0">
        <w:rPr>
          <w:lang w:val="fr-CH"/>
        </w:rPr>
        <w:t>2/4)</w:t>
      </w:r>
      <w:r w:rsidR="003C41FB" w:rsidRPr="00D66AE0">
        <w:rPr>
          <w:lang w:val="fr-CH"/>
        </w:rPr>
        <w:t>.</w:t>
      </w:r>
    </w:p>
    <w:p w14:paraId="305D3EB1" w14:textId="09C8A7C5" w:rsidR="00F4031E" w:rsidRPr="00D66AE0" w:rsidRDefault="00F4031E" w:rsidP="00610EE2">
      <w:pPr>
        <w:rPr>
          <w:lang w:val="fr-CH"/>
        </w:rPr>
      </w:pPr>
      <w:r w:rsidRPr="00D66AE0">
        <w:rPr>
          <w:lang w:val="fr-CH"/>
        </w:rPr>
        <w:t xml:space="preserve">En ce qui concerne les observations formulées par les Administrations de la France et de l'Allemagne, le Comité a noté </w:t>
      </w:r>
      <w:r w:rsidR="002731B1" w:rsidRPr="00D66AE0">
        <w:rPr>
          <w:lang w:val="fr-CH"/>
        </w:rPr>
        <w:t>ce qui suit</w:t>
      </w:r>
      <w:r w:rsidRPr="00D66AE0">
        <w:rPr>
          <w:lang w:val="fr-CH"/>
        </w:rPr>
        <w:t>:</w:t>
      </w:r>
    </w:p>
    <w:p w14:paraId="254F3AB5" w14:textId="32A88C6E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t>•</w:t>
      </w:r>
      <w:r w:rsidRPr="00D66AE0">
        <w:rPr>
          <w:lang w:val="fr-CH"/>
        </w:rPr>
        <w:tab/>
      </w:r>
      <w:r w:rsidR="00315415" w:rsidRPr="00D66AE0">
        <w:rPr>
          <w:lang w:val="fr-CH"/>
        </w:rPr>
        <w:t>l</w:t>
      </w:r>
      <w:r w:rsidR="00F4031E" w:rsidRPr="00D66AE0">
        <w:rPr>
          <w:lang w:val="fr-CH"/>
        </w:rPr>
        <w:t xml:space="preserve">'Administration du Liechtenstein a confirmé que le nouvel opérateur du système à satellites 3ECOM respecterait les conditions et les paramètres techniques qui </w:t>
      </w:r>
      <w:r w:rsidR="006D69E5" w:rsidRPr="00D66AE0">
        <w:rPr>
          <w:lang w:val="fr-CH"/>
        </w:rPr>
        <w:t>ont</w:t>
      </w:r>
      <w:r w:rsidR="00F4031E" w:rsidRPr="00D66AE0">
        <w:rPr>
          <w:lang w:val="fr-CH"/>
        </w:rPr>
        <w:t xml:space="preserve"> été convenus entre l'ancien opérateur de satellite de l'Administration du Liechtenstein et les opérateurs de satellite de l'Administration de la France</w:t>
      </w:r>
      <w:r w:rsidRPr="00D66AE0">
        <w:rPr>
          <w:lang w:val="fr-CH"/>
        </w:rPr>
        <w:t>;</w:t>
      </w:r>
    </w:p>
    <w:p w14:paraId="6B8BEC0C" w14:textId="5FE1A558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t>•</w:t>
      </w:r>
      <w:r w:rsidRPr="00D66AE0">
        <w:rPr>
          <w:lang w:val="fr-CH"/>
        </w:rPr>
        <w:tab/>
      </w:r>
      <w:r w:rsidR="00F4031E" w:rsidRPr="00D66AE0">
        <w:rPr>
          <w:lang w:val="fr-CH"/>
        </w:rPr>
        <w:t xml:space="preserve">la coordination </w:t>
      </w:r>
      <w:r w:rsidR="006D69E5" w:rsidRPr="00D66AE0">
        <w:rPr>
          <w:lang w:val="fr-CH"/>
        </w:rPr>
        <w:t>est</w:t>
      </w:r>
      <w:r w:rsidR="00F4031E" w:rsidRPr="00D66AE0">
        <w:rPr>
          <w:lang w:val="fr-CH"/>
        </w:rPr>
        <w:t xml:space="preserve"> en cours entre les Administrations du Liechtenstein et de la France (la dernière réunion de coordination a été convoquée les 26 et 27 juin 2023); et</w:t>
      </w:r>
    </w:p>
    <w:p w14:paraId="71EB6E56" w14:textId="490C0D19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t>•</w:t>
      </w:r>
      <w:r w:rsidRPr="00D66AE0">
        <w:rPr>
          <w:lang w:val="fr-CH"/>
        </w:rPr>
        <w:tab/>
      </w:r>
      <w:r w:rsidR="000869CD" w:rsidRPr="00D66AE0">
        <w:rPr>
          <w:lang w:val="fr-CH"/>
        </w:rPr>
        <w:t xml:space="preserve">il </w:t>
      </w:r>
      <w:r w:rsidR="006D69E5" w:rsidRPr="00D66AE0">
        <w:rPr>
          <w:lang w:val="fr-CH"/>
        </w:rPr>
        <w:t>est</w:t>
      </w:r>
      <w:r w:rsidR="000869CD" w:rsidRPr="00D66AE0">
        <w:rPr>
          <w:lang w:val="fr-CH"/>
        </w:rPr>
        <w:t xml:space="preserve"> habilité à prendre une décision favorabl</w:t>
      </w:r>
      <w:r w:rsidR="00131AC9">
        <w:rPr>
          <w:lang w:val="fr-CH"/>
        </w:rPr>
        <w:t>e ou défavorable concernant les </w:t>
      </w:r>
      <w:r w:rsidR="000869CD" w:rsidRPr="00D66AE0">
        <w:rPr>
          <w:lang w:val="fr-CH"/>
        </w:rPr>
        <w:t xml:space="preserve">communications soumises au titre de la Résolution </w:t>
      </w:r>
      <w:r w:rsidR="000869CD" w:rsidRPr="00D66AE0">
        <w:rPr>
          <w:b/>
          <w:bCs/>
          <w:lang w:val="fr-CH"/>
        </w:rPr>
        <w:t>35 (CMR-19)</w:t>
      </w:r>
      <w:r w:rsidR="00131AC9">
        <w:rPr>
          <w:lang w:val="fr-CH"/>
        </w:rPr>
        <w:t xml:space="preserve"> d'ici à sa 93ème </w:t>
      </w:r>
      <w:r w:rsidR="000869CD" w:rsidRPr="00D66AE0">
        <w:rPr>
          <w:lang w:val="fr-CH"/>
        </w:rPr>
        <w:t>réunion.</w:t>
      </w:r>
    </w:p>
    <w:p w14:paraId="6FF4BB52" w14:textId="6781CD8C" w:rsidR="003C41FB" w:rsidRPr="00D66AE0" w:rsidRDefault="000869CD" w:rsidP="00610EE2">
      <w:pPr>
        <w:rPr>
          <w:lang w:val="fr-CH"/>
        </w:rPr>
      </w:pPr>
      <w:r w:rsidRPr="00D66AE0">
        <w:rPr>
          <w:lang w:val="fr-CH"/>
        </w:rPr>
        <w:t>En ce qui concerne la demande d'app</w:t>
      </w:r>
      <w:bookmarkStart w:id="6" w:name="_GoBack"/>
      <w:bookmarkEnd w:id="6"/>
      <w:r w:rsidRPr="00D66AE0">
        <w:rPr>
          <w:lang w:val="fr-CH"/>
        </w:rPr>
        <w:t xml:space="preserve">lication du point 12 du </w:t>
      </w:r>
      <w:r w:rsidRPr="00D66AE0">
        <w:rPr>
          <w:i/>
          <w:iCs/>
          <w:lang w:val="fr-CH"/>
        </w:rPr>
        <w:t xml:space="preserve">décide </w:t>
      </w:r>
      <w:r w:rsidRPr="00D66AE0">
        <w:rPr>
          <w:lang w:val="fr-CH"/>
        </w:rPr>
        <w:t xml:space="preserve">de la Résolution </w:t>
      </w:r>
      <w:r w:rsidRPr="00D66AE0">
        <w:rPr>
          <w:b/>
          <w:bCs/>
          <w:lang w:val="fr-CH"/>
        </w:rPr>
        <w:t xml:space="preserve">35 </w:t>
      </w:r>
      <w:r w:rsidR="006D69E5" w:rsidRPr="00D66AE0">
        <w:rPr>
          <w:b/>
          <w:bCs/>
          <w:lang w:val="fr-CH"/>
        </w:rPr>
        <w:t>(</w:t>
      </w:r>
      <w:r w:rsidRPr="00D66AE0">
        <w:rPr>
          <w:b/>
          <w:bCs/>
          <w:lang w:val="fr-CH"/>
        </w:rPr>
        <w:t>CMR-19)</w:t>
      </w:r>
      <w:r w:rsidRPr="00D66AE0">
        <w:rPr>
          <w:lang w:val="fr-CH"/>
        </w:rPr>
        <w:t xml:space="preserve"> aux assignations de fréquence des systèmes à satellites 3ECOM-1 et 3ECOM-3, le Comité a noté ce qui suit:</w:t>
      </w:r>
    </w:p>
    <w:p w14:paraId="1AC33027" w14:textId="2558D9F8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t>•</w:t>
      </w:r>
      <w:r w:rsidRPr="00D66AE0">
        <w:rPr>
          <w:lang w:val="fr-CH"/>
        </w:rPr>
        <w:tab/>
      </w:r>
      <w:r w:rsidR="00C84A7B" w:rsidRPr="00D66AE0">
        <w:rPr>
          <w:lang w:val="fr-CH"/>
        </w:rPr>
        <w:t xml:space="preserve">le délai réglementaire de sept ans applicable aux assignations de fréquence des systèmes à satellites 3ECOM-1 et 3ECOM-3 conformément au numéro </w:t>
      </w:r>
      <w:r w:rsidR="00C84A7B" w:rsidRPr="00D66AE0">
        <w:rPr>
          <w:b/>
          <w:bCs/>
          <w:lang w:val="fr-CH"/>
        </w:rPr>
        <w:t>11.44</w:t>
      </w:r>
      <w:r w:rsidR="00C84A7B" w:rsidRPr="00D66AE0">
        <w:rPr>
          <w:lang w:val="fr-CH"/>
        </w:rPr>
        <w:t xml:space="preserve"> a pris fin avant le</w:t>
      </w:r>
      <w:r w:rsidR="00610EE2" w:rsidRPr="00D66AE0">
        <w:rPr>
          <w:lang w:val="fr-CH"/>
        </w:rPr>
        <w:t> </w:t>
      </w:r>
      <w:r w:rsidR="00C84A7B" w:rsidRPr="00D66AE0">
        <w:rPr>
          <w:lang w:val="fr-CH"/>
        </w:rPr>
        <w:t>28</w:t>
      </w:r>
      <w:r w:rsidR="00610EE2" w:rsidRPr="00D66AE0">
        <w:rPr>
          <w:lang w:val="fr-CH"/>
        </w:rPr>
        <w:t> </w:t>
      </w:r>
      <w:r w:rsidR="00C84A7B" w:rsidRPr="00D66AE0">
        <w:rPr>
          <w:lang w:val="fr-CH"/>
        </w:rPr>
        <w:t>novembre 2022</w:t>
      </w:r>
      <w:r w:rsidRPr="00D66AE0">
        <w:rPr>
          <w:lang w:val="fr-CH"/>
        </w:rPr>
        <w:t>;</w:t>
      </w:r>
    </w:p>
    <w:p w14:paraId="4D1B0948" w14:textId="6DA277F7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t>•</w:t>
      </w:r>
      <w:r w:rsidRPr="00D66AE0">
        <w:rPr>
          <w:lang w:val="fr-CH"/>
        </w:rPr>
        <w:tab/>
      </w:r>
      <w:r w:rsidR="00C84A7B" w:rsidRPr="00D66AE0">
        <w:rPr>
          <w:lang w:val="fr-CH"/>
        </w:rPr>
        <w:t>conformément au § </w:t>
      </w:r>
      <w:r w:rsidRPr="00D66AE0">
        <w:rPr>
          <w:lang w:val="fr-CH"/>
        </w:rPr>
        <w:t xml:space="preserve">2) </w:t>
      </w:r>
      <w:r w:rsidR="00C84A7B" w:rsidRPr="00D66AE0">
        <w:rPr>
          <w:lang w:val="fr-CH"/>
        </w:rPr>
        <w:t>de l'</w:t>
      </w:r>
      <w:r w:rsidRPr="00D66AE0">
        <w:rPr>
          <w:lang w:val="fr-CH"/>
        </w:rPr>
        <w:t>Annex</w:t>
      </w:r>
      <w:r w:rsidR="00C84A7B" w:rsidRPr="00D66AE0">
        <w:rPr>
          <w:lang w:val="fr-CH"/>
        </w:rPr>
        <w:t>e</w:t>
      </w:r>
      <w:r w:rsidRPr="00D66AE0">
        <w:rPr>
          <w:lang w:val="fr-CH"/>
        </w:rPr>
        <w:t xml:space="preserve"> 2 </w:t>
      </w:r>
      <w:r w:rsidR="00C84A7B" w:rsidRPr="00D66AE0">
        <w:rPr>
          <w:lang w:val="fr-CH"/>
        </w:rPr>
        <w:t>de la Résolution</w:t>
      </w:r>
      <w:r w:rsidRPr="00D66AE0">
        <w:rPr>
          <w:lang w:val="fr-CH"/>
        </w:rPr>
        <w:t xml:space="preserve"> </w:t>
      </w:r>
      <w:r w:rsidRPr="00D66AE0">
        <w:rPr>
          <w:b/>
          <w:bCs/>
          <w:lang w:val="fr-CH"/>
        </w:rPr>
        <w:t>35 (</w:t>
      </w:r>
      <w:r w:rsidR="00C84A7B" w:rsidRPr="00D66AE0">
        <w:rPr>
          <w:b/>
          <w:bCs/>
          <w:lang w:val="fr-CH"/>
        </w:rPr>
        <w:t>CMR</w:t>
      </w:r>
      <w:r w:rsidRPr="00D66AE0">
        <w:rPr>
          <w:b/>
          <w:bCs/>
          <w:lang w:val="fr-CH"/>
        </w:rPr>
        <w:t>-19)</w:t>
      </w:r>
      <w:r w:rsidRPr="00D66AE0">
        <w:rPr>
          <w:lang w:val="fr-CH"/>
        </w:rPr>
        <w:t>:</w:t>
      </w:r>
    </w:p>
    <w:p w14:paraId="213FE314" w14:textId="03660F03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t>•</w:t>
      </w:r>
      <w:r w:rsidRPr="00D66AE0">
        <w:rPr>
          <w:lang w:val="fr-CH"/>
        </w:rPr>
        <w:tab/>
      </w:r>
      <w:r w:rsidR="00C84A7B" w:rsidRPr="00D66AE0">
        <w:rPr>
          <w:lang w:val="fr-CH"/>
        </w:rPr>
        <w:t xml:space="preserve">des explications détaillées ont été fournies sur les difficultés </w:t>
      </w:r>
      <w:r w:rsidR="00B15CBD" w:rsidRPr="00D66AE0">
        <w:rPr>
          <w:lang w:val="fr-CH"/>
        </w:rPr>
        <w:t>que l'opérateur a rencontrées et</w:t>
      </w:r>
      <w:r w:rsidR="00C84A7B" w:rsidRPr="00D66AE0">
        <w:rPr>
          <w:lang w:val="fr-CH"/>
        </w:rPr>
        <w:t xml:space="preserve"> qui ont entraîné</w:t>
      </w:r>
      <w:r w:rsidR="00B15CBD" w:rsidRPr="00D66AE0">
        <w:rPr>
          <w:lang w:val="fr-CH"/>
        </w:rPr>
        <w:t>,</w:t>
      </w:r>
      <w:r w:rsidR="00C84A7B" w:rsidRPr="00D66AE0">
        <w:rPr>
          <w:lang w:val="fr-CH"/>
        </w:rPr>
        <w:t xml:space="preserve"> </w:t>
      </w:r>
      <w:r w:rsidR="00B15CBD" w:rsidRPr="00D66AE0">
        <w:rPr>
          <w:lang w:val="fr-CH"/>
        </w:rPr>
        <w:t>pour les systèmes de satellites 3ECOM</w:t>
      </w:r>
      <w:r w:rsidR="00610EE2" w:rsidRPr="00D66AE0">
        <w:rPr>
          <w:lang w:val="fr-CH"/>
        </w:rPr>
        <w:noBreakHyphen/>
      </w:r>
      <w:r w:rsidR="00B15CBD" w:rsidRPr="00D66AE0">
        <w:rPr>
          <w:lang w:val="fr-CH"/>
        </w:rPr>
        <w:t>1 et 3ECOM</w:t>
      </w:r>
      <w:r w:rsidR="00610EE2" w:rsidRPr="00D66AE0">
        <w:rPr>
          <w:lang w:val="fr-CH"/>
        </w:rPr>
        <w:noBreakHyphen/>
      </w:r>
      <w:r w:rsidR="00B15CBD" w:rsidRPr="00D66AE0">
        <w:rPr>
          <w:lang w:val="fr-CH"/>
        </w:rPr>
        <w:t xml:space="preserve">3, </w:t>
      </w:r>
      <w:r w:rsidR="00C84A7B" w:rsidRPr="00D66AE0">
        <w:rPr>
          <w:lang w:val="fr-CH"/>
        </w:rPr>
        <w:t>le non</w:t>
      </w:r>
      <w:r w:rsidR="00610EE2" w:rsidRPr="00D66AE0">
        <w:rPr>
          <w:lang w:val="fr-CH"/>
        </w:rPr>
        <w:noBreakHyphen/>
      </w:r>
      <w:r w:rsidR="00C84A7B" w:rsidRPr="00D66AE0">
        <w:rPr>
          <w:lang w:val="fr-CH"/>
        </w:rPr>
        <w:t xml:space="preserve">respect de la première étape </w:t>
      </w:r>
      <w:r w:rsidR="00B15CBD" w:rsidRPr="00D66AE0">
        <w:rPr>
          <w:lang w:val="fr-CH"/>
        </w:rPr>
        <w:t xml:space="preserve">décrite </w:t>
      </w:r>
      <w:r w:rsidR="001E0B62" w:rsidRPr="00D66AE0">
        <w:rPr>
          <w:lang w:val="fr-CH"/>
        </w:rPr>
        <w:t>au point 11</w:t>
      </w:r>
      <w:r w:rsidR="00B15CBD" w:rsidRPr="00D66AE0">
        <w:rPr>
          <w:lang w:val="fr-CH"/>
        </w:rPr>
        <w:t>a)</w:t>
      </w:r>
      <w:r w:rsidR="001E0B62" w:rsidRPr="00D66AE0">
        <w:rPr>
          <w:lang w:val="fr-CH"/>
        </w:rPr>
        <w:t xml:space="preserve"> du </w:t>
      </w:r>
      <w:r w:rsidR="001E0B62" w:rsidRPr="00D66AE0">
        <w:rPr>
          <w:i/>
          <w:iCs/>
          <w:lang w:val="fr-CH"/>
        </w:rPr>
        <w:t>décide</w:t>
      </w:r>
      <w:r w:rsidR="00B15CBD" w:rsidRPr="00D66AE0">
        <w:rPr>
          <w:lang w:val="fr-CH"/>
        </w:rPr>
        <w:t xml:space="preserve"> de la Résolution</w:t>
      </w:r>
      <w:r w:rsidR="00610EE2" w:rsidRPr="00D66AE0">
        <w:rPr>
          <w:lang w:val="fr-CH"/>
        </w:rPr>
        <w:t> </w:t>
      </w:r>
      <w:r w:rsidR="00B15CBD" w:rsidRPr="00D66AE0">
        <w:rPr>
          <w:b/>
          <w:bCs/>
          <w:lang w:val="fr-CH"/>
        </w:rPr>
        <w:t>35 (CMR-19)</w:t>
      </w:r>
      <w:r w:rsidRPr="00D66AE0">
        <w:rPr>
          <w:lang w:val="fr-CH"/>
        </w:rPr>
        <w:t>;</w:t>
      </w:r>
    </w:p>
    <w:p w14:paraId="2AF73A87" w14:textId="48704C7F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lastRenderedPageBreak/>
        <w:t>•</w:t>
      </w:r>
      <w:r w:rsidRPr="00D66AE0">
        <w:rPr>
          <w:lang w:val="fr-CH"/>
        </w:rPr>
        <w:tab/>
      </w:r>
      <w:r w:rsidR="00B15CBD" w:rsidRPr="00D66AE0">
        <w:rPr>
          <w:lang w:val="fr-CH"/>
        </w:rPr>
        <w:t>une description complète du projet de satellite a été fournie, indiquant les phases de développement et les activités menées jusqu'à présent</w:t>
      </w:r>
      <w:r w:rsidRPr="00D66AE0">
        <w:rPr>
          <w:lang w:val="fr-CH"/>
        </w:rPr>
        <w:t>;</w:t>
      </w:r>
    </w:p>
    <w:p w14:paraId="698D12B9" w14:textId="0672D05E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t>•</w:t>
      </w:r>
      <w:r w:rsidRPr="00D66AE0">
        <w:rPr>
          <w:lang w:val="fr-CH"/>
        </w:rPr>
        <w:tab/>
      </w:r>
      <w:r w:rsidR="00B15CBD" w:rsidRPr="00D66AE0">
        <w:rPr>
          <w:lang w:val="fr-CH"/>
        </w:rPr>
        <w:t>un calendrier de construction et de lancement de la constellation complète a également été fourni</w:t>
      </w:r>
      <w:r w:rsidRPr="00D66AE0">
        <w:rPr>
          <w:lang w:val="fr-CH"/>
        </w:rPr>
        <w:t>;</w:t>
      </w:r>
    </w:p>
    <w:p w14:paraId="6414408F" w14:textId="07BF41B5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t>•</w:t>
      </w:r>
      <w:r w:rsidRPr="00D66AE0">
        <w:rPr>
          <w:lang w:val="fr-CH"/>
        </w:rPr>
        <w:tab/>
      </w:r>
      <w:r w:rsidR="00B15CBD" w:rsidRPr="00D66AE0">
        <w:rPr>
          <w:lang w:val="fr-CH"/>
        </w:rPr>
        <w:t>conformément au § </w:t>
      </w:r>
      <w:r w:rsidRPr="00D66AE0">
        <w:rPr>
          <w:lang w:val="fr-CH"/>
        </w:rPr>
        <w:t xml:space="preserve">3) </w:t>
      </w:r>
      <w:r w:rsidR="00B15CBD" w:rsidRPr="00D66AE0">
        <w:rPr>
          <w:lang w:val="fr-CH"/>
        </w:rPr>
        <w:t>de</w:t>
      </w:r>
      <w:r w:rsidRPr="00D66AE0">
        <w:rPr>
          <w:lang w:val="fr-CH"/>
        </w:rPr>
        <w:t xml:space="preserve"> </w:t>
      </w:r>
      <w:r w:rsidR="00B15CBD" w:rsidRPr="00D66AE0">
        <w:rPr>
          <w:lang w:val="fr-CH"/>
        </w:rPr>
        <w:t>l'</w:t>
      </w:r>
      <w:r w:rsidRPr="00D66AE0">
        <w:rPr>
          <w:lang w:val="fr-CH"/>
        </w:rPr>
        <w:t>Annex</w:t>
      </w:r>
      <w:r w:rsidR="00B15CBD" w:rsidRPr="00D66AE0">
        <w:rPr>
          <w:lang w:val="fr-CH"/>
        </w:rPr>
        <w:t>e</w:t>
      </w:r>
      <w:r w:rsidRPr="00D66AE0">
        <w:rPr>
          <w:lang w:val="fr-CH"/>
        </w:rPr>
        <w:t xml:space="preserve"> 2 </w:t>
      </w:r>
      <w:r w:rsidR="00B15CBD" w:rsidRPr="00D66AE0">
        <w:rPr>
          <w:lang w:val="fr-CH"/>
        </w:rPr>
        <w:t>de la</w:t>
      </w:r>
      <w:r w:rsidRPr="00D66AE0">
        <w:rPr>
          <w:lang w:val="fr-CH"/>
        </w:rPr>
        <w:t xml:space="preserve"> R</w:t>
      </w:r>
      <w:r w:rsidR="00B15CBD" w:rsidRPr="00D66AE0">
        <w:rPr>
          <w:lang w:val="fr-CH"/>
        </w:rPr>
        <w:t>é</w:t>
      </w:r>
      <w:r w:rsidRPr="00D66AE0">
        <w:rPr>
          <w:lang w:val="fr-CH"/>
        </w:rPr>
        <w:t xml:space="preserve">solution </w:t>
      </w:r>
      <w:r w:rsidRPr="00D66AE0">
        <w:rPr>
          <w:b/>
          <w:bCs/>
          <w:lang w:val="fr-CH"/>
        </w:rPr>
        <w:t>35 (</w:t>
      </w:r>
      <w:r w:rsidR="00B15CBD" w:rsidRPr="00D66AE0">
        <w:rPr>
          <w:b/>
          <w:bCs/>
          <w:lang w:val="fr-CH"/>
        </w:rPr>
        <w:t>CMR</w:t>
      </w:r>
      <w:r w:rsidRPr="00D66AE0">
        <w:rPr>
          <w:b/>
          <w:bCs/>
          <w:lang w:val="fr-CH"/>
        </w:rPr>
        <w:t>-19)</w:t>
      </w:r>
      <w:r w:rsidRPr="00D66AE0">
        <w:rPr>
          <w:lang w:val="fr-CH"/>
        </w:rPr>
        <w:t xml:space="preserve">, </w:t>
      </w:r>
      <w:r w:rsidR="00C64777" w:rsidRPr="00D66AE0">
        <w:rPr>
          <w:lang w:val="fr-CH"/>
        </w:rPr>
        <w:t>des efforts</w:t>
      </w:r>
      <w:r w:rsidR="00B15CBD" w:rsidRPr="00D66AE0">
        <w:rPr>
          <w:lang w:val="fr-CH"/>
        </w:rPr>
        <w:t xml:space="preserve"> considérable</w:t>
      </w:r>
      <w:r w:rsidR="00C64777" w:rsidRPr="00D66AE0">
        <w:rPr>
          <w:lang w:val="fr-CH"/>
        </w:rPr>
        <w:t>s</w:t>
      </w:r>
      <w:r w:rsidR="00B15CBD" w:rsidRPr="00D66AE0">
        <w:rPr>
          <w:lang w:val="fr-CH"/>
        </w:rPr>
        <w:t xml:space="preserve"> </w:t>
      </w:r>
      <w:r w:rsidR="00C64777" w:rsidRPr="00D66AE0">
        <w:rPr>
          <w:lang w:val="fr-CH"/>
        </w:rPr>
        <w:t>ont été déployés</w:t>
      </w:r>
      <w:r w:rsidR="00B15CBD" w:rsidRPr="00D66AE0">
        <w:rPr>
          <w:lang w:val="fr-CH"/>
        </w:rPr>
        <w:t xml:space="preserve"> et continue</w:t>
      </w:r>
      <w:r w:rsidR="00C64777" w:rsidRPr="00D66AE0">
        <w:rPr>
          <w:lang w:val="fr-CH"/>
        </w:rPr>
        <w:t>nt</w:t>
      </w:r>
      <w:r w:rsidR="00B15CBD" w:rsidRPr="00D66AE0">
        <w:rPr>
          <w:lang w:val="fr-CH"/>
        </w:rPr>
        <w:t xml:space="preserve"> d</w:t>
      </w:r>
      <w:r w:rsidR="00C64777" w:rsidRPr="00D66AE0">
        <w:rPr>
          <w:lang w:val="fr-CH"/>
        </w:rPr>
        <w:t>e l</w:t>
      </w:r>
      <w:r w:rsidR="00B15CBD" w:rsidRPr="00D66AE0">
        <w:rPr>
          <w:lang w:val="fr-CH"/>
        </w:rPr>
        <w:t>'être pour mener à bien la coordination avec les autres réseaux identifiés</w:t>
      </w:r>
      <w:r w:rsidRPr="00D66AE0">
        <w:rPr>
          <w:lang w:val="fr-CH"/>
        </w:rPr>
        <w:t>;</w:t>
      </w:r>
    </w:p>
    <w:p w14:paraId="77FDA9BA" w14:textId="3F351F24" w:rsidR="003C41FB" w:rsidRPr="00D66AE0" w:rsidRDefault="003C41FB" w:rsidP="00610EE2">
      <w:pPr>
        <w:pStyle w:val="enumlev1"/>
        <w:rPr>
          <w:lang w:val="fr-CH"/>
        </w:rPr>
      </w:pPr>
      <w:r w:rsidRPr="00D66AE0">
        <w:rPr>
          <w:lang w:val="fr-CH"/>
        </w:rPr>
        <w:t>•</w:t>
      </w:r>
      <w:r w:rsidRPr="00D66AE0">
        <w:rPr>
          <w:lang w:val="fr-CH"/>
        </w:rPr>
        <w:tab/>
      </w:r>
      <w:r w:rsidR="00B15CBD" w:rsidRPr="00D66AE0">
        <w:rPr>
          <w:lang w:val="fr-CH"/>
        </w:rPr>
        <w:t>conformément aux § </w:t>
      </w:r>
      <w:r w:rsidRPr="00D66AE0">
        <w:rPr>
          <w:lang w:val="fr-CH"/>
        </w:rPr>
        <w:t xml:space="preserve">4) </w:t>
      </w:r>
      <w:r w:rsidR="00B15CBD" w:rsidRPr="00D66AE0">
        <w:rPr>
          <w:lang w:val="fr-CH"/>
        </w:rPr>
        <w:t>et</w:t>
      </w:r>
      <w:r w:rsidRPr="00D66AE0">
        <w:rPr>
          <w:lang w:val="fr-CH"/>
        </w:rPr>
        <w:t xml:space="preserve"> 5) </w:t>
      </w:r>
      <w:r w:rsidR="00B15CBD" w:rsidRPr="00D66AE0">
        <w:rPr>
          <w:lang w:val="fr-CH"/>
        </w:rPr>
        <w:t xml:space="preserve">de l'Annexe 2 de la Résolution </w:t>
      </w:r>
      <w:r w:rsidRPr="00D66AE0">
        <w:rPr>
          <w:b/>
          <w:bCs/>
          <w:lang w:val="fr-CH"/>
        </w:rPr>
        <w:t>35 (</w:t>
      </w:r>
      <w:r w:rsidR="00B15CBD" w:rsidRPr="00D66AE0">
        <w:rPr>
          <w:b/>
          <w:bCs/>
          <w:lang w:val="fr-CH"/>
        </w:rPr>
        <w:t>CMR</w:t>
      </w:r>
      <w:r w:rsidRPr="00D66AE0">
        <w:rPr>
          <w:b/>
          <w:bCs/>
          <w:lang w:val="fr-CH"/>
        </w:rPr>
        <w:t>-19)</w:t>
      </w:r>
      <w:r w:rsidRPr="00D66AE0">
        <w:rPr>
          <w:lang w:val="fr-CH"/>
        </w:rPr>
        <w:t xml:space="preserve">, </w:t>
      </w:r>
      <w:r w:rsidR="00B15CBD" w:rsidRPr="00D66AE0">
        <w:rPr>
          <w:lang w:val="fr-CH"/>
        </w:rPr>
        <w:t>des é</w:t>
      </w:r>
      <w:r w:rsidRPr="00D66AE0">
        <w:rPr>
          <w:lang w:val="fr-CH"/>
        </w:rPr>
        <w:t xml:space="preserve">léments attestant clairement l'existence d'un accord contraignant relatif à la construction ou à l'achat d'un nombre suffisant de satellites pour remplir l'obligation correspondant à l'étape décrite au point 7b) du </w:t>
      </w:r>
      <w:r w:rsidRPr="00D66AE0">
        <w:rPr>
          <w:i/>
          <w:iCs/>
          <w:lang w:val="fr-CH"/>
        </w:rPr>
        <w:t>décide</w:t>
      </w:r>
      <w:r w:rsidRPr="00D66AE0">
        <w:rPr>
          <w:lang w:val="fr-CH"/>
        </w:rPr>
        <w:t xml:space="preserve"> </w:t>
      </w:r>
      <w:r w:rsidR="00C64777" w:rsidRPr="00D66AE0">
        <w:rPr>
          <w:lang w:val="fr-CH"/>
        </w:rPr>
        <w:t>et des éléments</w:t>
      </w:r>
      <w:r w:rsidRPr="00D66AE0">
        <w:rPr>
          <w:lang w:val="fr-CH"/>
        </w:rPr>
        <w:t xml:space="preserve"> attestant clairement l'existence d'un accord contraignant relatif au lancement d'un nombre suffisant de satellites pour remplir l'obligation correspondant à l'étape décrite au point</w:t>
      </w:r>
      <w:r w:rsidR="00610EE2" w:rsidRPr="00D66AE0">
        <w:rPr>
          <w:lang w:val="fr-CH"/>
        </w:rPr>
        <w:t> </w:t>
      </w:r>
      <w:r w:rsidRPr="00D66AE0">
        <w:rPr>
          <w:lang w:val="fr-CH"/>
        </w:rPr>
        <w:t xml:space="preserve">7b) du </w:t>
      </w:r>
      <w:r w:rsidRPr="00D66AE0">
        <w:rPr>
          <w:i/>
          <w:iCs/>
          <w:lang w:val="fr-CH"/>
        </w:rPr>
        <w:t>décide</w:t>
      </w:r>
      <w:r w:rsidRPr="00D66AE0">
        <w:rPr>
          <w:lang w:val="fr-CH"/>
        </w:rPr>
        <w:t xml:space="preserve"> </w:t>
      </w:r>
      <w:r w:rsidR="00C64777" w:rsidRPr="00D66AE0">
        <w:rPr>
          <w:lang w:val="fr-CH"/>
        </w:rPr>
        <w:t>ont été fournis</w:t>
      </w:r>
      <w:r w:rsidRPr="00D66AE0">
        <w:rPr>
          <w:lang w:val="fr-CH"/>
        </w:rPr>
        <w:t>.</w:t>
      </w:r>
    </w:p>
    <w:p w14:paraId="59654778" w14:textId="1E2868BD" w:rsidR="003C41FB" w:rsidRPr="00D66AE0" w:rsidRDefault="00C64777" w:rsidP="00610EE2">
      <w:pPr>
        <w:rPr>
          <w:lang w:val="fr-CH"/>
        </w:rPr>
      </w:pPr>
      <w:r w:rsidRPr="00D66AE0">
        <w:rPr>
          <w:lang w:val="fr-CH"/>
        </w:rPr>
        <w:t>Le Comité a noté que le calendrier du programme était difficile à respecter</w:t>
      </w:r>
      <w:r w:rsidR="00131AC9">
        <w:rPr>
          <w:lang w:val="fr-CH"/>
        </w:rPr>
        <w:t>, mais que des fonds de réserve</w:t>
      </w:r>
      <w:r w:rsidRPr="00D66AE0">
        <w:rPr>
          <w:lang w:val="fr-CH"/>
        </w:rPr>
        <w:t xml:space="preserve"> avaient été prévus pour atténuer les risques, et qu'un financement avait été obtenu auprès de la société mère pour la mise en œuvre du projet.</w:t>
      </w:r>
    </w:p>
    <w:p w14:paraId="048E5312" w14:textId="0DC2652B" w:rsidR="003C41FB" w:rsidRDefault="00C64777" w:rsidP="00610EE2">
      <w:pPr>
        <w:rPr>
          <w:lang w:val="fr-CH"/>
        </w:rPr>
      </w:pPr>
      <w:r w:rsidRPr="00D66AE0">
        <w:rPr>
          <w:lang w:val="fr-CH"/>
        </w:rPr>
        <w:t>Par conséquent, le Comité a conclu que l'Administration du Liechtenstein avait respecté les conditions requises, puisqu'elle avait fourni tous les renseignements dont la liste figure dans l'Annexe</w:t>
      </w:r>
      <w:r w:rsidR="00610EE2" w:rsidRPr="00D66AE0">
        <w:rPr>
          <w:lang w:val="fr-CH"/>
        </w:rPr>
        <w:t> </w:t>
      </w:r>
      <w:r w:rsidRPr="00D66AE0">
        <w:rPr>
          <w:lang w:val="fr-CH"/>
        </w:rPr>
        <w:t xml:space="preserve">2 de la Résolution </w:t>
      </w:r>
      <w:r w:rsidRPr="00D66AE0">
        <w:rPr>
          <w:b/>
          <w:bCs/>
          <w:lang w:val="fr-CH"/>
        </w:rPr>
        <w:t>35 (CMR-19)</w:t>
      </w:r>
      <w:r w:rsidRPr="00D66AE0">
        <w:rPr>
          <w:lang w:val="fr-CH"/>
        </w:rPr>
        <w:t xml:space="preserve"> qui sont nécessaire</w:t>
      </w:r>
      <w:r w:rsidR="00131AC9">
        <w:rPr>
          <w:lang w:val="fr-CH"/>
        </w:rPr>
        <w:t>s</w:t>
      </w:r>
      <w:r w:rsidRPr="00D66AE0">
        <w:rPr>
          <w:lang w:val="fr-CH"/>
        </w:rPr>
        <w:t xml:space="preserve"> pour démontrer qu'un plan crédible est en place afin de respecter la deuxième étape, et a décidé d'accéder à la demande de l'Administration du Liechtenstein en adoptant une décision favorable au titre du point 12 du </w:t>
      </w:r>
      <w:r w:rsidRPr="00D66AE0">
        <w:rPr>
          <w:i/>
          <w:iCs/>
          <w:lang w:val="fr-CH"/>
        </w:rPr>
        <w:t>décide</w:t>
      </w:r>
      <w:r w:rsidRPr="00D66AE0">
        <w:rPr>
          <w:lang w:val="fr-CH"/>
        </w:rPr>
        <w:t xml:space="preserve"> de la Résolution </w:t>
      </w:r>
      <w:r w:rsidRPr="00D66AE0">
        <w:rPr>
          <w:b/>
          <w:bCs/>
          <w:lang w:val="fr-CH"/>
        </w:rPr>
        <w:t>35 (CMR-19)</w:t>
      </w:r>
      <w:r w:rsidR="00F2643F" w:rsidRPr="00D66AE0">
        <w:rPr>
          <w:lang w:val="fr-CH"/>
        </w:rPr>
        <w:t>.</w:t>
      </w:r>
    </w:p>
    <w:p w14:paraId="75AFCCF4" w14:textId="77777777" w:rsidR="00131AC9" w:rsidRPr="00D66AE0" w:rsidRDefault="00131AC9" w:rsidP="00610EE2">
      <w:pPr>
        <w:rPr>
          <w:lang w:val="fr-CH"/>
        </w:rPr>
      </w:pPr>
    </w:p>
    <w:p w14:paraId="74F0F7E1" w14:textId="524D4719" w:rsidR="003C41FB" w:rsidRPr="00D66AE0" w:rsidRDefault="003C41FB" w:rsidP="00610EE2">
      <w:pPr>
        <w:jc w:val="center"/>
        <w:rPr>
          <w:lang w:val="fr-CH"/>
        </w:rPr>
      </w:pPr>
      <w:r w:rsidRPr="00D66AE0">
        <w:rPr>
          <w:lang w:val="fr-CH"/>
        </w:rPr>
        <w:t>______________</w:t>
      </w:r>
    </w:p>
    <w:sectPr w:rsidR="003C41FB" w:rsidRPr="00D66AE0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C227E" w14:textId="77777777" w:rsidR="009C314B" w:rsidRDefault="009C314B">
      <w:r>
        <w:separator/>
      </w:r>
    </w:p>
  </w:endnote>
  <w:endnote w:type="continuationSeparator" w:id="0">
    <w:p w14:paraId="7A3EDDA8" w14:textId="77777777" w:rsidR="009C314B" w:rsidRDefault="009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59D8" w14:textId="16AB874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0EE2">
      <w:rPr>
        <w:noProof/>
        <w:lang w:val="en-US"/>
      </w:rPr>
      <w:t>P:\FRA\ITU-R\CONF-R\CMR23\000\049F.docx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1AC9">
      <w:rPr>
        <w:noProof/>
      </w:rPr>
      <w:t>14.07.23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0EE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_Hlk139991399"/>
  <w:p w14:paraId="53128B46" w14:textId="40C5BDC7" w:rsidR="00936D25" w:rsidRDefault="003C41FB" w:rsidP="003C41FB">
    <w:pPr>
      <w:pStyle w:val="Footer"/>
      <w:rPr>
        <w:lang w:val="en-US"/>
      </w:rPr>
    </w:pPr>
    <w:r w:rsidRPr="003C41FB">
      <w:rPr>
        <w:lang w:val="en-US"/>
      </w:rPr>
      <w:fldChar w:fldCharType="begin"/>
    </w:r>
    <w:r w:rsidRPr="003C41FB">
      <w:rPr>
        <w:lang w:val="en-US"/>
      </w:rPr>
      <w:instrText xml:space="preserve"> FILENAME \p  \* MERGEFORMAT </w:instrText>
    </w:r>
    <w:r w:rsidRPr="003C41FB">
      <w:rPr>
        <w:lang w:val="en-US"/>
      </w:rPr>
      <w:fldChar w:fldCharType="separate"/>
    </w:r>
    <w:r w:rsidR="00610EE2">
      <w:rPr>
        <w:lang w:val="en-US"/>
      </w:rPr>
      <w:t>P:\FRA\ITU-R\CONF-R\CMR23\000\049F.docx</w:t>
    </w:r>
    <w:r w:rsidRPr="003C41FB">
      <w:rPr>
        <w:lang w:val="en-US"/>
      </w:rPr>
      <w:fldChar w:fldCharType="end"/>
    </w:r>
    <w:r w:rsidRPr="003C41FB">
      <w:rPr>
        <w:lang w:val="en-US"/>
      </w:rPr>
      <w:t xml:space="preserve"> (</w:t>
    </w:r>
    <w:r>
      <w:rPr>
        <w:lang w:val="en-US"/>
      </w:rPr>
      <w:t>525845</w:t>
    </w:r>
    <w:r w:rsidRPr="003C41FB">
      <w:rPr>
        <w:lang w:val="en-US"/>
      </w:rPr>
      <w:t>)</w:t>
    </w:r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3473" w14:textId="35C0FBDD" w:rsidR="00936D25" w:rsidRPr="00131AC9" w:rsidRDefault="00522C38" w:rsidP="003C41FB">
    <w:pPr>
      <w:pStyle w:val="Footer"/>
      <w:rPr>
        <w:lang w:val="en-US"/>
      </w:rPr>
    </w:pPr>
    <w:r>
      <w:fldChar w:fldCharType="begin"/>
    </w:r>
    <w:r w:rsidRPr="00131AC9">
      <w:rPr>
        <w:lang w:val="en-US"/>
      </w:rPr>
      <w:instrText xml:space="preserve"> FILENAME \p  \* MERGEFORMAT </w:instrText>
    </w:r>
    <w:r>
      <w:fldChar w:fldCharType="separate"/>
    </w:r>
    <w:r w:rsidR="00610EE2" w:rsidRPr="00131AC9">
      <w:rPr>
        <w:lang w:val="en-US"/>
      </w:rPr>
      <w:t>P:\FRA\ITU-R\CONF-R\CMR23\000\049F.docx</w:t>
    </w:r>
    <w:r>
      <w:fldChar w:fldCharType="end"/>
    </w:r>
    <w:r w:rsidR="003C41FB" w:rsidRPr="00131AC9">
      <w:rPr>
        <w:lang w:val="en-US"/>
      </w:rPr>
      <w:t xml:space="preserve"> (525845)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68A8" w14:textId="77777777" w:rsidR="009C314B" w:rsidRDefault="009C314B">
      <w:r>
        <w:rPr>
          <w:b/>
        </w:rPr>
        <w:t>_______________</w:t>
      </w:r>
    </w:p>
  </w:footnote>
  <w:footnote w:type="continuationSeparator" w:id="0">
    <w:p w14:paraId="544F6056" w14:textId="77777777" w:rsidR="009C314B" w:rsidRDefault="009C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C375F" w14:textId="197E490B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22C38">
      <w:rPr>
        <w:noProof/>
      </w:rPr>
      <w:t>3</w:t>
    </w:r>
    <w:r>
      <w:fldChar w:fldCharType="end"/>
    </w:r>
  </w:p>
  <w:p w14:paraId="2BF51E2A" w14:textId="0014632E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3C41FB">
      <w:t>49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4B"/>
    <w:rsid w:val="00001D82"/>
    <w:rsid w:val="00016648"/>
    <w:rsid w:val="00027D02"/>
    <w:rsid w:val="0003522F"/>
    <w:rsid w:val="00080E2C"/>
    <w:rsid w:val="000869CD"/>
    <w:rsid w:val="000A4755"/>
    <w:rsid w:val="000B2E0C"/>
    <w:rsid w:val="000B3D0C"/>
    <w:rsid w:val="001167B9"/>
    <w:rsid w:val="001267A0"/>
    <w:rsid w:val="00131AC9"/>
    <w:rsid w:val="00134655"/>
    <w:rsid w:val="00160C64"/>
    <w:rsid w:val="00177AF5"/>
    <w:rsid w:val="0018162C"/>
    <w:rsid w:val="0019352B"/>
    <w:rsid w:val="001960D0"/>
    <w:rsid w:val="001E0B62"/>
    <w:rsid w:val="00232FD2"/>
    <w:rsid w:val="002731B1"/>
    <w:rsid w:val="002A4622"/>
    <w:rsid w:val="002B17E5"/>
    <w:rsid w:val="002C0EBF"/>
    <w:rsid w:val="002C5FCD"/>
    <w:rsid w:val="00315415"/>
    <w:rsid w:val="00315AFE"/>
    <w:rsid w:val="003606A6"/>
    <w:rsid w:val="0036650C"/>
    <w:rsid w:val="003A583E"/>
    <w:rsid w:val="003C41FB"/>
    <w:rsid w:val="003E112B"/>
    <w:rsid w:val="003E5E3D"/>
    <w:rsid w:val="00416F68"/>
    <w:rsid w:val="00457428"/>
    <w:rsid w:val="00466211"/>
    <w:rsid w:val="004D01FC"/>
    <w:rsid w:val="004E28C3"/>
    <w:rsid w:val="004F1F8E"/>
    <w:rsid w:val="00522C38"/>
    <w:rsid w:val="00584FF8"/>
    <w:rsid w:val="00586CF2"/>
    <w:rsid w:val="00587A4E"/>
    <w:rsid w:val="005C3768"/>
    <w:rsid w:val="005C6C3F"/>
    <w:rsid w:val="00610EE2"/>
    <w:rsid w:val="00613635"/>
    <w:rsid w:val="0062093D"/>
    <w:rsid w:val="00637ECF"/>
    <w:rsid w:val="00647B59"/>
    <w:rsid w:val="00654E39"/>
    <w:rsid w:val="006D69E5"/>
    <w:rsid w:val="006F7F9D"/>
    <w:rsid w:val="00701BAE"/>
    <w:rsid w:val="00730E95"/>
    <w:rsid w:val="00774362"/>
    <w:rsid w:val="007A04E8"/>
    <w:rsid w:val="0084553F"/>
    <w:rsid w:val="008A3120"/>
    <w:rsid w:val="008C000E"/>
    <w:rsid w:val="008D41BE"/>
    <w:rsid w:val="008D58D3"/>
    <w:rsid w:val="008D6821"/>
    <w:rsid w:val="00923064"/>
    <w:rsid w:val="00936D25"/>
    <w:rsid w:val="00941EA5"/>
    <w:rsid w:val="00966C16"/>
    <w:rsid w:val="009765A8"/>
    <w:rsid w:val="0098732F"/>
    <w:rsid w:val="009C314B"/>
    <w:rsid w:val="009C7E7C"/>
    <w:rsid w:val="00A00473"/>
    <w:rsid w:val="00A03C9B"/>
    <w:rsid w:val="00A606C3"/>
    <w:rsid w:val="00A83B09"/>
    <w:rsid w:val="00A84541"/>
    <w:rsid w:val="00AE36A0"/>
    <w:rsid w:val="00B00294"/>
    <w:rsid w:val="00B15CBD"/>
    <w:rsid w:val="00B23EDF"/>
    <w:rsid w:val="00B64FD0"/>
    <w:rsid w:val="00BF26E7"/>
    <w:rsid w:val="00C01C69"/>
    <w:rsid w:val="00C64777"/>
    <w:rsid w:val="00C814B9"/>
    <w:rsid w:val="00C84A7B"/>
    <w:rsid w:val="00CD3928"/>
    <w:rsid w:val="00CD516F"/>
    <w:rsid w:val="00CE2C8D"/>
    <w:rsid w:val="00CE6A1C"/>
    <w:rsid w:val="00D018D6"/>
    <w:rsid w:val="00D119A7"/>
    <w:rsid w:val="00D25FBA"/>
    <w:rsid w:val="00D66AE0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20681"/>
    <w:rsid w:val="00F2643F"/>
    <w:rsid w:val="00F35080"/>
    <w:rsid w:val="00F372DE"/>
    <w:rsid w:val="00F4031E"/>
    <w:rsid w:val="00F408E3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65C4ACD"/>
  <w15:docId w15:val="{93AF44BD-A496-4675-8DBE-E98919B7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23</TotalTime>
  <Pages>3</Pages>
  <Words>867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Froehly, Mathilde</dc:creator>
  <cp:keywords>WRC-23</cp:keywords>
  <cp:lastModifiedBy>Royer, Veronique</cp:lastModifiedBy>
  <cp:revision>6</cp:revision>
  <cp:lastPrinted>2003-06-05T19:34:00Z</cp:lastPrinted>
  <dcterms:created xsi:type="dcterms:W3CDTF">2023-07-14T11:32:00Z</dcterms:created>
  <dcterms:modified xsi:type="dcterms:W3CDTF">2023-07-14T11:59:00Z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