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33B2C" w14:paraId="3B6439EB" w14:textId="77777777" w:rsidTr="00C1305F">
        <w:trPr>
          <w:cantSplit/>
        </w:trPr>
        <w:tc>
          <w:tcPr>
            <w:tcW w:w="1418" w:type="dxa"/>
            <w:vAlign w:val="center"/>
          </w:tcPr>
          <w:p w14:paraId="59F06C2A" w14:textId="77777777" w:rsidR="00C1305F" w:rsidRPr="00233B2C" w:rsidRDefault="00C1305F" w:rsidP="00C040F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33B2C">
              <w:drawing>
                <wp:inline distT="0" distB="0" distL="0" distR="0" wp14:anchorId="013F62D9" wp14:editId="77BFC86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7727A45" w14:textId="6989C280" w:rsidR="00C1305F" w:rsidRPr="00233B2C" w:rsidRDefault="00C1305F" w:rsidP="00C040F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233B2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33B2C">
              <w:rPr>
                <w:rFonts w:ascii="Verdana" w:hAnsi="Verdana"/>
                <w:b/>
                <w:bCs/>
                <w:sz w:val="20"/>
              </w:rPr>
              <w:br/>
            </w:r>
            <w:r w:rsidRPr="00233B2C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96BD7" w:rsidRPr="00233B2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33B2C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DC9A24C" w14:textId="77777777" w:rsidR="00C1305F" w:rsidRPr="00233B2C" w:rsidRDefault="00C1305F" w:rsidP="00C040FC">
            <w:pPr>
              <w:spacing w:before="0"/>
            </w:pPr>
            <w:bookmarkStart w:id="0" w:name="ditulogo"/>
            <w:bookmarkEnd w:id="0"/>
            <w:r w:rsidRPr="00233B2C">
              <w:drawing>
                <wp:inline distT="0" distB="0" distL="0" distR="0" wp14:anchorId="13789A71" wp14:editId="14C9A52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33B2C" w14:paraId="44A3100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F0EAD0A" w14:textId="77777777" w:rsidR="00BB1D82" w:rsidRPr="00233B2C" w:rsidRDefault="00BB1D82" w:rsidP="00C040F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11102BE" w14:textId="77777777" w:rsidR="00BB1D82" w:rsidRPr="00233B2C" w:rsidRDefault="00BB1D82" w:rsidP="00C040F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233B2C" w14:paraId="10154C70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EAA0687" w14:textId="77777777" w:rsidR="00BB1D82" w:rsidRPr="00233B2C" w:rsidRDefault="00BB1D82" w:rsidP="00C040F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C92ECE" w14:textId="77777777" w:rsidR="00BB1D82" w:rsidRPr="00233B2C" w:rsidRDefault="00BB1D82" w:rsidP="00C040F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233B2C" w14:paraId="566B6050" w14:textId="77777777" w:rsidTr="00BB1D82">
        <w:trPr>
          <w:cantSplit/>
        </w:trPr>
        <w:tc>
          <w:tcPr>
            <w:tcW w:w="6911" w:type="dxa"/>
            <w:gridSpan w:val="2"/>
          </w:tcPr>
          <w:p w14:paraId="1C220FA0" w14:textId="77777777" w:rsidR="00BB1D82" w:rsidRPr="00233B2C" w:rsidRDefault="006D4724" w:rsidP="00C040F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3B2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1BE23AC" w14:textId="77777777" w:rsidR="00BB1D82" w:rsidRPr="00233B2C" w:rsidRDefault="006D4724" w:rsidP="00C040FC">
            <w:pPr>
              <w:spacing w:before="0"/>
              <w:rPr>
                <w:rFonts w:ascii="Verdana" w:hAnsi="Verdana"/>
                <w:sz w:val="20"/>
              </w:rPr>
            </w:pPr>
            <w:r w:rsidRPr="00233B2C">
              <w:rPr>
                <w:rFonts w:ascii="Verdana" w:hAnsi="Verdana"/>
                <w:b/>
                <w:sz w:val="20"/>
              </w:rPr>
              <w:t>Document 48</w:t>
            </w:r>
            <w:r w:rsidR="00BB1D82" w:rsidRPr="00233B2C">
              <w:rPr>
                <w:rFonts w:ascii="Verdana" w:hAnsi="Verdana"/>
                <w:b/>
                <w:sz w:val="20"/>
              </w:rPr>
              <w:t>-</w:t>
            </w:r>
            <w:r w:rsidRPr="00233B2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33B2C" w14:paraId="4BAD60A1" w14:textId="77777777" w:rsidTr="00BB1D82">
        <w:trPr>
          <w:cantSplit/>
        </w:trPr>
        <w:tc>
          <w:tcPr>
            <w:tcW w:w="6911" w:type="dxa"/>
            <w:gridSpan w:val="2"/>
          </w:tcPr>
          <w:p w14:paraId="705ACD4D" w14:textId="77777777" w:rsidR="00690C7B" w:rsidRPr="00233B2C" w:rsidRDefault="00690C7B" w:rsidP="00C040F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68306EB" w14:textId="77777777" w:rsidR="00690C7B" w:rsidRPr="00233B2C" w:rsidRDefault="00690C7B" w:rsidP="00C040F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3B2C">
              <w:rPr>
                <w:rFonts w:ascii="Verdana" w:hAnsi="Verdana"/>
                <w:b/>
                <w:sz w:val="20"/>
              </w:rPr>
              <w:t>7 juillet 2023</w:t>
            </w:r>
          </w:p>
        </w:tc>
      </w:tr>
      <w:tr w:rsidR="00690C7B" w:rsidRPr="00233B2C" w14:paraId="0A676218" w14:textId="77777777" w:rsidTr="00BB1D82">
        <w:trPr>
          <w:cantSplit/>
        </w:trPr>
        <w:tc>
          <w:tcPr>
            <w:tcW w:w="6911" w:type="dxa"/>
            <w:gridSpan w:val="2"/>
          </w:tcPr>
          <w:p w14:paraId="5560D29C" w14:textId="77777777" w:rsidR="00690C7B" w:rsidRPr="00233B2C" w:rsidRDefault="00690C7B" w:rsidP="00C040F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E7C8781" w14:textId="77777777" w:rsidR="00690C7B" w:rsidRPr="00233B2C" w:rsidRDefault="00690C7B" w:rsidP="00C040F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3B2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33B2C" w14:paraId="760D7202" w14:textId="77777777" w:rsidTr="00C11970">
        <w:trPr>
          <w:cantSplit/>
        </w:trPr>
        <w:tc>
          <w:tcPr>
            <w:tcW w:w="10031" w:type="dxa"/>
            <w:gridSpan w:val="4"/>
          </w:tcPr>
          <w:p w14:paraId="3B2ADA82" w14:textId="77777777" w:rsidR="00690C7B" w:rsidRPr="00233B2C" w:rsidRDefault="00690C7B" w:rsidP="00C040F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33B2C" w14:paraId="128FEB06" w14:textId="77777777" w:rsidTr="0050008E">
        <w:trPr>
          <w:cantSplit/>
        </w:trPr>
        <w:tc>
          <w:tcPr>
            <w:tcW w:w="10031" w:type="dxa"/>
            <w:gridSpan w:val="4"/>
          </w:tcPr>
          <w:p w14:paraId="7CDBAD2F" w14:textId="77777777" w:rsidR="00690C7B" w:rsidRPr="00233B2C" w:rsidRDefault="00690C7B" w:rsidP="00C040FC">
            <w:pPr>
              <w:pStyle w:val="Source"/>
            </w:pPr>
            <w:bookmarkStart w:id="2" w:name="dsource" w:colFirst="0" w:colLast="0"/>
            <w:r w:rsidRPr="00233B2C">
              <w:t>Monténégro</w:t>
            </w:r>
          </w:p>
        </w:tc>
      </w:tr>
      <w:tr w:rsidR="00690C7B" w:rsidRPr="00233B2C" w14:paraId="1D144DA7" w14:textId="77777777" w:rsidTr="0050008E">
        <w:trPr>
          <w:cantSplit/>
        </w:trPr>
        <w:tc>
          <w:tcPr>
            <w:tcW w:w="10031" w:type="dxa"/>
            <w:gridSpan w:val="4"/>
          </w:tcPr>
          <w:p w14:paraId="3637FDE7" w14:textId="3BEB01DC" w:rsidR="00690C7B" w:rsidRPr="00233B2C" w:rsidRDefault="00EF0987" w:rsidP="00C040FC">
            <w:pPr>
              <w:pStyle w:val="Title1"/>
            </w:pPr>
            <w:bookmarkStart w:id="3" w:name="dtitle1" w:colFirst="0" w:colLast="0"/>
            <w:bookmarkEnd w:id="2"/>
            <w:r w:rsidRPr="00233B2C">
              <w:t>PROPOSITIONS POUR LES TRAVAUX DE LA CONFÉRENCE</w:t>
            </w:r>
          </w:p>
        </w:tc>
      </w:tr>
      <w:tr w:rsidR="00690C7B" w:rsidRPr="00233B2C" w14:paraId="58DE4513" w14:textId="77777777" w:rsidTr="0050008E">
        <w:trPr>
          <w:cantSplit/>
        </w:trPr>
        <w:tc>
          <w:tcPr>
            <w:tcW w:w="10031" w:type="dxa"/>
            <w:gridSpan w:val="4"/>
          </w:tcPr>
          <w:p w14:paraId="2EF3C521" w14:textId="0C450200" w:rsidR="00690C7B" w:rsidRPr="00233B2C" w:rsidRDefault="0056294C" w:rsidP="00C040FC">
            <w:pPr>
              <w:pStyle w:val="Title2"/>
            </w:pPr>
            <w:bookmarkStart w:id="4" w:name="dtitle2" w:colFirst="0" w:colLast="0"/>
            <w:bookmarkEnd w:id="3"/>
            <w:r w:rsidRPr="00233B2C">
              <w:t>Inclusion dans le plan du SFS</w:t>
            </w:r>
            <w:r w:rsidR="00690C7B" w:rsidRPr="00233B2C">
              <w:t xml:space="preserve"> (APPENDI</w:t>
            </w:r>
            <w:r w:rsidRPr="00233B2C">
              <w:t xml:space="preserve">CE </w:t>
            </w:r>
            <w:r w:rsidR="00690C7B" w:rsidRPr="00233B2C">
              <w:t xml:space="preserve">30B) </w:t>
            </w:r>
            <w:r w:rsidRPr="00233B2C">
              <w:t xml:space="preserve">d'un nouvel allotissement </w:t>
            </w:r>
            <w:r w:rsidR="00D91F60" w:rsidRPr="00233B2C">
              <w:t xml:space="preserve">à la suite de l'application de la procédure </w:t>
            </w:r>
            <w:r w:rsidRPr="00233B2C">
              <w:t xml:space="preserve">établie dans l'article 6 de l'appendice 30B mise en </w:t>
            </w:r>
            <w:r w:rsidR="00404040" w:rsidRPr="00233B2C">
              <w:t>œ</w:t>
            </w:r>
            <w:r w:rsidRPr="00233B2C">
              <w:t xml:space="preserve">uvre </w:t>
            </w:r>
            <w:r w:rsidR="00404040" w:rsidRPr="00233B2C">
              <w:br/>
            </w:r>
            <w:r w:rsidRPr="00233B2C">
              <w:t xml:space="preserve">avec succès en ce qui concerne les assignations </w:t>
            </w:r>
            <w:r w:rsidR="00404040" w:rsidRPr="00233B2C">
              <w:br/>
            </w:r>
            <w:r w:rsidRPr="00233B2C">
              <w:t xml:space="preserve">figurant dans la liste, conformément au </w:t>
            </w:r>
            <w:r w:rsidR="00690C7B" w:rsidRPr="00233B2C">
              <w:t xml:space="preserve">§ 6.35 </w:t>
            </w:r>
            <w:r w:rsidR="00404040" w:rsidRPr="00233B2C">
              <w:br/>
            </w:r>
            <w:r w:rsidRPr="00233B2C">
              <w:t>de l'</w:t>
            </w:r>
            <w:r w:rsidR="00690C7B" w:rsidRPr="00233B2C">
              <w:t xml:space="preserve">ARTICLE 6 </w:t>
            </w:r>
            <w:r w:rsidRPr="00233B2C">
              <w:t>de l'</w:t>
            </w:r>
            <w:r w:rsidR="00690C7B" w:rsidRPr="00233B2C">
              <w:t>APPENDI</w:t>
            </w:r>
            <w:r w:rsidRPr="00233B2C">
              <w:t xml:space="preserve">ce </w:t>
            </w:r>
            <w:r w:rsidR="00690C7B" w:rsidRPr="00233B2C">
              <w:t>30B</w:t>
            </w:r>
          </w:p>
        </w:tc>
      </w:tr>
      <w:tr w:rsidR="00690C7B" w:rsidRPr="00233B2C" w14:paraId="1FEED3FD" w14:textId="77777777" w:rsidTr="0050008E">
        <w:trPr>
          <w:cantSplit/>
        </w:trPr>
        <w:tc>
          <w:tcPr>
            <w:tcW w:w="10031" w:type="dxa"/>
            <w:gridSpan w:val="4"/>
          </w:tcPr>
          <w:p w14:paraId="620CCBAF" w14:textId="77777777" w:rsidR="00690C7B" w:rsidRPr="00233B2C" w:rsidRDefault="00690C7B" w:rsidP="00C040FC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233B2C">
              <w:rPr>
                <w:lang w:val="fr-FR"/>
              </w:rPr>
              <w:t>Point 9.2 de l'ordre du jour</w:t>
            </w:r>
          </w:p>
        </w:tc>
      </w:tr>
    </w:tbl>
    <w:bookmarkEnd w:id="5"/>
    <w:p w14:paraId="28475B77" w14:textId="77777777" w:rsidR="00F5133A" w:rsidRPr="00233B2C" w:rsidRDefault="00BC4C44" w:rsidP="00C040FC">
      <w:r w:rsidRPr="00233B2C">
        <w:t>9</w:t>
      </w:r>
      <w:r w:rsidRPr="00233B2C">
        <w:tab/>
        <w:t>examiner et approuver le rapport du Directeur du Bureau des radiocommunications, conformément à l'article 7 de la Convention de l'UIT:</w:t>
      </w:r>
    </w:p>
    <w:p w14:paraId="548CB3CE" w14:textId="77777777" w:rsidR="00F5133A" w:rsidRPr="00233B2C" w:rsidRDefault="00BC4C44" w:rsidP="00C040FC">
      <w:r w:rsidRPr="00233B2C">
        <w:t>9.2</w:t>
      </w:r>
      <w:r w:rsidRPr="00233B2C">
        <w:tab/>
        <w:t>sur les difficultés rencontrées ou les incohérences constatées dans l'application du Règlement des radiocommunications</w:t>
      </w:r>
      <w:r w:rsidRPr="00233B2C">
        <w:rPr>
          <w:rStyle w:val="FootnoteReference"/>
        </w:rPr>
        <w:footnoteReference w:customMarkFollows="1" w:id="1"/>
        <w:t>1</w:t>
      </w:r>
      <w:r w:rsidRPr="00233B2C">
        <w:t>; et</w:t>
      </w:r>
    </w:p>
    <w:p w14:paraId="4B9477A6" w14:textId="77777777" w:rsidR="00EF0987" w:rsidRPr="00233B2C" w:rsidRDefault="00EF0987" w:rsidP="00404040">
      <w:pPr>
        <w:pStyle w:val="Headingb"/>
        <w:spacing w:before="360"/>
      </w:pPr>
      <w:r w:rsidRPr="00233B2C">
        <w:t>Introduction</w:t>
      </w:r>
    </w:p>
    <w:p w14:paraId="498BBE9C" w14:textId="712445F2" w:rsidR="00922FDD" w:rsidRPr="00233B2C" w:rsidRDefault="00922FDD" w:rsidP="00C040FC">
      <w:r w:rsidRPr="00233B2C">
        <w:t>L'Administration du Monténégro, qui est</w:t>
      </w:r>
      <w:r w:rsidR="002361A0" w:rsidRPr="00233B2C">
        <w:t xml:space="preserve"> devenu</w:t>
      </w:r>
      <w:r w:rsidRPr="00233B2C">
        <w:t>e</w:t>
      </w:r>
      <w:r w:rsidR="002361A0" w:rsidRPr="00233B2C">
        <w:t xml:space="preserve"> </w:t>
      </w:r>
      <w:r w:rsidRPr="00233B2C">
        <w:t>un É</w:t>
      </w:r>
      <w:r w:rsidR="002361A0" w:rsidRPr="00233B2C">
        <w:t xml:space="preserve">tat Membre de </w:t>
      </w:r>
      <w:r w:rsidRPr="00233B2C">
        <w:t>l'Union le 21 juin 2006 et ne dispose pas</w:t>
      </w:r>
      <w:r w:rsidR="002361A0" w:rsidRPr="00233B2C">
        <w:t xml:space="preserve"> d'allotissement national dans le Plan ni d'assignation dans la Liste découlant de la conversion d'un allotissement, </w:t>
      </w:r>
      <w:r w:rsidRPr="00233B2C">
        <w:t xml:space="preserve">a mené à bien la procédure applicable pour inscrire de nouvelles assignations dans la Liste et obtenir un accès équitable à l'orbite des satellites géostationnaires dans les bandes de fréquences du service fixe par satellite relevant de l'Article 6 de l'Appendice </w:t>
      </w:r>
      <w:r w:rsidRPr="00233B2C">
        <w:rPr>
          <w:b/>
          <w:bCs/>
        </w:rPr>
        <w:t>30B</w:t>
      </w:r>
      <w:r w:rsidRPr="00233B2C">
        <w:t xml:space="preserve"> du Règlement des radiocommunications.</w:t>
      </w:r>
    </w:p>
    <w:p w14:paraId="14FF07CF" w14:textId="5EAC1E34" w:rsidR="00922FDD" w:rsidRPr="00233B2C" w:rsidRDefault="00922FDD" w:rsidP="00404040">
      <w:pPr>
        <w:keepLines/>
      </w:pPr>
      <w:r w:rsidRPr="00233B2C">
        <w:lastRenderedPageBreak/>
        <w:t xml:space="preserve">Les renseignements techniques pertinents ont été fournis au Bureau par l'Administration du Monténégro au titre de l'Article 7 de l'Appendice </w:t>
      </w:r>
      <w:r w:rsidRPr="00233B2C">
        <w:rPr>
          <w:b/>
          <w:bCs/>
        </w:rPr>
        <w:t>30B</w:t>
      </w:r>
      <w:r w:rsidRPr="00233B2C">
        <w:t>. Par la suite, ils ont été traités conformément au §</w:t>
      </w:r>
      <w:r w:rsidR="00404040" w:rsidRPr="00233B2C">
        <w:t> </w:t>
      </w:r>
      <w:r w:rsidRPr="00233B2C">
        <w:t xml:space="preserve">6.1 de l'Article 6 de l'Appendice </w:t>
      </w:r>
      <w:r w:rsidRPr="00233B2C">
        <w:rPr>
          <w:b/>
          <w:bCs/>
        </w:rPr>
        <w:t>30B</w:t>
      </w:r>
      <w:r w:rsidRPr="00233B2C">
        <w:t xml:space="preserve"> et publiés dans la Section spéciale </w:t>
      </w:r>
      <w:r w:rsidR="005365F8" w:rsidRPr="00233B2C">
        <w:t xml:space="preserve">AP30B/A6A/243 </w:t>
      </w:r>
      <w:r w:rsidR="00BE2E01" w:rsidRPr="00233B2C">
        <w:t>annexée à la BR IFIC 2742 du 16 avril 2013.</w:t>
      </w:r>
    </w:p>
    <w:p w14:paraId="34DABBEE" w14:textId="7ADB9244" w:rsidR="003A583E" w:rsidRPr="00233B2C" w:rsidRDefault="00696BD7" w:rsidP="00C040FC">
      <w:r w:rsidRPr="00233B2C">
        <w:t xml:space="preserve">À la suite de l'application réussie de la procédure spéciale </w:t>
      </w:r>
      <w:r w:rsidR="00BE2E01" w:rsidRPr="00233B2C">
        <w:t xml:space="preserve">établie dans l'Article 6 </w:t>
      </w:r>
      <w:r w:rsidRPr="00233B2C">
        <w:t xml:space="preserve">par l'Administration </w:t>
      </w:r>
      <w:r w:rsidR="00BE2E01" w:rsidRPr="00233B2C">
        <w:t>du Monténégro</w:t>
      </w:r>
      <w:r w:rsidRPr="00233B2C">
        <w:t xml:space="preserve">, les assignations de fréquence du réseau à satellite </w:t>
      </w:r>
      <w:r w:rsidRPr="00233B2C">
        <w:rPr>
          <w:b/>
          <w:bCs/>
        </w:rPr>
        <w:t>MNE00000</w:t>
      </w:r>
      <w:r w:rsidRPr="00233B2C">
        <w:t xml:space="preserve"> ont été incluses dans la</w:t>
      </w:r>
      <w:r w:rsidR="00404040" w:rsidRPr="00233B2C">
        <w:t xml:space="preserve"> </w:t>
      </w:r>
      <w:r w:rsidRPr="00233B2C">
        <w:t xml:space="preserve">Liste </w:t>
      </w:r>
      <w:r w:rsidR="00BE2E01" w:rsidRPr="00233B2C">
        <w:t>de l'</w:t>
      </w:r>
      <w:r w:rsidRPr="00233B2C">
        <w:t xml:space="preserve">Appendice </w:t>
      </w:r>
      <w:r w:rsidRPr="00233B2C">
        <w:rPr>
          <w:b/>
          <w:bCs/>
        </w:rPr>
        <w:t>30</w:t>
      </w:r>
      <w:r w:rsidR="00BE2E01" w:rsidRPr="00233B2C">
        <w:rPr>
          <w:b/>
          <w:bCs/>
        </w:rPr>
        <w:t>B</w:t>
      </w:r>
      <w:r w:rsidRPr="00233B2C">
        <w:t xml:space="preserve">, comme </w:t>
      </w:r>
      <w:r w:rsidR="005365F8" w:rsidRPr="00233B2C">
        <w:t>l'a confirmé le</w:t>
      </w:r>
      <w:r w:rsidRPr="00233B2C">
        <w:t xml:space="preserve"> Bureau </w:t>
      </w:r>
      <w:r w:rsidR="00BE2E01" w:rsidRPr="00233B2C">
        <w:t>dans la Section spéciale AP30B/A6B/167 annexée à la BR IFIC 2962 du 11 janvier 2022.</w:t>
      </w:r>
    </w:p>
    <w:p w14:paraId="08613219" w14:textId="77777777" w:rsidR="00696BD7" w:rsidRPr="00233B2C" w:rsidRDefault="00696BD7" w:rsidP="00404040">
      <w:pPr>
        <w:pStyle w:val="Headingb"/>
        <w:spacing w:before="360"/>
      </w:pPr>
      <w:r w:rsidRPr="00233B2C">
        <w:t>Proposition</w:t>
      </w:r>
    </w:p>
    <w:p w14:paraId="2E6A162D" w14:textId="5F177434" w:rsidR="00D448EC" w:rsidRPr="00233B2C" w:rsidRDefault="00BC4C44" w:rsidP="00C040FC">
      <w:pPr>
        <w:pStyle w:val="Proposal"/>
      </w:pPr>
      <w:r w:rsidRPr="00233B2C">
        <w:tab/>
        <w:t>MNE/4</w:t>
      </w:r>
      <w:r w:rsidR="00404040" w:rsidRPr="00233B2C">
        <w:t>8</w:t>
      </w:r>
      <w:r w:rsidRPr="00233B2C">
        <w:t>/1</w:t>
      </w:r>
    </w:p>
    <w:p w14:paraId="02BF557E" w14:textId="21D1C80F" w:rsidR="00D448EC" w:rsidRPr="00233B2C" w:rsidRDefault="00696BD7" w:rsidP="00D91F60">
      <w:r w:rsidRPr="00233B2C">
        <w:t>À la suite de l'application réussie de l</w:t>
      </w:r>
      <w:r w:rsidR="0028383C" w:rsidRPr="00233B2C">
        <w:t xml:space="preserve">'Article 6 de l'Appendice </w:t>
      </w:r>
      <w:r w:rsidR="0028383C" w:rsidRPr="00233B2C">
        <w:rPr>
          <w:b/>
          <w:bCs/>
        </w:rPr>
        <w:t>30B</w:t>
      </w:r>
      <w:r w:rsidR="0028383C" w:rsidRPr="00233B2C">
        <w:t xml:space="preserve"> du Règlement des radiocommunications </w:t>
      </w:r>
      <w:r w:rsidRPr="00233B2C">
        <w:t>par l'Administration d</w:t>
      </w:r>
      <w:r w:rsidR="0028383C" w:rsidRPr="00233B2C">
        <w:t xml:space="preserve">u Monténégro et </w:t>
      </w:r>
      <w:r w:rsidRPr="00233B2C">
        <w:t>de l'inclusion dans la Liste de</w:t>
      </w:r>
      <w:r w:rsidR="0028383C" w:rsidRPr="00233B2C">
        <w:t xml:space="preserve"> l'Appendice </w:t>
      </w:r>
      <w:r w:rsidR="0028383C" w:rsidRPr="00233B2C">
        <w:rPr>
          <w:b/>
          <w:bCs/>
        </w:rPr>
        <w:t>30B</w:t>
      </w:r>
      <w:r w:rsidRPr="00233B2C">
        <w:t xml:space="preserve"> des assignations de fréquence de son réseau à satellite </w:t>
      </w:r>
      <w:r w:rsidRPr="00233B2C">
        <w:rPr>
          <w:b/>
          <w:bCs/>
        </w:rPr>
        <w:t>MNE00000</w:t>
      </w:r>
      <w:r w:rsidRPr="00233B2C">
        <w:t xml:space="preserve">, publiées dans </w:t>
      </w:r>
      <w:r w:rsidR="0028383C" w:rsidRPr="00233B2C">
        <w:t>la</w:t>
      </w:r>
      <w:r w:rsidRPr="00233B2C">
        <w:t xml:space="preserve"> Section</w:t>
      </w:r>
      <w:r w:rsidR="0028383C" w:rsidRPr="00233B2C">
        <w:t xml:space="preserve"> </w:t>
      </w:r>
      <w:r w:rsidRPr="00233B2C">
        <w:t xml:space="preserve">spéciale </w:t>
      </w:r>
      <w:r w:rsidR="00D91F60" w:rsidRPr="00233B2C">
        <w:t xml:space="preserve">AP30B/A6B/167 annexée à la BR IFIC 2962 du 11 janvier 2022, </w:t>
      </w:r>
      <w:r w:rsidRPr="00233B2C">
        <w:t>l'Administration d</w:t>
      </w:r>
      <w:r w:rsidR="00D91F60" w:rsidRPr="00233B2C">
        <w:t xml:space="preserve">u Monténégro </w:t>
      </w:r>
      <w:r w:rsidRPr="00233B2C">
        <w:t>souhaite demander à la CMR-23</w:t>
      </w:r>
      <w:r w:rsidR="00D91F60" w:rsidRPr="00233B2C">
        <w:t>, conformément aux dispositions du §</w:t>
      </w:r>
      <w:r w:rsidR="00404040" w:rsidRPr="00233B2C">
        <w:t> </w:t>
      </w:r>
      <w:r w:rsidR="00D91F60" w:rsidRPr="00233B2C">
        <w:t xml:space="preserve">6.35 de l'Article 6 de l'Appendice </w:t>
      </w:r>
      <w:r w:rsidR="00D91F60" w:rsidRPr="00233B2C">
        <w:rPr>
          <w:b/>
          <w:bCs/>
        </w:rPr>
        <w:t>30B</w:t>
      </w:r>
      <w:r w:rsidR="00D91F60" w:rsidRPr="00233B2C">
        <w:t>,</w:t>
      </w:r>
      <w:r w:rsidRPr="00233B2C">
        <w:t xml:space="preserve"> d'envisager</w:t>
      </w:r>
      <w:r w:rsidR="00D91F60" w:rsidRPr="00233B2C">
        <w:t xml:space="preserve">, parmi les assignations figurant dans la Liste, d'inclure dans le Plan un nouvel allotissement </w:t>
      </w:r>
      <w:r w:rsidR="00ED079A" w:rsidRPr="00233B2C">
        <w:t>pour le</w:t>
      </w:r>
      <w:r w:rsidR="00D91F60" w:rsidRPr="00233B2C">
        <w:t xml:space="preserve"> Monténégro</w:t>
      </w:r>
      <w:r w:rsidR="00ED079A" w:rsidRPr="00233B2C">
        <w:t>.</w:t>
      </w:r>
    </w:p>
    <w:p w14:paraId="0E8917FB" w14:textId="3B7214B8" w:rsidR="00696BD7" w:rsidRPr="00233B2C" w:rsidRDefault="00D91F60" w:rsidP="00C040FC">
      <w:r w:rsidRPr="00233B2C">
        <w:t xml:space="preserve">Par conséquent, la CMR-23 est invitée à approuver </w:t>
      </w:r>
      <w:r w:rsidR="00ED079A" w:rsidRPr="00233B2C">
        <w:t>l'adjonction</w:t>
      </w:r>
      <w:r w:rsidRPr="00233B2C">
        <w:t xml:space="preserve"> des renseignements ci-dessous dans les Tableaux de l'Article 10 de l'Appendice </w:t>
      </w:r>
      <w:r w:rsidR="00696BD7" w:rsidRPr="00233B2C">
        <w:rPr>
          <w:b/>
          <w:bCs/>
        </w:rPr>
        <w:t>30B</w:t>
      </w:r>
      <w:r w:rsidR="00696BD7" w:rsidRPr="00233B2C">
        <w:t>.</w:t>
      </w:r>
    </w:p>
    <w:p w14:paraId="03428D42" w14:textId="77777777" w:rsidR="00696BD7" w:rsidRPr="00233B2C" w:rsidRDefault="00696BD7" w:rsidP="00C040FC">
      <w:pPr>
        <w:spacing w:before="360"/>
        <w:jc w:val="right"/>
        <w:rPr>
          <w:b/>
        </w:rPr>
      </w:pPr>
      <w:r w:rsidRPr="00233B2C">
        <w:rPr>
          <w:b/>
        </w:rPr>
        <w:t>4 500-4 800 MHz, 6 725-7 025 MHz</w:t>
      </w:r>
    </w:p>
    <w:tbl>
      <w:tblPr>
        <w:tblW w:w="9465" w:type="dxa"/>
        <w:jc w:val="center"/>
        <w:tblLook w:val="00A0" w:firstRow="1" w:lastRow="0" w:firstColumn="1" w:lastColumn="0" w:noHBand="0" w:noVBand="0"/>
      </w:tblPr>
      <w:tblGrid>
        <w:gridCol w:w="1243"/>
        <w:gridCol w:w="992"/>
        <w:gridCol w:w="851"/>
        <w:gridCol w:w="992"/>
        <w:gridCol w:w="851"/>
        <w:gridCol w:w="992"/>
        <w:gridCol w:w="850"/>
        <w:gridCol w:w="993"/>
        <w:gridCol w:w="850"/>
        <w:gridCol w:w="851"/>
      </w:tblGrid>
      <w:tr w:rsidR="00696BD7" w:rsidRPr="00233B2C" w14:paraId="1CCCA827" w14:textId="77777777" w:rsidTr="002C0C6C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B31CE48" w14:textId="77777777" w:rsidR="00696BD7" w:rsidRPr="00233B2C" w:rsidRDefault="00696BD7" w:rsidP="00C040FC">
            <w:pPr>
              <w:pStyle w:val="Tabletext"/>
            </w:pPr>
            <w:r w:rsidRPr="00233B2C">
              <w:t>1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0C36791" w14:textId="77777777" w:rsidR="00696BD7" w:rsidRPr="00233B2C" w:rsidRDefault="00696BD7" w:rsidP="00C040FC">
            <w:pPr>
              <w:pStyle w:val="Tabletext"/>
            </w:pPr>
            <w:r w:rsidRPr="00233B2C">
              <w:t>2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368F420" w14:textId="77777777" w:rsidR="00696BD7" w:rsidRPr="00233B2C" w:rsidRDefault="00696BD7" w:rsidP="00C040FC">
            <w:pPr>
              <w:pStyle w:val="Tabletext"/>
            </w:pPr>
            <w:r w:rsidRPr="00233B2C">
              <w:t>3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C6A5047" w14:textId="77777777" w:rsidR="00696BD7" w:rsidRPr="00233B2C" w:rsidRDefault="00696BD7" w:rsidP="00C040FC">
            <w:pPr>
              <w:pStyle w:val="Tabletext"/>
            </w:pPr>
            <w:r w:rsidRPr="00233B2C">
              <w:t>4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596C023" w14:textId="77777777" w:rsidR="00696BD7" w:rsidRPr="00233B2C" w:rsidRDefault="00696BD7" w:rsidP="00C040FC">
            <w:pPr>
              <w:pStyle w:val="Tabletext"/>
            </w:pPr>
            <w:r w:rsidRPr="00233B2C">
              <w:t>5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355BA6F" w14:textId="77777777" w:rsidR="00696BD7" w:rsidRPr="00233B2C" w:rsidRDefault="00696BD7" w:rsidP="00C040FC">
            <w:pPr>
              <w:pStyle w:val="Tabletext"/>
            </w:pPr>
            <w:r w:rsidRPr="00233B2C">
              <w:t>6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ADE0540" w14:textId="77777777" w:rsidR="00696BD7" w:rsidRPr="00233B2C" w:rsidRDefault="00696BD7" w:rsidP="00C040FC">
            <w:pPr>
              <w:pStyle w:val="Tabletext"/>
            </w:pPr>
            <w:r w:rsidRPr="00233B2C">
              <w:t>7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27C2252" w14:textId="77777777" w:rsidR="00696BD7" w:rsidRPr="00233B2C" w:rsidRDefault="00696BD7" w:rsidP="00C040FC">
            <w:pPr>
              <w:pStyle w:val="Tabletext"/>
            </w:pPr>
            <w:r w:rsidRPr="00233B2C">
              <w:t>8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F3D74DC" w14:textId="77777777" w:rsidR="00696BD7" w:rsidRPr="00233B2C" w:rsidRDefault="00696BD7" w:rsidP="00C040FC">
            <w:pPr>
              <w:pStyle w:val="Tabletext"/>
            </w:pPr>
            <w:r w:rsidRPr="00233B2C">
              <w:t>9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3B90A4A" w14:textId="77777777" w:rsidR="00696BD7" w:rsidRPr="00233B2C" w:rsidRDefault="00696BD7" w:rsidP="00C040FC">
            <w:pPr>
              <w:pStyle w:val="Tabletext"/>
            </w:pPr>
            <w:r w:rsidRPr="00233B2C">
              <w:t>10</w:t>
            </w:r>
          </w:p>
        </w:tc>
      </w:tr>
      <w:tr w:rsidR="00696BD7" w:rsidRPr="00233B2C" w14:paraId="264B654B" w14:textId="77777777" w:rsidTr="002C0C6C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25BAFF7" w14:textId="77777777" w:rsidR="00696BD7" w:rsidRPr="00233B2C" w:rsidRDefault="00696BD7" w:rsidP="00C040FC">
            <w:pPr>
              <w:pStyle w:val="Tabletext"/>
            </w:pPr>
            <w:r w:rsidRPr="00233B2C">
              <w:t>MNE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27A81BA" w14:textId="37E02DBD" w:rsidR="00696BD7" w:rsidRPr="00233B2C" w:rsidRDefault="00696BD7" w:rsidP="00C040FC">
            <w:pPr>
              <w:pStyle w:val="Tabletext"/>
            </w:pPr>
            <w:r w:rsidRPr="00233B2C">
              <w:t>–36,6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0CFA518" w14:textId="58E56867" w:rsidR="00696BD7" w:rsidRPr="00233B2C" w:rsidRDefault="00696BD7" w:rsidP="00C040FC">
            <w:pPr>
              <w:pStyle w:val="Tabletext"/>
            </w:pPr>
            <w:r w:rsidRPr="00233B2C">
              <w:t>19,22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68FD7277" w14:textId="6D1654BC" w:rsidR="00696BD7" w:rsidRPr="00233B2C" w:rsidRDefault="00696BD7" w:rsidP="00C040FC">
            <w:pPr>
              <w:pStyle w:val="Tabletext"/>
            </w:pPr>
            <w:r w:rsidRPr="00233B2C">
              <w:t>42,65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E1D3D09" w14:textId="635439D1" w:rsidR="00696BD7" w:rsidRPr="00233B2C" w:rsidRDefault="00696BD7" w:rsidP="00C040FC">
            <w:pPr>
              <w:pStyle w:val="Tabletext"/>
            </w:pPr>
            <w:r w:rsidRPr="00233B2C">
              <w:t>1,6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2BB5B23" w14:textId="3B7CE8FD" w:rsidR="00696BD7" w:rsidRPr="00233B2C" w:rsidRDefault="00696BD7" w:rsidP="00C040FC">
            <w:pPr>
              <w:pStyle w:val="Tabletext"/>
            </w:pPr>
            <w:r w:rsidRPr="00233B2C">
              <w:t>1,6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8A41187" w14:textId="77777777" w:rsidR="00696BD7" w:rsidRPr="00233B2C" w:rsidRDefault="00696BD7" w:rsidP="00C040FC">
            <w:pPr>
              <w:pStyle w:val="Tabletext"/>
            </w:pPr>
            <w:r w:rsidRPr="00233B2C">
              <w:t>0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9412A48" w14:textId="62ACE42C" w:rsidR="00696BD7" w:rsidRPr="00233B2C" w:rsidRDefault="00696BD7" w:rsidP="00C040FC">
            <w:pPr>
              <w:pStyle w:val="Tabletext"/>
            </w:pPr>
            <w:r w:rsidRPr="00233B2C">
              <w:t>–9,6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3FFD582" w14:textId="108DE4E0" w:rsidR="00696BD7" w:rsidRPr="00233B2C" w:rsidRDefault="00696BD7" w:rsidP="00C040FC">
            <w:pPr>
              <w:pStyle w:val="Tabletext"/>
            </w:pPr>
            <w:r w:rsidRPr="00233B2C">
              <w:t>–42,3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</w:tcPr>
          <w:p w14:paraId="38AED5C3" w14:textId="77777777" w:rsidR="00696BD7" w:rsidRPr="00233B2C" w:rsidRDefault="00696BD7" w:rsidP="00C040FC">
            <w:pPr>
              <w:pStyle w:val="Tabletext"/>
            </w:pPr>
          </w:p>
        </w:tc>
      </w:tr>
    </w:tbl>
    <w:p w14:paraId="1B7C6B7C" w14:textId="0A3DAA3F" w:rsidR="00696BD7" w:rsidRPr="00233B2C" w:rsidRDefault="00696BD7" w:rsidP="00C040FC">
      <w:pPr>
        <w:spacing w:before="360"/>
        <w:jc w:val="right"/>
        <w:rPr>
          <w:b/>
        </w:rPr>
      </w:pPr>
      <w:r w:rsidRPr="00233B2C">
        <w:rPr>
          <w:b/>
        </w:rPr>
        <w:t>10,7-10,95 GHz, 11,20-11,45 GHz, 12,75-13,25 GHz</w:t>
      </w:r>
    </w:p>
    <w:tbl>
      <w:tblPr>
        <w:tblW w:w="9446" w:type="dxa"/>
        <w:jc w:val="center"/>
        <w:tblLook w:val="00A0" w:firstRow="1" w:lastRow="0" w:firstColumn="1" w:lastColumn="0" w:noHBand="0" w:noVBand="0"/>
      </w:tblPr>
      <w:tblGrid>
        <w:gridCol w:w="1243"/>
        <w:gridCol w:w="980"/>
        <w:gridCol w:w="868"/>
        <w:gridCol w:w="966"/>
        <w:gridCol w:w="868"/>
        <w:gridCol w:w="993"/>
        <w:gridCol w:w="840"/>
        <w:gridCol w:w="994"/>
        <w:gridCol w:w="840"/>
        <w:gridCol w:w="854"/>
      </w:tblGrid>
      <w:tr w:rsidR="00696BD7" w:rsidRPr="00233B2C" w14:paraId="538D1262" w14:textId="77777777" w:rsidTr="002C0C6C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F344712" w14:textId="77777777" w:rsidR="00696BD7" w:rsidRPr="00233B2C" w:rsidRDefault="00696BD7" w:rsidP="00C040FC">
            <w:pPr>
              <w:pStyle w:val="Tabletext"/>
            </w:pPr>
            <w:r w:rsidRPr="00233B2C">
              <w:t>1</w:t>
            </w:r>
          </w:p>
        </w:tc>
        <w:tc>
          <w:tcPr>
            <w:tcW w:w="9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63973AE7" w14:textId="77777777" w:rsidR="00696BD7" w:rsidRPr="00233B2C" w:rsidRDefault="00696BD7" w:rsidP="00C040FC">
            <w:pPr>
              <w:pStyle w:val="Tabletext"/>
            </w:pPr>
            <w:r w:rsidRPr="00233B2C">
              <w:t>2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BBBA70E" w14:textId="77777777" w:rsidR="00696BD7" w:rsidRPr="00233B2C" w:rsidRDefault="00696BD7" w:rsidP="00C040FC">
            <w:pPr>
              <w:pStyle w:val="Tabletext"/>
            </w:pPr>
            <w:r w:rsidRPr="00233B2C">
              <w:t>3</w:t>
            </w:r>
          </w:p>
        </w:tc>
        <w:tc>
          <w:tcPr>
            <w:tcW w:w="9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9049695" w14:textId="77777777" w:rsidR="00696BD7" w:rsidRPr="00233B2C" w:rsidRDefault="00696BD7" w:rsidP="00C040FC">
            <w:pPr>
              <w:pStyle w:val="Tabletext"/>
            </w:pPr>
            <w:r w:rsidRPr="00233B2C">
              <w:t>4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011AB72" w14:textId="77777777" w:rsidR="00696BD7" w:rsidRPr="00233B2C" w:rsidRDefault="00696BD7" w:rsidP="00C040FC">
            <w:pPr>
              <w:pStyle w:val="Tabletext"/>
            </w:pPr>
            <w:r w:rsidRPr="00233B2C">
              <w:t>5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0EAFBAC" w14:textId="77777777" w:rsidR="00696BD7" w:rsidRPr="00233B2C" w:rsidRDefault="00696BD7" w:rsidP="00C040FC">
            <w:pPr>
              <w:pStyle w:val="Tabletext"/>
            </w:pPr>
            <w:r w:rsidRPr="00233B2C">
              <w:t>6</w:t>
            </w:r>
          </w:p>
        </w:tc>
        <w:tc>
          <w:tcPr>
            <w:tcW w:w="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1C5C55C" w14:textId="77777777" w:rsidR="00696BD7" w:rsidRPr="00233B2C" w:rsidRDefault="00696BD7" w:rsidP="00C040FC">
            <w:pPr>
              <w:pStyle w:val="Tabletext"/>
            </w:pPr>
            <w:r w:rsidRPr="00233B2C">
              <w:t>7</w:t>
            </w:r>
          </w:p>
        </w:tc>
        <w:tc>
          <w:tcPr>
            <w:tcW w:w="9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B312606" w14:textId="77777777" w:rsidR="00696BD7" w:rsidRPr="00233B2C" w:rsidRDefault="00696BD7" w:rsidP="00C040FC">
            <w:pPr>
              <w:pStyle w:val="Tabletext"/>
            </w:pPr>
            <w:r w:rsidRPr="00233B2C">
              <w:t>8</w:t>
            </w:r>
          </w:p>
        </w:tc>
        <w:tc>
          <w:tcPr>
            <w:tcW w:w="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78C9896" w14:textId="77777777" w:rsidR="00696BD7" w:rsidRPr="00233B2C" w:rsidRDefault="00696BD7" w:rsidP="00C040FC">
            <w:pPr>
              <w:pStyle w:val="Tabletext"/>
            </w:pPr>
            <w:r w:rsidRPr="00233B2C">
              <w:t>9</w:t>
            </w:r>
          </w:p>
        </w:tc>
        <w:tc>
          <w:tcPr>
            <w:tcW w:w="85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7C67541" w14:textId="77777777" w:rsidR="00696BD7" w:rsidRPr="00233B2C" w:rsidRDefault="00696BD7" w:rsidP="00C040FC">
            <w:pPr>
              <w:pStyle w:val="Tabletext"/>
            </w:pPr>
            <w:r w:rsidRPr="00233B2C">
              <w:t>10</w:t>
            </w:r>
          </w:p>
        </w:tc>
      </w:tr>
      <w:tr w:rsidR="00696BD7" w:rsidRPr="00233B2C" w14:paraId="10B5BD6C" w14:textId="77777777" w:rsidTr="002C0C6C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66071649" w14:textId="77777777" w:rsidR="00696BD7" w:rsidRPr="00233B2C" w:rsidRDefault="00696BD7" w:rsidP="00C040FC">
            <w:pPr>
              <w:pStyle w:val="Tabletext"/>
            </w:pPr>
            <w:r w:rsidRPr="00233B2C">
              <w:t>MNE</w:t>
            </w:r>
          </w:p>
        </w:tc>
        <w:tc>
          <w:tcPr>
            <w:tcW w:w="9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8EEE2CF" w14:textId="37DB5D55" w:rsidR="00696BD7" w:rsidRPr="00233B2C" w:rsidRDefault="00696BD7" w:rsidP="00C040FC">
            <w:pPr>
              <w:pStyle w:val="Tabletext"/>
            </w:pPr>
            <w:r w:rsidRPr="00233B2C">
              <w:t>–36,6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F7FF571" w14:textId="380235DF" w:rsidR="00696BD7" w:rsidRPr="00233B2C" w:rsidRDefault="00696BD7" w:rsidP="00C040FC">
            <w:pPr>
              <w:pStyle w:val="Tabletext"/>
            </w:pPr>
            <w:r w:rsidRPr="00233B2C">
              <w:t>19,22</w:t>
            </w:r>
          </w:p>
        </w:tc>
        <w:tc>
          <w:tcPr>
            <w:tcW w:w="9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AF7CC84" w14:textId="7CCEA670" w:rsidR="00696BD7" w:rsidRPr="00233B2C" w:rsidRDefault="00696BD7" w:rsidP="00C040FC">
            <w:pPr>
              <w:pStyle w:val="Tabletext"/>
            </w:pPr>
            <w:r w:rsidRPr="00233B2C">
              <w:t>42,65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F6D9CF8" w14:textId="4609A268" w:rsidR="00696BD7" w:rsidRPr="00233B2C" w:rsidRDefault="00696BD7" w:rsidP="00C040FC">
            <w:pPr>
              <w:pStyle w:val="Tabletext"/>
            </w:pPr>
            <w:r w:rsidRPr="00233B2C">
              <w:t>0,8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B2BDF10" w14:textId="2695B97E" w:rsidR="00696BD7" w:rsidRPr="00233B2C" w:rsidRDefault="00696BD7" w:rsidP="00C040FC">
            <w:pPr>
              <w:pStyle w:val="Tabletext"/>
            </w:pPr>
            <w:r w:rsidRPr="00233B2C">
              <w:t>0,8</w:t>
            </w:r>
          </w:p>
        </w:tc>
        <w:tc>
          <w:tcPr>
            <w:tcW w:w="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D194426" w14:textId="77777777" w:rsidR="00696BD7" w:rsidRPr="00233B2C" w:rsidRDefault="00696BD7" w:rsidP="00C040FC">
            <w:pPr>
              <w:pStyle w:val="Tabletext"/>
            </w:pPr>
            <w:r w:rsidRPr="00233B2C">
              <w:t>0</w:t>
            </w:r>
          </w:p>
        </w:tc>
        <w:tc>
          <w:tcPr>
            <w:tcW w:w="9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D584FC0" w14:textId="6E610CC2" w:rsidR="00696BD7" w:rsidRPr="00233B2C" w:rsidRDefault="00696BD7" w:rsidP="00C040FC">
            <w:pPr>
              <w:pStyle w:val="Tabletext"/>
            </w:pPr>
            <w:r w:rsidRPr="00233B2C">
              <w:t>–10,2</w:t>
            </w:r>
          </w:p>
        </w:tc>
        <w:tc>
          <w:tcPr>
            <w:tcW w:w="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FF872CF" w14:textId="7BC25F9C" w:rsidR="00696BD7" w:rsidRPr="00233B2C" w:rsidRDefault="00696BD7" w:rsidP="00C040FC">
            <w:pPr>
              <w:pStyle w:val="Tabletext"/>
            </w:pPr>
            <w:r w:rsidRPr="00233B2C">
              <w:t>–30,8</w:t>
            </w:r>
          </w:p>
        </w:tc>
        <w:tc>
          <w:tcPr>
            <w:tcW w:w="85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</w:tcPr>
          <w:p w14:paraId="195944EB" w14:textId="77777777" w:rsidR="00696BD7" w:rsidRPr="00233B2C" w:rsidRDefault="00696BD7" w:rsidP="00C040FC">
            <w:pPr>
              <w:pStyle w:val="Tabletext"/>
            </w:pPr>
          </w:p>
        </w:tc>
      </w:tr>
    </w:tbl>
    <w:p w14:paraId="273087BE" w14:textId="77777777" w:rsidR="00696BD7" w:rsidRPr="00233B2C" w:rsidRDefault="00696BD7" w:rsidP="00C040FC">
      <w:pPr>
        <w:pStyle w:val="Reasons"/>
      </w:pPr>
    </w:p>
    <w:p w14:paraId="5E5EF3E5" w14:textId="77777777" w:rsidR="00696BD7" w:rsidRPr="00233B2C" w:rsidRDefault="00696BD7" w:rsidP="00C040FC">
      <w:pPr>
        <w:jc w:val="center"/>
      </w:pPr>
      <w:r w:rsidRPr="00233B2C">
        <w:t>______________</w:t>
      </w:r>
    </w:p>
    <w:sectPr w:rsidR="00696BD7" w:rsidRPr="00233B2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DBB7" w14:textId="77777777" w:rsidR="00CB685A" w:rsidRDefault="00CB685A">
      <w:r>
        <w:separator/>
      </w:r>
    </w:p>
  </w:endnote>
  <w:endnote w:type="continuationSeparator" w:id="0">
    <w:p w14:paraId="32A15C98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F969" w14:textId="5F5FA1D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4C44">
      <w:rPr>
        <w:noProof/>
        <w:lang w:val="en-US"/>
      </w:rPr>
      <w:t>P:\TRAD\F\ITU-R\CONF-R\CMR23\000\048FMontage.docx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2F06">
      <w:rPr>
        <w:noProof/>
      </w:rPr>
      <w:t>13.07.23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4C44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A423" w14:textId="71E57D27" w:rsidR="00936D25" w:rsidRDefault="004D26C9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4040">
      <w:rPr>
        <w:lang w:val="en-US"/>
      </w:rPr>
      <w:t>P:\FRA\ITU-R\CONF-R\CMR23\000\048F.docx</w:t>
    </w:r>
    <w:r>
      <w:fldChar w:fldCharType="end"/>
    </w:r>
    <w:r>
      <w:t xml:space="preserve"> (525821)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129C" w14:textId="797469C2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4040">
      <w:rPr>
        <w:lang w:val="en-US"/>
      </w:rPr>
      <w:t>P:\FRA\ITU-R\CONF-R\CMR23\000\048F.docx</w:t>
    </w:r>
    <w:r>
      <w:fldChar w:fldCharType="end"/>
    </w:r>
    <w:r w:rsidR="004D26C9">
      <w:t xml:space="preserve"> (525821)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A99A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F83A5D4" w14:textId="77777777" w:rsidR="00CB685A" w:rsidRDefault="00CB685A">
      <w:r>
        <w:continuationSeparator/>
      </w:r>
    </w:p>
  </w:footnote>
  <w:footnote w:id="1">
    <w:p w14:paraId="0F4BA1A1" w14:textId="77777777" w:rsidR="00485985" w:rsidRPr="00815FAF" w:rsidRDefault="00BC4C44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5E5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BF584C6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03920540">
    <w:abstractNumId w:val="0"/>
  </w:num>
  <w:num w:numId="2" w16cid:durableId="10679241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33B2C"/>
    <w:rsid w:val="002361A0"/>
    <w:rsid w:val="0026554E"/>
    <w:rsid w:val="0028383C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4040"/>
    <w:rsid w:val="0041573D"/>
    <w:rsid w:val="00466211"/>
    <w:rsid w:val="00483196"/>
    <w:rsid w:val="004834A9"/>
    <w:rsid w:val="004D01FC"/>
    <w:rsid w:val="004D26C9"/>
    <w:rsid w:val="004E28C3"/>
    <w:rsid w:val="004F1F8E"/>
    <w:rsid w:val="00512A32"/>
    <w:rsid w:val="005343DA"/>
    <w:rsid w:val="005365F8"/>
    <w:rsid w:val="00560874"/>
    <w:rsid w:val="0056294C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96BD7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F2F06"/>
    <w:rsid w:val="00922FDD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C4C44"/>
    <w:rsid w:val="00BD51C5"/>
    <w:rsid w:val="00BE2E01"/>
    <w:rsid w:val="00BF26E7"/>
    <w:rsid w:val="00C040FC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448EC"/>
    <w:rsid w:val="00D66EAC"/>
    <w:rsid w:val="00D730DF"/>
    <w:rsid w:val="00D772F0"/>
    <w:rsid w:val="00D77BDC"/>
    <w:rsid w:val="00D91F60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079A"/>
    <w:rsid w:val="00ED16AA"/>
    <w:rsid w:val="00ED6B8D"/>
    <w:rsid w:val="00EE3D7B"/>
    <w:rsid w:val="00EF0987"/>
    <w:rsid w:val="00EF662E"/>
    <w:rsid w:val="00F10064"/>
    <w:rsid w:val="00F148F1"/>
    <w:rsid w:val="00F20610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3DEBC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2361A0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F2061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R23-WRC23-C-0048!!MSW-F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84B43-4A4D-4131-A377-EC7F98A7D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57788-ACAF-4735-93EF-61F78096FA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ABA20A-CB16-4B6C-9949-73D4FAAE65E5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R23-WRC23-C-0048!!MSW-F</vt:lpstr>
    </vt:vector>
  </TitlesOfParts>
  <Manager>Secrétariat général - Pool</Manager>
  <Company>Union internationale des télécommunications (UIT)</Company>
  <LinksUpToDate>false</LinksUpToDate>
  <CharactersWithSpaces>3068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R23-WRC23-C-0048!!MSW-F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3</cp:revision>
  <cp:lastPrinted>2003-06-05T19:34:00Z</cp:lastPrinted>
  <dcterms:created xsi:type="dcterms:W3CDTF">2023-07-13T20:16:00Z</dcterms:created>
  <dcterms:modified xsi:type="dcterms:W3CDTF">2023-07-13T20:21:00Z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