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32C25D4C" w14:textId="77777777" w:rsidTr="00F320AA">
        <w:trPr>
          <w:cantSplit/>
        </w:trPr>
        <w:tc>
          <w:tcPr>
            <w:tcW w:w="1418" w:type="dxa"/>
            <w:vAlign w:val="center"/>
          </w:tcPr>
          <w:p w14:paraId="2D341890" w14:textId="77777777" w:rsidR="00F320AA" w:rsidRPr="00DF23FC" w:rsidRDefault="00F320AA" w:rsidP="00F320AA">
            <w:pPr>
              <w:spacing w:before="0"/>
              <w:rPr>
                <w:rFonts w:ascii="Verdana" w:hAnsi="Verdana"/>
                <w:position w:val="6"/>
              </w:rPr>
            </w:pPr>
            <w:r>
              <w:rPr>
                <w:noProof/>
                <w:lang w:val="en-US"/>
              </w:rPr>
              <w:drawing>
                <wp:inline distT="0" distB="0" distL="0" distR="0" wp14:anchorId="267D4C43" wp14:editId="2FE37072">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29F1140"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6B6592EC" w14:textId="77777777" w:rsidR="00F320AA" w:rsidRDefault="00EB0812" w:rsidP="00F320AA">
            <w:pPr>
              <w:spacing w:before="0" w:line="240" w:lineRule="atLeast"/>
            </w:pPr>
            <w:r>
              <w:rPr>
                <w:noProof/>
              </w:rPr>
              <w:drawing>
                <wp:inline distT="0" distB="0" distL="0" distR="0" wp14:anchorId="435D918B" wp14:editId="77A549F3">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39EEB063" w14:textId="77777777">
        <w:trPr>
          <w:cantSplit/>
        </w:trPr>
        <w:tc>
          <w:tcPr>
            <w:tcW w:w="6911" w:type="dxa"/>
            <w:gridSpan w:val="2"/>
            <w:tcBorders>
              <w:bottom w:val="single" w:sz="12" w:space="0" w:color="auto"/>
            </w:tcBorders>
          </w:tcPr>
          <w:p w14:paraId="6582064C"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48387BB5" w14:textId="77777777" w:rsidR="00A066F1" w:rsidRPr="00617BE4" w:rsidRDefault="00A066F1" w:rsidP="00A066F1">
            <w:pPr>
              <w:spacing w:before="0" w:line="240" w:lineRule="atLeast"/>
              <w:rPr>
                <w:rFonts w:ascii="Verdana" w:hAnsi="Verdana"/>
                <w:szCs w:val="24"/>
              </w:rPr>
            </w:pPr>
          </w:p>
        </w:tc>
      </w:tr>
      <w:tr w:rsidR="00A066F1" w:rsidRPr="00C324A8" w14:paraId="57D5DBA8" w14:textId="77777777">
        <w:trPr>
          <w:cantSplit/>
        </w:trPr>
        <w:tc>
          <w:tcPr>
            <w:tcW w:w="6911" w:type="dxa"/>
            <w:gridSpan w:val="2"/>
            <w:tcBorders>
              <w:top w:val="single" w:sz="12" w:space="0" w:color="auto"/>
            </w:tcBorders>
          </w:tcPr>
          <w:p w14:paraId="14F19372"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2B228DA" w14:textId="77777777" w:rsidR="00A066F1" w:rsidRPr="00C324A8" w:rsidRDefault="00A066F1" w:rsidP="00A066F1">
            <w:pPr>
              <w:spacing w:before="0" w:line="240" w:lineRule="atLeast"/>
              <w:rPr>
                <w:rFonts w:ascii="Verdana" w:hAnsi="Verdana"/>
                <w:sz w:val="20"/>
              </w:rPr>
            </w:pPr>
          </w:p>
        </w:tc>
      </w:tr>
      <w:tr w:rsidR="00A066F1" w:rsidRPr="00C324A8" w14:paraId="74830F26" w14:textId="77777777">
        <w:trPr>
          <w:cantSplit/>
          <w:trHeight w:val="23"/>
        </w:trPr>
        <w:tc>
          <w:tcPr>
            <w:tcW w:w="6911" w:type="dxa"/>
            <w:gridSpan w:val="2"/>
            <w:shd w:val="clear" w:color="auto" w:fill="auto"/>
          </w:tcPr>
          <w:p w14:paraId="4258992B"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5BF8D7FE"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48</w:t>
            </w:r>
            <w:r w:rsidR="00A066F1" w:rsidRPr="00841216">
              <w:rPr>
                <w:rFonts w:ascii="Verdana" w:hAnsi="Verdana"/>
                <w:b/>
                <w:sz w:val="20"/>
              </w:rPr>
              <w:t>-</w:t>
            </w:r>
            <w:r w:rsidR="005E10C9" w:rsidRPr="00841216">
              <w:rPr>
                <w:rFonts w:ascii="Verdana" w:hAnsi="Verdana"/>
                <w:b/>
                <w:sz w:val="20"/>
              </w:rPr>
              <w:t>E</w:t>
            </w:r>
          </w:p>
        </w:tc>
      </w:tr>
      <w:tr w:rsidR="00A066F1" w:rsidRPr="00C324A8" w14:paraId="4593F856" w14:textId="77777777">
        <w:trPr>
          <w:cantSplit/>
          <w:trHeight w:val="23"/>
        </w:trPr>
        <w:tc>
          <w:tcPr>
            <w:tcW w:w="6911" w:type="dxa"/>
            <w:gridSpan w:val="2"/>
            <w:shd w:val="clear" w:color="auto" w:fill="auto"/>
          </w:tcPr>
          <w:p w14:paraId="62E929E0"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25F866FE"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July 2023</w:t>
            </w:r>
          </w:p>
        </w:tc>
      </w:tr>
      <w:tr w:rsidR="00A066F1" w:rsidRPr="00C324A8" w14:paraId="31B3ACC7" w14:textId="77777777">
        <w:trPr>
          <w:cantSplit/>
          <w:trHeight w:val="23"/>
        </w:trPr>
        <w:tc>
          <w:tcPr>
            <w:tcW w:w="6911" w:type="dxa"/>
            <w:gridSpan w:val="2"/>
            <w:shd w:val="clear" w:color="auto" w:fill="auto"/>
          </w:tcPr>
          <w:p w14:paraId="58AAE1D1"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EA60251"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4B76BC92" w14:textId="77777777" w:rsidTr="00025864">
        <w:trPr>
          <w:cantSplit/>
          <w:trHeight w:val="23"/>
        </w:trPr>
        <w:tc>
          <w:tcPr>
            <w:tcW w:w="10031" w:type="dxa"/>
            <w:gridSpan w:val="4"/>
            <w:shd w:val="clear" w:color="auto" w:fill="auto"/>
          </w:tcPr>
          <w:p w14:paraId="54F80F7B" w14:textId="77777777" w:rsidR="00A066F1" w:rsidRPr="00C324A8" w:rsidRDefault="00A066F1" w:rsidP="00A066F1">
            <w:pPr>
              <w:tabs>
                <w:tab w:val="left" w:pos="993"/>
              </w:tabs>
              <w:spacing w:before="0"/>
              <w:rPr>
                <w:rFonts w:ascii="Verdana" w:hAnsi="Verdana"/>
                <w:b/>
                <w:sz w:val="20"/>
              </w:rPr>
            </w:pPr>
          </w:p>
        </w:tc>
      </w:tr>
      <w:tr w:rsidR="00E55816" w:rsidRPr="00C324A8" w14:paraId="4D53818E" w14:textId="77777777" w:rsidTr="00025864">
        <w:trPr>
          <w:cantSplit/>
          <w:trHeight w:val="23"/>
        </w:trPr>
        <w:tc>
          <w:tcPr>
            <w:tcW w:w="10031" w:type="dxa"/>
            <w:gridSpan w:val="4"/>
            <w:shd w:val="clear" w:color="auto" w:fill="auto"/>
          </w:tcPr>
          <w:p w14:paraId="252D138B" w14:textId="77777777" w:rsidR="00E55816" w:rsidRDefault="00884D60" w:rsidP="00E55816">
            <w:pPr>
              <w:pStyle w:val="Source"/>
            </w:pPr>
            <w:r>
              <w:t>Montenegro</w:t>
            </w:r>
          </w:p>
        </w:tc>
      </w:tr>
      <w:tr w:rsidR="00E55816" w:rsidRPr="00C324A8" w14:paraId="22421844" w14:textId="77777777" w:rsidTr="00025864">
        <w:trPr>
          <w:cantSplit/>
          <w:trHeight w:val="23"/>
        </w:trPr>
        <w:tc>
          <w:tcPr>
            <w:tcW w:w="10031" w:type="dxa"/>
            <w:gridSpan w:val="4"/>
            <w:shd w:val="clear" w:color="auto" w:fill="auto"/>
          </w:tcPr>
          <w:p w14:paraId="179DF80F" w14:textId="77777777" w:rsidR="00E55816" w:rsidRDefault="007D5320" w:rsidP="00E55816">
            <w:pPr>
              <w:pStyle w:val="Title1"/>
            </w:pPr>
            <w:r>
              <w:t>PROPOSALS FOR THE WORK OF THE CONFERENCE</w:t>
            </w:r>
          </w:p>
        </w:tc>
      </w:tr>
      <w:tr w:rsidR="00E55816" w:rsidRPr="00C324A8" w14:paraId="7288BA7E" w14:textId="77777777" w:rsidTr="00025864">
        <w:trPr>
          <w:cantSplit/>
          <w:trHeight w:val="23"/>
        </w:trPr>
        <w:tc>
          <w:tcPr>
            <w:tcW w:w="10031" w:type="dxa"/>
            <w:gridSpan w:val="4"/>
            <w:shd w:val="clear" w:color="auto" w:fill="auto"/>
          </w:tcPr>
          <w:p w14:paraId="5CA9A0C0" w14:textId="77777777" w:rsidR="00E55816" w:rsidRDefault="007D5320" w:rsidP="00E55816">
            <w:pPr>
              <w:pStyle w:val="Title2"/>
            </w:pPr>
            <w:r>
              <w:t>INCLUSION IN THE FSS PLAN (APPENDIX 30B) OF A NEW ALLOTMENT AFTER SUCCESSFUL COMPLETION OF ARTICLE 6 OF APPENDIX 30B PROCEDURE IN RELATION TO THE ASSIGNMENTS INCLUDED IN THE LIST, IN ACCORDANCE WITH § 6.35 OF ARTICLE 6 OF APPENDIX 30B</w:t>
            </w:r>
          </w:p>
        </w:tc>
      </w:tr>
      <w:tr w:rsidR="00A538A6" w:rsidRPr="00C324A8" w14:paraId="529A5504" w14:textId="77777777" w:rsidTr="00025864">
        <w:trPr>
          <w:cantSplit/>
          <w:trHeight w:val="23"/>
        </w:trPr>
        <w:tc>
          <w:tcPr>
            <w:tcW w:w="10031" w:type="dxa"/>
            <w:gridSpan w:val="4"/>
            <w:shd w:val="clear" w:color="auto" w:fill="auto"/>
          </w:tcPr>
          <w:p w14:paraId="02675E53" w14:textId="77777777" w:rsidR="00A538A6" w:rsidRDefault="004B13CB" w:rsidP="004B13CB">
            <w:pPr>
              <w:pStyle w:val="Agendaitem"/>
            </w:pPr>
            <w:r>
              <w:t xml:space="preserve">Agenda </w:t>
            </w:r>
            <w:proofErr w:type="spellStart"/>
            <w:r>
              <w:t>item</w:t>
            </w:r>
            <w:proofErr w:type="spellEnd"/>
            <w:r>
              <w:t xml:space="preserve"> 9.2</w:t>
            </w:r>
          </w:p>
        </w:tc>
      </w:tr>
    </w:tbl>
    <w:bookmarkEnd w:id="5"/>
    <w:bookmarkEnd w:id="6"/>
    <w:p w14:paraId="05BC6382" w14:textId="77777777" w:rsidR="00187BD9" w:rsidRPr="006965F8" w:rsidRDefault="009F74ED" w:rsidP="006965F8">
      <w:r>
        <w:t>9</w:t>
      </w:r>
      <w:r>
        <w:tab/>
        <w:t>to consider and approv</w:t>
      </w:r>
      <w:r>
        <w:t xml:space="preserve">e the Report of the Director of the Radiocommunication Bureau, in accordance with Article 7 of the ITU </w:t>
      </w:r>
      <w:proofErr w:type="gramStart"/>
      <w:r>
        <w:t>Convention</w:t>
      </w:r>
      <w:r>
        <w:rPr>
          <w:bCs/>
        </w:rPr>
        <w:t>;</w:t>
      </w:r>
      <w:proofErr w:type="gramEnd"/>
    </w:p>
    <w:p w14:paraId="27422FAB" w14:textId="77777777" w:rsidR="00187BD9" w:rsidRPr="00A115F1" w:rsidRDefault="009F74ED" w:rsidP="00A115F1">
      <w:r>
        <w:t>9.2</w:t>
      </w:r>
      <w:r>
        <w:tab/>
        <w:t>on any difficulties or inconsistencies encountered in the application of the Radio Regulations;</w:t>
      </w:r>
      <w:r>
        <w:rPr>
          <w:rStyle w:val="FootnoteReference"/>
        </w:rPr>
        <w:footnoteReference w:customMarkFollows="1" w:id="1"/>
        <w:t>1</w:t>
      </w:r>
      <w:r>
        <w:t xml:space="preserve"> and</w:t>
      </w:r>
    </w:p>
    <w:p w14:paraId="62A05375" w14:textId="77777777" w:rsidR="009F74ED" w:rsidRPr="009F74ED" w:rsidRDefault="009F74ED" w:rsidP="009F74ED">
      <w:pPr>
        <w:spacing w:before="360"/>
        <w:rPr>
          <w:b/>
        </w:rPr>
      </w:pPr>
      <w:r w:rsidRPr="009F74ED">
        <w:rPr>
          <w:b/>
        </w:rPr>
        <w:t>Introduction</w:t>
      </w:r>
    </w:p>
    <w:p w14:paraId="3BAE8D51" w14:textId="77777777" w:rsidR="009F74ED" w:rsidRPr="009F74ED" w:rsidRDefault="009F74ED" w:rsidP="009F74ED">
      <w:r w:rsidRPr="009F74ED">
        <w:t xml:space="preserve">The Administration of Montenegro which has joined the Union as a Member State as of 21st of June 2006 and does not have a national allotment in the Plan or an assignment in the List stemming from the conversion of an allotment, has conducted relevant procedure to include new assignments in the List and obtain equitable access to the geostationary-satellite orbit in the frequency bands of the fixed-satellite service followed the procedure of Article 6 of Appendix </w:t>
      </w:r>
      <w:r w:rsidRPr="009F74ED">
        <w:rPr>
          <w:b/>
          <w:bCs/>
        </w:rPr>
        <w:t>30B</w:t>
      </w:r>
      <w:r w:rsidRPr="009F74ED">
        <w:t xml:space="preserve"> to the Radio Regulations.</w:t>
      </w:r>
    </w:p>
    <w:p w14:paraId="32701FCA" w14:textId="77777777" w:rsidR="009F74ED" w:rsidRPr="009F74ED" w:rsidRDefault="009F74ED" w:rsidP="009F74ED">
      <w:r w:rsidRPr="009F74ED">
        <w:t xml:space="preserve">The relevant technical information has been submitted by this Administration under Article 7 of Appendix </w:t>
      </w:r>
      <w:r w:rsidRPr="009F74ED">
        <w:rPr>
          <w:b/>
          <w:bCs/>
        </w:rPr>
        <w:t>30B</w:t>
      </w:r>
      <w:r w:rsidRPr="009F74ED">
        <w:t xml:space="preserve"> to the Bureau and </w:t>
      </w:r>
      <w:proofErr w:type="gramStart"/>
      <w:r w:rsidRPr="009F74ED">
        <w:t>later on</w:t>
      </w:r>
      <w:proofErr w:type="gramEnd"/>
      <w:r w:rsidRPr="009F74ED">
        <w:t xml:space="preserve"> it has been treated under §6.1 of Article 6 of Appendix </w:t>
      </w:r>
      <w:r w:rsidRPr="009F74ED">
        <w:rPr>
          <w:b/>
          <w:bCs/>
        </w:rPr>
        <w:t xml:space="preserve">30B </w:t>
      </w:r>
      <w:r w:rsidRPr="009F74ED">
        <w:t>and</w:t>
      </w:r>
      <w:r w:rsidRPr="009F74ED">
        <w:rPr>
          <w:b/>
          <w:bCs/>
        </w:rPr>
        <w:t xml:space="preserve"> </w:t>
      </w:r>
      <w:r w:rsidRPr="009F74ED">
        <w:t>published in the Special Section AP30B/A6A/243 annexed to BR IFIC 2742 of 16 April 2013.</w:t>
      </w:r>
    </w:p>
    <w:p w14:paraId="1280472D" w14:textId="77777777" w:rsidR="009F74ED" w:rsidRPr="009F74ED" w:rsidRDefault="009F74ED" w:rsidP="009F74ED">
      <w:r w:rsidRPr="009F74ED">
        <w:t xml:space="preserve">Following the successful application of Article 6 procedure by this Administration, the </w:t>
      </w:r>
      <w:r w:rsidRPr="009F74ED">
        <w:rPr>
          <w:b/>
        </w:rPr>
        <w:t>MNE00000</w:t>
      </w:r>
      <w:r w:rsidRPr="009F74ED">
        <w:t xml:space="preserve"> satellite network frequency assignments have been included in the Appendix </w:t>
      </w:r>
      <w:r w:rsidRPr="009F74ED">
        <w:rPr>
          <w:b/>
          <w:bCs/>
        </w:rPr>
        <w:t>30B</w:t>
      </w:r>
      <w:r w:rsidRPr="009F74ED">
        <w:t xml:space="preserve"> List, as confirmed </w:t>
      </w:r>
      <w:r w:rsidRPr="009F74ED">
        <w:lastRenderedPageBreak/>
        <w:t>by the Bureau in the Special Section AP30B/A6B/167 annexed to BR IFIC 2962 of 11 January 2022.</w:t>
      </w:r>
    </w:p>
    <w:p w14:paraId="5E374510" w14:textId="77777777" w:rsidR="009F74ED" w:rsidRPr="009F74ED" w:rsidRDefault="009F74ED" w:rsidP="009F74ED">
      <w:pPr>
        <w:spacing w:before="360"/>
        <w:rPr>
          <w:b/>
        </w:rPr>
      </w:pPr>
      <w:r w:rsidRPr="009F74ED">
        <w:rPr>
          <w:b/>
        </w:rPr>
        <w:t>Proposal</w:t>
      </w:r>
    </w:p>
    <w:p w14:paraId="01EE4316" w14:textId="77777777" w:rsidR="006122B0" w:rsidRDefault="009F74ED">
      <w:pPr>
        <w:pStyle w:val="Proposal"/>
      </w:pPr>
      <w:r>
        <w:tab/>
        <w:t>MNE/48/1</w:t>
      </w:r>
    </w:p>
    <w:p w14:paraId="7C8A5EB8" w14:textId="77777777" w:rsidR="009F74ED" w:rsidRPr="009F74ED" w:rsidRDefault="009F74ED" w:rsidP="009F74ED">
      <w:r w:rsidRPr="009F74ED">
        <w:t xml:space="preserve">Following the successful application of Article 6 of Appendix </w:t>
      </w:r>
      <w:r w:rsidRPr="009F74ED">
        <w:rPr>
          <w:b/>
        </w:rPr>
        <w:t>30B</w:t>
      </w:r>
      <w:r w:rsidRPr="009F74ED">
        <w:t xml:space="preserve"> to the Radio Regulations by this Administration and the inclusion in the Appendix </w:t>
      </w:r>
      <w:r w:rsidRPr="009F74ED">
        <w:rPr>
          <w:b/>
          <w:bCs/>
        </w:rPr>
        <w:t>30B</w:t>
      </w:r>
      <w:r w:rsidRPr="009F74ED">
        <w:t xml:space="preserve"> List of the frequency assignments of its satellite network </w:t>
      </w:r>
      <w:r w:rsidRPr="009F74ED">
        <w:rPr>
          <w:b/>
          <w:bCs/>
        </w:rPr>
        <w:t>MNE00000</w:t>
      </w:r>
      <w:r w:rsidRPr="009F74ED">
        <w:t xml:space="preserve">, as it was published in the Special Section AP30B/A6B/167 annexed to BR IFIC 2962 of 11 January 2022, this Administration would like to request WRC-23, following the provision of §6.35 of Article 6 of Appendix </w:t>
      </w:r>
      <w:r w:rsidRPr="009F74ED">
        <w:rPr>
          <w:b/>
          <w:bCs/>
        </w:rPr>
        <w:t>30B</w:t>
      </w:r>
      <w:r w:rsidRPr="009F74ED">
        <w:t>, to consider among the assignments included in the List, the inclusion in the Plan of a new allotment of Montenegro.</w:t>
      </w:r>
    </w:p>
    <w:p w14:paraId="3AC4AF13" w14:textId="6360B719" w:rsidR="006122B0" w:rsidRDefault="009F74ED" w:rsidP="009F74ED">
      <w:r w:rsidRPr="009F74ED">
        <w:t xml:space="preserve">Therefore, WRC-23 is kindly requested to approve the following entries in the Tables of Article 10 of Appendix </w:t>
      </w:r>
      <w:r w:rsidRPr="009F74ED">
        <w:rPr>
          <w:b/>
          <w:bCs/>
        </w:rPr>
        <w:t>30B</w:t>
      </w:r>
      <w:r w:rsidRPr="009F74ED">
        <w:t>.</w:t>
      </w:r>
    </w:p>
    <w:p w14:paraId="205542B3" w14:textId="77777777" w:rsidR="009F74ED" w:rsidRDefault="009F74ED" w:rsidP="009F74ED"/>
    <w:p w14:paraId="4F2688D1" w14:textId="77777777" w:rsidR="009F74ED" w:rsidRPr="009F74ED" w:rsidRDefault="009F74ED" w:rsidP="009F74ED">
      <w:pPr>
        <w:jc w:val="right"/>
        <w:rPr>
          <w:b/>
          <w:lang w:val="en-US"/>
        </w:rPr>
      </w:pPr>
      <w:r w:rsidRPr="009F74ED">
        <w:rPr>
          <w:b/>
          <w:lang w:val="en-US"/>
        </w:rPr>
        <w:t>4 500-4 800 MHz, 6 725-7 025 MHz</w:t>
      </w:r>
    </w:p>
    <w:tbl>
      <w:tblPr>
        <w:tblW w:w="9465" w:type="dxa"/>
        <w:jc w:val="center"/>
        <w:tblLook w:val="00A0" w:firstRow="1" w:lastRow="0" w:firstColumn="1" w:lastColumn="0" w:noHBand="0" w:noVBand="0"/>
      </w:tblPr>
      <w:tblGrid>
        <w:gridCol w:w="1243"/>
        <w:gridCol w:w="992"/>
        <w:gridCol w:w="851"/>
        <w:gridCol w:w="992"/>
        <w:gridCol w:w="851"/>
        <w:gridCol w:w="992"/>
        <w:gridCol w:w="850"/>
        <w:gridCol w:w="993"/>
        <w:gridCol w:w="850"/>
        <w:gridCol w:w="851"/>
      </w:tblGrid>
      <w:tr w:rsidR="009F74ED" w:rsidRPr="009F74ED" w14:paraId="5AD9B6AD" w14:textId="77777777" w:rsidTr="005F4770">
        <w:trPr>
          <w:trHeight w:val="300"/>
          <w:jc w:val="center"/>
        </w:trPr>
        <w:tc>
          <w:tcPr>
            <w:tcW w:w="1243" w:type="dxa"/>
            <w:tcBorders>
              <w:top w:val="single" w:sz="4" w:space="0" w:color="3F3F3F"/>
              <w:left w:val="single" w:sz="4" w:space="0" w:color="3F3F3F"/>
              <w:bottom w:val="single" w:sz="4" w:space="0" w:color="3F3F3F"/>
              <w:right w:val="single" w:sz="4" w:space="0" w:color="3F3F3F"/>
            </w:tcBorders>
            <w:noWrap/>
            <w:vAlign w:val="bottom"/>
            <w:hideMark/>
          </w:tcPr>
          <w:p w14:paraId="145B8B27" w14:textId="77777777" w:rsidR="009F74ED" w:rsidRPr="009F74ED" w:rsidRDefault="009F74ED" w:rsidP="009F74ED">
            <w:pPr>
              <w:rPr>
                <w:lang w:val="en-US"/>
              </w:rPr>
            </w:pPr>
            <w:r w:rsidRPr="009F74ED">
              <w:rPr>
                <w:lang w:val="en-US"/>
              </w:rPr>
              <w:t>1</w:t>
            </w:r>
          </w:p>
        </w:tc>
        <w:tc>
          <w:tcPr>
            <w:tcW w:w="992" w:type="dxa"/>
            <w:tcBorders>
              <w:top w:val="single" w:sz="4" w:space="0" w:color="3F3F3F"/>
              <w:left w:val="nil"/>
              <w:bottom w:val="single" w:sz="4" w:space="0" w:color="3F3F3F"/>
              <w:right w:val="single" w:sz="4" w:space="0" w:color="3F3F3F"/>
            </w:tcBorders>
            <w:noWrap/>
            <w:vAlign w:val="bottom"/>
            <w:hideMark/>
          </w:tcPr>
          <w:p w14:paraId="16F606C0" w14:textId="77777777" w:rsidR="009F74ED" w:rsidRPr="009F74ED" w:rsidRDefault="009F74ED" w:rsidP="009F74ED">
            <w:pPr>
              <w:rPr>
                <w:lang w:val="en-US"/>
              </w:rPr>
            </w:pPr>
            <w:r w:rsidRPr="009F74ED">
              <w:rPr>
                <w:lang w:val="en-US"/>
              </w:rPr>
              <w:t>2</w:t>
            </w:r>
          </w:p>
        </w:tc>
        <w:tc>
          <w:tcPr>
            <w:tcW w:w="851" w:type="dxa"/>
            <w:tcBorders>
              <w:top w:val="single" w:sz="4" w:space="0" w:color="3F3F3F"/>
              <w:left w:val="nil"/>
              <w:bottom w:val="single" w:sz="4" w:space="0" w:color="3F3F3F"/>
              <w:right w:val="single" w:sz="4" w:space="0" w:color="3F3F3F"/>
            </w:tcBorders>
            <w:noWrap/>
            <w:vAlign w:val="bottom"/>
            <w:hideMark/>
          </w:tcPr>
          <w:p w14:paraId="776DB456" w14:textId="77777777" w:rsidR="009F74ED" w:rsidRPr="009F74ED" w:rsidRDefault="009F74ED" w:rsidP="009F74ED">
            <w:pPr>
              <w:rPr>
                <w:lang w:val="en-US"/>
              </w:rPr>
            </w:pPr>
            <w:r w:rsidRPr="009F74ED">
              <w:rPr>
                <w:lang w:val="en-US"/>
              </w:rPr>
              <w:t>3</w:t>
            </w:r>
          </w:p>
        </w:tc>
        <w:tc>
          <w:tcPr>
            <w:tcW w:w="992" w:type="dxa"/>
            <w:tcBorders>
              <w:top w:val="single" w:sz="4" w:space="0" w:color="3F3F3F"/>
              <w:left w:val="nil"/>
              <w:bottom w:val="single" w:sz="4" w:space="0" w:color="3F3F3F"/>
              <w:right w:val="single" w:sz="4" w:space="0" w:color="3F3F3F"/>
            </w:tcBorders>
            <w:noWrap/>
            <w:vAlign w:val="bottom"/>
            <w:hideMark/>
          </w:tcPr>
          <w:p w14:paraId="46AC371C" w14:textId="77777777" w:rsidR="009F74ED" w:rsidRPr="009F74ED" w:rsidRDefault="009F74ED" w:rsidP="009F74ED">
            <w:pPr>
              <w:rPr>
                <w:lang w:val="en-US"/>
              </w:rPr>
            </w:pPr>
            <w:r w:rsidRPr="009F74ED">
              <w:rPr>
                <w:lang w:val="en-US"/>
              </w:rPr>
              <w:t>4</w:t>
            </w:r>
          </w:p>
        </w:tc>
        <w:tc>
          <w:tcPr>
            <w:tcW w:w="851" w:type="dxa"/>
            <w:tcBorders>
              <w:top w:val="single" w:sz="4" w:space="0" w:color="3F3F3F"/>
              <w:left w:val="nil"/>
              <w:bottom w:val="single" w:sz="4" w:space="0" w:color="3F3F3F"/>
              <w:right w:val="single" w:sz="4" w:space="0" w:color="3F3F3F"/>
            </w:tcBorders>
            <w:noWrap/>
            <w:vAlign w:val="bottom"/>
            <w:hideMark/>
          </w:tcPr>
          <w:p w14:paraId="57CB0E5A" w14:textId="77777777" w:rsidR="009F74ED" w:rsidRPr="009F74ED" w:rsidRDefault="009F74ED" w:rsidP="009F74ED">
            <w:pPr>
              <w:rPr>
                <w:lang w:val="en-US"/>
              </w:rPr>
            </w:pPr>
            <w:r w:rsidRPr="009F74ED">
              <w:rPr>
                <w:lang w:val="en-US"/>
              </w:rPr>
              <w:t>5</w:t>
            </w:r>
          </w:p>
        </w:tc>
        <w:tc>
          <w:tcPr>
            <w:tcW w:w="992" w:type="dxa"/>
            <w:tcBorders>
              <w:top w:val="single" w:sz="4" w:space="0" w:color="3F3F3F"/>
              <w:left w:val="nil"/>
              <w:bottom w:val="single" w:sz="4" w:space="0" w:color="3F3F3F"/>
              <w:right w:val="single" w:sz="4" w:space="0" w:color="3F3F3F"/>
            </w:tcBorders>
            <w:noWrap/>
            <w:vAlign w:val="bottom"/>
            <w:hideMark/>
          </w:tcPr>
          <w:p w14:paraId="23F28317" w14:textId="77777777" w:rsidR="009F74ED" w:rsidRPr="009F74ED" w:rsidRDefault="009F74ED" w:rsidP="009F74ED">
            <w:pPr>
              <w:rPr>
                <w:lang w:val="en-US"/>
              </w:rPr>
            </w:pPr>
            <w:r w:rsidRPr="009F74ED">
              <w:rPr>
                <w:lang w:val="en-US"/>
              </w:rPr>
              <w:t>6</w:t>
            </w:r>
          </w:p>
        </w:tc>
        <w:tc>
          <w:tcPr>
            <w:tcW w:w="850" w:type="dxa"/>
            <w:tcBorders>
              <w:top w:val="single" w:sz="4" w:space="0" w:color="3F3F3F"/>
              <w:left w:val="nil"/>
              <w:bottom w:val="single" w:sz="4" w:space="0" w:color="3F3F3F"/>
              <w:right w:val="single" w:sz="4" w:space="0" w:color="3F3F3F"/>
            </w:tcBorders>
            <w:noWrap/>
            <w:vAlign w:val="bottom"/>
            <w:hideMark/>
          </w:tcPr>
          <w:p w14:paraId="299BCE84" w14:textId="77777777" w:rsidR="009F74ED" w:rsidRPr="009F74ED" w:rsidRDefault="009F74ED" w:rsidP="009F74ED">
            <w:pPr>
              <w:rPr>
                <w:lang w:val="en-US"/>
              </w:rPr>
            </w:pPr>
            <w:r w:rsidRPr="009F74ED">
              <w:rPr>
                <w:lang w:val="en-US"/>
              </w:rPr>
              <w:t>7</w:t>
            </w:r>
          </w:p>
        </w:tc>
        <w:tc>
          <w:tcPr>
            <w:tcW w:w="993" w:type="dxa"/>
            <w:tcBorders>
              <w:top w:val="single" w:sz="4" w:space="0" w:color="3F3F3F"/>
              <w:left w:val="nil"/>
              <w:bottom w:val="single" w:sz="4" w:space="0" w:color="3F3F3F"/>
              <w:right w:val="single" w:sz="4" w:space="0" w:color="3F3F3F"/>
            </w:tcBorders>
            <w:noWrap/>
            <w:vAlign w:val="bottom"/>
            <w:hideMark/>
          </w:tcPr>
          <w:p w14:paraId="594E6A87" w14:textId="77777777" w:rsidR="009F74ED" w:rsidRPr="009F74ED" w:rsidRDefault="009F74ED" w:rsidP="009F74ED">
            <w:pPr>
              <w:rPr>
                <w:lang w:val="en-US"/>
              </w:rPr>
            </w:pPr>
            <w:r w:rsidRPr="009F74ED">
              <w:rPr>
                <w:lang w:val="en-US"/>
              </w:rPr>
              <w:t>8</w:t>
            </w:r>
          </w:p>
        </w:tc>
        <w:tc>
          <w:tcPr>
            <w:tcW w:w="850" w:type="dxa"/>
            <w:tcBorders>
              <w:top w:val="single" w:sz="4" w:space="0" w:color="3F3F3F"/>
              <w:left w:val="nil"/>
              <w:bottom w:val="single" w:sz="4" w:space="0" w:color="3F3F3F"/>
              <w:right w:val="single" w:sz="4" w:space="0" w:color="3F3F3F"/>
            </w:tcBorders>
            <w:noWrap/>
            <w:vAlign w:val="bottom"/>
            <w:hideMark/>
          </w:tcPr>
          <w:p w14:paraId="3059AF4F" w14:textId="77777777" w:rsidR="009F74ED" w:rsidRPr="009F74ED" w:rsidRDefault="009F74ED" w:rsidP="009F74ED">
            <w:pPr>
              <w:rPr>
                <w:lang w:val="en-US"/>
              </w:rPr>
            </w:pPr>
            <w:r w:rsidRPr="009F74ED">
              <w:rPr>
                <w:lang w:val="en-US"/>
              </w:rPr>
              <w:t>9</w:t>
            </w:r>
          </w:p>
        </w:tc>
        <w:tc>
          <w:tcPr>
            <w:tcW w:w="851" w:type="dxa"/>
            <w:tcBorders>
              <w:top w:val="single" w:sz="4" w:space="0" w:color="3F3F3F"/>
              <w:left w:val="nil"/>
              <w:bottom w:val="single" w:sz="4" w:space="0" w:color="3F3F3F"/>
              <w:right w:val="single" w:sz="4" w:space="0" w:color="3F3F3F"/>
            </w:tcBorders>
            <w:noWrap/>
            <w:vAlign w:val="bottom"/>
            <w:hideMark/>
          </w:tcPr>
          <w:p w14:paraId="7BA7439C" w14:textId="77777777" w:rsidR="009F74ED" w:rsidRPr="009F74ED" w:rsidRDefault="009F74ED" w:rsidP="009F74ED">
            <w:pPr>
              <w:rPr>
                <w:lang w:val="en-US"/>
              </w:rPr>
            </w:pPr>
            <w:r w:rsidRPr="009F74ED">
              <w:rPr>
                <w:lang w:val="en-US"/>
              </w:rPr>
              <w:t>10</w:t>
            </w:r>
          </w:p>
        </w:tc>
      </w:tr>
      <w:tr w:rsidR="009F74ED" w:rsidRPr="009F74ED" w14:paraId="49D0D2AC" w14:textId="77777777" w:rsidTr="005F4770">
        <w:trPr>
          <w:trHeight w:val="300"/>
          <w:jc w:val="center"/>
        </w:trPr>
        <w:tc>
          <w:tcPr>
            <w:tcW w:w="1243" w:type="dxa"/>
            <w:tcBorders>
              <w:top w:val="single" w:sz="4" w:space="0" w:color="3F3F3F"/>
              <w:left w:val="single" w:sz="4" w:space="0" w:color="3F3F3F"/>
              <w:bottom w:val="single" w:sz="4" w:space="0" w:color="3F3F3F"/>
              <w:right w:val="single" w:sz="4" w:space="0" w:color="3F3F3F"/>
            </w:tcBorders>
            <w:noWrap/>
            <w:vAlign w:val="bottom"/>
            <w:hideMark/>
          </w:tcPr>
          <w:p w14:paraId="6D41E030" w14:textId="77777777" w:rsidR="009F74ED" w:rsidRPr="009F74ED" w:rsidRDefault="009F74ED" w:rsidP="009F74ED">
            <w:pPr>
              <w:rPr>
                <w:lang w:val="fr-CH"/>
              </w:rPr>
            </w:pPr>
            <w:r w:rsidRPr="009F74ED">
              <w:rPr>
                <w:lang w:val="fr-CH"/>
              </w:rPr>
              <w:t>MNE</w:t>
            </w:r>
          </w:p>
        </w:tc>
        <w:tc>
          <w:tcPr>
            <w:tcW w:w="992" w:type="dxa"/>
            <w:tcBorders>
              <w:top w:val="single" w:sz="4" w:space="0" w:color="3F3F3F"/>
              <w:left w:val="nil"/>
              <w:bottom w:val="single" w:sz="4" w:space="0" w:color="3F3F3F"/>
              <w:right w:val="single" w:sz="4" w:space="0" w:color="3F3F3F"/>
            </w:tcBorders>
            <w:noWrap/>
            <w:vAlign w:val="bottom"/>
            <w:hideMark/>
          </w:tcPr>
          <w:p w14:paraId="13428D5F" w14:textId="77777777" w:rsidR="009F74ED" w:rsidRPr="009F74ED" w:rsidRDefault="009F74ED" w:rsidP="009F74ED">
            <w:r w:rsidRPr="009F74ED">
              <w:rPr>
                <w:lang w:val="en-US"/>
              </w:rPr>
              <w:t>-36.6</w:t>
            </w:r>
          </w:p>
        </w:tc>
        <w:tc>
          <w:tcPr>
            <w:tcW w:w="851" w:type="dxa"/>
            <w:tcBorders>
              <w:top w:val="single" w:sz="4" w:space="0" w:color="3F3F3F"/>
              <w:left w:val="nil"/>
              <w:bottom w:val="single" w:sz="4" w:space="0" w:color="3F3F3F"/>
              <w:right w:val="single" w:sz="4" w:space="0" w:color="3F3F3F"/>
            </w:tcBorders>
            <w:noWrap/>
            <w:vAlign w:val="bottom"/>
            <w:hideMark/>
          </w:tcPr>
          <w:p w14:paraId="7B3639C5" w14:textId="77777777" w:rsidR="009F74ED" w:rsidRPr="009F74ED" w:rsidRDefault="009F74ED" w:rsidP="009F74ED">
            <w:pPr>
              <w:rPr>
                <w:lang w:val="en-US"/>
              </w:rPr>
            </w:pPr>
            <w:r w:rsidRPr="009F74ED">
              <w:rPr>
                <w:lang w:val="en-US"/>
              </w:rPr>
              <w:t>19.22</w:t>
            </w:r>
          </w:p>
        </w:tc>
        <w:tc>
          <w:tcPr>
            <w:tcW w:w="992" w:type="dxa"/>
            <w:tcBorders>
              <w:top w:val="single" w:sz="4" w:space="0" w:color="3F3F3F"/>
              <w:left w:val="nil"/>
              <w:bottom w:val="single" w:sz="4" w:space="0" w:color="3F3F3F"/>
              <w:right w:val="single" w:sz="4" w:space="0" w:color="3F3F3F"/>
            </w:tcBorders>
            <w:noWrap/>
            <w:vAlign w:val="bottom"/>
            <w:hideMark/>
          </w:tcPr>
          <w:p w14:paraId="6A53269C" w14:textId="77777777" w:rsidR="009F74ED" w:rsidRPr="009F74ED" w:rsidRDefault="009F74ED" w:rsidP="009F74ED">
            <w:pPr>
              <w:rPr>
                <w:lang w:val="en-US"/>
              </w:rPr>
            </w:pPr>
            <w:r w:rsidRPr="009F74ED">
              <w:rPr>
                <w:lang w:val="en-US"/>
              </w:rPr>
              <w:t>42.65</w:t>
            </w:r>
          </w:p>
        </w:tc>
        <w:tc>
          <w:tcPr>
            <w:tcW w:w="851" w:type="dxa"/>
            <w:tcBorders>
              <w:top w:val="single" w:sz="4" w:space="0" w:color="3F3F3F"/>
              <w:left w:val="nil"/>
              <w:bottom w:val="single" w:sz="4" w:space="0" w:color="3F3F3F"/>
              <w:right w:val="single" w:sz="4" w:space="0" w:color="3F3F3F"/>
            </w:tcBorders>
            <w:noWrap/>
            <w:vAlign w:val="bottom"/>
            <w:hideMark/>
          </w:tcPr>
          <w:p w14:paraId="12FD2C2E" w14:textId="77777777" w:rsidR="009F74ED" w:rsidRPr="009F74ED" w:rsidRDefault="009F74ED" w:rsidP="009F74ED">
            <w:pPr>
              <w:rPr>
                <w:lang w:val="en-US"/>
              </w:rPr>
            </w:pPr>
            <w:r w:rsidRPr="009F74ED">
              <w:rPr>
                <w:lang w:val="en-US"/>
              </w:rPr>
              <w:t>1.6</w:t>
            </w:r>
          </w:p>
        </w:tc>
        <w:tc>
          <w:tcPr>
            <w:tcW w:w="992" w:type="dxa"/>
            <w:tcBorders>
              <w:top w:val="single" w:sz="4" w:space="0" w:color="3F3F3F"/>
              <w:left w:val="nil"/>
              <w:bottom w:val="single" w:sz="4" w:space="0" w:color="3F3F3F"/>
              <w:right w:val="single" w:sz="4" w:space="0" w:color="3F3F3F"/>
            </w:tcBorders>
            <w:noWrap/>
            <w:vAlign w:val="bottom"/>
            <w:hideMark/>
          </w:tcPr>
          <w:p w14:paraId="15949DB5" w14:textId="77777777" w:rsidR="009F74ED" w:rsidRPr="009F74ED" w:rsidRDefault="009F74ED" w:rsidP="009F74ED">
            <w:pPr>
              <w:rPr>
                <w:lang w:val="en-US"/>
              </w:rPr>
            </w:pPr>
            <w:r w:rsidRPr="009F74ED">
              <w:rPr>
                <w:lang w:val="en-US"/>
              </w:rPr>
              <w:t>1.6</w:t>
            </w:r>
          </w:p>
        </w:tc>
        <w:tc>
          <w:tcPr>
            <w:tcW w:w="850" w:type="dxa"/>
            <w:tcBorders>
              <w:top w:val="single" w:sz="4" w:space="0" w:color="3F3F3F"/>
              <w:left w:val="nil"/>
              <w:bottom w:val="single" w:sz="4" w:space="0" w:color="3F3F3F"/>
              <w:right w:val="single" w:sz="4" w:space="0" w:color="3F3F3F"/>
            </w:tcBorders>
            <w:noWrap/>
            <w:vAlign w:val="bottom"/>
            <w:hideMark/>
          </w:tcPr>
          <w:p w14:paraId="0172D6B0" w14:textId="77777777" w:rsidR="009F74ED" w:rsidRPr="009F74ED" w:rsidRDefault="009F74ED" w:rsidP="009F74ED">
            <w:pPr>
              <w:rPr>
                <w:lang w:val="en-US"/>
              </w:rPr>
            </w:pPr>
            <w:r w:rsidRPr="009F74ED">
              <w:rPr>
                <w:lang w:val="en-US"/>
              </w:rPr>
              <w:t>0</w:t>
            </w:r>
          </w:p>
        </w:tc>
        <w:tc>
          <w:tcPr>
            <w:tcW w:w="993" w:type="dxa"/>
            <w:tcBorders>
              <w:top w:val="single" w:sz="4" w:space="0" w:color="3F3F3F"/>
              <w:left w:val="nil"/>
              <w:bottom w:val="single" w:sz="4" w:space="0" w:color="3F3F3F"/>
              <w:right w:val="single" w:sz="4" w:space="0" w:color="3F3F3F"/>
            </w:tcBorders>
            <w:noWrap/>
            <w:vAlign w:val="bottom"/>
            <w:hideMark/>
          </w:tcPr>
          <w:p w14:paraId="2DA2DEAD" w14:textId="77777777" w:rsidR="009F74ED" w:rsidRPr="009F74ED" w:rsidRDefault="009F74ED" w:rsidP="009F74ED">
            <w:pPr>
              <w:rPr>
                <w:lang w:val="en-US"/>
              </w:rPr>
            </w:pPr>
            <w:r w:rsidRPr="009F74ED">
              <w:rPr>
                <w:lang w:val="en-US"/>
              </w:rPr>
              <w:t>-9.6</w:t>
            </w:r>
          </w:p>
        </w:tc>
        <w:tc>
          <w:tcPr>
            <w:tcW w:w="850" w:type="dxa"/>
            <w:tcBorders>
              <w:top w:val="single" w:sz="4" w:space="0" w:color="3F3F3F"/>
              <w:left w:val="nil"/>
              <w:bottom w:val="single" w:sz="4" w:space="0" w:color="3F3F3F"/>
              <w:right w:val="single" w:sz="4" w:space="0" w:color="3F3F3F"/>
            </w:tcBorders>
            <w:noWrap/>
            <w:vAlign w:val="bottom"/>
            <w:hideMark/>
          </w:tcPr>
          <w:p w14:paraId="5C456A4A" w14:textId="77777777" w:rsidR="009F74ED" w:rsidRPr="009F74ED" w:rsidRDefault="009F74ED" w:rsidP="009F74ED">
            <w:pPr>
              <w:rPr>
                <w:lang w:val="en-US"/>
              </w:rPr>
            </w:pPr>
            <w:r w:rsidRPr="009F74ED">
              <w:rPr>
                <w:lang w:val="en-US"/>
              </w:rPr>
              <w:t>-42.3</w:t>
            </w:r>
          </w:p>
        </w:tc>
        <w:tc>
          <w:tcPr>
            <w:tcW w:w="851" w:type="dxa"/>
            <w:tcBorders>
              <w:top w:val="single" w:sz="4" w:space="0" w:color="3F3F3F"/>
              <w:left w:val="nil"/>
              <w:bottom w:val="single" w:sz="4" w:space="0" w:color="3F3F3F"/>
              <w:right w:val="single" w:sz="4" w:space="0" w:color="3F3F3F"/>
            </w:tcBorders>
            <w:noWrap/>
            <w:vAlign w:val="bottom"/>
          </w:tcPr>
          <w:p w14:paraId="6E0B7D3F" w14:textId="77777777" w:rsidR="009F74ED" w:rsidRPr="009F74ED" w:rsidRDefault="009F74ED" w:rsidP="009F74ED">
            <w:pPr>
              <w:rPr>
                <w:lang w:val="en-US"/>
              </w:rPr>
            </w:pPr>
          </w:p>
        </w:tc>
      </w:tr>
    </w:tbl>
    <w:p w14:paraId="6B2EE2D4" w14:textId="77777777" w:rsidR="009F74ED" w:rsidRPr="009F74ED" w:rsidRDefault="009F74ED" w:rsidP="009F74ED"/>
    <w:p w14:paraId="00C0D0C3" w14:textId="77777777" w:rsidR="009F74ED" w:rsidRPr="009F74ED" w:rsidRDefault="009F74ED" w:rsidP="009F74ED">
      <w:pPr>
        <w:jc w:val="right"/>
        <w:rPr>
          <w:b/>
          <w:lang w:val="en-US"/>
        </w:rPr>
      </w:pPr>
      <w:r w:rsidRPr="009F74ED">
        <w:rPr>
          <w:b/>
          <w:lang w:val="en-US"/>
        </w:rPr>
        <w:t>10.7-10.95 GHz, 11.20-11.45 GHz, 12.75-13.25 GHz</w:t>
      </w:r>
    </w:p>
    <w:tbl>
      <w:tblPr>
        <w:tblW w:w="9446" w:type="dxa"/>
        <w:jc w:val="center"/>
        <w:tblLook w:val="00A0" w:firstRow="1" w:lastRow="0" w:firstColumn="1" w:lastColumn="0" w:noHBand="0" w:noVBand="0"/>
      </w:tblPr>
      <w:tblGrid>
        <w:gridCol w:w="1243"/>
        <w:gridCol w:w="980"/>
        <w:gridCol w:w="868"/>
        <w:gridCol w:w="966"/>
        <w:gridCol w:w="868"/>
        <w:gridCol w:w="993"/>
        <w:gridCol w:w="840"/>
        <w:gridCol w:w="994"/>
        <w:gridCol w:w="840"/>
        <w:gridCol w:w="854"/>
      </w:tblGrid>
      <w:tr w:rsidR="009F74ED" w:rsidRPr="009F74ED" w14:paraId="616B0D1B" w14:textId="77777777" w:rsidTr="005F4770">
        <w:trPr>
          <w:trHeight w:val="300"/>
          <w:jc w:val="center"/>
        </w:trPr>
        <w:tc>
          <w:tcPr>
            <w:tcW w:w="1243" w:type="dxa"/>
            <w:tcBorders>
              <w:top w:val="single" w:sz="4" w:space="0" w:color="3F3F3F"/>
              <w:left w:val="single" w:sz="4" w:space="0" w:color="3F3F3F"/>
              <w:bottom w:val="single" w:sz="4" w:space="0" w:color="3F3F3F"/>
              <w:right w:val="single" w:sz="4" w:space="0" w:color="3F3F3F"/>
            </w:tcBorders>
            <w:noWrap/>
            <w:vAlign w:val="bottom"/>
            <w:hideMark/>
          </w:tcPr>
          <w:p w14:paraId="00157221" w14:textId="77777777" w:rsidR="009F74ED" w:rsidRPr="009F74ED" w:rsidRDefault="009F74ED" w:rsidP="009F74ED">
            <w:pPr>
              <w:rPr>
                <w:lang w:val="en-US"/>
              </w:rPr>
            </w:pPr>
            <w:r w:rsidRPr="009F74ED">
              <w:rPr>
                <w:lang w:val="en-US"/>
              </w:rPr>
              <w:t>1</w:t>
            </w:r>
          </w:p>
        </w:tc>
        <w:tc>
          <w:tcPr>
            <w:tcW w:w="980" w:type="dxa"/>
            <w:tcBorders>
              <w:top w:val="single" w:sz="4" w:space="0" w:color="3F3F3F"/>
              <w:left w:val="nil"/>
              <w:bottom w:val="single" w:sz="4" w:space="0" w:color="3F3F3F"/>
              <w:right w:val="single" w:sz="4" w:space="0" w:color="3F3F3F"/>
            </w:tcBorders>
            <w:noWrap/>
            <w:vAlign w:val="bottom"/>
            <w:hideMark/>
          </w:tcPr>
          <w:p w14:paraId="51C812B0" w14:textId="77777777" w:rsidR="009F74ED" w:rsidRPr="009F74ED" w:rsidRDefault="009F74ED" w:rsidP="009F74ED">
            <w:pPr>
              <w:rPr>
                <w:lang w:val="en-US"/>
              </w:rPr>
            </w:pPr>
            <w:r w:rsidRPr="009F74ED">
              <w:rPr>
                <w:lang w:val="en-US"/>
              </w:rPr>
              <w:t>2</w:t>
            </w:r>
          </w:p>
        </w:tc>
        <w:tc>
          <w:tcPr>
            <w:tcW w:w="868" w:type="dxa"/>
            <w:tcBorders>
              <w:top w:val="single" w:sz="4" w:space="0" w:color="3F3F3F"/>
              <w:left w:val="nil"/>
              <w:bottom w:val="single" w:sz="4" w:space="0" w:color="3F3F3F"/>
              <w:right w:val="single" w:sz="4" w:space="0" w:color="3F3F3F"/>
            </w:tcBorders>
            <w:noWrap/>
            <w:vAlign w:val="bottom"/>
            <w:hideMark/>
          </w:tcPr>
          <w:p w14:paraId="0381BFD8" w14:textId="77777777" w:rsidR="009F74ED" w:rsidRPr="009F74ED" w:rsidRDefault="009F74ED" w:rsidP="009F74ED">
            <w:pPr>
              <w:rPr>
                <w:lang w:val="en-US"/>
              </w:rPr>
            </w:pPr>
            <w:r w:rsidRPr="009F74ED">
              <w:rPr>
                <w:lang w:val="en-US"/>
              </w:rPr>
              <w:t>3</w:t>
            </w:r>
          </w:p>
        </w:tc>
        <w:tc>
          <w:tcPr>
            <w:tcW w:w="966" w:type="dxa"/>
            <w:tcBorders>
              <w:top w:val="single" w:sz="4" w:space="0" w:color="3F3F3F"/>
              <w:left w:val="nil"/>
              <w:bottom w:val="single" w:sz="4" w:space="0" w:color="3F3F3F"/>
              <w:right w:val="single" w:sz="4" w:space="0" w:color="3F3F3F"/>
            </w:tcBorders>
            <w:noWrap/>
            <w:vAlign w:val="bottom"/>
            <w:hideMark/>
          </w:tcPr>
          <w:p w14:paraId="23A97CE4" w14:textId="77777777" w:rsidR="009F74ED" w:rsidRPr="009F74ED" w:rsidRDefault="009F74ED" w:rsidP="009F74ED">
            <w:pPr>
              <w:rPr>
                <w:lang w:val="en-US"/>
              </w:rPr>
            </w:pPr>
            <w:r w:rsidRPr="009F74ED">
              <w:rPr>
                <w:lang w:val="en-US"/>
              </w:rPr>
              <w:t>4</w:t>
            </w:r>
          </w:p>
        </w:tc>
        <w:tc>
          <w:tcPr>
            <w:tcW w:w="868" w:type="dxa"/>
            <w:tcBorders>
              <w:top w:val="single" w:sz="4" w:space="0" w:color="3F3F3F"/>
              <w:left w:val="nil"/>
              <w:bottom w:val="single" w:sz="4" w:space="0" w:color="3F3F3F"/>
              <w:right w:val="single" w:sz="4" w:space="0" w:color="3F3F3F"/>
            </w:tcBorders>
            <w:noWrap/>
            <w:vAlign w:val="bottom"/>
            <w:hideMark/>
          </w:tcPr>
          <w:p w14:paraId="3828EBE1" w14:textId="77777777" w:rsidR="009F74ED" w:rsidRPr="009F74ED" w:rsidRDefault="009F74ED" w:rsidP="009F74ED">
            <w:pPr>
              <w:rPr>
                <w:lang w:val="en-US"/>
              </w:rPr>
            </w:pPr>
            <w:r w:rsidRPr="009F74ED">
              <w:rPr>
                <w:lang w:val="en-US"/>
              </w:rPr>
              <w:t>5</w:t>
            </w:r>
          </w:p>
        </w:tc>
        <w:tc>
          <w:tcPr>
            <w:tcW w:w="993" w:type="dxa"/>
            <w:tcBorders>
              <w:top w:val="single" w:sz="4" w:space="0" w:color="3F3F3F"/>
              <w:left w:val="nil"/>
              <w:bottom w:val="single" w:sz="4" w:space="0" w:color="3F3F3F"/>
              <w:right w:val="single" w:sz="4" w:space="0" w:color="3F3F3F"/>
            </w:tcBorders>
            <w:noWrap/>
            <w:vAlign w:val="bottom"/>
            <w:hideMark/>
          </w:tcPr>
          <w:p w14:paraId="14EDE14B" w14:textId="77777777" w:rsidR="009F74ED" w:rsidRPr="009F74ED" w:rsidRDefault="009F74ED" w:rsidP="009F74ED">
            <w:pPr>
              <w:rPr>
                <w:lang w:val="en-US"/>
              </w:rPr>
            </w:pPr>
            <w:r w:rsidRPr="009F74ED">
              <w:rPr>
                <w:lang w:val="en-US"/>
              </w:rPr>
              <w:t>6</w:t>
            </w:r>
          </w:p>
        </w:tc>
        <w:tc>
          <w:tcPr>
            <w:tcW w:w="840" w:type="dxa"/>
            <w:tcBorders>
              <w:top w:val="single" w:sz="4" w:space="0" w:color="3F3F3F"/>
              <w:left w:val="nil"/>
              <w:bottom w:val="single" w:sz="4" w:space="0" w:color="3F3F3F"/>
              <w:right w:val="single" w:sz="4" w:space="0" w:color="3F3F3F"/>
            </w:tcBorders>
            <w:noWrap/>
            <w:vAlign w:val="bottom"/>
            <w:hideMark/>
          </w:tcPr>
          <w:p w14:paraId="04E8C9D3" w14:textId="77777777" w:rsidR="009F74ED" w:rsidRPr="009F74ED" w:rsidRDefault="009F74ED" w:rsidP="009F74ED">
            <w:pPr>
              <w:rPr>
                <w:lang w:val="en-US"/>
              </w:rPr>
            </w:pPr>
            <w:r w:rsidRPr="009F74ED">
              <w:rPr>
                <w:lang w:val="en-US"/>
              </w:rPr>
              <w:t>7</w:t>
            </w:r>
          </w:p>
        </w:tc>
        <w:tc>
          <w:tcPr>
            <w:tcW w:w="994" w:type="dxa"/>
            <w:tcBorders>
              <w:top w:val="single" w:sz="4" w:space="0" w:color="3F3F3F"/>
              <w:left w:val="nil"/>
              <w:bottom w:val="single" w:sz="4" w:space="0" w:color="3F3F3F"/>
              <w:right w:val="single" w:sz="4" w:space="0" w:color="3F3F3F"/>
            </w:tcBorders>
            <w:noWrap/>
            <w:vAlign w:val="bottom"/>
            <w:hideMark/>
          </w:tcPr>
          <w:p w14:paraId="71935361" w14:textId="77777777" w:rsidR="009F74ED" w:rsidRPr="009F74ED" w:rsidRDefault="009F74ED" w:rsidP="009F74ED">
            <w:pPr>
              <w:rPr>
                <w:lang w:val="en-US"/>
              </w:rPr>
            </w:pPr>
            <w:r w:rsidRPr="009F74ED">
              <w:rPr>
                <w:lang w:val="en-US"/>
              </w:rPr>
              <w:t>8</w:t>
            </w:r>
          </w:p>
        </w:tc>
        <w:tc>
          <w:tcPr>
            <w:tcW w:w="840" w:type="dxa"/>
            <w:tcBorders>
              <w:top w:val="single" w:sz="4" w:space="0" w:color="3F3F3F"/>
              <w:left w:val="nil"/>
              <w:bottom w:val="single" w:sz="4" w:space="0" w:color="3F3F3F"/>
              <w:right w:val="single" w:sz="4" w:space="0" w:color="3F3F3F"/>
            </w:tcBorders>
            <w:noWrap/>
            <w:vAlign w:val="bottom"/>
            <w:hideMark/>
          </w:tcPr>
          <w:p w14:paraId="3BF2A521" w14:textId="77777777" w:rsidR="009F74ED" w:rsidRPr="009F74ED" w:rsidRDefault="009F74ED" w:rsidP="009F74ED">
            <w:pPr>
              <w:rPr>
                <w:lang w:val="en-US"/>
              </w:rPr>
            </w:pPr>
            <w:r w:rsidRPr="009F74ED">
              <w:rPr>
                <w:lang w:val="en-US"/>
              </w:rPr>
              <w:t>9</w:t>
            </w:r>
          </w:p>
        </w:tc>
        <w:tc>
          <w:tcPr>
            <w:tcW w:w="854" w:type="dxa"/>
            <w:tcBorders>
              <w:top w:val="single" w:sz="4" w:space="0" w:color="3F3F3F"/>
              <w:left w:val="nil"/>
              <w:bottom w:val="single" w:sz="4" w:space="0" w:color="3F3F3F"/>
              <w:right w:val="single" w:sz="4" w:space="0" w:color="3F3F3F"/>
            </w:tcBorders>
            <w:noWrap/>
            <w:vAlign w:val="bottom"/>
            <w:hideMark/>
          </w:tcPr>
          <w:p w14:paraId="66B5A440" w14:textId="77777777" w:rsidR="009F74ED" w:rsidRPr="009F74ED" w:rsidRDefault="009F74ED" w:rsidP="009F74ED">
            <w:pPr>
              <w:rPr>
                <w:lang w:val="en-US"/>
              </w:rPr>
            </w:pPr>
            <w:r w:rsidRPr="009F74ED">
              <w:rPr>
                <w:lang w:val="en-US"/>
              </w:rPr>
              <w:t>10</w:t>
            </w:r>
          </w:p>
        </w:tc>
      </w:tr>
      <w:tr w:rsidR="009F74ED" w:rsidRPr="009F74ED" w14:paraId="524F2298" w14:textId="77777777" w:rsidTr="005F4770">
        <w:trPr>
          <w:trHeight w:val="300"/>
          <w:jc w:val="center"/>
        </w:trPr>
        <w:tc>
          <w:tcPr>
            <w:tcW w:w="1243" w:type="dxa"/>
            <w:tcBorders>
              <w:top w:val="single" w:sz="4" w:space="0" w:color="3F3F3F"/>
              <w:left w:val="single" w:sz="4" w:space="0" w:color="3F3F3F"/>
              <w:bottom w:val="single" w:sz="4" w:space="0" w:color="3F3F3F"/>
              <w:right w:val="single" w:sz="4" w:space="0" w:color="3F3F3F"/>
            </w:tcBorders>
            <w:noWrap/>
            <w:vAlign w:val="bottom"/>
            <w:hideMark/>
          </w:tcPr>
          <w:p w14:paraId="62E2A730" w14:textId="77777777" w:rsidR="009F74ED" w:rsidRPr="009F74ED" w:rsidRDefault="009F74ED" w:rsidP="009F74ED">
            <w:pPr>
              <w:rPr>
                <w:lang w:val="en-US"/>
              </w:rPr>
            </w:pPr>
            <w:r w:rsidRPr="009F74ED">
              <w:rPr>
                <w:lang w:val="en-US"/>
              </w:rPr>
              <w:t>MNE</w:t>
            </w:r>
          </w:p>
        </w:tc>
        <w:tc>
          <w:tcPr>
            <w:tcW w:w="980" w:type="dxa"/>
            <w:tcBorders>
              <w:top w:val="single" w:sz="4" w:space="0" w:color="3F3F3F"/>
              <w:left w:val="nil"/>
              <w:bottom w:val="single" w:sz="4" w:space="0" w:color="3F3F3F"/>
              <w:right w:val="single" w:sz="4" w:space="0" w:color="3F3F3F"/>
            </w:tcBorders>
            <w:noWrap/>
            <w:vAlign w:val="bottom"/>
            <w:hideMark/>
          </w:tcPr>
          <w:p w14:paraId="2C34C93C" w14:textId="77777777" w:rsidR="009F74ED" w:rsidRPr="009F74ED" w:rsidRDefault="009F74ED" w:rsidP="009F74ED">
            <w:pPr>
              <w:rPr>
                <w:lang w:val="en-US"/>
              </w:rPr>
            </w:pPr>
            <w:r w:rsidRPr="009F74ED">
              <w:rPr>
                <w:lang w:val="en-US"/>
              </w:rPr>
              <w:t>-36.6</w:t>
            </w:r>
          </w:p>
        </w:tc>
        <w:tc>
          <w:tcPr>
            <w:tcW w:w="868" w:type="dxa"/>
            <w:tcBorders>
              <w:top w:val="single" w:sz="4" w:space="0" w:color="3F3F3F"/>
              <w:left w:val="nil"/>
              <w:bottom w:val="single" w:sz="4" w:space="0" w:color="3F3F3F"/>
              <w:right w:val="single" w:sz="4" w:space="0" w:color="3F3F3F"/>
            </w:tcBorders>
            <w:noWrap/>
            <w:vAlign w:val="bottom"/>
            <w:hideMark/>
          </w:tcPr>
          <w:p w14:paraId="0018D2C0" w14:textId="77777777" w:rsidR="009F74ED" w:rsidRPr="009F74ED" w:rsidRDefault="009F74ED" w:rsidP="009F74ED">
            <w:pPr>
              <w:rPr>
                <w:lang w:val="en-US"/>
              </w:rPr>
            </w:pPr>
            <w:r w:rsidRPr="009F74ED">
              <w:rPr>
                <w:lang w:val="en-US"/>
              </w:rPr>
              <w:t>19.22</w:t>
            </w:r>
          </w:p>
        </w:tc>
        <w:tc>
          <w:tcPr>
            <w:tcW w:w="966" w:type="dxa"/>
            <w:tcBorders>
              <w:top w:val="single" w:sz="4" w:space="0" w:color="3F3F3F"/>
              <w:left w:val="nil"/>
              <w:bottom w:val="single" w:sz="4" w:space="0" w:color="3F3F3F"/>
              <w:right w:val="single" w:sz="4" w:space="0" w:color="3F3F3F"/>
            </w:tcBorders>
            <w:noWrap/>
            <w:vAlign w:val="bottom"/>
            <w:hideMark/>
          </w:tcPr>
          <w:p w14:paraId="5359BBF5" w14:textId="77777777" w:rsidR="009F74ED" w:rsidRPr="009F74ED" w:rsidRDefault="009F74ED" w:rsidP="009F74ED">
            <w:pPr>
              <w:rPr>
                <w:lang w:val="en-US"/>
              </w:rPr>
            </w:pPr>
            <w:r w:rsidRPr="009F74ED">
              <w:rPr>
                <w:lang w:val="en-US"/>
              </w:rPr>
              <w:t>42.65</w:t>
            </w:r>
          </w:p>
        </w:tc>
        <w:tc>
          <w:tcPr>
            <w:tcW w:w="868" w:type="dxa"/>
            <w:tcBorders>
              <w:top w:val="single" w:sz="4" w:space="0" w:color="3F3F3F"/>
              <w:left w:val="nil"/>
              <w:bottom w:val="single" w:sz="4" w:space="0" w:color="3F3F3F"/>
              <w:right w:val="single" w:sz="4" w:space="0" w:color="3F3F3F"/>
            </w:tcBorders>
            <w:noWrap/>
            <w:vAlign w:val="bottom"/>
            <w:hideMark/>
          </w:tcPr>
          <w:p w14:paraId="348C864A" w14:textId="77777777" w:rsidR="009F74ED" w:rsidRPr="009F74ED" w:rsidRDefault="009F74ED" w:rsidP="009F74ED">
            <w:pPr>
              <w:rPr>
                <w:lang w:val="en-US"/>
              </w:rPr>
            </w:pPr>
            <w:r w:rsidRPr="009F74ED">
              <w:rPr>
                <w:lang w:val="en-US"/>
              </w:rPr>
              <w:t>0.8</w:t>
            </w:r>
          </w:p>
        </w:tc>
        <w:tc>
          <w:tcPr>
            <w:tcW w:w="993" w:type="dxa"/>
            <w:tcBorders>
              <w:top w:val="single" w:sz="4" w:space="0" w:color="3F3F3F"/>
              <w:left w:val="nil"/>
              <w:bottom w:val="single" w:sz="4" w:space="0" w:color="3F3F3F"/>
              <w:right w:val="single" w:sz="4" w:space="0" w:color="3F3F3F"/>
            </w:tcBorders>
            <w:noWrap/>
            <w:vAlign w:val="bottom"/>
            <w:hideMark/>
          </w:tcPr>
          <w:p w14:paraId="0E0895A9" w14:textId="77777777" w:rsidR="009F74ED" w:rsidRPr="009F74ED" w:rsidRDefault="009F74ED" w:rsidP="009F74ED">
            <w:pPr>
              <w:rPr>
                <w:lang w:val="en-US"/>
              </w:rPr>
            </w:pPr>
            <w:r w:rsidRPr="009F74ED">
              <w:rPr>
                <w:lang w:val="en-US"/>
              </w:rPr>
              <w:t>0.8</w:t>
            </w:r>
          </w:p>
        </w:tc>
        <w:tc>
          <w:tcPr>
            <w:tcW w:w="840" w:type="dxa"/>
            <w:tcBorders>
              <w:top w:val="single" w:sz="4" w:space="0" w:color="3F3F3F"/>
              <w:left w:val="nil"/>
              <w:bottom w:val="single" w:sz="4" w:space="0" w:color="3F3F3F"/>
              <w:right w:val="single" w:sz="4" w:space="0" w:color="3F3F3F"/>
            </w:tcBorders>
            <w:noWrap/>
            <w:vAlign w:val="bottom"/>
            <w:hideMark/>
          </w:tcPr>
          <w:p w14:paraId="7A622086" w14:textId="77777777" w:rsidR="009F74ED" w:rsidRPr="009F74ED" w:rsidRDefault="009F74ED" w:rsidP="009F74ED">
            <w:pPr>
              <w:rPr>
                <w:lang w:val="en-US"/>
              </w:rPr>
            </w:pPr>
            <w:r w:rsidRPr="009F74ED">
              <w:rPr>
                <w:lang w:val="en-US"/>
              </w:rPr>
              <w:t>0</w:t>
            </w:r>
          </w:p>
        </w:tc>
        <w:tc>
          <w:tcPr>
            <w:tcW w:w="994" w:type="dxa"/>
            <w:tcBorders>
              <w:top w:val="single" w:sz="4" w:space="0" w:color="3F3F3F"/>
              <w:left w:val="nil"/>
              <w:bottom w:val="single" w:sz="4" w:space="0" w:color="3F3F3F"/>
              <w:right w:val="single" w:sz="4" w:space="0" w:color="3F3F3F"/>
            </w:tcBorders>
            <w:noWrap/>
            <w:vAlign w:val="bottom"/>
            <w:hideMark/>
          </w:tcPr>
          <w:p w14:paraId="2186B45C" w14:textId="77777777" w:rsidR="009F74ED" w:rsidRPr="009F74ED" w:rsidRDefault="009F74ED" w:rsidP="009F74ED">
            <w:pPr>
              <w:rPr>
                <w:lang w:val="en-US"/>
              </w:rPr>
            </w:pPr>
            <w:r w:rsidRPr="009F74ED">
              <w:rPr>
                <w:lang w:val="en-US"/>
              </w:rPr>
              <w:t>-10.2</w:t>
            </w:r>
          </w:p>
        </w:tc>
        <w:tc>
          <w:tcPr>
            <w:tcW w:w="840" w:type="dxa"/>
            <w:tcBorders>
              <w:top w:val="single" w:sz="4" w:space="0" w:color="3F3F3F"/>
              <w:left w:val="nil"/>
              <w:bottom w:val="single" w:sz="4" w:space="0" w:color="3F3F3F"/>
              <w:right w:val="single" w:sz="4" w:space="0" w:color="3F3F3F"/>
            </w:tcBorders>
            <w:noWrap/>
            <w:vAlign w:val="bottom"/>
            <w:hideMark/>
          </w:tcPr>
          <w:p w14:paraId="47C1F4AE" w14:textId="77777777" w:rsidR="009F74ED" w:rsidRPr="009F74ED" w:rsidRDefault="009F74ED" w:rsidP="009F74ED">
            <w:pPr>
              <w:rPr>
                <w:lang w:val="en-US"/>
              </w:rPr>
            </w:pPr>
            <w:r w:rsidRPr="009F74ED">
              <w:rPr>
                <w:lang w:val="en-US"/>
              </w:rPr>
              <w:t>-30.8</w:t>
            </w:r>
          </w:p>
        </w:tc>
        <w:tc>
          <w:tcPr>
            <w:tcW w:w="854" w:type="dxa"/>
            <w:tcBorders>
              <w:top w:val="single" w:sz="4" w:space="0" w:color="3F3F3F"/>
              <w:left w:val="nil"/>
              <w:bottom w:val="single" w:sz="4" w:space="0" w:color="3F3F3F"/>
              <w:right w:val="single" w:sz="4" w:space="0" w:color="3F3F3F"/>
            </w:tcBorders>
            <w:noWrap/>
            <w:vAlign w:val="bottom"/>
          </w:tcPr>
          <w:p w14:paraId="76D48715" w14:textId="77777777" w:rsidR="009F74ED" w:rsidRPr="009F74ED" w:rsidRDefault="009F74ED" w:rsidP="009F74ED">
            <w:pPr>
              <w:rPr>
                <w:lang w:val="en-US"/>
              </w:rPr>
            </w:pPr>
          </w:p>
        </w:tc>
      </w:tr>
    </w:tbl>
    <w:p w14:paraId="5799BADE" w14:textId="77777777" w:rsidR="009F74ED" w:rsidRDefault="009F74ED" w:rsidP="009F74ED">
      <w:pPr>
        <w:pStyle w:val="Reasons"/>
      </w:pPr>
    </w:p>
    <w:p w14:paraId="348F9281" w14:textId="77777777" w:rsidR="009F74ED" w:rsidRPr="009F74ED" w:rsidRDefault="009F74ED" w:rsidP="009F74ED">
      <w:pPr>
        <w:jc w:val="center"/>
      </w:pPr>
      <w:r w:rsidRPr="009F74ED">
        <w:t>______________</w:t>
      </w:r>
    </w:p>
    <w:p w14:paraId="50E5857E" w14:textId="77777777" w:rsidR="009F74ED" w:rsidRDefault="009F74ED" w:rsidP="009F74ED"/>
    <w:sectPr w:rsidR="009F74ED">
      <w:headerReference w:type="default" r:id="rId14"/>
      <w:footerReference w:type="even" r:id="rId15"/>
      <w:footerReference w:type="defaul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05E8D" w14:textId="77777777" w:rsidR="0022757F" w:rsidRDefault="0022757F">
      <w:r>
        <w:separator/>
      </w:r>
    </w:p>
  </w:endnote>
  <w:endnote w:type="continuationSeparator" w:id="0">
    <w:p w14:paraId="3EF904B9"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B316" w14:textId="77777777" w:rsidR="00E45D05" w:rsidRDefault="00E45D05">
    <w:pPr>
      <w:framePr w:wrap="around" w:vAnchor="text" w:hAnchor="margin" w:xAlign="right" w:y="1"/>
    </w:pPr>
    <w:r>
      <w:fldChar w:fldCharType="begin"/>
    </w:r>
    <w:r>
      <w:instrText xml:space="preserve">PAGE  </w:instrText>
    </w:r>
    <w:r>
      <w:fldChar w:fldCharType="end"/>
    </w:r>
  </w:p>
  <w:p w14:paraId="10842F9B"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F74ED">
      <w:rPr>
        <w:noProof/>
      </w:rPr>
      <w:t>11.07.23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4F10" w14:textId="77777777" w:rsidR="00E45D05" w:rsidRDefault="00E45D05" w:rsidP="009B1EA1">
    <w:pPr>
      <w:pStyle w:val="Footer"/>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CAEA" w14:textId="77777777" w:rsidR="0022757F" w:rsidRDefault="0022757F">
      <w:r>
        <w:rPr>
          <w:b/>
        </w:rPr>
        <w:t>_______________</w:t>
      </w:r>
    </w:p>
  </w:footnote>
  <w:footnote w:type="continuationSeparator" w:id="0">
    <w:p w14:paraId="569D2015" w14:textId="77777777" w:rsidR="0022757F" w:rsidRDefault="0022757F">
      <w:r>
        <w:continuationSeparator/>
      </w:r>
    </w:p>
  </w:footnote>
  <w:footnote w:id="1">
    <w:p w14:paraId="3D366D9B" w14:textId="77777777" w:rsidR="00ED6F21" w:rsidRDefault="009F74ED" w:rsidP="00ED6F21">
      <w:pPr>
        <w:pStyle w:val="FootnoteText"/>
      </w:pPr>
      <w:r>
        <w:rPr>
          <w:rStyle w:val="FootnoteReference"/>
        </w:rPr>
        <w:t>1</w:t>
      </w:r>
      <w:r>
        <w:t xml:space="preserve"> </w:t>
      </w:r>
      <w:r>
        <w:tab/>
        <w:t xml:space="preserve">This agenda sub-item is strictly limited to the Report of the Director on any difficulties or inconsistencies encountered in the application of </w:t>
      </w:r>
      <w:r>
        <w:t>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8548"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F2AF034"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48</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700351136">
    <w:abstractNumId w:val="0"/>
  </w:num>
  <w:num w:numId="2" w16cid:durableId="16050621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22B0"/>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9F74ED"/>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419BC6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R23-WRC23-C-0048!!MSW-E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8" ma:contentTypeDescription="Create a new document." ma:contentTypeScope="" ma:versionID="0df9f56145be2948a215068d463a9860">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3d1e78e70485bd9fe6a246351da99b69"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C9E70C-1115-4A84-BBF5-888B44C6D5C3}">
  <ds:schemaRefs>
    <ds:schemaRef ds:uri="http://schemas.openxmlformats.org/officeDocument/2006/bibliography"/>
  </ds:schemaRefs>
</ds:datastoreItem>
</file>

<file path=customXml/itemProps2.xml><?xml version="1.0" encoding="utf-8"?>
<ds:datastoreItem xmlns:ds="http://schemas.openxmlformats.org/officeDocument/2006/customXml" ds:itemID="{C3821B1B-4E5E-4E77-99E6-118255C00CC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C977318E-4B8D-44C5-802F-D74B9A437F7D}">
  <ds:schemaRefs>
    <ds:schemaRef ds:uri="http://schemas.microsoft.com/sharepoint/events"/>
  </ds:schemaRefs>
</ds:datastoreItem>
</file>

<file path=customXml/itemProps4.xml><?xml version="1.0" encoding="utf-8"?>
<ds:datastoreItem xmlns:ds="http://schemas.openxmlformats.org/officeDocument/2006/customXml" ds:itemID="{E33CCCB0-9AE9-4AF2-A54C-5AB9791AB7B1}"/>
</file>

<file path=customXml/itemProps5.xml><?xml version="1.0" encoding="utf-8"?>
<ds:datastoreItem xmlns:ds="http://schemas.openxmlformats.org/officeDocument/2006/customXml" ds:itemID="{DCB36CCE-8914-4715-954F-4CACA98AC38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R23-WRC23-C-0048!!MSW-E</dc:title>
  <dc:subject>World Radiocommunication Conference - 2023</dc:subject>
  <dc:creator>Documents Proposals Manager (DPM)</dc:creator>
  <cp:keywords>DPM_v2023.5.24.1_prod</cp:keywords>
  <dc:description>Uploaded on 2015.07.06</dc:description>
  <cp:lastModifiedBy>Arnould, Carine</cp:lastModifiedBy>
  <cp:revision>2</cp:revision>
  <cp:lastPrinted>2017-02-10T08:23:00Z</cp:lastPrinted>
  <dcterms:created xsi:type="dcterms:W3CDTF">2023-07-11T11:49:00Z</dcterms:created>
  <dcterms:modified xsi:type="dcterms:W3CDTF">2023-07-11T11:49:00Z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