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00D576A" w14:textId="77777777" w:rsidTr="00752552">
        <w:trPr>
          <w:cantSplit/>
          <w:trHeight w:val="20"/>
        </w:trPr>
        <w:tc>
          <w:tcPr>
            <w:tcW w:w="1589" w:type="dxa"/>
            <w:vAlign w:val="center"/>
          </w:tcPr>
          <w:p w14:paraId="7DDA3C0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8FCD665" wp14:editId="66B9A86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83EEA4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0AFB10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F27AC64" w14:textId="77777777" w:rsidR="00752552" w:rsidRPr="000D1EE4" w:rsidRDefault="00752552" w:rsidP="00752552">
            <w:pPr>
              <w:jc w:val="right"/>
              <w:rPr>
                <w:rtl/>
                <w:lang w:bidi="ar-EG"/>
              </w:rPr>
            </w:pPr>
            <w:bookmarkStart w:id="0" w:name="ditulogo"/>
            <w:bookmarkEnd w:id="0"/>
            <w:r>
              <w:rPr>
                <w:noProof/>
              </w:rPr>
              <w:drawing>
                <wp:inline distT="0" distB="0" distL="0" distR="0" wp14:anchorId="7B7E245F" wp14:editId="3146501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2F05CA3" w14:textId="77777777" w:rsidTr="00752552">
        <w:trPr>
          <w:cantSplit/>
          <w:trHeight w:val="20"/>
        </w:trPr>
        <w:tc>
          <w:tcPr>
            <w:tcW w:w="6696" w:type="dxa"/>
            <w:gridSpan w:val="2"/>
            <w:tcBorders>
              <w:bottom w:val="single" w:sz="12" w:space="0" w:color="auto"/>
            </w:tcBorders>
          </w:tcPr>
          <w:p w14:paraId="5ADF443D" w14:textId="77777777" w:rsidR="000D1EE4" w:rsidRPr="000D1EE4" w:rsidRDefault="000D1EE4" w:rsidP="000D1EE4">
            <w:pPr>
              <w:rPr>
                <w:rtl/>
                <w:lang w:bidi="ar-EG"/>
              </w:rPr>
            </w:pPr>
          </w:p>
        </w:tc>
        <w:tc>
          <w:tcPr>
            <w:tcW w:w="2970" w:type="dxa"/>
            <w:gridSpan w:val="2"/>
            <w:tcBorders>
              <w:bottom w:val="single" w:sz="12" w:space="0" w:color="auto"/>
            </w:tcBorders>
          </w:tcPr>
          <w:p w14:paraId="4249C3FB" w14:textId="77777777" w:rsidR="000D1EE4" w:rsidRPr="000D1EE4" w:rsidRDefault="000D1EE4" w:rsidP="000D1EE4">
            <w:pPr>
              <w:rPr>
                <w:lang w:val="en-GB" w:bidi="ar-EG"/>
              </w:rPr>
            </w:pPr>
          </w:p>
        </w:tc>
      </w:tr>
      <w:tr w:rsidR="000D1EE4" w:rsidRPr="000D1EE4" w14:paraId="5BE68941" w14:textId="77777777" w:rsidTr="00752552">
        <w:trPr>
          <w:cantSplit/>
          <w:trHeight w:val="20"/>
        </w:trPr>
        <w:tc>
          <w:tcPr>
            <w:tcW w:w="6696" w:type="dxa"/>
            <w:gridSpan w:val="2"/>
            <w:tcBorders>
              <w:top w:val="single" w:sz="12" w:space="0" w:color="auto"/>
            </w:tcBorders>
          </w:tcPr>
          <w:p w14:paraId="7A1E94A1" w14:textId="77777777" w:rsidR="000D1EE4" w:rsidRPr="000D1EE4" w:rsidRDefault="000D1EE4" w:rsidP="00084CB4">
            <w:pPr>
              <w:spacing w:before="0" w:line="240" w:lineRule="exact"/>
              <w:rPr>
                <w:b/>
                <w:bCs/>
                <w:rtl/>
                <w:lang w:bidi="ar-EG"/>
              </w:rPr>
            </w:pPr>
          </w:p>
        </w:tc>
        <w:tc>
          <w:tcPr>
            <w:tcW w:w="2970" w:type="dxa"/>
            <w:gridSpan w:val="2"/>
            <w:tcBorders>
              <w:top w:val="single" w:sz="12" w:space="0" w:color="auto"/>
            </w:tcBorders>
          </w:tcPr>
          <w:p w14:paraId="0238E645" w14:textId="77777777" w:rsidR="000D1EE4" w:rsidRPr="000D1EE4" w:rsidRDefault="000D1EE4" w:rsidP="00084CB4">
            <w:pPr>
              <w:spacing w:before="0" w:line="240" w:lineRule="exact"/>
              <w:rPr>
                <w:b/>
                <w:bCs/>
                <w:lang w:bidi="ar-EG"/>
              </w:rPr>
            </w:pPr>
          </w:p>
        </w:tc>
      </w:tr>
      <w:tr w:rsidR="000D1EE4" w:rsidRPr="000D1EE4" w14:paraId="6A0E5D3F" w14:textId="77777777" w:rsidTr="00752552">
        <w:trPr>
          <w:cantSplit/>
        </w:trPr>
        <w:tc>
          <w:tcPr>
            <w:tcW w:w="6696" w:type="dxa"/>
            <w:gridSpan w:val="2"/>
          </w:tcPr>
          <w:p w14:paraId="362C788E" w14:textId="77777777" w:rsidR="000D1EE4" w:rsidRPr="00084CB4" w:rsidRDefault="00E50850" w:rsidP="000D1EE4">
            <w:pPr>
              <w:spacing w:before="60" w:after="60" w:line="260" w:lineRule="exact"/>
              <w:rPr>
                <w:b/>
                <w:bCs/>
                <w:rtl/>
                <w:lang w:bidi="ar-EG"/>
              </w:rPr>
            </w:pPr>
            <w:r w:rsidRPr="00084CB4">
              <w:rPr>
                <w:b/>
                <w:bCs/>
                <w:rtl/>
                <w:lang w:bidi="ar-EG"/>
              </w:rPr>
              <w:t>الجلسة العامة</w:t>
            </w:r>
          </w:p>
        </w:tc>
        <w:tc>
          <w:tcPr>
            <w:tcW w:w="2970" w:type="dxa"/>
            <w:gridSpan w:val="2"/>
          </w:tcPr>
          <w:p w14:paraId="6319A651" w14:textId="77777777" w:rsidR="000D1EE4" w:rsidRPr="00084CB4" w:rsidRDefault="00E50850" w:rsidP="000D1EE4">
            <w:pPr>
              <w:spacing w:before="60" w:after="60" w:line="260" w:lineRule="exact"/>
              <w:rPr>
                <w:b/>
                <w:bCs/>
                <w:rtl/>
                <w:lang w:bidi="ar-EG"/>
              </w:rPr>
            </w:pPr>
            <w:r w:rsidRPr="00084CB4">
              <w:rPr>
                <w:rFonts w:eastAsia="SimSun"/>
                <w:b/>
                <w:bCs/>
                <w:rtl/>
                <w:lang w:bidi="ar-EG"/>
              </w:rPr>
              <w:t xml:space="preserve">الوثيقة </w:t>
            </w:r>
            <w:r w:rsidRPr="00084CB4">
              <w:rPr>
                <w:rFonts w:eastAsia="SimSun"/>
                <w:b/>
                <w:bCs/>
              </w:rPr>
              <w:t>48-A</w:t>
            </w:r>
          </w:p>
        </w:tc>
      </w:tr>
      <w:tr w:rsidR="000D1EE4" w:rsidRPr="000D1EE4" w14:paraId="63D90497" w14:textId="77777777" w:rsidTr="00752552">
        <w:trPr>
          <w:cantSplit/>
        </w:trPr>
        <w:tc>
          <w:tcPr>
            <w:tcW w:w="6696" w:type="dxa"/>
            <w:gridSpan w:val="2"/>
          </w:tcPr>
          <w:p w14:paraId="441C2256" w14:textId="77777777" w:rsidR="000D1EE4" w:rsidRPr="00084CB4" w:rsidRDefault="000D1EE4" w:rsidP="000D1EE4">
            <w:pPr>
              <w:spacing w:before="60" w:after="60" w:line="260" w:lineRule="exact"/>
              <w:rPr>
                <w:b/>
                <w:bCs/>
                <w:rtl/>
                <w:lang w:bidi="ar-EG"/>
              </w:rPr>
            </w:pPr>
          </w:p>
        </w:tc>
        <w:tc>
          <w:tcPr>
            <w:tcW w:w="2970" w:type="dxa"/>
            <w:gridSpan w:val="2"/>
          </w:tcPr>
          <w:p w14:paraId="065E1F07" w14:textId="77777777" w:rsidR="000D1EE4" w:rsidRPr="00084CB4" w:rsidRDefault="00E50850" w:rsidP="000D1EE4">
            <w:pPr>
              <w:spacing w:before="60" w:after="60" w:line="260" w:lineRule="exact"/>
              <w:rPr>
                <w:b/>
                <w:bCs/>
                <w:rtl/>
                <w:lang w:bidi="ar-EG"/>
              </w:rPr>
            </w:pPr>
            <w:r w:rsidRPr="00084CB4">
              <w:rPr>
                <w:rFonts w:eastAsia="SimSun"/>
                <w:b/>
                <w:bCs/>
              </w:rPr>
              <w:t>7</w:t>
            </w:r>
            <w:r w:rsidRPr="00084CB4">
              <w:rPr>
                <w:rFonts w:eastAsia="SimSun"/>
                <w:b/>
                <w:bCs/>
                <w:rtl/>
              </w:rPr>
              <w:t xml:space="preserve"> يوليو </w:t>
            </w:r>
            <w:r w:rsidRPr="00084CB4">
              <w:rPr>
                <w:rFonts w:eastAsia="SimSun"/>
                <w:b/>
                <w:bCs/>
              </w:rPr>
              <w:t>2023</w:t>
            </w:r>
          </w:p>
        </w:tc>
      </w:tr>
      <w:tr w:rsidR="000D1EE4" w:rsidRPr="000D1EE4" w14:paraId="5227C6F5" w14:textId="77777777" w:rsidTr="00752552">
        <w:trPr>
          <w:cantSplit/>
        </w:trPr>
        <w:tc>
          <w:tcPr>
            <w:tcW w:w="6696" w:type="dxa"/>
            <w:gridSpan w:val="2"/>
          </w:tcPr>
          <w:p w14:paraId="179205C6" w14:textId="77777777" w:rsidR="000D1EE4" w:rsidRPr="00084CB4" w:rsidRDefault="000D1EE4" w:rsidP="000D1EE4">
            <w:pPr>
              <w:spacing w:before="60" w:after="60" w:line="260" w:lineRule="exact"/>
              <w:rPr>
                <w:b/>
                <w:bCs/>
                <w:rtl/>
                <w:lang w:bidi="ar-EG"/>
              </w:rPr>
            </w:pPr>
          </w:p>
        </w:tc>
        <w:tc>
          <w:tcPr>
            <w:tcW w:w="2970" w:type="dxa"/>
            <w:gridSpan w:val="2"/>
          </w:tcPr>
          <w:p w14:paraId="57F44C81" w14:textId="77777777" w:rsidR="000D1EE4" w:rsidRPr="00084CB4" w:rsidRDefault="00E50850" w:rsidP="000D1EE4">
            <w:pPr>
              <w:spacing w:before="60" w:after="60" w:line="260" w:lineRule="exact"/>
              <w:rPr>
                <w:b/>
                <w:bCs/>
                <w:lang w:bidi="ar-EG"/>
              </w:rPr>
            </w:pPr>
            <w:r w:rsidRPr="00084CB4">
              <w:rPr>
                <w:b/>
                <w:bCs/>
                <w:rtl/>
                <w:lang w:bidi="ar-EG"/>
              </w:rPr>
              <w:t>الأصل: بالإنكليزية</w:t>
            </w:r>
          </w:p>
        </w:tc>
      </w:tr>
      <w:tr w:rsidR="000D1EE4" w:rsidRPr="000D1EE4" w14:paraId="6E44E9AB" w14:textId="77777777" w:rsidTr="00752552">
        <w:trPr>
          <w:cantSplit/>
        </w:trPr>
        <w:tc>
          <w:tcPr>
            <w:tcW w:w="9666" w:type="dxa"/>
            <w:gridSpan w:val="4"/>
          </w:tcPr>
          <w:p w14:paraId="5B087387" w14:textId="77777777" w:rsidR="000D1EE4" w:rsidRPr="000D1EE4" w:rsidRDefault="000D1EE4" w:rsidP="000D1EE4">
            <w:pPr>
              <w:rPr>
                <w:b/>
                <w:bCs/>
                <w:lang w:bidi="ar-EG"/>
              </w:rPr>
            </w:pPr>
          </w:p>
        </w:tc>
      </w:tr>
      <w:tr w:rsidR="000D1EE4" w:rsidRPr="000D1EE4" w14:paraId="7A752759" w14:textId="77777777" w:rsidTr="00752552">
        <w:trPr>
          <w:cantSplit/>
        </w:trPr>
        <w:tc>
          <w:tcPr>
            <w:tcW w:w="9666" w:type="dxa"/>
            <w:gridSpan w:val="4"/>
          </w:tcPr>
          <w:p w14:paraId="64C526FA" w14:textId="318D06C6" w:rsidR="000D1EE4" w:rsidRPr="000D1EE4" w:rsidRDefault="000D1EE4" w:rsidP="000D1EE4">
            <w:pPr>
              <w:pStyle w:val="Source"/>
              <w:rPr>
                <w:rtl/>
                <w:lang w:bidi="ar-SA"/>
              </w:rPr>
            </w:pPr>
            <w:r w:rsidRPr="000D1EE4">
              <w:rPr>
                <w:rtl/>
              </w:rPr>
              <w:t>الجبل الأسود</w:t>
            </w:r>
          </w:p>
        </w:tc>
      </w:tr>
      <w:tr w:rsidR="000D1EE4" w:rsidRPr="000D1EE4" w14:paraId="186B6009" w14:textId="77777777" w:rsidTr="00752552">
        <w:trPr>
          <w:cantSplit/>
        </w:trPr>
        <w:tc>
          <w:tcPr>
            <w:tcW w:w="9666" w:type="dxa"/>
            <w:gridSpan w:val="4"/>
          </w:tcPr>
          <w:p w14:paraId="7B737C10" w14:textId="5510A36A" w:rsidR="000D1EE4" w:rsidRPr="000D1EE4" w:rsidRDefault="00084CB4" w:rsidP="000D1EE4">
            <w:pPr>
              <w:pStyle w:val="Title1"/>
              <w:rPr>
                <w:rtl/>
              </w:rPr>
            </w:pPr>
            <w:r w:rsidRPr="00084CB4">
              <w:rPr>
                <w:rtl/>
              </w:rPr>
              <w:t>مقترحات بشأن أعمال المؤتمر</w:t>
            </w:r>
          </w:p>
        </w:tc>
      </w:tr>
      <w:tr w:rsidR="000D1EE4" w:rsidRPr="000D1EE4" w14:paraId="1859A021" w14:textId="77777777" w:rsidTr="00752552">
        <w:trPr>
          <w:cantSplit/>
        </w:trPr>
        <w:tc>
          <w:tcPr>
            <w:tcW w:w="9666" w:type="dxa"/>
            <w:gridSpan w:val="4"/>
          </w:tcPr>
          <w:p w14:paraId="6A4FF43C" w14:textId="533CA209" w:rsidR="000D1EE4" w:rsidRPr="000D1EE4" w:rsidRDefault="00B21559" w:rsidP="000D1EE4">
            <w:pPr>
              <w:pStyle w:val="Title2"/>
              <w:rPr>
                <w:rtl/>
              </w:rPr>
            </w:pPr>
            <w:r>
              <w:rPr>
                <w:rFonts w:hint="cs"/>
                <w:rtl/>
              </w:rPr>
              <w:t xml:space="preserve">إدراج تعيين جديد في خطة الخدمة الثابتة الساتلية (التذييل </w:t>
            </w:r>
            <w:r>
              <w:t>30B</w:t>
            </w:r>
            <w:r>
              <w:rPr>
                <w:rFonts w:hint="cs"/>
                <w:rtl/>
              </w:rPr>
              <w:t>)</w:t>
            </w:r>
            <w:r>
              <w:rPr>
                <w:rtl/>
              </w:rPr>
              <w:br/>
            </w:r>
            <w:r>
              <w:rPr>
                <w:rFonts w:hint="cs"/>
                <w:rtl/>
              </w:rPr>
              <w:t xml:space="preserve">بعد استكمال </w:t>
            </w:r>
            <w:r w:rsidR="00EB7398">
              <w:rPr>
                <w:rFonts w:hint="cs"/>
                <w:rtl/>
              </w:rPr>
              <w:t>ال</w:t>
            </w:r>
            <w:r>
              <w:rPr>
                <w:rFonts w:hint="cs"/>
                <w:rtl/>
              </w:rPr>
              <w:t>إجراء</w:t>
            </w:r>
            <w:r w:rsidR="00EB7398">
              <w:rPr>
                <w:rFonts w:hint="cs"/>
                <w:rtl/>
              </w:rPr>
              <w:t xml:space="preserve"> المنصوص عليه في</w:t>
            </w:r>
            <w:r>
              <w:rPr>
                <w:rFonts w:hint="cs"/>
                <w:rtl/>
              </w:rPr>
              <w:t xml:space="preserve"> المادة 6 من التذييل </w:t>
            </w:r>
            <w:r>
              <w:t>30B</w:t>
            </w:r>
            <w:r>
              <w:rPr>
                <w:rFonts w:hint="cs"/>
                <w:rtl/>
              </w:rPr>
              <w:t xml:space="preserve"> </w:t>
            </w:r>
            <w:r w:rsidR="00EB7398">
              <w:rPr>
                <w:rFonts w:hint="cs"/>
                <w:rtl/>
              </w:rPr>
              <w:t xml:space="preserve">بنجاح </w:t>
            </w:r>
            <w:r>
              <w:rPr>
                <w:rFonts w:hint="cs"/>
                <w:rtl/>
              </w:rPr>
              <w:t xml:space="preserve">فيما يتعلق بالتخصيصات الواردة في القائمة، وفقاً للفقرة 35.6 من المادة 6 من التذييل </w:t>
            </w:r>
            <w:r>
              <w:t>30B</w:t>
            </w:r>
          </w:p>
        </w:tc>
      </w:tr>
      <w:tr w:rsidR="00E50850" w:rsidRPr="000D1EE4" w14:paraId="39EE679C" w14:textId="77777777" w:rsidTr="00752552">
        <w:trPr>
          <w:cantSplit/>
        </w:trPr>
        <w:tc>
          <w:tcPr>
            <w:tcW w:w="9666" w:type="dxa"/>
            <w:gridSpan w:val="4"/>
          </w:tcPr>
          <w:p w14:paraId="4160CEE8" w14:textId="3CADB243" w:rsidR="00E50850" w:rsidRPr="000D1EE4" w:rsidRDefault="00E50850" w:rsidP="00E50850">
            <w:pPr>
              <w:pStyle w:val="Agendaitem"/>
            </w:pPr>
            <w:r>
              <w:rPr>
                <w:rtl/>
              </w:rPr>
              <w:t>بند جدول الأعمال</w:t>
            </w:r>
            <w:r w:rsidR="00D90493">
              <w:rPr>
                <w:rFonts w:hint="cs"/>
                <w:rtl/>
              </w:rPr>
              <w:t xml:space="preserve"> </w:t>
            </w:r>
            <w:r w:rsidR="00D90493">
              <w:rPr>
                <w:rtl/>
              </w:rPr>
              <w:t>2.9</w:t>
            </w:r>
          </w:p>
        </w:tc>
      </w:tr>
    </w:tbl>
    <w:p w14:paraId="0A099089" w14:textId="77777777" w:rsidR="00447522" w:rsidRPr="00FE2CFF" w:rsidRDefault="00C945B4" w:rsidP="00CA4154">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5526658" w14:textId="77777777" w:rsidR="00C00FD9" w:rsidRPr="00FE2CFF" w:rsidRDefault="00C945B4"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52D1663" w14:textId="2D9AA2F3" w:rsidR="00147EC8" w:rsidRPr="00112DE5" w:rsidRDefault="00D90493" w:rsidP="00D90493">
      <w:pPr>
        <w:pStyle w:val="Headingb"/>
        <w:rPr>
          <w:rtl/>
        </w:rPr>
      </w:pPr>
      <w:r>
        <w:rPr>
          <w:rFonts w:hint="cs"/>
          <w:rtl/>
        </w:rPr>
        <w:t>مقدمة</w:t>
      </w:r>
    </w:p>
    <w:p w14:paraId="6D4FDE3B" w14:textId="5EDE279D" w:rsidR="00B21559" w:rsidRDefault="00B21559" w:rsidP="00D90493">
      <w:pPr>
        <w:rPr>
          <w:rtl/>
        </w:rPr>
      </w:pPr>
      <w:r>
        <w:rPr>
          <w:rFonts w:hint="cs"/>
          <w:rtl/>
          <w:lang w:bidi="ar-EG"/>
        </w:rPr>
        <w:t xml:space="preserve">انضمت إدارة الجبل الأسود إلى الاتحاد كدولة عضو في 21 يونيو 2006 </w:t>
      </w:r>
      <w:r w:rsidR="001A1D3D">
        <w:rPr>
          <w:rFonts w:hint="cs"/>
          <w:rtl/>
          <w:lang w:bidi="ar-EG"/>
        </w:rPr>
        <w:t>ولا يوجد</w:t>
      </w:r>
      <w:r w:rsidR="00E30C79">
        <w:rPr>
          <w:rFonts w:hint="cs"/>
          <w:rtl/>
          <w:lang w:bidi="ar-EG"/>
        </w:rPr>
        <w:t xml:space="preserve"> لديها تعيين وطني في الخطة أو تخصيص في</w:t>
      </w:r>
      <w:r w:rsidR="005C566A">
        <w:rPr>
          <w:rFonts w:hint="eastAsia"/>
          <w:rtl/>
          <w:lang w:bidi="ar-EG"/>
        </w:rPr>
        <w:t> </w:t>
      </w:r>
      <w:r w:rsidR="00E30C79">
        <w:rPr>
          <w:rFonts w:hint="cs"/>
          <w:rtl/>
          <w:lang w:bidi="ar-EG"/>
        </w:rPr>
        <w:t xml:space="preserve">القائمة ناشئ عن تحويل تعيين، وقد طبقت الإجراء اللازم لإدراج تخصيصات جديدة في القائمة والحصول على النفاذ المنصف إلى مدار السواتل المستقرة بالنسبة إلى الأرض في نطاقات التردد للخدمة الثابتة الساتلية واتبعت الإجراء الخاص بالمادة 6 من التذييل </w:t>
      </w:r>
      <w:r w:rsidR="00E30C79" w:rsidRPr="00E30C79">
        <w:rPr>
          <w:b/>
          <w:bCs/>
        </w:rPr>
        <w:t>30B</w:t>
      </w:r>
      <w:r w:rsidR="00E30C79">
        <w:rPr>
          <w:rFonts w:hint="cs"/>
          <w:rtl/>
        </w:rPr>
        <w:t xml:space="preserve"> للوائح الراديو.</w:t>
      </w:r>
    </w:p>
    <w:p w14:paraId="507BBB3E" w14:textId="3FD99AE9" w:rsidR="00E30C79" w:rsidRPr="00E30C79" w:rsidRDefault="00E30C79" w:rsidP="00D90493">
      <w:pPr>
        <w:rPr>
          <w:b/>
          <w:bCs/>
          <w:rtl/>
          <w:lang w:bidi="ar-EG"/>
        </w:rPr>
      </w:pPr>
      <w:r>
        <w:rPr>
          <w:rFonts w:hint="cs"/>
          <w:rtl/>
        </w:rPr>
        <w:t xml:space="preserve">وقدمت هذه الإدارة إلى المكتب المعلومات التقنية ذات الصلة بموجب المادة 7 من التذييل </w:t>
      </w:r>
      <w:r w:rsidRPr="00A7064F">
        <w:rPr>
          <w:b/>
          <w:bCs/>
        </w:rPr>
        <w:t>30B</w:t>
      </w:r>
      <w:r>
        <w:rPr>
          <w:rFonts w:hint="cs"/>
          <w:rtl/>
        </w:rPr>
        <w:t xml:space="preserve"> والتي عولجت فيما بعد بموجب الفقرة 1.6 من المادة 6 من التذييل</w:t>
      </w:r>
      <w:r>
        <w:rPr>
          <w:rFonts w:hint="cs"/>
          <w:b/>
          <w:bCs/>
          <w:rtl/>
        </w:rPr>
        <w:t xml:space="preserve"> </w:t>
      </w:r>
      <w:r w:rsidRPr="00A7064F">
        <w:rPr>
          <w:b/>
          <w:bCs/>
        </w:rPr>
        <w:t>30B</w:t>
      </w:r>
      <w:r>
        <w:rPr>
          <w:rFonts w:hint="cs"/>
          <w:rtl/>
        </w:rPr>
        <w:t xml:space="preserve"> ونُشرت في القسم الخاص </w:t>
      </w:r>
      <w:r w:rsidR="00E1576F" w:rsidRPr="009F74ED">
        <w:t>AP30B/A6A/243</w:t>
      </w:r>
      <w:r>
        <w:rPr>
          <w:rFonts w:hint="cs"/>
          <w:rtl/>
        </w:rPr>
        <w:t xml:space="preserve"> الملحق بالنشرة الإعلامية الدولية </w:t>
      </w:r>
      <w:r w:rsidR="001A1D3D">
        <w:rPr>
          <w:rFonts w:hint="cs"/>
          <w:rtl/>
        </w:rPr>
        <w:t xml:space="preserve">للترددات </w:t>
      </w:r>
      <w:r>
        <w:rPr>
          <w:rFonts w:hint="cs"/>
          <w:rtl/>
        </w:rPr>
        <w:t>الصادرة عن مكتب الاتصالات الراديوية برقم 2742 وتاريخ 16 أبريل 2013.</w:t>
      </w:r>
    </w:p>
    <w:p w14:paraId="4A290BAF" w14:textId="363CE810" w:rsidR="004C67F1" w:rsidRDefault="00D90493" w:rsidP="001A1D3D">
      <w:pPr>
        <w:rPr>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w:t>
      </w:r>
      <w:r w:rsidR="001A1D3D">
        <w:rPr>
          <w:rFonts w:hint="cs"/>
          <w:spacing w:val="-2"/>
          <w:rtl/>
          <w:lang w:val="en-GB" w:bidi="ar-EG"/>
        </w:rPr>
        <w:t>بالمادة 6</w:t>
      </w:r>
      <w:r w:rsidRPr="00FF2C8E">
        <w:rPr>
          <w:rFonts w:hint="cs"/>
          <w:spacing w:val="-2"/>
          <w:rtl/>
          <w:lang w:val="en-GB" w:bidi="ar-EG"/>
        </w:rPr>
        <w:t xml:space="preserve">، أُدرجت تخصيصات التردد للشبكة الساتلية </w:t>
      </w:r>
      <w:r>
        <w:rPr>
          <w:b/>
          <w:bCs/>
        </w:rPr>
        <w:t>MNE00000</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w:t>
      </w:r>
      <w:r w:rsidR="001A1D3D">
        <w:rPr>
          <w:rFonts w:hint="cs"/>
          <w:spacing w:val="-2"/>
          <w:rtl/>
          <w:lang w:val="en-GB" w:bidi="ar-EG"/>
        </w:rPr>
        <w:t>التذييل</w:t>
      </w:r>
      <w:r w:rsidRPr="00FF2C8E">
        <w:rPr>
          <w:rFonts w:hint="cs"/>
          <w:spacing w:val="-2"/>
          <w:rtl/>
          <w:lang w:val="en-GB" w:bidi="ar-EG"/>
        </w:rPr>
        <w:t xml:space="preserve"> </w:t>
      </w:r>
      <w:r w:rsidR="001A1D3D" w:rsidRPr="00A7064F">
        <w:rPr>
          <w:b/>
          <w:bCs/>
        </w:rPr>
        <w:t>30B</w:t>
      </w:r>
      <w:r w:rsidR="001A1D3D">
        <w:rPr>
          <w:rFonts w:hint="cs"/>
          <w:rtl/>
        </w:rPr>
        <w:t xml:space="preserve"> </w:t>
      </w:r>
      <w:r w:rsidRPr="00FF2C8E">
        <w:rPr>
          <w:rFonts w:hint="cs"/>
          <w:spacing w:val="-2"/>
          <w:rtl/>
          <w:lang w:val="en-GB" w:bidi="ar-EG"/>
        </w:rPr>
        <w:t>على نحو ما أكد المكتب في</w:t>
      </w:r>
      <w:r w:rsidR="003D46C0">
        <w:rPr>
          <w:rFonts w:hint="cs"/>
          <w:spacing w:val="-2"/>
          <w:rtl/>
          <w:lang w:val="en-GB" w:bidi="ar-EG"/>
        </w:rPr>
        <w:t xml:space="preserve"> القسم</w:t>
      </w:r>
      <w:r w:rsidRPr="00FF2C8E">
        <w:rPr>
          <w:rFonts w:hint="cs"/>
          <w:spacing w:val="-2"/>
          <w:rtl/>
          <w:lang w:val="en-GB" w:bidi="ar-EG"/>
        </w:rPr>
        <w:t xml:space="preserve"> </w:t>
      </w:r>
      <w:r w:rsidR="001A1D3D">
        <w:rPr>
          <w:rFonts w:hint="cs"/>
          <w:rtl/>
        </w:rPr>
        <w:t xml:space="preserve">الخاص </w:t>
      </w:r>
      <w:r w:rsidR="001A1D3D" w:rsidRPr="009F74ED">
        <w:t>AP30B/A6</w:t>
      </w:r>
      <w:r w:rsidR="001A1D3D">
        <w:t>B</w:t>
      </w:r>
      <w:r w:rsidR="001A1D3D" w:rsidRPr="009F74ED">
        <w:t>/</w:t>
      </w:r>
      <w:r w:rsidR="001A1D3D">
        <w:t>167</w:t>
      </w:r>
      <w:r w:rsidR="001A1D3D">
        <w:rPr>
          <w:rFonts w:hint="cs"/>
          <w:rtl/>
        </w:rPr>
        <w:t xml:space="preserve"> الملحق بالنشرة الإعلامية الدولية</w:t>
      </w:r>
      <w:r w:rsidR="001A1D3D">
        <w:rPr>
          <w:rFonts w:hint="cs"/>
          <w:rtl/>
          <w:lang w:bidi="ar-EG"/>
        </w:rPr>
        <w:t xml:space="preserve"> للترددات</w:t>
      </w:r>
      <w:r w:rsidR="001A1D3D">
        <w:rPr>
          <w:rFonts w:hint="cs"/>
          <w:rtl/>
        </w:rPr>
        <w:t xml:space="preserve"> الصادرة عن مكتب الاتصالات الراديوية برقم 2962 وتاريخ 11 يناير 2022.</w:t>
      </w:r>
      <w:r w:rsidR="004C67F1">
        <w:rPr>
          <w:rtl/>
          <w:lang w:val="en-GB" w:bidi="ar-EG"/>
        </w:rPr>
        <w:br w:type="page"/>
      </w:r>
    </w:p>
    <w:p w14:paraId="23B20C6C" w14:textId="162C2128" w:rsidR="00FD7BB8" w:rsidRDefault="00D90493" w:rsidP="00D90493">
      <w:pPr>
        <w:pStyle w:val="Headingb"/>
        <w:rPr>
          <w:rtl/>
          <w:lang w:val="en-GB"/>
        </w:rPr>
      </w:pPr>
      <w:r>
        <w:rPr>
          <w:rFonts w:hint="cs"/>
          <w:rtl/>
          <w:lang w:val="en-GB"/>
        </w:rPr>
        <w:lastRenderedPageBreak/>
        <w:t>المقترح</w:t>
      </w:r>
    </w:p>
    <w:p w14:paraId="448F5773" w14:textId="3600A6B1" w:rsidR="00A73C44" w:rsidRDefault="00C945B4">
      <w:pPr>
        <w:pStyle w:val="Proposal"/>
        <w:rPr>
          <w:rtl/>
        </w:rPr>
      </w:pPr>
      <w:r>
        <w:tab/>
        <w:t>MNE/48/1</w:t>
      </w:r>
    </w:p>
    <w:p w14:paraId="08D0F57C" w14:textId="4EFCF3F3" w:rsidR="003D46C0" w:rsidRDefault="00D90493" w:rsidP="003D46C0">
      <w:pPr>
        <w:rPr>
          <w:rtl/>
          <w:lang w:val="en-GB" w:bidi="ar-EG"/>
        </w:rPr>
      </w:pPr>
      <w:r w:rsidRPr="002E5191">
        <w:rPr>
          <w:rFonts w:hint="cs"/>
          <w:rtl/>
          <w:lang w:bidi="ar-EG"/>
        </w:rPr>
        <w:t xml:space="preserve">بعد أن طبقت </w:t>
      </w:r>
      <w:r>
        <w:rPr>
          <w:rFonts w:hint="cs"/>
          <w:rtl/>
          <w:lang w:bidi="ar-EG"/>
        </w:rPr>
        <w:t>هذه الإدارة</w:t>
      </w:r>
      <w:r w:rsidRPr="002E5191">
        <w:rPr>
          <w:rFonts w:hint="cs"/>
          <w:rtl/>
          <w:lang w:bidi="ar-EG"/>
        </w:rPr>
        <w:t xml:space="preserve"> بنجاح</w:t>
      </w:r>
      <w:r w:rsidR="003D46C0">
        <w:rPr>
          <w:rFonts w:hint="cs"/>
          <w:rtl/>
          <w:lang w:bidi="ar-EG"/>
        </w:rPr>
        <w:t xml:space="preserve"> المادة 6 من التذييل </w:t>
      </w:r>
      <w:r w:rsidR="003D46C0" w:rsidRPr="00A7064F">
        <w:rPr>
          <w:b/>
          <w:bCs/>
        </w:rPr>
        <w:t>30B</w:t>
      </w:r>
      <w:r w:rsidR="003D46C0">
        <w:rPr>
          <w:rFonts w:hint="cs"/>
          <w:rtl/>
          <w:lang w:bidi="ar-EG"/>
        </w:rPr>
        <w:t xml:space="preserve"> للوائح الراديو </w:t>
      </w:r>
      <w:r w:rsidRPr="002E5191">
        <w:rPr>
          <w:rFonts w:hint="cs"/>
          <w:rtl/>
          <w:lang w:bidi="ar-EG"/>
        </w:rPr>
        <w:t>وأُدرجت في قائمة ا</w:t>
      </w:r>
      <w:r w:rsidR="003D46C0">
        <w:rPr>
          <w:rFonts w:hint="cs"/>
          <w:rtl/>
          <w:lang w:bidi="ar-EG"/>
        </w:rPr>
        <w:t xml:space="preserve">لتذييل </w:t>
      </w:r>
      <w:r w:rsidR="003D46C0" w:rsidRPr="00A7064F">
        <w:rPr>
          <w:b/>
          <w:bCs/>
        </w:rPr>
        <w:t>30B</w:t>
      </w:r>
      <w:r w:rsidRPr="002E5191">
        <w:rPr>
          <w:rFonts w:hint="cs"/>
          <w:rtl/>
          <w:lang w:val="en-GB" w:bidi="ar-EG"/>
        </w:rPr>
        <w:t xml:space="preserve"> تخصيصات التردد لشبكتها الساتلية </w:t>
      </w:r>
      <w:r>
        <w:rPr>
          <w:b/>
          <w:bCs/>
        </w:rPr>
        <w:t>MNE00000</w:t>
      </w:r>
      <w:r>
        <w:rPr>
          <w:rFonts w:hint="cs"/>
          <w:rtl/>
        </w:rPr>
        <w:t xml:space="preserve"> </w:t>
      </w:r>
      <w:r w:rsidRPr="00EB7398">
        <w:rPr>
          <w:rFonts w:hint="cs"/>
          <w:rtl/>
          <w:lang w:val="en-GB" w:bidi="ar-EG"/>
        </w:rPr>
        <w:t>التي</w:t>
      </w:r>
      <w:r w:rsidRPr="002E5191">
        <w:rPr>
          <w:rFonts w:hint="cs"/>
          <w:rtl/>
          <w:lang w:val="en-GB" w:bidi="ar-EG"/>
        </w:rPr>
        <w:t xml:space="preserve"> نُشرت في</w:t>
      </w:r>
      <w:r w:rsidR="003D46C0">
        <w:rPr>
          <w:rFonts w:hint="cs"/>
          <w:rtl/>
          <w:lang w:val="en-GB" w:bidi="ar-EG"/>
        </w:rPr>
        <w:t xml:space="preserve"> </w:t>
      </w:r>
      <w:r w:rsidR="003D46C0">
        <w:rPr>
          <w:rFonts w:hint="cs"/>
          <w:spacing w:val="-2"/>
          <w:rtl/>
          <w:lang w:val="en-GB" w:bidi="ar-EG"/>
        </w:rPr>
        <w:t>القسم</w:t>
      </w:r>
      <w:r w:rsidR="003D46C0" w:rsidRPr="00FF2C8E">
        <w:rPr>
          <w:rFonts w:hint="cs"/>
          <w:spacing w:val="-2"/>
          <w:rtl/>
          <w:lang w:val="en-GB" w:bidi="ar-EG"/>
        </w:rPr>
        <w:t xml:space="preserve"> </w:t>
      </w:r>
      <w:r w:rsidR="003D46C0">
        <w:rPr>
          <w:rFonts w:hint="cs"/>
          <w:rtl/>
        </w:rPr>
        <w:t xml:space="preserve">الخاص </w:t>
      </w:r>
      <w:r w:rsidR="003D46C0" w:rsidRPr="009F74ED">
        <w:t>AP30B/A6</w:t>
      </w:r>
      <w:r w:rsidR="003D46C0">
        <w:t>B</w:t>
      </w:r>
      <w:r w:rsidR="003D46C0" w:rsidRPr="009F74ED">
        <w:t>/</w:t>
      </w:r>
      <w:r w:rsidR="003D46C0">
        <w:t>167</w:t>
      </w:r>
      <w:r w:rsidR="003D46C0">
        <w:rPr>
          <w:rFonts w:hint="cs"/>
          <w:rtl/>
        </w:rPr>
        <w:t xml:space="preserve"> الملحق بالنشرة الإعلامية الدولية</w:t>
      </w:r>
      <w:r w:rsidR="003D46C0">
        <w:rPr>
          <w:rFonts w:hint="cs"/>
          <w:rtl/>
          <w:lang w:bidi="ar-EG"/>
        </w:rPr>
        <w:t xml:space="preserve"> للترددات</w:t>
      </w:r>
      <w:r w:rsidR="003D46C0">
        <w:rPr>
          <w:rFonts w:hint="cs"/>
          <w:rtl/>
        </w:rPr>
        <w:t xml:space="preserve"> الصادرة عن مكتب الاتصالات الراديوية برقم 2962 وتاريخ 11 يناير 2022، </w:t>
      </w:r>
      <w:r w:rsidR="003D46C0" w:rsidRPr="002E5191">
        <w:rPr>
          <w:rFonts w:hint="cs"/>
          <w:rtl/>
          <w:lang w:val="en-GB" w:bidi="ar-EG"/>
        </w:rPr>
        <w:t xml:space="preserve">تود </w:t>
      </w:r>
      <w:r w:rsidR="003D46C0">
        <w:rPr>
          <w:rFonts w:hint="cs"/>
          <w:rtl/>
          <w:lang w:val="en-GB" w:bidi="ar-EG"/>
        </w:rPr>
        <w:t>هذه الإدارة</w:t>
      </w:r>
      <w:r w:rsidR="003D46C0" w:rsidRPr="002E5191">
        <w:rPr>
          <w:rFonts w:hint="cs"/>
          <w:rtl/>
          <w:lang w:val="en-GB" w:bidi="ar-EG"/>
        </w:rPr>
        <w:t xml:space="preserve"> أن تطلب من المؤتمر العالمي للاتصالات الراديوية لعام 2023</w:t>
      </w:r>
      <w:r w:rsidR="003D46C0">
        <w:rPr>
          <w:rFonts w:hint="cs"/>
          <w:rtl/>
          <w:lang w:val="en-GB" w:bidi="ar-EG"/>
        </w:rPr>
        <w:t xml:space="preserve">، بموجب </w:t>
      </w:r>
      <w:r w:rsidR="00EB7398">
        <w:rPr>
          <w:rFonts w:hint="cs"/>
          <w:rtl/>
          <w:lang w:val="en-GB" w:bidi="ar-EG"/>
        </w:rPr>
        <w:t>أحكام الفقرة</w:t>
      </w:r>
      <w:r w:rsidR="003D46C0">
        <w:rPr>
          <w:rFonts w:hint="cs"/>
          <w:rtl/>
          <w:lang w:val="en-GB" w:bidi="ar-EG"/>
        </w:rPr>
        <w:t xml:space="preserve"> 35.6 من المادة 6 من التذييل </w:t>
      </w:r>
      <w:r w:rsidR="003D46C0" w:rsidRPr="00A7064F">
        <w:rPr>
          <w:b/>
          <w:bCs/>
        </w:rPr>
        <w:t>30B</w:t>
      </w:r>
      <w:r w:rsidR="003D46C0">
        <w:rPr>
          <w:rFonts w:hint="cs"/>
          <w:rtl/>
          <w:lang w:val="en-GB" w:bidi="ar-EG"/>
        </w:rPr>
        <w:t xml:space="preserve">، </w:t>
      </w:r>
      <w:r w:rsidR="003D46C0" w:rsidRPr="002E5191">
        <w:rPr>
          <w:rFonts w:hint="cs"/>
          <w:rtl/>
          <w:lang w:val="en-GB" w:bidi="ar-EG"/>
        </w:rPr>
        <w:t>النظر في إدراج</w:t>
      </w:r>
      <w:r w:rsidR="003D46C0">
        <w:rPr>
          <w:rFonts w:hint="cs"/>
          <w:rtl/>
          <w:lang w:val="en-GB" w:bidi="ar-EG"/>
        </w:rPr>
        <w:t xml:space="preserve"> تعيين جديد في الخ</w:t>
      </w:r>
      <w:r w:rsidR="00565CF9">
        <w:rPr>
          <w:rFonts w:hint="cs"/>
          <w:rtl/>
          <w:lang w:val="en-GB" w:bidi="ar-EG"/>
        </w:rPr>
        <w:t>طة من أجل الجبل الأسود، ضمن التخصيصات الواردة في القائمة.</w:t>
      </w:r>
    </w:p>
    <w:p w14:paraId="164ADC98" w14:textId="6D298607" w:rsidR="00D90493" w:rsidRDefault="00565CF9" w:rsidP="00D90493">
      <w:pPr>
        <w:rPr>
          <w:rtl/>
          <w:lang w:bidi="ar-SY"/>
        </w:rPr>
      </w:pPr>
      <w:r>
        <w:rPr>
          <w:rFonts w:hint="cs"/>
          <w:rtl/>
          <w:lang w:bidi="ar-SY"/>
        </w:rPr>
        <w:t xml:space="preserve">وبناءً على ذلك، يرجى من المؤتمر </w:t>
      </w:r>
      <w:r w:rsidRPr="002E5191">
        <w:rPr>
          <w:rFonts w:hint="cs"/>
          <w:rtl/>
          <w:lang w:val="en-GB" w:bidi="ar-EG"/>
        </w:rPr>
        <w:t>العالمي للاتصالات الراديوية لعام 2023</w:t>
      </w:r>
      <w:r>
        <w:rPr>
          <w:rFonts w:hint="cs"/>
          <w:rtl/>
          <w:lang w:val="en-GB" w:bidi="ar-EG"/>
        </w:rPr>
        <w:t xml:space="preserve"> الموافقة على إدراج البيانات التالية في جداول المادة</w:t>
      </w:r>
      <w:r w:rsidR="004B74A3">
        <w:rPr>
          <w:rFonts w:hint="eastAsia"/>
          <w:rtl/>
          <w:lang w:val="en-GB" w:bidi="ar-EG"/>
        </w:rPr>
        <w:t> </w:t>
      </w:r>
      <w:r>
        <w:rPr>
          <w:rFonts w:hint="cs"/>
          <w:rtl/>
          <w:lang w:val="en-GB" w:bidi="ar-EG"/>
        </w:rPr>
        <w:t xml:space="preserve">10 من التذييل </w:t>
      </w:r>
      <w:r w:rsidRPr="00A7064F">
        <w:rPr>
          <w:b/>
          <w:bCs/>
        </w:rPr>
        <w:t>30B</w:t>
      </w:r>
      <w:r>
        <w:rPr>
          <w:rFonts w:hint="cs"/>
          <w:rtl/>
          <w:lang w:val="en-GB" w:bidi="ar-EG"/>
        </w:rPr>
        <w:t>.</w:t>
      </w:r>
    </w:p>
    <w:p w14:paraId="495390D1" w14:textId="4F2164D9" w:rsidR="00D90493" w:rsidRDefault="00D90493" w:rsidP="004B74A3">
      <w:pPr>
        <w:spacing w:after="120"/>
        <w:jc w:val="right"/>
        <w:rPr>
          <w:b/>
          <w:bCs/>
          <w:lang w:bidi="ar-SY"/>
        </w:rPr>
      </w:pPr>
      <w:r w:rsidRPr="00D90493">
        <w:rPr>
          <w:b/>
          <w:bCs/>
          <w:lang w:bidi="ar-SY"/>
        </w:rPr>
        <w:t>MHz 4 800-4 500</w:t>
      </w:r>
      <w:r w:rsidRPr="00D90493">
        <w:rPr>
          <w:rFonts w:hint="cs"/>
          <w:b/>
          <w:bCs/>
          <w:rtl/>
          <w:lang w:bidi="ar-SY"/>
        </w:rPr>
        <w:t xml:space="preserve">، </w:t>
      </w:r>
      <w:r w:rsidRPr="00D90493">
        <w:rPr>
          <w:b/>
          <w:bCs/>
          <w:lang w:bidi="ar-SY"/>
        </w:rPr>
        <w:t>MHz 7 025-6 725</w:t>
      </w:r>
    </w:p>
    <w:tbl>
      <w:tblPr>
        <w:bidiVisual/>
        <w:tblW w:w="5000" w:type="pct"/>
        <w:jc w:val="center"/>
        <w:tblLook w:val="00A0" w:firstRow="1" w:lastRow="0" w:firstColumn="1" w:lastColumn="0" w:noHBand="0" w:noVBand="0"/>
      </w:tblPr>
      <w:tblGrid>
        <w:gridCol w:w="1264"/>
        <w:gridCol w:w="1009"/>
        <w:gridCol w:w="866"/>
        <w:gridCol w:w="1009"/>
        <w:gridCol w:w="866"/>
        <w:gridCol w:w="1009"/>
        <w:gridCol w:w="865"/>
        <w:gridCol w:w="1010"/>
        <w:gridCol w:w="865"/>
        <w:gridCol w:w="866"/>
      </w:tblGrid>
      <w:tr w:rsidR="00D90493" w:rsidRPr="009F74ED" w14:paraId="4AEE3F16" w14:textId="77777777" w:rsidTr="00D90493">
        <w:trPr>
          <w:trHeight w:val="300"/>
          <w:jc w:val="center"/>
        </w:trPr>
        <w:tc>
          <w:tcPr>
            <w:tcW w:w="1243" w:type="dxa"/>
            <w:tcBorders>
              <w:top w:val="single" w:sz="4" w:space="0" w:color="3F3F3F"/>
              <w:left w:val="single" w:sz="4" w:space="0" w:color="3F3F3F"/>
              <w:bottom w:val="single" w:sz="4" w:space="0" w:color="3F3F3F"/>
              <w:right w:val="single" w:sz="4" w:space="0" w:color="3F3F3F"/>
            </w:tcBorders>
            <w:noWrap/>
            <w:vAlign w:val="bottom"/>
            <w:hideMark/>
          </w:tcPr>
          <w:p w14:paraId="239BA75E" w14:textId="77777777" w:rsidR="00D90493" w:rsidRPr="009F74ED" w:rsidRDefault="00D90493" w:rsidP="00D90493">
            <w:r w:rsidRPr="009F74ED">
              <w:t>1</w:t>
            </w:r>
          </w:p>
        </w:tc>
        <w:tc>
          <w:tcPr>
            <w:tcW w:w="992" w:type="dxa"/>
            <w:tcBorders>
              <w:top w:val="single" w:sz="4" w:space="0" w:color="3F3F3F"/>
              <w:left w:val="nil"/>
              <w:bottom w:val="single" w:sz="4" w:space="0" w:color="3F3F3F"/>
              <w:right w:val="single" w:sz="4" w:space="0" w:color="3F3F3F"/>
            </w:tcBorders>
            <w:noWrap/>
            <w:vAlign w:val="bottom"/>
            <w:hideMark/>
          </w:tcPr>
          <w:p w14:paraId="25708EDA" w14:textId="77777777" w:rsidR="00D90493" w:rsidRPr="009F74ED" w:rsidRDefault="00D90493" w:rsidP="00D90493">
            <w:r w:rsidRPr="009F74ED">
              <w:t>2</w:t>
            </w:r>
          </w:p>
        </w:tc>
        <w:tc>
          <w:tcPr>
            <w:tcW w:w="851" w:type="dxa"/>
            <w:tcBorders>
              <w:top w:val="single" w:sz="4" w:space="0" w:color="3F3F3F"/>
              <w:left w:val="nil"/>
              <w:bottom w:val="single" w:sz="4" w:space="0" w:color="3F3F3F"/>
              <w:right w:val="single" w:sz="4" w:space="0" w:color="3F3F3F"/>
            </w:tcBorders>
            <w:noWrap/>
            <w:vAlign w:val="bottom"/>
            <w:hideMark/>
          </w:tcPr>
          <w:p w14:paraId="6A250288" w14:textId="77777777" w:rsidR="00D90493" w:rsidRPr="009F74ED" w:rsidRDefault="00D90493" w:rsidP="00D90493">
            <w:r w:rsidRPr="009F74ED">
              <w:t>3</w:t>
            </w:r>
          </w:p>
        </w:tc>
        <w:tc>
          <w:tcPr>
            <w:tcW w:w="992" w:type="dxa"/>
            <w:tcBorders>
              <w:top w:val="single" w:sz="4" w:space="0" w:color="3F3F3F"/>
              <w:left w:val="nil"/>
              <w:bottom w:val="single" w:sz="4" w:space="0" w:color="3F3F3F"/>
              <w:right w:val="single" w:sz="4" w:space="0" w:color="3F3F3F"/>
            </w:tcBorders>
            <w:noWrap/>
            <w:vAlign w:val="bottom"/>
            <w:hideMark/>
          </w:tcPr>
          <w:p w14:paraId="28DF043C" w14:textId="77777777" w:rsidR="00D90493" w:rsidRPr="009F74ED" w:rsidRDefault="00D90493" w:rsidP="00D90493">
            <w:r w:rsidRPr="009F74ED">
              <w:t>4</w:t>
            </w:r>
          </w:p>
        </w:tc>
        <w:tc>
          <w:tcPr>
            <w:tcW w:w="851" w:type="dxa"/>
            <w:tcBorders>
              <w:top w:val="single" w:sz="4" w:space="0" w:color="3F3F3F"/>
              <w:left w:val="nil"/>
              <w:bottom w:val="single" w:sz="4" w:space="0" w:color="3F3F3F"/>
              <w:right w:val="single" w:sz="4" w:space="0" w:color="3F3F3F"/>
            </w:tcBorders>
            <w:noWrap/>
            <w:vAlign w:val="bottom"/>
            <w:hideMark/>
          </w:tcPr>
          <w:p w14:paraId="0EB229B2" w14:textId="77777777" w:rsidR="00D90493" w:rsidRPr="009F74ED" w:rsidRDefault="00D90493" w:rsidP="00D90493">
            <w:r w:rsidRPr="009F74ED">
              <w:t>5</w:t>
            </w:r>
          </w:p>
        </w:tc>
        <w:tc>
          <w:tcPr>
            <w:tcW w:w="992" w:type="dxa"/>
            <w:tcBorders>
              <w:top w:val="single" w:sz="4" w:space="0" w:color="3F3F3F"/>
              <w:left w:val="nil"/>
              <w:bottom w:val="single" w:sz="4" w:space="0" w:color="3F3F3F"/>
              <w:right w:val="single" w:sz="4" w:space="0" w:color="3F3F3F"/>
            </w:tcBorders>
            <w:noWrap/>
            <w:vAlign w:val="bottom"/>
            <w:hideMark/>
          </w:tcPr>
          <w:p w14:paraId="63F65878" w14:textId="77777777" w:rsidR="00D90493" w:rsidRPr="009F74ED" w:rsidRDefault="00D90493" w:rsidP="00D90493">
            <w:r w:rsidRPr="009F74ED">
              <w:t>6</w:t>
            </w:r>
          </w:p>
        </w:tc>
        <w:tc>
          <w:tcPr>
            <w:tcW w:w="850" w:type="dxa"/>
            <w:tcBorders>
              <w:top w:val="single" w:sz="4" w:space="0" w:color="3F3F3F"/>
              <w:left w:val="nil"/>
              <w:bottom w:val="single" w:sz="4" w:space="0" w:color="3F3F3F"/>
              <w:right w:val="single" w:sz="4" w:space="0" w:color="3F3F3F"/>
            </w:tcBorders>
            <w:noWrap/>
            <w:vAlign w:val="bottom"/>
            <w:hideMark/>
          </w:tcPr>
          <w:p w14:paraId="7CACE661" w14:textId="77777777" w:rsidR="00D90493" w:rsidRPr="009F74ED" w:rsidRDefault="00D90493" w:rsidP="00D90493">
            <w:r w:rsidRPr="009F74ED">
              <w:t>7</w:t>
            </w:r>
          </w:p>
        </w:tc>
        <w:tc>
          <w:tcPr>
            <w:tcW w:w="993" w:type="dxa"/>
            <w:tcBorders>
              <w:top w:val="single" w:sz="4" w:space="0" w:color="3F3F3F"/>
              <w:left w:val="nil"/>
              <w:bottom w:val="single" w:sz="4" w:space="0" w:color="3F3F3F"/>
              <w:right w:val="single" w:sz="4" w:space="0" w:color="3F3F3F"/>
            </w:tcBorders>
            <w:noWrap/>
            <w:vAlign w:val="bottom"/>
            <w:hideMark/>
          </w:tcPr>
          <w:p w14:paraId="100F21EF" w14:textId="77777777" w:rsidR="00D90493" w:rsidRPr="009F74ED" w:rsidRDefault="00D90493" w:rsidP="00D90493">
            <w:r w:rsidRPr="009F74ED">
              <w:t>8</w:t>
            </w:r>
          </w:p>
        </w:tc>
        <w:tc>
          <w:tcPr>
            <w:tcW w:w="850" w:type="dxa"/>
            <w:tcBorders>
              <w:top w:val="single" w:sz="4" w:space="0" w:color="3F3F3F"/>
              <w:left w:val="nil"/>
              <w:bottom w:val="single" w:sz="4" w:space="0" w:color="3F3F3F"/>
              <w:right w:val="single" w:sz="4" w:space="0" w:color="3F3F3F"/>
            </w:tcBorders>
            <w:noWrap/>
            <w:vAlign w:val="bottom"/>
            <w:hideMark/>
          </w:tcPr>
          <w:p w14:paraId="2F9589B1" w14:textId="77777777" w:rsidR="00D90493" w:rsidRPr="009F74ED" w:rsidRDefault="00D90493" w:rsidP="00D90493">
            <w:r w:rsidRPr="009F74ED">
              <w:t>9</w:t>
            </w:r>
          </w:p>
        </w:tc>
        <w:tc>
          <w:tcPr>
            <w:tcW w:w="851" w:type="dxa"/>
            <w:tcBorders>
              <w:top w:val="single" w:sz="4" w:space="0" w:color="3F3F3F"/>
              <w:left w:val="nil"/>
              <w:bottom w:val="single" w:sz="4" w:space="0" w:color="3F3F3F"/>
              <w:right w:val="single" w:sz="4" w:space="0" w:color="3F3F3F"/>
            </w:tcBorders>
            <w:noWrap/>
            <w:vAlign w:val="bottom"/>
            <w:hideMark/>
          </w:tcPr>
          <w:p w14:paraId="16D02A2A" w14:textId="77777777" w:rsidR="00D90493" w:rsidRPr="009F74ED" w:rsidRDefault="00D90493" w:rsidP="00D90493">
            <w:r w:rsidRPr="009F74ED">
              <w:t>10</w:t>
            </w:r>
          </w:p>
        </w:tc>
      </w:tr>
      <w:tr w:rsidR="00D90493" w:rsidRPr="009F74ED" w14:paraId="14F285F3" w14:textId="77777777" w:rsidTr="00D90493">
        <w:trPr>
          <w:trHeight w:val="300"/>
          <w:jc w:val="center"/>
        </w:trPr>
        <w:tc>
          <w:tcPr>
            <w:tcW w:w="1243" w:type="dxa"/>
            <w:tcBorders>
              <w:top w:val="single" w:sz="4" w:space="0" w:color="3F3F3F"/>
              <w:left w:val="single" w:sz="4" w:space="0" w:color="3F3F3F"/>
              <w:bottom w:val="single" w:sz="4" w:space="0" w:color="3F3F3F"/>
              <w:right w:val="single" w:sz="4" w:space="0" w:color="3F3F3F"/>
            </w:tcBorders>
            <w:noWrap/>
            <w:vAlign w:val="bottom"/>
            <w:hideMark/>
          </w:tcPr>
          <w:p w14:paraId="30F700D1" w14:textId="77777777" w:rsidR="00D90493" w:rsidRPr="009F74ED" w:rsidRDefault="00D90493" w:rsidP="00D90493">
            <w:pPr>
              <w:rPr>
                <w:lang w:val="fr-CH"/>
              </w:rPr>
            </w:pPr>
            <w:r w:rsidRPr="009F74ED">
              <w:rPr>
                <w:lang w:val="fr-CH"/>
              </w:rPr>
              <w:t>MNE</w:t>
            </w:r>
          </w:p>
        </w:tc>
        <w:tc>
          <w:tcPr>
            <w:tcW w:w="992" w:type="dxa"/>
            <w:tcBorders>
              <w:top w:val="single" w:sz="4" w:space="0" w:color="3F3F3F"/>
              <w:left w:val="nil"/>
              <w:bottom w:val="single" w:sz="4" w:space="0" w:color="3F3F3F"/>
              <w:right w:val="single" w:sz="4" w:space="0" w:color="3F3F3F"/>
            </w:tcBorders>
            <w:noWrap/>
            <w:vAlign w:val="bottom"/>
            <w:hideMark/>
          </w:tcPr>
          <w:p w14:paraId="0EE712E4" w14:textId="163202EC" w:rsidR="00D90493" w:rsidRPr="009F74ED" w:rsidRDefault="00D90493" w:rsidP="00D90493">
            <w:r w:rsidRPr="009F74ED">
              <w:t>36</w:t>
            </w:r>
            <w:r>
              <w:t>,</w:t>
            </w:r>
            <w:r w:rsidRPr="009F74ED">
              <w:t>6</w:t>
            </w:r>
            <w:r>
              <w:t>–</w:t>
            </w:r>
          </w:p>
        </w:tc>
        <w:tc>
          <w:tcPr>
            <w:tcW w:w="851" w:type="dxa"/>
            <w:tcBorders>
              <w:top w:val="single" w:sz="4" w:space="0" w:color="3F3F3F"/>
              <w:left w:val="nil"/>
              <w:bottom w:val="single" w:sz="4" w:space="0" w:color="3F3F3F"/>
              <w:right w:val="single" w:sz="4" w:space="0" w:color="3F3F3F"/>
            </w:tcBorders>
            <w:noWrap/>
            <w:vAlign w:val="bottom"/>
            <w:hideMark/>
          </w:tcPr>
          <w:p w14:paraId="51CC7ACF" w14:textId="7619396A" w:rsidR="00D90493" w:rsidRPr="009F74ED" w:rsidRDefault="00D90493" w:rsidP="00D90493">
            <w:r w:rsidRPr="009F74ED">
              <w:t>19</w:t>
            </w:r>
            <w:r>
              <w:t>,</w:t>
            </w:r>
            <w:r w:rsidRPr="009F74ED">
              <w:t>22</w:t>
            </w:r>
          </w:p>
        </w:tc>
        <w:tc>
          <w:tcPr>
            <w:tcW w:w="992" w:type="dxa"/>
            <w:tcBorders>
              <w:top w:val="single" w:sz="4" w:space="0" w:color="3F3F3F"/>
              <w:left w:val="nil"/>
              <w:bottom w:val="single" w:sz="4" w:space="0" w:color="3F3F3F"/>
              <w:right w:val="single" w:sz="4" w:space="0" w:color="3F3F3F"/>
            </w:tcBorders>
            <w:noWrap/>
            <w:vAlign w:val="bottom"/>
            <w:hideMark/>
          </w:tcPr>
          <w:p w14:paraId="2C904A11" w14:textId="3C5F30FE" w:rsidR="00D90493" w:rsidRPr="009F74ED" w:rsidRDefault="00D90493" w:rsidP="00D90493">
            <w:r w:rsidRPr="009F74ED">
              <w:t>42</w:t>
            </w:r>
            <w:r>
              <w:t>,</w:t>
            </w:r>
            <w:r w:rsidRPr="009F74ED">
              <w:t>65</w:t>
            </w:r>
          </w:p>
        </w:tc>
        <w:tc>
          <w:tcPr>
            <w:tcW w:w="851" w:type="dxa"/>
            <w:tcBorders>
              <w:top w:val="single" w:sz="4" w:space="0" w:color="3F3F3F"/>
              <w:left w:val="nil"/>
              <w:bottom w:val="single" w:sz="4" w:space="0" w:color="3F3F3F"/>
              <w:right w:val="single" w:sz="4" w:space="0" w:color="3F3F3F"/>
            </w:tcBorders>
            <w:noWrap/>
            <w:vAlign w:val="bottom"/>
            <w:hideMark/>
          </w:tcPr>
          <w:p w14:paraId="3676331C" w14:textId="08C678B8" w:rsidR="00D90493" w:rsidRPr="009F74ED" w:rsidRDefault="00D90493" w:rsidP="00D90493">
            <w:r w:rsidRPr="009F74ED">
              <w:t>1</w:t>
            </w:r>
            <w:r>
              <w:t>,</w:t>
            </w:r>
            <w:r w:rsidRPr="009F74ED">
              <w:t>6</w:t>
            </w:r>
          </w:p>
        </w:tc>
        <w:tc>
          <w:tcPr>
            <w:tcW w:w="992" w:type="dxa"/>
            <w:tcBorders>
              <w:top w:val="single" w:sz="4" w:space="0" w:color="3F3F3F"/>
              <w:left w:val="nil"/>
              <w:bottom w:val="single" w:sz="4" w:space="0" w:color="3F3F3F"/>
              <w:right w:val="single" w:sz="4" w:space="0" w:color="3F3F3F"/>
            </w:tcBorders>
            <w:noWrap/>
            <w:vAlign w:val="bottom"/>
            <w:hideMark/>
          </w:tcPr>
          <w:p w14:paraId="6F939734" w14:textId="660C1BA4" w:rsidR="00D90493" w:rsidRPr="009F74ED" w:rsidRDefault="00D90493" w:rsidP="00D90493">
            <w:r w:rsidRPr="009F74ED">
              <w:t>1</w:t>
            </w:r>
            <w:r>
              <w:t>,</w:t>
            </w:r>
            <w:r w:rsidRPr="009F74ED">
              <w:t>6</w:t>
            </w:r>
          </w:p>
        </w:tc>
        <w:tc>
          <w:tcPr>
            <w:tcW w:w="850" w:type="dxa"/>
            <w:tcBorders>
              <w:top w:val="single" w:sz="4" w:space="0" w:color="3F3F3F"/>
              <w:left w:val="nil"/>
              <w:bottom w:val="single" w:sz="4" w:space="0" w:color="3F3F3F"/>
              <w:right w:val="single" w:sz="4" w:space="0" w:color="3F3F3F"/>
            </w:tcBorders>
            <w:noWrap/>
            <w:vAlign w:val="bottom"/>
            <w:hideMark/>
          </w:tcPr>
          <w:p w14:paraId="0C1CA486" w14:textId="77777777" w:rsidR="00D90493" w:rsidRPr="009F74ED" w:rsidRDefault="00D90493" w:rsidP="00D90493">
            <w:r w:rsidRPr="009F74ED">
              <w:t>0</w:t>
            </w:r>
          </w:p>
        </w:tc>
        <w:tc>
          <w:tcPr>
            <w:tcW w:w="993" w:type="dxa"/>
            <w:tcBorders>
              <w:top w:val="single" w:sz="4" w:space="0" w:color="3F3F3F"/>
              <w:left w:val="nil"/>
              <w:bottom w:val="single" w:sz="4" w:space="0" w:color="3F3F3F"/>
              <w:right w:val="single" w:sz="4" w:space="0" w:color="3F3F3F"/>
            </w:tcBorders>
            <w:noWrap/>
            <w:vAlign w:val="bottom"/>
            <w:hideMark/>
          </w:tcPr>
          <w:p w14:paraId="41E05B42" w14:textId="61E3A194" w:rsidR="00D90493" w:rsidRPr="009F74ED" w:rsidRDefault="00D90493" w:rsidP="00D90493">
            <w:r w:rsidRPr="009F74ED">
              <w:t>9</w:t>
            </w:r>
            <w:r>
              <w:t>,</w:t>
            </w:r>
            <w:r w:rsidRPr="009F74ED">
              <w:t>6</w:t>
            </w:r>
            <w:r>
              <w:t>–</w:t>
            </w:r>
          </w:p>
        </w:tc>
        <w:tc>
          <w:tcPr>
            <w:tcW w:w="850" w:type="dxa"/>
            <w:tcBorders>
              <w:top w:val="single" w:sz="4" w:space="0" w:color="3F3F3F"/>
              <w:left w:val="nil"/>
              <w:bottom w:val="single" w:sz="4" w:space="0" w:color="3F3F3F"/>
              <w:right w:val="single" w:sz="4" w:space="0" w:color="3F3F3F"/>
            </w:tcBorders>
            <w:noWrap/>
            <w:vAlign w:val="bottom"/>
            <w:hideMark/>
          </w:tcPr>
          <w:p w14:paraId="5719BDC1" w14:textId="32ED86C2" w:rsidR="00D90493" w:rsidRPr="009F74ED" w:rsidRDefault="00D90493" w:rsidP="00D90493">
            <w:pPr>
              <w:rPr>
                <w:rtl/>
                <w:lang w:bidi="ar-SY"/>
              </w:rPr>
            </w:pPr>
            <w:r w:rsidRPr="009F74ED">
              <w:t>42</w:t>
            </w:r>
            <w:r>
              <w:t>,</w:t>
            </w:r>
            <w:r w:rsidRPr="009F74ED">
              <w:t>3</w:t>
            </w:r>
            <w:r>
              <w:t>–</w:t>
            </w:r>
          </w:p>
        </w:tc>
        <w:tc>
          <w:tcPr>
            <w:tcW w:w="851" w:type="dxa"/>
            <w:tcBorders>
              <w:top w:val="single" w:sz="4" w:space="0" w:color="3F3F3F"/>
              <w:left w:val="nil"/>
              <w:bottom w:val="single" w:sz="4" w:space="0" w:color="3F3F3F"/>
              <w:right w:val="single" w:sz="4" w:space="0" w:color="3F3F3F"/>
            </w:tcBorders>
            <w:noWrap/>
            <w:vAlign w:val="bottom"/>
          </w:tcPr>
          <w:p w14:paraId="11917998" w14:textId="77777777" w:rsidR="00D90493" w:rsidRPr="009F74ED" w:rsidRDefault="00D90493" w:rsidP="00D90493"/>
        </w:tc>
      </w:tr>
    </w:tbl>
    <w:p w14:paraId="1E027B3B" w14:textId="53C68EE5" w:rsidR="00D90493" w:rsidRDefault="009C3748" w:rsidP="004B74A3">
      <w:pPr>
        <w:spacing w:after="120"/>
        <w:jc w:val="right"/>
        <w:rPr>
          <w:b/>
          <w:bCs/>
          <w:rtl/>
          <w:lang w:bidi="ar-SY"/>
        </w:rPr>
      </w:pPr>
      <w:r>
        <w:rPr>
          <w:b/>
          <w:bCs/>
          <w:lang w:bidi="ar-SY"/>
        </w:rPr>
        <w:t>GHz 10,95-10,7</w:t>
      </w:r>
      <w:r>
        <w:rPr>
          <w:rFonts w:hint="cs"/>
          <w:b/>
          <w:bCs/>
          <w:rtl/>
          <w:lang w:bidi="ar-SY"/>
        </w:rPr>
        <w:t xml:space="preserve">، </w:t>
      </w:r>
      <w:r>
        <w:rPr>
          <w:b/>
          <w:bCs/>
          <w:lang w:bidi="ar-SY"/>
        </w:rPr>
        <w:t>GHz 11,45-11,20</w:t>
      </w:r>
      <w:r>
        <w:rPr>
          <w:rFonts w:hint="cs"/>
          <w:b/>
          <w:bCs/>
          <w:rtl/>
          <w:lang w:bidi="ar-SY"/>
        </w:rPr>
        <w:t xml:space="preserve">، </w:t>
      </w:r>
      <w:r>
        <w:rPr>
          <w:b/>
          <w:bCs/>
          <w:lang w:bidi="ar-SY"/>
        </w:rPr>
        <w:t>GHz 13,25-12,75</w:t>
      </w:r>
    </w:p>
    <w:tbl>
      <w:tblPr>
        <w:bidiVisual/>
        <w:tblW w:w="4997" w:type="pct"/>
        <w:jc w:val="center"/>
        <w:tblLook w:val="00A0" w:firstRow="1" w:lastRow="0" w:firstColumn="1" w:lastColumn="0" w:noHBand="0" w:noVBand="0"/>
      </w:tblPr>
      <w:tblGrid>
        <w:gridCol w:w="1267"/>
        <w:gridCol w:w="999"/>
        <w:gridCol w:w="885"/>
        <w:gridCol w:w="985"/>
        <w:gridCol w:w="885"/>
        <w:gridCol w:w="1012"/>
        <w:gridCol w:w="856"/>
        <w:gridCol w:w="1013"/>
        <w:gridCol w:w="856"/>
        <w:gridCol w:w="871"/>
      </w:tblGrid>
      <w:tr w:rsidR="009C3748" w:rsidRPr="009F74ED" w14:paraId="621F049E" w14:textId="77777777" w:rsidTr="009C3748">
        <w:trPr>
          <w:trHeight w:val="300"/>
          <w:jc w:val="center"/>
        </w:trPr>
        <w:tc>
          <w:tcPr>
            <w:tcW w:w="1267" w:type="dxa"/>
            <w:tcBorders>
              <w:top w:val="single" w:sz="4" w:space="0" w:color="3F3F3F"/>
              <w:left w:val="single" w:sz="4" w:space="0" w:color="3F3F3F"/>
              <w:bottom w:val="single" w:sz="4" w:space="0" w:color="3F3F3F"/>
              <w:right w:val="single" w:sz="4" w:space="0" w:color="3F3F3F"/>
            </w:tcBorders>
            <w:noWrap/>
            <w:vAlign w:val="bottom"/>
            <w:hideMark/>
          </w:tcPr>
          <w:p w14:paraId="79879CAF" w14:textId="77777777" w:rsidR="009C3748" w:rsidRPr="009F74ED" w:rsidRDefault="009C3748" w:rsidP="009C3748">
            <w:r w:rsidRPr="009F74ED">
              <w:t>1</w:t>
            </w:r>
          </w:p>
        </w:tc>
        <w:tc>
          <w:tcPr>
            <w:tcW w:w="999" w:type="dxa"/>
            <w:tcBorders>
              <w:top w:val="single" w:sz="4" w:space="0" w:color="3F3F3F"/>
              <w:left w:val="nil"/>
              <w:bottom w:val="single" w:sz="4" w:space="0" w:color="3F3F3F"/>
              <w:right w:val="single" w:sz="4" w:space="0" w:color="3F3F3F"/>
            </w:tcBorders>
            <w:noWrap/>
            <w:vAlign w:val="bottom"/>
            <w:hideMark/>
          </w:tcPr>
          <w:p w14:paraId="6292E52D" w14:textId="77777777" w:rsidR="009C3748" w:rsidRPr="009F74ED" w:rsidRDefault="009C3748" w:rsidP="009C3748">
            <w:r w:rsidRPr="009F74ED">
              <w:t>2</w:t>
            </w:r>
          </w:p>
        </w:tc>
        <w:tc>
          <w:tcPr>
            <w:tcW w:w="885" w:type="dxa"/>
            <w:tcBorders>
              <w:top w:val="single" w:sz="4" w:space="0" w:color="3F3F3F"/>
              <w:left w:val="nil"/>
              <w:bottom w:val="single" w:sz="4" w:space="0" w:color="3F3F3F"/>
              <w:right w:val="single" w:sz="4" w:space="0" w:color="3F3F3F"/>
            </w:tcBorders>
            <w:noWrap/>
            <w:vAlign w:val="bottom"/>
            <w:hideMark/>
          </w:tcPr>
          <w:p w14:paraId="386ED613" w14:textId="77777777" w:rsidR="009C3748" w:rsidRPr="009F74ED" w:rsidRDefault="009C3748" w:rsidP="009C3748">
            <w:r w:rsidRPr="009F74ED">
              <w:t>3</w:t>
            </w:r>
          </w:p>
        </w:tc>
        <w:tc>
          <w:tcPr>
            <w:tcW w:w="985" w:type="dxa"/>
            <w:tcBorders>
              <w:top w:val="single" w:sz="4" w:space="0" w:color="3F3F3F"/>
              <w:left w:val="nil"/>
              <w:bottom w:val="single" w:sz="4" w:space="0" w:color="3F3F3F"/>
              <w:right w:val="single" w:sz="4" w:space="0" w:color="3F3F3F"/>
            </w:tcBorders>
            <w:noWrap/>
            <w:vAlign w:val="bottom"/>
            <w:hideMark/>
          </w:tcPr>
          <w:p w14:paraId="0F1771DE" w14:textId="77777777" w:rsidR="009C3748" w:rsidRPr="009F74ED" w:rsidRDefault="009C3748" w:rsidP="009C3748">
            <w:r w:rsidRPr="009F74ED">
              <w:t>4</w:t>
            </w:r>
          </w:p>
        </w:tc>
        <w:tc>
          <w:tcPr>
            <w:tcW w:w="885" w:type="dxa"/>
            <w:tcBorders>
              <w:top w:val="single" w:sz="4" w:space="0" w:color="3F3F3F"/>
              <w:left w:val="nil"/>
              <w:bottom w:val="single" w:sz="4" w:space="0" w:color="3F3F3F"/>
              <w:right w:val="single" w:sz="4" w:space="0" w:color="3F3F3F"/>
            </w:tcBorders>
            <w:noWrap/>
            <w:vAlign w:val="bottom"/>
            <w:hideMark/>
          </w:tcPr>
          <w:p w14:paraId="117818C2" w14:textId="77777777" w:rsidR="009C3748" w:rsidRPr="009F74ED" w:rsidRDefault="009C3748" w:rsidP="009C3748">
            <w:r w:rsidRPr="009F74ED">
              <w:t>5</w:t>
            </w:r>
          </w:p>
        </w:tc>
        <w:tc>
          <w:tcPr>
            <w:tcW w:w="1012" w:type="dxa"/>
            <w:tcBorders>
              <w:top w:val="single" w:sz="4" w:space="0" w:color="3F3F3F"/>
              <w:left w:val="nil"/>
              <w:bottom w:val="single" w:sz="4" w:space="0" w:color="3F3F3F"/>
              <w:right w:val="single" w:sz="4" w:space="0" w:color="3F3F3F"/>
            </w:tcBorders>
            <w:noWrap/>
            <w:vAlign w:val="bottom"/>
            <w:hideMark/>
          </w:tcPr>
          <w:p w14:paraId="475A8C6A" w14:textId="77777777" w:rsidR="009C3748" w:rsidRPr="009F74ED" w:rsidRDefault="009C3748" w:rsidP="009C3748">
            <w:r w:rsidRPr="009F74ED">
              <w:t>6</w:t>
            </w:r>
          </w:p>
        </w:tc>
        <w:tc>
          <w:tcPr>
            <w:tcW w:w="856" w:type="dxa"/>
            <w:tcBorders>
              <w:top w:val="single" w:sz="4" w:space="0" w:color="3F3F3F"/>
              <w:left w:val="nil"/>
              <w:bottom w:val="single" w:sz="4" w:space="0" w:color="3F3F3F"/>
              <w:right w:val="single" w:sz="4" w:space="0" w:color="3F3F3F"/>
            </w:tcBorders>
            <w:noWrap/>
            <w:vAlign w:val="bottom"/>
            <w:hideMark/>
          </w:tcPr>
          <w:p w14:paraId="77C99259" w14:textId="77777777" w:rsidR="009C3748" w:rsidRPr="009F74ED" w:rsidRDefault="009C3748" w:rsidP="009C3748">
            <w:r w:rsidRPr="009F74ED">
              <w:t>7</w:t>
            </w:r>
          </w:p>
        </w:tc>
        <w:tc>
          <w:tcPr>
            <w:tcW w:w="1013" w:type="dxa"/>
            <w:tcBorders>
              <w:top w:val="single" w:sz="4" w:space="0" w:color="3F3F3F"/>
              <w:left w:val="nil"/>
              <w:bottom w:val="single" w:sz="4" w:space="0" w:color="3F3F3F"/>
              <w:right w:val="single" w:sz="4" w:space="0" w:color="3F3F3F"/>
            </w:tcBorders>
            <w:noWrap/>
            <w:vAlign w:val="bottom"/>
            <w:hideMark/>
          </w:tcPr>
          <w:p w14:paraId="0B006A5A" w14:textId="77777777" w:rsidR="009C3748" w:rsidRPr="009F74ED" w:rsidRDefault="009C3748" w:rsidP="009C3748">
            <w:r w:rsidRPr="009F74ED">
              <w:t>8</w:t>
            </w:r>
          </w:p>
        </w:tc>
        <w:tc>
          <w:tcPr>
            <w:tcW w:w="856" w:type="dxa"/>
            <w:tcBorders>
              <w:top w:val="single" w:sz="4" w:space="0" w:color="3F3F3F"/>
              <w:left w:val="nil"/>
              <w:bottom w:val="single" w:sz="4" w:space="0" w:color="3F3F3F"/>
              <w:right w:val="single" w:sz="4" w:space="0" w:color="3F3F3F"/>
            </w:tcBorders>
            <w:noWrap/>
            <w:vAlign w:val="bottom"/>
            <w:hideMark/>
          </w:tcPr>
          <w:p w14:paraId="29FCC8A7" w14:textId="77777777" w:rsidR="009C3748" w:rsidRPr="009F74ED" w:rsidRDefault="009C3748" w:rsidP="009C3748">
            <w:r w:rsidRPr="009F74ED">
              <w:t>9</w:t>
            </w:r>
          </w:p>
        </w:tc>
        <w:tc>
          <w:tcPr>
            <w:tcW w:w="871" w:type="dxa"/>
            <w:tcBorders>
              <w:top w:val="single" w:sz="4" w:space="0" w:color="3F3F3F"/>
              <w:left w:val="nil"/>
              <w:bottom w:val="single" w:sz="4" w:space="0" w:color="3F3F3F"/>
              <w:right w:val="single" w:sz="4" w:space="0" w:color="3F3F3F"/>
            </w:tcBorders>
            <w:noWrap/>
            <w:vAlign w:val="bottom"/>
            <w:hideMark/>
          </w:tcPr>
          <w:p w14:paraId="61AA6CDB" w14:textId="77777777" w:rsidR="009C3748" w:rsidRPr="009F74ED" w:rsidRDefault="009C3748" w:rsidP="009C3748">
            <w:r w:rsidRPr="009F74ED">
              <w:t>10</w:t>
            </w:r>
          </w:p>
        </w:tc>
      </w:tr>
      <w:tr w:rsidR="009C3748" w:rsidRPr="009F74ED" w14:paraId="509ADBE3" w14:textId="77777777" w:rsidTr="009C3748">
        <w:trPr>
          <w:trHeight w:val="300"/>
          <w:jc w:val="center"/>
        </w:trPr>
        <w:tc>
          <w:tcPr>
            <w:tcW w:w="1267" w:type="dxa"/>
            <w:tcBorders>
              <w:top w:val="single" w:sz="4" w:space="0" w:color="3F3F3F"/>
              <w:left w:val="single" w:sz="4" w:space="0" w:color="3F3F3F"/>
              <w:bottom w:val="single" w:sz="4" w:space="0" w:color="3F3F3F"/>
              <w:right w:val="single" w:sz="4" w:space="0" w:color="3F3F3F"/>
            </w:tcBorders>
            <w:noWrap/>
            <w:vAlign w:val="bottom"/>
            <w:hideMark/>
          </w:tcPr>
          <w:p w14:paraId="5B01134A" w14:textId="77777777" w:rsidR="009C3748" w:rsidRPr="009F74ED" w:rsidRDefault="009C3748" w:rsidP="009C3748">
            <w:r w:rsidRPr="009F74ED">
              <w:t>MNE</w:t>
            </w:r>
          </w:p>
        </w:tc>
        <w:tc>
          <w:tcPr>
            <w:tcW w:w="999" w:type="dxa"/>
            <w:tcBorders>
              <w:top w:val="single" w:sz="4" w:space="0" w:color="3F3F3F"/>
              <w:left w:val="nil"/>
              <w:bottom w:val="single" w:sz="4" w:space="0" w:color="3F3F3F"/>
              <w:right w:val="single" w:sz="4" w:space="0" w:color="3F3F3F"/>
            </w:tcBorders>
            <w:noWrap/>
            <w:vAlign w:val="bottom"/>
            <w:hideMark/>
          </w:tcPr>
          <w:p w14:paraId="534DDB51" w14:textId="0D182A23" w:rsidR="009C3748" w:rsidRPr="009F74ED" w:rsidRDefault="009C3748" w:rsidP="009C3748">
            <w:r w:rsidRPr="009F74ED">
              <w:t>36</w:t>
            </w:r>
            <w:r>
              <w:t>,</w:t>
            </w:r>
            <w:r w:rsidRPr="009F74ED">
              <w:t>6</w:t>
            </w:r>
            <w:r>
              <w:t>–</w:t>
            </w:r>
          </w:p>
        </w:tc>
        <w:tc>
          <w:tcPr>
            <w:tcW w:w="885" w:type="dxa"/>
            <w:tcBorders>
              <w:top w:val="single" w:sz="4" w:space="0" w:color="3F3F3F"/>
              <w:left w:val="nil"/>
              <w:bottom w:val="single" w:sz="4" w:space="0" w:color="3F3F3F"/>
              <w:right w:val="single" w:sz="4" w:space="0" w:color="3F3F3F"/>
            </w:tcBorders>
            <w:noWrap/>
            <w:vAlign w:val="bottom"/>
            <w:hideMark/>
          </w:tcPr>
          <w:p w14:paraId="6CE39FAB" w14:textId="10888194" w:rsidR="009C3748" w:rsidRPr="009F74ED" w:rsidRDefault="009C3748" w:rsidP="009C3748">
            <w:r w:rsidRPr="009F74ED">
              <w:t>19</w:t>
            </w:r>
            <w:r>
              <w:t>,</w:t>
            </w:r>
            <w:r w:rsidRPr="009F74ED">
              <w:t>22</w:t>
            </w:r>
          </w:p>
        </w:tc>
        <w:tc>
          <w:tcPr>
            <w:tcW w:w="985" w:type="dxa"/>
            <w:tcBorders>
              <w:top w:val="single" w:sz="4" w:space="0" w:color="3F3F3F"/>
              <w:left w:val="nil"/>
              <w:bottom w:val="single" w:sz="4" w:space="0" w:color="3F3F3F"/>
              <w:right w:val="single" w:sz="4" w:space="0" w:color="3F3F3F"/>
            </w:tcBorders>
            <w:noWrap/>
            <w:vAlign w:val="bottom"/>
            <w:hideMark/>
          </w:tcPr>
          <w:p w14:paraId="73715CE0" w14:textId="26331AF4" w:rsidR="009C3748" w:rsidRPr="009F74ED" w:rsidRDefault="009C3748" w:rsidP="009C3748">
            <w:r w:rsidRPr="009F74ED">
              <w:t>42</w:t>
            </w:r>
            <w:r>
              <w:t>,</w:t>
            </w:r>
            <w:r w:rsidRPr="009F74ED">
              <w:t>65</w:t>
            </w:r>
          </w:p>
        </w:tc>
        <w:tc>
          <w:tcPr>
            <w:tcW w:w="885" w:type="dxa"/>
            <w:tcBorders>
              <w:top w:val="single" w:sz="4" w:space="0" w:color="3F3F3F"/>
              <w:left w:val="nil"/>
              <w:bottom w:val="single" w:sz="4" w:space="0" w:color="3F3F3F"/>
              <w:right w:val="single" w:sz="4" w:space="0" w:color="3F3F3F"/>
            </w:tcBorders>
            <w:noWrap/>
            <w:vAlign w:val="bottom"/>
            <w:hideMark/>
          </w:tcPr>
          <w:p w14:paraId="5F050405" w14:textId="7F724E5E" w:rsidR="009C3748" w:rsidRPr="009F74ED" w:rsidRDefault="009C3748" w:rsidP="009C3748">
            <w:r w:rsidRPr="009F74ED">
              <w:t>0</w:t>
            </w:r>
            <w:r>
              <w:t>,</w:t>
            </w:r>
            <w:r w:rsidRPr="009F74ED">
              <w:t>8</w:t>
            </w:r>
          </w:p>
        </w:tc>
        <w:tc>
          <w:tcPr>
            <w:tcW w:w="1012" w:type="dxa"/>
            <w:tcBorders>
              <w:top w:val="single" w:sz="4" w:space="0" w:color="3F3F3F"/>
              <w:left w:val="nil"/>
              <w:bottom w:val="single" w:sz="4" w:space="0" w:color="3F3F3F"/>
              <w:right w:val="single" w:sz="4" w:space="0" w:color="3F3F3F"/>
            </w:tcBorders>
            <w:noWrap/>
            <w:vAlign w:val="bottom"/>
            <w:hideMark/>
          </w:tcPr>
          <w:p w14:paraId="5E781D64" w14:textId="21B55169" w:rsidR="009C3748" w:rsidRPr="009F74ED" w:rsidRDefault="009C3748" w:rsidP="009C3748">
            <w:r w:rsidRPr="009F74ED">
              <w:t>0</w:t>
            </w:r>
            <w:r>
              <w:t>,</w:t>
            </w:r>
            <w:r w:rsidRPr="009F74ED">
              <w:t>8</w:t>
            </w:r>
          </w:p>
        </w:tc>
        <w:tc>
          <w:tcPr>
            <w:tcW w:w="856" w:type="dxa"/>
            <w:tcBorders>
              <w:top w:val="single" w:sz="4" w:space="0" w:color="3F3F3F"/>
              <w:left w:val="nil"/>
              <w:bottom w:val="single" w:sz="4" w:space="0" w:color="3F3F3F"/>
              <w:right w:val="single" w:sz="4" w:space="0" w:color="3F3F3F"/>
            </w:tcBorders>
            <w:noWrap/>
            <w:vAlign w:val="bottom"/>
            <w:hideMark/>
          </w:tcPr>
          <w:p w14:paraId="410C5C8B" w14:textId="77777777" w:rsidR="009C3748" w:rsidRPr="009F74ED" w:rsidRDefault="009C3748" w:rsidP="009C3748">
            <w:r w:rsidRPr="009F74ED">
              <w:t>0</w:t>
            </w:r>
          </w:p>
        </w:tc>
        <w:tc>
          <w:tcPr>
            <w:tcW w:w="1013" w:type="dxa"/>
            <w:tcBorders>
              <w:top w:val="single" w:sz="4" w:space="0" w:color="3F3F3F"/>
              <w:left w:val="nil"/>
              <w:bottom w:val="single" w:sz="4" w:space="0" w:color="3F3F3F"/>
              <w:right w:val="single" w:sz="4" w:space="0" w:color="3F3F3F"/>
            </w:tcBorders>
            <w:noWrap/>
            <w:vAlign w:val="bottom"/>
            <w:hideMark/>
          </w:tcPr>
          <w:p w14:paraId="12472AD3" w14:textId="51A7CD44" w:rsidR="009C3748" w:rsidRPr="009F74ED" w:rsidRDefault="009C3748" w:rsidP="009C3748">
            <w:r w:rsidRPr="009F74ED">
              <w:t>10</w:t>
            </w:r>
            <w:r>
              <w:t>,</w:t>
            </w:r>
            <w:r w:rsidRPr="009F74ED">
              <w:t>2</w:t>
            </w:r>
            <w:r>
              <w:t>–</w:t>
            </w:r>
          </w:p>
        </w:tc>
        <w:tc>
          <w:tcPr>
            <w:tcW w:w="856" w:type="dxa"/>
            <w:tcBorders>
              <w:top w:val="single" w:sz="4" w:space="0" w:color="3F3F3F"/>
              <w:left w:val="nil"/>
              <w:bottom w:val="single" w:sz="4" w:space="0" w:color="3F3F3F"/>
              <w:right w:val="single" w:sz="4" w:space="0" w:color="3F3F3F"/>
            </w:tcBorders>
            <w:noWrap/>
            <w:vAlign w:val="bottom"/>
            <w:hideMark/>
          </w:tcPr>
          <w:p w14:paraId="4F428A76" w14:textId="0E37D00D" w:rsidR="009C3748" w:rsidRPr="009F74ED" w:rsidRDefault="009C3748" w:rsidP="009C3748">
            <w:pPr>
              <w:rPr>
                <w:rtl/>
                <w:lang w:bidi="ar-SY"/>
              </w:rPr>
            </w:pPr>
            <w:r w:rsidRPr="009F74ED">
              <w:t>30</w:t>
            </w:r>
            <w:r>
              <w:t>,</w:t>
            </w:r>
            <w:r w:rsidRPr="009F74ED">
              <w:t>8</w:t>
            </w:r>
            <w:r>
              <w:t>–</w:t>
            </w:r>
          </w:p>
        </w:tc>
        <w:tc>
          <w:tcPr>
            <w:tcW w:w="871" w:type="dxa"/>
            <w:tcBorders>
              <w:top w:val="single" w:sz="4" w:space="0" w:color="3F3F3F"/>
              <w:left w:val="nil"/>
              <w:bottom w:val="single" w:sz="4" w:space="0" w:color="3F3F3F"/>
              <w:right w:val="single" w:sz="4" w:space="0" w:color="3F3F3F"/>
            </w:tcBorders>
            <w:noWrap/>
            <w:vAlign w:val="bottom"/>
          </w:tcPr>
          <w:p w14:paraId="46C6B858" w14:textId="77777777" w:rsidR="009C3748" w:rsidRPr="009F74ED" w:rsidRDefault="009C3748" w:rsidP="009C3748"/>
        </w:tc>
      </w:tr>
    </w:tbl>
    <w:p w14:paraId="7E8D2CCE" w14:textId="77777777" w:rsidR="00A73C44" w:rsidRDefault="00A73C44" w:rsidP="009C3748">
      <w:pPr>
        <w:pStyle w:val="Reasons"/>
        <w:rPr>
          <w:rtl/>
        </w:rPr>
      </w:pPr>
    </w:p>
    <w:p w14:paraId="6F7183C4" w14:textId="40E1DFDE" w:rsidR="009C3748" w:rsidRPr="009C3748" w:rsidRDefault="009C3748" w:rsidP="009C3748">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w:t>
      </w:r>
    </w:p>
    <w:sectPr w:rsidR="009C3748" w:rsidRPr="009C3748">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687C" w14:textId="77777777" w:rsidR="001A6F04" w:rsidRDefault="001A6F04" w:rsidP="002919E1">
      <w:r>
        <w:separator/>
      </w:r>
    </w:p>
    <w:p w14:paraId="0F2638EA" w14:textId="77777777" w:rsidR="001A6F04" w:rsidRDefault="001A6F04" w:rsidP="002919E1"/>
    <w:p w14:paraId="486210A5" w14:textId="77777777" w:rsidR="001A6F04" w:rsidRDefault="001A6F04" w:rsidP="002919E1"/>
    <w:p w14:paraId="75256726" w14:textId="77777777" w:rsidR="001A6F04" w:rsidRDefault="001A6F04"/>
    <w:p w14:paraId="36F31B82" w14:textId="77777777" w:rsidR="001A6F04" w:rsidRDefault="001A6F04"/>
  </w:endnote>
  <w:endnote w:type="continuationSeparator" w:id="0">
    <w:p w14:paraId="08216781" w14:textId="77777777" w:rsidR="001A6F04" w:rsidRDefault="001A6F04" w:rsidP="002919E1">
      <w:r>
        <w:continuationSeparator/>
      </w:r>
    </w:p>
    <w:p w14:paraId="048C827A" w14:textId="77777777" w:rsidR="001A6F04" w:rsidRDefault="001A6F04" w:rsidP="002919E1"/>
    <w:p w14:paraId="1D764828" w14:textId="77777777" w:rsidR="001A6F04" w:rsidRDefault="001A6F04" w:rsidP="002919E1"/>
    <w:p w14:paraId="5DBAE518" w14:textId="77777777" w:rsidR="001A6F04" w:rsidRDefault="001A6F04"/>
    <w:p w14:paraId="65F3BD42"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094D" w14:textId="34D289CF" w:rsidR="00D63A6F" w:rsidRPr="00CA4154"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CA4154">
      <w:rPr>
        <w:sz w:val="16"/>
        <w:szCs w:val="16"/>
        <w:lang w:val="pt-PT"/>
      </w:rPr>
      <w:instrText xml:space="preserve"> FILENAME \p \* MERGEFORMAT </w:instrText>
    </w:r>
    <w:r w:rsidRPr="0026373E">
      <w:rPr>
        <w:sz w:val="16"/>
        <w:szCs w:val="16"/>
        <w:lang w:val="fr-FR"/>
      </w:rPr>
      <w:fldChar w:fldCharType="separate"/>
    </w:r>
    <w:r w:rsidR="005C566A" w:rsidRPr="00CA4154">
      <w:rPr>
        <w:noProof/>
        <w:sz w:val="16"/>
        <w:szCs w:val="16"/>
        <w:lang w:val="pt-PT"/>
      </w:rPr>
      <w:t>P:\ARA\ITU-R\CONF-R\CMR23\000\048A.docx</w:t>
    </w:r>
    <w:r w:rsidRPr="0026373E">
      <w:rPr>
        <w:sz w:val="16"/>
        <w:szCs w:val="16"/>
      </w:rPr>
      <w:fldChar w:fldCharType="end"/>
    </w:r>
    <w:r w:rsidRPr="00CA4154">
      <w:rPr>
        <w:sz w:val="16"/>
        <w:szCs w:val="16"/>
        <w:lang w:val="pt-PT"/>
      </w:rPr>
      <w:t xml:space="preserve">   </w:t>
    </w:r>
    <w:r w:rsidRPr="00CA4154">
      <w:rPr>
        <w:sz w:val="16"/>
        <w:szCs w:val="16"/>
        <w:lang w:val="pt-PT"/>
      </w:rPr>
      <w:t>(</w:t>
    </w:r>
    <w:r w:rsidR="009C3748" w:rsidRPr="00CA4154">
      <w:rPr>
        <w:sz w:val="16"/>
        <w:szCs w:val="16"/>
        <w:lang w:val="pt-PT"/>
      </w:rPr>
      <w:t>525821</w:t>
    </w:r>
    <w:r w:rsidRPr="00CA4154">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82F3" w14:textId="77777777" w:rsidR="00507C3E" w:rsidRDefault="00507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C30A" w14:textId="025B53E3" w:rsidR="00507C3E" w:rsidRPr="00507C3E" w:rsidRDefault="00507C3E" w:rsidP="00507C3E">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CA4154">
      <w:rPr>
        <w:sz w:val="16"/>
        <w:szCs w:val="16"/>
        <w:lang w:val="pt-PT"/>
      </w:rPr>
      <w:instrText xml:space="preserve"> FILENAME \p \* MERGEFORMAT </w:instrText>
    </w:r>
    <w:r w:rsidRPr="0026373E">
      <w:rPr>
        <w:sz w:val="16"/>
        <w:szCs w:val="16"/>
        <w:lang w:val="fr-FR"/>
      </w:rPr>
      <w:fldChar w:fldCharType="separate"/>
    </w:r>
    <w:r w:rsidRPr="00CA4154">
      <w:rPr>
        <w:noProof/>
        <w:sz w:val="16"/>
        <w:szCs w:val="16"/>
        <w:lang w:val="pt-PT"/>
      </w:rPr>
      <w:t>P:\ARA\ITU-R\CONF-R\CMR23\000\048A.docx</w:t>
    </w:r>
    <w:r w:rsidRPr="0026373E">
      <w:rPr>
        <w:sz w:val="16"/>
        <w:szCs w:val="16"/>
      </w:rPr>
      <w:fldChar w:fldCharType="end"/>
    </w:r>
    <w:r w:rsidRPr="00CA4154">
      <w:rPr>
        <w:sz w:val="16"/>
        <w:szCs w:val="16"/>
        <w:lang w:val="pt-PT"/>
      </w:rPr>
      <w:t xml:space="preserve">   </w:t>
    </w:r>
    <w:r w:rsidRPr="00CA4154">
      <w:rPr>
        <w:sz w:val="16"/>
        <w:szCs w:val="16"/>
        <w:lang w:val="pt-PT"/>
      </w:rPr>
      <w:t>(525821)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4F42" w14:textId="77777777" w:rsidR="001A6F04" w:rsidRDefault="001A6F04" w:rsidP="00C45930">
      <w:r>
        <w:separator/>
      </w:r>
    </w:p>
  </w:footnote>
  <w:footnote w:type="continuationSeparator" w:id="0">
    <w:p w14:paraId="2A54AF98" w14:textId="77777777" w:rsidR="001A6F04" w:rsidRDefault="001A6F04" w:rsidP="002919E1">
      <w:r>
        <w:continuationSeparator/>
      </w:r>
    </w:p>
    <w:p w14:paraId="0DE12A18" w14:textId="77777777" w:rsidR="001A6F04" w:rsidRDefault="001A6F04" w:rsidP="002919E1"/>
    <w:p w14:paraId="1218A653" w14:textId="77777777" w:rsidR="001A6F04" w:rsidRDefault="001A6F04" w:rsidP="002919E1"/>
    <w:p w14:paraId="56B17C31" w14:textId="77777777" w:rsidR="001A6F04" w:rsidRDefault="001A6F04"/>
    <w:p w14:paraId="71F64CEC" w14:textId="77777777" w:rsidR="001A6F04" w:rsidRDefault="001A6F04"/>
  </w:footnote>
  <w:footnote w:id="1">
    <w:p w14:paraId="70742E16" w14:textId="41D4448D" w:rsidR="00C00FD9" w:rsidRPr="00FE2CFF" w:rsidRDefault="00C945B4" w:rsidP="00FA7544">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sidR="001A1D3D">
        <w:rPr>
          <w:rFonts w:hint="cs"/>
          <w:rtl/>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FA7544">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9AF2" w14:textId="6BE1255C" w:rsidR="00D63A6F" w:rsidRPr="005E5F16" w:rsidRDefault="005E5F16" w:rsidP="00D90493">
    <w:pPr>
      <w:bidi w:val="0"/>
      <w:spacing w:after="360" w:line="240" w:lineRule="auto"/>
      <w:jc w:val="center"/>
    </w:pPr>
    <w:r w:rsidRPr="00D90493">
      <w:rPr>
        <w:rStyle w:val="PageNumber"/>
        <w:rFonts w:ascii="Dubai" w:hAnsi="Dubai" w:cs="Dubai"/>
      </w:rPr>
      <w:fldChar w:fldCharType="begin"/>
    </w:r>
    <w:r w:rsidRPr="00D90493">
      <w:rPr>
        <w:rStyle w:val="PageNumber"/>
        <w:rFonts w:ascii="Dubai" w:hAnsi="Dubai" w:cs="Dubai"/>
      </w:rPr>
      <w:instrText xml:space="preserve"> PAGE </w:instrText>
    </w:r>
    <w:r w:rsidRPr="00D90493">
      <w:rPr>
        <w:rStyle w:val="PageNumber"/>
        <w:rFonts w:ascii="Dubai" w:hAnsi="Dubai" w:cs="Dubai"/>
      </w:rPr>
      <w:fldChar w:fldCharType="separate"/>
    </w:r>
    <w:r w:rsidRPr="00D90493">
      <w:rPr>
        <w:rStyle w:val="PageNumber"/>
        <w:rFonts w:ascii="Dubai" w:hAnsi="Dubai" w:cs="Dubai"/>
      </w:rPr>
      <w:t>2</w:t>
    </w:r>
    <w:r w:rsidRPr="00D90493">
      <w:rPr>
        <w:rStyle w:val="PageNumber"/>
        <w:rFonts w:ascii="Dubai" w:hAnsi="Dubai" w:cs="Dubai"/>
      </w:rPr>
      <w:fldChar w:fldCharType="end"/>
    </w:r>
    <w:r w:rsidRPr="00D90493">
      <w:rPr>
        <w:rStyle w:val="PageNumber"/>
        <w:rFonts w:ascii="Dubai" w:hAnsi="Dubai" w:cs="Dubai"/>
        <w:rtl/>
      </w:rPr>
      <w:br/>
    </w:r>
    <w:r w:rsidR="004F5F29" w:rsidRPr="00D90493">
      <w:rPr>
        <w:rStyle w:val="PageNumber"/>
        <w:rFonts w:ascii="Dubai" w:hAnsi="Dubai" w:cs="Dubai"/>
      </w:rPr>
      <w:t>WRC</w:t>
    </w:r>
    <w:r w:rsidRPr="00D90493">
      <w:rPr>
        <w:rStyle w:val="PageNumber"/>
        <w:rFonts w:ascii="Dubai" w:hAnsi="Dubai" w:cs="Dubai"/>
      </w:rPr>
      <w:t>23/48-A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1C91" w14:textId="77777777" w:rsidR="00507C3E" w:rsidRDefault="00507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7B5D" w14:textId="77777777" w:rsidR="00507C3E" w:rsidRDefault="00507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7CD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80D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3CC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669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77254929">
    <w:abstractNumId w:val="9"/>
  </w:num>
  <w:num w:numId="2" w16cid:durableId="1160660102">
    <w:abstractNumId w:val="13"/>
  </w:num>
  <w:num w:numId="3" w16cid:durableId="2070571663">
    <w:abstractNumId w:val="11"/>
  </w:num>
  <w:num w:numId="4" w16cid:durableId="1349719621">
    <w:abstractNumId w:val="14"/>
  </w:num>
  <w:num w:numId="5" w16cid:durableId="726992658">
    <w:abstractNumId w:val="7"/>
  </w:num>
  <w:num w:numId="6" w16cid:durableId="75565126">
    <w:abstractNumId w:val="6"/>
  </w:num>
  <w:num w:numId="7" w16cid:durableId="520631464">
    <w:abstractNumId w:val="5"/>
  </w:num>
  <w:num w:numId="8" w16cid:durableId="676730031">
    <w:abstractNumId w:val="4"/>
  </w:num>
  <w:num w:numId="9" w16cid:durableId="992952469">
    <w:abstractNumId w:val="8"/>
  </w:num>
  <w:num w:numId="10" w16cid:durableId="1879659672">
    <w:abstractNumId w:val="3"/>
  </w:num>
  <w:num w:numId="11" w16cid:durableId="35080670">
    <w:abstractNumId w:val="2"/>
  </w:num>
  <w:num w:numId="12" w16cid:durableId="966399516">
    <w:abstractNumId w:val="1"/>
  </w:num>
  <w:num w:numId="13" w16cid:durableId="1206020826">
    <w:abstractNumId w:val="0"/>
  </w:num>
  <w:num w:numId="14" w16cid:durableId="1464695488">
    <w:abstractNumId w:val="10"/>
  </w:num>
  <w:num w:numId="15" w16cid:durableId="1422603067">
    <w:abstractNumId w:val="15"/>
  </w:num>
  <w:num w:numId="16" w16cid:durableId="1038117839">
    <w:abstractNumId w:val="12"/>
  </w:num>
  <w:num w:numId="17" w16cid:durableId="1317412374">
    <w:abstractNumId w:val="6"/>
  </w:num>
  <w:num w:numId="18" w16cid:durableId="2057241929">
    <w:abstractNumId w:val="5"/>
  </w:num>
  <w:num w:numId="19" w16cid:durableId="1796557821">
    <w:abstractNumId w:val="3"/>
  </w:num>
  <w:num w:numId="20" w16cid:durableId="739670718">
    <w:abstractNumId w:val="2"/>
  </w:num>
  <w:num w:numId="21" w16cid:durableId="639963620">
    <w:abstractNumId w:val="6"/>
  </w:num>
  <w:num w:numId="22" w16cid:durableId="1050572873">
    <w:abstractNumId w:val="5"/>
  </w:num>
  <w:num w:numId="23" w16cid:durableId="752699792">
    <w:abstractNumId w:val="3"/>
  </w:num>
  <w:num w:numId="24" w16cid:durableId="1217007758">
    <w:abstractNumId w:val="2"/>
  </w:num>
  <w:num w:numId="25" w16cid:durableId="1160728094">
    <w:abstractNumId w:val="6"/>
  </w:num>
  <w:num w:numId="26" w16cid:durableId="1155953219">
    <w:abstractNumId w:val="5"/>
  </w:num>
  <w:num w:numId="27" w16cid:durableId="1580676634">
    <w:abstractNumId w:val="3"/>
  </w:num>
  <w:num w:numId="28" w16cid:durableId="1571577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4CB4"/>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1D3D"/>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46C0"/>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74A3"/>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07C3E"/>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1B25"/>
    <w:rsid w:val="00553411"/>
    <w:rsid w:val="00554AE7"/>
    <w:rsid w:val="005626B0"/>
    <w:rsid w:val="00564746"/>
    <w:rsid w:val="00564FCF"/>
    <w:rsid w:val="0056512C"/>
    <w:rsid w:val="00565CF9"/>
    <w:rsid w:val="005716C8"/>
    <w:rsid w:val="00576D0A"/>
    <w:rsid w:val="00576FCC"/>
    <w:rsid w:val="00580F39"/>
    <w:rsid w:val="005821DC"/>
    <w:rsid w:val="00584333"/>
    <w:rsid w:val="0058478B"/>
    <w:rsid w:val="005953EC"/>
    <w:rsid w:val="005B00A1"/>
    <w:rsid w:val="005B4A6D"/>
    <w:rsid w:val="005C29C8"/>
    <w:rsid w:val="005C47A6"/>
    <w:rsid w:val="005C566A"/>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CC1"/>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73340"/>
    <w:rsid w:val="00984018"/>
    <w:rsid w:val="009906D6"/>
    <w:rsid w:val="009945EA"/>
    <w:rsid w:val="00995CE3"/>
    <w:rsid w:val="009A3D30"/>
    <w:rsid w:val="009A5AC1"/>
    <w:rsid w:val="009B006F"/>
    <w:rsid w:val="009C3748"/>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064F"/>
    <w:rsid w:val="00A73C44"/>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15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5B4"/>
    <w:rsid w:val="00C94DFA"/>
    <w:rsid w:val="00C96F80"/>
    <w:rsid w:val="00CA1971"/>
    <w:rsid w:val="00CA298C"/>
    <w:rsid w:val="00CA4154"/>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0493"/>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576F"/>
    <w:rsid w:val="00E20122"/>
    <w:rsid w:val="00E21A8D"/>
    <w:rsid w:val="00E221F5"/>
    <w:rsid w:val="00E2476B"/>
    <w:rsid w:val="00E2489D"/>
    <w:rsid w:val="00E26520"/>
    <w:rsid w:val="00E30C79"/>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398"/>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7544"/>
    <w:rsid w:val="00FB049A"/>
    <w:rsid w:val="00FB0753"/>
    <w:rsid w:val="00FB0F38"/>
    <w:rsid w:val="00FB15D0"/>
    <w:rsid w:val="00FB2926"/>
    <w:rsid w:val="00FB4A1C"/>
    <w:rsid w:val="00FB5CC8"/>
    <w:rsid w:val="00FC2CD0"/>
    <w:rsid w:val="00FD0594"/>
    <w:rsid w:val="00FD2222"/>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9E7C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Reference/ + Text 1"/>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98b168d-1af7-49f1-aba2-c6cdc81ab808">DPM</DPM_x0020_Author>
    <DPM_x0020_File_x0020_name xmlns="598b168d-1af7-49f1-aba2-c6cdc81ab808">R23-WRC23-C-0048!!MSW-A</DPM_x0020_File_x0020_name>
    <DPM_x0020_Version xmlns="598b168d-1af7-49f1-aba2-c6cdc81ab80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8b168d-1af7-49f1-aba2-c6cdc81ab808" targetNamespace="http://schemas.microsoft.com/office/2006/metadata/properties" ma:root="true" ma:fieldsID="d41af5c836d734370eb92e7ee5f83852" ns2:_="" ns3:_="">
    <xsd:import namespace="996b2e75-67fd-4955-a3b0-5ab9934cb50b"/>
    <xsd:import namespace="598b168d-1af7-49f1-aba2-c6cdc81ab8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8b168d-1af7-49f1-aba2-c6cdc81ab8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b168d-1af7-49f1-aba2-c6cdc81ab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8b168d-1af7-49f1-aba2-c6cdc81ab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413</Words>
  <Characters>2119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R23-WRC23-C-0048!!MSW-A</vt:lpstr>
    </vt:vector>
  </TitlesOfParts>
  <Manager>General Secretariat - Pool</Manager>
  <Company>International Telecommunication Union (ITU)</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R23-WRC23-C-0048!!MSW-A</dc:title>
  <dc:creator>Documents Proposals Manager (DPM)</dc:creator>
  <cp:keywords>DPM_v2023.5.24.1_prod</cp:keywords>
  <cp:lastModifiedBy>Arabic-SA</cp:lastModifiedBy>
  <cp:revision>12</cp:revision>
  <cp:lastPrinted>2020-08-11T14:28:00Z</cp:lastPrinted>
  <dcterms:created xsi:type="dcterms:W3CDTF">2023-07-12T20:44:00Z</dcterms:created>
  <dcterms:modified xsi:type="dcterms:W3CDTF">2023-07-12T21:08:00Z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