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5E669B" w14:paraId="5D758A51" w14:textId="77777777" w:rsidTr="0080079E">
        <w:trPr>
          <w:cantSplit/>
        </w:trPr>
        <w:tc>
          <w:tcPr>
            <w:tcW w:w="1418" w:type="dxa"/>
            <w:vAlign w:val="center"/>
          </w:tcPr>
          <w:p w14:paraId="5207A793" w14:textId="77777777" w:rsidR="0080079E" w:rsidRPr="005E669B" w:rsidRDefault="0080079E" w:rsidP="0080079E">
            <w:pPr>
              <w:spacing w:before="0" w:line="240" w:lineRule="atLeast"/>
              <w:rPr>
                <w:rFonts w:ascii="Verdana" w:hAnsi="Verdana"/>
                <w:position w:val="6"/>
              </w:rPr>
            </w:pPr>
            <w:r w:rsidRPr="005E669B">
              <w:rPr>
                <w:noProof/>
              </w:rPr>
              <w:drawing>
                <wp:inline distT="0" distB="0" distL="0" distR="0" wp14:anchorId="626A9B66" wp14:editId="2ED876C4">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0AB48BB8" w14:textId="77777777" w:rsidR="0080079E" w:rsidRPr="005E669B" w:rsidRDefault="0080079E" w:rsidP="00C44E9E">
            <w:pPr>
              <w:spacing w:before="400" w:after="48" w:line="240" w:lineRule="atLeast"/>
              <w:rPr>
                <w:rFonts w:ascii="Verdana" w:hAnsi="Verdana"/>
                <w:position w:val="6"/>
              </w:rPr>
            </w:pPr>
            <w:r w:rsidRPr="005E669B">
              <w:rPr>
                <w:rFonts w:ascii="Verdana" w:hAnsi="Verdana" w:cs="Times"/>
                <w:b/>
                <w:position w:val="6"/>
                <w:sz w:val="20"/>
              </w:rPr>
              <w:t>Conferencia Mundial de Radiocomunicaciones (CMR-23)</w:t>
            </w:r>
            <w:r w:rsidRPr="005E669B">
              <w:rPr>
                <w:rFonts w:ascii="Verdana" w:hAnsi="Verdana" w:cs="Times"/>
                <w:b/>
                <w:position w:val="6"/>
                <w:sz w:val="20"/>
              </w:rPr>
              <w:br/>
            </w:r>
            <w:r w:rsidRPr="005E669B">
              <w:rPr>
                <w:rFonts w:ascii="Verdana" w:hAnsi="Verdana" w:cs="Times"/>
                <w:b/>
                <w:position w:val="6"/>
                <w:sz w:val="18"/>
                <w:szCs w:val="18"/>
              </w:rPr>
              <w:t>Dubái, 20 de noviembre - 15 de diciembre de 2023</w:t>
            </w:r>
          </w:p>
        </w:tc>
        <w:tc>
          <w:tcPr>
            <w:tcW w:w="1809" w:type="dxa"/>
            <w:vAlign w:val="center"/>
          </w:tcPr>
          <w:p w14:paraId="4B60D91A" w14:textId="77777777" w:rsidR="0080079E" w:rsidRPr="005E669B" w:rsidRDefault="0080079E" w:rsidP="0080079E">
            <w:pPr>
              <w:spacing w:before="0" w:line="240" w:lineRule="atLeast"/>
            </w:pPr>
            <w:bookmarkStart w:id="0" w:name="ditulogo"/>
            <w:bookmarkEnd w:id="0"/>
            <w:r w:rsidRPr="005E669B">
              <w:rPr>
                <w:noProof/>
              </w:rPr>
              <w:drawing>
                <wp:inline distT="0" distB="0" distL="0" distR="0" wp14:anchorId="41510775" wp14:editId="5C97ED91">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5E669B" w14:paraId="72D77E0E" w14:textId="77777777" w:rsidTr="0050008E">
        <w:trPr>
          <w:cantSplit/>
        </w:trPr>
        <w:tc>
          <w:tcPr>
            <w:tcW w:w="6911" w:type="dxa"/>
            <w:gridSpan w:val="2"/>
            <w:tcBorders>
              <w:bottom w:val="single" w:sz="12" w:space="0" w:color="auto"/>
            </w:tcBorders>
          </w:tcPr>
          <w:p w14:paraId="01483765" w14:textId="77777777" w:rsidR="0090121B" w:rsidRPr="005E669B" w:rsidRDefault="0090121B" w:rsidP="0090121B">
            <w:pPr>
              <w:spacing w:before="0" w:after="48" w:line="240" w:lineRule="atLeast"/>
              <w:rPr>
                <w:b/>
                <w:smallCaps/>
                <w:szCs w:val="24"/>
              </w:rPr>
            </w:pPr>
            <w:bookmarkStart w:id="1" w:name="dhead"/>
          </w:p>
        </w:tc>
        <w:tc>
          <w:tcPr>
            <w:tcW w:w="3120" w:type="dxa"/>
            <w:gridSpan w:val="2"/>
            <w:tcBorders>
              <w:bottom w:val="single" w:sz="12" w:space="0" w:color="auto"/>
            </w:tcBorders>
          </w:tcPr>
          <w:p w14:paraId="4A81DBBB" w14:textId="77777777" w:rsidR="0090121B" w:rsidRPr="005E669B" w:rsidRDefault="0090121B" w:rsidP="0090121B">
            <w:pPr>
              <w:spacing w:before="0" w:line="240" w:lineRule="atLeast"/>
              <w:rPr>
                <w:rFonts w:ascii="Verdana" w:hAnsi="Verdana"/>
                <w:szCs w:val="24"/>
              </w:rPr>
            </w:pPr>
          </w:p>
        </w:tc>
      </w:tr>
      <w:tr w:rsidR="0090121B" w:rsidRPr="005E669B" w14:paraId="010727FA" w14:textId="77777777" w:rsidTr="0090121B">
        <w:trPr>
          <w:cantSplit/>
        </w:trPr>
        <w:tc>
          <w:tcPr>
            <w:tcW w:w="6911" w:type="dxa"/>
            <w:gridSpan w:val="2"/>
            <w:tcBorders>
              <w:top w:val="single" w:sz="12" w:space="0" w:color="auto"/>
            </w:tcBorders>
          </w:tcPr>
          <w:p w14:paraId="500BE4AF" w14:textId="77777777" w:rsidR="0090121B" w:rsidRPr="005E669B"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7350E251" w14:textId="77777777" w:rsidR="0090121B" w:rsidRPr="005E669B" w:rsidRDefault="0090121B" w:rsidP="0090121B">
            <w:pPr>
              <w:spacing w:before="0" w:line="240" w:lineRule="atLeast"/>
              <w:rPr>
                <w:rFonts w:ascii="Verdana" w:hAnsi="Verdana"/>
                <w:sz w:val="20"/>
              </w:rPr>
            </w:pPr>
          </w:p>
        </w:tc>
      </w:tr>
      <w:tr w:rsidR="0090121B" w:rsidRPr="005E669B" w14:paraId="7E908C6D" w14:textId="77777777" w:rsidTr="0090121B">
        <w:trPr>
          <w:cantSplit/>
        </w:trPr>
        <w:tc>
          <w:tcPr>
            <w:tcW w:w="6911" w:type="dxa"/>
            <w:gridSpan w:val="2"/>
          </w:tcPr>
          <w:p w14:paraId="0A9560B0" w14:textId="77777777" w:rsidR="0090121B" w:rsidRPr="005E669B" w:rsidRDefault="001E7D42" w:rsidP="00EA77F0">
            <w:pPr>
              <w:pStyle w:val="Committee"/>
              <w:framePr w:hSpace="0" w:wrap="auto" w:hAnchor="text" w:yAlign="inline"/>
              <w:rPr>
                <w:sz w:val="18"/>
                <w:szCs w:val="18"/>
                <w:lang w:val="es-ES_tradnl"/>
              </w:rPr>
            </w:pPr>
            <w:r w:rsidRPr="005E669B">
              <w:rPr>
                <w:sz w:val="18"/>
                <w:szCs w:val="18"/>
                <w:lang w:val="es-ES_tradnl"/>
              </w:rPr>
              <w:t>SESIÓN PLENARIA</w:t>
            </w:r>
          </w:p>
        </w:tc>
        <w:tc>
          <w:tcPr>
            <w:tcW w:w="3120" w:type="dxa"/>
            <w:gridSpan w:val="2"/>
          </w:tcPr>
          <w:p w14:paraId="1FAB02A1" w14:textId="77777777" w:rsidR="0090121B" w:rsidRPr="005E669B" w:rsidRDefault="00AE658F" w:rsidP="0045384C">
            <w:pPr>
              <w:spacing w:before="0"/>
              <w:rPr>
                <w:rFonts w:ascii="Verdana" w:hAnsi="Verdana"/>
                <w:sz w:val="18"/>
                <w:szCs w:val="18"/>
              </w:rPr>
            </w:pPr>
            <w:r w:rsidRPr="005E669B">
              <w:rPr>
                <w:rFonts w:ascii="Verdana" w:hAnsi="Verdana"/>
                <w:b/>
                <w:sz w:val="18"/>
                <w:szCs w:val="18"/>
              </w:rPr>
              <w:t>Addéndum 6 al</w:t>
            </w:r>
            <w:r w:rsidRPr="005E669B">
              <w:rPr>
                <w:rFonts w:ascii="Verdana" w:hAnsi="Verdana"/>
                <w:b/>
                <w:sz w:val="18"/>
                <w:szCs w:val="18"/>
              </w:rPr>
              <w:br/>
              <w:t>Documento 44</w:t>
            </w:r>
            <w:r w:rsidR="0090121B" w:rsidRPr="005E669B">
              <w:rPr>
                <w:rFonts w:ascii="Verdana" w:hAnsi="Verdana"/>
                <w:b/>
                <w:sz w:val="18"/>
                <w:szCs w:val="18"/>
              </w:rPr>
              <w:t>-</w:t>
            </w:r>
            <w:r w:rsidRPr="005E669B">
              <w:rPr>
                <w:rFonts w:ascii="Verdana" w:hAnsi="Verdana"/>
                <w:b/>
                <w:sz w:val="18"/>
                <w:szCs w:val="18"/>
              </w:rPr>
              <w:t>S</w:t>
            </w:r>
          </w:p>
        </w:tc>
      </w:tr>
      <w:bookmarkEnd w:id="1"/>
      <w:tr w:rsidR="000A5B9A" w:rsidRPr="005E669B" w14:paraId="50E2FD34" w14:textId="77777777" w:rsidTr="0090121B">
        <w:trPr>
          <w:cantSplit/>
        </w:trPr>
        <w:tc>
          <w:tcPr>
            <w:tcW w:w="6911" w:type="dxa"/>
            <w:gridSpan w:val="2"/>
          </w:tcPr>
          <w:p w14:paraId="0A68210F" w14:textId="77777777" w:rsidR="000A5B9A" w:rsidRPr="005E669B" w:rsidRDefault="000A5B9A" w:rsidP="0045384C">
            <w:pPr>
              <w:spacing w:before="0" w:after="48"/>
              <w:rPr>
                <w:rFonts w:ascii="Verdana" w:hAnsi="Verdana"/>
                <w:b/>
                <w:smallCaps/>
                <w:sz w:val="18"/>
                <w:szCs w:val="18"/>
              </w:rPr>
            </w:pPr>
          </w:p>
        </w:tc>
        <w:tc>
          <w:tcPr>
            <w:tcW w:w="3120" w:type="dxa"/>
            <w:gridSpan w:val="2"/>
          </w:tcPr>
          <w:p w14:paraId="57C8E416" w14:textId="1DD85F87" w:rsidR="000A5B9A" w:rsidRPr="005E669B" w:rsidRDefault="000A5B9A" w:rsidP="0045384C">
            <w:pPr>
              <w:spacing w:before="0"/>
              <w:rPr>
                <w:rFonts w:ascii="Verdana" w:hAnsi="Verdana"/>
                <w:b/>
                <w:sz w:val="18"/>
                <w:szCs w:val="18"/>
              </w:rPr>
            </w:pPr>
            <w:r w:rsidRPr="005E669B">
              <w:rPr>
                <w:rFonts w:ascii="Verdana" w:hAnsi="Verdana"/>
                <w:b/>
                <w:sz w:val="18"/>
                <w:szCs w:val="18"/>
              </w:rPr>
              <w:t>1</w:t>
            </w:r>
            <w:r w:rsidR="000B0EE4">
              <w:rPr>
                <w:rFonts w:ascii="Verdana" w:hAnsi="Verdana"/>
                <w:b/>
                <w:sz w:val="18"/>
                <w:szCs w:val="18"/>
              </w:rPr>
              <w:t>3</w:t>
            </w:r>
            <w:r w:rsidRPr="005E669B">
              <w:rPr>
                <w:rFonts w:ascii="Verdana" w:hAnsi="Verdana"/>
                <w:b/>
                <w:sz w:val="18"/>
                <w:szCs w:val="18"/>
              </w:rPr>
              <w:t xml:space="preserve"> de </w:t>
            </w:r>
            <w:r w:rsidR="000B0EE4">
              <w:rPr>
                <w:rFonts w:ascii="Verdana" w:hAnsi="Verdana"/>
                <w:b/>
                <w:sz w:val="18"/>
                <w:szCs w:val="18"/>
              </w:rPr>
              <w:t>octubre</w:t>
            </w:r>
            <w:r w:rsidRPr="005E669B">
              <w:rPr>
                <w:rFonts w:ascii="Verdana" w:hAnsi="Verdana"/>
                <w:b/>
                <w:sz w:val="18"/>
                <w:szCs w:val="18"/>
              </w:rPr>
              <w:t xml:space="preserve"> de 2023</w:t>
            </w:r>
          </w:p>
        </w:tc>
      </w:tr>
      <w:tr w:rsidR="000A5B9A" w:rsidRPr="005E669B" w14:paraId="38C39DE3" w14:textId="77777777" w:rsidTr="0090121B">
        <w:trPr>
          <w:cantSplit/>
        </w:trPr>
        <w:tc>
          <w:tcPr>
            <w:tcW w:w="6911" w:type="dxa"/>
            <w:gridSpan w:val="2"/>
          </w:tcPr>
          <w:p w14:paraId="2F188C3C" w14:textId="77777777" w:rsidR="000A5B9A" w:rsidRPr="005E669B" w:rsidRDefault="000A5B9A" w:rsidP="0045384C">
            <w:pPr>
              <w:spacing w:before="0" w:after="48"/>
              <w:rPr>
                <w:rFonts w:ascii="Verdana" w:hAnsi="Verdana"/>
                <w:b/>
                <w:smallCaps/>
                <w:sz w:val="18"/>
                <w:szCs w:val="18"/>
              </w:rPr>
            </w:pPr>
          </w:p>
        </w:tc>
        <w:tc>
          <w:tcPr>
            <w:tcW w:w="3120" w:type="dxa"/>
            <w:gridSpan w:val="2"/>
          </w:tcPr>
          <w:p w14:paraId="5BC89331" w14:textId="5399D1C4" w:rsidR="000A5B9A" w:rsidRPr="005E669B" w:rsidRDefault="000A5B9A" w:rsidP="0045384C">
            <w:pPr>
              <w:spacing w:before="0"/>
              <w:rPr>
                <w:rFonts w:ascii="Verdana" w:hAnsi="Verdana"/>
                <w:b/>
                <w:sz w:val="18"/>
                <w:szCs w:val="18"/>
              </w:rPr>
            </w:pPr>
            <w:r w:rsidRPr="005E669B">
              <w:rPr>
                <w:rFonts w:ascii="Verdana" w:hAnsi="Verdana"/>
                <w:b/>
                <w:sz w:val="18"/>
                <w:szCs w:val="18"/>
              </w:rPr>
              <w:t xml:space="preserve">Original: </w:t>
            </w:r>
            <w:r w:rsidR="005E669B" w:rsidRPr="005E669B">
              <w:rPr>
                <w:rFonts w:ascii="Verdana" w:hAnsi="Verdana"/>
                <w:b/>
                <w:sz w:val="18"/>
                <w:szCs w:val="18"/>
              </w:rPr>
              <w:t>español</w:t>
            </w:r>
          </w:p>
        </w:tc>
      </w:tr>
      <w:tr w:rsidR="000A5B9A" w:rsidRPr="005E669B" w14:paraId="0CB56DFD" w14:textId="77777777" w:rsidTr="006744FC">
        <w:trPr>
          <w:cantSplit/>
        </w:trPr>
        <w:tc>
          <w:tcPr>
            <w:tcW w:w="10031" w:type="dxa"/>
            <w:gridSpan w:val="4"/>
          </w:tcPr>
          <w:p w14:paraId="438CD432" w14:textId="77777777" w:rsidR="000A5B9A" w:rsidRPr="005E669B" w:rsidRDefault="000A5B9A" w:rsidP="0045384C">
            <w:pPr>
              <w:spacing w:before="0"/>
              <w:rPr>
                <w:rFonts w:ascii="Verdana" w:hAnsi="Verdana"/>
                <w:b/>
                <w:sz w:val="18"/>
                <w:szCs w:val="22"/>
              </w:rPr>
            </w:pPr>
          </w:p>
        </w:tc>
      </w:tr>
      <w:tr w:rsidR="000A5B9A" w:rsidRPr="005E669B" w14:paraId="40E8CC6B" w14:textId="77777777" w:rsidTr="0050008E">
        <w:trPr>
          <w:cantSplit/>
        </w:trPr>
        <w:tc>
          <w:tcPr>
            <w:tcW w:w="10031" w:type="dxa"/>
            <w:gridSpan w:val="4"/>
          </w:tcPr>
          <w:p w14:paraId="27494500" w14:textId="77777777" w:rsidR="000A5B9A" w:rsidRPr="005E669B" w:rsidRDefault="000A5B9A" w:rsidP="000A5B9A">
            <w:pPr>
              <w:pStyle w:val="Source"/>
            </w:pPr>
            <w:bookmarkStart w:id="2" w:name="dsource" w:colFirst="0" w:colLast="0"/>
            <w:r w:rsidRPr="005E669B">
              <w:t>Estados Miembros de la Comisión Interamericana de Telecomunicaciones (CITEL)</w:t>
            </w:r>
          </w:p>
        </w:tc>
      </w:tr>
      <w:tr w:rsidR="000A5B9A" w:rsidRPr="005E669B" w14:paraId="47D2BB13" w14:textId="77777777" w:rsidTr="0050008E">
        <w:trPr>
          <w:cantSplit/>
        </w:trPr>
        <w:tc>
          <w:tcPr>
            <w:tcW w:w="10031" w:type="dxa"/>
            <w:gridSpan w:val="4"/>
          </w:tcPr>
          <w:p w14:paraId="3DF70049" w14:textId="63FA358A" w:rsidR="000A5B9A" w:rsidRPr="005E669B" w:rsidRDefault="005E669B" w:rsidP="000A5B9A">
            <w:pPr>
              <w:pStyle w:val="Title1"/>
            </w:pPr>
            <w:bookmarkStart w:id="3" w:name="dtitle1" w:colFirst="0" w:colLast="0"/>
            <w:bookmarkEnd w:id="2"/>
            <w:r w:rsidRPr="005E669B">
              <w:t>Propuestas para los trabajos de la Conferencia</w:t>
            </w:r>
          </w:p>
        </w:tc>
      </w:tr>
      <w:tr w:rsidR="000A5B9A" w:rsidRPr="005E669B" w14:paraId="4042F96A" w14:textId="77777777" w:rsidTr="0050008E">
        <w:trPr>
          <w:cantSplit/>
        </w:trPr>
        <w:tc>
          <w:tcPr>
            <w:tcW w:w="10031" w:type="dxa"/>
            <w:gridSpan w:val="4"/>
          </w:tcPr>
          <w:p w14:paraId="7A5F9779" w14:textId="77777777" w:rsidR="000A5B9A" w:rsidRPr="005E669B" w:rsidRDefault="000A5B9A" w:rsidP="000A5B9A">
            <w:pPr>
              <w:pStyle w:val="Title2"/>
            </w:pPr>
            <w:bookmarkStart w:id="4" w:name="dtitle2" w:colFirst="0" w:colLast="0"/>
            <w:bookmarkEnd w:id="3"/>
          </w:p>
        </w:tc>
      </w:tr>
      <w:tr w:rsidR="000A5B9A" w:rsidRPr="005E669B" w14:paraId="642DC867" w14:textId="77777777" w:rsidTr="0050008E">
        <w:trPr>
          <w:cantSplit/>
        </w:trPr>
        <w:tc>
          <w:tcPr>
            <w:tcW w:w="10031" w:type="dxa"/>
            <w:gridSpan w:val="4"/>
          </w:tcPr>
          <w:p w14:paraId="6467261B" w14:textId="77777777" w:rsidR="000A5B9A" w:rsidRPr="005E669B" w:rsidRDefault="000A5B9A" w:rsidP="000A5B9A">
            <w:pPr>
              <w:pStyle w:val="Agendaitem"/>
            </w:pPr>
            <w:bookmarkStart w:id="5" w:name="dtitle3" w:colFirst="0" w:colLast="0"/>
            <w:bookmarkEnd w:id="4"/>
            <w:r w:rsidRPr="005E669B">
              <w:t>Punto 1.6 del orden del día</w:t>
            </w:r>
          </w:p>
        </w:tc>
      </w:tr>
    </w:tbl>
    <w:bookmarkEnd w:id="5"/>
    <w:p w14:paraId="5462BBEC" w14:textId="13946992" w:rsidR="00363A65" w:rsidRPr="005E669B" w:rsidRDefault="00BA5744" w:rsidP="002C1A52">
      <w:r w:rsidRPr="005E669B">
        <w:rPr>
          <w:bCs/>
        </w:rPr>
        <w:t>1.6</w:t>
      </w:r>
      <w:r w:rsidRPr="005E669B">
        <w:rPr>
          <w:bCs/>
        </w:rPr>
        <w:tab/>
        <w:t>considerar, de conformidad con la Resolución </w:t>
      </w:r>
      <w:r w:rsidRPr="005E669B">
        <w:rPr>
          <w:b/>
          <w:bCs/>
        </w:rPr>
        <w:t>772 (CMR</w:t>
      </w:r>
      <w:r w:rsidRPr="005E669B">
        <w:rPr>
          <w:b/>
          <w:bCs/>
        </w:rPr>
        <w:noBreakHyphen/>
        <w:t>19)</w:t>
      </w:r>
      <w:r w:rsidRPr="005E669B">
        <w:rPr>
          <w:bCs/>
        </w:rPr>
        <w:t>, disposiciones reglamentarias destinadas a facilitar las radiocomunicaciones para vehículos suborbitales;</w:t>
      </w:r>
    </w:p>
    <w:p w14:paraId="6AD03602" w14:textId="77777777" w:rsidR="008750A8" w:rsidRPr="005E669B" w:rsidRDefault="008750A8" w:rsidP="008750A8">
      <w:pPr>
        <w:tabs>
          <w:tab w:val="clear" w:pos="1134"/>
          <w:tab w:val="clear" w:pos="1871"/>
          <w:tab w:val="clear" w:pos="2268"/>
        </w:tabs>
        <w:overflowPunct/>
        <w:autoSpaceDE/>
        <w:autoSpaceDN/>
        <w:adjustRightInd/>
        <w:spacing w:before="0"/>
        <w:textAlignment w:val="auto"/>
      </w:pPr>
      <w:r w:rsidRPr="005E669B">
        <w:br w:type="page"/>
      </w:r>
    </w:p>
    <w:p w14:paraId="50B4CC6F" w14:textId="77777777" w:rsidR="00D61B3E" w:rsidRPr="005E669B" w:rsidRDefault="00BA5744">
      <w:pPr>
        <w:pStyle w:val="Proposal"/>
      </w:pPr>
      <w:r w:rsidRPr="005E669B">
        <w:lastRenderedPageBreak/>
        <w:t>ADD</w:t>
      </w:r>
      <w:r w:rsidRPr="005E669B">
        <w:tab/>
        <w:t>IAP/44A6/1</w:t>
      </w:r>
      <w:r w:rsidRPr="005E669B">
        <w:rPr>
          <w:vanish/>
          <w:color w:val="7F7F7F" w:themeColor="text1" w:themeTint="80"/>
          <w:vertAlign w:val="superscript"/>
        </w:rPr>
        <w:t>#1588</w:t>
      </w:r>
    </w:p>
    <w:p w14:paraId="7FA54B1B" w14:textId="77777777" w:rsidR="005E669B" w:rsidRDefault="005E669B" w:rsidP="005E669B">
      <w:pPr>
        <w:pStyle w:val="ResNo"/>
      </w:pPr>
      <w:r>
        <w:t>Proyecto de nueva Resolución [</w:t>
      </w:r>
      <w:r w:rsidRPr="00E67344">
        <w:t>IAP-A16</w:t>
      </w:r>
      <w:r>
        <w:t>] (CMR-23)</w:t>
      </w:r>
    </w:p>
    <w:p w14:paraId="033F34B0" w14:textId="46A7B7A1" w:rsidR="005E669B" w:rsidRDefault="005E669B" w:rsidP="005E669B">
      <w:pPr>
        <w:pStyle w:val="Restitle"/>
      </w:pPr>
      <w:r w:rsidRPr="00923B56">
        <w:rPr>
          <w:rFonts w:ascii="Times New Roman"/>
        </w:rPr>
        <w:t>Disposiciones reglamentarias para la explotaci</w:t>
      </w:r>
      <w:r w:rsidRPr="00923B56">
        <w:rPr>
          <w:rFonts w:ascii="Times New Roman"/>
        </w:rPr>
        <w:t>ó</w:t>
      </w:r>
      <w:r w:rsidRPr="00923B56">
        <w:rPr>
          <w:rFonts w:ascii="Times New Roman"/>
        </w:rPr>
        <w:t>n</w:t>
      </w:r>
      <w:r w:rsidR="000A6C3E">
        <w:rPr>
          <w:rFonts w:ascii="Times New Roman"/>
        </w:rPr>
        <w:br/>
      </w:r>
      <w:r w:rsidRPr="00923B56">
        <w:rPr>
          <w:rFonts w:ascii="Times New Roman"/>
        </w:rPr>
        <w:t>de radiocomunicaciones en veh</w:t>
      </w:r>
      <w:r w:rsidRPr="00923B56">
        <w:rPr>
          <w:rFonts w:ascii="Times New Roman"/>
        </w:rPr>
        <w:t>í</w:t>
      </w:r>
      <w:r w:rsidRPr="00923B56">
        <w:rPr>
          <w:rFonts w:ascii="Times New Roman"/>
        </w:rPr>
        <w:t>culos suborbitales</w:t>
      </w:r>
    </w:p>
    <w:p w14:paraId="2AD4EA61" w14:textId="77777777" w:rsidR="005E669B" w:rsidRPr="00E92258" w:rsidRDefault="005E669B" w:rsidP="005E669B">
      <w:pPr>
        <w:pStyle w:val="Normalaftertitle0"/>
        <w:jc w:val="both"/>
        <w:rPr>
          <w:sz w:val="22"/>
          <w:szCs w:val="22"/>
          <w:lang w:val="es-419"/>
        </w:rPr>
      </w:pPr>
      <w:r w:rsidRPr="00E92258">
        <w:rPr>
          <w:sz w:val="22"/>
          <w:szCs w:val="22"/>
          <w:lang w:val="es-419"/>
        </w:rPr>
        <w:t xml:space="preserve">La Conferencia Mundial de Radiocomunicaciones (Dubái, 2023), </w:t>
      </w:r>
    </w:p>
    <w:p w14:paraId="453045AF" w14:textId="77777777" w:rsidR="005E669B" w:rsidRPr="00E67344" w:rsidRDefault="005E669B" w:rsidP="005E669B">
      <w:pPr>
        <w:pStyle w:val="Call"/>
      </w:pPr>
      <w:r w:rsidRPr="00E67344">
        <w:t>considerando</w:t>
      </w:r>
      <w:r w:rsidRPr="00E67344">
        <w:tab/>
      </w:r>
    </w:p>
    <w:p w14:paraId="67EE2F20" w14:textId="77777777" w:rsidR="005E669B" w:rsidRDefault="005E669B" w:rsidP="005E669B">
      <w:pPr>
        <w:rPr>
          <w:lang w:val="es-419"/>
        </w:rPr>
      </w:pPr>
      <w:r w:rsidRPr="00E92258">
        <w:rPr>
          <w:i/>
          <w:iCs/>
          <w:lang w:val="es-419"/>
        </w:rPr>
        <w:t>a)</w:t>
      </w:r>
      <w:r w:rsidRPr="00E92258">
        <w:rPr>
          <w:i/>
          <w:iCs/>
          <w:lang w:val="es-419"/>
        </w:rPr>
        <w:tab/>
      </w:r>
      <w:r w:rsidRPr="00E92258">
        <w:rPr>
          <w:lang w:val="es-419"/>
        </w:rPr>
        <w:t>que los vehículos suborbitales operan a mayor altura que las aeronaves convencionales</w:t>
      </w:r>
      <w:r>
        <w:rPr>
          <w:lang w:val="es-419"/>
        </w:rPr>
        <w:t>;</w:t>
      </w:r>
      <w:r w:rsidRPr="00E92258">
        <w:rPr>
          <w:lang w:val="es-419"/>
        </w:rPr>
        <w:t xml:space="preserve"> </w:t>
      </w:r>
    </w:p>
    <w:p w14:paraId="3792D5B0" w14:textId="19A03EAE" w:rsidR="005E669B" w:rsidRPr="00D10E88" w:rsidRDefault="005E669B" w:rsidP="005E669B">
      <w:r>
        <w:rPr>
          <w:i/>
          <w:iCs/>
          <w:color w:val="000000"/>
        </w:rPr>
        <w:t>b)</w:t>
      </w:r>
      <w:r>
        <w:rPr>
          <w:i/>
          <w:iCs/>
          <w:color w:val="000000"/>
        </w:rPr>
        <w:tab/>
      </w:r>
      <w:r>
        <w:rPr>
          <w:color w:val="000000"/>
        </w:rPr>
        <w:t xml:space="preserve">que los vehículos suborbitales operan a través de los niveles inferiores de la atmósfera, donde pueden operar en el mismo espacio aéreo que las aeronaves convencionales; </w:t>
      </w:r>
    </w:p>
    <w:p w14:paraId="171C8C78" w14:textId="33914C8A" w:rsidR="005E669B" w:rsidRPr="00D10E88" w:rsidRDefault="005E669B" w:rsidP="005E669B">
      <w:r>
        <w:rPr>
          <w:i/>
          <w:iCs/>
          <w:color w:val="000000"/>
        </w:rPr>
        <w:t>c)</w:t>
      </w:r>
      <w:r>
        <w:rPr>
          <w:i/>
          <w:iCs/>
          <w:color w:val="000000"/>
        </w:rPr>
        <w:tab/>
      </w:r>
      <w:r>
        <w:rPr>
          <w:color w:val="000000"/>
        </w:rPr>
        <w:t>que los vehículos suborbitales puedan llevar a cabo diversas misiones, como realizar investigaciones científicas o prestar servicios de transporte;</w:t>
      </w:r>
    </w:p>
    <w:p w14:paraId="3D458EAB" w14:textId="68320DDE" w:rsidR="005E669B" w:rsidRPr="00D10E88" w:rsidRDefault="005E669B" w:rsidP="005E669B">
      <w:r>
        <w:rPr>
          <w:i/>
          <w:iCs/>
          <w:color w:val="000000"/>
        </w:rPr>
        <w:t>d)</w:t>
      </w:r>
      <w:r>
        <w:rPr>
          <w:i/>
          <w:iCs/>
          <w:color w:val="000000"/>
        </w:rPr>
        <w:tab/>
      </w:r>
      <w:r>
        <w:rPr>
          <w:color w:val="000000"/>
        </w:rPr>
        <w:t>que las estaciones a bordo de vehículos suborbitales deben dar cabida a todas o algunas de las siguientes aplicaciones: comunicaciones de voz/datos, navegación, vigilancia y telemetría, seguimiento y comando (TT&amp;C);</w:t>
      </w:r>
    </w:p>
    <w:p w14:paraId="307EFD01" w14:textId="77777777" w:rsidR="005E669B" w:rsidRPr="00D10E88" w:rsidRDefault="005E669B" w:rsidP="005E669B">
      <w:r>
        <w:rPr>
          <w:color w:val="000000"/>
        </w:rPr>
        <w:t>e</w:t>
      </w:r>
      <w:r>
        <w:rPr>
          <w:i/>
          <w:iCs/>
          <w:color w:val="000000"/>
        </w:rPr>
        <w:t>)</w:t>
      </w:r>
      <w:r>
        <w:rPr>
          <w:i/>
          <w:iCs/>
          <w:color w:val="000000"/>
        </w:rPr>
        <w:tab/>
      </w:r>
      <w:r>
        <w:rPr>
          <w:color w:val="000000"/>
        </w:rPr>
        <w:t xml:space="preserve">que los vehículos suborbitales deben integrarse de forma segura en el espacio aéreo utilizado por las aeronaves convencionales; </w:t>
      </w:r>
    </w:p>
    <w:p w14:paraId="12BCE2C3" w14:textId="634ADF47" w:rsidR="005E669B" w:rsidRDefault="005E669B" w:rsidP="005E669B">
      <w:pPr>
        <w:rPr>
          <w:color w:val="000000"/>
        </w:rPr>
      </w:pPr>
      <w:r>
        <w:rPr>
          <w:i/>
          <w:iCs/>
          <w:color w:val="000000"/>
        </w:rPr>
        <w:t>f)</w:t>
      </w:r>
      <w:r>
        <w:rPr>
          <w:i/>
          <w:iCs/>
          <w:color w:val="000000"/>
        </w:rPr>
        <w:tab/>
      </w:r>
      <w:r>
        <w:rPr>
          <w:color w:val="000000"/>
        </w:rPr>
        <w:t xml:space="preserve">que algunas estaciones a bordo de vehículos suborbitales pueden necesitar comunicarse con los sistemas de gestión del tránsito aéreo y las instalaciones de control terrestre pertinentes; </w:t>
      </w:r>
    </w:p>
    <w:p w14:paraId="73540CAF" w14:textId="77777777" w:rsidR="005E669B" w:rsidRPr="00E67344" w:rsidRDefault="005E669B" w:rsidP="005E669B">
      <w:pPr>
        <w:pStyle w:val="Call"/>
      </w:pPr>
      <w:r w:rsidRPr="00E67344">
        <w:t>observando</w:t>
      </w:r>
    </w:p>
    <w:p w14:paraId="7A77781A" w14:textId="33103BFC" w:rsidR="005E669B" w:rsidRPr="000B0EE4" w:rsidRDefault="005E669B" w:rsidP="005E669B">
      <w:r w:rsidRPr="000A6C3E">
        <w:rPr>
          <w:i/>
          <w:iCs/>
        </w:rPr>
        <w:t>a)</w:t>
      </w:r>
      <w:r>
        <w:rPr>
          <w:i/>
          <w:iCs/>
        </w:rPr>
        <w:tab/>
      </w:r>
      <w:r w:rsidR="000B0EE4" w:rsidRPr="000B0EE4">
        <w:t>que el Informe UIT-R M.2477 contiene información sobre radiocomunicaciones para vehículos suborbitales, incluida una descripción de la trayectoria de vuelo, las categorías de vehículos suborbitales, los estudios técnicos relacionados con los posibles sistemas de aviación utilizados por los vehículos suborbitales y las atribuciones a los servicios de dichos sistemas</w:t>
      </w:r>
      <w:r w:rsidRPr="000B0EE4">
        <w:t>;</w:t>
      </w:r>
    </w:p>
    <w:p w14:paraId="54477840" w14:textId="77777777" w:rsidR="005E669B" w:rsidRPr="00D10E88" w:rsidRDefault="005E669B" w:rsidP="005E669B">
      <w:r>
        <w:rPr>
          <w:i/>
          <w:iCs/>
        </w:rPr>
        <w:t>b)</w:t>
      </w:r>
      <w:r>
        <w:rPr>
          <w:i/>
          <w:iCs/>
        </w:rPr>
        <w:tab/>
      </w:r>
      <w:r>
        <w:t xml:space="preserve">que las disposiciones del número </w:t>
      </w:r>
      <w:r>
        <w:rPr>
          <w:b/>
          <w:bCs/>
        </w:rPr>
        <w:t xml:space="preserve">4.10 </w:t>
      </w:r>
      <w:r>
        <w:t>pueden aplicarse a ciertos aspectos de las operaciones de los vehículos suborbitales;</w:t>
      </w:r>
    </w:p>
    <w:p w14:paraId="54DD245D" w14:textId="77777777" w:rsidR="005E669B" w:rsidRDefault="005E669B" w:rsidP="005E669B">
      <w:r>
        <w:rPr>
          <w:i/>
          <w:iCs/>
        </w:rPr>
        <w:t>c)</w:t>
      </w:r>
      <w:r>
        <w:rPr>
          <w:i/>
          <w:iCs/>
        </w:rPr>
        <w:tab/>
      </w:r>
      <w:r>
        <w:t>que el desarrollo de criterios de compatibilidad entre los sistemas aeronáuticos normalizados de la Organización de Aviación Civil Internacional (OACI) es responsabilidad de la OACI;</w:t>
      </w:r>
    </w:p>
    <w:p w14:paraId="42C8D9F4" w14:textId="77777777" w:rsidR="005E669B" w:rsidRDefault="005E669B" w:rsidP="005E669B">
      <w:pPr>
        <w:rPr>
          <w:color w:val="000000" w:themeColor="text1"/>
        </w:rPr>
      </w:pPr>
      <w:r w:rsidRPr="00513718">
        <w:rPr>
          <w:i/>
          <w:iCs/>
          <w:color w:val="000000" w:themeColor="text1"/>
        </w:rPr>
        <w:t>d)</w:t>
      </w:r>
      <w:r w:rsidRPr="00513718">
        <w:rPr>
          <w:color w:val="000000" w:themeColor="text1"/>
        </w:rPr>
        <w:tab/>
        <w:t xml:space="preserve">que la OACI desarrolla, en algunos casos, </w:t>
      </w:r>
      <w:r>
        <w:rPr>
          <w:color w:val="000000" w:themeColor="text1"/>
        </w:rPr>
        <w:t>no</w:t>
      </w:r>
      <w:r w:rsidRPr="00513718">
        <w:rPr>
          <w:color w:val="000000" w:themeColor="text1"/>
        </w:rPr>
        <w:t>rmas y métodos recomendados (SARP) para abordar la coexistencia entre las aplicaciones aeronáuticas de la OACI</w:t>
      </w:r>
      <w:r>
        <w:rPr>
          <w:color w:val="000000" w:themeColor="text1"/>
        </w:rPr>
        <w:t>;</w:t>
      </w:r>
    </w:p>
    <w:p w14:paraId="2E5E3B23" w14:textId="0A146D6D" w:rsidR="005E669B" w:rsidRDefault="005E669B" w:rsidP="005E669B">
      <w:pPr>
        <w:rPr>
          <w:color w:val="000000" w:themeColor="text1"/>
        </w:rPr>
      </w:pPr>
      <w:r w:rsidRPr="000A6C3E">
        <w:rPr>
          <w:i/>
          <w:iCs/>
          <w:color w:val="000000" w:themeColor="text1"/>
        </w:rPr>
        <w:t>e)</w:t>
      </w:r>
      <w:r>
        <w:rPr>
          <w:color w:val="000000" w:themeColor="text1"/>
        </w:rPr>
        <w:tab/>
      </w:r>
      <w:r w:rsidRPr="00513718">
        <w:rPr>
          <w:color w:val="000000" w:themeColor="text1"/>
        </w:rPr>
        <w:t xml:space="preserve">que el Informe ITU R M.2477 describe el vuelo suborbital como un vuelo intencional de un vehículo que se espera que alcance la atmósfera superior con una parte de su trayectoria de vuelo que puede ocurrir en el espacio sin completar una órbita completa alrededor de la Tierra antes de regresar a la </w:t>
      </w:r>
      <w:r w:rsidR="00EA3DE2">
        <w:rPr>
          <w:color w:val="000000" w:themeColor="text1"/>
        </w:rPr>
        <w:t>s</w:t>
      </w:r>
      <w:r w:rsidRPr="00513718">
        <w:rPr>
          <w:color w:val="000000" w:themeColor="text1"/>
        </w:rPr>
        <w:t>uperficie de la tierra;</w:t>
      </w:r>
    </w:p>
    <w:p w14:paraId="700F6ADB" w14:textId="77777777" w:rsidR="005E669B" w:rsidRPr="00D10E88" w:rsidRDefault="005E669B" w:rsidP="005E669B">
      <w:r>
        <w:rPr>
          <w:i/>
          <w:iCs/>
        </w:rPr>
        <w:t>f)</w:t>
      </w:r>
      <w:r>
        <w:rPr>
          <w:i/>
          <w:iCs/>
        </w:rPr>
        <w:tab/>
      </w:r>
      <w:r>
        <w:t>que en el Informe UIT-R M.2477 se define un vehículo suborbital como un vehículo que ejecuta un vuelo suborbital;</w:t>
      </w:r>
    </w:p>
    <w:p w14:paraId="1A8335CB" w14:textId="77777777" w:rsidR="005E669B" w:rsidRPr="00E67344" w:rsidRDefault="005E669B" w:rsidP="005E669B">
      <w:pPr>
        <w:pStyle w:val="Call"/>
      </w:pPr>
      <w:r w:rsidRPr="00E67344">
        <w:lastRenderedPageBreak/>
        <w:t>reconociendo</w:t>
      </w:r>
    </w:p>
    <w:p w14:paraId="36B36551" w14:textId="4A649AA2" w:rsidR="005E669B" w:rsidRDefault="005E669B" w:rsidP="005E669B">
      <w:r>
        <w:rPr>
          <w:i/>
          <w:iCs/>
        </w:rPr>
        <w:t>a)</w:t>
      </w:r>
      <w:r>
        <w:rPr>
          <w:i/>
          <w:iCs/>
        </w:rPr>
        <w:tab/>
      </w:r>
      <w:r>
        <w:t xml:space="preserve">que no existe una demarcación jurídica acordada internacionalmente entre la atmósfera terrestre y el dominio espacial, </w:t>
      </w:r>
      <w:r w:rsidRPr="00513718">
        <w:t>ni entre el espacio aéreo soberano y el espacio ultraterrestre;</w:t>
      </w:r>
    </w:p>
    <w:p w14:paraId="1B42B396" w14:textId="77777777" w:rsidR="005E669B" w:rsidRPr="00D10E88" w:rsidRDefault="005E669B" w:rsidP="005E669B">
      <w:r>
        <w:rPr>
          <w:i/>
          <w:iCs/>
        </w:rPr>
        <w:t>b)</w:t>
      </w:r>
      <w:r>
        <w:rPr>
          <w:i/>
          <w:iCs/>
        </w:rPr>
        <w:tab/>
      </w:r>
      <w:r>
        <w:t xml:space="preserve">que el Anexo 10 al Convenio sobre Aviación Civil Internacional contiene normas y prácticas recomendadas (SARP) para los sistemas de radiocomunicaciones y radionavegación aeronáutica utilizados en la aviación civil internacional; </w:t>
      </w:r>
    </w:p>
    <w:p w14:paraId="68F04F31" w14:textId="77777777" w:rsidR="005E669B" w:rsidRDefault="005E669B" w:rsidP="005E669B">
      <w:pPr>
        <w:rPr>
          <w:lang w:val="es-CO"/>
        </w:rPr>
      </w:pPr>
      <w:r w:rsidRPr="001418FF">
        <w:rPr>
          <w:i/>
          <w:iCs/>
          <w:lang w:val="es-CO"/>
        </w:rPr>
        <w:t>c)</w:t>
      </w:r>
      <w:r w:rsidRPr="001418FF">
        <w:rPr>
          <w:lang w:val="es-CO"/>
        </w:rPr>
        <w:tab/>
      </w:r>
      <w:r w:rsidRPr="00513718">
        <w:rPr>
          <w:lang w:val="es-CO"/>
        </w:rPr>
        <w:t>que, debido al aumento del desplazamiento Doppler, las emisiones de las estaciones a bordo de los vehículos suborbitales pueden afectar a los servicios que funcionan en las mismas bandas de frecuencias y en bandas adyacentes o cercanas;</w:t>
      </w:r>
    </w:p>
    <w:p w14:paraId="661AF280" w14:textId="108D0BA7" w:rsidR="005E669B" w:rsidRDefault="005E669B" w:rsidP="005E669B">
      <w:pPr>
        <w:rPr>
          <w:lang w:val="es-CO"/>
        </w:rPr>
      </w:pPr>
      <w:bookmarkStart w:id="6" w:name="_Hlk148693395"/>
      <w:r>
        <w:rPr>
          <w:i/>
          <w:iCs/>
        </w:rPr>
        <w:t>d)</w:t>
      </w:r>
      <w:r>
        <w:rPr>
          <w:i/>
          <w:iCs/>
        </w:rPr>
        <w:tab/>
      </w:r>
      <w:r w:rsidRPr="000D27FC">
        <w:rPr>
          <w:lang w:val="es-CO"/>
        </w:rPr>
        <w:t>que, debido a que los vehículos suborbitales alcanzan mayores altitudes que las aeronaves convencionales, las emisiones de las estaciones a bordo de los vehículos suborbitales pueden tener un impacto en las radiocomunicaciones en zonas más grandes, involucrando territorios y/o estaciones espaciales</w:t>
      </w:r>
      <w:r w:rsidRPr="004E0F09">
        <w:rPr>
          <w:lang w:val="es-CO"/>
        </w:rPr>
        <w:t xml:space="preserve"> </w:t>
      </w:r>
      <w:r w:rsidRPr="000D27FC">
        <w:rPr>
          <w:lang w:val="es-CO"/>
        </w:rPr>
        <w:t>adicionales</w:t>
      </w:r>
      <w:r w:rsidRPr="000A6C3E">
        <w:rPr>
          <w:lang w:val="es-CO"/>
        </w:rPr>
        <w:t>, en comparación con las emisiones de las estaciones en aeronaves convencionales;</w:t>
      </w:r>
    </w:p>
    <w:bookmarkEnd w:id="6"/>
    <w:p w14:paraId="32D60153" w14:textId="77777777" w:rsidR="005E669B" w:rsidRPr="00500042" w:rsidRDefault="005E669B" w:rsidP="005E669B">
      <w:pPr>
        <w:rPr>
          <w:color w:val="000000" w:themeColor="text1"/>
        </w:rPr>
      </w:pPr>
      <w:r w:rsidRPr="00500042">
        <w:rPr>
          <w:i/>
          <w:iCs/>
          <w:color w:val="000000" w:themeColor="text1"/>
        </w:rPr>
        <w:t>e)</w:t>
      </w:r>
      <w:r w:rsidRPr="00500042">
        <w:rPr>
          <w:color w:val="000000" w:themeColor="text1"/>
        </w:rPr>
        <w:tab/>
        <w:t>que algunos sistemas de lanzamiento espacial pueden tener estaciones espaciales que ya funcionan como parte de las asignaciones de servicios de operaciones espaciales existentes;</w:t>
      </w:r>
    </w:p>
    <w:p w14:paraId="56FDAB69" w14:textId="77777777" w:rsidR="005E669B" w:rsidRPr="00500042" w:rsidRDefault="005E669B" w:rsidP="005E669B">
      <w:pPr>
        <w:rPr>
          <w:color w:val="000000" w:themeColor="text1"/>
        </w:rPr>
      </w:pPr>
      <w:r w:rsidRPr="00500042">
        <w:rPr>
          <w:i/>
          <w:iCs/>
          <w:color w:val="000000" w:themeColor="text1"/>
        </w:rPr>
        <w:t>f)</w:t>
      </w:r>
      <w:r w:rsidRPr="00500042">
        <w:rPr>
          <w:color w:val="000000" w:themeColor="text1"/>
        </w:rPr>
        <w:tab/>
        <w:t>que las estaciones a bordo de vehículos suborbitales pueden utilizar sistemas que funcionan con servicios de radiocomunicaciones espaciales o terrestres;</w:t>
      </w:r>
    </w:p>
    <w:p w14:paraId="5CA5C850" w14:textId="77777777" w:rsidR="005E669B" w:rsidRPr="00500042" w:rsidRDefault="005E669B" w:rsidP="005E669B">
      <w:pPr>
        <w:rPr>
          <w:color w:val="000000" w:themeColor="text1"/>
        </w:rPr>
      </w:pPr>
      <w:r w:rsidRPr="00500042">
        <w:rPr>
          <w:i/>
          <w:iCs/>
          <w:color w:val="000000" w:themeColor="text1"/>
        </w:rPr>
        <w:t>g)</w:t>
      </w:r>
      <w:r w:rsidRPr="00500042">
        <w:rPr>
          <w:color w:val="000000" w:themeColor="text1"/>
        </w:rPr>
        <w:tab/>
        <w:t>que algunos vehículos suborbitales podrían alcanzar altitudes durante un breve período de tiempo en el espacio sin suficiente energía para mantener su órbita,</w:t>
      </w:r>
    </w:p>
    <w:p w14:paraId="5F0297DA" w14:textId="0E04AE22" w:rsidR="005E669B" w:rsidRPr="00E67344" w:rsidRDefault="005E669B" w:rsidP="005E669B">
      <w:pPr>
        <w:pStyle w:val="Call"/>
      </w:pPr>
      <w:r w:rsidRPr="00E67344">
        <w:t>resuelve</w:t>
      </w:r>
    </w:p>
    <w:p w14:paraId="01886A87" w14:textId="77777777" w:rsidR="005E669B" w:rsidRPr="001418FF" w:rsidRDefault="005E669B" w:rsidP="005E669B">
      <w:pPr>
        <w:rPr>
          <w:lang w:val="es-CO"/>
        </w:rPr>
      </w:pPr>
      <w:r w:rsidRPr="001418FF">
        <w:rPr>
          <w:lang w:val="es-CO"/>
        </w:rPr>
        <w:t>1</w:t>
      </w:r>
      <w:r w:rsidRPr="001418FF">
        <w:rPr>
          <w:lang w:val="es-CO"/>
        </w:rPr>
        <w:tab/>
        <w:t>que las estaciones a bordo de vehículos suborbitales puedan incluir estaciones terrenales (</w:t>
      </w:r>
      <w:r>
        <w:rPr>
          <w:lang w:val="es-CO"/>
        </w:rPr>
        <w:t xml:space="preserve">número </w:t>
      </w:r>
      <w:r w:rsidRPr="00C85201">
        <w:rPr>
          <w:b/>
          <w:bCs/>
          <w:lang w:val="es-CO"/>
        </w:rPr>
        <w:t>1.62</w:t>
      </w:r>
      <w:r w:rsidRPr="001418FF">
        <w:rPr>
          <w:lang w:val="es-CO"/>
        </w:rPr>
        <w:t>) o terrenas (</w:t>
      </w:r>
      <w:r>
        <w:rPr>
          <w:lang w:val="es-CO"/>
        </w:rPr>
        <w:t xml:space="preserve">número </w:t>
      </w:r>
      <w:r w:rsidRPr="00C85201">
        <w:rPr>
          <w:b/>
          <w:bCs/>
          <w:lang w:val="es-CO"/>
        </w:rPr>
        <w:t>1.63</w:t>
      </w:r>
      <w:r w:rsidRPr="001418FF">
        <w:rPr>
          <w:lang w:val="es-CO"/>
        </w:rPr>
        <w:t>), o ambas, y que esas estaciones se utilicen en todas las fases del vuelo,</w:t>
      </w:r>
    </w:p>
    <w:p w14:paraId="696B78D5" w14:textId="77777777" w:rsidR="005E669B" w:rsidRPr="00C85201" w:rsidRDefault="005E669B" w:rsidP="005E669B">
      <w:pPr>
        <w:rPr>
          <w:lang w:val="es-CO"/>
        </w:rPr>
      </w:pPr>
      <w:r w:rsidRPr="00C85201">
        <w:rPr>
          <w:lang w:val="es-CO"/>
        </w:rPr>
        <w:t>2</w:t>
      </w:r>
      <w:r w:rsidRPr="00C85201">
        <w:rPr>
          <w:lang w:val="es-CO"/>
        </w:rPr>
        <w:tab/>
        <w:t xml:space="preserve">que las estaciones terrenales y las estaciones terrenas a bordo de los vehículos suborbitales a que se refiere el </w:t>
      </w:r>
      <w:r w:rsidRPr="006C557F">
        <w:rPr>
          <w:i/>
          <w:iCs/>
          <w:lang w:val="es-CO"/>
        </w:rPr>
        <w:t>resuelve</w:t>
      </w:r>
      <w:r w:rsidRPr="00C85201">
        <w:rPr>
          <w:lang w:val="es-CO"/>
        </w:rPr>
        <w:t xml:space="preserve"> 1 mantendrán sin cambios su clase de estación;</w:t>
      </w:r>
    </w:p>
    <w:p w14:paraId="5B0781A2" w14:textId="77777777" w:rsidR="005E669B" w:rsidRPr="00C85201" w:rsidRDefault="005E669B" w:rsidP="005E669B">
      <w:pPr>
        <w:rPr>
          <w:lang w:val="es-CO"/>
        </w:rPr>
      </w:pPr>
      <w:r w:rsidRPr="00C85201">
        <w:rPr>
          <w:lang w:val="es-CO"/>
        </w:rPr>
        <w:t>3</w:t>
      </w:r>
      <w:r w:rsidRPr="00C85201">
        <w:rPr>
          <w:lang w:val="es-CO"/>
        </w:rPr>
        <w:tab/>
        <w:t xml:space="preserve">que las estaciones a bordo de los vehículos suborbitales a que se refiere el </w:t>
      </w:r>
      <w:r w:rsidRPr="00C85201">
        <w:rPr>
          <w:i/>
          <w:iCs/>
          <w:lang w:val="es-CO"/>
        </w:rPr>
        <w:t xml:space="preserve">resuelve </w:t>
      </w:r>
      <w:r w:rsidRPr="00C85201">
        <w:rPr>
          <w:lang w:val="es-CO"/>
        </w:rPr>
        <w:t>1 no crearán nuevas limitaciones en las aplicaciones del mismo servicio y en otros servicios de radiocomunicaciones en las mismas bandas de frecuencias y adyacentes.</w:t>
      </w:r>
    </w:p>
    <w:p w14:paraId="4A050BA1" w14:textId="66467AFA" w:rsidR="005E669B" w:rsidRPr="00C85201" w:rsidRDefault="005E669B" w:rsidP="000A6C3E">
      <w:pPr>
        <w:pStyle w:val="Call"/>
      </w:pPr>
      <w:r w:rsidRPr="00C85201">
        <w:t>encarga al Secretario General</w:t>
      </w:r>
    </w:p>
    <w:p w14:paraId="3E9BE8EB" w14:textId="77777777" w:rsidR="005E669B" w:rsidRPr="00C85201" w:rsidRDefault="005E669B" w:rsidP="005E669B">
      <w:r w:rsidRPr="00C85201">
        <w:t>que señale esta Resolución a la atención de la OACI</w:t>
      </w:r>
    </w:p>
    <w:p w14:paraId="7E435982" w14:textId="77777777" w:rsidR="005E669B" w:rsidRPr="00E67344" w:rsidRDefault="005E669B" w:rsidP="005E669B">
      <w:pPr>
        <w:pStyle w:val="Call"/>
      </w:pPr>
      <w:r w:rsidRPr="00E67344">
        <w:t xml:space="preserve">invita a la Organización de Aviación Civil Internacional </w:t>
      </w:r>
    </w:p>
    <w:p w14:paraId="78CDBDC5" w14:textId="77777777" w:rsidR="005E669B" w:rsidRDefault="005E669B" w:rsidP="005E669B">
      <w:r>
        <w:t>a que tenga en cuenta la presente Resolución</w:t>
      </w:r>
      <w:r w:rsidRPr="00500042">
        <w:t xml:space="preserve"> </w:t>
      </w:r>
      <w:r>
        <w:t>cuando se elaboren</w:t>
      </w:r>
      <w:r w:rsidRPr="00500042">
        <w:t xml:space="preserve"> normas y métodos recomendados (SARPS) para los sistemas de la OACI que pueden ser utilizados por los vehículos suborbitales,</w:t>
      </w:r>
    </w:p>
    <w:p w14:paraId="07F61DFD" w14:textId="77777777" w:rsidR="005E669B" w:rsidRPr="00E67344" w:rsidRDefault="005E669B" w:rsidP="005E669B">
      <w:pPr>
        <w:pStyle w:val="Call"/>
      </w:pPr>
      <w:r w:rsidRPr="00E67344">
        <w:t>encarga al Director de la Oficina de Radiocomunicaciones</w:t>
      </w:r>
    </w:p>
    <w:p w14:paraId="38059943" w14:textId="07E92A49" w:rsidR="00D61B3E" w:rsidRDefault="005E669B" w:rsidP="005E669B">
      <w:r w:rsidRPr="00500042">
        <w:t>informar a futuras conferencias mundiales de radiocomunicaciones sobre cualquier dificultad o incoherencia encontrada en la aplicación de esta Resolución.</w:t>
      </w:r>
    </w:p>
    <w:p w14:paraId="071A6563" w14:textId="7B3631FD" w:rsidR="005E669B" w:rsidRPr="005E669B" w:rsidRDefault="005E669B" w:rsidP="005E669B">
      <w:pPr>
        <w:pStyle w:val="Reasons"/>
        <w:rPr>
          <w:lang w:val="es-ES"/>
        </w:rPr>
      </w:pPr>
      <w:r>
        <w:rPr>
          <w:b/>
        </w:rPr>
        <w:t>Motivos:</w:t>
      </w:r>
      <w:r>
        <w:tab/>
      </w:r>
      <w:r w:rsidRPr="00E9517F">
        <w:rPr>
          <w:lang w:val="es-CO"/>
        </w:rPr>
        <w:t xml:space="preserve">Esta acción aclarará que las estaciones a bordo de vehículos suborbitales pueden utilizar estaciones terrestres (RR No. </w:t>
      </w:r>
      <w:r w:rsidRPr="00E9517F">
        <w:rPr>
          <w:b/>
          <w:bCs/>
          <w:lang w:val="es-CO"/>
        </w:rPr>
        <w:t>1.62</w:t>
      </w:r>
      <w:r w:rsidRPr="00E9517F">
        <w:rPr>
          <w:lang w:val="es-CO"/>
        </w:rPr>
        <w:t xml:space="preserve">) y estaciones terrenas (RR No. </w:t>
      </w:r>
      <w:r w:rsidRPr="00E9517F">
        <w:rPr>
          <w:b/>
          <w:bCs/>
          <w:lang w:val="es-CO"/>
        </w:rPr>
        <w:t>1.63</w:t>
      </w:r>
      <w:r w:rsidRPr="00E9517F">
        <w:rPr>
          <w:lang w:val="es-CO"/>
        </w:rPr>
        <w:t>) y pueden utilizarse en todas las fases del vuelo, dentro de sus respectivas asignaciones de servicio. Las estaciones no impondrán nuevas restricciones a las aplicaciones del mismo servicio y a otros servicios de radiocomunicaciones que están atribuidos a título primario.</w:t>
      </w:r>
    </w:p>
    <w:p w14:paraId="49D56DB7" w14:textId="77777777" w:rsidR="00BA5744" w:rsidRPr="005E669B" w:rsidRDefault="00BA5744" w:rsidP="005E669B">
      <w:pPr>
        <w:pStyle w:val="ArtNo"/>
      </w:pPr>
      <w:bookmarkStart w:id="7" w:name="_Toc48141390"/>
      <w:r w:rsidRPr="005E669B">
        <w:lastRenderedPageBreak/>
        <w:t xml:space="preserve">ARTÍCULO </w:t>
      </w:r>
      <w:r w:rsidRPr="005E669B">
        <w:rPr>
          <w:rStyle w:val="href"/>
        </w:rPr>
        <w:t>43</w:t>
      </w:r>
      <w:bookmarkEnd w:id="7"/>
    </w:p>
    <w:p w14:paraId="1BDEDF2C" w14:textId="77777777" w:rsidR="00BA5744" w:rsidRPr="005E669B" w:rsidRDefault="00BA5744" w:rsidP="006537F1">
      <w:pPr>
        <w:pStyle w:val="Arttitle"/>
      </w:pPr>
      <w:bookmarkStart w:id="8" w:name="_Toc48141391"/>
      <w:r w:rsidRPr="005E669B">
        <w:t>Disposiciones especiales relativas al empleo de las frecuencias</w:t>
      </w:r>
      <w:bookmarkEnd w:id="8"/>
    </w:p>
    <w:p w14:paraId="50245EB8" w14:textId="77777777" w:rsidR="00D61B3E" w:rsidRPr="005E669B" w:rsidRDefault="00BA5744">
      <w:pPr>
        <w:pStyle w:val="Proposal"/>
      </w:pPr>
      <w:r w:rsidRPr="005E669B">
        <w:t>ADD</w:t>
      </w:r>
      <w:r w:rsidRPr="005E669B">
        <w:tab/>
        <w:t>IAP/44A6/2</w:t>
      </w:r>
      <w:r w:rsidRPr="005E669B">
        <w:rPr>
          <w:vanish/>
          <w:color w:val="7F7F7F" w:themeColor="text1" w:themeTint="80"/>
          <w:vertAlign w:val="superscript"/>
        </w:rPr>
        <w:t>#1587</w:t>
      </w:r>
    </w:p>
    <w:p w14:paraId="1E529A7A" w14:textId="77777777" w:rsidR="00BA5744" w:rsidRPr="005E669B" w:rsidRDefault="00BA5744" w:rsidP="00914FA9">
      <w:pPr>
        <w:pStyle w:val="Note"/>
      </w:pPr>
      <w:r w:rsidRPr="005E669B">
        <w:rPr>
          <w:rStyle w:val="Artdef"/>
        </w:rPr>
        <w:t>43.A16</w:t>
      </w:r>
      <w:r w:rsidRPr="005E669B">
        <w:tab/>
        <w:t>El funcionamiento de las estaciones a bordo de vehículos suborbitales será conforme a la Resolución </w:t>
      </w:r>
      <w:r w:rsidRPr="005E669B">
        <w:rPr>
          <w:b/>
          <w:bCs/>
        </w:rPr>
        <w:t>[A16] (CMR-23)</w:t>
      </w:r>
      <w:r w:rsidRPr="005E669B">
        <w:t>.</w:t>
      </w:r>
      <w:r w:rsidRPr="005E669B">
        <w:rPr>
          <w:sz w:val="16"/>
          <w:szCs w:val="16"/>
        </w:rPr>
        <w:t>     (CMR</w:t>
      </w:r>
      <w:r w:rsidRPr="005E669B">
        <w:rPr>
          <w:sz w:val="16"/>
          <w:szCs w:val="16"/>
        </w:rPr>
        <w:noBreakHyphen/>
        <w:t>23)</w:t>
      </w:r>
    </w:p>
    <w:p w14:paraId="61FD07CB" w14:textId="379FFF4A" w:rsidR="00D61B3E" w:rsidRPr="005E669B" w:rsidRDefault="00BA5744">
      <w:pPr>
        <w:pStyle w:val="Reasons"/>
      </w:pPr>
      <w:r w:rsidRPr="005E669B">
        <w:rPr>
          <w:b/>
        </w:rPr>
        <w:t>Motivos:</w:t>
      </w:r>
      <w:r w:rsidRPr="005E669B">
        <w:tab/>
      </w:r>
      <w:r w:rsidR="005E669B" w:rsidRPr="00923B56">
        <w:rPr>
          <w:lang w:val="es-419"/>
        </w:rPr>
        <w:t xml:space="preserve">La adición de esta disposición al </w:t>
      </w:r>
      <w:r w:rsidR="005E669B">
        <w:rPr>
          <w:lang w:val="es-419"/>
        </w:rPr>
        <w:t>A</w:t>
      </w:r>
      <w:r w:rsidR="005E669B" w:rsidRPr="00923B56">
        <w:rPr>
          <w:lang w:val="es-419"/>
        </w:rPr>
        <w:t xml:space="preserve">rtículo </w:t>
      </w:r>
      <w:r w:rsidR="005E669B" w:rsidRPr="00BA5744">
        <w:rPr>
          <w:b/>
          <w:bCs/>
          <w:lang w:val="es-419"/>
        </w:rPr>
        <w:t>43</w:t>
      </w:r>
      <w:r w:rsidR="005E669B" w:rsidRPr="00923B56">
        <w:rPr>
          <w:lang w:val="es-419"/>
        </w:rPr>
        <w:t>, que aborda las normas especiales relativas al uso de las frecuencias, proporcionaría la referencia dentro del Reglamento de Radiocomunicaciones que es necesaria para la nueva Resolución propuesta.</w:t>
      </w:r>
    </w:p>
    <w:p w14:paraId="4320EFE8" w14:textId="77777777" w:rsidR="00D61B3E" w:rsidRPr="005E669B" w:rsidRDefault="00BA5744">
      <w:pPr>
        <w:pStyle w:val="Proposal"/>
      </w:pPr>
      <w:r w:rsidRPr="005E669B">
        <w:t>SUP</w:t>
      </w:r>
      <w:r w:rsidRPr="005E669B">
        <w:tab/>
        <w:t>IAP/44A6/3</w:t>
      </w:r>
      <w:r w:rsidRPr="005E669B">
        <w:rPr>
          <w:vanish/>
          <w:color w:val="7F7F7F" w:themeColor="text1" w:themeTint="80"/>
          <w:vertAlign w:val="superscript"/>
        </w:rPr>
        <w:t>#1589</w:t>
      </w:r>
    </w:p>
    <w:p w14:paraId="61A0661B" w14:textId="77777777" w:rsidR="00BA5744" w:rsidRPr="005E669B" w:rsidRDefault="00BA5744" w:rsidP="008F652D">
      <w:pPr>
        <w:pStyle w:val="ResNo"/>
      </w:pPr>
      <w:r w:rsidRPr="005E669B">
        <w:t>RESOLUCIÓN 772 (CMR-19)</w:t>
      </w:r>
    </w:p>
    <w:p w14:paraId="6179F6F1" w14:textId="77777777" w:rsidR="00BA5744" w:rsidRPr="005E669B" w:rsidRDefault="00BA5744" w:rsidP="00CC57EB">
      <w:pPr>
        <w:pStyle w:val="Restitle"/>
      </w:pPr>
      <w:r w:rsidRPr="005E669B">
        <w:t>Examen de disposiciones reglamentarias para facilitar</w:t>
      </w:r>
      <w:r w:rsidRPr="005E669B">
        <w:br/>
        <w:t>la introducción de vehículos suborbitales</w:t>
      </w:r>
    </w:p>
    <w:p w14:paraId="1F03734A" w14:textId="314AADF6" w:rsidR="00D61B3E" w:rsidRDefault="00BA5744">
      <w:pPr>
        <w:pStyle w:val="Reasons"/>
        <w:rPr>
          <w:lang w:val="es-419"/>
        </w:rPr>
      </w:pPr>
      <w:r w:rsidRPr="005E669B">
        <w:rPr>
          <w:b/>
        </w:rPr>
        <w:t>Motivos:</w:t>
      </w:r>
      <w:r w:rsidRPr="005E669B">
        <w:tab/>
      </w:r>
      <w:r w:rsidR="005E669B" w:rsidRPr="00923B56">
        <w:rPr>
          <w:lang w:val="es-419"/>
        </w:rPr>
        <w:t xml:space="preserve">Dado que los estudios relativos a la Resolución </w:t>
      </w:r>
      <w:r w:rsidR="005E669B" w:rsidRPr="00923B56">
        <w:rPr>
          <w:b/>
          <w:bCs/>
          <w:lang w:val="es-419"/>
        </w:rPr>
        <w:t xml:space="preserve">772 (CMR-19) </w:t>
      </w:r>
      <w:r w:rsidR="005E669B" w:rsidRPr="00923B56">
        <w:rPr>
          <w:lang w:val="es-419"/>
        </w:rPr>
        <w:t>han</w:t>
      </w:r>
      <w:r w:rsidR="005E669B" w:rsidRPr="00923B56">
        <w:rPr>
          <w:b/>
          <w:bCs/>
          <w:lang w:val="es-419"/>
        </w:rPr>
        <w:t xml:space="preserve"> </w:t>
      </w:r>
      <w:r w:rsidR="005E669B" w:rsidRPr="00923B56">
        <w:rPr>
          <w:lang w:val="es-419"/>
        </w:rPr>
        <w:t>concluido, se propone la supresión de esta Resolución.</w:t>
      </w:r>
    </w:p>
    <w:p w14:paraId="70AA56FB" w14:textId="77777777" w:rsidR="005E669B" w:rsidRDefault="005E669B" w:rsidP="005E669B"/>
    <w:p w14:paraId="52004D82" w14:textId="6B02917D" w:rsidR="005E669B" w:rsidRPr="005E669B" w:rsidRDefault="005E669B" w:rsidP="005E669B">
      <w:pPr>
        <w:jc w:val="center"/>
      </w:pPr>
      <w:r>
        <w:t>______________</w:t>
      </w:r>
    </w:p>
    <w:sectPr w:rsidR="005E669B" w:rsidRPr="005E669B">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6F64E" w14:textId="77777777" w:rsidR="00666B37" w:rsidRDefault="00666B37">
      <w:r>
        <w:separator/>
      </w:r>
    </w:p>
  </w:endnote>
  <w:endnote w:type="continuationSeparator" w:id="0">
    <w:p w14:paraId="4E87FA29"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5CA9A"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1A4E36" w14:textId="5A895F29"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0B0EE4">
      <w:rPr>
        <w:noProof/>
      </w:rPr>
      <w:t>24.10.23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4E6FD" w14:textId="06E9D844" w:rsidR="0077084A" w:rsidRDefault="000B0EE4" w:rsidP="00B86034">
    <w:pPr>
      <w:pStyle w:val="Footer"/>
      <w:ind w:right="360"/>
      <w:rPr>
        <w:lang w:val="en-US"/>
      </w:rPr>
    </w:pPr>
    <w:r>
      <w:fldChar w:fldCharType="begin"/>
    </w:r>
    <w:r>
      <w:instrText xml:space="preserve"> FILENAME \p  \* MERGEFORMAT </w:instrText>
    </w:r>
    <w:r>
      <w:fldChar w:fldCharType="separate"/>
    </w:r>
    <w:r w:rsidR="005E669B">
      <w:t>P:\ESP\ITU-R\CONF-R\CMR23\000\044ADD06S.docx</w:t>
    </w:r>
    <w:r>
      <w:fldChar w:fldCharType="end"/>
    </w:r>
    <w:r w:rsidR="005E669B">
      <w:t xml:space="preserve"> (529435)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7A60B" w14:textId="34227C2D" w:rsidR="0077084A" w:rsidRDefault="003D5E61" w:rsidP="005E669B">
    <w:pPr>
      <w:pStyle w:val="Footer"/>
      <w:rPr>
        <w:lang w:val="en-US"/>
      </w:rPr>
    </w:pPr>
    <w:fldSimple w:instr=" FILENAME \p  \* MERGEFORMAT ">
      <w:r w:rsidR="005E669B">
        <w:t>P:\ESP\ITU-R\CONF-R\CMR23\000\044ADD06S.docx</w:t>
      </w:r>
    </w:fldSimple>
    <w:r w:rsidR="005E669B">
      <w:t xml:space="preserve"> (529435)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31CA4" w14:textId="77777777" w:rsidR="00666B37" w:rsidRDefault="00666B37">
      <w:r>
        <w:rPr>
          <w:b/>
        </w:rPr>
        <w:t>_______________</w:t>
      </w:r>
    </w:p>
  </w:footnote>
  <w:footnote w:type="continuationSeparator" w:id="0">
    <w:p w14:paraId="03BE01A7" w14:textId="77777777" w:rsidR="00666B37" w:rsidRDefault="0066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DF6B0"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338DB0CE"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44(Add.6)-</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650939675">
    <w:abstractNumId w:val="8"/>
  </w:num>
  <w:num w:numId="2" w16cid:durableId="96790341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442650748">
    <w:abstractNumId w:val="9"/>
  </w:num>
  <w:num w:numId="4" w16cid:durableId="457258200">
    <w:abstractNumId w:val="7"/>
  </w:num>
  <w:num w:numId="5" w16cid:durableId="1298757800">
    <w:abstractNumId w:val="6"/>
  </w:num>
  <w:num w:numId="6" w16cid:durableId="737820668">
    <w:abstractNumId w:val="5"/>
  </w:num>
  <w:num w:numId="7" w16cid:durableId="559903080">
    <w:abstractNumId w:val="4"/>
  </w:num>
  <w:num w:numId="8" w16cid:durableId="32661572">
    <w:abstractNumId w:val="3"/>
  </w:num>
  <w:num w:numId="9" w16cid:durableId="916405310">
    <w:abstractNumId w:val="2"/>
  </w:num>
  <w:num w:numId="10" w16cid:durableId="1152912634">
    <w:abstractNumId w:val="1"/>
  </w:num>
  <w:num w:numId="11" w16cid:durableId="1127285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A2A7D"/>
    <w:rsid w:val="000A5B9A"/>
    <w:rsid w:val="000A6C3E"/>
    <w:rsid w:val="000B0EE4"/>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3659C"/>
    <w:rsid w:val="00236D2A"/>
    <w:rsid w:val="0024569E"/>
    <w:rsid w:val="00255F12"/>
    <w:rsid w:val="00262C09"/>
    <w:rsid w:val="002A791F"/>
    <w:rsid w:val="002C1A52"/>
    <w:rsid w:val="002C1B26"/>
    <w:rsid w:val="002C5D6C"/>
    <w:rsid w:val="002E701F"/>
    <w:rsid w:val="003248A9"/>
    <w:rsid w:val="00324FFA"/>
    <w:rsid w:val="0032680B"/>
    <w:rsid w:val="00363A65"/>
    <w:rsid w:val="003B1E8C"/>
    <w:rsid w:val="003C0613"/>
    <w:rsid w:val="003C2508"/>
    <w:rsid w:val="003D0AA3"/>
    <w:rsid w:val="003D5E61"/>
    <w:rsid w:val="003E2086"/>
    <w:rsid w:val="003F7F66"/>
    <w:rsid w:val="00440B3A"/>
    <w:rsid w:val="0044375A"/>
    <w:rsid w:val="0045384C"/>
    <w:rsid w:val="00454553"/>
    <w:rsid w:val="00472A86"/>
    <w:rsid w:val="004B124A"/>
    <w:rsid w:val="004B3095"/>
    <w:rsid w:val="004D2749"/>
    <w:rsid w:val="004D2C7C"/>
    <w:rsid w:val="005133B5"/>
    <w:rsid w:val="00524392"/>
    <w:rsid w:val="00532097"/>
    <w:rsid w:val="0058350F"/>
    <w:rsid w:val="00583C7E"/>
    <w:rsid w:val="0059098E"/>
    <w:rsid w:val="005D46FB"/>
    <w:rsid w:val="005E669B"/>
    <w:rsid w:val="005F2605"/>
    <w:rsid w:val="005F3B0E"/>
    <w:rsid w:val="005F3DB8"/>
    <w:rsid w:val="005F559C"/>
    <w:rsid w:val="00602857"/>
    <w:rsid w:val="006124AD"/>
    <w:rsid w:val="00624009"/>
    <w:rsid w:val="00662BA0"/>
    <w:rsid w:val="00666B37"/>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D330A"/>
    <w:rsid w:val="0080079E"/>
    <w:rsid w:val="008504C2"/>
    <w:rsid w:val="00866AE6"/>
    <w:rsid w:val="008750A8"/>
    <w:rsid w:val="008D3316"/>
    <w:rsid w:val="008E5AF2"/>
    <w:rsid w:val="0090121B"/>
    <w:rsid w:val="009144C9"/>
    <w:rsid w:val="0094091F"/>
    <w:rsid w:val="00962171"/>
    <w:rsid w:val="00973754"/>
    <w:rsid w:val="009C0BED"/>
    <w:rsid w:val="009E11EC"/>
    <w:rsid w:val="00A021CC"/>
    <w:rsid w:val="00A118DB"/>
    <w:rsid w:val="00A4450C"/>
    <w:rsid w:val="00AA5E6C"/>
    <w:rsid w:val="00AB5289"/>
    <w:rsid w:val="00AC49B1"/>
    <w:rsid w:val="00AE5677"/>
    <w:rsid w:val="00AE658F"/>
    <w:rsid w:val="00AF2F78"/>
    <w:rsid w:val="00B239FA"/>
    <w:rsid w:val="00B372AB"/>
    <w:rsid w:val="00B47331"/>
    <w:rsid w:val="00B52D55"/>
    <w:rsid w:val="00B8288C"/>
    <w:rsid w:val="00B86034"/>
    <w:rsid w:val="00BA5744"/>
    <w:rsid w:val="00BE2E80"/>
    <w:rsid w:val="00BE5EDD"/>
    <w:rsid w:val="00BE6A1F"/>
    <w:rsid w:val="00C126C4"/>
    <w:rsid w:val="00C44E9E"/>
    <w:rsid w:val="00C63EB5"/>
    <w:rsid w:val="00C87DA7"/>
    <w:rsid w:val="00CA4945"/>
    <w:rsid w:val="00CC01E0"/>
    <w:rsid w:val="00CD5FEE"/>
    <w:rsid w:val="00CE60D2"/>
    <w:rsid w:val="00CE7431"/>
    <w:rsid w:val="00D00CA8"/>
    <w:rsid w:val="00D0288A"/>
    <w:rsid w:val="00D61B3E"/>
    <w:rsid w:val="00D72A5D"/>
    <w:rsid w:val="00DA71A3"/>
    <w:rsid w:val="00DC1922"/>
    <w:rsid w:val="00DC629B"/>
    <w:rsid w:val="00DE1C31"/>
    <w:rsid w:val="00E05BFF"/>
    <w:rsid w:val="00E262F1"/>
    <w:rsid w:val="00E3176A"/>
    <w:rsid w:val="00E36CE4"/>
    <w:rsid w:val="00E54754"/>
    <w:rsid w:val="00E56BD3"/>
    <w:rsid w:val="00E71D14"/>
    <w:rsid w:val="00EA3DE2"/>
    <w:rsid w:val="00EA77F0"/>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B38A9B8"/>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paragraph" w:customStyle="1" w:styleId="Normalaftertitle0">
    <w:name w:val="Normal_after_title"/>
    <w:basedOn w:val="Normal"/>
    <w:next w:val="Normal"/>
    <w:link w:val="NormalaftertitleChar"/>
    <w:uiPriority w:val="99"/>
    <w:rsid w:val="005E669B"/>
    <w:pPr>
      <w:spacing w:before="360"/>
    </w:pPr>
    <w:rPr>
      <w:lang w:val="en-GB"/>
    </w:rPr>
  </w:style>
  <w:style w:type="character" w:customStyle="1" w:styleId="NormalaftertitleChar">
    <w:name w:val="Normal_after_title Char"/>
    <w:basedOn w:val="DefaultParagraphFont"/>
    <w:link w:val="Normalaftertitle0"/>
    <w:uiPriority w:val="99"/>
    <w:locked/>
    <w:rsid w:val="005E669B"/>
    <w:rPr>
      <w:rFonts w:ascii="Times New Roman" w:hAnsi="Times New Roman"/>
      <w:sz w:val="24"/>
      <w:lang w:val="en-GB" w:eastAsia="en-US"/>
    </w:rPr>
  </w:style>
  <w:style w:type="character" w:customStyle="1" w:styleId="CallChar">
    <w:name w:val="Call Char"/>
    <w:basedOn w:val="DefaultParagraphFont"/>
    <w:link w:val="Call"/>
    <w:locked/>
    <w:rsid w:val="005E669B"/>
    <w:rPr>
      <w:rFonts w:ascii="Times New Roman" w:hAnsi="Times New Roman"/>
      <w:i/>
      <w:sz w:val="24"/>
      <w:lang w:val="es-ES_tradnl" w:eastAsia="en-US"/>
    </w:rPr>
  </w:style>
  <w:style w:type="paragraph" w:styleId="NormalWeb">
    <w:name w:val="Normal (Web)"/>
    <w:basedOn w:val="Normal"/>
    <w:unhideWhenUsed/>
    <w:rsid w:val="005E669B"/>
    <w:pPr>
      <w:tabs>
        <w:tab w:val="clear" w:pos="1134"/>
        <w:tab w:val="clear" w:pos="1871"/>
        <w:tab w:val="clear" w:pos="2268"/>
      </w:tabs>
      <w:overflowPunct/>
      <w:autoSpaceDE/>
      <w:autoSpaceDN/>
      <w:adjustRightInd/>
      <w:spacing w:before="0" w:after="300" w:line="360" w:lineRule="atLeast"/>
      <w:textAlignment w:val="auto"/>
    </w:pPr>
    <w:rPr>
      <w:color w:val="777777"/>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R23-WRC23-C-0044!A6!MSW-S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BD8581E-4829-4A74-984F-F407AD6D4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customXml/itemProps3.xml><?xml version="1.0" encoding="utf-8"?>
<ds:datastoreItem xmlns:ds="http://schemas.openxmlformats.org/officeDocument/2006/customXml" ds:itemID="{44D9F2BD-8B75-4316-97D2-A94005E7FB14}">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0D3B51D5-09E8-485E-A5C8-A08326EE263F}">
  <ds:schemaRefs>
    <ds:schemaRef ds:uri="http://schemas.microsoft.com/sharepoint/v3/contenttype/forms"/>
  </ds:schemaRefs>
</ds:datastoreItem>
</file>

<file path=customXml/itemProps5.xml><?xml version="1.0" encoding="utf-8"?>
<ds:datastoreItem xmlns:ds="http://schemas.openxmlformats.org/officeDocument/2006/customXml" ds:itemID="{E05AF3C9-4D95-47FF-89AB-A45FA9B75E2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1004</Words>
  <Characters>5989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R23-WRC23-C-0044!A6!MSW-S</vt:lpstr>
    </vt:vector>
  </TitlesOfParts>
  <Manager>Secretaría General - Pool</Manager>
  <Company>Unión Internacional de Telecomunicaciones (UIT)</Company>
  <LinksUpToDate>false</LinksUpToDate>
  <CharactersWithSpaces>6980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R23-WRC23-C-0044!A6!MSW-S</dc:title>
  <dc:subject>Conferencia Mundial de Radiocomunicaciones - 2019</dc:subject>
  <dc:creator>Documents Proposals Manager (DPM)</dc:creator>
  <cp:keywords>DPM_v2023.8.1.1_prod</cp:keywords>
  <dc:description/>
  <cp:lastModifiedBy>Spanish</cp:lastModifiedBy>
  <cp:revision>7</cp:revision>
  <cp:lastPrinted>2003-02-19T20:20:00Z</cp:lastPrinted>
  <dcterms:created xsi:type="dcterms:W3CDTF">2023-10-24T08:36:00Z</dcterms:created>
  <dcterms:modified xsi:type="dcterms:W3CDTF">2023-10-24T10:57:00Z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