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695A60" w14:paraId="58F6AD33" w14:textId="77777777" w:rsidTr="004C6D0B">
        <w:trPr>
          <w:cantSplit/>
        </w:trPr>
        <w:tc>
          <w:tcPr>
            <w:tcW w:w="1418" w:type="dxa"/>
            <w:vAlign w:val="center"/>
          </w:tcPr>
          <w:p w14:paraId="1C5E8DEA" w14:textId="77777777" w:rsidR="004C6D0B" w:rsidRPr="00695A60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5A60">
              <w:drawing>
                <wp:inline distT="0" distB="0" distL="0" distR="0" wp14:anchorId="24BA6AAD" wp14:editId="1E9B2BE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276FC22" w14:textId="77777777" w:rsidR="004C6D0B" w:rsidRPr="00695A60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5A6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695A60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9B3920C" w14:textId="77777777" w:rsidR="004C6D0B" w:rsidRPr="00695A60" w:rsidRDefault="004C6D0B" w:rsidP="004C6D0B">
            <w:pPr>
              <w:spacing w:before="0" w:line="240" w:lineRule="atLeast"/>
            </w:pPr>
            <w:r w:rsidRPr="00695A60">
              <w:drawing>
                <wp:inline distT="0" distB="0" distL="0" distR="0" wp14:anchorId="41F096C6" wp14:editId="45D4F532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95A60" w14:paraId="66C2FC7C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0A5F6B60" w14:textId="77777777" w:rsidR="005651C9" w:rsidRPr="00695A60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09A7004B" w14:textId="77777777" w:rsidR="005651C9" w:rsidRPr="00695A6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95A60" w14:paraId="3E54A70C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615D0693" w14:textId="77777777" w:rsidR="005651C9" w:rsidRPr="00695A6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48D213F6" w14:textId="77777777" w:rsidR="005651C9" w:rsidRPr="00695A6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695A60" w14:paraId="1049B291" w14:textId="77777777" w:rsidTr="001226EC">
        <w:trPr>
          <w:cantSplit/>
        </w:trPr>
        <w:tc>
          <w:tcPr>
            <w:tcW w:w="6771" w:type="dxa"/>
            <w:gridSpan w:val="2"/>
          </w:tcPr>
          <w:p w14:paraId="509959AA" w14:textId="77777777" w:rsidR="005651C9" w:rsidRPr="00695A6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95A6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2611B496" w14:textId="77777777" w:rsidR="005651C9" w:rsidRPr="00695A6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95A60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6</w:t>
            </w:r>
            <w:r w:rsidRPr="00695A6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</w:t>
            </w:r>
            <w:r w:rsidR="005651C9" w:rsidRPr="00695A6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95A6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95A60" w14:paraId="2BBB1DA6" w14:textId="77777777" w:rsidTr="001226EC">
        <w:trPr>
          <w:cantSplit/>
        </w:trPr>
        <w:tc>
          <w:tcPr>
            <w:tcW w:w="6771" w:type="dxa"/>
            <w:gridSpan w:val="2"/>
          </w:tcPr>
          <w:p w14:paraId="76541081" w14:textId="77777777" w:rsidR="000F33D8" w:rsidRPr="00695A6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20A2F09" w14:textId="77777777" w:rsidR="000F33D8" w:rsidRPr="00695A6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95A60">
              <w:rPr>
                <w:rFonts w:ascii="Verdana" w:hAnsi="Verdana"/>
                <w:b/>
                <w:bCs/>
                <w:sz w:val="18"/>
                <w:szCs w:val="18"/>
              </w:rPr>
              <w:t>13 октября 2023 года</w:t>
            </w:r>
          </w:p>
        </w:tc>
      </w:tr>
      <w:tr w:rsidR="000F33D8" w:rsidRPr="00695A60" w14:paraId="23B64CA8" w14:textId="77777777" w:rsidTr="001226EC">
        <w:trPr>
          <w:cantSplit/>
        </w:trPr>
        <w:tc>
          <w:tcPr>
            <w:tcW w:w="6771" w:type="dxa"/>
            <w:gridSpan w:val="2"/>
          </w:tcPr>
          <w:p w14:paraId="446D37AE" w14:textId="77777777" w:rsidR="000F33D8" w:rsidRPr="00695A6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CFDE7E7" w14:textId="77777777" w:rsidR="000F33D8" w:rsidRPr="00695A6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95A6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95A60" w14:paraId="6C8B4B72" w14:textId="77777777" w:rsidTr="009546EA">
        <w:trPr>
          <w:cantSplit/>
        </w:trPr>
        <w:tc>
          <w:tcPr>
            <w:tcW w:w="10031" w:type="dxa"/>
            <w:gridSpan w:val="4"/>
          </w:tcPr>
          <w:p w14:paraId="23A7844D" w14:textId="77777777" w:rsidR="000F33D8" w:rsidRPr="00695A6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95A60" w14:paraId="6FDECF4D" w14:textId="77777777">
        <w:trPr>
          <w:cantSplit/>
        </w:trPr>
        <w:tc>
          <w:tcPr>
            <w:tcW w:w="10031" w:type="dxa"/>
            <w:gridSpan w:val="4"/>
          </w:tcPr>
          <w:p w14:paraId="36DA4D93" w14:textId="77777777" w:rsidR="000F33D8" w:rsidRPr="00695A60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695A60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695A60" w14:paraId="59074984" w14:textId="77777777">
        <w:trPr>
          <w:cantSplit/>
        </w:trPr>
        <w:tc>
          <w:tcPr>
            <w:tcW w:w="10031" w:type="dxa"/>
            <w:gridSpan w:val="4"/>
          </w:tcPr>
          <w:p w14:paraId="51C3A113" w14:textId="33465F25" w:rsidR="000F33D8" w:rsidRPr="00695A60" w:rsidRDefault="00C35CD1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695A60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695A60" w14:paraId="0E189972" w14:textId="77777777">
        <w:trPr>
          <w:cantSplit/>
        </w:trPr>
        <w:tc>
          <w:tcPr>
            <w:tcW w:w="10031" w:type="dxa"/>
            <w:gridSpan w:val="4"/>
          </w:tcPr>
          <w:p w14:paraId="079C3136" w14:textId="77777777" w:rsidR="000F33D8" w:rsidRPr="00695A60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695A60" w14:paraId="424921C0" w14:textId="77777777">
        <w:trPr>
          <w:cantSplit/>
        </w:trPr>
        <w:tc>
          <w:tcPr>
            <w:tcW w:w="10031" w:type="dxa"/>
            <w:gridSpan w:val="4"/>
          </w:tcPr>
          <w:p w14:paraId="60C36010" w14:textId="77777777" w:rsidR="000F33D8" w:rsidRPr="00695A60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695A60">
              <w:rPr>
                <w:lang w:val="ru-RU"/>
              </w:rPr>
              <w:t>Пункт 1.6 повестки дня</w:t>
            </w:r>
          </w:p>
        </w:tc>
      </w:tr>
    </w:tbl>
    <w:p w14:paraId="0AA097B9" w14:textId="77777777" w:rsidR="00B92DE7" w:rsidRPr="00695A60" w:rsidRDefault="00B92DE7" w:rsidP="00997E38">
      <w:bookmarkStart w:id="4" w:name="_Toc35863790"/>
      <w:bookmarkStart w:id="5" w:name="_Toc35864119"/>
      <w:bookmarkStart w:id="6" w:name="_Toc36020504"/>
      <w:bookmarkEnd w:id="3"/>
      <w:bookmarkEnd w:id="4"/>
      <w:bookmarkEnd w:id="5"/>
      <w:bookmarkEnd w:id="6"/>
      <w:r w:rsidRPr="00695A60">
        <w:t>1.6</w:t>
      </w:r>
      <w:r w:rsidRPr="00695A60">
        <w:tab/>
      </w:r>
      <w:r w:rsidRPr="00695A60">
        <w:rPr>
          <w:bCs/>
        </w:rPr>
        <w:t>в соответствии с Резолюцией </w:t>
      </w:r>
      <w:r w:rsidRPr="00695A60">
        <w:rPr>
          <w:b/>
          <w:bCs/>
        </w:rPr>
        <w:t>772 (ВКР</w:t>
      </w:r>
      <w:r w:rsidRPr="00695A60">
        <w:rPr>
          <w:b/>
          <w:bCs/>
        </w:rPr>
        <w:noBreakHyphen/>
        <w:t>19)</w:t>
      </w:r>
      <w:r w:rsidRPr="00695A60">
        <w:t xml:space="preserve">, </w:t>
      </w:r>
      <w:r w:rsidRPr="00695A60">
        <w:rPr>
          <w:bCs/>
        </w:rPr>
        <w:t xml:space="preserve">рассмотреть </w:t>
      </w:r>
      <w:r w:rsidRPr="00695A60">
        <w:t>вопрос о регламентарных положениях, содействующих обеспечению радиосвязи для суборбитальных аппаратов;</w:t>
      </w:r>
    </w:p>
    <w:p w14:paraId="4DE946EF" w14:textId="3FDA6ABA" w:rsidR="0003535B" w:rsidRPr="00695A60" w:rsidRDefault="00730AE8" w:rsidP="00730AE8">
      <w:pPr>
        <w:pStyle w:val="Headingb"/>
        <w:rPr>
          <w:lang w:val="ru-RU"/>
        </w:rPr>
      </w:pPr>
      <w:r w:rsidRPr="00695A60">
        <w:rPr>
          <w:lang w:val="ru-RU"/>
        </w:rPr>
        <w:t>Предложения</w:t>
      </w:r>
    </w:p>
    <w:p w14:paraId="7A14F6BC" w14:textId="77777777" w:rsidR="00730AE8" w:rsidRPr="00695A60" w:rsidRDefault="00730AE8" w:rsidP="00730AE8"/>
    <w:p w14:paraId="0953178B" w14:textId="77777777" w:rsidR="009B5CC2" w:rsidRPr="00695A60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95A60">
        <w:br w:type="page"/>
      </w:r>
    </w:p>
    <w:p w14:paraId="53BAE55E" w14:textId="2DBCEAFB" w:rsidR="009A02AF" w:rsidRPr="00695A60" w:rsidRDefault="00B92DE7">
      <w:pPr>
        <w:pStyle w:val="Proposal"/>
      </w:pPr>
      <w:r w:rsidRPr="00695A60">
        <w:lastRenderedPageBreak/>
        <w:t>ADD</w:t>
      </w:r>
      <w:r w:rsidRPr="00695A60">
        <w:tab/>
        <w:t>IAP/44A6/1</w:t>
      </w:r>
      <w:r w:rsidRPr="00695A60">
        <w:rPr>
          <w:vanish/>
          <w:color w:val="7F7F7F" w:themeColor="text1" w:themeTint="80"/>
          <w:vertAlign w:val="superscript"/>
        </w:rPr>
        <w:t>#1588</w:t>
      </w:r>
    </w:p>
    <w:p w14:paraId="43FE37FE" w14:textId="31FF701C" w:rsidR="00B92DE7" w:rsidRPr="00695A60" w:rsidRDefault="00B92DE7" w:rsidP="00914B96">
      <w:pPr>
        <w:pStyle w:val="ResNo"/>
      </w:pPr>
      <w:r w:rsidRPr="00695A60">
        <w:t xml:space="preserve">ПРОЕКТ НОВОЙ РЕЗОЛЮЦИИ </w:t>
      </w:r>
      <w:r w:rsidRPr="00695A60">
        <w:rPr>
          <w:rStyle w:val="href"/>
        </w:rPr>
        <w:t>[</w:t>
      </w:r>
      <w:r w:rsidR="00C35CD1" w:rsidRPr="00695A60">
        <w:rPr>
          <w:rStyle w:val="href"/>
        </w:rPr>
        <w:t>IAP-</w:t>
      </w:r>
      <w:r w:rsidRPr="00695A60">
        <w:rPr>
          <w:rStyle w:val="href"/>
        </w:rPr>
        <w:t>A16]</w:t>
      </w:r>
      <w:r w:rsidRPr="00695A60">
        <w:t xml:space="preserve"> (вкр-23)</w:t>
      </w:r>
    </w:p>
    <w:p w14:paraId="0AB6D3E2" w14:textId="77777777" w:rsidR="00B92DE7" w:rsidRPr="00695A60" w:rsidRDefault="00B92DE7" w:rsidP="00914B96">
      <w:pPr>
        <w:pStyle w:val="Restitle"/>
      </w:pPr>
      <w:r w:rsidRPr="00695A60">
        <w:t xml:space="preserve">Регламентарные положения, касающиеся работы систем радиосвязи </w:t>
      </w:r>
      <w:r w:rsidRPr="00695A60">
        <w:br/>
        <w:t>на борту суборбитальных аппаратов</w:t>
      </w:r>
    </w:p>
    <w:p w14:paraId="22EB38F4" w14:textId="77777777" w:rsidR="00B92DE7" w:rsidRPr="00695A60" w:rsidRDefault="00B92DE7" w:rsidP="0058642E">
      <w:pPr>
        <w:pStyle w:val="Normalaftertitle0"/>
        <w:keepNext/>
      </w:pPr>
      <w:r w:rsidRPr="00695A60">
        <w:t>Всемирная конференция радиосвязи (Дубай, 2023 г.),</w:t>
      </w:r>
    </w:p>
    <w:p w14:paraId="34F4B6CB" w14:textId="77777777" w:rsidR="00B92DE7" w:rsidRPr="00695A60" w:rsidRDefault="00B92DE7" w:rsidP="00914B96">
      <w:pPr>
        <w:pStyle w:val="Call"/>
        <w:rPr>
          <w:i w:val="0"/>
          <w:iCs/>
        </w:rPr>
      </w:pPr>
      <w:r w:rsidRPr="00695A60">
        <w:t>учитывая</w:t>
      </w:r>
      <w:r w:rsidRPr="00695A60">
        <w:rPr>
          <w:i w:val="0"/>
          <w:iCs/>
        </w:rPr>
        <w:t>,</w:t>
      </w:r>
    </w:p>
    <w:p w14:paraId="2B154E88" w14:textId="77777777" w:rsidR="00B92DE7" w:rsidRPr="00695A60" w:rsidRDefault="00B92DE7" w:rsidP="00914B96">
      <w:pPr>
        <w:rPr>
          <w:rFonts w:eastAsia="BatangChe"/>
        </w:rPr>
      </w:pPr>
      <w:r w:rsidRPr="00695A60">
        <w:rPr>
          <w:i/>
          <w:iCs/>
        </w:rPr>
        <w:t>a)</w:t>
      </w:r>
      <w:r w:rsidRPr="00695A60">
        <w:tab/>
        <w:t xml:space="preserve">что суборбитальные аппараты работают на высотах, превышающих </w:t>
      </w:r>
      <w:r w:rsidRPr="00695A60">
        <w:rPr>
          <w:rFonts w:eastAsia="BatangChe"/>
        </w:rPr>
        <w:t>высоту, достигаемую обычными воздушными судами;</w:t>
      </w:r>
    </w:p>
    <w:p w14:paraId="6B728781" w14:textId="77777777" w:rsidR="00B92DE7" w:rsidRPr="00695A60" w:rsidRDefault="00B92DE7" w:rsidP="00914B96">
      <w:r w:rsidRPr="00695A60">
        <w:rPr>
          <w:i/>
          <w:iCs/>
        </w:rPr>
        <w:t>b)</w:t>
      </w:r>
      <w:r w:rsidRPr="00695A60">
        <w:rPr>
          <w:i/>
          <w:iCs/>
        </w:rPr>
        <w:tab/>
      </w:r>
      <w:r w:rsidRPr="00695A60">
        <w:t>что суборбитальные аппараты осуществляют полеты в нижних слоях атмосферы, где некоторые из них могут работать в том же воздушном пространстве, что и обычные воздушные суда;</w:t>
      </w:r>
    </w:p>
    <w:p w14:paraId="23C5405F" w14:textId="77777777" w:rsidR="00B92DE7" w:rsidRPr="00695A60" w:rsidRDefault="00B92DE7" w:rsidP="00914B96">
      <w:pPr>
        <w:rPr>
          <w:rFonts w:eastAsia="BatangChe"/>
        </w:rPr>
      </w:pPr>
      <w:r w:rsidRPr="00695A60">
        <w:rPr>
          <w:i/>
          <w:iCs/>
        </w:rPr>
        <w:t>c)</w:t>
      </w:r>
      <w:r w:rsidRPr="00695A60">
        <w:rPr>
          <w:i/>
        </w:rPr>
        <w:tab/>
      </w:r>
      <w:r w:rsidRPr="00695A60">
        <w:t>что суборбитальные аппараты могут осуществлять полеты различных типов, например, для проведения научных исследований или предоставления услуг перевозки</w:t>
      </w:r>
      <w:r w:rsidRPr="00695A60">
        <w:rPr>
          <w:rFonts w:eastAsia="BatangChe"/>
        </w:rPr>
        <w:t>;</w:t>
      </w:r>
    </w:p>
    <w:p w14:paraId="6143548D" w14:textId="77777777" w:rsidR="00B92DE7" w:rsidRPr="00695A60" w:rsidRDefault="00B92DE7" w:rsidP="00914B96">
      <w:pPr>
        <w:rPr>
          <w:rFonts w:eastAsia="BatangChe"/>
        </w:rPr>
      </w:pPr>
      <w:r w:rsidRPr="00695A60">
        <w:rPr>
          <w:i/>
        </w:rPr>
        <w:t>d</w:t>
      </w:r>
      <w:r w:rsidRPr="00695A60">
        <w:rPr>
          <w:i/>
          <w:iCs/>
        </w:rPr>
        <w:t>)</w:t>
      </w:r>
      <w:r w:rsidRPr="00695A60">
        <w:tab/>
        <w:t>что станции на борту суборбитальных аппаратов предназначены для обеспечения всех или некоторых из следующих применений: голосовая связь/передача данных, навигация, наблюдение, а также телеметрия, слежение и управлени</w:t>
      </w:r>
      <w:r w:rsidRPr="00695A60">
        <w:rPr>
          <w:rFonts w:eastAsia="MS PMincho"/>
          <w:lang w:eastAsia="ja-JP"/>
        </w:rPr>
        <w:t>е (TT&amp;C)</w:t>
      </w:r>
      <w:r w:rsidRPr="00695A60">
        <w:rPr>
          <w:rFonts w:eastAsia="BatangChe"/>
        </w:rPr>
        <w:t>;</w:t>
      </w:r>
    </w:p>
    <w:p w14:paraId="6F0F8F78" w14:textId="77777777" w:rsidR="00B92DE7" w:rsidRPr="00695A60" w:rsidRDefault="00B92DE7" w:rsidP="00914B96">
      <w:r w:rsidRPr="00695A60">
        <w:rPr>
          <w:i/>
        </w:rPr>
        <w:t>e)</w:t>
      </w:r>
      <w:r w:rsidRPr="00695A60">
        <w:tab/>
        <w:t>что суборбитальные аппараты должны безопасным образом быть интегрированы в воздушное пространство, используемое обычными воздушными судами;</w:t>
      </w:r>
    </w:p>
    <w:p w14:paraId="42FFDE2A" w14:textId="5AB0C586" w:rsidR="00B92DE7" w:rsidRPr="00695A60" w:rsidRDefault="00B92DE7" w:rsidP="00914B96">
      <w:r w:rsidRPr="00695A60">
        <w:rPr>
          <w:i/>
          <w:iCs/>
        </w:rPr>
        <w:t>f)</w:t>
      </w:r>
      <w:r w:rsidRPr="00695A60">
        <w:tab/>
        <w:t>что некоторые станции на борту суборбитальных аппаратов, возможно, должны обеспечивать связь с системами организации</w:t>
      </w:r>
      <w:r w:rsidRPr="00695A60" w:rsidDel="00AF7EFF">
        <w:t xml:space="preserve"> </w:t>
      </w:r>
      <w:r w:rsidRPr="00695A60">
        <w:t>воздушного движения и соответствующими средствами управления наземным движением</w:t>
      </w:r>
      <w:r w:rsidR="00C35CD1" w:rsidRPr="00695A60">
        <w:t>,</w:t>
      </w:r>
    </w:p>
    <w:p w14:paraId="25B0F2BF" w14:textId="77777777" w:rsidR="00B92DE7" w:rsidRPr="00695A60" w:rsidRDefault="00B92DE7" w:rsidP="00914B96">
      <w:pPr>
        <w:pStyle w:val="Call"/>
      </w:pPr>
      <w:r w:rsidRPr="00695A60">
        <w:t>отмечая</w:t>
      </w:r>
      <w:r w:rsidRPr="00695A60">
        <w:rPr>
          <w:i w:val="0"/>
          <w:iCs/>
        </w:rPr>
        <w:t>,</w:t>
      </w:r>
    </w:p>
    <w:p w14:paraId="105D54FE" w14:textId="77777777" w:rsidR="00B92DE7" w:rsidRPr="00695A60" w:rsidRDefault="00B92DE7" w:rsidP="00914B96">
      <w:pPr>
        <w:rPr>
          <w:rFonts w:eastAsia="BatangChe"/>
        </w:rPr>
      </w:pPr>
      <w:r w:rsidRPr="00695A60">
        <w:rPr>
          <w:i/>
          <w:iCs/>
        </w:rPr>
        <w:t>a)</w:t>
      </w:r>
      <w:r w:rsidRPr="00695A60">
        <w:tab/>
        <w:t>что в Отчете МСЭ-R M.2477 представлена информация о радиосвязи для суборбитальных аппаратов, в том числе описание траектории полета, категорий суборбитальных аппаратов, технических исследований, связанных с возможными бортовыми системами, используемыми суборбитальными аппаратами, и распределениями службам для этих систем;</w:t>
      </w:r>
    </w:p>
    <w:p w14:paraId="67925250" w14:textId="77777777" w:rsidR="00B92DE7" w:rsidRPr="00695A60" w:rsidRDefault="00B92DE7" w:rsidP="00914B96">
      <w:r w:rsidRPr="00695A60">
        <w:rPr>
          <w:i/>
          <w:iCs/>
        </w:rPr>
        <w:t>b)</w:t>
      </w:r>
      <w:r w:rsidRPr="00695A60">
        <w:rPr>
          <w:i/>
          <w:iCs/>
        </w:rPr>
        <w:tab/>
      </w:r>
      <w:r w:rsidRPr="00695A60">
        <w:t>что в отношении некоторых операций суборбитальных аппаратов могут применяться положения п. </w:t>
      </w:r>
      <w:r w:rsidRPr="00695A60">
        <w:rPr>
          <w:b/>
          <w:bCs/>
        </w:rPr>
        <w:t>4.10</w:t>
      </w:r>
      <w:r w:rsidRPr="00695A60">
        <w:t>;</w:t>
      </w:r>
    </w:p>
    <w:p w14:paraId="736CB02F" w14:textId="77777777" w:rsidR="00B92DE7" w:rsidRPr="00695A60" w:rsidRDefault="00B92DE7" w:rsidP="00914B96">
      <w:pPr>
        <w:rPr>
          <w:i/>
          <w:szCs w:val="24"/>
        </w:rPr>
      </w:pPr>
      <w:r w:rsidRPr="00695A60">
        <w:rPr>
          <w:i/>
          <w:iCs/>
        </w:rPr>
        <w:t>c)</w:t>
      </w:r>
      <w:r w:rsidRPr="00695A60">
        <w:tab/>
        <w:t>что ответственность за условия сосуществования воздушных систем, стандартизованных Международной организацией гражданской авиации (ИКАО), лежит на ИКАО;</w:t>
      </w:r>
    </w:p>
    <w:p w14:paraId="2BAFF535" w14:textId="2178613A" w:rsidR="00B92DE7" w:rsidRPr="00695A60" w:rsidRDefault="00B92DE7" w:rsidP="00914B96">
      <w:r w:rsidRPr="00695A60">
        <w:rPr>
          <w:i/>
          <w:iCs/>
        </w:rPr>
        <w:t>d)</w:t>
      </w:r>
      <w:r w:rsidRPr="00695A60">
        <w:tab/>
        <w:t>что ИКАО разрабатывает, в некоторых случаях, стандарты и рекомендуемую практику (SARP</w:t>
      </w:r>
      <w:r w:rsidR="00FA6987" w:rsidRPr="00695A60">
        <w:t>s</w:t>
      </w:r>
      <w:r w:rsidRPr="00695A60">
        <w:t>) для решения проблемы сосуществования авиационных применений ИКАО</w:t>
      </w:r>
      <w:r w:rsidR="00BE509E" w:rsidRPr="00695A60">
        <w:t>;</w:t>
      </w:r>
    </w:p>
    <w:p w14:paraId="083B8139" w14:textId="77777777" w:rsidR="00B92DE7" w:rsidRPr="00695A60" w:rsidRDefault="00B92DE7" w:rsidP="00914B96">
      <w:r w:rsidRPr="00695A60">
        <w:rPr>
          <w:i/>
          <w:iCs/>
        </w:rPr>
        <w:t>e)</w:t>
      </w:r>
      <w:r w:rsidRPr="00695A60">
        <w:rPr>
          <w:i/>
          <w:iCs/>
        </w:rPr>
        <w:tab/>
      </w:r>
      <w:r w:rsidRPr="00695A60">
        <w:t>что в Отчете МСЭ-R M.2477 суборбитальный полет описан как запланированный полет аппарата, который, как ожидается, достигает верхних слоев атмосферы, причем часть траектории его полета может находиться в космосе, не совершая полного орбитального полета вокруг Земли до возвращения на поверхность Земли;</w:t>
      </w:r>
    </w:p>
    <w:p w14:paraId="6DD90F57" w14:textId="77777777" w:rsidR="00B92DE7" w:rsidRPr="00695A60" w:rsidRDefault="00B92DE7" w:rsidP="00914B96">
      <w:pPr>
        <w:rPr>
          <w:i/>
          <w:iCs/>
        </w:rPr>
      </w:pPr>
      <w:r w:rsidRPr="00695A60">
        <w:rPr>
          <w:i/>
          <w:iCs/>
        </w:rPr>
        <w:t>f)</w:t>
      </w:r>
      <w:r w:rsidRPr="00695A60">
        <w:rPr>
          <w:i/>
          <w:iCs/>
        </w:rPr>
        <w:tab/>
      </w:r>
      <w:r w:rsidRPr="00695A60">
        <w:t>что в Отчете МСЭ-R M.2477 суборбитальный аппарат описан как аппарат, выполняющий суборбитальный полет,</w:t>
      </w:r>
    </w:p>
    <w:p w14:paraId="3B2E802E" w14:textId="77777777" w:rsidR="00B92DE7" w:rsidRPr="00695A60" w:rsidRDefault="00B92DE7" w:rsidP="00914B96">
      <w:pPr>
        <w:pStyle w:val="Call"/>
        <w:rPr>
          <w:rFonts w:eastAsia="MS Mincho"/>
          <w:lang w:eastAsia="nl-NL"/>
        </w:rPr>
      </w:pPr>
      <w:r w:rsidRPr="00695A60">
        <w:rPr>
          <w:rFonts w:eastAsia="MS Mincho"/>
          <w:lang w:eastAsia="nl-NL"/>
        </w:rPr>
        <w:t>признавая</w:t>
      </w:r>
      <w:r w:rsidRPr="00695A60">
        <w:rPr>
          <w:rFonts w:eastAsia="MS Mincho"/>
          <w:i w:val="0"/>
          <w:iCs/>
          <w:lang w:eastAsia="nl-NL"/>
        </w:rPr>
        <w:t>,</w:t>
      </w:r>
    </w:p>
    <w:p w14:paraId="01F83D0E" w14:textId="77777777" w:rsidR="00B92DE7" w:rsidRPr="00695A60" w:rsidRDefault="00B92DE7" w:rsidP="00914B96">
      <w:pPr>
        <w:rPr>
          <w:rFonts w:eastAsia="BatangChe"/>
        </w:rPr>
      </w:pPr>
      <w:r w:rsidRPr="00695A60">
        <w:rPr>
          <w:i/>
          <w:iCs/>
        </w:rPr>
        <w:t>a)</w:t>
      </w:r>
      <w:r w:rsidRPr="00695A60">
        <w:tab/>
      </w:r>
      <w:r w:rsidRPr="00695A60">
        <w:rPr>
          <w:rFonts w:eastAsia="BatangChe"/>
        </w:rPr>
        <w:t>что не существует согласованного на международном уровне юридического разграничения между атмосферой Земли и космосом, равно как и между суверенным воздушным пространством и космическим пространством;</w:t>
      </w:r>
    </w:p>
    <w:p w14:paraId="2B4AFB7C" w14:textId="31FD61BE" w:rsidR="00B92DE7" w:rsidRPr="00695A60" w:rsidRDefault="00B92DE7" w:rsidP="00914B96">
      <w:r w:rsidRPr="00695A60">
        <w:rPr>
          <w:i/>
          <w:iCs/>
        </w:rPr>
        <w:lastRenderedPageBreak/>
        <w:t>b)</w:t>
      </w:r>
      <w:r w:rsidRPr="00695A60">
        <w:tab/>
        <w:t xml:space="preserve">что в Приложении 10 к Конвенции о международной гражданской авиации содержатся </w:t>
      </w:r>
      <w:r w:rsidR="006F57AE" w:rsidRPr="00695A60">
        <w:t xml:space="preserve">Стандарты и </w:t>
      </w:r>
      <w:r w:rsidR="00FA6987" w:rsidRPr="00695A60">
        <w:t>р</w:t>
      </w:r>
      <w:r w:rsidR="006F57AE" w:rsidRPr="00695A60">
        <w:t>екомендуемая практика (SARPs)</w:t>
      </w:r>
      <w:r w:rsidR="00BE509E" w:rsidRPr="00695A60">
        <w:t xml:space="preserve"> </w:t>
      </w:r>
      <w:r w:rsidRPr="00695A60">
        <w:t>для систем воздушной радионавигации и радиосвязи, используемых в международной гражданской авиации;</w:t>
      </w:r>
    </w:p>
    <w:p w14:paraId="769E7CC4" w14:textId="77777777" w:rsidR="00B92DE7" w:rsidRPr="00695A60" w:rsidRDefault="00B92DE7" w:rsidP="00914B96">
      <w:r w:rsidRPr="00695A60">
        <w:rPr>
          <w:i/>
          <w:iCs/>
        </w:rPr>
        <w:t>c)</w:t>
      </w:r>
      <w:r w:rsidRPr="00695A60">
        <w:tab/>
        <w:t>что из-за увеличения доплеровского смещения передачи станций, размещенных на борту суборбитального аппарата, могут оказывать воздействие на службы, работающие в той же полосе частот, а также в соседних или близлежащих полосах частот;</w:t>
      </w:r>
    </w:p>
    <w:p w14:paraId="39256F4D" w14:textId="20705A91" w:rsidR="00B92DE7" w:rsidRPr="00695A60" w:rsidRDefault="00B92DE7" w:rsidP="00914B96">
      <w:r w:rsidRPr="00695A60">
        <w:rPr>
          <w:i/>
          <w:iCs/>
        </w:rPr>
        <w:t>d)</w:t>
      </w:r>
      <w:r w:rsidRPr="00695A60">
        <w:tab/>
        <w:t>что из-за большей высоты полета суборбитальных аппаратов по сравнению с обычными воздушными судами передачи станций на борту суборбитального аппарата могут оказывать воздействие на радиосвязь на больших площадях, включающие дополнительные территории, и/или на космические станции</w:t>
      </w:r>
      <w:r w:rsidR="00BE509E" w:rsidRPr="00695A60">
        <w:t>;</w:t>
      </w:r>
    </w:p>
    <w:p w14:paraId="656A0BB7" w14:textId="77777777" w:rsidR="00B92DE7" w:rsidRPr="00695A60" w:rsidRDefault="00B92DE7" w:rsidP="00914B96">
      <w:r w:rsidRPr="00695A60">
        <w:rPr>
          <w:i/>
          <w:iCs/>
        </w:rPr>
        <w:t>e)</w:t>
      </w:r>
      <w:r w:rsidRPr="00695A60">
        <w:tab/>
        <w:t>что некоторые системы космического запуска могут иметь космические станции, уже работающие в рамках существующих распределений службы космической эксплуатации;</w:t>
      </w:r>
    </w:p>
    <w:p w14:paraId="30504938" w14:textId="77777777" w:rsidR="00B92DE7" w:rsidRPr="00695A60" w:rsidRDefault="00B92DE7" w:rsidP="00914B96">
      <w:r w:rsidRPr="00695A60">
        <w:rPr>
          <w:i/>
          <w:iCs/>
        </w:rPr>
        <w:t>f)</w:t>
      </w:r>
      <w:r w:rsidRPr="00695A60">
        <w:tab/>
        <w:t>что в составе станций на борту суборбитальных аппаратов могут использоваться системы, работающие в космических или наземных службах радиосвязи;</w:t>
      </w:r>
    </w:p>
    <w:p w14:paraId="1315A5BD" w14:textId="77777777" w:rsidR="00B92DE7" w:rsidRPr="00695A60" w:rsidRDefault="00B92DE7" w:rsidP="00914B96">
      <w:r w:rsidRPr="00695A60">
        <w:rPr>
          <w:i/>
          <w:iCs/>
        </w:rPr>
        <w:t>g)</w:t>
      </w:r>
      <w:r w:rsidRPr="00695A60">
        <w:tab/>
        <w:t>что некоторые суборбитальные аппараты могут достигать в течение ограниченного периода времени высоты полета в космосе, не имея достаточной энергии для поддержания постоянной орбиты,</w:t>
      </w:r>
    </w:p>
    <w:p w14:paraId="40840692" w14:textId="77777777" w:rsidR="00B92DE7" w:rsidRPr="00695A60" w:rsidRDefault="00B92DE7" w:rsidP="00914B96">
      <w:pPr>
        <w:pStyle w:val="Call"/>
      </w:pPr>
      <w:r w:rsidRPr="00695A60">
        <w:t>решает</w:t>
      </w:r>
      <w:r w:rsidRPr="00695A60">
        <w:rPr>
          <w:i w:val="0"/>
          <w:iCs/>
        </w:rPr>
        <w:t>,</w:t>
      </w:r>
    </w:p>
    <w:p w14:paraId="63766053" w14:textId="77777777" w:rsidR="00B92DE7" w:rsidRPr="00695A60" w:rsidRDefault="00B92DE7" w:rsidP="00914B96">
      <w:r w:rsidRPr="00695A60">
        <w:t>1</w:t>
      </w:r>
      <w:r w:rsidRPr="00695A60">
        <w:tab/>
        <w:t>что суборбитальные аппараты могут использовать наземные станции (п. </w:t>
      </w:r>
      <w:r w:rsidRPr="00695A60">
        <w:rPr>
          <w:b/>
          <w:bCs/>
        </w:rPr>
        <w:t>1.62</w:t>
      </w:r>
      <w:r w:rsidRPr="00695A60">
        <w:t xml:space="preserve">) и земные станции (п. </w:t>
      </w:r>
      <w:r w:rsidRPr="00695A60">
        <w:rPr>
          <w:b/>
          <w:bCs/>
        </w:rPr>
        <w:t>1.63</w:t>
      </w:r>
      <w:r w:rsidRPr="00695A60">
        <w:t>) на всех этапах полета;</w:t>
      </w:r>
    </w:p>
    <w:p w14:paraId="4F5A4DA8" w14:textId="77777777" w:rsidR="00B92DE7" w:rsidRPr="00695A60" w:rsidRDefault="00B92DE7" w:rsidP="00914B96">
      <w:pPr>
        <w:rPr>
          <w:rFonts w:eastAsia="SimSun"/>
          <w:lang w:eastAsia="zh-CN"/>
        </w:rPr>
      </w:pPr>
      <w:r w:rsidRPr="00695A60">
        <w:rPr>
          <w:rFonts w:eastAsia="SimSun"/>
          <w:lang w:eastAsia="zh-CN"/>
        </w:rPr>
        <w:t>2</w:t>
      </w:r>
      <w:r w:rsidRPr="00695A60">
        <w:rPr>
          <w:rFonts w:eastAsia="SimSun"/>
          <w:lang w:eastAsia="zh-CN"/>
        </w:rPr>
        <w:tab/>
        <w:t xml:space="preserve">что наземные станции и земные станции на борту суборбитальных аппаратов, упомянутые в пункте 1 раздела </w:t>
      </w:r>
      <w:r w:rsidRPr="00695A60">
        <w:rPr>
          <w:rFonts w:eastAsia="SimSun"/>
          <w:i/>
          <w:iCs/>
          <w:lang w:eastAsia="zh-CN"/>
        </w:rPr>
        <w:t>решает</w:t>
      </w:r>
      <w:r w:rsidRPr="00695A60">
        <w:rPr>
          <w:rFonts w:eastAsia="SimSun"/>
          <w:lang w:eastAsia="zh-CN"/>
        </w:rPr>
        <w:t>,</w:t>
      </w:r>
      <w:r w:rsidRPr="00695A60">
        <w:rPr>
          <w:rFonts w:eastAsia="SimSun"/>
          <w:i/>
          <w:iCs/>
          <w:lang w:eastAsia="zh-CN"/>
        </w:rPr>
        <w:t xml:space="preserve"> </w:t>
      </w:r>
      <w:r w:rsidRPr="00695A60">
        <w:rPr>
          <w:rFonts w:eastAsia="SimSun"/>
          <w:lang w:eastAsia="zh-CN"/>
        </w:rPr>
        <w:t>должны сохранять свой класс станции без изменений;</w:t>
      </w:r>
    </w:p>
    <w:p w14:paraId="56620963" w14:textId="1EB6E25E" w:rsidR="00B92DE7" w:rsidRPr="00695A60" w:rsidRDefault="00B92DE7" w:rsidP="00914B96">
      <w:pPr>
        <w:rPr>
          <w:rFonts w:eastAsia="SimSun"/>
          <w:lang w:eastAsia="zh-CN"/>
        </w:rPr>
      </w:pPr>
      <w:r w:rsidRPr="00695A60">
        <w:rPr>
          <w:rFonts w:eastAsia="SimSun"/>
          <w:lang w:eastAsia="zh-CN"/>
        </w:rPr>
        <w:t>3</w:t>
      </w:r>
      <w:r w:rsidRPr="00695A60">
        <w:rPr>
          <w:rFonts w:eastAsia="SimSun"/>
          <w:lang w:eastAsia="zh-CN"/>
        </w:rPr>
        <w:tab/>
        <w:t xml:space="preserve">что станции на борту суборбитальных аппаратов, упомянутые в пункте 1 раздела </w:t>
      </w:r>
      <w:r w:rsidRPr="00695A60">
        <w:rPr>
          <w:rFonts w:eastAsia="SimSun"/>
          <w:i/>
          <w:iCs/>
          <w:lang w:eastAsia="zh-CN"/>
        </w:rPr>
        <w:t>решает</w:t>
      </w:r>
      <w:r w:rsidRPr="00695A60">
        <w:rPr>
          <w:rFonts w:eastAsia="SimSun"/>
          <w:lang w:eastAsia="zh-CN"/>
        </w:rPr>
        <w:t>,</w:t>
      </w:r>
      <w:r w:rsidRPr="00695A60">
        <w:rPr>
          <w:rFonts w:eastAsia="SimSun"/>
          <w:i/>
          <w:iCs/>
          <w:lang w:eastAsia="zh-CN"/>
        </w:rPr>
        <w:t xml:space="preserve"> </w:t>
      </w:r>
      <w:r w:rsidRPr="00695A60">
        <w:rPr>
          <w:rFonts w:eastAsia="SimSun"/>
          <w:lang w:eastAsia="zh-CN"/>
        </w:rPr>
        <w:t xml:space="preserve">не должны </w:t>
      </w:r>
      <w:r w:rsidR="006F57AE" w:rsidRPr="00695A60">
        <w:rPr>
          <w:rFonts w:eastAsia="SimSun"/>
          <w:lang w:eastAsia="zh-CN"/>
        </w:rPr>
        <w:t>создавать новых ограничений для</w:t>
      </w:r>
      <w:r w:rsidRPr="00695A60">
        <w:rPr>
          <w:rFonts w:eastAsia="SimSun"/>
          <w:lang w:eastAsia="zh-CN"/>
        </w:rPr>
        <w:t xml:space="preserve"> применений той же службы и других служб радиосвязи в той же полосе частот и в соседних полосах,</w:t>
      </w:r>
    </w:p>
    <w:p w14:paraId="02A1323A" w14:textId="77777777" w:rsidR="00B92DE7" w:rsidRPr="00695A60" w:rsidRDefault="00B92DE7" w:rsidP="00914B96">
      <w:pPr>
        <w:pStyle w:val="Call"/>
      </w:pPr>
      <w:r w:rsidRPr="00695A60">
        <w:t>поручает Генеральному секретарю</w:t>
      </w:r>
    </w:p>
    <w:p w14:paraId="7D109E5A" w14:textId="77777777" w:rsidR="00B92DE7" w:rsidRPr="00695A60" w:rsidRDefault="00B92DE7" w:rsidP="00914B96">
      <w:r w:rsidRPr="00695A60">
        <w:t>довести настоящую Резолюцию до сведения ИКАО,</w:t>
      </w:r>
    </w:p>
    <w:p w14:paraId="3B8F32BB" w14:textId="77777777" w:rsidR="00B92DE7" w:rsidRPr="00695A60" w:rsidRDefault="00B92DE7" w:rsidP="00914B96">
      <w:pPr>
        <w:pStyle w:val="Call"/>
      </w:pPr>
      <w:r w:rsidRPr="00695A60">
        <w:t>предлагает Международной организации гражданской авиации</w:t>
      </w:r>
    </w:p>
    <w:p w14:paraId="7F99F76A" w14:textId="5667225F" w:rsidR="00B92DE7" w:rsidRPr="00695A60" w:rsidRDefault="00B92DE7" w:rsidP="00914B96">
      <w:pPr>
        <w:rPr>
          <w:szCs w:val="22"/>
        </w:rPr>
      </w:pPr>
      <w:r w:rsidRPr="00695A60">
        <w:rPr>
          <w:szCs w:val="22"/>
        </w:rPr>
        <w:t>учитывать содержание настоящей Резолюции при разработке</w:t>
      </w:r>
      <w:r w:rsidR="006F57AE" w:rsidRPr="00695A60">
        <w:rPr>
          <w:szCs w:val="22"/>
        </w:rPr>
        <w:t xml:space="preserve"> Стандартов и </w:t>
      </w:r>
      <w:r w:rsidR="00535F8D" w:rsidRPr="00695A60">
        <w:rPr>
          <w:szCs w:val="22"/>
        </w:rPr>
        <w:t>р</w:t>
      </w:r>
      <w:r w:rsidR="006F57AE" w:rsidRPr="00695A60">
        <w:rPr>
          <w:szCs w:val="22"/>
        </w:rPr>
        <w:t xml:space="preserve">екомендуемой практики </w:t>
      </w:r>
      <w:r w:rsidR="00C35CD1" w:rsidRPr="00695A60">
        <w:rPr>
          <w:szCs w:val="22"/>
        </w:rPr>
        <w:t>(SARPs)</w:t>
      </w:r>
      <w:r w:rsidRPr="00695A60">
        <w:rPr>
          <w:szCs w:val="22"/>
        </w:rPr>
        <w:t xml:space="preserve"> для систем ИКАО, которые могут использоваться суборбитальными аппаратами,</w:t>
      </w:r>
    </w:p>
    <w:p w14:paraId="50B58DC0" w14:textId="77777777" w:rsidR="00B92DE7" w:rsidRPr="00695A60" w:rsidRDefault="00B92DE7" w:rsidP="00914B96">
      <w:pPr>
        <w:pStyle w:val="Call"/>
      </w:pPr>
      <w:r w:rsidRPr="00695A60">
        <w:t>поручает Директору Бюро радиосвязи</w:t>
      </w:r>
    </w:p>
    <w:p w14:paraId="600BDC7C" w14:textId="77777777" w:rsidR="00B92DE7" w:rsidRPr="00695A60" w:rsidRDefault="00B92DE7" w:rsidP="00914B96">
      <w:r w:rsidRPr="00695A60">
        <w:rPr>
          <w:lang w:eastAsia="zh-CN"/>
        </w:rPr>
        <w:t>представлять будущим всемирным конференциям радиосвязи отчеты о любых трудностях или противоречиях, возникающих при выполнении настоящей Резолюции</w:t>
      </w:r>
      <w:r w:rsidRPr="00695A60">
        <w:rPr>
          <w:iCs/>
        </w:rPr>
        <w:t>.</w:t>
      </w:r>
    </w:p>
    <w:p w14:paraId="421663CD" w14:textId="55F02DCB" w:rsidR="009A02AF" w:rsidRPr="00695A60" w:rsidRDefault="00B92DE7">
      <w:pPr>
        <w:pStyle w:val="Reasons"/>
      </w:pPr>
      <w:r w:rsidRPr="00695A60">
        <w:rPr>
          <w:b/>
          <w:szCs w:val="22"/>
        </w:rPr>
        <w:t>Основания</w:t>
      </w:r>
      <w:r w:rsidRPr="00695A60">
        <w:rPr>
          <w:bCs/>
          <w:szCs w:val="22"/>
        </w:rPr>
        <w:t>:</w:t>
      </w:r>
      <w:r w:rsidRPr="00695A60">
        <w:rPr>
          <w:szCs w:val="22"/>
        </w:rPr>
        <w:tab/>
      </w:r>
      <w:r w:rsidR="00A42FED" w:rsidRPr="00695A60">
        <w:rPr>
          <w:szCs w:val="22"/>
        </w:rPr>
        <w:t xml:space="preserve">Эта новая Резолюция и положение пункта 3 раздела </w:t>
      </w:r>
      <w:r w:rsidR="00A42FED" w:rsidRPr="00695A60">
        <w:rPr>
          <w:i/>
          <w:iCs/>
          <w:szCs w:val="22"/>
        </w:rPr>
        <w:t>решает</w:t>
      </w:r>
      <w:r w:rsidR="00A42FED" w:rsidRPr="00695A60">
        <w:rPr>
          <w:szCs w:val="22"/>
        </w:rPr>
        <w:t xml:space="preserve"> указывают на то, что станции на борту суборбитальных аппаратов могут использовать наземные станции</w:t>
      </w:r>
      <w:r w:rsidR="00AA701B" w:rsidRPr="00695A60">
        <w:rPr>
          <w:szCs w:val="22"/>
        </w:rPr>
        <w:t xml:space="preserve"> (п. </w:t>
      </w:r>
      <w:r w:rsidR="00AA701B" w:rsidRPr="00695A60">
        <w:rPr>
          <w:b/>
          <w:bCs/>
          <w:szCs w:val="22"/>
        </w:rPr>
        <w:t>1.62</w:t>
      </w:r>
      <w:r w:rsidR="00AA701B" w:rsidRPr="00695A60">
        <w:rPr>
          <w:szCs w:val="22"/>
        </w:rPr>
        <w:t xml:space="preserve"> РР) и земны</w:t>
      </w:r>
      <w:r w:rsidR="00A42FED" w:rsidRPr="00695A60">
        <w:rPr>
          <w:szCs w:val="22"/>
        </w:rPr>
        <w:t>е</w:t>
      </w:r>
      <w:r w:rsidR="00AA701B" w:rsidRPr="00695A60">
        <w:rPr>
          <w:szCs w:val="22"/>
        </w:rPr>
        <w:t xml:space="preserve"> станции (п. </w:t>
      </w:r>
      <w:r w:rsidR="00AA701B" w:rsidRPr="00695A60">
        <w:rPr>
          <w:b/>
          <w:bCs/>
          <w:szCs w:val="22"/>
        </w:rPr>
        <w:t>1.63</w:t>
      </w:r>
      <w:r w:rsidR="00AA701B" w:rsidRPr="00695A60">
        <w:rPr>
          <w:szCs w:val="22"/>
        </w:rPr>
        <w:t xml:space="preserve"> РР)</w:t>
      </w:r>
      <w:r w:rsidR="00AA701B" w:rsidRPr="00695A60">
        <w:t xml:space="preserve"> и могут использоваться на всех этапах полета в рамках распределений соответствующей службе. Станции не должны создавать новых ограничений для применений той же службы и других служб радиосвязи, которым полосы частот распределены на первичной основе.</w:t>
      </w:r>
    </w:p>
    <w:p w14:paraId="6FFF98BF" w14:textId="77777777" w:rsidR="00B92DE7" w:rsidRPr="00695A60" w:rsidRDefault="00B92DE7" w:rsidP="00BE509E">
      <w:pPr>
        <w:pStyle w:val="ArtNo"/>
      </w:pPr>
      <w:bookmarkStart w:id="7" w:name="_Toc43466539"/>
      <w:r w:rsidRPr="00695A60">
        <w:lastRenderedPageBreak/>
        <w:t xml:space="preserve">СТАТЬЯ </w:t>
      </w:r>
      <w:r w:rsidRPr="00695A60">
        <w:rPr>
          <w:rStyle w:val="href"/>
        </w:rPr>
        <w:t>43</w:t>
      </w:r>
      <w:bookmarkEnd w:id="7"/>
    </w:p>
    <w:p w14:paraId="3B93B918" w14:textId="77777777" w:rsidR="00B92DE7" w:rsidRPr="00695A60" w:rsidRDefault="00B92DE7" w:rsidP="00FB5E69">
      <w:pPr>
        <w:pStyle w:val="Arttitle"/>
      </w:pPr>
      <w:bookmarkStart w:id="8" w:name="_Toc331607849"/>
      <w:bookmarkStart w:id="9" w:name="_Toc43466540"/>
      <w:r w:rsidRPr="00695A60">
        <w:rPr>
          <w:lang w:eastAsia="ru-RU"/>
        </w:rPr>
        <w:t>Особые правила, касающиеся использования частот</w:t>
      </w:r>
      <w:bookmarkEnd w:id="8"/>
      <w:bookmarkEnd w:id="9"/>
    </w:p>
    <w:p w14:paraId="2D30A22A" w14:textId="77777777" w:rsidR="009A02AF" w:rsidRPr="00695A60" w:rsidRDefault="00B92DE7">
      <w:pPr>
        <w:pStyle w:val="Proposal"/>
      </w:pPr>
      <w:r w:rsidRPr="00695A60">
        <w:t>ADD</w:t>
      </w:r>
      <w:r w:rsidRPr="00695A60">
        <w:tab/>
        <w:t>IAP/44A6/2</w:t>
      </w:r>
      <w:r w:rsidRPr="00695A60">
        <w:rPr>
          <w:vanish/>
          <w:color w:val="7F7F7F" w:themeColor="text1" w:themeTint="80"/>
          <w:vertAlign w:val="superscript"/>
        </w:rPr>
        <w:t>#1587</w:t>
      </w:r>
    </w:p>
    <w:p w14:paraId="3DC9F3EF" w14:textId="1AE953C0" w:rsidR="00B92DE7" w:rsidRPr="00695A60" w:rsidRDefault="00B92DE7" w:rsidP="00914B96">
      <w:r w:rsidRPr="00695A60">
        <w:rPr>
          <w:rStyle w:val="Artdef"/>
        </w:rPr>
        <w:t>43.A16</w:t>
      </w:r>
      <w:r w:rsidRPr="00695A60">
        <w:rPr>
          <w:b/>
          <w:szCs w:val="24"/>
        </w:rPr>
        <w:tab/>
      </w:r>
      <w:r w:rsidR="00AA701B" w:rsidRPr="00695A60">
        <w:rPr>
          <w:bCs/>
          <w:szCs w:val="24"/>
        </w:rPr>
        <w:t>§ 7</w:t>
      </w:r>
      <w:r w:rsidRPr="00695A60">
        <w:rPr>
          <w:b/>
        </w:rPr>
        <w:tab/>
      </w:r>
      <w:r w:rsidRPr="00695A60">
        <w:t xml:space="preserve">Работа станций на борту суборбитальных аппаратов должна осуществляться в соответствии с Резолюцией </w:t>
      </w:r>
      <w:r w:rsidR="00AA701B" w:rsidRPr="00695A60">
        <w:rPr>
          <w:b/>
          <w:bCs/>
        </w:rPr>
        <w:t>[IAP</w:t>
      </w:r>
      <w:r w:rsidR="00AA701B" w:rsidRPr="00695A60">
        <w:rPr>
          <w:b/>
          <w:bCs/>
        </w:rPr>
        <w:noBreakHyphen/>
        <w:t>A16] </w:t>
      </w:r>
      <w:r w:rsidRPr="00695A60">
        <w:rPr>
          <w:b/>
          <w:bCs/>
        </w:rPr>
        <w:t>(ВКР-23)</w:t>
      </w:r>
      <w:r w:rsidRPr="00695A60">
        <w:t>.</w:t>
      </w:r>
      <w:r w:rsidRPr="00695A60">
        <w:rPr>
          <w:sz w:val="16"/>
          <w:szCs w:val="16"/>
        </w:rPr>
        <w:t>     (ВКР-23)</w:t>
      </w:r>
    </w:p>
    <w:p w14:paraId="079FE707" w14:textId="6BC0392F" w:rsidR="009A02AF" w:rsidRPr="00695A60" w:rsidRDefault="00B92DE7">
      <w:pPr>
        <w:pStyle w:val="Reasons"/>
      </w:pPr>
      <w:r w:rsidRPr="00695A60">
        <w:rPr>
          <w:b/>
        </w:rPr>
        <w:t>Основания</w:t>
      </w:r>
      <w:r w:rsidRPr="00695A60">
        <w:rPr>
          <w:bCs/>
        </w:rPr>
        <w:t>:</w:t>
      </w:r>
      <w:r w:rsidRPr="00695A60">
        <w:tab/>
      </w:r>
      <w:r w:rsidR="00AA701B" w:rsidRPr="00695A60">
        <w:t>Добавление этого положения в Статью </w:t>
      </w:r>
      <w:r w:rsidR="00AA701B" w:rsidRPr="00695A60">
        <w:rPr>
          <w:b/>
        </w:rPr>
        <w:t>43</w:t>
      </w:r>
      <w:r w:rsidR="00AA701B" w:rsidRPr="00695A60">
        <w:t xml:space="preserve"> РР, посвященную особым правилам, касающимся использования частот, обеспечит необходимую ссылку в Регламенте радиосвязи на предлагаемую новую Резолюцию.</w:t>
      </w:r>
    </w:p>
    <w:p w14:paraId="1C6EAACC" w14:textId="77777777" w:rsidR="009A02AF" w:rsidRPr="00695A60" w:rsidRDefault="00B92DE7">
      <w:pPr>
        <w:pStyle w:val="Proposal"/>
      </w:pPr>
      <w:r w:rsidRPr="00695A60">
        <w:t>SUP</w:t>
      </w:r>
      <w:r w:rsidRPr="00695A60">
        <w:tab/>
        <w:t>IAP/44A6/3</w:t>
      </w:r>
      <w:r w:rsidRPr="00695A60">
        <w:rPr>
          <w:vanish/>
          <w:color w:val="7F7F7F" w:themeColor="text1" w:themeTint="80"/>
          <w:vertAlign w:val="superscript"/>
        </w:rPr>
        <w:t>#1589</w:t>
      </w:r>
    </w:p>
    <w:p w14:paraId="5C9B10E0" w14:textId="77777777" w:rsidR="00B92DE7" w:rsidRPr="00695A60" w:rsidRDefault="00B92DE7" w:rsidP="00914B96">
      <w:pPr>
        <w:pStyle w:val="ResNo"/>
      </w:pPr>
      <w:bookmarkStart w:id="10" w:name="_Toc35863772"/>
      <w:bookmarkStart w:id="11" w:name="_Toc35864105"/>
      <w:bookmarkStart w:id="12" w:name="_Toc36020490"/>
      <w:r w:rsidRPr="00695A60">
        <w:t xml:space="preserve">РезолюциЯ </w:t>
      </w:r>
      <w:r w:rsidRPr="00695A60">
        <w:rPr>
          <w:rStyle w:val="href"/>
        </w:rPr>
        <w:t>772</w:t>
      </w:r>
      <w:r w:rsidRPr="00695A60">
        <w:t xml:space="preserve"> (ВКР-19)</w:t>
      </w:r>
      <w:bookmarkEnd w:id="10"/>
      <w:bookmarkEnd w:id="11"/>
      <w:bookmarkEnd w:id="12"/>
    </w:p>
    <w:p w14:paraId="43E34721" w14:textId="77777777" w:rsidR="00B92DE7" w:rsidRPr="00695A60" w:rsidRDefault="00B92DE7" w:rsidP="00914B96">
      <w:pPr>
        <w:pStyle w:val="Restitle"/>
      </w:pPr>
      <w:r w:rsidRPr="00695A60">
        <w:t xml:space="preserve">Рассмотрение вопроса о регламентарных положениях, </w:t>
      </w:r>
      <w:r w:rsidRPr="00695A60">
        <w:br/>
        <w:t>содействующих внедрению суборбитальных аппаратов</w:t>
      </w:r>
    </w:p>
    <w:p w14:paraId="012C8A18" w14:textId="38FAC764" w:rsidR="009A02AF" w:rsidRPr="00695A60" w:rsidRDefault="00B92DE7">
      <w:pPr>
        <w:pStyle w:val="Reasons"/>
      </w:pPr>
      <w:r w:rsidRPr="00695A60">
        <w:rPr>
          <w:b/>
        </w:rPr>
        <w:t>Основания</w:t>
      </w:r>
      <w:r w:rsidRPr="00695A60">
        <w:rPr>
          <w:bCs/>
        </w:rPr>
        <w:t>:</w:t>
      </w:r>
      <w:r w:rsidRPr="00695A60">
        <w:tab/>
      </w:r>
      <w:r w:rsidR="00AA701B" w:rsidRPr="00695A60">
        <w:t xml:space="preserve">Исследования в отношении Резолюции </w:t>
      </w:r>
      <w:r w:rsidR="00AA701B" w:rsidRPr="00695A60">
        <w:rPr>
          <w:b/>
        </w:rPr>
        <w:t>772 (ВКР-19)</w:t>
      </w:r>
      <w:r w:rsidR="00AA701B" w:rsidRPr="00695A60">
        <w:t xml:space="preserve"> завершены, в связи с чем эту Резолюцию предлагается исключить.</w:t>
      </w:r>
    </w:p>
    <w:p w14:paraId="690CAA09" w14:textId="77777777" w:rsidR="00AA701B" w:rsidRPr="00695A60" w:rsidRDefault="00AA701B" w:rsidP="00B92DE7">
      <w:pPr>
        <w:spacing w:before="720"/>
        <w:jc w:val="center"/>
      </w:pPr>
      <w:r w:rsidRPr="00695A60">
        <w:t>______________</w:t>
      </w:r>
    </w:p>
    <w:sectPr w:rsidR="00AA701B" w:rsidRPr="00695A60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9B4D8" w14:textId="77777777" w:rsidR="00B958BD" w:rsidRDefault="00B958BD">
      <w:r>
        <w:separator/>
      </w:r>
    </w:p>
  </w:endnote>
  <w:endnote w:type="continuationSeparator" w:id="0">
    <w:p w14:paraId="247B2FFE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74C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115FB57" w14:textId="3C14F7F2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30AE8">
      <w:rPr>
        <w:noProof/>
      </w:rPr>
      <w:t>01.11.23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5817" w14:textId="56FAC107" w:rsidR="00567276" w:rsidRDefault="00C35CD1" w:rsidP="00F33B22">
    <w:pPr>
      <w:pStyle w:val="Footer"/>
    </w:pPr>
    <w:r>
      <w:fldChar w:fldCharType="begin"/>
    </w:r>
    <w:r w:rsidRPr="00C35CD1">
      <w:instrText xml:space="preserve"> FILENAME \p  \* MERGEFORMAT </w:instrText>
    </w:r>
    <w:r>
      <w:fldChar w:fldCharType="separate"/>
    </w:r>
    <w:r w:rsidRPr="00C35CD1">
      <w:t>P:\RUS\ITU-R\CONF-R\CMR23\000\044ADD06R.docx</w:t>
    </w:r>
    <w:r>
      <w:fldChar w:fldCharType="end"/>
    </w:r>
    <w:r w:rsidRPr="00C35CD1">
      <w:t xml:space="preserve"> (</w:t>
    </w:r>
    <w:r>
      <w:t>529435</w:t>
    </w:r>
    <w:r w:rsidRPr="00C35CD1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474B8" w14:textId="74DC4038" w:rsidR="00567276" w:rsidRPr="00C35CD1" w:rsidRDefault="00567276" w:rsidP="00FB67E5">
    <w:pPr>
      <w:pStyle w:val="Footer"/>
    </w:pPr>
    <w:r>
      <w:fldChar w:fldCharType="begin"/>
    </w:r>
    <w:r w:rsidRPr="00C35CD1">
      <w:instrText xml:space="preserve"> FILENAME \p  \* MERGEFORMAT </w:instrText>
    </w:r>
    <w:r>
      <w:fldChar w:fldCharType="separate"/>
    </w:r>
    <w:r w:rsidR="00C35CD1" w:rsidRPr="00C35CD1">
      <w:t>P:\RUS\ITU-R\CONF-R\CMR23\000\044ADD06R.docx</w:t>
    </w:r>
    <w:r>
      <w:fldChar w:fldCharType="end"/>
    </w:r>
    <w:r w:rsidR="00C35CD1" w:rsidRPr="00C35CD1">
      <w:t xml:space="preserve"> (</w:t>
    </w:r>
    <w:r w:rsidR="00C35CD1">
      <w:t>529435</w:t>
    </w:r>
    <w:r w:rsidR="00C35CD1" w:rsidRPr="00C35CD1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F576F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6B4F7BF4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93AB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155EDF17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44(Add.6)-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119064571">
    <w:abstractNumId w:val="0"/>
  </w:num>
  <w:num w:numId="2" w16cid:durableId="19172018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47E20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35F8D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95A60"/>
    <w:rsid w:val="006A6E9B"/>
    <w:rsid w:val="006F57AE"/>
    <w:rsid w:val="006F7B7A"/>
    <w:rsid w:val="00730AE8"/>
    <w:rsid w:val="00763F4F"/>
    <w:rsid w:val="00775720"/>
    <w:rsid w:val="007917AE"/>
    <w:rsid w:val="007A08B5"/>
    <w:rsid w:val="00811633"/>
    <w:rsid w:val="00812452"/>
    <w:rsid w:val="00815749"/>
    <w:rsid w:val="00872FC8"/>
    <w:rsid w:val="008B2597"/>
    <w:rsid w:val="008B43F2"/>
    <w:rsid w:val="008C3257"/>
    <w:rsid w:val="008C401C"/>
    <w:rsid w:val="009119CC"/>
    <w:rsid w:val="00917C0A"/>
    <w:rsid w:val="00941A02"/>
    <w:rsid w:val="00966C93"/>
    <w:rsid w:val="00987FA4"/>
    <w:rsid w:val="009A02AF"/>
    <w:rsid w:val="009B5CC2"/>
    <w:rsid w:val="009D3D63"/>
    <w:rsid w:val="009E5FC8"/>
    <w:rsid w:val="00A117A3"/>
    <w:rsid w:val="00A138D0"/>
    <w:rsid w:val="00A141AF"/>
    <w:rsid w:val="00A2044F"/>
    <w:rsid w:val="00A42FED"/>
    <w:rsid w:val="00A4600A"/>
    <w:rsid w:val="00A57C04"/>
    <w:rsid w:val="00A61057"/>
    <w:rsid w:val="00A710E7"/>
    <w:rsid w:val="00A81026"/>
    <w:rsid w:val="00A97EC0"/>
    <w:rsid w:val="00AA701B"/>
    <w:rsid w:val="00AC66E6"/>
    <w:rsid w:val="00B24E60"/>
    <w:rsid w:val="00B468A6"/>
    <w:rsid w:val="00B75113"/>
    <w:rsid w:val="00B92DE7"/>
    <w:rsid w:val="00B958BD"/>
    <w:rsid w:val="00BA0E85"/>
    <w:rsid w:val="00BA13A4"/>
    <w:rsid w:val="00BA1AA1"/>
    <w:rsid w:val="00BA35DC"/>
    <w:rsid w:val="00BC5313"/>
    <w:rsid w:val="00BD0D2F"/>
    <w:rsid w:val="00BD1129"/>
    <w:rsid w:val="00BE509E"/>
    <w:rsid w:val="00C0572C"/>
    <w:rsid w:val="00C20466"/>
    <w:rsid w:val="00C2049B"/>
    <w:rsid w:val="00C266F4"/>
    <w:rsid w:val="00C324A8"/>
    <w:rsid w:val="00C35CD1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A6987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7062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A5302E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R23-WRC23-C-0044!A6!MSW-R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8A416-64DA-413B-A998-09D65F812A1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1ABD97-E2F8-4EE0-B2C6-F0F36262AAF0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814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R23-WRC23-C-0044!A6!MSW-R</vt:lpstr>
    </vt:vector>
  </TitlesOfParts>
  <Manager>General Secretariat - Pool</Manager>
  <Company>International Telecommunication Union (ITU)</Company>
  <LinksUpToDate>false</LinksUpToDate>
  <CharactersWithSpaces>6530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R23-WRC23-C-0044!A6!MSW-R</dc:title>
  <dc:subject>World Radiocommunication Conference - 2019</dc:subject>
  <dc:creator>Documents Proposals Manager (DPM)</dc:creator>
  <cp:keywords>DPM_v2023.8.1.1_prod</cp:keywords>
  <dc:description/>
  <cp:lastModifiedBy>Sikacheva, Violetta</cp:lastModifiedBy>
  <cp:revision>6</cp:revision>
  <cp:lastPrinted>2003-06-17T08:22:00Z</cp:lastPrinted>
  <dcterms:created xsi:type="dcterms:W3CDTF">2023-10-29T20:58:00Z</dcterms:created>
  <dcterms:modified xsi:type="dcterms:W3CDTF">2023-11-01T15:13:00Z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