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CF42EF" w14:paraId="585FA710" w14:textId="77777777" w:rsidTr="00F320AA">
        <w:trPr>
          <w:cantSplit/>
        </w:trPr>
        <w:tc>
          <w:tcPr>
            <w:tcW w:w="1418" w:type="dxa"/>
            <w:vAlign w:val="center"/>
          </w:tcPr>
          <w:p w14:paraId="6B825822" w14:textId="77777777" w:rsidR="00F320AA" w:rsidRPr="00CF42EF" w:rsidRDefault="00F320AA" w:rsidP="00F320AA">
            <w:pPr>
              <w:spacing w:before="0"/>
              <w:rPr>
                <w:rFonts w:ascii="Verdana" w:hAnsi="Verdana"/>
                <w:position w:val="6"/>
              </w:rPr>
            </w:pPr>
            <w:r w:rsidRPr="00CF42EF">
              <w:drawing>
                <wp:inline distT="0" distB="0" distL="0" distR="0" wp14:anchorId="2D2ECB28" wp14:editId="7734980B">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27C03BF" w14:textId="77777777" w:rsidR="00F320AA" w:rsidRPr="00CF42EF" w:rsidRDefault="00F320AA" w:rsidP="00F320AA">
            <w:pPr>
              <w:spacing w:before="400" w:after="48" w:line="240" w:lineRule="atLeast"/>
              <w:rPr>
                <w:rFonts w:ascii="Verdana" w:hAnsi="Verdana"/>
                <w:position w:val="6"/>
              </w:rPr>
            </w:pPr>
            <w:r w:rsidRPr="00CF42EF">
              <w:rPr>
                <w:rFonts w:ascii="Verdana" w:hAnsi="Verdana" w:cs="Times"/>
                <w:b/>
                <w:position w:val="6"/>
                <w:sz w:val="22"/>
                <w:szCs w:val="22"/>
              </w:rPr>
              <w:t>World Radiocommunication Conference (WRC-23)</w:t>
            </w:r>
            <w:r w:rsidRPr="00CF42EF">
              <w:rPr>
                <w:rFonts w:ascii="Verdana" w:hAnsi="Verdana" w:cs="Times"/>
                <w:b/>
                <w:position w:val="6"/>
                <w:sz w:val="26"/>
                <w:szCs w:val="26"/>
              </w:rPr>
              <w:br/>
            </w:r>
            <w:r w:rsidRPr="00CF42EF">
              <w:rPr>
                <w:rFonts w:ascii="Verdana" w:hAnsi="Verdana"/>
                <w:b/>
                <w:bCs/>
                <w:position w:val="6"/>
                <w:sz w:val="18"/>
                <w:szCs w:val="18"/>
              </w:rPr>
              <w:t>Dubai, 20 November - 15 December 2023</w:t>
            </w:r>
          </w:p>
        </w:tc>
        <w:tc>
          <w:tcPr>
            <w:tcW w:w="1951" w:type="dxa"/>
            <w:vAlign w:val="center"/>
          </w:tcPr>
          <w:p w14:paraId="6AA85F5F" w14:textId="77777777" w:rsidR="00F320AA" w:rsidRPr="00CF42EF" w:rsidRDefault="00EB0812" w:rsidP="00F320AA">
            <w:pPr>
              <w:spacing w:before="0" w:line="240" w:lineRule="atLeast"/>
            </w:pPr>
            <w:r w:rsidRPr="00CF42EF">
              <w:drawing>
                <wp:inline distT="0" distB="0" distL="0" distR="0" wp14:anchorId="37B9C805" wp14:editId="6D3B428D">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CF42EF" w14:paraId="7705DBE5" w14:textId="77777777">
        <w:trPr>
          <w:cantSplit/>
        </w:trPr>
        <w:tc>
          <w:tcPr>
            <w:tcW w:w="6911" w:type="dxa"/>
            <w:gridSpan w:val="2"/>
            <w:tcBorders>
              <w:bottom w:val="single" w:sz="12" w:space="0" w:color="auto"/>
            </w:tcBorders>
          </w:tcPr>
          <w:p w14:paraId="689902B4" w14:textId="77777777" w:rsidR="00A066F1" w:rsidRPr="00CF42EF"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510990D3" w14:textId="77777777" w:rsidR="00A066F1" w:rsidRPr="00CF42EF" w:rsidRDefault="00A066F1" w:rsidP="00A066F1">
            <w:pPr>
              <w:spacing w:before="0" w:line="240" w:lineRule="atLeast"/>
              <w:rPr>
                <w:rFonts w:ascii="Verdana" w:hAnsi="Verdana"/>
                <w:szCs w:val="24"/>
              </w:rPr>
            </w:pPr>
          </w:p>
        </w:tc>
      </w:tr>
      <w:tr w:rsidR="00A066F1" w:rsidRPr="00CF42EF" w14:paraId="2BFE9A73" w14:textId="77777777">
        <w:trPr>
          <w:cantSplit/>
        </w:trPr>
        <w:tc>
          <w:tcPr>
            <w:tcW w:w="6911" w:type="dxa"/>
            <w:gridSpan w:val="2"/>
            <w:tcBorders>
              <w:top w:val="single" w:sz="12" w:space="0" w:color="auto"/>
            </w:tcBorders>
          </w:tcPr>
          <w:p w14:paraId="36D1D9F3" w14:textId="77777777" w:rsidR="00A066F1" w:rsidRPr="00CF42EF"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BA31F90" w14:textId="77777777" w:rsidR="00A066F1" w:rsidRPr="00CF42EF" w:rsidRDefault="00A066F1" w:rsidP="00A066F1">
            <w:pPr>
              <w:spacing w:before="0" w:line="240" w:lineRule="atLeast"/>
              <w:rPr>
                <w:rFonts w:ascii="Verdana" w:hAnsi="Verdana"/>
                <w:sz w:val="20"/>
              </w:rPr>
            </w:pPr>
          </w:p>
        </w:tc>
      </w:tr>
      <w:tr w:rsidR="00A066F1" w:rsidRPr="00CF42EF" w14:paraId="1C5F3BED" w14:textId="77777777">
        <w:trPr>
          <w:cantSplit/>
          <w:trHeight w:val="23"/>
        </w:trPr>
        <w:tc>
          <w:tcPr>
            <w:tcW w:w="6911" w:type="dxa"/>
            <w:gridSpan w:val="2"/>
            <w:shd w:val="clear" w:color="auto" w:fill="auto"/>
          </w:tcPr>
          <w:p w14:paraId="6177FE06" w14:textId="77777777" w:rsidR="00A066F1" w:rsidRPr="00CF42EF"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CF42EF">
              <w:rPr>
                <w:rFonts w:ascii="Verdana" w:hAnsi="Verdana"/>
                <w:sz w:val="20"/>
                <w:szCs w:val="20"/>
              </w:rPr>
              <w:t>PLENARY MEETING</w:t>
            </w:r>
          </w:p>
        </w:tc>
        <w:tc>
          <w:tcPr>
            <w:tcW w:w="3120" w:type="dxa"/>
            <w:gridSpan w:val="2"/>
          </w:tcPr>
          <w:p w14:paraId="53591AA0" w14:textId="77777777" w:rsidR="00A066F1" w:rsidRPr="00CF42EF" w:rsidRDefault="00E55816" w:rsidP="00AA666F">
            <w:pPr>
              <w:tabs>
                <w:tab w:val="left" w:pos="851"/>
              </w:tabs>
              <w:spacing w:before="0" w:line="240" w:lineRule="atLeast"/>
              <w:rPr>
                <w:rFonts w:ascii="Verdana" w:hAnsi="Verdana"/>
                <w:sz w:val="20"/>
              </w:rPr>
            </w:pPr>
            <w:r w:rsidRPr="00CF42EF">
              <w:rPr>
                <w:rFonts w:ascii="Verdana" w:hAnsi="Verdana"/>
                <w:b/>
                <w:sz w:val="20"/>
              </w:rPr>
              <w:t>Addendum 6 to</w:t>
            </w:r>
            <w:r w:rsidRPr="00CF42EF">
              <w:rPr>
                <w:rFonts w:ascii="Verdana" w:hAnsi="Verdana"/>
                <w:b/>
                <w:sz w:val="20"/>
              </w:rPr>
              <w:br/>
              <w:t>Document 44</w:t>
            </w:r>
            <w:r w:rsidR="00A066F1" w:rsidRPr="00CF42EF">
              <w:rPr>
                <w:rFonts w:ascii="Verdana" w:hAnsi="Verdana"/>
                <w:b/>
                <w:sz w:val="20"/>
              </w:rPr>
              <w:t>-</w:t>
            </w:r>
            <w:r w:rsidR="005E10C9" w:rsidRPr="00CF42EF">
              <w:rPr>
                <w:rFonts w:ascii="Verdana" w:hAnsi="Verdana"/>
                <w:b/>
                <w:sz w:val="20"/>
              </w:rPr>
              <w:t>E</w:t>
            </w:r>
          </w:p>
        </w:tc>
      </w:tr>
      <w:tr w:rsidR="00A066F1" w:rsidRPr="00CF42EF" w14:paraId="57559641" w14:textId="77777777">
        <w:trPr>
          <w:cantSplit/>
          <w:trHeight w:val="23"/>
        </w:trPr>
        <w:tc>
          <w:tcPr>
            <w:tcW w:w="6911" w:type="dxa"/>
            <w:gridSpan w:val="2"/>
            <w:shd w:val="clear" w:color="auto" w:fill="auto"/>
          </w:tcPr>
          <w:p w14:paraId="0C8AB7BC" w14:textId="77777777" w:rsidR="00A066F1" w:rsidRPr="00CF42EF"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40B76975" w14:textId="77777777" w:rsidR="00A066F1" w:rsidRPr="00CF42EF" w:rsidRDefault="00420873" w:rsidP="00A066F1">
            <w:pPr>
              <w:tabs>
                <w:tab w:val="left" w:pos="993"/>
              </w:tabs>
              <w:spacing w:before="0"/>
              <w:rPr>
                <w:rFonts w:ascii="Verdana" w:hAnsi="Verdana"/>
                <w:sz w:val="20"/>
              </w:rPr>
            </w:pPr>
            <w:r w:rsidRPr="00CF42EF">
              <w:rPr>
                <w:rFonts w:ascii="Verdana" w:hAnsi="Verdana"/>
                <w:b/>
                <w:sz w:val="20"/>
              </w:rPr>
              <w:t>13 October 2023</w:t>
            </w:r>
          </w:p>
        </w:tc>
      </w:tr>
      <w:tr w:rsidR="00A066F1" w:rsidRPr="00CF42EF" w14:paraId="1A6FF8AC" w14:textId="77777777">
        <w:trPr>
          <w:cantSplit/>
          <w:trHeight w:val="23"/>
        </w:trPr>
        <w:tc>
          <w:tcPr>
            <w:tcW w:w="6911" w:type="dxa"/>
            <w:gridSpan w:val="2"/>
            <w:shd w:val="clear" w:color="auto" w:fill="auto"/>
          </w:tcPr>
          <w:p w14:paraId="097212E9" w14:textId="77777777" w:rsidR="00A066F1" w:rsidRPr="00CF42EF"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784C1935" w14:textId="77777777" w:rsidR="00A066F1" w:rsidRPr="00CF42EF" w:rsidRDefault="00E55816" w:rsidP="00A066F1">
            <w:pPr>
              <w:tabs>
                <w:tab w:val="left" w:pos="993"/>
              </w:tabs>
              <w:spacing w:before="0"/>
              <w:rPr>
                <w:rFonts w:ascii="Verdana" w:hAnsi="Verdana"/>
                <w:b/>
                <w:sz w:val="20"/>
              </w:rPr>
            </w:pPr>
            <w:r w:rsidRPr="00CF42EF">
              <w:rPr>
                <w:rFonts w:ascii="Verdana" w:hAnsi="Verdana"/>
                <w:b/>
                <w:sz w:val="20"/>
              </w:rPr>
              <w:t>Original: English</w:t>
            </w:r>
          </w:p>
        </w:tc>
      </w:tr>
      <w:tr w:rsidR="00A066F1" w:rsidRPr="00CF42EF" w14:paraId="243FC3BA" w14:textId="77777777" w:rsidTr="00025864">
        <w:trPr>
          <w:cantSplit/>
          <w:trHeight w:val="23"/>
        </w:trPr>
        <w:tc>
          <w:tcPr>
            <w:tcW w:w="10031" w:type="dxa"/>
            <w:gridSpan w:val="4"/>
            <w:shd w:val="clear" w:color="auto" w:fill="auto"/>
          </w:tcPr>
          <w:p w14:paraId="54A3A00C" w14:textId="77777777" w:rsidR="00A066F1" w:rsidRPr="00CF42EF" w:rsidRDefault="00A066F1" w:rsidP="00A066F1">
            <w:pPr>
              <w:tabs>
                <w:tab w:val="left" w:pos="993"/>
              </w:tabs>
              <w:spacing w:before="0"/>
              <w:rPr>
                <w:rFonts w:ascii="Verdana" w:hAnsi="Verdana"/>
                <w:b/>
                <w:sz w:val="20"/>
              </w:rPr>
            </w:pPr>
          </w:p>
        </w:tc>
      </w:tr>
      <w:tr w:rsidR="00E55816" w:rsidRPr="00CF42EF" w14:paraId="09342B87" w14:textId="77777777" w:rsidTr="00025864">
        <w:trPr>
          <w:cantSplit/>
          <w:trHeight w:val="23"/>
        </w:trPr>
        <w:tc>
          <w:tcPr>
            <w:tcW w:w="10031" w:type="dxa"/>
            <w:gridSpan w:val="4"/>
            <w:shd w:val="clear" w:color="auto" w:fill="auto"/>
          </w:tcPr>
          <w:p w14:paraId="3D448878" w14:textId="77777777" w:rsidR="00E55816" w:rsidRPr="00CF42EF" w:rsidRDefault="00884D60" w:rsidP="00E55816">
            <w:pPr>
              <w:pStyle w:val="Source"/>
            </w:pPr>
            <w:r w:rsidRPr="00CF42EF">
              <w:t>Member States of the Inter-American Telecommunication Commission (CITEL)</w:t>
            </w:r>
          </w:p>
        </w:tc>
      </w:tr>
      <w:tr w:rsidR="00E55816" w:rsidRPr="00CF42EF" w14:paraId="2E47E029" w14:textId="77777777" w:rsidTr="00025864">
        <w:trPr>
          <w:cantSplit/>
          <w:trHeight w:val="23"/>
        </w:trPr>
        <w:tc>
          <w:tcPr>
            <w:tcW w:w="10031" w:type="dxa"/>
            <w:gridSpan w:val="4"/>
            <w:shd w:val="clear" w:color="auto" w:fill="auto"/>
          </w:tcPr>
          <w:p w14:paraId="31769BE8" w14:textId="77777777" w:rsidR="00E55816" w:rsidRPr="00CF42EF" w:rsidRDefault="007D5320" w:rsidP="00E55816">
            <w:pPr>
              <w:pStyle w:val="Title1"/>
            </w:pPr>
            <w:r w:rsidRPr="00CF42EF">
              <w:t>Proposals for the work of the conference</w:t>
            </w:r>
          </w:p>
        </w:tc>
      </w:tr>
      <w:tr w:rsidR="00E55816" w:rsidRPr="00CF42EF" w14:paraId="45E90E21" w14:textId="77777777" w:rsidTr="00025864">
        <w:trPr>
          <w:cantSplit/>
          <w:trHeight w:val="23"/>
        </w:trPr>
        <w:tc>
          <w:tcPr>
            <w:tcW w:w="10031" w:type="dxa"/>
            <w:gridSpan w:val="4"/>
            <w:shd w:val="clear" w:color="auto" w:fill="auto"/>
          </w:tcPr>
          <w:p w14:paraId="166F464F" w14:textId="77777777" w:rsidR="00E55816" w:rsidRPr="00CF42EF" w:rsidRDefault="00E55816" w:rsidP="00E55816">
            <w:pPr>
              <w:pStyle w:val="Title2"/>
            </w:pPr>
          </w:p>
        </w:tc>
      </w:tr>
      <w:tr w:rsidR="00A538A6" w:rsidRPr="00CF42EF" w14:paraId="7A22D32B" w14:textId="77777777" w:rsidTr="00025864">
        <w:trPr>
          <w:cantSplit/>
          <w:trHeight w:val="23"/>
        </w:trPr>
        <w:tc>
          <w:tcPr>
            <w:tcW w:w="10031" w:type="dxa"/>
            <w:gridSpan w:val="4"/>
            <w:shd w:val="clear" w:color="auto" w:fill="auto"/>
          </w:tcPr>
          <w:p w14:paraId="18CFE221" w14:textId="77777777" w:rsidR="00A538A6" w:rsidRPr="00CF42EF" w:rsidRDefault="004B13CB" w:rsidP="004B13CB">
            <w:pPr>
              <w:pStyle w:val="Agendaitem"/>
              <w:rPr>
                <w:lang w:val="en-GB"/>
              </w:rPr>
            </w:pPr>
            <w:r w:rsidRPr="00CF42EF">
              <w:rPr>
                <w:lang w:val="en-GB"/>
              </w:rPr>
              <w:t>Agenda item 1.6</w:t>
            </w:r>
          </w:p>
        </w:tc>
      </w:tr>
    </w:tbl>
    <w:bookmarkEnd w:id="4"/>
    <w:bookmarkEnd w:id="5"/>
    <w:p w14:paraId="250C07E4" w14:textId="6D06DDC9" w:rsidR="00187BD9" w:rsidRPr="00CF42EF" w:rsidRDefault="00221699" w:rsidP="005B2EE2">
      <w:r w:rsidRPr="00CF42EF">
        <w:t>1.6</w:t>
      </w:r>
      <w:r w:rsidRPr="00CF42EF">
        <w:tab/>
        <w:t>to consider, in accordance with Resolution</w:t>
      </w:r>
      <w:r w:rsidR="00AB4887" w:rsidRPr="00CF42EF">
        <w:rPr>
          <w:b/>
          <w:bCs/>
        </w:rPr>
        <w:t> </w:t>
      </w:r>
      <w:r w:rsidRPr="00CF42EF">
        <w:rPr>
          <w:b/>
          <w:bCs/>
        </w:rPr>
        <w:t>772 (WRC</w:t>
      </w:r>
      <w:r w:rsidR="002D78F8" w:rsidRPr="00CF42EF">
        <w:rPr>
          <w:b/>
          <w:bCs/>
        </w:rPr>
        <w:noBreakHyphen/>
      </w:r>
      <w:r w:rsidRPr="00CF42EF">
        <w:rPr>
          <w:b/>
          <w:bCs/>
        </w:rPr>
        <w:t>19)</w:t>
      </w:r>
      <w:r w:rsidRPr="00CF42EF">
        <w:t>, regulatory provisions to facilitate radiocommunications for sub-orbital vehicles;</w:t>
      </w:r>
    </w:p>
    <w:p w14:paraId="599785A0" w14:textId="77777777" w:rsidR="00241FA2" w:rsidRPr="00CF42EF" w:rsidRDefault="00241FA2" w:rsidP="00EB54B2"/>
    <w:p w14:paraId="689271E8" w14:textId="691F4FB2" w:rsidR="000569ED" w:rsidRPr="00CF42EF" w:rsidRDefault="000569ED" w:rsidP="000569ED">
      <w:pPr>
        <w:pStyle w:val="Headingb"/>
        <w:rPr>
          <w:lang w:val="en-GB"/>
        </w:rPr>
      </w:pPr>
      <w:r w:rsidRPr="00CF42EF">
        <w:rPr>
          <w:lang w:val="en-GB"/>
        </w:rPr>
        <w:t>Proposals</w:t>
      </w:r>
    </w:p>
    <w:p w14:paraId="24CF3AE4" w14:textId="77777777" w:rsidR="00C50928" w:rsidRPr="00CF42EF" w:rsidRDefault="00C50928">
      <w:pPr>
        <w:tabs>
          <w:tab w:val="clear" w:pos="1134"/>
          <w:tab w:val="clear" w:pos="1871"/>
          <w:tab w:val="clear" w:pos="2268"/>
        </w:tabs>
        <w:overflowPunct/>
        <w:autoSpaceDE/>
        <w:autoSpaceDN/>
        <w:adjustRightInd/>
        <w:spacing w:before="0"/>
        <w:textAlignment w:val="auto"/>
        <w:rPr>
          <w:rFonts w:hAnsi="Times New Roman Bold"/>
          <w:b/>
        </w:rPr>
      </w:pPr>
      <w:r w:rsidRPr="00CF42EF">
        <w:br w:type="page"/>
      </w:r>
    </w:p>
    <w:p w14:paraId="619F2BC9" w14:textId="4487B248" w:rsidR="0032539A" w:rsidRPr="00CF42EF" w:rsidRDefault="00221699">
      <w:pPr>
        <w:pStyle w:val="Proposal"/>
      </w:pPr>
      <w:r w:rsidRPr="00CF42EF">
        <w:lastRenderedPageBreak/>
        <w:t>ADD</w:t>
      </w:r>
      <w:r w:rsidRPr="00CF42EF">
        <w:tab/>
        <w:t>IAP/44A6/1</w:t>
      </w:r>
      <w:r w:rsidRPr="00CF42EF">
        <w:rPr>
          <w:vanish/>
          <w:color w:val="7F7F7F" w:themeColor="text1" w:themeTint="80"/>
          <w:vertAlign w:val="superscript"/>
        </w:rPr>
        <w:t>#1588</w:t>
      </w:r>
    </w:p>
    <w:p w14:paraId="325FA6C5" w14:textId="6E588791" w:rsidR="00221699" w:rsidRPr="00CF42EF" w:rsidRDefault="00221699" w:rsidP="00391DF2">
      <w:pPr>
        <w:pStyle w:val="ResNo"/>
      </w:pPr>
      <w:r w:rsidRPr="00CF42EF">
        <w:t xml:space="preserve">DRAFT NEW RESOLUTION </w:t>
      </w:r>
      <w:r w:rsidRPr="00CF42EF">
        <w:rPr>
          <w:rStyle w:val="href"/>
        </w:rPr>
        <w:t>[</w:t>
      </w:r>
      <w:r w:rsidR="0056333E" w:rsidRPr="00CF42EF">
        <w:t>IAP-</w:t>
      </w:r>
      <w:r w:rsidR="0056333E" w:rsidRPr="00CF42EF">
        <w:rPr>
          <w:rStyle w:val="href"/>
        </w:rPr>
        <w:t>A16</w:t>
      </w:r>
      <w:r w:rsidRPr="00CF42EF">
        <w:rPr>
          <w:rStyle w:val="href"/>
        </w:rPr>
        <w:t>]</w:t>
      </w:r>
      <w:r w:rsidRPr="00CF42EF">
        <w:t xml:space="preserve"> (WRC</w:t>
      </w:r>
      <w:r w:rsidRPr="00CF42EF">
        <w:noBreakHyphen/>
        <w:t>23)</w:t>
      </w:r>
    </w:p>
    <w:p w14:paraId="1A8DAADC" w14:textId="0C63D89D" w:rsidR="00221699" w:rsidRPr="00CF42EF" w:rsidRDefault="00FF0F3B" w:rsidP="0035242D">
      <w:pPr>
        <w:pStyle w:val="Restitle"/>
      </w:pPr>
      <w:r w:rsidRPr="00CF42EF">
        <w:t>Regulatory provisions for the operation of radiocommunications</w:t>
      </w:r>
      <w:r w:rsidR="00221699" w:rsidRPr="00CF42EF">
        <w:t xml:space="preserve"> </w:t>
      </w:r>
      <w:r w:rsidR="00221699" w:rsidRPr="00CF42EF">
        <w:br/>
      </w:r>
      <w:r w:rsidR="0035242D" w:rsidRPr="00CF42EF">
        <w:t>on sub-orbital vehicles</w:t>
      </w:r>
    </w:p>
    <w:p w14:paraId="51B56991" w14:textId="77777777" w:rsidR="005D7046" w:rsidRPr="00CF42EF" w:rsidRDefault="005D7046" w:rsidP="005D7046">
      <w:pPr>
        <w:pStyle w:val="Normalaftertitle"/>
      </w:pPr>
      <w:r w:rsidRPr="00CF42EF">
        <w:t xml:space="preserve">The World Radiocommunication Conference (Dubai, 2023), </w:t>
      </w:r>
    </w:p>
    <w:p w14:paraId="379FC820" w14:textId="77777777" w:rsidR="005D7046" w:rsidRPr="00CF42EF" w:rsidRDefault="005D7046" w:rsidP="005D7046">
      <w:pPr>
        <w:pStyle w:val="Call"/>
      </w:pPr>
      <w:r w:rsidRPr="00CF42EF">
        <w:t>considering</w:t>
      </w:r>
    </w:p>
    <w:p w14:paraId="07CD5569" w14:textId="77777777" w:rsidR="005D7046" w:rsidRPr="00CF42EF" w:rsidRDefault="005D7046" w:rsidP="005D7046">
      <w:r w:rsidRPr="00CF42EF">
        <w:rPr>
          <w:i/>
          <w:iCs/>
        </w:rPr>
        <w:t>a)</w:t>
      </w:r>
      <w:r w:rsidRPr="00CF42EF">
        <w:tab/>
        <w:t>that sub-orbital vehicles operate at higher altitudes than conventional aircraft;</w:t>
      </w:r>
    </w:p>
    <w:p w14:paraId="6B525231" w14:textId="77777777" w:rsidR="005D7046" w:rsidRPr="00CF42EF" w:rsidRDefault="005D7046" w:rsidP="005D7046">
      <w:r w:rsidRPr="00CF42EF">
        <w:rPr>
          <w:i/>
          <w:iCs/>
        </w:rPr>
        <w:t>b)</w:t>
      </w:r>
      <w:r w:rsidRPr="00CF42EF">
        <w:tab/>
        <w:t>that sub-orbital vehicles operate through the lower levels of the atmosphere, where some may operate in the same airspace as conventional aircraft;</w:t>
      </w:r>
    </w:p>
    <w:p w14:paraId="502812B8" w14:textId="01FAD0C1" w:rsidR="005D7046" w:rsidRPr="00CF42EF" w:rsidRDefault="005D7046" w:rsidP="005D7046">
      <w:r w:rsidRPr="00CF42EF">
        <w:rPr>
          <w:i/>
          <w:iCs/>
        </w:rPr>
        <w:t>c)</w:t>
      </w:r>
      <w:r w:rsidRPr="00CF42EF">
        <w:tab/>
        <w:t>that sub-orbital vehicles may perform various missions such as conducting scientific research or providing transportation;</w:t>
      </w:r>
    </w:p>
    <w:p w14:paraId="2C62EC7E" w14:textId="0597A6A6" w:rsidR="005D7046" w:rsidRPr="00CF42EF" w:rsidRDefault="005D7046" w:rsidP="005D7046">
      <w:r w:rsidRPr="00CF42EF">
        <w:rPr>
          <w:i/>
          <w:iCs/>
        </w:rPr>
        <w:t>d)</w:t>
      </w:r>
      <w:r w:rsidRPr="00CF42EF">
        <w:tab/>
        <w:t xml:space="preserve">that stations on board sub-orbital vehicles are expected to provide all or some of the following </w:t>
      </w:r>
      <w:r w:rsidR="00B711ED" w:rsidRPr="00CF42EF">
        <w:t xml:space="preserve">applications: </w:t>
      </w:r>
      <w:r w:rsidRPr="00CF42EF">
        <w:t>voice/data communications, navigation, surveillance, and telemetry, tracking and command (TT&amp;C);</w:t>
      </w:r>
    </w:p>
    <w:p w14:paraId="6A177AD5" w14:textId="0E271BD0" w:rsidR="005D7046" w:rsidRPr="00CF42EF" w:rsidRDefault="005D7046" w:rsidP="005D7046">
      <w:r w:rsidRPr="00CF42EF">
        <w:rPr>
          <w:i/>
          <w:iCs/>
        </w:rPr>
        <w:t>e)</w:t>
      </w:r>
      <w:r w:rsidRPr="00CF42EF">
        <w:tab/>
        <w:t>that sub-orbital vehicles must be safely integrated into airspace used by conventional aircraft;</w:t>
      </w:r>
    </w:p>
    <w:p w14:paraId="21D02E26" w14:textId="77777777" w:rsidR="005D7046" w:rsidRPr="00CF42EF" w:rsidRDefault="005D7046" w:rsidP="005D7046">
      <w:r w:rsidRPr="00CF42EF">
        <w:rPr>
          <w:i/>
          <w:iCs/>
        </w:rPr>
        <w:t>f)</w:t>
      </w:r>
      <w:r w:rsidRPr="00CF42EF">
        <w:tab/>
        <w:t>that some stations on board sub-orbital vehicles may need to communicate with air traffic management systems and relevant ground control facilities,</w:t>
      </w:r>
    </w:p>
    <w:p w14:paraId="4A872971" w14:textId="77777777" w:rsidR="005D7046" w:rsidRPr="00CF42EF" w:rsidRDefault="005D7046" w:rsidP="005D7046">
      <w:pPr>
        <w:pStyle w:val="Call"/>
      </w:pPr>
      <w:r w:rsidRPr="00CF42EF">
        <w:t>noting</w:t>
      </w:r>
    </w:p>
    <w:p w14:paraId="3E4DB263" w14:textId="712EC9E8" w:rsidR="005D7046" w:rsidRPr="00CF42EF" w:rsidRDefault="005D7046" w:rsidP="009051DE">
      <w:r w:rsidRPr="00CF42EF">
        <w:rPr>
          <w:i/>
          <w:iCs/>
        </w:rPr>
        <w:t>a)</w:t>
      </w:r>
      <w:r w:rsidRPr="00CF42EF">
        <w:tab/>
        <w:t>that Report ITU</w:t>
      </w:r>
      <w:r w:rsidR="009051DE" w:rsidRPr="00CF42EF">
        <w:noBreakHyphen/>
      </w:r>
      <w:r w:rsidRPr="00CF42EF">
        <w:t>R</w:t>
      </w:r>
      <w:r w:rsidR="009051DE" w:rsidRPr="00CF42EF">
        <w:t> </w:t>
      </w:r>
      <w:r w:rsidRPr="00CF42EF">
        <w:t>M.2477 provides information on radiocommunications for sub-orbital vehicles, including a description of the flight trajectory, categories of sub-orbital vehicles, technical studies related to possible avionics systems used by sub-orbital vehicles, and service allocations of those systems;</w:t>
      </w:r>
    </w:p>
    <w:p w14:paraId="45C14DBE" w14:textId="727BA2BD" w:rsidR="005D7046" w:rsidRPr="00CF42EF" w:rsidRDefault="005D7046" w:rsidP="005D7046">
      <w:r w:rsidRPr="00CF42EF">
        <w:rPr>
          <w:i/>
          <w:iCs/>
        </w:rPr>
        <w:t>b)</w:t>
      </w:r>
      <w:r w:rsidRPr="00CF42EF">
        <w:tab/>
        <w:t>that the provisions of No.</w:t>
      </w:r>
      <w:r w:rsidR="009051DE" w:rsidRPr="00CF42EF">
        <w:t> </w:t>
      </w:r>
      <w:r w:rsidRPr="00CF42EF">
        <w:rPr>
          <w:rStyle w:val="Artref"/>
          <w:b/>
          <w:bCs/>
        </w:rPr>
        <w:t>4.10</w:t>
      </w:r>
      <w:r w:rsidRPr="00CF42EF">
        <w:t xml:space="preserve"> may apply to certain operations of sub-orbital vehicles;</w:t>
      </w:r>
    </w:p>
    <w:p w14:paraId="23D03A55" w14:textId="77777777" w:rsidR="005D7046" w:rsidRPr="00CF42EF" w:rsidRDefault="005D7046" w:rsidP="005D7046">
      <w:r w:rsidRPr="00CF42EF">
        <w:rPr>
          <w:i/>
          <w:iCs/>
        </w:rPr>
        <w:t>c)</w:t>
      </w:r>
      <w:r w:rsidRPr="00CF42EF">
        <w:tab/>
        <w:t>that the development of conditions of coexistence between International Civil Aviation Organization (ICAO) standardized aeronautical systems is the responsibility of ICAO;</w:t>
      </w:r>
    </w:p>
    <w:p w14:paraId="065A8D39" w14:textId="77777777" w:rsidR="005D7046" w:rsidRPr="00CF42EF" w:rsidRDefault="005D7046" w:rsidP="005D7046">
      <w:r w:rsidRPr="00CF42EF">
        <w:rPr>
          <w:i/>
          <w:iCs/>
        </w:rPr>
        <w:t>d)</w:t>
      </w:r>
      <w:r w:rsidRPr="00CF42EF">
        <w:tab/>
        <w:t>that ICAO develops, in some cases, Standards and Recommended Practices (SARPs) to address the coexistence between ICAO aeronautical applications;</w:t>
      </w:r>
    </w:p>
    <w:p w14:paraId="5AE87BFA" w14:textId="75A0AF9E" w:rsidR="005D7046" w:rsidRPr="00CF42EF" w:rsidRDefault="005D7046" w:rsidP="005D7046">
      <w:r w:rsidRPr="00CF42EF">
        <w:rPr>
          <w:i/>
          <w:iCs/>
        </w:rPr>
        <w:t>e)</w:t>
      </w:r>
      <w:r w:rsidRPr="00CF42EF">
        <w:tab/>
        <w:t>that Report ITU</w:t>
      </w:r>
      <w:r w:rsidR="009051DE" w:rsidRPr="00CF42EF">
        <w:noBreakHyphen/>
      </w:r>
      <w:r w:rsidRPr="00CF42EF">
        <w:t>R</w:t>
      </w:r>
      <w:r w:rsidR="009051DE" w:rsidRPr="00CF42EF">
        <w:t> </w:t>
      </w:r>
      <w:r w:rsidRPr="00CF42EF">
        <w:t xml:space="preserve">M.2477 describes sub-orbital flight as an intentional flight of a vehicle expected to reach the upper atmosphere with a portion of its flight path that may occur in space without completing a full orbit around the Earth before </w:t>
      </w:r>
      <w:proofErr w:type="gramStart"/>
      <w:r w:rsidRPr="00CF42EF">
        <w:t>returning back</w:t>
      </w:r>
      <w:proofErr w:type="gramEnd"/>
      <w:r w:rsidRPr="00CF42EF">
        <w:t xml:space="preserve"> to the surface of the Earth;</w:t>
      </w:r>
    </w:p>
    <w:p w14:paraId="23E90F79" w14:textId="4EE12573" w:rsidR="005D7046" w:rsidRPr="00CF42EF" w:rsidRDefault="005D7046" w:rsidP="005D7046">
      <w:r w:rsidRPr="00CF42EF">
        <w:rPr>
          <w:i/>
          <w:iCs/>
        </w:rPr>
        <w:t>f)</w:t>
      </w:r>
      <w:r w:rsidRPr="00CF42EF">
        <w:tab/>
        <w:t>that Report ITU</w:t>
      </w:r>
      <w:r w:rsidR="009051DE" w:rsidRPr="00CF42EF">
        <w:noBreakHyphen/>
      </w:r>
      <w:r w:rsidRPr="00CF42EF">
        <w:t>R</w:t>
      </w:r>
      <w:r w:rsidR="009051DE" w:rsidRPr="00CF42EF">
        <w:t> </w:t>
      </w:r>
      <w:r w:rsidRPr="00CF42EF">
        <w:t>M.2477 describes a sub-orbital vehicle as a vehicle executing sub orbital flight,</w:t>
      </w:r>
    </w:p>
    <w:p w14:paraId="3F034CC7" w14:textId="77777777" w:rsidR="005D7046" w:rsidRPr="00CF42EF" w:rsidRDefault="005D7046" w:rsidP="005D7046">
      <w:pPr>
        <w:pStyle w:val="Call"/>
      </w:pPr>
      <w:r w:rsidRPr="00CF42EF">
        <w:t>recognizing</w:t>
      </w:r>
    </w:p>
    <w:p w14:paraId="7CA5547E" w14:textId="77777777" w:rsidR="005D7046" w:rsidRPr="00CF42EF" w:rsidRDefault="005D7046" w:rsidP="005D7046">
      <w:r w:rsidRPr="00CF42EF">
        <w:rPr>
          <w:i/>
          <w:iCs/>
        </w:rPr>
        <w:t>a)</w:t>
      </w:r>
      <w:r w:rsidRPr="00CF42EF">
        <w:tab/>
        <w:t>that there is no internationally agreed legal demarcation between the Earth’s atmosphere and the space domain, nor between the sovereign airspace and outer space;</w:t>
      </w:r>
    </w:p>
    <w:p w14:paraId="6DA75CAF" w14:textId="2E164F45" w:rsidR="005D7046" w:rsidRPr="00CF42EF" w:rsidRDefault="005D7046" w:rsidP="005D7046">
      <w:r w:rsidRPr="00CF42EF">
        <w:rPr>
          <w:i/>
          <w:iCs/>
        </w:rPr>
        <w:lastRenderedPageBreak/>
        <w:t>b)</w:t>
      </w:r>
      <w:r w:rsidRPr="00CF42EF">
        <w:tab/>
        <w:t>that Annex</w:t>
      </w:r>
      <w:r w:rsidR="009051DE" w:rsidRPr="00CF42EF">
        <w:t> </w:t>
      </w:r>
      <w:r w:rsidRPr="00CF42EF">
        <w:t>10 to the Convention on International Civil Aviation contains Standards and Recommended Practices (SARPs) for aeronautical radionavigation and radiocommunication systems used by international civil aviation;</w:t>
      </w:r>
    </w:p>
    <w:p w14:paraId="489B899A" w14:textId="77777777" w:rsidR="005D7046" w:rsidRPr="00CF42EF" w:rsidRDefault="005D7046" w:rsidP="005D7046">
      <w:r w:rsidRPr="00CF42EF">
        <w:rPr>
          <w:i/>
          <w:iCs/>
        </w:rPr>
        <w:t>c)</w:t>
      </w:r>
      <w:r w:rsidRPr="00CF42EF">
        <w:tab/>
        <w:t>that, due to the increase of Doppler shift, emissions from stations on board sub-orbital vehicles may impact services operating in the same and adjacent or nearby frequency bands;</w:t>
      </w:r>
    </w:p>
    <w:p w14:paraId="11FAC5AB" w14:textId="77777777" w:rsidR="005D7046" w:rsidRPr="00CF42EF" w:rsidRDefault="005D7046" w:rsidP="005D7046">
      <w:r w:rsidRPr="00CF42EF">
        <w:rPr>
          <w:i/>
          <w:iCs/>
        </w:rPr>
        <w:t>d)</w:t>
      </w:r>
      <w:r w:rsidRPr="00CF42EF">
        <w:tab/>
        <w:t>that, due to the higher altitude of sub-orbital vehicles compared to conventional aircraft, emissions from stations on board sub-orbital vehicles may have a radiocommunication impact on larger areas involving additional territories and/or on space stations;</w:t>
      </w:r>
    </w:p>
    <w:p w14:paraId="5C7DFA1A" w14:textId="77777777" w:rsidR="005D7046" w:rsidRPr="00CF42EF" w:rsidRDefault="005D7046" w:rsidP="005D7046">
      <w:r w:rsidRPr="00CF42EF">
        <w:rPr>
          <w:i/>
          <w:iCs/>
        </w:rPr>
        <w:t>e)</w:t>
      </w:r>
      <w:r w:rsidRPr="00CF42EF">
        <w:tab/>
        <w:t>that some space launch systems may have space stations that already operate as part of existing space operation service allocations;</w:t>
      </w:r>
    </w:p>
    <w:p w14:paraId="67F08E23" w14:textId="77777777" w:rsidR="005D7046" w:rsidRPr="00CF42EF" w:rsidRDefault="005D7046" w:rsidP="005D7046">
      <w:r w:rsidRPr="00CF42EF">
        <w:rPr>
          <w:i/>
          <w:iCs/>
        </w:rPr>
        <w:t>f)</w:t>
      </w:r>
      <w:r w:rsidRPr="00CF42EF">
        <w:tab/>
        <w:t>that stations on board sub-orbital vehicles may use systems operating under space or terrestrial radiocommunication services;</w:t>
      </w:r>
    </w:p>
    <w:p w14:paraId="1289B4A0" w14:textId="77777777" w:rsidR="005D7046" w:rsidRPr="00CF42EF" w:rsidRDefault="005D7046" w:rsidP="005D7046">
      <w:r w:rsidRPr="00CF42EF">
        <w:rPr>
          <w:i/>
          <w:iCs/>
        </w:rPr>
        <w:t>g)</w:t>
      </w:r>
      <w:r w:rsidRPr="00CF42EF">
        <w:tab/>
        <w:t xml:space="preserve">that some sub-orbital vehicles could reach altitudes for a brief </w:t>
      </w:r>
      <w:proofErr w:type="gramStart"/>
      <w:r w:rsidRPr="00CF42EF">
        <w:t>period of time</w:t>
      </w:r>
      <w:proofErr w:type="gramEnd"/>
      <w:r w:rsidRPr="00CF42EF">
        <w:t xml:space="preserve"> in space without sufficient energy to sustain its orbit,</w:t>
      </w:r>
    </w:p>
    <w:p w14:paraId="47E324C8" w14:textId="77777777" w:rsidR="005D7046" w:rsidRPr="00CF42EF" w:rsidRDefault="005D7046" w:rsidP="005D7046">
      <w:pPr>
        <w:pStyle w:val="Call"/>
      </w:pPr>
      <w:r w:rsidRPr="00CF42EF">
        <w:t>resolves</w:t>
      </w:r>
    </w:p>
    <w:p w14:paraId="7006F182" w14:textId="7B81F93C" w:rsidR="005D7046" w:rsidRPr="00CF42EF" w:rsidRDefault="005D7046" w:rsidP="005D7046">
      <w:r w:rsidRPr="00CF42EF">
        <w:t>1</w:t>
      </w:r>
      <w:r w:rsidRPr="00CF42EF">
        <w:tab/>
        <w:t>that sub-orbital vehicles may use terrestrial stations (No.</w:t>
      </w:r>
      <w:r w:rsidR="009051DE" w:rsidRPr="00CF42EF">
        <w:t> </w:t>
      </w:r>
      <w:r w:rsidRPr="00CF42EF">
        <w:rPr>
          <w:rStyle w:val="Artref"/>
          <w:b/>
          <w:bCs/>
        </w:rPr>
        <w:t>1.62</w:t>
      </w:r>
      <w:r w:rsidRPr="00CF42EF">
        <w:t>) and earth stations (No.</w:t>
      </w:r>
      <w:r w:rsidR="001B403E" w:rsidRPr="00CF42EF">
        <w:t> </w:t>
      </w:r>
      <w:r w:rsidRPr="00CF42EF">
        <w:rPr>
          <w:rStyle w:val="Artref"/>
          <w:b/>
          <w:bCs/>
        </w:rPr>
        <w:t>1.63</w:t>
      </w:r>
      <w:r w:rsidRPr="00CF42EF">
        <w:t>) during all phases of flight;</w:t>
      </w:r>
    </w:p>
    <w:p w14:paraId="556BF4CC" w14:textId="775215DF" w:rsidR="005D7046" w:rsidRPr="00CF42EF" w:rsidRDefault="005D7046" w:rsidP="005D7046">
      <w:r w:rsidRPr="00CF42EF">
        <w:t>2</w:t>
      </w:r>
      <w:r w:rsidRPr="00CF42EF">
        <w:tab/>
        <w:t xml:space="preserve">that terrestrial stations and earth stations on board sub-orbital vehicles referred to in </w:t>
      </w:r>
      <w:r w:rsidRPr="00CF42EF">
        <w:rPr>
          <w:i/>
          <w:iCs/>
        </w:rPr>
        <w:t>resolves</w:t>
      </w:r>
      <w:r w:rsidR="00C50928" w:rsidRPr="00CF42EF">
        <w:t> </w:t>
      </w:r>
      <w:r w:rsidRPr="00CF42EF">
        <w:t>1 shall maintain their station class unchanged;</w:t>
      </w:r>
    </w:p>
    <w:p w14:paraId="299B1798" w14:textId="6BBC2C04" w:rsidR="005D7046" w:rsidRPr="00CF42EF" w:rsidRDefault="005D7046" w:rsidP="005D7046">
      <w:r w:rsidRPr="00CF42EF">
        <w:t>3</w:t>
      </w:r>
      <w:r w:rsidRPr="00CF42EF">
        <w:tab/>
        <w:t xml:space="preserve">that the stations on board sub-orbital vehicles referred to in </w:t>
      </w:r>
      <w:r w:rsidRPr="00CF42EF">
        <w:rPr>
          <w:i/>
          <w:iCs/>
        </w:rPr>
        <w:t>resolves</w:t>
      </w:r>
      <w:r w:rsidR="009051DE" w:rsidRPr="00CF42EF">
        <w:t> </w:t>
      </w:r>
      <w:r w:rsidRPr="00CF42EF">
        <w:t>1 shall not create new constraints on the applications of the same service and on other radiocommunication services in the same and adjacent frequency bands,</w:t>
      </w:r>
    </w:p>
    <w:p w14:paraId="3DE4E1C2" w14:textId="77777777" w:rsidR="005D7046" w:rsidRPr="00CF42EF" w:rsidRDefault="005D7046" w:rsidP="005D7046">
      <w:pPr>
        <w:pStyle w:val="Call"/>
      </w:pPr>
      <w:r w:rsidRPr="00CF42EF">
        <w:t>instructs the Secretary-General</w:t>
      </w:r>
    </w:p>
    <w:p w14:paraId="10B5AA85" w14:textId="77777777" w:rsidR="005D7046" w:rsidRPr="00CF42EF" w:rsidRDefault="005D7046" w:rsidP="005D7046">
      <w:r w:rsidRPr="00CF42EF">
        <w:t>to bring this Resolution to the attention of ICAO,</w:t>
      </w:r>
    </w:p>
    <w:p w14:paraId="245B5808" w14:textId="77777777" w:rsidR="005D7046" w:rsidRPr="00CF42EF" w:rsidRDefault="005D7046" w:rsidP="005D7046">
      <w:pPr>
        <w:pStyle w:val="Call"/>
      </w:pPr>
      <w:r w:rsidRPr="00CF42EF">
        <w:t>invites the International Civil Aviation Organization</w:t>
      </w:r>
    </w:p>
    <w:p w14:paraId="5F4CE8B8" w14:textId="77777777" w:rsidR="005D7046" w:rsidRPr="00CF42EF" w:rsidRDefault="005D7046" w:rsidP="005D7046">
      <w:r w:rsidRPr="00CF42EF">
        <w:t xml:space="preserve">to </w:t>
      </w:r>
      <w:proofErr w:type="gramStart"/>
      <w:r w:rsidRPr="00CF42EF">
        <w:t>take into account</w:t>
      </w:r>
      <w:proofErr w:type="gramEnd"/>
      <w:r w:rsidRPr="00CF42EF">
        <w:t xml:space="preserve"> this Resolution in the course of developing standards and recommended practices (SARPs) for ICAO systems that may be used by sub-orbital vehicles,</w:t>
      </w:r>
    </w:p>
    <w:p w14:paraId="2488D56E" w14:textId="77777777" w:rsidR="005D7046" w:rsidRPr="00CF42EF" w:rsidRDefault="005D7046" w:rsidP="005D7046">
      <w:pPr>
        <w:pStyle w:val="Call"/>
      </w:pPr>
      <w:r w:rsidRPr="00CF42EF">
        <w:t>instructs the Director of the Radiocommunication Bureau</w:t>
      </w:r>
    </w:p>
    <w:p w14:paraId="307096BB" w14:textId="77777777" w:rsidR="005D7046" w:rsidRPr="00CF42EF" w:rsidRDefault="005D7046" w:rsidP="005D7046">
      <w:r w:rsidRPr="00CF42EF">
        <w:t>to report to future world radiocommunication conferences any difficulties or inconsistencies encountered in the implementation of this Resolution.</w:t>
      </w:r>
    </w:p>
    <w:p w14:paraId="1BBD246F" w14:textId="50694A6D" w:rsidR="0032539A" w:rsidRPr="00CF42EF" w:rsidRDefault="00221699">
      <w:pPr>
        <w:pStyle w:val="Reasons"/>
      </w:pPr>
      <w:r w:rsidRPr="00CF42EF">
        <w:rPr>
          <w:b/>
        </w:rPr>
        <w:t>Reasons:</w:t>
      </w:r>
      <w:r w:rsidRPr="00CF42EF">
        <w:tab/>
      </w:r>
      <w:r w:rsidR="00B130F1" w:rsidRPr="00CF42EF">
        <w:rPr>
          <w:szCs w:val="24"/>
        </w:rPr>
        <w:t xml:space="preserve">This </w:t>
      </w:r>
      <w:r w:rsidR="00B130F1" w:rsidRPr="00CF42EF">
        <w:t xml:space="preserve">new Resolution and the </w:t>
      </w:r>
      <w:r w:rsidR="00B130F1" w:rsidRPr="00CF42EF">
        <w:rPr>
          <w:szCs w:val="24"/>
        </w:rPr>
        <w:t xml:space="preserve">action </w:t>
      </w:r>
      <w:r w:rsidR="00B130F1" w:rsidRPr="00CF42EF">
        <w:t xml:space="preserve">in </w:t>
      </w:r>
      <w:r w:rsidR="00B130F1" w:rsidRPr="00CF42EF">
        <w:rPr>
          <w:i/>
          <w:iCs/>
        </w:rPr>
        <w:t>resolves</w:t>
      </w:r>
      <w:r w:rsidR="009051DE" w:rsidRPr="00CF42EF">
        <w:t> </w:t>
      </w:r>
      <w:r w:rsidR="00B130F1" w:rsidRPr="00CF42EF">
        <w:t xml:space="preserve">3 </w:t>
      </w:r>
      <w:r w:rsidR="00B130F1" w:rsidRPr="00CF42EF">
        <w:rPr>
          <w:szCs w:val="24"/>
        </w:rPr>
        <w:t>will clarify that stations on board sub-orbital vehicles may use terrestrial stations (RR No.</w:t>
      </w:r>
      <w:r w:rsidR="009051DE" w:rsidRPr="00CF42EF">
        <w:rPr>
          <w:szCs w:val="24"/>
        </w:rPr>
        <w:t> </w:t>
      </w:r>
      <w:r w:rsidR="00B130F1" w:rsidRPr="00CF42EF">
        <w:rPr>
          <w:b/>
          <w:bCs/>
          <w:szCs w:val="24"/>
        </w:rPr>
        <w:t>1.62</w:t>
      </w:r>
      <w:r w:rsidR="00B130F1" w:rsidRPr="00CF42EF">
        <w:rPr>
          <w:szCs w:val="24"/>
        </w:rPr>
        <w:t>) and earth stations (RR No.</w:t>
      </w:r>
      <w:r w:rsidR="00AE5DEA" w:rsidRPr="00CF42EF">
        <w:rPr>
          <w:szCs w:val="24"/>
        </w:rPr>
        <w:t> </w:t>
      </w:r>
      <w:r w:rsidR="00B130F1" w:rsidRPr="00CF42EF">
        <w:rPr>
          <w:b/>
          <w:bCs/>
          <w:szCs w:val="24"/>
        </w:rPr>
        <w:t>1.63</w:t>
      </w:r>
      <w:r w:rsidR="00B130F1" w:rsidRPr="00CF42EF">
        <w:rPr>
          <w:szCs w:val="24"/>
        </w:rPr>
        <w:t>) and can be used in all phases of flight, within their respective service allocations. The stations shall not impose any new constraints on applications of the same service and other radiocommunication services that are allocated on a primary basis.</w:t>
      </w:r>
    </w:p>
    <w:p w14:paraId="79218EBE" w14:textId="77777777" w:rsidR="002710CF" w:rsidRPr="00CF42EF" w:rsidRDefault="002710CF" w:rsidP="002710CF">
      <w:pPr>
        <w:pStyle w:val="ArtNo"/>
      </w:pPr>
      <w:bookmarkStart w:id="6" w:name="_Toc42842472"/>
      <w:r w:rsidRPr="00CF42EF">
        <w:lastRenderedPageBreak/>
        <w:t xml:space="preserve">ARTICLE </w:t>
      </w:r>
      <w:r w:rsidRPr="00CF42EF">
        <w:rPr>
          <w:rStyle w:val="href"/>
        </w:rPr>
        <w:t>43</w:t>
      </w:r>
      <w:bookmarkEnd w:id="6"/>
    </w:p>
    <w:p w14:paraId="176E1692" w14:textId="77777777" w:rsidR="002710CF" w:rsidRPr="00CF42EF" w:rsidRDefault="002710CF" w:rsidP="002710CF">
      <w:pPr>
        <w:pStyle w:val="Arttitle"/>
      </w:pPr>
      <w:bookmarkStart w:id="7" w:name="_Toc327956672"/>
      <w:bookmarkStart w:id="8" w:name="_Toc42842473"/>
      <w:r w:rsidRPr="00CF42EF">
        <w:t>Special rules relating to the use of frequencies</w:t>
      </w:r>
      <w:bookmarkEnd w:id="7"/>
      <w:bookmarkEnd w:id="8"/>
    </w:p>
    <w:p w14:paraId="422B890C" w14:textId="77777777" w:rsidR="0032539A" w:rsidRPr="00CF42EF" w:rsidRDefault="00221699">
      <w:pPr>
        <w:pStyle w:val="Proposal"/>
      </w:pPr>
      <w:r w:rsidRPr="00CF42EF">
        <w:t>ADD</w:t>
      </w:r>
      <w:r w:rsidRPr="00CF42EF">
        <w:tab/>
        <w:t>IAP/44A6/2</w:t>
      </w:r>
      <w:r w:rsidRPr="00CF42EF">
        <w:rPr>
          <w:vanish/>
          <w:color w:val="7F7F7F" w:themeColor="text1" w:themeTint="80"/>
          <w:vertAlign w:val="superscript"/>
        </w:rPr>
        <w:t>#1587</w:t>
      </w:r>
    </w:p>
    <w:p w14:paraId="5303C8F0" w14:textId="2DD66EEB" w:rsidR="00C50928" w:rsidRPr="00CF42EF" w:rsidRDefault="00C50928" w:rsidP="00C50928">
      <w:r w:rsidRPr="00CF42EF">
        <w:rPr>
          <w:rStyle w:val="Artdef"/>
          <w:szCs w:val="24"/>
        </w:rPr>
        <w:t>43.A16</w:t>
      </w:r>
      <w:r w:rsidRPr="00CF42EF">
        <w:rPr>
          <w:rStyle w:val="Artdef"/>
          <w:szCs w:val="24"/>
        </w:rPr>
        <w:tab/>
      </w:r>
      <w:r w:rsidRPr="00CF42EF">
        <w:rPr>
          <w:b/>
        </w:rPr>
        <w:tab/>
      </w:r>
      <w:r w:rsidRPr="00CF42EF">
        <w:rPr>
          <w:bCs/>
        </w:rPr>
        <w:t>Operation of stations</w:t>
      </w:r>
      <w:r w:rsidRPr="00CF42EF">
        <w:t xml:space="preserve"> on board sub-orbital vehicles shall be subject to Resolution </w:t>
      </w:r>
      <w:r w:rsidRPr="00CF42EF">
        <w:rPr>
          <w:b/>
          <w:bCs/>
        </w:rPr>
        <w:t>[</w:t>
      </w:r>
      <w:r w:rsidR="00062B12" w:rsidRPr="00CF42EF">
        <w:rPr>
          <w:b/>
          <w:bCs/>
        </w:rPr>
        <w:t>IAP</w:t>
      </w:r>
      <w:r w:rsidR="00062B12" w:rsidRPr="00CF42EF">
        <w:rPr>
          <w:b/>
          <w:bCs/>
        </w:rPr>
        <w:noBreakHyphen/>
      </w:r>
      <w:r w:rsidRPr="00CF42EF">
        <w:rPr>
          <w:b/>
          <w:bCs/>
        </w:rPr>
        <w:t>A16] (WRC</w:t>
      </w:r>
      <w:r w:rsidRPr="00CF42EF">
        <w:rPr>
          <w:b/>
          <w:bCs/>
        </w:rPr>
        <w:noBreakHyphen/>
        <w:t>23)</w:t>
      </w:r>
      <w:r w:rsidRPr="00CF42EF">
        <w:t>.</w:t>
      </w:r>
      <w:r w:rsidRPr="00CF42EF">
        <w:rPr>
          <w:sz w:val="16"/>
          <w:szCs w:val="16"/>
        </w:rPr>
        <w:t>     (WRC</w:t>
      </w:r>
      <w:r w:rsidRPr="00CF42EF">
        <w:rPr>
          <w:sz w:val="16"/>
          <w:szCs w:val="16"/>
        </w:rPr>
        <w:noBreakHyphen/>
        <w:t>23)</w:t>
      </w:r>
    </w:p>
    <w:p w14:paraId="68AC743C" w14:textId="10833118" w:rsidR="0032539A" w:rsidRPr="00CF42EF" w:rsidRDefault="00221699" w:rsidP="00464DB7">
      <w:pPr>
        <w:pStyle w:val="Reasons"/>
      </w:pPr>
      <w:r w:rsidRPr="00CF42EF">
        <w:rPr>
          <w:b/>
        </w:rPr>
        <w:t>Reasons:</w:t>
      </w:r>
      <w:r w:rsidRPr="00CF42EF">
        <w:tab/>
      </w:r>
      <w:r w:rsidR="009E4EBD" w:rsidRPr="00CF42EF">
        <w:t xml:space="preserve">Addition of this provision to </w:t>
      </w:r>
      <w:r w:rsidR="001B5DD8" w:rsidRPr="00CF42EF">
        <w:t xml:space="preserve">RR </w:t>
      </w:r>
      <w:r w:rsidR="009E4EBD" w:rsidRPr="00CF42EF">
        <w:t>Article</w:t>
      </w:r>
      <w:r w:rsidR="00AE5DEA" w:rsidRPr="00CF42EF">
        <w:t> </w:t>
      </w:r>
      <w:r w:rsidR="009E4EBD" w:rsidRPr="00CF42EF">
        <w:rPr>
          <w:b/>
          <w:bCs/>
        </w:rPr>
        <w:t>43</w:t>
      </w:r>
      <w:r w:rsidR="009E4EBD" w:rsidRPr="00CF42EF">
        <w:t>, addressing special rules relating to use of frequencies, would provide the necessary reference within the Radio Regulations to the proposed new Resolution.</w:t>
      </w:r>
    </w:p>
    <w:p w14:paraId="3AF41929" w14:textId="77777777" w:rsidR="0032539A" w:rsidRPr="00CF42EF" w:rsidRDefault="00221699">
      <w:pPr>
        <w:pStyle w:val="Proposal"/>
      </w:pPr>
      <w:r w:rsidRPr="00CF42EF">
        <w:t>SUP</w:t>
      </w:r>
      <w:r w:rsidRPr="00CF42EF">
        <w:tab/>
        <w:t>IAP/44A6/3</w:t>
      </w:r>
      <w:r w:rsidRPr="00CF42EF">
        <w:rPr>
          <w:vanish/>
          <w:color w:val="7F7F7F" w:themeColor="text1" w:themeTint="80"/>
          <w:vertAlign w:val="superscript"/>
        </w:rPr>
        <w:t>#1589</w:t>
      </w:r>
    </w:p>
    <w:p w14:paraId="4175FAEF" w14:textId="77777777" w:rsidR="00221699" w:rsidRPr="00CF42EF" w:rsidRDefault="00221699" w:rsidP="00391DF2">
      <w:pPr>
        <w:pStyle w:val="ResNo"/>
      </w:pPr>
      <w:r w:rsidRPr="00CF42EF">
        <w:t>RESOLUTION 772 (WRC</w:t>
      </w:r>
      <w:r w:rsidRPr="00CF42EF">
        <w:noBreakHyphen/>
        <w:t>19)</w:t>
      </w:r>
    </w:p>
    <w:p w14:paraId="66286FC6" w14:textId="77777777" w:rsidR="00221699" w:rsidRPr="00CF42EF" w:rsidRDefault="00221699" w:rsidP="00391DF2">
      <w:pPr>
        <w:pStyle w:val="Restitle"/>
      </w:pPr>
      <w:r w:rsidRPr="00CF42EF">
        <w:t xml:space="preserve">Consideration of regulatory provisions to facilitate </w:t>
      </w:r>
      <w:r w:rsidRPr="00CF42EF">
        <w:br/>
        <w:t>the introduction of sub-orbital vehicles</w:t>
      </w:r>
    </w:p>
    <w:p w14:paraId="396AF3A0" w14:textId="30AAB2DE" w:rsidR="00CE7752" w:rsidRPr="00CF42EF" w:rsidRDefault="00221699" w:rsidP="00CE7752">
      <w:pPr>
        <w:pStyle w:val="Reasons"/>
      </w:pPr>
      <w:r w:rsidRPr="00CF42EF">
        <w:rPr>
          <w:b/>
        </w:rPr>
        <w:t>Reasons:</w:t>
      </w:r>
      <w:r w:rsidRPr="00CF42EF">
        <w:tab/>
      </w:r>
      <w:r w:rsidR="00CE7752" w:rsidRPr="00CF42EF">
        <w:t>Studies in relation to Resolution</w:t>
      </w:r>
      <w:r w:rsidR="00AE5DEA" w:rsidRPr="00CF42EF">
        <w:t> </w:t>
      </w:r>
      <w:r w:rsidR="00CE7752" w:rsidRPr="00CF42EF">
        <w:rPr>
          <w:b/>
          <w:bCs/>
        </w:rPr>
        <w:t>772 (WRC</w:t>
      </w:r>
      <w:r w:rsidR="00AE5DEA" w:rsidRPr="00CF42EF">
        <w:rPr>
          <w:b/>
          <w:bCs/>
        </w:rPr>
        <w:noBreakHyphen/>
      </w:r>
      <w:r w:rsidR="00CE7752" w:rsidRPr="00CF42EF">
        <w:rPr>
          <w:b/>
          <w:bCs/>
        </w:rPr>
        <w:t>19)</w:t>
      </w:r>
      <w:r w:rsidR="00CE7752" w:rsidRPr="00CF42EF">
        <w:t xml:space="preserve"> have been completed and consequently this Resolution is proposed to be suppressed.</w:t>
      </w:r>
    </w:p>
    <w:p w14:paraId="3854EDAD" w14:textId="12F88EDB" w:rsidR="0032539A" w:rsidRPr="009051DE" w:rsidRDefault="00CE7752" w:rsidP="00BA0C2C">
      <w:pPr>
        <w:jc w:val="center"/>
      </w:pPr>
      <w:r w:rsidRPr="00CF42EF">
        <w:t>________________</w:t>
      </w:r>
    </w:p>
    <w:sectPr w:rsidR="0032539A" w:rsidRPr="009051DE">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51B8F" w14:textId="77777777" w:rsidR="0097111D" w:rsidRDefault="0097111D">
      <w:r>
        <w:separator/>
      </w:r>
    </w:p>
  </w:endnote>
  <w:endnote w:type="continuationSeparator" w:id="0">
    <w:p w14:paraId="1149AFAF" w14:textId="77777777" w:rsidR="0097111D" w:rsidRDefault="0097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2F4F" w14:textId="77777777" w:rsidR="00E45D05" w:rsidRDefault="00E45D05">
    <w:pPr>
      <w:framePr w:wrap="around" w:vAnchor="text" w:hAnchor="margin" w:xAlign="right" w:y="1"/>
    </w:pPr>
    <w:r>
      <w:fldChar w:fldCharType="begin"/>
    </w:r>
    <w:r>
      <w:instrText xml:space="preserve">PAGE  </w:instrText>
    </w:r>
    <w:r>
      <w:fldChar w:fldCharType="end"/>
    </w:r>
  </w:p>
  <w:p w14:paraId="0474A63F" w14:textId="55B8DAE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C50928">
      <w:rPr>
        <w:noProof/>
      </w:rPr>
      <w:t>19.10.23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3AFA" w14:textId="73034758" w:rsidR="00E45D05" w:rsidRDefault="00E45D05" w:rsidP="009B1EA1">
    <w:pPr>
      <w:pStyle w:val="Footer"/>
    </w:pPr>
    <w:r>
      <w:fldChar w:fldCharType="begin"/>
    </w:r>
    <w:r w:rsidRPr="0041348E">
      <w:rPr>
        <w:lang w:val="en-US"/>
      </w:rPr>
      <w:instrText xml:space="preserve"> FILENAME \p  \* MERGEFORMAT </w:instrText>
    </w:r>
    <w:r>
      <w:fldChar w:fldCharType="separate"/>
    </w:r>
    <w:r w:rsidR="00AE5DEA">
      <w:rPr>
        <w:lang w:val="en-US"/>
      </w:rPr>
      <w:t>P:\ENG\ITU-R\CONF-R\CMR23\000\044ADD06E.docx</w:t>
    </w:r>
    <w:r>
      <w:fldChar w:fldCharType="end"/>
    </w:r>
    <w:r w:rsidR="00AE5DEA">
      <w:t xml:space="preserve"> (529435)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DCEB" w14:textId="0483CB69" w:rsidR="00AE5DEA" w:rsidRDefault="00CF42EF" w:rsidP="00AE5DEA">
    <w:pPr>
      <w:pStyle w:val="Footer"/>
    </w:pPr>
    <w:r>
      <w:fldChar w:fldCharType="begin"/>
    </w:r>
    <w:r>
      <w:instrText xml:space="preserve"> FILENAME \p  \* MERGEFORMAT </w:instrText>
    </w:r>
    <w:r>
      <w:fldChar w:fldCharType="separate"/>
    </w:r>
    <w:r w:rsidR="00AE5DEA">
      <w:t>P:\ENG\ITU-R\CONF-R\CMR23\000\044ADD06E.docx</w:t>
    </w:r>
    <w:r>
      <w:fldChar w:fldCharType="end"/>
    </w:r>
    <w:r w:rsidR="00AE5DEA">
      <w:t xml:space="preserve"> (529435)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C5682" w14:textId="77777777" w:rsidR="0097111D" w:rsidRDefault="0097111D">
      <w:r>
        <w:rPr>
          <w:b/>
        </w:rPr>
        <w:t>_______________</w:t>
      </w:r>
    </w:p>
  </w:footnote>
  <w:footnote w:type="continuationSeparator" w:id="0">
    <w:p w14:paraId="2325F25F" w14:textId="77777777" w:rsidR="0097111D" w:rsidRDefault="00971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A86B"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3BAB177" w14:textId="77777777" w:rsidR="00A066F1" w:rsidRPr="00A066F1" w:rsidRDefault="00BC75DE" w:rsidP="00241FA2">
    <w:pPr>
      <w:pStyle w:val="Header"/>
    </w:pPr>
    <w:r>
      <w:t>WRC</w:t>
    </w:r>
    <w:r w:rsidR="006D70B0">
      <w:t>23</w:t>
    </w:r>
    <w:r w:rsidR="00A066F1">
      <w:t>/</w:t>
    </w:r>
    <w:bookmarkStart w:id="9" w:name="OLE_LINK1"/>
    <w:bookmarkStart w:id="10" w:name="OLE_LINK2"/>
    <w:bookmarkStart w:id="11" w:name="OLE_LINK3"/>
    <w:r w:rsidR="00EB55C6">
      <w:t>44(Add.6)</w:t>
    </w:r>
    <w:bookmarkEnd w:id="9"/>
    <w:bookmarkEnd w:id="10"/>
    <w:bookmarkEnd w:id="11"/>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555577153">
    <w:abstractNumId w:val="0"/>
  </w:num>
  <w:num w:numId="2" w16cid:durableId="85846732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3348"/>
    <w:rsid w:val="00051E39"/>
    <w:rsid w:val="000569ED"/>
    <w:rsid w:val="00062B12"/>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B403E"/>
    <w:rsid w:val="001B5DD8"/>
    <w:rsid w:val="001C29A9"/>
    <w:rsid w:val="001C3B5F"/>
    <w:rsid w:val="001D058F"/>
    <w:rsid w:val="001E6DB7"/>
    <w:rsid w:val="002009EA"/>
    <w:rsid w:val="00202756"/>
    <w:rsid w:val="00202CA0"/>
    <w:rsid w:val="00216B6D"/>
    <w:rsid w:val="00221699"/>
    <w:rsid w:val="0022757F"/>
    <w:rsid w:val="00241FA2"/>
    <w:rsid w:val="002710CF"/>
    <w:rsid w:val="00271316"/>
    <w:rsid w:val="002B349C"/>
    <w:rsid w:val="002D58BE"/>
    <w:rsid w:val="002D78F8"/>
    <w:rsid w:val="002E054E"/>
    <w:rsid w:val="002F4747"/>
    <w:rsid w:val="00302605"/>
    <w:rsid w:val="0032539A"/>
    <w:rsid w:val="0035242D"/>
    <w:rsid w:val="00361B37"/>
    <w:rsid w:val="00377BD3"/>
    <w:rsid w:val="00384088"/>
    <w:rsid w:val="003852CE"/>
    <w:rsid w:val="0039169B"/>
    <w:rsid w:val="003A7F8C"/>
    <w:rsid w:val="003B2284"/>
    <w:rsid w:val="003B532E"/>
    <w:rsid w:val="003C256E"/>
    <w:rsid w:val="003D0F8B"/>
    <w:rsid w:val="003E0DB6"/>
    <w:rsid w:val="003E58B9"/>
    <w:rsid w:val="0041348E"/>
    <w:rsid w:val="00420873"/>
    <w:rsid w:val="00464DB7"/>
    <w:rsid w:val="00492075"/>
    <w:rsid w:val="004969AD"/>
    <w:rsid w:val="004A26C4"/>
    <w:rsid w:val="004B13CB"/>
    <w:rsid w:val="004D26EA"/>
    <w:rsid w:val="004D2BFB"/>
    <w:rsid w:val="004D5D5C"/>
    <w:rsid w:val="004F3DC0"/>
    <w:rsid w:val="0050139F"/>
    <w:rsid w:val="0055140B"/>
    <w:rsid w:val="0056333E"/>
    <w:rsid w:val="005861D7"/>
    <w:rsid w:val="005964AB"/>
    <w:rsid w:val="005B401A"/>
    <w:rsid w:val="005C099A"/>
    <w:rsid w:val="005C31A5"/>
    <w:rsid w:val="005D7046"/>
    <w:rsid w:val="005E10C9"/>
    <w:rsid w:val="005E290B"/>
    <w:rsid w:val="005E61DD"/>
    <w:rsid w:val="005F04D8"/>
    <w:rsid w:val="005F3744"/>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34382"/>
    <w:rsid w:val="00841216"/>
    <w:rsid w:val="00842AF0"/>
    <w:rsid w:val="0086171E"/>
    <w:rsid w:val="00872FC8"/>
    <w:rsid w:val="008845D0"/>
    <w:rsid w:val="00884D60"/>
    <w:rsid w:val="00896E56"/>
    <w:rsid w:val="008B43F2"/>
    <w:rsid w:val="008B6CFF"/>
    <w:rsid w:val="009051DE"/>
    <w:rsid w:val="00912AB5"/>
    <w:rsid w:val="009274B4"/>
    <w:rsid w:val="00934EA2"/>
    <w:rsid w:val="00944A5C"/>
    <w:rsid w:val="00952A66"/>
    <w:rsid w:val="0097111D"/>
    <w:rsid w:val="00995967"/>
    <w:rsid w:val="009B1EA1"/>
    <w:rsid w:val="009B7C9A"/>
    <w:rsid w:val="009C56E5"/>
    <w:rsid w:val="009C7716"/>
    <w:rsid w:val="009E4EBD"/>
    <w:rsid w:val="009E5FC8"/>
    <w:rsid w:val="009E687A"/>
    <w:rsid w:val="009F236F"/>
    <w:rsid w:val="009F7A20"/>
    <w:rsid w:val="00A066F1"/>
    <w:rsid w:val="00A141AF"/>
    <w:rsid w:val="00A16D29"/>
    <w:rsid w:val="00A30305"/>
    <w:rsid w:val="00A31D2D"/>
    <w:rsid w:val="00A412F0"/>
    <w:rsid w:val="00A4600A"/>
    <w:rsid w:val="00A538A6"/>
    <w:rsid w:val="00A54C25"/>
    <w:rsid w:val="00A710E7"/>
    <w:rsid w:val="00A7372E"/>
    <w:rsid w:val="00A8284C"/>
    <w:rsid w:val="00A93B85"/>
    <w:rsid w:val="00AA0B18"/>
    <w:rsid w:val="00AA3C65"/>
    <w:rsid w:val="00AA666F"/>
    <w:rsid w:val="00AB4887"/>
    <w:rsid w:val="00AD7914"/>
    <w:rsid w:val="00AE514B"/>
    <w:rsid w:val="00AE5DEA"/>
    <w:rsid w:val="00B130F1"/>
    <w:rsid w:val="00B40888"/>
    <w:rsid w:val="00B639E9"/>
    <w:rsid w:val="00B711ED"/>
    <w:rsid w:val="00B817CD"/>
    <w:rsid w:val="00B81A7D"/>
    <w:rsid w:val="00B91EF7"/>
    <w:rsid w:val="00B94AD0"/>
    <w:rsid w:val="00BA0C2C"/>
    <w:rsid w:val="00BB3A95"/>
    <w:rsid w:val="00BC75DE"/>
    <w:rsid w:val="00BD6CCE"/>
    <w:rsid w:val="00C0018F"/>
    <w:rsid w:val="00C16A5A"/>
    <w:rsid w:val="00C20466"/>
    <w:rsid w:val="00C214ED"/>
    <w:rsid w:val="00C234E6"/>
    <w:rsid w:val="00C324A8"/>
    <w:rsid w:val="00C50928"/>
    <w:rsid w:val="00C54517"/>
    <w:rsid w:val="00C56F70"/>
    <w:rsid w:val="00C57B91"/>
    <w:rsid w:val="00C64CD8"/>
    <w:rsid w:val="00C82695"/>
    <w:rsid w:val="00C97C68"/>
    <w:rsid w:val="00CA1A47"/>
    <w:rsid w:val="00CA3DFC"/>
    <w:rsid w:val="00CB44E5"/>
    <w:rsid w:val="00CC0024"/>
    <w:rsid w:val="00CC247A"/>
    <w:rsid w:val="00CE388F"/>
    <w:rsid w:val="00CE5E47"/>
    <w:rsid w:val="00CE7752"/>
    <w:rsid w:val="00CF020F"/>
    <w:rsid w:val="00CF2B5B"/>
    <w:rsid w:val="00CF42EF"/>
    <w:rsid w:val="00D14CE0"/>
    <w:rsid w:val="00D255D4"/>
    <w:rsid w:val="00D268B3"/>
    <w:rsid w:val="00D52FD6"/>
    <w:rsid w:val="00D54009"/>
    <w:rsid w:val="00D5651D"/>
    <w:rsid w:val="00D57A34"/>
    <w:rsid w:val="00D74898"/>
    <w:rsid w:val="00D801ED"/>
    <w:rsid w:val="00D936BC"/>
    <w:rsid w:val="00D96530"/>
    <w:rsid w:val="00DA1CB1"/>
    <w:rsid w:val="00DD44AF"/>
    <w:rsid w:val="00DE1F9D"/>
    <w:rsid w:val="00DE2AC3"/>
    <w:rsid w:val="00DE5692"/>
    <w:rsid w:val="00DE6300"/>
    <w:rsid w:val="00DF4BC6"/>
    <w:rsid w:val="00DF78E0"/>
    <w:rsid w:val="00E03C94"/>
    <w:rsid w:val="00E205BC"/>
    <w:rsid w:val="00E26226"/>
    <w:rsid w:val="00E45D05"/>
    <w:rsid w:val="00E55816"/>
    <w:rsid w:val="00E55AEF"/>
    <w:rsid w:val="00E976C1"/>
    <w:rsid w:val="00EA09B2"/>
    <w:rsid w:val="00EA12E5"/>
    <w:rsid w:val="00EB0812"/>
    <w:rsid w:val="00EB54B2"/>
    <w:rsid w:val="00EB55C6"/>
    <w:rsid w:val="00EF1932"/>
    <w:rsid w:val="00EF71B6"/>
    <w:rsid w:val="00F02766"/>
    <w:rsid w:val="00F05BD4"/>
    <w:rsid w:val="00F06473"/>
    <w:rsid w:val="00F320AA"/>
    <w:rsid w:val="00F6155B"/>
    <w:rsid w:val="00F65C19"/>
    <w:rsid w:val="00F812FF"/>
    <w:rsid w:val="00F822B0"/>
    <w:rsid w:val="00FD08E2"/>
    <w:rsid w:val="00FD18DA"/>
    <w:rsid w:val="00FD2546"/>
    <w:rsid w:val="00FD772E"/>
    <w:rsid w:val="00FE03DB"/>
    <w:rsid w:val="00FE78C7"/>
    <w:rsid w:val="00FF0F3B"/>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8D334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qFormat/>
    <w:rsid w:val="00897DEC"/>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character" w:customStyle="1" w:styleId="ReasonsChar">
    <w:name w:val="Reasons Char"/>
    <w:basedOn w:val="DefaultParagraphFont"/>
    <w:link w:val="Reasons"/>
    <w:locked/>
    <w:rsid w:val="009E4EBD"/>
    <w:rPr>
      <w:rFonts w:ascii="Times New Roman" w:hAnsi="Times New Roman"/>
      <w:sz w:val="24"/>
      <w:lang w:val="en-GB" w:eastAsia="en-US"/>
    </w:rPr>
  </w:style>
  <w:style w:type="character" w:styleId="CommentReference">
    <w:name w:val="annotation reference"/>
    <w:basedOn w:val="DefaultParagraphFont"/>
    <w:semiHidden/>
    <w:unhideWhenUsed/>
    <w:rsid w:val="00AE5DEA"/>
    <w:rPr>
      <w:sz w:val="16"/>
      <w:szCs w:val="16"/>
    </w:rPr>
  </w:style>
  <w:style w:type="paragraph" w:styleId="CommentText">
    <w:name w:val="annotation text"/>
    <w:basedOn w:val="Normal"/>
    <w:link w:val="CommentTextChar"/>
    <w:unhideWhenUsed/>
    <w:rsid w:val="00AE5DEA"/>
    <w:rPr>
      <w:sz w:val="20"/>
    </w:rPr>
  </w:style>
  <w:style w:type="character" w:customStyle="1" w:styleId="CommentTextChar">
    <w:name w:val="Comment Text Char"/>
    <w:basedOn w:val="DefaultParagraphFont"/>
    <w:link w:val="CommentText"/>
    <w:rsid w:val="00AE5DE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AE5DEA"/>
    <w:rPr>
      <w:b/>
      <w:bCs/>
    </w:rPr>
  </w:style>
  <w:style w:type="character" w:customStyle="1" w:styleId="CommentSubjectChar">
    <w:name w:val="Comment Subject Char"/>
    <w:basedOn w:val="CommentTextChar"/>
    <w:link w:val="CommentSubject"/>
    <w:semiHidden/>
    <w:rsid w:val="00AE5DEA"/>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R23-WRC23-C-0044!A6!MSW-E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3003F5B3-0ADB-4F8E-A315-0CB18E400AE0}">
  <ds:schemaRefs>
    <ds:schemaRef ds:uri="http://schemas.openxmlformats.org/officeDocument/2006/bibliography"/>
  </ds:schemaRefs>
</ds:datastoreItem>
</file>

<file path=customXml/itemProps2.xml><?xml version="1.0" encoding="utf-8"?>
<ds:datastoreItem xmlns:ds="http://schemas.openxmlformats.org/officeDocument/2006/customXml" ds:itemID="{54F570F7-D995-497E-B550-DF9ADC308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DECD36-F1B9-4674-8BAB-FABFA86B9C93}">
  <ds:schemaRefs>
    <ds:schemaRef ds:uri="http://schemas.microsoft.com/sharepoint/v3/contenttype/forms"/>
  </ds:schemaRefs>
</ds:datastoreItem>
</file>

<file path=customXml/itemProps4.xml><?xml version="1.0" encoding="utf-8"?>
<ds:datastoreItem xmlns:ds="http://schemas.openxmlformats.org/officeDocument/2006/customXml" ds:itemID="{4137A6FC-EC24-49D4-A828-AA6650D3F55C}">
  <ds:schemaRefs>
    <ds:schemaRef ds:uri="http://schemas.microsoft.com/sharepoint/events"/>
  </ds:schemaRefs>
</ds:datastoreItem>
</file>

<file path=customXml/itemProps5.xml><?xml version="1.0" encoding="utf-8"?>
<ds:datastoreItem xmlns:ds="http://schemas.openxmlformats.org/officeDocument/2006/customXml" ds:itemID="{38CB1656-5A23-4325-AA6C-78059CEC0EDE}">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856</Words>
  <Characters>5207</Characters>
  <Application>Microsoft Office Word</Application>
  <DocSecurity>0</DocSecurity>
  <Lines>179</Lines>
  <Paragraphs>102</Paragraphs>
  <ScaleCrop>false</ScaleCrop>
  <HeadingPairs>
    <vt:vector size="2" baseType="variant">
      <vt:variant>
        <vt:lpstr>Title</vt:lpstr>
      </vt:variant>
      <vt:variant>
        <vt:i4>1</vt:i4>
      </vt:variant>
    </vt:vector>
  </HeadingPairs>
  <TitlesOfParts>
    <vt:vector size="1" baseType="lpstr">
      <vt:lpstr>R23-WRC23-C-0044!A6!MSW-E</vt:lpstr>
    </vt:vector>
  </TitlesOfParts>
  <Manager>General Secretariat - Pool</Manager>
  <Company>International Telecommunication Union (ITU)</Company>
  <LinksUpToDate>false</LinksUpToDate>
  <CharactersWithSpaces>5961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R23-WRC23-C-0044!A6!MSW-E</dc:title>
  <dc:subject>World Radiocommunication Conference - 2023</dc:subject>
  <dc:creator>Documents Proposals Manager (DPM)</dc:creator>
  <cp:keywords>DPM_v2023.8.1.1_prod</cp:keywords>
  <dc:description>Uploaded on 2015.07.06</dc:description>
  <cp:lastModifiedBy>TPU E RR</cp:lastModifiedBy>
  <cp:revision>7</cp:revision>
  <cp:lastPrinted>2017-02-10T08:23:00Z</cp:lastPrinted>
  <dcterms:created xsi:type="dcterms:W3CDTF">2023-10-19T11:06:00Z</dcterms:created>
  <dcterms:modified xsi:type="dcterms:W3CDTF">2023-10-20T05:51:00Z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