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202653" w14:paraId="384E2DF8" w14:textId="77777777" w:rsidTr="00C1305F">
        <w:trPr>
          <w:cantSplit/>
        </w:trPr>
        <w:tc>
          <w:tcPr>
            <w:tcW w:w="1418" w:type="dxa"/>
            <w:vAlign w:val="center"/>
          </w:tcPr>
          <w:p w14:paraId="56B679E3" w14:textId="77777777" w:rsidR="00C1305F" w:rsidRPr="00202653" w:rsidRDefault="00C1305F" w:rsidP="00ED0503">
            <w:pPr>
              <w:spacing w:before="0"/>
              <w:rPr>
                <w:rFonts w:ascii="Verdana" w:hAnsi="Verdana"/>
                <w:b/>
                <w:bCs/>
                <w:sz w:val="20"/>
              </w:rPr>
            </w:pPr>
            <w:r w:rsidRPr="00202653">
              <w:rPr>
                <w:noProof/>
              </w:rPr>
              <w:drawing>
                <wp:inline distT="0" distB="0" distL="0" distR="0" wp14:anchorId="239B56C9" wp14:editId="195D2BC6">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316EE48A" w14:textId="69F880F9" w:rsidR="00C1305F" w:rsidRPr="00202653" w:rsidRDefault="00C1305F" w:rsidP="00ED0503">
            <w:pPr>
              <w:spacing w:before="400" w:after="48"/>
              <w:rPr>
                <w:rFonts w:ascii="Verdana" w:hAnsi="Verdana"/>
                <w:b/>
                <w:bCs/>
                <w:sz w:val="20"/>
              </w:rPr>
            </w:pPr>
            <w:r w:rsidRPr="00202653">
              <w:rPr>
                <w:rFonts w:ascii="Verdana" w:hAnsi="Verdana"/>
                <w:b/>
                <w:bCs/>
                <w:sz w:val="20"/>
              </w:rPr>
              <w:t>Conférence mondiale des radiocommunications (CMR-23)</w:t>
            </w:r>
            <w:r w:rsidRPr="00202653">
              <w:rPr>
                <w:rFonts w:ascii="Verdana" w:hAnsi="Verdana"/>
                <w:b/>
                <w:bCs/>
                <w:sz w:val="20"/>
              </w:rPr>
              <w:br/>
            </w:r>
            <w:r w:rsidRPr="00202653">
              <w:rPr>
                <w:rFonts w:ascii="Verdana" w:hAnsi="Verdana"/>
                <w:b/>
                <w:bCs/>
                <w:sz w:val="18"/>
                <w:szCs w:val="18"/>
              </w:rPr>
              <w:t xml:space="preserve">Dubaï, 20 novembre </w:t>
            </w:r>
            <w:r w:rsidR="00527EC7" w:rsidRPr="00202653">
              <w:rPr>
                <w:rFonts w:ascii="Verdana" w:hAnsi="Verdana"/>
                <w:b/>
                <w:bCs/>
                <w:sz w:val="18"/>
                <w:szCs w:val="18"/>
              </w:rPr>
              <w:t>–</w:t>
            </w:r>
            <w:r w:rsidRPr="00202653">
              <w:rPr>
                <w:rFonts w:ascii="Verdana" w:hAnsi="Verdana"/>
                <w:b/>
                <w:bCs/>
                <w:sz w:val="18"/>
                <w:szCs w:val="18"/>
              </w:rPr>
              <w:t xml:space="preserve"> 15 décembre 2023</w:t>
            </w:r>
          </w:p>
        </w:tc>
        <w:tc>
          <w:tcPr>
            <w:tcW w:w="1809" w:type="dxa"/>
            <w:vAlign w:val="center"/>
          </w:tcPr>
          <w:p w14:paraId="06424B44" w14:textId="77777777" w:rsidR="00C1305F" w:rsidRPr="00202653" w:rsidRDefault="00C1305F" w:rsidP="00ED0503">
            <w:pPr>
              <w:spacing w:before="0"/>
            </w:pPr>
            <w:bookmarkStart w:id="0" w:name="ditulogo"/>
            <w:bookmarkEnd w:id="0"/>
            <w:r w:rsidRPr="00202653">
              <w:rPr>
                <w:noProof/>
              </w:rPr>
              <w:drawing>
                <wp:inline distT="0" distB="0" distL="0" distR="0" wp14:anchorId="2664FABC" wp14:editId="0AF3D3CB">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202653" w14:paraId="7D06F8B2" w14:textId="77777777" w:rsidTr="0050008E">
        <w:trPr>
          <w:cantSplit/>
        </w:trPr>
        <w:tc>
          <w:tcPr>
            <w:tcW w:w="6911" w:type="dxa"/>
            <w:gridSpan w:val="2"/>
            <w:tcBorders>
              <w:bottom w:val="single" w:sz="12" w:space="0" w:color="auto"/>
            </w:tcBorders>
          </w:tcPr>
          <w:p w14:paraId="2A465AC3" w14:textId="77777777" w:rsidR="00BB1D82" w:rsidRPr="00202653" w:rsidRDefault="00BB1D82" w:rsidP="00ED0503">
            <w:pPr>
              <w:spacing w:before="0" w:after="48"/>
              <w:rPr>
                <w:b/>
                <w:smallCaps/>
                <w:szCs w:val="24"/>
              </w:rPr>
            </w:pPr>
            <w:bookmarkStart w:id="1" w:name="dhead"/>
          </w:p>
        </w:tc>
        <w:tc>
          <w:tcPr>
            <w:tcW w:w="3120" w:type="dxa"/>
            <w:gridSpan w:val="2"/>
            <w:tcBorders>
              <w:bottom w:val="single" w:sz="12" w:space="0" w:color="auto"/>
            </w:tcBorders>
          </w:tcPr>
          <w:p w14:paraId="6814B23F" w14:textId="77777777" w:rsidR="00BB1D82" w:rsidRPr="00202653" w:rsidRDefault="00BB1D82" w:rsidP="00ED0503">
            <w:pPr>
              <w:spacing w:before="0"/>
              <w:rPr>
                <w:rFonts w:ascii="Verdana" w:hAnsi="Verdana"/>
                <w:szCs w:val="24"/>
              </w:rPr>
            </w:pPr>
          </w:p>
        </w:tc>
      </w:tr>
      <w:tr w:rsidR="00BB1D82" w:rsidRPr="00202653" w14:paraId="529ECDD9" w14:textId="77777777" w:rsidTr="00BB1D82">
        <w:trPr>
          <w:cantSplit/>
        </w:trPr>
        <w:tc>
          <w:tcPr>
            <w:tcW w:w="6911" w:type="dxa"/>
            <w:gridSpan w:val="2"/>
            <w:tcBorders>
              <w:top w:val="single" w:sz="12" w:space="0" w:color="auto"/>
            </w:tcBorders>
          </w:tcPr>
          <w:p w14:paraId="0F7FAE64" w14:textId="77777777" w:rsidR="00BB1D82" w:rsidRPr="00202653" w:rsidRDefault="00BB1D82" w:rsidP="00ED0503">
            <w:pPr>
              <w:spacing w:before="0" w:after="48"/>
              <w:rPr>
                <w:rFonts w:ascii="Verdana" w:hAnsi="Verdana"/>
                <w:b/>
                <w:smallCaps/>
                <w:sz w:val="20"/>
              </w:rPr>
            </w:pPr>
          </w:p>
        </w:tc>
        <w:tc>
          <w:tcPr>
            <w:tcW w:w="3120" w:type="dxa"/>
            <w:gridSpan w:val="2"/>
            <w:tcBorders>
              <w:top w:val="single" w:sz="12" w:space="0" w:color="auto"/>
            </w:tcBorders>
          </w:tcPr>
          <w:p w14:paraId="3051F132" w14:textId="77777777" w:rsidR="00BB1D82" w:rsidRPr="00202653" w:rsidRDefault="00BB1D82" w:rsidP="00ED0503">
            <w:pPr>
              <w:spacing w:before="0"/>
              <w:rPr>
                <w:rFonts w:ascii="Verdana" w:hAnsi="Verdana"/>
                <w:sz w:val="20"/>
              </w:rPr>
            </w:pPr>
          </w:p>
        </w:tc>
      </w:tr>
      <w:tr w:rsidR="00BB1D82" w:rsidRPr="00202653" w14:paraId="66E6ADF6" w14:textId="77777777" w:rsidTr="00BB1D82">
        <w:trPr>
          <w:cantSplit/>
        </w:trPr>
        <w:tc>
          <w:tcPr>
            <w:tcW w:w="6911" w:type="dxa"/>
            <w:gridSpan w:val="2"/>
          </w:tcPr>
          <w:p w14:paraId="314BF0FF" w14:textId="77777777" w:rsidR="00BB1D82" w:rsidRPr="00202653" w:rsidRDefault="006D4724" w:rsidP="00B42557">
            <w:pPr>
              <w:spacing w:before="0"/>
              <w:rPr>
                <w:rFonts w:ascii="Verdana" w:hAnsi="Verdana"/>
                <w:b/>
                <w:sz w:val="20"/>
              </w:rPr>
            </w:pPr>
            <w:r w:rsidRPr="00202653">
              <w:rPr>
                <w:rFonts w:ascii="Verdana" w:hAnsi="Verdana"/>
                <w:b/>
                <w:sz w:val="20"/>
              </w:rPr>
              <w:t>SÉANCE PLÉNIÈRE</w:t>
            </w:r>
          </w:p>
        </w:tc>
        <w:tc>
          <w:tcPr>
            <w:tcW w:w="3120" w:type="dxa"/>
            <w:gridSpan w:val="2"/>
          </w:tcPr>
          <w:p w14:paraId="49694772" w14:textId="77777777" w:rsidR="00BB1D82" w:rsidRPr="00202653" w:rsidRDefault="006D4724" w:rsidP="00B42557">
            <w:pPr>
              <w:spacing w:before="0"/>
              <w:rPr>
                <w:rFonts w:ascii="Verdana" w:hAnsi="Verdana"/>
                <w:sz w:val="20"/>
              </w:rPr>
            </w:pPr>
            <w:r w:rsidRPr="00202653">
              <w:rPr>
                <w:rFonts w:ascii="Verdana" w:hAnsi="Verdana"/>
                <w:b/>
                <w:sz w:val="20"/>
              </w:rPr>
              <w:t>Addendum 9 au</w:t>
            </w:r>
            <w:r w:rsidRPr="00202653">
              <w:rPr>
                <w:rFonts w:ascii="Verdana" w:hAnsi="Verdana"/>
                <w:b/>
                <w:sz w:val="20"/>
              </w:rPr>
              <w:br/>
              <w:t>Document 44(Add.27)</w:t>
            </w:r>
            <w:r w:rsidR="00BB1D82" w:rsidRPr="00202653">
              <w:rPr>
                <w:rFonts w:ascii="Verdana" w:hAnsi="Verdana"/>
                <w:b/>
                <w:sz w:val="20"/>
              </w:rPr>
              <w:t>-</w:t>
            </w:r>
            <w:r w:rsidRPr="00202653">
              <w:rPr>
                <w:rFonts w:ascii="Verdana" w:hAnsi="Verdana"/>
                <w:b/>
                <w:sz w:val="20"/>
              </w:rPr>
              <w:t>F</w:t>
            </w:r>
          </w:p>
        </w:tc>
      </w:tr>
      <w:bookmarkEnd w:id="1"/>
      <w:tr w:rsidR="00690C7B" w:rsidRPr="00202653" w14:paraId="0CE1459F" w14:textId="77777777" w:rsidTr="00BB1D82">
        <w:trPr>
          <w:cantSplit/>
        </w:trPr>
        <w:tc>
          <w:tcPr>
            <w:tcW w:w="6911" w:type="dxa"/>
            <w:gridSpan w:val="2"/>
          </w:tcPr>
          <w:p w14:paraId="3AACB67F" w14:textId="77777777" w:rsidR="00690C7B" w:rsidRPr="00202653" w:rsidRDefault="00690C7B" w:rsidP="00B42557">
            <w:pPr>
              <w:spacing w:before="0"/>
              <w:rPr>
                <w:rFonts w:ascii="Verdana" w:hAnsi="Verdana"/>
                <w:b/>
                <w:sz w:val="20"/>
              </w:rPr>
            </w:pPr>
          </w:p>
        </w:tc>
        <w:tc>
          <w:tcPr>
            <w:tcW w:w="3120" w:type="dxa"/>
            <w:gridSpan w:val="2"/>
          </w:tcPr>
          <w:p w14:paraId="0EE1F0D8" w14:textId="77777777" w:rsidR="00690C7B" w:rsidRPr="00202653" w:rsidRDefault="00690C7B" w:rsidP="00B42557">
            <w:pPr>
              <w:spacing w:before="0"/>
              <w:rPr>
                <w:rFonts w:ascii="Verdana" w:hAnsi="Verdana"/>
                <w:b/>
                <w:sz w:val="20"/>
              </w:rPr>
            </w:pPr>
            <w:r w:rsidRPr="00202653">
              <w:rPr>
                <w:rFonts w:ascii="Verdana" w:hAnsi="Verdana"/>
                <w:b/>
                <w:sz w:val="20"/>
              </w:rPr>
              <w:t>13 octobre 2023</w:t>
            </w:r>
          </w:p>
        </w:tc>
      </w:tr>
      <w:tr w:rsidR="00690C7B" w:rsidRPr="00202653" w14:paraId="6629EF43" w14:textId="77777777" w:rsidTr="00BB1D82">
        <w:trPr>
          <w:cantSplit/>
        </w:trPr>
        <w:tc>
          <w:tcPr>
            <w:tcW w:w="6911" w:type="dxa"/>
            <w:gridSpan w:val="2"/>
          </w:tcPr>
          <w:p w14:paraId="39388C40" w14:textId="77777777" w:rsidR="00690C7B" w:rsidRPr="00202653" w:rsidRDefault="00690C7B" w:rsidP="00B42557">
            <w:pPr>
              <w:spacing w:before="0" w:after="48"/>
              <w:rPr>
                <w:rFonts w:ascii="Verdana" w:hAnsi="Verdana"/>
                <w:b/>
                <w:smallCaps/>
                <w:sz w:val="20"/>
              </w:rPr>
            </w:pPr>
          </w:p>
        </w:tc>
        <w:tc>
          <w:tcPr>
            <w:tcW w:w="3120" w:type="dxa"/>
            <w:gridSpan w:val="2"/>
          </w:tcPr>
          <w:p w14:paraId="49694286" w14:textId="77777777" w:rsidR="00690C7B" w:rsidRPr="00202653" w:rsidRDefault="00690C7B" w:rsidP="00B42557">
            <w:pPr>
              <w:spacing w:before="0"/>
              <w:rPr>
                <w:rFonts w:ascii="Verdana" w:hAnsi="Verdana"/>
                <w:b/>
                <w:sz w:val="20"/>
              </w:rPr>
            </w:pPr>
            <w:r w:rsidRPr="00202653">
              <w:rPr>
                <w:rFonts w:ascii="Verdana" w:hAnsi="Verdana"/>
                <w:b/>
                <w:sz w:val="20"/>
              </w:rPr>
              <w:t>Original: anglais</w:t>
            </w:r>
          </w:p>
        </w:tc>
      </w:tr>
      <w:tr w:rsidR="00690C7B" w:rsidRPr="00202653" w14:paraId="56628875" w14:textId="77777777" w:rsidTr="00C11970">
        <w:trPr>
          <w:cantSplit/>
        </w:trPr>
        <w:tc>
          <w:tcPr>
            <w:tcW w:w="10031" w:type="dxa"/>
            <w:gridSpan w:val="4"/>
          </w:tcPr>
          <w:p w14:paraId="71CCBC59" w14:textId="77777777" w:rsidR="00690C7B" w:rsidRPr="00202653" w:rsidRDefault="00690C7B" w:rsidP="00B42557">
            <w:pPr>
              <w:spacing w:before="0"/>
              <w:rPr>
                <w:rFonts w:ascii="Verdana" w:hAnsi="Verdana"/>
                <w:b/>
                <w:sz w:val="20"/>
              </w:rPr>
            </w:pPr>
          </w:p>
        </w:tc>
      </w:tr>
      <w:tr w:rsidR="00690C7B" w:rsidRPr="00202653" w14:paraId="04C73D5D" w14:textId="77777777" w:rsidTr="0050008E">
        <w:trPr>
          <w:cantSplit/>
        </w:trPr>
        <w:tc>
          <w:tcPr>
            <w:tcW w:w="10031" w:type="dxa"/>
            <w:gridSpan w:val="4"/>
          </w:tcPr>
          <w:p w14:paraId="1D19E086" w14:textId="77777777" w:rsidR="00690C7B" w:rsidRPr="00202653" w:rsidRDefault="00690C7B" w:rsidP="00B42557">
            <w:pPr>
              <w:pStyle w:val="Source"/>
            </w:pPr>
            <w:bookmarkStart w:id="2" w:name="dsource" w:colFirst="0" w:colLast="0"/>
            <w:r w:rsidRPr="00202653">
              <w:t>États Membres de la Commission interaméricaine des télécommunications (CITEL)</w:t>
            </w:r>
          </w:p>
        </w:tc>
      </w:tr>
      <w:tr w:rsidR="00690C7B" w:rsidRPr="00202653" w14:paraId="4487AB56" w14:textId="77777777" w:rsidTr="0050008E">
        <w:trPr>
          <w:cantSplit/>
        </w:trPr>
        <w:tc>
          <w:tcPr>
            <w:tcW w:w="10031" w:type="dxa"/>
            <w:gridSpan w:val="4"/>
          </w:tcPr>
          <w:p w14:paraId="6A89D39A" w14:textId="568D716A" w:rsidR="00690C7B" w:rsidRPr="00202653" w:rsidRDefault="00527EC7" w:rsidP="00B42557">
            <w:pPr>
              <w:pStyle w:val="Title1"/>
            </w:pPr>
            <w:bookmarkStart w:id="3" w:name="dtitle1" w:colFirst="0" w:colLast="0"/>
            <w:bookmarkEnd w:id="2"/>
            <w:r w:rsidRPr="00202653">
              <w:t>PROPOSITIONS POUR LES TRAVAUX DE LA CONFÉRENCE</w:t>
            </w:r>
          </w:p>
        </w:tc>
      </w:tr>
      <w:tr w:rsidR="00690C7B" w:rsidRPr="00202653" w14:paraId="54E244C7" w14:textId="77777777" w:rsidTr="0050008E">
        <w:trPr>
          <w:cantSplit/>
        </w:trPr>
        <w:tc>
          <w:tcPr>
            <w:tcW w:w="10031" w:type="dxa"/>
            <w:gridSpan w:val="4"/>
          </w:tcPr>
          <w:p w14:paraId="23C4EDC4" w14:textId="77777777" w:rsidR="00690C7B" w:rsidRPr="00202653" w:rsidRDefault="00690C7B" w:rsidP="00B42557">
            <w:pPr>
              <w:pStyle w:val="Title2"/>
            </w:pPr>
            <w:bookmarkStart w:id="4" w:name="dtitle2" w:colFirst="0" w:colLast="0"/>
            <w:bookmarkEnd w:id="3"/>
          </w:p>
        </w:tc>
      </w:tr>
      <w:tr w:rsidR="00690C7B" w:rsidRPr="00202653" w14:paraId="409EDFDD" w14:textId="77777777" w:rsidTr="0050008E">
        <w:trPr>
          <w:cantSplit/>
        </w:trPr>
        <w:tc>
          <w:tcPr>
            <w:tcW w:w="10031" w:type="dxa"/>
            <w:gridSpan w:val="4"/>
          </w:tcPr>
          <w:p w14:paraId="07757890" w14:textId="77777777" w:rsidR="00690C7B" w:rsidRPr="00202653" w:rsidRDefault="00690C7B" w:rsidP="00B42557">
            <w:pPr>
              <w:pStyle w:val="Agendaitem"/>
              <w:rPr>
                <w:lang w:val="fr-FR"/>
              </w:rPr>
            </w:pPr>
            <w:bookmarkStart w:id="5" w:name="dtitle3" w:colFirst="0" w:colLast="0"/>
            <w:bookmarkEnd w:id="4"/>
            <w:r w:rsidRPr="00202653">
              <w:rPr>
                <w:lang w:val="fr-FR"/>
              </w:rPr>
              <w:t>Point 10 de l'ordre du jour</w:t>
            </w:r>
          </w:p>
        </w:tc>
      </w:tr>
    </w:tbl>
    <w:bookmarkEnd w:id="5"/>
    <w:p w14:paraId="29FEF9ED" w14:textId="0EE3AF2B" w:rsidR="004272EA" w:rsidRPr="00202653" w:rsidRDefault="004272EA" w:rsidP="00B42557">
      <w:r w:rsidRPr="00202653">
        <w:t>10</w:t>
      </w:r>
      <w:r w:rsidRPr="00202653">
        <w:tab/>
        <w:t>recommander au Conseil de l'UIT des points à inscrire à l'ordre du jour de la Conférence mondiale des radiocommunications suivante et des points de l'ordre du jour préliminaire de conférences futures, conformément à l'article 7 de la</w:t>
      </w:r>
      <w:r w:rsidR="00013FA1">
        <w:t xml:space="preserve"> </w:t>
      </w:r>
      <w:r w:rsidRPr="00202653">
        <w:t>Convention de l'UIT et à la Résolution</w:t>
      </w:r>
      <w:r w:rsidR="00527554" w:rsidRPr="00202653">
        <w:t> </w:t>
      </w:r>
      <w:r w:rsidRPr="00202653">
        <w:rPr>
          <w:b/>
        </w:rPr>
        <w:t>804 (Rév.CMR-19)</w:t>
      </w:r>
      <w:r w:rsidRPr="00202653">
        <w:t>,</w:t>
      </w:r>
    </w:p>
    <w:p w14:paraId="35794545" w14:textId="61C732E9" w:rsidR="00527EC7" w:rsidRPr="00202653" w:rsidRDefault="00B64D15" w:rsidP="00EB1C66">
      <w:pPr>
        <w:pStyle w:val="Part1"/>
      </w:pPr>
      <w:r w:rsidRPr="00202653">
        <w:t>Partie 9</w:t>
      </w:r>
    </w:p>
    <w:p w14:paraId="4F73D08C" w14:textId="7EA07876" w:rsidR="00527EC7" w:rsidRPr="00202653" w:rsidRDefault="00B64D15" w:rsidP="00B42557">
      <w:pPr>
        <w:pStyle w:val="Headingb"/>
      </w:pPr>
      <w:r w:rsidRPr="00202653">
        <w:t>Considérations générales</w:t>
      </w:r>
    </w:p>
    <w:p w14:paraId="78C22504" w14:textId="62240BEA" w:rsidR="00B64D15" w:rsidRPr="00202653" w:rsidRDefault="00B64D15" w:rsidP="00B42557">
      <w:r w:rsidRPr="00202653">
        <w:t>La demande de connectivité a considérablement augmenté ces dernières années, principalement en raison du développement de nouvelles applications et technologies qui</w:t>
      </w:r>
      <w:r w:rsidR="00F04DE0" w:rsidRPr="00202653">
        <w:t>, pour fonctionner</w:t>
      </w:r>
      <w:r w:rsidRPr="00202653">
        <w:t xml:space="preserve"> </w:t>
      </w:r>
      <w:r w:rsidR="00F04DE0" w:rsidRPr="00202653">
        <w:t xml:space="preserve">correctement, </w:t>
      </w:r>
      <w:r w:rsidRPr="00202653">
        <w:t xml:space="preserve">nécessitent </w:t>
      </w:r>
      <w:r w:rsidR="00BD3A43" w:rsidRPr="00202653">
        <w:t>d'une plus grande</w:t>
      </w:r>
      <w:r w:rsidRPr="00202653">
        <w:t xml:space="preserve"> largeur de bande. Les bandes de fréquences récemment identifiées pour les Télécommunications mobiles internationales (IMT) contribuent à la réalisation de cet objectif, mais de nombreux endroits, en particulier dans les zones rurales et isolées, ne sont toujours pas connectés</w:t>
      </w:r>
      <w:r w:rsidR="00E95ED5" w:rsidRPr="00202653">
        <w:t>.</w:t>
      </w:r>
    </w:p>
    <w:p w14:paraId="57072E3A" w14:textId="030ABF68" w:rsidR="00527EC7" w:rsidRPr="00202653" w:rsidRDefault="00E7332B" w:rsidP="00B42557">
      <w:r w:rsidRPr="00202653">
        <w:t>À</w:t>
      </w:r>
      <w:r w:rsidR="00E95ED5" w:rsidRPr="00202653">
        <w:t xml:space="preserve"> l</w:t>
      </w:r>
      <w:r w:rsidR="0083653B" w:rsidRPr="00202653">
        <w:t>'</w:t>
      </w:r>
      <w:r w:rsidR="00E95ED5" w:rsidRPr="00202653">
        <w:t xml:space="preserve">instar des cadres </w:t>
      </w:r>
      <w:r w:rsidR="00BD3A43" w:rsidRPr="00202653">
        <w:t xml:space="preserve">pour les </w:t>
      </w:r>
      <w:r w:rsidR="00E95ED5" w:rsidRPr="00202653">
        <w:t>IMT précédents, tels que les IMT-2000 et les IMT évoluées, dans l</w:t>
      </w:r>
      <w:r w:rsidR="0083653B" w:rsidRPr="00202653">
        <w:t>'</w:t>
      </w:r>
      <w:r w:rsidR="00E95ED5" w:rsidRPr="00202653">
        <w:t>écosystème des IMT-2020, l</w:t>
      </w:r>
      <w:r w:rsidR="0083653B" w:rsidRPr="00202653">
        <w:t>'</w:t>
      </w:r>
      <w:r w:rsidR="00E95ED5" w:rsidRPr="00202653">
        <w:t xml:space="preserve">utilisation des interfaces radioélectriques de satellite </w:t>
      </w:r>
      <w:r w:rsidR="00A616EC" w:rsidRPr="00202653">
        <w:t xml:space="preserve">et l'objectif recherchés avec ces systèmes </w:t>
      </w:r>
      <w:r w:rsidR="00E95ED5" w:rsidRPr="00202653">
        <w:t xml:space="preserve">devraient compléter les opérations des IMT-2020 de Terre, compte tenu de la capacité unique des satellites à relever les défis </w:t>
      </w:r>
      <w:r w:rsidR="00BD3A43" w:rsidRPr="00202653">
        <w:t xml:space="preserve">en matière </w:t>
      </w:r>
      <w:r w:rsidR="00E95ED5" w:rsidRPr="00202653">
        <w:t xml:space="preserve">de couverture et à </w:t>
      </w:r>
      <w:r w:rsidR="00045B5A" w:rsidRPr="00202653">
        <w:t>traiter l</w:t>
      </w:r>
      <w:r w:rsidR="00E95ED5" w:rsidRPr="00202653">
        <w:t>es cas d</w:t>
      </w:r>
      <w:r w:rsidR="0083653B" w:rsidRPr="00202653">
        <w:t>'</w:t>
      </w:r>
      <w:r w:rsidR="00E95ED5" w:rsidRPr="00202653">
        <w:t>utilisation.</w:t>
      </w:r>
    </w:p>
    <w:p w14:paraId="7895B74E" w14:textId="79DFDA92" w:rsidR="00045B5A" w:rsidRPr="00202653" w:rsidRDefault="00C30A4E" w:rsidP="00B42557">
      <w:r w:rsidRPr="00202653">
        <w:t xml:space="preserve">Dans ce contexte, la composante satellite contribuera essentiellement à étendre la couverture du service IMT-2020 dans les zones </w:t>
      </w:r>
      <w:r w:rsidR="00A616EC" w:rsidRPr="00202653">
        <w:t xml:space="preserve">mal desservies </w:t>
      </w:r>
      <w:r w:rsidRPr="00202653">
        <w:t xml:space="preserve">et non desservies, où il est le plus judicieux de compléter la composante de Terre. En outre, les deux types de composantes de réseau contribueront </w:t>
      </w:r>
      <w:r w:rsidRPr="00202653">
        <w:lastRenderedPageBreak/>
        <w:t>à accroître la fiabilité globale des systèmes IMT-2020</w:t>
      </w:r>
      <w:r w:rsidR="00EB1C66" w:rsidRPr="00202653">
        <w:rPr>
          <w:rStyle w:val="FootnoteReference"/>
        </w:rPr>
        <w:footnoteReference w:customMarkFollows="1" w:id="1"/>
        <w:t>1</w:t>
      </w:r>
      <w:r w:rsidRPr="00202653">
        <w:t>. Comme indiqué dans le Rapport</w:t>
      </w:r>
      <w:r w:rsidR="00527554" w:rsidRPr="00202653">
        <w:t> </w:t>
      </w:r>
      <w:r w:rsidRPr="00202653">
        <w:t>UIT</w:t>
      </w:r>
      <w:r w:rsidR="00527554" w:rsidRPr="00202653">
        <w:noBreakHyphen/>
      </w:r>
      <w:r w:rsidRPr="00202653">
        <w:t>R</w:t>
      </w:r>
      <w:r w:rsidR="00527554" w:rsidRPr="00202653">
        <w:t> </w:t>
      </w:r>
      <w:r w:rsidRPr="00202653">
        <w:t>M.2514</w:t>
      </w:r>
      <w:r w:rsidR="00527554" w:rsidRPr="00202653">
        <w:noBreakHyphen/>
      </w:r>
      <w:r w:rsidRPr="00202653">
        <w:t>0</w:t>
      </w:r>
      <w:r w:rsidR="00D35617" w:rsidRPr="00202653">
        <w:t xml:space="preserve"> intitulé «V</w:t>
      </w:r>
      <w:r w:rsidRPr="00202653">
        <w:t xml:space="preserve">ision, </w:t>
      </w:r>
      <w:r w:rsidR="00D35617" w:rsidRPr="00202653">
        <w:t xml:space="preserve">spécifications </w:t>
      </w:r>
      <w:r w:rsidRPr="00202653">
        <w:t xml:space="preserve">et lignes directrices </w:t>
      </w:r>
      <w:r w:rsidR="00D35617" w:rsidRPr="00202653">
        <w:t xml:space="preserve">relatives à </w:t>
      </w:r>
      <w:r w:rsidRPr="00202653">
        <w:t>l</w:t>
      </w:r>
      <w:r w:rsidR="0083653B" w:rsidRPr="00202653">
        <w:t>'</w:t>
      </w:r>
      <w:r w:rsidRPr="00202653">
        <w:t xml:space="preserve">évaluation de </w:t>
      </w:r>
      <w:r w:rsidR="00D35617" w:rsidRPr="00202653">
        <w:t>l'</w:t>
      </w:r>
      <w:r w:rsidRPr="00202653">
        <w:t>interface</w:t>
      </w:r>
      <w:r w:rsidR="00D35617" w:rsidRPr="00202653">
        <w:t xml:space="preserve"> (des interfaces)</w:t>
      </w:r>
      <w:r w:rsidRPr="00202653">
        <w:t xml:space="preserve"> radioélectrique</w:t>
      </w:r>
      <w:r w:rsidR="00D35617" w:rsidRPr="00202653">
        <w:t>(</w:t>
      </w:r>
      <w:r w:rsidRPr="00202653">
        <w:t>s</w:t>
      </w:r>
      <w:r w:rsidR="00D35617" w:rsidRPr="00202653">
        <w:t>)</w:t>
      </w:r>
      <w:r w:rsidRPr="00202653">
        <w:t xml:space="preserve"> de satellite </w:t>
      </w:r>
      <w:r w:rsidR="00D35617" w:rsidRPr="00202653">
        <w:t>pour les</w:t>
      </w:r>
      <w:r w:rsidRPr="00202653">
        <w:t xml:space="preserve"> IMT-2020</w:t>
      </w:r>
      <w:r w:rsidR="00D35617" w:rsidRPr="00202653">
        <w:t>»</w:t>
      </w:r>
      <w:r w:rsidRPr="00202653">
        <w:t xml:space="preserve">, </w:t>
      </w:r>
      <w:r w:rsidR="00D35617" w:rsidRPr="00202653">
        <w:t xml:space="preserve">qui a récemment </w:t>
      </w:r>
      <w:r w:rsidR="006E758F" w:rsidRPr="00202653">
        <w:t xml:space="preserve">été </w:t>
      </w:r>
      <w:r w:rsidR="00D35617" w:rsidRPr="00202653">
        <w:t xml:space="preserve">approuvé, </w:t>
      </w:r>
      <w:r w:rsidRPr="00202653">
        <w:t xml:space="preserve">les nouvelles catégories de services par satellite </w:t>
      </w:r>
      <w:r w:rsidR="00C10808" w:rsidRPr="00202653">
        <w:t xml:space="preserve">sont traitées </w:t>
      </w:r>
      <w:r w:rsidRPr="00202653">
        <w:t>dans les scénarios d</w:t>
      </w:r>
      <w:r w:rsidR="0083653B" w:rsidRPr="00202653">
        <w:t>'</w:t>
      </w:r>
      <w:r w:rsidRPr="00202653">
        <w:t xml:space="preserve">utilisation du large bande mobile évolué (eMBB), des communications massives de type machine (mMTC) et des communications </w:t>
      </w:r>
      <w:r w:rsidR="00B16355" w:rsidRPr="00202653">
        <w:t xml:space="preserve">ultra-fiables présentant un faible temps de latence </w:t>
      </w:r>
      <w:r w:rsidRPr="00202653">
        <w:t>(</w:t>
      </w:r>
      <w:r w:rsidR="00F04DE0" w:rsidRPr="00202653">
        <w:t>URLL</w:t>
      </w:r>
      <w:r w:rsidRPr="00202653">
        <w:t>C) pour la composante satellite des IMT-2020.</w:t>
      </w:r>
      <w:r w:rsidR="00B16355" w:rsidRPr="00202653">
        <w:t xml:space="preserve"> Les scénarios d'utilisation des communications mMTC</w:t>
      </w:r>
      <w:r w:rsidR="00F04DE0" w:rsidRPr="00202653">
        <w:t xml:space="preserve"> et</w:t>
      </w:r>
      <w:r w:rsidR="00B16355" w:rsidRPr="00202653">
        <w:t xml:space="preserve"> du large bande mobile évolué sont des variantes des scénarios d'utilisation des communications mMTC et du large bande mobile évolué définis pour les IMT</w:t>
      </w:r>
      <w:r w:rsidR="00B64401" w:rsidRPr="00202653">
        <w:noBreakHyphen/>
      </w:r>
      <w:r w:rsidR="00B16355" w:rsidRPr="00202653">
        <w:t>2020 de Terre</w:t>
      </w:r>
      <w:r w:rsidR="001D0780" w:rsidRPr="00202653">
        <w:t xml:space="preserve"> </w:t>
      </w:r>
      <w:r w:rsidR="00B16355" w:rsidRPr="00202653">
        <w:t>dans la Recommandation UIT</w:t>
      </w:r>
      <w:r w:rsidR="00E7332B" w:rsidRPr="00202653">
        <w:noBreakHyphen/>
      </w:r>
      <w:r w:rsidR="00B16355" w:rsidRPr="00202653">
        <w:t xml:space="preserve">R M.2083. </w:t>
      </w:r>
      <w:r w:rsidR="002A7366" w:rsidRPr="00202653">
        <w:t>Certains aspects des IMT-2020 ne devraient pas être pris en charge par l'interface radioélectrique satellite pour les IMT-2020</w:t>
      </w:r>
      <w:r w:rsidR="00F04DE0" w:rsidRPr="00202653">
        <w:t xml:space="preserve">, par exemple les </w:t>
      </w:r>
      <w:r w:rsidR="006B2776" w:rsidRPr="00202653">
        <w:t xml:space="preserve">hauts </w:t>
      </w:r>
      <w:r w:rsidR="00F04DE0" w:rsidRPr="00202653">
        <w:t xml:space="preserve">débits de données du large bande mobile évolué, la densité de connexion très élevée des communications mMTC et la faible latence des communications URLLC, </w:t>
      </w:r>
      <w:r w:rsidR="00EE3F27" w:rsidRPr="00202653">
        <w:t xml:space="preserve">compte tenu </w:t>
      </w:r>
      <w:r w:rsidR="006E758F" w:rsidRPr="00202653">
        <w:t xml:space="preserve">de </w:t>
      </w:r>
      <w:r w:rsidR="00F04DE0" w:rsidRPr="00202653">
        <w:t>la distance inhérente des satellites par rapport aux terminaux ou</w:t>
      </w:r>
      <w:r w:rsidR="006E758F" w:rsidRPr="00202653">
        <w:t xml:space="preserve"> aux</w:t>
      </w:r>
      <w:r w:rsidR="00F04DE0" w:rsidRPr="00202653">
        <w:t xml:space="preserve"> stations terrestres associés</w:t>
      </w:r>
      <w:r w:rsidR="00EE3F27" w:rsidRPr="00202653">
        <w:t>, ainsi que</w:t>
      </w:r>
      <w:r w:rsidR="00F04DE0" w:rsidRPr="00202653">
        <w:t xml:space="preserve"> </w:t>
      </w:r>
      <w:r w:rsidR="006E758F" w:rsidRPr="00202653">
        <w:t xml:space="preserve">du défi lié à </w:t>
      </w:r>
      <w:r w:rsidR="00F04DE0" w:rsidRPr="00202653">
        <w:t>la latence plus importan</w:t>
      </w:r>
      <w:r w:rsidR="00EE3F27" w:rsidRPr="00202653">
        <w:t>t</w:t>
      </w:r>
      <w:r w:rsidR="00F04DE0" w:rsidRPr="00202653">
        <w:t xml:space="preserve">e </w:t>
      </w:r>
      <w:r w:rsidR="00EE3F27" w:rsidRPr="00202653">
        <w:t>que cette distance engendre</w:t>
      </w:r>
      <w:r w:rsidR="00F04DE0" w:rsidRPr="00202653">
        <w:t xml:space="preserve"> </w:t>
      </w:r>
      <w:r w:rsidR="00EE3F27" w:rsidRPr="00202653">
        <w:t xml:space="preserve">en comparaison avec les opérations </w:t>
      </w:r>
      <w:r w:rsidR="006E758F" w:rsidRPr="00202653">
        <w:t>des services de Terre</w:t>
      </w:r>
      <w:r w:rsidR="00F04DE0" w:rsidRPr="00202653">
        <w:t>.</w:t>
      </w:r>
      <w:r w:rsidR="006B2776" w:rsidRPr="00202653">
        <w:t xml:space="preserve"> Il convient de noter que ces scénarios d'utilisation ont été ou sont actuellement fournis par des réseaux </w:t>
      </w:r>
      <w:r w:rsidR="00024739" w:rsidRPr="00202653">
        <w:t xml:space="preserve">mobiles à satellite et des </w:t>
      </w:r>
      <w:r w:rsidR="006B2776" w:rsidRPr="00202653">
        <w:t xml:space="preserve">systèmes mobiles à satellites, sans que ces services par satellite ne fassent partie de la composante satellite des IMT, </w:t>
      </w:r>
      <w:r w:rsidR="00D00E88" w:rsidRPr="00202653">
        <w:t>en conséquence de quoi</w:t>
      </w:r>
      <w:r w:rsidR="006B2776" w:rsidRPr="00202653">
        <w:t>, d</w:t>
      </w:r>
      <w:r w:rsidR="0083653B" w:rsidRPr="00202653">
        <w:t>'</w:t>
      </w:r>
      <w:r w:rsidR="006B2776" w:rsidRPr="00202653">
        <w:t xml:space="preserve">une certaine manière, </w:t>
      </w:r>
      <w:r w:rsidR="00D00E88" w:rsidRPr="00202653">
        <w:t xml:space="preserve">il pourrait être difficile de fournir une </w:t>
      </w:r>
      <w:r w:rsidR="006B2776" w:rsidRPr="00202653">
        <w:t xml:space="preserve">expérience transparente </w:t>
      </w:r>
      <w:r w:rsidR="00D00E88" w:rsidRPr="00202653">
        <w:t>à</w:t>
      </w:r>
      <w:r w:rsidR="006B2776" w:rsidRPr="00202653">
        <w:t xml:space="preserve"> l</w:t>
      </w:r>
      <w:r w:rsidR="0083653B" w:rsidRPr="00202653">
        <w:t>'</w:t>
      </w:r>
      <w:r w:rsidR="006B2776" w:rsidRPr="00202653">
        <w:t xml:space="preserve">utilisateur final. </w:t>
      </w:r>
      <w:r w:rsidR="00D00E88" w:rsidRPr="00202653">
        <w:t>Il convient de mentionner que le Rapport</w:t>
      </w:r>
      <w:r w:rsidR="00B64401" w:rsidRPr="00202653">
        <w:t> </w:t>
      </w:r>
      <w:r w:rsidR="00D00E88" w:rsidRPr="00202653">
        <w:t>UIT</w:t>
      </w:r>
      <w:r w:rsidR="00B64401" w:rsidRPr="00202653">
        <w:noBreakHyphen/>
      </w:r>
      <w:r w:rsidR="00D00E88" w:rsidRPr="00202653">
        <w:t>R</w:t>
      </w:r>
      <w:r w:rsidR="00B64401" w:rsidRPr="00202653">
        <w:t> </w:t>
      </w:r>
      <w:r w:rsidR="00D00E88" w:rsidRPr="00202653">
        <w:t>M.2514 décrit également les trois types de terminaux mobiles par satellite utilisés pour la composante satellite des</w:t>
      </w:r>
      <w:r w:rsidR="00B64401" w:rsidRPr="00202653">
        <w:t> </w:t>
      </w:r>
      <w:r w:rsidR="00D00E88" w:rsidRPr="00202653">
        <w:t>IMT-2020: dispositif portatif, terminal directionnel et dispositif de type machine (MTD).</w:t>
      </w:r>
    </w:p>
    <w:p w14:paraId="4ACB815D" w14:textId="391FEBCB" w:rsidR="00740695" w:rsidRPr="00202653" w:rsidRDefault="005B537E" w:rsidP="00B42557">
      <w:r w:rsidRPr="00202653">
        <w:t>S'agissant d</w:t>
      </w:r>
      <w:r w:rsidR="00740695" w:rsidRPr="00202653">
        <w:t xml:space="preserve">es besoins de spectre additionnels pour le service mobile par satellite (SMS), en particulier </w:t>
      </w:r>
      <w:r w:rsidRPr="00202653">
        <w:t xml:space="preserve">pour </w:t>
      </w:r>
      <w:r w:rsidR="00740695" w:rsidRPr="00202653">
        <w:t>l'utilisation de la composante satellite des IMT, les études précédentes de l'UIT-R</w:t>
      </w:r>
      <w:r w:rsidR="00444C2E" w:rsidRPr="00202653">
        <w:rPr>
          <w:rStyle w:val="FootnoteReference"/>
        </w:rPr>
        <w:footnoteReference w:customMarkFollows="1" w:id="2"/>
        <w:t>2</w:t>
      </w:r>
      <w:r w:rsidR="00740695" w:rsidRPr="00202653">
        <w:t xml:space="preserve">, ainsi que la dynamique et les tendances </w:t>
      </w:r>
      <w:r w:rsidRPr="00202653">
        <w:t xml:space="preserve">récentes </w:t>
      </w:r>
      <w:r w:rsidR="00740695" w:rsidRPr="00202653">
        <w:t xml:space="preserve">du marché </w:t>
      </w:r>
      <w:r w:rsidRPr="00202653">
        <w:t>en matière de satellites communiquant directement avec les dispositifs et d'Internet des objets, indiquent clairement qu</w:t>
      </w:r>
      <w:r w:rsidR="0083653B" w:rsidRPr="00202653">
        <w:t>'</w:t>
      </w:r>
      <w:r w:rsidRPr="00202653">
        <w:t>il est nécessaire d</w:t>
      </w:r>
      <w:r w:rsidR="0083653B" w:rsidRPr="00202653">
        <w:t>'</w:t>
      </w:r>
      <w:r w:rsidRPr="00202653">
        <w:t>actualiser les études sur les attributions additionnelles au SMS dans les bandes déjà identifiées pour les IMT dans le Règlement des radiocommunications. L</w:t>
      </w:r>
      <w:r w:rsidR="001D0780" w:rsidRPr="00202653">
        <w:t>e manque</w:t>
      </w:r>
      <w:r w:rsidR="008F4B86" w:rsidRPr="00202653">
        <w:t xml:space="preserve"> </w:t>
      </w:r>
      <w:r w:rsidRPr="00202653">
        <w:t xml:space="preserve">de bandes de fréquences harmonisées semble si </w:t>
      </w:r>
      <w:r w:rsidR="001D0780" w:rsidRPr="00202653">
        <w:t xml:space="preserve">évident </w:t>
      </w:r>
      <w:r w:rsidRPr="00202653">
        <w:t>que, dernièrement, certains acteurs</w:t>
      </w:r>
      <w:r w:rsidR="008F4B86" w:rsidRPr="00202653">
        <w:t xml:space="preserve"> </w:t>
      </w:r>
      <w:r w:rsidR="001D0780" w:rsidRPr="00202653">
        <w:t xml:space="preserve">ont </w:t>
      </w:r>
      <w:r w:rsidR="008F4B86" w:rsidRPr="00202653">
        <w:t xml:space="preserve">notamment </w:t>
      </w:r>
      <w:r w:rsidR="0033235A" w:rsidRPr="00202653">
        <w:t xml:space="preserve">employé des méthodes plus radicales consistant à </w:t>
      </w:r>
      <w:r w:rsidRPr="00202653">
        <w:t>déploy</w:t>
      </w:r>
      <w:r w:rsidR="0033235A" w:rsidRPr="00202653">
        <w:t>er</w:t>
      </w:r>
      <w:r w:rsidRPr="00202653">
        <w:t xml:space="preserve"> des systèmes commerciaux du SMS </w:t>
      </w:r>
      <w:r w:rsidR="00024739" w:rsidRPr="00202653">
        <w:t>au titre du</w:t>
      </w:r>
      <w:r w:rsidRPr="00202653">
        <w:t xml:space="preserve"> numéro</w:t>
      </w:r>
      <w:r w:rsidR="00B64401" w:rsidRPr="00202653">
        <w:t> </w:t>
      </w:r>
      <w:r w:rsidRPr="00202653">
        <w:rPr>
          <w:b/>
          <w:bCs/>
        </w:rPr>
        <w:t>4.4</w:t>
      </w:r>
      <w:r w:rsidRPr="00202653">
        <w:t xml:space="preserve"> du Règlement des radiocommunications (RR).</w:t>
      </w:r>
      <w:r w:rsidR="00024739" w:rsidRPr="00202653">
        <w:t xml:space="preserve"> Il convient de rappeler que ce problème a également été porté à l</w:t>
      </w:r>
      <w:r w:rsidR="0083653B" w:rsidRPr="00202653">
        <w:t>'</w:t>
      </w:r>
      <w:r w:rsidR="00024739" w:rsidRPr="00202653">
        <w:t>attention de la CMR-23 par le Comité du Règlement des radiocommunications (RRB)</w:t>
      </w:r>
      <w:r w:rsidR="00444C2E" w:rsidRPr="00202653">
        <w:rPr>
          <w:rStyle w:val="FootnoteReference"/>
        </w:rPr>
        <w:footnoteReference w:customMarkFollows="1" w:id="3"/>
        <w:t>3</w:t>
      </w:r>
      <w:r w:rsidR="00024739" w:rsidRPr="00202653">
        <w:t>, qui a signalé dans son rapport à la Conférence qu</w:t>
      </w:r>
      <w:r w:rsidR="0083653B" w:rsidRPr="00202653">
        <w:t>'</w:t>
      </w:r>
      <w:r w:rsidR="00024739" w:rsidRPr="00202653">
        <w:t>en juin</w:t>
      </w:r>
      <w:r w:rsidR="00B64401" w:rsidRPr="00202653">
        <w:t> </w:t>
      </w:r>
      <w:r w:rsidR="00024739" w:rsidRPr="00202653">
        <w:t>2023, il existait plus de 1 600</w:t>
      </w:r>
      <w:r w:rsidR="00B64401" w:rsidRPr="00202653">
        <w:t> </w:t>
      </w:r>
      <w:r w:rsidR="00024739" w:rsidRPr="00202653">
        <w:t>groupes d</w:t>
      </w:r>
      <w:r w:rsidR="0083653B" w:rsidRPr="00202653">
        <w:t>'</w:t>
      </w:r>
      <w:r w:rsidR="00024739" w:rsidRPr="00202653">
        <w:t>assignations de fréquence associés à</w:t>
      </w:r>
      <w:r w:rsidR="00B64401" w:rsidRPr="00202653">
        <w:t> </w:t>
      </w:r>
      <w:r w:rsidR="00024739" w:rsidRPr="00202653">
        <w:t>488 réseaux à satellite et</w:t>
      </w:r>
      <w:r w:rsidR="00B64401" w:rsidRPr="00202653">
        <w:t xml:space="preserve"> </w:t>
      </w:r>
      <w:r w:rsidR="00024739" w:rsidRPr="00202653">
        <w:lastRenderedPageBreak/>
        <w:t xml:space="preserve">systèmes à satellites inscrits dans le Fichier de référence </w:t>
      </w:r>
      <w:r w:rsidR="005077C3" w:rsidRPr="00202653">
        <w:t>dans le cadre du numéro</w:t>
      </w:r>
      <w:r w:rsidR="00013FA1">
        <w:t xml:space="preserve"> </w:t>
      </w:r>
      <w:r w:rsidR="00024739" w:rsidRPr="00202653">
        <w:rPr>
          <w:b/>
          <w:bCs/>
        </w:rPr>
        <w:t>4.4</w:t>
      </w:r>
      <w:r w:rsidR="00024739" w:rsidRPr="00202653">
        <w:t xml:space="preserve"> du RR.</w:t>
      </w:r>
      <w:r w:rsidR="005077C3" w:rsidRPr="00202653">
        <w:t xml:space="preserve"> Parmi</w:t>
      </w:r>
      <w:r w:rsidR="003C5D68">
        <w:t xml:space="preserve"> </w:t>
      </w:r>
      <w:r w:rsidR="005077C3" w:rsidRPr="00202653">
        <w:t>eux se trouvent des systèmes à satellites qui communiquent directement avec des terminaux d'abonné de réseaux de communication de Terre pour prendre en charge les IMT</w:t>
      </w:r>
      <w:r w:rsidR="009703B3" w:rsidRPr="00202653">
        <w:t xml:space="preserve"> (connexion cellulaire directe)</w:t>
      </w:r>
      <w:r w:rsidR="005077C3" w:rsidRPr="00202653">
        <w:t xml:space="preserve"> ou les applications d'IoT</w:t>
      </w:r>
      <w:r w:rsidR="009703B3" w:rsidRPr="00202653">
        <w:t xml:space="preserve"> (connexion directe au dispositif)</w:t>
      </w:r>
      <w:r w:rsidR="005077C3" w:rsidRPr="00202653">
        <w:t xml:space="preserve"> dans des bandes de fréquences qui ne sont pas attribuées aux services spatiaux. </w:t>
      </w:r>
      <w:r w:rsidR="00B45ACD" w:rsidRPr="00202653">
        <w:t xml:space="preserve">D'une certaine manière, cette tendance elle-même illustre </w:t>
      </w:r>
      <w:r w:rsidR="000D5DF1" w:rsidRPr="00202653">
        <w:t xml:space="preserve">qu'il existe aujourd'hui un réel manque de spectre disponible pour le </w:t>
      </w:r>
      <w:r w:rsidR="00B45ACD" w:rsidRPr="00202653">
        <w:t xml:space="preserve">SMS, </w:t>
      </w:r>
      <w:r w:rsidR="006B2C26" w:rsidRPr="00202653">
        <w:t>et que ce manque conduit les administrations à envisager de recourir au numéro</w:t>
      </w:r>
      <w:r w:rsidR="00013FA1">
        <w:t xml:space="preserve"> </w:t>
      </w:r>
      <w:r w:rsidR="006B2C26" w:rsidRPr="00202653">
        <w:rPr>
          <w:b/>
          <w:bCs/>
        </w:rPr>
        <w:t>4.4</w:t>
      </w:r>
      <w:r w:rsidR="00013FA1">
        <w:rPr>
          <w:b/>
          <w:bCs/>
        </w:rPr>
        <w:t xml:space="preserve"> </w:t>
      </w:r>
      <w:r w:rsidR="006B2C26" w:rsidRPr="00202653">
        <w:t>du RR pour des applications commerciales du SMS</w:t>
      </w:r>
      <w:r w:rsidR="00CF6E06" w:rsidRPr="00202653">
        <w:t xml:space="preserve"> de manière à répondre à une demande légitime du marché. </w:t>
      </w:r>
      <w:r w:rsidR="00AF514C" w:rsidRPr="00202653">
        <w:t>Ainsi qu</w:t>
      </w:r>
      <w:r w:rsidR="0083653B" w:rsidRPr="00202653">
        <w:t>'</w:t>
      </w:r>
      <w:r w:rsidR="00AF514C" w:rsidRPr="00202653">
        <w:t xml:space="preserve">il ressort également du rapport du </w:t>
      </w:r>
      <w:r w:rsidR="00BB04FC" w:rsidRPr="00202653">
        <w:t xml:space="preserve">RRB </w:t>
      </w:r>
      <w:r w:rsidR="00AF514C" w:rsidRPr="00202653">
        <w:t>à la CMR-23, les administrations et les opérateurs s</w:t>
      </w:r>
      <w:r w:rsidR="0083653B" w:rsidRPr="00202653">
        <w:t>'</w:t>
      </w:r>
      <w:r w:rsidR="00AF514C" w:rsidRPr="00202653">
        <w:t>appuient de plus en plus sur le numéro</w:t>
      </w:r>
      <w:r w:rsidR="00013FA1">
        <w:t xml:space="preserve"> </w:t>
      </w:r>
      <w:r w:rsidR="00AF514C" w:rsidRPr="00202653">
        <w:rPr>
          <w:b/>
          <w:bCs/>
        </w:rPr>
        <w:t>4.4</w:t>
      </w:r>
      <w:r w:rsidR="00AF514C" w:rsidRPr="00202653">
        <w:t xml:space="preserve"> du RR pour obtenir un accès aux ressources orbitales et spectrales qu</w:t>
      </w:r>
      <w:r w:rsidR="0083653B" w:rsidRPr="00202653">
        <w:t>'</w:t>
      </w:r>
      <w:r w:rsidR="00AF514C" w:rsidRPr="00202653">
        <w:t xml:space="preserve">ils souhaitent utiliser pour exploiter des réseaux à satellite ou des systèmes à satellites du SMS qui </w:t>
      </w:r>
      <w:r w:rsidR="00AC5C88" w:rsidRPr="00202653">
        <w:t xml:space="preserve">visent à </w:t>
      </w:r>
      <w:r w:rsidR="00AF514C" w:rsidRPr="00202653">
        <w:t>assurer des services commerciaux à long terme.</w:t>
      </w:r>
      <w:r w:rsidR="00AC5C88" w:rsidRPr="00202653">
        <w:t xml:space="preserve"> Les opérateurs de satellites commerciaux ont souvent utilisé le numéro</w:t>
      </w:r>
      <w:r w:rsidR="00013FA1">
        <w:t xml:space="preserve"> </w:t>
      </w:r>
      <w:r w:rsidR="00AC5C88" w:rsidRPr="00202653">
        <w:rPr>
          <w:b/>
          <w:bCs/>
        </w:rPr>
        <w:t xml:space="preserve">4.4 </w:t>
      </w:r>
      <w:r w:rsidR="00AC5C88" w:rsidRPr="00202653">
        <w:t xml:space="preserve">du RR pour lancer des prototypes dans le but d'être les premiers à utiliser une bande de fréquences, dans l'attente que la prochaine CMR décide d'attribuer cette bande de fréquences à un service spatial qui </w:t>
      </w:r>
      <w:r w:rsidR="00BB04FC" w:rsidRPr="00202653">
        <w:t>assurerait des opérations</w:t>
      </w:r>
      <w:r w:rsidR="00AC5C88" w:rsidRPr="00202653">
        <w:t xml:space="preserve"> future</w:t>
      </w:r>
      <w:r w:rsidR="00BB04FC" w:rsidRPr="00202653">
        <w:t>s, par voie de la reconnaissance</w:t>
      </w:r>
      <w:r w:rsidR="00AC5C88" w:rsidRPr="00202653">
        <w:t xml:space="preserve"> et</w:t>
      </w:r>
      <w:r w:rsidR="00BB04FC" w:rsidRPr="00202653">
        <w:t xml:space="preserve"> de</w:t>
      </w:r>
      <w:r w:rsidR="00AC5C88" w:rsidRPr="00202653">
        <w:t xml:space="preserve"> la protection internationales nécessaires. Toutefois, au cours des dernières années, le Comité a noté qu'un nombre croissant d'opérateurs de satellites prévoyant d'utiliser une bande de fréquences au titre du numéro</w:t>
      </w:r>
      <w:r w:rsidR="00013FA1">
        <w:t xml:space="preserve"> </w:t>
      </w:r>
      <w:r w:rsidR="00AC5C88" w:rsidRPr="00202653">
        <w:rPr>
          <w:b/>
          <w:bCs/>
        </w:rPr>
        <w:t>4.4</w:t>
      </w:r>
      <w:r w:rsidR="00AC5C88" w:rsidRPr="00202653">
        <w:t xml:space="preserve"> du RR, ont déployé leur système ou leur réseau et entrepris d'offrir des services commerciaux sans demander qu'une décision soit prise dans le cadre d'une CMR. </w:t>
      </w:r>
      <w:r w:rsidR="007415D5" w:rsidRPr="00202653">
        <w:t>Pour ces systèmes à satellites, en particulier les systèmes non</w:t>
      </w:r>
      <w:r w:rsidR="00013FA1">
        <w:t xml:space="preserve"> </w:t>
      </w:r>
      <w:r w:rsidR="007415D5" w:rsidRPr="00202653">
        <w:t>OSG, la situation des brouillages était incertaine en raison du nombre important de plans orbitaux et de satellites.</w:t>
      </w:r>
    </w:p>
    <w:p w14:paraId="72325450" w14:textId="73A9E2B1" w:rsidR="007415D5" w:rsidRPr="00202653" w:rsidRDefault="007415D5" w:rsidP="00B42557">
      <w:r w:rsidRPr="00202653">
        <w:t>Dans le cadre des technologies utilisant la composante</w:t>
      </w:r>
      <w:r w:rsidR="00BB04FC" w:rsidRPr="00202653">
        <w:t xml:space="preserve"> </w:t>
      </w:r>
      <w:r w:rsidRPr="00202653">
        <w:t>satellite des IMT, les dispositifs basculent de manière transparente à la connectivité par satellite lorsque le terminal n</w:t>
      </w:r>
      <w:r w:rsidR="0083653B" w:rsidRPr="00202653">
        <w:t>'</w:t>
      </w:r>
      <w:r w:rsidRPr="00202653">
        <w:t>est plus couvert par un réseau IMT de Terre.</w:t>
      </w:r>
      <w:r w:rsidR="006F6978" w:rsidRPr="00202653">
        <w:t xml:space="preserve"> Récemment, certains opérateurs mobiles se sont associés à des opérateurs de systèmes à satellites existants pour fournir directement des services aux terminaux mobiles lorsque les utilisateurs finals ne sont pas desservis par les IMT de Terre.</w:t>
      </w:r>
      <w:r w:rsidR="00E350F5" w:rsidRPr="00202653">
        <w:t xml:space="preserve"> Ces services initiaux sont actuellement limités aux communications d</w:t>
      </w:r>
      <w:r w:rsidR="0083653B" w:rsidRPr="00202653">
        <w:t>'</w:t>
      </w:r>
      <w:r w:rsidR="00E350F5" w:rsidRPr="00202653">
        <w:t xml:space="preserve">urgence, ou à des services de messagerie texte très limités, </w:t>
      </w:r>
      <w:r w:rsidR="008D34BA" w:rsidRPr="00202653">
        <w:t xml:space="preserve">car ils dépendent de </w:t>
      </w:r>
      <w:r w:rsidR="00E350F5" w:rsidRPr="00202653">
        <w:t>l</w:t>
      </w:r>
      <w:r w:rsidR="0083653B" w:rsidRPr="00202653">
        <w:t>'</w:t>
      </w:r>
      <w:r w:rsidR="00E350F5" w:rsidRPr="00202653">
        <w:t>accès à des attributions au SMS existantes</w:t>
      </w:r>
      <w:r w:rsidR="008D34BA" w:rsidRPr="00202653">
        <w:t>, mais insuffisantes,</w:t>
      </w:r>
      <w:r w:rsidR="00E350F5" w:rsidRPr="00202653">
        <w:t xml:space="preserve"> qui sont également identifiées pour la composante satellite des IMT.</w:t>
      </w:r>
      <w:r w:rsidR="008D34BA" w:rsidRPr="00202653">
        <w:t xml:space="preserve"> </w:t>
      </w:r>
      <w:r w:rsidR="003F005A" w:rsidRPr="00202653">
        <w:t xml:space="preserve">De nouvelles attributions au SMS engendreraient une capacité accrue permettant de fournir aux utilisateurs finals une communication de meilleure qualité lorsque la composante satellite des IMT est utilisée. </w:t>
      </w:r>
      <w:r w:rsidR="00142A54" w:rsidRPr="00202653">
        <w:t>C</w:t>
      </w:r>
      <w:r w:rsidR="003F005A" w:rsidRPr="00202653">
        <w:t>ompte tenu des avantages en termes de bilan de liaison et de latence offerts par les systèmes non</w:t>
      </w:r>
      <w:r w:rsidR="00013FA1">
        <w:t xml:space="preserve"> </w:t>
      </w:r>
      <w:r w:rsidR="003F005A" w:rsidRPr="00202653">
        <w:t>OSG par rapport aux satellites OSG</w:t>
      </w:r>
      <w:r w:rsidR="00912271" w:rsidRPr="00202653">
        <w:t>, l'utilisation du SMS pour la composante</w:t>
      </w:r>
      <w:r w:rsidR="00B42557" w:rsidRPr="00202653">
        <w:t xml:space="preserve"> </w:t>
      </w:r>
      <w:r w:rsidR="00912271" w:rsidRPr="00202653">
        <w:t xml:space="preserve">satellite peut s'avérer particulièrement avantageuse, </w:t>
      </w:r>
      <w:r w:rsidR="00B42557" w:rsidRPr="00202653">
        <w:t>en particulier dans la mesure où</w:t>
      </w:r>
      <w:r w:rsidR="00912271" w:rsidRPr="00202653">
        <w:t xml:space="preserve"> les constellations de satellites non OSG sont en plein essor</w:t>
      </w:r>
      <w:r w:rsidR="003F005A" w:rsidRPr="00202653">
        <w:t>.</w:t>
      </w:r>
    </w:p>
    <w:p w14:paraId="269D07E8" w14:textId="31DB5855" w:rsidR="0081628D" w:rsidRPr="00202653" w:rsidRDefault="001D0780" w:rsidP="00B42557">
      <w:r w:rsidRPr="00202653">
        <w:t xml:space="preserve">Au vu </w:t>
      </w:r>
      <w:r w:rsidR="0081628D" w:rsidRPr="00202653">
        <w:t>de ce qui précède, il est nécessaire de réaliser des études sur les attributions additionnelles du</w:t>
      </w:r>
      <w:r w:rsidR="00013FA1">
        <w:t xml:space="preserve"> </w:t>
      </w:r>
      <w:r w:rsidR="0081628D" w:rsidRPr="00202653">
        <w:t xml:space="preserve">SMS dans les bandes de fréquences déjà identifiées pour les IMT. </w:t>
      </w:r>
      <w:r w:rsidR="00DD1892" w:rsidRPr="00202653">
        <w:t xml:space="preserve">Compte tenu des bandes de fréquences déjà identifiées pour les IMT </w:t>
      </w:r>
      <w:r w:rsidR="00B42557" w:rsidRPr="00202653">
        <w:t>en</w:t>
      </w:r>
      <w:r w:rsidR="00DD1892" w:rsidRPr="00202653">
        <w:t xml:space="preserve"> Région</w:t>
      </w:r>
      <w:r w:rsidR="00013FA1">
        <w:t xml:space="preserve"> </w:t>
      </w:r>
      <w:r w:rsidR="00DD1892" w:rsidRPr="00202653">
        <w:t>2 et du fait qu</w:t>
      </w:r>
      <w:r w:rsidR="0083653B" w:rsidRPr="00202653">
        <w:t>'</w:t>
      </w:r>
      <w:r w:rsidR="00DD1892" w:rsidRPr="00202653">
        <w:t>il est souhaitable d</w:t>
      </w:r>
      <w:r w:rsidR="0083653B" w:rsidRPr="00202653">
        <w:t>'</w:t>
      </w:r>
      <w:r w:rsidR="00DD1892" w:rsidRPr="00202653">
        <w:t>utiliser des bandes de fréquences au-dessous de</w:t>
      </w:r>
      <w:r w:rsidR="00013FA1">
        <w:t xml:space="preserve"> </w:t>
      </w:r>
      <w:r w:rsidR="00DD1892" w:rsidRPr="00202653">
        <w:t>5</w:t>
      </w:r>
      <w:r w:rsidR="00013FA1">
        <w:t xml:space="preserve"> </w:t>
      </w:r>
      <w:r w:rsidR="00DD1892" w:rsidRPr="00202653">
        <w:t xml:space="preserve">GHz </w:t>
      </w:r>
      <w:r w:rsidRPr="00202653">
        <w:t>pour des questions</w:t>
      </w:r>
      <w:r w:rsidR="00DD1892" w:rsidRPr="00202653">
        <w:t xml:space="preserve"> de couverture et de déploiement, il est suggéré d</w:t>
      </w:r>
      <w:r w:rsidR="0083653B" w:rsidRPr="00202653">
        <w:t>'</w:t>
      </w:r>
      <w:r w:rsidR="00DD1892" w:rsidRPr="00202653">
        <w:t xml:space="preserve">étudier les bandes de fréquences indiquées dans le </w:t>
      </w:r>
      <w:r w:rsidR="00DD1892" w:rsidRPr="00202653">
        <w:rPr>
          <w:i/>
          <w:iCs/>
        </w:rPr>
        <w:t>décide d</w:t>
      </w:r>
      <w:r w:rsidR="0083653B" w:rsidRPr="00202653">
        <w:rPr>
          <w:i/>
          <w:iCs/>
        </w:rPr>
        <w:t>'</w:t>
      </w:r>
      <w:r w:rsidR="00DD1892" w:rsidRPr="00202653">
        <w:rPr>
          <w:i/>
          <w:iCs/>
        </w:rPr>
        <w:t>inviter le Secteur des radiocommunications de l</w:t>
      </w:r>
      <w:r w:rsidR="0083653B" w:rsidRPr="00202653">
        <w:rPr>
          <w:i/>
          <w:iCs/>
        </w:rPr>
        <w:t>'</w:t>
      </w:r>
      <w:r w:rsidR="00DD1892" w:rsidRPr="00202653">
        <w:rPr>
          <w:i/>
          <w:iCs/>
        </w:rPr>
        <w:t>UI</w:t>
      </w:r>
      <w:r w:rsidR="00B42557" w:rsidRPr="00202653">
        <w:rPr>
          <w:i/>
          <w:iCs/>
        </w:rPr>
        <w:t>T</w:t>
      </w:r>
      <w:r w:rsidR="00DD1892" w:rsidRPr="00202653">
        <w:t xml:space="preserve"> du projet de nouvelle Résolution proposé ci-après, afin d'assurer la coexistence et la compatibilité entre la composante de Terre des IMT (dans le SM) et la composante satellite des IMT (dans le SM et le SMS), et d'assurer la protection des services primaires existants dans la bande de fréquences et dans les bandes </w:t>
      </w:r>
      <w:r w:rsidRPr="00202653">
        <w:t xml:space="preserve">de fréquences </w:t>
      </w:r>
      <w:r w:rsidR="00DD1892" w:rsidRPr="00202653">
        <w:t>adjacentes, selon qu</w:t>
      </w:r>
      <w:r w:rsidR="0083653B" w:rsidRPr="00202653">
        <w:t>'</w:t>
      </w:r>
      <w:r w:rsidR="00DD1892" w:rsidRPr="00202653">
        <w:t>il conviendra.</w:t>
      </w:r>
    </w:p>
    <w:p w14:paraId="1436782E" w14:textId="21C35A5A" w:rsidR="00A37E3F" w:rsidRPr="00202653" w:rsidRDefault="00A37E3F" w:rsidP="00EB1C66">
      <w:pPr>
        <w:pStyle w:val="Headingb"/>
      </w:pPr>
      <w:r w:rsidRPr="00202653">
        <w:t>Propositions</w:t>
      </w:r>
    </w:p>
    <w:p w14:paraId="26E7BAC0" w14:textId="77777777" w:rsidR="0015203F" w:rsidRPr="00202653" w:rsidRDefault="0015203F" w:rsidP="00B42557">
      <w:pPr>
        <w:tabs>
          <w:tab w:val="clear" w:pos="1134"/>
          <w:tab w:val="clear" w:pos="1871"/>
          <w:tab w:val="clear" w:pos="2268"/>
        </w:tabs>
        <w:overflowPunct/>
        <w:autoSpaceDE/>
        <w:autoSpaceDN/>
        <w:adjustRightInd/>
        <w:spacing w:before="0"/>
        <w:textAlignment w:val="auto"/>
      </w:pPr>
      <w:r w:rsidRPr="00202653">
        <w:br w:type="page"/>
      </w:r>
    </w:p>
    <w:p w14:paraId="22F41FFC" w14:textId="77777777" w:rsidR="009044B6" w:rsidRPr="00202653" w:rsidRDefault="004272EA" w:rsidP="00B42557">
      <w:pPr>
        <w:pStyle w:val="Proposal"/>
      </w:pPr>
      <w:r w:rsidRPr="00202653">
        <w:lastRenderedPageBreak/>
        <w:t>ADD</w:t>
      </w:r>
      <w:r w:rsidRPr="00202653">
        <w:tab/>
        <w:t>IAP/44A27A9/1</w:t>
      </w:r>
    </w:p>
    <w:p w14:paraId="0A7BBDEC" w14:textId="4546E101" w:rsidR="009044B6" w:rsidRPr="00202653" w:rsidRDefault="004272EA" w:rsidP="00B42557">
      <w:pPr>
        <w:pStyle w:val="ResNo"/>
      </w:pPr>
      <w:r w:rsidRPr="00202653">
        <w:t>Projet de nouvelle Résolution [AI10-MSS-NEW-ALLOCATION]</w:t>
      </w:r>
      <w:r w:rsidR="00A37E3F" w:rsidRPr="00202653">
        <w:t xml:space="preserve"> (CMR-23)</w:t>
      </w:r>
    </w:p>
    <w:p w14:paraId="38178BE6" w14:textId="10E5FBB4" w:rsidR="009044B6" w:rsidRPr="00202653" w:rsidRDefault="006A51AF" w:rsidP="00B42557">
      <w:pPr>
        <w:pStyle w:val="Restitle"/>
      </w:pPr>
      <w:r w:rsidRPr="00202653">
        <w:t>Études sur les attributions additionnelles au service mobile par satellite</w:t>
      </w:r>
      <w:r w:rsidR="00E7332B" w:rsidRPr="00202653">
        <w:br/>
      </w:r>
      <w:r w:rsidRPr="00202653">
        <w:t>pour permettre l'utilisation de la composante satellite</w:t>
      </w:r>
      <w:r w:rsidR="00E7332B" w:rsidRPr="00202653">
        <w:t xml:space="preserve"> </w:t>
      </w:r>
      <w:r w:rsidRPr="00202653">
        <w:t>des</w:t>
      </w:r>
      <w:r w:rsidR="00E7332B" w:rsidRPr="00202653">
        <w:br/>
      </w:r>
      <w:r w:rsidRPr="00202653">
        <w:t>Télécommunications mobiles internationales</w:t>
      </w:r>
    </w:p>
    <w:p w14:paraId="481EFCE4" w14:textId="77777777" w:rsidR="00A37E3F" w:rsidRPr="00202653" w:rsidRDefault="00A37E3F" w:rsidP="00B42557">
      <w:pPr>
        <w:pStyle w:val="Normalaftertitle"/>
      </w:pPr>
      <w:r w:rsidRPr="00202653">
        <w:t>La Conférence mondiale des radiocommunications (Dubaï, 2023),</w:t>
      </w:r>
    </w:p>
    <w:p w14:paraId="67D8A45F" w14:textId="77777777" w:rsidR="00A37E3F" w:rsidRPr="00202653" w:rsidRDefault="00A37E3F" w:rsidP="00B42557">
      <w:pPr>
        <w:pStyle w:val="Call"/>
      </w:pPr>
      <w:r w:rsidRPr="00202653">
        <w:t>considérant</w:t>
      </w:r>
    </w:p>
    <w:p w14:paraId="7B951CF8" w14:textId="29398E6B" w:rsidR="00A37E3F" w:rsidRPr="00202653" w:rsidRDefault="00A37E3F" w:rsidP="00B42557">
      <w:r w:rsidRPr="00202653">
        <w:rPr>
          <w:i/>
        </w:rPr>
        <w:t>a)</w:t>
      </w:r>
      <w:r w:rsidRPr="00202653">
        <w:rPr>
          <w:i/>
        </w:rPr>
        <w:tab/>
      </w:r>
      <w:r w:rsidRPr="00202653">
        <w:t>que les Télécommunications mobiles internationales (IMT) sont destinées à fournir des services de télécommunication à l'échelle mondiale, quels que soient le lieu et le type de réseau ou de terminal;</w:t>
      </w:r>
    </w:p>
    <w:p w14:paraId="4D606C6E" w14:textId="547C82B5" w:rsidR="00A37E3F" w:rsidRPr="00202653" w:rsidRDefault="00A37E3F" w:rsidP="00B42557">
      <w:r w:rsidRPr="00202653">
        <w:rPr>
          <w:i/>
          <w:iCs/>
        </w:rPr>
        <w:t>b)</w:t>
      </w:r>
      <w:r w:rsidR="00816551" w:rsidRPr="00202653">
        <w:tab/>
      </w:r>
      <w:r w:rsidR="006A51AF" w:rsidRPr="00202653">
        <w:t>que, pour prendre en charge les nouveaux scénarios et les nouvelles applications des</w:t>
      </w:r>
      <w:r w:rsidR="003C5D68">
        <w:t xml:space="preserve"> </w:t>
      </w:r>
      <w:r w:rsidR="006A51AF" w:rsidRPr="00202653">
        <w:t>IMT</w:t>
      </w:r>
      <w:r w:rsidR="00B64401" w:rsidRPr="00202653">
        <w:noBreakHyphen/>
      </w:r>
      <w:r w:rsidR="006A51AF" w:rsidRPr="00202653">
        <w:t>2020 et/ou des</w:t>
      </w:r>
      <w:r w:rsidR="003C5D68">
        <w:t xml:space="preserve"> </w:t>
      </w:r>
      <w:r w:rsidR="006A51AF" w:rsidRPr="00202653">
        <w:t>IMT</w:t>
      </w:r>
      <w:r w:rsidR="00B64401" w:rsidRPr="00202653">
        <w:noBreakHyphen/>
      </w:r>
      <w:r w:rsidR="006A51AF" w:rsidRPr="00202653">
        <w:t>2030, la composante de Terre et la composante satellite des</w:t>
      </w:r>
      <w:r w:rsidR="003C5D68">
        <w:t xml:space="preserve"> </w:t>
      </w:r>
      <w:r w:rsidR="006A51AF" w:rsidRPr="00202653">
        <w:t>IMT devraient remplir leur propre fonction, de manière intégrée et interopérable</w:t>
      </w:r>
      <w:r w:rsidR="00816551" w:rsidRPr="00202653">
        <w:t>;</w:t>
      </w:r>
    </w:p>
    <w:p w14:paraId="22FD2524" w14:textId="799DC068" w:rsidR="00A37E3F" w:rsidRPr="00202653" w:rsidRDefault="00A37E3F" w:rsidP="00B42557">
      <w:r w:rsidRPr="00202653">
        <w:rPr>
          <w:i/>
          <w:iCs/>
        </w:rPr>
        <w:t>c)</w:t>
      </w:r>
      <w:r w:rsidR="00816551" w:rsidRPr="00202653">
        <w:tab/>
      </w:r>
      <w:r w:rsidR="006A51AF" w:rsidRPr="00202653">
        <w:t>que les attributions additionnelles au service mobile par satellite (SMS) dans les bandes de fréquences déjà attribuées au service mobile (SM), y compris celles identifiées pour les</w:t>
      </w:r>
      <w:r w:rsidR="003C5D68">
        <w:t xml:space="preserve"> </w:t>
      </w:r>
      <w:r w:rsidR="006A51AF" w:rsidRPr="00202653">
        <w:t>IMT, pourraient permettre aux opérateurs de satellites de fournir des services de connectivité mobile par satellite à différents types de terminaux, par exemple les dispositifs portatifs, les terminaux directionnels et les dispositifs de type machine (MTD), afin de compléter la couverture des réseaux</w:t>
      </w:r>
      <w:r w:rsidR="00013FA1">
        <w:t xml:space="preserve"> </w:t>
      </w:r>
      <w:r w:rsidR="006A51AF" w:rsidRPr="00202653">
        <w:t>IMT de Terre</w:t>
      </w:r>
      <w:r w:rsidR="00816551" w:rsidRPr="00202653">
        <w:t>;</w:t>
      </w:r>
    </w:p>
    <w:p w14:paraId="677F21EA" w14:textId="58ACA1C3" w:rsidR="00A37E3F" w:rsidRPr="00202653" w:rsidRDefault="00A37E3F" w:rsidP="00B42557">
      <w:r w:rsidRPr="00202653">
        <w:rPr>
          <w:i/>
          <w:iCs/>
        </w:rPr>
        <w:t>d)</w:t>
      </w:r>
      <w:r w:rsidR="00816551" w:rsidRPr="00202653">
        <w:tab/>
      </w:r>
      <w:r w:rsidR="00B42557" w:rsidRPr="00202653">
        <w:t>que</w:t>
      </w:r>
      <w:r w:rsidR="006A51AF" w:rsidRPr="00202653">
        <w:t xml:space="preserve"> les bandes de fréquences 1 980</w:t>
      </w:r>
      <w:r w:rsidR="00B64401" w:rsidRPr="00202653">
        <w:noBreakHyphen/>
      </w:r>
      <w:r w:rsidR="006A51AF" w:rsidRPr="00202653">
        <w:t>2 010</w:t>
      </w:r>
      <w:r w:rsidR="00B64401" w:rsidRPr="00202653">
        <w:t> </w:t>
      </w:r>
      <w:r w:rsidR="006A51AF" w:rsidRPr="00202653">
        <w:t>MHz (Terre vers espace) et 2 170</w:t>
      </w:r>
      <w:r w:rsidR="00B64401" w:rsidRPr="00202653">
        <w:noBreakHyphen/>
      </w:r>
      <w:r w:rsidR="006A51AF" w:rsidRPr="00202653">
        <w:t>2 200</w:t>
      </w:r>
      <w:r w:rsidR="00B64401" w:rsidRPr="00202653">
        <w:t> </w:t>
      </w:r>
      <w:r w:rsidR="006A51AF" w:rsidRPr="00202653">
        <w:t>MHz (espace vers Terre)</w:t>
      </w:r>
      <w:r w:rsidR="00907A8C" w:rsidRPr="00202653">
        <w:t>, qui</w:t>
      </w:r>
      <w:r w:rsidR="006A51AF" w:rsidRPr="00202653">
        <w:t xml:space="preserve"> </w:t>
      </w:r>
      <w:r w:rsidR="00907A8C" w:rsidRPr="00202653">
        <w:t xml:space="preserve">sont </w:t>
      </w:r>
      <w:r w:rsidR="006A51AF" w:rsidRPr="00202653">
        <w:t>attribuées au</w:t>
      </w:r>
      <w:r w:rsidR="00013FA1">
        <w:t xml:space="preserve"> </w:t>
      </w:r>
      <w:r w:rsidR="006A51AF" w:rsidRPr="00202653">
        <w:t>SM et au</w:t>
      </w:r>
      <w:r w:rsidR="00013FA1">
        <w:t xml:space="preserve"> </w:t>
      </w:r>
      <w:r w:rsidR="006A51AF" w:rsidRPr="00202653">
        <w:t>SMS, et identifiées pour les</w:t>
      </w:r>
      <w:r w:rsidR="003C5D68">
        <w:t xml:space="preserve"> </w:t>
      </w:r>
      <w:r w:rsidR="006A51AF" w:rsidRPr="00202653">
        <w:t xml:space="preserve">IMT, </w:t>
      </w:r>
      <w:r w:rsidR="00907A8C" w:rsidRPr="00202653">
        <w:t xml:space="preserve">sont envisagées </w:t>
      </w:r>
      <w:r w:rsidR="006A51AF" w:rsidRPr="00202653">
        <w:t>pour la composante de Terre et la composante satellite des</w:t>
      </w:r>
      <w:r w:rsidR="003C5D68">
        <w:t xml:space="preserve"> </w:t>
      </w:r>
      <w:r w:rsidR="006A51AF" w:rsidRPr="00202653">
        <w:t>IMT</w:t>
      </w:r>
      <w:r w:rsidR="00816551" w:rsidRPr="00202653">
        <w:t>;</w:t>
      </w:r>
    </w:p>
    <w:p w14:paraId="01E4FC60" w14:textId="58DF4B3C" w:rsidR="00A37E3F" w:rsidRPr="00202653" w:rsidRDefault="00A37E3F" w:rsidP="00B42557">
      <w:r w:rsidRPr="00202653">
        <w:rPr>
          <w:i/>
          <w:iCs/>
        </w:rPr>
        <w:t>e)</w:t>
      </w:r>
      <w:r w:rsidR="00816551" w:rsidRPr="00202653">
        <w:tab/>
      </w:r>
      <w:r w:rsidR="006A51AF" w:rsidRPr="00202653">
        <w:t>qu</w:t>
      </w:r>
      <w:r w:rsidR="0083653B" w:rsidRPr="00202653">
        <w:t>'</w:t>
      </w:r>
      <w:r w:rsidR="006A51AF" w:rsidRPr="00202653">
        <w:t>une attribution additionnelle est faite au</w:t>
      </w:r>
      <w:r w:rsidR="003C5D68">
        <w:t xml:space="preserve"> </w:t>
      </w:r>
      <w:r w:rsidR="006A51AF" w:rsidRPr="00202653">
        <w:t>SMS à titre primaire dans la Région</w:t>
      </w:r>
      <w:r w:rsidR="003C5D68">
        <w:t xml:space="preserve"> </w:t>
      </w:r>
      <w:r w:rsidR="006A51AF" w:rsidRPr="00202653">
        <w:t>2, dans la bande de fréquences 806</w:t>
      </w:r>
      <w:r w:rsidR="00B64401" w:rsidRPr="00202653">
        <w:noBreakHyphen/>
      </w:r>
      <w:r w:rsidR="006A51AF" w:rsidRPr="00202653">
        <w:t>890</w:t>
      </w:r>
      <w:r w:rsidR="00B64401" w:rsidRPr="00202653">
        <w:t> </w:t>
      </w:r>
      <w:r w:rsidR="006A51AF" w:rsidRPr="00202653">
        <w:t>MHz, et au</w:t>
      </w:r>
      <w:r w:rsidR="003C5D68">
        <w:t xml:space="preserve"> </w:t>
      </w:r>
      <w:r w:rsidR="006A51AF" w:rsidRPr="00202653">
        <w:t xml:space="preserve">SMS, sauf </w:t>
      </w:r>
      <w:r w:rsidR="00907A8C" w:rsidRPr="00202653">
        <w:t xml:space="preserve">au service </w:t>
      </w:r>
      <w:r w:rsidR="006A51AF" w:rsidRPr="00202653">
        <w:t>mobile aéronautique par satellite, à titre primaire dans la Région</w:t>
      </w:r>
      <w:r w:rsidR="003C5D68">
        <w:t xml:space="preserve"> </w:t>
      </w:r>
      <w:r w:rsidR="006A51AF" w:rsidRPr="00202653">
        <w:t>3, dans les bandes de fréquences 806</w:t>
      </w:r>
      <w:r w:rsidR="00B64401" w:rsidRPr="00202653">
        <w:noBreakHyphen/>
      </w:r>
      <w:r w:rsidR="006A51AF" w:rsidRPr="00202653">
        <w:t>890</w:t>
      </w:r>
      <w:r w:rsidR="00B64401" w:rsidRPr="00202653">
        <w:t> </w:t>
      </w:r>
      <w:r w:rsidR="006A51AF" w:rsidRPr="00202653">
        <w:t>MHz et</w:t>
      </w:r>
      <w:r w:rsidR="00331C2E">
        <w:t xml:space="preserve"> </w:t>
      </w:r>
      <w:r w:rsidR="006A51AF" w:rsidRPr="00202653">
        <w:t>942</w:t>
      </w:r>
      <w:r w:rsidR="00B64401" w:rsidRPr="00202653">
        <w:noBreakHyphen/>
      </w:r>
      <w:r w:rsidR="006A51AF" w:rsidRPr="00202653">
        <w:t>960</w:t>
      </w:r>
      <w:r w:rsidR="00B64401" w:rsidRPr="00202653">
        <w:t> </w:t>
      </w:r>
      <w:r w:rsidR="006A51AF" w:rsidRPr="00202653">
        <w:t>MHz</w:t>
      </w:r>
      <w:r w:rsidR="00816551" w:rsidRPr="00202653">
        <w:t>;</w:t>
      </w:r>
    </w:p>
    <w:p w14:paraId="6B898984" w14:textId="5439083F" w:rsidR="00A37E3F" w:rsidRPr="00202653" w:rsidRDefault="00A37E3F" w:rsidP="00B42557">
      <w:r w:rsidRPr="00202653">
        <w:rPr>
          <w:i/>
          <w:iCs/>
        </w:rPr>
        <w:t>f)</w:t>
      </w:r>
      <w:r w:rsidR="00816551" w:rsidRPr="00202653">
        <w:tab/>
      </w:r>
      <w:r w:rsidR="006A51AF" w:rsidRPr="00202653">
        <w:t>que les bandes de fréquences 2 500</w:t>
      </w:r>
      <w:r w:rsidR="00B64401" w:rsidRPr="00202653">
        <w:noBreakHyphen/>
      </w:r>
      <w:r w:rsidR="006A51AF" w:rsidRPr="00202653">
        <w:t>2 520</w:t>
      </w:r>
      <w:r w:rsidR="00B64401" w:rsidRPr="00202653">
        <w:t> </w:t>
      </w:r>
      <w:r w:rsidR="006A51AF" w:rsidRPr="00202653">
        <w:t>MHz et</w:t>
      </w:r>
      <w:r w:rsidR="00331C2E">
        <w:t xml:space="preserve"> </w:t>
      </w:r>
      <w:r w:rsidR="006A51AF" w:rsidRPr="00202653">
        <w:t>2 670</w:t>
      </w:r>
      <w:r w:rsidR="00B64401" w:rsidRPr="00202653">
        <w:noBreakHyphen/>
      </w:r>
      <w:r w:rsidR="006A51AF" w:rsidRPr="00202653">
        <w:t>2 690</w:t>
      </w:r>
      <w:r w:rsidR="00B64401" w:rsidRPr="00202653">
        <w:t> </w:t>
      </w:r>
      <w:r w:rsidR="006A51AF" w:rsidRPr="00202653">
        <w:t xml:space="preserve">MHz sont </w:t>
      </w:r>
      <w:r w:rsidR="00907A8C" w:rsidRPr="00202653">
        <w:t xml:space="preserve">respectivement </w:t>
      </w:r>
      <w:r w:rsidR="006A51AF" w:rsidRPr="00202653">
        <w:t>attribuées</w:t>
      </w:r>
      <w:r w:rsidR="00907A8C" w:rsidRPr="00202653">
        <w:t>,</w:t>
      </w:r>
      <w:r w:rsidR="006A51AF" w:rsidRPr="00202653">
        <w:t xml:space="preserve"> dans la Région</w:t>
      </w:r>
      <w:r w:rsidR="003C5D68">
        <w:t xml:space="preserve"> </w:t>
      </w:r>
      <w:r w:rsidR="006A51AF" w:rsidRPr="00202653">
        <w:t>3</w:t>
      </w:r>
      <w:r w:rsidR="00907A8C" w:rsidRPr="00202653">
        <w:t>,</w:t>
      </w:r>
      <w:r w:rsidR="006A51AF" w:rsidRPr="00202653">
        <w:t xml:space="preserve"> au</w:t>
      </w:r>
      <w:r w:rsidR="00331C2E">
        <w:t xml:space="preserve"> </w:t>
      </w:r>
      <w:r w:rsidR="006A51AF" w:rsidRPr="00202653">
        <w:t>SMS (espace vers Terre) et au</w:t>
      </w:r>
      <w:r w:rsidR="003C5D68">
        <w:t xml:space="preserve"> </w:t>
      </w:r>
      <w:r w:rsidR="006A51AF" w:rsidRPr="00202653">
        <w:t>SMS (Terre</w:t>
      </w:r>
      <w:r w:rsidR="00331C2E">
        <w:t xml:space="preserve"> </w:t>
      </w:r>
      <w:r w:rsidR="006A51AF" w:rsidRPr="00202653">
        <w:t>vers</w:t>
      </w:r>
      <w:r w:rsidR="00331C2E">
        <w:t xml:space="preserve"> </w:t>
      </w:r>
      <w:r w:rsidR="006A51AF" w:rsidRPr="00202653">
        <w:t>espace)</w:t>
      </w:r>
      <w:r w:rsidR="00816551" w:rsidRPr="00202653">
        <w:t>;</w:t>
      </w:r>
    </w:p>
    <w:p w14:paraId="7F4090A2" w14:textId="6043ECBA" w:rsidR="00A37E3F" w:rsidRPr="00202653" w:rsidRDefault="00A37E3F" w:rsidP="00BA6CBD">
      <w:r w:rsidRPr="00202653">
        <w:rPr>
          <w:i/>
          <w:iCs/>
        </w:rPr>
        <w:t>g)</w:t>
      </w:r>
      <w:r w:rsidR="00816551" w:rsidRPr="00202653">
        <w:tab/>
        <w:t>qu'il est nécessaire de protéger les services existants lorsqu'on envisage la possibilité de procéder à une attribution additionnelle à un service dans une bande de fréquences;</w:t>
      </w:r>
    </w:p>
    <w:p w14:paraId="622D2124" w14:textId="714A9B97" w:rsidR="00A37E3F" w:rsidRPr="00202653" w:rsidRDefault="00A37E3F" w:rsidP="00ED0503">
      <w:r w:rsidRPr="00202653">
        <w:rPr>
          <w:i/>
          <w:iCs/>
        </w:rPr>
        <w:t>h)</w:t>
      </w:r>
      <w:r w:rsidR="00816551" w:rsidRPr="00202653">
        <w:tab/>
        <w:t>que les systèmes fonctionnant dans le cadre de la nouvelle attribution ne devraient pas imposer de contraintes aux systèmes existants des services primaires, y compris dans les bandes de fréquences adjacentes;</w:t>
      </w:r>
    </w:p>
    <w:p w14:paraId="6FD5A628" w14:textId="4378C3AA" w:rsidR="00A37E3F" w:rsidRPr="00202653" w:rsidRDefault="00816551" w:rsidP="00B42557">
      <w:r w:rsidRPr="00202653">
        <w:rPr>
          <w:i/>
          <w:iCs/>
        </w:rPr>
        <w:t>i)</w:t>
      </w:r>
      <w:r w:rsidRPr="00202653">
        <w:tab/>
      </w:r>
      <w:r w:rsidR="00871C99" w:rsidRPr="00202653">
        <w:t>que la composante satellite des</w:t>
      </w:r>
      <w:r w:rsidR="003C5D68">
        <w:t xml:space="preserve"> </w:t>
      </w:r>
      <w:r w:rsidR="00871C99" w:rsidRPr="00202653">
        <w:t>IMT peut être intégrée dans les réseaux</w:t>
      </w:r>
      <w:r w:rsidR="003C5D68">
        <w:t xml:space="preserve"> </w:t>
      </w:r>
      <w:r w:rsidR="00871C99" w:rsidRPr="00202653">
        <w:t>IMT de Terre pour assurer une connectivité mobile aux communautés mal desservies ainsi qu</w:t>
      </w:r>
      <w:r w:rsidR="0083653B" w:rsidRPr="00202653">
        <w:t>'</w:t>
      </w:r>
      <w:r w:rsidR="00871C99" w:rsidRPr="00202653">
        <w:t>aux zones rurales et isolées</w:t>
      </w:r>
      <w:r w:rsidRPr="00202653">
        <w:t>;</w:t>
      </w:r>
    </w:p>
    <w:p w14:paraId="589EC16F" w14:textId="759393BD" w:rsidR="00816551" w:rsidRPr="00202653" w:rsidRDefault="00816551" w:rsidP="00B42557">
      <w:r w:rsidRPr="00202653">
        <w:rPr>
          <w:i/>
          <w:iCs/>
        </w:rPr>
        <w:t>j)</w:t>
      </w:r>
      <w:r w:rsidRPr="00202653">
        <w:tab/>
      </w:r>
      <w:r w:rsidR="00C754A0" w:rsidRPr="00202653">
        <w:t>que l</w:t>
      </w:r>
      <w:r w:rsidR="0083653B" w:rsidRPr="00202653">
        <w:t>'</w:t>
      </w:r>
      <w:r w:rsidR="00C754A0" w:rsidRPr="00202653">
        <w:t>utilisation de la composante satellite des</w:t>
      </w:r>
      <w:r w:rsidR="003C5D68">
        <w:t xml:space="preserve"> </w:t>
      </w:r>
      <w:r w:rsidR="00C754A0" w:rsidRPr="00202653">
        <w:t>IMT ne devrait bénéficier d'aucune priorité, et ne doit imposer aucune contrainte inutile susceptible d'entraîner des modifications d'ordre réglementaire des services mobiles, y compris des systèmes</w:t>
      </w:r>
      <w:r w:rsidR="00331C2E">
        <w:t xml:space="preserve"> </w:t>
      </w:r>
      <w:r w:rsidR="00C754A0" w:rsidRPr="00202653">
        <w:t>IMT de Terre</w:t>
      </w:r>
      <w:r w:rsidRPr="00202653">
        <w:t>,</w:t>
      </w:r>
    </w:p>
    <w:p w14:paraId="6C6A97E8" w14:textId="0FF96846" w:rsidR="00816551" w:rsidRPr="00202653" w:rsidRDefault="00816551" w:rsidP="00B42557">
      <w:pPr>
        <w:pStyle w:val="Call"/>
      </w:pPr>
      <w:r w:rsidRPr="00202653">
        <w:lastRenderedPageBreak/>
        <w:t>notant</w:t>
      </w:r>
    </w:p>
    <w:p w14:paraId="76C389F1" w14:textId="253B4C3D" w:rsidR="00816551" w:rsidRPr="00202653" w:rsidRDefault="00816551" w:rsidP="00B42557">
      <w:r w:rsidRPr="00202653">
        <w:rPr>
          <w:i/>
        </w:rPr>
        <w:t>a)</w:t>
      </w:r>
      <w:r w:rsidRPr="00202653">
        <w:rPr>
          <w:i/>
        </w:rPr>
        <w:tab/>
      </w:r>
      <w:r w:rsidR="004A3397" w:rsidRPr="00202653">
        <w:rPr>
          <w:iCs/>
        </w:rPr>
        <w:t>que la disponibilité simultanée de la composante satellite des</w:t>
      </w:r>
      <w:r w:rsidR="003C5D68">
        <w:rPr>
          <w:iCs/>
        </w:rPr>
        <w:t xml:space="preserve"> </w:t>
      </w:r>
      <w:r w:rsidR="004A3397" w:rsidRPr="00202653">
        <w:rPr>
          <w:iCs/>
        </w:rPr>
        <w:t>IMT et du service mobile, y compris la composante de Terre des</w:t>
      </w:r>
      <w:r w:rsidR="003C5D68">
        <w:rPr>
          <w:iCs/>
        </w:rPr>
        <w:t xml:space="preserve"> </w:t>
      </w:r>
      <w:r w:rsidR="004A3397" w:rsidRPr="00202653">
        <w:rPr>
          <w:iCs/>
        </w:rPr>
        <w:t xml:space="preserve">IMT, faciliterait la mise en œuvre </w:t>
      </w:r>
      <w:r w:rsidR="007A7A22" w:rsidRPr="00202653">
        <w:rPr>
          <w:iCs/>
        </w:rPr>
        <w:t>générale et augmenterait l'attrait des</w:t>
      </w:r>
      <w:r w:rsidR="003C5D68">
        <w:rPr>
          <w:iCs/>
        </w:rPr>
        <w:t xml:space="preserve"> </w:t>
      </w:r>
      <w:r w:rsidR="004A3397" w:rsidRPr="00202653">
        <w:rPr>
          <w:iCs/>
        </w:rPr>
        <w:t>IMT</w:t>
      </w:r>
      <w:r w:rsidRPr="00202653">
        <w:t>;</w:t>
      </w:r>
    </w:p>
    <w:p w14:paraId="468FD351" w14:textId="218492A3" w:rsidR="00816551" w:rsidRPr="00202653" w:rsidRDefault="00816551" w:rsidP="00ED0503">
      <w:r w:rsidRPr="00202653">
        <w:rPr>
          <w:i/>
          <w:iCs/>
        </w:rPr>
        <w:t>b)</w:t>
      </w:r>
      <w:r w:rsidRPr="00202653">
        <w:tab/>
        <w:t>que le déploiement sur les mêmes fréquences avec couverture commune des composantes indépendantes de Terre et satellite des</w:t>
      </w:r>
      <w:r w:rsidR="003C5D68">
        <w:t xml:space="preserve"> </w:t>
      </w:r>
      <w:r w:rsidRPr="00202653">
        <w:t>IMT n'est pas possible, sauf si des techniques telles que l'utilisation d'une bande de garde appropriée, ou d'autres techniques de limitation des brouillages, sont appliquées pour assurer la coexistence et la compatibilité entre la composante de Terre et la composante satellite des</w:t>
      </w:r>
      <w:r w:rsidR="004253C3">
        <w:t xml:space="preserve"> </w:t>
      </w:r>
      <w:r w:rsidRPr="00202653">
        <w:t>IMT;</w:t>
      </w:r>
    </w:p>
    <w:p w14:paraId="16AAB281" w14:textId="0B5DB512" w:rsidR="00816551" w:rsidRPr="00202653" w:rsidRDefault="00816551" w:rsidP="00B42557">
      <w:r w:rsidRPr="00202653">
        <w:rPr>
          <w:i/>
          <w:iCs/>
        </w:rPr>
        <w:t>c)</w:t>
      </w:r>
      <w:r w:rsidRPr="00202653">
        <w:tab/>
      </w:r>
      <w:r w:rsidR="00DB0882" w:rsidRPr="00202653">
        <w:t>que l'utilisation intégrée des composantes de Terre et satellite des</w:t>
      </w:r>
      <w:r w:rsidR="003C5D68">
        <w:t xml:space="preserve"> </w:t>
      </w:r>
      <w:r w:rsidR="00DB0882" w:rsidRPr="00202653">
        <w:t>IMT doit être considérée comme complémentaire du point de vue de la fourniture et de la couverture des services, conformément aux Recommandations</w:t>
      </w:r>
      <w:r w:rsidR="00B64401" w:rsidRPr="00202653">
        <w:t> </w:t>
      </w:r>
      <w:r w:rsidR="00DB0882" w:rsidRPr="00202653">
        <w:t>UIT</w:t>
      </w:r>
      <w:r w:rsidR="00B64401" w:rsidRPr="00202653">
        <w:noBreakHyphen/>
      </w:r>
      <w:r w:rsidR="00DB0882" w:rsidRPr="00202653">
        <w:t>R</w:t>
      </w:r>
      <w:r w:rsidR="00B64401" w:rsidRPr="00202653">
        <w:t> </w:t>
      </w:r>
      <w:r w:rsidR="00DB0882" w:rsidRPr="00202653">
        <w:t>M.1167 et</w:t>
      </w:r>
      <w:r w:rsidR="00331C2E">
        <w:t xml:space="preserve"> </w:t>
      </w:r>
      <w:r w:rsidR="00DB0882" w:rsidRPr="00202653">
        <w:t>UIT</w:t>
      </w:r>
      <w:r w:rsidR="00B64401" w:rsidRPr="00202653">
        <w:noBreakHyphen/>
      </w:r>
      <w:r w:rsidR="00DB0882" w:rsidRPr="00202653">
        <w:t>R</w:t>
      </w:r>
      <w:r w:rsidR="00B64401" w:rsidRPr="00202653">
        <w:t> </w:t>
      </w:r>
      <w:r w:rsidR="00DB0882" w:rsidRPr="00202653">
        <w:t>M.2083</w:t>
      </w:r>
      <w:r w:rsidRPr="00202653">
        <w:t>;</w:t>
      </w:r>
    </w:p>
    <w:p w14:paraId="2D8EBDCE" w14:textId="58BA9D39" w:rsidR="00816551" w:rsidRPr="00202653" w:rsidRDefault="00816551" w:rsidP="00B42557">
      <w:r w:rsidRPr="00202653">
        <w:rPr>
          <w:i/>
          <w:iCs/>
        </w:rPr>
        <w:t>d)</w:t>
      </w:r>
      <w:r w:rsidRPr="00202653">
        <w:tab/>
      </w:r>
      <w:r w:rsidR="00DB0882" w:rsidRPr="00202653">
        <w:t>que les Recommandations</w:t>
      </w:r>
      <w:r w:rsidR="00B64401" w:rsidRPr="00202653">
        <w:t> </w:t>
      </w:r>
      <w:r w:rsidR="00DB0882" w:rsidRPr="00202653">
        <w:t>UIT</w:t>
      </w:r>
      <w:r w:rsidR="00B64401" w:rsidRPr="00202653">
        <w:noBreakHyphen/>
      </w:r>
      <w:r w:rsidR="00DB0882" w:rsidRPr="00202653">
        <w:t>R</w:t>
      </w:r>
      <w:r w:rsidR="00B64401" w:rsidRPr="00202653">
        <w:t> </w:t>
      </w:r>
      <w:r w:rsidR="00DB0882" w:rsidRPr="00202653">
        <w:t>M.1167 et</w:t>
      </w:r>
      <w:r w:rsidR="00331C2E">
        <w:t xml:space="preserve"> </w:t>
      </w:r>
      <w:r w:rsidR="00DB0882" w:rsidRPr="00202653">
        <w:t>UIT</w:t>
      </w:r>
      <w:r w:rsidR="00B64401" w:rsidRPr="00202653">
        <w:noBreakHyphen/>
      </w:r>
      <w:r w:rsidR="00DB0882" w:rsidRPr="00202653">
        <w:t>R</w:t>
      </w:r>
      <w:r w:rsidR="00B64401" w:rsidRPr="00202653">
        <w:t> </w:t>
      </w:r>
      <w:r w:rsidR="00DB0882" w:rsidRPr="00202653">
        <w:t>M.818</w:t>
      </w:r>
      <w:r w:rsidR="00B64401" w:rsidRPr="00202653">
        <w:noBreakHyphen/>
      </w:r>
      <w:r w:rsidR="00DB0882" w:rsidRPr="00202653">
        <w:t xml:space="preserve">2 définissent le cadre </w:t>
      </w:r>
      <w:r w:rsidR="00B0248F" w:rsidRPr="00202653">
        <w:t xml:space="preserve">pour </w:t>
      </w:r>
      <w:r w:rsidR="00DB0882" w:rsidRPr="00202653">
        <w:t>la composante satellite des</w:t>
      </w:r>
      <w:r w:rsidR="00331C2E">
        <w:t xml:space="preserve"> </w:t>
      </w:r>
      <w:r w:rsidR="00DB0882" w:rsidRPr="00202653">
        <w:t>IMT</w:t>
      </w:r>
      <w:r w:rsidR="00B64401" w:rsidRPr="00202653">
        <w:noBreakHyphen/>
      </w:r>
      <w:r w:rsidR="00DB0882" w:rsidRPr="00202653">
        <w:t>2000 et les conditions d</w:t>
      </w:r>
      <w:r w:rsidR="0083653B" w:rsidRPr="00202653">
        <w:t>'</w:t>
      </w:r>
      <w:r w:rsidR="00DB0882" w:rsidRPr="00202653">
        <w:t>exploitation des satellites dans le cadre des</w:t>
      </w:r>
      <w:r w:rsidR="00331C2E">
        <w:t xml:space="preserve"> </w:t>
      </w:r>
      <w:r w:rsidR="00DB0882" w:rsidRPr="00202653">
        <w:t>IMT</w:t>
      </w:r>
      <w:r w:rsidR="00B64401" w:rsidRPr="00202653">
        <w:noBreakHyphen/>
      </w:r>
      <w:r w:rsidR="00DB0882" w:rsidRPr="00202653">
        <w:t>2020</w:t>
      </w:r>
      <w:r w:rsidRPr="00202653">
        <w:t>;</w:t>
      </w:r>
    </w:p>
    <w:p w14:paraId="5814517D" w14:textId="230D180F" w:rsidR="00816551" w:rsidRPr="00202653" w:rsidRDefault="00816551" w:rsidP="00B42557">
      <w:r w:rsidRPr="00202653">
        <w:rPr>
          <w:i/>
          <w:iCs/>
        </w:rPr>
        <w:t>e)</w:t>
      </w:r>
      <w:r w:rsidRPr="00202653">
        <w:tab/>
      </w:r>
      <w:r w:rsidR="00DB0882" w:rsidRPr="00202653">
        <w:t>la Recommandation</w:t>
      </w:r>
      <w:r w:rsidR="00B64401" w:rsidRPr="00202653">
        <w:t> </w:t>
      </w:r>
      <w:r w:rsidR="00DB0882" w:rsidRPr="00202653">
        <w:t>UIT</w:t>
      </w:r>
      <w:r w:rsidR="00B64401" w:rsidRPr="00202653">
        <w:noBreakHyphen/>
      </w:r>
      <w:r w:rsidR="00DB0882" w:rsidRPr="00202653">
        <w:t>R</w:t>
      </w:r>
      <w:r w:rsidR="00B64401" w:rsidRPr="00202653">
        <w:t> </w:t>
      </w:r>
      <w:r w:rsidR="00DB0882" w:rsidRPr="00202653">
        <w:t>M.1182, relative à la définition d</w:t>
      </w:r>
      <w:r w:rsidR="0083653B" w:rsidRPr="00202653">
        <w:t>'</w:t>
      </w:r>
      <w:r w:rsidR="00DB0882" w:rsidRPr="00202653">
        <w:t>architectures pour l</w:t>
      </w:r>
      <w:r w:rsidR="0083653B" w:rsidRPr="00202653">
        <w:t>'</w:t>
      </w:r>
      <w:r w:rsidR="00DB0882" w:rsidRPr="00202653">
        <w:t>intégration des services mobiles de Terre et des services mobiles par satellite</w:t>
      </w:r>
      <w:r w:rsidRPr="00202653">
        <w:t>;</w:t>
      </w:r>
    </w:p>
    <w:p w14:paraId="1E871775" w14:textId="07BD2BFC" w:rsidR="00816551" w:rsidRPr="00202653" w:rsidRDefault="00816551" w:rsidP="00B42557">
      <w:r w:rsidRPr="00202653">
        <w:rPr>
          <w:i/>
          <w:iCs/>
        </w:rPr>
        <w:t>f)</w:t>
      </w:r>
      <w:r w:rsidRPr="00202653">
        <w:tab/>
      </w:r>
      <w:r w:rsidR="00DB0882" w:rsidRPr="00202653">
        <w:t>la Recommandation</w:t>
      </w:r>
      <w:r w:rsidR="00B64401" w:rsidRPr="00202653">
        <w:t> </w:t>
      </w:r>
      <w:r w:rsidR="00DB0882" w:rsidRPr="00202653">
        <w:t>UIT</w:t>
      </w:r>
      <w:r w:rsidR="00B64401" w:rsidRPr="00202653">
        <w:noBreakHyphen/>
      </w:r>
      <w:r w:rsidR="00DB0882" w:rsidRPr="00202653">
        <w:t>R</w:t>
      </w:r>
      <w:r w:rsidR="00B64401" w:rsidRPr="00202653">
        <w:t> </w:t>
      </w:r>
      <w:r w:rsidR="00DB0882" w:rsidRPr="00202653">
        <w:t>M.2014 sur les bases techniques de la circulation mondiale des terminaux de satellite</w:t>
      </w:r>
      <w:r w:rsidR="00331C2E">
        <w:t xml:space="preserve"> </w:t>
      </w:r>
      <w:r w:rsidR="00DB0882" w:rsidRPr="00202653">
        <w:t>IMT</w:t>
      </w:r>
      <w:r w:rsidRPr="00202653">
        <w:t>;</w:t>
      </w:r>
    </w:p>
    <w:p w14:paraId="02A21A17" w14:textId="0AB2B2D4" w:rsidR="00816551" w:rsidRPr="00202653" w:rsidRDefault="00816551" w:rsidP="00B42557">
      <w:r w:rsidRPr="00202653">
        <w:rPr>
          <w:i/>
          <w:iCs/>
        </w:rPr>
        <w:t>g)</w:t>
      </w:r>
      <w:r w:rsidRPr="00202653">
        <w:tab/>
        <w:t>la Recommandation</w:t>
      </w:r>
      <w:r w:rsidR="00B64401" w:rsidRPr="00202653">
        <w:t> </w:t>
      </w:r>
      <w:r w:rsidRPr="00202653">
        <w:t>UIT</w:t>
      </w:r>
      <w:r w:rsidR="00B64401" w:rsidRPr="00202653">
        <w:noBreakHyphen/>
      </w:r>
      <w:r w:rsidRPr="00202653">
        <w:t>R</w:t>
      </w:r>
      <w:r w:rsidR="00B64401" w:rsidRPr="00202653">
        <w:t> </w:t>
      </w:r>
      <w:r w:rsidRPr="00202653">
        <w:t>M.2083</w:t>
      </w:r>
      <w:r w:rsidR="00F60E25" w:rsidRPr="00202653">
        <w:t>, qui</w:t>
      </w:r>
      <w:r w:rsidRPr="00202653">
        <w:t xml:space="preserve"> définit le cadre et les objectifs généraux du développement futur des</w:t>
      </w:r>
      <w:r w:rsidR="00331C2E">
        <w:t xml:space="preserve"> </w:t>
      </w:r>
      <w:r w:rsidRPr="00202653">
        <w:t>IMT à l'horizon</w:t>
      </w:r>
      <w:r w:rsidR="00331C2E">
        <w:t xml:space="preserve"> </w:t>
      </w:r>
      <w:r w:rsidRPr="00202653">
        <w:t>2020 et au-delà;</w:t>
      </w:r>
    </w:p>
    <w:p w14:paraId="7279DC53" w14:textId="366BF4A6" w:rsidR="00816551" w:rsidRPr="00202653" w:rsidRDefault="00816551" w:rsidP="00B42557">
      <w:r w:rsidRPr="00202653">
        <w:rPr>
          <w:i/>
          <w:iCs/>
        </w:rPr>
        <w:t>h)</w:t>
      </w:r>
      <w:r w:rsidRPr="00202653">
        <w:tab/>
      </w:r>
      <w:r w:rsidR="00F60E25" w:rsidRPr="00202653">
        <w:t>le Rapport</w:t>
      </w:r>
      <w:r w:rsidR="00B64401" w:rsidRPr="00202653">
        <w:t> </w:t>
      </w:r>
      <w:r w:rsidR="00F60E25" w:rsidRPr="00202653">
        <w:t>UIT</w:t>
      </w:r>
      <w:r w:rsidR="00B64401" w:rsidRPr="00202653">
        <w:noBreakHyphen/>
      </w:r>
      <w:r w:rsidR="00F60E25" w:rsidRPr="00202653">
        <w:t>R</w:t>
      </w:r>
      <w:r w:rsidR="00B64401" w:rsidRPr="00202653">
        <w:t> </w:t>
      </w:r>
      <w:r w:rsidR="00F60E25" w:rsidRPr="00202653">
        <w:t>M.2514</w:t>
      </w:r>
      <w:r w:rsidR="00845F01" w:rsidRPr="00202653">
        <w:noBreakHyphen/>
      </w:r>
      <w:r w:rsidR="00F60E25" w:rsidRPr="00202653">
        <w:t>0 intitulé «Vision, spécifications et lignes directrices relatives à l'évaluation de l'interface (des interfaces) radioélectrique(s) de satellite pour les</w:t>
      </w:r>
      <w:r w:rsidR="00331C2E">
        <w:t xml:space="preserve"> </w:t>
      </w:r>
      <w:r w:rsidR="00F60E25" w:rsidRPr="00202653">
        <w:t>IMT</w:t>
      </w:r>
      <w:r w:rsidR="00845F01" w:rsidRPr="00202653">
        <w:noBreakHyphen/>
      </w:r>
      <w:r w:rsidR="00F60E25" w:rsidRPr="00202653">
        <w:t>2020»</w:t>
      </w:r>
      <w:r w:rsidRPr="00202653">
        <w:t>;</w:t>
      </w:r>
    </w:p>
    <w:p w14:paraId="7F671F3F" w14:textId="58FE5BC4" w:rsidR="00816551" w:rsidRPr="00202653" w:rsidRDefault="00816551" w:rsidP="00B42557">
      <w:r w:rsidRPr="00202653">
        <w:rPr>
          <w:i/>
          <w:iCs/>
        </w:rPr>
        <w:t>i)</w:t>
      </w:r>
      <w:r w:rsidRPr="00202653">
        <w:tab/>
      </w:r>
      <w:r w:rsidR="00F60E25" w:rsidRPr="00202653">
        <w:t>la Recommandation</w:t>
      </w:r>
      <w:r w:rsidR="00845F01" w:rsidRPr="00202653">
        <w:t> </w:t>
      </w:r>
      <w:r w:rsidR="00F60E25" w:rsidRPr="00202653">
        <w:t>UIT</w:t>
      </w:r>
      <w:r w:rsidR="00845F01" w:rsidRPr="00202653">
        <w:noBreakHyphen/>
      </w:r>
      <w:r w:rsidR="00F60E25" w:rsidRPr="00202653">
        <w:t>R</w:t>
      </w:r>
      <w:r w:rsidR="00845F01" w:rsidRPr="00202653">
        <w:t> </w:t>
      </w:r>
      <w:r w:rsidR="00F60E25" w:rsidRPr="00202653">
        <w:t>SA.1154</w:t>
      </w:r>
      <w:r w:rsidR="00845F01" w:rsidRPr="00202653">
        <w:noBreakHyphen/>
      </w:r>
      <w:r w:rsidR="00F60E25" w:rsidRPr="00202653">
        <w:t>0, intitulée «Dispositions propres à assurer la protection des services de recherche spatiale, d'exploitation spatiale (SES) et d'exploration de la Terre par satellite (SETS)»</w:t>
      </w:r>
      <w:r w:rsidR="004E5EE3" w:rsidRPr="00202653">
        <w:t>,</w:t>
      </w:r>
    </w:p>
    <w:p w14:paraId="603EF354" w14:textId="55AF5839" w:rsidR="00816551" w:rsidRPr="00202653" w:rsidRDefault="00816551" w:rsidP="00B42557">
      <w:pPr>
        <w:pStyle w:val="Call"/>
      </w:pPr>
      <w:r w:rsidRPr="00202653">
        <w:t>reconnaissant</w:t>
      </w:r>
    </w:p>
    <w:p w14:paraId="3208570F" w14:textId="25667D72" w:rsidR="00816551" w:rsidRPr="00202653" w:rsidRDefault="00816551" w:rsidP="00B42557">
      <w:r w:rsidRPr="00202653">
        <w:rPr>
          <w:i/>
        </w:rPr>
        <w:t>a)</w:t>
      </w:r>
      <w:r w:rsidRPr="00202653">
        <w:rPr>
          <w:i/>
        </w:rPr>
        <w:tab/>
      </w:r>
      <w:r w:rsidR="00F60E25" w:rsidRPr="00202653">
        <w:rPr>
          <w:iCs/>
        </w:rPr>
        <w:t>que de nouvelles attributions au</w:t>
      </w:r>
      <w:r w:rsidR="00331C2E">
        <w:rPr>
          <w:iCs/>
        </w:rPr>
        <w:t xml:space="preserve"> </w:t>
      </w:r>
      <w:r w:rsidR="00F60E25" w:rsidRPr="00202653">
        <w:rPr>
          <w:iCs/>
        </w:rPr>
        <w:t>SMS dans les bandes de fréquences du</w:t>
      </w:r>
      <w:r w:rsidR="00331C2E">
        <w:rPr>
          <w:iCs/>
        </w:rPr>
        <w:t xml:space="preserve"> </w:t>
      </w:r>
      <w:r w:rsidR="00F60E25" w:rsidRPr="00202653">
        <w:rPr>
          <w:iCs/>
        </w:rPr>
        <w:t>SM contribueraient à améliorer l'interopérabilité entre la composante de Terre et la composante satellite des</w:t>
      </w:r>
      <w:r w:rsidR="00331C2E">
        <w:rPr>
          <w:iCs/>
        </w:rPr>
        <w:t xml:space="preserve"> </w:t>
      </w:r>
      <w:r w:rsidR="00F60E25" w:rsidRPr="00202653">
        <w:rPr>
          <w:iCs/>
        </w:rPr>
        <w:t>IMT</w:t>
      </w:r>
      <w:r w:rsidRPr="00202653">
        <w:t>;</w:t>
      </w:r>
    </w:p>
    <w:p w14:paraId="0500B079" w14:textId="005C584D" w:rsidR="00816551" w:rsidRPr="00202653" w:rsidRDefault="00816551" w:rsidP="00B42557">
      <w:r w:rsidRPr="00202653">
        <w:rPr>
          <w:i/>
          <w:iCs/>
        </w:rPr>
        <w:t>b)</w:t>
      </w:r>
      <w:r w:rsidRPr="00202653">
        <w:tab/>
      </w:r>
      <w:r w:rsidR="00F60E25" w:rsidRPr="00202653">
        <w:t>que l</w:t>
      </w:r>
      <w:r w:rsidR="0083653B" w:rsidRPr="00202653">
        <w:t>'</w:t>
      </w:r>
      <w:r w:rsidR="00F60E25" w:rsidRPr="00202653">
        <w:t>harmonisation des attributions au</w:t>
      </w:r>
      <w:r w:rsidR="00331C2E">
        <w:t xml:space="preserve"> </w:t>
      </w:r>
      <w:r w:rsidR="00F60E25" w:rsidRPr="00202653">
        <w:t>SMS dans certaines bandes de fréquences contribuerait à poursuivre le développement des systèmes du</w:t>
      </w:r>
      <w:r w:rsidR="00331C2E">
        <w:t xml:space="preserve"> </w:t>
      </w:r>
      <w:r w:rsidR="00F60E25" w:rsidRPr="00202653">
        <w:t>SMS et les équipements d</w:t>
      </w:r>
      <w:r w:rsidR="0083653B" w:rsidRPr="00202653">
        <w:t>'</w:t>
      </w:r>
      <w:r w:rsidR="00F60E25" w:rsidRPr="00202653">
        <w:t>utilisateur afin de réaliser des économies d</w:t>
      </w:r>
      <w:r w:rsidR="0083653B" w:rsidRPr="00202653">
        <w:t>'</w:t>
      </w:r>
      <w:r w:rsidR="00F60E25" w:rsidRPr="00202653">
        <w:t>échelle, compte tenu du caractère mondial du service</w:t>
      </w:r>
      <w:r w:rsidRPr="00202653">
        <w:t>;</w:t>
      </w:r>
    </w:p>
    <w:p w14:paraId="067EB327" w14:textId="616F570C" w:rsidR="00816551" w:rsidRPr="00202653" w:rsidRDefault="00816551" w:rsidP="00B42557">
      <w:r w:rsidRPr="00202653">
        <w:rPr>
          <w:i/>
          <w:iCs/>
        </w:rPr>
        <w:t>c)</w:t>
      </w:r>
      <w:r w:rsidRPr="00202653">
        <w:tab/>
      </w:r>
      <w:r w:rsidR="00F60E25" w:rsidRPr="00202653">
        <w:t>que, pour améliorer la couverture des réseaux</w:t>
      </w:r>
      <w:r w:rsidR="00331C2E">
        <w:t xml:space="preserve"> </w:t>
      </w:r>
      <w:r w:rsidR="00F60E25" w:rsidRPr="00202653">
        <w:t>IMT dans les zones non desservies et mal desservies, en complément des composantes de Terre et satellite des</w:t>
      </w:r>
      <w:r w:rsidR="00845F01" w:rsidRPr="00202653">
        <w:t> </w:t>
      </w:r>
      <w:r w:rsidR="00F60E25" w:rsidRPr="00202653">
        <w:t>IMT, il est nécessaire d</w:t>
      </w:r>
      <w:r w:rsidR="0083653B" w:rsidRPr="00202653">
        <w:t>'</w:t>
      </w:r>
      <w:r w:rsidR="00F60E25" w:rsidRPr="00202653">
        <w:t>attribuer des bandes de fréquences additionnelles au</w:t>
      </w:r>
      <w:r w:rsidR="00331C2E">
        <w:t xml:space="preserve"> </w:t>
      </w:r>
      <w:r w:rsidR="00F60E25" w:rsidRPr="00202653">
        <w:t>SMS</w:t>
      </w:r>
      <w:r w:rsidR="004E5EE3" w:rsidRPr="00202653">
        <w:t>,</w:t>
      </w:r>
    </w:p>
    <w:p w14:paraId="6B55E148" w14:textId="77777777" w:rsidR="00816551" w:rsidRPr="00202653" w:rsidRDefault="00816551" w:rsidP="003C5D68">
      <w:pPr>
        <w:pStyle w:val="Call"/>
        <w:keepNext w:val="0"/>
        <w:keepLines w:val="0"/>
      </w:pPr>
      <w:r w:rsidRPr="00202653">
        <w:t>décide d'inviter le Secteur des radiocommunications de l'UIT</w:t>
      </w:r>
    </w:p>
    <w:p w14:paraId="022C6F7C" w14:textId="3FEA7F00" w:rsidR="00816551" w:rsidRPr="00202653" w:rsidRDefault="00816551" w:rsidP="003C5D68">
      <w:r w:rsidRPr="00202653">
        <w:t>1</w:t>
      </w:r>
      <w:r w:rsidRPr="00202653">
        <w:tab/>
      </w:r>
      <w:r w:rsidR="0048427B" w:rsidRPr="00202653">
        <w:t>à mener et à achever, à temps pour la</w:t>
      </w:r>
      <w:r w:rsidR="00331C2E">
        <w:t xml:space="preserve"> </w:t>
      </w:r>
      <w:r w:rsidR="0048427B" w:rsidRPr="00202653">
        <w:t>CMR-27, les études appropriées concernant l</w:t>
      </w:r>
      <w:r w:rsidR="00676E99" w:rsidRPr="00202653">
        <w:t xml:space="preserve">a possibilité de faire de </w:t>
      </w:r>
      <w:r w:rsidR="0048427B" w:rsidRPr="00202653">
        <w:t>nouvelles attributions mondiales au</w:t>
      </w:r>
      <w:r w:rsidR="00331C2E">
        <w:t xml:space="preserve"> </w:t>
      </w:r>
      <w:r w:rsidR="0048427B" w:rsidRPr="00202653">
        <w:t xml:space="preserve">SMS dans les bandes de fréquences suivantes, ou </w:t>
      </w:r>
      <w:r w:rsidR="00B0248F" w:rsidRPr="00202653">
        <w:t xml:space="preserve">dans des </w:t>
      </w:r>
      <w:r w:rsidR="0048427B" w:rsidRPr="00202653">
        <w:t>parties de ces bandes, afin de permettre l'utilisation de la composante satellite des</w:t>
      </w:r>
      <w:r w:rsidR="00331C2E">
        <w:t xml:space="preserve"> </w:t>
      </w:r>
      <w:r w:rsidR="0048427B" w:rsidRPr="00202653">
        <w:t>IMT</w:t>
      </w:r>
      <w:r w:rsidRPr="00202653">
        <w:t>:</w:t>
      </w:r>
    </w:p>
    <w:p w14:paraId="3499BF51" w14:textId="0282A55B" w:rsidR="00816551" w:rsidRPr="00202653" w:rsidRDefault="00816551" w:rsidP="00E7332B">
      <w:pPr>
        <w:pStyle w:val="enumlev1"/>
        <w:keepNext/>
        <w:keepLines/>
      </w:pPr>
      <w:r w:rsidRPr="00202653">
        <w:lastRenderedPageBreak/>
        <w:t>–</w:t>
      </w:r>
      <w:r w:rsidRPr="00202653">
        <w:tab/>
      </w:r>
      <w:r w:rsidRPr="00202653">
        <w:rPr>
          <w:rFonts w:eastAsia="MS Mincho"/>
        </w:rPr>
        <w:t>694</w:t>
      </w:r>
      <w:r w:rsidR="00845F01" w:rsidRPr="00202653">
        <w:rPr>
          <w:rFonts w:eastAsia="MS Mincho"/>
        </w:rPr>
        <w:noBreakHyphen/>
      </w:r>
      <w:r w:rsidRPr="00202653">
        <w:rPr>
          <w:rFonts w:eastAsia="MS Mincho"/>
        </w:rPr>
        <w:t>960</w:t>
      </w:r>
      <w:r w:rsidR="00845F01" w:rsidRPr="00202653">
        <w:rPr>
          <w:rFonts w:eastAsia="MS Mincho"/>
        </w:rPr>
        <w:t> </w:t>
      </w:r>
      <w:r w:rsidRPr="00202653">
        <w:rPr>
          <w:rFonts w:eastAsia="MS Mincho"/>
        </w:rPr>
        <w:t>MHz</w:t>
      </w:r>
      <w:r w:rsidRPr="00202653">
        <w:t>;</w:t>
      </w:r>
    </w:p>
    <w:p w14:paraId="7BB0C3B7" w14:textId="194C5DB2" w:rsidR="00816551" w:rsidRPr="00202653" w:rsidRDefault="00816551" w:rsidP="00E7332B">
      <w:pPr>
        <w:pStyle w:val="enumlev1"/>
        <w:keepNext/>
        <w:keepLines/>
      </w:pPr>
      <w:r w:rsidRPr="00202653">
        <w:t>–</w:t>
      </w:r>
      <w:r w:rsidRPr="00202653">
        <w:tab/>
      </w:r>
      <w:r w:rsidRPr="00202653">
        <w:rPr>
          <w:rFonts w:eastAsia="MS Mincho"/>
        </w:rPr>
        <w:t>1</w:t>
      </w:r>
      <w:r w:rsidR="00845F01" w:rsidRPr="00202653">
        <w:rPr>
          <w:rFonts w:eastAsia="MS Mincho"/>
        </w:rPr>
        <w:t> </w:t>
      </w:r>
      <w:r w:rsidRPr="00202653">
        <w:rPr>
          <w:rFonts w:eastAsia="MS Mincho"/>
        </w:rPr>
        <w:t>710</w:t>
      </w:r>
      <w:r w:rsidR="00845F01" w:rsidRPr="00202653">
        <w:rPr>
          <w:rFonts w:eastAsia="MS Mincho"/>
        </w:rPr>
        <w:noBreakHyphen/>
      </w:r>
      <w:r w:rsidRPr="00202653">
        <w:rPr>
          <w:rFonts w:eastAsia="MS Mincho"/>
        </w:rPr>
        <w:t>2</w:t>
      </w:r>
      <w:r w:rsidR="00845F01" w:rsidRPr="00202653">
        <w:rPr>
          <w:rFonts w:eastAsia="MS Mincho"/>
        </w:rPr>
        <w:t> </w:t>
      </w:r>
      <w:r w:rsidRPr="00202653">
        <w:rPr>
          <w:rFonts w:eastAsia="MS Mincho"/>
        </w:rPr>
        <w:t>025</w:t>
      </w:r>
      <w:r w:rsidR="00845F01" w:rsidRPr="00202653">
        <w:rPr>
          <w:rFonts w:eastAsia="MS Mincho"/>
        </w:rPr>
        <w:t> </w:t>
      </w:r>
      <w:r w:rsidRPr="00202653">
        <w:rPr>
          <w:rFonts w:eastAsia="MS Mincho"/>
        </w:rPr>
        <w:t>MHz</w:t>
      </w:r>
      <w:r w:rsidRPr="00202653">
        <w:t>;</w:t>
      </w:r>
    </w:p>
    <w:p w14:paraId="5B8D0CFB" w14:textId="2C168A9C" w:rsidR="00816551" w:rsidRPr="00202653" w:rsidRDefault="00816551" w:rsidP="00B42557">
      <w:pPr>
        <w:pStyle w:val="enumlev1"/>
      </w:pPr>
      <w:r w:rsidRPr="00202653">
        <w:t>–</w:t>
      </w:r>
      <w:r w:rsidRPr="00202653">
        <w:tab/>
      </w:r>
      <w:r w:rsidRPr="00202653">
        <w:rPr>
          <w:rFonts w:eastAsia="MS Mincho"/>
        </w:rPr>
        <w:t>2</w:t>
      </w:r>
      <w:r w:rsidR="00845F01" w:rsidRPr="00202653">
        <w:rPr>
          <w:rFonts w:eastAsia="MS Mincho"/>
        </w:rPr>
        <w:t> </w:t>
      </w:r>
      <w:r w:rsidRPr="00202653">
        <w:rPr>
          <w:rFonts w:eastAsia="MS Mincho"/>
        </w:rPr>
        <w:t>110</w:t>
      </w:r>
      <w:r w:rsidR="00845F01" w:rsidRPr="00202653">
        <w:rPr>
          <w:rFonts w:eastAsia="MS Mincho"/>
        </w:rPr>
        <w:noBreakHyphen/>
      </w:r>
      <w:r w:rsidRPr="00202653">
        <w:rPr>
          <w:rFonts w:eastAsia="MS Mincho"/>
        </w:rPr>
        <w:t>2</w:t>
      </w:r>
      <w:r w:rsidR="00845F01" w:rsidRPr="00202653">
        <w:rPr>
          <w:rFonts w:eastAsia="MS Mincho"/>
        </w:rPr>
        <w:t> </w:t>
      </w:r>
      <w:r w:rsidRPr="00202653">
        <w:rPr>
          <w:rFonts w:eastAsia="MS Mincho"/>
        </w:rPr>
        <w:t>200</w:t>
      </w:r>
      <w:r w:rsidR="00845F01" w:rsidRPr="00202653">
        <w:rPr>
          <w:rFonts w:eastAsia="MS Mincho"/>
        </w:rPr>
        <w:t> </w:t>
      </w:r>
      <w:r w:rsidRPr="00202653">
        <w:rPr>
          <w:rFonts w:eastAsia="MS Mincho"/>
        </w:rPr>
        <w:t>MHz</w:t>
      </w:r>
      <w:r w:rsidRPr="00202653">
        <w:t>;</w:t>
      </w:r>
    </w:p>
    <w:p w14:paraId="0B325911" w14:textId="26655A90" w:rsidR="00816551" w:rsidRPr="00202653" w:rsidRDefault="00816551" w:rsidP="00B42557">
      <w:pPr>
        <w:pStyle w:val="enumlev1"/>
      </w:pPr>
      <w:r w:rsidRPr="00202653">
        <w:t>–</w:t>
      </w:r>
      <w:r w:rsidRPr="00202653">
        <w:tab/>
      </w:r>
      <w:r w:rsidRPr="00202653">
        <w:rPr>
          <w:rFonts w:eastAsia="MS Mincho"/>
        </w:rPr>
        <w:t>2</w:t>
      </w:r>
      <w:r w:rsidR="00845F01" w:rsidRPr="00202653">
        <w:rPr>
          <w:rFonts w:eastAsia="MS Mincho"/>
        </w:rPr>
        <w:t> </w:t>
      </w:r>
      <w:r w:rsidRPr="00202653">
        <w:rPr>
          <w:rFonts w:eastAsia="MS Mincho"/>
        </w:rPr>
        <w:t>300</w:t>
      </w:r>
      <w:r w:rsidR="00845F01" w:rsidRPr="00202653">
        <w:rPr>
          <w:rFonts w:eastAsia="MS Mincho"/>
        </w:rPr>
        <w:noBreakHyphen/>
      </w:r>
      <w:r w:rsidRPr="00202653">
        <w:rPr>
          <w:rFonts w:eastAsia="MS Mincho"/>
        </w:rPr>
        <w:t>2</w:t>
      </w:r>
      <w:r w:rsidR="00845F01" w:rsidRPr="00202653">
        <w:rPr>
          <w:rFonts w:eastAsia="MS Mincho"/>
        </w:rPr>
        <w:t> </w:t>
      </w:r>
      <w:r w:rsidRPr="00202653">
        <w:rPr>
          <w:rFonts w:eastAsia="MS Mincho"/>
        </w:rPr>
        <w:t>400</w:t>
      </w:r>
      <w:r w:rsidR="00845F01" w:rsidRPr="00202653">
        <w:rPr>
          <w:rFonts w:eastAsia="MS Mincho"/>
        </w:rPr>
        <w:t> </w:t>
      </w:r>
      <w:r w:rsidRPr="00202653">
        <w:rPr>
          <w:rFonts w:eastAsia="MS Mincho"/>
        </w:rPr>
        <w:t>MHz</w:t>
      </w:r>
      <w:r w:rsidRPr="00202653">
        <w:t>;</w:t>
      </w:r>
    </w:p>
    <w:p w14:paraId="1737B431" w14:textId="6F129AD3" w:rsidR="00816551" w:rsidRPr="00202653" w:rsidRDefault="00816551" w:rsidP="00B42557">
      <w:pPr>
        <w:pStyle w:val="enumlev1"/>
      </w:pPr>
      <w:r w:rsidRPr="00202653">
        <w:t>–</w:t>
      </w:r>
      <w:r w:rsidRPr="00202653">
        <w:tab/>
      </w:r>
      <w:r w:rsidRPr="00202653">
        <w:rPr>
          <w:rFonts w:eastAsia="MS Mincho"/>
        </w:rPr>
        <w:t>2</w:t>
      </w:r>
      <w:r w:rsidR="00845F01" w:rsidRPr="00202653">
        <w:rPr>
          <w:rFonts w:eastAsia="MS Mincho"/>
        </w:rPr>
        <w:t> </w:t>
      </w:r>
      <w:r w:rsidRPr="00202653">
        <w:rPr>
          <w:rFonts w:eastAsia="MS Mincho"/>
        </w:rPr>
        <w:t>500</w:t>
      </w:r>
      <w:r w:rsidR="00845F01" w:rsidRPr="00202653">
        <w:rPr>
          <w:rFonts w:eastAsia="MS Mincho"/>
        </w:rPr>
        <w:noBreakHyphen/>
      </w:r>
      <w:r w:rsidRPr="00202653">
        <w:rPr>
          <w:rFonts w:eastAsia="MS Mincho"/>
        </w:rPr>
        <w:t>2</w:t>
      </w:r>
      <w:r w:rsidR="00845F01" w:rsidRPr="00202653">
        <w:rPr>
          <w:rFonts w:eastAsia="MS Mincho"/>
        </w:rPr>
        <w:t> </w:t>
      </w:r>
      <w:r w:rsidRPr="00202653">
        <w:rPr>
          <w:rFonts w:eastAsia="MS Mincho"/>
        </w:rPr>
        <w:t>690</w:t>
      </w:r>
      <w:r w:rsidR="00845F01" w:rsidRPr="00202653">
        <w:rPr>
          <w:rFonts w:eastAsia="MS Mincho"/>
        </w:rPr>
        <w:t> </w:t>
      </w:r>
      <w:r w:rsidRPr="00202653">
        <w:rPr>
          <w:rFonts w:eastAsia="MS Mincho"/>
        </w:rPr>
        <w:t>MHz</w:t>
      </w:r>
      <w:r w:rsidR="00BA6CBD" w:rsidRPr="00202653">
        <w:t>;</w:t>
      </w:r>
    </w:p>
    <w:p w14:paraId="753E1B40" w14:textId="64A9EFE6" w:rsidR="00816551" w:rsidRPr="00202653" w:rsidRDefault="00816551" w:rsidP="00B42557">
      <w:r w:rsidRPr="00202653">
        <w:t>2</w:t>
      </w:r>
      <w:r w:rsidRPr="00202653">
        <w:tab/>
      </w:r>
      <w:r w:rsidR="0048427B" w:rsidRPr="00202653">
        <w:t>à examiner, dans le cadre des études susmentionnées, les mesures techniques, opérationnelles et réglementaires qui pourraient être prises pour assurer la coexistence et la compatibilité entre le service mobile et le service mobile par satellite, en particulier pour le déploiement de l'utilisation complémentaire des composantes de Terre et satellite des</w:t>
      </w:r>
      <w:r w:rsidR="00331C2E">
        <w:t xml:space="preserve"> </w:t>
      </w:r>
      <w:r w:rsidR="0048427B" w:rsidRPr="00202653">
        <w:t>IMT, et pour assurer la protection des services primaires existants, selon qu'il conviendra</w:t>
      </w:r>
      <w:r w:rsidRPr="00202653">
        <w:t>,</w:t>
      </w:r>
    </w:p>
    <w:p w14:paraId="71833CF6" w14:textId="0CE6858B" w:rsidR="00816551" w:rsidRPr="00202653" w:rsidRDefault="006D0ACC" w:rsidP="00B42557">
      <w:pPr>
        <w:pStyle w:val="Call"/>
      </w:pPr>
      <w:r w:rsidRPr="00202653">
        <w:t>invite la Conférence mondiale des radiocommunications de 2027</w:t>
      </w:r>
    </w:p>
    <w:p w14:paraId="2B3A579E" w14:textId="096DC3DA" w:rsidR="00816551" w:rsidRPr="00202653" w:rsidRDefault="006D0ACC" w:rsidP="00B42557">
      <w:r w:rsidRPr="00202653">
        <w:t xml:space="preserve">à examiner, sur la base des résultats des études menées au titre du </w:t>
      </w:r>
      <w:r w:rsidRPr="00202653">
        <w:rPr>
          <w:i/>
          <w:iCs/>
        </w:rPr>
        <w:t>décide d</w:t>
      </w:r>
      <w:r w:rsidR="0083653B" w:rsidRPr="00202653">
        <w:rPr>
          <w:i/>
          <w:iCs/>
        </w:rPr>
        <w:t>'</w:t>
      </w:r>
      <w:r w:rsidRPr="00202653">
        <w:rPr>
          <w:i/>
          <w:iCs/>
        </w:rPr>
        <w:t>inviter le Secteur des radiocommunications de l</w:t>
      </w:r>
      <w:r w:rsidR="0083653B" w:rsidRPr="00202653">
        <w:rPr>
          <w:i/>
          <w:iCs/>
        </w:rPr>
        <w:t>'</w:t>
      </w:r>
      <w:r w:rsidRPr="00202653">
        <w:rPr>
          <w:i/>
          <w:iCs/>
        </w:rPr>
        <w:t>UIT</w:t>
      </w:r>
      <w:r w:rsidRPr="00202653">
        <w:t xml:space="preserve"> ci</w:t>
      </w:r>
      <w:r w:rsidR="00845F01" w:rsidRPr="00202653">
        <w:noBreakHyphen/>
      </w:r>
      <w:r w:rsidRPr="00202653">
        <w:t>dessus, des attributions de fréquences additionnelles au</w:t>
      </w:r>
      <w:r w:rsidR="00331C2E">
        <w:t xml:space="preserve"> </w:t>
      </w:r>
      <w:r w:rsidRPr="00202653">
        <w:t xml:space="preserve">SMS à titre primaire et à déterminer les mesures réglementaires </w:t>
      </w:r>
      <w:r w:rsidR="00676E99" w:rsidRPr="00202653">
        <w:t>appropriées</w:t>
      </w:r>
      <w:r w:rsidRPr="00202653">
        <w:t>, compte tenu du fait qu</w:t>
      </w:r>
      <w:r w:rsidR="0083653B" w:rsidRPr="00202653">
        <w:t>'</w:t>
      </w:r>
      <w:r w:rsidRPr="00202653">
        <w:t>aucune autre contrainte réglementaire ou technique ne devrait être imposée au déploiement du</w:t>
      </w:r>
      <w:r w:rsidR="00331C2E">
        <w:t xml:space="preserve"> </w:t>
      </w:r>
      <w:r w:rsidRPr="00202653">
        <w:t>SM, y compris les systèmes</w:t>
      </w:r>
      <w:r w:rsidR="004253C3">
        <w:t xml:space="preserve"> </w:t>
      </w:r>
      <w:r w:rsidRPr="00202653">
        <w:t>IMT de Terre,</w:t>
      </w:r>
    </w:p>
    <w:p w14:paraId="50895D9C" w14:textId="6093A852" w:rsidR="00816551" w:rsidRPr="00202653" w:rsidRDefault="00816551" w:rsidP="00B42557">
      <w:pPr>
        <w:pStyle w:val="Call"/>
      </w:pPr>
      <w:r w:rsidRPr="00202653">
        <w:t>invite les administrations</w:t>
      </w:r>
    </w:p>
    <w:p w14:paraId="4B2CE0D9" w14:textId="47654D0A" w:rsidR="00816551" w:rsidRDefault="00816551" w:rsidP="00B42557">
      <w:r w:rsidRPr="00202653">
        <w:t>à participer activement à ces études en soumettant des contributions au Secteur des radiocommunications de l'UIT.</w:t>
      </w:r>
    </w:p>
    <w:p w14:paraId="144965A8" w14:textId="77777777" w:rsidR="002640D9" w:rsidRPr="00202653" w:rsidRDefault="002640D9" w:rsidP="002640D9">
      <w:pPr>
        <w:pStyle w:val="Reasons"/>
      </w:pPr>
    </w:p>
    <w:p w14:paraId="6FC829FA" w14:textId="6CFF56A0" w:rsidR="004E5EE3" w:rsidRPr="00202653" w:rsidRDefault="004E5EE3" w:rsidP="00B42557">
      <w:pPr>
        <w:tabs>
          <w:tab w:val="clear" w:pos="1134"/>
          <w:tab w:val="clear" w:pos="1871"/>
          <w:tab w:val="clear" w:pos="2268"/>
        </w:tabs>
        <w:overflowPunct/>
        <w:autoSpaceDE/>
        <w:autoSpaceDN/>
        <w:adjustRightInd/>
        <w:spacing w:before="0"/>
        <w:textAlignment w:val="auto"/>
      </w:pPr>
      <w:r w:rsidRPr="00202653">
        <w:br w:type="page"/>
      </w:r>
    </w:p>
    <w:p w14:paraId="3AEA0D1D" w14:textId="563E1353" w:rsidR="004E5EE3" w:rsidRPr="00202653" w:rsidRDefault="003C4569" w:rsidP="00B42557">
      <w:pPr>
        <w:pStyle w:val="AnnexNo"/>
      </w:pPr>
      <w:r w:rsidRPr="00202653">
        <w:lastRenderedPageBreak/>
        <w:t>PIÈCE JOINTE</w:t>
      </w:r>
    </w:p>
    <w:p w14:paraId="0BD1A243" w14:textId="5236D10D" w:rsidR="004E5EE3" w:rsidRPr="00202653" w:rsidRDefault="003C4569" w:rsidP="00B42557">
      <w:pPr>
        <w:pStyle w:val="Annextitle"/>
      </w:pPr>
      <w:r w:rsidRPr="00202653">
        <w:t>Proposition de point de l</w:t>
      </w:r>
      <w:r w:rsidR="0083653B" w:rsidRPr="00202653">
        <w:t>'</w:t>
      </w:r>
      <w:r w:rsidRPr="00202653">
        <w:t>ordre du jour de la CMR-27 concernant des</w:t>
      </w:r>
      <w:r w:rsidR="00E7332B" w:rsidRPr="00202653">
        <w:br/>
      </w:r>
      <w:r w:rsidRPr="00202653">
        <w:t>attributions additionnelles au service mobile par satellite pour</w:t>
      </w:r>
      <w:r w:rsidR="00E7332B" w:rsidRPr="00202653">
        <w:br/>
      </w:r>
      <w:r w:rsidRPr="00202653">
        <w:t>permettre l</w:t>
      </w:r>
      <w:r w:rsidR="0083653B" w:rsidRPr="00202653">
        <w:t>'</w:t>
      </w:r>
      <w:r w:rsidRPr="00202653">
        <w:t>utilisation de la composante satellite des</w:t>
      </w:r>
      <w:r w:rsidR="00E7332B" w:rsidRPr="00202653">
        <w:br/>
      </w:r>
      <w:r w:rsidRPr="00202653">
        <w:t>Télécommunications mobiles internationales</w:t>
      </w:r>
    </w:p>
    <w:tbl>
      <w:tblPr>
        <w:tblW w:w="9630" w:type="dxa"/>
        <w:tblInd w:w="135" w:type="dxa"/>
        <w:tblLayout w:type="fixed"/>
        <w:tblLook w:val="04A0" w:firstRow="1" w:lastRow="0" w:firstColumn="1" w:lastColumn="0" w:noHBand="0" w:noVBand="1"/>
      </w:tblPr>
      <w:tblGrid>
        <w:gridCol w:w="9630"/>
      </w:tblGrid>
      <w:tr w:rsidR="004E5EE3" w:rsidRPr="00202653" w14:paraId="55E2E688" w14:textId="77777777" w:rsidTr="009C1A70">
        <w:trPr>
          <w:trHeight w:val="300"/>
        </w:trPr>
        <w:tc>
          <w:tcPr>
            <w:tcW w:w="9630" w:type="dxa"/>
            <w:tcMar>
              <w:left w:w="108" w:type="dxa"/>
              <w:right w:w="108" w:type="dxa"/>
            </w:tcMar>
          </w:tcPr>
          <w:p w14:paraId="40D56726" w14:textId="5DFAD193" w:rsidR="004E5EE3" w:rsidRPr="00202653" w:rsidRDefault="004E5EE3" w:rsidP="00B42557">
            <w:pPr>
              <w:rPr>
                <w:szCs w:val="24"/>
              </w:rPr>
            </w:pPr>
            <w:r w:rsidRPr="00202653">
              <w:rPr>
                <w:b/>
                <w:bCs/>
                <w:szCs w:val="24"/>
              </w:rPr>
              <w:t>Objet:</w:t>
            </w:r>
            <w:r w:rsidR="003C4569" w:rsidRPr="00202653">
              <w:rPr>
                <w:szCs w:val="24"/>
              </w:rPr>
              <w:t xml:space="preserve"> Proposition de futur point de l'ordre du jour de la</w:t>
            </w:r>
            <w:r w:rsidR="00331C2E">
              <w:rPr>
                <w:szCs w:val="24"/>
              </w:rPr>
              <w:t xml:space="preserve"> </w:t>
            </w:r>
            <w:r w:rsidR="003C4569" w:rsidRPr="00202653">
              <w:rPr>
                <w:szCs w:val="24"/>
              </w:rPr>
              <w:t>CMR-27 concernant des attributions additionnelles au service mobile par satellite pour permettre l</w:t>
            </w:r>
            <w:r w:rsidR="0083653B" w:rsidRPr="00202653">
              <w:rPr>
                <w:szCs w:val="24"/>
              </w:rPr>
              <w:t>'</w:t>
            </w:r>
            <w:r w:rsidR="003C4569" w:rsidRPr="00202653">
              <w:rPr>
                <w:szCs w:val="24"/>
              </w:rPr>
              <w:t>utilisation de la composante satellite des Télécommunications mobiles internationales</w:t>
            </w:r>
            <w:r w:rsidR="00845F01" w:rsidRPr="00202653">
              <w:rPr>
                <w:szCs w:val="24"/>
              </w:rPr>
              <w:t>.</w:t>
            </w:r>
          </w:p>
        </w:tc>
      </w:tr>
      <w:tr w:rsidR="004E5EE3" w:rsidRPr="00202653" w14:paraId="761816EE" w14:textId="77777777" w:rsidTr="00E7332B">
        <w:trPr>
          <w:trHeight w:val="300"/>
        </w:trPr>
        <w:tc>
          <w:tcPr>
            <w:tcW w:w="9630" w:type="dxa"/>
            <w:tcBorders>
              <w:left w:val="nil"/>
              <w:bottom w:val="single" w:sz="4" w:space="0" w:color="auto"/>
              <w:right w:val="nil"/>
            </w:tcBorders>
            <w:tcMar>
              <w:left w:w="108" w:type="dxa"/>
              <w:right w:w="108" w:type="dxa"/>
            </w:tcMar>
          </w:tcPr>
          <w:p w14:paraId="7CB2E56A" w14:textId="1A184D56" w:rsidR="004E5EE3" w:rsidRPr="00202653" w:rsidRDefault="004E5EE3" w:rsidP="00B42557">
            <w:r w:rsidRPr="00202653">
              <w:rPr>
                <w:b/>
                <w:bCs/>
              </w:rPr>
              <w:t>Origine:</w:t>
            </w:r>
            <w:r w:rsidR="003C4569" w:rsidRPr="00202653">
              <w:t xml:space="preserve"> CITEL</w:t>
            </w:r>
          </w:p>
        </w:tc>
      </w:tr>
      <w:tr w:rsidR="004E5EE3" w:rsidRPr="00202653" w14:paraId="1DECEDE4" w14:textId="77777777" w:rsidTr="00E7332B">
        <w:trPr>
          <w:trHeight w:val="300"/>
        </w:trPr>
        <w:tc>
          <w:tcPr>
            <w:tcW w:w="9630" w:type="dxa"/>
            <w:tcBorders>
              <w:top w:val="single" w:sz="4" w:space="0" w:color="auto"/>
              <w:left w:val="nil"/>
              <w:bottom w:val="single" w:sz="4" w:space="0" w:color="auto"/>
              <w:right w:val="nil"/>
            </w:tcBorders>
            <w:tcMar>
              <w:left w:w="108" w:type="dxa"/>
              <w:right w:w="108" w:type="dxa"/>
            </w:tcMar>
          </w:tcPr>
          <w:p w14:paraId="385B0B7D" w14:textId="77777777" w:rsidR="004E5EE3" w:rsidRPr="00202653" w:rsidRDefault="004E5EE3" w:rsidP="00B42557">
            <w:pPr>
              <w:jc w:val="both"/>
              <w:rPr>
                <w:i/>
                <w:iCs/>
              </w:rPr>
            </w:pPr>
            <w:r w:rsidRPr="00202653">
              <w:rPr>
                <w:b/>
                <w:bCs/>
                <w:i/>
                <w:iCs/>
              </w:rPr>
              <w:t>Proposition</w:t>
            </w:r>
            <w:r w:rsidRPr="00202653">
              <w:rPr>
                <w:b/>
                <w:bCs/>
              </w:rPr>
              <w:t>:</w:t>
            </w:r>
          </w:p>
          <w:p w14:paraId="15349961" w14:textId="3260AAE8" w:rsidR="004E5EE3" w:rsidRPr="00202653" w:rsidRDefault="00845F01" w:rsidP="00845F01">
            <w:r w:rsidRPr="00202653">
              <w:t>Élaborer</w:t>
            </w:r>
            <w:r w:rsidR="003C4569" w:rsidRPr="00202653">
              <w:t xml:space="preserve"> des études </w:t>
            </w:r>
            <w:r w:rsidR="00B62FB5" w:rsidRPr="00202653">
              <w:t xml:space="preserve">concernant des </w:t>
            </w:r>
            <w:r w:rsidR="003C4569" w:rsidRPr="00202653">
              <w:t>attributions additionnelles au service mobile par satellite dans les bandes de fréquences 694</w:t>
            </w:r>
            <w:r w:rsidRPr="00202653">
              <w:noBreakHyphen/>
            </w:r>
            <w:r w:rsidR="003C4569" w:rsidRPr="00202653">
              <w:t>960</w:t>
            </w:r>
            <w:r w:rsidRPr="00202653">
              <w:t> </w:t>
            </w:r>
            <w:r w:rsidR="003C4569" w:rsidRPr="00202653">
              <w:t>MHz, 1</w:t>
            </w:r>
            <w:r w:rsidRPr="00202653">
              <w:t> </w:t>
            </w:r>
            <w:r w:rsidR="003C4569" w:rsidRPr="00202653">
              <w:t>710-2</w:t>
            </w:r>
            <w:r w:rsidRPr="00202653">
              <w:t> </w:t>
            </w:r>
            <w:r w:rsidR="003C4569" w:rsidRPr="00202653">
              <w:t>025</w:t>
            </w:r>
            <w:r w:rsidRPr="00202653">
              <w:t> </w:t>
            </w:r>
            <w:r w:rsidR="003C4569" w:rsidRPr="00202653">
              <w:t>MHz, 2</w:t>
            </w:r>
            <w:r w:rsidRPr="00202653">
              <w:t> </w:t>
            </w:r>
            <w:r w:rsidR="003C4569" w:rsidRPr="00202653">
              <w:t>110-2</w:t>
            </w:r>
            <w:r w:rsidRPr="00202653">
              <w:t> </w:t>
            </w:r>
            <w:r w:rsidR="003C4569" w:rsidRPr="00202653">
              <w:t>200</w:t>
            </w:r>
            <w:r w:rsidRPr="00202653">
              <w:t> </w:t>
            </w:r>
            <w:r w:rsidR="003C4569" w:rsidRPr="00202653">
              <w:t>MHz, 2</w:t>
            </w:r>
            <w:r w:rsidRPr="00202653">
              <w:t> </w:t>
            </w:r>
            <w:r w:rsidR="003C4569" w:rsidRPr="00202653">
              <w:t>300-2</w:t>
            </w:r>
            <w:r w:rsidRPr="00202653">
              <w:t> </w:t>
            </w:r>
            <w:r w:rsidR="003C4569" w:rsidRPr="00202653">
              <w:t>400</w:t>
            </w:r>
            <w:r w:rsidRPr="00202653">
              <w:t> </w:t>
            </w:r>
            <w:r w:rsidR="003C4569" w:rsidRPr="00202653">
              <w:t>MHz et 2 500-2</w:t>
            </w:r>
            <w:r w:rsidRPr="00202653">
              <w:t> </w:t>
            </w:r>
            <w:r w:rsidR="003C4569" w:rsidRPr="00202653">
              <w:t>690</w:t>
            </w:r>
            <w:r w:rsidRPr="00202653">
              <w:t> </w:t>
            </w:r>
            <w:r w:rsidR="003C4569" w:rsidRPr="00202653">
              <w:t>MHz</w:t>
            </w:r>
            <w:r w:rsidRPr="00202653">
              <w:t>.</w:t>
            </w:r>
          </w:p>
        </w:tc>
      </w:tr>
      <w:tr w:rsidR="004E5EE3" w:rsidRPr="00202653" w14:paraId="358F186A" w14:textId="77777777" w:rsidTr="00E7332B">
        <w:trPr>
          <w:trHeight w:val="300"/>
        </w:trPr>
        <w:tc>
          <w:tcPr>
            <w:tcW w:w="9630" w:type="dxa"/>
            <w:tcBorders>
              <w:top w:val="single" w:sz="4" w:space="0" w:color="auto"/>
              <w:left w:val="nil"/>
              <w:bottom w:val="single" w:sz="4" w:space="0" w:color="auto"/>
              <w:right w:val="nil"/>
            </w:tcBorders>
            <w:tcMar>
              <w:left w:w="108" w:type="dxa"/>
              <w:right w:w="108" w:type="dxa"/>
            </w:tcMar>
          </w:tcPr>
          <w:p w14:paraId="256EFA87" w14:textId="77777777" w:rsidR="004E5EE3" w:rsidRPr="00202653" w:rsidRDefault="004E5EE3" w:rsidP="00B42557">
            <w:pPr>
              <w:rPr>
                <w:b/>
                <w:color w:val="000000" w:themeColor="text1"/>
                <w:szCs w:val="24"/>
              </w:rPr>
            </w:pPr>
            <w:r w:rsidRPr="00202653">
              <w:rPr>
                <w:b/>
                <w:i/>
                <w:iCs/>
                <w:color w:val="000000" w:themeColor="text1"/>
                <w:szCs w:val="24"/>
              </w:rPr>
              <w:t>Contexte/motif</w:t>
            </w:r>
            <w:r w:rsidRPr="00202653">
              <w:rPr>
                <w:b/>
                <w:color w:val="000000" w:themeColor="text1"/>
                <w:szCs w:val="24"/>
              </w:rPr>
              <w:t>:</w:t>
            </w:r>
          </w:p>
          <w:p w14:paraId="0D487088" w14:textId="0B8519A0" w:rsidR="004E5EE3" w:rsidRPr="00202653" w:rsidRDefault="00E570ED" w:rsidP="00ED0503">
            <w:r w:rsidRPr="00202653">
              <w:t>Le service mobile (SM), par l</w:t>
            </w:r>
            <w:r w:rsidR="0083653B" w:rsidRPr="00202653">
              <w:t>'</w:t>
            </w:r>
            <w:r w:rsidRPr="00202653">
              <w:t xml:space="preserve">intermédiaire de sa composante de Terre des Télécommunications mobiles internationales (IMT), permet à la population de communiquer à haut débit dans de nombreuses régions, principalement dans les zones les plus peuplées. Cependant, il existe de nombreuses zones non desservies ou mal desservies </w:t>
            </w:r>
            <w:r w:rsidR="00B62FB5" w:rsidRPr="00202653">
              <w:t xml:space="preserve">à travers </w:t>
            </w:r>
            <w:r w:rsidRPr="00202653">
              <w:t xml:space="preserve">le monde, en particulier dans les zones rurales et/ou reculées. </w:t>
            </w:r>
            <w:r w:rsidR="0083653B" w:rsidRPr="00202653">
              <w:t>À</w:t>
            </w:r>
            <w:r w:rsidRPr="00202653">
              <w:t xml:space="preserve"> cet égard, l</w:t>
            </w:r>
            <w:r w:rsidR="0083653B" w:rsidRPr="00202653">
              <w:t>'</w:t>
            </w:r>
            <w:r w:rsidRPr="00202653">
              <w:t xml:space="preserve">élargissement des attributions au service mobile par satellite (SMS) </w:t>
            </w:r>
            <w:r w:rsidR="00B62FB5" w:rsidRPr="00202653">
              <w:t xml:space="preserve">pour </w:t>
            </w:r>
            <w:r w:rsidRPr="00202653">
              <w:t>ouvrir la voie à de nouveaux cas d</w:t>
            </w:r>
            <w:r w:rsidR="0083653B" w:rsidRPr="00202653">
              <w:t>'</w:t>
            </w:r>
            <w:r w:rsidRPr="00202653">
              <w:t>utilisation de la composante satellite des</w:t>
            </w:r>
            <w:r w:rsidR="00331C2E">
              <w:t xml:space="preserve"> </w:t>
            </w:r>
            <w:r w:rsidRPr="00202653">
              <w:t>IMT peut contribuer à étendre les communications dans ces zones et à améliorer la connectivité.</w:t>
            </w:r>
          </w:p>
          <w:p w14:paraId="2D8DD773" w14:textId="1AC163B5" w:rsidR="00E570ED" w:rsidRPr="00202653" w:rsidRDefault="00E570ED" w:rsidP="00ED0503">
            <w:r w:rsidRPr="00202653">
              <w:t>Récemment, certains opérateurs mobiles se sont associés à des opérateurs de systèmes à satellites existants pour fournir des services de communication par satellite directement sur le dispositif lorsque les utilisateurs finals ne sont pas desservis par les</w:t>
            </w:r>
            <w:r w:rsidR="00331C2E">
              <w:t xml:space="preserve"> </w:t>
            </w:r>
            <w:r w:rsidRPr="00202653">
              <w:t xml:space="preserve">IMT de Terre. Ces services sont actuellement </w:t>
            </w:r>
            <w:r w:rsidR="00B62FB5" w:rsidRPr="00202653">
              <w:t xml:space="preserve">restreints </w:t>
            </w:r>
            <w:r w:rsidRPr="00202653">
              <w:t>aux communications d</w:t>
            </w:r>
            <w:r w:rsidR="0083653B" w:rsidRPr="00202653">
              <w:t>'</w:t>
            </w:r>
            <w:r w:rsidRPr="00202653">
              <w:t>urgence ou à des services de messagerie texte très limités, mais de nouvelles attributions au</w:t>
            </w:r>
            <w:r w:rsidR="00331C2E">
              <w:t xml:space="preserve"> </w:t>
            </w:r>
            <w:r w:rsidRPr="00202653">
              <w:t xml:space="preserve">SMS permettraient </w:t>
            </w:r>
            <w:r w:rsidR="003A4B7B" w:rsidRPr="00202653">
              <w:t>de fournir aux utilisateurs finals une communication de meilleure qualité</w:t>
            </w:r>
            <w:r w:rsidRPr="00202653">
              <w:t>, lorsqu</w:t>
            </w:r>
            <w:r w:rsidR="0083653B" w:rsidRPr="00202653">
              <w:t>'</w:t>
            </w:r>
            <w:r w:rsidRPr="00202653">
              <w:t>ils utilisent la composante satellite des</w:t>
            </w:r>
            <w:r w:rsidR="00331C2E">
              <w:t xml:space="preserve"> </w:t>
            </w:r>
            <w:r w:rsidRPr="00202653">
              <w:t>IMT.</w:t>
            </w:r>
            <w:r w:rsidR="003A4B7B" w:rsidRPr="00202653">
              <w:t xml:space="preserve"> En outre, des études en vue d</w:t>
            </w:r>
            <w:r w:rsidR="0083653B" w:rsidRPr="00202653">
              <w:t>'</w:t>
            </w:r>
            <w:r w:rsidR="003A4B7B" w:rsidRPr="00202653">
              <w:t>attributions additionnelles au</w:t>
            </w:r>
            <w:r w:rsidR="00331C2E">
              <w:t xml:space="preserve"> </w:t>
            </w:r>
            <w:r w:rsidR="003A4B7B" w:rsidRPr="00202653">
              <w:t>SMS sont également nécessaires pour l</w:t>
            </w:r>
            <w:r w:rsidR="0083653B" w:rsidRPr="00202653">
              <w:t>'</w:t>
            </w:r>
            <w:r w:rsidR="003A4B7B" w:rsidRPr="00202653">
              <w:t>utilisation de la composante satellite des</w:t>
            </w:r>
            <w:r w:rsidR="00845F01" w:rsidRPr="00202653">
              <w:t> </w:t>
            </w:r>
            <w:r w:rsidR="003A4B7B" w:rsidRPr="00202653">
              <w:t>IMT par les dispositifs portatifs, les terminaux directionnels et les dispositifs de type machine (MTD), afin de compléter la couverture des réseaux</w:t>
            </w:r>
            <w:r w:rsidR="00331C2E">
              <w:t xml:space="preserve"> </w:t>
            </w:r>
            <w:r w:rsidR="003A4B7B" w:rsidRPr="00202653">
              <w:t xml:space="preserve">IMT de Terre. Par conséquent, </w:t>
            </w:r>
            <w:r w:rsidR="00B62FB5" w:rsidRPr="00202653">
              <w:t xml:space="preserve">dans </w:t>
            </w:r>
            <w:r w:rsidR="003A4B7B" w:rsidRPr="00202653">
              <w:t>la présente contribution</w:t>
            </w:r>
            <w:r w:rsidR="00B62FB5" w:rsidRPr="00202653">
              <w:t xml:space="preserve">, </w:t>
            </w:r>
            <w:r w:rsidR="003A4B7B" w:rsidRPr="00202653">
              <w:t xml:space="preserve">les </w:t>
            </w:r>
            <w:r w:rsidR="00845F01" w:rsidRPr="00202653">
              <w:t>États</w:t>
            </w:r>
            <w:r w:rsidR="00331C2E">
              <w:t xml:space="preserve"> </w:t>
            </w:r>
            <w:r w:rsidR="003A4B7B" w:rsidRPr="00202653">
              <w:t>Membres de la</w:t>
            </w:r>
            <w:r w:rsidR="004253C3">
              <w:t xml:space="preserve"> </w:t>
            </w:r>
            <w:r w:rsidR="003A4B7B" w:rsidRPr="00202653">
              <w:t xml:space="preserve">CITEL </w:t>
            </w:r>
            <w:r w:rsidR="00B62FB5" w:rsidRPr="00202653">
              <w:t xml:space="preserve">sont invités </w:t>
            </w:r>
            <w:r w:rsidR="003A4B7B" w:rsidRPr="00202653">
              <w:t>à examiner un nouveau point de l</w:t>
            </w:r>
            <w:r w:rsidR="0083653B" w:rsidRPr="00202653">
              <w:t>'</w:t>
            </w:r>
            <w:r w:rsidR="003A4B7B" w:rsidRPr="00202653">
              <w:t>ordre du jour de la</w:t>
            </w:r>
            <w:r w:rsidR="00331C2E">
              <w:t xml:space="preserve"> </w:t>
            </w:r>
            <w:r w:rsidR="003A4B7B" w:rsidRPr="00202653">
              <w:t>CMR-27 visant à étudier la possibilité de faire des attributions additionnelles au</w:t>
            </w:r>
            <w:r w:rsidR="00845F01" w:rsidRPr="00202653">
              <w:t> </w:t>
            </w:r>
            <w:r w:rsidR="003A4B7B" w:rsidRPr="00202653">
              <w:t>SMS dans les bandes de fréquences au</w:t>
            </w:r>
            <w:r w:rsidR="00331C2E">
              <w:noBreakHyphen/>
            </w:r>
            <w:r w:rsidR="003A4B7B" w:rsidRPr="00202653">
              <w:t>dessous de</w:t>
            </w:r>
            <w:r w:rsidR="00331C2E">
              <w:t xml:space="preserve"> </w:t>
            </w:r>
            <w:r w:rsidR="003A4B7B" w:rsidRPr="00202653">
              <w:t>5</w:t>
            </w:r>
            <w:r w:rsidR="00845F01" w:rsidRPr="00202653">
              <w:t> </w:t>
            </w:r>
            <w:r w:rsidR="003A4B7B" w:rsidRPr="00202653">
              <w:t>GHz déjà attribuées au service mobile et identifiées pour l</w:t>
            </w:r>
            <w:r w:rsidR="0083653B" w:rsidRPr="00202653">
              <w:t>'</w:t>
            </w:r>
            <w:r w:rsidR="003A4B7B" w:rsidRPr="00202653">
              <w:t>utilisation des</w:t>
            </w:r>
            <w:r w:rsidR="00331C2E">
              <w:t xml:space="preserve"> </w:t>
            </w:r>
            <w:r w:rsidR="003A4B7B" w:rsidRPr="00202653">
              <w:t xml:space="preserve">IMT. Les besoins de spectre et la coexistence avec les services existants devront faire l'objet d'études au cours du prochain cycle </w:t>
            </w:r>
            <w:r w:rsidR="00B62FB5" w:rsidRPr="00202653">
              <w:t>de la</w:t>
            </w:r>
            <w:r w:rsidR="00331C2E">
              <w:t xml:space="preserve"> </w:t>
            </w:r>
            <w:r w:rsidR="003A4B7B" w:rsidRPr="00202653">
              <w:t>CMR pour garantir une utilisation efficace du spectre et la protection des services existants. De nouvelles attributions au</w:t>
            </w:r>
            <w:r w:rsidR="00331C2E">
              <w:t xml:space="preserve"> </w:t>
            </w:r>
            <w:r w:rsidR="003A4B7B" w:rsidRPr="00202653">
              <w:t>SMS pour l</w:t>
            </w:r>
            <w:r w:rsidR="0083653B" w:rsidRPr="00202653">
              <w:t>'</w:t>
            </w:r>
            <w:r w:rsidR="003A4B7B" w:rsidRPr="00202653">
              <w:t>utilisation de la composante satellite des</w:t>
            </w:r>
            <w:r w:rsidR="00331C2E">
              <w:t xml:space="preserve"> </w:t>
            </w:r>
            <w:r w:rsidR="003A4B7B" w:rsidRPr="00202653">
              <w:t>IMT encourageront l</w:t>
            </w:r>
            <w:r w:rsidR="0083653B" w:rsidRPr="00202653">
              <w:t>'</w:t>
            </w:r>
            <w:r w:rsidR="003A4B7B" w:rsidRPr="00202653">
              <w:t xml:space="preserve">élargissement </w:t>
            </w:r>
            <w:r w:rsidR="00B62FB5" w:rsidRPr="00202653">
              <w:t>des services</w:t>
            </w:r>
            <w:r w:rsidR="00331C2E">
              <w:t xml:space="preserve"> </w:t>
            </w:r>
            <w:r w:rsidR="00B62FB5" w:rsidRPr="00202653">
              <w:t xml:space="preserve">IMT </w:t>
            </w:r>
            <w:r w:rsidR="003A4B7B" w:rsidRPr="00202653">
              <w:t xml:space="preserve">et </w:t>
            </w:r>
            <w:r w:rsidR="00B62FB5" w:rsidRPr="00202653">
              <w:t>l</w:t>
            </w:r>
            <w:r w:rsidR="0083653B" w:rsidRPr="00202653">
              <w:t>'</w:t>
            </w:r>
            <w:r w:rsidR="00B62FB5" w:rsidRPr="00202653">
              <w:t xml:space="preserve">amélioration de </w:t>
            </w:r>
            <w:r w:rsidR="003A4B7B" w:rsidRPr="00202653">
              <w:t>la couverture dans les zones non desservies ou mal desservies.</w:t>
            </w:r>
          </w:p>
        </w:tc>
      </w:tr>
      <w:tr w:rsidR="004E5EE3" w:rsidRPr="00202653" w14:paraId="5330C43E" w14:textId="77777777" w:rsidTr="00E7332B">
        <w:trPr>
          <w:trHeight w:val="300"/>
        </w:trPr>
        <w:tc>
          <w:tcPr>
            <w:tcW w:w="9630" w:type="dxa"/>
            <w:tcBorders>
              <w:top w:val="single" w:sz="4" w:space="0" w:color="auto"/>
              <w:left w:val="nil"/>
              <w:bottom w:val="single" w:sz="8" w:space="0" w:color="auto"/>
              <w:right w:val="nil"/>
            </w:tcBorders>
            <w:tcMar>
              <w:left w:w="108" w:type="dxa"/>
              <w:right w:w="108" w:type="dxa"/>
            </w:tcMar>
          </w:tcPr>
          <w:p w14:paraId="66FD3291" w14:textId="77777777" w:rsidR="004E5EE3" w:rsidRPr="00202653" w:rsidRDefault="004E5EE3" w:rsidP="00B42557">
            <w:pPr>
              <w:jc w:val="both"/>
              <w:rPr>
                <w:b/>
                <w:bCs/>
              </w:rPr>
            </w:pPr>
            <w:r w:rsidRPr="00202653">
              <w:rPr>
                <w:b/>
                <w:bCs/>
                <w:i/>
                <w:iCs/>
              </w:rPr>
              <w:t>Services de radiocommunication concernés</w:t>
            </w:r>
            <w:r w:rsidRPr="00202653">
              <w:rPr>
                <w:b/>
                <w:bCs/>
              </w:rPr>
              <w:t>:</w:t>
            </w:r>
          </w:p>
          <w:p w14:paraId="4DA878D8" w14:textId="596D5D25" w:rsidR="004E5EE3" w:rsidRPr="00202653" w:rsidRDefault="003A4B7B" w:rsidP="00845F01">
            <w:r w:rsidRPr="00202653">
              <w:t>Service mobile par satellite, service mobile, systèmes</w:t>
            </w:r>
            <w:r w:rsidR="00331C2E">
              <w:t xml:space="preserve"> </w:t>
            </w:r>
            <w:r w:rsidRPr="00202653">
              <w:t>IMT et autres services exploités dans la bande de fréquences et dans les bandes de fréquences adjacentes</w:t>
            </w:r>
            <w:r w:rsidR="00845F01" w:rsidRPr="00202653">
              <w:t>.</w:t>
            </w:r>
          </w:p>
        </w:tc>
      </w:tr>
    </w:tbl>
    <w:p w14:paraId="549E43E9" w14:textId="77777777" w:rsidR="00331C2E" w:rsidRDefault="00331C2E"/>
    <w:tbl>
      <w:tblPr>
        <w:tblW w:w="9630" w:type="dxa"/>
        <w:tblInd w:w="135" w:type="dxa"/>
        <w:tblLayout w:type="fixed"/>
        <w:tblLook w:val="04A0" w:firstRow="1" w:lastRow="0" w:firstColumn="1" w:lastColumn="0" w:noHBand="0" w:noVBand="1"/>
      </w:tblPr>
      <w:tblGrid>
        <w:gridCol w:w="4685"/>
        <w:gridCol w:w="4945"/>
      </w:tblGrid>
      <w:tr w:rsidR="004E5EE3" w:rsidRPr="00202653" w14:paraId="4C9AD581" w14:textId="77777777" w:rsidTr="00E7332B">
        <w:trPr>
          <w:trHeight w:val="300"/>
        </w:trPr>
        <w:tc>
          <w:tcPr>
            <w:tcW w:w="9630" w:type="dxa"/>
            <w:gridSpan w:val="2"/>
            <w:tcBorders>
              <w:top w:val="single" w:sz="4" w:space="0" w:color="auto"/>
              <w:left w:val="nil"/>
              <w:bottom w:val="single" w:sz="4" w:space="0" w:color="auto"/>
              <w:right w:val="nil"/>
            </w:tcBorders>
            <w:tcMar>
              <w:left w:w="108" w:type="dxa"/>
              <w:right w:w="108" w:type="dxa"/>
            </w:tcMar>
          </w:tcPr>
          <w:p w14:paraId="34A03A1F" w14:textId="77777777" w:rsidR="004E5EE3" w:rsidRPr="00202653" w:rsidRDefault="004E5EE3" w:rsidP="00B42557">
            <w:pPr>
              <w:jc w:val="both"/>
              <w:rPr>
                <w:b/>
                <w:bCs/>
              </w:rPr>
            </w:pPr>
            <w:r w:rsidRPr="00202653">
              <w:rPr>
                <w:b/>
                <w:bCs/>
                <w:i/>
                <w:iCs/>
              </w:rPr>
              <w:lastRenderedPageBreak/>
              <w:t>Indication des difficultés éventuelles</w:t>
            </w:r>
            <w:r w:rsidRPr="00202653">
              <w:rPr>
                <w:b/>
                <w:bCs/>
              </w:rPr>
              <w:t>:</w:t>
            </w:r>
          </w:p>
          <w:p w14:paraId="10E56D32" w14:textId="20F8EFCE" w:rsidR="004E5EE3" w:rsidRPr="00202653" w:rsidRDefault="003A4B7B" w:rsidP="00845F01">
            <w:r w:rsidRPr="00202653">
              <w:t>Dans certains cas, la coexistence entre le</w:t>
            </w:r>
            <w:r w:rsidR="00331C2E">
              <w:t xml:space="preserve"> </w:t>
            </w:r>
            <w:r w:rsidRPr="00202653">
              <w:t>SMS et le</w:t>
            </w:r>
            <w:r w:rsidR="00331C2E">
              <w:t xml:space="preserve"> </w:t>
            </w:r>
            <w:r w:rsidRPr="00202653">
              <w:t>SM, lors de l</w:t>
            </w:r>
            <w:r w:rsidR="0083653B" w:rsidRPr="00202653">
              <w:t>'</w:t>
            </w:r>
            <w:r w:rsidRPr="00202653">
              <w:t>utilisation des composantes satellite et de Terre des</w:t>
            </w:r>
            <w:r w:rsidR="00331C2E">
              <w:t xml:space="preserve"> </w:t>
            </w:r>
            <w:r w:rsidRPr="00202653">
              <w:t xml:space="preserve">IMT, pourrait être difficile à </w:t>
            </w:r>
            <w:r w:rsidR="00B62FB5" w:rsidRPr="00202653">
              <w:t>mettre en œuvre</w:t>
            </w:r>
            <w:r w:rsidRPr="00202653">
              <w:t>, en particulier lorsque les deux services associés (SM</w:t>
            </w:r>
            <w:r w:rsidR="004253C3">
              <w:t xml:space="preserve"> </w:t>
            </w:r>
            <w:r w:rsidRPr="00202653">
              <w:t>et</w:t>
            </w:r>
            <w:r w:rsidR="004253C3">
              <w:t xml:space="preserve"> </w:t>
            </w:r>
            <w:r w:rsidRPr="00202653">
              <w:t>SMS) bénéficient d</w:t>
            </w:r>
            <w:r w:rsidR="0083653B" w:rsidRPr="00202653">
              <w:t>'</w:t>
            </w:r>
            <w:r w:rsidRPr="00202653">
              <w:t>attributions à titre primaire.</w:t>
            </w:r>
          </w:p>
        </w:tc>
      </w:tr>
      <w:tr w:rsidR="004E5EE3" w:rsidRPr="00202653" w14:paraId="1D36B5CA" w14:textId="77777777" w:rsidTr="00E7332B">
        <w:trPr>
          <w:trHeight w:val="300"/>
        </w:trPr>
        <w:tc>
          <w:tcPr>
            <w:tcW w:w="9630" w:type="dxa"/>
            <w:gridSpan w:val="2"/>
            <w:tcBorders>
              <w:top w:val="single" w:sz="4" w:space="0" w:color="auto"/>
              <w:left w:val="nil"/>
              <w:bottom w:val="single" w:sz="4" w:space="0" w:color="auto"/>
              <w:right w:val="nil"/>
            </w:tcBorders>
            <w:tcMar>
              <w:left w:w="108" w:type="dxa"/>
              <w:right w:w="108" w:type="dxa"/>
            </w:tcMar>
          </w:tcPr>
          <w:p w14:paraId="6AF3EEFA" w14:textId="77777777" w:rsidR="004E5EE3" w:rsidRPr="00202653" w:rsidRDefault="004E5EE3" w:rsidP="00B42557">
            <w:pPr>
              <w:jc w:val="both"/>
              <w:rPr>
                <w:b/>
                <w:bCs/>
              </w:rPr>
            </w:pPr>
            <w:r w:rsidRPr="00202653">
              <w:rPr>
                <w:b/>
                <w:bCs/>
                <w:i/>
                <w:iCs/>
              </w:rPr>
              <w:t>Études précédentes ou en cours sur la question</w:t>
            </w:r>
            <w:r w:rsidRPr="00202653">
              <w:rPr>
                <w:b/>
                <w:bCs/>
              </w:rPr>
              <w:t>:</w:t>
            </w:r>
          </w:p>
          <w:p w14:paraId="6AFD947F" w14:textId="0F13228E" w:rsidR="004E5EE3" w:rsidRPr="00202653" w:rsidRDefault="003C4569" w:rsidP="00845F01">
            <w:pPr>
              <w:rPr>
                <w:szCs w:val="24"/>
              </w:rPr>
            </w:pPr>
            <w:r w:rsidRPr="00202653">
              <w:rPr>
                <w:szCs w:val="24"/>
              </w:rPr>
              <w:t>Groupe de travail</w:t>
            </w:r>
            <w:r w:rsidR="00331C2E">
              <w:rPr>
                <w:szCs w:val="24"/>
              </w:rPr>
              <w:t xml:space="preserve"> </w:t>
            </w:r>
            <w:r w:rsidRPr="00202653">
              <w:rPr>
                <w:szCs w:val="24"/>
              </w:rPr>
              <w:t>4C</w:t>
            </w:r>
          </w:p>
        </w:tc>
      </w:tr>
      <w:tr w:rsidR="004E5EE3" w:rsidRPr="00202653" w14:paraId="336AB80D" w14:textId="77777777" w:rsidTr="00FB4677">
        <w:trPr>
          <w:trHeight w:val="300"/>
        </w:trPr>
        <w:tc>
          <w:tcPr>
            <w:tcW w:w="4685" w:type="dxa"/>
            <w:tcBorders>
              <w:top w:val="single" w:sz="4" w:space="0" w:color="auto"/>
              <w:left w:val="nil"/>
              <w:bottom w:val="single" w:sz="4" w:space="0" w:color="auto"/>
              <w:right w:val="single" w:sz="4" w:space="0" w:color="auto"/>
            </w:tcBorders>
            <w:tcMar>
              <w:left w:w="108" w:type="dxa"/>
              <w:right w:w="108" w:type="dxa"/>
            </w:tcMar>
          </w:tcPr>
          <w:p w14:paraId="56E8BE5A" w14:textId="559B1A8D" w:rsidR="004E5EE3" w:rsidRPr="00202653" w:rsidRDefault="004E5EE3" w:rsidP="00FB4677">
            <w:r w:rsidRPr="00202653">
              <w:rPr>
                <w:b/>
                <w:bCs/>
                <w:i/>
                <w:iCs/>
              </w:rPr>
              <w:t>Études devant être réalisées par</w:t>
            </w:r>
            <w:r w:rsidRPr="00202653">
              <w:rPr>
                <w:b/>
                <w:bCs/>
              </w:rPr>
              <w:t>:</w:t>
            </w:r>
            <w:r w:rsidR="00FB4677" w:rsidRPr="00202653">
              <w:t xml:space="preserve"> </w:t>
            </w:r>
            <w:r w:rsidR="006D0ACC" w:rsidRPr="00202653">
              <w:t>Groupe</w:t>
            </w:r>
            <w:r w:rsidR="00FB4677" w:rsidRPr="00202653">
              <w:t> </w:t>
            </w:r>
            <w:r w:rsidR="006D0ACC" w:rsidRPr="00202653">
              <w:t>de</w:t>
            </w:r>
            <w:r w:rsidR="00FB4677" w:rsidRPr="00202653">
              <w:t> </w:t>
            </w:r>
            <w:r w:rsidR="006D0ACC" w:rsidRPr="00202653">
              <w:t>travail</w:t>
            </w:r>
            <w:r w:rsidR="00331C2E">
              <w:t xml:space="preserve"> </w:t>
            </w:r>
            <w:r w:rsidR="006D0ACC" w:rsidRPr="00202653">
              <w:t>4C</w:t>
            </w:r>
          </w:p>
        </w:tc>
        <w:tc>
          <w:tcPr>
            <w:tcW w:w="4945" w:type="dxa"/>
            <w:tcBorders>
              <w:top w:val="single" w:sz="4" w:space="0" w:color="auto"/>
              <w:left w:val="single" w:sz="4" w:space="0" w:color="auto"/>
              <w:bottom w:val="single" w:sz="4" w:space="0" w:color="auto"/>
              <w:right w:val="nil"/>
            </w:tcBorders>
            <w:tcMar>
              <w:left w:w="108" w:type="dxa"/>
              <w:right w:w="108" w:type="dxa"/>
            </w:tcMar>
          </w:tcPr>
          <w:p w14:paraId="39DB76D6" w14:textId="7EA4A488" w:rsidR="004E5EE3" w:rsidRPr="00202653" w:rsidRDefault="004E5EE3" w:rsidP="00FB4677">
            <w:pPr>
              <w:rPr>
                <w:color w:val="000000" w:themeColor="text1"/>
                <w:szCs w:val="24"/>
              </w:rPr>
            </w:pPr>
            <w:r w:rsidRPr="00202653">
              <w:rPr>
                <w:b/>
                <w:bCs/>
                <w:i/>
                <w:iCs/>
              </w:rPr>
              <w:t>avec la participation de</w:t>
            </w:r>
            <w:r w:rsidRPr="00202653">
              <w:rPr>
                <w:b/>
                <w:bCs/>
              </w:rPr>
              <w:t>:</w:t>
            </w:r>
            <w:r w:rsidR="00FB4677" w:rsidRPr="00202653">
              <w:t xml:space="preserve"> </w:t>
            </w:r>
            <w:r w:rsidR="006D0ACC" w:rsidRPr="00202653">
              <w:rPr>
                <w:color w:val="000000" w:themeColor="text1"/>
                <w:szCs w:val="24"/>
              </w:rPr>
              <w:t>Administrations et Membres d</w:t>
            </w:r>
            <w:r w:rsidR="003C4569" w:rsidRPr="00202653">
              <w:rPr>
                <w:color w:val="000000" w:themeColor="text1"/>
                <w:szCs w:val="24"/>
              </w:rPr>
              <w:t>u</w:t>
            </w:r>
            <w:r w:rsidR="006D0ACC" w:rsidRPr="00202653">
              <w:rPr>
                <w:color w:val="000000" w:themeColor="text1"/>
                <w:szCs w:val="24"/>
              </w:rPr>
              <w:t xml:space="preserve"> Secteur de l'UIT-R</w:t>
            </w:r>
          </w:p>
        </w:tc>
      </w:tr>
      <w:tr w:rsidR="004E5EE3" w:rsidRPr="00202653" w14:paraId="0E4E0973" w14:textId="77777777" w:rsidTr="00E7332B">
        <w:trPr>
          <w:trHeight w:val="300"/>
        </w:trPr>
        <w:tc>
          <w:tcPr>
            <w:tcW w:w="9630" w:type="dxa"/>
            <w:gridSpan w:val="2"/>
            <w:tcBorders>
              <w:top w:val="single" w:sz="4" w:space="0" w:color="auto"/>
              <w:left w:val="nil"/>
              <w:bottom w:val="single" w:sz="4" w:space="0" w:color="auto"/>
              <w:right w:val="nil"/>
            </w:tcBorders>
            <w:tcMar>
              <w:left w:w="108" w:type="dxa"/>
              <w:right w:w="108" w:type="dxa"/>
            </w:tcMar>
          </w:tcPr>
          <w:p w14:paraId="750AA347" w14:textId="77777777" w:rsidR="004E5EE3" w:rsidRPr="00202653" w:rsidRDefault="004E5EE3" w:rsidP="00B42557">
            <w:pPr>
              <w:rPr>
                <w:b/>
                <w:bCs/>
              </w:rPr>
            </w:pPr>
            <w:r w:rsidRPr="00202653">
              <w:rPr>
                <w:b/>
                <w:bCs/>
                <w:i/>
                <w:iCs/>
              </w:rPr>
              <w:t>Commissions d'études de l'UIT-R concernées</w:t>
            </w:r>
            <w:r w:rsidRPr="00202653">
              <w:rPr>
                <w:b/>
                <w:bCs/>
              </w:rPr>
              <w:t>:</w:t>
            </w:r>
          </w:p>
          <w:p w14:paraId="20238911" w14:textId="61BF9A89" w:rsidR="004E5EE3" w:rsidRPr="00202653" w:rsidRDefault="006D0ACC" w:rsidP="00B42557">
            <w:r w:rsidRPr="00202653">
              <w:t>Commissions d'études 4 et 5</w:t>
            </w:r>
          </w:p>
        </w:tc>
      </w:tr>
      <w:tr w:rsidR="004E5EE3" w:rsidRPr="00202653" w14:paraId="77B8F7FF" w14:textId="77777777" w:rsidTr="00E7332B">
        <w:trPr>
          <w:trHeight w:val="300"/>
        </w:trPr>
        <w:tc>
          <w:tcPr>
            <w:tcW w:w="9630" w:type="dxa"/>
            <w:gridSpan w:val="2"/>
            <w:tcBorders>
              <w:top w:val="single" w:sz="4" w:space="0" w:color="auto"/>
              <w:left w:val="nil"/>
              <w:bottom w:val="single" w:sz="4" w:space="0" w:color="auto"/>
              <w:right w:val="nil"/>
            </w:tcBorders>
            <w:tcMar>
              <w:left w:w="108" w:type="dxa"/>
              <w:right w:w="108" w:type="dxa"/>
            </w:tcMar>
          </w:tcPr>
          <w:p w14:paraId="7891400F" w14:textId="7271D3CC" w:rsidR="004E5EE3" w:rsidRPr="00202653" w:rsidRDefault="004E5EE3" w:rsidP="00B42557">
            <w:pPr>
              <w:rPr>
                <w:b/>
                <w:bCs/>
                <w:i/>
                <w:iCs/>
                <w:szCs w:val="24"/>
              </w:rPr>
            </w:pPr>
            <w:r w:rsidRPr="00202653">
              <w:rPr>
                <w:b/>
                <w:bCs/>
                <w:i/>
                <w:iCs/>
                <w:szCs w:val="24"/>
              </w:rPr>
              <w:t>Répercussions au niveau des ressources de l'UIT, y compris incidences financières (voir le numéro</w:t>
            </w:r>
            <w:r w:rsidR="008A35E7" w:rsidRPr="00202653">
              <w:rPr>
                <w:b/>
                <w:bCs/>
                <w:i/>
                <w:iCs/>
                <w:szCs w:val="24"/>
              </w:rPr>
              <w:t> </w:t>
            </w:r>
            <w:r w:rsidRPr="00202653">
              <w:rPr>
                <w:b/>
                <w:bCs/>
                <w:i/>
                <w:iCs/>
                <w:szCs w:val="24"/>
              </w:rPr>
              <w:t>126 de la Convention)</w:t>
            </w:r>
            <w:r w:rsidRPr="00202653">
              <w:rPr>
                <w:b/>
                <w:bCs/>
                <w:szCs w:val="24"/>
              </w:rPr>
              <w:t>:</w:t>
            </w:r>
          </w:p>
          <w:p w14:paraId="62CD4410" w14:textId="099C3B0D" w:rsidR="004E5EE3" w:rsidRPr="00202653" w:rsidRDefault="004E5EE3" w:rsidP="00845F01">
            <w:pPr>
              <w:rPr>
                <w:b/>
                <w:bCs/>
                <w:szCs w:val="24"/>
              </w:rPr>
            </w:pPr>
            <w:r w:rsidRPr="00202653">
              <w:rPr>
                <w:rFonts w:eastAsia="SimSun"/>
                <w:kern w:val="2"/>
                <w:lang w:eastAsia="zh-CN"/>
              </w:rPr>
              <w:t>Ce point de l'ordre du jour proposé sera étudié dans le cadre des procédures normales et du budget prévu de l'UIT-R.</w:t>
            </w:r>
          </w:p>
        </w:tc>
      </w:tr>
      <w:tr w:rsidR="004E5EE3" w:rsidRPr="00202653" w14:paraId="392C3671" w14:textId="77777777" w:rsidTr="00FB4677">
        <w:trPr>
          <w:trHeight w:val="300"/>
        </w:trPr>
        <w:tc>
          <w:tcPr>
            <w:tcW w:w="4685" w:type="dxa"/>
            <w:tcBorders>
              <w:top w:val="single" w:sz="4" w:space="0" w:color="auto"/>
              <w:left w:val="nil"/>
              <w:bottom w:val="single" w:sz="4" w:space="0" w:color="auto"/>
              <w:right w:val="nil"/>
            </w:tcBorders>
            <w:tcMar>
              <w:left w:w="108" w:type="dxa"/>
              <w:right w:w="108" w:type="dxa"/>
            </w:tcMar>
          </w:tcPr>
          <w:p w14:paraId="0E0ED7D8" w14:textId="2A24A361" w:rsidR="004E5EE3" w:rsidRPr="00202653" w:rsidRDefault="004E5EE3" w:rsidP="00845F01">
            <w:pPr>
              <w:rPr>
                <w:b/>
                <w:bCs/>
                <w:i/>
                <w:iCs/>
              </w:rPr>
            </w:pPr>
            <w:r w:rsidRPr="00202653">
              <w:rPr>
                <w:b/>
                <w:bCs/>
                <w:i/>
                <w:iCs/>
              </w:rPr>
              <w:t>Proposition régionale commune</w:t>
            </w:r>
            <w:r w:rsidRPr="00202653">
              <w:rPr>
                <w:b/>
                <w:bCs/>
              </w:rPr>
              <w:t>:</w:t>
            </w:r>
            <w:r w:rsidR="00845F01" w:rsidRPr="00202653">
              <w:t xml:space="preserve"> </w:t>
            </w:r>
            <w:r w:rsidR="006D0ACC" w:rsidRPr="00202653">
              <w:t>Oui</w:t>
            </w:r>
          </w:p>
        </w:tc>
        <w:tc>
          <w:tcPr>
            <w:tcW w:w="4945" w:type="dxa"/>
            <w:tcBorders>
              <w:top w:val="single" w:sz="4" w:space="0" w:color="auto"/>
              <w:left w:val="nil"/>
              <w:bottom w:val="single" w:sz="4" w:space="0" w:color="auto"/>
              <w:right w:val="nil"/>
            </w:tcBorders>
            <w:tcMar>
              <w:left w:w="108" w:type="dxa"/>
              <w:right w:w="108" w:type="dxa"/>
            </w:tcMar>
          </w:tcPr>
          <w:p w14:paraId="6A7B23A7" w14:textId="15D11131" w:rsidR="004E5EE3" w:rsidRPr="00202653" w:rsidRDefault="004E5EE3" w:rsidP="00B42557">
            <w:r w:rsidRPr="00202653">
              <w:rPr>
                <w:b/>
                <w:bCs/>
                <w:i/>
                <w:iCs/>
              </w:rPr>
              <w:t>Proposition soumise par plusieurs pays</w:t>
            </w:r>
            <w:r w:rsidRPr="00202653">
              <w:rPr>
                <w:b/>
                <w:bCs/>
              </w:rPr>
              <w:t>:</w:t>
            </w:r>
            <w:r w:rsidR="006D0ACC" w:rsidRPr="00202653">
              <w:t xml:space="preserve"> Non</w:t>
            </w:r>
          </w:p>
          <w:p w14:paraId="1113A1A0" w14:textId="4992114D" w:rsidR="004E5EE3" w:rsidRPr="00202653" w:rsidRDefault="004E5EE3" w:rsidP="00FB4677">
            <w:pPr>
              <w:spacing w:after="240"/>
              <w:jc w:val="both"/>
              <w:rPr>
                <w:b/>
                <w:bCs/>
              </w:rPr>
            </w:pPr>
            <w:r w:rsidRPr="00202653">
              <w:rPr>
                <w:b/>
                <w:bCs/>
                <w:i/>
                <w:iCs/>
              </w:rPr>
              <w:t>Nombre de pays</w:t>
            </w:r>
            <w:r w:rsidRPr="00202653">
              <w:rPr>
                <w:b/>
                <w:bCs/>
              </w:rPr>
              <w:t>:</w:t>
            </w:r>
          </w:p>
        </w:tc>
      </w:tr>
      <w:tr w:rsidR="004E5EE3" w:rsidRPr="00202653" w14:paraId="2F510C84" w14:textId="77777777" w:rsidTr="00E7332B">
        <w:trPr>
          <w:trHeight w:val="300"/>
        </w:trPr>
        <w:tc>
          <w:tcPr>
            <w:tcW w:w="9630" w:type="dxa"/>
            <w:gridSpan w:val="2"/>
            <w:tcBorders>
              <w:top w:val="single" w:sz="4" w:space="0" w:color="auto"/>
              <w:left w:val="nil"/>
              <w:bottom w:val="nil"/>
              <w:right w:val="nil"/>
            </w:tcBorders>
            <w:tcMar>
              <w:left w:w="108" w:type="dxa"/>
              <w:right w:w="108" w:type="dxa"/>
            </w:tcMar>
          </w:tcPr>
          <w:p w14:paraId="0F650811" w14:textId="77777777" w:rsidR="004E5EE3" w:rsidRPr="00202653" w:rsidRDefault="004E5EE3" w:rsidP="00B42557">
            <w:pPr>
              <w:rPr>
                <w:b/>
                <w:bCs/>
                <w:i/>
                <w:iCs/>
              </w:rPr>
            </w:pPr>
            <w:r w:rsidRPr="00202653">
              <w:rPr>
                <w:b/>
                <w:bCs/>
                <w:i/>
                <w:iCs/>
              </w:rPr>
              <w:t>Observations</w:t>
            </w:r>
          </w:p>
          <w:p w14:paraId="7031532E" w14:textId="77777777" w:rsidR="004E5EE3" w:rsidRPr="00202653" w:rsidRDefault="004E5EE3" w:rsidP="00B42557">
            <w:pPr>
              <w:rPr>
                <w:b/>
                <w:bCs/>
                <w:i/>
                <w:iCs/>
                <w:szCs w:val="24"/>
              </w:rPr>
            </w:pPr>
          </w:p>
        </w:tc>
      </w:tr>
    </w:tbl>
    <w:p w14:paraId="0F7B8A47" w14:textId="77777777" w:rsidR="004E5EE3" w:rsidRPr="00202653" w:rsidRDefault="004E5EE3" w:rsidP="00B42557">
      <w:pPr>
        <w:jc w:val="center"/>
      </w:pPr>
      <w:r w:rsidRPr="00202653">
        <w:t>______________</w:t>
      </w:r>
    </w:p>
    <w:sectPr w:rsidR="004E5EE3" w:rsidRPr="00202653">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09B4C" w14:textId="77777777" w:rsidR="00260E68" w:rsidRDefault="00260E68">
      <w:r>
        <w:separator/>
      </w:r>
    </w:p>
  </w:endnote>
  <w:endnote w:type="continuationSeparator" w:id="0">
    <w:p w14:paraId="1D209243" w14:textId="77777777" w:rsidR="00260E68" w:rsidRDefault="00260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7A78" w14:textId="2B4062D5"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013FA1">
      <w:rPr>
        <w:noProof/>
      </w:rPr>
      <w:t>06.11.23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49EF" w14:textId="07318817"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3C5D68">
      <w:rPr>
        <w:lang w:val="en-US"/>
      </w:rPr>
      <w:t>P:\FRA\ITU-R\CONF-R\CMR23\000\044ADD27ADD09F.docx</w:t>
    </w:r>
    <w:r>
      <w:fldChar w:fldCharType="end"/>
    </w:r>
    <w:r w:rsidR="00527EC7" w:rsidRPr="00B64D15">
      <w:rPr>
        <w:lang w:val="en-US"/>
      </w:rPr>
      <w:t xml:space="preserve"> (529482)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DB573" w14:textId="5ABFEAF1" w:rsidR="00936D25" w:rsidRPr="00845F01" w:rsidRDefault="00845F01" w:rsidP="00845F01">
    <w:pPr>
      <w:pStyle w:val="Footer"/>
      <w:rPr>
        <w:lang w:val="en-US"/>
      </w:rPr>
    </w:pPr>
    <w:r>
      <w:fldChar w:fldCharType="begin"/>
    </w:r>
    <w:r>
      <w:rPr>
        <w:lang w:val="en-US"/>
      </w:rPr>
      <w:instrText xml:space="preserve"> FILENAME \p  \* MERGEFORMAT </w:instrText>
    </w:r>
    <w:r>
      <w:fldChar w:fldCharType="separate"/>
    </w:r>
    <w:r w:rsidR="00807C76">
      <w:rPr>
        <w:lang w:val="en-US"/>
      </w:rPr>
      <w:t>P:\FRA\ITU-R\CONF-R\CMR23\000\044ADD27ADD09F.docx</w:t>
    </w:r>
    <w:r>
      <w:fldChar w:fldCharType="end"/>
    </w:r>
    <w:r w:rsidRPr="00B64D15">
      <w:rPr>
        <w:lang w:val="en-US"/>
      </w:rPr>
      <w:t xml:space="preserve"> (529482)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47E75" w14:textId="77777777" w:rsidR="00260E68" w:rsidRDefault="00260E68">
      <w:r>
        <w:rPr>
          <w:b/>
        </w:rPr>
        <w:t>_______________</w:t>
      </w:r>
    </w:p>
  </w:footnote>
  <w:footnote w:type="continuationSeparator" w:id="0">
    <w:p w14:paraId="6FD2FBAC" w14:textId="77777777" w:rsidR="00260E68" w:rsidRDefault="00260E68">
      <w:r>
        <w:continuationSeparator/>
      </w:r>
    </w:p>
  </w:footnote>
  <w:footnote w:id="1">
    <w:p w14:paraId="14BC6304" w14:textId="21E4EF7B" w:rsidR="00EB1C66" w:rsidRPr="00EB1C66" w:rsidRDefault="00EB1C66">
      <w:pPr>
        <w:pStyle w:val="FootnoteText"/>
        <w:rPr>
          <w:lang w:val="fr-CH"/>
        </w:rPr>
      </w:pPr>
      <w:r>
        <w:rPr>
          <w:rStyle w:val="FootnoteReference"/>
        </w:rPr>
        <w:t>1</w:t>
      </w:r>
      <w:r>
        <w:tab/>
      </w:r>
      <w:r w:rsidRPr="00ED0503">
        <w:rPr>
          <w:rFonts w:eastAsia="Calibri"/>
        </w:rPr>
        <w:t xml:space="preserve">Concepts extraits du Rapport </w:t>
      </w:r>
      <w:hyperlink r:id="rId1" w:history="1">
        <w:r w:rsidRPr="00EB1C66">
          <w:rPr>
            <w:rStyle w:val="Hyperlink"/>
            <w:rFonts w:eastAsia="Calibri"/>
          </w:rPr>
          <w:t>UIT-R M.2514</w:t>
        </w:r>
      </w:hyperlink>
      <w:r>
        <w:rPr>
          <w:rFonts w:eastAsia="Calibri"/>
        </w:rPr>
        <w:t>,</w:t>
      </w:r>
      <w:r w:rsidRPr="00ED0503">
        <w:rPr>
          <w:rFonts w:eastAsia="Calibri"/>
        </w:rPr>
        <w:t xml:space="preserve"> qui définit la vision de la composante satellite des</w:t>
      </w:r>
      <w:r w:rsidR="00013FA1">
        <w:rPr>
          <w:rFonts w:eastAsia="Calibri"/>
        </w:rPr>
        <w:t xml:space="preserve"> </w:t>
      </w:r>
      <w:r w:rsidRPr="00ED0503">
        <w:rPr>
          <w:rFonts w:eastAsia="Calibri"/>
        </w:rPr>
        <w:t>IMT-2020 pour une fourniture efficace des services IMT en ce qui concerne les scénarios d</w:t>
      </w:r>
      <w:r w:rsidR="0083653B">
        <w:rPr>
          <w:rFonts w:eastAsia="Calibri"/>
        </w:rPr>
        <w:t>'</w:t>
      </w:r>
      <w:r w:rsidRPr="00ED0503">
        <w:rPr>
          <w:rFonts w:eastAsia="Calibri"/>
        </w:rPr>
        <w:t xml:space="preserve">application, les services, les systèmes, les interfaces radioélectriques et </w:t>
      </w:r>
      <w:r>
        <w:rPr>
          <w:rFonts w:eastAsia="Calibri"/>
        </w:rPr>
        <w:t xml:space="preserve">les interfaces </w:t>
      </w:r>
      <w:r w:rsidRPr="00ED0503">
        <w:rPr>
          <w:rFonts w:eastAsia="Calibri"/>
        </w:rPr>
        <w:t xml:space="preserve">de réseau. </w:t>
      </w:r>
      <w:r w:rsidRPr="00857248">
        <w:rPr>
          <w:rFonts w:eastAsia="Calibri"/>
        </w:rPr>
        <w:t>En outre, le rapport fournit des critères d</w:t>
      </w:r>
      <w:r w:rsidR="0083653B">
        <w:rPr>
          <w:rFonts w:eastAsia="Calibri"/>
        </w:rPr>
        <w:t>'</w:t>
      </w:r>
      <w:r w:rsidRPr="00857248">
        <w:rPr>
          <w:rFonts w:eastAsia="Calibri"/>
        </w:rPr>
        <w:t>évaluation et une méthodologie concernant les exigences en vue de l</w:t>
      </w:r>
      <w:r w:rsidR="0083653B">
        <w:rPr>
          <w:rFonts w:eastAsia="Calibri"/>
        </w:rPr>
        <w:t>'</w:t>
      </w:r>
      <w:r w:rsidRPr="00857248">
        <w:rPr>
          <w:rFonts w:eastAsia="Calibri"/>
        </w:rPr>
        <w:t xml:space="preserve">élaboration de </w:t>
      </w:r>
      <w:r>
        <w:rPr>
          <w:rFonts w:eastAsia="Calibri"/>
        </w:rPr>
        <w:t>R</w:t>
      </w:r>
      <w:r w:rsidRPr="00857248">
        <w:rPr>
          <w:rFonts w:eastAsia="Calibri"/>
        </w:rPr>
        <w:t>ecommandations pour le développement des interfaces radioélectriques de satellite des IMT-2020.</w:t>
      </w:r>
    </w:p>
  </w:footnote>
  <w:footnote w:id="2">
    <w:p w14:paraId="625FE499" w14:textId="6E8E342D" w:rsidR="00444C2E" w:rsidRPr="00444C2E" w:rsidRDefault="00444C2E">
      <w:pPr>
        <w:pStyle w:val="FootnoteText"/>
        <w:rPr>
          <w:lang w:val="fr-CH"/>
        </w:rPr>
      </w:pPr>
      <w:r>
        <w:rPr>
          <w:rStyle w:val="FootnoteReference"/>
        </w:rPr>
        <w:t>2</w:t>
      </w:r>
      <w:r>
        <w:tab/>
        <w:t xml:space="preserve">Selon les prévisions </w:t>
      </w:r>
      <w:r w:rsidRPr="00FA0DA3">
        <w:rPr>
          <w:szCs w:val="24"/>
        </w:rPr>
        <w:t>(pour</w:t>
      </w:r>
      <w:r w:rsidR="00013FA1">
        <w:rPr>
          <w:szCs w:val="24"/>
        </w:rPr>
        <w:t xml:space="preserve"> </w:t>
      </w:r>
      <w:r w:rsidRPr="00FA0DA3">
        <w:rPr>
          <w:szCs w:val="24"/>
        </w:rPr>
        <w:t>2020)</w:t>
      </w:r>
      <w:r>
        <w:rPr>
          <w:szCs w:val="24"/>
        </w:rPr>
        <w:t xml:space="preserve"> </w:t>
      </w:r>
      <w:r>
        <w:t>figurant dans le</w:t>
      </w:r>
      <w:r w:rsidRPr="00ED0503">
        <w:t xml:space="preserve"> Tableau</w:t>
      </w:r>
      <w:r w:rsidR="00B64401">
        <w:t> </w:t>
      </w:r>
      <w:r w:rsidRPr="00ED0503">
        <w:t xml:space="preserve">17 du </w:t>
      </w:r>
      <w:r w:rsidRPr="00ED0503">
        <w:rPr>
          <w:szCs w:val="24"/>
        </w:rPr>
        <w:t xml:space="preserve">Rapport </w:t>
      </w:r>
      <w:hyperlink r:id="rId2" w:history="1">
        <w:r w:rsidRPr="00ED0503">
          <w:rPr>
            <w:rStyle w:val="Hyperlink"/>
            <w:szCs w:val="24"/>
          </w:rPr>
          <w:t>UIT-R M.2077-0</w:t>
        </w:r>
      </w:hyperlink>
      <w:r w:rsidRPr="00ED0503">
        <w:rPr>
          <w:szCs w:val="24"/>
        </w:rPr>
        <w:t xml:space="preserve"> (2006)</w:t>
      </w:r>
      <w:r>
        <w:rPr>
          <w:szCs w:val="24"/>
        </w:rPr>
        <w:t>,</w:t>
      </w:r>
      <w:r w:rsidRPr="00ED0503">
        <w:rPr>
          <w:szCs w:val="24"/>
        </w:rPr>
        <w:t xml:space="preserve"> </w:t>
      </w:r>
      <w:r>
        <w:rPr>
          <w:szCs w:val="24"/>
        </w:rPr>
        <w:t xml:space="preserve">les nouvelles attributions au SMS requises à l'échelle mondiale </w:t>
      </w:r>
      <w:r w:rsidRPr="00ED0503">
        <w:rPr>
          <w:szCs w:val="24"/>
        </w:rPr>
        <w:t>dans la gamme 1-6</w:t>
      </w:r>
      <w:r w:rsidR="00B64401">
        <w:rPr>
          <w:szCs w:val="24"/>
        </w:rPr>
        <w:t> </w:t>
      </w:r>
      <w:r w:rsidRPr="00ED0503">
        <w:rPr>
          <w:szCs w:val="24"/>
        </w:rPr>
        <w:t>GHz pour la composante satellite des IMT de</w:t>
      </w:r>
      <w:r>
        <w:rPr>
          <w:szCs w:val="24"/>
        </w:rPr>
        <w:t>vraient atteindre</w:t>
      </w:r>
      <w:r w:rsidR="00013FA1">
        <w:rPr>
          <w:szCs w:val="24"/>
        </w:rPr>
        <w:t xml:space="preserve"> </w:t>
      </w:r>
      <w:r w:rsidRPr="00ED0503">
        <w:rPr>
          <w:szCs w:val="24"/>
        </w:rPr>
        <w:t>257</w:t>
      </w:r>
      <w:r w:rsidR="00013FA1">
        <w:rPr>
          <w:szCs w:val="24"/>
        </w:rPr>
        <w:t xml:space="preserve"> </w:t>
      </w:r>
      <w:r w:rsidRPr="00ED0503">
        <w:rPr>
          <w:szCs w:val="24"/>
        </w:rPr>
        <w:t>MHz (espace vers Terre) et</w:t>
      </w:r>
      <w:r w:rsidR="00013FA1">
        <w:rPr>
          <w:szCs w:val="24"/>
        </w:rPr>
        <w:t xml:space="preserve"> </w:t>
      </w:r>
      <w:r w:rsidRPr="00ED0503">
        <w:rPr>
          <w:szCs w:val="24"/>
        </w:rPr>
        <w:t>90</w:t>
      </w:r>
      <w:r>
        <w:rPr>
          <w:szCs w:val="24"/>
        </w:rPr>
        <w:t> </w:t>
      </w:r>
      <w:r w:rsidRPr="00ED0503">
        <w:rPr>
          <w:szCs w:val="24"/>
        </w:rPr>
        <w:t xml:space="preserve">MHz (Terre vers espace) dans </w:t>
      </w:r>
      <w:r>
        <w:rPr>
          <w:szCs w:val="24"/>
        </w:rPr>
        <w:t>l</w:t>
      </w:r>
      <w:r w:rsidRPr="00ED0503">
        <w:rPr>
          <w:szCs w:val="24"/>
        </w:rPr>
        <w:t xml:space="preserve">es scénarios </w:t>
      </w:r>
      <w:r>
        <w:rPr>
          <w:szCs w:val="24"/>
        </w:rPr>
        <w:t>à</w:t>
      </w:r>
      <w:r w:rsidRPr="00ED0503">
        <w:rPr>
          <w:szCs w:val="24"/>
        </w:rPr>
        <w:t xml:space="preserve"> fort trafic. </w:t>
      </w:r>
      <w:r w:rsidRPr="00AA7E32">
        <w:rPr>
          <w:szCs w:val="24"/>
        </w:rPr>
        <w:t>L</w:t>
      </w:r>
      <w:r w:rsidRPr="00ED0503">
        <w:rPr>
          <w:szCs w:val="24"/>
        </w:rPr>
        <w:t xml:space="preserve">e Rapport </w:t>
      </w:r>
      <w:hyperlink r:id="rId3" w:history="1">
        <w:r w:rsidRPr="00ED0503">
          <w:rPr>
            <w:rStyle w:val="Hyperlink"/>
            <w:szCs w:val="24"/>
          </w:rPr>
          <w:t>UIT-R M.2218-0</w:t>
        </w:r>
      </w:hyperlink>
      <w:r w:rsidRPr="00ED0503">
        <w:rPr>
          <w:szCs w:val="24"/>
        </w:rPr>
        <w:t xml:space="preserve"> (2011)</w:t>
      </w:r>
      <w:r w:rsidR="00B64401">
        <w:rPr>
          <w:szCs w:val="24"/>
        </w:rPr>
        <w:t xml:space="preserve"> </w:t>
      </w:r>
      <w:r w:rsidRPr="00ED0503">
        <w:rPr>
          <w:szCs w:val="24"/>
        </w:rPr>
        <w:t>indique que la quantité de sp</w:t>
      </w:r>
      <w:r>
        <w:rPr>
          <w:szCs w:val="24"/>
        </w:rPr>
        <w:t>ectre requise pour le développement futur du SMS à large bande atteindrait entre</w:t>
      </w:r>
      <w:r w:rsidR="00013FA1">
        <w:rPr>
          <w:szCs w:val="24"/>
        </w:rPr>
        <w:t xml:space="preserve"> </w:t>
      </w:r>
      <w:r w:rsidRPr="00ED0503">
        <w:rPr>
          <w:szCs w:val="24"/>
        </w:rPr>
        <w:t>240</w:t>
      </w:r>
      <w:r w:rsidR="00013FA1">
        <w:rPr>
          <w:szCs w:val="24"/>
        </w:rPr>
        <w:t> </w:t>
      </w:r>
      <w:r w:rsidRPr="00ED0503">
        <w:rPr>
          <w:szCs w:val="24"/>
        </w:rPr>
        <w:t xml:space="preserve">MHz </w:t>
      </w:r>
      <w:r>
        <w:rPr>
          <w:szCs w:val="24"/>
        </w:rPr>
        <w:t>et</w:t>
      </w:r>
      <w:r w:rsidR="00013FA1">
        <w:rPr>
          <w:szCs w:val="24"/>
        </w:rPr>
        <w:t xml:space="preserve"> </w:t>
      </w:r>
      <w:r w:rsidRPr="00ED0503">
        <w:rPr>
          <w:szCs w:val="24"/>
        </w:rPr>
        <w:t>355</w:t>
      </w:r>
      <w:r w:rsidR="00013FA1">
        <w:rPr>
          <w:szCs w:val="24"/>
        </w:rPr>
        <w:t xml:space="preserve"> </w:t>
      </w:r>
      <w:r w:rsidRPr="00ED0503">
        <w:rPr>
          <w:szCs w:val="24"/>
        </w:rPr>
        <w:t>MHz.</w:t>
      </w:r>
    </w:p>
  </w:footnote>
  <w:footnote w:id="3">
    <w:p w14:paraId="5DEB7644" w14:textId="3141FF19" w:rsidR="00444C2E" w:rsidRPr="00444C2E" w:rsidRDefault="00444C2E">
      <w:pPr>
        <w:pStyle w:val="FootnoteText"/>
        <w:rPr>
          <w:lang w:val="fr-CH"/>
        </w:rPr>
      </w:pPr>
      <w:r>
        <w:rPr>
          <w:rStyle w:val="FootnoteReference"/>
        </w:rPr>
        <w:t>3</w:t>
      </w:r>
      <w:r>
        <w:tab/>
      </w:r>
      <w:r w:rsidRPr="00ED0503">
        <w:t>Paragraphe</w:t>
      </w:r>
      <w:r w:rsidR="00B64401">
        <w:rPr>
          <w:szCs w:val="24"/>
        </w:rPr>
        <w:t> </w:t>
      </w:r>
      <w:r w:rsidRPr="00E350F5">
        <w:rPr>
          <w:szCs w:val="24"/>
        </w:rPr>
        <w:t xml:space="preserve">4.14 </w:t>
      </w:r>
      <w:r w:rsidRPr="00ED0503">
        <w:rPr>
          <w:szCs w:val="24"/>
        </w:rPr>
        <w:t xml:space="preserve">du Rapport du </w:t>
      </w:r>
      <w:hyperlink r:id="rId4" w:history="1">
        <w:r w:rsidRPr="00E350F5">
          <w:rPr>
            <w:rStyle w:val="Hyperlink"/>
            <w:szCs w:val="24"/>
          </w:rPr>
          <w:t xml:space="preserve">RRB </w:t>
        </w:r>
        <w:r>
          <w:rPr>
            <w:rStyle w:val="Hyperlink"/>
            <w:szCs w:val="24"/>
          </w:rPr>
          <w:t xml:space="preserve">à la CMR-23 sur la </w:t>
        </w:r>
        <w:r w:rsidRPr="00E350F5">
          <w:rPr>
            <w:rStyle w:val="Hyperlink"/>
            <w:szCs w:val="24"/>
          </w:rPr>
          <w:t>R</w:t>
        </w:r>
        <w:r>
          <w:rPr>
            <w:rStyle w:val="Hyperlink"/>
            <w:szCs w:val="24"/>
          </w:rPr>
          <w:t>é</w:t>
        </w:r>
        <w:r w:rsidRPr="00E350F5">
          <w:rPr>
            <w:rStyle w:val="Hyperlink"/>
            <w:szCs w:val="24"/>
          </w:rPr>
          <w:t>solution 80 (</w:t>
        </w:r>
        <w:r>
          <w:rPr>
            <w:rStyle w:val="Hyperlink"/>
            <w:szCs w:val="24"/>
          </w:rPr>
          <w:t>D</w:t>
        </w:r>
        <w:r w:rsidRPr="00E350F5">
          <w:rPr>
            <w:rStyle w:val="Hyperlink"/>
            <w:szCs w:val="24"/>
          </w:rPr>
          <w:t>ocument 50)</w:t>
        </w:r>
      </w:hyperlink>
      <w:r w:rsidRPr="00E350F5">
        <w:rPr>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D06C"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D279E18" w14:textId="77777777" w:rsidR="004F1F8E" w:rsidRDefault="00225CF2" w:rsidP="00FD7AA3">
    <w:pPr>
      <w:pStyle w:val="Header"/>
    </w:pPr>
    <w:r>
      <w:t>WRC</w:t>
    </w:r>
    <w:r w:rsidR="00D3426F">
      <w:t>23</w:t>
    </w:r>
    <w:r w:rsidR="004F1F8E">
      <w:t>/</w:t>
    </w:r>
    <w:r w:rsidR="006A4B45">
      <w:t>44(Add.27)(Add.9)-</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04405658">
    <w:abstractNumId w:val="0"/>
  </w:num>
  <w:num w:numId="2" w16cid:durableId="143990685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3D6B"/>
    <w:rsid w:val="00007EC7"/>
    <w:rsid w:val="00010B43"/>
    <w:rsid w:val="00013FA1"/>
    <w:rsid w:val="00016648"/>
    <w:rsid w:val="00024739"/>
    <w:rsid w:val="0003522F"/>
    <w:rsid w:val="00045B5A"/>
    <w:rsid w:val="00063A1F"/>
    <w:rsid w:val="00080E2C"/>
    <w:rsid w:val="00081366"/>
    <w:rsid w:val="000863B3"/>
    <w:rsid w:val="000A4755"/>
    <w:rsid w:val="000A55AE"/>
    <w:rsid w:val="000B2E0C"/>
    <w:rsid w:val="000B3D0C"/>
    <w:rsid w:val="000D5DF1"/>
    <w:rsid w:val="000E220E"/>
    <w:rsid w:val="00102363"/>
    <w:rsid w:val="001167B9"/>
    <w:rsid w:val="001267A0"/>
    <w:rsid w:val="00142A54"/>
    <w:rsid w:val="0015203F"/>
    <w:rsid w:val="00160C64"/>
    <w:rsid w:val="0018169B"/>
    <w:rsid w:val="0019352B"/>
    <w:rsid w:val="001960D0"/>
    <w:rsid w:val="001A11F6"/>
    <w:rsid w:val="001D0780"/>
    <w:rsid w:val="001F17E8"/>
    <w:rsid w:val="00202653"/>
    <w:rsid w:val="00204306"/>
    <w:rsid w:val="00225CF2"/>
    <w:rsid w:val="00232FD2"/>
    <w:rsid w:val="00260E68"/>
    <w:rsid w:val="002640D9"/>
    <w:rsid w:val="0026554E"/>
    <w:rsid w:val="002A4622"/>
    <w:rsid w:val="002A6F8F"/>
    <w:rsid w:val="002A7366"/>
    <w:rsid w:val="002B17E5"/>
    <w:rsid w:val="002C0EBF"/>
    <w:rsid w:val="002C28A4"/>
    <w:rsid w:val="002D7E0A"/>
    <w:rsid w:val="00315AFE"/>
    <w:rsid w:val="00331C2E"/>
    <w:rsid w:val="0033235A"/>
    <w:rsid w:val="003411F6"/>
    <w:rsid w:val="003606A6"/>
    <w:rsid w:val="0036650C"/>
    <w:rsid w:val="00393ACD"/>
    <w:rsid w:val="003A4B7B"/>
    <w:rsid w:val="003A583E"/>
    <w:rsid w:val="003B0848"/>
    <w:rsid w:val="003C4569"/>
    <w:rsid w:val="003C5D68"/>
    <w:rsid w:val="003D29FC"/>
    <w:rsid w:val="003E112B"/>
    <w:rsid w:val="003E1D1C"/>
    <w:rsid w:val="003E7B05"/>
    <w:rsid w:val="003F005A"/>
    <w:rsid w:val="003F3719"/>
    <w:rsid w:val="003F6F2D"/>
    <w:rsid w:val="004253C3"/>
    <w:rsid w:val="004272EA"/>
    <w:rsid w:val="00444C2E"/>
    <w:rsid w:val="00466211"/>
    <w:rsid w:val="00483196"/>
    <w:rsid w:val="004834A9"/>
    <w:rsid w:val="0048427B"/>
    <w:rsid w:val="004A3397"/>
    <w:rsid w:val="004D01FC"/>
    <w:rsid w:val="004E28C3"/>
    <w:rsid w:val="004E5EE3"/>
    <w:rsid w:val="004F1F8E"/>
    <w:rsid w:val="005077C3"/>
    <w:rsid w:val="00512A32"/>
    <w:rsid w:val="00527554"/>
    <w:rsid w:val="00527EC7"/>
    <w:rsid w:val="005343DA"/>
    <w:rsid w:val="00560874"/>
    <w:rsid w:val="00586CF2"/>
    <w:rsid w:val="005A7C75"/>
    <w:rsid w:val="005B537E"/>
    <w:rsid w:val="005C3768"/>
    <w:rsid w:val="005C6C3F"/>
    <w:rsid w:val="00613635"/>
    <w:rsid w:val="0062093D"/>
    <w:rsid w:val="00637ECF"/>
    <w:rsid w:val="00647B59"/>
    <w:rsid w:val="00676E99"/>
    <w:rsid w:val="00690C7B"/>
    <w:rsid w:val="006A4B45"/>
    <w:rsid w:val="006A51AF"/>
    <w:rsid w:val="006B2776"/>
    <w:rsid w:val="006B2C26"/>
    <w:rsid w:val="006D0ACC"/>
    <w:rsid w:val="006D4724"/>
    <w:rsid w:val="006E758F"/>
    <w:rsid w:val="006F5FA2"/>
    <w:rsid w:val="006F6978"/>
    <w:rsid w:val="0070076C"/>
    <w:rsid w:val="00701BAE"/>
    <w:rsid w:val="00721F04"/>
    <w:rsid w:val="00730E95"/>
    <w:rsid w:val="00740695"/>
    <w:rsid w:val="007415D5"/>
    <w:rsid w:val="007426B9"/>
    <w:rsid w:val="00764342"/>
    <w:rsid w:val="00773B22"/>
    <w:rsid w:val="00774362"/>
    <w:rsid w:val="00786598"/>
    <w:rsid w:val="00790C74"/>
    <w:rsid w:val="007A04E8"/>
    <w:rsid w:val="007A7A22"/>
    <w:rsid w:val="007B2C34"/>
    <w:rsid w:val="007C57CA"/>
    <w:rsid w:val="007F282B"/>
    <w:rsid w:val="00807C76"/>
    <w:rsid w:val="0081628D"/>
    <w:rsid w:val="00816551"/>
    <w:rsid w:val="00830086"/>
    <w:rsid w:val="0083653B"/>
    <w:rsid w:val="00845F01"/>
    <w:rsid w:val="00851625"/>
    <w:rsid w:val="00857248"/>
    <w:rsid w:val="00863C0A"/>
    <w:rsid w:val="00871C99"/>
    <w:rsid w:val="008A3120"/>
    <w:rsid w:val="008A35E7"/>
    <w:rsid w:val="008A4B97"/>
    <w:rsid w:val="008C5B8E"/>
    <w:rsid w:val="008C5DD5"/>
    <w:rsid w:val="008C7123"/>
    <w:rsid w:val="008D34BA"/>
    <w:rsid w:val="008D41BE"/>
    <w:rsid w:val="008D58D3"/>
    <w:rsid w:val="008E3BC9"/>
    <w:rsid w:val="008F4B86"/>
    <w:rsid w:val="009044B6"/>
    <w:rsid w:val="00907A8C"/>
    <w:rsid w:val="00912271"/>
    <w:rsid w:val="00923064"/>
    <w:rsid w:val="00930FFD"/>
    <w:rsid w:val="00936D25"/>
    <w:rsid w:val="00941EA5"/>
    <w:rsid w:val="00954914"/>
    <w:rsid w:val="00964700"/>
    <w:rsid w:val="00966C16"/>
    <w:rsid w:val="009703B3"/>
    <w:rsid w:val="0098732F"/>
    <w:rsid w:val="009A045F"/>
    <w:rsid w:val="009A6A2B"/>
    <w:rsid w:val="009C7E7C"/>
    <w:rsid w:val="00A00473"/>
    <w:rsid w:val="00A03C9B"/>
    <w:rsid w:val="00A37105"/>
    <w:rsid w:val="00A37E3F"/>
    <w:rsid w:val="00A606C3"/>
    <w:rsid w:val="00A616EC"/>
    <w:rsid w:val="00A83B09"/>
    <w:rsid w:val="00A84541"/>
    <w:rsid w:val="00AA01D5"/>
    <w:rsid w:val="00AA7E32"/>
    <w:rsid w:val="00AC5C88"/>
    <w:rsid w:val="00AE36A0"/>
    <w:rsid w:val="00AF514C"/>
    <w:rsid w:val="00B00294"/>
    <w:rsid w:val="00B0248F"/>
    <w:rsid w:val="00B16355"/>
    <w:rsid w:val="00B3749C"/>
    <w:rsid w:val="00B42557"/>
    <w:rsid w:val="00B45ACD"/>
    <w:rsid w:val="00B52ED0"/>
    <w:rsid w:val="00B62FB5"/>
    <w:rsid w:val="00B64401"/>
    <w:rsid w:val="00B64D15"/>
    <w:rsid w:val="00B64FD0"/>
    <w:rsid w:val="00BA5BD0"/>
    <w:rsid w:val="00BA6CBD"/>
    <w:rsid w:val="00BB04FC"/>
    <w:rsid w:val="00BB1D82"/>
    <w:rsid w:val="00BC217E"/>
    <w:rsid w:val="00BD3A43"/>
    <w:rsid w:val="00BD51C5"/>
    <w:rsid w:val="00BE6694"/>
    <w:rsid w:val="00BF26E7"/>
    <w:rsid w:val="00C10808"/>
    <w:rsid w:val="00C1305F"/>
    <w:rsid w:val="00C30A4E"/>
    <w:rsid w:val="00C53FCA"/>
    <w:rsid w:val="00C71DEB"/>
    <w:rsid w:val="00C754A0"/>
    <w:rsid w:val="00C76BAF"/>
    <w:rsid w:val="00C814B9"/>
    <w:rsid w:val="00CB685A"/>
    <w:rsid w:val="00CD516F"/>
    <w:rsid w:val="00CF6E06"/>
    <w:rsid w:val="00D00E88"/>
    <w:rsid w:val="00D119A7"/>
    <w:rsid w:val="00D25FBA"/>
    <w:rsid w:val="00D32B28"/>
    <w:rsid w:val="00D3426F"/>
    <w:rsid w:val="00D35617"/>
    <w:rsid w:val="00D42954"/>
    <w:rsid w:val="00D66EAC"/>
    <w:rsid w:val="00D730DF"/>
    <w:rsid w:val="00D772F0"/>
    <w:rsid w:val="00D77BDC"/>
    <w:rsid w:val="00DB0882"/>
    <w:rsid w:val="00DC402B"/>
    <w:rsid w:val="00DD1892"/>
    <w:rsid w:val="00DE0932"/>
    <w:rsid w:val="00DF15E8"/>
    <w:rsid w:val="00E03A27"/>
    <w:rsid w:val="00E049F1"/>
    <w:rsid w:val="00E350F5"/>
    <w:rsid w:val="00E37A25"/>
    <w:rsid w:val="00E537FF"/>
    <w:rsid w:val="00E570ED"/>
    <w:rsid w:val="00E60CB2"/>
    <w:rsid w:val="00E6539B"/>
    <w:rsid w:val="00E70A31"/>
    <w:rsid w:val="00E723A7"/>
    <w:rsid w:val="00E7332B"/>
    <w:rsid w:val="00E95ED5"/>
    <w:rsid w:val="00EA3F38"/>
    <w:rsid w:val="00EA4E56"/>
    <w:rsid w:val="00EA5AB6"/>
    <w:rsid w:val="00EB1C66"/>
    <w:rsid w:val="00EC7615"/>
    <w:rsid w:val="00ED0503"/>
    <w:rsid w:val="00ED16AA"/>
    <w:rsid w:val="00ED6B8D"/>
    <w:rsid w:val="00EE3D7B"/>
    <w:rsid w:val="00EE3F27"/>
    <w:rsid w:val="00EF662E"/>
    <w:rsid w:val="00F04DE0"/>
    <w:rsid w:val="00F10064"/>
    <w:rsid w:val="00F148F1"/>
    <w:rsid w:val="00F60E25"/>
    <w:rsid w:val="00F711A7"/>
    <w:rsid w:val="00FA3BBF"/>
    <w:rsid w:val="00FB4677"/>
    <w:rsid w:val="00FC41F8"/>
    <w:rsid w:val="00FD7AA3"/>
    <w:rsid w:val="00FF0AA1"/>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E6680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unhideWhenUsed/>
    <w:rPr>
      <w:color w:val="0000FF" w:themeColor="hyperlink"/>
      <w:u w:val="single"/>
    </w:rPr>
  </w:style>
  <w:style w:type="paragraph" w:customStyle="1" w:styleId="Title40">
    <w:name w:val="Title_4"/>
    <w:basedOn w:val="Normal"/>
    <w:rsid w:val="00527EC7"/>
    <w:rPr>
      <w:lang w:val="fr-CH"/>
    </w:rPr>
  </w:style>
  <w:style w:type="character" w:customStyle="1" w:styleId="CallChar">
    <w:name w:val="Call Char"/>
    <w:basedOn w:val="DefaultParagraphFont"/>
    <w:link w:val="Call"/>
    <w:qFormat/>
    <w:locked/>
    <w:rsid w:val="00A37E3F"/>
    <w:rPr>
      <w:rFonts w:ascii="Times New Roman" w:hAnsi="Times New Roman"/>
      <w:i/>
      <w:sz w:val="24"/>
      <w:lang w:val="fr-FR" w:eastAsia="en-US"/>
    </w:rPr>
  </w:style>
  <w:style w:type="character" w:customStyle="1" w:styleId="NormalaftertitleChar">
    <w:name w:val="Normal after title Char"/>
    <w:basedOn w:val="DefaultParagraphFont"/>
    <w:link w:val="Normalaftertitle"/>
    <w:qFormat/>
    <w:rsid w:val="00A37E3F"/>
    <w:rPr>
      <w:rFonts w:ascii="Times New Roman" w:hAnsi="Times New Roman"/>
      <w:sz w:val="24"/>
      <w:lang w:val="fr-FR" w:eastAsia="en-US"/>
    </w:rPr>
  </w:style>
  <w:style w:type="paragraph" w:styleId="Revision">
    <w:name w:val="Revision"/>
    <w:hidden/>
    <w:uiPriority w:val="99"/>
    <w:semiHidden/>
    <w:rsid w:val="00B64D15"/>
    <w:rPr>
      <w:rFonts w:ascii="Times New Roman" w:hAnsi="Times New Roman"/>
      <w:sz w:val="24"/>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C30A4E"/>
    <w:rPr>
      <w:rFonts w:ascii="Times New Roman" w:hAnsi="Times New Roman"/>
      <w:sz w:val="24"/>
      <w:lang w:val="fr-FR" w:eastAsia="en-US"/>
    </w:rPr>
  </w:style>
  <w:style w:type="character" w:styleId="FollowedHyperlink">
    <w:name w:val="FollowedHyperlink"/>
    <w:basedOn w:val="DefaultParagraphFont"/>
    <w:semiHidden/>
    <w:unhideWhenUsed/>
    <w:rsid w:val="006E758F"/>
    <w:rPr>
      <w:color w:val="800080" w:themeColor="followedHyperlink"/>
      <w:u w:val="single"/>
    </w:rPr>
  </w:style>
  <w:style w:type="character" w:styleId="UnresolvedMention">
    <w:name w:val="Unresolved Mention"/>
    <w:basedOn w:val="DefaultParagraphFont"/>
    <w:uiPriority w:val="99"/>
    <w:semiHidden/>
    <w:unhideWhenUsed/>
    <w:rsid w:val="00EB1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812433">
      <w:bodyDiv w:val="1"/>
      <w:marLeft w:val="60"/>
      <w:marRight w:val="60"/>
      <w:marTop w:val="60"/>
      <w:marBottom w:val="60"/>
      <w:divBdr>
        <w:top w:val="none" w:sz="0" w:space="0" w:color="auto"/>
        <w:left w:val="none" w:sz="0" w:space="0" w:color="auto"/>
        <w:bottom w:val="none" w:sz="0" w:space="0" w:color="auto"/>
        <w:right w:val="none" w:sz="0" w:space="0" w:color="auto"/>
      </w:divBdr>
      <w:divsChild>
        <w:div w:id="1614559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pub/R-REP-M.2218-2011/fr" TargetMode="External"/><Relationship Id="rId2" Type="http://schemas.openxmlformats.org/officeDocument/2006/relationships/hyperlink" Target="https://www.itu.int/pub/R-REP-M.2077-2006/fr" TargetMode="External"/><Relationship Id="rId1" Type="http://schemas.openxmlformats.org/officeDocument/2006/relationships/hyperlink" Target="https://www.itu.int/pub/R-REP-M.2514-2022/fr" TargetMode="External"/><Relationship Id="rId4" Type="http://schemas.openxmlformats.org/officeDocument/2006/relationships/hyperlink" Target="https://www.itu.int/md/R23-WRC23-C-0050/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R23-WRC23-C-0044!A27-A9!MSW-F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69E13C-2BEC-4073-9789-A5214F87D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8BC22-844C-46C2-B586-A95FA345124E}">
  <ds:schemaRefs>
    <ds:schemaRef ds:uri="http://schemas.openxmlformats.org/officeDocument/2006/bibliography"/>
  </ds:schemaRefs>
</ds:datastoreItem>
</file>

<file path=customXml/itemProps3.xml><?xml version="1.0" encoding="utf-8"?>
<ds:datastoreItem xmlns:ds="http://schemas.openxmlformats.org/officeDocument/2006/customXml" ds:itemID="{DA07F310-19C3-497A-9133-CCF0140A3C4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5.xml><?xml version="1.0" encoding="utf-8"?>
<ds:datastoreItem xmlns:ds="http://schemas.openxmlformats.org/officeDocument/2006/customXml" ds:itemID="{F38E8C35-8348-4817-B746-487B119B8E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3078</Words>
  <Characters>17491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R23-WRC23-C-0044!A27-A9!MSW-F</vt:lpstr>
    </vt:vector>
  </TitlesOfParts>
  <Manager>Secrétariat général - Pool</Manager>
  <Company>Union internationale des télécommunications (UIT)</Company>
  <LinksUpToDate>false</LinksUpToDate>
  <CharactersWithSpaces>20528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R23-WRC23-C-0044!A27-A9!MSW-F</dc:title>
  <dc:subject>Conférence mondiale des radiocommunications - 2019</dc:subject>
  <dc:creator>Documents Proposals Manager (DPM)</dc:creator>
  <cp:keywords>DPM_v2023.8.1.1_prod</cp:keywords>
  <dc:description/>
  <cp:lastModifiedBy>French</cp:lastModifiedBy>
  <cp:revision>20</cp:revision>
  <cp:lastPrinted>2003-06-05T19:34:00Z</cp:lastPrinted>
  <dcterms:created xsi:type="dcterms:W3CDTF">2023-11-06T08:38:00Z</dcterms:created>
  <dcterms:modified xsi:type="dcterms:W3CDTF">2023-11-06T13:59:00Z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