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608A6" w14:paraId="08DB62AA" w14:textId="77777777" w:rsidTr="00C1305F">
        <w:trPr>
          <w:cantSplit/>
        </w:trPr>
        <w:tc>
          <w:tcPr>
            <w:tcW w:w="1418" w:type="dxa"/>
            <w:vAlign w:val="center"/>
          </w:tcPr>
          <w:p w14:paraId="211AEC90" w14:textId="77777777" w:rsidR="00C1305F" w:rsidRPr="00C608A6" w:rsidRDefault="00C1305F" w:rsidP="00C1305F">
            <w:pPr>
              <w:spacing w:before="0" w:line="240" w:lineRule="atLeast"/>
              <w:rPr>
                <w:rFonts w:ascii="Verdana" w:hAnsi="Verdana"/>
                <w:b/>
                <w:bCs/>
                <w:sz w:val="20"/>
              </w:rPr>
            </w:pPr>
            <w:r w:rsidRPr="00C608A6">
              <w:rPr>
                <w:noProof/>
              </w:rPr>
              <w:drawing>
                <wp:inline distT="0" distB="0" distL="0" distR="0" wp14:anchorId="6685AB3D" wp14:editId="31072A3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0F2024B" w14:textId="700F86BF" w:rsidR="00C1305F" w:rsidRPr="00C608A6" w:rsidRDefault="00C1305F" w:rsidP="00F10064">
            <w:pPr>
              <w:spacing w:before="400" w:after="48" w:line="240" w:lineRule="atLeast"/>
              <w:rPr>
                <w:rFonts w:ascii="Verdana" w:hAnsi="Verdana"/>
                <w:b/>
                <w:bCs/>
                <w:sz w:val="20"/>
              </w:rPr>
            </w:pPr>
            <w:r w:rsidRPr="00C608A6">
              <w:rPr>
                <w:rFonts w:ascii="Verdana" w:hAnsi="Verdana"/>
                <w:b/>
                <w:bCs/>
                <w:sz w:val="20"/>
              </w:rPr>
              <w:t>Conférence mondiale des radiocommunications (CMR-23)</w:t>
            </w:r>
            <w:r w:rsidRPr="00C608A6">
              <w:rPr>
                <w:rFonts w:ascii="Verdana" w:hAnsi="Verdana"/>
                <w:b/>
                <w:bCs/>
                <w:sz w:val="20"/>
              </w:rPr>
              <w:br/>
            </w:r>
            <w:r w:rsidRPr="00C608A6">
              <w:rPr>
                <w:rFonts w:ascii="Verdana" w:hAnsi="Verdana"/>
                <w:b/>
                <w:bCs/>
                <w:sz w:val="18"/>
                <w:szCs w:val="18"/>
              </w:rPr>
              <w:t xml:space="preserve">Dubaï, 20 novembre </w:t>
            </w:r>
            <w:r w:rsidR="00243757" w:rsidRPr="00C608A6">
              <w:rPr>
                <w:rFonts w:ascii="Verdana" w:hAnsi="Verdana"/>
                <w:b/>
                <w:bCs/>
                <w:sz w:val="18"/>
                <w:szCs w:val="18"/>
              </w:rPr>
              <w:t>–</w:t>
            </w:r>
            <w:r w:rsidRPr="00C608A6">
              <w:rPr>
                <w:rFonts w:ascii="Verdana" w:hAnsi="Verdana"/>
                <w:b/>
                <w:bCs/>
                <w:sz w:val="18"/>
                <w:szCs w:val="18"/>
              </w:rPr>
              <w:t xml:space="preserve"> 15 décembre 2023</w:t>
            </w:r>
          </w:p>
        </w:tc>
        <w:tc>
          <w:tcPr>
            <w:tcW w:w="1809" w:type="dxa"/>
            <w:vAlign w:val="center"/>
          </w:tcPr>
          <w:p w14:paraId="7F4EB0A3" w14:textId="77777777" w:rsidR="00C1305F" w:rsidRPr="00C608A6" w:rsidRDefault="00C1305F" w:rsidP="00C1305F">
            <w:pPr>
              <w:spacing w:before="0" w:line="240" w:lineRule="atLeast"/>
            </w:pPr>
            <w:bookmarkStart w:id="0" w:name="ditulogo"/>
            <w:bookmarkEnd w:id="0"/>
            <w:r w:rsidRPr="00C608A6">
              <w:rPr>
                <w:noProof/>
              </w:rPr>
              <w:drawing>
                <wp:inline distT="0" distB="0" distL="0" distR="0" wp14:anchorId="7AEA43E8" wp14:editId="083C1EA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608A6" w14:paraId="3BC6FEC6" w14:textId="77777777" w:rsidTr="0050008E">
        <w:trPr>
          <w:cantSplit/>
        </w:trPr>
        <w:tc>
          <w:tcPr>
            <w:tcW w:w="6911" w:type="dxa"/>
            <w:gridSpan w:val="2"/>
            <w:tcBorders>
              <w:bottom w:val="single" w:sz="12" w:space="0" w:color="auto"/>
            </w:tcBorders>
          </w:tcPr>
          <w:p w14:paraId="6364DA90" w14:textId="77777777" w:rsidR="00BB1D82" w:rsidRPr="00C608A6"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2F21B91B" w14:textId="77777777" w:rsidR="00BB1D82" w:rsidRPr="00C608A6" w:rsidRDefault="00BB1D82" w:rsidP="00BB1D82">
            <w:pPr>
              <w:spacing w:before="0" w:line="240" w:lineRule="atLeast"/>
              <w:rPr>
                <w:rFonts w:ascii="Verdana" w:hAnsi="Verdana"/>
                <w:szCs w:val="24"/>
              </w:rPr>
            </w:pPr>
          </w:p>
        </w:tc>
      </w:tr>
      <w:tr w:rsidR="00BB1D82" w:rsidRPr="00C608A6" w14:paraId="01CFE56B" w14:textId="77777777" w:rsidTr="00BB1D82">
        <w:trPr>
          <w:cantSplit/>
        </w:trPr>
        <w:tc>
          <w:tcPr>
            <w:tcW w:w="6911" w:type="dxa"/>
            <w:gridSpan w:val="2"/>
            <w:tcBorders>
              <w:top w:val="single" w:sz="12" w:space="0" w:color="auto"/>
            </w:tcBorders>
          </w:tcPr>
          <w:p w14:paraId="5C28D416" w14:textId="77777777" w:rsidR="00BB1D82" w:rsidRPr="00C608A6"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55D27E3" w14:textId="77777777" w:rsidR="00BB1D82" w:rsidRPr="00C608A6" w:rsidRDefault="00BB1D82" w:rsidP="00BB1D82">
            <w:pPr>
              <w:spacing w:before="0" w:line="240" w:lineRule="atLeast"/>
              <w:rPr>
                <w:rFonts w:ascii="Verdana" w:hAnsi="Verdana"/>
                <w:sz w:val="20"/>
              </w:rPr>
            </w:pPr>
          </w:p>
        </w:tc>
      </w:tr>
      <w:tr w:rsidR="00BB1D82" w:rsidRPr="00C608A6" w14:paraId="0E026001" w14:textId="77777777" w:rsidTr="00BB1D82">
        <w:trPr>
          <w:cantSplit/>
        </w:trPr>
        <w:tc>
          <w:tcPr>
            <w:tcW w:w="6911" w:type="dxa"/>
            <w:gridSpan w:val="2"/>
          </w:tcPr>
          <w:p w14:paraId="1FA0E4F5" w14:textId="77777777" w:rsidR="00BB1D82" w:rsidRPr="00C608A6" w:rsidRDefault="006D4724" w:rsidP="00BA5BD0">
            <w:pPr>
              <w:spacing w:before="0"/>
              <w:rPr>
                <w:rFonts w:ascii="Verdana" w:hAnsi="Verdana"/>
                <w:b/>
                <w:sz w:val="20"/>
              </w:rPr>
            </w:pPr>
            <w:r w:rsidRPr="00C608A6">
              <w:rPr>
                <w:rFonts w:ascii="Verdana" w:hAnsi="Verdana"/>
                <w:b/>
                <w:sz w:val="20"/>
              </w:rPr>
              <w:t>SÉANCE PLÉNIÈRE</w:t>
            </w:r>
          </w:p>
        </w:tc>
        <w:tc>
          <w:tcPr>
            <w:tcW w:w="3120" w:type="dxa"/>
            <w:gridSpan w:val="2"/>
          </w:tcPr>
          <w:p w14:paraId="7A7C4F7D" w14:textId="77777777" w:rsidR="00BB1D82" w:rsidRPr="00C608A6" w:rsidRDefault="006D4724" w:rsidP="00BA5BD0">
            <w:pPr>
              <w:spacing w:before="0"/>
              <w:rPr>
                <w:rFonts w:ascii="Verdana" w:hAnsi="Verdana"/>
                <w:sz w:val="20"/>
              </w:rPr>
            </w:pPr>
            <w:r w:rsidRPr="00C608A6">
              <w:rPr>
                <w:rFonts w:ascii="Verdana" w:hAnsi="Verdana"/>
                <w:b/>
                <w:sz w:val="20"/>
              </w:rPr>
              <w:t>Addendum 4 au</w:t>
            </w:r>
            <w:r w:rsidRPr="00C608A6">
              <w:rPr>
                <w:rFonts w:ascii="Verdana" w:hAnsi="Verdana"/>
                <w:b/>
                <w:sz w:val="20"/>
              </w:rPr>
              <w:br/>
              <w:t>Document 44(Add.27)</w:t>
            </w:r>
            <w:r w:rsidR="00BB1D82" w:rsidRPr="00C608A6">
              <w:rPr>
                <w:rFonts w:ascii="Verdana" w:hAnsi="Verdana"/>
                <w:b/>
                <w:sz w:val="20"/>
              </w:rPr>
              <w:t>-</w:t>
            </w:r>
            <w:r w:rsidRPr="00C608A6">
              <w:rPr>
                <w:rFonts w:ascii="Verdana" w:hAnsi="Verdana"/>
                <w:b/>
                <w:sz w:val="20"/>
              </w:rPr>
              <w:t>F</w:t>
            </w:r>
          </w:p>
        </w:tc>
      </w:tr>
      <w:bookmarkEnd w:id="1"/>
      <w:tr w:rsidR="00690C7B" w:rsidRPr="00C608A6" w14:paraId="06E9F522" w14:textId="77777777" w:rsidTr="00BB1D82">
        <w:trPr>
          <w:cantSplit/>
        </w:trPr>
        <w:tc>
          <w:tcPr>
            <w:tcW w:w="6911" w:type="dxa"/>
            <w:gridSpan w:val="2"/>
          </w:tcPr>
          <w:p w14:paraId="0C29C7EE" w14:textId="77777777" w:rsidR="00690C7B" w:rsidRPr="00C608A6" w:rsidRDefault="00690C7B" w:rsidP="00BA5BD0">
            <w:pPr>
              <w:spacing w:before="0"/>
              <w:rPr>
                <w:rFonts w:ascii="Verdana" w:hAnsi="Verdana"/>
                <w:b/>
                <w:sz w:val="20"/>
              </w:rPr>
            </w:pPr>
          </w:p>
        </w:tc>
        <w:tc>
          <w:tcPr>
            <w:tcW w:w="3120" w:type="dxa"/>
            <w:gridSpan w:val="2"/>
          </w:tcPr>
          <w:p w14:paraId="39E7A677" w14:textId="77777777" w:rsidR="00690C7B" w:rsidRPr="00C608A6" w:rsidRDefault="00690C7B" w:rsidP="00BA5BD0">
            <w:pPr>
              <w:spacing w:before="0"/>
              <w:rPr>
                <w:rFonts w:ascii="Verdana" w:hAnsi="Verdana"/>
                <w:b/>
                <w:sz w:val="20"/>
              </w:rPr>
            </w:pPr>
            <w:r w:rsidRPr="00C608A6">
              <w:rPr>
                <w:rFonts w:ascii="Verdana" w:hAnsi="Verdana"/>
                <w:b/>
                <w:sz w:val="20"/>
              </w:rPr>
              <w:t>13 octobre 2023</w:t>
            </w:r>
          </w:p>
        </w:tc>
      </w:tr>
      <w:tr w:rsidR="00690C7B" w:rsidRPr="00C608A6" w14:paraId="56B20775" w14:textId="77777777" w:rsidTr="00BB1D82">
        <w:trPr>
          <w:cantSplit/>
        </w:trPr>
        <w:tc>
          <w:tcPr>
            <w:tcW w:w="6911" w:type="dxa"/>
            <w:gridSpan w:val="2"/>
          </w:tcPr>
          <w:p w14:paraId="586DBAEB" w14:textId="77777777" w:rsidR="00690C7B" w:rsidRPr="00C608A6" w:rsidRDefault="00690C7B" w:rsidP="00BA5BD0">
            <w:pPr>
              <w:spacing w:before="0" w:after="48"/>
              <w:rPr>
                <w:rFonts w:ascii="Verdana" w:hAnsi="Verdana"/>
                <w:b/>
                <w:smallCaps/>
                <w:sz w:val="20"/>
              </w:rPr>
            </w:pPr>
          </w:p>
        </w:tc>
        <w:tc>
          <w:tcPr>
            <w:tcW w:w="3120" w:type="dxa"/>
            <w:gridSpan w:val="2"/>
          </w:tcPr>
          <w:p w14:paraId="04A8B19A" w14:textId="77777777" w:rsidR="00690C7B" w:rsidRPr="00C608A6" w:rsidRDefault="00690C7B" w:rsidP="00BA5BD0">
            <w:pPr>
              <w:spacing w:before="0"/>
              <w:rPr>
                <w:rFonts w:ascii="Verdana" w:hAnsi="Verdana"/>
                <w:b/>
                <w:sz w:val="20"/>
              </w:rPr>
            </w:pPr>
            <w:r w:rsidRPr="00C608A6">
              <w:rPr>
                <w:rFonts w:ascii="Verdana" w:hAnsi="Verdana"/>
                <w:b/>
                <w:sz w:val="20"/>
              </w:rPr>
              <w:t>Original: anglais</w:t>
            </w:r>
          </w:p>
        </w:tc>
      </w:tr>
      <w:tr w:rsidR="00690C7B" w:rsidRPr="00C608A6" w14:paraId="33B8C296" w14:textId="77777777" w:rsidTr="00C11970">
        <w:trPr>
          <w:cantSplit/>
        </w:trPr>
        <w:tc>
          <w:tcPr>
            <w:tcW w:w="10031" w:type="dxa"/>
            <w:gridSpan w:val="4"/>
          </w:tcPr>
          <w:p w14:paraId="06D4FB49" w14:textId="77777777" w:rsidR="00690C7B" w:rsidRPr="00C608A6" w:rsidRDefault="00690C7B" w:rsidP="00BA5BD0">
            <w:pPr>
              <w:spacing w:before="0"/>
              <w:rPr>
                <w:rFonts w:ascii="Verdana" w:hAnsi="Verdana"/>
                <w:b/>
                <w:sz w:val="20"/>
              </w:rPr>
            </w:pPr>
          </w:p>
        </w:tc>
      </w:tr>
      <w:tr w:rsidR="00690C7B" w:rsidRPr="00C608A6" w14:paraId="76BCE408" w14:textId="77777777" w:rsidTr="0050008E">
        <w:trPr>
          <w:cantSplit/>
        </w:trPr>
        <w:tc>
          <w:tcPr>
            <w:tcW w:w="10031" w:type="dxa"/>
            <w:gridSpan w:val="4"/>
          </w:tcPr>
          <w:p w14:paraId="520DCEA1" w14:textId="77777777" w:rsidR="00690C7B" w:rsidRPr="00C608A6" w:rsidRDefault="00690C7B" w:rsidP="00690C7B">
            <w:pPr>
              <w:pStyle w:val="Source"/>
            </w:pPr>
            <w:bookmarkStart w:id="2" w:name="dsource" w:colFirst="0" w:colLast="0"/>
            <w:r w:rsidRPr="00C608A6">
              <w:t>États Membres de la Commission interaméricaine des télécommunications (CITEL)</w:t>
            </w:r>
          </w:p>
        </w:tc>
      </w:tr>
      <w:tr w:rsidR="00690C7B" w:rsidRPr="00C608A6" w14:paraId="52E4EC25" w14:textId="77777777" w:rsidTr="0050008E">
        <w:trPr>
          <w:cantSplit/>
        </w:trPr>
        <w:tc>
          <w:tcPr>
            <w:tcW w:w="10031" w:type="dxa"/>
            <w:gridSpan w:val="4"/>
          </w:tcPr>
          <w:p w14:paraId="4784F62D" w14:textId="4D618DBD" w:rsidR="00690C7B" w:rsidRPr="00C608A6" w:rsidRDefault="00243757" w:rsidP="00690C7B">
            <w:pPr>
              <w:pStyle w:val="Title1"/>
            </w:pPr>
            <w:bookmarkStart w:id="3" w:name="dtitle1" w:colFirst="0" w:colLast="0"/>
            <w:bookmarkEnd w:id="2"/>
            <w:r w:rsidRPr="00C608A6">
              <w:t>Propositions pour les travaux de la conférence</w:t>
            </w:r>
          </w:p>
        </w:tc>
      </w:tr>
      <w:tr w:rsidR="00690C7B" w:rsidRPr="00C608A6" w14:paraId="5A4FDB36" w14:textId="77777777" w:rsidTr="0050008E">
        <w:trPr>
          <w:cantSplit/>
        </w:trPr>
        <w:tc>
          <w:tcPr>
            <w:tcW w:w="10031" w:type="dxa"/>
            <w:gridSpan w:val="4"/>
          </w:tcPr>
          <w:p w14:paraId="33443271" w14:textId="77777777" w:rsidR="00690C7B" w:rsidRPr="00C608A6" w:rsidRDefault="00690C7B" w:rsidP="00690C7B">
            <w:pPr>
              <w:pStyle w:val="Title2"/>
            </w:pPr>
            <w:bookmarkStart w:id="4" w:name="dtitle2" w:colFirst="0" w:colLast="0"/>
            <w:bookmarkEnd w:id="3"/>
          </w:p>
        </w:tc>
      </w:tr>
      <w:tr w:rsidR="00690C7B" w:rsidRPr="00C608A6" w14:paraId="521DE070" w14:textId="77777777" w:rsidTr="0050008E">
        <w:trPr>
          <w:cantSplit/>
        </w:trPr>
        <w:tc>
          <w:tcPr>
            <w:tcW w:w="10031" w:type="dxa"/>
            <w:gridSpan w:val="4"/>
          </w:tcPr>
          <w:p w14:paraId="44998F5E" w14:textId="2931F133" w:rsidR="00690C7B" w:rsidRPr="00C608A6" w:rsidRDefault="00690C7B" w:rsidP="00690C7B">
            <w:pPr>
              <w:pStyle w:val="Agendaitem"/>
              <w:rPr>
                <w:lang w:val="fr-FR"/>
              </w:rPr>
            </w:pPr>
            <w:bookmarkStart w:id="5" w:name="dtitle3" w:colFirst="0" w:colLast="0"/>
            <w:bookmarkEnd w:id="4"/>
            <w:r w:rsidRPr="00C608A6">
              <w:rPr>
                <w:lang w:val="fr-FR"/>
              </w:rPr>
              <w:t>Point 10 de l</w:t>
            </w:r>
            <w:r w:rsidR="001C57AB" w:rsidRPr="00C608A6">
              <w:rPr>
                <w:lang w:val="fr-FR"/>
              </w:rPr>
              <w:t>'</w:t>
            </w:r>
            <w:r w:rsidRPr="00C608A6">
              <w:rPr>
                <w:lang w:val="fr-FR"/>
              </w:rPr>
              <w:t>ordre du jour</w:t>
            </w:r>
          </w:p>
        </w:tc>
      </w:tr>
    </w:tbl>
    <w:bookmarkEnd w:id="5"/>
    <w:p w14:paraId="5F3819FA" w14:textId="16B6FD28" w:rsidR="00876C8E" w:rsidRPr="00C608A6" w:rsidRDefault="00243757" w:rsidP="002E6998">
      <w:r w:rsidRPr="00C608A6">
        <w:t>10</w:t>
      </w:r>
      <w:r w:rsidRPr="00C608A6">
        <w:tab/>
        <w:t>recommander au Conseil de l</w:t>
      </w:r>
      <w:r w:rsidR="001C57AB" w:rsidRPr="00C608A6">
        <w:t>'</w:t>
      </w:r>
      <w:r w:rsidRPr="00C608A6">
        <w:t>UIT des points à inscrire à l</w:t>
      </w:r>
      <w:r w:rsidR="001C57AB" w:rsidRPr="00C608A6">
        <w:t>'</w:t>
      </w:r>
      <w:r w:rsidRPr="00C608A6">
        <w:t>ordre du jour de la Conférence mondiale des radiocommunications suivante et des points de l</w:t>
      </w:r>
      <w:r w:rsidR="001C57AB" w:rsidRPr="00C608A6">
        <w:t>'</w:t>
      </w:r>
      <w:r w:rsidRPr="00C608A6">
        <w:t>ordre du jour préliminaire de conférences futures, conformément à l</w:t>
      </w:r>
      <w:r w:rsidR="001C57AB" w:rsidRPr="00C608A6">
        <w:t>'</w:t>
      </w:r>
      <w:r w:rsidRPr="00C608A6">
        <w:t>article 7 de la Convention de l</w:t>
      </w:r>
      <w:r w:rsidR="001C57AB" w:rsidRPr="00C608A6">
        <w:t>'</w:t>
      </w:r>
      <w:r w:rsidRPr="00C608A6">
        <w:t>UIT et à la Résolution</w:t>
      </w:r>
      <w:r w:rsidR="00D04C49" w:rsidRPr="00C608A6">
        <w:t> </w:t>
      </w:r>
      <w:r w:rsidRPr="00C608A6">
        <w:rPr>
          <w:b/>
        </w:rPr>
        <w:t>804</w:t>
      </w:r>
      <w:r w:rsidR="00D04C49" w:rsidRPr="00C608A6">
        <w:rPr>
          <w:b/>
        </w:rPr>
        <w:t> </w:t>
      </w:r>
      <w:r w:rsidRPr="00C608A6">
        <w:rPr>
          <w:b/>
        </w:rPr>
        <w:t>(Rév.CMR-19)</w:t>
      </w:r>
      <w:r w:rsidRPr="00C608A6">
        <w:t>,</w:t>
      </w:r>
    </w:p>
    <w:p w14:paraId="06497E3D" w14:textId="24D39945" w:rsidR="003A583E" w:rsidRPr="00C608A6" w:rsidRDefault="00D04C49" w:rsidP="00D04C49">
      <w:pPr>
        <w:pStyle w:val="Part1"/>
      </w:pPr>
      <w:r w:rsidRPr="00C608A6">
        <w:t>Partie 4</w:t>
      </w:r>
    </w:p>
    <w:p w14:paraId="64ABA5C2" w14:textId="0F946A37" w:rsidR="00D04C49" w:rsidRPr="00C608A6" w:rsidRDefault="00113F20" w:rsidP="00D04C49">
      <w:pPr>
        <w:pStyle w:val="Headingb"/>
      </w:pPr>
      <w:r w:rsidRPr="00C608A6">
        <w:t>Considérations générales</w:t>
      </w:r>
    </w:p>
    <w:p w14:paraId="0BB889DC" w14:textId="547A9C2D" w:rsidR="00113F20" w:rsidRPr="00C608A6" w:rsidRDefault="00A21C06" w:rsidP="00113F20">
      <w:r w:rsidRPr="00C608A6">
        <w:t>D</w:t>
      </w:r>
      <w:r w:rsidR="00113F20" w:rsidRPr="00C608A6">
        <w:t xml:space="preserve">es </w:t>
      </w:r>
      <w:r w:rsidRPr="00C608A6">
        <w:t xml:space="preserve">systèmes à </w:t>
      </w:r>
      <w:r w:rsidR="00113F20" w:rsidRPr="00C608A6">
        <w:t xml:space="preserve">satellites non géostationnaires (non OSG) </w:t>
      </w:r>
      <w:r w:rsidRPr="00C608A6">
        <w:t xml:space="preserve">ont récemment été déployés </w:t>
      </w:r>
      <w:r w:rsidR="00113F20" w:rsidRPr="00C608A6">
        <w:t xml:space="preserve">dans les bandes de fréquences inférieures à 30 GHz </w:t>
      </w:r>
      <w:r w:rsidRPr="00C608A6">
        <w:t>et fournissent</w:t>
      </w:r>
      <w:r w:rsidR="00113F20" w:rsidRPr="00C608A6">
        <w:t xml:space="preserve"> </w:t>
      </w:r>
      <w:r w:rsidRPr="00C608A6">
        <w:t xml:space="preserve">actuellement </w:t>
      </w:r>
      <w:r w:rsidR="00113F20" w:rsidRPr="00C608A6">
        <w:t xml:space="preserve">une connectivité dans le monde entier. </w:t>
      </w:r>
      <w:r w:rsidRPr="00C608A6">
        <w:t xml:space="preserve">Ces systèmes permettent </w:t>
      </w:r>
      <w:r w:rsidR="00113F20" w:rsidRPr="00C608A6">
        <w:t xml:space="preserve">de fournir une connectivité large bande à haut débit et à faible latence </w:t>
      </w:r>
      <w:r w:rsidRPr="00C608A6">
        <w:t>partout dans le monde</w:t>
      </w:r>
      <w:r w:rsidR="00113F20" w:rsidRPr="00C608A6">
        <w:t>, y compris dans des endroits où l</w:t>
      </w:r>
      <w:r w:rsidR="001C57AB" w:rsidRPr="00C608A6">
        <w:t>'</w:t>
      </w:r>
      <w:r w:rsidR="00113F20" w:rsidRPr="00C608A6">
        <w:t xml:space="preserve">accès à </w:t>
      </w:r>
      <w:r w:rsidR="00454FA7" w:rsidRPr="00C608A6">
        <w:t>l'</w:t>
      </w:r>
      <w:r w:rsidR="00113F20" w:rsidRPr="00C608A6">
        <w:t xml:space="preserve">Internet </w:t>
      </w:r>
      <w:r w:rsidRPr="00C608A6">
        <w:t xml:space="preserve">était auparavant peu fiable, voire </w:t>
      </w:r>
      <w:r w:rsidR="00113F20" w:rsidRPr="00C608A6">
        <w:t xml:space="preserve">totalement indisponible. Les données </w:t>
      </w:r>
      <w:r w:rsidRPr="00C608A6">
        <w:t>publiques</w:t>
      </w:r>
      <w:r w:rsidR="00113F20" w:rsidRPr="00C608A6">
        <w:t xml:space="preserve"> montrent qu</w:t>
      </w:r>
      <w:r w:rsidR="001C57AB" w:rsidRPr="00C608A6">
        <w:t>'</w:t>
      </w:r>
      <w:r w:rsidRPr="00C608A6">
        <w:t>en</w:t>
      </w:r>
      <w:r w:rsidR="008B1F19" w:rsidRPr="00C608A6">
        <w:t xml:space="preserve"> </w:t>
      </w:r>
      <w:r w:rsidRPr="00C608A6">
        <w:t>2022,</w:t>
      </w:r>
      <w:r w:rsidR="00113F20" w:rsidRPr="00C608A6">
        <w:t xml:space="preserve"> les systèmes du service fixe par satellite (SFS) </w:t>
      </w:r>
      <w:r w:rsidR="00AF1541" w:rsidRPr="00C608A6">
        <w:t xml:space="preserve">non OSG </w:t>
      </w:r>
      <w:r w:rsidR="00113F20" w:rsidRPr="00C608A6">
        <w:t>desservaient bien plus d</w:t>
      </w:r>
      <w:r w:rsidR="001C57AB" w:rsidRPr="00C608A6">
        <w:t>'</w:t>
      </w:r>
      <w:r w:rsidR="00113F20" w:rsidRPr="00C608A6">
        <w:t>un million d</w:t>
      </w:r>
      <w:r w:rsidR="001C57AB" w:rsidRPr="00C608A6">
        <w:t>'</w:t>
      </w:r>
      <w:r w:rsidR="00113F20" w:rsidRPr="00C608A6">
        <w:t>utilisateurs dans le monde</w:t>
      </w:r>
      <w:r w:rsidRPr="00C608A6">
        <w:t>. D</w:t>
      </w:r>
      <w:r w:rsidR="001C57AB" w:rsidRPr="00C608A6">
        <w:t>'</w:t>
      </w:r>
      <w:r w:rsidRPr="00C608A6">
        <w:t xml:space="preserve">ici à 2030, ces systèmes </w:t>
      </w:r>
      <w:r w:rsidR="00113F20" w:rsidRPr="00C608A6">
        <w:t>devraient desservir</w:t>
      </w:r>
      <w:r w:rsidRPr="00C608A6">
        <w:t>, a minima,</w:t>
      </w:r>
      <w:r w:rsidR="00113F20" w:rsidRPr="00C608A6">
        <w:t xml:space="preserve"> des dizaines de millions d</w:t>
      </w:r>
      <w:r w:rsidR="001C57AB" w:rsidRPr="00C608A6">
        <w:t>'</w:t>
      </w:r>
      <w:r w:rsidR="00113F20" w:rsidRPr="00C608A6">
        <w:t>utilisateurs</w:t>
      </w:r>
      <w:r w:rsidRPr="00C608A6">
        <w:t>, produisant ainsi des a</w:t>
      </w:r>
      <w:r w:rsidR="00113F20" w:rsidRPr="00C608A6">
        <w:t xml:space="preserve">vantages </w:t>
      </w:r>
      <w:r w:rsidRPr="00C608A6">
        <w:t>immenses au profit de</w:t>
      </w:r>
      <w:r w:rsidR="00113F20" w:rsidRPr="00C608A6">
        <w:t xml:space="preserve"> la communauté mondiale. Ces </w:t>
      </w:r>
      <w:r w:rsidR="001C57AB" w:rsidRPr="00C608A6">
        <w:t>évolutions</w:t>
      </w:r>
      <w:r w:rsidR="00113F20" w:rsidRPr="00C608A6">
        <w:t xml:space="preserve"> sans précédent ont radicalement </w:t>
      </w:r>
      <w:r w:rsidR="001C57AB" w:rsidRPr="00C608A6">
        <w:t>transformé</w:t>
      </w:r>
      <w:r w:rsidR="00113F20" w:rsidRPr="00C608A6">
        <w:t xml:space="preserve"> le paradigme des télécommunications par satellite.</w:t>
      </w:r>
    </w:p>
    <w:p w14:paraId="418D6CE0" w14:textId="5A8A6EC8" w:rsidR="00113F20" w:rsidRPr="00C608A6" w:rsidRDefault="00113F20" w:rsidP="00113F20">
      <w:r w:rsidRPr="00C608A6">
        <w:t xml:space="preserve">Les réseaux </w:t>
      </w:r>
      <w:r w:rsidR="001C57AB" w:rsidRPr="00C608A6">
        <w:t>à satellite géostationnaire (</w:t>
      </w:r>
      <w:r w:rsidRPr="00C608A6">
        <w:t>OSG</w:t>
      </w:r>
      <w:r w:rsidR="001C57AB" w:rsidRPr="00C608A6">
        <w:t>)</w:t>
      </w:r>
      <w:r w:rsidRPr="00C608A6">
        <w:t xml:space="preserve"> et les systèmes </w:t>
      </w:r>
      <w:r w:rsidR="001C57AB" w:rsidRPr="00C608A6">
        <w:t xml:space="preserve">à satellites </w:t>
      </w:r>
      <w:r w:rsidRPr="00C608A6">
        <w:t>non OSG sont entièrement tributaires du partage du spectre pour fournir des services, et l</w:t>
      </w:r>
      <w:r w:rsidR="001C57AB" w:rsidRPr="00C608A6">
        <w:t>'</w:t>
      </w:r>
      <w:r w:rsidRPr="00C608A6">
        <w:t xml:space="preserve">utilisation efficace des ressources spectrales partagées </w:t>
      </w:r>
      <w:r w:rsidR="001C57AB" w:rsidRPr="00C608A6">
        <w:t>constitue</w:t>
      </w:r>
      <w:r w:rsidRPr="00C608A6">
        <w:t xml:space="preserve"> l</w:t>
      </w:r>
      <w:r w:rsidR="001C57AB" w:rsidRPr="00C608A6">
        <w:t>'</w:t>
      </w:r>
      <w:r w:rsidRPr="00C608A6">
        <w:t>un des piliers de l</w:t>
      </w:r>
      <w:r w:rsidR="001C57AB" w:rsidRPr="00C608A6">
        <w:t>'</w:t>
      </w:r>
      <w:r w:rsidRPr="00C608A6">
        <w:t xml:space="preserve">UIT. </w:t>
      </w:r>
      <w:r w:rsidR="001C57AB" w:rsidRPr="00C608A6">
        <w:t>Afin de</w:t>
      </w:r>
      <w:r w:rsidRPr="00C608A6">
        <w:t xml:space="preserve"> tirer pleinement parti des avantages et d</w:t>
      </w:r>
      <w:r w:rsidR="001C57AB" w:rsidRPr="00C608A6">
        <w:t>es</w:t>
      </w:r>
      <w:r w:rsidRPr="00C608A6">
        <w:t xml:space="preserve"> </w:t>
      </w:r>
      <w:r w:rsidR="001C57AB" w:rsidRPr="00C608A6">
        <w:t>possibilités qu'offrent les</w:t>
      </w:r>
      <w:r w:rsidRPr="00C608A6">
        <w:t xml:space="preserve"> systèmes du SFS, l</w:t>
      </w:r>
      <w:r w:rsidR="001C57AB" w:rsidRPr="00C608A6">
        <w:t>'</w:t>
      </w:r>
      <w:r w:rsidRPr="00C608A6">
        <w:t>UIT doit garantir un accès efficace</w:t>
      </w:r>
      <w:r w:rsidR="001C57AB" w:rsidRPr="00C608A6">
        <w:t xml:space="preserve"> aux </w:t>
      </w:r>
      <w:r w:rsidRPr="00C608A6">
        <w:t xml:space="preserve">ressources spectrales </w:t>
      </w:r>
      <w:r w:rsidR="001C57AB" w:rsidRPr="00C608A6">
        <w:t xml:space="preserve">sur la même fréquence </w:t>
      </w:r>
      <w:r w:rsidRPr="00C608A6">
        <w:t xml:space="preserve">pour les systèmes non OSG et les réseaux OSG, conformément au Règlement des radiocommunications (RR), </w:t>
      </w:r>
      <w:r w:rsidR="001C57AB" w:rsidRPr="00C608A6">
        <w:t xml:space="preserve">notamment le numéro </w:t>
      </w:r>
      <w:r w:rsidR="001C57AB" w:rsidRPr="00C608A6">
        <w:rPr>
          <w:b/>
          <w:bCs/>
        </w:rPr>
        <w:t>22.2</w:t>
      </w:r>
      <w:r w:rsidR="001C57AB" w:rsidRPr="00C608A6">
        <w:t xml:space="preserve">, tout en </w:t>
      </w:r>
      <w:r w:rsidRPr="00C608A6">
        <w:t>améliorant l</w:t>
      </w:r>
      <w:r w:rsidR="001C57AB" w:rsidRPr="00C608A6">
        <w:t>'</w:t>
      </w:r>
      <w:r w:rsidRPr="00C608A6">
        <w:t xml:space="preserve">efficacité du partage du spectre </w:t>
      </w:r>
      <w:r w:rsidR="001C57AB" w:rsidRPr="00C608A6">
        <w:t xml:space="preserve">à l'intérieur d'un même service, </w:t>
      </w:r>
      <w:r w:rsidRPr="00C608A6">
        <w:t xml:space="preserve">grâce à un examen </w:t>
      </w:r>
      <w:r w:rsidR="001C57AB" w:rsidRPr="00C608A6">
        <w:t>minutieux</w:t>
      </w:r>
      <w:r w:rsidRPr="00C608A6">
        <w:t xml:space="preserve"> des dispositions réglementaires de l</w:t>
      </w:r>
      <w:r w:rsidR="001C57AB" w:rsidRPr="00C608A6">
        <w:t>'</w:t>
      </w:r>
      <w:r w:rsidRPr="00C608A6">
        <w:t>UIT.</w:t>
      </w:r>
    </w:p>
    <w:p w14:paraId="6996B0CD" w14:textId="1777B402" w:rsidR="00113F20" w:rsidRPr="00C608A6" w:rsidRDefault="001C57AB" w:rsidP="00113F20">
      <w:r w:rsidRPr="00C608A6">
        <w:lastRenderedPageBreak/>
        <w:t>L'</w:t>
      </w:r>
      <w:r w:rsidR="00113F20" w:rsidRPr="00C608A6">
        <w:t xml:space="preserve">Article </w:t>
      </w:r>
      <w:r w:rsidR="00113F20" w:rsidRPr="00C608A6">
        <w:rPr>
          <w:b/>
          <w:bCs/>
        </w:rPr>
        <w:t>22</w:t>
      </w:r>
      <w:r w:rsidR="00113F20" w:rsidRPr="00C608A6">
        <w:t xml:space="preserve"> </w:t>
      </w:r>
      <w:r w:rsidRPr="00C608A6">
        <w:t xml:space="preserve">du RR </w:t>
      </w:r>
      <w:r w:rsidR="00113F20" w:rsidRPr="00C608A6">
        <w:t xml:space="preserve">et </w:t>
      </w:r>
      <w:r w:rsidR="008B1F19" w:rsidRPr="00C608A6">
        <w:t xml:space="preserve">la </w:t>
      </w:r>
      <w:r w:rsidR="00113F20" w:rsidRPr="00C608A6">
        <w:t xml:space="preserve">Résolution </w:t>
      </w:r>
      <w:r w:rsidR="00113F20" w:rsidRPr="00C608A6">
        <w:rPr>
          <w:b/>
          <w:bCs/>
        </w:rPr>
        <w:t>76 (Rév.CMR-15)</w:t>
      </w:r>
      <w:r w:rsidR="00113F20" w:rsidRPr="00C608A6">
        <w:t xml:space="preserve"> contiennent des dispositions qui visent, en principe, à protéger les réseaux du SFS </w:t>
      </w:r>
      <w:r w:rsidR="00AF1541" w:rsidRPr="00C608A6">
        <w:t xml:space="preserve">OSG </w:t>
      </w:r>
      <w:r w:rsidR="00113F20" w:rsidRPr="00C608A6">
        <w:t>et du service de radiodiffusion par satellite (SRS)</w:t>
      </w:r>
      <w:r w:rsidR="00454FA7" w:rsidRPr="00C608A6">
        <w:t> </w:t>
      </w:r>
      <w:r w:rsidR="00AF1541" w:rsidRPr="00C608A6">
        <w:t>OSG</w:t>
      </w:r>
      <w:r w:rsidR="00113F20" w:rsidRPr="00C608A6">
        <w:t xml:space="preserve">. Parmi ces dispositions figurent les limites de puissance surfacique équivalente sur </w:t>
      </w:r>
      <w:r w:rsidR="00F118AA" w:rsidRPr="00C608A6">
        <w:t>la</w:t>
      </w:r>
      <w:r w:rsidR="00113F20" w:rsidRPr="00C608A6">
        <w:t xml:space="preserve"> liaison montante et </w:t>
      </w:r>
      <w:r w:rsidR="00F118AA" w:rsidRPr="00C608A6">
        <w:t xml:space="preserve">la liaison </w:t>
      </w:r>
      <w:r w:rsidR="00113F20" w:rsidRPr="00C608A6">
        <w:t xml:space="preserve">descendante </w:t>
      </w:r>
      <w:r w:rsidRPr="00C608A6">
        <w:t xml:space="preserve">(epfd↑ et epfd↓) </w:t>
      </w:r>
      <w:r w:rsidR="00113F20" w:rsidRPr="00C608A6">
        <w:t xml:space="preserve">qui ont été adoptées en 1997 et 2000. Les systèmes non OSG et les réseaux OSG </w:t>
      </w:r>
      <w:r w:rsidR="00C62633" w:rsidRPr="00C608A6">
        <w:t>d'aujourd'hui</w:t>
      </w:r>
      <w:r w:rsidR="00113F20" w:rsidRPr="00C608A6">
        <w:t xml:space="preserve"> ont évolué </w:t>
      </w:r>
      <w:r w:rsidR="00C62633" w:rsidRPr="00C608A6">
        <w:t>sur le plan de la</w:t>
      </w:r>
      <w:r w:rsidR="00113F20" w:rsidRPr="00C608A6">
        <w:t xml:space="preserve"> conception et de</w:t>
      </w:r>
      <w:r w:rsidR="00C62633" w:rsidRPr="00C608A6">
        <w:t>s</w:t>
      </w:r>
      <w:r w:rsidR="00113F20" w:rsidRPr="00C608A6">
        <w:t xml:space="preserve"> capacités opérationnelles par rapport aux systèmes considérés </w:t>
      </w:r>
      <w:r w:rsidR="00C62633" w:rsidRPr="00C608A6">
        <w:t>aux fins</w:t>
      </w:r>
      <w:r w:rsidR="00113F20" w:rsidRPr="00C608A6">
        <w:t xml:space="preserve"> de l</w:t>
      </w:r>
      <w:r w:rsidRPr="00C608A6">
        <w:t>'</w:t>
      </w:r>
      <w:r w:rsidR="00113F20" w:rsidRPr="00C608A6">
        <w:t xml:space="preserve">élaboration </w:t>
      </w:r>
      <w:r w:rsidR="00F118AA" w:rsidRPr="00C608A6">
        <w:t>des l</w:t>
      </w:r>
      <w:r w:rsidR="00113F20" w:rsidRPr="00C608A6">
        <w:t>imites d</w:t>
      </w:r>
      <w:r w:rsidRPr="00C608A6">
        <w:t>'</w:t>
      </w:r>
      <w:r w:rsidR="00113F20" w:rsidRPr="00C608A6">
        <w:t xml:space="preserve">epfd </w:t>
      </w:r>
      <w:r w:rsidR="00F118AA" w:rsidRPr="00C608A6">
        <w:t xml:space="preserve">figurant dans l'Article </w:t>
      </w:r>
      <w:r w:rsidR="00F118AA" w:rsidRPr="00C608A6">
        <w:rPr>
          <w:b/>
          <w:bCs/>
        </w:rPr>
        <w:t>22</w:t>
      </w:r>
      <w:r w:rsidR="00F118AA" w:rsidRPr="00C608A6">
        <w:t xml:space="preserve">, </w:t>
      </w:r>
      <w:r w:rsidR="00113F20" w:rsidRPr="00C608A6">
        <w:t>il y a près de vingt-cinq ans. Depuis la CMR-2000, les systèmes non OSG de prochaine génération ont également bénéficié d</w:t>
      </w:r>
      <w:r w:rsidRPr="00C608A6">
        <w:t>'</w:t>
      </w:r>
      <w:r w:rsidR="00113F20" w:rsidRPr="00C608A6">
        <w:t>améliorations technologiques</w:t>
      </w:r>
      <w:r w:rsidR="00F118AA" w:rsidRPr="00C608A6">
        <w:t>,</w:t>
      </w:r>
      <w:r w:rsidR="00113F20" w:rsidRPr="00C608A6">
        <w:t xml:space="preserve"> telles que les </w:t>
      </w:r>
      <w:r w:rsidR="00F118AA" w:rsidRPr="00C608A6">
        <w:t>mécanismes</w:t>
      </w:r>
      <w:r w:rsidR="00113F20" w:rsidRPr="00C608A6">
        <w:t xml:space="preserve"> de codage et de modulation adaptatifs, le traitement </w:t>
      </w:r>
      <w:r w:rsidR="00C62633" w:rsidRPr="00C608A6">
        <w:t>du signal à bord</w:t>
      </w:r>
      <w:r w:rsidR="00113F20" w:rsidRPr="00C608A6">
        <w:t>, les antennes</w:t>
      </w:r>
      <w:r w:rsidR="008B1F19" w:rsidRPr="00C608A6">
        <w:noBreakHyphen/>
      </w:r>
      <w:r w:rsidR="00113F20" w:rsidRPr="00C608A6">
        <w:t>réseau à commande de phase et la commande de puissance</w:t>
      </w:r>
      <w:r w:rsidR="00C62633" w:rsidRPr="00C608A6">
        <w:t xml:space="preserve"> adaptative</w:t>
      </w:r>
      <w:r w:rsidR="00113F20" w:rsidRPr="00C608A6">
        <w:t xml:space="preserve">. En outre, nos connaissances sur le fonctionnement </w:t>
      </w:r>
      <w:r w:rsidR="00C62633" w:rsidRPr="00C608A6">
        <w:t>concret</w:t>
      </w:r>
      <w:r w:rsidR="00113F20" w:rsidRPr="00C608A6">
        <w:t xml:space="preserve"> des systèmes non OSG ont considérablement </w:t>
      </w:r>
      <w:r w:rsidR="00C62633" w:rsidRPr="00C608A6">
        <w:t>évolué</w:t>
      </w:r>
      <w:r w:rsidR="00113F20" w:rsidRPr="00C608A6">
        <w:t xml:space="preserve"> depuis</w:t>
      </w:r>
      <w:r w:rsidR="00C62633" w:rsidRPr="00C608A6">
        <w:t xml:space="preserve"> cette époque</w:t>
      </w:r>
      <w:r w:rsidR="00113F20" w:rsidRPr="00C608A6">
        <w:t>.</w:t>
      </w:r>
    </w:p>
    <w:p w14:paraId="5509AA19" w14:textId="06918377" w:rsidR="00113F20" w:rsidRPr="00C608A6" w:rsidRDefault="00C62633" w:rsidP="00113F20">
      <w:r w:rsidRPr="00C608A6">
        <w:t xml:space="preserve">Il n'a pas été jugé nécessaire de </w:t>
      </w:r>
      <w:r w:rsidR="00113F20" w:rsidRPr="00C608A6">
        <w:t xml:space="preserve">mettre en </w:t>
      </w:r>
      <w:r w:rsidRPr="00C608A6">
        <w:t>œuvre</w:t>
      </w:r>
      <w:r w:rsidR="00113F20" w:rsidRPr="00C608A6">
        <w:t xml:space="preserve"> des </w:t>
      </w:r>
      <w:r w:rsidRPr="00C608A6">
        <w:t>mécanismes</w:t>
      </w:r>
      <w:r w:rsidR="00113F20" w:rsidRPr="00C608A6">
        <w:t xml:space="preserve"> de codage et de modulation adaptatifs</w:t>
      </w:r>
      <w:r w:rsidRPr="00C608A6">
        <w:t xml:space="preserve"> pour les réseaux du SRS</w:t>
      </w:r>
      <w:r w:rsidR="00AF1541" w:rsidRPr="00C608A6">
        <w:t xml:space="preserve"> OSG</w:t>
      </w:r>
      <w:r w:rsidR="00113F20" w:rsidRPr="00C608A6">
        <w:t>. Les limites d</w:t>
      </w:r>
      <w:r w:rsidR="001C57AB" w:rsidRPr="00C608A6">
        <w:t>'</w:t>
      </w:r>
      <w:r w:rsidR="00113F20" w:rsidRPr="00C608A6">
        <w:t xml:space="preserve">epfd ont été définies sur la base des caractéristiques du système </w:t>
      </w:r>
      <w:r w:rsidRPr="00C608A6">
        <w:t>brouillé</w:t>
      </w:r>
      <w:r w:rsidR="00113F20" w:rsidRPr="00C608A6">
        <w:t xml:space="preserve"> qui </w:t>
      </w:r>
      <w:r w:rsidRPr="00C608A6">
        <w:t>devait bénéficier d'</w:t>
      </w:r>
      <w:r w:rsidR="00113F20" w:rsidRPr="00C608A6">
        <w:t xml:space="preserve">une protection. Toutefois, les études </w:t>
      </w:r>
      <w:r w:rsidRPr="00C608A6">
        <w:t>menées par</w:t>
      </w:r>
      <w:r w:rsidR="00113F20" w:rsidRPr="00C608A6">
        <w:t xml:space="preserve"> l</w:t>
      </w:r>
      <w:r w:rsidR="001C57AB" w:rsidRPr="00C608A6">
        <w:t>'</w:t>
      </w:r>
      <w:r w:rsidR="00113F20" w:rsidRPr="00C608A6">
        <w:t>UIT-R ont montré qu</w:t>
      </w:r>
      <w:r w:rsidR="001C57AB" w:rsidRPr="00C608A6">
        <w:t>'</w:t>
      </w:r>
      <w:r w:rsidR="00113F20" w:rsidRPr="00C608A6">
        <w:t xml:space="preserve">il </w:t>
      </w:r>
      <w:r w:rsidRPr="00C608A6">
        <w:t>était</w:t>
      </w:r>
      <w:r w:rsidR="00113F20" w:rsidRPr="00C608A6">
        <w:t xml:space="preserve"> difficile de définir un gabarit d</w:t>
      </w:r>
      <w:r w:rsidR="001C57AB" w:rsidRPr="00C608A6">
        <w:t>'</w:t>
      </w:r>
      <w:r w:rsidR="00113F20" w:rsidRPr="00C608A6">
        <w:t>epfd qui permettrait à tous les systèmes non OSG (</w:t>
      </w:r>
      <w:r w:rsidRPr="00C608A6">
        <w:t>en orbite terrestre basse (</w:t>
      </w:r>
      <w:r w:rsidR="00113F20" w:rsidRPr="00C608A6">
        <w:t>LEO</w:t>
      </w:r>
      <w:r w:rsidRPr="00C608A6">
        <w:t>)</w:t>
      </w:r>
      <w:r w:rsidR="00113F20" w:rsidRPr="00C608A6">
        <w:t xml:space="preserve"> et</w:t>
      </w:r>
      <w:r w:rsidRPr="00C608A6">
        <w:t xml:space="preserve"> en orbite terrestre moyenne</w:t>
      </w:r>
      <w:r w:rsidR="00113F20" w:rsidRPr="00C608A6">
        <w:t xml:space="preserve"> </w:t>
      </w:r>
      <w:r w:rsidRPr="00C608A6">
        <w:t>(</w:t>
      </w:r>
      <w:r w:rsidR="00113F20" w:rsidRPr="00C608A6">
        <w:t>MEO)</w:t>
      </w:r>
      <w:r w:rsidRPr="00C608A6">
        <w:t>)</w:t>
      </w:r>
      <w:r w:rsidR="00113F20" w:rsidRPr="00C608A6">
        <w:t xml:space="preserve"> de fonctionner et de respecter les critères de protection </w:t>
      </w:r>
      <w:r w:rsidRPr="00C608A6">
        <w:t>établis</w:t>
      </w:r>
      <w:r w:rsidR="00113F20" w:rsidRPr="00C608A6">
        <w:t xml:space="preserve"> dans la Recommandation UIT-R</w:t>
      </w:r>
      <w:r w:rsidR="008B1F19" w:rsidRPr="00C608A6">
        <w:t xml:space="preserve"> </w:t>
      </w:r>
      <w:r w:rsidR="00113F20" w:rsidRPr="00C608A6">
        <w:t>S.1323. Si un gabarit d</w:t>
      </w:r>
      <w:r w:rsidR="001C57AB" w:rsidRPr="00C608A6">
        <w:t>'</w:t>
      </w:r>
      <w:r w:rsidR="00113F20" w:rsidRPr="00C608A6">
        <w:t>epfd était élaboré pour l</w:t>
      </w:r>
      <w:r w:rsidR="001C57AB" w:rsidRPr="00C608A6">
        <w:t>'</w:t>
      </w:r>
      <w:r w:rsidR="00113F20" w:rsidRPr="00C608A6">
        <w:t>exploitation d</w:t>
      </w:r>
      <w:r w:rsidR="001C57AB" w:rsidRPr="00C608A6">
        <w:t>'</w:t>
      </w:r>
      <w:r w:rsidR="00113F20" w:rsidRPr="00C608A6">
        <w:t xml:space="preserve">un système du SFS </w:t>
      </w:r>
      <w:r w:rsidR="00AF1541" w:rsidRPr="00C608A6">
        <w:t xml:space="preserve">non OSG </w:t>
      </w:r>
      <w:r w:rsidRPr="00C608A6">
        <w:t xml:space="preserve">en </w:t>
      </w:r>
      <w:r w:rsidR="00113F20" w:rsidRPr="00C608A6">
        <w:t xml:space="preserve">particulier, avec des paramètres techniques et des caractéristiques orbitales spécifiques, </w:t>
      </w:r>
      <w:r w:rsidRPr="00C608A6">
        <w:t xml:space="preserve">il pourrait être difficile, pour </w:t>
      </w:r>
      <w:r w:rsidR="00113F20" w:rsidRPr="00C608A6">
        <w:t xml:space="preserve">un autre système du SFS </w:t>
      </w:r>
      <w:r w:rsidR="00AF1541" w:rsidRPr="00C608A6">
        <w:t xml:space="preserve">non OSG </w:t>
      </w:r>
      <w:r w:rsidRPr="00C608A6">
        <w:t>de</w:t>
      </w:r>
      <w:r w:rsidR="00113F20" w:rsidRPr="00C608A6">
        <w:t xml:space="preserve"> satisfaire aux exigences de ce gabarit tout en protégeant l</w:t>
      </w:r>
      <w:r w:rsidRPr="00C608A6">
        <w:t xml:space="preserve">es systèmes </w:t>
      </w:r>
      <w:r w:rsidR="00113F20" w:rsidRPr="00C608A6">
        <w:t xml:space="preserve">OSG. Il en résulte une utilisation inefficace des ressources spectrales. </w:t>
      </w:r>
      <w:r w:rsidRPr="00C608A6">
        <w:t>Les d</w:t>
      </w:r>
      <w:r w:rsidR="00113F20" w:rsidRPr="00C608A6">
        <w:t xml:space="preserve">ifférents systèmes du SFS </w:t>
      </w:r>
      <w:r w:rsidR="00AF1541" w:rsidRPr="00C608A6">
        <w:t xml:space="preserve">non OSG </w:t>
      </w:r>
      <w:r w:rsidR="00113F20" w:rsidRPr="00C608A6">
        <w:t>(</w:t>
      </w:r>
      <w:r w:rsidRPr="00C608A6">
        <w:t xml:space="preserve">c'est-à-dire les systèmes en </w:t>
      </w:r>
      <w:r w:rsidR="00113F20" w:rsidRPr="00C608A6">
        <w:t xml:space="preserve">orbite LEO ou MEO) donneront lieu à différents profils de brouillage sur les liaisons </w:t>
      </w:r>
      <w:r w:rsidR="0007069A" w:rsidRPr="00C608A6">
        <w:t>de satellites OSG</w:t>
      </w:r>
      <w:r w:rsidR="00113F20" w:rsidRPr="00C608A6">
        <w:t xml:space="preserve">. </w:t>
      </w:r>
      <w:r w:rsidRPr="00C608A6">
        <w:t xml:space="preserve">Dans ce contexte, </w:t>
      </w:r>
      <w:r w:rsidR="00113F20" w:rsidRPr="00C608A6">
        <w:t>il est important de veiller à ce que les caractéristiques des systèmes non OSG brouilleurs soient prises en considération lors de l</w:t>
      </w:r>
      <w:r w:rsidR="001C57AB" w:rsidRPr="00C608A6">
        <w:t>'</w:t>
      </w:r>
      <w:r w:rsidR="00113F20" w:rsidRPr="00C608A6">
        <w:t xml:space="preserve">étude et de la définition des critères de protection contre les brouillages </w:t>
      </w:r>
      <w:r w:rsidR="00D82FA0" w:rsidRPr="00C608A6">
        <w:t>produits</w:t>
      </w:r>
      <w:r w:rsidR="00113F20" w:rsidRPr="00C608A6">
        <w:t xml:space="preserve"> par une </w:t>
      </w:r>
      <w:r w:rsidR="00D82FA0" w:rsidRPr="00C608A6">
        <w:t xml:space="preserve">seule </w:t>
      </w:r>
      <w:r w:rsidR="00113F20" w:rsidRPr="00C608A6">
        <w:t xml:space="preserve">source </w:t>
      </w:r>
      <w:r w:rsidR="00D82FA0" w:rsidRPr="00C608A6">
        <w:t xml:space="preserve">et les </w:t>
      </w:r>
      <w:r w:rsidR="00113F20" w:rsidRPr="00C608A6">
        <w:t>brouillages cumulatifs.</w:t>
      </w:r>
    </w:p>
    <w:p w14:paraId="6ECF640F" w14:textId="5655ED65" w:rsidR="00113F20" w:rsidRPr="00C608A6" w:rsidRDefault="00113F20" w:rsidP="00113F20">
      <w:r w:rsidRPr="00C608A6">
        <w:t>Certaines de ces technologies font actuellement l</w:t>
      </w:r>
      <w:r w:rsidR="001C57AB" w:rsidRPr="00C608A6">
        <w:t>'</w:t>
      </w:r>
      <w:r w:rsidRPr="00C608A6">
        <w:t>objet d</w:t>
      </w:r>
      <w:r w:rsidR="001C57AB" w:rsidRPr="00C608A6">
        <w:t>'</w:t>
      </w:r>
      <w:r w:rsidRPr="00C608A6">
        <w:t>études au sein de l</w:t>
      </w:r>
      <w:r w:rsidR="001C57AB" w:rsidRPr="00C608A6">
        <w:t>'</w:t>
      </w:r>
      <w:r w:rsidRPr="00C608A6">
        <w:t xml:space="preserve">UIT-R. </w:t>
      </w:r>
      <w:r w:rsidR="004B3262" w:rsidRPr="00C608A6">
        <w:t>L'une des évolutions majeures d</w:t>
      </w:r>
      <w:r w:rsidRPr="00C608A6">
        <w:t>epuis la CMR-2000</w:t>
      </w:r>
      <w:r w:rsidR="004B3262" w:rsidRPr="00C608A6">
        <w:t xml:space="preserve"> est l'augmentation considérable du </w:t>
      </w:r>
      <w:r w:rsidRPr="00C608A6">
        <w:t xml:space="preserve">nombre </w:t>
      </w:r>
      <w:r w:rsidR="004B3262" w:rsidRPr="00C608A6">
        <w:t xml:space="preserve">de </w:t>
      </w:r>
      <w:r w:rsidRPr="00C608A6">
        <w:t xml:space="preserve">fiches de notification de systèmes non OSG et </w:t>
      </w:r>
      <w:r w:rsidR="004B3262" w:rsidRPr="00C608A6">
        <w:t>du</w:t>
      </w:r>
      <w:r w:rsidRPr="00C608A6">
        <w:t xml:space="preserve"> nombre de satellites par fiche de notification. L</w:t>
      </w:r>
      <w:r w:rsidR="00F213F2" w:rsidRPr="00C608A6">
        <w:t xml:space="preserve">es </w:t>
      </w:r>
      <w:r w:rsidRPr="00C608A6">
        <w:t>incidence</w:t>
      </w:r>
      <w:r w:rsidR="00F213F2" w:rsidRPr="00C608A6">
        <w:t>s</w:t>
      </w:r>
      <w:r w:rsidRPr="00C608A6">
        <w:t xml:space="preserve"> relative</w:t>
      </w:r>
      <w:r w:rsidR="00F213F2" w:rsidRPr="00C608A6">
        <w:t>s</w:t>
      </w:r>
      <w:r w:rsidRPr="00C608A6">
        <w:t xml:space="preserve"> à la répartition des brouillages cumulatifs causés par les réseaux non OSG aux réseaux OSG </w:t>
      </w:r>
      <w:r w:rsidR="003D373F" w:rsidRPr="00C608A6">
        <w:t>ont</w:t>
      </w:r>
      <w:r w:rsidRPr="00C608A6">
        <w:t xml:space="preserve"> également fait l</w:t>
      </w:r>
      <w:r w:rsidR="001C57AB" w:rsidRPr="00C608A6">
        <w:t>'</w:t>
      </w:r>
      <w:r w:rsidRPr="00C608A6">
        <w:t>objet d</w:t>
      </w:r>
      <w:r w:rsidR="001C57AB" w:rsidRPr="00C608A6">
        <w:t>'</w:t>
      </w:r>
      <w:r w:rsidRPr="00C608A6">
        <w:t xml:space="preserve">études </w:t>
      </w:r>
      <w:r w:rsidR="003D373F" w:rsidRPr="00C608A6">
        <w:t>au sein de</w:t>
      </w:r>
      <w:r w:rsidRPr="00C608A6">
        <w:t xml:space="preserve"> l</w:t>
      </w:r>
      <w:r w:rsidR="001C57AB" w:rsidRPr="00C608A6">
        <w:t>'</w:t>
      </w:r>
      <w:r w:rsidRPr="00C608A6">
        <w:t>UIT-R et n</w:t>
      </w:r>
      <w:r w:rsidR="001C57AB" w:rsidRPr="00C608A6">
        <w:t>'</w:t>
      </w:r>
      <w:r w:rsidR="003D373F" w:rsidRPr="00C608A6">
        <w:t>ont</w:t>
      </w:r>
      <w:r w:rsidRPr="00C608A6">
        <w:t xml:space="preserve"> pas encore été résolue</w:t>
      </w:r>
      <w:r w:rsidR="003D373F" w:rsidRPr="00C608A6">
        <w:t>s</w:t>
      </w:r>
      <w:r w:rsidRPr="00C608A6">
        <w:t>.</w:t>
      </w:r>
    </w:p>
    <w:p w14:paraId="253E91A1" w14:textId="176D32AA" w:rsidR="00113F20" w:rsidRPr="00C608A6" w:rsidRDefault="00113F20" w:rsidP="00113F20">
      <w:r w:rsidRPr="00C608A6">
        <w:t>En ce qui concerne le respect des limites actuelles, l</w:t>
      </w:r>
      <w:r w:rsidR="001C57AB" w:rsidRPr="00C608A6">
        <w:t>'</w:t>
      </w:r>
      <w:r w:rsidRPr="00C608A6">
        <w:t>augmentation récente du nombre de systèmes du SFS</w:t>
      </w:r>
      <w:r w:rsidR="0007069A" w:rsidRPr="00C608A6">
        <w:t xml:space="preserve"> non OSG</w:t>
      </w:r>
      <w:r w:rsidRPr="00C608A6">
        <w:t xml:space="preserve">, en particulier de grandes constellations, a </w:t>
      </w:r>
      <w:r w:rsidR="003D373F" w:rsidRPr="00C608A6">
        <w:t xml:space="preserve">compliqué la tâche du </w:t>
      </w:r>
      <w:r w:rsidRPr="00C608A6">
        <w:t xml:space="preserve">Bureau des radiocommunications </w:t>
      </w:r>
      <w:r w:rsidR="0007069A" w:rsidRPr="00C608A6">
        <w:t>en vue d'examiner le</w:t>
      </w:r>
      <w:r w:rsidRPr="00C608A6">
        <w:t xml:space="preserve"> respect des limites pour une seule source de brouillage figurant dans l</w:t>
      </w:r>
      <w:r w:rsidR="001C57AB" w:rsidRPr="00C608A6">
        <w:t>'</w:t>
      </w:r>
      <w:r w:rsidR="000A56D5" w:rsidRPr="00C608A6">
        <w:t>A</w:t>
      </w:r>
      <w:r w:rsidRPr="00C608A6">
        <w:t xml:space="preserve">rticle </w:t>
      </w:r>
      <w:r w:rsidRPr="00C608A6">
        <w:rPr>
          <w:b/>
          <w:bCs/>
        </w:rPr>
        <w:t>22</w:t>
      </w:r>
      <w:r w:rsidRPr="00C608A6">
        <w:t xml:space="preserve"> </w:t>
      </w:r>
      <w:r w:rsidR="003D373F" w:rsidRPr="00C608A6">
        <w:t xml:space="preserve">du RR, </w:t>
      </w:r>
      <w:r w:rsidRPr="00C608A6">
        <w:t xml:space="preserve">en raison de problèmes </w:t>
      </w:r>
      <w:r w:rsidR="003D373F" w:rsidRPr="00C608A6">
        <w:t>liés à la</w:t>
      </w:r>
      <w:r w:rsidRPr="00C608A6">
        <w:t xml:space="preserve"> modélisation de ces constellations. En outre, les systèmes du SFS </w:t>
      </w:r>
      <w:r w:rsidR="0007069A" w:rsidRPr="00C608A6">
        <w:t xml:space="preserve">non OSG </w:t>
      </w:r>
      <w:r w:rsidR="00406A0D" w:rsidRPr="00C608A6">
        <w:t>font souvent l'objet</w:t>
      </w:r>
      <w:r w:rsidRPr="00C608A6">
        <w:t xml:space="preserve"> de plusieurs fiches de notification de l</w:t>
      </w:r>
      <w:r w:rsidR="001C57AB" w:rsidRPr="00C608A6">
        <w:t>'</w:t>
      </w:r>
      <w:r w:rsidRPr="00C608A6">
        <w:t>UIT, de sorte que l</w:t>
      </w:r>
      <w:r w:rsidR="001C57AB" w:rsidRPr="00C608A6">
        <w:t>'</w:t>
      </w:r>
      <w:r w:rsidRPr="00C608A6">
        <w:t xml:space="preserve">examen </w:t>
      </w:r>
      <w:r w:rsidR="00AA54CA" w:rsidRPr="00C608A6">
        <w:t xml:space="preserve">individuel des </w:t>
      </w:r>
      <w:r w:rsidRPr="00C608A6">
        <w:t>fiches de notification ne rend pas pleinement compte de l</w:t>
      </w:r>
      <w:r w:rsidR="001C57AB" w:rsidRPr="00C608A6">
        <w:t>'</w:t>
      </w:r>
      <w:r w:rsidRPr="00C608A6">
        <w:t xml:space="preserve">ensemble du système du SFS </w:t>
      </w:r>
      <w:r w:rsidR="0007069A" w:rsidRPr="00C608A6">
        <w:t xml:space="preserve">non OSG </w:t>
      </w:r>
      <w:r w:rsidRPr="00C608A6">
        <w:t xml:space="preserve">ni de </w:t>
      </w:r>
      <w:r w:rsidR="00AA54CA" w:rsidRPr="00C608A6">
        <w:t xml:space="preserve">ses </w:t>
      </w:r>
      <w:r w:rsidRPr="00C608A6">
        <w:t>incidence</w:t>
      </w:r>
      <w:r w:rsidR="00AA54CA" w:rsidRPr="00C608A6">
        <w:t>s</w:t>
      </w:r>
      <w:r w:rsidRPr="00C608A6">
        <w:t xml:space="preserve"> sur les réseaux OSG. En outre, </w:t>
      </w:r>
      <w:r w:rsidR="00C863F0" w:rsidRPr="00C608A6">
        <w:t xml:space="preserve">compte tenu de </w:t>
      </w:r>
      <w:r w:rsidRPr="00C608A6">
        <w:t>l</w:t>
      </w:r>
      <w:r w:rsidR="001C57AB" w:rsidRPr="00C608A6">
        <w:t>'</w:t>
      </w:r>
      <w:r w:rsidRPr="00C608A6">
        <w:t xml:space="preserve">absence de méthodes, notamment </w:t>
      </w:r>
      <w:r w:rsidR="00AA54CA" w:rsidRPr="00C608A6">
        <w:t>pour</w:t>
      </w:r>
      <w:r w:rsidRPr="00C608A6">
        <w:t xml:space="preserve"> modéliser avec précision les systèmes non OSG, les réunions de consultation demandées dans la Résolution</w:t>
      </w:r>
      <w:r w:rsidRPr="00C608A6">
        <w:rPr>
          <w:b/>
          <w:bCs/>
        </w:rPr>
        <w:t xml:space="preserve"> 76</w:t>
      </w:r>
      <w:r w:rsidRPr="00C608A6">
        <w:t xml:space="preserve"> </w:t>
      </w:r>
      <w:r w:rsidRPr="00C608A6">
        <w:rPr>
          <w:b/>
          <w:bCs/>
        </w:rPr>
        <w:t>(Rév.CMR-15)</w:t>
      </w:r>
      <w:r w:rsidRPr="00C608A6">
        <w:t xml:space="preserve"> pour garantir le respect des limites d</w:t>
      </w:r>
      <w:r w:rsidR="001C57AB" w:rsidRPr="00C608A6">
        <w:t>'</w:t>
      </w:r>
      <w:r w:rsidRPr="00C608A6">
        <w:t>epfd cumulative pour protéger les réseaux OSG</w:t>
      </w:r>
      <w:r w:rsidR="00C863F0" w:rsidRPr="00C608A6">
        <w:t xml:space="preserve"> n'ont pas été organisées</w:t>
      </w:r>
      <w:r w:rsidRPr="00C608A6">
        <w:t xml:space="preserve">. Cette situation </w:t>
      </w:r>
      <w:r w:rsidR="00C863F0" w:rsidRPr="00C608A6">
        <w:t>est source d'</w:t>
      </w:r>
      <w:r w:rsidRPr="00C608A6">
        <w:t>incertitude</w:t>
      </w:r>
      <w:r w:rsidR="00C863F0" w:rsidRPr="00C608A6">
        <w:t>s</w:t>
      </w:r>
      <w:r w:rsidRPr="00C608A6">
        <w:t xml:space="preserve"> quant à la protection des réseaux OSG.</w:t>
      </w:r>
    </w:p>
    <w:p w14:paraId="6C65A2D4" w14:textId="676FE73C" w:rsidR="00113F20" w:rsidRPr="00C608A6" w:rsidRDefault="00113F20" w:rsidP="00113F20">
      <w:r w:rsidRPr="00C608A6">
        <w:t>Compte tenu de l</w:t>
      </w:r>
      <w:r w:rsidR="001C57AB" w:rsidRPr="00C608A6">
        <w:t>'</w:t>
      </w:r>
      <w:r w:rsidRPr="00C608A6">
        <w:t xml:space="preserve">importance des systèmes OSG et non OSG pour la mise en </w:t>
      </w:r>
      <w:r w:rsidR="00C863F0" w:rsidRPr="00C608A6">
        <w:t>œuvre</w:t>
      </w:r>
      <w:r w:rsidRPr="00C608A6">
        <w:t xml:space="preserve"> du SFS dans la fourniture de nombreux types de services et d</w:t>
      </w:r>
      <w:r w:rsidR="001C57AB" w:rsidRPr="00C608A6">
        <w:t>'</w:t>
      </w:r>
      <w:r w:rsidRPr="00C608A6">
        <w:t>applications, y compris la fourniture de services large bande à haut débit dans les zones rurales et isolées, il est impératif de vérifier si</w:t>
      </w:r>
      <w:r w:rsidR="002D43E9" w:rsidRPr="00C608A6">
        <w:t xml:space="preserve"> les</w:t>
      </w:r>
      <w:r w:rsidRPr="00C608A6">
        <w:t xml:space="preserve"> limites d</w:t>
      </w:r>
      <w:r w:rsidR="001C57AB" w:rsidRPr="00C608A6">
        <w:t>'</w:t>
      </w:r>
      <w:r w:rsidRPr="00C608A6">
        <w:t xml:space="preserve">epfd </w:t>
      </w:r>
      <w:r w:rsidR="00C863F0" w:rsidRPr="00C608A6">
        <w:t xml:space="preserve">existantes dans le numéro </w:t>
      </w:r>
      <w:r w:rsidR="00C863F0" w:rsidRPr="00C608A6">
        <w:rPr>
          <w:b/>
          <w:bCs/>
        </w:rPr>
        <w:t>22</w:t>
      </w:r>
      <w:r w:rsidR="00C863F0" w:rsidRPr="00C608A6">
        <w:t xml:space="preserve"> du RR </w:t>
      </w:r>
      <w:r w:rsidRPr="00C608A6">
        <w:t xml:space="preserve">sont appropriées pour permettre une utilisation efficace des ressources </w:t>
      </w:r>
      <w:r w:rsidR="00C863F0" w:rsidRPr="00C608A6">
        <w:t>orbitales et spectrales</w:t>
      </w:r>
      <w:r w:rsidRPr="00C608A6">
        <w:t xml:space="preserve"> dans les bandes de fréquences 14/11 GHz et 30/20 GHz tout en </w:t>
      </w:r>
      <w:r w:rsidR="0007069A" w:rsidRPr="00C608A6">
        <w:t xml:space="preserve">maintenant </w:t>
      </w:r>
      <w:r w:rsidRPr="00C608A6">
        <w:t xml:space="preserve">les obligations </w:t>
      </w:r>
      <w:r w:rsidR="00C863F0" w:rsidRPr="00C608A6">
        <w:t>établies</w:t>
      </w:r>
      <w:r w:rsidRPr="00C608A6">
        <w:t xml:space="preserve"> dans le numéro</w:t>
      </w:r>
      <w:r w:rsidR="00C863F0" w:rsidRPr="00C608A6">
        <w:t xml:space="preserve"> </w:t>
      </w:r>
      <w:r w:rsidRPr="00C608A6">
        <w:rPr>
          <w:b/>
          <w:bCs/>
        </w:rPr>
        <w:t>22.2</w:t>
      </w:r>
      <w:r w:rsidR="00C863F0" w:rsidRPr="00C608A6">
        <w:t xml:space="preserve"> du RR</w:t>
      </w:r>
      <w:r w:rsidRPr="00C608A6">
        <w:t>.</w:t>
      </w:r>
    </w:p>
    <w:p w14:paraId="12249AF3" w14:textId="0C2CFBBA" w:rsidR="00113F20" w:rsidRPr="00C608A6" w:rsidRDefault="00113F20" w:rsidP="00113F20">
      <w:r w:rsidRPr="00C608A6">
        <w:lastRenderedPageBreak/>
        <w:t>La proposition ci-après vise à inscrire un point à l</w:t>
      </w:r>
      <w:r w:rsidR="001C57AB" w:rsidRPr="00C608A6">
        <w:t>'</w:t>
      </w:r>
      <w:r w:rsidRPr="00C608A6">
        <w:t xml:space="preserve">ordre du jour de la CMR-27 pour étudier les dispositions réglementaires applicables aux bandes de fréquences au-dessous de 30 GHz </w:t>
      </w:r>
      <w:r w:rsidR="0007069A" w:rsidRPr="00C608A6">
        <w:t>dans les</w:t>
      </w:r>
      <w:r w:rsidR="00F56DB8" w:rsidRPr="00C608A6">
        <w:t>quelles les limites d'epfd de l'</w:t>
      </w:r>
      <w:r w:rsidRPr="00C608A6">
        <w:t xml:space="preserve">Article </w:t>
      </w:r>
      <w:r w:rsidRPr="00C608A6">
        <w:rPr>
          <w:b/>
          <w:bCs/>
        </w:rPr>
        <w:t>22</w:t>
      </w:r>
      <w:r w:rsidRPr="00C608A6">
        <w:t xml:space="preserve"> </w:t>
      </w:r>
      <w:r w:rsidR="00F56DB8" w:rsidRPr="00C608A6">
        <w:t xml:space="preserve">du RR </w:t>
      </w:r>
      <w:r w:rsidRPr="00C608A6">
        <w:t>s</w:t>
      </w:r>
      <w:r w:rsidR="001C57AB" w:rsidRPr="00C608A6">
        <w:t>'</w:t>
      </w:r>
      <w:r w:rsidRPr="00C608A6">
        <w:t>appliquent, l</w:t>
      </w:r>
      <w:r w:rsidR="001C57AB" w:rsidRPr="00C608A6">
        <w:t>'</w:t>
      </w:r>
      <w:r w:rsidRPr="00C608A6">
        <w:t>objectif étant d</w:t>
      </w:r>
      <w:r w:rsidR="001C57AB" w:rsidRPr="00C608A6">
        <w:t>'</w:t>
      </w:r>
      <w:r w:rsidRPr="00C608A6">
        <w:t xml:space="preserve">assurer la protection des réseaux du SFS et du SRS </w:t>
      </w:r>
      <w:r w:rsidR="0007069A" w:rsidRPr="00C608A6">
        <w:t xml:space="preserve">OSG </w:t>
      </w:r>
      <w:r w:rsidRPr="00C608A6">
        <w:t xml:space="preserve">contre les brouillages inacceptables causés par les systèmes du SFS </w:t>
      </w:r>
      <w:r w:rsidR="0007069A" w:rsidRPr="00C608A6">
        <w:t xml:space="preserve">non OSG </w:t>
      </w:r>
      <w:r w:rsidRPr="00C608A6">
        <w:t>de la manière la plus efficace</w:t>
      </w:r>
      <w:r w:rsidR="00F56DB8" w:rsidRPr="00C608A6">
        <w:t xml:space="preserve"> possible du point de vue du spectre</w:t>
      </w:r>
      <w:r w:rsidRPr="00C608A6">
        <w:t xml:space="preserve"> et d</w:t>
      </w:r>
      <w:r w:rsidR="001C57AB" w:rsidRPr="00C608A6">
        <w:t>'</w:t>
      </w:r>
      <w:r w:rsidRPr="00C608A6">
        <w:t>établir des moyens pour</w:t>
      </w:r>
      <w:r w:rsidR="0007069A" w:rsidRPr="00C608A6">
        <w:t xml:space="preserve"> faire en sorte</w:t>
      </w:r>
      <w:r w:rsidRPr="00C608A6">
        <w:t xml:space="preserve"> que les systèmes du SFS </w:t>
      </w:r>
      <w:r w:rsidR="0007069A" w:rsidRPr="00C608A6">
        <w:t xml:space="preserve">non OSG </w:t>
      </w:r>
      <w:r w:rsidRPr="00C608A6">
        <w:t>respectent les limites pour une seule source de brouillage et les limites cumulatives.</w:t>
      </w:r>
    </w:p>
    <w:p w14:paraId="6F2AD962" w14:textId="35A0BA2A" w:rsidR="00D04C49" w:rsidRPr="00C608A6" w:rsidRDefault="000B16E6" w:rsidP="00113F20">
      <w:r w:rsidRPr="00C608A6">
        <w:t>Les m</w:t>
      </w:r>
      <w:r w:rsidR="00113F20" w:rsidRPr="00C608A6">
        <w:t xml:space="preserve">odifications du numéro </w:t>
      </w:r>
      <w:r w:rsidR="00113F20" w:rsidRPr="00C608A6">
        <w:rPr>
          <w:b/>
          <w:bCs/>
        </w:rPr>
        <w:t>22.2</w:t>
      </w:r>
      <w:r w:rsidR="00113F20" w:rsidRPr="00C608A6">
        <w:t xml:space="preserve"> </w:t>
      </w:r>
      <w:r w:rsidRPr="00C608A6">
        <w:t xml:space="preserve">du RR n'entrent pas dans le </w:t>
      </w:r>
      <w:r w:rsidR="00113F20" w:rsidRPr="00C608A6">
        <w:t>cadre du nouveau point de l</w:t>
      </w:r>
      <w:r w:rsidR="001C57AB" w:rsidRPr="00C608A6">
        <w:t>'</w:t>
      </w:r>
      <w:r w:rsidR="00113F20" w:rsidRPr="00C608A6">
        <w:t>ordre du jour proposé</w:t>
      </w:r>
      <w:r w:rsidR="00173998" w:rsidRPr="00C608A6">
        <w:t>.</w:t>
      </w:r>
    </w:p>
    <w:p w14:paraId="5E16F24F" w14:textId="6AC8706A" w:rsidR="00D04C49" w:rsidRPr="00C608A6" w:rsidRDefault="00D04C49" w:rsidP="00D04C49">
      <w:pPr>
        <w:pStyle w:val="Headingb"/>
      </w:pPr>
      <w:r w:rsidRPr="00C608A6">
        <w:t>Propositions</w:t>
      </w:r>
    </w:p>
    <w:p w14:paraId="268D7D0F" w14:textId="6B42B261" w:rsidR="00D04C49" w:rsidRPr="00C608A6" w:rsidRDefault="00113F20" w:rsidP="00D04C49">
      <w:r w:rsidRPr="00C608A6">
        <w:t>La CITEL propose de mener et d</w:t>
      </w:r>
      <w:r w:rsidR="001C57AB" w:rsidRPr="00C608A6">
        <w:t>'</w:t>
      </w:r>
      <w:r w:rsidRPr="00C608A6">
        <w:t>achever</w:t>
      </w:r>
      <w:r w:rsidR="000B16E6" w:rsidRPr="00C608A6">
        <w:t>,</w:t>
      </w:r>
      <w:r w:rsidRPr="00C608A6">
        <w:t xml:space="preserve"> à temps pour la CMR-27, des études</w:t>
      </w:r>
      <w:r w:rsidR="000B16E6" w:rsidRPr="00C608A6">
        <w:t xml:space="preserve"> sur les</w:t>
      </w:r>
      <w:r w:rsidRPr="00C608A6">
        <w:t xml:space="preserve"> dispositions réglementaires actuelles, y compris des limites d</w:t>
      </w:r>
      <w:r w:rsidR="001C57AB" w:rsidRPr="00C608A6">
        <w:t>'</w:t>
      </w:r>
      <w:r w:rsidRPr="00C608A6">
        <w:t xml:space="preserve">epfd, applicables aux systèmes du SFS </w:t>
      </w:r>
      <w:r w:rsidR="0007069A" w:rsidRPr="00C608A6">
        <w:t xml:space="preserve">non OSG </w:t>
      </w:r>
      <w:r w:rsidRPr="00C608A6">
        <w:t xml:space="preserve">afin de protéger les réseaux du SFS et du SRS </w:t>
      </w:r>
      <w:r w:rsidR="0007069A" w:rsidRPr="00C608A6">
        <w:t xml:space="preserve">OSG </w:t>
      </w:r>
      <w:r w:rsidRPr="00C608A6">
        <w:t xml:space="preserve">contre les brouillages inacceptables causés </w:t>
      </w:r>
      <w:r w:rsidR="000B16E6" w:rsidRPr="00C608A6">
        <w:t xml:space="preserve">dans </w:t>
      </w:r>
      <w:r w:rsidRPr="00C608A6">
        <w:t>les parties des bandes de fréquences 3 700-4 200 MHz, 5 925-6 725 MHz, 10,7-14,5 GHz, 17,3</w:t>
      </w:r>
      <w:r w:rsidR="008B1F19" w:rsidRPr="00C608A6">
        <w:noBreakHyphen/>
      </w:r>
      <w:r w:rsidRPr="00C608A6">
        <w:t xml:space="preserve">20,2 GHz et 27,5-30 GHz </w:t>
      </w:r>
      <w:r w:rsidR="000B16E6" w:rsidRPr="00C608A6">
        <w:t>dans lesquelles les limites d'epfd de</w:t>
      </w:r>
      <w:r w:rsidRPr="00C608A6">
        <w:t xml:space="preserve"> l</w:t>
      </w:r>
      <w:r w:rsidR="001C57AB" w:rsidRPr="00C608A6">
        <w:t>'</w:t>
      </w:r>
      <w:r w:rsidRPr="00C608A6">
        <w:t xml:space="preserve">Article </w:t>
      </w:r>
      <w:r w:rsidRPr="00C608A6">
        <w:rPr>
          <w:b/>
          <w:bCs/>
        </w:rPr>
        <w:t>22</w:t>
      </w:r>
      <w:r w:rsidRPr="00C608A6">
        <w:t xml:space="preserve"> </w:t>
      </w:r>
      <w:r w:rsidR="000B16E6" w:rsidRPr="00C608A6">
        <w:t>du RR</w:t>
      </w:r>
      <w:r w:rsidRPr="00C608A6">
        <w:t xml:space="preserve"> s</w:t>
      </w:r>
      <w:r w:rsidR="001C57AB" w:rsidRPr="00C608A6">
        <w:t>'</w:t>
      </w:r>
      <w:r w:rsidRPr="00C608A6">
        <w:t xml:space="preserve">appliquent, </w:t>
      </w:r>
      <w:r w:rsidR="000B16E6" w:rsidRPr="00C608A6">
        <w:t>notamment via</w:t>
      </w:r>
      <w:r w:rsidRPr="00C608A6">
        <w:t xml:space="preserve"> l</w:t>
      </w:r>
      <w:r w:rsidR="001C57AB" w:rsidRPr="00C608A6">
        <w:t>'</w:t>
      </w:r>
      <w:r w:rsidRPr="00C608A6">
        <w:t>évaluation</w:t>
      </w:r>
      <w:r w:rsidR="000B16E6" w:rsidRPr="00C608A6">
        <w:t>,</w:t>
      </w:r>
      <w:r w:rsidRPr="00C608A6">
        <w:t xml:space="preserve"> par les administrations</w:t>
      </w:r>
      <w:r w:rsidR="000B16E6" w:rsidRPr="00C608A6">
        <w:t>,</w:t>
      </w:r>
      <w:r w:rsidRPr="00C608A6">
        <w:t xml:space="preserve"> des limites d</w:t>
      </w:r>
      <w:r w:rsidR="001C57AB" w:rsidRPr="00C608A6">
        <w:t>'</w:t>
      </w:r>
      <w:r w:rsidRPr="00C608A6">
        <w:t>epfd cumulative indiquées dans la Résolution</w:t>
      </w:r>
      <w:r w:rsidR="008B1F19" w:rsidRPr="00C608A6">
        <w:t> </w:t>
      </w:r>
      <w:r w:rsidRPr="00C608A6">
        <w:rPr>
          <w:b/>
          <w:bCs/>
        </w:rPr>
        <w:t>76 (Rév.CMR-15)</w:t>
      </w:r>
      <w:r w:rsidR="000B16E6" w:rsidRPr="00C608A6">
        <w:t xml:space="preserve"> </w:t>
      </w:r>
      <w:r w:rsidRPr="00C608A6">
        <w:t xml:space="preserve">et la mise en œuvre de ces dispositions réglementaires, sans modifier les </w:t>
      </w:r>
      <w:r w:rsidR="000B16E6" w:rsidRPr="00C608A6">
        <w:t>exigences</w:t>
      </w:r>
      <w:r w:rsidRPr="00C608A6">
        <w:t xml:space="preserve"> ou les conditions régissant la coordination au titre des numéros </w:t>
      </w:r>
      <w:r w:rsidRPr="00C608A6">
        <w:rPr>
          <w:b/>
          <w:bCs/>
        </w:rPr>
        <w:t>9.7A</w:t>
      </w:r>
      <w:r w:rsidRPr="00C608A6">
        <w:t xml:space="preserve"> </w:t>
      </w:r>
      <w:r w:rsidR="000B16E6" w:rsidRPr="00C608A6">
        <w:t>e</w:t>
      </w:r>
      <w:r w:rsidRPr="00C608A6">
        <w:t xml:space="preserve">t </w:t>
      </w:r>
      <w:r w:rsidRPr="00C608A6">
        <w:rPr>
          <w:b/>
          <w:bCs/>
        </w:rPr>
        <w:t>9</w:t>
      </w:r>
      <w:r w:rsidR="000B16E6" w:rsidRPr="00C608A6">
        <w:rPr>
          <w:b/>
          <w:bCs/>
        </w:rPr>
        <w:t>.</w:t>
      </w:r>
      <w:r w:rsidRPr="00C608A6">
        <w:rPr>
          <w:b/>
          <w:bCs/>
        </w:rPr>
        <w:t>7B</w:t>
      </w:r>
      <w:r w:rsidR="000B16E6" w:rsidRPr="00C608A6">
        <w:t xml:space="preserve"> du RR</w:t>
      </w:r>
      <w:r w:rsidRPr="00C608A6">
        <w:t xml:space="preserve">, dans le but de protéger les réseaux OSG conformément au numéro </w:t>
      </w:r>
      <w:r w:rsidRPr="00C608A6">
        <w:rPr>
          <w:b/>
          <w:bCs/>
        </w:rPr>
        <w:t>22.2</w:t>
      </w:r>
      <w:r w:rsidR="000B16E6" w:rsidRPr="00C608A6">
        <w:t xml:space="preserve"> du RR et d'</w:t>
      </w:r>
      <w:r w:rsidRPr="00C608A6">
        <w:t>améliorer l</w:t>
      </w:r>
      <w:r w:rsidR="001C57AB" w:rsidRPr="00C608A6">
        <w:t>'</w:t>
      </w:r>
      <w:r w:rsidRPr="00C608A6">
        <w:t>efficacité d</w:t>
      </w:r>
      <w:r w:rsidR="001C57AB" w:rsidRPr="00C608A6">
        <w:t>'</w:t>
      </w:r>
      <w:r w:rsidRPr="00C608A6">
        <w:t xml:space="preserve">utilisation des ressources spectrales. Sur la base des résultats des études </w:t>
      </w:r>
      <w:r w:rsidR="000B16E6" w:rsidRPr="00C608A6">
        <w:t>et en fonction des besoins</w:t>
      </w:r>
      <w:r w:rsidRPr="00C608A6">
        <w:t xml:space="preserve">, des modifications </w:t>
      </w:r>
      <w:r w:rsidR="000B16E6" w:rsidRPr="00C608A6">
        <w:t>pourront</w:t>
      </w:r>
      <w:r w:rsidRPr="00C608A6">
        <w:t xml:space="preserve"> être apportées aux dispositions réglementaires, y</w:t>
      </w:r>
      <w:r w:rsidR="008B1F19" w:rsidRPr="00C608A6">
        <w:t> </w:t>
      </w:r>
      <w:r w:rsidRPr="00C608A6">
        <w:t>compris aux limites d</w:t>
      </w:r>
      <w:r w:rsidR="001C57AB" w:rsidRPr="00C608A6">
        <w:t>'</w:t>
      </w:r>
      <w:r w:rsidRPr="00C608A6">
        <w:t xml:space="preserve">epfd, applicables aux systèmes du SFS </w:t>
      </w:r>
      <w:r w:rsidR="004E2019" w:rsidRPr="00C608A6">
        <w:t xml:space="preserve">non OSG </w:t>
      </w:r>
      <w:r w:rsidRPr="00C608A6">
        <w:t xml:space="preserve">afin de protéger les réseaux du SFS et du SRS </w:t>
      </w:r>
      <w:r w:rsidR="004E2019" w:rsidRPr="00C608A6">
        <w:t xml:space="preserve">OSG </w:t>
      </w:r>
      <w:r w:rsidRPr="00C608A6">
        <w:t>contre les brouillages inacceptables dans les parties des bandes de fréquences 3</w:t>
      </w:r>
      <w:r w:rsidR="00D66828" w:rsidRPr="00C608A6">
        <w:t> </w:t>
      </w:r>
      <w:r w:rsidRPr="00C608A6">
        <w:t xml:space="preserve">700-4 200 MHz, 5 925-6 725 MHz, 10,7-14,5 GHz, 17,3-20,2 GHz et 27,5-30 GHz </w:t>
      </w:r>
      <w:r w:rsidR="000B16E6" w:rsidRPr="00C608A6">
        <w:t xml:space="preserve">dans lesquelles </w:t>
      </w:r>
      <w:r w:rsidR="004E2019" w:rsidRPr="00C608A6">
        <w:t>les limites d'epfd</w:t>
      </w:r>
      <w:r w:rsidRPr="00C608A6">
        <w:t xml:space="preserve"> l</w:t>
      </w:r>
      <w:r w:rsidR="001C57AB" w:rsidRPr="00C608A6">
        <w:t>'</w:t>
      </w:r>
      <w:r w:rsidRPr="00C608A6">
        <w:t xml:space="preserve">Article </w:t>
      </w:r>
      <w:r w:rsidRPr="00C608A6">
        <w:rPr>
          <w:b/>
          <w:bCs/>
        </w:rPr>
        <w:t>22</w:t>
      </w:r>
      <w:r w:rsidRPr="00C608A6">
        <w:t xml:space="preserve"> </w:t>
      </w:r>
      <w:r w:rsidR="000B16E6" w:rsidRPr="00C608A6">
        <w:t xml:space="preserve">du RR </w:t>
      </w:r>
      <w:r w:rsidRPr="00C608A6">
        <w:t>s</w:t>
      </w:r>
      <w:r w:rsidR="001C57AB" w:rsidRPr="00C608A6">
        <w:t>'</w:t>
      </w:r>
      <w:r w:rsidRPr="00C608A6">
        <w:t xml:space="preserve">appliquent, ou </w:t>
      </w:r>
      <w:r w:rsidR="000B16E6" w:rsidRPr="00C608A6">
        <w:t>le</w:t>
      </w:r>
      <w:r w:rsidRPr="00C608A6">
        <w:t xml:space="preserve"> cadre d</w:t>
      </w:r>
      <w:r w:rsidR="001C57AB" w:rsidRPr="00C608A6">
        <w:t>'</w:t>
      </w:r>
      <w:r w:rsidRPr="00C608A6">
        <w:t xml:space="preserve">epfd </w:t>
      </w:r>
      <w:r w:rsidR="000B16E6" w:rsidRPr="00C608A6">
        <w:t xml:space="preserve">pourrait être remplacé </w:t>
      </w:r>
      <w:r w:rsidRPr="00C608A6">
        <w:t xml:space="preserve">par une autre approche et </w:t>
      </w:r>
      <w:r w:rsidR="000B16E6" w:rsidRPr="00C608A6">
        <w:t xml:space="preserve">au moyen de </w:t>
      </w:r>
      <w:r w:rsidRPr="00C608A6">
        <w:t>l</w:t>
      </w:r>
      <w:r w:rsidR="001C57AB" w:rsidRPr="00C608A6">
        <w:t>'</w:t>
      </w:r>
      <w:r w:rsidRPr="00C608A6">
        <w:t xml:space="preserve">élaboration de limites associées, sans </w:t>
      </w:r>
      <w:r w:rsidR="000B16E6" w:rsidRPr="00C608A6">
        <w:t xml:space="preserve">que le </w:t>
      </w:r>
      <w:r w:rsidRPr="00C608A6">
        <w:t>numéro</w:t>
      </w:r>
      <w:r w:rsidR="00D66828" w:rsidRPr="00C608A6">
        <w:t> </w:t>
      </w:r>
      <w:r w:rsidRPr="00C608A6">
        <w:rPr>
          <w:b/>
          <w:bCs/>
        </w:rPr>
        <w:t>22.2</w:t>
      </w:r>
      <w:r w:rsidR="000B16E6" w:rsidRPr="00C608A6">
        <w:t xml:space="preserve"> du RR ne soit modifié</w:t>
      </w:r>
      <w:r w:rsidR="00173998" w:rsidRPr="00C608A6">
        <w:t>.</w:t>
      </w:r>
    </w:p>
    <w:p w14:paraId="4C7CABA6" w14:textId="77777777" w:rsidR="0015203F" w:rsidRPr="00C608A6" w:rsidRDefault="0015203F">
      <w:pPr>
        <w:tabs>
          <w:tab w:val="clear" w:pos="1134"/>
          <w:tab w:val="clear" w:pos="1871"/>
          <w:tab w:val="clear" w:pos="2268"/>
        </w:tabs>
        <w:overflowPunct/>
        <w:autoSpaceDE/>
        <w:autoSpaceDN/>
        <w:adjustRightInd/>
        <w:spacing w:before="0"/>
        <w:textAlignment w:val="auto"/>
      </w:pPr>
      <w:r w:rsidRPr="00C608A6">
        <w:br w:type="page"/>
      </w:r>
    </w:p>
    <w:p w14:paraId="65D1CFB3" w14:textId="77777777" w:rsidR="00516281" w:rsidRPr="00C608A6" w:rsidRDefault="00243757">
      <w:pPr>
        <w:pStyle w:val="Proposal"/>
      </w:pPr>
      <w:r w:rsidRPr="00C608A6">
        <w:t>ADD</w:t>
      </w:r>
      <w:r w:rsidRPr="00C608A6">
        <w:tab/>
        <w:t>IAP/44A27A4/1</w:t>
      </w:r>
    </w:p>
    <w:p w14:paraId="3D1A0269" w14:textId="0485B7CB" w:rsidR="00516281" w:rsidRPr="00C608A6" w:rsidRDefault="00243757">
      <w:pPr>
        <w:pStyle w:val="ResNo"/>
      </w:pPr>
      <w:r w:rsidRPr="00C608A6">
        <w:t>Projet de nouvelle Résolution [IAP-</w:t>
      </w:r>
      <w:r w:rsidR="00D04C49" w:rsidRPr="00C608A6">
        <w:t>10-2027</w:t>
      </w:r>
      <w:r w:rsidRPr="00C608A6">
        <w:t>]</w:t>
      </w:r>
      <w:r w:rsidR="00D04C49" w:rsidRPr="00C608A6">
        <w:t xml:space="preserve"> (CMR-23)</w:t>
      </w:r>
    </w:p>
    <w:p w14:paraId="1450894F" w14:textId="4924DE0A" w:rsidR="00D04C49" w:rsidRPr="00C608A6" w:rsidRDefault="00D04C49" w:rsidP="00D04C49">
      <w:pPr>
        <w:pStyle w:val="Restitle"/>
        <w:rPr>
          <w:sz w:val="24"/>
          <w:lang w:eastAsia="en-GB"/>
        </w:rPr>
      </w:pPr>
      <w:r w:rsidRPr="00C608A6">
        <w:t>Ordre du jour de la Conférence mondiale des radiocommunications de 2027</w:t>
      </w:r>
    </w:p>
    <w:p w14:paraId="7219F909" w14:textId="25A3A1BD" w:rsidR="00D04C49" w:rsidRPr="00C608A6" w:rsidRDefault="00D04C49" w:rsidP="00D04C49">
      <w:pPr>
        <w:pStyle w:val="Normalaftertitle"/>
        <w:rPr>
          <w:lang w:eastAsia="en-GB"/>
        </w:rPr>
      </w:pPr>
      <w:r w:rsidRPr="00C608A6">
        <w:t>La Conférence mondiale des radiocommunications (Dubaï, 2023),</w:t>
      </w:r>
    </w:p>
    <w:p w14:paraId="29DB3DB4" w14:textId="3FE35C64" w:rsidR="00516281" w:rsidRPr="00C608A6" w:rsidRDefault="00D04C49" w:rsidP="00D04C49">
      <w:pPr>
        <w:pStyle w:val="Call"/>
        <w:rPr>
          <w:lang w:eastAsia="en-GB"/>
        </w:rPr>
      </w:pPr>
      <w:r w:rsidRPr="00C608A6">
        <w:t>considérant</w:t>
      </w:r>
    </w:p>
    <w:p w14:paraId="290EE932" w14:textId="5349F69F" w:rsidR="00D04C49" w:rsidRPr="00C608A6" w:rsidRDefault="00D04C49" w:rsidP="00D04C49">
      <w:pPr>
        <w:rPr>
          <w:lang w:eastAsia="en-GB"/>
        </w:rPr>
      </w:pPr>
      <w:r w:rsidRPr="00C608A6">
        <w:rPr>
          <w:i/>
          <w:iCs/>
        </w:rPr>
        <w:t>a)</w:t>
      </w:r>
      <w:r w:rsidRPr="00C608A6">
        <w:tab/>
        <w:t>que, conformément au numéro</w:t>
      </w:r>
      <w:r w:rsidR="00D66828" w:rsidRPr="00C608A6">
        <w:t xml:space="preserve"> </w:t>
      </w:r>
      <w:r w:rsidRPr="00C608A6">
        <w:t>118 de la Convention de l</w:t>
      </w:r>
      <w:r w:rsidR="001C57AB" w:rsidRPr="00C608A6">
        <w:t>'</w:t>
      </w:r>
      <w:r w:rsidRPr="00C608A6">
        <w:t>UIT, le cadre général de l</w:t>
      </w:r>
      <w:r w:rsidR="001C57AB" w:rsidRPr="00C608A6">
        <w:t>'</w:t>
      </w:r>
      <w:r w:rsidRPr="00C608A6">
        <w:t>ordre du jour d</w:t>
      </w:r>
      <w:r w:rsidR="001C57AB" w:rsidRPr="00C608A6">
        <w:t>'</w:t>
      </w:r>
      <w:r w:rsidRPr="00C608A6">
        <w:t>une Conférence mondiale des radiocommunications (CMR) devrait être fixé de quatre à six</w:t>
      </w:r>
      <w:r w:rsidR="00D66828" w:rsidRPr="00C608A6">
        <w:t xml:space="preserve"> </w:t>
      </w:r>
      <w:r w:rsidRPr="00C608A6">
        <w:t>ans à l</w:t>
      </w:r>
      <w:r w:rsidR="001C57AB" w:rsidRPr="00C608A6">
        <w:t>'</w:t>
      </w:r>
      <w:r w:rsidRPr="00C608A6">
        <w:t>avance et que l</w:t>
      </w:r>
      <w:r w:rsidR="001C57AB" w:rsidRPr="00C608A6">
        <w:t>'</w:t>
      </w:r>
      <w:r w:rsidRPr="00C608A6">
        <w:t>ordre du jour définitif est fixé par le Conseil de l</w:t>
      </w:r>
      <w:r w:rsidR="001C57AB" w:rsidRPr="00C608A6">
        <w:t>'</w:t>
      </w:r>
      <w:r w:rsidRPr="00C608A6">
        <w:t>UIT deux</w:t>
      </w:r>
      <w:r w:rsidR="00D66828" w:rsidRPr="00C608A6">
        <w:t> </w:t>
      </w:r>
      <w:r w:rsidRPr="00C608A6">
        <w:t>ans avant la conférence;</w:t>
      </w:r>
    </w:p>
    <w:p w14:paraId="3C14DD75" w14:textId="2D11F496" w:rsidR="00D04C49" w:rsidRPr="00C608A6" w:rsidRDefault="00D04C49" w:rsidP="00D04C49">
      <w:r w:rsidRPr="00C608A6">
        <w:rPr>
          <w:i/>
          <w:iCs/>
        </w:rPr>
        <w:t>b)</w:t>
      </w:r>
      <w:r w:rsidRPr="00C608A6">
        <w:tab/>
        <w:t>l</w:t>
      </w:r>
      <w:r w:rsidR="001C57AB" w:rsidRPr="00C608A6">
        <w:t>'</w:t>
      </w:r>
      <w:r w:rsidRPr="00C608A6">
        <w:t>article 13 de la Constitution de l</w:t>
      </w:r>
      <w:r w:rsidR="001C57AB" w:rsidRPr="00C608A6">
        <w:t>'</w:t>
      </w:r>
      <w:r w:rsidRPr="00C608A6">
        <w:t>UIT, concernant la compétence et la fréquence des CMR, et l</w:t>
      </w:r>
      <w:r w:rsidR="001C57AB" w:rsidRPr="00C608A6">
        <w:t>'</w:t>
      </w:r>
      <w:r w:rsidRPr="00C608A6">
        <w:t>article 7 de la Convention relatif à leur ordre du jour;</w:t>
      </w:r>
    </w:p>
    <w:p w14:paraId="0780B77C" w14:textId="5EA648BF" w:rsidR="00D04C49" w:rsidRPr="00C608A6" w:rsidRDefault="00D04C49" w:rsidP="00D04C49">
      <w:r w:rsidRPr="00C608A6">
        <w:rPr>
          <w:i/>
          <w:iCs/>
        </w:rPr>
        <w:t>c)</w:t>
      </w:r>
      <w:r w:rsidRPr="00C608A6">
        <w:tab/>
        <w:t>les résolutions et recommandations pertinentes des conférences administratives mondiales des radiocommunications (CAMR) et des CMR précédentes,</w:t>
      </w:r>
    </w:p>
    <w:p w14:paraId="003AF36E" w14:textId="77777777" w:rsidR="007B2F3A" w:rsidRPr="00C608A6" w:rsidRDefault="007B2F3A" w:rsidP="007B2F3A">
      <w:pPr>
        <w:pStyle w:val="Call"/>
        <w:rPr>
          <w:lang w:eastAsia="en-GB"/>
        </w:rPr>
      </w:pPr>
      <w:r w:rsidRPr="00C608A6">
        <w:t>reconnaissant</w:t>
      </w:r>
    </w:p>
    <w:p w14:paraId="70996952" w14:textId="6701C5C1" w:rsidR="007B2F3A" w:rsidRPr="00C608A6" w:rsidRDefault="007B2F3A" w:rsidP="007B2F3A">
      <w:r w:rsidRPr="00C608A6">
        <w:rPr>
          <w:i/>
          <w:iCs/>
        </w:rPr>
        <w:t>a)</w:t>
      </w:r>
      <w:r w:rsidRPr="00C608A6">
        <w:tab/>
        <w:t>que la présente Conférence a recensé un certain nombre de questions urgentes que la</w:t>
      </w:r>
      <w:r w:rsidR="00D66828" w:rsidRPr="00C608A6">
        <w:t xml:space="preserve"> </w:t>
      </w:r>
      <w:r w:rsidRPr="00C608A6">
        <w:t>CMR</w:t>
      </w:r>
      <w:r w:rsidR="00D66828" w:rsidRPr="00C608A6">
        <w:noBreakHyphen/>
      </w:r>
      <w:r w:rsidRPr="00C608A6">
        <w:t>27 devra examiner plus avant;</w:t>
      </w:r>
    </w:p>
    <w:p w14:paraId="486A6EFE" w14:textId="274DEB0F" w:rsidR="007B2F3A" w:rsidRPr="00C608A6" w:rsidRDefault="007B2F3A" w:rsidP="007B2F3A">
      <w:r w:rsidRPr="00C608A6">
        <w:rPr>
          <w:i/>
          <w:iCs/>
        </w:rPr>
        <w:t>b)</w:t>
      </w:r>
      <w:r w:rsidRPr="00C608A6">
        <w:tab/>
        <w:t>que, lors de l</w:t>
      </w:r>
      <w:r w:rsidR="001C57AB" w:rsidRPr="00C608A6">
        <w:t>'</w:t>
      </w:r>
      <w:r w:rsidRPr="00C608A6">
        <w:t>élaboration du présent ordre du jour, certains points proposés par des administrations n</w:t>
      </w:r>
      <w:r w:rsidR="001C57AB" w:rsidRPr="00C608A6">
        <w:t>'</w:t>
      </w:r>
      <w:r w:rsidRPr="00C608A6">
        <w:t>ont pas pu être retenus et que leur inscription a dû être reportée à l</w:t>
      </w:r>
      <w:r w:rsidR="001C57AB" w:rsidRPr="00C608A6">
        <w:t>'</w:t>
      </w:r>
      <w:r w:rsidRPr="00C608A6">
        <w:t>ordre du jour de conférences futures,</w:t>
      </w:r>
    </w:p>
    <w:p w14:paraId="25910B4E" w14:textId="77777777" w:rsidR="007B2F3A" w:rsidRPr="00C608A6" w:rsidRDefault="007B2F3A" w:rsidP="007B2F3A">
      <w:pPr>
        <w:pStyle w:val="Call"/>
        <w:rPr>
          <w:lang w:eastAsia="en-GB"/>
        </w:rPr>
      </w:pPr>
      <w:r w:rsidRPr="00C608A6">
        <w:t>décide</w:t>
      </w:r>
    </w:p>
    <w:p w14:paraId="486B7B2A" w14:textId="77B9BD1C" w:rsidR="007B2F3A" w:rsidRPr="00C608A6" w:rsidRDefault="007B2F3A" w:rsidP="00173998">
      <w:r w:rsidRPr="00C608A6">
        <w:t>de recommander au Conseil de convoquer en 202</w:t>
      </w:r>
      <w:r w:rsidR="00173998" w:rsidRPr="00C608A6">
        <w:t>7</w:t>
      </w:r>
      <w:r w:rsidRPr="00C608A6">
        <w:t xml:space="preserve"> une CMR d</w:t>
      </w:r>
      <w:r w:rsidR="001C57AB" w:rsidRPr="00C608A6">
        <w:t>'</w:t>
      </w:r>
      <w:r w:rsidRPr="00C608A6">
        <w:t>une durée maximale de quatre</w:t>
      </w:r>
      <w:r w:rsidR="00097AD3" w:rsidRPr="00C608A6">
        <w:t> </w:t>
      </w:r>
      <w:r w:rsidRPr="00C608A6">
        <w:t>semaines, dont l</w:t>
      </w:r>
      <w:r w:rsidR="001C57AB" w:rsidRPr="00C608A6">
        <w:t>'</w:t>
      </w:r>
      <w:r w:rsidRPr="00C608A6">
        <w:t>ordre du jour sera le suivant:</w:t>
      </w:r>
    </w:p>
    <w:p w14:paraId="15B2CE45" w14:textId="5992F21B" w:rsidR="007B2F3A" w:rsidRPr="00C608A6" w:rsidRDefault="007B2F3A" w:rsidP="00173998">
      <w:r w:rsidRPr="00C608A6">
        <w:t>1</w:t>
      </w:r>
      <w:r w:rsidRPr="00C608A6">
        <w:tab/>
        <w:t>sur la base des propositions des administrations, compte tenu des résultats de la</w:t>
      </w:r>
      <w:r w:rsidR="00D66828" w:rsidRPr="00C608A6">
        <w:t xml:space="preserve"> </w:t>
      </w:r>
      <w:r w:rsidRPr="00C608A6">
        <w:t>CMR</w:t>
      </w:r>
      <w:r w:rsidR="00D66828" w:rsidRPr="00C608A6">
        <w:noBreakHyphen/>
      </w:r>
      <w:r w:rsidR="00173998" w:rsidRPr="00C608A6">
        <w:t>23</w:t>
      </w:r>
      <w:r w:rsidRPr="00C608A6">
        <w:t xml:space="preserve"> ainsi que du rapport de la Réunion de préparation à la Conférence et compte dûment tenu des besoins des services existants ou futurs dans les bandes de fréquences considérées, examiner les points suivants et prendre les mesures appropriées:</w:t>
      </w:r>
    </w:p>
    <w:p w14:paraId="579B5B1F" w14:textId="1EFD080A" w:rsidR="007B2F3A" w:rsidRPr="00C608A6" w:rsidRDefault="007B2F3A" w:rsidP="007B2F3A">
      <w:r w:rsidRPr="00C608A6">
        <w:t>1.x</w:t>
      </w:r>
      <w:r w:rsidRPr="00C608A6">
        <w:tab/>
      </w:r>
      <w:r w:rsidR="00113F20" w:rsidRPr="00C608A6">
        <w:t>étudier, réviser, mettre à jour ou remplacer, selon qu</w:t>
      </w:r>
      <w:r w:rsidR="001C57AB" w:rsidRPr="00C608A6">
        <w:t>'</w:t>
      </w:r>
      <w:r w:rsidR="00113F20" w:rsidRPr="00C608A6">
        <w:t>il conviendra, les dispositions réglementaires relatives à la protection des</w:t>
      </w:r>
      <w:r w:rsidR="00F710B4" w:rsidRPr="00C608A6">
        <w:t xml:space="preserve"> réseaux à satellite géostationnaire (OSG)</w:t>
      </w:r>
      <w:r w:rsidR="00113F20" w:rsidRPr="00C608A6">
        <w:t xml:space="preserve"> du service fixe par satellite (SFS) et</w:t>
      </w:r>
      <w:r w:rsidR="00F710B4" w:rsidRPr="00C608A6">
        <w:t xml:space="preserve"> du</w:t>
      </w:r>
      <w:r w:rsidR="00113F20" w:rsidRPr="00C608A6">
        <w:t xml:space="preserve"> service de radiodiffusion par satellite (du SRS) contre les brouillages inacceptables causés par les systèmes</w:t>
      </w:r>
      <w:r w:rsidR="00F710B4" w:rsidRPr="00C608A6">
        <w:t xml:space="preserve"> à satellites</w:t>
      </w:r>
      <w:r w:rsidR="00113F20" w:rsidRPr="00C608A6">
        <w:t xml:space="preserve"> non </w:t>
      </w:r>
      <w:r w:rsidR="00F710B4" w:rsidRPr="00C608A6">
        <w:t>géostationnaires (non OSG)</w:t>
      </w:r>
      <w:r w:rsidR="00113F20" w:rsidRPr="00C608A6">
        <w:t xml:space="preserve"> du SFS dans certaines parties des bandes de fréquences 3 700-4 200 MHz, 5 925-6 725 MHz, 10,7-14,5</w:t>
      </w:r>
      <w:r w:rsidR="00EF347D" w:rsidRPr="00C608A6">
        <w:t> </w:t>
      </w:r>
      <w:r w:rsidR="00113F20" w:rsidRPr="00C608A6">
        <w:t>GHz, 17,3</w:t>
      </w:r>
      <w:r w:rsidR="00D66828" w:rsidRPr="00C608A6">
        <w:noBreakHyphen/>
      </w:r>
      <w:r w:rsidR="00113F20" w:rsidRPr="00C608A6">
        <w:t xml:space="preserve">20,2 GHz et 27,5-30 GHz dans lesquelles </w:t>
      </w:r>
      <w:r w:rsidR="00F710B4" w:rsidRPr="00C608A6">
        <w:t xml:space="preserve">les </w:t>
      </w:r>
      <w:r w:rsidR="00113F20" w:rsidRPr="00C608A6">
        <w:t>limites d</w:t>
      </w:r>
      <w:r w:rsidR="001C57AB" w:rsidRPr="00C608A6">
        <w:t>'</w:t>
      </w:r>
      <w:r w:rsidR="00113F20" w:rsidRPr="00C608A6">
        <w:t xml:space="preserve">epfd </w:t>
      </w:r>
      <w:r w:rsidR="00F710B4" w:rsidRPr="00C608A6">
        <w:t xml:space="preserve">de l'Article </w:t>
      </w:r>
      <w:r w:rsidR="00F710B4" w:rsidRPr="00C608A6">
        <w:rPr>
          <w:b/>
          <w:bCs/>
        </w:rPr>
        <w:t>22</w:t>
      </w:r>
      <w:r w:rsidR="00F710B4" w:rsidRPr="00C608A6">
        <w:t xml:space="preserve"> </w:t>
      </w:r>
      <w:r w:rsidR="00113F20" w:rsidRPr="00C608A6">
        <w:t>s</w:t>
      </w:r>
      <w:r w:rsidR="001C57AB" w:rsidRPr="00C608A6">
        <w:t>'</w:t>
      </w:r>
      <w:r w:rsidR="00113F20" w:rsidRPr="00C608A6">
        <w:t>appliquent</w:t>
      </w:r>
      <w:r w:rsidR="00F710B4" w:rsidRPr="00C608A6">
        <w:t xml:space="preserve">, et mettre en œuvre </w:t>
      </w:r>
      <w:r w:rsidR="00113F20" w:rsidRPr="00C608A6">
        <w:t xml:space="preserve">ces dispositions </w:t>
      </w:r>
      <w:r w:rsidR="00F710B4" w:rsidRPr="00C608A6">
        <w:t>conformément</w:t>
      </w:r>
      <w:r w:rsidR="00113F20" w:rsidRPr="00C608A6">
        <w:t xml:space="preserve"> à la Résolution </w:t>
      </w:r>
      <w:r w:rsidR="00113F20" w:rsidRPr="00C608A6">
        <w:rPr>
          <w:b/>
          <w:bCs/>
        </w:rPr>
        <w:t>[AI-10-EPFD R</w:t>
      </w:r>
      <w:r w:rsidR="00097AD3" w:rsidRPr="00C608A6">
        <w:rPr>
          <w:b/>
          <w:bCs/>
        </w:rPr>
        <w:t>E</w:t>
      </w:r>
      <w:r w:rsidR="00113F20" w:rsidRPr="00C608A6">
        <w:rPr>
          <w:b/>
          <w:bCs/>
        </w:rPr>
        <w:t>VISION] (CMR-23)</w:t>
      </w:r>
      <w:r w:rsidRPr="00C608A6">
        <w:t>,</w:t>
      </w:r>
    </w:p>
    <w:p w14:paraId="7042587D" w14:textId="4BBB5EEF" w:rsidR="007B2F3A" w:rsidRPr="00C608A6" w:rsidRDefault="007B2F3A" w:rsidP="007B2F3A">
      <w:pPr>
        <w:pStyle w:val="Call"/>
        <w:rPr>
          <w:lang w:eastAsia="en-GB"/>
        </w:rPr>
      </w:pPr>
      <w:r w:rsidRPr="00C608A6">
        <w:t>invite le Conseil de l</w:t>
      </w:r>
      <w:r w:rsidR="001C57AB" w:rsidRPr="00C608A6">
        <w:t>'</w:t>
      </w:r>
      <w:r w:rsidRPr="00C608A6">
        <w:t>UIT</w:t>
      </w:r>
    </w:p>
    <w:p w14:paraId="3C49AED1" w14:textId="20342B36" w:rsidR="007B2F3A" w:rsidRPr="00C608A6" w:rsidRDefault="007B2F3A" w:rsidP="007B2F3A">
      <w:r w:rsidRPr="00C608A6">
        <w:t>à arrêter définitivement l</w:t>
      </w:r>
      <w:r w:rsidR="001C57AB" w:rsidRPr="00C608A6">
        <w:t>'</w:t>
      </w:r>
      <w:r w:rsidRPr="00C608A6">
        <w:t>ordre du jour, à prendre les dispositions nécessaires en vue de la convocation de la CMR-27 et à engager dès que possible les consultations nécessaires avec les États Membres,</w:t>
      </w:r>
    </w:p>
    <w:p w14:paraId="33F3CA37" w14:textId="77777777" w:rsidR="007B2F3A" w:rsidRPr="00C608A6" w:rsidRDefault="007B2F3A" w:rsidP="007B2F3A">
      <w:pPr>
        <w:pStyle w:val="Call"/>
        <w:rPr>
          <w:lang w:eastAsia="en-GB"/>
        </w:rPr>
      </w:pPr>
      <w:r w:rsidRPr="00C608A6">
        <w:t>charge le Directeur du Bureau des radiocommunications</w:t>
      </w:r>
    </w:p>
    <w:p w14:paraId="2AA1757A" w14:textId="673B17CD" w:rsidR="007B2F3A" w:rsidRPr="00C608A6" w:rsidRDefault="007B2F3A" w:rsidP="007B2F3A">
      <w:r w:rsidRPr="00C608A6">
        <w:t>1</w:t>
      </w:r>
      <w:r w:rsidRPr="00C608A6">
        <w:tab/>
        <w:t>de prendre les dispositions voulues pour la convocation des sessions de la Réunion de préparation à la Conférence (RPC) et d</w:t>
      </w:r>
      <w:r w:rsidR="001C57AB" w:rsidRPr="00C608A6">
        <w:t>'</w:t>
      </w:r>
      <w:r w:rsidRPr="00C608A6">
        <w:t>élaborer un rapport à l</w:t>
      </w:r>
      <w:r w:rsidR="001C57AB" w:rsidRPr="00C608A6">
        <w:t>'</w:t>
      </w:r>
      <w:r w:rsidRPr="00C608A6">
        <w:t>intention de la CMR-27;</w:t>
      </w:r>
    </w:p>
    <w:p w14:paraId="0258C689" w14:textId="2C58B5AF" w:rsidR="007B2F3A" w:rsidRPr="00C608A6" w:rsidRDefault="007B2F3A" w:rsidP="007B2F3A">
      <w:r w:rsidRPr="00C608A6">
        <w:t>2</w:t>
      </w:r>
      <w:r w:rsidRPr="00C608A6">
        <w:tab/>
        <w:t>de soumettre à la seconde session de la RPC un projet du rapport sur les difficultés rencontrées ou les incohérences constatées dans l</w:t>
      </w:r>
      <w:r w:rsidR="001C57AB" w:rsidRPr="00C608A6">
        <w:t>'</w:t>
      </w:r>
      <w:r w:rsidRPr="00C608A6">
        <w:t>application du Règlement des radiocommunications dont il est question au point 9.2 de l</w:t>
      </w:r>
      <w:r w:rsidR="001C57AB" w:rsidRPr="00C608A6">
        <w:t>'</w:t>
      </w:r>
      <w:r w:rsidRPr="00C608A6">
        <w:t>ordre du jour et de soumettre le rapport final au moins cinq mois avant la CMR suivante,</w:t>
      </w:r>
    </w:p>
    <w:p w14:paraId="78099F98" w14:textId="77777777" w:rsidR="007B2F3A" w:rsidRPr="00C608A6" w:rsidRDefault="007B2F3A" w:rsidP="007B2F3A">
      <w:pPr>
        <w:pStyle w:val="Call"/>
        <w:rPr>
          <w:lang w:eastAsia="en-GB"/>
        </w:rPr>
      </w:pPr>
      <w:r w:rsidRPr="00C608A6">
        <w:t>charge le Secrétaire général</w:t>
      </w:r>
    </w:p>
    <w:p w14:paraId="349A2E6A" w14:textId="1811B212" w:rsidR="007B2F3A" w:rsidRPr="00C608A6" w:rsidRDefault="007B2F3A" w:rsidP="007B2F3A">
      <w:r w:rsidRPr="00C608A6">
        <w:t>de communiquer la présente Résolution aux organisations internationales ou régionales concernées.</w:t>
      </w:r>
    </w:p>
    <w:p w14:paraId="1AFA786A" w14:textId="26931430" w:rsidR="00516281" w:rsidRPr="00C608A6" w:rsidRDefault="00243757">
      <w:pPr>
        <w:pStyle w:val="Reasons"/>
      </w:pPr>
      <w:r w:rsidRPr="00C608A6">
        <w:rPr>
          <w:b/>
        </w:rPr>
        <w:t>Motifs:</w:t>
      </w:r>
      <w:r w:rsidRPr="00C608A6">
        <w:tab/>
      </w:r>
      <w:r w:rsidR="00113F20" w:rsidRPr="00C608A6">
        <w:t>Procéder à des études en vue d</w:t>
      </w:r>
      <w:r w:rsidR="001C57AB" w:rsidRPr="00C608A6">
        <w:t>'</w:t>
      </w:r>
      <w:r w:rsidR="00113F20" w:rsidRPr="00C608A6">
        <w:t xml:space="preserve">examiner et éventuellement de réviser, le cas échéant, les dispositions réglementaires relatives à la protection des réseaux du SFS et du SRS </w:t>
      </w:r>
      <w:r w:rsidR="009165D5" w:rsidRPr="00C608A6">
        <w:t xml:space="preserve">OSG </w:t>
      </w:r>
      <w:r w:rsidR="00113F20" w:rsidRPr="00C608A6">
        <w:t xml:space="preserve">contre les brouillages inacceptables causés par les systèmes du SFS </w:t>
      </w:r>
      <w:r w:rsidR="009165D5" w:rsidRPr="00C608A6">
        <w:t xml:space="preserve">non OSG </w:t>
      </w:r>
      <w:r w:rsidR="00113F20" w:rsidRPr="00C608A6">
        <w:t>dans les bandes de fréquences au</w:t>
      </w:r>
      <w:r w:rsidR="00D66828" w:rsidRPr="00C608A6">
        <w:noBreakHyphen/>
      </w:r>
      <w:r w:rsidR="00113F20" w:rsidRPr="00C608A6">
        <w:t xml:space="preserve">dessous de 30 GHz dans lesquelles </w:t>
      </w:r>
      <w:r w:rsidR="00E96889" w:rsidRPr="00C608A6">
        <w:t xml:space="preserve">les </w:t>
      </w:r>
      <w:r w:rsidR="00113F20" w:rsidRPr="00C608A6">
        <w:t xml:space="preserve">limites </w:t>
      </w:r>
      <w:r w:rsidR="009165D5" w:rsidRPr="00C608A6">
        <w:t xml:space="preserve">de puissance surfacique équivalente </w:t>
      </w:r>
      <w:r w:rsidR="00E96889" w:rsidRPr="00C608A6">
        <w:t>de l'Article</w:t>
      </w:r>
      <w:r w:rsidR="00D66828" w:rsidRPr="00C608A6">
        <w:t> </w:t>
      </w:r>
      <w:r w:rsidR="00E96889" w:rsidRPr="00C608A6">
        <w:rPr>
          <w:b/>
          <w:bCs/>
        </w:rPr>
        <w:t>22</w:t>
      </w:r>
      <w:r w:rsidR="00E96889" w:rsidRPr="00C608A6">
        <w:t xml:space="preserve"> du RR </w:t>
      </w:r>
      <w:r w:rsidR="00113F20" w:rsidRPr="00C608A6">
        <w:t>s</w:t>
      </w:r>
      <w:r w:rsidR="001C57AB" w:rsidRPr="00C608A6">
        <w:t>'</w:t>
      </w:r>
      <w:r w:rsidR="00113F20" w:rsidRPr="00C608A6">
        <w:t xml:space="preserve">appliquent et </w:t>
      </w:r>
      <w:r w:rsidR="009165D5" w:rsidRPr="00C608A6">
        <w:t xml:space="preserve">de </w:t>
      </w:r>
      <w:r w:rsidR="00E96889" w:rsidRPr="00C608A6">
        <w:t>mettre en œuvre</w:t>
      </w:r>
      <w:r w:rsidR="00113F20" w:rsidRPr="00C608A6">
        <w:t xml:space="preserve"> ces dispositions</w:t>
      </w:r>
      <w:r w:rsidR="007B2F3A" w:rsidRPr="00C608A6">
        <w:t>.</w:t>
      </w:r>
    </w:p>
    <w:p w14:paraId="15EA3A0D" w14:textId="77777777" w:rsidR="00516281" w:rsidRPr="00C608A6" w:rsidRDefault="00243757">
      <w:pPr>
        <w:pStyle w:val="Proposal"/>
      </w:pPr>
      <w:r w:rsidRPr="00C608A6">
        <w:t>ADD</w:t>
      </w:r>
      <w:r w:rsidRPr="00C608A6">
        <w:tab/>
        <w:t>IAP/44A27A4/2</w:t>
      </w:r>
    </w:p>
    <w:p w14:paraId="55C1B965" w14:textId="30BDE5FA" w:rsidR="00516281" w:rsidRPr="00C608A6" w:rsidRDefault="00243757">
      <w:pPr>
        <w:pStyle w:val="ResNo"/>
      </w:pPr>
      <w:r w:rsidRPr="00C608A6">
        <w:t>Projet de nouvelle Résolution [</w:t>
      </w:r>
      <w:r w:rsidR="008430AC" w:rsidRPr="00C608A6">
        <w:t>AI-10-EPFD R</w:t>
      </w:r>
      <w:r w:rsidR="00AC7997" w:rsidRPr="00C608A6">
        <w:t>E</w:t>
      </w:r>
      <w:r w:rsidR="008430AC" w:rsidRPr="00C608A6">
        <w:t>VISION</w:t>
      </w:r>
      <w:r w:rsidRPr="00C608A6">
        <w:t>]</w:t>
      </w:r>
      <w:r w:rsidR="008430AC" w:rsidRPr="00C608A6">
        <w:t xml:space="preserve"> (CMR-23)</w:t>
      </w:r>
    </w:p>
    <w:p w14:paraId="03F24C22" w14:textId="79A5D654" w:rsidR="00516281" w:rsidRPr="00C608A6" w:rsidRDefault="002E1F17">
      <w:pPr>
        <w:pStyle w:val="Restitle"/>
      </w:pPr>
      <w:r w:rsidRPr="00C608A6">
        <w:t>É</w:t>
      </w:r>
      <w:r w:rsidR="00113F20" w:rsidRPr="00C608A6">
        <w:t xml:space="preserve">tude des dispositions réglementaires relatives à la protection des réseaux </w:t>
      </w:r>
      <w:r w:rsidR="00AC7997" w:rsidRPr="00C608A6">
        <w:t xml:space="preserve">à satellite géostationnaire </w:t>
      </w:r>
      <w:r w:rsidR="00113F20" w:rsidRPr="00C608A6">
        <w:t xml:space="preserve">du </w:t>
      </w:r>
      <w:r w:rsidR="00AC7997" w:rsidRPr="00C608A6">
        <w:t xml:space="preserve">service fixe par satellite </w:t>
      </w:r>
      <w:r w:rsidR="00113F20" w:rsidRPr="00C608A6">
        <w:t xml:space="preserve">et du </w:t>
      </w:r>
      <w:r w:rsidR="00AC7997" w:rsidRPr="00C608A6">
        <w:t xml:space="preserve">service de radiodiffusion par satellite </w:t>
      </w:r>
      <w:r w:rsidR="00113F20" w:rsidRPr="00C608A6">
        <w:t>contre les brouillages inacceptables</w:t>
      </w:r>
      <w:r w:rsidR="00097AD3" w:rsidRPr="00C608A6">
        <w:br/>
      </w:r>
      <w:r w:rsidR="00113F20" w:rsidRPr="00C608A6">
        <w:t xml:space="preserve">causés par des systèmes </w:t>
      </w:r>
      <w:r w:rsidR="00AC7997" w:rsidRPr="00C608A6">
        <w:t xml:space="preserve">à satellites </w:t>
      </w:r>
      <w:r w:rsidR="00113F20" w:rsidRPr="00C608A6">
        <w:t xml:space="preserve">non </w:t>
      </w:r>
      <w:r w:rsidR="00AC7997" w:rsidRPr="00C608A6">
        <w:t xml:space="preserve">géostationnaires </w:t>
      </w:r>
      <w:r w:rsidR="00113F20" w:rsidRPr="00C608A6">
        <w:t>du</w:t>
      </w:r>
      <w:r w:rsidR="00097AD3" w:rsidRPr="00C608A6">
        <w:t xml:space="preserve"> </w:t>
      </w:r>
      <w:r w:rsidR="00AC7997" w:rsidRPr="00C608A6">
        <w:t>service</w:t>
      </w:r>
      <w:r w:rsidR="00097AD3" w:rsidRPr="00C608A6">
        <w:br/>
      </w:r>
      <w:r w:rsidR="00AC7997" w:rsidRPr="00C608A6">
        <w:t xml:space="preserve">fixe par satellite </w:t>
      </w:r>
      <w:r w:rsidR="00113F20" w:rsidRPr="00C608A6">
        <w:t>dans des parties des bandes de</w:t>
      </w:r>
      <w:r w:rsidR="00097AD3" w:rsidRPr="00C608A6">
        <w:t xml:space="preserve"> </w:t>
      </w:r>
      <w:r w:rsidR="00113F20" w:rsidRPr="00C608A6">
        <w:t>fréquences</w:t>
      </w:r>
      <w:r w:rsidR="00097AD3" w:rsidRPr="00C608A6">
        <w:br/>
      </w:r>
      <w:r w:rsidR="00113F20" w:rsidRPr="00C608A6">
        <w:t>3 700-4 200 MHz, 5</w:t>
      </w:r>
      <w:r w:rsidRPr="00C608A6">
        <w:t> </w:t>
      </w:r>
      <w:r w:rsidR="00113F20" w:rsidRPr="00C608A6">
        <w:t>925</w:t>
      </w:r>
      <w:r w:rsidRPr="00C608A6">
        <w:noBreakHyphen/>
      </w:r>
      <w:r w:rsidR="00113F20" w:rsidRPr="00C608A6">
        <w:t>6 725 MHz,</w:t>
      </w:r>
      <w:r w:rsidR="00097AD3" w:rsidRPr="00C608A6">
        <w:t xml:space="preserve"> </w:t>
      </w:r>
      <w:r w:rsidR="00113F20" w:rsidRPr="00C608A6">
        <w:t>10,7</w:t>
      </w:r>
      <w:r w:rsidRPr="00C608A6">
        <w:noBreakHyphen/>
      </w:r>
      <w:r w:rsidR="00113F20" w:rsidRPr="00C608A6">
        <w:t>14,5</w:t>
      </w:r>
      <w:r w:rsidRPr="00C608A6">
        <w:t> </w:t>
      </w:r>
      <w:r w:rsidR="00113F20" w:rsidRPr="00C608A6">
        <w:t>GHz,</w:t>
      </w:r>
      <w:r w:rsidR="00097AD3" w:rsidRPr="00C608A6">
        <w:br/>
      </w:r>
      <w:r w:rsidR="00113F20" w:rsidRPr="00C608A6">
        <w:t>17,3-20,2 GHz et 27,5-30 GHz dans lesquelles les</w:t>
      </w:r>
      <w:r w:rsidR="00097AD3" w:rsidRPr="00C608A6">
        <w:br/>
      </w:r>
      <w:r w:rsidR="00113F20" w:rsidRPr="00C608A6">
        <w:t>limites</w:t>
      </w:r>
      <w:r w:rsidR="00097AD3" w:rsidRPr="00C608A6">
        <w:t xml:space="preserve"> </w:t>
      </w:r>
      <w:r w:rsidR="009165D5" w:rsidRPr="00C608A6">
        <w:t>de puissance</w:t>
      </w:r>
      <w:r w:rsidR="00097AD3" w:rsidRPr="00C608A6">
        <w:t xml:space="preserve"> </w:t>
      </w:r>
      <w:r w:rsidR="009165D5" w:rsidRPr="00C608A6">
        <w:t>surfacique</w:t>
      </w:r>
      <w:r w:rsidR="00097AD3" w:rsidRPr="00C608A6">
        <w:t xml:space="preserve"> </w:t>
      </w:r>
      <w:r w:rsidR="009165D5" w:rsidRPr="00C608A6">
        <w:t>équivalente</w:t>
      </w:r>
      <w:r w:rsidR="00097AD3" w:rsidRPr="00C608A6">
        <w:br/>
      </w:r>
      <w:r w:rsidR="00113F20" w:rsidRPr="00C608A6">
        <w:t>de</w:t>
      </w:r>
      <w:r w:rsidR="00097AD3" w:rsidRPr="00C608A6">
        <w:t xml:space="preserve"> </w:t>
      </w:r>
      <w:r w:rsidR="00113F20" w:rsidRPr="00C608A6">
        <w:t>l</w:t>
      </w:r>
      <w:r w:rsidR="001C57AB" w:rsidRPr="00C608A6">
        <w:t>'</w:t>
      </w:r>
      <w:r w:rsidR="00113F20" w:rsidRPr="00C608A6">
        <w:t>Article 22 s</w:t>
      </w:r>
      <w:r w:rsidR="001C57AB" w:rsidRPr="00C608A6">
        <w:t>'</w:t>
      </w:r>
      <w:r w:rsidR="00113F20" w:rsidRPr="00C608A6">
        <w:t>appliquent</w:t>
      </w:r>
    </w:p>
    <w:p w14:paraId="015F722C" w14:textId="48F29E96" w:rsidR="00516281" w:rsidRPr="00C608A6" w:rsidRDefault="008430AC">
      <w:pPr>
        <w:pStyle w:val="Normalaftertitle"/>
        <w:rPr>
          <w:lang w:eastAsia="en-GB"/>
        </w:rPr>
      </w:pPr>
      <w:r w:rsidRPr="00C608A6">
        <w:t>La Conférence mondiale des radiocommunications (Dubaï, 2023),</w:t>
      </w:r>
    </w:p>
    <w:p w14:paraId="1EBAC3C6" w14:textId="4052E12B" w:rsidR="008430AC" w:rsidRPr="00C608A6" w:rsidRDefault="008430AC" w:rsidP="008430AC">
      <w:pPr>
        <w:pStyle w:val="Call"/>
      </w:pPr>
      <w:r w:rsidRPr="00C608A6">
        <w:t>considérant</w:t>
      </w:r>
    </w:p>
    <w:p w14:paraId="2D53BFFD" w14:textId="788B11C5" w:rsidR="00113F20" w:rsidRPr="00C608A6" w:rsidRDefault="008430AC" w:rsidP="00113F20">
      <w:r w:rsidRPr="00C608A6">
        <w:rPr>
          <w:i/>
          <w:iCs/>
        </w:rPr>
        <w:t>a)</w:t>
      </w:r>
      <w:r w:rsidRPr="00C608A6">
        <w:tab/>
      </w:r>
      <w:r w:rsidR="00113F20" w:rsidRPr="00C608A6">
        <w:t>que les systèmes fondés sur l</w:t>
      </w:r>
      <w:r w:rsidR="001C57AB" w:rsidRPr="00C608A6">
        <w:t>'</w:t>
      </w:r>
      <w:r w:rsidR="00113F20" w:rsidRPr="00C608A6">
        <w:t xml:space="preserve">utilisation de nouvelles technologies associés à la fois aux réseaux </w:t>
      </w:r>
      <w:r w:rsidR="009165D5" w:rsidRPr="00C608A6">
        <w:t xml:space="preserve">à satellite géostationnaires (OSG) </w:t>
      </w:r>
      <w:r w:rsidR="00113F20" w:rsidRPr="00C608A6">
        <w:t xml:space="preserve">du service fixe par satellite (SFS) et du service de radiodiffusion par satellite (SRS) et aux constellations </w:t>
      </w:r>
      <w:r w:rsidR="009165D5" w:rsidRPr="00C608A6">
        <w:t xml:space="preserve">de satellites non géostationnaire (non OSG) </w:t>
      </w:r>
      <w:r w:rsidR="00113F20" w:rsidRPr="00C608A6">
        <w:t xml:space="preserve">du SFS dans les bandes de fréquences inférieures à 30 GHz dans lesquelles </w:t>
      </w:r>
      <w:r w:rsidR="000D5732" w:rsidRPr="00C608A6">
        <w:t>les</w:t>
      </w:r>
      <w:r w:rsidR="00113F20" w:rsidRPr="00C608A6">
        <w:t xml:space="preserve"> limites de puissance surfacique équivalente (epfd) </w:t>
      </w:r>
      <w:r w:rsidR="000D5732" w:rsidRPr="00C608A6">
        <w:t xml:space="preserve">établies dans l'Article </w:t>
      </w:r>
      <w:r w:rsidR="000D5732" w:rsidRPr="00C608A6">
        <w:rPr>
          <w:b/>
          <w:bCs/>
        </w:rPr>
        <w:t>22</w:t>
      </w:r>
      <w:r w:rsidR="000D5732" w:rsidRPr="00C608A6">
        <w:t xml:space="preserve"> s'applique</w:t>
      </w:r>
      <w:r w:rsidR="00DF2169" w:rsidRPr="00C608A6">
        <w:t>nt</w:t>
      </w:r>
      <w:r w:rsidR="000D5732" w:rsidRPr="00C608A6">
        <w:t xml:space="preserve"> </w:t>
      </w:r>
      <w:r w:rsidR="00113F20" w:rsidRPr="00C608A6">
        <w:t xml:space="preserve">sont capables de fournir des moyens de communication de grande capacité </w:t>
      </w:r>
      <w:r w:rsidR="009165D5" w:rsidRPr="00C608A6">
        <w:t xml:space="preserve">dans les </w:t>
      </w:r>
      <w:r w:rsidR="00113F20" w:rsidRPr="00C608A6">
        <w:t xml:space="preserve">régions rurales et isolées </w:t>
      </w:r>
      <w:r w:rsidR="009165D5" w:rsidRPr="00C608A6">
        <w:t xml:space="preserve">partout dans le </w:t>
      </w:r>
      <w:r w:rsidR="00113F20" w:rsidRPr="00C608A6">
        <w:t>monde;</w:t>
      </w:r>
    </w:p>
    <w:p w14:paraId="00F921CF" w14:textId="03858596" w:rsidR="00113F20" w:rsidRPr="00C608A6" w:rsidRDefault="00113F20" w:rsidP="00113F20">
      <w:pPr>
        <w:rPr>
          <w:rFonts w:eastAsia="BatangChe"/>
        </w:rPr>
      </w:pPr>
      <w:r w:rsidRPr="00C608A6">
        <w:rPr>
          <w:bCs/>
          <w:i/>
          <w:iCs/>
        </w:rPr>
        <w:t>b)</w:t>
      </w:r>
      <w:r w:rsidRPr="00C608A6">
        <w:rPr>
          <w:bCs/>
        </w:rPr>
        <w:tab/>
      </w:r>
      <w:r w:rsidRPr="00C608A6">
        <w:rPr>
          <w:rFonts w:eastAsia="BatangChe"/>
        </w:rPr>
        <w:t xml:space="preserve">que les systèmes du SFS </w:t>
      </w:r>
      <w:r w:rsidR="009165D5" w:rsidRPr="00C608A6">
        <w:rPr>
          <w:rFonts w:eastAsia="BatangChe"/>
        </w:rPr>
        <w:t xml:space="preserve">non OSG </w:t>
      </w:r>
      <w:r w:rsidRPr="00C608A6">
        <w:rPr>
          <w:rFonts w:eastAsia="BatangChe"/>
        </w:rPr>
        <w:t xml:space="preserve">et les réseaux du SFS </w:t>
      </w:r>
      <w:r w:rsidR="009165D5" w:rsidRPr="00C608A6">
        <w:rPr>
          <w:rFonts w:eastAsia="BatangChe"/>
        </w:rPr>
        <w:t xml:space="preserve">OSG </w:t>
      </w:r>
      <w:r w:rsidRPr="00C608A6">
        <w:rPr>
          <w:rFonts w:eastAsia="BatangChe"/>
        </w:rPr>
        <w:t xml:space="preserve">sont plus avancés sur le plan technologique que les systèmes </w:t>
      </w:r>
      <w:r w:rsidR="00DF2169" w:rsidRPr="00C608A6">
        <w:rPr>
          <w:rFonts w:eastAsia="BatangChe"/>
        </w:rPr>
        <w:t>considérés</w:t>
      </w:r>
      <w:r w:rsidRPr="00C608A6">
        <w:rPr>
          <w:rFonts w:eastAsia="BatangChe"/>
        </w:rPr>
        <w:t xml:space="preserve"> </w:t>
      </w:r>
      <w:r w:rsidR="00DF2169" w:rsidRPr="00C608A6">
        <w:rPr>
          <w:rFonts w:eastAsia="BatangChe"/>
        </w:rPr>
        <w:t>aux fins de</w:t>
      </w:r>
      <w:r w:rsidRPr="00C608A6">
        <w:rPr>
          <w:rFonts w:eastAsia="BatangChe"/>
        </w:rPr>
        <w:t xml:space="preserve"> l</w:t>
      </w:r>
      <w:r w:rsidR="001C57AB" w:rsidRPr="00C608A6">
        <w:rPr>
          <w:rFonts w:eastAsia="BatangChe"/>
        </w:rPr>
        <w:t>'</w:t>
      </w:r>
      <w:r w:rsidRPr="00C608A6">
        <w:rPr>
          <w:rFonts w:eastAsia="BatangChe"/>
        </w:rPr>
        <w:t xml:space="preserve">élaboration </w:t>
      </w:r>
      <w:r w:rsidR="00DF2169" w:rsidRPr="00C608A6">
        <w:rPr>
          <w:rFonts w:eastAsia="BatangChe"/>
        </w:rPr>
        <w:t>des</w:t>
      </w:r>
      <w:r w:rsidRPr="00C608A6">
        <w:rPr>
          <w:rFonts w:eastAsia="BatangChe"/>
        </w:rPr>
        <w:t xml:space="preserve"> limites d</w:t>
      </w:r>
      <w:r w:rsidR="001C57AB" w:rsidRPr="00C608A6">
        <w:rPr>
          <w:rFonts w:eastAsia="BatangChe"/>
        </w:rPr>
        <w:t>'</w:t>
      </w:r>
      <w:r w:rsidRPr="00C608A6">
        <w:rPr>
          <w:rFonts w:eastAsia="BatangChe"/>
        </w:rPr>
        <w:t xml:space="preserve">epfd </w:t>
      </w:r>
      <w:r w:rsidR="00DF2169" w:rsidRPr="00C608A6">
        <w:rPr>
          <w:rFonts w:eastAsia="BatangChe"/>
        </w:rPr>
        <w:t>de l'Article</w:t>
      </w:r>
      <w:r w:rsidR="00801C95" w:rsidRPr="00C608A6">
        <w:rPr>
          <w:rFonts w:eastAsia="BatangChe"/>
        </w:rPr>
        <w:t> </w:t>
      </w:r>
      <w:r w:rsidR="00DF2169" w:rsidRPr="00C608A6">
        <w:rPr>
          <w:rFonts w:eastAsia="BatangChe"/>
          <w:b/>
          <w:bCs/>
        </w:rPr>
        <w:t>22</w:t>
      </w:r>
      <w:r w:rsidR="00DF2169" w:rsidRPr="00C608A6">
        <w:rPr>
          <w:rFonts w:eastAsia="BatangChe"/>
        </w:rPr>
        <w:t xml:space="preserve"> lors de la </w:t>
      </w:r>
      <w:r w:rsidRPr="00C608A6">
        <w:rPr>
          <w:rFonts w:eastAsia="BatangChe"/>
        </w:rPr>
        <w:t xml:space="preserve">CMR-97 et </w:t>
      </w:r>
      <w:r w:rsidR="00DF2169" w:rsidRPr="00C608A6">
        <w:rPr>
          <w:rFonts w:eastAsia="BatangChe"/>
        </w:rPr>
        <w:t xml:space="preserve">de la </w:t>
      </w:r>
      <w:r w:rsidRPr="00C608A6">
        <w:rPr>
          <w:rFonts w:eastAsia="BatangChe"/>
        </w:rPr>
        <w:t>CMR-2000;</w:t>
      </w:r>
    </w:p>
    <w:p w14:paraId="7092ADF4" w14:textId="34A17023" w:rsidR="00113F20" w:rsidRPr="00C608A6" w:rsidRDefault="00113F20" w:rsidP="00113F20">
      <w:pPr>
        <w:rPr>
          <w:rFonts w:eastAsia="BatangChe"/>
        </w:rPr>
      </w:pPr>
      <w:r w:rsidRPr="00C608A6">
        <w:rPr>
          <w:i/>
          <w:iCs/>
        </w:rPr>
        <w:t>c)</w:t>
      </w:r>
      <w:r w:rsidRPr="00C608A6">
        <w:tab/>
      </w:r>
      <w:r w:rsidRPr="00C608A6">
        <w:rPr>
          <w:rFonts w:eastAsia="BatangChe"/>
        </w:rPr>
        <w:t xml:space="preserve">que les liaisons OSG utilisées </w:t>
      </w:r>
      <w:r w:rsidR="00DF2169" w:rsidRPr="00C608A6">
        <w:rPr>
          <w:rFonts w:eastAsia="BatangChe"/>
        </w:rPr>
        <w:t>pour déterminer l</w:t>
      </w:r>
      <w:r w:rsidRPr="00C608A6">
        <w:rPr>
          <w:rFonts w:eastAsia="BatangChe"/>
        </w:rPr>
        <w:t>es limites d</w:t>
      </w:r>
      <w:r w:rsidR="001C57AB" w:rsidRPr="00C608A6">
        <w:rPr>
          <w:rFonts w:eastAsia="BatangChe"/>
        </w:rPr>
        <w:t>'</w:t>
      </w:r>
      <w:r w:rsidRPr="00C608A6">
        <w:rPr>
          <w:rFonts w:eastAsia="BatangChe"/>
        </w:rPr>
        <w:t xml:space="preserve">epfd </w:t>
      </w:r>
      <w:r w:rsidR="00DF2169" w:rsidRPr="00C608A6">
        <w:rPr>
          <w:rFonts w:eastAsia="BatangChe"/>
        </w:rPr>
        <w:t xml:space="preserve">lors de la </w:t>
      </w:r>
      <w:r w:rsidRPr="00C608A6">
        <w:rPr>
          <w:rFonts w:eastAsia="BatangChe"/>
        </w:rPr>
        <w:t>CMR-97 ne reflètent peut-être pas le fonctionnement des réseaux OSG modernes;</w:t>
      </w:r>
    </w:p>
    <w:p w14:paraId="46286CD7" w14:textId="02009244" w:rsidR="00113F20" w:rsidRPr="00C608A6" w:rsidRDefault="00113F20" w:rsidP="00113F20">
      <w:r w:rsidRPr="00C608A6">
        <w:rPr>
          <w:bCs/>
          <w:i/>
          <w:iCs/>
        </w:rPr>
        <w:t>d)</w:t>
      </w:r>
      <w:r w:rsidRPr="00C608A6">
        <w:rPr>
          <w:bCs/>
        </w:rPr>
        <w:tab/>
      </w:r>
      <w:r w:rsidRPr="00C608A6">
        <w:t>que l</w:t>
      </w:r>
      <w:r w:rsidR="001C57AB" w:rsidRPr="00C608A6">
        <w:t>'</w:t>
      </w:r>
      <w:r w:rsidRPr="00C608A6">
        <w:t xml:space="preserve">orbite </w:t>
      </w:r>
      <w:r w:rsidR="009165D5" w:rsidRPr="00C608A6">
        <w:t xml:space="preserve">des satellites géostationnaires </w:t>
      </w:r>
      <w:r w:rsidRPr="00C608A6">
        <w:t>et le spectre qui lui est associé constituent une ressource précieuse qui est largement utilisée dans le monde entier;</w:t>
      </w:r>
    </w:p>
    <w:p w14:paraId="17E45B96" w14:textId="3FF69A92" w:rsidR="00113F20" w:rsidRPr="00C608A6" w:rsidRDefault="00113F20" w:rsidP="00113F20">
      <w:pPr>
        <w:rPr>
          <w:b/>
          <w:bCs/>
        </w:rPr>
      </w:pPr>
      <w:r w:rsidRPr="00C608A6">
        <w:rPr>
          <w:bCs/>
          <w:i/>
          <w:iCs/>
        </w:rPr>
        <w:t>e)</w:t>
      </w:r>
      <w:r w:rsidRPr="00C608A6">
        <w:rPr>
          <w:bCs/>
        </w:rPr>
        <w:tab/>
      </w:r>
      <w:r w:rsidRPr="00C608A6">
        <w:t xml:space="preserve">que des systèmes à satellites non OSG ont été déployés récemment dans les bandes visées </w:t>
      </w:r>
      <w:r w:rsidR="007632D1" w:rsidRPr="00C608A6">
        <w:t xml:space="preserve">au point </w:t>
      </w:r>
      <w:r w:rsidR="007632D1" w:rsidRPr="00C608A6">
        <w:rPr>
          <w:i/>
          <w:iCs/>
        </w:rPr>
        <w:t>a)</w:t>
      </w:r>
      <w:r w:rsidR="007632D1" w:rsidRPr="00C608A6">
        <w:t xml:space="preserve"> du</w:t>
      </w:r>
      <w:r w:rsidRPr="00C608A6">
        <w:t xml:space="preserve"> </w:t>
      </w:r>
      <w:r w:rsidRPr="00C608A6">
        <w:rPr>
          <w:i/>
          <w:iCs/>
        </w:rPr>
        <w:t xml:space="preserve">considérant </w:t>
      </w:r>
      <w:r w:rsidR="007632D1" w:rsidRPr="00C608A6">
        <w:t>c</w:t>
      </w:r>
      <w:r w:rsidRPr="00C608A6">
        <w:t>i-dessus;</w:t>
      </w:r>
    </w:p>
    <w:p w14:paraId="2E9A370D" w14:textId="3B90753E" w:rsidR="00113F20" w:rsidRPr="00C608A6" w:rsidRDefault="00113F20" w:rsidP="00113F20">
      <w:pPr>
        <w:rPr>
          <w:b/>
        </w:rPr>
      </w:pPr>
      <w:r w:rsidRPr="00C608A6">
        <w:rPr>
          <w:bCs/>
          <w:i/>
          <w:iCs/>
        </w:rPr>
        <w:t>f)</w:t>
      </w:r>
      <w:r w:rsidRPr="00C608A6">
        <w:rPr>
          <w:bCs/>
        </w:rPr>
        <w:tab/>
      </w:r>
      <w:r w:rsidRPr="00C608A6">
        <w:rPr>
          <w:rFonts w:eastAsia="BatangChe"/>
        </w:rPr>
        <w:t>que les limites d</w:t>
      </w:r>
      <w:r w:rsidR="001C57AB" w:rsidRPr="00C608A6">
        <w:rPr>
          <w:rFonts w:eastAsia="BatangChe"/>
        </w:rPr>
        <w:t>'</w:t>
      </w:r>
      <w:r w:rsidRPr="00C608A6">
        <w:rPr>
          <w:rFonts w:eastAsia="BatangChe"/>
        </w:rPr>
        <w:t xml:space="preserve">epfd applicables aux systèmes du SFS </w:t>
      </w:r>
      <w:r w:rsidR="009165D5" w:rsidRPr="00C608A6">
        <w:rPr>
          <w:rFonts w:eastAsia="BatangChe"/>
        </w:rPr>
        <w:t xml:space="preserve">non OSG </w:t>
      </w:r>
      <w:r w:rsidR="007632D1" w:rsidRPr="00C608A6">
        <w:rPr>
          <w:rFonts w:eastAsia="BatangChe"/>
        </w:rPr>
        <w:t xml:space="preserve">dans les bandes de fréquences </w:t>
      </w:r>
      <w:r w:rsidRPr="00C608A6">
        <w:t xml:space="preserve">au-dessous de 30 GHz dans lesquelles </w:t>
      </w:r>
      <w:r w:rsidR="007632D1" w:rsidRPr="00C608A6">
        <w:t xml:space="preserve">les </w:t>
      </w:r>
      <w:r w:rsidRPr="00C608A6">
        <w:t>limites d</w:t>
      </w:r>
      <w:r w:rsidR="001C57AB" w:rsidRPr="00C608A6">
        <w:t>'</w:t>
      </w:r>
      <w:r w:rsidRPr="00C608A6">
        <w:t xml:space="preserve">epfd </w:t>
      </w:r>
      <w:r w:rsidR="007632D1" w:rsidRPr="00C608A6">
        <w:t>de l'Article</w:t>
      </w:r>
      <w:r w:rsidR="00801C95" w:rsidRPr="00C608A6">
        <w:t> </w:t>
      </w:r>
      <w:r w:rsidR="007632D1" w:rsidRPr="00C608A6">
        <w:rPr>
          <w:b/>
          <w:bCs/>
        </w:rPr>
        <w:t xml:space="preserve">22 </w:t>
      </w:r>
      <w:r w:rsidRPr="00C608A6">
        <w:t>s</w:t>
      </w:r>
      <w:r w:rsidR="001C57AB" w:rsidRPr="00C608A6">
        <w:t>'</w:t>
      </w:r>
      <w:r w:rsidRPr="00C608A6">
        <w:t xml:space="preserve">appliquent </w:t>
      </w:r>
      <w:r w:rsidR="007632D1" w:rsidRPr="00C608A6">
        <w:rPr>
          <w:rFonts w:eastAsia="BatangChe"/>
        </w:rPr>
        <w:t>peuvent</w:t>
      </w:r>
      <w:r w:rsidRPr="00C608A6">
        <w:rPr>
          <w:rFonts w:eastAsia="BatangChe"/>
        </w:rPr>
        <w:t xml:space="preserve"> ne pas refléter avec précision la protection requise par les réseaux du SFS et du SRS</w:t>
      </w:r>
      <w:r w:rsidR="00801C95" w:rsidRPr="00C608A6">
        <w:rPr>
          <w:rFonts w:eastAsia="BatangChe"/>
        </w:rPr>
        <w:t xml:space="preserve"> </w:t>
      </w:r>
      <w:r w:rsidR="009165D5" w:rsidRPr="00C608A6">
        <w:rPr>
          <w:rFonts w:eastAsia="BatangChe"/>
        </w:rPr>
        <w:t>OSG</w:t>
      </w:r>
      <w:r w:rsidRPr="00C608A6">
        <w:rPr>
          <w:rFonts w:eastAsia="BatangChe"/>
        </w:rPr>
        <w:t>;</w:t>
      </w:r>
    </w:p>
    <w:p w14:paraId="6D3EB1FB" w14:textId="2FEEA85C" w:rsidR="00113F20" w:rsidRPr="00C608A6" w:rsidRDefault="00113F20" w:rsidP="00113F20">
      <w:r w:rsidRPr="00C608A6">
        <w:rPr>
          <w:bCs/>
          <w:i/>
          <w:iCs/>
        </w:rPr>
        <w:t>g)</w:t>
      </w:r>
      <w:r w:rsidRPr="00C608A6">
        <w:rPr>
          <w:bCs/>
        </w:rPr>
        <w:tab/>
      </w:r>
      <w:r w:rsidRPr="00C608A6">
        <w:t>qu</w:t>
      </w:r>
      <w:r w:rsidR="001C57AB" w:rsidRPr="00C608A6">
        <w:t>'</w:t>
      </w:r>
      <w:r w:rsidRPr="00C608A6">
        <w:t>il est nécessaire d</w:t>
      </w:r>
      <w:r w:rsidR="001C57AB" w:rsidRPr="00C608A6">
        <w:t>'</w:t>
      </w:r>
      <w:r w:rsidRPr="00C608A6">
        <w:t xml:space="preserve">encourager le développement et la mise en </w:t>
      </w:r>
      <w:r w:rsidR="007632D1" w:rsidRPr="00C608A6">
        <w:t>œuvre</w:t>
      </w:r>
      <w:r w:rsidRPr="00C608A6">
        <w:t xml:space="preserve"> des technologies OSG et non OSG pour répondre à la demande croissante de services par satellite à l</w:t>
      </w:r>
      <w:r w:rsidR="001C57AB" w:rsidRPr="00C608A6">
        <w:t>'</w:t>
      </w:r>
      <w:r w:rsidRPr="00C608A6">
        <w:t>échelle mondiale;</w:t>
      </w:r>
    </w:p>
    <w:p w14:paraId="193ED63C" w14:textId="30919838" w:rsidR="00113F20" w:rsidRPr="00C608A6" w:rsidRDefault="00113F20" w:rsidP="00113F20">
      <w:r w:rsidRPr="00C608A6">
        <w:rPr>
          <w:bCs/>
          <w:i/>
          <w:iCs/>
        </w:rPr>
        <w:t>h)</w:t>
      </w:r>
      <w:r w:rsidRPr="00C608A6">
        <w:rPr>
          <w:bCs/>
        </w:rPr>
        <w:tab/>
      </w:r>
      <w:r w:rsidRPr="00C608A6">
        <w:t>qu</w:t>
      </w:r>
      <w:r w:rsidR="001C57AB" w:rsidRPr="00C608A6">
        <w:t>'</w:t>
      </w:r>
      <w:r w:rsidRPr="00C608A6">
        <w:t>il est nécessaire d</w:t>
      </w:r>
      <w:r w:rsidR="001C57AB" w:rsidRPr="00C608A6">
        <w:t>'</w:t>
      </w:r>
      <w:r w:rsidRPr="00C608A6">
        <w:t xml:space="preserve">encourager le développement et la mise en </w:t>
      </w:r>
      <w:r w:rsidR="007632D1" w:rsidRPr="00C608A6">
        <w:t>œuvre</w:t>
      </w:r>
      <w:r w:rsidRPr="00C608A6">
        <w:t xml:space="preserve"> de technologies</w:t>
      </w:r>
      <w:r w:rsidR="005D08A2" w:rsidRPr="00C608A6">
        <w:t> </w:t>
      </w:r>
      <w:r w:rsidRPr="00C608A6">
        <w:t>OSG ou non OSG dans les bandes de fréquences inférieures à 30 GHz, conformément au numéro</w:t>
      </w:r>
      <w:r w:rsidR="00801C95" w:rsidRPr="00C608A6">
        <w:t> </w:t>
      </w:r>
      <w:r w:rsidRPr="00C608A6">
        <w:rPr>
          <w:b/>
          <w:bCs/>
        </w:rPr>
        <w:t>5.484A</w:t>
      </w:r>
      <w:r w:rsidRPr="00C608A6">
        <w:t>;</w:t>
      </w:r>
    </w:p>
    <w:p w14:paraId="1AAD6C94" w14:textId="421F4D54" w:rsidR="00113F20" w:rsidRPr="00C608A6" w:rsidRDefault="00113F20" w:rsidP="00113F20">
      <w:r w:rsidRPr="00C608A6">
        <w:rPr>
          <w:bCs/>
          <w:i/>
          <w:iCs/>
        </w:rPr>
        <w:t>i)</w:t>
      </w:r>
      <w:r w:rsidRPr="00C608A6">
        <w:rPr>
          <w:bCs/>
        </w:rPr>
        <w:tab/>
      </w:r>
      <w:r w:rsidRPr="00C608A6">
        <w:t>qu</w:t>
      </w:r>
      <w:r w:rsidR="001C57AB" w:rsidRPr="00C608A6">
        <w:t>'</w:t>
      </w:r>
      <w:r w:rsidRPr="00C608A6">
        <w:t xml:space="preserve">il est nécessaire </w:t>
      </w:r>
      <w:r w:rsidR="007632D1" w:rsidRPr="00C608A6">
        <w:t xml:space="preserve">de garantir </w:t>
      </w:r>
      <w:r w:rsidR="009165D5" w:rsidRPr="00C608A6">
        <w:t>l'utilisation</w:t>
      </w:r>
      <w:r w:rsidR="007632D1" w:rsidRPr="00C608A6">
        <w:t xml:space="preserve"> efficace </w:t>
      </w:r>
      <w:r w:rsidR="009165D5" w:rsidRPr="00C608A6">
        <w:t xml:space="preserve">des </w:t>
      </w:r>
      <w:r w:rsidR="007632D1" w:rsidRPr="00C608A6">
        <w:t xml:space="preserve">ressources spectrales sur la même fréquence pour les systèmes du SFS </w:t>
      </w:r>
      <w:r w:rsidR="009165D5" w:rsidRPr="00C608A6">
        <w:t xml:space="preserve">non OSG </w:t>
      </w:r>
      <w:r w:rsidR="007632D1" w:rsidRPr="00C608A6">
        <w:t xml:space="preserve">et les réseaux </w:t>
      </w:r>
      <w:r w:rsidRPr="00C608A6">
        <w:t>du SFS et du SRS </w:t>
      </w:r>
      <w:r w:rsidR="009165D5" w:rsidRPr="00C608A6">
        <w:t>OSG</w:t>
      </w:r>
      <w:r w:rsidRPr="00C608A6">
        <w:t>;</w:t>
      </w:r>
    </w:p>
    <w:p w14:paraId="0A2B26C3" w14:textId="45E666BB" w:rsidR="00113F20" w:rsidRPr="00C608A6" w:rsidRDefault="00113F20" w:rsidP="00113F20">
      <w:r w:rsidRPr="00C608A6">
        <w:rPr>
          <w:bCs/>
          <w:i/>
          <w:iCs/>
        </w:rPr>
        <w:t>j)</w:t>
      </w:r>
      <w:r w:rsidRPr="00C608A6">
        <w:rPr>
          <w:bCs/>
        </w:rPr>
        <w:tab/>
      </w:r>
      <w:r w:rsidRPr="00C608A6">
        <w:t>que l</w:t>
      </w:r>
      <w:r w:rsidR="007632D1" w:rsidRPr="00C608A6">
        <w:t>e climat de</w:t>
      </w:r>
      <w:r w:rsidRPr="00C608A6">
        <w:t xml:space="preserve"> certitude </w:t>
      </w:r>
      <w:r w:rsidR="007632D1" w:rsidRPr="00C608A6">
        <w:t xml:space="preserve">lié à </w:t>
      </w:r>
      <w:r w:rsidRPr="00C608A6">
        <w:t>l</w:t>
      </w:r>
      <w:r w:rsidR="001C57AB" w:rsidRPr="00C608A6">
        <w:t>'</w:t>
      </w:r>
      <w:r w:rsidRPr="00C608A6">
        <w:t xml:space="preserve">environnement de brouillage </w:t>
      </w:r>
      <w:r w:rsidR="007632D1" w:rsidRPr="00C608A6">
        <w:t>qu'ont permis d'instaurer</w:t>
      </w:r>
      <w:r w:rsidRPr="00C608A6">
        <w:t xml:space="preserve"> les limites d</w:t>
      </w:r>
      <w:r w:rsidR="001C57AB" w:rsidRPr="00C608A6">
        <w:t>'</w:t>
      </w:r>
      <w:r w:rsidRPr="00C608A6">
        <w:t xml:space="preserve">epfd a </w:t>
      </w:r>
      <w:r w:rsidR="007632D1" w:rsidRPr="00C608A6">
        <w:t>donné lieu à</w:t>
      </w:r>
      <w:r w:rsidRPr="00C608A6">
        <w:t xml:space="preserve"> des progrès technologiques </w:t>
      </w:r>
      <w:r w:rsidR="007632D1" w:rsidRPr="00C608A6">
        <w:t>jusqu'à présent,</w:t>
      </w:r>
      <w:r w:rsidRPr="00C608A6">
        <w:t xml:space="preserve"> et que des limites appropriées seront essentielles pour poursuivre l</w:t>
      </w:r>
      <w:r w:rsidR="001C57AB" w:rsidRPr="00C608A6">
        <w:t>'</w:t>
      </w:r>
      <w:r w:rsidRPr="00C608A6">
        <w:t>innovation dans le</w:t>
      </w:r>
      <w:r w:rsidR="009165D5" w:rsidRPr="00C608A6">
        <w:t xml:space="preserve"> domaine de</w:t>
      </w:r>
      <w:r w:rsidRPr="00C608A6">
        <w:t xml:space="preserve">s réseaux et </w:t>
      </w:r>
      <w:r w:rsidR="009165D5" w:rsidRPr="00C608A6">
        <w:t>d</w:t>
      </w:r>
      <w:r w:rsidR="007632D1" w:rsidRPr="00C608A6">
        <w:t xml:space="preserve">es </w:t>
      </w:r>
      <w:r w:rsidRPr="00C608A6">
        <w:t>services OSG et non OSG;</w:t>
      </w:r>
    </w:p>
    <w:p w14:paraId="347AB4C6" w14:textId="5C8E6B47" w:rsidR="00113F20" w:rsidRPr="00C608A6" w:rsidRDefault="00113F20" w:rsidP="00113F20">
      <w:r w:rsidRPr="00C608A6">
        <w:rPr>
          <w:bCs/>
          <w:i/>
          <w:iCs/>
        </w:rPr>
        <w:t>k)</w:t>
      </w:r>
      <w:r w:rsidRPr="00C608A6">
        <w:rPr>
          <w:bCs/>
        </w:rPr>
        <w:tab/>
      </w:r>
      <w:r w:rsidRPr="00C608A6">
        <w:t xml:space="preserve">que les systèmes du SFS </w:t>
      </w:r>
      <w:r w:rsidR="009165D5" w:rsidRPr="00C608A6">
        <w:t xml:space="preserve">non OSG </w:t>
      </w:r>
      <w:r w:rsidRPr="00C608A6">
        <w:t>pourraient faire l</w:t>
      </w:r>
      <w:r w:rsidR="001C57AB" w:rsidRPr="00C608A6">
        <w:t>'</w:t>
      </w:r>
      <w:r w:rsidRPr="00C608A6">
        <w:t xml:space="preserve">objet de plusieurs </w:t>
      </w:r>
      <w:r w:rsidR="007632D1" w:rsidRPr="00C608A6">
        <w:t xml:space="preserve">fiches de </w:t>
      </w:r>
      <w:r w:rsidRPr="00C608A6">
        <w:t>notifications pour les mêmes bandes de fréquences;</w:t>
      </w:r>
    </w:p>
    <w:p w14:paraId="6275D0AA" w14:textId="19E92C87" w:rsidR="00113F20" w:rsidRPr="00C608A6" w:rsidRDefault="00113F20" w:rsidP="00113F20">
      <w:r w:rsidRPr="00C608A6">
        <w:rPr>
          <w:bCs/>
          <w:i/>
          <w:iCs/>
        </w:rPr>
        <w:t>l)</w:t>
      </w:r>
      <w:r w:rsidRPr="00C608A6">
        <w:rPr>
          <w:bCs/>
        </w:rPr>
        <w:tab/>
      </w:r>
      <w:r w:rsidRPr="00C608A6">
        <w:t>qu</w:t>
      </w:r>
      <w:r w:rsidR="001C57AB" w:rsidRPr="00C608A6">
        <w:t>'</w:t>
      </w:r>
      <w:r w:rsidRPr="00C608A6">
        <w:t>à l</w:t>
      </w:r>
      <w:r w:rsidR="001C57AB" w:rsidRPr="00C608A6">
        <w:t>'</w:t>
      </w:r>
      <w:r w:rsidRPr="00C608A6">
        <w:t>heure actuelle, le Bureau des radiocommunications (le Bureau) évalue la conformité avec l</w:t>
      </w:r>
      <w:r w:rsidR="007632D1" w:rsidRPr="00C608A6">
        <w:t xml:space="preserve">es limites de l'Article </w:t>
      </w:r>
      <w:r w:rsidR="007632D1" w:rsidRPr="00C608A6">
        <w:rPr>
          <w:b/>
          <w:bCs/>
        </w:rPr>
        <w:t>22</w:t>
      </w:r>
      <w:r w:rsidR="007632D1" w:rsidRPr="00C608A6">
        <w:t xml:space="preserve"> </w:t>
      </w:r>
      <w:r w:rsidRPr="00C608A6">
        <w:t>pour une seule source de brouillage</w:t>
      </w:r>
      <w:r w:rsidR="00801C95" w:rsidRPr="00C608A6">
        <w:t xml:space="preserve"> </w:t>
      </w:r>
      <w:r w:rsidR="007632D1" w:rsidRPr="00C608A6">
        <w:t>sur la base de</w:t>
      </w:r>
      <w:r w:rsidRPr="00C608A6">
        <w:t xml:space="preserve"> </w:t>
      </w:r>
      <w:r w:rsidR="007632D1" w:rsidRPr="00C608A6">
        <w:t xml:space="preserve">fiches de </w:t>
      </w:r>
      <w:r w:rsidRPr="00C608A6">
        <w:t>notification</w:t>
      </w:r>
      <w:r w:rsidR="007632D1" w:rsidRPr="00C608A6">
        <w:t xml:space="preserve"> individuelles</w:t>
      </w:r>
      <w:r w:rsidRPr="00C608A6">
        <w:t>;</w:t>
      </w:r>
    </w:p>
    <w:p w14:paraId="354281FF" w14:textId="21C9FA27" w:rsidR="007E5B23" w:rsidRPr="00C608A6" w:rsidRDefault="00113F20" w:rsidP="00113F20">
      <w:r w:rsidRPr="00C608A6">
        <w:rPr>
          <w:bCs/>
          <w:i/>
          <w:iCs/>
        </w:rPr>
        <w:t>m)</w:t>
      </w:r>
      <w:r w:rsidRPr="00C608A6">
        <w:rPr>
          <w:bCs/>
        </w:rPr>
        <w:tab/>
        <w:t xml:space="preserve">que les systèmes du SFS </w:t>
      </w:r>
      <w:r w:rsidR="009165D5" w:rsidRPr="00C608A6">
        <w:rPr>
          <w:bCs/>
        </w:rPr>
        <w:t xml:space="preserve">OSG et non OSG </w:t>
      </w:r>
      <w:r w:rsidRPr="00C608A6">
        <w:rPr>
          <w:bCs/>
        </w:rPr>
        <w:t>pourraient bénéficier d</w:t>
      </w:r>
      <w:r w:rsidR="001C57AB" w:rsidRPr="00C608A6">
        <w:rPr>
          <w:bCs/>
        </w:rPr>
        <w:t>'</w:t>
      </w:r>
      <w:r w:rsidRPr="00C608A6">
        <w:rPr>
          <w:bCs/>
        </w:rPr>
        <w:t xml:space="preserve">un examen actualisé de la mise en </w:t>
      </w:r>
      <w:r w:rsidR="007D0818" w:rsidRPr="00C608A6">
        <w:rPr>
          <w:bCs/>
        </w:rPr>
        <w:t>œuvre</w:t>
      </w:r>
      <w:r w:rsidRPr="00C608A6">
        <w:rPr>
          <w:bCs/>
        </w:rPr>
        <w:t xml:space="preserve"> </w:t>
      </w:r>
      <w:r w:rsidR="007D0818" w:rsidRPr="00C608A6">
        <w:rPr>
          <w:bCs/>
        </w:rPr>
        <w:t>des limites</w:t>
      </w:r>
      <w:r w:rsidRPr="00C608A6">
        <w:rPr>
          <w:bCs/>
        </w:rPr>
        <w:t xml:space="preserve"> d</w:t>
      </w:r>
      <w:r w:rsidR="001C57AB" w:rsidRPr="00C608A6">
        <w:rPr>
          <w:bCs/>
        </w:rPr>
        <w:t>'</w:t>
      </w:r>
      <w:r w:rsidRPr="00C608A6">
        <w:rPr>
          <w:bCs/>
        </w:rPr>
        <w:t xml:space="preserve">epfd </w:t>
      </w:r>
      <w:r w:rsidR="007D0818" w:rsidRPr="00C608A6">
        <w:rPr>
          <w:bCs/>
        </w:rPr>
        <w:t xml:space="preserve">de l'Article </w:t>
      </w:r>
      <w:r w:rsidR="007D0818" w:rsidRPr="00C608A6">
        <w:rPr>
          <w:b/>
        </w:rPr>
        <w:t>22</w:t>
      </w:r>
      <w:r w:rsidR="007D0818" w:rsidRPr="00C608A6">
        <w:rPr>
          <w:bCs/>
        </w:rPr>
        <w:t xml:space="preserve">, conformément au </w:t>
      </w:r>
      <w:r w:rsidRPr="00C608A6">
        <w:rPr>
          <w:bCs/>
        </w:rPr>
        <w:t xml:space="preserve">numéro </w:t>
      </w:r>
      <w:r w:rsidRPr="00C608A6">
        <w:rPr>
          <w:b/>
        </w:rPr>
        <w:t>22.2</w:t>
      </w:r>
      <w:r w:rsidRPr="00C608A6">
        <w:rPr>
          <w:bCs/>
        </w:rPr>
        <w:t>,</w:t>
      </w:r>
    </w:p>
    <w:p w14:paraId="3B53A2B7" w14:textId="10D11F3D" w:rsidR="007E5B23" w:rsidRPr="00C608A6" w:rsidRDefault="00113F20" w:rsidP="007E5B23">
      <w:pPr>
        <w:pStyle w:val="Call"/>
      </w:pPr>
      <w:r w:rsidRPr="00C608A6">
        <w:t>notant</w:t>
      </w:r>
    </w:p>
    <w:p w14:paraId="54521689" w14:textId="0549D979" w:rsidR="007E5B23" w:rsidRPr="00C608A6" w:rsidRDefault="00113F20" w:rsidP="007E5B23">
      <w:r w:rsidRPr="00C608A6">
        <w:t>que les Recommandations UIT-R S.1323, UIT-R S.1325, UIT-R S.1328, UIT-R S.1529</w:t>
      </w:r>
      <w:r w:rsidR="001C19F2" w:rsidRPr="00C608A6">
        <w:t xml:space="preserve">, </w:t>
      </w:r>
      <w:r w:rsidRPr="00C608A6">
        <w:t>UIT</w:t>
      </w:r>
      <w:r w:rsidR="00801C95" w:rsidRPr="00C608A6">
        <w:noBreakHyphen/>
      </w:r>
      <w:r w:rsidRPr="00C608A6">
        <w:t>R</w:t>
      </w:r>
      <w:r w:rsidR="00801C95" w:rsidRPr="00C608A6">
        <w:t> </w:t>
      </w:r>
      <w:r w:rsidRPr="00C608A6">
        <w:t xml:space="preserve">S.1557 et UIT-R S.2131, </w:t>
      </w:r>
      <w:r w:rsidR="001C19F2" w:rsidRPr="00C608A6">
        <w:t>notamment, fournissent</w:t>
      </w:r>
      <w:r w:rsidRPr="00C608A6">
        <w:t xml:space="preserve"> des informations sur les caractéristiques des systèmes, les exigences opérationnelles et les critères de protection susceptibles d</w:t>
      </w:r>
      <w:r w:rsidR="001C57AB" w:rsidRPr="00C608A6">
        <w:t>'</w:t>
      </w:r>
      <w:r w:rsidRPr="00C608A6">
        <w:t>être utilisés dans les études de partage</w:t>
      </w:r>
      <w:r w:rsidR="007E5B23" w:rsidRPr="00C608A6">
        <w:t>,</w:t>
      </w:r>
    </w:p>
    <w:p w14:paraId="043BA5F2" w14:textId="24B309AE" w:rsidR="007E5B23" w:rsidRPr="00C608A6" w:rsidRDefault="007E5B23" w:rsidP="007E5B23">
      <w:pPr>
        <w:pStyle w:val="Call"/>
      </w:pPr>
      <w:r w:rsidRPr="00C608A6">
        <w:t>reconnaissant</w:t>
      </w:r>
    </w:p>
    <w:p w14:paraId="5446F9CA" w14:textId="1FB5E430" w:rsidR="00113F20" w:rsidRPr="00C608A6" w:rsidRDefault="007E5B23" w:rsidP="00113F20">
      <w:r w:rsidRPr="00C608A6">
        <w:rPr>
          <w:i/>
          <w:iCs/>
        </w:rPr>
        <w:t>a)</w:t>
      </w:r>
      <w:r w:rsidRPr="00C608A6">
        <w:tab/>
      </w:r>
      <w:r w:rsidR="00113F20" w:rsidRPr="00C608A6">
        <w:t>que</w:t>
      </w:r>
      <w:r w:rsidR="00E7319C" w:rsidRPr="00C608A6">
        <w:t xml:space="preserve"> conformément au numéro</w:t>
      </w:r>
      <w:r w:rsidR="00113F20" w:rsidRPr="00C608A6">
        <w:t xml:space="preserve"> </w:t>
      </w:r>
      <w:r w:rsidR="00113F20" w:rsidRPr="00C608A6">
        <w:rPr>
          <w:b/>
          <w:bCs/>
        </w:rPr>
        <w:t>22.2</w:t>
      </w:r>
      <w:r w:rsidR="00113F20" w:rsidRPr="00C608A6">
        <w:t xml:space="preserve">, les systèmes </w:t>
      </w:r>
      <w:r w:rsidR="00A130FD" w:rsidRPr="00C608A6">
        <w:t>à satellites non géostationnaires</w:t>
      </w:r>
      <w:r w:rsidR="00113F20" w:rsidRPr="00C608A6">
        <w:t xml:space="preserve"> ne doivent pas causer de brouillage</w:t>
      </w:r>
      <w:r w:rsidR="00E7319C" w:rsidRPr="00C608A6">
        <w:t>s</w:t>
      </w:r>
      <w:r w:rsidR="00113F20" w:rsidRPr="00C608A6">
        <w:t xml:space="preserve"> inacceptable</w:t>
      </w:r>
      <w:r w:rsidR="00E7319C" w:rsidRPr="00C608A6">
        <w:t>s</w:t>
      </w:r>
      <w:r w:rsidR="00113F20" w:rsidRPr="00C608A6">
        <w:t xml:space="preserve"> aux réseaux à satellite géostationnaire du SFS et du</w:t>
      </w:r>
      <w:r w:rsidR="005D08A2" w:rsidRPr="00C608A6">
        <w:t> </w:t>
      </w:r>
      <w:r w:rsidR="00113F20" w:rsidRPr="00C608A6">
        <w:t xml:space="preserve">SRS </w:t>
      </w:r>
      <w:r w:rsidR="00A130FD" w:rsidRPr="00C608A6">
        <w:t xml:space="preserve">et ne doivent pas </w:t>
      </w:r>
      <w:r w:rsidR="00113F20" w:rsidRPr="00C608A6">
        <w:t xml:space="preserve">demander à </w:t>
      </w:r>
      <w:r w:rsidR="00E7319C" w:rsidRPr="00C608A6">
        <w:t xml:space="preserve">bénéficier d'une protection </w:t>
      </w:r>
      <w:r w:rsidR="00113F20" w:rsidRPr="00C608A6">
        <w:t>vis-à-vis de ces réseaux;</w:t>
      </w:r>
    </w:p>
    <w:p w14:paraId="41E98FCD" w14:textId="4C02F48F" w:rsidR="00113F20" w:rsidRPr="00C608A6" w:rsidRDefault="00113F20" w:rsidP="00113F20">
      <w:r w:rsidRPr="00C608A6">
        <w:rPr>
          <w:bCs/>
          <w:i/>
          <w:iCs/>
        </w:rPr>
        <w:t>b)</w:t>
      </w:r>
      <w:r w:rsidRPr="00C608A6">
        <w:rPr>
          <w:bCs/>
        </w:rPr>
        <w:tab/>
      </w:r>
      <w:r w:rsidRPr="00C608A6">
        <w:t xml:space="preserve">que </w:t>
      </w:r>
      <w:r w:rsidR="00E7319C" w:rsidRPr="00C608A6">
        <w:t xml:space="preserve">les limites d'epfd établies dans </w:t>
      </w:r>
      <w:r w:rsidRPr="00C608A6">
        <w:t>l</w:t>
      </w:r>
      <w:r w:rsidR="001C57AB" w:rsidRPr="00C608A6">
        <w:t>'</w:t>
      </w:r>
      <w:r w:rsidR="00E7319C" w:rsidRPr="00C608A6">
        <w:t>A</w:t>
      </w:r>
      <w:r w:rsidRPr="00C608A6">
        <w:t xml:space="preserve">rticle </w:t>
      </w:r>
      <w:r w:rsidRPr="00C608A6">
        <w:rPr>
          <w:b/>
          <w:bCs/>
        </w:rPr>
        <w:t xml:space="preserve">22 </w:t>
      </w:r>
      <w:r w:rsidRPr="00C608A6">
        <w:rPr>
          <w:bCs/>
        </w:rPr>
        <w:t xml:space="preserve">et </w:t>
      </w:r>
      <w:r w:rsidR="0031715C" w:rsidRPr="00C608A6">
        <w:rPr>
          <w:bCs/>
        </w:rPr>
        <w:t xml:space="preserve">dans </w:t>
      </w:r>
      <w:r w:rsidR="00E7319C" w:rsidRPr="00C608A6">
        <w:rPr>
          <w:bCs/>
        </w:rPr>
        <w:t xml:space="preserve">la </w:t>
      </w:r>
      <w:r w:rsidRPr="00C608A6">
        <w:rPr>
          <w:bCs/>
        </w:rPr>
        <w:t xml:space="preserve">Résolution </w:t>
      </w:r>
      <w:r w:rsidRPr="00C608A6">
        <w:rPr>
          <w:b/>
        </w:rPr>
        <w:t>76 (Rév.CMR-15)</w:t>
      </w:r>
      <w:r w:rsidRPr="00C608A6">
        <w:rPr>
          <w:bCs/>
        </w:rPr>
        <w:t xml:space="preserve"> </w:t>
      </w:r>
      <w:r w:rsidRPr="00C608A6">
        <w:t>s</w:t>
      </w:r>
      <w:r w:rsidR="001C57AB" w:rsidRPr="00C608A6">
        <w:t>'</w:t>
      </w:r>
      <w:r w:rsidRPr="00C608A6">
        <w:t xml:space="preserve">appliquent aux systèmes du SFS </w:t>
      </w:r>
      <w:r w:rsidR="00A130FD" w:rsidRPr="00C608A6">
        <w:t xml:space="preserve">non OSG </w:t>
      </w:r>
      <w:r w:rsidRPr="00C608A6">
        <w:t xml:space="preserve">afin de protéger les réseaux à satellite OSG du SFS et du SRS contre les </w:t>
      </w:r>
      <w:r w:rsidR="0031715C" w:rsidRPr="00C608A6">
        <w:t>brouillages</w:t>
      </w:r>
      <w:r w:rsidRPr="00C608A6">
        <w:t xml:space="preserve"> inacceptables </w:t>
      </w:r>
      <w:r w:rsidR="0031715C" w:rsidRPr="00C608A6">
        <w:t>causés par des</w:t>
      </w:r>
      <w:r w:rsidRPr="00C608A6">
        <w:t xml:space="preserve"> systèmes à satellites non OSG du SFS;</w:t>
      </w:r>
    </w:p>
    <w:p w14:paraId="383E8803" w14:textId="2BA8E0F2" w:rsidR="00113F20" w:rsidRPr="00C608A6" w:rsidRDefault="00113F20" w:rsidP="00113F20">
      <w:pPr>
        <w:rPr>
          <w:rFonts w:eastAsia="BatangChe"/>
          <w:szCs w:val="24"/>
        </w:rPr>
      </w:pPr>
      <w:r w:rsidRPr="00C608A6">
        <w:rPr>
          <w:bCs/>
          <w:i/>
          <w:iCs/>
        </w:rPr>
        <w:t>c)</w:t>
      </w:r>
      <w:r w:rsidRPr="00C608A6">
        <w:rPr>
          <w:bCs/>
        </w:rPr>
        <w:tab/>
      </w:r>
      <w:r w:rsidRPr="00C608A6">
        <w:rPr>
          <w:szCs w:val="24"/>
        </w:rPr>
        <w:t>que la CMR-2000 a adopté des dispositions, y compris des limites d</w:t>
      </w:r>
      <w:r w:rsidR="001C57AB" w:rsidRPr="00C608A6">
        <w:rPr>
          <w:szCs w:val="24"/>
        </w:rPr>
        <w:t>'</w:t>
      </w:r>
      <w:r w:rsidRPr="00C608A6">
        <w:rPr>
          <w:szCs w:val="24"/>
        </w:rPr>
        <w:t>epfd</w:t>
      </w:r>
      <w:r w:rsidR="0031715C" w:rsidRPr="00C608A6">
        <w:rPr>
          <w:szCs w:val="24"/>
        </w:rPr>
        <w:t>,</w:t>
      </w:r>
      <w:r w:rsidRPr="00C608A6">
        <w:rPr>
          <w:szCs w:val="24"/>
        </w:rPr>
        <w:t xml:space="preserve"> dans les dispositions pertinentes du numéro</w:t>
      </w:r>
      <w:r w:rsidR="00C16BC4" w:rsidRPr="00C608A6">
        <w:rPr>
          <w:b/>
          <w:bCs/>
          <w:szCs w:val="24"/>
        </w:rPr>
        <w:t xml:space="preserve"> </w:t>
      </w:r>
      <w:r w:rsidRPr="00C608A6">
        <w:rPr>
          <w:b/>
          <w:bCs/>
          <w:szCs w:val="24"/>
        </w:rPr>
        <w:t>22.5</w:t>
      </w:r>
      <w:r w:rsidR="0031715C" w:rsidRPr="00C608A6">
        <w:rPr>
          <w:szCs w:val="24"/>
        </w:rPr>
        <w:t xml:space="preserve"> visant à </w:t>
      </w:r>
      <w:r w:rsidRPr="00C608A6">
        <w:rPr>
          <w:szCs w:val="24"/>
        </w:rPr>
        <w:t>quantifier</w:t>
      </w:r>
      <w:r w:rsidR="0031715C" w:rsidRPr="00C608A6">
        <w:rPr>
          <w:szCs w:val="24"/>
        </w:rPr>
        <w:t xml:space="preserve"> le contenu du numéro</w:t>
      </w:r>
      <w:r w:rsidRPr="00C608A6">
        <w:rPr>
          <w:szCs w:val="24"/>
        </w:rPr>
        <w:t xml:space="preserve"> </w:t>
      </w:r>
      <w:r w:rsidRPr="00C608A6">
        <w:rPr>
          <w:b/>
          <w:bCs/>
          <w:szCs w:val="24"/>
        </w:rPr>
        <w:t>22.2</w:t>
      </w:r>
      <w:r w:rsidR="0031715C" w:rsidRPr="00C608A6">
        <w:rPr>
          <w:szCs w:val="24"/>
        </w:rPr>
        <w:t>,</w:t>
      </w:r>
      <w:r w:rsidRPr="00C608A6">
        <w:rPr>
          <w:szCs w:val="24"/>
        </w:rPr>
        <w:t xml:space="preserve"> afin de protéger les réseaux à satellite OSG du SFS et du SRS vis-à-vis des systèmes à satellites non OSG du SFS dans les bandes de fréquences au-dessous de 30 GHz dans lesquelles</w:t>
      </w:r>
      <w:r w:rsidR="0031715C" w:rsidRPr="00C608A6">
        <w:rPr>
          <w:szCs w:val="24"/>
        </w:rPr>
        <w:t xml:space="preserve"> les</w:t>
      </w:r>
      <w:r w:rsidRPr="00C608A6">
        <w:rPr>
          <w:szCs w:val="24"/>
        </w:rPr>
        <w:t xml:space="preserve"> limites d</w:t>
      </w:r>
      <w:r w:rsidR="001C57AB" w:rsidRPr="00C608A6">
        <w:rPr>
          <w:szCs w:val="24"/>
        </w:rPr>
        <w:t>'</w:t>
      </w:r>
      <w:r w:rsidRPr="00C608A6">
        <w:rPr>
          <w:szCs w:val="24"/>
        </w:rPr>
        <w:t>epfd</w:t>
      </w:r>
      <w:r w:rsidR="0031715C" w:rsidRPr="00C608A6">
        <w:rPr>
          <w:szCs w:val="24"/>
        </w:rPr>
        <w:t xml:space="preserve"> de</w:t>
      </w:r>
      <w:r w:rsidRPr="00C608A6">
        <w:rPr>
          <w:szCs w:val="24"/>
        </w:rPr>
        <w:t xml:space="preserve"> </w:t>
      </w:r>
      <w:r w:rsidR="0031715C" w:rsidRPr="00C608A6">
        <w:rPr>
          <w:szCs w:val="24"/>
        </w:rPr>
        <w:t>l'Article</w:t>
      </w:r>
      <w:r w:rsidR="00C16BC4" w:rsidRPr="00C608A6">
        <w:rPr>
          <w:szCs w:val="24"/>
        </w:rPr>
        <w:t> </w:t>
      </w:r>
      <w:r w:rsidR="0031715C" w:rsidRPr="00C608A6">
        <w:rPr>
          <w:b/>
          <w:bCs/>
          <w:szCs w:val="24"/>
        </w:rPr>
        <w:t>22</w:t>
      </w:r>
      <w:r w:rsidR="0031715C" w:rsidRPr="00C608A6">
        <w:rPr>
          <w:szCs w:val="24"/>
        </w:rPr>
        <w:t xml:space="preserve"> </w:t>
      </w:r>
      <w:r w:rsidRPr="00C608A6">
        <w:rPr>
          <w:szCs w:val="24"/>
        </w:rPr>
        <w:t>s</w:t>
      </w:r>
      <w:r w:rsidR="001C57AB" w:rsidRPr="00C608A6">
        <w:rPr>
          <w:szCs w:val="24"/>
        </w:rPr>
        <w:t>'</w:t>
      </w:r>
      <w:r w:rsidRPr="00C608A6">
        <w:rPr>
          <w:szCs w:val="24"/>
        </w:rPr>
        <w:t>appliquent</w:t>
      </w:r>
      <w:r w:rsidRPr="00C608A6">
        <w:rPr>
          <w:rFonts w:eastAsia="BatangChe"/>
          <w:szCs w:val="24"/>
        </w:rPr>
        <w:t>;</w:t>
      </w:r>
    </w:p>
    <w:p w14:paraId="51F49B14" w14:textId="57BDAF86" w:rsidR="00113F20" w:rsidRPr="00C608A6" w:rsidRDefault="00113F20" w:rsidP="00113F20">
      <w:r w:rsidRPr="00C608A6">
        <w:rPr>
          <w:bCs/>
          <w:i/>
          <w:iCs/>
        </w:rPr>
        <w:t>d)</w:t>
      </w:r>
      <w:r w:rsidR="0031715C" w:rsidRPr="00C608A6">
        <w:rPr>
          <w:bCs/>
        </w:rPr>
        <w:tab/>
        <w:t>que l'</w:t>
      </w:r>
      <w:r w:rsidRPr="00C608A6">
        <w:rPr>
          <w:bCs/>
        </w:rPr>
        <w:t xml:space="preserve">Article </w:t>
      </w:r>
      <w:r w:rsidRPr="00C608A6">
        <w:rPr>
          <w:b/>
          <w:bCs/>
        </w:rPr>
        <w:t>22</w:t>
      </w:r>
      <w:r w:rsidRPr="00C608A6">
        <w:rPr>
          <w:bCs/>
        </w:rPr>
        <w:t xml:space="preserve"> et</w:t>
      </w:r>
      <w:r w:rsidR="0031715C" w:rsidRPr="00C608A6">
        <w:rPr>
          <w:bCs/>
        </w:rPr>
        <w:t xml:space="preserve"> la</w:t>
      </w:r>
      <w:r w:rsidRPr="00C608A6">
        <w:rPr>
          <w:bCs/>
        </w:rPr>
        <w:t xml:space="preserve"> Résolution </w:t>
      </w:r>
      <w:r w:rsidRPr="00C608A6">
        <w:rPr>
          <w:b/>
        </w:rPr>
        <w:t>76 (Rév.CMR-15)</w:t>
      </w:r>
      <w:r w:rsidRPr="00C608A6">
        <w:rPr>
          <w:bCs/>
        </w:rPr>
        <w:t xml:space="preserve"> du Règlement des radiocommunications contien</w:t>
      </w:r>
      <w:r w:rsidR="0031715C" w:rsidRPr="00C608A6">
        <w:rPr>
          <w:bCs/>
        </w:rPr>
        <w:t>nen</w:t>
      </w:r>
      <w:r w:rsidRPr="00C608A6">
        <w:rPr>
          <w:bCs/>
        </w:rPr>
        <w:t xml:space="preserve">t des dispositions qui portent sur la puissance surfacique équivalente sur </w:t>
      </w:r>
      <w:r w:rsidR="0031715C" w:rsidRPr="00C608A6">
        <w:rPr>
          <w:bCs/>
        </w:rPr>
        <w:t>la</w:t>
      </w:r>
      <w:r w:rsidRPr="00C608A6">
        <w:rPr>
          <w:bCs/>
        </w:rPr>
        <w:t xml:space="preserve"> liaison</w:t>
      </w:r>
      <w:r w:rsidR="0031715C" w:rsidRPr="00C608A6">
        <w:rPr>
          <w:bCs/>
        </w:rPr>
        <w:t xml:space="preserve"> </w:t>
      </w:r>
      <w:r w:rsidRPr="00C608A6">
        <w:rPr>
          <w:bCs/>
        </w:rPr>
        <w:t>montante, l</w:t>
      </w:r>
      <w:r w:rsidR="0031715C" w:rsidRPr="00C608A6">
        <w:rPr>
          <w:bCs/>
        </w:rPr>
        <w:t xml:space="preserve">a </w:t>
      </w:r>
      <w:r w:rsidRPr="00C608A6">
        <w:rPr>
          <w:bCs/>
        </w:rPr>
        <w:t>liaison</w:t>
      </w:r>
      <w:r w:rsidR="0031715C" w:rsidRPr="00C608A6">
        <w:rPr>
          <w:bCs/>
        </w:rPr>
        <w:t xml:space="preserve"> </w:t>
      </w:r>
      <w:r w:rsidRPr="00C608A6">
        <w:rPr>
          <w:bCs/>
        </w:rPr>
        <w:t>descendante</w:t>
      </w:r>
      <w:r w:rsidR="0031715C" w:rsidRPr="00C608A6">
        <w:rPr>
          <w:bCs/>
        </w:rPr>
        <w:t xml:space="preserve"> </w:t>
      </w:r>
      <w:r w:rsidRPr="00C608A6">
        <w:rPr>
          <w:bCs/>
        </w:rPr>
        <w:t>et les liaisons inter-satellite</w:t>
      </w:r>
      <w:r w:rsidR="0031715C" w:rsidRPr="00C608A6">
        <w:rPr>
          <w:bCs/>
        </w:rPr>
        <w:t>s (epfd↑, epfd↓, et epfd</w:t>
      </w:r>
      <w:r w:rsidR="0031715C" w:rsidRPr="00C608A6">
        <w:rPr>
          <w:bCs/>
          <w:vertAlign w:val="subscript"/>
        </w:rPr>
        <w:t>is</w:t>
      </w:r>
      <w:r w:rsidR="0031715C" w:rsidRPr="00C608A6">
        <w:rPr>
          <w:bCs/>
        </w:rPr>
        <w:t>)</w:t>
      </w:r>
      <w:r w:rsidRPr="00C608A6">
        <w:rPr>
          <w:bCs/>
        </w:rPr>
        <w:t>; et qu</w:t>
      </w:r>
      <w:r w:rsidR="001C57AB" w:rsidRPr="00C608A6">
        <w:rPr>
          <w:bCs/>
        </w:rPr>
        <w:t>'</w:t>
      </w:r>
      <w:r w:rsidRPr="00C608A6">
        <w:rPr>
          <w:bCs/>
        </w:rPr>
        <w:t xml:space="preserve">une administration exploitant un système du SFS </w:t>
      </w:r>
      <w:r w:rsidR="00A130FD" w:rsidRPr="00C608A6">
        <w:rPr>
          <w:bCs/>
        </w:rPr>
        <w:t xml:space="preserve">non OSG </w:t>
      </w:r>
      <w:r w:rsidRPr="00C608A6">
        <w:rPr>
          <w:bCs/>
        </w:rPr>
        <w:t xml:space="preserve">conformément à ces limites est </w:t>
      </w:r>
      <w:r w:rsidR="0031715C" w:rsidRPr="00C608A6">
        <w:rPr>
          <w:bCs/>
        </w:rPr>
        <w:t xml:space="preserve">réputée avoir </w:t>
      </w:r>
      <w:r w:rsidRPr="00C608A6">
        <w:rPr>
          <w:bCs/>
        </w:rPr>
        <w:t xml:space="preserve">rempli ses obligations au titre du numéro </w:t>
      </w:r>
      <w:r w:rsidRPr="00C608A6">
        <w:rPr>
          <w:b/>
        </w:rPr>
        <w:t>22.2</w:t>
      </w:r>
      <w:r w:rsidRPr="00C608A6">
        <w:rPr>
          <w:bCs/>
        </w:rPr>
        <w:t>;</w:t>
      </w:r>
    </w:p>
    <w:p w14:paraId="2FEE2CC0" w14:textId="6C7F954C" w:rsidR="00113F20" w:rsidRPr="00C608A6" w:rsidRDefault="00113F20" w:rsidP="00113F20">
      <w:r w:rsidRPr="00C608A6">
        <w:rPr>
          <w:bCs/>
          <w:i/>
          <w:iCs/>
        </w:rPr>
        <w:t>e)</w:t>
      </w:r>
      <w:r w:rsidRPr="00C608A6">
        <w:rPr>
          <w:bCs/>
        </w:rPr>
        <w:tab/>
        <w:t xml:space="preserve">que toute révision </w:t>
      </w:r>
      <w:r w:rsidR="0031715C" w:rsidRPr="00C608A6">
        <w:rPr>
          <w:bCs/>
        </w:rPr>
        <w:t xml:space="preserve">des </w:t>
      </w:r>
      <w:r w:rsidRPr="00C608A6">
        <w:rPr>
          <w:bCs/>
        </w:rPr>
        <w:t>limites d</w:t>
      </w:r>
      <w:r w:rsidR="001C57AB" w:rsidRPr="00C608A6">
        <w:rPr>
          <w:bCs/>
        </w:rPr>
        <w:t>'</w:t>
      </w:r>
      <w:r w:rsidRPr="00C608A6">
        <w:rPr>
          <w:bCs/>
        </w:rPr>
        <w:t xml:space="preserve">epfd </w:t>
      </w:r>
      <w:r w:rsidR="0031715C" w:rsidRPr="00C608A6">
        <w:rPr>
          <w:bCs/>
        </w:rPr>
        <w:t xml:space="preserve">de l'Article </w:t>
      </w:r>
      <w:r w:rsidR="0031715C" w:rsidRPr="00C608A6">
        <w:rPr>
          <w:b/>
        </w:rPr>
        <w:t>22</w:t>
      </w:r>
      <w:r w:rsidR="0031715C" w:rsidRPr="00C608A6">
        <w:rPr>
          <w:bCs/>
        </w:rPr>
        <w:t xml:space="preserve"> doit </w:t>
      </w:r>
      <w:r w:rsidR="00C7737F" w:rsidRPr="00C608A6">
        <w:rPr>
          <w:bCs/>
        </w:rPr>
        <w:t xml:space="preserve">permettre de </w:t>
      </w:r>
      <w:r w:rsidRPr="00C608A6">
        <w:rPr>
          <w:bCs/>
        </w:rPr>
        <w:t xml:space="preserve">protéger les réseaux à satellite OSG du SFS et du SRS, conformément au numéro </w:t>
      </w:r>
      <w:r w:rsidRPr="00C608A6">
        <w:rPr>
          <w:b/>
        </w:rPr>
        <w:t>22.2</w:t>
      </w:r>
      <w:r w:rsidRPr="00C608A6">
        <w:rPr>
          <w:bCs/>
        </w:rPr>
        <w:t>;</w:t>
      </w:r>
    </w:p>
    <w:p w14:paraId="5F379D76" w14:textId="7C914675" w:rsidR="00113F20" w:rsidRPr="00C608A6" w:rsidRDefault="00113F20" w:rsidP="00113F20">
      <w:r w:rsidRPr="00C608A6">
        <w:rPr>
          <w:bCs/>
          <w:i/>
          <w:iCs/>
        </w:rPr>
        <w:t>f)</w:t>
      </w:r>
      <w:r w:rsidRPr="00C608A6">
        <w:rPr>
          <w:bCs/>
        </w:rPr>
        <w:tab/>
      </w:r>
      <w:r w:rsidRPr="00C608A6">
        <w:t xml:space="preserve">que la CMR-2000 </w:t>
      </w:r>
      <w:r w:rsidR="00C7737F" w:rsidRPr="00C608A6">
        <w:t xml:space="preserve">est convenue </w:t>
      </w:r>
      <w:r w:rsidRPr="00C608A6">
        <w:t>qu</w:t>
      </w:r>
      <w:r w:rsidR="001C57AB" w:rsidRPr="00C608A6">
        <w:t>'</w:t>
      </w:r>
      <w:r w:rsidRPr="00C608A6">
        <w:t xml:space="preserve">une protection supplémentaire </w:t>
      </w:r>
      <w:r w:rsidR="00C7737F" w:rsidRPr="00C608A6">
        <w:t xml:space="preserve">supérieure </w:t>
      </w:r>
      <w:r w:rsidRPr="00C608A6">
        <w:t xml:space="preserve">à celle </w:t>
      </w:r>
      <w:r w:rsidR="00C7737F" w:rsidRPr="00C608A6">
        <w:t>permise par les limites d'</w:t>
      </w:r>
      <w:r w:rsidRPr="00C608A6">
        <w:t>epfd</w:t>
      </w:r>
      <w:r w:rsidRPr="00C608A6">
        <w:rPr>
          <w:vertAlign w:val="subscript"/>
        </w:rPr>
        <w:sym w:font="Symbol" w:char="F0AF"/>
      </w:r>
      <w:r w:rsidR="00C7737F" w:rsidRPr="00C608A6">
        <w:t xml:space="preserve"> </w:t>
      </w:r>
      <w:r w:rsidRPr="00C608A6">
        <w:t xml:space="preserve">dans </w:t>
      </w:r>
      <w:r w:rsidRPr="00C608A6">
        <w:rPr>
          <w:iCs/>
        </w:rPr>
        <w:t xml:space="preserve">les parties des bandes de fréquences 30/20 GHz dans lesquelles </w:t>
      </w:r>
      <w:r w:rsidR="00C7737F" w:rsidRPr="00C608A6">
        <w:rPr>
          <w:iCs/>
        </w:rPr>
        <w:t>les l</w:t>
      </w:r>
      <w:r w:rsidRPr="00C608A6">
        <w:rPr>
          <w:iCs/>
        </w:rPr>
        <w:t>imites d</w:t>
      </w:r>
      <w:r w:rsidR="001C57AB" w:rsidRPr="00C608A6">
        <w:rPr>
          <w:iCs/>
        </w:rPr>
        <w:t>'</w:t>
      </w:r>
      <w:r w:rsidRPr="00C608A6">
        <w:rPr>
          <w:iCs/>
        </w:rPr>
        <w:t>epfd</w:t>
      </w:r>
      <w:r w:rsidRPr="00C608A6">
        <w:t xml:space="preserve"> </w:t>
      </w:r>
      <w:r w:rsidR="00C7737F" w:rsidRPr="00C608A6">
        <w:t xml:space="preserve">de l'Article </w:t>
      </w:r>
      <w:r w:rsidR="00C7737F" w:rsidRPr="00C608A6">
        <w:rPr>
          <w:b/>
          <w:bCs/>
        </w:rPr>
        <w:t>22</w:t>
      </w:r>
      <w:r w:rsidR="00C7737F" w:rsidRPr="00C608A6">
        <w:t xml:space="preserve"> </w:t>
      </w:r>
      <w:r w:rsidRPr="00C608A6">
        <w:t>s</w:t>
      </w:r>
      <w:r w:rsidR="001C57AB" w:rsidRPr="00C608A6">
        <w:t>'</w:t>
      </w:r>
      <w:r w:rsidRPr="00C608A6">
        <w:t xml:space="preserve">appliquent </w:t>
      </w:r>
      <w:r w:rsidR="00C7737F" w:rsidRPr="00C608A6">
        <w:t xml:space="preserve">est nécessaire pour </w:t>
      </w:r>
      <w:r w:rsidRPr="00C608A6">
        <w:t xml:space="preserve">certains réseaux du SFS </w:t>
      </w:r>
      <w:r w:rsidR="00A130FD" w:rsidRPr="00C608A6">
        <w:t xml:space="preserve">OSG </w:t>
      </w:r>
      <w:r w:rsidR="00C7737F" w:rsidRPr="00C608A6">
        <w:t>avec</w:t>
      </w:r>
      <w:r w:rsidRPr="00C608A6">
        <w:t xml:space="preserve"> des stations terriennes de réception spécifiques </w:t>
      </w:r>
      <w:r w:rsidR="00C7737F" w:rsidRPr="00C608A6">
        <w:t>ayant</w:t>
      </w:r>
      <w:r w:rsidRPr="00C608A6">
        <w:t xml:space="preserve"> de très grandes antennes et que, pour assurer cette protection supplémentaire, la CMR-2000 a adopté une procédure permettant de déterminer la nécessité d</w:t>
      </w:r>
      <w:r w:rsidR="001C57AB" w:rsidRPr="00C608A6">
        <w:t>'</w:t>
      </w:r>
      <w:r w:rsidRPr="00C608A6">
        <w:t>une coordination au titre des numéros</w:t>
      </w:r>
      <w:r w:rsidR="00C16BC4" w:rsidRPr="00C608A6">
        <w:t xml:space="preserve"> </w:t>
      </w:r>
      <w:r w:rsidRPr="00C608A6">
        <w:rPr>
          <w:rStyle w:val="Artref"/>
          <w:b/>
          <w:bCs/>
        </w:rPr>
        <w:t>9.7A</w:t>
      </w:r>
      <w:r w:rsidRPr="00C608A6">
        <w:t xml:space="preserve"> </w:t>
      </w:r>
      <w:r w:rsidR="00C7737F" w:rsidRPr="00C608A6">
        <w:t>e</w:t>
      </w:r>
      <w:r w:rsidRPr="00C608A6">
        <w:t>t</w:t>
      </w:r>
      <w:r w:rsidR="00C16BC4" w:rsidRPr="00C608A6">
        <w:t xml:space="preserve"> </w:t>
      </w:r>
      <w:r w:rsidRPr="00C608A6">
        <w:rPr>
          <w:rStyle w:val="Artref"/>
          <w:b/>
          <w:bCs/>
        </w:rPr>
        <w:t>9</w:t>
      </w:r>
      <w:r w:rsidR="00C7737F" w:rsidRPr="00C608A6">
        <w:rPr>
          <w:rStyle w:val="Artref"/>
          <w:b/>
          <w:bCs/>
        </w:rPr>
        <w:t>.7</w:t>
      </w:r>
      <w:r w:rsidRPr="00C608A6">
        <w:rPr>
          <w:rStyle w:val="Artref"/>
          <w:b/>
          <w:bCs/>
        </w:rPr>
        <w:t>B</w:t>
      </w:r>
      <w:r w:rsidRPr="00C608A6">
        <w:t>;</w:t>
      </w:r>
    </w:p>
    <w:p w14:paraId="73A09E4B" w14:textId="3F6CBC51" w:rsidR="00113F20" w:rsidRPr="00C608A6" w:rsidRDefault="00113F20" w:rsidP="00113F20">
      <w:r w:rsidRPr="00C608A6">
        <w:rPr>
          <w:bCs/>
          <w:i/>
          <w:iCs/>
        </w:rPr>
        <w:t>g)</w:t>
      </w:r>
      <w:r w:rsidRPr="00C608A6">
        <w:rPr>
          <w:bCs/>
        </w:rPr>
        <w:tab/>
      </w:r>
      <w:r w:rsidRPr="00C608A6">
        <w:t xml:space="preserve">que la procédure </w:t>
      </w:r>
      <w:r w:rsidR="003868B4" w:rsidRPr="00C608A6">
        <w:t>permettant de déterminer si une coordination est nécessaire</w:t>
      </w:r>
      <w:r w:rsidRPr="00C608A6">
        <w:t xml:space="preserve"> au titre des numéros</w:t>
      </w:r>
      <w:r w:rsidR="00B30454" w:rsidRPr="00C608A6">
        <w:t> </w:t>
      </w:r>
      <w:r w:rsidRPr="00C608A6">
        <w:rPr>
          <w:rStyle w:val="Artref"/>
          <w:b/>
          <w:bCs/>
        </w:rPr>
        <w:t>9.7A</w:t>
      </w:r>
      <w:r w:rsidRPr="00C608A6">
        <w:t xml:space="preserve"> </w:t>
      </w:r>
      <w:r w:rsidR="00C7737F" w:rsidRPr="00C608A6">
        <w:t>e</w:t>
      </w:r>
      <w:r w:rsidRPr="00C608A6">
        <w:t>t</w:t>
      </w:r>
      <w:r w:rsidR="00B30454" w:rsidRPr="00C608A6">
        <w:t xml:space="preserve"> </w:t>
      </w:r>
      <w:r w:rsidRPr="00C608A6">
        <w:rPr>
          <w:rStyle w:val="Artref"/>
          <w:b/>
          <w:bCs/>
        </w:rPr>
        <w:t>9</w:t>
      </w:r>
      <w:r w:rsidR="00C7737F" w:rsidRPr="00C608A6">
        <w:rPr>
          <w:rStyle w:val="Artref"/>
          <w:b/>
          <w:bCs/>
        </w:rPr>
        <w:t>.</w:t>
      </w:r>
      <w:r w:rsidRPr="00C608A6">
        <w:rPr>
          <w:rStyle w:val="Artref"/>
          <w:b/>
          <w:bCs/>
        </w:rPr>
        <w:t>7B</w:t>
      </w:r>
      <w:r w:rsidRPr="00C608A6">
        <w:t xml:space="preserve"> </w:t>
      </w:r>
      <w:r w:rsidR="00C7737F" w:rsidRPr="00C608A6">
        <w:t>e</w:t>
      </w:r>
      <w:r w:rsidRPr="00C608A6">
        <w:t xml:space="preserve">st </w:t>
      </w:r>
      <w:r w:rsidRPr="00C608A6">
        <w:rPr>
          <w:lang w:eastAsia="ko-KR"/>
        </w:rPr>
        <w:t xml:space="preserve">fondée sur le chevauchement des largeurs de bande et </w:t>
      </w:r>
      <w:r w:rsidRPr="00C608A6">
        <w:t xml:space="preserve">les conditions </w:t>
      </w:r>
      <w:r w:rsidR="00C7737F" w:rsidRPr="00C608A6">
        <w:t>établies dans l'</w:t>
      </w:r>
      <w:r w:rsidRPr="00C608A6">
        <w:rPr>
          <w:bCs/>
        </w:rPr>
        <w:t>A</w:t>
      </w:r>
      <w:r w:rsidR="008F10EE" w:rsidRPr="00C608A6">
        <w:rPr>
          <w:bCs/>
        </w:rPr>
        <w:t>ppendice</w:t>
      </w:r>
      <w:r w:rsidRPr="00C608A6">
        <w:rPr>
          <w:bCs/>
        </w:rPr>
        <w:t xml:space="preserve"> </w:t>
      </w:r>
      <w:r w:rsidRPr="00C608A6">
        <w:rPr>
          <w:b/>
        </w:rPr>
        <w:t>5</w:t>
      </w:r>
      <w:r w:rsidRPr="00C608A6">
        <w:rPr>
          <w:lang w:eastAsia="ko-KR"/>
        </w:rPr>
        <w:t xml:space="preserve"> pour le gain isotrope maximal de l</w:t>
      </w:r>
      <w:r w:rsidR="001C57AB" w:rsidRPr="00C608A6">
        <w:rPr>
          <w:lang w:eastAsia="ko-KR"/>
        </w:rPr>
        <w:t>'</w:t>
      </w:r>
      <w:r w:rsidRPr="00C608A6">
        <w:rPr>
          <w:lang w:eastAsia="ko-KR"/>
        </w:rPr>
        <w:t>antenne de la station terrienne du SFS</w:t>
      </w:r>
      <w:r w:rsidR="003126C5" w:rsidRPr="00C608A6">
        <w:rPr>
          <w:lang w:eastAsia="ko-KR"/>
        </w:rPr>
        <w:t> </w:t>
      </w:r>
      <w:r w:rsidR="00A130FD" w:rsidRPr="00C608A6">
        <w:rPr>
          <w:lang w:eastAsia="ko-KR"/>
        </w:rPr>
        <w:t>OSG</w:t>
      </w:r>
      <w:r w:rsidRPr="00C608A6">
        <w:rPr>
          <w:lang w:eastAsia="ko-KR"/>
        </w:rPr>
        <w:t xml:space="preserve">, </w:t>
      </w:r>
      <w:r w:rsidR="00C7737F" w:rsidRPr="00C608A6">
        <w:rPr>
          <w:lang w:eastAsia="ko-KR"/>
        </w:rPr>
        <w:t xml:space="preserve">le facteur </w:t>
      </w:r>
      <w:r w:rsidRPr="00C608A6">
        <w:rPr>
          <w:i/>
          <w:iCs/>
          <w:lang w:eastAsia="ko-KR"/>
        </w:rPr>
        <w:t>G</w:t>
      </w:r>
      <w:r w:rsidRPr="00C608A6">
        <w:rPr>
          <w:lang w:eastAsia="ko-KR"/>
        </w:rPr>
        <w:t>/</w:t>
      </w:r>
      <w:r w:rsidRPr="00C608A6">
        <w:rPr>
          <w:i/>
          <w:iCs/>
          <w:lang w:eastAsia="ko-KR"/>
        </w:rPr>
        <w:t>T</w:t>
      </w:r>
      <w:r w:rsidRPr="00C608A6">
        <w:rPr>
          <w:lang w:eastAsia="ko-KR"/>
        </w:rPr>
        <w:t xml:space="preserve"> et</w:t>
      </w:r>
      <w:r w:rsidR="00C7737F" w:rsidRPr="00C608A6">
        <w:rPr>
          <w:lang w:eastAsia="ko-KR"/>
        </w:rPr>
        <w:t xml:space="preserve"> la</w:t>
      </w:r>
      <w:r w:rsidRPr="00C608A6">
        <w:rPr>
          <w:lang w:eastAsia="ko-KR"/>
        </w:rPr>
        <w:t xml:space="preserve"> largeur de bande d</w:t>
      </w:r>
      <w:r w:rsidR="001C57AB" w:rsidRPr="00C608A6">
        <w:rPr>
          <w:lang w:eastAsia="ko-KR"/>
        </w:rPr>
        <w:t>'</w:t>
      </w:r>
      <w:r w:rsidRPr="00C608A6">
        <w:rPr>
          <w:lang w:eastAsia="ko-KR"/>
        </w:rPr>
        <w:t xml:space="preserve">émission et </w:t>
      </w:r>
      <w:r w:rsidRPr="00C608A6">
        <w:t>l</w:t>
      </w:r>
      <w:r w:rsidR="001C57AB" w:rsidRPr="00C608A6">
        <w:t>'</w:t>
      </w:r>
      <w:r w:rsidRPr="00C608A6">
        <w:t>epfd</w:t>
      </w:r>
      <w:r w:rsidRPr="00C608A6">
        <w:rPr>
          <w:vertAlign w:val="subscript"/>
        </w:rPr>
        <w:sym w:font="Symbol" w:char="F0AF"/>
      </w:r>
      <w:r w:rsidRPr="00C608A6">
        <w:t xml:space="preserve"> rayonnée par le système à satellites non OSG du SFS vers la station terrienne utilisant la très grande antenne;</w:t>
      </w:r>
    </w:p>
    <w:p w14:paraId="73E588B2" w14:textId="42130A6C" w:rsidR="00113F20" w:rsidRPr="00C608A6" w:rsidRDefault="00113F20" w:rsidP="00113F20">
      <w:pPr>
        <w:rPr>
          <w:bCs/>
        </w:rPr>
      </w:pPr>
      <w:r w:rsidRPr="00C608A6">
        <w:rPr>
          <w:bCs/>
          <w:i/>
          <w:iCs/>
        </w:rPr>
        <w:t>h)</w:t>
      </w:r>
      <w:r w:rsidRPr="00C608A6">
        <w:rPr>
          <w:bCs/>
        </w:rPr>
        <w:tab/>
      </w:r>
      <w:r w:rsidRPr="00C608A6">
        <w:t>que la Recommandation UIT-R S.1323 fournit des informations sur les prescriptions opérationnelles et les critères de protection qui peuvent être utilisés dans les études de partage d</w:t>
      </w:r>
      <w:r w:rsidR="001C57AB" w:rsidRPr="00C608A6">
        <w:t>'</w:t>
      </w:r>
      <w:r w:rsidRPr="00C608A6">
        <w:t>epfd;</w:t>
      </w:r>
    </w:p>
    <w:p w14:paraId="47BA12C5" w14:textId="453EBA29" w:rsidR="00113F20" w:rsidRPr="00C608A6" w:rsidRDefault="00113F20" w:rsidP="00113F20">
      <w:r w:rsidRPr="00C608A6">
        <w:rPr>
          <w:bCs/>
          <w:i/>
          <w:iCs/>
        </w:rPr>
        <w:t>i)</w:t>
      </w:r>
      <w:r w:rsidRPr="00C608A6">
        <w:rPr>
          <w:bCs/>
        </w:rPr>
        <w:tab/>
      </w:r>
      <w:r w:rsidR="003868B4" w:rsidRPr="00C608A6">
        <w:rPr>
          <w:bCs/>
        </w:rPr>
        <w:t>que les limites d'epfd établies dans l'A</w:t>
      </w:r>
      <w:r w:rsidRPr="00C608A6">
        <w:rPr>
          <w:bCs/>
        </w:rPr>
        <w:t xml:space="preserve">rticle </w:t>
      </w:r>
      <w:r w:rsidRPr="00C608A6">
        <w:rPr>
          <w:b/>
        </w:rPr>
        <w:t>22</w:t>
      </w:r>
      <w:r w:rsidRPr="00C608A6">
        <w:rPr>
          <w:bCs/>
        </w:rPr>
        <w:t xml:space="preserve"> et </w:t>
      </w:r>
      <w:r w:rsidR="003868B4" w:rsidRPr="00C608A6">
        <w:rPr>
          <w:bCs/>
        </w:rPr>
        <w:t xml:space="preserve">dans la </w:t>
      </w:r>
      <w:r w:rsidRPr="00C608A6">
        <w:rPr>
          <w:bCs/>
        </w:rPr>
        <w:t xml:space="preserve">Résolution </w:t>
      </w:r>
      <w:r w:rsidRPr="00C608A6">
        <w:rPr>
          <w:b/>
        </w:rPr>
        <w:t>76 (Rév.CMR-15)</w:t>
      </w:r>
      <w:r w:rsidRPr="00C608A6">
        <w:rPr>
          <w:bCs/>
        </w:rPr>
        <w:t xml:space="preserve"> ont été </w:t>
      </w:r>
      <w:r w:rsidR="003868B4" w:rsidRPr="00C608A6">
        <w:rPr>
          <w:bCs/>
        </w:rPr>
        <w:t>déterminées</w:t>
      </w:r>
      <w:r w:rsidRPr="00C608A6">
        <w:rPr>
          <w:bCs/>
        </w:rPr>
        <w:t xml:space="preserve"> compte </w:t>
      </w:r>
      <w:r w:rsidR="00A130FD" w:rsidRPr="00C608A6">
        <w:rPr>
          <w:bCs/>
        </w:rPr>
        <w:t xml:space="preserve">tenu </w:t>
      </w:r>
      <w:r w:rsidRPr="00C608A6">
        <w:rPr>
          <w:bCs/>
        </w:rPr>
        <w:t>d</w:t>
      </w:r>
      <w:r w:rsidR="001C57AB" w:rsidRPr="00C608A6">
        <w:rPr>
          <w:bCs/>
        </w:rPr>
        <w:t>'</w:t>
      </w:r>
      <w:r w:rsidRPr="00C608A6">
        <w:rPr>
          <w:bCs/>
        </w:rPr>
        <w:t xml:space="preserve">un critère de protection à court terme </w:t>
      </w:r>
      <w:r w:rsidR="003868B4" w:rsidRPr="00C608A6">
        <w:rPr>
          <w:bCs/>
        </w:rPr>
        <w:t>uniquement</w:t>
      </w:r>
      <w:r w:rsidRPr="00C608A6">
        <w:rPr>
          <w:bCs/>
        </w:rPr>
        <w:t>;</w:t>
      </w:r>
    </w:p>
    <w:p w14:paraId="486EDE04" w14:textId="6376FFBD" w:rsidR="00113F20" w:rsidRPr="00C608A6" w:rsidRDefault="00113F20" w:rsidP="00113F20">
      <w:pPr>
        <w:rPr>
          <w:bCs/>
        </w:rPr>
      </w:pPr>
      <w:r w:rsidRPr="00C608A6">
        <w:rPr>
          <w:bCs/>
          <w:i/>
          <w:iCs/>
        </w:rPr>
        <w:t>j)</w:t>
      </w:r>
      <w:r w:rsidRPr="00C608A6">
        <w:rPr>
          <w:bCs/>
          <w:i/>
          <w:iCs/>
        </w:rPr>
        <w:tab/>
      </w:r>
      <w:r w:rsidRPr="00C608A6">
        <w:rPr>
          <w:bCs/>
        </w:rPr>
        <w:t>que la CMR</w:t>
      </w:r>
      <w:r w:rsidRPr="00C608A6">
        <w:rPr>
          <w:bCs/>
        </w:rPr>
        <w:noBreakHyphen/>
        <w:t xml:space="preserve">19 adopté </w:t>
      </w:r>
      <w:r w:rsidR="003868B4" w:rsidRPr="00C608A6">
        <w:rPr>
          <w:bCs/>
        </w:rPr>
        <w:t xml:space="preserve">le numéro </w:t>
      </w:r>
      <w:r w:rsidR="003868B4" w:rsidRPr="00C608A6">
        <w:rPr>
          <w:b/>
        </w:rPr>
        <w:t>22.5L</w:t>
      </w:r>
      <w:r w:rsidR="003868B4" w:rsidRPr="00C608A6">
        <w:rPr>
          <w:bCs/>
        </w:rPr>
        <w:t xml:space="preserve"> et le numéro </w:t>
      </w:r>
      <w:r w:rsidR="003868B4" w:rsidRPr="00C608A6">
        <w:rPr>
          <w:b/>
        </w:rPr>
        <w:t>22.5M</w:t>
      </w:r>
      <w:r w:rsidRPr="00C608A6">
        <w:t xml:space="preserve"> </w:t>
      </w:r>
      <w:r w:rsidR="003868B4" w:rsidRPr="00C608A6">
        <w:t xml:space="preserve">pour les bandes de fréquences </w:t>
      </w:r>
      <w:r w:rsidRPr="00C608A6">
        <w:rPr>
          <w:bCs/>
        </w:rPr>
        <w:t>50/40</w:t>
      </w:r>
      <w:r w:rsidRPr="00C608A6">
        <w:t xml:space="preserve"> G</w:t>
      </w:r>
      <w:r w:rsidR="003126C5" w:rsidRPr="00C608A6">
        <w:t>H</w:t>
      </w:r>
      <w:r w:rsidRPr="00C608A6">
        <w:t>z</w:t>
      </w:r>
      <w:r w:rsidRPr="00C608A6">
        <w:rPr>
          <w:bCs/>
        </w:rPr>
        <w:t xml:space="preserve">, </w:t>
      </w:r>
      <w:r w:rsidR="003868B4" w:rsidRPr="00C608A6">
        <w:rPr>
          <w:bCs/>
        </w:rPr>
        <w:t xml:space="preserve">ce </w:t>
      </w:r>
      <w:r w:rsidRPr="00C608A6">
        <w:rPr>
          <w:bCs/>
        </w:rPr>
        <w:t>qui constitue un autre cadre de protection pour les réseaux du SFS</w:t>
      </w:r>
      <w:r w:rsidR="00A130FD" w:rsidRPr="00C608A6">
        <w:rPr>
          <w:bCs/>
        </w:rPr>
        <w:t xml:space="preserve"> OSG</w:t>
      </w:r>
      <w:r w:rsidRPr="00C608A6">
        <w:rPr>
          <w:bCs/>
        </w:rPr>
        <w:t>;</w:t>
      </w:r>
    </w:p>
    <w:p w14:paraId="6048201C" w14:textId="4C844E2F" w:rsidR="00113F20" w:rsidRPr="00C608A6" w:rsidRDefault="00113F20" w:rsidP="00113F20">
      <w:r w:rsidRPr="00C608A6">
        <w:rPr>
          <w:i/>
          <w:iCs/>
        </w:rPr>
        <w:t>k)</w:t>
      </w:r>
      <w:r w:rsidRPr="00C608A6">
        <w:tab/>
        <w:t>que l</w:t>
      </w:r>
      <w:r w:rsidR="001C57AB" w:rsidRPr="00C608A6">
        <w:t>'</w:t>
      </w:r>
      <w:r w:rsidRPr="00C608A6">
        <w:t xml:space="preserve">approche </w:t>
      </w:r>
      <w:r w:rsidR="00E34160" w:rsidRPr="00C608A6">
        <w:t>concernant les bandes de fréquences</w:t>
      </w:r>
      <w:r w:rsidRPr="00C608A6">
        <w:t xml:space="preserve"> 50/40 GHz </w:t>
      </w:r>
      <w:r w:rsidR="00E34160" w:rsidRPr="00C608A6">
        <w:t>visée au point</w:t>
      </w:r>
      <w:r w:rsidRPr="00C608A6">
        <w:t xml:space="preserve"> </w:t>
      </w:r>
      <w:r w:rsidRPr="00C608A6">
        <w:rPr>
          <w:i/>
          <w:iCs/>
        </w:rPr>
        <w:t xml:space="preserve">j) </w:t>
      </w:r>
      <w:r w:rsidRPr="00C608A6">
        <w:t>du</w:t>
      </w:r>
      <w:r w:rsidRPr="00C608A6">
        <w:rPr>
          <w:i/>
          <w:iCs/>
        </w:rPr>
        <w:t xml:space="preserve"> reconnaissant </w:t>
      </w:r>
      <w:r w:rsidRPr="00C608A6">
        <w:t>ou d</w:t>
      </w:r>
      <w:r w:rsidR="001C57AB" w:rsidRPr="00C608A6">
        <w:t>'</w:t>
      </w:r>
      <w:r w:rsidRPr="00C608A6">
        <w:t xml:space="preserve">autres approches </w:t>
      </w:r>
      <w:r w:rsidR="00E34160" w:rsidRPr="00C608A6">
        <w:t xml:space="preserve">visant à </w:t>
      </w:r>
      <w:r w:rsidRPr="00C608A6">
        <w:t>résoudre les problèmes spécifiques identifiés avec les limites d</w:t>
      </w:r>
      <w:r w:rsidR="001C57AB" w:rsidRPr="00C608A6">
        <w:t>'</w:t>
      </w:r>
      <w:r w:rsidRPr="00C608A6">
        <w:t>epfd actuelles, y compris la modification des limites d</w:t>
      </w:r>
      <w:r w:rsidR="001C57AB" w:rsidRPr="00C608A6">
        <w:t>'</w:t>
      </w:r>
      <w:r w:rsidRPr="00C608A6">
        <w:t>epfd existantes pourraient être envisagées dans</w:t>
      </w:r>
      <w:r w:rsidR="003B62DF" w:rsidRPr="00C608A6">
        <w:t xml:space="preserve"> le cadre d</w:t>
      </w:r>
      <w:r w:rsidRPr="00C608A6">
        <w:t>es études visant à assurer la protection des réseaux du SFS et du SRS</w:t>
      </w:r>
      <w:r w:rsidR="003126C5" w:rsidRPr="00C608A6">
        <w:t> </w:t>
      </w:r>
      <w:r w:rsidR="00A130FD" w:rsidRPr="00C608A6">
        <w:t xml:space="preserve">OSG </w:t>
      </w:r>
      <w:r w:rsidRPr="00C608A6">
        <w:t xml:space="preserve">contre les brouillages inacceptables, </w:t>
      </w:r>
      <w:r w:rsidR="00E34160" w:rsidRPr="00C608A6">
        <w:t>conformément au numéro</w:t>
      </w:r>
      <w:r w:rsidRPr="00C608A6">
        <w:t xml:space="preserve"> </w:t>
      </w:r>
      <w:r w:rsidRPr="00C608A6">
        <w:rPr>
          <w:b/>
        </w:rPr>
        <w:t>22.2</w:t>
      </w:r>
      <w:r w:rsidRPr="00C608A6">
        <w:t>;</w:t>
      </w:r>
    </w:p>
    <w:p w14:paraId="4A04B826" w14:textId="5B7B4B85" w:rsidR="00113F20" w:rsidRPr="00C608A6" w:rsidRDefault="00113F20" w:rsidP="00113F20">
      <w:pPr>
        <w:snapToGrid w:val="0"/>
        <w:rPr>
          <w:bCs/>
          <w:i/>
          <w:iCs/>
          <w:szCs w:val="24"/>
        </w:rPr>
      </w:pPr>
      <w:r w:rsidRPr="00C608A6">
        <w:rPr>
          <w:bCs/>
          <w:i/>
          <w:iCs/>
          <w:szCs w:val="24"/>
        </w:rPr>
        <w:t>l)</w:t>
      </w:r>
      <w:r w:rsidRPr="00C608A6">
        <w:rPr>
          <w:bCs/>
          <w:szCs w:val="24"/>
        </w:rPr>
        <w:tab/>
      </w:r>
      <w:r w:rsidR="00E34160" w:rsidRPr="00C608A6">
        <w:rPr>
          <w:bCs/>
          <w:szCs w:val="24"/>
        </w:rPr>
        <w:t>qu'il existe actuellement d</w:t>
      </w:r>
      <w:r w:rsidRPr="00C608A6">
        <w:rPr>
          <w:bCs/>
          <w:szCs w:val="24"/>
        </w:rPr>
        <w:t xml:space="preserve">es réseaux du SFS et du SRS </w:t>
      </w:r>
      <w:r w:rsidR="00A130FD" w:rsidRPr="00C608A6">
        <w:rPr>
          <w:bCs/>
          <w:szCs w:val="24"/>
        </w:rPr>
        <w:t xml:space="preserve">OSG </w:t>
      </w:r>
      <w:r w:rsidRPr="00C608A6">
        <w:rPr>
          <w:bCs/>
          <w:szCs w:val="24"/>
        </w:rPr>
        <w:t xml:space="preserve">et des systèmes du SFS </w:t>
      </w:r>
      <w:r w:rsidR="00A130FD" w:rsidRPr="00C608A6">
        <w:rPr>
          <w:bCs/>
          <w:szCs w:val="24"/>
        </w:rPr>
        <w:t xml:space="preserve">non OSG </w:t>
      </w:r>
      <w:r w:rsidR="00E34160" w:rsidRPr="00C608A6">
        <w:rPr>
          <w:bCs/>
          <w:szCs w:val="24"/>
        </w:rPr>
        <w:t xml:space="preserve">qui </w:t>
      </w:r>
      <w:r w:rsidRPr="00C608A6">
        <w:rPr>
          <w:bCs/>
          <w:szCs w:val="24"/>
        </w:rPr>
        <w:t xml:space="preserve">ont été notifiés et </w:t>
      </w:r>
      <w:r w:rsidR="00E34160" w:rsidRPr="00C608A6">
        <w:rPr>
          <w:bCs/>
          <w:szCs w:val="24"/>
        </w:rPr>
        <w:t>sont exploités</w:t>
      </w:r>
      <w:r w:rsidRPr="00C608A6">
        <w:rPr>
          <w:bCs/>
          <w:szCs w:val="24"/>
        </w:rPr>
        <w:t xml:space="preserve"> dans les bandes de fréquences </w:t>
      </w:r>
      <w:r w:rsidR="00E34160" w:rsidRPr="00C608A6">
        <w:rPr>
          <w:bCs/>
          <w:szCs w:val="24"/>
        </w:rPr>
        <w:t>assujetties aux limites d'epfd de</w:t>
      </w:r>
      <w:r w:rsidRPr="00C608A6">
        <w:rPr>
          <w:bCs/>
          <w:szCs w:val="24"/>
        </w:rPr>
        <w:t xml:space="preserve"> l</w:t>
      </w:r>
      <w:r w:rsidR="001C57AB" w:rsidRPr="00C608A6">
        <w:rPr>
          <w:bCs/>
          <w:szCs w:val="24"/>
        </w:rPr>
        <w:t>'</w:t>
      </w:r>
      <w:r w:rsidRPr="00C608A6">
        <w:rPr>
          <w:bCs/>
          <w:szCs w:val="24"/>
        </w:rPr>
        <w:t xml:space="preserve">Article </w:t>
      </w:r>
      <w:r w:rsidRPr="00C608A6">
        <w:rPr>
          <w:b/>
          <w:szCs w:val="24"/>
        </w:rPr>
        <w:t>22</w:t>
      </w:r>
      <w:r w:rsidRPr="00C608A6">
        <w:rPr>
          <w:bCs/>
          <w:szCs w:val="24"/>
        </w:rPr>
        <w:t xml:space="preserve"> </w:t>
      </w:r>
      <w:r w:rsidR="00E34160" w:rsidRPr="00C608A6">
        <w:rPr>
          <w:bCs/>
          <w:szCs w:val="24"/>
        </w:rPr>
        <w:t xml:space="preserve">et que </w:t>
      </w:r>
      <w:r w:rsidRPr="00C608A6">
        <w:rPr>
          <w:bCs/>
          <w:szCs w:val="24"/>
        </w:rPr>
        <w:t xml:space="preserve">toute modification </w:t>
      </w:r>
      <w:r w:rsidR="00E34160" w:rsidRPr="00C608A6">
        <w:rPr>
          <w:bCs/>
          <w:szCs w:val="24"/>
        </w:rPr>
        <w:t>apportée à ce</w:t>
      </w:r>
      <w:r w:rsidRPr="00C608A6">
        <w:rPr>
          <w:bCs/>
          <w:szCs w:val="24"/>
        </w:rPr>
        <w:t xml:space="preserve"> cadre</w:t>
      </w:r>
      <w:r w:rsidRPr="00C608A6">
        <w:rPr>
          <w:szCs w:val="24"/>
        </w:rPr>
        <w:t xml:space="preserve"> </w:t>
      </w:r>
      <w:r w:rsidR="00A130FD" w:rsidRPr="00C608A6">
        <w:rPr>
          <w:szCs w:val="24"/>
        </w:rPr>
        <w:t xml:space="preserve">risque de </w:t>
      </w:r>
      <w:r w:rsidR="00E34160" w:rsidRPr="00C608A6">
        <w:rPr>
          <w:szCs w:val="24"/>
        </w:rPr>
        <w:t>nécessiter des mesures transitoires a</w:t>
      </w:r>
      <w:r w:rsidRPr="00C608A6">
        <w:rPr>
          <w:bCs/>
          <w:szCs w:val="24"/>
        </w:rPr>
        <w:t xml:space="preserve">fin de ne pas perturber ces services et </w:t>
      </w:r>
      <w:r w:rsidR="00E34160" w:rsidRPr="00C608A6">
        <w:rPr>
          <w:bCs/>
          <w:szCs w:val="24"/>
        </w:rPr>
        <w:t>de</w:t>
      </w:r>
      <w:r w:rsidRPr="00C608A6">
        <w:rPr>
          <w:bCs/>
          <w:szCs w:val="24"/>
        </w:rPr>
        <w:t xml:space="preserve"> tenir dûment compte</w:t>
      </w:r>
      <w:r w:rsidRPr="00C608A6">
        <w:rPr>
          <w:szCs w:val="24"/>
        </w:rPr>
        <w:t xml:space="preserve"> </w:t>
      </w:r>
      <w:r w:rsidR="00E34160" w:rsidRPr="00C608A6">
        <w:rPr>
          <w:szCs w:val="24"/>
        </w:rPr>
        <w:t>des</w:t>
      </w:r>
      <w:r w:rsidRPr="00C608A6">
        <w:rPr>
          <w:bCs/>
          <w:szCs w:val="24"/>
        </w:rPr>
        <w:t xml:space="preserve"> besoins de ces </w:t>
      </w:r>
      <w:r w:rsidR="00E34160" w:rsidRPr="00C608A6">
        <w:rPr>
          <w:bCs/>
          <w:szCs w:val="24"/>
        </w:rPr>
        <w:t>réseaux OSG</w:t>
      </w:r>
      <w:r w:rsidRPr="00C608A6">
        <w:rPr>
          <w:bCs/>
          <w:szCs w:val="24"/>
        </w:rPr>
        <w:t xml:space="preserve"> existants ou </w:t>
      </w:r>
      <w:r w:rsidR="00E34160" w:rsidRPr="00C608A6">
        <w:rPr>
          <w:bCs/>
          <w:szCs w:val="24"/>
        </w:rPr>
        <w:t>en projet;</w:t>
      </w:r>
    </w:p>
    <w:p w14:paraId="32196BD0" w14:textId="49ED545D" w:rsidR="00113F20" w:rsidRPr="00C608A6" w:rsidRDefault="00113F20" w:rsidP="00113F20">
      <w:r w:rsidRPr="00C608A6">
        <w:rPr>
          <w:i/>
          <w:iCs/>
        </w:rPr>
        <w:t>m)</w:t>
      </w:r>
      <w:r w:rsidRPr="00C608A6">
        <w:tab/>
      </w:r>
      <w:r w:rsidR="009B554D" w:rsidRPr="00C608A6">
        <w:t>que la</w:t>
      </w:r>
      <w:r w:rsidRPr="00C608A6">
        <w:t xml:space="preserve"> </w:t>
      </w:r>
      <w:r w:rsidRPr="00C608A6">
        <w:rPr>
          <w:bCs/>
        </w:rPr>
        <w:t xml:space="preserve">Résolution </w:t>
      </w:r>
      <w:r w:rsidRPr="00C608A6">
        <w:rPr>
          <w:b/>
        </w:rPr>
        <w:t>76 (Rév.CMR-15)</w:t>
      </w:r>
      <w:r w:rsidRPr="00C608A6">
        <w:rPr>
          <w:bCs/>
        </w:rPr>
        <w:t xml:space="preserve"> contient des </w:t>
      </w:r>
      <w:r w:rsidRPr="00C608A6">
        <w:t>limites d</w:t>
      </w:r>
      <w:r w:rsidR="001C57AB" w:rsidRPr="00C608A6">
        <w:t>'</w:t>
      </w:r>
      <w:r w:rsidRPr="00C608A6">
        <w:t xml:space="preserve">epfd </w:t>
      </w:r>
      <w:r w:rsidR="009B554D" w:rsidRPr="00C608A6">
        <w:t xml:space="preserve">cumulative </w:t>
      </w:r>
      <w:r w:rsidR="003B62DF" w:rsidRPr="00C608A6">
        <w:t>ne devant pas être dépassées</w:t>
      </w:r>
      <w:r w:rsidRPr="00C608A6">
        <w:t xml:space="preserve"> par les systèmes du SFS </w:t>
      </w:r>
      <w:r w:rsidR="00BB3A1A" w:rsidRPr="00C608A6">
        <w:t xml:space="preserve">non OSG </w:t>
      </w:r>
      <w:r w:rsidRPr="00C608A6">
        <w:t>qui s</w:t>
      </w:r>
      <w:r w:rsidR="001C57AB" w:rsidRPr="00C608A6">
        <w:t>'</w:t>
      </w:r>
      <w:r w:rsidRPr="00C608A6">
        <w:t>appliquent aux systèmes du SFS</w:t>
      </w:r>
      <w:r w:rsidR="009B554D" w:rsidRPr="00C608A6">
        <w:t xml:space="preserve"> </w:t>
      </w:r>
      <w:r w:rsidR="00BB3A1A" w:rsidRPr="00C608A6">
        <w:t xml:space="preserve">non OSG </w:t>
      </w:r>
      <w:r w:rsidR="009B554D" w:rsidRPr="00C608A6">
        <w:t>opérationnels</w:t>
      </w:r>
      <w:r w:rsidRPr="00C608A6">
        <w:t xml:space="preserve"> afin de protéger les réseaux à satellite OSG du SFS et du SRS contre les brouillages inacceptables causés par tous les systèmes du SFS </w:t>
      </w:r>
      <w:r w:rsidR="00BB3A1A" w:rsidRPr="00C608A6">
        <w:t xml:space="preserve">non OSG opérationnels </w:t>
      </w:r>
      <w:r w:rsidRPr="00C608A6">
        <w:t xml:space="preserve">fonctionnant </w:t>
      </w:r>
      <w:r w:rsidR="009B554D" w:rsidRPr="00C608A6">
        <w:t xml:space="preserve">sur la même bande de </w:t>
      </w:r>
      <w:r w:rsidRPr="00C608A6">
        <w:t>fréquences;</w:t>
      </w:r>
    </w:p>
    <w:p w14:paraId="1449D485" w14:textId="6F5531A1" w:rsidR="00113F20" w:rsidRPr="00C608A6" w:rsidRDefault="00113F20" w:rsidP="00113F20">
      <w:pPr>
        <w:snapToGrid w:val="0"/>
        <w:rPr>
          <w:bCs/>
          <w:szCs w:val="24"/>
        </w:rPr>
      </w:pPr>
      <w:r w:rsidRPr="00C608A6">
        <w:rPr>
          <w:i/>
          <w:iCs/>
          <w:szCs w:val="24"/>
        </w:rPr>
        <w:t>n)</w:t>
      </w:r>
      <w:r w:rsidRPr="00C608A6">
        <w:rPr>
          <w:szCs w:val="24"/>
        </w:rPr>
        <w:tab/>
      </w:r>
      <w:r w:rsidR="009B554D" w:rsidRPr="00C608A6">
        <w:rPr>
          <w:szCs w:val="24"/>
        </w:rPr>
        <w:t xml:space="preserve">que </w:t>
      </w:r>
      <w:r w:rsidR="00B04BD0" w:rsidRPr="00C608A6">
        <w:rPr>
          <w:szCs w:val="24"/>
        </w:rPr>
        <w:t>les limites d'epfd cumulative de la</w:t>
      </w:r>
      <w:r w:rsidRPr="00C608A6">
        <w:rPr>
          <w:szCs w:val="24"/>
        </w:rPr>
        <w:t xml:space="preserve"> </w:t>
      </w:r>
      <w:r w:rsidRPr="00C608A6">
        <w:rPr>
          <w:bCs/>
          <w:szCs w:val="24"/>
        </w:rPr>
        <w:t xml:space="preserve">Résolution </w:t>
      </w:r>
      <w:r w:rsidRPr="00C608A6">
        <w:rPr>
          <w:b/>
          <w:szCs w:val="24"/>
        </w:rPr>
        <w:t xml:space="preserve">76 (Rév.CMR-15) </w:t>
      </w:r>
      <w:r w:rsidR="00B04BD0" w:rsidRPr="00C608A6">
        <w:rPr>
          <w:bCs/>
          <w:szCs w:val="24"/>
        </w:rPr>
        <w:t>ne sont pas examinées par le Bureau, car</w:t>
      </w:r>
      <w:r w:rsidRPr="00C608A6">
        <w:rPr>
          <w:bCs/>
          <w:szCs w:val="24"/>
        </w:rPr>
        <w:t xml:space="preserve"> elles sont considérées comme des limites opérationnelles</w:t>
      </w:r>
      <w:r w:rsidR="00B04BD0" w:rsidRPr="00C608A6">
        <w:rPr>
          <w:bCs/>
          <w:szCs w:val="24"/>
        </w:rPr>
        <w:t>, mais qu'il</w:t>
      </w:r>
      <w:r w:rsidRPr="00C608A6">
        <w:rPr>
          <w:bCs/>
          <w:szCs w:val="24"/>
        </w:rPr>
        <w:t xml:space="preserve"> n</w:t>
      </w:r>
      <w:r w:rsidR="001C57AB" w:rsidRPr="00C608A6">
        <w:rPr>
          <w:bCs/>
          <w:szCs w:val="24"/>
        </w:rPr>
        <w:t>'</w:t>
      </w:r>
      <w:r w:rsidRPr="00C608A6">
        <w:rPr>
          <w:bCs/>
          <w:szCs w:val="24"/>
        </w:rPr>
        <w:t>existe pas de méthodes convenues pour calculer le brouillage cumulatif ou traiter les cas de dépassement des limites d</w:t>
      </w:r>
      <w:r w:rsidR="001C57AB" w:rsidRPr="00C608A6">
        <w:rPr>
          <w:bCs/>
          <w:szCs w:val="24"/>
        </w:rPr>
        <w:t>'</w:t>
      </w:r>
      <w:r w:rsidRPr="00C608A6">
        <w:rPr>
          <w:bCs/>
          <w:szCs w:val="24"/>
        </w:rPr>
        <w:t>epfd cumulative, ce qui est source d</w:t>
      </w:r>
      <w:r w:rsidR="001C57AB" w:rsidRPr="00C608A6">
        <w:rPr>
          <w:bCs/>
          <w:szCs w:val="24"/>
        </w:rPr>
        <w:t>'</w:t>
      </w:r>
      <w:r w:rsidRPr="00C608A6">
        <w:rPr>
          <w:bCs/>
          <w:szCs w:val="24"/>
        </w:rPr>
        <w:t>incertitude pour les réseaux OSG;</w:t>
      </w:r>
    </w:p>
    <w:p w14:paraId="6F6AB081" w14:textId="0F82BEC3" w:rsidR="00113F20" w:rsidRPr="00C608A6" w:rsidRDefault="00113F20" w:rsidP="00113F20">
      <w:pPr>
        <w:snapToGrid w:val="0"/>
        <w:rPr>
          <w:bCs/>
          <w:szCs w:val="24"/>
        </w:rPr>
      </w:pPr>
      <w:r w:rsidRPr="00C608A6">
        <w:rPr>
          <w:bCs/>
          <w:i/>
          <w:iCs/>
          <w:szCs w:val="24"/>
        </w:rPr>
        <w:t>o)</w:t>
      </w:r>
      <w:r w:rsidRPr="00C608A6">
        <w:rPr>
          <w:bCs/>
          <w:i/>
          <w:iCs/>
          <w:szCs w:val="24"/>
        </w:rPr>
        <w:tab/>
      </w:r>
      <w:r w:rsidRPr="00C608A6">
        <w:rPr>
          <w:szCs w:val="24"/>
        </w:rPr>
        <w:t>qu</w:t>
      </w:r>
      <w:r w:rsidR="001C57AB" w:rsidRPr="00C608A6">
        <w:rPr>
          <w:szCs w:val="24"/>
        </w:rPr>
        <w:t>'</w:t>
      </w:r>
      <w:r w:rsidRPr="00C608A6">
        <w:rPr>
          <w:szCs w:val="24"/>
        </w:rPr>
        <w:t>il peut être nécessaire d</w:t>
      </w:r>
      <w:r w:rsidR="001C57AB" w:rsidRPr="00C608A6">
        <w:rPr>
          <w:szCs w:val="24"/>
        </w:rPr>
        <w:t>'</w:t>
      </w:r>
      <w:r w:rsidRPr="00C608A6">
        <w:rPr>
          <w:szCs w:val="24"/>
        </w:rPr>
        <w:t xml:space="preserve">améliorer la capacité de mesure des paramètres opérationnels </w:t>
      </w:r>
      <w:r w:rsidR="00BB3A1A" w:rsidRPr="00C608A6">
        <w:rPr>
          <w:szCs w:val="24"/>
        </w:rPr>
        <w:t xml:space="preserve">des satellites </w:t>
      </w:r>
      <w:r w:rsidRPr="00C608A6">
        <w:rPr>
          <w:szCs w:val="24"/>
        </w:rPr>
        <w:t>non OSG qui assurent la protection des réseaux OSG;</w:t>
      </w:r>
    </w:p>
    <w:p w14:paraId="6B023BEC" w14:textId="37F90704" w:rsidR="00113F20" w:rsidRPr="00C608A6" w:rsidRDefault="00113F20" w:rsidP="00113F20">
      <w:pPr>
        <w:snapToGrid w:val="0"/>
        <w:rPr>
          <w:szCs w:val="24"/>
        </w:rPr>
      </w:pPr>
      <w:r w:rsidRPr="00C608A6">
        <w:rPr>
          <w:i/>
          <w:iCs/>
          <w:szCs w:val="24"/>
        </w:rPr>
        <w:t>p)</w:t>
      </w:r>
      <w:r w:rsidRPr="00C608A6">
        <w:rPr>
          <w:szCs w:val="24"/>
        </w:rPr>
        <w:tab/>
        <w:t>que les réseaux OSG ont une capacité limitée d</w:t>
      </w:r>
      <w:r w:rsidR="001C57AB" w:rsidRPr="00C608A6">
        <w:rPr>
          <w:szCs w:val="24"/>
        </w:rPr>
        <w:t>'</w:t>
      </w:r>
      <w:r w:rsidRPr="00C608A6">
        <w:rPr>
          <w:szCs w:val="24"/>
        </w:rPr>
        <w:t>éviter les brouillages causés par les systèmes non OSG;</w:t>
      </w:r>
    </w:p>
    <w:p w14:paraId="446ECA97" w14:textId="3885E890" w:rsidR="007E5B23" w:rsidRPr="00C608A6" w:rsidRDefault="00113F20" w:rsidP="00113F20">
      <w:r w:rsidRPr="00C608A6">
        <w:rPr>
          <w:bCs/>
          <w:i/>
          <w:iCs/>
        </w:rPr>
        <w:t>q)</w:t>
      </w:r>
      <w:r w:rsidRPr="00C608A6">
        <w:rPr>
          <w:bCs/>
        </w:rPr>
        <w:tab/>
      </w:r>
      <w:r w:rsidR="00F20628" w:rsidRPr="00C608A6">
        <w:rPr>
          <w:rStyle w:val="ui-provider"/>
          <w:szCs w:val="24"/>
        </w:rPr>
        <w:t>que l'A</w:t>
      </w:r>
      <w:r w:rsidRPr="00C608A6">
        <w:rPr>
          <w:rStyle w:val="ui-provider"/>
          <w:szCs w:val="24"/>
        </w:rPr>
        <w:t xml:space="preserve">rticle </w:t>
      </w:r>
      <w:r w:rsidRPr="00C608A6">
        <w:rPr>
          <w:rStyle w:val="ui-provider"/>
          <w:b/>
          <w:bCs/>
          <w:szCs w:val="24"/>
        </w:rPr>
        <w:t>22</w:t>
      </w:r>
      <w:r w:rsidRPr="00C608A6">
        <w:rPr>
          <w:rStyle w:val="ui-provider"/>
          <w:szCs w:val="24"/>
        </w:rPr>
        <w:t xml:space="preserve"> contient des dispositions pour la protection des réseaux du SRS et du SFS</w:t>
      </w:r>
      <w:r w:rsidR="00C16BC4" w:rsidRPr="00C608A6">
        <w:rPr>
          <w:rStyle w:val="ui-provider"/>
          <w:szCs w:val="24"/>
        </w:rPr>
        <w:t> </w:t>
      </w:r>
      <w:r w:rsidR="00BB3A1A" w:rsidRPr="00C608A6">
        <w:rPr>
          <w:rStyle w:val="ui-provider"/>
          <w:szCs w:val="24"/>
        </w:rPr>
        <w:t xml:space="preserve">OSG </w:t>
      </w:r>
      <w:r w:rsidRPr="00C608A6">
        <w:rPr>
          <w:rStyle w:val="ui-provider"/>
          <w:szCs w:val="24"/>
        </w:rPr>
        <w:t xml:space="preserve">vis-à-vis des systèmes du SFS </w:t>
      </w:r>
      <w:r w:rsidR="00BB3A1A" w:rsidRPr="00C608A6">
        <w:rPr>
          <w:rStyle w:val="ui-provider"/>
          <w:szCs w:val="24"/>
        </w:rPr>
        <w:t xml:space="preserve">non OSG </w:t>
      </w:r>
      <w:r w:rsidRPr="00C608A6">
        <w:rPr>
          <w:rStyle w:val="ui-provider"/>
          <w:szCs w:val="24"/>
        </w:rPr>
        <w:t>à court terme et à long terme</w:t>
      </w:r>
      <w:r w:rsidR="00B06415" w:rsidRPr="00C608A6">
        <w:t>,</w:t>
      </w:r>
    </w:p>
    <w:p w14:paraId="163A7B39" w14:textId="0437B329" w:rsidR="00B06415" w:rsidRPr="00C608A6" w:rsidRDefault="00113F20" w:rsidP="00B06415">
      <w:pPr>
        <w:pStyle w:val="Call"/>
      </w:pPr>
      <w:r w:rsidRPr="00C608A6">
        <w:t>reconnaissant en outre</w:t>
      </w:r>
    </w:p>
    <w:p w14:paraId="6DAC3316" w14:textId="768B969E" w:rsidR="00B06415" w:rsidRPr="00C608A6" w:rsidRDefault="00B06415" w:rsidP="00B06415">
      <w:r w:rsidRPr="00C608A6">
        <w:rPr>
          <w:i/>
          <w:iCs/>
        </w:rPr>
        <w:t>a)</w:t>
      </w:r>
      <w:r w:rsidRPr="00C608A6">
        <w:tab/>
      </w:r>
      <w:r w:rsidR="00113F20" w:rsidRPr="00C608A6">
        <w:t>que</w:t>
      </w:r>
      <w:r w:rsidR="00F20628" w:rsidRPr="00C608A6">
        <w:t xml:space="preserve"> les limites de</w:t>
      </w:r>
      <w:r w:rsidR="00113F20" w:rsidRPr="00C608A6">
        <w:t xml:space="preserve"> l</w:t>
      </w:r>
      <w:r w:rsidR="001C57AB" w:rsidRPr="00C608A6">
        <w:t>'</w:t>
      </w:r>
      <w:r w:rsidR="00F20628" w:rsidRPr="00C608A6">
        <w:t>A</w:t>
      </w:r>
      <w:r w:rsidR="00113F20" w:rsidRPr="00C608A6">
        <w:t xml:space="preserve">rticle </w:t>
      </w:r>
      <w:r w:rsidR="00113F20" w:rsidRPr="00C608A6">
        <w:rPr>
          <w:b/>
          <w:bCs/>
        </w:rPr>
        <w:t>21</w:t>
      </w:r>
      <w:r w:rsidR="00113F20" w:rsidRPr="00C608A6">
        <w:t xml:space="preserve"> s</w:t>
      </w:r>
      <w:r w:rsidR="001C57AB" w:rsidRPr="00C608A6">
        <w:t>'</w:t>
      </w:r>
      <w:r w:rsidR="00113F20" w:rsidRPr="00C608A6">
        <w:t>appliquent pour la protection des services de Terre</w:t>
      </w:r>
      <w:r w:rsidRPr="00C608A6">
        <w:t>;</w:t>
      </w:r>
    </w:p>
    <w:p w14:paraId="4FAAC10A" w14:textId="228F94D7" w:rsidR="00B06415" w:rsidRPr="00C608A6" w:rsidRDefault="00B06415" w:rsidP="00B06415">
      <w:r w:rsidRPr="00C608A6">
        <w:rPr>
          <w:i/>
          <w:iCs/>
        </w:rPr>
        <w:t>b)</w:t>
      </w:r>
      <w:r w:rsidRPr="00C608A6">
        <w:tab/>
      </w:r>
      <w:r w:rsidR="00113F20" w:rsidRPr="00C608A6">
        <w:t>que</w:t>
      </w:r>
      <w:r w:rsidR="00F20628" w:rsidRPr="00C608A6">
        <w:t xml:space="preserve"> des difficultés ont été rencontrées </w:t>
      </w:r>
      <w:r w:rsidR="00BB3A1A" w:rsidRPr="00C608A6">
        <w:t>concernant</w:t>
      </w:r>
      <w:r w:rsidR="00113F20" w:rsidRPr="00C608A6">
        <w:t xml:space="preserve"> l</w:t>
      </w:r>
      <w:r w:rsidR="001C57AB" w:rsidRPr="00C608A6">
        <w:t>'</w:t>
      </w:r>
      <w:r w:rsidR="00113F20" w:rsidRPr="00C608A6">
        <w:t>examen de la conformité aux limites d</w:t>
      </w:r>
      <w:r w:rsidR="001C57AB" w:rsidRPr="00C608A6">
        <w:t>'</w:t>
      </w:r>
      <w:r w:rsidR="00113F20" w:rsidRPr="00C608A6">
        <w:t>epfd pour une seule source de brouillage</w:t>
      </w:r>
      <w:r w:rsidR="00F20628" w:rsidRPr="00C608A6">
        <w:t>, e</w:t>
      </w:r>
      <w:r w:rsidR="00113F20" w:rsidRPr="00C608A6">
        <w:t xml:space="preserve">n raison de problèmes liés à la modélisation de constellations complexes de </w:t>
      </w:r>
      <w:r w:rsidR="00BB3A1A" w:rsidRPr="00C608A6">
        <w:t xml:space="preserve">satellites </w:t>
      </w:r>
      <w:r w:rsidR="00113F20" w:rsidRPr="00C608A6">
        <w:t xml:space="preserve">non </w:t>
      </w:r>
      <w:r w:rsidR="00BB3A1A" w:rsidRPr="00C608A6">
        <w:t xml:space="preserve">géostationnaires </w:t>
      </w:r>
      <w:r w:rsidR="00113F20" w:rsidRPr="00C608A6">
        <w:t>et d</w:t>
      </w:r>
      <w:r w:rsidR="002D275C" w:rsidRPr="00C608A6">
        <w:t>e la soumission de</w:t>
      </w:r>
      <w:r w:rsidR="00113F20" w:rsidRPr="00C608A6">
        <w:t xml:space="preserve"> </w:t>
      </w:r>
      <w:r w:rsidR="002D275C" w:rsidRPr="00C608A6">
        <w:t xml:space="preserve">plusieurs fiches de </w:t>
      </w:r>
      <w:r w:rsidR="00113F20" w:rsidRPr="00C608A6">
        <w:t>notification auprès de l</w:t>
      </w:r>
      <w:r w:rsidR="001C57AB" w:rsidRPr="00C608A6">
        <w:t>'</w:t>
      </w:r>
      <w:r w:rsidR="00113F20" w:rsidRPr="00C608A6">
        <w:t>UIT pour un</w:t>
      </w:r>
      <w:r w:rsidR="002D275C" w:rsidRPr="00C608A6">
        <w:t xml:space="preserve"> seul</w:t>
      </w:r>
      <w:r w:rsidR="00113F20" w:rsidRPr="00C608A6">
        <w:t xml:space="preserve"> système non OSG</w:t>
      </w:r>
      <w:r w:rsidRPr="00C608A6">
        <w:t>,</w:t>
      </w:r>
    </w:p>
    <w:p w14:paraId="43B4876B" w14:textId="3A3E1861" w:rsidR="00B06415" w:rsidRPr="00C608A6" w:rsidRDefault="00876C8E" w:rsidP="00B06415">
      <w:pPr>
        <w:pStyle w:val="Call"/>
      </w:pPr>
      <w:r w:rsidRPr="00C608A6">
        <w:t>décide d</w:t>
      </w:r>
      <w:r w:rsidR="001C57AB" w:rsidRPr="00C608A6">
        <w:t>'</w:t>
      </w:r>
      <w:r w:rsidR="00B06415" w:rsidRPr="00C608A6">
        <w:t>invite</w:t>
      </w:r>
      <w:r w:rsidRPr="00C608A6">
        <w:t xml:space="preserve">r </w:t>
      </w:r>
      <w:r w:rsidR="00B06415" w:rsidRPr="00C608A6">
        <w:t>l</w:t>
      </w:r>
      <w:r w:rsidR="001C57AB" w:rsidRPr="00C608A6">
        <w:t>'</w:t>
      </w:r>
      <w:r w:rsidR="00B06415" w:rsidRPr="00C608A6">
        <w:t>UIT</w:t>
      </w:r>
      <w:r w:rsidRPr="00C608A6">
        <w:t>-R</w:t>
      </w:r>
    </w:p>
    <w:p w14:paraId="6572563D" w14:textId="4ADE2A3B" w:rsidR="00113F20" w:rsidRPr="00C608A6" w:rsidRDefault="00B06415" w:rsidP="00113F20">
      <w:r w:rsidRPr="00C608A6">
        <w:t>1</w:t>
      </w:r>
      <w:r w:rsidRPr="00C608A6">
        <w:tab/>
      </w:r>
      <w:r w:rsidR="00113F20" w:rsidRPr="00C608A6">
        <w:t>à mener</w:t>
      </w:r>
      <w:r w:rsidR="00A829B8" w:rsidRPr="00C608A6">
        <w:t xml:space="preserve"> </w:t>
      </w:r>
      <w:r w:rsidR="00113F20" w:rsidRPr="00C608A6">
        <w:t>et à achever</w:t>
      </w:r>
      <w:r w:rsidR="00A829B8" w:rsidRPr="00C608A6">
        <w:t>,</w:t>
      </w:r>
      <w:r w:rsidR="00113F20" w:rsidRPr="00C608A6">
        <w:t xml:space="preserve"> à temps pour la CMR-27, des études sur les dispositions réglementaires actuelles, y compris les limites d</w:t>
      </w:r>
      <w:r w:rsidR="001C57AB" w:rsidRPr="00C608A6">
        <w:t>'</w:t>
      </w:r>
      <w:r w:rsidR="00113F20" w:rsidRPr="00C608A6">
        <w:t xml:space="preserve">epfd, applicables aux systèmes du SFS </w:t>
      </w:r>
      <w:r w:rsidR="00BB3A1A" w:rsidRPr="00C608A6">
        <w:t xml:space="preserve">non OSG </w:t>
      </w:r>
      <w:r w:rsidR="00113F20" w:rsidRPr="00C608A6">
        <w:t xml:space="preserve">afin de protéger les réseaux du SFS et du SRS </w:t>
      </w:r>
      <w:r w:rsidR="00BB3A1A" w:rsidRPr="00C608A6">
        <w:t xml:space="preserve">OSG </w:t>
      </w:r>
      <w:r w:rsidR="00113F20" w:rsidRPr="00C608A6">
        <w:t xml:space="preserve">contre les brouillages inacceptables </w:t>
      </w:r>
      <w:r w:rsidR="00A829B8" w:rsidRPr="00C608A6">
        <w:t xml:space="preserve">dans </w:t>
      </w:r>
      <w:r w:rsidR="00113F20" w:rsidRPr="00C608A6">
        <w:t>les parties des bandes de fréquences 3 700-4 200 MHz, 5 925-6 725 MHz, 10,7-14,5 GHz, 17,3</w:t>
      </w:r>
      <w:r w:rsidR="00C16BC4" w:rsidRPr="00C608A6">
        <w:noBreakHyphen/>
      </w:r>
      <w:r w:rsidR="00113F20" w:rsidRPr="00C608A6">
        <w:t>20,2</w:t>
      </w:r>
      <w:r w:rsidR="00C16BC4" w:rsidRPr="00C608A6">
        <w:t> </w:t>
      </w:r>
      <w:r w:rsidR="00113F20" w:rsidRPr="00C608A6">
        <w:t xml:space="preserve">GHz et 27,5-30 GHz </w:t>
      </w:r>
      <w:r w:rsidR="00A829B8" w:rsidRPr="00C608A6">
        <w:t>dans</w:t>
      </w:r>
      <w:r w:rsidR="00113F20" w:rsidRPr="00C608A6">
        <w:t xml:space="preserve"> lesquelles l</w:t>
      </w:r>
      <w:r w:rsidR="00A829B8" w:rsidRPr="00C608A6">
        <w:t xml:space="preserve">es </w:t>
      </w:r>
      <w:r w:rsidR="00113F20" w:rsidRPr="00C608A6">
        <w:t>limites d</w:t>
      </w:r>
      <w:r w:rsidR="001C57AB" w:rsidRPr="00C608A6">
        <w:t>'</w:t>
      </w:r>
      <w:r w:rsidR="00113F20" w:rsidRPr="00C608A6">
        <w:t xml:space="preserve">epfd </w:t>
      </w:r>
      <w:r w:rsidR="00A829B8" w:rsidRPr="00C608A6">
        <w:t xml:space="preserve">de l'Article </w:t>
      </w:r>
      <w:r w:rsidR="00A829B8" w:rsidRPr="00C608A6">
        <w:rPr>
          <w:b/>
          <w:bCs/>
        </w:rPr>
        <w:t xml:space="preserve">22 </w:t>
      </w:r>
      <w:r w:rsidR="00113F20" w:rsidRPr="00C608A6">
        <w:t>s</w:t>
      </w:r>
      <w:r w:rsidR="001C57AB" w:rsidRPr="00C608A6">
        <w:t>'</w:t>
      </w:r>
      <w:r w:rsidR="00113F20" w:rsidRPr="00C608A6">
        <w:t>appliquent, y</w:t>
      </w:r>
      <w:r w:rsidR="00C16BC4" w:rsidRPr="00C608A6">
        <w:t> </w:t>
      </w:r>
      <w:r w:rsidR="00113F20" w:rsidRPr="00C608A6">
        <w:t>compris</w:t>
      </w:r>
      <w:r w:rsidR="0032542D" w:rsidRPr="00C608A6">
        <w:t xml:space="preserve"> via</w:t>
      </w:r>
      <w:r w:rsidR="00113F20" w:rsidRPr="00C608A6">
        <w:t xml:space="preserve"> l</w:t>
      </w:r>
      <w:r w:rsidR="001C57AB" w:rsidRPr="00C608A6">
        <w:t>'</w:t>
      </w:r>
      <w:r w:rsidR="00113F20" w:rsidRPr="00C608A6">
        <w:t>évaluation</w:t>
      </w:r>
      <w:r w:rsidR="0032542D" w:rsidRPr="00C608A6">
        <w:t>,</w:t>
      </w:r>
      <w:r w:rsidR="00113F20" w:rsidRPr="00C608A6">
        <w:t xml:space="preserve"> par les administrations</w:t>
      </w:r>
      <w:r w:rsidR="0032542D" w:rsidRPr="00C608A6">
        <w:t>,</w:t>
      </w:r>
      <w:r w:rsidR="00113F20" w:rsidRPr="00C608A6">
        <w:t xml:space="preserve"> des limites d</w:t>
      </w:r>
      <w:r w:rsidR="001C57AB" w:rsidRPr="00C608A6">
        <w:t>'</w:t>
      </w:r>
      <w:r w:rsidR="00113F20" w:rsidRPr="00C608A6">
        <w:t>epfd cumulative indiquées dans la Résolution</w:t>
      </w:r>
      <w:r w:rsidR="00C16BC4" w:rsidRPr="00C608A6">
        <w:t> </w:t>
      </w:r>
      <w:r w:rsidR="00113F20" w:rsidRPr="00C608A6">
        <w:rPr>
          <w:b/>
          <w:bCs/>
        </w:rPr>
        <w:t>76 (Rév.CMR-15)</w:t>
      </w:r>
      <w:r w:rsidR="00A829B8" w:rsidRPr="00C608A6">
        <w:rPr>
          <w:b/>
          <w:bCs/>
        </w:rPr>
        <w:t xml:space="preserve"> </w:t>
      </w:r>
      <w:r w:rsidR="00113F20" w:rsidRPr="00C608A6">
        <w:t xml:space="preserve">et la mise en œuvre de ces dispositions réglementaires, sans modifier les </w:t>
      </w:r>
      <w:r w:rsidR="00A829B8" w:rsidRPr="00C608A6">
        <w:t xml:space="preserve">exigences ou les </w:t>
      </w:r>
      <w:r w:rsidR="00113F20" w:rsidRPr="00C608A6">
        <w:t>conditions régissant la coordination au titre d</w:t>
      </w:r>
      <w:r w:rsidR="00A829B8" w:rsidRPr="00C608A6">
        <w:t>es</w:t>
      </w:r>
      <w:r w:rsidR="00113F20" w:rsidRPr="00C608A6">
        <w:t xml:space="preserve"> numéro</w:t>
      </w:r>
      <w:r w:rsidR="00A829B8" w:rsidRPr="00C608A6">
        <w:t>s</w:t>
      </w:r>
      <w:r w:rsidR="00113F20" w:rsidRPr="00C608A6">
        <w:t xml:space="preserve"> </w:t>
      </w:r>
      <w:r w:rsidR="00113F20" w:rsidRPr="00C608A6">
        <w:rPr>
          <w:b/>
          <w:bCs/>
        </w:rPr>
        <w:t>9.7A</w:t>
      </w:r>
      <w:r w:rsidR="00113F20" w:rsidRPr="00C608A6">
        <w:t xml:space="preserve"> </w:t>
      </w:r>
      <w:r w:rsidR="00A829B8" w:rsidRPr="00C608A6">
        <w:t>e</w:t>
      </w:r>
      <w:r w:rsidR="00113F20" w:rsidRPr="00C608A6">
        <w:t xml:space="preserve">t </w:t>
      </w:r>
      <w:r w:rsidR="00113F20" w:rsidRPr="00C608A6">
        <w:rPr>
          <w:b/>
          <w:bCs/>
        </w:rPr>
        <w:t>9</w:t>
      </w:r>
      <w:r w:rsidR="00A829B8" w:rsidRPr="00C608A6">
        <w:rPr>
          <w:b/>
          <w:bCs/>
        </w:rPr>
        <w:t>.</w:t>
      </w:r>
      <w:r w:rsidR="00113F20" w:rsidRPr="00C608A6">
        <w:rPr>
          <w:b/>
          <w:bCs/>
        </w:rPr>
        <w:t>7B</w:t>
      </w:r>
      <w:r w:rsidR="00113F20" w:rsidRPr="00C608A6">
        <w:t>, l</w:t>
      </w:r>
      <w:r w:rsidR="001C57AB" w:rsidRPr="00C608A6">
        <w:t>'</w:t>
      </w:r>
      <w:r w:rsidR="00113F20" w:rsidRPr="00C608A6">
        <w:t xml:space="preserve">objectif étant de protéger les réseaux OSG conformément au numéro </w:t>
      </w:r>
      <w:r w:rsidR="00113F20" w:rsidRPr="00C608A6">
        <w:rPr>
          <w:b/>
          <w:bCs/>
        </w:rPr>
        <w:t>22.2</w:t>
      </w:r>
      <w:r w:rsidR="00113F20" w:rsidRPr="00C608A6">
        <w:t xml:space="preserve"> et </w:t>
      </w:r>
      <w:r w:rsidR="0032542D" w:rsidRPr="00C608A6">
        <w:t>d'</w:t>
      </w:r>
      <w:r w:rsidR="00113F20" w:rsidRPr="00C608A6">
        <w:t>améliorer l</w:t>
      </w:r>
      <w:r w:rsidR="001C57AB" w:rsidRPr="00C608A6">
        <w:t>'</w:t>
      </w:r>
      <w:r w:rsidR="00113F20" w:rsidRPr="00C608A6">
        <w:t>efficacité d</w:t>
      </w:r>
      <w:r w:rsidR="001C57AB" w:rsidRPr="00C608A6">
        <w:t>'</w:t>
      </w:r>
      <w:r w:rsidR="00113F20" w:rsidRPr="00C608A6">
        <w:t xml:space="preserve">utilisation </w:t>
      </w:r>
      <w:r w:rsidR="00A829B8" w:rsidRPr="00C608A6">
        <w:t>des</w:t>
      </w:r>
      <w:r w:rsidR="00113F20" w:rsidRPr="00C608A6">
        <w:t xml:space="preserve"> ressource</w:t>
      </w:r>
      <w:r w:rsidR="00A829B8" w:rsidRPr="00C608A6">
        <w:t>s</w:t>
      </w:r>
      <w:r w:rsidR="00113F20" w:rsidRPr="00C608A6">
        <w:t xml:space="preserve"> spectrale</w:t>
      </w:r>
      <w:r w:rsidR="00A829B8" w:rsidRPr="00C608A6">
        <w:t>s</w:t>
      </w:r>
      <w:r w:rsidR="00113F20" w:rsidRPr="00C608A6">
        <w:t>;</w:t>
      </w:r>
    </w:p>
    <w:p w14:paraId="6E6359AB" w14:textId="3F2E460B" w:rsidR="00113F20" w:rsidRPr="00C608A6" w:rsidRDefault="00113F20" w:rsidP="00113F20">
      <w:r w:rsidRPr="00C608A6">
        <w:t>2</w:t>
      </w:r>
      <w:r w:rsidRPr="00C608A6">
        <w:tab/>
        <w:t xml:space="preserve">à élaborer, sur la base des résultats des études </w:t>
      </w:r>
      <w:r w:rsidR="000C7720" w:rsidRPr="00C608A6">
        <w:t>visées</w:t>
      </w:r>
      <w:r w:rsidRPr="00C608A6">
        <w:t xml:space="preserve"> </w:t>
      </w:r>
      <w:r w:rsidR="0032542D" w:rsidRPr="00C608A6">
        <w:t xml:space="preserve">au point </w:t>
      </w:r>
      <w:r w:rsidRPr="00C608A6">
        <w:t>1</w:t>
      </w:r>
      <w:r w:rsidR="0032542D" w:rsidRPr="00C608A6">
        <w:t xml:space="preserve"> du </w:t>
      </w:r>
      <w:r w:rsidR="0032542D" w:rsidRPr="00C608A6">
        <w:rPr>
          <w:i/>
          <w:iCs/>
        </w:rPr>
        <w:t>décide</w:t>
      </w:r>
      <w:r w:rsidRPr="00C608A6">
        <w:t xml:space="preserve"> et s</w:t>
      </w:r>
      <w:r w:rsidR="001C57AB" w:rsidRPr="00C608A6">
        <w:t>'</w:t>
      </w:r>
      <w:r w:rsidRPr="00C608A6">
        <w:t xml:space="preserve">il y a lieu, </w:t>
      </w:r>
      <w:r w:rsidR="000C7720" w:rsidRPr="00C608A6">
        <w:t>des</w:t>
      </w:r>
      <w:r w:rsidRPr="00C608A6">
        <w:t xml:space="preserve"> modifications éventuelles </w:t>
      </w:r>
      <w:r w:rsidR="000C7720" w:rsidRPr="00C608A6">
        <w:t>à apporter aux</w:t>
      </w:r>
      <w:r w:rsidRPr="00C608A6">
        <w:t xml:space="preserve"> dispositions réglementaires, y compris </w:t>
      </w:r>
      <w:r w:rsidR="000C7720" w:rsidRPr="00C608A6">
        <w:t>aux</w:t>
      </w:r>
      <w:r w:rsidRPr="00C608A6">
        <w:t xml:space="preserve"> limites d</w:t>
      </w:r>
      <w:r w:rsidR="001C57AB" w:rsidRPr="00C608A6">
        <w:t>'</w:t>
      </w:r>
      <w:r w:rsidRPr="00C608A6">
        <w:t>epfd</w:t>
      </w:r>
      <w:r w:rsidR="000C7720" w:rsidRPr="00C608A6">
        <w:t xml:space="preserve">, </w:t>
      </w:r>
      <w:r w:rsidRPr="00C608A6">
        <w:t xml:space="preserve">applicables aux systèmes du SFS </w:t>
      </w:r>
      <w:r w:rsidR="00BB3A1A" w:rsidRPr="00C608A6">
        <w:t xml:space="preserve">non OSG </w:t>
      </w:r>
      <w:r w:rsidRPr="00C608A6">
        <w:t>afin de protéger les réseaux du SFS et du SRS</w:t>
      </w:r>
      <w:r w:rsidR="00C16BC4" w:rsidRPr="00C608A6">
        <w:t> </w:t>
      </w:r>
      <w:r w:rsidR="00BB3A1A" w:rsidRPr="00C608A6">
        <w:t xml:space="preserve">OSG </w:t>
      </w:r>
      <w:r w:rsidRPr="00C608A6">
        <w:t xml:space="preserve">contre les brouillages inacceptables causés </w:t>
      </w:r>
      <w:r w:rsidR="00FB159E" w:rsidRPr="00C608A6">
        <w:t xml:space="preserve">dans les </w:t>
      </w:r>
      <w:r w:rsidRPr="00C608A6">
        <w:t xml:space="preserve">parties </w:t>
      </w:r>
      <w:r w:rsidR="000C7720" w:rsidRPr="00C608A6">
        <w:t>des b</w:t>
      </w:r>
      <w:r w:rsidRPr="00C608A6">
        <w:t>andes de fréquences 3</w:t>
      </w:r>
      <w:r w:rsidR="00C16BC4" w:rsidRPr="00C608A6">
        <w:t> </w:t>
      </w:r>
      <w:r w:rsidRPr="00C608A6">
        <w:t>700</w:t>
      </w:r>
      <w:r w:rsidR="00C16BC4" w:rsidRPr="00C608A6">
        <w:noBreakHyphen/>
      </w:r>
      <w:r w:rsidRPr="00C608A6">
        <w:t xml:space="preserve">4 200 MHz, 5 925-6 725 MHz, 10,7-14,5 GHz, 17,3-20,2 GHz et 27,5-30 GHz </w:t>
      </w:r>
      <w:r w:rsidR="000C7720" w:rsidRPr="00C608A6">
        <w:t>dans lesquelles</w:t>
      </w:r>
      <w:r w:rsidRPr="00C608A6">
        <w:t xml:space="preserve"> </w:t>
      </w:r>
      <w:r w:rsidR="000C7720" w:rsidRPr="00C608A6">
        <w:t xml:space="preserve">les </w:t>
      </w:r>
      <w:r w:rsidRPr="00C608A6">
        <w:t>limites d</w:t>
      </w:r>
      <w:r w:rsidR="001C57AB" w:rsidRPr="00C608A6">
        <w:t>'</w:t>
      </w:r>
      <w:r w:rsidRPr="00C608A6">
        <w:t xml:space="preserve">epfd </w:t>
      </w:r>
      <w:r w:rsidR="000C7720" w:rsidRPr="00C608A6">
        <w:t xml:space="preserve">de l'Article </w:t>
      </w:r>
      <w:r w:rsidR="000C7720" w:rsidRPr="00C608A6">
        <w:rPr>
          <w:b/>
          <w:bCs/>
        </w:rPr>
        <w:t>22</w:t>
      </w:r>
      <w:r w:rsidR="000C7720" w:rsidRPr="00C608A6">
        <w:t xml:space="preserve"> </w:t>
      </w:r>
      <w:r w:rsidRPr="00C608A6">
        <w:t>s</w:t>
      </w:r>
      <w:r w:rsidR="001C57AB" w:rsidRPr="00C608A6">
        <w:t>'</w:t>
      </w:r>
      <w:r w:rsidRPr="00C608A6">
        <w:t>appliquent</w:t>
      </w:r>
      <w:r w:rsidR="00A829B8" w:rsidRPr="00C608A6">
        <w:t xml:space="preserve"> </w:t>
      </w:r>
      <w:r w:rsidRPr="00C608A6">
        <w:t xml:space="preserve">ou </w:t>
      </w:r>
      <w:r w:rsidR="00FB159E" w:rsidRPr="00C608A6">
        <w:t>à remplacer le</w:t>
      </w:r>
      <w:r w:rsidRPr="00C608A6">
        <w:t xml:space="preserve"> cadre </w:t>
      </w:r>
      <w:r w:rsidR="00FB159E" w:rsidRPr="00C608A6">
        <w:t>relatif aux</w:t>
      </w:r>
      <w:r w:rsidRPr="00C608A6">
        <w:t xml:space="preserve"> limites d</w:t>
      </w:r>
      <w:r w:rsidR="001C57AB" w:rsidRPr="00C608A6">
        <w:t>'</w:t>
      </w:r>
      <w:r w:rsidRPr="00C608A6">
        <w:t xml:space="preserve">epfd par une autre approche </w:t>
      </w:r>
      <w:r w:rsidR="00FB159E" w:rsidRPr="00C608A6">
        <w:t xml:space="preserve">et à </w:t>
      </w:r>
      <w:r w:rsidRPr="00C608A6">
        <w:t>élabor</w:t>
      </w:r>
      <w:r w:rsidR="00FB159E" w:rsidRPr="00C608A6">
        <w:t xml:space="preserve">er </w:t>
      </w:r>
      <w:r w:rsidRPr="00C608A6">
        <w:t>de</w:t>
      </w:r>
      <w:r w:rsidR="00FB159E" w:rsidRPr="00C608A6">
        <w:t>s</w:t>
      </w:r>
      <w:r w:rsidRPr="00C608A6">
        <w:t xml:space="preserve"> limites associées, sans </w:t>
      </w:r>
      <w:r w:rsidR="00FB159E" w:rsidRPr="00C608A6">
        <w:t>modifier le numéro</w:t>
      </w:r>
      <w:r w:rsidRPr="00C608A6">
        <w:rPr>
          <w:b/>
          <w:bCs/>
        </w:rPr>
        <w:t xml:space="preserve"> 22.2</w:t>
      </w:r>
      <w:r w:rsidRPr="00C608A6">
        <w:t>;</w:t>
      </w:r>
    </w:p>
    <w:p w14:paraId="7473EA75" w14:textId="16ACACA4" w:rsidR="00113F20" w:rsidRPr="00C608A6" w:rsidRDefault="00113F20" w:rsidP="00113F20">
      <w:r w:rsidRPr="00C608A6">
        <w:t>3</w:t>
      </w:r>
      <w:r w:rsidRPr="00C608A6">
        <w:tab/>
      </w:r>
      <w:r w:rsidR="00FB159E" w:rsidRPr="00C608A6">
        <w:t>à recenser d'a</w:t>
      </w:r>
      <w:r w:rsidRPr="00C608A6">
        <w:t>utres modifications</w:t>
      </w:r>
      <w:r w:rsidR="00FB159E" w:rsidRPr="00C608A6">
        <w:t xml:space="preserve"> éventuelles</w:t>
      </w:r>
      <w:r w:rsidRPr="00C608A6">
        <w:t xml:space="preserve"> à apporter en conséquence au Règlement des radiocommunications par suite d</w:t>
      </w:r>
      <w:r w:rsidR="001C57AB" w:rsidRPr="00C608A6">
        <w:t>'</w:t>
      </w:r>
      <w:r w:rsidRPr="00C608A6">
        <w:t xml:space="preserve">éventuelles modifications </w:t>
      </w:r>
      <w:r w:rsidR="00FB159E" w:rsidRPr="00C608A6">
        <w:t xml:space="preserve">apportées au titre du point 2 du </w:t>
      </w:r>
      <w:r w:rsidR="00FB159E" w:rsidRPr="00C608A6">
        <w:rPr>
          <w:i/>
          <w:iCs/>
        </w:rPr>
        <w:t>décide d'inviter l'UIT-R</w:t>
      </w:r>
      <w:r w:rsidR="00FB159E" w:rsidRPr="00C608A6">
        <w:t>,</w:t>
      </w:r>
      <w:r w:rsidR="00FB159E" w:rsidRPr="00C608A6">
        <w:rPr>
          <w:i/>
          <w:iCs/>
        </w:rPr>
        <w:t xml:space="preserve"> </w:t>
      </w:r>
      <w:r w:rsidR="00FB159E" w:rsidRPr="00C608A6">
        <w:t xml:space="preserve">afin de faire </w:t>
      </w:r>
      <w:r w:rsidRPr="00C608A6">
        <w:t>en sorte que la continuité d</w:t>
      </w:r>
      <w:r w:rsidR="001C57AB" w:rsidRPr="00C608A6">
        <w:t>'</w:t>
      </w:r>
      <w:r w:rsidRPr="00C608A6">
        <w:t>exploitation des réseaux OSG et des systèmes non OSG existants ou en projet ne soit pas interrompue, conformément au numéro</w:t>
      </w:r>
      <w:r w:rsidR="00C16BC4" w:rsidRPr="00C608A6">
        <w:t> </w:t>
      </w:r>
      <w:r w:rsidRPr="00C608A6">
        <w:rPr>
          <w:b/>
          <w:bCs/>
        </w:rPr>
        <w:t>22.2</w:t>
      </w:r>
      <w:r w:rsidRPr="00C608A6">
        <w:t xml:space="preserve">, en élaborant des mesures transitoires </w:t>
      </w:r>
      <w:r w:rsidR="00864E02" w:rsidRPr="00C608A6">
        <w:t>le cas échéant</w:t>
      </w:r>
      <w:r w:rsidRPr="00C608A6">
        <w:t>;</w:t>
      </w:r>
    </w:p>
    <w:p w14:paraId="1DF675BB" w14:textId="7967BE8E" w:rsidR="00113F20" w:rsidRPr="00C608A6" w:rsidRDefault="00113F20" w:rsidP="00113F20">
      <w:r w:rsidRPr="00C608A6">
        <w:t>4</w:t>
      </w:r>
      <w:r w:rsidRPr="00C608A6">
        <w:tab/>
        <w:t>assurer la protection des réseaux OSG, conformément au Règlement des radiocommunications de l</w:t>
      </w:r>
      <w:r w:rsidR="001C57AB" w:rsidRPr="00C608A6">
        <w:t>'</w:t>
      </w:r>
      <w:r w:rsidRPr="00C608A6">
        <w:t>UIT;</w:t>
      </w:r>
    </w:p>
    <w:p w14:paraId="130F37B7" w14:textId="051F88C6" w:rsidR="00113F20" w:rsidRPr="00C608A6" w:rsidRDefault="00113F20" w:rsidP="00113F20">
      <w:r w:rsidRPr="00C608A6">
        <w:t>5</w:t>
      </w:r>
      <w:r w:rsidRPr="00C608A6">
        <w:tab/>
        <w:t>d</w:t>
      </w:r>
      <w:r w:rsidR="001C57AB" w:rsidRPr="00C608A6">
        <w:t>'</w:t>
      </w:r>
      <w:r w:rsidRPr="00C608A6">
        <w:t>achever, d</w:t>
      </w:r>
      <w:r w:rsidR="001C57AB" w:rsidRPr="00C608A6">
        <w:t>'</w:t>
      </w:r>
      <w:r w:rsidRPr="00C608A6">
        <w:t xml:space="preserve">ici </w:t>
      </w:r>
      <w:r w:rsidR="00864E02" w:rsidRPr="00C608A6">
        <w:t xml:space="preserve">à </w:t>
      </w:r>
      <w:r w:rsidRPr="00C608A6">
        <w:t>la CMR-27, l</w:t>
      </w:r>
      <w:r w:rsidR="001C57AB" w:rsidRPr="00C608A6">
        <w:t>'</w:t>
      </w:r>
      <w:r w:rsidRPr="00C608A6">
        <w:t>élaboration d</w:t>
      </w:r>
      <w:r w:rsidR="001C57AB" w:rsidRPr="00C608A6">
        <w:t>'</w:t>
      </w:r>
      <w:r w:rsidRPr="00C608A6">
        <w:t xml:space="preserve">une méthode appropriée permettant de modéliser avec précision les systèmes non OSG et de calculer les limites cumulatives applicables </w:t>
      </w:r>
      <w:r w:rsidR="00BB3A1A" w:rsidRPr="00C608A6">
        <w:t xml:space="preserve">à l'epfd </w:t>
      </w:r>
      <w:r w:rsidRPr="00C608A6">
        <w:t xml:space="preserve">produite par tous les systèmes du SFS </w:t>
      </w:r>
      <w:r w:rsidR="00BB3A1A" w:rsidRPr="00C608A6">
        <w:t xml:space="preserve">non OSG </w:t>
      </w:r>
      <w:r w:rsidRPr="00C608A6">
        <w:t>exploités ou qu</w:t>
      </w:r>
      <w:r w:rsidR="001C57AB" w:rsidRPr="00C608A6">
        <w:t>'</w:t>
      </w:r>
      <w:r w:rsidRPr="00C608A6">
        <w:t>il est prévu d</w:t>
      </w:r>
      <w:r w:rsidR="001C57AB" w:rsidRPr="00C608A6">
        <w:t>'</w:t>
      </w:r>
      <w:r w:rsidRPr="00C608A6">
        <w:t xml:space="preserve">exploiter </w:t>
      </w:r>
      <w:r w:rsidR="00CA6BC6" w:rsidRPr="00C608A6">
        <w:t>sur les</w:t>
      </w:r>
      <w:r w:rsidRPr="00C608A6">
        <w:t xml:space="preserve"> mêmes fréquences que </w:t>
      </w:r>
      <w:r w:rsidR="00CA6BC6" w:rsidRPr="00C608A6">
        <w:t>celles utilisées par d</w:t>
      </w:r>
      <w:r w:rsidRPr="00C608A6">
        <w:t>es réseaux du SFS et du SRS</w:t>
      </w:r>
      <w:r w:rsidR="00BB3A1A" w:rsidRPr="00C608A6">
        <w:t xml:space="preserve"> OSG</w:t>
      </w:r>
      <w:r w:rsidRPr="00C608A6">
        <w:t xml:space="preserve">, ainsi que les autres éléments nécessaires pour </w:t>
      </w:r>
      <w:r w:rsidR="00CA6BC6" w:rsidRPr="00C608A6">
        <w:t>permettre aux</w:t>
      </w:r>
      <w:r w:rsidRPr="00C608A6">
        <w:t xml:space="preserve"> administrations </w:t>
      </w:r>
      <w:r w:rsidR="00CA6BC6" w:rsidRPr="00C608A6">
        <w:t xml:space="preserve">de </w:t>
      </w:r>
      <w:r w:rsidRPr="00C608A6">
        <w:t>tenir des réunions de consultation pour confirmer le respect des limites cumulatives applicables;</w:t>
      </w:r>
    </w:p>
    <w:p w14:paraId="49D92479" w14:textId="25CEC310" w:rsidR="00113F20" w:rsidRPr="00C608A6" w:rsidRDefault="00113F20" w:rsidP="00113F20">
      <w:r w:rsidRPr="00C608A6">
        <w:t>6</w:t>
      </w:r>
      <w:r w:rsidRPr="00C608A6">
        <w:tab/>
        <w:t>d</w:t>
      </w:r>
      <w:r w:rsidR="001C57AB" w:rsidRPr="00C608A6">
        <w:t>'</w:t>
      </w:r>
      <w:r w:rsidRPr="00C608A6">
        <w:t>élaborer, sur la base des résultats des études visées au</w:t>
      </w:r>
      <w:r w:rsidR="00CA6BC6" w:rsidRPr="00C608A6">
        <w:t>x</w:t>
      </w:r>
      <w:r w:rsidRPr="00C608A6">
        <w:t xml:space="preserve"> point</w:t>
      </w:r>
      <w:r w:rsidR="00CA6BC6" w:rsidRPr="00C608A6">
        <w:t>s</w:t>
      </w:r>
      <w:r w:rsidRPr="00C608A6">
        <w:t xml:space="preserve"> 1 et 2</w:t>
      </w:r>
      <w:r w:rsidR="00CA6BC6" w:rsidRPr="00C608A6">
        <w:t xml:space="preserve"> du </w:t>
      </w:r>
      <w:r w:rsidR="00CA6BC6" w:rsidRPr="00C608A6">
        <w:rPr>
          <w:i/>
          <w:iCs/>
        </w:rPr>
        <w:t>décide d'inviter l'UIT-R</w:t>
      </w:r>
      <w:r w:rsidRPr="00C608A6">
        <w:t>, les procédures que doivent suivre les administrations pour confirmer le respect des limites cumulatives applicables;</w:t>
      </w:r>
    </w:p>
    <w:p w14:paraId="2A590A41" w14:textId="081DF9F5" w:rsidR="00113F20" w:rsidRPr="00C608A6" w:rsidRDefault="00113F20" w:rsidP="00113F20">
      <w:r w:rsidRPr="00C608A6">
        <w:t>7</w:t>
      </w:r>
      <w:r w:rsidRPr="00C608A6">
        <w:tab/>
        <w:t>à élaborer une méthode appropriée pour garantir le respect des limites cumulatives applicables, en cas de dépassement de ces limites;</w:t>
      </w:r>
    </w:p>
    <w:p w14:paraId="34EB205A" w14:textId="41BFD337" w:rsidR="00113F20" w:rsidRPr="00C608A6" w:rsidRDefault="00113F20" w:rsidP="00113F20">
      <w:r w:rsidRPr="00C608A6">
        <w:t>8</w:t>
      </w:r>
      <w:r w:rsidRPr="00C608A6">
        <w:tab/>
        <w:t xml:space="preserve">à élaborer dès que possible, sur la base des résultats des études menées </w:t>
      </w:r>
      <w:r w:rsidR="003E2B9A" w:rsidRPr="00C608A6">
        <w:t>au titre des points</w:t>
      </w:r>
      <w:r w:rsidR="00C16BC4" w:rsidRPr="00C608A6">
        <w:t> </w:t>
      </w:r>
      <w:r w:rsidR="003E2B9A" w:rsidRPr="00C608A6">
        <w:t xml:space="preserve">1 et 2 du </w:t>
      </w:r>
      <w:r w:rsidR="003E2B9A" w:rsidRPr="00C608A6">
        <w:rPr>
          <w:i/>
          <w:iCs/>
        </w:rPr>
        <w:t>décide d'inviter l'UIT-R</w:t>
      </w:r>
      <w:r w:rsidR="003E2B9A" w:rsidRPr="00C608A6">
        <w:t xml:space="preserve">, </w:t>
      </w:r>
      <w:r w:rsidRPr="00C608A6">
        <w:t>les méthodes ou outils supplémentaires dont le Bureau pourrait avoir besoin pour examiner les</w:t>
      </w:r>
      <w:r w:rsidR="003E2B9A" w:rsidRPr="00C608A6">
        <w:t xml:space="preserve"> fiches de</w:t>
      </w:r>
      <w:r w:rsidRPr="00C608A6">
        <w:t xml:space="preserve"> notification</w:t>
      </w:r>
      <w:r w:rsidR="003E2B9A" w:rsidRPr="00C608A6">
        <w:t xml:space="preserve"> </w:t>
      </w:r>
      <w:r w:rsidRPr="00C608A6">
        <w:t>de systèmes non OSG afin de vérifier leur conformité avec les limites d</w:t>
      </w:r>
      <w:r w:rsidR="001C57AB" w:rsidRPr="00C608A6">
        <w:t>'</w:t>
      </w:r>
      <w:r w:rsidRPr="00C608A6">
        <w:t>epfd pour une seule source de brouillage;</w:t>
      </w:r>
    </w:p>
    <w:p w14:paraId="7859D30A" w14:textId="299083F7" w:rsidR="00B06415" w:rsidRPr="00C608A6" w:rsidRDefault="00113F20" w:rsidP="00113F20">
      <w:r w:rsidRPr="00C608A6">
        <w:t>9</w:t>
      </w:r>
      <w:r w:rsidRPr="00C608A6">
        <w:tab/>
        <w:t xml:space="preserve">à étudier et à déterminer les moyens permettant de faire en sorte que les limites pour une seule source de brouillage destinées à protéger les réseaux OSG soient appliquées </w:t>
      </w:r>
      <w:r w:rsidR="009001BB" w:rsidRPr="00C608A6">
        <w:t>pour un</w:t>
      </w:r>
      <w:r w:rsidRPr="00C608A6">
        <w:t xml:space="preserve"> système complet et non par fiche de notification individuelle</w:t>
      </w:r>
      <w:r w:rsidR="00B06415" w:rsidRPr="00C608A6">
        <w:t>,</w:t>
      </w:r>
    </w:p>
    <w:p w14:paraId="2FF3F570" w14:textId="77777777" w:rsidR="00B06415" w:rsidRPr="00C608A6" w:rsidRDefault="00B06415" w:rsidP="00B06415">
      <w:pPr>
        <w:pStyle w:val="Call"/>
        <w:rPr>
          <w:lang w:eastAsia="en-GB"/>
        </w:rPr>
      </w:pPr>
      <w:r w:rsidRPr="00C608A6">
        <w:t>invite la Conférence mondiale des radiocommunications de 2027</w:t>
      </w:r>
    </w:p>
    <w:p w14:paraId="3D1B9331" w14:textId="77777777" w:rsidR="00B06415" w:rsidRPr="00C608A6" w:rsidRDefault="00B06415" w:rsidP="00B06415">
      <w:r w:rsidRPr="00C608A6">
        <w:t>à examiner les résultats des études susmentionnées et à prendre les mesures réglementaires nécessaires, le cas échéant.</w:t>
      </w:r>
    </w:p>
    <w:p w14:paraId="32225E1D" w14:textId="2CCFE861" w:rsidR="00CA1CF1" w:rsidRPr="00C608A6" w:rsidRDefault="00243757">
      <w:pPr>
        <w:pStyle w:val="Reasons"/>
      </w:pPr>
      <w:r w:rsidRPr="00C608A6">
        <w:rPr>
          <w:b/>
        </w:rPr>
        <w:t>Motifs:</w:t>
      </w:r>
      <w:r w:rsidRPr="00C608A6">
        <w:tab/>
      </w:r>
      <w:r w:rsidR="009001BB" w:rsidRPr="00C608A6">
        <w:t xml:space="preserve">Réaliser </w:t>
      </w:r>
      <w:r w:rsidR="00113F20" w:rsidRPr="00C608A6">
        <w:t>des études</w:t>
      </w:r>
      <w:r w:rsidR="009001BB" w:rsidRPr="00C608A6">
        <w:t>,</w:t>
      </w:r>
      <w:r w:rsidR="00113F20" w:rsidRPr="00C608A6">
        <w:t xml:space="preserve"> dans les bandes de fréquences au-dessous de 30 GHz </w:t>
      </w:r>
      <w:r w:rsidR="009001BB" w:rsidRPr="00C608A6">
        <w:t>dans lesquelles les limites d'epfd de</w:t>
      </w:r>
      <w:r w:rsidR="00113F20" w:rsidRPr="00C608A6">
        <w:t xml:space="preserve"> l</w:t>
      </w:r>
      <w:r w:rsidR="001C57AB" w:rsidRPr="00C608A6">
        <w:t>'</w:t>
      </w:r>
      <w:r w:rsidR="00113F20" w:rsidRPr="00C608A6">
        <w:t xml:space="preserve">Article </w:t>
      </w:r>
      <w:r w:rsidR="00113F20" w:rsidRPr="00C608A6">
        <w:rPr>
          <w:b/>
          <w:bCs/>
        </w:rPr>
        <w:t>22</w:t>
      </w:r>
      <w:r w:rsidR="00113F20" w:rsidRPr="00C608A6">
        <w:t xml:space="preserve"> s</w:t>
      </w:r>
      <w:r w:rsidR="001C57AB" w:rsidRPr="00C608A6">
        <w:t>'</w:t>
      </w:r>
      <w:r w:rsidR="00113F20" w:rsidRPr="00C608A6">
        <w:t>appliquent</w:t>
      </w:r>
      <w:r w:rsidR="009001BB" w:rsidRPr="00C608A6">
        <w:t>, concernant</w:t>
      </w:r>
      <w:r w:rsidR="00113F20" w:rsidRPr="00C608A6">
        <w:t xml:space="preserve"> les dispositions réglementaires, notamment </w:t>
      </w:r>
      <w:r w:rsidR="00565644" w:rsidRPr="00C608A6">
        <w:t>les l</w:t>
      </w:r>
      <w:r w:rsidR="00113F20" w:rsidRPr="00C608A6">
        <w:t>imites d</w:t>
      </w:r>
      <w:r w:rsidR="001C57AB" w:rsidRPr="00C608A6">
        <w:t>'</w:t>
      </w:r>
      <w:r w:rsidR="00113F20" w:rsidRPr="00C608A6">
        <w:t>epfd</w:t>
      </w:r>
      <w:r w:rsidR="00565644" w:rsidRPr="00C608A6">
        <w:t>,</w:t>
      </w:r>
      <w:r w:rsidR="00113F20" w:rsidRPr="00C608A6">
        <w:t xml:space="preserve"> applicables aux systèmes du SFS </w:t>
      </w:r>
      <w:r w:rsidR="00BB3A1A" w:rsidRPr="00C608A6">
        <w:t xml:space="preserve">non OSG </w:t>
      </w:r>
      <w:r w:rsidR="00113F20" w:rsidRPr="00C608A6">
        <w:t xml:space="preserve">pour la protection des réseaux du SFS et du SRS </w:t>
      </w:r>
      <w:r w:rsidR="00BB3A1A" w:rsidRPr="00C608A6">
        <w:t xml:space="preserve">OSG </w:t>
      </w:r>
      <w:r w:rsidR="00113F20" w:rsidRPr="00C608A6">
        <w:t xml:space="preserve">contre les brouillages inacceptables et pour la modification éventuelle de ces dispositions, tout en assurant la protection contre les brouillages inacceptables des réseaux OSG existants ou en projet, </w:t>
      </w:r>
      <w:r w:rsidR="00565644" w:rsidRPr="00C608A6">
        <w:t>conformément au</w:t>
      </w:r>
      <w:r w:rsidR="00113F20" w:rsidRPr="00C608A6">
        <w:t xml:space="preserve"> Règlement des radiocommunications de l</w:t>
      </w:r>
      <w:r w:rsidR="001C57AB" w:rsidRPr="00C608A6">
        <w:t>'</w:t>
      </w:r>
      <w:r w:rsidR="00113F20" w:rsidRPr="00C608A6">
        <w:t xml:space="preserve">UIT, et élaborer au besoin des mesures transitoires, telles que </w:t>
      </w:r>
      <w:r w:rsidR="00565644" w:rsidRPr="00C608A6">
        <w:t>le maintien des</w:t>
      </w:r>
      <w:r w:rsidR="00113F20" w:rsidRPr="00C608A6">
        <w:t xml:space="preserve"> droits acquis, pour assurer la continuité de fonctionnement des réseaux OSG existants ou en projet et pour que les systèmes non OSG ne </w:t>
      </w:r>
      <w:r w:rsidR="0016435E" w:rsidRPr="00C608A6">
        <w:t xml:space="preserve">subissent </w:t>
      </w:r>
      <w:r w:rsidR="00113F20" w:rsidRPr="00C608A6">
        <w:t xml:space="preserve">pas </w:t>
      </w:r>
      <w:r w:rsidR="0016435E" w:rsidRPr="00C608A6">
        <w:t>de perturbations</w:t>
      </w:r>
      <w:r w:rsidR="00B06415" w:rsidRPr="00C608A6">
        <w:t>.</w:t>
      </w:r>
    </w:p>
    <w:p w14:paraId="25EEAD34" w14:textId="25FD2088" w:rsidR="00CA1CF1" w:rsidRPr="00C608A6" w:rsidRDefault="00CA1CF1">
      <w:pPr>
        <w:tabs>
          <w:tab w:val="clear" w:pos="1134"/>
          <w:tab w:val="clear" w:pos="1871"/>
          <w:tab w:val="clear" w:pos="2268"/>
        </w:tabs>
        <w:overflowPunct/>
        <w:autoSpaceDE/>
        <w:autoSpaceDN/>
        <w:adjustRightInd/>
        <w:spacing w:before="0"/>
        <w:textAlignment w:val="auto"/>
      </w:pPr>
      <w:r w:rsidRPr="00C608A6">
        <w:br w:type="page"/>
      </w:r>
    </w:p>
    <w:p w14:paraId="2BA8FA47" w14:textId="77DCC546" w:rsidR="00B06415" w:rsidRPr="00C608A6" w:rsidRDefault="00876C8E" w:rsidP="00B06415">
      <w:pPr>
        <w:pStyle w:val="AnnexNo"/>
      </w:pPr>
      <w:r w:rsidRPr="00C608A6">
        <w:t>ANNEXE</w:t>
      </w:r>
    </w:p>
    <w:p w14:paraId="33516D83" w14:textId="6A0FF412" w:rsidR="00CA1CF1" w:rsidRPr="00C608A6" w:rsidRDefault="00113F20" w:rsidP="00CA1CF1">
      <w:pPr>
        <w:pStyle w:val="Annextitle"/>
      </w:pPr>
      <w:r w:rsidRPr="00C608A6">
        <w:t>Proposition de futur point de l</w:t>
      </w:r>
      <w:r w:rsidR="001C57AB" w:rsidRPr="00C608A6">
        <w:t>'</w:t>
      </w:r>
      <w:r w:rsidRPr="00C608A6">
        <w:t xml:space="preserve">ordre du jour visant à étudier les dispositions réglementaires relatives à la protection des réseaux du SFS et du SRS </w:t>
      </w:r>
      <w:r w:rsidR="0016435E" w:rsidRPr="00C608A6">
        <w:t xml:space="preserve">OSG </w:t>
      </w:r>
      <w:r w:rsidRPr="00C608A6">
        <w:t>contre les brouillages inacceptables causés par des systèmes du</w:t>
      </w:r>
      <w:r w:rsidR="008F10EE" w:rsidRPr="00C608A6">
        <w:br/>
      </w:r>
      <w:r w:rsidRPr="00C608A6">
        <w:t xml:space="preserve">SFS </w:t>
      </w:r>
      <w:r w:rsidR="0016435E" w:rsidRPr="00C608A6">
        <w:t xml:space="preserve">non OSG </w:t>
      </w:r>
      <w:r w:rsidRPr="00C608A6">
        <w:t xml:space="preserve">dans des parties des bandes de fréquences </w:t>
      </w:r>
      <w:r w:rsidR="00C16BC4" w:rsidRPr="00C608A6">
        <w:br/>
      </w:r>
      <w:r w:rsidRPr="00C608A6">
        <w:t>3</w:t>
      </w:r>
      <w:r w:rsidR="00C23321" w:rsidRPr="00C608A6">
        <w:t> </w:t>
      </w:r>
      <w:r w:rsidRPr="00C608A6">
        <w:t>700</w:t>
      </w:r>
      <w:r w:rsidR="00C23321" w:rsidRPr="00C608A6">
        <w:noBreakHyphen/>
      </w:r>
      <w:r w:rsidRPr="00C608A6">
        <w:t xml:space="preserve">4 200 MHz, 5 925-6 725 MHz, 10,7-14,5 GHz, </w:t>
      </w:r>
      <w:r w:rsidR="00C16BC4" w:rsidRPr="00C608A6">
        <w:br/>
      </w:r>
      <w:r w:rsidRPr="00C608A6">
        <w:t>17,3</w:t>
      </w:r>
      <w:r w:rsidR="00C23321" w:rsidRPr="00C608A6">
        <w:noBreakHyphen/>
      </w:r>
      <w:r w:rsidRPr="00C608A6">
        <w:t xml:space="preserve">20,2 GHz et 27,5-30 GHz </w:t>
      </w:r>
      <w:r w:rsidR="0016435E" w:rsidRPr="00C608A6">
        <w:t xml:space="preserve">dans lesquelles </w:t>
      </w:r>
      <w:r w:rsidR="00C16BC4" w:rsidRPr="00C608A6">
        <w:br/>
      </w:r>
      <w:r w:rsidRPr="00C608A6">
        <w:t>les limites d</w:t>
      </w:r>
      <w:r w:rsidR="001C57AB" w:rsidRPr="00C608A6">
        <w:t>'</w:t>
      </w:r>
      <w:r w:rsidRPr="00C608A6">
        <w:t>epfd de l</w:t>
      </w:r>
      <w:r w:rsidR="001C57AB" w:rsidRPr="00C608A6">
        <w:t>'</w:t>
      </w:r>
      <w:r w:rsidRPr="00C608A6">
        <w:t>Article 22</w:t>
      </w:r>
      <w:r w:rsidR="008F10EE" w:rsidRPr="00C608A6">
        <w:br/>
      </w:r>
      <w:r w:rsidR="00565644" w:rsidRPr="00C608A6">
        <w:t>s'appliquent</w:t>
      </w:r>
    </w:p>
    <w:tbl>
      <w:tblPr>
        <w:tblpPr w:leftFromText="180" w:rightFromText="180" w:vertAnchor="text" w:tblpX="-84" w:tblpY="1"/>
        <w:tblOverlap w:val="never"/>
        <w:tblW w:w="10065" w:type="dxa"/>
        <w:tblLayout w:type="fixed"/>
        <w:tblLook w:val="04A0" w:firstRow="1" w:lastRow="0" w:firstColumn="1" w:lastColumn="0" w:noHBand="0" w:noVBand="1"/>
      </w:tblPr>
      <w:tblGrid>
        <w:gridCol w:w="10065"/>
      </w:tblGrid>
      <w:tr w:rsidR="00883F6D" w:rsidRPr="00C608A6" w14:paraId="0FD3F9A3" w14:textId="77777777" w:rsidTr="00E82BFB">
        <w:trPr>
          <w:cantSplit/>
        </w:trPr>
        <w:tc>
          <w:tcPr>
            <w:tcW w:w="10065" w:type="dxa"/>
          </w:tcPr>
          <w:p w14:paraId="468C4F88" w14:textId="06A07199" w:rsidR="00883F6D" w:rsidRPr="00C608A6" w:rsidRDefault="00883F6D" w:rsidP="00E82BFB">
            <w:pPr>
              <w:keepNext/>
              <w:spacing w:after="120"/>
            </w:pPr>
            <w:r w:rsidRPr="00C608A6">
              <w:rPr>
                <w:b/>
                <w:bCs/>
              </w:rPr>
              <w:t>Objet:</w:t>
            </w:r>
            <w:r w:rsidR="00C23321" w:rsidRPr="00C608A6">
              <w:t xml:space="preserve"> </w:t>
            </w:r>
            <w:r w:rsidR="00113F20" w:rsidRPr="00C608A6">
              <w:rPr>
                <w:szCs w:val="24"/>
              </w:rPr>
              <w:t>Proposition de futur point de l</w:t>
            </w:r>
            <w:r w:rsidR="001C57AB" w:rsidRPr="00C608A6">
              <w:rPr>
                <w:szCs w:val="24"/>
              </w:rPr>
              <w:t>'</w:t>
            </w:r>
            <w:r w:rsidR="00113F20" w:rsidRPr="00C608A6">
              <w:rPr>
                <w:szCs w:val="24"/>
              </w:rPr>
              <w:t xml:space="preserve">ordre du jour de la CMR-27 </w:t>
            </w:r>
            <w:r w:rsidR="000E6A74" w:rsidRPr="00C608A6">
              <w:rPr>
                <w:szCs w:val="24"/>
              </w:rPr>
              <w:t xml:space="preserve">visant à </w:t>
            </w:r>
            <w:r w:rsidR="00113F20" w:rsidRPr="00C608A6">
              <w:rPr>
                <w:szCs w:val="24"/>
              </w:rPr>
              <w:t xml:space="preserve">étudier les dispositions réglementaires relatives à la protection des réseaux du SFS et du SRS </w:t>
            </w:r>
            <w:r w:rsidR="0016435E" w:rsidRPr="00C608A6">
              <w:rPr>
                <w:szCs w:val="24"/>
              </w:rPr>
              <w:t xml:space="preserve">OSG </w:t>
            </w:r>
            <w:r w:rsidR="00113F20" w:rsidRPr="00C608A6">
              <w:rPr>
                <w:szCs w:val="24"/>
              </w:rPr>
              <w:t>vis-à-vis des systèmes non</w:t>
            </w:r>
            <w:r w:rsidR="008F10EE" w:rsidRPr="00C608A6">
              <w:rPr>
                <w:szCs w:val="24"/>
              </w:rPr>
              <w:t> </w:t>
            </w:r>
            <w:r w:rsidR="00113F20" w:rsidRPr="00C608A6">
              <w:rPr>
                <w:szCs w:val="24"/>
              </w:rPr>
              <w:t xml:space="preserve">OSG dans les bandes de fréquences au-dessous de 30 GHz dans lesquelles </w:t>
            </w:r>
            <w:r w:rsidR="000E6A74" w:rsidRPr="00C608A6">
              <w:rPr>
                <w:szCs w:val="24"/>
              </w:rPr>
              <w:t>les</w:t>
            </w:r>
            <w:r w:rsidR="00113F20" w:rsidRPr="00C608A6">
              <w:rPr>
                <w:szCs w:val="24"/>
              </w:rPr>
              <w:t xml:space="preserve"> limites d</w:t>
            </w:r>
            <w:r w:rsidR="001C57AB" w:rsidRPr="00C608A6">
              <w:rPr>
                <w:szCs w:val="24"/>
              </w:rPr>
              <w:t>'</w:t>
            </w:r>
            <w:r w:rsidR="00113F20" w:rsidRPr="00C608A6">
              <w:rPr>
                <w:szCs w:val="24"/>
              </w:rPr>
              <w:t xml:space="preserve">epfd </w:t>
            </w:r>
            <w:r w:rsidR="000E6A74" w:rsidRPr="00C608A6">
              <w:rPr>
                <w:szCs w:val="24"/>
              </w:rPr>
              <w:t>de l'Article</w:t>
            </w:r>
            <w:r w:rsidR="00C23321" w:rsidRPr="00C608A6">
              <w:rPr>
                <w:szCs w:val="24"/>
              </w:rPr>
              <w:t> </w:t>
            </w:r>
            <w:r w:rsidR="000E6A74" w:rsidRPr="00C608A6">
              <w:rPr>
                <w:b/>
                <w:bCs/>
                <w:szCs w:val="24"/>
              </w:rPr>
              <w:t>22</w:t>
            </w:r>
            <w:r w:rsidR="000E6A74" w:rsidRPr="00C608A6">
              <w:rPr>
                <w:szCs w:val="24"/>
              </w:rPr>
              <w:t xml:space="preserve"> </w:t>
            </w:r>
            <w:r w:rsidR="00113F20" w:rsidRPr="00C608A6">
              <w:rPr>
                <w:szCs w:val="24"/>
              </w:rPr>
              <w:t>s</w:t>
            </w:r>
            <w:r w:rsidR="001C57AB" w:rsidRPr="00C608A6">
              <w:rPr>
                <w:szCs w:val="24"/>
              </w:rPr>
              <w:t>'</w:t>
            </w:r>
            <w:r w:rsidR="00113F20" w:rsidRPr="00C608A6">
              <w:rPr>
                <w:szCs w:val="24"/>
              </w:rPr>
              <w:t>appliquent et la mise en œuvre de ces dispositions</w:t>
            </w:r>
            <w:r w:rsidR="008F10EE" w:rsidRPr="00C608A6">
              <w:rPr>
                <w:szCs w:val="24"/>
              </w:rPr>
              <w:t>.</w:t>
            </w:r>
          </w:p>
        </w:tc>
      </w:tr>
      <w:tr w:rsidR="00883F6D" w:rsidRPr="00C608A6" w14:paraId="2FEEFEB9" w14:textId="77777777" w:rsidTr="00E82BFB">
        <w:trPr>
          <w:cantSplit/>
        </w:trPr>
        <w:tc>
          <w:tcPr>
            <w:tcW w:w="10065" w:type="dxa"/>
            <w:tcBorders>
              <w:top w:val="nil"/>
              <w:left w:val="nil"/>
              <w:bottom w:val="single" w:sz="4" w:space="0" w:color="auto"/>
              <w:right w:val="nil"/>
            </w:tcBorders>
          </w:tcPr>
          <w:p w14:paraId="521CA4E6" w14:textId="5E60DF10" w:rsidR="00883F6D" w:rsidRPr="00C608A6" w:rsidRDefault="00883F6D" w:rsidP="00E82BFB">
            <w:pPr>
              <w:keepNext/>
              <w:spacing w:after="120"/>
              <w:rPr>
                <w:rFonts w:eastAsia="SimSun"/>
                <w:b/>
                <w:i/>
                <w:color w:val="000000"/>
                <w:lang w:eastAsia="zh-CN"/>
              </w:rPr>
            </w:pPr>
            <w:r w:rsidRPr="00C608A6">
              <w:rPr>
                <w:b/>
                <w:bCs/>
              </w:rPr>
              <w:t>Origine:</w:t>
            </w:r>
            <w:r w:rsidRPr="00C608A6">
              <w:rPr>
                <w:szCs w:val="24"/>
              </w:rPr>
              <w:t xml:space="preserve"> CITEL</w:t>
            </w:r>
          </w:p>
        </w:tc>
      </w:tr>
      <w:tr w:rsidR="00883F6D" w:rsidRPr="00C608A6" w14:paraId="120F8330" w14:textId="77777777" w:rsidTr="00E82BFB">
        <w:trPr>
          <w:cantSplit/>
        </w:trPr>
        <w:tc>
          <w:tcPr>
            <w:tcW w:w="10065" w:type="dxa"/>
            <w:tcBorders>
              <w:top w:val="single" w:sz="4" w:space="0" w:color="auto"/>
              <w:left w:val="nil"/>
              <w:bottom w:val="single" w:sz="4" w:space="0" w:color="auto"/>
              <w:right w:val="nil"/>
            </w:tcBorders>
          </w:tcPr>
          <w:p w14:paraId="7EAEB9A6" w14:textId="0BB97E15" w:rsidR="00883F6D" w:rsidRPr="00C608A6" w:rsidRDefault="00883F6D" w:rsidP="00E82BFB">
            <w:pPr>
              <w:keepNext/>
              <w:spacing w:after="120"/>
              <w:rPr>
                <w:b/>
                <w:i/>
                <w:color w:val="000000"/>
              </w:rPr>
            </w:pPr>
            <w:r w:rsidRPr="00C608A6">
              <w:rPr>
                <w:b/>
                <w:i/>
                <w:color w:val="000000"/>
              </w:rPr>
              <w:t>Proposition</w:t>
            </w:r>
            <w:r w:rsidRPr="00C608A6">
              <w:rPr>
                <w:b/>
                <w:iCs/>
                <w:color w:val="000000"/>
              </w:rPr>
              <w:t>:</w:t>
            </w:r>
          </w:p>
          <w:p w14:paraId="10150939" w14:textId="5DF95BE8" w:rsidR="00883F6D" w:rsidRPr="00C608A6" w:rsidRDefault="00C23321" w:rsidP="00E82BFB">
            <w:pPr>
              <w:keepNext/>
              <w:spacing w:after="120"/>
              <w:rPr>
                <w:b/>
                <w:iCs/>
              </w:rPr>
            </w:pPr>
            <w:r w:rsidRPr="00C608A6">
              <w:rPr>
                <w:iCs/>
                <w:color w:val="000000" w:themeColor="text1"/>
                <w:szCs w:val="24"/>
              </w:rPr>
              <w:t>É</w:t>
            </w:r>
            <w:r w:rsidR="00113F20" w:rsidRPr="00C608A6">
              <w:rPr>
                <w:iCs/>
                <w:color w:val="000000" w:themeColor="text1"/>
                <w:szCs w:val="24"/>
              </w:rPr>
              <w:t>tudier et mettre à jour, le cas échéant, les dispositions réglementaires applicables au partage entre</w:t>
            </w:r>
            <w:r w:rsidR="000E6A74" w:rsidRPr="00C608A6">
              <w:rPr>
                <w:iCs/>
                <w:color w:val="000000" w:themeColor="text1"/>
                <w:szCs w:val="24"/>
              </w:rPr>
              <w:t xml:space="preserve"> les</w:t>
            </w:r>
            <w:r w:rsidR="00113F20" w:rsidRPr="00C608A6">
              <w:rPr>
                <w:iCs/>
                <w:color w:val="000000" w:themeColor="text1"/>
                <w:szCs w:val="24"/>
              </w:rPr>
              <w:t xml:space="preserve"> systèmes non OSG et </w:t>
            </w:r>
            <w:r w:rsidR="000E6A74" w:rsidRPr="00C608A6">
              <w:rPr>
                <w:iCs/>
                <w:color w:val="000000" w:themeColor="text1"/>
                <w:szCs w:val="24"/>
              </w:rPr>
              <w:t xml:space="preserve">les </w:t>
            </w:r>
            <w:r w:rsidR="00113F20" w:rsidRPr="00C608A6">
              <w:rPr>
                <w:iCs/>
                <w:color w:val="000000" w:themeColor="text1"/>
                <w:szCs w:val="24"/>
              </w:rPr>
              <w:t>réseaux OSG dans les parties des bandes de fréquences au-dessous de</w:t>
            </w:r>
            <w:r w:rsidR="00CF6D4E" w:rsidRPr="00C608A6">
              <w:rPr>
                <w:iCs/>
                <w:color w:val="000000" w:themeColor="text1"/>
                <w:szCs w:val="24"/>
              </w:rPr>
              <w:t> </w:t>
            </w:r>
            <w:r w:rsidR="00113F20" w:rsidRPr="00C608A6">
              <w:rPr>
                <w:iCs/>
                <w:color w:val="000000" w:themeColor="text1"/>
                <w:szCs w:val="24"/>
              </w:rPr>
              <w:t>30</w:t>
            </w:r>
            <w:r w:rsidRPr="00C608A6">
              <w:rPr>
                <w:iCs/>
                <w:color w:val="000000" w:themeColor="text1"/>
                <w:szCs w:val="24"/>
              </w:rPr>
              <w:t> </w:t>
            </w:r>
            <w:r w:rsidR="00113F20" w:rsidRPr="00C608A6">
              <w:rPr>
                <w:iCs/>
                <w:color w:val="000000" w:themeColor="text1"/>
                <w:szCs w:val="24"/>
              </w:rPr>
              <w:t xml:space="preserve">GHz dans lesquelles </w:t>
            </w:r>
            <w:r w:rsidR="000E6A74" w:rsidRPr="00C608A6">
              <w:rPr>
                <w:iCs/>
                <w:color w:val="000000" w:themeColor="text1"/>
                <w:szCs w:val="24"/>
              </w:rPr>
              <w:t>les</w:t>
            </w:r>
            <w:r w:rsidR="00113F20" w:rsidRPr="00C608A6">
              <w:rPr>
                <w:iCs/>
                <w:color w:val="000000" w:themeColor="text1"/>
                <w:szCs w:val="24"/>
              </w:rPr>
              <w:t xml:space="preserve"> limites d</w:t>
            </w:r>
            <w:r w:rsidR="001C57AB" w:rsidRPr="00C608A6">
              <w:rPr>
                <w:iCs/>
                <w:color w:val="000000" w:themeColor="text1"/>
                <w:szCs w:val="24"/>
              </w:rPr>
              <w:t>'</w:t>
            </w:r>
            <w:r w:rsidR="00113F20" w:rsidRPr="00C608A6">
              <w:rPr>
                <w:iCs/>
                <w:color w:val="000000" w:themeColor="text1"/>
                <w:szCs w:val="24"/>
              </w:rPr>
              <w:t xml:space="preserve">epfd </w:t>
            </w:r>
            <w:r w:rsidR="000E6A74" w:rsidRPr="00C608A6">
              <w:rPr>
                <w:iCs/>
                <w:color w:val="000000" w:themeColor="text1"/>
                <w:szCs w:val="24"/>
              </w:rPr>
              <w:t xml:space="preserve">de l'Article </w:t>
            </w:r>
            <w:r w:rsidR="000E6A74" w:rsidRPr="00C608A6">
              <w:rPr>
                <w:b/>
                <w:bCs/>
                <w:iCs/>
                <w:color w:val="000000" w:themeColor="text1"/>
                <w:szCs w:val="24"/>
              </w:rPr>
              <w:t>22</w:t>
            </w:r>
            <w:r w:rsidR="000E6A74" w:rsidRPr="00C608A6">
              <w:rPr>
                <w:iCs/>
                <w:color w:val="000000" w:themeColor="text1"/>
                <w:szCs w:val="24"/>
              </w:rPr>
              <w:t xml:space="preserve"> </w:t>
            </w:r>
            <w:r w:rsidR="00113F20" w:rsidRPr="00C608A6">
              <w:rPr>
                <w:iCs/>
                <w:color w:val="000000" w:themeColor="text1"/>
                <w:szCs w:val="24"/>
              </w:rPr>
              <w:t>s</w:t>
            </w:r>
            <w:r w:rsidR="001C57AB" w:rsidRPr="00C608A6">
              <w:rPr>
                <w:iCs/>
                <w:color w:val="000000" w:themeColor="text1"/>
                <w:szCs w:val="24"/>
              </w:rPr>
              <w:t>'</w:t>
            </w:r>
            <w:r w:rsidR="00113F20" w:rsidRPr="00C608A6">
              <w:rPr>
                <w:iCs/>
                <w:color w:val="000000" w:themeColor="text1"/>
                <w:szCs w:val="24"/>
              </w:rPr>
              <w:t>appliquent et la mise en œuvre de ces dispositions</w:t>
            </w:r>
            <w:r w:rsidR="00883F6D" w:rsidRPr="00C608A6">
              <w:rPr>
                <w:iCs/>
                <w:color w:val="000000" w:themeColor="text1"/>
                <w:szCs w:val="24"/>
              </w:rPr>
              <w:t>.</w:t>
            </w:r>
          </w:p>
        </w:tc>
      </w:tr>
      <w:tr w:rsidR="00883F6D" w:rsidRPr="00C608A6" w14:paraId="22B48398" w14:textId="77777777" w:rsidTr="00E82BFB">
        <w:trPr>
          <w:cantSplit/>
        </w:trPr>
        <w:tc>
          <w:tcPr>
            <w:tcW w:w="10065" w:type="dxa"/>
            <w:tcBorders>
              <w:top w:val="single" w:sz="4" w:space="0" w:color="auto"/>
              <w:left w:val="nil"/>
              <w:bottom w:val="single" w:sz="4" w:space="0" w:color="auto"/>
              <w:right w:val="nil"/>
            </w:tcBorders>
          </w:tcPr>
          <w:p w14:paraId="782873BE" w14:textId="4F77CF3A" w:rsidR="00883F6D" w:rsidRPr="00C608A6" w:rsidRDefault="00883F6D" w:rsidP="00E82BFB">
            <w:pPr>
              <w:rPr>
                <w:szCs w:val="24"/>
              </w:rPr>
            </w:pPr>
            <w:r w:rsidRPr="00C608A6">
              <w:rPr>
                <w:b/>
                <w:i/>
                <w:szCs w:val="24"/>
              </w:rPr>
              <w:t>Contexte/Motif</w:t>
            </w:r>
            <w:r w:rsidRPr="00C608A6">
              <w:rPr>
                <w:b/>
                <w:iCs/>
                <w:szCs w:val="24"/>
              </w:rPr>
              <w:t>:</w:t>
            </w:r>
          </w:p>
          <w:p w14:paraId="42ED3FC7" w14:textId="72633F61" w:rsidR="00883F6D" w:rsidRPr="00C608A6" w:rsidRDefault="00EF5ECC" w:rsidP="008F10EE">
            <w:pPr>
              <w:spacing w:after="120"/>
            </w:pPr>
            <w:r w:rsidRPr="00C608A6">
              <w:t>Les réseaux OSG et non OSG d'aujourd'hui ont évolué sur le plan de la conception et des capacités opérationnelles par rapport aux systèmes considérés aux fins de l'élaboration des limites d'epfd figurant dans l'Article</w:t>
            </w:r>
            <w:r w:rsidR="00C23321" w:rsidRPr="00C608A6">
              <w:t> </w:t>
            </w:r>
            <w:r w:rsidRPr="00C608A6">
              <w:rPr>
                <w:b/>
                <w:bCs/>
              </w:rPr>
              <w:t>22</w:t>
            </w:r>
            <w:r w:rsidRPr="00C608A6">
              <w:t>, il y a près de vingt-cinq ans</w:t>
            </w:r>
            <w:r w:rsidR="00113F20" w:rsidRPr="00C608A6">
              <w:t xml:space="preserve">. </w:t>
            </w:r>
            <w:r w:rsidRPr="00C608A6">
              <w:t>Fait</w:t>
            </w:r>
            <w:r w:rsidR="00113F20" w:rsidRPr="00C608A6">
              <w:t xml:space="preserve"> tout aussi important</w:t>
            </w:r>
            <w:r w:rsidRPr="00C608A6">
              <w:t xml:space="preserve">, </w:t>
            </w:r>
            <w:r w:rsidR="00113F20" w:rsidRPr="00C608A6">
              <w:t>les outils et les méthodes d</w:t>
            </w:r>
            <w:r w:rsidR="001C57AB" w:rsidRPr="00C608A6">
              <w:t>'</w:t>
            </w:r>
            <w:r w:rsidR="00113F20" w:rsidRPr="00C608A6">
              <w:t>examen des limites d</w:t>
            </w:r>
            <w:r w:rsidR="001C57AB" w:rsidRPr="00C608A6">
              <w:t>'</w:t>
            </w:r>
            <w:r w:rsidR="00113F20" w:rsidRPr="00C608A6">
              <w:t>epfd pour une seule source de brouillage et des limites d</w:t>
            </w:r>
            <w:r w:rsidR="001C57AB" w:rsidRPr="00C608A6">
              <w:t>'</w:t>
            </w:r>
            <w:r w:rsidR="00113F20" w:rsidRPr="00C608A6">
              <w:t>epfd cumulative pour protéger les réseaux OSG ne sont pas entièrement disponibles. Une étude approfondie est donc nécessaire pour déterminer s</w:t>
            </w:r>
            <w:r w:rsidR="001C57AB" w:rsidRPr="00C608A6">
              <w:t>'</w:t>
            </w:r>
            <w:r w:rsidR="00113F20" w:rsidRPr="00C608A6">
              <w:t>il y a lieu de mettre à jour les niveaux de protection et apporter les modifications nécessaires pour garantir une efficacité spectrale maximale afin de répondre à la demande croissante de services par satellite à l</w:t>
            </w:r>
            <w:r w:rsidR="001C57AB" w:rsidRPr="00C608A6">
              <w:t>'</w:t>
            </w:r>
            <w:r w:rsidR="00113F20" w:rsidRPr="00C608A6">
              <w:t>échelle mondiale</w:t>
            </w:r>
            <w:r w:rsidR="00883F6D" w:rsidRPr="00C608A6">
              <w:t>.</w:t>
            </w:r>
          </w:p>
        </w:tc>
      </w:tr>
      <w:tr w:rsidR="00883F6D" w:rsidRPr="00C608A6" w14:paraId="28A4580B" w14:textId="77777777" w:rsidTr="00E82BFB">
        <w:trPr>
          <w:cantSplit/>
        </w:trPr>
        <w:tc>
          <w:tcPr>
            <w:tcW w:w="10065" w:type="dxa"/>
            <w:tcBorders>
              <w:top w:val="single" w:sz="4" w:space="0" w:color="auto"/>
              <w:left w:val="nil"/>
              <w:bottom w:val="single" w:sz="4" w:space="0" w:color="auto"/>
              <w:right w:val="nil"/>
            </w:tcBorders>
          </w:tcPr>
          <w:p w14:paraId="022930F2" w14:textId="0746BCEA" w:rsidR="00883F6D" w:rsidRPr="00C608A6" w:rsidRDefault="00883F6D" w:rsidP="00E82BFB">
            <w:pPr>
              <w:keepNext/>
              <w:spacing w:after="120"/>
              <w:rPr>
                <w:b/>
                <w:i/>
              </w:rPr>
            </w:pPr>
            <w:r w:rsidRPr="00C608A6">
              <w:rPr>
                <w:b/>
                <w:i/>
              </w:rPr>
              <w:t>Services de radiocommunication concernés</w:t>
            </w:r>
            <w:r w:rsidRPr="00C608A6">
              <w:rPr>
                <w:b/>
                <w:iCs/>
              </w:rPr>
              <w:t>:</w:t>
            </w:r>
          </w:p>
          <w:p w14:paraId="01475569" w14:textId="20F574B2" w:rsidR="00883F6D" w:rsidRPr="00C608A6" w:rsidRDefault="00113F20" w:rsidP="00E82BFB">
            <w:pPr>
              <w:keepNext/>
              <w:spacing w:after="120"/>
              <w:rPr>
                <w:b/>
                <w:iCs/>
              </w:rPr>
            </w:pPr>
            <w:r w:rsidRPr="00C608A6">
              <w:rPr>
                <w:szCs w:val="24"/>
                <w:lang w:eastAsia="ko-KR"/>
              </w:rPr>
              <w:t>Service fixe par satellite (SFS), service mobile par satellite (SMS), service de radiodiffusion par satellite (SRS), Service d</w:t>
            </w:r>
            <w:r w:rsidR="001C57AB" w:rsidRPr="00C608A6">
              <w:rPr>
                <w:szCs w:val="24"/>
                <w:lang w:eastAsia="ko-KR"/>
              </w:rPr>
              <w:t>'</w:t>
            </w:r>
            <w:r w:rsidRPr="00C608A6">
              <w:rPr>
                <w:szCs w:val="24"/>
                <w:lang w:eastAsia="ko-KR"/>
              </w:rPr>
              <w:t>exploration de la Terre par satellite (SETS)</w:t>
            </w:r>
            <w:r w:rsidR="003B62DF" w:rsidRPr="00C608A6">
              <w:rPr>
                <w:szCs w:val="24"/>
                <w:lang w:eastAsia="ko-KR"/>
              </w:rPr>
              <w:t xml:space="preserve">, service de </w:t>
            </w:r>
            <w:r w:rsidRPr="00C608A6">
              <w:rPr>
                <w:szCs w:val="24"/>
                <w:lang w:eastAsia="ko-KR"/>
              </w:rPr>
              <w:t>radioastronomie et autres services</w:t>
            </w:r>
            <w:r w:rsidR="00883F6D" w:rsidRPr="00C608A6">
              <w:rPr>
                <w:szCs w:val="24"/>
                <w:lang w:eastAsia="ko-KR"/>
              </w:rPr>
              <w:t>.</w:t>
            </w:r>
          </w:p>
        </w:tc>
      </w:tr>
      <w:tr w:rsidR="00883F6D" w:rsidRPr="00C608A6" w14:paraId="63C1DA6E" w14:textId="77777777" w:rsidTr="00E82BFB">
        <w:trPr>
          <w:cantSplit/>
        </w:trPr>
        <w:tc>
          <w:tcPr>
            <w:tcW w:w="10065" w:type="dxa"/>
            <w:tcBorders>
              <w:top w:val="single" w:sz="4" w:space="0" w:color="auto"/>
              <w:left w:val="nil"/>
              <w:bottom w:val="single" w:sz="4" w:space="0" w:color="auto"/>
              <w:right w:val="nil"/>
            </w:tcBorders>
          </w:tcPr>
          <w:p w14:paraId="43D25FA1" w14:textId="3C911DFF" w:rsidR="00883F6D" w:rsidRPr="00C608A6" w:rsidRDefault="00883F6D" w:rsidP="00E82BFB">
            <w:pPr>
              <w:keepNext/>
              <w:spacing w:after="120"/>
              <w:rPr>
                <w:b/>
                <w:i/>
              </w:rPr>
            </w:pPr>
            <w:r w:rsidRPr="00C608A6">
              <w:rPr>
                <w:b/>
                <w:i/>
              </w:rPr>
              <w:t>Indication des difficultés éventuelles</w:t>
            </w:r>
            <w:r w:rsidRPr="00C608A6">
              <w:rPr>
                <w:b/>
                <w:iCs/>
              </w:rPr>
              <w:t>:</w:t>
            </w:r>
          </w:p>
          <w:p w14:paraId="78AB6EAD" w14:textId="77777777" w:rsidR="00883F6D" w:rsidRPr="00C608A6" w:rsidRDefault="00883F6D" w:rsidP="00E82BFB">
            <w:pPr>
              <w:keepNext/>
              <w:spacing w:after="120"/>
              <w:rPr>
                <w:bCs/>
                <w:iCs/>
              </w:rPr>
            </w:pPr>
          </w:p>
        </w:tc>
      </w:tr>
      <w:tr w:rsidR="00883F6D" w:rsidRPr="00C608A6" w14:paraId="06C7CB8A" w14:textId="77777777" w:rsidTr="00E82BFB">
        <w:trPr>
          <w:cantSplit/>
        </w:trPr>
        <w:tc>
          <w:tcPr>
            <w:tcW w:w="10065" w:type="dxa"/>
            <w:tcBorders>
              <w:top w:val="single" w:sz="4" w:space="0" w:color="auto"/>
              <w:left w:val="nil"/>
              <w:bottom w:val="single" w:sz="4" w:space="0" w:color="auto"/>
              <w:right w:val="nil"/>
            </w:tcBorders>
          </w:tcPr>
          <w:p w14:paraId="1EE5AA45" w14:textId="5397ECEF" w:rsidR="00883F6D" w:rsidRPr="00C608A6" w:rsidRDefault="00883F6D" w:rsidP="00E82BFB">
            <w:pPr>
              <w:keepNext/>
              <w:spacing w:after="120"/>
              <w:rPr>
                <w:b/>
                <w:i/>
              </w:rPr>
            </w:pPr>
            <w:r w:rsidRPr="00C608A6">
              <w:rPr>
                <w:b/>
                <w:i/>
              </w:rPr>
              <w:t>Études précédentes ou en cours sur la question</w:t>
            </w:r>
            <w:r w:rsidRPr="00C608A6">
              <w:rPr>
                <w:b/>
                <w:iCs/>
              </w:rPr>
              <w:t>:</w:t>
            </w:r>
          </w:p>
          <w:p w14:paraId="6BC1D9A7" w14:textId="7CB00B90" w:rsidR="00883F6D" w:rsidRPr="00C608A6" w:rsidRDefault="00113F20" w:rsidP="008F10EE">
            <w:pPr>
              <w:keepNext/>
              <w:spacing w:after="120"/>
              <w:rPr>
                <w:rFonts w:eastAsiaTheme="minorEastAsia"/>
                <w:bCs/>
                <w:iCs/>
                <w:lang w:eastAsia="ja-JP"/>
              </w:rPr>
            </w:pPr>
            <w:r w:rsidRPr="00C608A6">
              <w:rPr>
                <w:rFonts w:eastAsiaTheme="minorEastAsia"/>
                <w:bCs/>
                <w:iCs/>
                <w:lang w:eastAsia="ja-JP"/>
              </w:rPr>
              <w:t>Aucune</w:t>
            </w:r>
          </w:p>
        </w:tc>
      </w:tr>
    </w:tbl>
    <w:p w14:paraId="2FB305FE" w14:textId="77777777" w:rsidR="008F10EE" w:rsidRPr="00C608A6" w:rsidRDefault="008F10EE"/>
    <w:tbl>
      <w:tblPr>
        <w:tblpPr w:leftFromText="180" w:rightFromText="180" w:vertAnchor="text" w:tblpX="-84" w:tblpY="1"/>
        <w:tblOverlap w:val="never"/>
        <w:tblW w:w="10065" w:type="dxa"/>
        <w:tblLayout w:type="fixed"/>
        <w:tblLook w:val="04A0" w:firstRow="1" w:lastRow="0" w:firstColumn="1" w:lastColumn="0" w:noHBand="0" w:noVBand="1"/>
      </w:tblPr>
      <w:tblGrid>
        <w:gridCol w:w="3969"/>
        <w:gridCol w:w="6096"/>
      </w:tblGrid>
      <w:tr w:rsidR="00883F6D" w:rsidRPr="00C608A6" w14:paraId="59F82438" w14:textId="77777777" w:rsidTr="00E82BFB">
        <w:trPr>
          <w:cantSplit/>
        </w:trPr>
        <w:tc>
          <w:tcPr>
            <w:tcW w:w="3969" w:type="dxa"/>
            <w:tcBorders>
              <w:top w:val="single" w:sz="4" w:space="0" w:color="auto"/>
              <w:left w:val="nil"/>
              <w:bottom w:val="single" w:sz="4" w:space="0" w:color="auto"/>
              <w:right w:val="single" w:sz="4" w:space="0" w:color="auto"/>
            </w:tcBorders>
          </w:tcPr>
          <w:p w14:paraId="39D827F4" w14:textId="14D39696" w:rsidR="00883F6D" w:rsidRPr="00C608A6" w:rsidRDefault="00883F6D" w:rsidP="008F10EE">
            <w:pPr>
              <w:keepNext/>
              <w:keepLines/>
              <w:spacing w:after="120"/>
              <w:rPr>
                <w:b/>
                <w:i/>
                <w:color w:val="000000"/>
              </w:rPr>
            </w:pPr>
            <w:r w:rsidRPr="00C608A6">
              <w:rPr>
                <w:b/>
                <w:i/>
                <w:color w:val="000000"/>
              </w:rPr>
              <w:t>Études devant être réalisées par</w:t>
            </w:r>
            <w:r w:rsidRPr="00C608A6">
              <w:rPr>
                <w:b/>
                <w:iCs/>
                <w:color w:val="000000"/>
              </w:rPr>
              <w:t>:</w:t>
            </w:r>
          </w:p>
          <w:p w14:paraId="348185AC" w14:textId="76726844" w:rsidR="00883F6D" w:rsidRPr="00C608A6" w:rsidRDefault="00113F20" w:rsidP="008F10EE">
            <w:pPr>
              <w:keepNext/>
              <w:keepLines/>
              <w:spacing w:after="120"/>
              <w:rPr>
                <w:bCs/>
                <w:iCs/>
                <w:color w:val="000000"/>
              </w:rPr>
            </w:pPr>
            <w:r w:rsidRPr="00C608A6">
              <w:rPr>
                <w:bCs/>
                <w:iCs/>
                <w:color w:val="000000"/>
              </w:rPr>
              <w:t>Groupe de travail 4A de l</w:t>
            </w:r>
            <w:r w:rsidR="001C57AB" w:rsidRPr="00C608A6">
              <w:rPr>
                <w:bCs/>
                <w:iCs/>
                <w:color w:val="000000"/>
              </w:rPr>
              <w:t>'</w:t>
            </w:r>
            <w:r w:rsidRPr="00C608A6">
              <w:rPr>
                <w:bCs/>
                <w:iCs/>
                <w:color w:val="000000"/>
              </w:rPr>
              <w:t>UIT-R</w:t>
            </w:r>
          </w:p>
        </w:tc>
        <w:tc>
          <w:tcPr>
            <w:tcW w:w="6096" w:type="dxa"/>
            <w:tcBorders>
              <w:top w:val="single" w:sz="4" w:space="0" w:color="auto"/>
              <w:left w:val="single" w:sz="4" w:space="0" w:color="auto"/>
              <w:bottom w:val="single" w:sz="4" w:space="0" w:color="auto"/>
              <w:right w:val="nil"/>
            </w:tcBorders>
          </w:tcPr>
          <w:p w14:paraId="67F1DCA4" w14:textId="0DA3219E" w:rsidR="00883F6D" w:rsidRPr="00C608A6" w:rsidRDefault="00883F6D" w:rsidP="008F10EE">
            <w:pPr>
              <w:keepNext/>
              <w:keepLines/>
              <w:spacing w:after="120"/>
              <w:rPr>
                <w:b/>
                <w:iCs/>
                <w:color w:val="000000"/>
              </w:rPr>
            </w:pPr>
            <w:r w:rsidRPr="00C608A6">
              <w:rPr>
                <w:b/>
                <w:i/>
                <w:color w:val="000000"/>
              </w:rPr>
              <w:t>avec la participation de</w:t>
            </w:r>
            <w:r w:rsidRPr="00C608A6">
              <w:rPr>
                <w:b/>
                <w:iCs/>
                <w:color w:val="000000"/>
              </w:rPr>
              <w:t>:</w:t>
            </w:r>
          </w:p>
          <w:p w14:paraId="44AA7285" w14:textId="7343636C" w:rsidR="00883F6D" w:rsidRPr="00C608A6" w:rsidRDefault="00113F20" w:rsidP="008F10EE">
            <w:pPr>
              <w:keepNext/>
              <w:keepLines/>
              <w:spacing w:after="120"/>
              <w:rPr>
                <w:bCs/>
                <w:iCs/>
                <w:color w:val="000000"/>
              </w:rPr>
            </w:pPr>
            <w:r w:rsidRPr="00C608A6">
              <w:rPr>
                <w:bCs/>
                <w:iCs/>
                <w:color w:val="000000"/>
              </w:rPr>
              <w:t>Administrations et Membres du Secteur de l</w:t>
            </w:r>
            <w:r w:rsidR="001C57AB" w:rsidRPr="00C608A6">
              <w:rPr>
                <w:bCs/>
                <w:iCs/>
                <w:color w:val="000000"/>
              </w:rPr>
              <w:t>'</w:t>
            </w:r>
            <w:r w:rsidRPr="00C608A6">
              <w:rPr>
                <w:bCs/>
                <w:iCs/>
                <w:color w:val="000000"/>
              </w:rPr>
              <w:t>UIT-R</w:t>
            </w:r>
          </w:p>
        </w:tc>
      </w:tr>
      <w:tr w:rsidR="00883F6D" w:rsidRPr="00C608A6" w14:paraId="50BB30AB" w14:textId="77777777" w:rsidTr="00E82BFB">
        <w:trPr>
          <w:cantSplit/>
        </w:trPr>
        <w:tc>
          <w:tcPr>
            <w:tcW w:w="10065" w:type="dxa"/>
            <w:gridSpan w:val="2"/>
            <w:tcBorders>
              <w:top w:val="single" w:sz="4" w:space="0" w:color="auto"/>
              <w:left w:val="nil"/>
              <w:bottom w:val="single" w:sz="4" w:space="0" w:color="auto"/>
              <w:right w:val="nil"/>
            </w:tcBorders>
          </w:tcPr>
          <w:p w14:paraId="1F925243" w14:textId="647FE95A" w:rsidR="00883F6D" w:rsidRPr="00C608A6" w:rsidRDefault="00883F6D" w:rsidP="008F10EE">
            <w:pPr>
              <w:keepNext/>
              <w:keepLines/>
              <w:spacing w:after="120"/>
              <w:rPr>
                <w:b/>
                <w:i/>
                <w:color w:val="000000"/>
              </w:rPr>
            </w:pPr>
            <w:r w:rsidRPr="00C608A6">
              <w:rPr>
                <w:b/>
                <w:i/>
                <w:color w:val="000000"/>
              </w:rPr>
              <w:t>Commissions d</w:t>
            </w:r>
            <w:r w:rsidR="001C57AB" w:rsidRPr="00C608A6">
              <w:rPr>
                <w:b/>
                <w:i/>
                <w:color w:val="000000"/>
              </w:rPr>
              <w:t>'</w:t>
            </w:r>
            <w:r w:rsidRPr="00C608A6">
              <w:rPr>
                <w:b/>
                <w:i/>
                <w:color w:val="000000"/>
              </w:rPr>
              <w:t>études de l</w:t>
            </w:r>
            <w:r w:rsidR="001C57AB" w:rsidRPr="00C608A6">
              <w:rPr>
                <w:b/>
                <w:i/>
                <w:color w:val="000000"/>
              </w:rPr>
              <w:t>'</w:t>
            </w:r>
            <w:r w:rsidRPr="00C608A6">
              <w:rPr>
                <w:b/>
                <w:i/>
                <w:color w:val="000000"/>
              </w:rPr>
              <w:t>UIT-R concernées</w:t>
            </w:r>
            <w:r w:rsidRPr="00C608A6">
              <w:rPr>
                <w:b/>
                <w:iCs/>
                <w:color w:val="000000"/>
              </w:rPr>
              <w:t>:</w:t>
            </w:r>
          </w:p>
          <w:p w14:paraId="4B6A869E" w14:textId="684245A5" w:rsidR="00883F6D" w:rsidRPr="00C608A6" w:rsidRDefault="00113F20" w:rsidP="008F10EE">
            <w:pPr>
              <w:keepNext/>
              <w:keepLines/>
              <w:spacing w:after="120"/>
              <w:rPr>
                <w:bCs/>
                <w:iCs/>
              </w:rPr>
            </w:pPr>
            <w:r w:rsidRPr="00C608A6">
              <w:rPr>
                <w:bCs/>
                <w:iCs/>
              </w:rPr>
              <w:t>Commission d</w:t>
            </w:r>
            <w:r w:rsidR="001C57AB" w:rsidRPr="00C608A6">
              <w:rPr>
                <w:bCs/>
                <w:iCs/>
              </w:rPr>
              <w:t>'</w:t>
            </w:r>
            <w:r w:rsidRPr="00C608A6">
              <w:rPr>
                <w:bCs/>
                <w:iCs/>
              </w:rPr>
              <w:t>études 4 de l</w:t>
            </w:r>
            <w:r w:rsidR="001C57AB" w:rsidRPr="00C608A6">
              <w:rPr>
                <w:bCs/>
                <w:iCs/>
              </w:rPr>
              <w:t>'</w:t>
            </w:r>
            <w:r w:rsidRPr="00C608A6">
              <w:rPr>
                <w:bCs/>
                <w:iCs/>
              </w:rPr>
              <w:t>UIT-R</w:t>
            </w:r>
          </w:p>
        </w:tc>
      </w:tr>
      <w:tr w:rsidR="00883F6D" w:rsidRPr="00C608A6" w14:paraId="1F84D16D" w14:textId="77777777" w:rsidTr="00E82BFB">
        <w:trPr>
          <w:cantSplit/>
        </w:trPr>
        <w:tc>
          <w:tcPr>
            <w:tcW w:w="10065" w:type="dxa"/>
            <w:gridSpan w:val="2"/>
            <w:tcBorders>
              <w:top w:val="single" w:sz="4" w:space="0" w:color="auto"/>
              <w:left w:val="nil"/>
              <w:bottom w:val="single" w:sz="4" w:space="0" w:color="auto"/>
              <w:right w:val="nil"/>
            </w:tcBorders>
          </w:tcPr>
          <w:p w14:paraId="3846DEB9" w14:textId="48B87DB3" w:rsidR="00883F6D" w:rsidRPr="00C608A6" w:rsidRDefault="00883F6D" w:rsidP="008F10EE">
            <w:pPr>
              <w:keepNext/>
              <w:keepLines/>
              <w:spacing w:after="120"/>
              <w:rPr>
                <w:b/>
                <w:i/>
              </w:rPr>
            </w:pPr>
            <w:r w:rsidRPr="00C608A6">
              <w:rPr>
                <w:b/>
                <w:i/>
              </w:rPr>
              <w:t>Répercussions au niveau des ressources de l</w:t>
            </w:r>
            <w:r w:rsidR="001C57AB" w:rsidRPr="00C608A6">
              <w:rPr>
                <w:b/>
                <w:i/>
              </w:rPr>
              <w:t>'</w:t>
            </w:r>
            <w:r w:rsidRPr="00C608A6">
              <w:rPr>
                <w:b/>
                <w:i/>
              </w:rPr>
              <w:t>UIT, y compris incidences financières (voir le numéro</w:t>
            </w:r>
            <w:r w:rsidR="00CF6D4E" w:rsidRPr="00C608A6">
              <w:rPr>
                <w:b/>
                <w:i/>
              </w:rPr>
              <w:t> </w:t>
            </w:r>
            <w:r w:rsidRPr="00C608A6">
              <w:rPr>
                <w:b/>
                <w:i/>
              </w:rPr>
              <w:t>126 de la Convention)</w:t>
            </w:r>
            <w:r w:rsidRPr="00C608A6">
              <w:rPr>
                <w:b/>
                <w:iCs/>
              </w:rPr>
              <w:t>:</w:t>
            </w:r>
          </w:p>
          <w:p w14:paraId="11DB2771" w14:textId="291D108D" w:rsidR="00883F6D" w:rsidRPr="00C608A6" w:rsidRDefault="00113F20" w:rsidP="008F10EE">
            <w:pPr>
              <w:keepNext/>
              <w:keepLines/>
              <w:spacing w:after="120"/>
              <w:rPr>
                <w:b/>
                <w:iCs/>
              </w:rPr>
            </w:pPr>
            <w:r w:rsidRPr="00C608A6">
              <w:rPr>
                <w:bCs/>
                <w:iCs/>
                <w:szCs w:val="24"/>
                <w:lang w:eastAsia="ko-KR"/>
              </w:rPr>
              <w:t>Ce point de l</w:t>
            </w:r>
            <w:r w:rsidR="001C57AB" w:rsidRPr="00C608A6">
              <w:rPr>
                <w:bCs/>
                <w:iCs/>
                <w:szCs w:val="24"/>
                <w:lang w:eastAsia="ko-KR"/>
              </w:rPr>
              <w:t>'</w:t>
            </w:r>
            <w:r w:rsidRPr="00C608A6">
              <w:rPr>
                <w:bCs/>
                <w:iCs/>
                <w:szCs w:val="24"/>
                <w:lang w:eastAsia="ko-KR"/>
              </w:rPr>
              <w:t>ordre du jour proposé sera étudié dans le cadre des procédures normales de l</w:t>
            </w:r>
            <w:r w:rsidR="001C57AB" w:rsidRPr="00C608A6">
              <w:rPr>
                <w:bCs/>
                <w:iCs/>
                <w:szCs w:val="24"/>
                <w:lang w:eastAsia="ko-KR"/>
              </w:rPr>
              <w:t>'</w:t>
            </w:r>
            <w:r w:rsidRPr="00C608A6">
              <w:rPr>
                <w:bCs/>
                <w:iCs/>
                <w:szCs w:val="24"/>
                <w:lang w:eastAsia="ko-KR"/>
              </w:rPr>
              <w:t>UIT-R et du budget prévu</w:t>
            </w:r>
            <w:r w:rsidR="00883F6D" w:rsidRPr="00C608A6">
              <w:rPr>
                <w:bCs/>
                <w:iCs/>
                <w:szCs w:val="24"/>
                <w:lang w:eastAsia="ko-KR"/>
              </w:rPr>
              <w:t>.</w:t>
            </w:r>
          </w:p>
        </w:tc>
      </w:tr>
      <w:tr w:rsidR="00883F6D" w:rsidRPr="00C608A6" w14:paraId="3F7D2A1A" w14:textId="77777777" w:rsidTr="00E82BFB">
        <w:trPr>
          <w:cantSplit/>
        </w:trPr>
        <w:tc>
          <w:tcPr>
            <w:tcW w:w="3969" w:type="dxa"/>
            <w:tcBorders>
              <w:top w:val="single" w:sz="4" w:space="0" w:color="auto"/>
              <w:left w:val="nil"/>
              <w:bottom w:val="single" w:sz="4" w:space="0" w:color="auto"/>
              <w:right w:val="nil"/>
            </w:tcBorders>
          </w:tcPr>
          <w:p w14:paraId="4562FEFD" w14:textId="35875C5E" w:rsidR="00883F6D" w:rsidRPr="00C608A6" w:rsidRDefault="00883F6D" w:rsidP="008F10EE">
            <w:pPr>
              <w:keepNext/>
              <w:keepLines/>
              <w:spacing w:after="120"/>
              <w:rPr>
                <w:b/>
                <w:iCs/>
              </w:rPr>
            </w:pPr>
            <w:r w:rsidRPr="00C608A6">
              <w:rPr>
                <w:b/>
                <w:i/>
              </w:rPr>
              <w:t>Proposition régionale commune</w:t>
            </w:r>
            <w:r w:rsidRPr="00C608A6">
              <w:rPr>
                <w:b/>
                <w:iCs/>
              </w:rPr>
              <w:t>:</w:t>
            </w:r>
            <w:r w:rsidRPr="00C608A6">
              <w:rPr>
                <w:szCs w:val="24"/>
              </w:rPr>
              <w:t xml:space="preserve"> </w:t>
            </w:r>
            <w:r w:rsidRPr="00C608A6">
              <w:rPr>
                <w:color w:val="000000"/>
                <w:szCs w:val="24"/>
              </w:rPr>
              <w:t>Oui/Non</w:t>
            </w:r>
          </w:p>
        </w:tc>
        <w:tc>
          <w:tcPr>
            <w:tcW w:w="6096" w:type="dxa"/>
            <w:tcBorders>
              <w:top w:val="single" w:sz="4" w:space="0" w:color="auto"/>
              <w:left w:val="nil"/>
              <w:bottom w:val="single" w:sz="4" w:space="0" w:color="auto"/>
              <w:right w:val="nil"/>
            </w:tcBorders>
          </w:tcPr>
          <w:p w14:paraId="01DD1930" w14:textId="0AF6E9A0" w:rsidR="00883F6D" w:rsidRPr="00C608A6" w:rsidRDefault="00883F6D" w:rsidP="008F10EE">
            <w:pPr>
              <w:keepNext/>
              <w:keepLines/>
              <w:spacing w:after="120"/>
              <w:rPr>
                <w:b/>
                <w:iCs/>
              </w:rPr>
            </w:pPr>
            <w:r w:rsidRPr="00C608A6">
              <w:rPr>
                <w:b/>
                <w:i/>
              </w:rPr>
              <w:t>Proposition soumise par plusieurs pays</w:t>
            </w:r>
            <w:r w:rsidRPr="00C608A6">
              <w:rPr>
                <w:b/>
                <w:iCs/>
              </w:rPr>
              <w:t>:</w:t>
            </w:r>
            <w:r w:rsidRPr="00C608A6">
              <w:rPr>
                <w:szCs w:val="24"/>
              </w:rPr>
              <w:t xml:space="preserve"> Oui/Non</w:t>
            </w:r>
          </w:p>
          <w:p w14:paraId="1A1C01C9" w14:textId="7CA3F104" w:rsidR="00883F6D" w:rsidRPr="00C608A6" w:rsidRDefault="00883F6D" w:rsidP="008F10EE">
            <w:pPr>
              <w:keepNext/>
              <w:keepLines/>
              <w:spacing w:after="120"/>
              <w:rPr>
                <w:b/>
                <w:i/>
              </w:rPr>
            </w:pPr>
            <w:r w:rsidRPr="00C608A6">
              <w:rPr>
                <w:b/>
                <w:i/>
              </w:rPr>
              <w:t>Nombre de pays</w:t>
            </w:r>
            <w:r w:rsidRPr="00C608A6">
              <w:rPr>
                <w:b/>
                <w:iCs/>
              </w:rPr>
              <w:t>:</w:t>
            </w:r>
            <w:r w:rsidRPr="00C608A6">
              <w:t xml:space="preserve"> </w:t>
            </w:r>
          </w:p>
        </w:tc>
      </w:tr>
      <w:tr w:rsidR="00883F6D" w:rsidRPr="00C608A6" w14:paraId="4B61CEEA" w14:textId="77777777" w:rsidTr="00E82BFB">
        <w:trPr>
          <w:cantSplit/>
        </w:trPr>
        <w:tc>
          <w:tcPr>
            <w:tcW w:w="10065" w:type="dxa"/>
            <w:gridSpan w:val="2"/>
            <w:tcBorders>
              <w:top w:val="single" w:sz="4" w:space="0" w:color="auto"/>
              <w:left w:val="nil"/>
              <w:bottom w:val="nil"/>
              <w:right w:val="nil"/>
            </w:tcBorders>
          </w:tcPr>
          <w:p w14:paraId="3FC50D20" w14:textId="49E421FD" w:rsidR="00883F6D" w:rsidRPr="00C608A6" w:rsidRDefault="00883F6D" w:rsidP="008F10EE">
            <w:pPr>
              <w:keepNext/>
              <w:keepLines/>
              <w:spacing w:after="120"/>
              <w:rPr>
                <w:b/>
                <w:i/>
              </w:rPr>
            </w:pPr>
            <w:r w:rsidRPr="00C608A6">
              <w:rPr>
                <w:b/>
                <w:i/>
              </w:rPr>
              <w:t>Observations</w:t>
            </w:r>
          </w:p>
          <w:p w14:paraId="05954AC3" w14:textId="77777777" w:rsidR="00883F6D" w:rsidRPr="00C608A6" w:rsidRDefault="00883F6D" w:rsidP="008F10EE">
            <w:pPr>
              <w:keepNext/>
              <w:keepLines/>
              <w:spacing w:after="120"/>
              <w:rPr>
                <w:bCs/>
                <w:iCs/>
              </w:rPr>
            </w:pPr>
          </w:p>
        </w:tc>
      </w:tr>
    </w:tbl>
    <w:p w14:paraId="15749283" w14:textId="08E25E38" w:rsidR="00883F6D" w:rsidRPr="00C608A6" w:rsidRDefault="00883F6D">
      <w:pPr>
        <w:jc w:val="center"/>
      </w:pPr>
      <w:r w:rsidRPr="00C608A6">
        <w:t>______________</w:t>
      </w:r>
    </w:p>
    <w:sectPr w:rsidR="00883F6D" w:rsidRPr="00C608A6">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2C0D" w14:textId="77777777" w:rsidR="00A42E62" w:rsidRDefault="00A42E62">
      <w:r>
        <w:separator/>
      </w:r>
    </w:p>
  </w:endnote>
  <w:endnote w:type="continuationSeparator" w:id="0">
    <w:p w14:paraId="2BFEA764" w14:textId="77777777" w:rsidR="00A42E62" w:rsidRDefault="00A4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default"/>
    <w:sig w:usb0="00000000" w:usb1="00000000"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C5BF" w14:textId="3C7CF74C" w:rsidR="00936D25" w:rsidRDefault="00936D25">
    <w:pPr>
      <w:rPr>
        <w:lang w:val="en-US"/>
      </w:rPr>
    </w:pPr>
    <w:r>
      <w:fldChar w:fldCharType="begin"/>
    </w:r>
    <w:r>
      <w:rPr>
        <w:lang w:val="en-US"/>
      </w:rPr>
      <w:instrText xml:space="preserve"> FILENAME \p  \* MERGEFORMAT </w:instrText>
    </w:r>
    <w:r>
      <w:fldChar w:fldCharType="separate"/>
    </w:r>
    <w:r w:rsidR="00C608A6">
      <w:rPr>
        <w:noProof/>
        <w:lang w:val="en-US"/>
      </w:rPr>
      <w:t>P:\FRA\ITU-R\CONF-R\CMR23\000\044ADD27ADD04F.docx</w:t>
    </w:r>
    <w:r>
      <w:fldChar w:fldCharType="end"/>
    </w:r>
    <w:r>
      <w:rPr>
        <w:lang w:val="en-US"/>
      </w:rPr>
      <w:tab/>
    </w:r>
    <w:r>
      <w:fldChar w:fldCharType="begin"/>
    </w:r>
    <w:r>
      <w:instrText xml:space="preserve"> SAVEDATE \@ DD.MM.YY </w:instrText>
    </w:r>
    <w:r>
      <w:fldChar w:fldCharType="separate"/>
    </w:r>
    <w:r w:rsidR="00C608A6">
      <w:rPr>
        <w:noProof/>
      </w:rPr>
      <w:t>07.11.23</w:t>
    </w:r>
    <w:r>
      <w:fldChar w:fldCharType="end"/>
    </w:r>
    <w:r>
      <w:rPr>
        <w:lang w:val="en-US"/>
      </w:rPr>
      <w:tab/>
    </w:r>
    <w:r>
      <w:fldChar w:fldCharType="begin"/>
    </w:r>
    <w:r>
      <w:instrText xml:space="preserve"> PRINTDATE \@ DD.MM.YY </w:instrText>
    </w:r>
    <w:r>
      <w:fldChar w:fldCharType="separate"/>
    </w:r>
    <w:r w:rsidR="00C608A6">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5FF5" w14:textId="1356BDC4"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C608A6">
      <w:rPr>
        <w:lang w:val="en-US"/>
      </w:rPr>
      <w:t>P:\FRA\ITU-R\CONF-R\CMR23\000\044ADD27ADD04F.docx</w:t>
    </w:r>
    <w:r>
      <w:fldChar w:fldCharType="end"/>
    </w:r>
    <w:r w:rsidR="009726DA" w:rsidRPr="00113F20">
      <w:rPr>
        <w:lang w:val="en-GB"/>
      </w:rPr>
      <w:t xml:space="preserve"> (529476)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0265" w14:textId="74CD07B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C608A6">
      <w:rPr>
        <w:lang w:val="en-US"/>
      </w:rPr>
      <w:t>P:\FRA\ITU-R\CONF-R\CMR23\000\044ADD27ADD04F.docx</w:t>
    </w:r>
    <w:r>
      <w:fldChar w:fldCharType="end"/>
    </w:r>
    <w:r w:rsidR="009726DA" w:rsidRPr="00113F20">
      <w:rPr>
        <w:lang w:val="en-GB"/>
      </w:rPr>
      <w:t xml:space="preserve"> (529476)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5FA7" w14:textId="77777777" w:rsidR="00A42E62" w:rsidRDefault="00A42E62">
      <w:r>
        <w:rPr>
          <w:b/>
        </w:rPr>
        <w:t>_______________</w:t>
      </w:r>
    </w:p>
  </w:footnote>
  <w:footnote w:type="continuationSeparator" w:id="0">
    <w:p w14:paraId="639C8D69" w14:textId="77777777" w:rsidR="00A42E62" w:rsidRDefault="00A4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2244"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9ED62AB" w14:textId="77777777" w:rsidR="004F1F8E" w:rsidRDefault="00225CF2" w:rsidP="00FD7AA3">
    <w:pPr>
      <w:pStyle w:val="Header"/>
    </w:pPr>
    <w:r>
      <w:t>WRC</w:t>
    </w:r>
    <w:r w:rsidR="00D3426F">
      <w:t>23</w:t>
    </w:r>
    <w:r w:rsidR="004F1F8E">
      <w:t>/</w:t>
    </w:r>
    <w:r w:rsidR="006A4B45">
      <w:t>44(Add.27)(Add.4)-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66088953">
    <w:abstractNumId w:val="0"/>
  </w:num>
  <w:num w:numId="2" w16cid:durableId="91895034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1B23"/>
    <w:rsid w:val="00016648"/>
    <w:rsid w:val="0003522F"/>
    <w:rsid w:val="00063A1F"/>
    <w:rsid w:val="0007069A"/>
    <w:rsid w:val="00080E2C"/>
    <w:rsid w:val="00081366"/>
    <w:rsid w:val="000863B3"/>
    <w:rsid w:val="00097AD3"/>
    <w:rsid w:val="000A4755"/>
    <w:rsid w:val="000A55AE"/>
    <w:rsid w:val="000A56D5"/>
    <w:rsid w:val="000B16E6"/>
    <w:rsid w:val="000B2E0C"/>
    <w:rsid w:val="000B3D0C"/>
    <w:rsid w:val="000C7720"/>
    <w:rsid w:val="000D5732"/>
    <w:rsid w:val="000E6A74"/>
    <w:rsid w:val="00113F20"/>
    <w:rsid w:val="00116347"/>
    <w:rsid w:val="001167B9"/>
    <w:rsid w:val="001267A0"/>
    <w:rsid w:val="0015203F"/>
    <w:rsid w:val="00160C64"/>
    <w:rsid w:val="0016435E"/>
    <w:rsid w:val="00173998"/>
    <w:rsid w:val="0018169B"/>
    <w:rsid w:val="0019352B"/>
    <w:rsid w:val="001960D0"/>
    <w:rsid w:val="001A11F6"/>
    <w:rsid w:val="001C19F2"/>
    <w:rsid w:val="001C57AB"/>
    <w:rsid w:val="001F17E8"/>
    <w:rsid w:val="00204306"/>
    <w:rsid w:val="00225CF2"/>
    <w:rsid w:val="00232FD2"/>
    <w:rsid w:val="00243757"/>
    <w:rsid w:val="0026554E"/>
    <w:rsid w:val="00274963"/>
    <w:rsid w:val="002A4622"/>
    <w:rsid w:val="002A6F8F"/>
    <w:rsid w:val="002B17E5"/>
    <w:rsid w:val="002C0EBF"/>
    <w:rsid w:val="002C28A4"/>
    <w:rsid w:val="002D275C"/>
    <w:rsid w:val="002D43E9"/>
    <w:rsid w:val="002D7E0A"/>
    <w:rsid w:val="002E1F17"/>
    <w:rsid w:val="003126C5"/>
    <w:rsid w:val="00315AFE"/>
    <w:rsid w:val="0031715C"/>
    <w:rsid w:val="0032542D"/>
    <w:rsid w:val="003411F6"/>
    <w:rsid w:val="003606A6"/>
    <w:rsid w:val="0036650C"/>
    <w:rsid w:val="003868B4"/>
    <w:rsid w:val="00393ACD"/>
    <w:rsid w:val="003A583E"/>
    <w:rsid w:val="003B62DF"/>
    <w:rsid w:val="003D373F"/>
    <w:rsid w:val="003E112B"/>
    <w:rsid w:val="003E1D1C"/>
    <w:rsid w:val="003E2B9A"/>
    <w:rsid w:val="003E7B05"/>
    <w:rsid w:val="003F3719"/>
    <w:rsid w:val="003F6F2D"/>
    <w:rsid w:val="00406A0D"/>
    <w:rsid w:val="00454FA7"/>
    <w:rsid w:val="00466211"/>
    <w:rsid w:val="00483196"/>
    <w:rsid w:val="004834A9"/>
    <w:rsid w:val="004B3262"/>
    <w:rsid w:val="004D01FC"/>
    <w:rsid w:val="004E2019"/>
    <w:rsid w:val="004E28C3"/>
    <w:rsid w:val="004F1F8E"/>
    <w:rsid w:val="004F5B12"/>
    <w:rsid w:val="00512A32"/>
    <w:rsid w:val="00516281"/>
    <w:rsid w:val="005343DA"/>
    <w:rsid w:val="00560874"/>
    <w:rsid w:val="00565644"/>
    <w:rsid w:val="00586CF2"/>
    <w:rsid w:val="005A7C75"/>
    <w:rsid w:val="005C3768"/>
    <w:rsid w:val="005C6C3F"/>
    <w:rsid w:val="005D08A2"/>
    <w:rsid w:val="00613635"/>
    <w:rsid w:val="0062093D"/>
    <w:rsid w:val="00637ECF"/>
    <w:rsid w:val="00647B59"/>
    <w:rsid w:val="00690C7B"/>
    <w:rsid w:val="006A4B45"/>
    <w:rsid w:val="006D4724"/>
    <w:rsid w:val="006F5FA2"/>
    <w:rsid w:val="0070076C"/>
    <w:rsid w:val="00701BAE"/>
    <w:rsid w:val="00721F04"/>
    <w:rsid w:val="00730E95"/>
    <w:rsid w:val="007426B9"/>
    <w:rsid w:val="007632D1"/>
    <w:rsid w:val="00764342"/>
    <w:rsid w:val="00774362"/>
    <w:rsid w:val="00786598"/>
    <w:rsid w:val="00790C74"/>
    <w:rsid w:val="007A04E8"/>
    <w:rsid w:val="007B2C34"/>
    <w:rsid w:val="007B2F3A"/>
    <w:rsid w:val="007D0818"/>
    <w:rsid w:val="007E5B23"/>
    <w:rsid w:val="007F282B"/>
    <w:rsid w:val="00801C95"/>
    <w:rsid w:val="00830086"/>
    <w:rsid w:val="008430AC"/>
    <w:rsid w:val="00851625"/>
    <w:rsid w:val="00863C0A"/>
    <w:rsid w:val="00864E02"/>
    <w:rsid w:val="00876C8E"/>
    <w:rsid w:val="00883F6D"/>
    <w:rsid w:val="008A3120"/>
    <w:rsid w:val="008A4B97"/>
    <w:rsid w:val="008B1F19"/>
    <w:rsid w:val="008C5B8E"/>
    <w:rsid w:val="008C5DD5"/>
    <w:rsid w:val="008C7123"/>
    <w:rsid w:val="008D41BE"/>
    <w:rsid w:val="008D58D3"/>
    <w:rsid w:val="008E3BC9"/>
    <w:rsid w:val="008F10EE"/>
    <w:rsid w:val="009001BB"/>
    <w:rsid w:val="009165D5"/>
    <w:rsid w:val="00923064"/>
    <w:rsid w:val="00930FFD"/>
    <w:rsid w:val="00936D25"/>
    <w:rsid w:val="00941EA5"/>
    <w:rsid w:val="00964700"/>
    <w:rsid w:val="00966C16"/>
    <w:rsid w:val="009726DA"/>
    <w:rsid w:val="0098732F"/>
    <w:rsid w:val="009A045F"/>
    <w:rsid w:val="009A6A2B"/>
    <w:rsid w:val="009B554D"/>
    <w:rsid w:val="009C7E7C"/>
    <w:rsid w:val="00A00473"/>
    <w:rsid w:val="00A03C9B"/>
    <w:rsid w:val="00A130FD"/>
    <w:rsid w:val="00A21C06"/>
    <w:rsid w:val="00A37105"/>
    <w:rsid w:val="00A42E62"/>
    <w:rsid w:val="00A606C3"/>
    <w:rsid w:val="00A829B8"/>
    <w:rsid w:val="00A83B09"/>
    <w:rsid w:val="00A84541"/>
    <w:rsid w:val="00AA54CA"/>
    <w:rsid w:val="00AC7997"/>
    <w:rsid w:val="00AE36A0"/>
    <w:rsid w:val="00AF1541"/>
    <w:rsid w:val="00B00294"/>
    <w:rsid w:val="00B04BD0"/>
    <w:rsid w:val="00B06415"/>
    <w:rsid w:val="00B30454"/>
    <w:rsid w:val="00B3749C"/>
    <w:rsid w:val="00B64FD0"/>
    <w:rsid w:val="00BA5BD0"/>
    <w:rsid w:val="00BB1D82"/>
    <w:rsid w:val="00BB3A1A"/>
    <w:rsid w:val="00BC217E"/>
    <w:rsid w:val="00BD51C5"/>
    <w:rsid w:val="00BF26E7"/>
    <w:rsid w:val="00C1305F"/>
    <w:rsid w:val="00C16BC4"/>
    <w:rsid w:val="00C23321"/>
    <w:rsid w:val="00C53FCA"/>
    <w:rsid w:val="00C608A6"/>
    <w:rsid w:val="00C62633"/>
    <w:rsid w:val="00C71DEB"/>
    <w:rsid w:val="00C76BAF"/>
    <w:rsid w:val="00C7737F"/>
    <w:rsid w:val="00C814B9"/>
    <w:rsid w:val="00C863F0"/>
    <w:rsid w:val="00CA1CF1"/>
    <w:rsid w:val="00CA6BC6"/>
    <w:rsid w:val="00CB685A"/>
    <w:rsid w:val="00CD516F"/>
    <w:rsid w:val="00CE0C69"/>
    <w:rsid w:val="00CF6D4E"/>
    <w:rsid w:val="00CF742E"/>
    <w:rsid w:val="00D04C49"/>
    <w:rsid w:val="00D119A7"/>
    <w:rsid w:val="00D21C8F"/>
    <w:rsid w:val="00D25FBA"/>
    <w:rsid w:val="00D27EA6"/>
    <w:rsid w:val="00D32B28"/>
    <w:rsid w:val="00D3426F"/>
    <w:rsid w:val="00D42954"/>
    <w:rsid w:val="00D66828"/>
    <w:rsid w:val="00D66EAC"/>
    <w:rsid w:val="00D730DF"/>
    <w:rsid w:val="00D772F0"/>
    <w:rsid w:val="00D77BDC"/>
    <w:rsid w:val="00D82FA0"/>
    <w:rsid w:val="00DC402B"/>
    <w:rsid w:val="00DE0932"/>
    <w:rsid w:val="00DF15E8"/>
    <w:rsid w:val="00DF2169"/>
    <w:rsid w:val="00E03A27"/>
    <w:rsid w:val="00E049F1"/>
    <w:rsid w:val="00E34160"/>
    <w:rsid w:val="00E37A25"/>
    <w:rsid w:val="00E537FF"/>
    <w:rsid w:val="00E60CB2"/>
    <w:rsid w:val="00E64DFC"/>
    <w:rsid w:val="00E6539B"/>
    <w:rsid w:val="00E70A31"/>
    <w:rsid w:val="00E723A7"/>
    <w:rsid w:val="00E7319C"/>
    <w:rsid w:val="00E96889"/>
    <w:rsid w:val="00EA3F38"/>
    <w:rsid w:val="00EA5AB6"/>
    <w:rsid w:val="00EC7615"/>
    <w:rsid w:val="00ED16AA"/>
    <w:rsid w:val="00ED6B8D"/>
    <w:rsid w:val="00EE3D7B"/>
    <w:rsid w:val="00EF347D"/>
    <w:rsid w:val="00EF5ECC"/>
    <w:rsid w:val="00EF662E"/>
    <w:rsid w:val="00F10064"/>
    <w:rsid w:val="00F118AA"/>
    <w:rsid w:val="00F148F1"/>
    <w:rsid w:val="00F20628"/>
    <w:rsid w:val="00F213F2"/>
    <w:rsid w:val="00F56DB8"/>
    <w:rsid w:val="00F710B4"/>
    <w:rsid w:val="00F711A7"/>
    <w:rsid w:val="00FA3BBF"/>
    <w:rsid w:val="00FB159E"/>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8371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customStyle="1" w:styleId="Heading">
    <w:name w:val="Heading"/>
    <w:basedOn w:val="Normal"/>
    <w:rsid w:val="00D04C49"/>
    <w:rPr>
      <w:lang w:val="fr-CH"/>
    </w:rPr>
  </w:style>
  <w:style w:type="paragraph" w:customStyle="1" w:styleId="dpstylerestitle">
    <w:name w:val="dpstylerestitle"/>
    <w:basedOn w:val="Normal"/>
    <w:rsid w:val="00D04C49"/>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customStyle="1" w:styleId="dpstylenormalaftertitle">
    <w:name w:val="dpstylenormalaftertitle"/>
    <w:basedOn w:val="Normal"/>
    <w:rsid w:val="00D04C49"/>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customStyle="1" w:styleId="dpstylecall">
    <w:name w:val="dpstylecall"/>
    <w:basedOn w:val="Normal"/>
    <w:rsid w:val="00D04C49"/>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styleId="NormalWeb">
    <w:name w:val="Normal (Web)"/>
    <w:basedOn w:val="Normal"/>
    <w:uiPriority w:val="99"/>
    <w:unhideWhenUsed/>
    <w:rsid w:val="00D04C49"/>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character" w:customStyle="1" w:styleId="ReasonsChar">
    <w:name w:val="Reasons Char"/>
    <w:link w:val="Reasons"/>
    <w:rsid w:val="00883F6D"/>
    <w:rPr>
      <w:rFonts w:ascii="Times New Roman" w:hAnsi="Times New Roman"/>
      <w:sz w:val="24"/>
      <w:lang w:val="fr-FR" w:eastAsia="en-US"/>
    </w:rPr>
  </w:style>
  <w:style w:type="character" w:customStyle="1" w:styleId="ui-provider">
    <w:name w:val="ui-provider"/>
    <w:basedOn w:val="DefaultParagraphFont"/>
    <w:rsid w:val="00113F20"/>
  </w:style>
  <w:style w:type="paragraph" w:styleId="Revision">
    <w:name w:val="Revision"/>
    <w:hidden/>
    <w:uiPriority w:val="99"/>
    <w:semiHidden/>
    <w:rsid w:val="00AF154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2371">
      <w:bodyDiv w:val="1"/>
      <w:marLeft w:val="60"/>
      <w:marRight w:val="60"/>
      <w:marTop w:val="60"/>
      <w:marBottom w:val="60"/>
      <w:divBdr>
        <w:top w:val="none" w:sz="0" w:space="0" w:color="auto"/>
        <w:left w:val="none" w:sz="0" w:space="0" w:color="auto"/>
        <w:bottom w:val="none" w:sz="0" w:space="0" w:color="auto"/>
        <w:right w:val="none" w:sz="0" w:space="0" w:color="auto"/>
      </w:divBdr>
      <w:divsChild>
        <w:div w:id="2124959553">
          <w:marLeft w:val="0"/>
          <w:marRight w:val="0"/>
          <w:marTop w:val="0"/>
          <w:marBottom w:val="0"/>
          <w:divBdr>
            <w:top w:val="none" w:sz="0" w:space="0" w:color="auto"/>
            <w:left w:val="none" w:sz="0" w:space="0" w:color="auto"/>
            <w:bottom w:val="none" w:sz="0" w:space="0" w:color="auto"/>
            <w:right w:val="none" w:sz="0" w:space="0" w:color="auto"/>
          </w:divBdr>
        </w:div>
      </w:divsChild>
    </w:div>
    <w:div w:id="374473726">
      <w:bodyDiv w:val="1"/>
      <w:marLeft w:val="60"/>
      <w:marRight w:val="60"/>
      <w:marTop w:val="60"/>
      <w:marBottom w:val="60"/>
      <w:divBdr>
        <w:top w:val="none" w:sz="0" w:space="0" w:color="auto"/>
        <w:left w:val="none" w:sz="0" w:space="0" w:color="auto"/>
        <w:bottom w:val="none" w:sz="0" w:space="0" w:color="auto"/>
        <w:right w:val="none" w:sz="0" w:space="0" w:color="auto"/>
      </w:divBdr>
      <w:divsChild>
        <w:div w:id="1357002866">
          <w:marLeft w:val="0"/>
          <w:marRight w:val="0"/>
          <w:marTop w:val="0"/>
          <w:marBottom w:val="0"/>
          <w:divBdr>
            <w:top w:val="none" w:sz="0" w:space="0" w:color="auto"/>
            <w:left w:val="none" w:sz="0" w:space="0" w:color="auto"/>
            <w:bottom w:val="none" w:sz="0" w:space="0" w:color="auto"/>
            <w:right w:val="none" w:sz="0" w:space="0" w:color="auto"/>
          </w:divBdr>
        </w:div>
      </w:divsChild>
    </w:div>
    <w:div w:id="501236000">
      <w:bodyDiv w:val="1"/>
      <w:marLeft w:val="60"/>
      <w:marRight w:val="60"/>
      <w:marTop w:val="60"/>
      <w:marBottom w:val="60"/>
      <w:divBdr>
        <w:top w:val="none" w:sz="0" w:space="0" w:color="auto"/>
        <w:left w:val="none" w:sz="0" w:space="0" w:color="auto"/>
        <w:bottom w:val="none" w:sz="0" w:space="0" w:color="auto"/>
        <w:right w:val="none" w:sz="0" w:space="0" w:color="auto"/>
      </w:divBdr>
      <w:divsChild>
        <w:div w:id="464155193">
          <w:marLeft w:val="0"/>
          <w:marRight w:val="0"/>
          <w:marTop w:val="0"/>
          <w:marBottom w:val="0"/>
          <w:divBdr>
            <w:top w:val="none" w:sz="0" w:space="0" w:color="auto"/>
            <w:left w:val="none" w:sz="0" w:space="0" w:color="auto"/>
            <w:bottom w:val="none" w:sz="0" w:space="0" w:color="auto"/>
            <w:right w:val="none" w:sz="0" w:space="0" w:color="auto"/>
          </w:divBdr>
        </w:div>
      </w:divsChild>
    </w:div>
    <w:div w:id="632558082">
      <w:bodyDiv w:val="1"/>
      <w:marLeft w:val="60"/>
      <w:marRight w:val="60"/>
      <w:marTop w:val="60"/>
      <w:marBottom w:val="60"/>
      <w:divBdr>
        <w:top w:val="none" w:sz="0" w:space="0" w:color="auto"/>
        <w:left w:val="none" w:sz="0" w:space="0" w:color="auto"/>
        <w:bottom w:val="none" w:sz="0" w:space="0" w:color="auto"/>
        <w:right w:val="none" w:sz="0" w:space="0" w:color="auto"/>
      </w:divBdr>
      <w:divsChild>
        <w:div w:id="1527253224">
          <w:marLeft w:val="0"/>
          <w:marRight w:val="0"/>
          <w:marTop w:val="0"/>
          <w:marBottom w:val="0"/>
          <w:divBdr>
            <w:top w:val="none" w:sz="0" w:space="0" w:color="auto"/>
            <w:left w:val="none" w:sz="0" w:space="0" w:color="auto"/>
            <w:bottom w:val="none" w:sz="0" w:space="0" w:color="auto"/>
            <w:right w:val="none" w:sz="0" w:space="0" w:color="auto"/>
          </w:divBdr>
        </w:div>
      </w:divsChild>
    </w:div>
    <w:div w:id="905338841">
      <w:bodyDiv w:val="1"/>
      <w:marLeft w:val="60"/>
      <w:marRight w:val="60"/>
      <w:marTop w:val="60"/>
      <w:marBottom w:val="60"/>
      <w:divBdr>
        <w:top w:val="none" w:sz="0" w:space="0" w:color="auto"/>
        <w:left w:val="none" w:sz="0" w:space="0" w:color="auto"/>
        <w:bottom w:val="none" w:sz="0" w:space="0" w:color="auto"/>
        <w:right w:val="none" w:sz="0" w:space="0" w:color="auto"/>
      </w:divBdr>
      <w:divsChild>
        <w:div w:id="880626288">
          <w:marLeft w:val="0"/>
          <w:marRight w:val="0"/>
          <w:marTop w:val="0"/>
          <w:marBottom w:val="0"/>
          <w:divBdr>
            <w:top w:val="none" w:sz="0" w:space="0" w:color="auto"/>
            <w:left w:val="none" w:sz="0" w:space="0" w:color="auto"/>
            <w:bottom w:val="none" w:sz="0" w:space="0" w:color="auto"/>
            <w:right w:val="none" w:sz="0" w:space="0" w:color="auto"/>
          </w:divBdr>
        </w:div>
      </w:divsChild>
    </w:div>
    <w:div w:id="1097366460">
      <w:bodyDiv w:val="1"/>
      <w:marLeft w:val="60"/>
      <w:marRight w:val="60"/>
      <w:marTop w:val="60"/>
      <w:marBottom w:val="60"/>
      <w:divBdr>
        <w:top w:val="none" w:sz="0" w:space="0" w:color="auto"/>
        <w:left w:val="none" w:sz="0" w:space="0" w:color="auto"/>
        <w:bottom w:val="none" w:sz="0" w:space="0" w:color="auto"/>
        <w:right w:val="none" w:sz="0" w:space="0" w:color="auto"/>
      </w:divBdr>
      <w:divsChild>
        <w:div w:id="1672368098">
          <w:marLeft w:val="0"/>
          <w:marRight w:val="0"/>
          <w:marTop w:val="0"/>
          <w:marBottom w:val="0"/>
          <w:divBdr>
            <w:top w:val="none" w:sz="0" w:space="0" w:color="auto"/>
            <w:left w:val="none" w:sz="0" w:space="0" w:color="auto"/>
            <w:bottom w:val="none" w:sz="0" w:space="0" w:color="auto"/>
            <w:right w:val="none" w:sz="0" w:space="0" w:color="auto"/>
          </w:divBdr>
        </w:div>
      </w:divsChild>
    </w:div>
    <w:div w:id="1190804082">
      <w:bodyDiv w:val="1"/>
      <w:marLeft w:val="60"/>
      <w:marRight w:val="60"/>
      <w:marTop w:val="60"/>
      <w:marBottom w:val="60"/>
      <w:divBdr>
        <w:top w:val="none" w:sz="0" w:space="0" w:color="auto"/>
        <w:left w:val="none" w:sz="0" w:space="0" w:color="auto"/>
        <w:bottom w:val="none" w:sz="0" w:space="0" w:color="auto"/>
        <w:right w:val="none" w:sz="0" w:space="0" w:color="auto"/>
      </w:divBdr>
      <w:divsChild>
        <w:div w:id="474880571">
          <w:marLeft w:val="0"/>
          <w:marRight w:val="0"/>
          <w:marTop w:val="0"/>
          <w:marBottom w:val="0"/>
          <w:divBdr>
            <w:top w:val="none" w:sz="0" w:space="0" w:color="auto"/>
            <w:left w:val="none" w:sz="0" w:space="0" w:color="auto"/>
            <w:bottom w:val="none" w:sz="0" w:space="0" w:color="auto"/>
            <w:right w:val="none" w:sz="0" w:space="0" w:color="auto"/>
          </w:divBdr>
        </w:div>
      </w:divsChild>
    </w:div>
    <w:div w:id="1321620034">
      <w:bodyDiv w:val="1"/>
      <w:marLeft w:val="60"/>
      <w:marRight w:val="60"/>
      <w:marTop w:val="60"/>
      <w:marBottom w:val="60"/>
      <w:divBdr>
        <w:top w:val="none" w:sz="0" w:space="0" w:color="auto"/>
        <w:left w:val="none" w:sz="0" w:space="0" w:color="auto"/>
        <w:bottom w:val="none" w:sz="0" w:space="0" w:color="auto"/>
        <w:right w:val="none" w:sz="0" w:space="0" w:color="auto"/>
      </w:divBdr>
      <w:divsChild>
        <w:div w:id="1954245671">
          <w:marLeft w:val="0"/>
          <w:marRight w:val="0"/>
          <w:marTop w:val="0"/>
          <w:marBottom w:val="0"/>
          <w:divBdr>
            <w:top w:val="none" w:sz="0" w:space="0" w:color="auto"/>
            <w:left w:val="none" w:sz="0" w:space="0" w:color="auto"/>
            <w:bottom w:val="none" w:sz="0" w:space="0" w:color="auto"/>
            <w:right w:val="none" w:sz="0" w:space="0" w:color="auto"/>
          </w:divBdr>
        </w:div>
      </w:divsChild>
    </w:div>
    <w:div w:id="1766919356">
      <w:bodyDiv w:val="1"/>
      <w:marLeft w:val="60"/>
      <w:marRight w:val="60"/>
      <w:marTop w:val="60"/>
      <w:marBottom w:val="60"/>
      <w:divBdr>
        <w:top w:val="none" w:sz="0" w:space="0" w:color="auto"/>
        <w:left w:val="none" w:sz="0" w:space="0" w:color="auto"/>
        <w:bottom w:val="none" w:sz="0" w:space="0" w:color="auto"/>
        <w:right w:val="none" w:sz="0" w:space="0" w:color="auto"/>
      </w:divBdr>
      <w:divsChild>
        <w:div w:id="1775856063">
          <w:marLeft w:val="0"/>
          <w:marRight w:val="0"/>
          <w:marTop w:val="0"/>
          <w:marBottom w:val="0"/>
          <w:divBdr>
            <w:top w:val="none" w:sz="0" w:space="0" w:color="auto"/>
            <w:left w:val="none" w:sz="0" w:space="0" w:color="auto"/>
            <w:bottom w:val="none" w:sz="0" w:space="0" w:color="auto"/>
            <w:right w:val="none" w:sz="0" w:space="0" w:color="auto"/>
          </w:divBdr>
        </w:div>
      </w:divsChild>
    </w:div>
    <w:div w:id="1792626976">
      <w:bodyDiv w:val="1"/>
      <w:marLeft w:val="60"/>
      <w:marRight w:val="60"/>
      <w:marTop w:val="60"/>
      <w:marBottom w:val="60"/>
      <w:divBdr>
        <w:top w:val="none" w:sz="0" w:space="0" w:color="auto"/>
        <w:left w:val="none" w:sz="0" w:space="0" w:color="auto"/>
        <w:bottom w:val="none" w:sz="0" w:space="0" w:color="auto"/>
        <w:right w:val="none" w:sz="0" w:space="0" w:color="auto"/>
      </w:divBdr>
      <w:divsChild>
        <w:div w:id="1944654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BA4A6-5EA9-44CB-8267-9D12BFA5205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804950B-BCEB-46B7-B2C1-48EF09DE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B4C24-FA33-43B2-97D9-FF0D1B60E268}">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4690</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R23-WRC23-C-0044!A27-A4!MSW-F</vt:lpstr>
    </vt:vector>
  </TitlesOfParts>
  <Manager>Secrétariat général - Pool</Manager>
  <Company>Union internationale des télécommunications (UIT)</Company>
  <LinksUpToDate>false</LinksUpToDate>
  <CharactersWithSpaces>29865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R23-WRC23-C-0044!A27-A4!MSW-F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2023-11-06T14:01:00Z</dcterms:created>
  <dcterms:modified xsi:type="dcterms:W3CDTF">2023-11-07T13:00:00Z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