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5C7C43" w14:paraId="3AC8B17B" w14:textId="77777777" w:rsidTr="00C1305F">
        <w:trPr>
          <w:cantSplit/>
        </w:trPr>
        <w:tc>
          <w:tcPr>
            <w:tcW w:w="1418" w:type="dxa"/>
            <w:vAlign w:val="center"/>
          </w:tcPr>
          <w:p w14:paraId="04282240" w14:textId="77777777" w:rsidR="00C1305F" w:rsidRPr="005C7C43" w:rsidRDefault="00C1305F" w:rsidP="00A71682">
            <w:pPr>
              <w:spacing w:before="0"/>
              <w:rPr>
                <w:rFonts w:ascii="Verdana" w:hAnsi="Verdana"/>
                <w:b/>
                <w:bCs/>
                <w:sz w:val="20"/>
              </w:rPr>
            </w:pPr>
            <w:r w:rsidRPr="005C7C43">
              <w:rPr>
                <w:noProof/>
              </w:rPr>
              <w:drawing>
                <wp:inline distT="0" distB="0" distL="0" distR="0" wp14:anchorId="2647BBBD" wp14:editId="28FA0792">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2B69285" w14:textId="0B2B8253" w:rsidR="00C1305F" w:rsidRPr="005C7C43" w:rsidRDefault="00C1305F" w:rsidP="00A71682">
            <w:pPr>
              <w:spacing w:before="400" w:after="48"/>
              <w:rPr>
                <w:rFonts w:ascii="Verdana" w:hAnsi="Verdana"/>
                <w:b/>
                <w:bCs/>
                <w:sz w:val="20"/>
              </w:rPr>
            </w:pPr>
            <w:r w:rsidRPr="005C7C43">
              <w:rPr>
                <w:rFonts w:ascii="Verdana" w:hAnsi="Verdana"/>
                <w:b/>
                <w:bCs/>
                <w:sz w:val="20"/>
              </w:rPr>
              <w:t>Conférence mondiale des radiocommunications (CMR-23)</w:t>
            </w:r>
            <w:r w:rsidRPr="005C7C43">
              <w:rPr>
                <w:rFonts w:ascii="Verdana" w:hAnsi="Verdana"/>
                <w:b/>
                <w:bCs/>
                <w:sz w:val="20"/>
              </w:rPr>
              <w:br/>
            </w:r>
            <w:r w:rsidRPr="005C7C43">
              <w:rPr>
                <w:rFonts w:ascii="Verdana" w:hAnsi="Verdana"/>
                <w:b/>
                <w:bCs/>
                <w:sz w:val="18"/>
                <w:szCs w:val="18"/>
              </w:rPr>
              <w:t xml:space="preserve">Dubaï, 20 novembre </w:t>
            </w:r>
            <w:r w:rsidR="00F37636" w:rsidRPr="005C7C43">
              <w:rPr>
                <w:rFonts w:ascii="Verdana" w:hAnsi="Verdana"/>
                <w:b/>
                <w:bCs/>
                <w:sz w:val="18"/>
                <w:szCs w:val="18"/>
              </w:rPr>
              <w:t>–</w:t>
            </w:r>
            <w:r w:rsidRPr="005C7C43">
              <w:rPr>
                <w:rFonts w:ascii="Verdana" w:hAnsi="Verdana"/>
                <w:b/>
                <w:bCs/>
                <w:sz w:val="18"/>
                <w:szCs w:val="18"/>
              </w:rPr>
              <w:t xml:space="preserve"> 15 décembre 2023</w:t>
            </w:r>
          </w:p>
        </w:tc>
        <w:tc>
          <w:tcPr>
            <w:tcW w:w="1809" w:type="dxa"/>
            <w:vAlign w:val="center"/>
          </w:tcPr>
          <w:p w14:paraId="011FC4AC" w14:textId="77777777" w:rsidR="00C1305F" w:rsidRPr="005C7C43" w:rsidRDefault="00C1305F" w:rsidP="00A71682">
            <w:pPr>
              <w:spacing w:before="0"/>
            </w:pPr>
            <w:bookmarkStart w:id="0" w:name="ditulogo"/>
            <w:bookmarkEnd w:id="0"/>
            <w:r w:rsidRPr="005C7C43">
              <w:rPr>
                <w:noProof/>
              </w:rPr>
              <w:drawing>
                <wp:inline distT="0" distB="0" distL="0" distR="0" wp14:anchorId="1B013193" wp14:editId="17D79D7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5C7C43" w14:paraId="4A7D5726" w14:textId="77777777" w:rsidTr="0050008E">
        <w:trPr>
          <w:cantSplit/>
        </w:trPr>
        <w:tc>
          <w:tcPr>
            <w:tcW w:w="6911" w:type="dxa"/>
            <w:gridSpan w:val="2"/>
            <w:tcBorders>
              <w:bottom w:val="single" w:sz="12" w:space="0" w:color="auto"/>
            </w:tcBorders>
          </w:tcPr>
          <w:p w14:paraId="404DA1F6" w14:textId="77777777" w:rsidR="00BB1D82" w:rsidRPr="005C7C43" w:rsidRDefault="00BB1D82" w:rsidP="00A71682">
            <w:pPr>
              <w:spacing w:before="0" w:after="48"/>
              <w:rPr>
                <w:b/>
                <w:smallCaps/>
                <w:szCs w:val="24"/>
              </w:rPr>
            </w:pPr>
            <w:bookmarkStart w:id="1" w:name="dhead"/>
          </w:p>
        </w:tc>
        <w:tc>
          <w:tcPr>
            <w:tcW w:w="3120" w:type="dxa"/>
            <w:gridSpan w:val="2"/>
            <w:tcBorders>
              <w:bottom w:val="single" w:sz="12" w:space="0" w:color="auto"/>
            </w:tcBorders>
          </w:tcPr>
          <w:p w14:paraId="7D4B3D58" w14:textId="77777777" w:rsidR="00BB1D82" w:rsidRPr="005C7C43" w:rsidRDefault="00BB1D82" w:rsidP="00A71682">
            <w:pPr>
              <w:spacing w:before="0"/>
              <w:rPr>
                <w:rFonts w:ascii="Verdana" w:hAnsi="Verdana"/>
                <w:szCs w:val="24"/>
              </w:rPr>
            </w:pPr>
          </w:p>
        </w:tc>
      </w:tr>
      <w:tr w:rsidR="00BB1D82" w:rsidRPr="005C7C43" w14:paraId="6E81E3FB" w14:textId="77777777" w:rsidTr="00BB1D82">
        <w:trPr>
          <w:cantSplit/>
        </w:trPr>
        <w:tc>
          <w:tcPr>
            <w:tcW w:w="6911" w:type="dxa"/>
            <w:gridSpan w:val="2"/>
            <w:tcBorders>
              <w:top w:val="single" w:sz="12" w:space="0" w:color="auto"/>
            </w:tcBorders>
          </w:tcPr>
          <w:p w14:paraId="45852226" w14:textId="77777777" w:rsidR="00BB1D82" w:rsidRPr="005C7C43" w:rsidRDefault="00BB1D82" w:rsidP="00A71682">
            <w:pPr>
              <w:spacing w:before="0" w:after="48"/>
              <w:rPr>
                <w:rFonts w:ascii="Verdana" w:hAnsi="Verdana"/>
                <w:b/>
                <w:smallCaps/>
                <w:sz w:val="20"/>
              </w:rPr>
            </w:pPr>
          </w:p>
        </w:tc>
        <w:tc>
          <w:tcPr>
            <w:tcW w:w="3120" w:type="dxa"/>
            <w:gridSpan w:val="2"/>
            <w:tcBorders>
              <w:top w:val="single" w:sz="12" w:space="0" w:color="auto"/>
            </w:tcBorders>
          </w:tcPr>
          <w:p w14:paraId="1F7BE160" w14:textId="77777777" w:rsidR="00BB1D82" w:rsidRPr="005C7C43" w:rsidRDefault="00BB1D82" w:rsidP="00A71682">
            <w:pPr>
              <w:spacing w:before="0"/>
              <w:rPr>
                <w:rFonts w:ascii="Verdana" w:hAnsi="Verdana"/>
                <w:sz w:val="20"/>
              </w:rPr>
            </w:pPr>
          </w:p>
        </w:tc>
      </w:tr>
      <w:tr w:rsidR="00BB1D82" w:rsidRPr="005C7C43" w14:paraId="33303960" w14:textId="77777777" w:rsidTr="00BB1D82">
        <w:trPr>
          <w:cantSplit/>
        </w:trPr>
        <w:tc>
          <w:tcPr>
            <w:tcW w:w="6911" w:type="dxa"/>
            <w:gridSpan w:val="2"/>
          </w:tcPr>
          <w:p w14:paraId="081418A9" w14:textId="77777777" w:rsidR="00BB1D82" w:rsidRPr="005C7C43" w:rsidRDefault="006D4724" w:rsidP="00A71682">
            <w:pPr>
              <w:spacing w:before="0"/>
              <w:rPr>
                <w:rFonts w:ascii="Verdana" w:hAnsi="Verdana"/>
                <w:b/>
                <w:sz w:val="20"/>
              </w:rPr>
            </w:pPr>
            <w:r w:rsidRPr="005C7C43">
              <w:rPr>
                <w:rFonts w:ascii="Verdana" w:hAnsi="Verdana"/>
                <w:b/>
                <w:sz w:val="20"/>
              </w:rPr>
              <w:t>SÉANCE PLÉNIÈRE</w:t>
            </w:r>
          </w:p>
        </w:tc>
        <w:tc>
          <w:tcPr>
            <w:tcW w:w="3120" w:type="dxa"/>
            <w:gridSpan w:val="2"/>
          </w:tcPr>
          <w:p w14:paraId="0602C445" w14:textId="77777777" w:rsidR="00BB1D82" w:rsidRPr="005C7C43" w:rsidRDefault="006D4724" w:rsidP="00A71682">
            <w:pPr>
              <w:spacing w:before="0"/>
              <w:rPr>
                <w:rFonts w:ascii="Verdana" w:hAnsi="Verdana"/>
                <w:sz w:val="20"/>
              </w:rPr>
            </w:pPr>
            <w:r w:rsidRPr="005C7C43">
              <w:rPr>
                <w:rFonts w:ascii="Verdana" w:hAnsi="Verdana"/>
                <w:b/>
                <w:sz w:val="20"/>
              </w:rPr>
              <w:t>Addendum 12 au</w:t>
            </w:r>
            <w:r w:rsidRPr="005C7C43">
              <w:rPr>
                <w:rFonts w:ascii="Verdana" w:hAnsi="Verdana"/>
                <w:b/>
                <w:sz w:val="20"/>
              </w:rPr>
              <w:br/>
              <w:t>Document 44(Add.27)</w:t>
            </w:r>
            <w:r w:rsidR="00BB1D82" w:rsidRPr="005C7C43">
              <w:rPr>
                <w:rFonts w:ascii="Verdana" w:hAnsi="Verdana"/>
                <w:b/>
                <w:sz w:val="20"/>
              </w:rPr>
              <w:t>-</w:t>
            </w:r>
            <w:r w:rsidRPr="005C7C43">
              <w:rPr>
                <w:rFonts w:ascii="Verdana" w:hAnsi="Verdana"/>
                <w:b/>
                <w:sz w:val="20"/>
              </w:rPr>
              <w:t>F</w:t>
            </w:r>
          </w:p>
        </w:tc>
      </w:tr>
      <w:bookmarkEnd w:id="1"/>
      <w:tr w:rsidR="00690C7B" w:rsidRPr="005C7C43" w14:paraId="33FA6E53" w14:textId="77777777" w:rsidTr="00BB1D82">
        <w:trPr>
          <w:cantSplit/>
        </w:trPr>
        <w:tc>
          <w:tcPr>
            <w:tcW w:w="6911" w:type="dxa"/>
            <w:gridSpan w:val="2"/>
          </w:tcPr>
          <w:p w14:paraId="5C15D517" w14:textId="77777777" w:rsidR="00690C7B" w:rsidRPr="005C7C43" w:rsidRDefault="00690C7B" w:rsidP="00A71682">
            <w:pPr>
              <w:spacing w:before="0"/>
              <w:rPr>
                <w:rFonts w:ascii="Verdana" w:hAnsi="Verdana"/>
                <w:b/>
                <w:sz w:val="20"/>
              </w:rPr>
            </w:pPr>
          </w:p>
        </w:tc>
        <w:tc>
          <w:tcPr>
            <w:tcW w:w="3120" w:type="dxa"/>
            <w:gridSpan w:val="2"/>
          </w:tcPr>
          <w:p w14:paraId="4C9CBC8E" w14:textId="77777777" w:rsidR="00690C7B" w:rsidRPr="005C7C43" w:rsidRDefault="00690C7B" w:rsidP="00A71682">
            <w:pPr>
              <w:spacing w:before="0"/>
              <w:rPr>
                <w:rFonts w:ascii="Verdana" w:hAnsi="Verdana"/>
                <w:b/>
                <w:sz w:val="20"/>
              </w:rPr>
            </w:pPr>
            <w:r w:rsidRPr="005C7C43">
              <w:rPr>
                <w:rFonts w:ascii="Verdana" w:hAnsi="Verdana"/>
                <w:b/>
                <w:sz w:val="20"/>
              </w:rPr>
              <w:t>13 octobre 2023</w:t>
            </w:r>
          </w:p>
        </w:tc>
      </w:tr>
      <w:tr w:rsidR="00690C7B" w:rsidRPr="005C7C43" w14:paraId="73F94929" w14:textId="77777777" w:rsidTr="00BB1D82">
        <w:trPr>
          <w:cantSplit/>
        </w:trPr>
        <w:tc>
          <w:tcPr>
            <w:tcW w:w="6911" w:type="dxa"/>
            <w:gridSpan w:val="2"/>
          </w:tcPr>
          <w:p w14:paraId="29673EB8" w14:textId="77777777" w:rsidR="00690C7B" w:rsidRPr="005C7C43" w:rsidRDefault="00690C7B" w:rsidP="00A71682">
            <w:pPr>
              <w:spacing w:before="0" w:after="48"/>
              <w:rPr>
                <w:rFonts w:ascii="Verdana" w:hAnsi="Verdana"/>
                <w:b/>
                <w:smallCaps/>
                <w:sz w:val="20"/>
              </w:rPr>
            </w:pPr>
          </w:p>
        </w:tc>
        <w:tc>
          <w:tcPr>
            <w:tcW w:w="3120" w:type="dxa"/>
            <w:gridSpan w:val="2"/>
          </w:tcPr>
          <w:p w14:paraId="78DDE724" w14:textId="77777777" w:rsidR="00690C7B" w:rsidRPr="005C7C43" w:rsidRDefault="00690C7B" w:rsidP="00A71682">
            <w:pPr>
              <w:spacing w:before="0"/>
              <w:rPr>
                <w:rFonts w:ascii="Verdana" w:hAnsi="Verdana"/>
                <w:b/>
                <w:sz w:val="20"/>
              </w:rPr>
            </w:pPr>
            <w:r w:rsidRPr="005C7C43">
              <w:rPr>
                <w:rFonts w:ascii="Verdana" w:hAnsi="Verdana"/>
                <w:b/>
                <w:sz w:val="20"/>
              </w:rPr>
              <w:t>Original: anglais</w:t>
            </w:r>
          </w:p>
        </w:tc>
      </w:tr>
      <w:tr w:rsidR="00690C7B" w:rsidRPr="005C7C43" w14:paraId="567071DE" w14:textId="77777777" w:rsidTr="00C11970">
        <w:trPr>
          <w:cantSplit/>
        </w:trPr>
        <w:tc>
          <w:tcPr>
            <w:tcW w:w="10031" w:type="dxa"/>
            <w:gridSpan w:val="4"/>
          </w:tcPr>
          <w:p w14:paraId="3D78981D" w14:textId="77777777" w:rsidR="00690C7B" w:rsidRPr="005C7C43" w:rsidRDefault="00690C7B" w:rsidP="00A71682">
            <w:pPr>
              <w:spacing w:before="0"/>
              <w:rPr>
                <w:rFonts w:ascii="Verdana" w:hAnsi="Verdana"/>
                <w:b/>
                <w:sz w:val="20"/>
              </w:rPr>
            </w:pPr>
          </w:p>
        </w:tc>
      </w:tr>
      <w:tr w:rsidR="00690C7B" w:rsidRPr="005C7C43" w14:paraId="03C24F52" w14:textId="77777777" w:rsidTr="0050008E">
        <w:trPr>
          <w:cantSplit/>
        </w:trPr>
        <w:tc>
          <w:tcPr>
            <w:tcW w:w="10031" w:type="dxa"/>
            <w:gridSpan w:val="4"/>
          </w:tcPr>
          <w:p w14:paraId="32CD299E" w14:textId="77777777" w:rsidR="00690C7B" w:rsidRPr="005C7C43" w:rsidRDefault="00690C7B" w:rsidP="00A71682">
            <w:pPr>
              <w:pStyle w:val="Source"/>
            </w:pPr>
            <w:bookmarkStart w:id="2" w:name="dsource" w:colFirst="0" w:colLast="0"/>
            <w:r w:rsidRPr="005C7C43">
              <w:t>États Membres de la Commission interaméricaine des télécommunications (CITEL)</w:t>
            </w:r>
          </w:p>
        </w:tc>
      </w:tr>
      <w:tr w:rsidR="00690C7B" w:rsidRPr="005C7C43" w14:paraId="7FBBE7F8" w14:textId="77777777" w:rsidTr="0050008E">
        <w:trPr>
          <w:cantSplit/>
        </w:trPr>
        <w:tc>
          <w:tcPr>
            <w:tcW w:w="10031" w:type="dxa"/>
            <w:gridSpan w:val="4"/>
          </w:tcPr>
          <w:p w14:paraId="5069A3C0" w14:textId="3138922F" w:rsidR="00690C7B" w:rsidRPr="005C7C43" w:rsidRDefault="005C1616" w:rsidP="00A71682">
            <w:pPr>
              <w:pStyle w:val="Title1"/>
            </w:pPr>
            <w:bookmarkStart w:id="3" w:name="dtitle1" w:colFirst="0" w:colLast="0"/>
            <w:bookmarkEnd w:id="2"/>
            <w:r w:rsidRPr="005C7C43">
              <w:t>PROPOSITIONS POUR LES TRAVAUX DE LA CONFÉRENCE</w:t>
            </w:r>
          </w:p>
        </w:tc>
      </w:tr>
      <w:tr w:rsidR="00690C7B" w:rsidRPr="005C7C43" w14:paraId="4B367B37" w14:textId="77777777" w:rsidTr="0050008E">
        <w:trPr>
          <w:cantSplit/>
        </w:trPr>
        <w:tc>
          <w:tcPr>
            <w:tcW w:w="10031" w:type="dxa"/>
            <w:gridSpan w:val="4"/>
          </w:tcPr>
          <w:p w14:paraId="66BF1286" w14:textId="77777777" w:rsidR="00690C7B" w:rsidRPr="005C7C43" w:rsidRDefault="00690C7B" w:rsidP="00A71682">
            <w:pPr>
              <w:pStyle w:val="Title2"/>
            </w:pPr>
            <w:bookmarkStart w:id="4" w:name="dtitle2" w:colFirst="0" w:colLast="0"/>
            <w:bookmarkEnd w:id="3"/>
          </w:p>
        </w:tc>
      </w:tr>
      <w:tr w:rsidR="00690C7B" w:rsidRPr="005C7C43" w14:paraId="20B5425E" w14:textId="77777777" w:rsidTr="0050008E">
        <w:trPr>
          <w:cantSplit/>
        </w:trPr>
        <w:tc>
          <w:tcPr>
            <w:tcW w:w="10031" w:type="dxa"/>
            <w:gridSpan w:val="4"/>
          </w:tcPr>
          <w:p w14:paraId="0421D356" w14:textId="77777777" w:rsidR="00690C7B" w:rsidRPr="005C7C43" w:rsidRDefault="00690C7B" w:rsidP="00A71682">
            <w:pPr>
              <w:pStyle w:val="Agendaitem"/>
              <w:rPr>
                <w:lang w:val="fr-FR"/>
              </w:rPr>
            </w:pPr>
            <w:bookmarkStart w:id="5" w:name="dtitle3" w:colFirst="0" w:colLast="0"/>
            <w:bookmarkEnd w:id="4"/>
            <w:r w:rsidRPr="005C7C43">
              <w:rPr>
                <w:lang w:val="fr-FR"/>
              </w:rPr>
              <w:t>Point 10 de l'ordre du jour</w:t>
            </w:r>
          </w:p>
        </w:tc>
      </w:tr>
    </w:tbl>
    <w:bookmarkEnd w:id="5"/>
    <w:p w14:paraId="64BFC57F" w14:textId="77777777" w:rsidR="00832071" w:rsidRPr="005C7C43" w:rsidRDefault="00832071" w:rsidP="00A71682">
      <w:r w:rsidRPr="005C7C43">
        <w:t>10</w:t>
      </w:r>
      <w:r w:rsidRPr="005C7C43">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5C7C43">
        <w:rPr>
          <w:b/>
        </w:rPr>
        <w:t>804 (Rév.CMR-19)</w:t>
      </w:r>
      <w:r w:rsidRPr="005C7C43">
        <w:t>,</w:t>
      </w:r>
    </w:p>
    <w:p w14:paraId="2C087F91" w14:textId="12CA729D" w:rsidR="003A583E" w:rsidRPr="005C7C43" w:rsidRDefault="00685D81" w:rsidP="00F652D2">
      <w:pPr>
        <w:pStyle w:val="Part1"/>
      </w:pPr>
      <w:r w:rsidRPr="005C7C43">
        <w:t>Partie 12</w:t>
      </w:r>
    </w:p>
    <w:p w14:paraId="1F13EF78" w14:textId="7D6C3777" w:rsidR="00685D81" w:rsidRPr="005C7C43" w:rsidRDefault="003E0E01" w:rsidP="00A71682">
      <w:pPr>
        <w:pStyle w:val="Headingb"/>
      </w:pPr>
      <w:r w:rsidRPr="005C7C43">
        <w:t>Considérations générales</w:t>
      </w:r>
    </w:p>
    <w:p w14:paraId="1C55428E" w14:textId="18965859" w:rsidR="003E0E01" w:rsidRPr="005C7C43" w:rsidRDefault="003E0E01" w:rsidP="00A71682">
      <w:r w:rsidRPr="005C7C43">
        <w:t>Aujourd</w:t>
      </w:r>
      <w:r w:rsidR="00546CB4" w:rsidRPr="005C7C43">
        <w:t>'</w:t>
      </w:r>
      <w:r w:rsidRPr="005C7C43">
        <w:t xml:space="preserve">hui, la vision initiale </w:t>
      </w:r>
      <w:r w:rsidR="00775DF8" w:rsidRPr="005C7C43">
        <w:t>pour</w:t>
      </w:r>
      <w:r w:rsidRPr="005C7C43">
        <w:t xml:space="preserve"> la 6G, également </w:t>
      </w:r>
      <w:r w:rsidR="001748EF" w:rsidRPr="005C7C43">
        <w:t>appelée</w:t>
      </w:r>
      <w:r w:rsidRPr="005C7C43">
        <w:t xml:space="preserve"> IMT-2030, commence à émerger alors que l</w:t>
      </w:r>
      <w:r w:rsidR="000D619D" w:rsidRPr="005C7C43">
        <w:t>'</w:t>
      </w:r>
      <w:r w:rsidRPr="005C7C43">
        <w:t>écosystème</w:t>
      </w:r>
      <w:r w:rsidR="000D619D" w:rsidRPr="005C7C43">
        <w:t xml:space="preserve"> des services</w:t>
      </w:r>
      <w:r w:rsidRPr="005C7C43">
        <w:t xml:space="preserve"> mobile</w:t>
      </w:r>
      <w:r w:rsidR="000D619D" w:rsidRPr="005C7C43">
        <w:t xml:space="preserve">s </w:t>
      </w:r>
      <w:r w:rsidR="002B4B72" w:rsidRPr="005C7C43">
        <w:t xml:space="preserve">et </w:t>
      </w:r>
      <w:r w:rsidR="000D619D" w:rsidRPr="005C7C43">
        <w:t xml:space="preserve">les secteurs </w:t>
      </w:r>
      <w:r w:rsidR="002B4B72" w:rsidRPr="005C7C43">
        <w:t xml:space="preserve">verticaux </w:t>
      </w:r>
      <w:r w:rsidR="000D619D" w:rsidRPr="005C7C43">
        <w:t>en général</w:t>
      </w:r>
      <w:r w:rsidRPr="005C7C43">
        <w:t xml:space="preserve"> </w:t>
      </w:r>
      <w:r w:rsidR="000D619D" w:rsidRPr="005C7C43">
        <w:t>se lancent dans</w:t>
      </w:r>
      <w:r w:rsidR="001748EF" w:rsidRPr="005C7C43">
        <w:t xml:space="preserve"> </w:t>
      </w:r>
      <w:r w:rsidR="000D619D" w:rsidRPr="005C7C43">
        <w:t>la</w:t>
      </w:r>
      <w:r w:rsidR="001748EF" w:rsidRPr="005C7C43">
        <w:t xml:space="preserve"> </w:t>
      </w:r>
      <w:r w:rsidRPr="005C7C43">
        <w:t>recherche</w:t>
      </w:r>
      <w:r w:rsidR="000D619D" w:rsidRPr="005C7C43">
        <w:t xml:space="preserve"> </w:t>
      </w:r>
      <w:r w:rsidRPr="005C7C43">
        <w:t>technologique fondamentale en vue de la prochaine décennie d</w:t>
      </w:r>
      <w:r w:rsidR="00546CB4" w:rsidRPr="005C7C43">
        <w:t>'</w:t>
      </w:r>
      <w:r w:rsidRPr="005C7C43">
        <w:t xml:space="preserve">innovations. Alors que des années </w:t>
      </w:r>
      <w:r w:rsidR="000D619D" w:rsidRPr="005C7C43">
        <w:t xml:space="preserve">nous séparent encore </w:t>
      </w:r>
      <w:r w:rsidRPr="005C7C43">
        <w:t>des lancements commerciaux de la plate-forme 6G, nous savons que la</w:t>
      </w:r>
      <w:r w:rsidR="00546CB4" w:rsidRPr="005C7C43">
        <w:t> </w:t>
      </w:r>
      <w:r w:rsidRPr="005C7C43">
        <w:t xml:space="preserve">6G </w:t>
      </w:r>
      <w:r w:rsidR="002B4B72" w:rsidRPr="005C7C43">
        <w:t>sera à l'origine de</w:t>
      </w:r>
      <w:r w:rsidRPr="005C7C43">
        <w:t xml:space="preserve"> </w:t>
      </w:r>
      <w:r w:rsidR="000D619D" w:rsidRPr="005C7C43">
        <w:t>bonds</w:t>
      </w:r>
      <w:r w:rsidRPr="005C7C43">
        <w:t xml:space="preserve"> technologiques, de nouvelles expériences et de cas d</w:t>
      </w:r>
      <w:r w:rsidR="00546CB4" w:rsidRPr="005C7C43">
        <w:t>'</w:t>
      </w:r>
      <w:r w:rsidRPr="005C7C43">
        <w:t>utilisation que nous pouvons à peine imaginer aujourd</w:t>
      </w:r>
      <w:r w:rsidR="00546CB4" w:rsidRPr="005C7C43">
        <w:t>'</w:t>
      </w:r>
      <w:r w:rsidRPr="005C7C43">
        <w:t>hui.</w:t>
      </w:r>
    </w:p>
    <w:p w14:paraId="0DE6F67D" w14:textId="5AC813CA" w:rsidR="003E0E01" w:rsidRPr="005C7C43" w:rsidRDefault="003E0E01" w:rsidP="00A71682">
      <w:r w:rsidRPr="005C7C43">
        <w:t xml:space="preserve">À un niveau élevé, trois forces motrices principales </w:t>
      </w:r>
      <w:r w:rsidR="002B4B72" w:rsidRPr="005C7C43">
        <w:t>motivent l'émergence de la</w:t>
      </w:r>
      <w:r w:rsidRPr="005C7C43">
        <w:t xml:space="preserve"> 6G:</w:t>
      </w:r>
    </w:p>
    <w:p w14:paraId="708AD606" w14:textId="48AC14D5" w:rsidR="003E0E01" w:rsidRPr="005C7C43" w:rsidRDefault="003E0E01" w:rsidP="00546CB4">
      <w:pPr>
        <w:pStyle w:val="enumlev1"/>
      </w:pPr>
      <w:r w:rsidRPr="005C7C43">
        <w:t>1</w:t>
      </w:r>
      <w:r w:rsidR="00546CB4" w:rsidRPr="005C7C43">
        <w:t>)</w:t>
      </w:r>
      <w:r w:rsidRPr="005C7C43">
        <w:tab/>
        <w:t xml:space="preserve">exploiter les </w:t>
      </w:r>
      <w:r w:rsidR="00D07E70" w:rsidRPr="005C7C43">
        <w:t>progrès</w:t>
      </w:r>
      <w:r w:rsidRPr="005C7C43">
        <w:t xml:space="preserve"> technologiques </w:t>
      </w:r>
      <w:r w:rsidR="00D07E70" w:rsidRPr="005C7C43">
        <w:t xml:space="preserve">fondamentaux </w:t>
      </w:r>
      <w:r w:rsidRPr="005C7C43">
        <w:t xml:space="preserve">(dans </w:t>
      </w:r>
      <w:r w:rsidR="000D619D" w:rsidRPr="005C7C43">
        <w:t xml:space="preserve">le domaine des technologies hertziennes et les domaines </w:t>
      </w:r>
      <w:r w:rsidR="00D07E70" w:rsidRPr="005C7C43">
        <w:t>connexes</w:t>
      </w:r>
      <w:r w:rsidR="000D619D" w:rsidRPr="005C7C43">
        <w:t>,</w:t>
      </w:r>
      <w:r w:rsidRPr="005C7C43">
        <w:t xml:space="preserve"> tels que les semi-conducteurs et la science des matériaux);</w:t>
      </w:r>
    </w:p>
    <w:p w14:paraId="1941A25D" w14:textId="0CA8112A" w:rsidR="003E0E01" w:rsidRPr="005C7C43" w:rsidRDefault="003E0E01" w:rsidP="00546CB4">
      <w:pPr>
        <w:pStyle w:val="enumlev1"/>
      </w:pPr>
      <w:r w:rsidRPr="005C7C43">
        <w:t>2</w:t>
      </w:r>
      <w:r w:rsidR="00546CB4" w:rsidRPr="005C7C43">
        <w:t>)</w:t>
      </w:r>
      <w:r w:rsidRPr="005C7C43">
        <w:tab/>
        <w:t>répondre aux besoins sociétaux en matière de durabilité (</w:t>
      </w:r>
      <w:r w:rsidR="001748EF" w:rsidRPr="005C7C43">
        <w:t xml:space="preserve">concernant </w:t>
      </w:r>
      <w:r w:rsidRPr="005C7C43">
        <w:t xml:space="preserve">par exemple </w:t>
      </w:r>
      <w:r w:rsidR="001748EF" w:rsidRPr="005C7C43">
        <w:t xml:space="preserve">la </w:t>
      </w:r>
      <w:r w:rsidRPr="005C7C43">
        <w:t xml:space="preserve">croissance économique, </w:t>
      </w:r>
      <w:r w:rsidR="001748EF" w:rsidRPr="005C7C43">
        <w:t>l'</w:t>
      </w:r>
      <w:r w:rsidRPr="005C7C43">
        <w:t xml:space="preserve">accès numérique et </w:t>
      </w:r>
      <w:r w:rsidR="001748EF" w:rsidRPr="005C7C43">
        <w:t xml:space="preserve">les </w:t>
      </w:r>
      <w:r w:rsidRPr="005C7C43">
        <w:t xml:space="preserve">initiatives </w:t>
      </w:r>
      <w:r w:rsidR="00D07E70" w:rsidRPr="005C7C43">
        <w:t>écologiques</w:t>
      </w:r>
      <w:r w:rsidRPr="005C7C43">
        <w:t xml:space="preserve">); </w:t>
      </w:r>
      <w:r w:rsidR="00D07E70" w:rsidRPr="005C7C43">
        <w:t>et</w:t>
      </w:r>
    </w:p>
    <w:p w14:paraId="05FE78C5" w14:textId="0A309045" w:rsidR="003E0E01" w:rsidRPr="005C7C43" w:rsidRDefault="003E0E01" w:rsidP="00546CB4">
      <w:pPr>
        <w:pStyle w:val="enumlev1"/>
      </w:pPr>
      <w:r w:rsidRPr="005C7C43">
        <w:t>3</w:t>
      </w:r>
      <w:r w:rsidR="00546CB4" w:rsidRPr="005C7C43">
        <w:t>)</w:t>
      </w:r>
      <w:r w:rsidRPr="005C7C43">
        <w:tab/>
        <w:t>répondre aux nouvelles exigences en matière d</w:t>
      </w:r>
      <w:r w:rsidR="00F652D2" w:rsidRPr="005C7C43">
        <w:t>'</w:t>
      </w:r>
      <w:r w:rsidRPr="005C7C43">
        <w:t>expérience de niveau supérieur qui ne peuvent pas être satisfaites avec la 5G.</w:t>
      </w:r>
    </w:p>
    <w:p w14:paraId="0E6BCCC6" w14:textId="28A6D595" w:rsidR="003E0E01" w:rsidRPr="005C7C43" w:rsidRDefault="003E0E01" w:rsidP="00546CB4">
      <w:pPr>
        <w:keepLines/>
      </w:pPr>
      <w:r w:rsidRPr="005C7C43">
        <w:lastRenderedPageBreak/>
        <w:t xml:space="preserve">Pour atteindre ces objectifs, la 6G </w:t>
      </w:r>
      <w:r w:rsidR="00D07E70" w:rsidRPr="005C7C43">
        <w:t>constituera</w:t>
      </w:r>
      <w:r w:rsidRPr="005C7C43">
        <w:t xml:space="preserve"> une plate-forme plus intelligente qui apportera </w:t>
      </w:r>
      <w:r w:rsidR="001748EF" w:rsidRPr="005C7C43">
        <w:t>plus</w:t>
      </w:r>
      <w:r w:rsidRPr="005C7C43">
        <w:t xml:space="preserve"> qu</w:t>
      </w:r>
      <w:r w:rsidR="00F652D2" w:rsidRPr="005C7C43">
        <w:t>'</w:t>
      </w:r>
      <w:r w:rsidRPr="005C7C43">
        <w:t xml:space="preserve">un </w:t>
      </w:r>
      <w:r w:rsidR="00D07E70" w:rsidRPr="005C7C43">
        <w:t>nouveau système radioélectrique</w:t>
      </w:r>
      <w:r w:rsidRPr="005C7C43">
        <w:t xml:space="preserve">. </w:t>
      </w:r>
      <w:r w:rsidR="006D7AC1" w:rsidRPr="005C7C43">
        <w:t>Il est prévu qu'elle englobe</w:t>
      </w:r>
      <w:r w:rsidRPr="005C7C43">
        <w:t xml:space="preserve"> un plus large éventail de technologies pour stimuler</w:t>
      </w:r>
      <w:r w:rsidR="006D7AC1" w:rsidRPr="005C7C43">
        <w:t xml:space="preserve"> </w:t>
      </w:r>
      <w:r w:rsidR="007B681C" w:rsidRPr="005C7C43">
        <w:t>encore</w:t>
      </w:r>
      <w:r w:rsidRPr="005C7C43">
        <w:t xml:space="preserve"> l</w:t>
      </w:r>
      <w:r w:rsidR="00546CB4" w:rsidRPr="005C7C43">
        <w:t>'</w:t>
      </w:r>
      <w:r w:rsidRPr="005C7C43">
        <w:t>expansion de la périphérie intelligente connectée à grande échelle. La 6G devrait</w:t>
      </w:r>
      <w:r w:rsidR="007B681C" w:rsidRPr="005C7C43">
        <w:t xml:space="preserve"> permettre de</w:t>
      </w:r>
      <w:r w:rsidRPr="005C7C43">
        <w:t xml:space="preserve"> libérer pleinement le potentiel combiné des communications, de l</w:t>
      </w:r>
      <w:r w:rsidR="00546CB4" w:rsidRPr="005C7C43">
        <w:t>'</w:t>
      </w:r>
      <w:r w:rsidRPr="005C7C43">
        <w:t>intelligence artificielle (IA), de la détection intégrée, de la résilience des systèmes et de réseaux plus écologiques.</w:t>
      </w:r>
    </w:p>
    <w:p w14:paraId="589B8C0A" w14:textId="4E79079B" w:rsidR="003E0E01" w:rsidRPr="005C7C43" w:rsidRDefault="003E0E01" w:rsidP="00A71682">
      <w:r w:rsidRPr="005C7C43">
        <w:t>En ce sens, il est nécessaire d</w:t>
      </w:r>
      <w:r w:rsidR="00546CB4" w:rsidRPr="005C7C43">
        <w:t>'</w:t>
      </w:r>
      <w:r w:rsidRPr="005C7C43">
        <w:t>étudier de nouvelles bandes de fréquences et de permettre l</w:t>
      </w:r>
      <w:r w:rsidR="00546CB4" w:rsidRPr="005C7C43">
        <w:t>'</w:t>
      </w:r>
      <w:r w:rsidRPr="005C7C43">
        <w:t>utilisation de nouvelles techniques de partage qui permettent de mieux utiliser le spectre existant. En outre, l</w:t>
      </w:r>
      <w:r w:rsidR="00546CB4" w:rsidRPr="005C7C43">
        <w:t>'</w:t>
      </w:r>
      <w:r w:rsidRPr="005C7C43">
        <w:t xml:space="preserve">ouverture de nouvelles bandes de fréquences pour la connectivité mobile, </w:t>
      </w:r>
      <w:r w:rsidR="0098789B" w:rsidRPr="005C7C43">
        <w:t>en plus des</w:t>
      </w:r>
      <w:r w:rsidRPr="005C7C43">
        <w:t xml:space="preserve"> </w:t>
      </w:r>
      <w:r w:rsidR="00971CC2" w:rsidRPr="005C7C43">
        <w:t>fréquences</w:t>
      </w:r>
      <w:r w:rsidRPr="005C7C43">
        <w:t xml:space="preserve"> déjà identifiées dans les bandes</w:t>
      </w:r>
      <w:r w:rsidR="00A2269C" w:rsidRPr="005C7C43">
        <w:t xml:space="preserve"> de fréquences</w:t>
      </w:r>
      <w:r w:rsidRPr="005C7C43">
        <w:t xml:space="preserve"> inférieures et supérieures, permettrait d</w:t>
      </w:r>
      <w:r w:rsidR="00546CB4" w:rsidRPr="005C7C43">
        <w:t>'</w:t>
      </w:r>
      <w:r w:rsidRPr="005C7C43">
        <w:t>une part d</w:t>
      </w:r>
      <w:r w:rsidR="0098789B" w:rsidRPr="005C7C43">
        <w:t>'envisager d</w:t>
      </w:r>
      <w:r w:rsidRPr="005C7C43">
        <w:t>e nouveaux cas d</w:t>
      </w:r>
      <w:r w:rsidR="00546CB4" w:rsidRPr="005C7C43">
        <w:t>'</w:t>
      </w:r>
      <w:r w:rsidRPr="005C7C43">
        <w:t xml:space="preserve">utilisation et </w:t>
      </w:r>
      <w:r w:rsidR="002950B3" w:rsidRPr="005C7C43">
        <w:t xml:space="preserve">de nouveaux </w:t>
      </w:r>
      <w:r w:rsidRPr="005C7C43">
        <w:t xml:space="preserve">déploiements </w:t>
      </w:r>
      <w:r w:rsidR="0098789B" w:rsidRPr="005C7C43">
        <w:t>présent</w:t>
      </w:r>
      <w:r w:rsidR="001748EF" w:rsidRPr="005C7C43">
        <w:t>a</w:t>
      </w:r>
      <w:r w:rsidR="0098789B" w:rsidRPr="005C7C43">
        <w:t xml:space="preserve">nt des besoins en </w:t>
      </w:r>
      <w:r w:rsidR="00A2269C" w:rsidRPr="005C7C43">
        <w:t>matière</w:t>
      </w:r>
      <w:r w:rsidR="0098789B" w:rsidRPr="005C7C43">
        <w:t xml:space="preserve"> de</w:t>
      </w:r>
      <w:r w:rsidRPr="005C7C43">
        <w:t xml:space="preserve"> couverture et </w:t>
      </w:r>
      <w:r w:rsidR="0098789B" w:rsidRPr="005C7C43">
        <w:t>de</w:t>
      </w:r>
      <w:r w:rsidRPr="005C7C43">
        <w:t xml:space="preserve"> capacité et</w:t>
      </w:r>
      <w:r w:rsidR="0098789B" w:rsidRPr="005C7C43">
        <w:t>,</w:t>
      </w:r>
      <w:r w:rsidRPr="005C7C43">
        <w:t xml:space="preserve"> d</w:t>
      </w:r>
      <w:r w:rsidR="00546CB4" w:rsidRPr="005C7C43">
        <w:t>'</w:t>
      </w:r>
      <w:r w:rsidRPr="005C7C43">
        <w:t xml:space="preserve">autre part, de répondre aux besoins </w:t>
      </w:r>
      <w:r w:rsidR="0098789B" w:rsidRPr="005C7C43">
        <w:t>liés à la</w:t>
      </w:r>
      <w:r w:rsidRPr="005C7C43">
        <w:t xml:space="preserve"> croissance des réseaux de dernière génération ainsi qu</w:t>
      </w:r>
      <w:r w:rsidR="00546CB4" w:rsidRPr="005C7C43">
        <w:t>'</w:t>
      </w:r>
      <w:r w:rsidRPr="005C7C43">
        <w:t>à leur évolution.</w:t>
      </w:r>
    </w:p>
    <w:p w14:paraId="625839BE" w14:textId="66D38FF5" w:rsidR="003E0E01" w:rsidRPr="005C7C43" w:rsidRDefault="003E0E01" w:rsidP="00A71682">
      <w:r w:rsidRPr="005C7C43">
        <w:t>Le développement de la 6G et la planification des politiques sur les plans international, régional et national prennent de l</w:t>
      </w:r>
      <w:r w:rsidR="00546CB4" w:rsidRPr="005C7C43">
        <w:t>'</w:t>
      </w:r>
      <w:r w:rsidRPr="005C7C43">
        <w:t>ampleur. Le Groupe de travail 5D de l</w:t>
      </w:r>
      <w:r w:rsidR="00546CB4" w:rsidRPr="005C7C43">
        <w:t>'</w:t>
      </w:r>
      <w:r w:rsidRPr="005C7C43">
        <w:t>UIT-R a récemment achevé le cadre</w:t>
      </w:r>
      <w:r w:rsidR="0098789B" w:rsidRPr="005C7C43">
        <w:rPr>
          <w:rStyle w:val="FootnoteReference"/>
        </w:rPr>
        <w:footnoteReference w:id="1"/>
      </w:r>
      <w:r w:rsidRPr="005C7C43">
        <w:t xml:space="preserve"> </w:t>
      </w:r>
      <w:r w:rsidR="009525F2" w:rsidRPr="005C7C43">
        <w:t>définissant</w:t>
      </w:r>
      <w:r w:rsidRPr="005C7C43">
        <w:t xml:space="preserve"> les IMT à l</w:t>
      </w:r>
      <w:r w:rsidR="00546CB4" w:rsidRPr="005C7C43">
        <w:t>'</w:t>
      </w:r>
      <w:r w:rsidRPr="005C7C43">
        <w:t xml:space="preserve">horizon 2030. La nouvelle Recommandation UIT-R contenant des normes détaillées devrait être achevée en 2030. Les régulateurs </w:t>
      </w:r>
      <w:r w:rsidR="001748EF" w:rsidRPr="005C7C43">
        <w:t>régionaux</w:t>
      </w:r>
      <w:r w:rsidRPr="005C7C43">
        <w:t xml:space="preserve"> ont également </w:t>
      </w:r>
      <w:r w:rsidR="00491942" w:rsidRPr="005C7C43">
        <w:t xml:space="preserve">engagé des processus </w:t>
      </w:r>
      <w:r w:rsidRPr="005C7C43">
        <w:t xml:space="preserve">réglementaires pour répondre à la nécessité de mettre en place la réglementation </w:t>
      </w:r>
      <w:r w:rsidR="00491942" w:rsidRPr="005C7C43">
        <w:t>nécessaire</w:t>
      </w:r>
      <w:r w:rsidRPr="005C7C43">
        <w:t xml:space="preserve"> pour la technologie hertzienne de prochaine génération. De plus, </w:t>
      </w:r>
      <w:r w:rsidR="00491942" w:rsidRPr="005C7C43">
        <w:t>dans le cadre d'</w:t>
      </w:r>
      <w:r w:rsidRPr="005C7C43">
        <w:t xml:space="preserve">initiatives comme la Next G Alliance, qui </w:t>
      </w:r>
      <w:r w:rsidR="009525F2" w:rsidRPr="005C7C43">
        <w:t>réunit</w:t>
      </w:r>
      <w:r w:rsidRPr="005C7C43">
        <w:t xml:space="preserve"> </w:t>
      </w:r>
      <w:r w:rsidR="009525F2" w:rsidRPr="005C7C43">
        <w:t>le secteur privé</w:t>
      </w:r>
      <w:r w:rsidRPr="005C7C43">
        <w:t>, le</w:t>
      </w:r>
      <w:r w:rsidR="009525F2" w:rsidRPr="005C7C43">
        <w:t>s</w:t>
      </w:r>
      <w:r w:rsidRPr="005C7C43">
        <w:t xml:space="preserve"> milieu</w:t>
      </w:r>
      <w:r w:rsidR="009525F2" w:rsidRPr="005C7C43">
        <w:t>x</w:t>
      </w:r>
      <w:r w:rsidRPr="005C7C43">
        <w:t xml:space="preserve"> universitaire</w:t>
      </w:r>
      <w:r w:rsidR="009525F2" w:rsidRPr="005C7C43">
        <w:t>s</w:t>
      </w:r>
      <w:r w:rsidRPr="005C7C43">
        <w:t xml:space="preserve"> et le</w:t>
      </w:r>
      <w:r w:rsidR="009525F2" w:rsidRPr="005C7C43">
        <w:t>s</w:t>
      </w:r>
      <w:r w:rsidRPr="005C7C43">
        <w:t xml:space="preserve"> gouvernement</w:t>
      </w:r>
      <w:r w:rsidR="009525F2" w:rsidRPr="005C7C43">
        <w:t>s</w:t>
      </w:r>
      <w:r w:rsidRPr="005C7C43">
        <w:t xml:space="preserve">, </w:t>
      </w:r>
      <w:r w:rsidR="00491942" w:rsidRPr="005C7C43">
        <w:t xml:space="preserve">des parties prenantes </w:t>
      </w:r>
      <w:r w:rsidR="009525F2" w:rsidRPr="005C7C43">
        <w:t>œuvrent</w:t>
      </w:r>
      <w:r w:rsidRPr="005C7C43">
        <w:t xml:space="preserve"> avec diligence au développement de</w:t>
      </w:r>
      <w:r w:rsidR="00491942" w:rsidRPr="005C7C43">
        <w:t>s technologies hertziennes de</w:t>
      </w:r>
      <w:r w:rsidRPr="005C7C43">
        <w:t xml:space="preserve"> prochaine génération </w:t>
      </w:r>
      <w:r w:rsidR="000E5032" w:rsidRPr="005C7C43">
        <w:t>en vue</w:t>
      </w:r>
      <w:r w:rsidRPr="005C7C43">
        <w:t xml:space="preserve"> de faire progresser </w:t>
      </w:r>
      <w:r w:rsidR="009525F2" w:rsidRPr="005C7C43">
        <w:t xml:space="preserve">l'innovation </w:t>
      </w:r>
      <w:r w:rsidRPr="005C7C43">
        <w:t>et la compétitivité dans ce domaine.</w:t>
      </w:r>
    </w:p>
    <w:p w14:paraId="6DAC0D41" w14:textId="0FC8B132" w:rsidR="003E0E01" w:rsidRPr="005C7C43" w:rsidRDefault="003E0E01" w:rsidP="00A71682">
      <w:r w:rsidRPr="005C7C43">
        <w:t xml:space="preserve">Des largeurs de bande contiguës autres que celles actuellement disponibles sont nécessaires pour faire face à la croissance du trafic dans les réseaux mobiles. </w:t>
      </w:r>
      <w:r w:rsidR="009525F2" w:rsidRPr="005C7C43">
        <w:t>À</w:t>
      </w:r>
      <w:r w:rsidRPr="005C7C43">
        <w:t xml:space="preserve"> ce titre, des discussions ont déjà été engagées en vue d</w:t>
      </w:r>
      <w:r w:rsidR="00546CB4" w:rsidRPr="005C7C43">
        <w:t>'</w:t>
      </w:r>
      <w:r w:rsidRPr="005C7C43">
        <w:t>identifier les bandes de fréquences les mieux adaptées aux IMT, afin de répondre aux</w:t>
      </w:r>
      <w:r w:rsidR="009525F2" w:rsidRPr="005C7C43">
        <w:t xml:space="preserve"> besoins </w:t>
      </w:r>
      <w:r w:rsidR="000E5032" w:rsidRPr="005C7C43">
        <w:t xml:space="preserve">de couverture élargie et de grande capacité </w:t>
      </w:r>
      <w:r w:rsidR="009525F2" w:rsidRPr="005C7C43">
        <w:t>d</w:t>
      </w:r>
      <w:r w:rsidRPr="005C7C43">
        <w:t>es réseaux 5G et 6G. Bien qu</w:t>
      </w:r>
      <w:r w:rsidR="00546CB4" w:rsidRPr="005C7C43">
        <w:t>'</w:t>
      </w:r>
      <w:r w:rsidRPr="005C7C43">
        <w:t>aucune gamme de fréquences ne</w:t>
      </w:r>
      <w:r w:rsidR="002D4DEA" w:rsidRPr="005C7C43">
        <w:t xml:space="preserve"> permette à </w:t>
      </w:r>
      <w:r w:rsidRPr="005C7C43">
        <w:t xml:space="preserve">elle seule </w:t>
      </w:r>
      <w:r w:rsidR="002D4DEA" w:rsidRPr="005C7C43">
        <w:t xml:space="preserve">de satisfaire </w:t>
      </w:r>
      <w:r w:rsidRPr="005C7C43">
        <w:t>à tous les critères requis pour la mise en</w:t>
      </w:r>
      <w:r w:rsidR="00546CB4" w:rsidRPr="005C7C43">
        <w:t> </w:t>
      </w:r>
      <w:r w:rsidR="00865252" w:rsidRPr="005C7C43">
        <w:t>œuvre</w:t>
      </w:r>
      <w:r w:rsidRPr="005C7C43">
        <w:t xml:space="preserve"> complète des réseaux 6G et de leurs applications, ainsi que pour le développement</w:t>
      </w:r>
      <w:r w:rsidR="00865252" w:rsidRPr="005C7C43">
        <w:t xml:space="preserve"> à venir</w:t>
      </w:r>
      <w:r w:rsidRPr="005C7C43">
        <w:t xml:space="preserve"> des réseaux 5G, les fréquences </w:t>
      </w:r>
      <w:r w:rsidR="00A2269C" w:rsidRPr="005C7C43">
        <w:t>des gammes moyennes supérieures</w:t>
      </w:r>
      <w:r w:rsidRPr="005C7C43">
        <w:t xml:space="preserve"> pourraient compléter l</w:t>
      </w:r>
      <w:r w:rsidR="00546CB4" w:rsidRPr="005C7C43">
        <w:t>'</w:t>
      </w:r>
      <w:r w:rsidRPr="005C7C43">
        <w:t>offre actuelle de</w:t>
      </w:r>
      <w:r w:rsidR="00865252" w:rsidRPr="005C7C43">
        <w:t xml:space="preserve"> fréquences </w:t>
      </w:r>
      <w:r w:rsidRPr="005C7C43">
        <w:t>identifiée</w:t>
      </w:r>
      <w:r w:rsidR="00865252" w:rsidRPr="005C7C43">
        <w:t>s</w:t>
      </w:r>
      <w:r w:rsidRPr="005C7C43">
        <w:t xml:space="preserve"> pour les IMT</w:t>
      </w:r>
      <w:r w:rsidR="00865252" w:rsidRPr="005C7C43">
        <w:t>,</w:t>
      </w:r>
      <w:r w:rsidRPr="005C7C43">
        <w:t xml:space="preserve"> afin de faciliter </w:t>
      </w:r>
      <w:r w:rsidR="00865252" w:rsidRPr="005C7C43">
        <w:t>le développement des systèmes de</w:t>
      </w:r>
      <w:r w:rsidRPr="005C7C43">
        <w:t xml:space="preserve"> prochaines générations, y compris les </w:t>
      </w:r>
      <w:r w:rsidR="00865252" w:rsidRPr="005C7C43">
        <w:t>cas</w:t>
      </w:r>
      <w:r w:rsidRPr="005C7C43">
        <w:t xml:space="preserve"> d</w:t>
      </w:r>
      <w:r w:rsidR="00546CB4" w:rsidRPr="005C7C43">
        <w:t>'</w:t>
      </w:r>
      <w:r w:rsidRPr="005C7C43">
        <w:t>utilisation des IMT-2030</w:t>
      </w:r>
      <w:r w:rsidR="00865252" w:rsidRPr="005C7C43">
        <w:t xml:space="preserve">, qui nécessitent à la fois </w:t>
      </w:r>
      <w:r w:rsidRPr="005C7C43">
        <w:t>une couverture plus étendue et une capacité plus grande.</w:t>
      </w:r>
    </w:p>
    <w:p w14:paraId="7C8571A4" w14:textId="3EA415D1" w:rsidR="003E0E01" w:rsidRPr="005C7C43" w:rsidRDefault="003E0E01" w:rsidP="00A71682">
      <w:r w:rsidRPr="005C7C43">
        <w:t xml:space="preserve">Bien </w:t>
      </w:r>
      <w:r w:rsidR="009A54E7" w:rsidRPr="005C7C43">
        <w:t>que des</w:t>
      </w:r>
      <w:r w:rsidRPr="005C7C43">
        <w:t xml:space="preserve"> années </w:t>
      </w:r>
      <w:r w:rsidR="009A54E7" w:rsidRPr="005C7C43">
        <w:t>nous séparent encore d</w:t>
      </w:r>
      <w:r w:rsidRPr="005C7C43">
        <w:t>e</w:t>
      </w:r>
      <w:r w:rsidR="003E33D9" w:rsidRPr="005C7C43">
        <w:t xml:space="preserve">s </w:t>
      </w:r>
      <w:r w:rsidRPr="005C7C43">
        <w:t>lancement</w:t>
      </w:r>
      <w:r w:rsidR="003E33D9" w:rsidRPr="005C7C43">
        <w:t>s</w:t>
      </w:r>
      <w:r w:rsidRPr="005C7C43">
        <w:t xml:space="preserve"> commercia</w:t>
      </w:r>
      <w:r w:rsidR="003E33D9" w:rsidRPr="005C7C43">
        <w:t>ux</w:t>
      </w:r>
      <w:r w:rsidRPr="005C7C43">
        <w:t xml:space="preserve"> des systèmes IMT-2030, nous savons déjà que ce type de technologies </w:t>
      </w:r>
      <w:r w:rsidR="003E33D9" w:rsidRPr="005C7C43">
        <w:t>seront à l'origine</w:t>
      </w:r>
      <w:r w:rsidRPr="005C7C43">
        <w:t xml:space="preserve"> d</w:t>
      </w:r>
      <w:r w:rsidR="003E33D9" w:rsidRPr="005C7C43">
        <w:t>'</w:t>
      </w:r>
      <w:r w:rsidRPr="005C7C43">
        <w:t>avancées technologiques significatives, de nouvelles expériences et de nouveaux cas d</w:t>
      </w:r>
      <w:r w:rsidR="00F652D2" w:rsidRPr="005C7C43">
        <w:t>'</w:t>
      </w:r>
      <w:r w:rsidRPr="005C7C43">
        <w:t xml:space="preserve">utilisation </w:t>
      </w:r>
      <w:r w:rsidR="003E33D9" w:rsidRPr="005C7C43">
        <w:t xml:space="preserve">qui </w:t>
      </w:r>
      <w:r w:rsidR="009A54E7" w:rsidRPr="005C7C43">
        <w:t>renforceront</w:t>
      </w:r>
      <w:r w:rsidRPr="005C7C43">
        <w:t xml:space="preserve"> la productivité dans différents </w:t>
      </w:r>
      <w:r w:rsidR="003E33D9" w:rsidRPr="005C7C43">
        <w:t>secteurs</w:t>
      </w:r>
      <w:r w:rsidRPr="005C7C43">
        <w:t xml:space="preserve"> </w:t>
      </w:r>
      <w:r w:rsidR="009A54E7" w:rsidRPr="005C7C43">
        <w:t>à travers le monde</w:t>
      </w:r>
      <w:r w:rsidRPr="005C7C43">
        <w:t xml:space="preserve">, </w:t>
      </w:r>
      <w:r w:rsidR="009A54E7" w:rsidRPr="005C7C43">
        <w:t>s'imposant</w:t>
      </w:r>
      <w:r w:rsidRPr="005C7C43">
        <w:t xml:space="preserve"> ainsi</w:t>
      </w:r>
      <w:r w:rsidR="009A54E7" w:rsidRPr="005C7C43">
        <w:t xml:space="preserve"> comme</w:t>
      </w:r>
      <w:r w:rsidRPr="005C7C43">
        <w:t xml:space="preserve"> un élément fondamental de la transformation numérique vers l</w:t>
      </w:r>
      <w:r w:rsidR="00F652D2" w:rsidRPr="005C7C43">
        <w:t>'</w:t>
      </w:r>
      <w:r w:rsidRPr="005C7C43">
        <w:t>industrie 5.0.</w:t>
      </w:r>
    </w:p>
    <w:p w14:paraId="2665AAAC" w14:textId="5F1445B7" w:rsidR="003E0E01" w:rsidRPr="005C7C43" w:rsidRDefault="003E33D9" w:rsidP="00A71682">
      <w:r w:rsidRPr="005C7C43">
        <w:t>À</w:t>
      </w:r>
      <w:r w:rsidR="003E0E01" w:rsidRPr="005C7C43">
        <w:t xml:space="preserve"> cet égard, il est urgent d</w:t>
      </w:r>
      <w:r w:rsidR="00546CB4" w:rsidRPr="005C7C43">
        <w:t>'</w:t>
      </w:r>
      <w:r w:rsidR="003E0E01" w:rsidRPr="005C7C43">
        <w:t>étudier les bandes de fréquences moyenne</w:t>
      </w:r>
      <w:r w:rsidRPr="005C7C43">
        <w:t>s</w:t>
      </w:r>
      <w:r w:rsidR="003E0E01" w:rsidRPr="005C7C43">
        <w:t xml:space="preserve"> </w:t>
      </w:r>
      <w:r w:rsidR="00917FE5" w:rsidRPr="005C7C43">
        <w:t xml:space="preserve">et supérieures </w:t>
      </w:r>
      <w:r w:rsidR="003E0E01" w:rsidRPr="005C7C43">
        <w:t>en vue de leur identification éventuelle pour les IMT, l</w:t>
      </w:r>
      <w:r w:rsidR="00546CB4" w:rsidRPr="005C7C43">
        <w:t>'</w:t>
      </w:r>
      <w:r w:rsidR="003E0E01" w:rsidRPr="005C7C43">
        <w:t>objectif étant d</w:t>
      </w:r>
      <w:r w:rsidR="00546CB4" w:rsidRPr="005C7C43">
        <w:t>'</w:t>
      </w:r>
      <w:r w:rsidR="003E0E01" w:rsidRPr="005C7C43">
        <w:t xml:space="preserve">aider les administrations </w:t>
      </w:r>
      <w:r w:rsidRPr="005C7C43">
        <w:t>à disposer</w:t>
      </w:r>
      <w:r w:rsidR="003E0E01" w:rsidRPr="005C7C43">
        <w:t xml:space="preserve"> d</w:t>
      </w:r>
      <w:r w:rsidR="00546CB4" w:rsidRPr="005C7C43">
        <w:t>'</w:t>
      </w:r>
      <w:r w:rsidR="003E0E01" w:rsidRPr="005C7C43">
        <w:t xml:space="preserve">un ensemble complet de bandes de fréquences </w:t>
      </w:r>
      <w:r w:rsidRPr="005C7C43">
        <w:t>pour</w:t>
      </w:r>
      <w:r w:rsidR="003E0E01" w:rsidRPr="005C7C43">
        <w:t xml:space="preserve"> répondre à tous les besoins liés à la croissance des réseaux de dernière génération et à l</w:t>
      </w:r>
      <w:r w:rsidR="00546CB4" w:rsidRPr="005C7C43">
        <w:t>'</w:t>
      </w:r>
      <w:r w:rsidR="003E0E01" w:rsidRPr="005C7C43">
        <w:t xml:space="preserve">évolution </w:t>
      </w:r>
      <w:r w:rsidR="003F5D9D" w:rsidRPr="005C7C43">
        <w:t>présumée</w:t>
      </w:r>
      <w:r w:rsidR="003E0E01" w:rsidRPr="005C7C43">
        <w:t xml:space="preserve"> à court et à long terme.</w:t>
      </w:r>
    </w:p>
    <w:p w14:paraId="46F5183A" w14:textId="4DE5F8B0" w:rsidR="00685D81" w:rsidRPr="005C7C43" w:rsidRDefault="003E0E01" w:rsidP="00A71682">
      <w:r w:rsidRPr="005C7C43">
        <w:lastRenderedPageBreak/>
        <w:t>Enfin, il est important de reconnaître que les services existants dans les bandes envisagées fournissent des systèmes importants pour la sécurité publique, l</w:t>
      </w:r>
      <w:r w:rsidR="00546CB4" w:rsidRPr="005C7C43">
        <w:t>'</w:t>
      </w:r>
      <w:r w:rsidRPr="005C7C43">
        <w:t xml:space="preserve">aviation </w:t>
      </w:r>
      <w:r w:rsidR="003F5D9D" w:rsidRPr="005C7C43">
        <w:t>ainsi que</w:t>
      </w:r>
      <w:r w:rsidRPr="005C7C43">
        <w:t xml:space="preserve"> d</w:t>
      </w:r>
      <w:r w:rsidR="00546CB4" w:rsidRPr="005C7C43">
        <w:t>'</w:t>
      </w:r>
      <w:r w:rsidRPr="005C7C43">
        <w:t xml:space="preserve">autres utilisations et que </w:t>
      </w:r>
      <w:r w:rsidR="003F5D9D" w:rsidRPr="005C7C43">
        <w:t>leur exploitation</w:t>
      </w:r>
      <w:r w:rsidRPr="005C7C43">
        <w:t xml:space="preserve"> devrait être protégée. Des études de partage et de compatibilité sont nécessaires pour examiner la possibilité d</w:t>
      </w:r>
      <w:r w:rsidR="00546CB4" w:rsidRPr="005C7C43">
        <w:t>'</w:t>
      </w:r>
      <w:r w:rsidRPr="005C7C43">
        <w:t xml:space="preserve">introduire les IMT dans ces bandes </w:t>
      </w:r>
      <w:r w:rsidR="003F5D9D" w:rsidRPr="005C7C43">
        <w:t xml:space="preserve">de fréquences </w:t>
      </w:r>
      <w:r w:rsidRPr="005C7C43">
        <w:t xml:space="preserve">tout en protégeant </w:t>
      </w:r>
      <w:r w:rsidR="003F5D9D" w:rsidRPr="005C7C43">
        <w:t>l'exploitation des services existants</w:t>
      </w:r>
      <w:r w:rsidRPr="005C7C43">
        <w:t xml:space="preserve"> dans la même bande </w:t>
      </w:r>
      <w:r w:rsidR="00917FE5" w:rsidRPr="005C7C43">
        <w:t xml:space="preserve">de fréquences </w:t>
      </w:r>
      <w:r w:rsidRPr="005C7C43">
        <w:t xml:space="preserve">ou dans </w:t>
      </w:r>
      <w:r w:rsidR="00917FE5" w:rsidRPr="005C7C43">
        <w:t>les</w:t>
      </w:r>
      <w:r w:rsidRPr="005C7C43">
        <w:t xml:space="preserve"> bande</w:t>
      </w:r>
      <w:r w:rsidR="00917FE5" w:rsidRPr="005C7C43">
        <w:t>s</w:t>
      </w:r>
      <w:r w:rsidRPr="005C7C43">
        <w:t xml:space="preserve"> </w:t>
      </w:r>
      <w:r w:rsidR="00917FE5" w:rsidRPr="005C7C43">
        <w:t xml:space="preserve">de fréquences </w:t>
      </w:r>
      <w:r w:rsidRPr="005C7C43">
        <w:t>adjacente</w:t>
      </w:r>
      <w:r w:rsidR="00917FE5" w:rsidRPr="005C7C43">
        <w:t>s</w:t>
      </w:r>
      <w:r w:rsidRPr="005C7C43">
        <w:t>, selon le cas.</w:t>
      </w:r>
    </w:p>
    <w:p w14:paraId="35CC14A3" w14:textId="1F20E4B0" w:rsidR="00685D81" w:rsidRPr="005C7C43" w:rsidRDefault="00685D81" w:rsidP="00A71682">
      <w:pPr>
        <w:pStyle w:val="Headingb"/>
      </w:pPr>
      <w:r w:rsidRPr="005C7C43">
        <w:t>Propositions</w:t>
      </w:r>
    </w:p>
    <w:p w14:paraId="5D129CC4" w14:textId="77777777" w:rsidR="0015203F" w:rsidRPr="005C7C43" w:rsidRDefault="0015203F" w:rsidP="00A71682">
      <w:pPr>
        <w:tabs>
          <w:tab w:val="clear" w:pos="1134"/>
          <w:tab w:val="clear" w:pos="1871"/>
          <w:tab w:val="clear" w:pos="2268"/>
        </w:tabs>
        <w:overflowPunct/>
        <w:autoSpaceDE/>
        <w:autoSpaceDN/>
        <w:adjustRightInd/>
        <w:spacing w:before="0"/>
        <w:textAlignment w:val="auto"/>
      </w:pPr>
      <w:r w:rsidRPr="005C7C43">
        <w:br w:type="page"/>
      </w:r>
    </w:p>
    <w:p w14:paraId="2E14E2CC" w14:textId="77777777" w:rsidR="00EE2235" w:rsidRPr="005C7C43" w:rsidRDefault="00832071" w:rsidP="00A71682">
      <w:pPr>
        <w:pStyle w:val="Proposal"/>
      </w:pPr>
      <w:r w:rsidRPr="005C7C43">
        <w:lastRenderedPageBreak/>
        <w:t>ADD</w:t>
      </w:r>
      <w:r w:rsidRPr="005C7C43">
        <w:tab/>
        <w:t>IAP/44A27A12/1</w:t>
      </w:r>
    </w:p>
    <w:p w14:paraId="724D6C8C" w14:textId="5483F0E5" w:rsidR="00EE2235" w:rsidRPr="005C7C43" w:rsidRDefault="00832071" w:rsidP="00A71682">
      <w:pPr>
        <w:pStyle w:val="ResNo"/>
      </w:pPr>
      <w:r w:rsidRPr="005C7C43">
        <w:t>Projet de nouvelle Résolution [IAP-</w:t>
      </w:r>
      <w:r w:rsidR="00917FE5" w:rsidRPr="005C7C43">
        <w:t>WRC</w:t>
      </w:r>
      <w:r w:rsidR="00685D81" w:rsidRPr="005C7C43">
        <w:t>-27</w:t>
      </w:r>
      <w:r w:rsidRPr="005C7C43">
        <w:t xml:space="preserve"> </w:t>
      </w:r>
      <w:r w:rsidR="001208AC" w:rsidRPr="005C7C43">
        <w:t>AGENDA</w:t>
      </w:r>
      <w:r w:rsidRPr="005C7C43">
        <w:t>]</w:t>
      </w:r>
      <w:r w:rsidR="00685D81" w:rsidRPr="005C7C43">
        <w:t xml:space="preserve"> (CMR</w:t>
      </w:r>
      <w:r w:rsidR="00685D81" w:rsidRPr="005C7C43">
        <w:noBreakHyphen/>
        <w:t>23)</w:t>
      </w:r>
    </w:p>
    <w:p w14:paraId="1F4A18CB" w14:textId="48FE4FFE" w:rsidR="00EE2235" w:rsidRPr="005C7C43" w:rsidRDefault="009D02BD" w:rsidP="00546CB4">
      <w:pPr>
        <w:pStyle w:val="Restitle"/>
      </w:pPr>
      <w:r w:rsidRPr="005C7C43">
        <w:t>Ordre du jour de la Conférence mondiale des radiocommunications de 2027</w:t>
      </w:r>
    </w:p>
    <w:p w14:paraId="78A5E6CE" w14:textId="32AA9AD0" w:rsidR="00EE2235" w:rsidRPr="005C7C43" w:rsidRDefault="009D02BD" w:rsidP="00A71682">
      <w:pPr>
        <w:pStyle w:val="Normalaftertitle"/>
      </w:pPr>
      <w:r w:rsidRPr="005C7C43">
        <w:t>La Conférence mondiale des radiocommunications (Dubaï, 2023),</w:t>
      </w:r>
    </w:p>
    <w:p w14:paraId="51359E92" w14:textId="0F9E26C8" w:rsidR="00320083" w:rsidRPr="005C7C43" w:rsidRDefault="00320083" w:rsidP="00A71682">
      <w:r w:rsidRPr="005C7C43">
        <w:t>...</w:t>
      </w:r>
    </w:p>
    <w:p w14:paraId="11B5B5B2" w14:textId="058DDE6B" w:rsidR="009D02BD" w:rsidRPr="005C7C43" w:rsidRDefault="009D02BD" w:rsidP="00A71682">
      <w:pPr>
        <w:pStyle w:val="Call"/>
      </w:pPr>
      <w:r w:rsidRPr="005C7C43">
        <w:t>décide</w:t>
      </w:r>
    </w:p>
    <w:p w14:paraId="7BCC69D0" w14:textId="00E7245F" w:rsidR="009D02BD" w:rsidRPr="005C7C43" w:rsidRDefault="00917FE5" w:rsidP="00A71682">
      <w:r w:rsidRPr="005C7C43">
        <w:t>de recommander au Conseil de convoquer en 2027 une conférence mondiale des radiocommunications d'une durée de quatre semaines, dont l'ordre du jour sera le suivant:</w:t>
      </w:r>
    </w:p>
    <w:p w14:paraId="7DE5D226" w14:textId="06D90246" w:rsidR="009D02BD" w:rsidRPr="005C7C43" w:rsidRDefault="009D02BD" w:rsidP="00A71682">
      <w:r w:rsidRPr="005C7C43">
        <w:t>1</w:t>
      </w:r>
      <w:r w:rsidRPr="005C7C43">
        <w:tab/>
      </w:r>
      <w:r w:rsidR="00F652D2" w:rsidRPr="005C7C43">
        <w:t>s</w:t>
      </w:r>
      <w:r w:rsidR="00847E39" w:rsidRPr="005C7C43">
        <w:t xml:space="preserve">ur la base des propositions soumises par les </w:t>
      </w:r>
      <w:r w:rsidR="0092698F" w:rsidRPr="005C7C43">
        <w:t>a</w:t>
      </w:r>
      <w:r w:rsidR="00847E39" w:rsidRPr="005C7C43">
        <w:t>dministrations, compte tenu des résultats de la CMR-23 et du Rapport de la Réunion de préparation à la Conférence et compte tenu des besoins des services existants et futurs exploités dans les bandes de fréquences:</w:t>
      </w:r>
    </w:p>
    <w:p w14:paraId="36AA0167" w14:textId="23015EB8" w:rsidR="009D02BD" w:rsidRPr="005C7C43" w:rsidRDefault="009D02BD" w:rsidP="00A71682">
      <w:r w:rsidRPr="005C7C43">
        <w:t>...</w:t>
      </w:r>
    </w:p>
    <w:p w14:paraId="15BC5EC3" w14:textId="27EBE018" w:rsidR="009D02BD" w:rsidRPr="005C7C43" w:rsidRDefault="009D02BD" w:rsidP="00A71682">
      <w:r w:rsidRPr="005C7C43">
        <w:t>1</w:t>
      </w:r>
      <w:r w:rsidR="0092698F" w:rsidRPr="005C7C43">
        <w:t>.</w:t>
      </w:r>
      <w:r w:rsidRPr="005C7C43">
        <w:t>[X]</w:t>
      </w:r>
      <w:r w:rsidRPr="005C7C43">
        <w:tab/>
      </w:r>
      <w:r w:rsidR="00847E39" w:rsidRPr="005C7C43">
        <w:t xml:space="preserve">envisager l'identification de bandes de fréquences pour le développement futur </w:t>
      </w:r>
      <w:r w:rsidR="00685152" w:rsidRPr="005C7C43">
        <w:t xml:space="preserve">de la composante de Terre </w:t>
      </w:r>
      <w:r w:rsidR="00847E39" w:rsidRPr="005C7C43">
        <w:t xml:space="preserve">des Télécommunications mobiles internationales (IMT), y compris des attributions additionnelles possibles à titre primaire au service mobile, conformément à la Résolution </w:t>
      </w:r>
      <w:r w:rsidR="00847E39" w:rsidRPr="005C7C43">
        <w:rPr>
          <w:b/>
          <w:bCs/>
        </w:rPr>
        <w:t>[</w:t>
      </w:r>
      <w:r w:rsidR="00073DE8">
        <w:rPr>
          <w:b/>
          <w:bCs/>
        </w:rPr>
        <w:t>IAP-</w:t>
      </w:r>
      <w:r w:rsidR="00847E39" w:rsidRPr="005C7C43">
        <w:rPr>
          <w:b/>
          <w:bCs/>
        </w:rPr>
        <w:t>AI10-IMT] (CMR-23)</w:t>
      </w:r>
      <w:r w:rsidR="00847E39" w:rsidRPr="005C7C43">
        <w:t>;</w:t>
      </w:r>
    </w:p>
    <w:p w14:paraId="09F5E5C8" w14:textId="5007D350" w:rsidR="009D02BD" w:rsidRPr="005C7C43" w:rsidRDefault="009D02BD" w:rsidP="00A71682">
      <w:r w:rsidRPr="005C7C43">
        <w:t>...</w:t>
      </w:r>
    </w:p>
    <w:p w14:paraId="0F945C7B" w14:textId="66394756" w:rsidR="00EE2235" w:rsidRPr="005C7C43" w:rsidRDefault="00832071" w:rsidP="00A71682">
      <w:pPr>
        <w:pStyle w:val="Reasons"/>
      </w:pPr>
      <w:r w:rsidRPr="005C7C43">
        <w:rPr>
          <w:b/>
        </w:rPr>
        <w:t>Motifs:</w:t>
      </w:r>
      <w:r w:rsidRPr="005C7C43">
        <w:tab/>
      </w:r>
      <w:r w:rsidR="00847E39" w:rsidRPr="005C7C43">
        <w:t>La demande d'accès au spectre</w:t>
      </w:r>
      <w:r w:rsidR="00271BF9" w:rsidRPr="005C7C43">
        <w:t xml:space="preserve"> pour les</w:t>
      </w:r>
      <w:r w:rsidR="00847E39" w:rsidRPr="005C7C43">
        <w:t xml:space="preserve"> IMT est forte et s'accélère. Des </w:t>
      </w:r>
      <w:r w:rsidR="00205B50" w:rsidRPr="005C7C43">
        <w:t xml:space="preserve">largeurs de </w:t>
      </w:r>
      <w:r w:rsidR="00847E39" w:rsidRPr="005C7C43">
        <w:t xml:space="preserve">bande contiguës autres que celles actuellement disponibles sont nécessaires pour faire face à la croissance du trafic dans les réseaux mobiles. </w:t>
      </w:r>
      <w:r w:rsidR="00685152" w:rsidRPr="005C7C43">
        <w:t xml:space="preserve">Des fréquences </w:t>
      </w:r>
      <w:r w:rsidR="009A54E7" w:rsidRPr="005C7C43">
        <w:t>dans les</w:t>
      </w:r>
      <w:r w:rsidR="00847E39" w:rsidRPr="005C7C43">
        <w:t xml:space="preserve"> bandes</w:t>
      </w:r>
      <w:r w:rsidR="00271BF9" w:rsidRPr="005C7C43">
        <w:t xml:space="preserve"> de fréquences</w:t>
      </w:r>
      <w:r w:rsidR="00847E39" w:rsidRPr="005C7C43">
        <w:t xml:space="preserve"> </w:t>
      </w:r>
      <w:r w:rsidR="009A54E7" w:rsidRPr="005C7C43">
        <w:t>visées</w:t>
      </w:r>
      <w:r w:rsidR="00847E39" w:rsidRPr="005C7C43">
        <w:t xml:space="preserve"> dans la </w:t>
      </w:r>
      <w:r w:rsidR="00271BF9" w:rsidRPr="005C7C43">
        <w:t>R</w:t>
      </w:r>
      <w:r w:rsidR="00847E39" w:rsidRPr="005C7C43">
        <w:t xml:space="preserve">ésolution </w:t>
      </w:r>
      <w:r w:rsidR="00847E39" w:rsidRPr="005C7C43">
        <w:rPr>
          <w:b/>
          <w:bCs/>
        </w:rPr>
        <w:t>[</w:t>
      </w:r>
      <w:r w:rsidR="00073DE8">
        <w:rPr>
          <w:b/>
          <w:bCs/>
        </w:rPr>
        <w:t>IAP-</w:t>
      </w:r>
      <w:r w:rsidR="00847E39" w:rsidRPr="005C7C43">
        <w:rPr>
          <w:b/>
          <w:bCs/>
        </w:rPr>
        <w:t>AI10-IMT] (CMR-23)</w:t>
      </w:r>
      <w:r w:rsidR="00847E39" w:rsidRPr="005C7C43">
        <w:t xml:space="preserve"> pourrai</w:t>
      </w:r>
      <w:r w:rsidR="00CD4FB1" w:rsidRPr="005C7C43">
        <w:t>en</w:t>
      </w:r>
      <w:r w:rsidR="00847E39" w:rsidRPr="005C7C43">
        <w:t xml:space="preserve">t </w:t>
      </w:r>
      <w:r w:rsidR="00685152" w:rsidRPr="005C7C43">
        <w:t>permettre de</w:t>
      </w:r>
      <w:r w:rsidR="00B608BC" w:rsidRPr="005C7C43">
        <w:t xml:space="preserve"> fournir plus simplement une couverture plus large et une grande capacité</w:t>
      </w:r>
      <w:r w:rsidR="00685152" w:rsidRPr="005C7C43">
        <w:t xml:space="preserve"> </w:t>
      </w:r>
      <w:r w:rsidR="00B608BC" w:rsidRPr="005C7C43">
        <w:t>aux</w:t>
      </w:r>
      <w:r w:rsidR="00847E39" w:rsidRPr="005C7C43">
        <w:t xml:space="preserve"> cas d'utilisation</w:t>
      </w:r>
      <w:r w:rsidR="00CD4FB1" w:rsidRPr="005C7C43">
        <w:t xml:space="preserve"> des</w:t>
      </w:r>
      <w:r w:rsidR="00847E39" w:rsidRPr="005C7C43">
        <w:t xml:space="preserve"> </w:t>
      </w:r>
      <w:r w:rsidR="00CD4FB1" w:rsidRPr="005C7C43">
        <w:t>IMT-2030</w:t>
      </w:r>
      <w:r w:rsidR="009A54E7" w:rsidRPr="005C7C43">
        <w:t xml:space="preserve">, qui sont </w:t>
      </w:r>
      <w:r w:rsidR="00B608BC" w:rsidRPr="005C7C43">
        <w:t>exigeants en termes de capacité</w:t>
      </w:r>
      <w:r w:rsidR="00847E39" w:rsidRPr="005C7C43">
        <w:t xml:space="preserve">, en </w:t>
      </w:r>
      <w:r w:rsidR="00CD4FB1" w:rsidRPr="005C7C43">
        <w:t>complément</w:t>
      </w:r>
      <w:r w:rsidR="00847E39" w:rsidRPr="005C7C43">
        <w:t xml:space="preserve"> </w:t>
      </w:r>
      <w:r w:rsidR="00CD4FB1" w:rsidRPr="005C7C43">
        <w:t>des fréquences</w:t>
      </w:r>
      <w:r w:rsidR="00847E39" w:rsidRPr="005C7C43">
        <w:t xml:space="preserve"> déjà identifié</w:t>
      </w:r>
      <w:r w:rsidR="00CD4FB1" w:rsidRPr="005C7C43">
        <w:t>es</w:t>
      </w:r>
      <w:r w:rsidR="00847E39" w:rsidRPr="005C7C43">
        <w:t xml:space="preserve"> pour les IMT, en plus de répondre à la demande de capacité prévue pour les IMT-2030.</w:t>
      </w:r>
    </w:p>
    <w:p w14:paraId="49ACA709" w14:textId="77777777" w:rsidR="00EE2235" w:rsidRPr="005C7C43" w:rsidRDefault="00832071" w:rsidP="00A71682">
      <w:pPr>
        <w:pStyle w:val="Proposal"/>
      </w:pPr>
      <w:r w:rsidRPr="005C7C43">
        <w:t>ADD</w:t>
      </w:r>
      <w:r w:rsidRPr="005C7C43">
        <w:tab/>
        <w:t>IAP/44A27A12/2</w:t>
      </w:r>
    </w:p>
    <w:p w14:paraId="7F90E1A0" w14:textId="4F5D72A7" w:rsidR="00EE2235" w:rsidRPr="005C7C43" w:rsidRDefault="00832071" w:rsidP="00A71682">
      <w:pPr>
        <w:pStyle w:val="ResNo"/>
      </w:pPr>
      <w:r w:rsidRPr="005C7C43">
        <w:t>Projet de nouvelle Résolution [IAP-</w:t>
      </w:r>
      <w:r w:rsidR="009D02BD" w:rsidRPr="005C7C43">
        <w:t>AI10-IMT] (CMR-23)</w:t>
      </w:r>
      <w:r w:rsidRPr="005C7C43">
        <w:t>]</w:t>
      </w:r>
    </w:p>
    <w:p w14:paraId="742CC3C3" w14:textId="1A82B1C7" w:rsidR="00EE2235" w:rsidRPr="005C7C43" w:rsidRDefault="00F244FE" w:rsidP="00A71682">
      <w:pPr>
        <w:pStyle w:val="Restitle"/>
      </w:pPr>
      <w:bookmarkStart w:id="6" w:name="_Toc35933812"/>
      <w:bookmarkStart w:id="7" w:name="_Toc39829228"/>
      <w:r w:rsidRPr="005C7C43">
        <w:t xml:space="preserve">Études </w:t>
      </w:r>
      <w:bookmarkEnd w:id="6"/>
      <w:bookmarkEnd w:id="7"/>
      <w:r w:rsidR="00A2269C" w:rsidRPr="005C7C43">
        <w:t>sur l'identification des bandes de fréquences 3 100-3 300 MHz, 7 125</w:t>
      </w:r>
      <w:r w:rsidR="0092698F" w:rsidRPr="005C7C43">
        <w:noBreakHyphen/>
      </w:r>
      <w:r w:rsidR="00A2269C" w:rsidRPr="005C7C43">
        <w:t>8 500 MHz et 14,75-15,35 GHz pour</w:t>
      </w:r>
      <w:r w:rsidR="00282D73" w:rsidRPr="005C7C43">
        <w:t xml:space="preserve"> </w:t>
      </w:r>
      <w:r w:rsidR="00A2269C" w:rsidRPr="005C7C43">
        <w:t>la</w:t>
      </w:r>
      <w:r w:rsidR="00282D73" w:rsidRPr="005C7C43">
        <w:br/>
      </w:r>
      <w:r w:rsidR="00A2269C" w:rsidRPr="005C7C43">
        <w:t>composante de Terre de IMT</w:t>
      </w:r>
    </w:p>
    <w:p w14:paraId="745F0DCB" w14:textId="021352AF" w:rsidR="00EE2235" w:rsidRPr="005C7C43" w:rsidRDefault="009D02BD" w:rsidP="00A71682">
      <w:pPr>
        <w:pStyle w:val="Normalaftertitle"/>
      </w:pPr>
      <w:r w:rsidRPr="005C7C43">
        <w:t>La Conférence mondiale des radiocommunications (Dubaï, 2023),</w:t>
      </w:r>
    </w:p>
    <w:p w14:paraId="5052FF32" w14:textId="008F8EEF" w:rsidR="009D02BD" w:rsidRPr="005C7C43" w:rsidRDefault="009D02BD" w:rsidP="00A71682">
      <w:pPr>
        <w:pStyle w:val="Call"/>
      </w:pPr>
      <w:r w:rsidRPr="005C7C43">
        <w:t>considérant</w:t>
      </w:r>
    </w:p>
    <w:p w14:paraId="0D8C5145" w14:textId="0B9CE471" w:rsidR="009D02BD" w:rsidRPr="005C7C43" w:rsidRDefault="00054D1F" w:rsidP="00A71682">
      <w:r w:rsidRPr="005C7C43">
        <w:rPr>
          <w:i/>
          <w:iCs/>
        </w:rPr>
        <w:t>a)</w:t>
      </w:r>
      <w:r w:rsidRPr="005C7C43">
        <w:tab/>
        <w:t>que les Télécommunications mobiles internationales (IMT) sont destinées à fournir des services de télécommunication à l'échelle mondiale, quels que soient le lieu et le type de réseau ou de terminal;</w:t>
      </w:r>
    </w:p>
    <w:p w14:paraId="052F245D" w14:textId="33886A9B" w:rsidR="00054D1F" w:rsidRPr="005C7C43" w:rsidRDefault="00054D1F" w:rsidP="00A71682">
      <w:r w:rsidRPr="005C7C43">
        <w:rPr>
          <w:i/>
          <w:iCs/>
        </w:rPr>
        <w:t>b)</w:t>
      </w:r>
      <w:r w:rsidRPr="005C7C43">
        <w:tab/>
        <w:t>que les systèmes IMT ont contribué au développement socio-économique mondial;</w:t>
      </w:r>
    </w:p>
    <w:p w14:paraId="5126E274" w14:textId="77777777" w:rsidR="00CC7DA1" w:rsidRPr="005C7C43" w:rsidRDefault="00054D1F" w:rsidP="0092698F">
      <w:pPr>
        <w:keepLines/>
        <w:rPr>
          <w:lang w:eastAsia="ko-KR"/>
        </w:rPr>
      </w:pPr>
      <w:r w:rsidRPr="005C7C43">
        <w:rPr>
          <w:i/>
          <w:iCs/>
        </w:rPr>
        <w:lastRenderedPageBreak/>
        <w:t>c)</w:t>
      </w:r>
      <w:r w:rsidRPr="005C7C43">
        <w:tab/>
        <w:t>que les systèmes IMT évoluent actuellement pour fournir divers scénarios d'utilisation, par exemple le large bande mobile évolué, les communications massives de type machine</w:t>
      </w:r>
      <w:r w:rsidRPr="005C7C43">
        <w:rPr>
          <w:lang w:eastAsia="ko-KR"/>
        </w:rPr>
        <w:t xml:space="preserve"> et les communications ultra-fiables présentant un faible temps de latence, ainsi que des applications telles que le large bande fixe;</w:t>
      </w:r>
    </w:p>
    <w:p w14:paraId="45F9CA94" w14:textId="09476747" w:rsidR="00923166" w:rsidRPr="005C7C43" w:rsidRDefault="004E6073" w:rsidP="00A71682">
      <w:pPr>
        <w:rPr>
          <w:lang w:eastAsia="ko-KR"/>
        </w:rPr>
      </w:pPr>
      <w:r w:rsidRPr="005C7C43">
        <w:rPr>
          <w:i/>
          <w:iCs/>
          <w:lang w:eastAsia="nl-NL"/>
        </w:rPr>
        <w:t>d</w:t>
      </w:r>
      <w:r w:rsidR="00CC7DA1" w:rsidRPr="005C7C43">
        <w:rPr>
          <w:i/>
          <w:iCs/>
          <w:lang w:eastAsia="nl-NL"/>
        </w:rPr>
        <w:t>)</w:t>
      </w:r>
      <w:r w:rsidRPr="005C7C43">
        <w:rPr>
          <w:lang w:eastAsia="nl-NL"/>
        </w:rPr>
        <w:tab/>
      </w:r>
      <w:r w:rsidR="00A2269C" w:rsidRPr="005C7C43">
        <w:rPr>
          <w:lang w:eastAsia="nl-NL"/>
        </w:rPr>
        <w:t>que les applications des IMT à temps de latence ultra-faible et utilisant des débits binaires très élevés auront besoin de blocs de fréquences contigus pour pouvoir être utilisées par les administrations souhaitant mettre en œuvre les IMT;</w:t>
      </w:r>
    </w:p>
    <w:p w14:paraId="4AD673C3" w14:textId="7A9D07FD" w:rsidR="00B34DD2" w:rsidRPr="005C7C43" w:rsidRDefault="00B34DD2" w:rsidP="00A71682">
      <w:pPr>
        <w:rPr>
          <w:lang w:eastAsia="ko-KR"/>
        </w:rPr>
      </w:pPr>
      <w:r w:rsidRPr="005C7C43">
        <w:rPr>
          <w:i/>
          <w:iCs/>
          <w:lang w:eastAsia="ko-KR"/>
        </w:rPr>
        <w:t>e)</w:t>
      </w:r>
      <w:r w:rsidRPr="005C7C43">
        <w:rPr>
          <w:lang w:eastAsia="ko-KR"/>
        </w:rPr>
        <w:tab/>
        <w:t>que, par rapport aux bandes de fréquences inférieures</w:t>
      </w:r>
      <w:r w:rsidR="00A2269C" w:rsidRPr="005C7C43">
        <w:rPr>
          <w:lang w:eastAsia="ko-KR"/>
        </w:rPr>
        <w:t>, moyennes inférieures</w:t>
      </w:r>
      <w:r w:rsidRPr="005C7C43">
        <w:rPr>
          <w:lang w:eastAsia="ko-KR"/>
        </w:rPr>
        <w:t xml:space="preserve"> et supérieures, les fréquences </w:t>
      </w:r>
      <w:r w:rsidR="00A2269C" w:rsidRPr="005C7C43">
        <w:rPr>
          <w:lang w:eastAsia="ko-KR"/>
        </w:rPr>
        <w:t>moyennes</w:t>
      </w:r>
      <w:r w:rsidRPr="005C7C43">
        <w:rPr>
          <w:lang w:eastAsia="ko-KR"/>
        </w:rPr>
        <w:t xml:space="preserve"> permettent de mieux concilier les besoins en matière de capacité et de couverture;</w:t>
      </w:r>
    </w:p>
    <w:p w14:paraId="530E1C02" w14:textId="77777777" w:rsidR="004E6073" w:rsidRPr="005C7C43" w:rsidRDefault="00B34DD2" w:rsidP="00A71682">
      <w:r w:rsidRPr="005C7C43">
        <w:rPr>
          <w:i/>
          <w:lang w:eastAsia="ko-KR"/>
        </w:rPr>
        <w:t>f)</w:t>
      </w:r>
      <w:r w:rsidRPr="005C7C43">
        <w:rPr>
          <w:lang w:eastAsia="ko-KR"/>
        </w:rPr>
        <w:tab/>
      </w:r>
      <w:r w:rsidR="00923166" w:rsidRPr="005C7C43">
        <w:t>qu'il est nécessaire de tirer parti en permanence des progrès technologiques, pour accroître l'efficacité d'utilisation du spectre et faciliter l'accès au spectre;</w:t>
      </w:r>
    </w:p>
    <w:p w14:paraId="19C0E90C" w14:textId="56F0B5DB" w:rsidR="00923166" w:rsidRPr="005C7C43" w:rsidRDefault="004E6073" w:rsidP="00A71682">
      <w:r w:rsidRPr="005C7C43">
        <w:rPr>
          <w:i/>
          <w:iCs/>
        </w:rPr>
        <w:t>g)</w:t>
      </w:r>
      <w:r w:rsidRPr="005C7C43">
        <w:tab/>
      </w:r>
      <w:r w:rsidR="007D6348" w:rsidRPr="005C7C43">
        <w:t xml:space="preserve">que le développement des IMT-2030 continuera d'améliorer les communications hertziennes, </w:t>
      </w:r>
      <w:r w:rsidR="00CE766B" w:rsidRPr="005C7C43">
        <w:t xml:space="preserve">en </w:t>
      </w:r>
      <w:r w:rsidR="00336445" w:rsidRPr="005C7C43">
        <w:t>offrant</w:t>
      </w:r>
      <w:r w:rsidR="00CE766B" w:rsidRPr="005C7C43">
        <w:t xml:space="preserve"> des avantages pour la qualité de vie de la population, </w:t>
      </w:r>
      <w:r w:rsidR="00336445" w:rsidRPr="005C7C43">
        <w:t>et élargira ses objectifs en matière de durabilité socioéconomique, environnementale et culturelle;</w:t>
      </w:r>
    </w:p>
    <w:p w14:paraId="07737336" w14:textId="4A94C918" w:rsidR="004E6073" w:rsidRPr="005C7C43" w:rsidRDefault="004E6073" w:rsidP="00A71682">
      <w:pPr>
        <w:rPr>
          <w:rPrChange w:id="8" w:author="Bendotti, Coraline" w:date="2023-10-24T09:48:00Z">
            <w:rPr>
              <w:i/>
              <w:color w:val="000000"/>
            </w:rPr>
          </w:rPrChange>
        </w:rPr>
      </w:pPr>
      <w:r w:rsidRPr="005C7C43">
        <w:rPr>
          <w:i/>
          <w:iCs/>
        </w:rPr>
        <w:t>h)</w:t>
      </w:r>
      <w:r w:rsidRPr="005C7C43">
        <w:tab/>
      </w:r>
      <w:r w:rsidR="00BE4AB6" w:rsidRPr="005C7C43">
        <w:t>qu'il est essentiel de mettre à disposition, en temps voulu, une quantité de spectre suffisante et de prévoir des dispositions réglementaires correspondantes pour favoriser le développement futur des IMT</w:t>
      </w:r>
      <w:r w:rsidR="00336445" w:rsidRPr="005C7C43">
        <w:t xml:space="preserve"> et favoriser la réalisation de leurs objectifs généraux</w:t>
      </w:r>
      <w:r w:rsidR="00BE4AB6" w:rsidRPr="005C7C43">
        <w:t>;</w:t>
      </w:r>
    </w:p>
    <w:p w14:paraId="603C99DA" w14:textId="0384542F" w:rsidR="00B34DD2" w:rsidRPr="005C7C43" w:rsidRDefault="004E6073" w:rsidP="00A71682">
      <w:pPr>
        <w:rPr>
          <w:lang w:eastAsia="ja-JP"/>
        </w:rPr>
      </w:pPr>
      <w:r w:rsidRPr="005C7C43">
        <w:rPr>
          <w:i/>
          <w:lang w:eastAsia="ja-JP"/>
        </w:rPr>
        <w:t>i</w:t>
      </w:r>
      <w:r w:rsidR="00B34DD2" w:rsidRPr="005C7C43">
        <w:rPr>
          <w:i/>
          <w:lang w:eastAsia="ja-JP"/>
        </w:rPr>
        <w:t>)</w:t>
      </w:r>
      <w:r w:rsidR="00B34DD2" w:rsidRPr="005C7C43">
        <w:tab/>
      </w:r>
      <w:r w:rsidR="00B34DD2" w:rsidRPr="005C7C43">
        <w:rPr>
          <w:iCs/>
          <w:lang w:eastAsia="ja-JP"/>
        </w:rPr>
        <w:t>qu'il est vivement souhaitable d'utiliser des bandes de fréquences harmonisées à l'échelle mondiale et des dispositions de fréquences harmonisées pour les IMT, afin d'assurer l'itinérance</w:t>
      </w:r>
      <w:r w:rsidR="00336445" w:rsidRPr="005C7C43">
        <w:rPr>
          <w:iCs/>
          <w:lang w:eastAsia="ja-JP"/>
        </w:rPr>
        <w:t xml:space="preserve"> mondiale</w:t>
      </w:r>
      <w:r w:rsidR="00B34DD2" w:rsidRPr="005C7C43">
        <w:rPr>
          <w:iCs/>
          <w:lang w:eastAsia="ja-JP"/>
        </w:rPr>
        <w:t xml:space="preserve"> et de tirer parti des économies d'échelle;</w:t>
      </w:r>
    </w:p>
    <w:p w14:paraId="0FE72C05" w14:textId="05A3E592" w:rsidR="00B34DD2" w:rsidRPr="005C7C43" w:rsidRDefault="004E6073" w:rsidP="00A71682">
      <w:pPr>
        <w:rPr>
          <w:color w:val="000000"/>
        </w:rPr>
      </w:pPr>
      <w:r w:rsidRPr="005C7C43">
        <w:rPr>
          <w:i/>
          <w:iCs/>
          <w:color w:val="000000"/>
        </w:rPr>
        <w:t>j</w:t>
      </w:r>
      <w:r w:rsidR="00B34DD2" w:rsidRPr="005C7C43">
        <w:rPr>
          <w:i/>
          <w:iCs/>
          <w:color w:val="000000"/>
        </w:rPr>
        <w:t>)</w:t>
      </w:r>
      <w:r w:rsidR="00B34DD2" w:rsidRPr="005C7C43">
        <w:rPr>
          <w:i/>
          <w:iCs/>
          <w:color w:val="000000"/>
        </w:rPr>
        <w:tab/>
      </w:r>
      <w:r w:rsidR="00B34DD2" w:rsidRPr="005C7C43">
        <w:rPr>
          <w:color w:val="000000"/>
        </w:rPr>
        <w:t>qu'il est nécessaire de protéger les services existants et de permettre la poursuite de leur développement lorsqu'on examine des bandes de fréquences en vue de procéder à des attributions additionnelles possibles à un service;</w:t>
      </w:r>
    </w:p>
    <w:p w14:paraId="32907DE8" w14:textId="5A8FBE97" w:rsidR="00B34DD2" w:rsidRPr="005C7C43" w:rsidRDefault="004E6073" w:rsidP="00A71682">
      <w:pPr>
        <w:rPr>
          <w:color w:val="000000"/>
        </w:rPr>
      </w:pPr>
      <w:r w:rsidRPr="005C7C43">
        <w:rPr>
          <w:i/>
          <w:iCs/>
          <w:color w:val="000000"/>
        </w:rPr>
        <w:t>k</w:t>
      </w:r>
      <w:r w:rsidR="00B34DD2" w:rsidRPr="005C7C43">
        <w:rPr>
          <w:i/>
          <w:iCs/>
          <w:color w:val="000000"/>
        </w:rPr>
        <w:t>)</w:t>
      </w:r>
      <w:r w:rsidR="00B34DD2" w:rsidRPr="005C7C43">
        <w:rPr>
          <w:color w:val="000000"/>
        </w:rPr>
        <w:tab/>
      </w:r>
      <w:r w:rsidR="00B34DD2" w:rsidRPr="005C7C43">
        <w:t xml:space="preserve">que </w:t>
      </w:r>
      <w:r w:rsidR="00336445" w:rsidRPr="005C7C43">
        <w:t xml:space="preserve">la mise en œuvre des IMT peut varier </w:t>
      </w:r>
      <w:r w:rsidR="00CF0C1B" w:rsidRPr="005C7C43">
        <w:t xml:space="preserve">selon les administrations </w:t>
      </w:r>
      <w:r w:rsidR="00656F02" w:rsidRPr="005C7C43">
        <w:t>dans les</w:t>
      </w:r>
      <w:r w:rsidR="00CF0C1B" w:rsidRPr="005C7C43">
        <w:t xml:space="preserve"> différentes bandes de fréquences identifiées pour les IMT</w:t>
      </w:r>
      <w:r w:rsidR="00B34DD2" w:rsidRPr="005C7C43">
        <w:t>,</w:t>
      </w:r>
    </w:p>
    <w:p w14:paraId="6C3AE8B2" w14:textId="77777777" w:rsidR="00B34DD2" w:rsidRPr="005C7C43" w:rsidRDefault="00B34DD2" w:rsidP="00A71682">
      <w:pPr>
        <w:pStyle w:val="Call"/>
      </w:pPr>
      <w:r w:rsidRPr="005C7C43">
        <w:t>notant</w:t>
      </w:r>
    </w:p>
    <w:p w14:paraId="2AFDF671" w14:textId="476AB766" w:rsidR="00B34DD2" w:rsidRPr="005C7C43" w:rsidRDefault="00B34DD2" w:rsidP="00A71682">
      <w:r w:rsidRPr="005C7C43">
        <w:rPr>
          <w:i/>
          <w:iCs/>
        </w:rPr>
        <w:t>a)</w:t>
      </w:r>
      <w:r w:rsidRPr="005C7C43">
        <w:rPr>
          <w:i/>
          <w:iCs/>
        </w:rPr>
        <w:tab/>
      </w:r>
      <w:r w:rsidRPr="005C7C43">
        <w:t>que la Résolution UIT-R</w:t>
      </w:r>
      <w:r w:rsidR="00282D73" w:rsidRPr="005C7C43">
        <w:t> </w:t>
      </w:r>
      <w:r w:rsidRPr="005C7C43">
        <w:t>65 traite des principes applicables au développement des IMT à l'horizon 2020 et au-delà;</w:t>
      </w:r>
    </w:p>
    <w:p w14:paraId="6BE4179A" w14:textId="7A26873D" w:rsidR="00B34DD2" w:rsidRPr="005C7C43" w:rsidRDefault="00B34DD2" w:rsidP="00A71682">
      <w:r w:rsidRPr="005C7C43">
        <w:rPr>
          <w:i/>
          <w:iCs/>
        </w:rPr>
        <w:t>b)</w:t>
      </w:r>
      <w:r w:rsidRPr="005C7C43">
        <w:tab/>
        <w:t>que les IMT englobent les IMT-2000, les IMT évoluées et les IMT-2020, comme indiqué dans la Résolution UIT-R 56</w:t>
      </w:r>
      <w:r w:rsidR="00CF0C1B" w:rsidRPr="005C7C43">
        <w:t>-2 et que l'UIT étudie activement le développement et la normalisation des IMT-2030</w:t>
      </w:r>
      <w:r w:rsidRPr="005C7C43">
        <w:t>;</w:t>
      </w:r>
    </w:p>
    <w:p w14:paraId="286A64E2" w14:textId="052499B4" w:rsidR="00B34DD2" w:rsidRPr="005C7C43" w:rsidRDefault="00B34DD2" w:rsidP="00A71682">
      <w:pPr>
        <w:rPr>
          <w:iCs/>
        </w:rPr>
      </w:pPr>
      <w:r w:rsidRPr="005C7C43">
        <w:rPr>
          <w:i/>
        </w:rPr>
        <w:t>c)</w:t>
      </w:r>
      <w:r w:rsidRPr="005C7C43">
        <w:rPr>
          <w:iCs/>
        </w:rPr>
        <w:tab/>
        <w:t>que la Question UIT-R</w:t>
      </w:r>
      <w:r w:rsidR="00282D73" w:rsidRPr="005C7C43">
        <w:rPr>
          <w:iCs/>
        </w:rPr>
        <w:t> </w:t>
      </w:r>
      <w:r w:rsidRPr="005C7C43">
        <w:rPr>
          <w:iCs/>
        </w:rPr>
        <w:t>77-8/5 traite des besoins des pays en développement en ce qui concerne l'élaboration et la mise en œuvre des IMT;</w:t>
      </w:r>
    </w:p>
    <w:p w14:paraId="14AD0859" w14:textId="1496B361" w:rsidR="00B34DD2" w:rsidRPr="005C7C43" w:rsidRDefault="00B34DD2" w:rsidP="00A71682">
      <w:pPr>
        <w:rPr>
          <w:iCs/>
        </w:rPr>
      </w:pPr>
      <w:r w:rsidRPr="005C7C43">
        <w:rPr>
          <w:i/>
          <w:iCs/>
        </w:rPr>
        <w:t>d)</w:t>
      </w:r>
      <w:r w:rsidRPr="005C7C43">
        <w:rPr>
          <w:iCs/>
        </w:rPr>
        <w:tab/>
        <w:t>que la Question UIT-R</w:t>
      </w:r>
      <w:r w:rsidR="00282D73" w:rsidRPr="005C7C43">
        <w:rPr>
          <w:iCs/>
        </w:rPr>
        <w:t> </w:t>
      </w:r>
      <w:r w:rsidRPr="005C7C43">
        <w:rPr>
          <w:iCs/>
        </w:rPr>
        <w:t>229/5 traite de la poursuite du développement des IMT;</w:t>
      </w:r>
    </w:p>
    <w:p w14:paraId="4D25F46E" w14:textId="7B0C5704" w:rsidR="00B34DD2" w:rsidRPr="005C7C43" w:rsidRDefault="00B34DD2" w:rsidP="00A71682">
      <w:pPr>
        <w:rPr>
          <w:iCs/>
        </w:rPr>
      </w:pPr>
      <w:r w:rsidRPr="005C7C43">
        <w:rPr>
          <w:i/>
          <w:iCs/>
        </w:rPr>
        <w:t>e)</w:t>
      </w:r>
      <w:r w:rsidRPr="005C7C43">
        <w:rPr>
          <w:iCs/>
        </w:rPr>
        <w:tab/>
        <w:t>que la Question UIT-R</w:t>
      </w:r>
      <w:r w:rsidR="00282D73" w:rsidRPr="005C7C43">
        <w:rPr>
          <w:iCs/>
        </w:rPr>
        <w:t> </w:t>
      </w:r>
      <w:r w:rsidRPr="005C7C43">
        <w:rPr>
          <w:iCs/>
        </w:rPr>
        <w:t>262/5 porte sur l'étude de l'utilisation des systèmes IMT pour des applications particulières;</w:t>
      </w:r>
    </w:p>
    <w:p w14:paraId="441EFF58" w14:textId="297E94E2" w:rsidR="00B34DD2" w:rsidRPr="005C7C43" w:rsidRDefault="00B34DD2" w:rsidP="00A71682">
      <w:r w:rsidRPr="005C7C43">
        <w:rPr>
          <w:rFonts w:cs="Arial"/>
          <w:i/>
          <w:iCs/>
          <w:color w:val="000000" w:themeColor="text1"/>
          <w:szCs w:val="24"/>
        </w:rPr>
        <w:t>f)</w:t>
      </w:r>
      <w:r w:rsidRPr="005C7C43">
        <w:rPr>
          <w:rFonts w:cs="Arial"/>
          <w:i/>
          <w:iCs/>
          <w:color w:val="000000" w:themeColor="text1"/>
          <w:szCs w:val="24"/>
        </w:rPr>
        <w:tab/>
      </w:r>
      <w:r w:rsidR="00E43D38" w:rsidRPr="005C7C43">
        <w:t>que la Recommandation UIT-R</w:t>
      </w:r>
      <w:r w:rsidR="00282D73" w:rsidRPr="005C7C43">
        <w:t> </w:t>
      </w:r>
      <w:r w:rsidR="00E43D38" w:rsidRPr="005C7C43">
        <w:t xml:space="preserve">M.2083 </w:t>
      </w:r>
      <w:r w:rsidR="00656F02" w:rsidRPr="005C7C43">
        <w:t>porte sur</w:t>
      </w:r>
      <w:r w:rsidR="00E43D38" w:rsidRPr="005C7C43">
        <w:t xml:space="preserve"> le cadre et les objectifs généraux du développement futur des IMT à l'horizon 2020 et au-delà;</w:t>
      </w:r>
    </w:p>
    <w:p w14:paraId="2EB8B798" w14:textId="05131362" w:rsidR="00E43D38" w:rsidRPr="005C7C43" w:rsidRDefault="00E43D38" w:rsidP="00A71682">
      <w:r w:rsidRPr="005C7C43">
        <w:rPr>
          <w:i/>
          <w:iCs/>
        </w:rPr>
        <w:t>g)</w:t>
      </w:r>
      <w:r w:rsidRPr="005C7C43">
        <w:tab/>
        <w:t>que la Recommandation UIT-R M</w:t>
      </w:r>
      <w:r w:rsidR="00CF0C1B" w:rsidRPr="005C7C43">
        <w:t xml:space="preserve">.[IMT.FRAMEWORK FOR 2030 AND BEYOND] </w:t>
      </w:r>
      <w:r w:rsidR="00656F02" w:rsidRPr="005C7C43">
        <w:t>porte sur</w:t>
      </w:r>
      <w:r w:rsidRPr="005C7C43">
        <w:t xml:space="preserve"> le cadre et les objectifs généraux du développement futur des IMT à l'horizon 2020 et au</w:t>
      </w:r>
      <w:r w:rsidR="0092698F" w:rsidRPr="005C7C43">
        <w:noBreakHyphen/>
      </w:r>
      <w:r w:rsidRPr="005C7C43">
        <w:t>delà;</w:t>
      </w:r>
    </w:p>
    <w:p w14:paraId="438606CA" w14:textId="6B764629" w:rsidR="00E43D38" w:rsidRPr="005C7C43" w:rsidRDefault="004E6073" w:rsidP="00A71682">
      <w:r w:rsidRPr="005C7C43">
        <w:rPr>
          <w:i/>
          <w:iCs/>
        </w:rPr>
        <w:lastRenderedPageBreak/>
        <w:t>h)</w:t>
      </w:r>
      <w:r w:rsidRPr="005C7C43">
        <w:tab/>
      </w:r>
      <w:r w:rsidR="00BE4AB6" w:rsidRPr="005C7C43">
        <w:rPr>
          <w:color w:val="000000"/>
        </w:rPr>
        <w:t xml:space="preserve">que le </w:t>
      </w:r>
      <w:r w:rsidR="00CF0C1B" w:rsidRPr="005C7C43">
        <w:rPr>
          <w:color w:val="000000"/>
        </w:rPr>
        <w:t>R</w:t>
      </w:r>
      <w:r w:rsidR="00BE4AB6" w:rsidRPr="005C7C43">
        <w:t>apport</w:t>
      </w:r>
      <w:r w:rsidR="00BE4AB6" w:rsidRPr="005C7C43">
        <w:rPr>
          <w:color w:val="000000"/>
        </w:rPr>
        <w:t xml:space="preserve"> UIT-R</w:t>
      </w:r>
      <w:r w:rsidR="00282D73" w:rsidRPr="005C7C43">
        <w:rPr>
          <w:color w:val="000000"/>
        </w:rPr>
        <w:t> </w:t>
      </w:r>
      <w:r w:rsidR="00BE4AB6" w:rsidRPr="005C7C43">
        <w:rPr>
          <w:color w:val="000000"/>
        </w:rPr>
        <w:t>M.2516 traite de l'évolution technologique future des systèmes</w:t>
      </w:r>
      <w:r w:rsidR="00CF0C1B" w:rsidRPr="005C7C43">
        <w:rPr>
          <w:color w:val="000000"/>
        </w:rPr>
        <w:t xml:space="preserve"> de télécommunications mobiles internationales</w:t>
      </w:r>
      <w:r w:rsidR="00BE4AB6" w:rsidRPr="005C7C43">
        <w:rPr>
          <w:color w:val="000000"/>
        </w:rPr>
        <w:t xml:space="preserve"> de Terre</w:t>
      </w:r>
      <w:r w:rsidR="00CF0C1B" w:rsidRPr="005C7C43">
        <w:rPr>
          <w:color w:val="000000"/>
        </w:rPr>
        <w:t xml:space="preserve"> à l'horizon</w:t>
      </w:r>
      <w:r w:rsidR="00282D73" w:rsidRPr="005C7C43">
        <w:rPr>
          <w:color w:val="000000"/>
        </w:rPr>
        <w:t> </w:t>
      </w:r>
      <w:r w:rsidR="00CF0C1B" w:rsidRPr="005C7C43">
        <w:rPr>
          <w:color w:val="000000"/>
        </w:rPr>
        <w:t>2030 et au-delà</w:t>
      </w:r>
      <w:r w:rsidR="00BE4AB6" w:rsidRPr="005C7C43">
        <w:rPr>
          <w:color w:val="000000"/>
        </w:rPr>
        <w:t>,</w:t>
      </w:r>
    </w:p>
    <w:p w14:paraId="7436B592" w14:textId="77777777" w:rsidR="00B34DD2" w:rsidRPr="005C7C43" w:rsidRDefault="00B34DD2" w:rsidP="00A71682">
      <w:pPr>
        <w:pStyle w:val="Call"/>
        <w:rPr>
          <w:highlight w:val="cyan"/>
        </w:rPr>
      </w:pPr>
      <w:r w:rsidRPr="005C7C43">
        <w:t>reconnaissant</w:t>
      </w:r>
    </w:p>
    <w:p w14:paraId="71E0A3BD" w14:textId="4CDF943A" w:rsidR="00B34DD2" w:rsidRPr="005C7C43" w:rsidRDefault="00B34DD2" w:rsidP="00A71682">
      <w:pPr>
        <w:rPr>
          <w:highlight w:val="cyan"/>
        </w:rPr>
      </w:pPr>
      <w:r w:rsidRPr="005C7C43">
        <w:rPr>
          <w:i/>
        </w:rPr>
        <w:t>a)</w:t>
      </w:r>
      <w:r w:rsidRPr="005C7C43">
        <w:tab/>
        <w:t>qu'il existe un délai entre l'attribution de bandes de fréquences par les conférences mondiales des radiocommunications et le déploiement de systèmes dans ces bandes de fréquences et qu'il est donc important de mettre rapidement à disposition des blocs de fréquences larges et contigus pour permettre le développement des IMT</w:t>
      </w:r>
      <w:r w:rsidR="00CF0C1B" w:rsidRPr="005C7C43">
        <w:t xml:space="preserve"> à l'échelle mondiale ou régionale</w:t>
      </w:r>
      <w:r w:rsidRPr="005C7C43">
        <w:t>;</w:t>
      </w:r>
    </w:p>
    <w:p w14:paraId="51F673AF" w14:textId="77777777" w:rsidR="00B34DD2" w:rsidRPr="005C7C43" w:rsidRDefault="00B34DD2" w:rsidP="00A71682">
      <w:pPr>
        <w:rPr>
          <w:highlight w:val="cyan"/>
        </w:rPr>
      </w:pPr>
      <w:r w:rsidRPr="005C7C43">
        <w:rPr>
          <w:i/>
        </w:rPr>
        <w:t>b)</w:t>
      </w:r>
      <w:r w:rsidRPr="005C7C43">
        <w:rPr>
          <w:i/>
        </w:rPr>
        <w:tab/>
      </w:r>
      <w:r w:rsidRPr="005C7C43">
        <w:rPr>
          <w:iCs/>
        </w:rPr>
        <w:t>que pour assurer le développement futur des IMT, il est important de faire en sorte que des bandes de fréquences additionnelles soient identifiées en temps voulu;</w:t>
      </w:r>
    </w:p>
    <w:p w14:paraId="053CB6B0" w14:textId="3836DC0A" w:rsidR="00513D2B" w:rsidRPr="005C7C43" w:rsidRDefault="00B34DD2" w:rsidP="00A71682">
      <w:r w:rsidRPr="005C7C43">
        <w:rPr>
          <w:i/>
        </w:rPr>
        <w:t>c)</w:t>
      </w:r>
      <w:r w:rsidRPr="005C7C43">
        <w:tab/>
        <w:t>que toute identification de bandes de fréquences pour les IMT devrait tenir compte de l'utilisation des bandes de fréquences par d'autres services ainsi que de l'évolution des besoins de ce</w:t>
      </w:r>
      <w:r w:rsidR="00CF0C1B" w:rsidRPr="005C7C43">
        <w:t>s</w:t>
      </w:r>
      <w:r w:rsidRPr="005C7C43">
        <w:t xml:space="preserve"> service</w:t>
      </w:r>
      <w:r w:rsidR="00CF0C1B" w:rsidRPr="005C7C43">
        <w:t>s;</w:t>
      </w:r>
    </w:p>
    <w:p w14:paraId="2A18BC16" w14:textId="3FAD43C9" w:rsidR="00513D2B" w:rsidRPr="005C7C43" w:rsidRDefault="004E6073" w:rsidP="00A71682">
      <w:r w:rsidRPr="005C7C43">
        <w:rPr>
          <w:i/>
          <w:iCs/>
        </w:rPr>
        <w:t>d)</w:t>
      </w:r>
      <w:r w:rsidRPr="005C7C43">
        <w:tab/>
      </w:r>
      <w:r w:rsidR="007D1793" w:rsidRPr="005C7C43">
        <w:t>que l'évolution des technologies relatives à l'utilisation du spectre, notamment les nouvelles techniques de partage du spectre, devrait faciliter le développe</w:t>
      </w:r>
      <w:r w:rsidR="00A71682" w:rsidRPr="005C7C43">
        <w:t>ment</w:t>
      </w:r>
      <w:r w:rsidR="007D1793" w:rsidRPr="005C7C43">
        <w:t xml:space="preserve"> des IMT;</w:t>
      </w:r>
    </w:p>
    <w:p w14:paraId="75760D2A" w14:textId="22448CE8" w:rsidR="004E6073" w:rsidRPr="005C7C43" w:rsidRDefault="004E6073" w:rsidP="00A71682">
      <w:r w:rsidRPr="005C7C43">
        <w:rPr>
          <w:i/>
          <w:iCs/>
        </w:rPr>
        <w:t>e)</w:t>
      </w:r>
      <w:r w:rsidRPr="005C7C43">
        <w:tab/>
      </w:r>
      <w:r w:rsidR="007D1793" w:rsidRPr="005C7C43">
        <w:t>qu'aucune contrainte réglementaire ou technique supplémentaire ne devrait être imposée aux services auxquels les bandes de fréquences sont attribuées à titre primaire;</w:t>
      </w:r>
    </w:p>
    <w:p w14:paraId="433D4F1D" w14:textId="4996E0BA" w:rsidR="004E6073" w:rsidRPr="005C7C43" w:rsidRDefault="004E6073" w:rsidP="00A71682">
      <w:r w:rsidRPr="005C7C43">
        <w:rPr>
          <w:i/>
          <w:iCs/>
        </w:rPr>
        <w:t>f)</w:t>
      </w:r>
      <w:r w:rsidRPr="005C7C43">
        <w:tab/>
      </w:r>
      <w:r w:rsidR="007D1793" w:rsidRPr="005C7C43">
        <w:t xml:space="preserve">que, pour disposer des éléments qui pourraient s'appliquer </w:t>
      </w:r>
      <w:r w:rsidR="00EA0C11" w:rsidRPr="005C7C43">
        <w:t>aux</w:t>
      </w:r>
      <w:r w:rsidR="007D1793" w:rsidRPr="005C7C43">
        <w:t xml:space="preserve"> réglementation</w:t>
      </w:r>
      <w:r w:rsidR="00EA0C11" w:rsidRPr="005C7C43">
        <w:t>s</w:t>
      </w:r>
      <w:r w:rsidR="007D1793" w:rsidRPr="005C7C43">
        <w:t xml:space="preserve"> </w:t>
      </w:r>
      <w:r w:rsidR="00EA0C11" w:rsidRPr="005C7C43">
        <w:t>spécifiques</w:t>
      </w:r>
      <w:r w:rsidR="007D1793" w:rsidRPr="005C7C43">
        <w:t xml:space="preserve"> </w:t>
      </w:r>
      <w:r w:rsidR="00EA0C11" w:rsidRPr="005C7C43">
        <w:t xml:space="preserve">des </w:t>
      </w:r>
      <w:r w:rsidR="007D1793" w:rsidRPr="005C7C43">
        <w:t>région</w:t>
      </w:r>
      <w:r w:rsidR="00EA0C11" w:rsidRPr="005C7C43">
        <w:t>s</w:t>
      </w:r>
      <w:r w:rsidR="007D1793" w:rsidRPr="005C7C43">
        <w:t>,</w:t>
      </w:r>
      <w:r w:rsidR="00EA0C11" w:rsidRPr="005C7C43">
        <w:t xml:space="preserve"> les problèmes </w:t>
      </w:r>
      <w:r w:rsidR="00656F02" w:rsidRPr="005C7C43">
        <w:t>rencontrés par</w:t>
      </w:r>
      <w:r w:rsidR="00EA0C11" w:rsidRPr="005C7C43">
        <w:t xml:space="preserve"> chacune d'entre elles doivent être pris en compte lors de l'étude des différentes bandes de fréquences;</w:t>
      </w:r>
    </w:p>
    <w:p w14:paraId="15A0C823" w14:textId="3C3DA71F" w:rsidR="004E6073" w:rsidRPr="005C7C43" w:rsidRDefault="004E6073" w:rsidP="00A71682">
      <w:r w:rsidRPr="005C7C43">
        <w:rPr>
          <w:i/>
          <w:iCs/>
        </w:rPr>
        <w:t>g)</w:t>
      </w:r>
      <w:r w:rsidRPr="005C7C43">
        <w:tab/>
      </w:r>
      <w:r w:rsidR="00EA0C11" w:rsidRPr="005C7C43">
        <w:t xml:space="preserve">que les administrations peuvent avoir des besoins de spectre pour les IMT différents en fonction </w:t>
      </w:r>
      <w:r w:rsidR="00656F02" w:rsidRPr="005C7C43">
        <w:t>des conditions</w:t>
      </w:r>
      <w:r w:rsidR="00EA0C11" w:rsidRPr="005C7C43">
        <w:t xml:space="preserve"> </w:t>
      </w:r>
      <w:r w:rsidR="00A71682" w:rsidRPr="005C7C43">
        <w:t xml:space="preserve">des pays </w:t>
      </w:r>
      <w:r w:rsidR="00EA0C11" w:rsidRPr="005C7C43">
        <w:t xml:space="preserve">et des circonstances </w:t>
      </w:r>
      <w:r w:rsidR="00A71682" w:rsidRPr="005C7C43">
        <w:t>particulières</w:t>
      </w:r>
      <w:r w:rsidR="00EA0C11" w:rsidRPr="005C7C43">
        <w:t>,</w:t>
      </w:r>
    </w:p>
    <w:p w14:paraId="5FAA64A0" w14:textId="77777777" w:rsidR="00B34DD2" w:rsidRPr="005C7C43" w:rsidRDefault="00B34DD2" w:rsidP="00A71682">
      <w:pPr>
        <w:pStyle w:val="Call"/>
      </w:pPr>
      <w:r w:rsidRPr="005C7C43">
        <w:t>décide d'inviter le Secteur des radiocommunications de l'UIT</w:t>
      </w:r>
    </w:p>
    <w:p w14:paraId="26E342F1" w14:textId="6EDA3A85" w:rsidR="00B34DD2" w:rsidRPr="005C7C43" w:rsidRDefault="00B34DD2" w:rsidP="00A71682">
      <w:r w:rsidRPr="005C7C43">
        <w:t>1</w:t>
      </w:r>
      <w:r w:rsidRPr="005C7C43">
        <w:tab/>
        <w:t>à mener et à achever, à temps pour la CMR-27, les études appropriées sur les questions d'ordre technique, opérationnel et réglementaire relatives à la possibilité d'utiliser la composante de Terre des IMT dans l</w:t>
      </w:r>
      <w:r w:rsidR="00483B2F" w:rsidRPr="005C7C43">
        <w:t>es</w:t>
      </w:r>
      <w:r w:rsidRPr="005C7C43">
        <w:t xml:space="preserve"> bande</w:t>
      </w:r>
      <w:r w:rsidR="00483B2F" w:rsidRPr="005C7C43">
        <w:t>s</w:t>
      </w:r>
      <w:r w:rsidRPr="005C7C43">
        <w:t xml:space="preserve"> de fréquences indiquée</w:t>
      </w:r>
      <w:r w:rsidR="00483B2F" w:rsidRPr="005C7C43">
        <w:t>s</w:t>
      </w:r>
      <w:r w:rsidRPr="005C7C43">
        <w:t xml:space="preserve"> au point 2 du </w:t>
      </w:r>
      <w:r w:rsidRPr="005C7C43">
        <w:rPr>
          <w:i/>
          <w:iCs/>
        </w:rPr>
        <w:t>décide d'inviter le Secteur des radiocommunications de l'UIT</w:t>
      </w:r>
      <w:r w:rsidRPr="005C7C43">
        <w:rPr>
          <w:szCs w:val="24"/>
        </w:rPr>
        <w:t xml:space="preserve">, </w:t>
      </w:r>
      <w:r w:rsidRPr="005C7C43">
        <w:t>en tenant compte:</w:t>
      </w:r>
    </w:p>
    <w:p w14:paraId="778BD1D8" w14:textId="4503FC3F" w:rsidR="00B34DD2" w:rsidRPr="005C7C43" w:rsidRDefault="00B34DD2" w:rsidP="00A71682">
      <w:pPr>
        <w:pStyle w:val="enumlev1"/>
        <w:rPr>
          <w:lang w:eastAsia="ko-KR"/>
        </w:rPr>
      </w:pPr>
      <w:r w:rsidRPr="005C7C43">
        <w:rPr>
          <w:lang w:eastAsia="ko-KR"/>
        </w:rPr>
        <w:t>–</w:t>
      </w:r>
      <w:r w:rsidRPr="005C7C43">
        <w:rPr>
          <w:lang w:eastAsia="ko-KR"/>
        </w:rPr>
        <w:tab/>
        <w:t>de l'évolution des besoins pour répondre aux nouvelles exigences relatives aux IMT;</w:t>
      </w:r>
    </w:p>
    <w:p w14:paraId="49FE3172" w14:textId="44F49913" w:rsidR="00B34DD2" w:rsidRPr="005C7C43" w:rsidRDefault="00B34DD2" w:rsidP="00A71682">
      <w:pPr>
        <w:pStyle w:val="enumlev1"/>
        <w:rPr>
          <w:lang w:eastAsia="ko-KR"/>
        </w:rPr>
      </w:pPr>
      <w:r w:rsidRPr="005C7C43">
        <w:rPr>
          <w:lang w:eastAsia="ko-KR"/>
        </w:rPr>
        <w:t>–</w:t>
      </w:r>
      <w:r w:rsidRPr="005C7C43">
        <w:rPr>
          <w:lang w:eastAsia="ko-KR"/>
        </w:rPr>
        <w:tab/>
        <w:t xml:space="preserve">des caractéristiques techniques et opérationnelles des systèmes IMT de Terre qui fonctionneraient dans </w:t>
      </w:r>
      <w:r w:rsidR="00483B2F" w:rsidRPr="005C7C43">
        <w:rPr>
          <w:lang w:eastAsia="ko-KR"/>
        </w:rPr>
        <w:t>cette</w:t>
      </w:r>
      <w:r w:rsidRPr="005C7C43">
        <w:rPr>
          <w:lang w:eastAsia="ko-KR"/>
        </w:rPr>
        <w:t xml:space="preserve"> bande de fréquences spécifique, y compris de l'évolution des</w:t>
      </w:r>
      <w:r w:rsidR="0092698F" w:rsidRPr="005C7C43">
        <w:rPr>
          <w:lang w:eastAsia="ko-KR"/>
        </w:rPr>
        <w:t> </w:t>
      </w:r>
      <w:r w:rsidRPr="005C7C43">
        <w:rPr>
          <w:lang w:eastAsia="ko-KR"/>
        </w:rPr>
        <w:t xml:space="preserve">IMT grâce aux progrès technologiques et </w:t>
      </w:r>
      <w:r w:rsidR="00483B2F" w:rsidRPr="005C7C43">
        <w:rPr>
          <w:lang w:eastAsia="ko-KR"/>
        </w:rPr>
        <w:t>à l'utilisation efficace du spectre</w:t>
      </w:r>
      <w:r w:rsidRPr="005C7C43">
        <w:rPr>
          <w:lang w:eastAsia="ko-KR"/>
        </w:rPr>
        <w:t>;</w:t>
      </w:r>
    </w:p>
    <w:p w14:paraId="37BBC47F" w14:textId="77777777" w:rsidR="00B34DD2" w:rsidRPr="005C7C43" w:rsidRDefault="00B34DD2" w:rsidP="00A71682">
      <w:pPr>
        <w:pStyle w:val="enumlev1"/>
      </w:pPr>
      <w:r w:rsidRPr="005C7C43">
        <w:t>–</w:t>
      </w:r>
      <w:r w:rsidRPr="005C7C43">
        <w:tab/>
        <w:t>des scénarios de déploiement envisagés pour les systèmes IMT et des exigences liées à l'équilibre entre la couverture et la capacité;</w:t>
      </w:r>
    </w:p>
    <w:p w14:paraId="396E0D0F" w14:textId="5C4A8131" w:rsidR="00B34DD2" w:rsidRPr="005C7C43" w:rsidRDefault="00B34DD2" w:rsidP="00A71682">
      <w:pPr>
        <w:pStyle w:val="enumlev1"/>
      </w:pPr>
      <w:r w:rsidRPr="005C7C43">
        <w:t>–</w:t>
      </w:r>
      <w:r w:rsidRPr="005C7C43">
        <w:tab/>
        <w:t>des besoins des pays en développement;</w:t>
      </w:r>
      <w:r w:rsidR="00483B2F" w:rsidRPr="005C7C43">
        <w:t xml:space="preserve"> et</w:t>
      </w:r>
    </w:p>
    <w:p w14:paraId="4DF7D8E2" w14:textId="77777777" w:rsidR="00B34DD2" w:rsidRPr="005C7C43" w:rsidRDefault="00B34DD2" w:rsidP="00A71682">
      <w:pPr>
        <w:pStyle w:val="enumlev1"/>
      </w:pPr>
      <w:r w:rsidRPr="005C7C43">
        <w:rPr>
          <w:lang w:eastAsia="ko-KR"/>
        </w:rPr>
        <w:t>–</w:t>
      </w:r>
      <w:r w:rsidRPr="005C7C43">
        <w:rPr>
          <w:lang w:eastAsia="ko-KR"/>
        </w:rPr>
        <w:tab/>
        <w:t>des délais dans lesquels les bandes de fréquences seraient nécessaires;</w:t>
      </w:r>
    </w:p>
    <w:p w14:paraId="3848272D" w14:textId="0AC5FF02" w:rsidR="00B34DD2" w:rsidRPr="005C7C43" w:rsidRDefault="00B34DD2" w:rsidP="00A71682">
      <w:pPr>
        <w:rPr>
          <w:iCs/>
        </w:rPr>
      </w:pPr>
      <w:r w:rsidRPr="005C7C43">
        <w:t>2</w:t>
      </w:r>
      <w:r w:rsidRPr="005C7C43">
        <w:tab/>
        <w:t>à mener et à achever, à temps pour la CMR-27, des études de partage et de compatibilité</w:t>
      </w:r>
      <w:r w:rsidRPr="005C7C43">
        <w:rPr>
          <w:iCs/>
        </w:rPr>
        <w:t xml:space="preserve">, </w:t>
      </w:r>
      <w:r w:rsidR="00483B2F" w:rsidRPr="005C7C43">
        <w:t>en garantissant</w:t>
      </w:r>
      <w:r w:rsidRPr="005C7C43">
        <w:t xml:space="preserve"> la protection des services auxquels la bande de fréquences est attribuée à titre primaire, sans imposer de contraintes réglementaires ou techniques additionnelles à ces services, et, le cas échéant, aux services </w:t>
      </w:r>
      <w:r w:rsidR="00483B2F" w:rsidRPr="005C7C43">
        <w:t xml:space="preserve">primaires </w:t>
      </w:r>
      <w:r w:rsidRPr="005C7C43">
        <w:t xml:space="preserve">dans les bandes de fréquences adjacentes, </w:t>
      </w:r>
      <w:r w:rsidR="00656F02" w:rsidRPr="005C7C43">
        <w:t>pour</w:t>
      </w:r>
      <w:r w:rsidRPr="005C7C43">
        <w:t xml:space="preserve"> l</w:t>
      </w:r>
      <w:r w:rsidR="00483B2F" w:rsidRPr="005C7C43">
        <w:t>es</w:t>
      </w:r>
      <w:r w:rsidRPr="005C7C43">
        <w:t xml:space="preserve"> bande</w:t>
      </w:r>
      <w:r w:rsidR="00483B2F" w:rsidRPr="005C7C43">
        <w:t>s</w:t>
      </w:r>
      <w:r w:rsidRPr="005C7C43">
        <w:t xml:space="preserve"> de fréquences suivante</w:t>
      </w:r>
      <w:r w:rsidR="00483B2F" w:rsidRPr="005C7C43">
        <w:t>s</w:t>
      </w:r>
      <w:r w:rsidRPr="005C7C43">
        <w:t>:</w:t>
      </w:r>
    </w:p>
    <w:p w14:paraId="01C869D8" w14:textId="76A134B5" w:rsidR="00670509" w:rsidRPr="005C7C43" w:rsidRDefault="0022152C" w:rsidP="00A71682">
      <w:pPr>
        <w:pStyle w:val="enumlev1"/>
        <w:rPr>
          <w:rFonts w:eastAsia="MS Mincho"/>
        </w:rPr>
      </w:pPr>
      <w:r w:rsidRPr="005C7C43">
        <w:rPr>
          <w:rFonts w:eastAsia="MS Mincho"/>
        </w:rPr>
        <w:t>–</w:t>
      </w:r>
      <w:r w:rsidRPr="005C7C43">
        <w:rPr>
          <w:rFonts w:eastAsia="MS Mincho"/>
        </w:rPr>
        <w:tab/>
        <w:t>3 100-3 300 MHz</w:t>
      </w:r>
      <w:r w:rsidR="0092698F" w:rsidRPr="005C7C43">
        <w:rPr>
          <w:rFonts w:eastAsia="MS Mincho"/>
        </w:rPr>
        <w:t>;</w:t>
      </w:r>
    </w:p>
    <w:p w14:paraId="4EDF127B" w14:textId="216FF68C" w:rsidR="0022152C" w:rsidRPr="005C7C43" w:rsidRDefault="0022152C" w:rsidP="00A71682">
      <w:pPr>
        <w:pStyle w:val="enumlev1"/>
        <w:rPr>
          <w:rFonts w:eastAsia="MS Mincho"/>
        </w:rPr>
      </w:pPr>
      <w:r w:rsidRPr="005C7C43">
        <w:rPr>
          <w:rFonts w:eastAsia="MS Mincho"/>
        </w:rPr>
        <w:t>–</w:t>
      </w:r>
      <w:r w:rsidRPr="005C7C43">
        <w:rPr>
          <w:rFonts w:eastAsia="MS Mincho"/>
        </w:rPr>
        <w:tab/>
        <w:t>7 125-8 500 MHz</w:t>
      </w:r>
      <w:r w:rsidR="0092698F" w:rsidRPr="005C7C43">
        <w:rPr>
          <w:rFonts w:eastAsia="MS Mincho"/>
        </w:rPr>
        <w:t>;</w:t>
      </w:r>
    </w:p>
    <w:p w14:paraId="03675512" w14:textId="7107A316" w:rsidR="0022152C" w:rsidRPr="005C7C43" w:rsidRDefault="0022152C" w:rsidP="00A71682">
      <w:pPr>
        <w:pStyle w:val="enumlev1"/>
        <w:rPr>
          <w:rFonts w:eastAsia="MS Mincho"/>
        </w:rPr>
      </w:pPr>
      <w:r w:rsidRPr="005C7C43">
        <w:rPr>
          <w:rFonts w:eastAsia="MS Mincho"/>
        </w:rPr>
        <w:t>–</w:t>
      </w:r>
      <w:r w:rsidRPr="005C7C43">
        <w:rPr>
          <w:rFonts w:eastAsia="MS Mincho"/>
        </w:rPr>
        <w:tab/>
        <w:t>14,75-15,35 GHz</w:t>
      </w:r>
      <w:r w:rsidR="0092698F" w:rsidRPr="005C7C43">
        <w:rPr>
          <w:rFonts w:eastAsia="MS Mincho"/>
        </w:rPr>
        <w:t>,</w:t>
      </w:r>
    </w:p>
    <w:p w14:paraId="6587B8E3" w14:textId="77777777" w:rsidR="00B34DD2" w:rsidRPr="005C7C43" w:rsidRDefault="00B34DD2" w:rsidP="00A71682">
      <w:pPr>
        <w:pStyle w:val="Call"/>
      </w:pPr>
      <w:r w:rsidRPr="005C7C43">
        <w:lastRenderedPageBreak/>
        <w:t>décide</w:t>
      </w:r>
    </w:p>
    <w:p w14:paraId="47BDA84E" w14:textId="77777777" w:rsidR="00F8696F" w:rsidRPr="005C7C43" w:rsidRDefault="00B34DD2" w:rsidP="00A71682">
      <w:r w:rsidRPr="005C7C43">
        <w:t>1</w:t>
      </w:r>
      <w:r w:rsidRPr="005C7C43">
        <w:tab/>
        <w:t xml:space="preserve">d'inviter la première session de la Réunion de préparation à la Conférence en vue de la CMR-27 à définir la date à laquelle les caractéristiques techniques et opérationnelles nécessaires aux études de partage et de compatibilité devront être disponibles, afin de veiller à ce que les études visées dans la partie </w:t>
      </w:r>
      <w:r w:rsidRPr="005C7C43">
        <w:rPr>
          <w:i/>
          <w:iCs/>
        </w:rPr>
        <w:t>décide d'inviter le Secteur des radiocommunications de l'UIT</w:t>
      </w:r>
      <w:r w:rsidRPr="005C7C43">
        <w:t xml:space="preserve"> puissent être terminées à temps pour pouvoir être examinées par la CMR</w:t>
      </w:r>
      <w:r w:rsidRPr="005C7C43">
        <w:noBreakHyphen/>
        <w:t>27;</w:t>
      </w:r>
    </w:p>
    <w:p w14:paraId="25AAFB48" w14:textId="1919D538" w:rsidR="00B34DD2" w:rsidRPr="005C7C43" w:rsidRDefault="00F8696F" w:rsidP="00A71682">
      <w:r w:rsidRPr="005C7C43">
        <w:t>2</w:t>
      </w:r>
      <w:r w:rsidR="00B34DD2" w:rsidRPr="005C7C43">
        <w:tab/>
      </w:r>
      <w:r w:rsidR="00483B2F" w:rsidRPr="005C7C43">
        <w:t xml:space="preserve">d'inviter la CMR-27 à examiner, compte tenu des résultats des études ci-dessus, des attributions de fréquences additionnelles au service mobile à titre primaire, et à envisager l'identification de bandes de fréquences pour la composante de Terre des IMT, les bandes de fréquences qui seront envisagées étant limitées à une partie ou à la totalité des bandes de fréquences énumérées au point 2 du </w:t>
      </w:r>
      <w:r w:rsidR="00483B2F" w:rsidRPr="005C7C43">
        <w:rPr>
          <w:i/>
          <w:iCs/>
        </w:rPr>
        <w:t>décide d'inviter le Secteur des radiocommunications de l'UIT</w:t>
      </w:r>
      <w:r w:rsidR="00483B2F" w:rsidRPr="005C7C43">
        <w:t>,</w:t>
      </w:r>
    </w:p>
    <w:p w14:paraId="2B76BF11" w14:textId="77777777" w:rsidR="00B34DD2" w:rsidRPr="005C7C43" w:rsidRDefault="00B34DD2" w:rsidP="00A71682">
      <w:pPr>
        <w:pStyle w:val="Call"/>
      </w:pPr>
      <w:r w:rsidRPr="005C7C43">
        <w:t>invite les administrations</w:t>
      </w:r>
    </w:p>
    <w:p w14:paraId="4FD6F8B2" w14:textId="058CB4B7" w:rsidR="00054D1F" w:rsidRPr="005C7C43" w:rsidRDefault="00B34DD2" w:rsidP="00A71682">
      <w:r w:rsidRPr="005C7C43">
        <w:rPr>
          <w:lang w:eastAsia="nl-NL"/>
        </w:rPr>
        <w:t>à participer activement à ces études en soumettant des contributions au Secteur des radiocommunications de l'UIT.</w:t>
      </w:r>
    </w:p>
    <w:p w14:paraId="221D8843" w14:textId="642FAA44" w:rsidR="003E60F8" w:rsidRPr="005C7C43" w:rsidRDefault="00832071" w:rsidP="00A71682">
      <w:pPr>
        <w:pStyle w:val="Reasons"/>
      </w:pPr>
      <w:r w:rsidRPr="005C7C43">
        <w:rPr>
          <w:b/>
        </w:rPr>
        <w:t>Motifs:</w:t>
      </w:r>
      <w:r w:rsidR="003E60F8" w:rsidRPr="005C7C43">
        <w:tab/>
      </w:r>
      <w:r w:rsidR="00483B2F" w:rsidRPr="005C7C43">
        <w:t>La demande d'accès au spectre pour les IMT est forte et s'accélère. Des</w:t>
      </w:r>
      <w:r w:rsidR="00205B50" w:rsidRPr="005C7C43">
        <w:t xml:space="preserve"> largeurs de</w:t>
      </w:r>
      <w:r w:rsidR="00483B2F" w:rsidRPr="005C7C43">
        <w:t xml:space="preserve"> bande contiguës autres que celles actuellement disponibles sont nécessaires pour faire face à la croissance du trafic dans les réseaux mobiles. </w:t>
      </w:r>
      <w:r w:rsidR="00D313B7" w:rsidRPr="005C7C43">
        <w:t xml:space="preserve">Des fréquences </w:t>
      </w:r>
      <w:r w:rsidR="00A71682" w:rsidRPr="005C7C43">
        <w:t>dans les</w:t>
      </w:r>
      <w:r w:rsidR="00D313B7" w:rsidRPr="005C7C43">
        <w:t xml:space="preserve"> bandes de fréquences envisagées</w:t>
      </w:r>
      <w:r w:rsidR="00483B2F" w:rsidRPr="005C7C43">
        <w:t xml:space="preserve"> pourraient </w:t>
      </w:r>
      <w:r w:rsidR="00B608BC" w:rsidRPr="005C7C43">
        <w:t>permettre de fournir plus simplement une couverture plus large et une grande capacité aux cas d'utilisation des IMT-2030</w:t>
      </w:r>
      <w:r w:rsidR="00A71682" w:rsidRPr="005C7C43">
        <w:t>,</w:t>
      </w:r>
      <w:r w:rsidR="00B608BC" w:rsidRPr="005C7C43">
        <w:t xml:space="preserve"> </w:t>
      </w:r>
      <w:r w:rsidR="00A71682" w:rsidRPr="005C7C43">
        <w:t xml:space="preserve">qui sont </w:t>
      </w:r>
      <w:r w:rsidR="00B608BC" w:rsidRPr="005C7C43">
        <w:t xml:space="preserve">exigeants en termes de capacité </w:t>
      </w:r>
      <w:r w:rsidR="00D313B7" w:rsidRPr="005C7C43">
        <w:t>et complèteraient</w:t>
      </w:r>
      <w:r w:rsidR="00483B2F" w:rsidRPr="005C7C43">
        <w:t xml:space="preserve"> </w:t>
      </w:r>
      <w:r w:rsidR="00D313B7" w:rsidRPr="005C7C43">
        <w:t>les</w:t>
      </w:r>
      <w:r w:rsidR="00483B2F" w:rsidRPr="005C7C43">
        <w:t xml:space="preserve"> fréquences déjà identifiées pour les IMT, </w:t>
      </w:r>
      <w:r w:rsidR="00D313B7" w:rsidRPr="005C7C43">
        <w:t>en offrant d'autres possibilités pour répondre</w:t>
      </w:r>
      <w:r w:rsidR="00483B2F" w:rsidRPr="005C7C43">
        <w:t xml:space="preserve"> à la demande de capacité prévue pour les IMT-2030.</w:t>
      </w:r>
    </w:p>
    <w:p w14:paraId="2C61372C" w14:textId="014E6F31" w:rsidR="003E60F8" w:rsidRPr="005C7C43" w:rsidRDefault="003E60F8" w:rsidP="00A71682">
      <w:pPr>
        <w:tabs>
          <w:tab w:val="clear" w:pos="1134"/>
          <w:tab w:val="clear" w:pos="1871"/>
          <w:tab w:val="clear" w:pos="2268"/>
        </w:tabs>
        <w:overflowPunct/>
        <w:autoSpaceDE/>
        <w:autoSpaceDN/>
        <w:adjustRightInd/>
        <w:spacing w:before="0"/>
        <w:textAlignment w:val="auto"/>
      </w:pPr>
      <w:r w:rsidRPr="005C7C43">
        <w:br w:type="page"/>
      </w:r>
    </w:p>
    <w:p w14:paraId="390C5D3A" w14:textId="4CECCF72" w:rsidR="00EE2235" w:rsidRPr="005C7C43" w:rsidRDefault="006D2653" w:rsidP="00A71682">
      <w:pPr>
        <w:pStyle w:val="AnnexNo"/>
      </w:pPr>
      <w:r w:rsidRPr="005C7C43">
        <w:lastRenderedPageBreak/>
        <w:t>ANNEXE</w:t>
      </w:r>
    </w:p>
    <w:p w14:paraId="7EF79635" w14:textId="2F464CB0" w:rsidR="00826760" w:rsidRPr="005C7C43" w:rsidRDefault="00EE163C" w:rsidP="00995283">
      <w:pPr>
        <w:pStyle w:val="Annextitle"/>
        <w:spacing w:after="240"/>
      </w:pPr>
      <w:r w:rsidRPr="005C7C43">
        <w:t xml:space="preserve">Proposition </w:t>
      </w:r>
      <w:r w:rsidR="00407614" w:rsidRPr="005C7C43">
        <w:t>d'un point de</w:t>
      </w:r>
      <w:r w:rsidRPr="005C7C43">
        <w:t xml:space="preserve"> l'ordre du jour de la CMR-27 </w:t>
      </w:r>
      <w:r w:rsidR="00B8307C" w:rsidRPr="005C7C43">
        <w:t>pour</w:t>
      </w:r>
      <w:r w:rsidRPr="005C7C43">
        <w:t xml:space="preserve"> l'identification</w:t>
      </w:r>
      <w:r w:rsidR="0092698F" w:rsidRPr="005C7C43">
        <w:br/>
      </w:r>
      <w:r w:rsidRPr="005C7C43">
        <w:t>de nouvelles bandes de fréquences pour les IMT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34"/>
      </w:tblGrid>
      <w:tr w:rsidR="007B3AA3" w:rsidRPr="005C7C43" w14:paraId="40A50519" w14:textId="77777777" w:rsidTr="007B3AA3">
        <w:tc>
          <w:tcPr>
            <w:tcW w:w="9629" w:type="dxa"/>
            <w:gridSpan w:val="2"/>
          </w:tcPr>
          <w:p w14:paraId="2526129E" w14:textId="0C1904CA" w:rsidR="007B3AA3" w:rsidRPr="005C7C43" w:rsidRDefault="007B3AA3" w:rsidP="00995283">
            <w:pPr>
              <w:rPr>
                <w:b/>
                <w:bCs/>
              </w:rPr>
            </w:pPr>
            <w:r w:rsidRPr="005C7C43">
              <w:rPr>
                <w:b/>
                <w:bCs/>
              </w:rPr>
              <w:t>Objet:</w:t>
            </w:r>
            <w:r w:rsidRPr="005C7C43">
              <w:t xml:space="preserve"> Proposition d'un futur point de l'ordre du jour de la CMR-27 pour l'identification de nouvelles fréquences pour les IMT.</w:t>
            </w:r>
          </w:p>
        </w:tc>
      </w:tr>
      <w:tr w:rsidR="007B3AA3" w:rsidRPr="005C7C43" w14:paraId="41668092" w14:textId="77777777" w:rsidTr="007B3AA3">
        <w:tc>
          <w:tcPr>
            <w:tcW w:w="9629" w:type="dxa"/>
            <w:gridSpan w:val="2"/>
            <w:tcBorders>
              <w:bottom w:val="single" w:sz="4" w:space="0" w:color="auto"/>
            </w:tcBorders>
          </w:tcPr>
          <w:p w14:paraId="70ECA443" w14:textId="36D9764D" w:rsidR="007B3AA3" w:rsidRPr="005C7C43" w:rsidRDefault="007B3AA3" w:rsidP="00995283">
            <w:pPr>
              <w:rPr>
                <w:b/>
                <w:bCs/>
              </w:rPr>
            </w:pPr>
            <w:r w:rsidRPr="005C7C43">
              <w:rPr>
                <w:b/>
                <w:bCs/>
              </w:rPr>
              <w:t>Origine:</w:t>
            </w:r>
            <w:r w:rsidRPr="005C7C43">
              <w:t xml:space="preserve"> CITEL</w:t>
            </w:r>
          </w:p>
        </w:tc>
      </w:tr>
      <w:tr w:rsidR="006D2653" w:rsidRPr="005C7C43" w14:paraId="657E938D" w14:textId="77777777" w:rsidTr="007B3AA3">
        <w:tc>
          <w:tcPr>
            <w:tcW w:w="9629" w:type="dxa"/>
            <w:gridSpan w:val="2"/>
            <w:tcBorders>
              <w:top w:val="single" w:sz="4" w:space="0" w:color="auto"/>
              <w:bottom w:val="single" w:sz="4" w:space="0" w:color="auto"/>
            </w:tcBorders>
          </w:tcPr>
          <w:p w14:paraId="6FD7449A" w14:textId="77777777" w:rsidR="006D2653" w:rsidRPr="005C7C43" w:rsidRDefault="006D2653" w:rsidP="00A71682">
            <w:pPr>
              <w:rPr>
                <w:b/>
                <w:bCs/>
              </w:rPr>
            </w:pPr>
            <w:r w:rsidRPr="005C7C43">
              <w:rPr>
                <w:b/>
                <w:bCs/>
                <w:i/>
                <w:iCs/>
              </w:rPr>
              <w:t>Proposition</w:t>
            </w:r>
            <w:r w:rsidRPr="005C7C43">
              <w:rPr>
                <w:b/>
                <w:bCs/>
              </w:rPr>
              <w:t>:</w:t>
            </w:r>
          </w:p>
          <w:p w14:paraId="76D85D42" w14:textId="32EF4CD5" w:rsidR="006D2653" w:rsidRPr="005C7C43" w:rsidRDefault="00FF762E" w:rsidP="00A71682">
            <w:r w:rsidRPr="005C7C43">
              <w:t xml:space="preserve">Identifier les bandes de fréquences 3 100-3 300 MHz, 7 125-8 500 MHz et 14,75-15,35 GHz pour le déploiement futur des IMT, avec </w:t>
            </w:r>
            <w:r w:rsidR="00407614" w:rsidRPr="005C7C43">
              <w:t>des</w:t>
            </w:r>
            <w:r w:rsidRPr="005C7C43">
              <w:t xml:space="preserve"> attribution</w:t>
            </w:r>
            <w:r w:rsidR="00407614" w:rsidRPr="005C7C43">
              <w:t>s</w:t>
            </w:r>
            <w:r w:rsidRPr="005C7C43">
              <w:t xml:space="preserve"> additionnelle</w:t>
            </w:r>
            <w:r w:rsidR="00E9285C" w:rsidRPr="005C7C43">
              <w:t>s</w:t>
            </w:r>
            <w:r w:rsidRPr="005C7C43">
              <w:t xml:space="preserve"> possible</w:t>
            </w:r>
            <w:r w:rsidR="00E9285C" w:rsidRPr="005C7C43">
              <w:t>s</w:t>
            </w:r>
            <w:r w:rsidRPr="005C7C43">
              <w:t xml:space="preserve"> au service mobile à titre primaire, en vue d'une harmonisation à l'échelle régionale et mondiale</w:t>
            </w:r>
            <w:r w:rsidR="00995283" w:rsidRPr="005C7C43">
              <w:t>.</w:t>
            </w:r>
          </w:p>
        </w:tc>
      </w:tr>
      <w:tr w:rsidR="006D2653" w:rsidRPr="005C7C43" w14:paraId="5568E541" w14:textId="77777777" w:rsidTr="007B3AA3">
        <w:tc>
          <w:tcPr>
            <w:tcW w:w="9629" w:type="dxa"/>
            <w:gridSpan w:val="2"/>
            <w:tcBorders>
              <w:top w:val="single" w:sz="4" w:space="0" w:color="auto"/>
              <w:bottom w:val="single" w:sz="4" w:space="0" w:color="auto"/>
            </w:tcBorders>
          </w:tcPr>
          <w:p w14:paraId="467CDB1B" w14:textId="7FFBF466" w:rsidR="006D2653" w:rsidRPr="005C7C43" w:rsidRDefault="00FF762E" w:rsidP="00A71682">
            <w:pPr>
              <w:rPr>
                <w:b/>
                <w:bCs/>
                <w:i/>
                <w:iCs/>
              </w:rPr>
            </w:pPr>
            <w:r w:rsidRPr="005C7C43">
              <w:rPr>
                <w:b/>
                <w:bCs/>
                <w:i/>
                <w:iCs/>
              </w:rPr>
              <w:t>Contexte/motif:</w:t>
            </w:r>
          </w:p>
          <w:p w14:paraId="43EF7BB0" w14:textId="0B928420" w:rsidR="005F6393" w:rsidRPr="005C7C43" w:rsidRDefault="00FF762E" w:rsidP="00073DE8">
            <w:r w:rsidRPr="005C7C43">
              <w:t>La demande d'accès au spectre pour les IMT est forte et s'accélère. Des largeurs de bande contiguës autres que celles actuellement disponibles sont nécessaires pour faire face à la croissance du trafic dans les réseaux mobiles. Des fréquences d</w:t>
            </w:r>
            <w:r w:rsidR="00FF7088" w:rsidRPr="005C7C43">
              <w:t>ans les</w:t>
            </w:r>
            <w:r w:rsidRPr="005C7C43">
              <w:t xml:space="preserve"> bandes de fréquences envisagées pourraient </w:t>
            </w:r>
            <w:r w:rsidR="00B608BC" w:rsidRPr="005C7C43">
              <w:t>permettre de fournir plus simplement une couverture plus large et une grande capacité aux cas d'utilisation des IMT-2030</w:t>
            </w:r>
            <w:r w:rsidR="00FF7088" w:rsidRPr="005C7C43">
              <w:t>, qui sont</w:t>
            </w:r>
            <w:r w:rsidR="00B608BC" w:rsidRPr="005C7C43">
              <w:t xml:space="preserve"> exigeants en termes de capacité</w:t>
            </w:r>
            <w:r w:rsidRPr="005C7C43">
              <w:t xml:space="preserve"> et complèteraient les fréquences déjà identifiées </w:t>
            </w:r>
            <w:r w:rsidR="00E9285C" w:rsidRPr="005C7C43">
              <w:t xml:space="preserve">à l'heure actuelle </w:t>
            </w:r>
            <w:r w:rsidRPr="005C7C43">
              <w:t>pour les IMT, en offrant d'autres possibilités pour répondre à la demande de capacité prévue pour les IMT-2030.</w:t>
            </w:r>
          </w:p>
        </w:tc>
      </w:tr>
      <w:tr w:rsidR="006D2653" w:rsidRPr="005C7C43" w14:paraId="2999CB43" w14:textId="77777777" w:rsidTr="007B3AA3">
        <w:tc>
          <w:tcPr>
            <w:tcW w:w="9629" w:type="dxa"/>
            <w:gridSpan w:val="2"/>
            <w:tcBorders>
              <w:top w:val="single" w:sz="4" w:space="0" w:color="auto"/>
              <w:bottom w:val="single" w:sz="4" w:space="0" w:color="auto"/>
            </w:tcBorders>
          </w:tcPr>
          <w:p w14:paraId="22ADB07C" w14:textId="77777777" w:rsidR="006D2653" w:rsidRPr="005C7C43" w:rsidRDefault="005F6393" w:rsidP="00A71682">
            <w:pPr>
              <w:rPr>
                <w:b/>
                <w:bCs/>
              </w:rPr>
            </w:pPr>
            <w:r w:rsidRPr="005C7C43">
              <w:rPr>
                <w:b/>
                <w:bCs/>
                <w:i/>
                <w:iCs/>
              </w:rPr>
              <w:t>Services de radiocommunication concernés</w:t>
            </w:r>
            <w:r w:rsidRPr="005C7C43">
              <w:rPr>
                <w:b/>
                <w:bCs/>
              </w:rPr>
              <w:t>:</w:t>
            </w:r>
          </w:p>
          <w:p w14:paraId="342FD20B" w14:textId="5F4705A6" w:rsidR="00A10662" w:rsidRPr="005C7C43" w:rsidRDefault="00205B50" w:rsidP="00A71682">
            <w:r w:rsidRPr="005C7C43">
              <w:t>Services mobile, de radiodiffusion, de radiodiffusion par satellite, d'exploration de la Terre par satellite, fixe, fixe par satellite, mobile par satellite, passifs, de radiolocalisation et de radioastronomie.</w:t>
            </w:r>
          </w:p>
        </w:tc>
      </w:tr>
      <w:tr w:rsidR="006D2653" w:rsidRPr="005C7C43" w14:paraId="7D7ADFD1" w14:textId="77777777" w:rsidTr="007B3AA3">
        <w:tc>
          <w:tcPr>
            <w:tcW w:w="9629" w:type="dxa"/>
            <w:gridSpan w:val="2"/>
            <w:tcBorders>
              <w:top w:val="single" w:sz="4" w:space="0" w:color="auto"/>
              <w:bottom w:val="single" w:sz="4" w:space="0" w:color="auto"/>
            </w:tcBorders>
          </w:tcPr>
          <w:p w14:paraId="7B078692" w14:textId="77777777" w:rsidR="006D2653" w:rsidRPr="005C7C43" w:rsidRDefault="005F6393" w:rsidP="00A71682">
            <w:pPr>
              <w:rPr>
                <w:rFonts w:eastAsia="MS Gothic"/>
                <w:b/>
                <w:bCs/>
                <w:kern w:val="2"/>
              </w:rPr>
            </w:pPr>
            <w:r w:rsidRPr="005C7C43">
              <w:rPr>
                <w:rFonts w:eastAsia="MS Gothic"/>
                <w:b/>
                <w:bCs/>
                <w:i/>
                <w:iCs/>
                <w:kern w:val="2"/>
              </w:rPr>
              <w:t>Indication des difficultés éventuelles</w:t>
            </w:r>
            <w:r w:rsidRPr="005C7C43">
              <w:rPr>
                <w:rFonts w:eastAsia="MS Gothic"/>
                <w:b/>
                <w:bCs/>
                <w:kern w:val="2"/>
              </w:rPr>
              <w:t>:</w:t>
            </w:r>
          </w:p>
          <w:p w14:paraId="0C1785F6" w14:textId="2D8B92C1" w:rsidR="00A10662" w:rsidRPr="005C7C43" w:rsidRDefault="00205B50" w:rsidP="00A71682">
            <w:pPr>
              <w:rPr>
                <w:rStyle w:val="FootnoteReference"/>
                <w:sz w:val="24"/>
                <w:szCs w:val="24"/>
              </w:rPr>
            </w:pPr>
            <w:r w:rsidRPr="005C7C43">
              <w:rPr>
                <w:szCs w:val="24"/>
              </w:rPr>
              <w:t xml:space="preserve">Les bandes de fréquences proposées sont largement utilisées </w:t>
            </w:r>
            <w:r w:rsidR="000D5CED" w:rsidRPr="005C7C43">
              <w:rPr>
                <w:szCs w:val="24"/>
              </w:rPr>
              <w:t>pour</w:t>
            </w:r>
            <w:r w:rsidRPr="005C7C43">
              <w:rPr>
                <w:szCs w:val="24"/>
              </w:rPr>
              <w:t xml:space="preserve"> les services de Terre et les services spatiaux et des études doivent être effectuées vis-à-vis des services existants.</w:t>
            </w:r>
          </w:p>
        </w:tc>
      </w:tr>
      <w:tr w:rsidR="006D2653" w:rsidRPr="005C7C43" w14:paraId="2AC72C7F" w14:textId="77777777" w:rsidTr="007B3AA3">
        <w:tc>
          <w:tcPr>
            <w:tcW w:w="9629" w:type="dxa"/>
            <w:gridSpan w:val="2"/>
            <w:tcBorders>
              <w:top w:val="single" w:sz="4" w:space="0" w:color="auto"/>
              <w:bottom w:val="single" w:sz="4" w:space="0" w:color="auto"/>
            </w:tcBorders>
          </w:tcPr>
          <w:p w14:paraId="7046CC0D" w14:textId="77777777" w:rsidR="006D2653" w:rsidRPr="005C7C43" w:rsidRDefault="005F6393" w:rsidP="00A71682">
            <w:pPr>
              <w:rPr>
                <w:rFonts w:eastAsia="MS Gothic"/>
                <w:b/>
                <w:bCs/>
              </w:rPr>
            </w:pPr>
            <w:r w:rsidRPr="005C7C43">
              <w:rPr>
                <w:rFonts w:eastAsia="MS Gothic"/>
                <w:b/>
                <w:bCs/>
                <w:i/>
                <w:iCs/>
              </w:rPr>
              <w:t>Études précédentes ou en cours sur la question</w:t>
            </w:r>
            <w:r w:rsidRPr="005C7C43">
              <w:rPr>
                <w:rFonts w:eastAsia="MS Gothic"/>
                <w:b/>
                <w:bCs/>
              </w:rPr>
              <w:t>:</w:t>
            </w:r>
          </w:p>
          <w:p w14:paraId="6DE950A1" w14:textId="6E8B215C" w:rsidR="00A10662" w:rsidRPr="005C7C43" w:rsidRDefault="00205B50" w:rsidP="00A71682">
            <w:r w:rsidRPr="005C7C43">
              <w:t>Le Groupe de travail 5D de l'UIT-R a déjà commencé les études connexes.</w:t>
            </w:r>
          </w:p>
        </w:tc>
      </w:tr>
      <w:tr w:rsidR="005F6393" w:rsidRPr="005C7C43" w14:paraId="24D72AD8" w14:textId="77777777" w:rsidTr="00B77550">
        <w:tc>
          <w:tcPr>
            <w:tcW w:w="4395" w:type="dxa"/>
            <w:tcBorders>
              <w:top w:val="single" w:sz="4" w:space="0" w:color="auto"/>
              <w:bottom w:val="single" w:sz="4" w:space="0" w:color="auto"/>
              <w:right w:val="single" w:sz="4" w:space="0" w:color="auto"/>
            </w:tcBorders>
          </w:tcPr>
          <w:p w14:paraId="7BFDC25B" w14:textId="77777777" w:rsidR="005F6393" w:rsidRPr="005C7C43" w:rsidRDefault="005F6393" w:rsidP="00A71682">
            <w:pPr>
              <w:rPr>
                <w:rFonts w:eastAsia="MS Gothic"/>
                <w:b/>
                <w:bCs/>
                <w:kern w:val="2"/>
              </w:rPr>
            </w:pPr>
            <w:r w:rsidRPr="005C7C43">
              <w:rPr>
                <w:rFonts w:eastAsia="MS Gothic"/>
                <w:b/>
                <w:bCs/>
                <w:i/>
                <w:iCs/>
                <w:kern w:val="2"/>
              </w:rPr>
              <w:t>Études devant être réalisées par</w:t>
            </w:r>
            <w:r w:rsidRPr="005C7C43">
              <w:rPr>
                <w:rFonts w:eastAsia="MS Gothic"/>
                <w:b/>
                <w:bCs/>
                <w:kern w:val="2"/>
              </w:rPr>
              <w:t>:</w:t>
            </w:r>
          </w:p>
          <w:p w14:paraId="53E23360" w14:textId="4D172075" w:rsidR="00A10662" w:rsidRPr="005C7C43" w:rsidRDefault="00205B50" w:rsidP="00A71682">
            <w:pPr>
              <w:rPr>
                <w:rStyle w:val="FootnoteReference"/>
                <w:sz w:val="24"/>
                <w:szCs w:val="24"/>
              </w:rPr>
            </w:pPr>
            <w:r w:rsidRPr="005C7C43">
              <w:rPr>
                <w:szCs w:val="24"/>
              </w:rPr>
              <w:t>Groupe de travail 5D</w:t>
            </w:r>
          </w:p>
        </w:tc>
        <w:tc>
          <w:tcPr>
            <w:tcW w:w="5234" w:type="dxa"/>
            <w:tcBorders>
              <w:top w:val="single" w:sz="4" w:space="0" w:color="auto"/>
              <w:left w:val="single" w:sz="4" w:space="0" w:color="auto"/>
            </w:tcBorders>
          </w:tcPr>
          <w:p w14:paraId="4C0BF367" w14:textId="77777777" w:rsidR="005F6393" w:rsidRPr="005C7C43" w:rsidRDefault="005F6393" w:rsidP="00A71682">
            <w:pPr>
              <w:rPr>
                <w:rFonts w:eastAsia="MS Gothic"/>
                <w:b/>
                <w:bCs/>
                <w:kern w:val="2"/>
              </w:rPr>
            </w:pPr>
            <w:r w:rsidRPr="005C7C43">
              <w:rPr>
                <w:rFonts w:eastAsia="MS Gothic"/>
                <w:b/>
                <w:bCs/>
                <w:i/>
                <w:iCs/>
                <w:kern w:val="2"/>
              </w:rPr>
              <w:t>avec la participation de</w:t>
            </w:r>
            <w:r w:rsidRPr="005C7C43">
              <w:rPr>
                <w:rFonts w:eastAsia="MS Gothic"/>
                <w:b/>
                <w:bCs/>
                <w:kern w:val="2"/>
              </w:rPr>
              <w:t>:</w:t>
            </w:r>
          </w:p>
          <w:p w14:paraId="3602CF4A" w14:textId="3A19AD53" w:rsidR="00A10662" w:rsidRPr="005C7C43" w:rsidRDefault="00205B50" w:rsidP="00A71682">
            <w:pPr>
              <w:rPr>
                <w:rStyle w:val="FootnoteReference"/>
                <w:sz w:val="24"/>
                <w:szCs w:val="24"/>
              </w:rPr>
            </w:pPr>
            <w:r w:rsidRPr="005C7C43">
              <w:rPr>
                <w:szCs w:val="24"/>
              </w:rPr>
              <w:t>Membres de l'UIT-R</w:t>
            </w:r>
          </w:p>
        </w:tc>
      </w:tr>
      <w:tr w:rsidR="006D2653" w:rsidRPr="005C7C43" w14:paraId="484779BE" w14:textId="77777777" w:rsidTr="007B3AA3">
        <w:tc>
          <w:tcPr>
            <w:tcW w:w="9629" w:type="dxa"/>
            <w:gridSpan w:val="2"/>
            <w:tcBorders>
              <w:top w:val="single" w:sz="4" w:space="0" w:color="auto"/>
              <w:bottom w:val="single" w:sz="4" w:space="0" w:color="auto"/>
            </w:tcBorders>
          </w:tcPr>
          <w:p w14:paraId="448BB3AF" w14:textId="77777777" w:rsidR="006D2653" w:rsidRPr="005C7C43" w:rsidRDefault="005F6393" w:rsidP="00A71682">
            <w:pPr>
              <w:rPr>
                <w:rFonts w:eastAsia="MS Gothic"/>
                <w:b/>
                <w:bCs/>
                <w:kern w:val="2"/>
              </w:rPr>
            </w:pPr>
            <w:r w:rsidRPr="005C7C43">
              <w:rPr>
                <w:rFonts w:eastAsia="MS Gothic"/>
                <w:b/>
                <w:bCs/>
                <w:i/>
                <w:iCs/>
                <w:kern w:val="2"/>
              </w:rPr>
              <w:t>Commissions d'études de l'UIT-R concernées</w:t>
            </w:r>
            <w:r w:rsidRPr="005C7C43">
              <w:rPr>
                <w:rFonts w:eastAsia="MS Gothic"/>
                <w:b/>
                <w:bCs/>
                <w:kern w:val="2"/>
              </w:rPr>
              <w:t>:</w:t>
            </w:r>
          </w:p>
          <w:p w14:paraId="6D935597" w14:textId="47FC48D7" w:rsidR="00A10662" w:rsidRPr="005C7C43" w:rsidRDefault="00205B50" w:rsidP="00A71682">
            <w:pPr>
              <w:rPr>
                <w:rStyle w:val="FootnoteReference"/>
                <w:sz w:val="24"/>
                <w:szCs w:val="24"/>
              </w:rPr>
            </w:pPr>
            <w:r w:rsidRPr="005C7C43">
              <w:rPr>
                <w:szCs w:val="24"/>
              </w:rPr>
              <w:t>Commissions d'études 4, 5 et 7</w:t>
            </w:r>
          </w:p>
        </w:tc>
      </w:tr>
      <w:tr w:rsidR="006D2653" w:rsidRPr="005C7C43" w14:paraId="64A7D3C9" w14:textId="77777777" w:rsidTr="007B3AA3">
        <w:tc>
          <w:tcPr>
            <w:tcW w:w="9629" w:type="dxa"/>
            <w:gridSpan w:val="2"/>
            <w:tcBorders>
              <w:top w:val="single" w:sz="4" w:space="0" w:color="auto"/>
              <w:bottom w:val="single" w:sz="4" w:space="0" w:color="auto"/>
            </w:tcBorders>
          </w:tcPr>
          <w:p w14:paraId="02792D82" w14:textId="77777777" w:rsidR="006D2653" w:rsidRPr="005C7C43" w:rsidRDefault="005F6393" w:rsidP="00A71682">
            <w:pPr>
              <w:rPr>
                <w:b/>
                <w:bCs/>
              </w:rPr>
            </w:pPr>
            <w:r w:rsidRPr="005C7C43">
              <w:rPr>
                <w:b/>
                <w:bCs/>
                <w:i/>
                <w:iCs/>
              </w:rPr>
              <w:t>Répercussions au niveau des ressources de l'UIT, y compris incidences financières</w:t>
            </w:r>
            <w:r w:rsidRPr="005C7C43">
              <w:rPr>
                <w:b/>
                <w:bCs/>
                <w:i/>
                <w:iCs/>
              </w:rPr>
              <w:br/>
              <w:t>(voir le numéro 126 de la Convention)</w:t>
            </w:r>
            <w:r w:rsidRPr="005C7C43">
              <w:rPr>
                <w:b/>
                <w:bCs/>
              </w:rPr>
              <w:t>:</w:t>
            </w:r>
          </w:p>
          <w:p w14:paraId="79163979" w14:textId="55CDFA34" w:rsidR="00A10662" w:rsidRPr="005C7C43" w:rsidRDefault="00205B50" w:rsidP="00A71682">
            <w:pPr>
              <w:rPr>
                <w:rStyle w:val="FootnoteReference"/>
                <w:sz w:val="24"/>
                <w:szCs w:val="24"/>
              </w:rPr>
            </w:pPr>
            <w:r w:rsidRPr="005C7C43">
              <w:rPr>
                <w:szCs w:val="24"/>
              </w:rPr>
              <w:t xml:space="preserve">Coût minime voire nul, </w:t>
            </w:r>
            <w:r w:rsidR="003C7AD2" w:rsidRPr="005C7C43">
              <w:rPr>
                <w:szCs w:val="24"/>
              </w:rPr>
              <w:t xml:space="preserve">étant donné que le point de l'ordre du jour proposé devrait être étudié par le GT 5D de l'UIT-R dans le cadre </w:t>
            </w:r>
            <w:r w:rsidR="00FF7088" w:rsidRPr="005C7C43">
              <w:rPr>
                <w:szCs w:val="24"/>
              </w:rPr>
              <w:t>de ses</w:t>
            </w:r>
            <w:r w:rsidR="003C7AD2" w:rsidRPr="005C7C43">
              <w:rPr>
                <w:szCs w:val="24"/>
              </w:rPr>
              <w:t xml:space="preserve"> réunions</w:t>
            </w:r>
            <w:r w:rsidR="00FF7088" w:rsidRPr="005C7C43">
              <w:rPr>
                <w:szCs w:val="24"/>
              </w:rPr>
              <w:t xml:space="preserve"> actuelles</w:t>
            </w:r>
            <w:r w:rsidR="003C7AD2" w:rsidRPr="005C7C43">
              <w:rPr>
                <w:szCs w:val="24"/>
              </w:rPr>
              <w:t>.</w:t>
            </w:r>
          </w:p>
        </w:tc>
      </w:tr>
      <w:tr w:rsidR="005F6393" w:rsidRPr="005C7C43" w14:paraId="39B1E3BA" w14:textId="77777777" w:rsidTr="00B77550">
        <w:tc>
          <w:tcPr>
            <w:tcW w:w="4395" w:type="dxa"/>
            <w:tcBorders>
              <w:top w:val="single" w:sz="4" w:space="0" w:color="auto"/>
            </w:tcBorders>
          </w:tcPr>
          <w:p w14:paraId="1FB4D949" w14:textId="116E6FED" w:rsidR="005F6393" w:rsidRPr="005C7C43" w:rsidRDefault="008341F4" w:rsidP="00A71682">
            <w:pPr>
              <w:rPr>
                <w:rStyle w:val="FootnoteReference"/>
                <w:sz w:val="24"/>
                <w:szCs w:val="24"/>
              </w:rPr>
            </w:pPr>
            <w:r w:rsidRPr="005C7C43">
              <w:rPr>
                <w:rFonts w:eastAsia="MS Gothic"/>
                <w:b/>
                <w:bCs/>
                <w:i/>
                <w:iCs/>
                <w:kern w:val="2"/>
              </w:rPr>
              <w:t>Proposition régionale commune</w:t>
            </w:r>
            <w:r w:rsidRPr="005C7C43">
              <w:rPr>
                <w:rFonts w:eastAsia="MS Gothic"/>
                <w:b/>
                <w:bCs/>
                <w:kern w:val="2"/>
              </w:rPr>
              <w:t>:</w:t>
            </w:r>
            <w:r w:rsidR="007A1B05" w:rsidRPr="005C7C43">
              <w:rPr>
                <w:rFonts w:eastAsia="MS Gothic"/>
                <w:kern w:val="2"/>
              </w:rPr>
              <w:t xml:space="preserve"> </w:t>
            </w:r>
            <w:r w:rsidR="00B77550" w:rsidRPr="005C7C43">
              <w:rPr>
                <w:rFonts w:eastAsia="MS Gothic"/>
                <w:kern w:val="2"/>
              </w:rPr>
              <w:t>[</w:t>
            </w:r>
            <w:r w:rsidR="00995283" w:rsidRPr="005C7C43">
              <w:rPr>
                <w:rFonts w:eastAsia="MS Gothic"/>
                <w:kern w:val="2"/>
              </w:rPr>
              <w:t>O</w:t>
            </w:r>
            <w:r w:rsidR="007A1B05" w:rsidRPr="005C7C43">
              <w:rPr>
                <w:rFonts w:eastAsia="MS Gothic"/>
                <w:kern w:val="2"/>
              </w:rPr>
              <w:t>ui/</w:t>
            </w:r>
            <w:r w:rsidR="00995283" w:rsidRPr="005C7C43">
              <w:rPr>
                <w:rFonts w:eastAsia="MS Gothic"/>
                <w:kern w:val="2"/>
              </w:rPr>
              <w:t>N</w:t>
            </w:r>
            <w:r w:rsidR="007A1B05" w:rsidRPr="005C7C43">
              <w:rPr>
                <w:rFonts w:eastAsia="MS Gothic"/>
                <w:kern w:val="2"/>
              </w:rPr>
              <w:t>on</w:t>
            </w:r>
            <w:r w:rsidR="00B77550" w:rsidRPr="005C7C43">
              <w:rPr>
                <w:rFonts w:eastAsia="MS Gothic"/>
                <w:kern w:val="2"/>
              </w:rPr>
              <w:t>]</w:t>
            </w:r>
          </w:p>
        </w:tc>
        <w:tc>
          <w:tcPr>
            <w:tcW w:w="5234" w:type="dxa"/>
            <w:tcBorders>
              <w:top w:val="single" w:sz="4" w:space="0" w:color="auto"/>
            </w:tcBorders>
          </w:tcPr>
          <w:p w14:paraId="7DB3240B" w14:textId="2CEED5C6" w:rsidR="005F6393" w:rsidRPr="005C7C43" w:rsidRDefault="008341F4" w:rsidP="00A71682">
            <w:pPr>
              <w:rPr>
                <w:rFonts w:eastAsia="MS Gothic"/>
                <w:kern w:val="2"/>
              </w:rPr>
            </w:pPr>
            <w:r w:rsidRPr="005C7C43">
              <w:rPr>
                <w:rFonts w:eastAsia="MS Gothic"/>
                <w:b/>
                <w:bCs/>
                <w:i/>
                <w:iCs/>
                <w:kern w:val="2"/>
              </w:rPr>
              <w:t>Proposition soumise par plusieurs pays</w:t>
            </w:r>
            <w:r w:rsidRPr="005C7C43">
              <w:rPr>
                <w:rFonts w:eastAsia="MS Gothic"/>
                <w:b/>
                <w:bCs/>
                <w:kern w:val="2"/>
              </w:rPr>
              <w:t>:</w:t>
            </w:r>
            <w:r w:rsidR="007A1B05" w:rsidRPr="005C7C43">
              <w:rPr>
                <w:rFonts w:eastAsia="MS Gothic"/>
                <w:kern w:val="2"/>
              </w:rPr>
              <w:t xml:space="preserve"> </w:t>
            </w:r>
            <w:r w:rsidR="00B77550" w:rsidRPr="005C7C43">
              <w:rPr>
                <w:rFonts w:eastAsia="MS Gothic"/>
                <w:kern w:val="2"/>
              </w:rPr>
              <w:t>[</w:t>
            </w:r>
            <w:r w:rsidR="00995283" w:rsidRPr="005C7C43">
              <w:rPr>
                <w:rFonts w:eastAsia="MS Gothic"/>
                <w:kern w:val="2"/>
              </w:rPr>
              <w:t>O</w:t>
            </w:r>
            <w:r w:rsidR="007A1B05" w:rsidRPr="005C7C43">
              <w:rPr>
                <w:rFonts w:eastAsia="MS Gothic"/>
                <w:kern w:val="2"/>
              </w:rPr>
              <w:t>ui/</w:t>
            </w:r>
            <w:r w:rsidR="00995283" w:rsidRPr="005C7C43">
              <w:rPr>
                <w:rFonts w:eastAsia="MS Gothic"/>
                <w:kern w:val="2"/>
              </w:rPr>
              <w:t>N</w:t>
            </w:r>
            <w:r w:rsidR="007A1B05" w:rsidRPr="005C7C43">
              <w:rPr>
                <w:rFonts w:eastAsia="MS Gothic"/>
                <w:kern w:val="2"/>
              </w:rPr>
              <w:t>on</w:t>
            </w:r>
            <w:r w:rsidR="00B77550" w:rsidRPr="005C7C43">
              <w:rPr>
                <w:rFonts w:eastAsia="MS Gothic"/>
                <w:kern w:val="2"/>
              </w:rPr>
              <w:t>]</w:t>
            </w:r>
          </w:p>
          <w:p w14:paraId="1574B78A" w14:textId="027FF3B2" w:rsidR="008341F4" w:rsidRPr="005C7C43" w:rsidRDefault="008341F4" w:rsidP="00A71682">
            <w:pPr>
              <w:rPr>
                <w:rStyle w:val="FootnoteReference"/>
                <w:sz w:val="24"/>
                <w:szCs w:val="24"/>
              </w:rPr>
            </w:pPr>
            <w:r w:rsidRPr="005C7C43">
              <w:rPr>
                <w:rFonts w:eastAsia="MS Gothic"/>
                <w:b/>
                <w:bCs/>
                <w:i/>
                <w:iCs/>
                <w:kern w:val="2"/>
                <w:lang w:eastAsia="ja-JP"/>
              </w:rPr>
              <w:t>Nombre de pays</w:t>
            </w:r>
            <w:r w:rsidRPr="005C7C43">
              <w:rPr>
                <w:rFonts w:eastAsia="MS Gothic"/>
                <w:b/>
                <w:bCs/>
                <w:kern w:val="2"/>
              </w:rPr>
              <w:t>:</w:t>
            </w:r>
          </w:p>
        </w:tc>
      </w:tr>
      <w:tr w:rsidR="006D2653" w:rsidRPr="005C7C43" w14:paraId="02DF3AFA" w14:textId="77777777" w:rsidTr="007B3AA3">
        <w:tc>
          <w:tcPr>
            <w:tcW w:w="9629" w:type="dxa"/>
            <w:gridSpan w:val="2"/>
            <w:tcBorders>
              <w:top w:val="single" w:sz="4" w:space="0" w:color="auto"/>
            </w:tcBorders>
          </w:tcPr>
          <w:p w14:paraId="787A320E" w14:textId="1FC9AE6F" w:rsidR="006D2653" w:rsidRPr="005C7C43" w:rsidRDefault="008341F4" w:rsidP="00A71682">
            <w:pPr>
              <w:rPr>
                <w:rStyle w:val="FootnoteReference"/>
                <w:sz w:val="24"/>
                <w:szCs w:val="24"/>
              </w:rPr>
            </w:pPr>
            <w:r w:rsidRPr="005C7C43">
              <w:rPr>
                <w:rFonts w:eastAsia="MS Gothic"/>
                <w:b/>
                <w:bCs/>
                <w:i/>
                <w:iCs/>
                <w:kern w:val="2"/>
              </w:rPr>
              <w:t>Observations</w:t>
            </w:r>
          </w:p>
        </w:tc>
      </w:tr>
    </w:tbl>
    <w:p w14:paraId="18C868D9" w14:textId="64F46877" w:rsidR="006D2653" w:rsidRPr="005C7C43" w:rsidRDefault="00284031" w:rsidP="00995283">
      <w:pPr>
        <w:spacing w:before="0"/>
        <w:jc w:val="center"/>
      </w:pPr>
      <w:r w:rsidRPr="005C7C43">
        <w:t>______________</w:t>
      </w:r>
    </w:p>
    <w:sectPr w:rsidR="006D2653" w:rsidRPr="005C7C43">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C1FF" w14:textId="77777777" w:rsidR="00CB685A" w:rsidRDefault="00CB685A">
      <w:r>
        <w:separator/>
      </w:r>
    </w:p>
  </w:endnote>
  <w:endnote w:type="continuationSeparator" w:id="0">
    <w:p w14:paraId="207CC508"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BE35" w14:textId="0113B914"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073DE8">
      <w:rPr>
        <w:noProof/>
      </w:rPr>
      <w:t>03.11.23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F9FE" w14:textId="198C7D26"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546CB4">
      <w:rPr>
        <w:lang w:val="en-US"/>
      </w:rPr>
      <w:t>P:\FRA\ITU-R\CONF-R\CMR23\000\044ADD27ADD12F.docx</w:t>
    </w:r>
    <w:r>
      <w:fldChar w:fldCharType="end"/>
    </w:r>
    <w:r w:rsidR="00685D81" w:rsidRPr="00775DF8">
      <w:rPr>
        <w:lang w:val="en-GB"/>
        <w:rPrChange w:id="9" w:author="French" w:date="2023-11-02T10:56:00Z">
          <w:rPr/>
        </w:rPrChange>
      </w:rPr>
      <w:t>(529503)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B8A5" w14:textId="33ECF690"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546CB4">
      <w:rPr>
        <w:lang w:val="en-US"/>
      </w:rPr>
      <w:t>P:\FRA\ITU-R\CONF-R\CMR23\000\044ADD27ADD12F.docx</w:t>
    </w:r>
    <w:r>
      <w:fldChar w:fldCharType="end"/>
    </w:r>
    <w:r w:rsidR="00685D81" w:rsidRPr="00775DF8">
      <w:rPr>
        <w:lang w:val="en-GB"/>
        <w:rPrChange w:id="10" w:author="French" w:date="2023-11-02T10:56:00Z">
          <w:rPr/>
        </w:rPrChange>
      </w:rPr>
      <w:t>(529503)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7A0D" w14:textId="77777777" w:rsidR="00CB685A" w:rsidRDefault="00CB685A">
      <w:r>
        <w:rPr>
          <w:b/>
        </w:rPr>
        <w:t>_______________</w:t>
      </w:r>
    </w:p>
  </w:footnote>
  <w:footnote w:type="continuationSeparator" w:id="0">
    <w:p w14:paraId="48880EAA" w14:textId="77777777" w:rsidR="00CB685A" w:rsidRDefault="00CB685A">
      <w:r>
        <w:continuationSeparator/>
      </w:r>
    </w:p>
  </w:footnote>
  <w:footnote w:id="1">
    <w:p w14:paraId="68B813A9" w14:textId="4885258E" w:rsidR="0098789B" w:rsidRPr="0098789B" w:rsidRDefault="0098789B">
      <w:pPr>
        <w:pStyle w:val="FootnoteText"/>
        <w:rPr>
          <w:lang w:val="fr-CH"/>
        </w:rPr>
      </w:pPr>
      <w:r>
        <w:rPr>
          <w:rStyle w:val="FootnoteReference"/>
        </w:rPr>
        <w:footnoteRef/>
      </w:r>
      <w:r w:rsidR="00546CB4">
        <w:tab/>
      </w:r>
      <w:r>
        <w:rPr>
          <w:lang w:val="fr-CH"/>
        </w:rPr>
        <w:t>Projet de nouvelle Recommandation UIT-R M</w:t>
      </w:r>
      <w:r w:rsidRPr="0098789B">
        <w:rPr>
          <w:lang w:val="fr-CH"/>
        </w:rPr>
        <w:t>.[IMT.FRAMEWORK FOR 2030 AND BEYOND]</w:t>
      </w:r>
      <w:r>
        <w:rPr>
          <w:lang w:val="fr-CH"/>
        </w:rPr>
        <w:t xml:space="preserve"> – </w:t>
      </w:r>
      <w:r w:rsidR="009525F2" w:rsidRPr="009525F2">
        <w:rPr>
          <w:lang w:val="fr-CH"/>
        </w:rPr>
        <w:t>Cadre et objectifs généraux du développement futur des IMT à l'horizon 2030 et</w:t>
      </w:r>
      <w:r w:rsidR="00546CB4">
        <w:rPr>
          <w:lang w:val="fr-CH"/>
        </w:rPr>
        <w:t> </w:t>
      </w:r>
      <w:r w:rsidR="009525F2" w:rsidRPr="009525F2">
        <w:rPr>
          <w:lang w:val="fr-CH"/>
        </w:rPr>
        <w:t>au</w:t>
      </w:r>
      <w:r w:rsidR="00546CB4">
        <w:rPr>
          <w:lang w:val="fr-CH"/>
        </w:rPr>
        <w:noBreakHyphen/>
      </w:r>
      <w:r w:rsidR="009525F2" w:rsidRPr="009525F2">
        <w:rPr>
          <w:lang w:val="fr-CH"/>
        </w:rPr>
        <w:t>delà</w:t>
      </w:r>
      <w:r w:rsidR="009525F2">
        <w:rPr>
          <w:lang w:val="fr-CH"/>
        </w:rPr>
        <w:t xml:space="preserve">, disponible à l'adresse </w:t>
      </w:r>
      <w:hyperlink r:id="rId1" w:history="1">
        <w:r w:rsidR="00546CB4" w:rsidRPr="006136D2">
          <w:rPr>
            <w:rStyle w:val="Hyperlink"/>
            <w:lang w:val="fr-CH"/>
          </w:rPr>
          <w:t>https://www.itu.int/md/R19-SG05-C-0131/en</w:t>
        </w:r>
      </w:hyperlink>
      <w:r w:rsidR="009525F2">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40E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F54D970" w14:textId="5C40C34D" w:rsidR="006D2653" w:rsidRDefault="00225CF2" w:rsidP="00FD7AA3">
    <w:pPr>
      <w:pStyle w:val="Header"/>
    </w:pPr>
    <w:r>
      <w:t>WRC</w:t>
    </w:r>
    <w:r w:rsidR="00D3426F">
      <w:t>23</w:t>
    </w:r>
    <w:r w:rsidR="004F1F8E">
      <w:t>/</w:t>
    </w:r>
    <w:r w:rsidR="006A4B45">
      <w:t>44(Add.27)(Add.12)-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40608391">
    <w:abstractNumId w:val="0"/>
  </w:num>
  <w:num w:numId="2" w16cid:durableId="189099356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dotti, Coraline">
    <w15:presenceInfo w15:providerId="AD" w15:userId="S::coraline.bendotti@itu.int::abffbe77-0a65-482d-ba8f-bd3edb73f4ea"/>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16C67"/>
    <w:rsid w:val="0003522F"/>
    <w:rsid w:val="00054D1F"/>
    <w:rsid w:val="00063A1F"/>
    <w:rsid w:val="00073DE8"/>
    <w:rsid w:val="00080E2C"/>
    <w:rsid w:val="00081366"/>
    <w:rsid w:val="000863B3"/>
    <w:rsid w:val="000A4755"/>
    <w:rsid w:val="000A55AE"/>
    <w:rsid w:val="000B2E0C"/>
    <w:rsid w:val="000B3D0C"/>
    <w:rsid w:val="000D5CED"/>
    <w:rsid w:val="000D619D"/>
    <w:rsid w:val="000E5032"/>
    <w:rsid w:val="001167B9"/>
    <w:rsid w:val="001208AC"/>
    <w:rsid w:val="001267A0"/>
    <w:rsid w:val="0015203F"/>
    <w:rsid w:val="00160C64"/>
    <w:rsid w:val="001748EF"/>
    <w:rsid w:val="0018169B"/>
    <w:rsid w:val="0019352B"/>
    <w:rsid w:val="001960D0"/>
    <w:rsid w:val="001A11F6"/>
    <w:rsid w:val="001F17E8"/>
    <w:rsid w:val="00204306"/>
    <w:rsid w:val="00205B50"/>
    <w:rsid w:val="0022152C"/>
    <w:rsid w:val="00225CF2"/>
    <w:rsid w:val="00232FD2"/>
    <w:rsid w:val="0026554E"/>
    <w:rsid w:val="00271BF9"/>
    <w:rsid w:val="00282D73"/>
    <w:rsid w:val="00284031"/>
    <w:rsid w:val="002950B3"/>
    <w:rsid w:val="002A4622"/>
    <w:rsid w:val="002A6F8F"/>
    <w:rsid w:val="002B17E5"/>
    <w:rsid w:val="002B4B72"/>
    <w:rsid w:val="002C0EBF"/>
    <w:rsid w:val="002C28A4"/>
    <w:rsid w:val="002C3B10"/>
    <w:rsid w:val="002D4DEA"/>
    <w:rsid w:val="002D7E0A"/>
    <w:rsid w:val="00312586"/>
    <w:rsid w:val="00315AFE"/>
    <w:rsid w:val="00320083"/>
    <w:rsid w:val="00336445"/>
    <w:rsid w:val="003411F6"/>
    <w:rsid w:val="00353103"/>
    <w:rsid w:val="003606A6"/>
    <w:rsid w:val="0036650C"/>
    <w:rsid w:val="00393ACD"/>
    <w:rsid w:val="003A583E"/>
    <w:rsid w:val="003C7AD2"/>
    <w:rsid w:val="003E0E01"/>
    <w:rsid w:val="003E112B"/>
    <w:rsid w:val="003E1D1C"/>
    <w:rsid w:val="003E33D9"/>
    <w:rsid w:val="003E60F8"/>
    <w:rsid w:val="003E7B05"/>
    <w:rsid w:val="003F3719"/>
    <w:rsid w:val="003F5D9D"/>
    <w:rsid w:val="003F6F2D"/>
    <w:rsid w:val="00407614"/>
    <w:rsid w:val="00466211"/>
    <w:rsid w:val="00483196"/>
    <w:rsid w:val="004834A9"/>
    <w:rsid w:val="00483B2F"/>
    <w:rsid w:val="00491942"/>
    <w:rsid w:val="004D01FC"/>
    <w:rsid w:val="004E28C3"/>
    <w:rsid w:val="004E6073"/>
    <w:rsid w:val="004F1F8E"/>
    <w:rsid w:val="004F562C"/>
    <w:rsid w:val="00512A32"/>
    <w:rsid w:val="00513D2B"/>
    <w:rsid w:val="005343DA"/>
    <w:rsid w:val="00540DBA"/>
    <w:rsid w:val="00546CB4"/>
    <w:rsid w:val="00560874"/>
    <w:rsid w:val="00586CF2"/>
    <w:rsid w:val="005A7C75"/>
    <w:rsid w:val="005C1616"/>
    <w:rsid w:val="005C3768"/>
    <w:rsid w:val="005C6C3F"/>
    <w:rsid w:val="005C7C43"/>
    <w:rsid w:val="005F6393"/>
    <w:rsid w:val="00613635"/>
    <w:rsid w:val="0062093D"/>
    <w:rsid w:val="00637ECF"/>
    <w:rsid w:val="00643616"/>
    <w:rsid w:val="00647B59"/>
    <w:rsid w:val="00656F02"/>
    <w:rsid w:val="00670509"/>
    <w:rsid w:val="00685152"/>
    <w:rsid w:val="00685D81"/>
    <w:rsid w:val="00690C7B"/>
    <w:rsid w:val="006A4B45"/>
    <w:rsid w:val="006D2653"/>
    <w:rsid w:val="006D4724"/>
    <w:rsid w:val="006D7AC1"/>
    <w:rsid w:val="006F5FA2"/>
    <w:rsid w:val="0070076C"/>
    <w:rsid w:val="00701BAE"/>
    <w:rsid w:val="00721F04"/>
    <w:rsid w:val="00730E95"/>
    <w:rsid w:val="007426B9"/>
    <w:rsid w:val="00764342"/>
    <w:rsid w:val="00774362"/>
    <w:rsid w:val="00775DF8"/>
    <w:rsid w:val="00786598"/>
    <w:rsid w:val="00790C74"/>
    <w:rsid w:val="007A04E8"/>
    <w:rsid w:val="007A1B05"/>
    <w:rsid w:val="007B2C34"/>
    <w:rsid w:val="007B3AA3"/>
    <w:rsid w:val="007B681C"/>
    <w:rsid w:val="007D1793"/>
    <w:rsid w:val="007D6348"/>
    <w:rsid w:val="007F282B"/>
    <w:rsid w:val="00820E6A"/>
    <w:rsid w:val="00826760"/>
    <w:rsid w:val="00830086"/>
    <w:rsid w:val="00832071"/>
    <w:rsid w:val="008341F4"/>
    <w:rsid w:val="00847E39"/>
    <w:rsid w:val="00851625"/>
    <w:rsid w:val="00863C0A"/>
    <w:rsid w:val="00865252"/>
    <w:rsid w:val="008A3120"/>
    <w:rsid w:val="008A4B97"/>
    <w:rsid w:val="008C5B8E"/>
    <w:rsid w:val="008C5DD5"/>
    <w:rsid w:val="008C7123"/>
    <w:rsid w:val="008D41BE"/>
    <w:rsid w:val="008D58D3"/>
    <w:rsid w:val="008E3BC9"/>
    <w:rsid w:val="00917FE5"/>
    <w:rsid w:val="00923064"/>
    <w:rsid w:val="00923166"/>
    <w:rsid w:val="0092698F"/>
    <w:rsid w:val="00930FFD"/>
    <w:rsid w:val="00936D25"/>
    <w:rsid w:val="00941EA5"/>
    <w:rsid w:val="009525F2"/>
    <w:rsid w:val="00964700"/>
    <w:rsid w:val="00966C16"/>
    <w:rsid w:val="00971CC2"/>
    <w:rsid w:val="0098732F"/>
    <w:rsid w:val="0098789B"/>
    <w:rsid w:val="00995283"/>
    <w:rsid w:val="009A045F"/>
    <w:rsid w:val="009A54E7"/>
    <w:rsid w:val="009A6A2B"/>
    <w:rsid w:val="009C7E7C"/>
    <w:rsid w:val="009D02BD"/>
    <w:rsid w:val="00A00473"/>
    <w:rsid w:val="00A03C9B"/>
    <w:rsid w:val="00A10662"/>
    <w:rsid w:val="00A2269C"/>
    <w:rsid w:val="00A37105"/>
    <w:rsid w:val="00A606C3"/>
    <w:rsid w:val="00A71682"/>
    <w:rsid w:val="00A83B09"/>
    <w:rsid w:val="00A84541"/>
    <w:rsid w:val="00AE36A0"/>
    <w:rsid w:val="00B00294"/>
    <w:rsid w:val="00B34DD2"/>
    <w:rsid w:val="00B3749C"/>
    <w:rsid w:val="00B608BC"/>
    <w:rsid w:val="00B64FD0"/>
    <w:rsid w:val="00B77550"/>
    <w:rsid w:val="00B8307C"/>
    <w:rsid w:val="00BA5BD0"/>
    <w:rsid w:val="00BB1D82"/>
    <w:rsid w:val="00BC217E"/>
    <w:rsid w:val="00BD51C5"/>
    <w:rsid w:val="00BE4AB6"/>
    <w:rsid w:val="00BF26E7"/>
    <w:rsid w:val="00C1305F"/>
    <w:rsid w:val="00C26066"/>
    <w:rsid w:val="00C53FCA"/>
    <w:rsid w:val="00C71DEB"/>
    <w:rsid w:val="00C76BAF"/>
    <w:rsid w:val="00C814B9"/>
    <w:rsid w:val="00CB685A"/>
    <w:rsid w:val="00CC7DA1"/>
    <w:rsid w:val="00CD4FB1"/>
    <w:rsid w:val="00CD516F"/>
    <w:rsid w:val="00CE766B"/>
    <w:rsid w:val="00CF0C1B"/>
    <w:rsid w:val="00D07E70"/>
    <w:rsid w:val="00D119A7"/>
    <w:rsid w:val="00D25FBA"/>
    <w:rsid w:val="00D313B7"/>
    <w:rsid w:val="00D32B28"/>
    <w:rsid w:val="00D3426F"/>
    <w:rsid w:val="00D42954"/>
    <w:rsid w:val="00D66EAC"/>
    <w:rsid w:val="00D670EC"/>
    <w:rsid w:val="00D730DF"/>
    <w:rsid w:val="00D772F0"/>
    <w:rsid w:val="00D77BDC"/>
    <w:rsid w:val="00DC402B"/>
    <w:rsid w:val="00DE0932"/>
    <w:rsid w:val="00DF15E8"/>
    <w:rsid w:val="00E03A27"/>
    <w:rsid w:val="00E049F1"/>
    <w:rsid w:val="00E239A6"/>
    <w:rsid w:val="00E37A25"/>
    <w:rsid w:val="00E43D38"/>
    <w:rsid w:val="00E537FF"/>
    <w:rsid w:val="00E60CB2"/>
    <w:rsid w:val="00E6539B"/>
    <w:rsid w:val="00E70A31"/>
    <w:rsid w:val="00E723A7"/>
    <w:rsid w:val="00E9285C"/>
    <w:rsid w:val="00EA0C11"/>
    <w:rsid w:val="00EA3F38"/>
    <w:rsid w:val="00EA5AB6"/>
    <w:rsid w:val="00EB25EF"/>
    <w:rsid w:val="00EC7615"/>
    <w:rsid w:val="00ED16AA"/>
    <w:rsid w:val="00ED6B8D"/>
    <w:rsid w:val="00EE163C"/>
    <w:rsid w:val="00EE2235"/>
    <w:rsid w:val="00EE3D7B"/>
    <w:rsid w:val="00EF662E"/>
    <w:rsid w:val="00F10064"/>
    <w:rsid w:val="00F148F1"/>
    <w:rsid w:val="00F244FE"/>
    <w:rsid w:val="00F37636"/>
    <w:rsid w:val="00F652D2"/>
    <w:rsid w:val="00F711A7"/>
    <w:rsid w:val="00F8696F"/>
    <w:rsid w:val="00FA3BBF"/>
    <w:rsid w:val="00FC41F8"/>
    <w:rsid w:val="00FD7AA3"/>
    <w:rsid w:val="00FF1C40"/>
    <w:rsid w:val="00FF7088"/>
    <w:rsid w:val="00FF76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3772D2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ormal + Bold,Italic"/>
    <w:uiPriority w:val="99"/>
    <w:qFormat/>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nhideWhenUsed/>
    <w:rPr>
      <w:color w:val="0000FF" w:themeColor="hyperlink"/>
      <w:u w:val="single"/>
    </w:rPr>
  </w:style>
  <w:style w:type="character" w:customStyle="1" w:styleId="enumlev1Char">
    <w:name w:val="enumlev1 Char"/>
    <w:basedOn w:val="DefaultParagraphFont"/>
    <w:link w:val="enumlev1"/>
    <w:qFormat/>
    <w:locked/>
    <w:rsid w:val="00B34DD2"/>
    <w:rPr>
      <w:rFonts w:ascii="Times New Roman" w:hAnsi="Times New Roman"/>
      <w:sz w:val="24"/>
      <w:lang w:val="fr-FR" w:eastAsia="en-US"/>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qFormat/>
    <w:rsid w:val="00B34DD2"/>
    <w:rPr>
      <w:rFonts w:ascii="Times New Roman" w:hAnsi="Times New Roman"/>
      <w:sz w:val="24"/>
      <w:lang w:val="fr-FR" w:eastAsia="en-US"/>
    </w:rPr>
  </w:style>
  <w:style w:type="character" w:customStyle="1" w:styleId="CallChar">
    <w:name w:val="Call Char"/>
    <w:basedOn w:val="DefaultParagraphFont"/>
    <w:link w:val="Call"/>
    <w:qFormat/>
    <w:locked/>
    <w:rsid w:val="00B34DD2"/>
    <w:rPr>
      <w:rFonts w:ascii="Times New Roman" w:hAnsi="Times New Roman"/>
      <w:i/>
      <w:sz w:val="24"/>
      <w:lang w:val="fr-FR" w:eastAsia="en-US"/>
    </w:rPr>
  </w:style>
  <w:style w:type="paragraph" w:styleId="Revision">
    <w:name w:val="Revision"/>
    <w:hidden/>
    <w:uiPriority w:val="99"/>
    <w:semiHidden/>
    <w:rsid w:val="00923166"/>
    <w:rPr>
      <w:rFonts w:ascii="Times New Roman" w:hAnsi="Times New Roman"/>
      <w:sz w:val="24"/>
      <w:lang w:val="fr-FR" w:eastAsia="en-US"/>
    </w:rPr>
  </w:style>
  <w:style w:type="character" w:styleId="UnresolvedMention">
    <w:name w:val="Unresolved Mention"/>
    <w:basedOn w:val="DefaultParagraphFont"/>
    <w:uiPriority w:val="99"/>
    <w:semiHidden/>
    <w:unhideWhenUsed/>
    <w:rsid w:val="00546CB4"/>
    <w:rPr>
      <w:color w:val="605E5C"/>
      <w:shd w:val="clear" w:color="auto" w:fill="E1DFDD"/>
    </w:rPr>
  </w:style>
  <w:style w:type="character" w:styleId="FollowedHyperlink">
    <w:name w:val="FollowedHyperlink"/>
    <w:basedOn w:val="DefaultParagraphFont"/>
    <w:semiHidden/>
    <w:unhideWhenUsed/>
    <w:rsid w:val="00546C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7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9-SG05-C-013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R23-WRC23-C-0044!A27-A12!MSW-F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D14161BA-8EB7-45C4-9781-7A93C305DD31}">
  <ds:schemaRefs>
    <ds:schemaRef ds:uri="http://schemas.openxmlformats.org/officeDocument/2006/bibliography"/>
  </ds:schemaRefs>
</ds:datastoreItem>
</file>

<file path=customXml/itemProps2.xml><?xml version="1.0" encoding="utf-8"?>
<ds:datastoreItem xmlns:ds="http://schemas.openxmlformats.org/officeDocument/2006/customXml" ds:itemID="{FA8A180A-9A1B-40A5-B479-61DB25645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F1359914-77D2-42C6-A478-2A2B04F01036}">
  <ds:schemaRefs>
    <ds:schemaRef ds:uri="http://schemas.microsoft.com/sharepoint/events"/>
  </ds:schemaRefs>
</ds:datastoreItem>
</file>

<file path=customXml/itemProps5.xml><?xml version="1.0" encoding="utf-8"?>
<ds:datastoreItem xmlns:ds="http://schemas.openxmlformats.org/officeDocument/2006/customXml" ds:itemID="{FB2413F8-9CB7-48F5-AC34-150E421E1D0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2759</Words>
  <Characters>15788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R23-WRC23-C-0044!A27-A12!MSW-F</vt:lpstr>
    </vt:vector>
  </TitlesOfParts>
  <Manager>Secrétariat général - Pool</Manager>
  <Company>Union internationale des télécommunications (UIT)</Company>
  <LinksUpToDate>false</LinksUpToDate>
  <CharactersWithSpaces>18510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R23-WRC23-C-0044!A27-A12!MSW-F</dc:title>
  <dc:subject>Conférence mondiale des radiocommunications - 2019</dc:subject>
  <dc:creator>Documents Proposals Manager (DPM)</dc:creator>
  <cp:keywords>DPM_v2023.8.1.1_prod</cp:keywords>
  <dc:description/>
  <cp:lastModifiedBy>French</cp:lastModifiedBy>
  <cp:revision>8</cp:revision>
  <cp:lastPrinted>2003-06-05T19:34:00Z</cp:lastPrinted>
  <dcterms:created xsi:type="dcterms:W3CDTF">2023-11-03T08:49:00Z</dcterms:created>
  <dcterms:modified xsi:type="dcterms:W3CDTF">2023-11-03T11:48:00Z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