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52801" w14:paraId="3858C89F" w14:textId="77777777" w:rsidTr="00F320AA">
        <w:trPr>
          <w:cantSplit/>
        </w:trPr>
        <w:tc>
          <w:tcPr>
            <w:tcW w:w="1418" w:type="dxa"/>
            <w:vAlign w:val="center"/>
          </w:tcPr>
          <w:p w14:paraId="61E79DA0" w14:textId="77777777" w:rsidR="00F320AA" w:rsidRPr="00C52801" w:rsidRDefault="00F320AA" w:rsidP="00F320AA">
            <w:pPr>
              <w:spacing w:before="0"/>
              <w:rPr>
                <w:rFonts w:ascii="Verdana" w:hAnsi="Verdana"/>
                <w:position w:val="6"/>
              </w:rPr>
            </w:pPr>
            <w:r w:rsidRPr="00C52801">
              <w:drawing>
                <wp:inline distT="0" distB="0" distL="0" distR="0" wp14:anchorId="60EE7B42" wp14:editId="37FB76A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D96FA90" w14:textId="77777777" w:rsidR="00F320AA" w:rsidRPr="00C52801" w:rsidRDefault="00F320AA" w:rsidP="00F320AA">
            <w:pPr>
              <w:spacing w:before="400" w:after="48" w:line="240" w:lineRule="atLeast"/>
              <w:rPr>
                <w:rFonts w:ascii="Verdana" w:hAnsi="Verdana"/>
                <w:position w:val="6"/>
              </w:rPr>
            </w:pPr>
            <w:r w:rsidRPr="00C52801">
              <w:rPr>
                <w:rFonts w:ascii="Verdana" w:hAnsi="Verdana" w:cs="Times"/>
                <w:b/>
                <w:position w:val="6"/>
                <w:sz w:val="22"/>
                <w:szCs w:val="22"/>
              </w:rPr>
              <w:t>World Radiocommunication Conference (WRC-23)</w:t>
            </w:r>
            <w:r w:rsidRPr="00C52801">
              <w:rPr>
                <w:rFonts w:ascii="Verdana" w:hAnsi="Verdana" w:cs="Times"/>
                <w:b/>
                <w:position w:val="6"/>
                <w:sz w:val="26"/>
                <w:szCs w:val="26"/>
              </w:rPr>
              <w:br/>
            </w:r>
            <w:r w:rsidRPr="00C52801">
              <w:rPr>
                <w:rFonts w:ascii="Verdana" w:hAnsi="Verdana"/>
                <w:b/>
                <w:bCs/>
                <w:position w:val="6"/>
                <w:sz w:val="18"/>
                <w:szCs w:val="18"/>
              </w:rPr>
              <w:t>Dubai, 20 November - 15 December 2023</w:t>
            </w:r>
          </w:p>
        </w:tc>
        <w:tc>
          <w:tcPr>
            <w:tcW w:w="1951" w:type="dxa"/>
            <w:vAlign w:val="center"/>
          </w:tcPr>
          <w:p w14:paraId="74172E51" w14:textId="77777777" w:rsidR="00F320AA" w:rsidRPr="00C52801" w:rsidRDefault="00EB0812" w:rsidP="00F320AA">
            <w:pPr>
              <w:spacing w:before="0" w:line="240" w:lineRule="atLeast"/>
            </w:pPr>
            <w:r w:rsidRPr="00C52801">
              <w:drawing>
                <wp:inline distT="0" distB="0" distL="0" distR="0" wp14:anchorId="4502EEA8" wp14:editId="1C8A79A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52801" w14:paraId="58F725B7" w14:textId="77777777">
        <w:trPr>
          <w:cantSplit/>
        </w:trPr>
        <w:tc>
          <w:tcPr>
            <w:tcW w:w="6911" w:type="dxa"/>
            <w:gridSpan w:val="2"/>
            <w:tcBorders>
              <w:bottom w:val="single" w:sz="12" w:space="0" w:color="auto"/>
            </w:tcBorders>
          </w:tcPr>
          <w:p w14:paraId="41154484" w14:textId="77777777" w:rsidR="00A066F1" w:rsidRPr="00C5280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7F2641A" w14:textId="77777777" w:rsidR="00A066F1" w:rsidRPr="00C52801" w:rsidRDefault="00A066F1" w:rsidP="00A066F1">
            <w:pPr>
              <w:spacing w:before="0" w:line="240" w:lineRule="atLeast"/>
              <w:rPr>
                <w:rFonts w:ascii="Verdana" w:hAnsi="Verdana"/>
                <w:szCs w:val="24"/>
              </w:rPr>
            </w:pPr>
          </w:p>
        </w:tc>
      </w:tr>
      <w:tr w:rsidR="00A066F1" w:rsidRPr="00C52801" w14:paraId="1691B5E9" w14:textId="77777777">
        <w:trPr>
          <w:cantSplit/>
        </w:trPr>
        <w:tc>
          <w:tcPr>
            <w:tcW w:w="6911" w:type="dxa"/>
            <w:gridSpan w:val="2"/>
            <w:tcBorders>
              <w:top w:val="single" w:sz="12" w:space="0" w:color="auto"/>
            </w:tcBorders>
          </w:tcPr>
          <w:p w14:paraId="1C6EC961" w14:textId="77777777" w:rsidR="00A066F1" w:rsidRPr="00C5280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130574B" w14:textId="77777777" w:rsidR="00A066F1" w:rsidRPr="00C52801" w:rsidRDefault="00A066F1" w:rsidP="00A066F1">
            <w:pPr>
              <w:spacing w:before="0" w:line="240" w:lineRule="atLeast"/>
              <w:rPr>
                <w:rFonts w:ascii="Verdana" w:hAnsi="Verdana"/>
                <w:sz w:val="20"/>
              </w:rPr>
            </w:pPr>
          </w:p>
        </w:tc>
      </w:tr>
      <w:tr w:rsidR="00A066F1" w:rsidRPr="00C52801" w14:paraId="127CE060" w14:textId="77777777">
        <w:trPr>
          <w:cantSplit/>
          <w:trHeight w:val="23"/>
        </w:trPr>
        <w:tc>
          <w:tcPr>
            <w:tcW w:w="6911" w:type="dxa"/>
            <w:gridSpan w:val="2"/>
            <w:shd w:val="clear" w:color="auto" w:fill="auto"/>
          </w:tcPr>
          <w:p w14:paraId="6EFC6111" w14:textId="77777777" w:rsidR="00A066F1" w:rsidRPr="00C5280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52801">
              <w:rPr>
                <w:rFonts w:ascii="Verdana" w:hAnsi="Verdana"/>
                <w:sz w:val="20"/>
                <w:szCs w:val="20"/>
              </w:rPr>
              <w:t>PLENARY MEETING</w:t>
            </w:r>
          </w:p>
        </w:tc>
        <w:tc>
          <w:tcPr>
            <w:tcW w:w="3120" w:type="dxa"/>
            <w:gridSpan w:val="2"/>
          </w:tcPr>
          <w:p w14:paraId="6324B692" w14:textId="77777777" w:rsidR="00A066F1" w:rsidRPr="00C52801" w:rsidRDefault="00E55816" w:rsidP="00AA666F">
            <w:pPr>
              <w:tabs>
                <w:tab w:val="left" w:pos="851"/>
              </w:tabs>
              <w:spacing w:before="0" w:line="240" w:lineRule="atLeast"/>
              <w:rPr>
                <w:rFonts w:ascii="Verdana" w:hAnsi="Verdana"/>
                <w:sz w:val="20"/>
              </w:rPr>
            </w:pPr>
            <w:r w:rsidRPr="00C52801">
              <w:rPr>
                <w:rFonts w:ascii="Verdana" w:hAnsi="Verdana"/>
                <w:b/>
                <w:sz w:val="20"/>
              </w:rPr>
              <w:t>Addendum 11 to</w:t>
            </w:r>
            <w:r w:rsidRPr="00C52801">
              <w:rPr>
                <w:rFonts w:ascii="Verdana" w:hAnsi="Verdana"/>
                <w:b/>
                <w:sz w:val="20"/>
              </w:rPr>
              <w:br/>
              <w:t>Document 44(Add.27)</w:t>
            </w:r>
            <w:r w:rsidR="00A066F1" w:rsidRPr="00C52801">
              <w:rPr>
                <w:rFonts w:ascii="Verdana" w:hAnsi="Verdana"/>
                <w:b/>
                <w:sz w:val="20"/>
              </w:rPr>
              <w:t>-</w:t>
            </w:r>
            <w:r w:rsidR="005E10C9" w:rsidRPr="00C52801">
              <w:rPr>
                <w:rFonts w:ascii="Verdana" w:hAnsi="Verdana"/>
                <w:b/>
                <w:sz w:val="20"/>
              </w:rPr>
              <w:t>E</w:t>
            </w:r>
          </w:p>
        </w:tc>
      </w:tr>
      <w:tr w:rsidR="00A066F1" w:rsidRPr="00C52801" w14:paraId="534F9445" w14:textId="77777777">
        <w:trPr>
          <w:cantSplit/>
          <w:trHeight w:val="23"/>
        </w:trPr>
        <w:tc>
          <w:tcPr>
            <w:tcW w:w="6911" w:type="dxa"/>
            <w:gridSpan w:val="2"/>
            <w:shd w:val="clear" w:color="auto" w:fill="auto"/>
          </w:tcPr>
          <w:p w14:paraId="5BB8747A" w14:textId="77777777" w:rsidR="00A066F1" w:rsidRPr="00C5280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E594F9A" w14:textId="77777777" w:rsidR="00A066F1" w:rsidRPr="00C52801" w:rsidRDefault="00420873" w:rsidP="00A066F1">
            <w:pPr>
              <w:tabs>
                <w:tab w:val="left" w:pos="993"/>
              </w:tabs>
              <w:spacing w:before="0"/>
              <w:rPr>
                <w:rFonts w:ascii="Verdana" w:hAnsi="Verdana"/>
                <w:sz w:val="20"/>
              </w:rPr>
            </w:pPr>
            <w:r w:rsidRPr="00C52801">
              <w:rPr>
                <w:rFonts w:ascii="Verdana" w:hAnsi="Verdana"/>
                <w:b/>
                <w:sz w:val="20"/>
              </w:rPr>
              <w:t>13 October 2023</w:t>
            </w:r>
          </w:p>
        </w:tc>
      </w:tr>
      <w:tr w:rsidR="00A066F1" w:rsidRPr="00C52801" w14:paraId="773B15A9" w14:textId="77777777">
        <w:trPr>
          <w:cantSplit/>
          <w:trHeight w:val="23"/>
        </w:trPr>
        <w:tc>
          <w:tcPr>
            <w:tcW w:w="6911" w:type="dxa"/>
            <w:gridSpan w:val="2"/>
            <w:shd w:val="clear" w:color="auto" w:fill="auto"/>
          </w:tcPr>
          <w:p w14:paraId="2EF8064A" w14:textId="77777777" w:rsidR="00A066F1" w:rsidRPr="00C5280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C161BF2" w14:textId="77777777" w:rsidR="00A066F1" w:rsidRPr="00C52801" w:rsidRDefault="00E55816" w:rsidP="00A066F1">
            <w:pPr>
              <w:tabs>
                <w:tab w:val="left" w:pos="993"/>
              </w:tabs>
              <w:spacing w:before="0"/>
              <w:rPr>
                <w:rFonts w:ascii="Verdana" w:hAnsi="Verdana"/>
                <w:b/>
                <w:sz w:val="20"/>
              </w:rPr>
            </w:pPr>
            <w:r w:rsidRPr="00C52801">
              <w:rPr>
                <w:rFonts w:ascii="Verdana" w:hAnsi="Verdana"/>
                <w:b/>
                <w:sz w:val="20"/>
              </w:rPr>
              <w:t>Original: English</w:t>
            </w:r>
          </w:p>
        </w:tc>
      </w:tr>
      <w:tr w:rsidR="00A066F1" w:rsidRPr="00C52801" w14:paraId="0F12A5A9" w14:textId="77777777" w:rsidTr="00025864">
        <w:trPr>
          <w:cantSplit/>
          <w:trHeight w:val="23"/>
        </w:trPr>
        <w:tc>
          <w:tcPr>
            <w:tcW w:w="10031" w:type="dxa"/>
            <w:gridSpan w:val="4"/>
            <w:shd w:val="clear" w:color="auto" w:fill="auto"/>
          </w:tcPr>
          <w:p w14:paraId="30BAF340" w14:textId="77777777" w:rsidR="00A066F1" w:rsidRPr="00C52801" w:rsidRDefault="00A066F1" w:rsidP="00A066F1">
            <w:pPr>
              <w:tabs>
                <w:tab w:val="left" w:pos="993"/>
              </w:tabs>
              <w:spacing w:before="0"/>
              <w:rPr>
                <w:rFonts w:ascii="Verdana" w:hAnsi="Verdana"/>
                <w:b/>
                <w:sz w:val="20"/>
              </w:rPr>
            </w:pPr>
          </w:p>
        </w:tc>
      </w:tr>
      <w:tr w:rsidR="00E55816" w:rsidRPr="00C52801" w14:paraId="51EF50D4" w14:textId="77777777" w:rsidTr="00025864">
        <w:trPr>
          <w:cantSplit/>
          <w:trHeight w:val="23"/>
        </w:trPr>
        <w:tc>
          <w:tcPr>
            <w:tcW w:w="10031" w:type="dxa"/>
            <w:gridSpan w:val="4"/>
            <w:shd w:val="clear" w:color="auto" w:fill="auto"/>
          </w:tcPr>
          <w:p w14:paraId="5969FBD7" w14:textId="77777777" w:rsidR="00E55816" w:rsidRPr="00C52801" w:rsidRDefault="00884D60" w:rsidP="00E55816">
            <w:pPr>
              <w:pStyle w:val="Source"/>
            </w:pPr>
            <w:r w:rsidRPr="00C52801">
              <w:t>Member States of the Inter-American Telecommunication Commission (CITEL)</w:t>
            </w:r>
          </w:p>
        </w:tc>
      </w:tr>
      <w:tr w:rsidR="00E55816" w:rsidRPr="00C52801" w14:paraId="4E7EE5B4" w14:textId="77777777" w:rsidTr="00025864">
        <w:trPr>
          <w:cantSplit/>
          <w:trHeight w:val="23"/>
        </w:trPr>
        <w:tc>
          <w:tcPr>
            <w:tcW w:w="10031" w:type="dxa"/>
            <w:gridSpan w:val="4"/>
            <w:shd w:val="clear" w:color="auto" w:fill="auto"/>
          </w:tcPr>
          <w:p w14:paraId="64FCBA2B" w14:textId="77777777" w:rsidR="00E55816" w:rsidRPr="00C52801" w:rsidRDefault="007D5320" w:rsidP="00E55816">
            <w:pPr>
              <w:pStyle w:val="Title1"/>
            </w:pPr>
            <w:r w:rsidRPr="00C52801">
              <w:t>PROPOSALS FOR THE WORK OF THE CONFERENCE</w:t>
            </w:r>
          </w:p>
        </w:tc>
      </w:tr>
      <w:tr w:rsidR="00E55816" w:rsidRPr="00C52801" w14:paraId="0C3C0C80" w14:textId="77777777" w:rsidTr="00025864">
        <w:trPr>
          <w:cantSplit/>
          <w:trHeight w:val="23"/>
        </w:trPr>
        <w:tc>
          <w:tcPr>
            <w:tcW w:w="10031" w:type="dxa"/>
            <w:gridSpan w:val="4"/>
            <w:shd w:val="clear" w:color="auto" w:fill="auto"/>
          </w:tcPr>
          <w:p w14:paraId="753EFB4F" w14:textId="77777777" w:rsidR="00E55816" w:rsidRPr="00C52801" w:rsidRDefault="00E55816" w:rsidP="00E55816">
            <w:pPr>
              <w:pStyle w:val="Title2"/>
            </w:pPr>
          </w:p>
        </w:tc>
      </w:tr>
      <w:tr w:rsidR="00A538A6" w:rsidRPr="00C52801" w14:paraId="13E1007F" w14:textId="77777777" w:rsidTr="00025864">
        <w:trPr>
          <w:cantSplit/>
          <w:trHeight w:val="23"/>
        </w:trPr>
        <w:tc>
          <w:tcPr>
            <w:tcW w:w="10031" w:type="dxa"/>
            <w:gridSpan w:val="4"/>
            <w:shd w:val="clear" w:color="auto" w:fill="auto"/>
          </w:tcPr>
          <w:p w14:paraId="76B83548" w14:textId="77777777" w:rsidR="00A538A6" w:rsidRPr="00C52801" w:rsidRDefault="004B13CB" w:rsidP="004B13CB">
            <w:pPr>
              <w:pStyle w:val="Agendaitem"/>
              <w:rPr>
                <w:lang w:val="en-GB"/>
              </w:rPr>
            </w:pPr>
            <w:r w:rsidRPr="00C52801">
              <w:rPr>
                <w:lang w:val="en-GB"/>
              </w:rPr>
              <w:t>Agenda item 10</w:t>
            </w:r>
          </w:p>
        </w:tc>
      </w:tr>
    </w:tbl>
    <w:bookmarkEnd w:id="5"/>
    <w:bookmarkEnd w:id="6"/>
    <w:p w14:paraId="39DCCCFF" w14:textId="30FA6B91" w:rsidR="00187BD9" w:rsidRPr="00C52801" w:rsidRDefault="00CA2551" w:rsidP="0091262A">
      <w:pPr>
        <w:pStyle w:val="Normalaftertitle"/>
      </w:pPr>
      <w:r w:rsidRPr="00C52801">
        <w:t>10</w:t>
      </w:r>
      <w:r w:rsidRPr="00C52801">
        <w:rPr>
          <w:b/>
          <w:bCs/>
        </w:rPr>
        <w:tab/>
      </w:r>
      <w:r w:rsidRPr="00C52801">
        <w:t xml:space="preserve">to recommend to the ITU Council items for inclusion in the agenda for the next world radiocommunication conference, </w:t>
      </w:r>
      <w:r w:rsidRPr="00C52801">
        <w:rPr>
          <w:iCs/>
        </w:rPr>
        <w:t xml:space="preserve">and items for the preliminary agenda of future conferences, </w:t>
      </w:r>
      <w:r w:rsidRPr="00C52801">
        <w:t xml:space="preserve">in accordance with Article 7 of the ITU Convention </w:t>
      </w:r>
      <w:r w:rsidRPr="00C52801">
        <w:rPr>
          <w:iCs/>
        </w:rPr>
        <w:t>and Resolution</w:t>
      </w:r>
      <w:r w:rsidR="007D0194" w:rsidRPr="00C52801">
        <w:rPr>
          <w:iCs/>
        </w:rPr>
        <w:t> </w:t>
      </w:r>
      <w:r w:rsidRPr="00C52801">
        <w:rPr>
          <w:b/>
          <w:bCs/>
          <w:iCs/>
        </w:rPr>
        <w:t>804 (Rev.WRC</w:t>
      </w:r>
      <w:r w:rsidRPr="00C52801">
        <w:rPr>
          <w:b/>
          <w:bCs/>
          <w:iCs/>
        </w:rPr>
        <w:noBreakHyphen/>
        <w:t>19)</w:t>
      </w:r>
      <w:r w:rsidRPr="00C52801">
        <w:rPr>
          <w:iCs/>
        </w:rPr>
        <w:t>,</w:t>
      </w:r>
    </w:p>
    <w:p w14:paraId="15175F1B" w14:textId="77777777" w:rsidR="00832968" w:rsidRPr="00C52801" w:rsidRDefault="00832968" w:rsidP="00E635D4">
      <w:pPr>
        <w:pStyle w:val="Part1"/>
      </w:pPr>
      <w:r w:rsidRPr="00C52801">
        <w:t>Part 11</w:t>
      </w:r>
    </w:p>
    <w:p w14:paraId="3CA84C8D" w14:textId="77777777" w:rsidR="00832968" w:rsidRPr="00C52801" w:rsidRDefault="00832968" w:rsidP="00832968">
      <w:pPr>
        <w:pStyle w:val="Headingb"/>
        <w:rPr>
          <w:b w:val="0"/>
          <w:lang w:val="en-GB"/>
        </w:rPr>
      </w:pPr>
      <w:r w:rsidRPr="00C52801">
        <w:rPr>
          <w:lang w:val="en-GB"/>
        </w:rPr>
        <w:t>Background</w:t>
      </w:r>
    </w:p>
    <w:p w14:paraId="1F8D8A7A" w14:textId="2E015EC9" w:rsidR="00832968" w:rsidRPr="00C52801" w:rsidRDefault="00832968" w:rsidP="00832968">
      <w:r w:rsidRPr="00C52801">
        <w:t>The landscape of the mobile-satellite service (MSS) is witnessing a transformative evolution. There is an escalating demand propelling the need for additional spectrum, particularly in the lower bands where a significant shortfall continues. This increasing demand requires the allocation of more MSS spectrum to enable service expansion and meet future needs. The proposal envisions studying and potentially allocating additional frequency bands 2</w:t>
      </w:r>
      <w:r w:rsidR="007D0194" w:rsidRPr="00C52801">
        <w:t> </w:t>
      </w:r>
      <w:r w:rsidRPr="00C52801">
        <w:t>010-2</w:t>
      </w:r>
      <w:r w:rsidR="007D0194" w:rsidRPr="00C52801">
        <w:t> </w:t>
      </w:r>
      <w:r w:rsidRPr="00C52801">
        <w:t>025</w:t>
      </w:r>
      <w:r w:rsidR="007D0194" w:rsidRPr="00C52801">
        <w:t> </w:t>
      </w:r>
      <w:r w:rsidRPr="00C52801">
        <w:t>MHz, 2</w:t>
      </w:r>
      <w:r w:rsidR="007D0194" w:rsidRPr="00C52801">
        <w:t> </w:t>
      </w:r>
      <w:r w:rsidRPr="00C52801">
        <w:t>120-2</w:t>
      </w:r>
      <w:r w:rsidR="007D0194" w:rsidRPr="00C52801">
        <w:t> </w:t>
      </w:r>
      <w:r w:rsidRPr="00C52801">
        <w:t>160</w:t>
      </w:r>
      <w:r w:rsidR="007D0194" w:rsidRPr="00C52801">
        <w:t> </w:t>
      </w:r>
      <w:r w:rsidRPr="00C52801">
        <w:t>MHz, and 2</w:t>
      </w:r>
      <w:r w:rsidR="002B07E6" w:rsidRPr="00C52801">
        <w:t> </w:t>
      </w:r>
      <w:r w:rsidRPr="00C52801">
        <w:t>160-2</w:t>
      </w:r>
      <w:r w:rsidR="002B07E6" w:rsidRPr="00C52801">
        <w:t> </w:t>
      </w:r>
      <w:r w:rsidRPr="00C52801">
        <w:t>170</w:t>
      </w:r>
      <w:r w:rsidR="0091262A" w:rsidRPr="00C52801">
        <w:t> </w:t>
      </w:r>
      <w:r w:rsidRPr="00C52801">
        <w:t>MHz, to further enhance MSS capabilities.</w:t>
      </w:r>
    </w:p>
    <w:p w14:paraId="14062837" w14:textId="1CA73354" w:rsidR="00832968" w:rsidRPr="00C52801" w:rsidRDefault="00832968" w:rsidP="00832968">
      <w:r w:rsidRPr="00C52801">
        <w:t>Multiple factors drive this surge in MSS demand. Primarily, it is the growing need for increased mobility in satellite services, alongside the demand for expanded capacity to extend existing and introduce new services. Moreover, the imperative requirement for improved coverage in remote and underserved regions is also a significant catalyst.</w:t>
      </w:r>
    </w:p>
    <w:p w14:paraId="4B417ACE" w14:textId="5568E1B3" w:rsidR="00832968" w:rsidRPr="00C52801" w:rsidRDefault="00832968" w:rsidP="00832968">
      <w:r w:rsidRPr="00C52801">
        <w:t>In addition, technical advancements and recent external standards organization work have fostered new terminal designs and opportunities, that can significantly intensify MSS traffic demand by bringing services direct to consumer electronic small devices for voice and data services.</w:t>
      </w:r>
    </w:p>
    <w:p w14:paraId="2A110CD9" w14:textId="059DFE45" w:rsidR="00832968" w:rsidRPr="00C52801" w:rsidRDefault="00832968" w:rsidP="00832968">
      <w:r w:rsidRPr="00C52801">
        <w:t xml:space="preserve">Furthermore, as recognized in numerous UN and ITU reports, there is still a connectivity gap which has led to increasing reliance on satellites for consistent connectivity. This has resulted in compelling synergies into new industry sectors including agriculture, energy, environment, healthcare, logistics, real estate, retail, and transportation. Notably, it is also playing a pivotal role in enhancing safety services like the aeronautical mobile-satellite (R) service (AMS(R)S) and Global Maritime Distress and Safety System (GMDSS). By bolstering emergency communication </w:t>
      </w:r>
      <w:r w:rsidRPr="00C52801">
        <w:lastRenderedPageBreak/>
        <w:t>capabilities, MSS is becoming indispensable for disaster management and relief operations, hence underscoring the urgency for more MSS spectrum.</w:t>
      </w:r>
    </w:p>
    <w:p w14:paraId="6B26BCC4" w14:textId="33A7751B" w:rsidR="00832968" w:rsidRPr="00C52801" w:rsidRDefault="00832968" w:rsidP="00832968">
      <w:r w:rsidRPr="00C52801">
        <w:t>Significant strides have been made since the last MSS allocations in 2003, with MSS systems now significantly evolved, especially in the realm of continuous data communications.</w:t>
      </w:r>
    </w:p>
    <w:p w14:paraId="4824A689" w14:textId="3A4467EC" w:rsidR="00832968" w:rsidRPr="00C52801" w:rsidRDefault="00832968" w:rsidP="00832968">
      <w:r w:rsidRPr="00C52801">
        <w:t>This proposal, in tune with these advancements, aims to study the sharing and compatibility considerations of adding primary MSS spectrum allocations in the mentioned frequency bands. As existing MSS allocations may fall short of accommodating future applications, additional spectrum should be studied to address the growing spectrum needs.</w:t>
      </w:r>
    </w:p>
    <w:p w14:paraId="4115AF02" w14:textId="77777777" w:rsidR="00832968" w:rsidRPr="00C52801" w:rsidRDefault="00832968" w:rsidP="00832968">
      <w:pPr>
        <w:rPr>
          <w:i/>
          <w:iCs/>
        </w:rPr>
      </w:pPr>
      <w:r w:rsidRPr="00C52801">
        <w:t>At the same time, in all bands proposed for study for potential MSS allocations, the importance of protecting incumbent services is acknowledged. The overall aim is to fully leverage the evolving dynamics of MSS by providing additional spectrum, without imposing additional constraints on the existing services.</w:t>
      </w:r>
    </w:p>
    <w:p w14:paraId="77E7C660" w14:textId="77777777" w:rsidR="00832968" w:rsidRPr="00C52801" w:rsidRDefault="00832968" w:rsidP="00832968">
      <w:pPr>
        <w:pStyle w:val="Headingb"/>
        <w:rPr>
          <w:lang w:val="en-GB"/>
        </w:rPr>
      </w:pPr>
      <w:r w:rsidRPr="00C52801">
        <w:rPr>
          <w:lang w:val="en-GB"/>
        </w:rPr>
        <w:t>Proposals</w:t>
      </w:r>
    </w:p>
    <w:p w14:paraId="11B24B3C" w14:textId="498ABCC0" w:rsidR="00832968" w:rsidRPr="00C52801" w:rsidRDefault="00832968" w:rsidP="00832968">
      <w:r w:rsidRPr="00C52801">
        <w:rPr>
          <w:iCs/>
        </w:rPr>
        <w:t xml:space="preserve">CITEL proposes a new WRC-27 agenda item to </w:t>
      </w:r>
      <w:r w:rsidRPr="00C52801">
        <w:t xml:space="preserve">consider possible allocations </w:t>
      </w:r>
      <w:r w:rsidRPr="00C52801">
        <w:rPr>
          <w:iCs/>
        </w:rPr>
        <w:t>and global harmonization of the frequency bands 2</w:t>
      </w:r>
      <w:r w:rsidR="008F5BDE" w:rsidRPr="00C52801">
        <w:rPr>
          <w:iCs/>
        </w:rPr>
        <w:t> </w:t>
      </w:r>
      <w:r w:rsidRPr="00C52801">
        <w:rPr>
          <w:iCs/>
        </w:rPr>
        <w:t>010-2</w:t>
      </w:r>
      <w:r w:rsidR="008F5BDE" w:rsidRPr="00C52801">
        <w:rPr>
          <w:iCs/>
        </w:rPr>
        <w:t> </w:t>
      </w:r>
      <w:r w:rsidRPr="00C52801">
        <w:rPr>
          <w:iCs/>
        </w:rPr>
        <w:t>025</w:t>
      </w:r>
      <w:r w:rsidR="008F5BDE" w:rsidRPr="00C52801">
        <w:rPr>
          <w:iCs/>
        </w:rPr>
        <w:t> </w:t>
      </w:r>
      <w:r w:rsidRPr="00C52801">
        <w:rPr>
          <w:iCs/>
        </w:rPr>
        <w:t>MHz, and 2</w:t>
      </w:r>
      <w:r w:rsidR="008F5BDE" w:rsidRPr="00C52801">
        <w:rPr>
          <w:iCs/>
        </w:rPr>
        <w:t> </w:t>
      </w:r>
      <w:r w:rsidRPr="00C52801">
        <w:rPr>
          <w:iCs/>
        </w:rPr>
        <w:t>160-2</w:t>
      </w:r>
      <w:r w:rsidR="008F5BDE" w:rsidRPr="00C52801">
        <w:rPr>
          <w:iCs/>
        </w:rPr>
        <w:t> </w:t>
      </w:r>
      <w:r w:rsidRPr="00C52801">
        <w:rPr>
          <w:iCs/>
        </w:rPr>
        <w:t>170</w:t>
      </w:r>
      <w:r w:rsidR="008F5BDE" w:rsidRPr="00C52801">
        <w:rPr>
          <w:iCs/>
        </w:rPr>
        <w:t> </w:t>
      </w:r>
      <w:r w:rsidRPr="00C52801">
        <w:rPr>
          <w:iCs/>
        </w:rPr>
        <w:t>MHz in Regions</w:t>
      </w:r>
      <w:r w:rsidR="008F5BDE" w:rsidRPr="00C52801">
        <w:rPr>
          <w:iCs/>
        </w:rPr>
        <w:t> </w:t>
      </w:r>
      <w:r w:rsidRPr="00C52801">
        <w:rPr>
          <w:iCs/>
        </w:rPr>
        <w:t>1 and 3, and 2</w:t>
      </w:r>
      <w:r w:rsidR="008F5BDE" w:rsidRPr="00C52801">
        <w:rPr>
          <w:iCs/>
        </w:rPr>
        <w:t> </w:t>
      </w:r>
      <w:r w:rsidRPr="00C52801">
        <w:rPr>
          <w:iCs/>
        </w:rPr>
        <w:t>120-2</w:t>
      </w:r>
      <w:r w:rsidR="008F5BDE" w:rsidRPr="00C52801">
        <w:rPr>
          <w:iCs/>
        </w:rPr>
        <w:t> </w:t>
      </w:r>
      <w:r w:rsidRPr="00C52801">
        <w:rPr>
          <w:iCs/>
        </w:rPr>
        <w:t>160</w:t>
      </w:r>
      <w:r w:rsidR="008F5BDE" w:rsidRPr="00C52801">
        <w:rPr>
          <w:iCs/>
        </w:rPr>
        <w:t> </w:t>
      </w:r>
      <w:r w:rsidRPr="00C52801">
        <w:rPr>
          <w:iCs/>
        </w:rPr>
        <w:t xml:space="preserve">MHz in all Regions to the </w:t>
      </w:r>
      <w:r w:rsidRPr="00C52801">
        <w:t>MSS and, based on the results of sharing and compatibility studies with incumbent services, consider new or amended allocations to the MSS.</w:t>
      </w:r>
    </w:p>
    <w:p w14:paraId="7FFD0819" w14:textId="77777777" w:rsidR="00832968" w:rsidRPr="00C52801" w:rsidRDefault="00832968" w:rsidP="00832968">
      <w:pPr>
        <w:tabs>
          <w:tab w:val="clear" w:pos="1134"/>
          <w:tab w:val="clear" w:pos="1871"/>
          <w:tab w:val="clear" w:pos="2268"/>
        </w:tabs>
        <w:overflowPunct/>
        <w:autoSpaceDE/>
        <w:autoSpaceDN/>
        <w:adjustRightInd/>
        <w:spacing w:before="0"/>
        <w:textAlignment w:val="auto"/>
      </w:pPr>
      <w:r w:rsidRPr="00C52801">
        <w:br w:type="page"/>
      </w:r>
    </w:p>
    <w:p w14:paraId="659F3CB5" w14:textId="77777777" w:rsidR="00C0126D" w:rsidRPr="00C52801" w:rsidRDefault="00CA2551">
      <w:pPr>
        <w:pStyle w:val="Proposal"/>
      </w:pPr>
      <w:r w:rsidRPr="00C52801">
        <w:lastRenderedPageBreak/>
        <w:t>ADD</w:t>
      </w:r>
      <w:r w:rsidRPr="00C52801">
        <w:tab/>
        <w:t>IAP/44A27A11/1</w:t>
      </w:r>
    </w:p>
    <w:p w14:paraId="28E8D27B" w14:textId="5EF8AA4E" w:rsidR="00C0126D" w:rsidRPr="00C52801" w:rsidRDefault="00CA2551" w:rsidP="00C52801">
      <w:pPr>
        <w:pStyle w:val="ResNo"/>
      </w:pPr>
      <w:r w:rsidRPr="00C52801">
        <w:t>Draft New Resolution [</w:t>
      </w:r>
      <w:r w:rsidR="006201BA" w:rsidRPr="00C52801">
        <w:t>IAP-10-MSS</w:t>
      </w:r>
      <w:r w:rsidRPr="00C52801">
        <w:t>]</w:t>
      </w:r>
      <w:r w:rsidR="00BE21C9" w:rsidRPr="00C52801">
        <w:t xml:space="preserve"> (WRC</w:t>
      </w:r>
      <w:r w:rsidR="00906FF7" w:rsidRPr="00C52801">
        <w:noBreakHyphen/>
      </w:r>
      <w:r w:rsidR="00BE21C9" w:rsidRPr="00C52801">
        <w:t>23)</w:t>
      </w:r>
    </w:p>
    <w:p w14:paraId="43EF6939" w14:textId="2F730408" w:rsidR="00667D05" w:rsidRPr="00C52801" w:rsidRDefault="00667D05" w:rsidP="00667D05">
      <w:pPr>
        <w:pStyle w:val="Restitle"/>
      </w:pPr>
      <w:r w:rsidRPr="00C52801">
        <w:rPr>
          <w:bCs/>
        </w:rPr>
        <w:t>Potential new and amended frequency allocations to the mobile-satellite service in the frequency bands 2</w:t>
      </w:r>
      <w:r w:rsidR="008F5BDE" w:rsidRPr="00C52801">
        <w:rPr>
          <w:bCs/>
        </w:rPr>
        <w:t> </w:t>
      </w:r>
      <w:r w:rsidRPr="00C52801">
        <w:rPr>
          <w:bCs/>
        </w:rPr>
        <w:t>010-2</w:t>
      </w:r>
      <w:r w:rsidR="008F5BDE" w:rsidRPr="00C52801">
        <w:rPr>
          <w:bCs/>
        </w:rPr>
        <w:t> </w:t>
      </w:r>
      <w:r w:rsidRPr="00C52801">
        <w:rPr>
          <w:bCs/>
        </w:rPr>
        <w:t>025</w:t>
      </w:r>
      <w:r w:rsidR="008F5BDE" w:rsidRPr="00C52801">
        <w:rPr>
          <w:bCs/>
        </w:rPr>
        <w:t> </w:t>
      </w:r>
      <w:r w:rsidRPr="00C52801">
        <w:rPr>
          <w:bCs/>
        </w:rPr>
        <w:t>MHz and 2</w:t>
      </w:r>
      <w:r w:rsidR="008F5BDE" w:rsidRPr="00C52801">
        <w:rPr>
          <w:bCs/>
        </w:rPr>
        <w:t> </w:t>
      </w:r>
      <w:r w:rsidRPr="00C52801">
        <w:rPr>
          <w:bCs/>
        </w:rPr>
        <w:t>160-2</w:t>
      </w:r>
      <w:r w:rsidR="008F5BDE" w:rsidRPr="00C52801">
        <w:rPr>
          <w:bCs/>
        </w:rPr>
        <w:t> </w:t>
      </w:r>
      <w:r w:rsidRPr="00C52801">
        <w:rPr>
          <w:bCs/>
        </w:rPr>
        <w:t>170</w:t>
      </w:r>
      <w:r w:rsidR="008F5BDE" w:rsidRPr="00C52801">
        <w:rPr>
          <w:bCs/>
        </w:rPr>
        <w:t> </w:t>
      </w:r>
      <w:r w:rsidRPr="00C52801">
        <w:rPr>
          <w:bCs/>
        </w:rPr>
        <w:t>MHz in Regions</w:t>
      </w:r>
      <w:r w:rsidR="008F5BDE" w:rsidRPr="00C52801">
        <w:rPr>
          <w:bCs/>
        </w:rPr>
        <w:t> </w:t>
      </w:r>
      <w:r w:rsidRPr="00C52801">
        <w:rPr>
          <w:bCs/>
        </w:rPr>
        <w:t>1 and</w:t>
      </w:r>
      <w:r w:rsidR="00D934A5" w:rsidRPr="00C52801">
        <w:rPr>
          <w:bCs/>
        </w:rPr>
        <w:t> </w:t>
      </w:r>
      <w:r w:rsidRPr="00C52801">
        <w:rPr>
          <w:bCs/>
        </w:rPr>
        <w:t>3, and 2</w:t>
      </w:r>
      <w:r w:rsidR="008F5BDE" w:rsidRPr="00C52801">
        <w:rPr>
          <w:bCs/>
        </w:rPr>
        <w:t> </w:t>
      </w:r>
      <w:r w:rsidRPr="00C52801">
        <w:rPr>
          <w:bCs/>
        </w:rPr>
        <w:t>120-2</w:t>
      </w:r>
      <w:r w:rsidR="008F5BDE" w:rsidRPr="00C52801">
        <w:rPr>
          <w:bCs/>
        </w:rPr>
        <w:t> </w:t>
      </w:r>
      <w:r w:rsidRPr="00C52801">
        <w:rPr>
          <w:bCs/>
        </w:rPr>
        <w:t>160</w:t>
      </w:r>
      <w:r w:rsidR="008F5BDE" w:rsidRPr="00C52801">
        <w:rPr>
          <w:bCs/>
        </w:rPr>
        <w:t> </w:t>
      </w:r>
      <w:r w:rsidRPr="00C52801">
        <w:rPr>
          <w:bCs/>
        </w:rPr>
        <w:t>MHz in all Regions for the future development of MSS</w:t>
      </w:r>
      <w:r w:rsidR="00D934A5" w:rsidRPr="00C52801">
        <w:rPr>
          <w:bCs/>
        </w:rPr>
        <w:t> </w:t>
      </w:r>
      <w:r w:rsidRPr="00C52801">
        <w:rPr>
          <w:bCs/>
        </w:rPr>
        <w:t>systems</w:t>
      </w:r>
    </w:p>
    <w:p w14:paraId="211DF18D" w14:textId="77777777" w:rsidR="00F86B6F" w:rsidRPr="00C52801" w:rsidRDefault="00F86B6F" w:rsidP="00F86B6F">
      <w:pPr>
        <w:pStyle w:val="Normalaftertitle"/>
      </w:pPr>
      <w:r w:rsidRPr="00C52801">
        <w:t>The World Radiocommunication Conference (Dubai, 2023),</w:t>
      </w:r>
    </w:p>
    <w:p w14:paraId="14C8697E" w14:textId="77777777" w:rsidR="00F86B6F" w:rsidRPr="00C52801" w:rsidRDefault="00F86B6F" w:rsidP="00F86B6F">
      <w:pPr>
        <w:pStyle w:val="Call"/>
      </w:pPr>
      <w:r w:rsidRPr="00C52801">
        <w:t>considering</w:t>
      </w:r>
    </w:p>
    <w:p w14:paraId="6783D43F" w14:textId="7143AA44" w:rsidR="00F86B6F" w:rsidRPr="00C52801" w:rsidRDefault="00F86B6F" w:rsidP="00F86B6F">
      <w:r w:rsidRPr="00C52801">
        <w:rPr>
          <w:i/>
          <w:iCs/>
        </w:rPr>
        <w:t>a)</w:t>
      </w:r>
      <w:r w:rsidRPr="00C52801">
        <w:tab/>
      </w:r>
      <w:r w:rsidRPr="00C52801">
        <w:rPr>
          <w:rFonts w:eastAsia="TimesNewRoman,Italic"/>
        </w:rPr>
        <w:t>that</w:t>
      </w:r>
      <w:r w:rsidRPr="00C52801">
        <w:rPr>
          <w:rFonts w:eastAsia="Calibri"/>
        </w:rPr>
        <w:t xml:space="preserve"> demand for mobility communications has driven an increasing demand for mobile-satellite services</w:t>
      </w:r>
      <w:r w:rsidR="00D934A5" w:rsidRPr="00C52801">
        <w:rPr>
          <w:rFonts w:eastAsia="Calibri"/>
        </w:rPr>
        <w:t xml:space="preserve"> </w:t>
      </w:r>
      <w:r w:rsidRPr="00C52801">
        <w:rPr>
          <w:rFonts w:eastAsia="Calibri"/>
        </w:rPr>
        <w:t>and connectivity anywhere;</w:t>
      </w:r>
    </w:p>
    <w:p w14:paraId="47726E0C" w14:textId="7A0EEB90" w:rsidR="00F86B6F" w:rsidRPr="00C52801" w:rsidRDefault="00F86B6F" w:rsidP="00F86B6F">
      <w:r w:rsidRPr="00C52801">
        <w:rPr>
          <w:i/>
          <w:iCs/>
        </w:rPr>
        <w:t>b)</w:t>
      </w:r>
      <w:r w:rsidRPr="00C52801">
        <w:tab/>
        <w:t xml:space="preserve">that the </w:t>
      </w:r>
      <w:r w:rsidRPr="00C52801">
        <w:rPr>
          <w:rFonts w:eastAsia="Calibri"/>
        </w:rPr>
        <w:t>mobile-satellite service</w:t>
      </w:r>
      <w:r w:rsidRPr="00C52801">
        <w:t xml:space="preserve"> </w:t>
      </w:r>
      <w:r w:rsidR="009F7E49" w:rsidRPr="00C52801">
        <w:t xml:space="preserve">(MSS) </w:t>
      </w:r>
      <w:r w:rsidRPr="00C52801">
        <w:t>is a proven, practical, and profitable method to provide telecommunication services to remote and rural areas;</w:t>
      </w:r>
    </w:p>
    <w:p w14:paraId="0BF49130" w14:textId="77777777" w:rsidR="00F86B6F" w:rsidRPr="00C52801" w:rsidRDefault="00F86B6F" w:rsidP="00F86B6F">
      <w:r w:rsidRPr="00C52801">
        <w:rPr>
          <w:i/>
          <w:iCs/>
        </w:rPr>
        <w:t>c)</w:t>
      </w:r>
      <w:r w:rsidRPr="00C52801">
        <w:tab/>
      </w:r>
      <w:r w:rsidRPr="00C52801">
        <w:rPr>
          <w:rFonts w:eastAsia="TimesNewRoman,Italic"/>
        </w:rPr>
        <w:t>that recent developments in technology design and external standards organization work are facilitating the integration of mobile-satellite solutions into new design types to address connectivity to consumer electronic small devices including for consumers, agriculture, business and other industry sectors, which significantly increases the market of potential users of MSS services;</w:t>
      </w:r>
    </w:p>
    <w:p w14:paraId="40729536" w14:textId="77777777" w:rsidR="00F86B6F" w:rsidRPr="00C52801" w:rsidRDefault="00F86B6F" w:rsidP="00F86B6F">
      <w:r w:rsidRPr="00C52801">
        <w:rPr>
          <w:i/>
          <w:iCs/>
        </w:rPr>
        <w:t>d)</w:t>
      </w:r>
      <w:r w:rsidRPr="00C52801">
        <w:tab/>
        <w:t>that MSS communications contribute to world economic and social development, especially in remote and rural communities;</w:t>
      </w:r>
    </w:p>
    <w:p w14:paraId="06D309FE" w14:textId="77777777" w:rsidR="00F86B6F" w:rsidRPr="00C52801" w:rsidRDefault="00F86B6F" w:rsidP="00F86B6F">
      <w:r w:rsidRPr="00C52801">
        <w:rPr>
          <w:i/>
          <w:iCs/>
        </w:rPr>
        <w:t>e)</w:t>
      </w:r>
      <w:r w:rsidRPr="00C52801">
        <w:tab/>
        <w:t>that MSS communications are effective in reducing the digital divide;</w:t>
      </w:r>
    </w:p>
    <w:p w14:paraId="693312CA" w14:textId="65FC6BC9" w:rsidR="00F86B6F" w:rsidRPr="00C52801" w:rsidRDefault="00F86B6F" w:rsidP="00F86B6F">
      <w:r w:rsidRPr="00C52801">
        <w:rPr>
          <w:i/>
          <w:iCs/>
        </w:rPr>
        <w:t>f)</w:t>
      </w:r>
      <w:r w:rsidRPr="00C52801">
        <w:tab/>
        <w:t xml:space="preserve">that the number of mobile-satellite systems and the demand for spectrum allocations for </w:t>
      </w:r>
      <w:r w:rsidR="00C52801" w:rsidRPr="00C52801">
        <w:t xml:space="preserve">the </w:t>
      </w:r>
      <w:r w:rsidRPr="00C52801">
        <w:t>MSS are increasing;</w:t>
      </w:r>
    </w:p>
    <w:p w14:paraId="6764AE17" w14:textId="77777777" w:rsidR="00F86B6F" w:rsidRPr="00C52801" w:rsidRDefault="00F86B6F" w:rsidP="00F86B6F">
      <w:r w:rsidRPr="00C52801">
        <w:rPr>
          <w:i/>
          <w:iCs/>
        </w:rPr>
        <w:t>g)</w:t>
      </w:r>
      <w:r w:rsidRPr="00C52801">
        <w:tab/>
        <w:t>that MSS communications have the capability of overcoming practical and logistic difficulties associated with terrestrial infrastructure;</w:t>
      </w:r>
    </w:p>
    <w:p w14:paraId="1C7798FA" w14:textId="212CFD8A" w:rsidR="00F86B6F" w:rsidRPr="00C52801" w:rsidRDefault="00F86B6F" w:rsidP="00F86B6F">
      <w:r w:rsidRPr="00C52801">
        <w:rPr>
          <w:i/>
          <w:iCs/>
        </w:rPr>
        <w:t>h)</w:t>
      </w:r>
      <w:r w:rsidRPr="00C52801">
        <w:tab/>
      </w:r>
      <w:r w:rsidRPr="00C52801">
        <w:rPr>
          <w:rFonts w:eastAsia="Calibri"/>
        </w:rPr>
        <w:t>that no new MSS allocations have occurred since WRC</w:t>
      </w:r>
      <w:r w:rsidR="00C52801" w:rsidRPr="00C52801">
        <w:rPr>
          <w:rFonts w:eastAsia="Calibri"/>
        </w:rPr>
        <w:noBreakHyphen/>
      </w:r>
      <w:r w:rsidRPr="00C52801">
        <w:rPr>
          <w:rFonts w:eastAsia="Calibri"/>
        </w:rPr>
        <w:t>03 and therefore the spectrum shortfall for MSS applications requires attention;</w:t>
      </w:r>
    </w:p>
    <w:p w14:paraId="33346286" w14:textId="20A74980" w:rsidR="00F86B6F" w:rsidRPr="00C52801" w:rsidRDefault="00F86B6F" w:rsidP="00F86B6F">
      <w:r w:rsidRPr="00C52801">
        <w:rPr>
          <w:i/>
          <w:iCs/>
        </w:rPr>
        <w:t>i)</w:t>
      </w:r>
      <w:r w:rsidRPr="00C52801">
        <w:tab/>
        <w:t xml:space="preserve">that the contiguous spectrum for </w:t>
      </w:r>
      <w:r w:rsidR="00C52801" w:rsidRPr="00C52801">
        <w:t xml:space="preserve">the </w:t>
      </w:r>
      <w:r w:rsidRPr="00C52801">
        <w:t>MSS shall help ensure spectrum management efficiency;</w:t>
      </w:r>
    </w:p>
    <w:p w14:paraId="7BB46EE4" w14:textId="77777777" w:rsidR="00F86B6F" w:rsidRPr="00C52801" w:rsidRDefault="00F86B6F" w:rsidP="00F86B6F">
      <w:r w:rsidRPr="00C52801">
        <w:rPr>
          <w:i/>
          <w:iCs/>
        </w:rPr>
        <w:t>j)</w:t>
      </w:r>
      <w:r w:rsidRPr="00C52801">
        <w:tab/>
        <w:t>that there is a need for regulatory certainty in connection with the available spectrum to design and plan terrestrial and satellite stations;</w:t>
      </w:r>
    </w:p>
    <w:p w14:paraId="540F1437" w14:textId="77777777" w:rsidR="00F86B6F" w:rsidRPr="00C52801" w:rsidRDefault="00F86B6F" w:rsidP="00F86B6F">
      <w:r w:rsidRPr="00C52801">
        <w:rPr>
          <w:rFonts w:eastAsia="TimesNewRoman,Italic"/>
          <w:i/>
          <w:iCs/>
        </w:rPr>
        <w:t>k)</w:t>
      </w:r>
      <w:r w:rsidRPr="00C52801">
        <w:rPr>
          <w:rFonts w:eastAsia="TimesNewRoman,Italic"/>
        </w:rPr>
        <w:tab/>
        <w:t xml:space="preserve">that the range of MSS applications has expanded manyfold since the last MSS allocations were made, and </w:t>
      </w:r>
      <w:r w:rsidRPr="00C52801">
        <w:rPr>
          <w:rFonts w:eastAsia="Calibri"/>
        </w:rPr>
        <w:t>the number of MSS systems is growing and the spectrum demand for suitable MSS allocations is increasing; and</w:t>
      </w:r>
    </w:p>
    <w:p w14:paraId="618777B1" w14:textId="77777777" w:rsidR="00F86B6F" w:rsidRPr="00C52801" w:rsidRDefault="00F86B6F" w:rsidP="00F86B6F">
      <w:pPr>
        <w:rPr>
          <w:rFonts w:eastAsia="Calibri"/>
        </w:rPr>
      </w:pPr>
      <w:r w:rsidRPr="00C52801">
        <w:rPr>
          <w:i/>
          <w:iCs/>
        </w:rPr>
        <w:t>l)</w:t>
      </w:r>
      <w:r w:rsidRPr="00C52801">
        <w:tab/>
      </w:r>
      <w:r w:rsidRPr="00C52801">
        <w:rPr>
          <w:rFonts w:eastAsia="TimesNewRoman,Italic"/>
        </w:rPr>
        <w:t>that existing MSS allocations are heavily oversubscribed,</w:t>
      </w:r>
    </w:p>
    <w:p w14:paraId="2507A8DB" w14:textId="77777777" w:rsidR="00F86B6F" w:rsidRPr="00C52801" w:rsidRDefault="00F86B6F" w:rsidP="00F86B6F">
      <w:pPr>
        <w:pStyle w:val="Call"/>
        <w:rPr>
          <w:rFonts w:eastAsia="Calibri"/>
        </w:rPr>
      </w:pPr>
      <w:r w:rsidRPr="00C52801">
        <w:rPr>
          <w:rFonts w:eastAsia="Calibri"/>
        </w:rPr>
        <w:t>considering also</w:t>
      </w:r>
    </w:p>
    <w:p w14:paraId="31E58E16" w14:textId="3FCC1A0B" w:rsidR="00F86B6F" w:rsidRPr="00C52801" w:rsidRDefault="00F86B6F" w:rsidP="00F86B6F">
      <w:pPr>
        <w:rPr>
          <w:rFonts w:eastAsia="Calibri"/>
        </w:rPr>
      </w:pPr>
      <w:r w:rsidRPr="00C52801">
        <w:rPr>
          <w:rFonts w:eastAsia="Calibri"/>
          <w:i/>
          <w:iCs/>
        </w:rPr>
        <w:t>a)</w:t>
      </w:r>
      <w:r w:rsidRPr="00C52801">
        <w:rPr>
          <w:rFonts w:eastAsia="Calibri"/>
        </w:rPr>
        <w:tab/>
        <w:t xml:space="preserve">that MSS allocations in the </w:t>
      </w:r>
      <w:r w:rsidRPr="00C52801">
        <w:rPr>
          <w:rFonts w:eastAsia="Calibri"/>
          <w:lang w:eastAsia="en-GB"/>
        </w:rPr>
        <w:t xml:space="preserve">frequency bands </w:t>
      </w:r>
      <w:r w:rsidRPr="00C52801">
        <w:t>2</w:t>
      </w:r>
      <w:r w:rsidR="008F5BDE" w:rsidRPr="00C52801">
        <w:t> </w:t>
      </w:r>
      <w:r w:rsidRPr="00C52801">
        <w:t>010-2</w:t>
      </w:r>
      <w:r w:rsidR="008F5BDE" w:rsidRPr="00C52801">
        <w:t> </w:t>
      </w:r>
      <w:r w:rsidRPr="00C52801">
        <w:t>025 MHz and 2</w:t>
      </w:r>
      <w:r w:rsidR="008F5BDE" w:rsidRPr="00C52801">
        <w:t> </w:t>
      </w:r>
      <w:r w:rsidRPr="00C52801">
        <w:t>160-2</w:t>
      </w:r>
      <w:r w:rsidR="008F5BDE" w:rsidRPr="00C52801">
        <w:t> </w:t>
      </w:r>
      <w:r w:rsidRPr="00C52801">
        <w:t>170</w:t>
      </w:r>
      <w:r w:rsidR="008F5BDE" w:rsidRPr="00C52801">
        <w:t> </w:t>
      </w:r>
      <w:r w:rsidRPr="00C52801">
        <w:t>MHz in Regions</w:t>
      </w:r>
      <w:r w:rsidR="008F5BDE" w:rsidRPr="00C52801">
        <w:t> </w:t>
      </w:r>
      <w:r w:rsidRPr="00C52801">
        <w:t>1 and 3, and 2</w:t>
      </w:r>
      <w:r w:rsidR="008F5BDE" w:rsidRPr="00C52801">
        <w:t> </w:t>
      </w:r>
      <w:r w:rsidRPr="00C52801">
        <w:t>120-2</w:t>
      </w:r>
      <w:r w:rsidR="008F5BDE" w:rsidRPr="00C52801">
        <w:t> </w:t>
      </w:r>
      <w:r w:rsidRPr="00C52801">
        <w:t>160</w:t>
      </w:r>
      <w:r w:rsidR="008F5BDE" w:rsidRPr="00C52801">
        <w:t> </w:t>
      </w:r>
      <w:r w:rsidRPr="00C52801">
        <w:t>MHz in all Regions</w:t>
      </w:r>
      <w:r w:rsidRPr="00C52801">
        <w:rPr>
          <w:rFonts w:eastAsia="Calibri"/>
        </w:rPr>
        <w:t xml:space="preserve"> </w:t>
      </w:r>
      <w:r w:rsidRPr="00C52801">
        <w:rPr>
          <w:rFonts w:eastAsia="Calibri"/>
          <w:lang w:eastAsia="en-GB"/>
        </w:rPr>
        <w:t xml:space="preserve">may help address </w:t>
      </w:r>
      <w:r w:rsidRPr="00C52801">
        <w:rPr>
          <w:rFonts w:eastAsia="Calibri"/>
        </w:rPr>
        <w:t>MSS spectrum demands; and</w:t>
      </w:r>
    </w:p>
    <w:p w14:paraId="4E88A221" w14:textId="1DB69BD6" w:rsidR="00F86B6F" w:rsidRPr="00C52801" w:rsidRDefault="00F86B6F" w:rsidP="008F5BDE">
      <w:r w:rsidRPr="00C52801">
        <w:rPr>
          <w:rFonts w:eastAsia="TimesNewRoman,Italic"/>
          <w:i/>
          <w:iCs/>
        </w:rPr>
        <w:lastRenderedPageBreak/>
        <w:t>b)</w:t>
      </w:r>
      <w:r w:rsidRPr="00C52801">
        <w:rPr>
          <w:rFonts w:eastAsia="TimesNewRoman,Italic"/>
        </w:rPr>
        <w:tab/>
        <w:t xml:space="preserve">that MSS characteristics can be found in </w:t>
      </w:r>
      <w:r w:rsidRPr="00C52801">
        <w:t>ITU</w:t>
      </w:r>
      <w:r w:rsidR="008F5BDE" w:rsidRPr="00C52801">
        <w:noBreakHyphen/>
      </w:r>
      <w:r w:rsidRPr="00C52801">
        <w:t>R Recommendations and Reports, such as Recommendation ITU</w:t>
      </w:r>
      <w:r w:rsidR="008F5BDE" w:rsidRPr="00C52801">
        <w:noBreakHyphen/>
      </w:r>
      <w:r w:rsidRPr="00C52801">
        <w:t>R M.1184, but characteristics of new systems are evolving,</w:t>
      </w:r>
    </w:p>
    <w:p w14:paraId="6AC0B868" w14:textId="77777777" w:rsidR="00F86B6F" w:rsidRPr="00C52801" w:rsidRDefault="00F86B6F" w:rsidP="001E3953">
      <w:pPr>
        <w:pStyle w:val="Call"/>
        <w:rPr>
          <w:rFonts w:eastAsia="Calibri"/>
        </w:rPr>
      </w:pPr>
      <w:r w:rsidRPr="00C52801">
        <w:rPr>
          <w:rFonts w:eastAsia="Calibri"/>
        </w:rPr>
        <w:t>noting</w:t>
      </w:r>
    </w:p>
    <w:p w14:paraId="7E6F679C" w14:textId="1BA8F5BB" w:rsidR="00F86B6F" w:rsidRPr="00C52801" w:rsidRDefault="00F86B6F" w:rsidP="00F86B6F">
      <w:pPr>
        <w:rPr>
          <w:rFonts w:eastAsia="Calibri"/>
        </w:rPr>
      </w:pPr>
      <w:r w:rsidRPr="00C52801">
        <w:rPr>
          <w:rFonts w:eastAsia="TimesNewRoman,Italic"/>
          <w:i/>
          <w:iCs/>
        </w:rPr>
        <w:t>a)</w:t>
      </w:r>
      <w:r w:rsidRPr="00C52801">
        <w:rPr>
          <w:rFonts w:eastAsia="TimesNewRoman,Italic"/>
          <w:i/>
          <w:iCs/>
        </w:rPr>
        <w:tab/>
      </w:r>
      <w:r w:rsidRPr="00C52801">
        <w:rPr>
          <w:rFonts w:eastAsia="Calibri"/>
        </w:rPr>
        <w:t>that Report ITU</w:t>
      </w:r>
      <w:r w:rsidR="008F5BDE" w:rsidRPr="00C52801">
        <w:rPr>
          <w:rFonts w:eastAsia="Calibri"/>
        </w:rPr>
        <w:noBreakHyphen/>
      </w:r>
      <w:r w:rsidRPr="00C52801">
        <w:rPr>
          <w:rFonts w:eastAsia="Calibri"/>
        </w:rPr>
        <w:t>R M.2218 estimated the spectrum requirement for MSS broadband between 240</w:t>
      </w:r>
      <w:r w:rsidR="008F5BDE" w:rsidRPr="00C52801">
        <w:rPr>
          <w:rFonts w:eastAsia="Calibri"/>
        </w:rPr>
        <w:t> </w:t>
      </w:r>
      <w:r w:rsidRPr="00C52801">
        <w:rPr>
          <w:rFonts w:eastAsia="Calibri"/>
        </w:rPr>
        <w:t>MHz and 355</w:t>
      </w:r>
      <w:r w:rsidR="008F5BDE" w:rsidRPr="00C52801">
        <w:rPr>
          <w:rFonts w:eastAsia="Calibri"/>
        </w:rPr>
        <w:t> </w:t>
      </w:r>
      <w:r w:rsidRPr="00C52801">
        <w:rPr>
          <w:rFonts w:eastAsia="Calibri"/>
        </w:rPr>
        <w:t>MHz; and</w:t>
      </w:r>
    </w:p>
    <w:p w14:paraId="12E6D937" w14:textId="47CC92F1" w:rsidR="00F86B6F" w:rsidRPr="00C52801" w:rsidRDefault="00F86B6F" w:rsidP="00F86B6F">
      <w:pPr>
        <w:rPr>
          <w:rFonts w:eastAsia="Calibri"/>
        </w:rPr>
      </w:pPr>
      <w:r w:rsidRPr="00C52801">
        <w:rPr>
          <w:rFonts w:eastAsia="Calibri"/>
          <w:i/>
          <w:iCs/>
        </w:rPr>
        <w:t>b)</w:t>
      </w:r>
      <w:r w:rsidRPr="00C52801">
        <w:rPr>
          <w:rFonts w:eastAsia="Calibri"/>
          <w:i/>
          <w:iCs/>
        </w:rPr>
        <w:tab/>
      </w:r>
      <w:r w:rsidRPr="00C52801">
        <w:rPr>
          <w:rFonts w:eastAsia="Calibri"/>
        </w:rPr>
        <w:t>that Report ITU</w:t>
      </w:r>
      <w:r w:rsidR="008F5BDE" w:rsidRPr="00C52801">
        <w:rPr>
          <w:rFonts w:eastAsia="Calibri"/>
        </w:rPr>
        <w:noBreakHyphen/>
      </w:r>
      <w:r w:rsidRPr="00C52801">
        <w:rPr>
          <w:rFonts w:eastAsia="Calibri"/>
        </w:rPr>
        <w:t>R M.2218 suggests that the operational characteristics of incumbent MSS systems may constrain and effectively hamper the sharing of existing MSS spectrum, resulting in a requirement for additional spectrum for new applications,</w:t>
      </w:r>
    </w:p>
    <w:p w14:paraId="3D27CB1A" w14:textId="77777777" w:rsidR="00F86B6F" w:rsidRPr="00C52801" w:rsidRDefault="00F86B6F" w:rsidP="00F86B6F">
      <w:pPr>
        <w:pStyle w:val="Call"/>
      </w:pPr>
      <w:r w:rsidRPr="00C52801">
        <w:t>recognizing</w:t>
      </w:r>
    </w:p>
    <w:p w14:paraId="3AA78028" w14:textId="77777777" w:rsidR="00F86B6F" w:rsidRPr="00C52801" w:rsidRDefault="00F86B6F" w:rsidP="00F86B6F">
      <w:pPr>
        <w:rPr>
          <w:rFonts w:eastAsia="TimesNewRoman,Italic"/>
        </w:rPr>
      </w:pPr>
      <w:r w:rsidRPr="00C52801">
        <w:rPr>
          <w:i/>
          <w:iCs/>
        </w:rPr>
        <w:t>a)</w:t>
      </w:r>
      <w:r w:rsidRPr="00C52801">
        <w:tab/>
      </w:r>
      <w:r w:rsidRPr="00C52801">
        <w:rPr>
          <w:rFonts w:eastAsia="TimesNewRoman,Italic"/>
        </w:rPr>
        <w:t>that the growth in demand for mobile-satellite systems is increasing traffic to the point of spectrum congestion, making it difficult to sustain MSS services on a long-term basis in the existing bands;</w:t>
      </w:r>
    </w:p>
    <w:p w14:paraId="46EC64F5" w14:textId="77777777" w:rsidR="00F86B6F" w:rsidRPr="00C52801" w:rsidRDefault="00F86B6F" w:rsidP="00F86B6F">
      <w:pPr>
        <w:rPr>
          <w:rFonts w:eastAsia="Calibri"/>
        </w:rPr>
      </w:pPr>
      <w:r w:rsidRPr="00C52801">
        <w:rPr>
          <w:rFonts w:eastAsia="TimesNewRoman,Italic"/>
          <w:i/>
          <w:iCs/>
        </w:rPr>
        <w:t>b)</w:t>
      </w:r>
      <w:r w:rsidRPr="00C52801">
        <w:rPr>
          <w:rFonts w:eastAsia="TimesNewRoman,Italic"/>
          <w:i/>
          <w:iCs/>
        </w:rPr>
        <w:tab/>
      </w:r>
      <w:r w:rsidRPr="00C52801">
        <w:rPr>
          <w:rFonts w:eastAsia="Calibri"/>
        </w:rPr>
        <w:t>that mobile-satellite systems implementing various applications, including data applications, to the communities in remote and underserved areas require additional spectrum;</w:t>
      </w:r>
    </w:p>
    <w:p w14:paraId="75E9F074" w14:textId="77777777" w:rsidR="00F86B6F" w:rsidRPr="00C52801" w:rsidRDefault="00F86B6F" w:rsidP="00F86B6F">
      <w:pPr>
        <w:rPr>
          <w:rFonts w:eastAsia="Calibri"/>
        </w:rPr>
      </w:pPr>
      <w:r w:rsidRPr="00C52801">
        <w:rPr>
          <w:rFonts w:eastAsia="TimesNewRoman,Italic"/>
          <w:i/>
          <w:iCs/>
        </w:rPr>
        <w:t>c)</w:t>
      </w:r>
      <w:r w:rsidRPr="00C52801">
        <w:rPr>
          <w:rFonts w:eastAsia="TimesNewRoman,Italic"/>
        </w:rPr>
        <w:tab/>
      </w:r>
      <w:r w:rsidRPr="00C52801">
        <w:rPr>
          <w:rFonts w:eastAsia="Calibri"/>
        </w:rPr>
        <w:t>that some existing satellite allocations may be adapted to provide further MSS capacity;</w:t>
      </w:r>
    </w:p>
    <w:p w14:paraId="2ABA9019" w14:textId="5223DAE9" w:rsidR="00F86B6F" w:rsidRPr="00C52801" w:rsidRDefault="00F86B6F" w:rsidP="00F86B6F">
      <w:r w:rsidRPr="00C52801">
        <w:rPr>
          <w:i/>
          <w:iCs/>
        </w:rPr>
        <w:t>d)</w:t>
      </w:r>
      <w:r w:rsidRPr="00C52801">
        <w:tab/>
        <w:t>that the frequency band 2</w:t>
      </w:r>
      <w:r w:rsidR="008F5BDE" w:rsidRPr="00C52801">
        <w:t> </w:t>
      </w:r>
      <w:r w:rsidRPr="00C52801">
        <w:t>010-2</w:t>
      </w:r>
      <w:r w:rsidR="008F5BDE" w:rsidRPr="00C52801">
        <w:t> </w:t>
      </w:r>
      <w:r w:rsidRPr="00C52801">
        <w:t>025</w:t>
      </w:r>
      <w:r w:rsidR="008F5BDE" w:rsidRPr="00C52801">
        <w:t> </w:t>
      </w:r>
      <w:r w:rsidRPr="00C52801">
        <w:t>MHz is allocated to MSS on a primary basis for Earth-to-space operations in Region</w:t>
      </w:r>
      <w:r w:rsidR="008F5BDE" w:rsidRPr="00C52801">
        <w:t> </w:t>
      </w:r>
      <w:r w:rsidRPr="00C52801">
        <w:t>2;</w:t>
      </w:r>
    </w:p>
    <w:p w14:paraId="5236CF98" w14:textId="1ADB0082" w:rsidR="00F86B6F" w:rsidRPr="00C52801" w:rsidRDefault="00F86B6F" w:rsidP="00F86B6F">
      <w:r w:rsidRPr="00C52801">
        <w:rPr>
          <w:i/>
          <w:iCs/>
        </w:rPr>
        <w:t>e)</w:t>
      </w:r>
      <w:r w:rsidRPr="00C52801">
        <w:tab/>
        <w:t>that the frequency band 2</w:t>
      </w:r>
      <w:r w:rsidR="008F5BDE" w:rsidRPr="00C52801">
        <w:t> </w:t>
      </w:r>
      <w:r w:rsidRPr="00C52801">
        <w:t>120-2</w:t>
      </w:r>
      <w:r w:rsidR="008F5BDE" w:rsidRPr="00C52801">
        <w:t> </w:t>
      </w:r>
      <w:r w:rsidRPr="00C52801">
        <w:t>160</w:t>
      </w:r>
      <w:r w:rsidR="008F5BDE" w:rsidRPr="00C52801">
        <w:t> </w:t>
      </w:r>
      <w:r w:rsidRPr="00C52801">
        <w:t>MHz is allocated to MSS on a secondary basis for space-to-Earth operations in Region</w:t>
      </w:r>
      <w:r w:rsidR="008F5BDE" w:rsidRPr="00C52801">
        <w:t> </w:t>
      </w:r>
      <w:r w:rsidRPr="00C52801">
        <w:t>2;</w:t>
      </w:r>
    </w:p>
    <w:p w14:paraId="1BC6E31F" w14:textId="12556A0B" w:rsidR="00F86B6F" w:rsidRPr="00C52801" w:rsidRDefault="00F86B6F" w:rsidP="00F86B6F">
      <w:r w:rsidRPr="00C52801">
        <w:rPr>
          <w:i/>
          <w:iCs/>
        </w:rPr>
        <w:t>f)</w:t>
      </w:r>
      <w:r w:rsidRPr="00C52801">
        <w:tab/>
        <w:t>that the frequency band 2</w:t>
      </w:r>
      <w:r w:rsidR="008F5BDE" w:rsidRPr="00C52801">
        <w:t> </w:t>
      </w:r>
      <w:r w:rsidRPr="00C52801">
        <w:t>160-2</w:t>
      </w:r>
      <w:r w:rsidR="008F5BDE" w:rsidRPr="00C52801">
        <w:t> </w:t>
      </w:r>
      <w:r w:rsidRPr="00C52801">
        <w:t>170</w:t>
      </w:r>
      <w:r w:rsidR="008F5BDE" w:rsidRPr="00C52801">
        <w:t> </w:t>
      </w:r>
      <w:r w:rsidRPr="00C52801">
        <w:t xml:space="preserve">MHz is allocated to </w:t>
      </w:r>
      <w:r w:rsidR="00C52801" w:rsidRPr="00C52801">
        <w:t xml:space="preserve">the </w:t>
      </w:r>
      <w:r w:rsidRPr="00C52801">
        <w:t>MSS on a primary basis for space-to-Earth operations in Region</w:t>
      </w:r>
      <w:r w:rsidR="008F5BDE" w:rsidRPr="00C52801">
        <w:t> </w:t>
      </w:r>
      <w:r w:rsidRPr="00C52801">
        <w:t>2;</w:t>
      </w:r>
    </w:p>
    <w:p w14:paraId="3803DB21" w14:textId="57EBC137" w:rsidR="00F86B6F" w:rsidRPr="00C52801" w:rsidRDefault="00F86B6F" w:rsidP="00F86B6F">
      <w:r w:rsidRPr="00C52801">
        <w:rPr>
          <w:i/>
          <w:iCs/>
        </w:rPr>
        <w:t>g)</w:t>
      </w:r>
      <w:r w:rsidRPr="00C52801">
        <w:tab/>
        <w:t>that the frequency bands 2</w:t>
      </w:r>
      <w:r w:rsidR="008F5BDE" w:rsidRPr="00C52801">
        <w:t> </w:t>
      </w:r>
      <w:r w:rsidRPr="00C52801">
        <w:t>010-2</w:t>
      </w:r>
      <w:r w:rsidR="008F5BDE" w:rsidRPr="00C52801">
        <w:t> </w:t>
      </w:r>
      <w:r w:rsidRPr="00C52801">
        <w:t>025</w:t>
      </w:r>
      <w:r w:rsidR="008F5BDE" w:rsidRPr="00C52801">
        <w:t> </w:t>
      </w:r>
      <w:r w:rsidRPr="00C52801">
        <w:t>MHz, 2</w:t>
      </w:r>
      <w:r w:rsidR="008F5BDE" w:rsidRPr="00C52801">
        <w:t> </w:t>
      </w:r>
      <w:r w:rsidRPr="00C52801">
        <w:t>120-2</w:t>
      </w:r>
      <w:r w:rsidR="008F5BDE" w:rsidRPr="00C52801">
        <w:t> </w:t>
      </w:r>
      <w:r w:rsidRPr="00C52801">
        <w:t>160</w:t>
      </w:r>
      <w:r w:rsidR="008F5BDE" w:rsidRPr="00C52801">
        <w:t> </w:t>
      </w:r>
      <w:r w:rsidRPr="00C52801">
        <w:t>MHz, and 2</w:t>
      </w:r>
      <w:r w:rsidR="008F5BDE" w:rsidRPr="00C52801">
        <w:t> </w:t>
      </w:r>
      <w:r w:rsidRPr="00C52801">
        <w:t>160-2</w:t>
      </w:r>
      <w:r w:rsidR="008F5BDE" w:rsidRPr="00C52801">
        <w:t> </w:t>
      </w:r>
      <w:r w:rsidRPr="00C52801">
        <w:t>170</w:t>
      </w:r>
      <w:r w:rsidR="008F5BDE" w:rsidRPr="00C52801">
        <w:t> </w:t>
      </w:r>
      <w:r w:rsidRPr="00C52801">
        <w:t>MHz are adjacent to bands allocated to</w:t>
      </w:r>
      <w:r w:rsidR="00C52801" w:rsidRPr="00C52801">
        <w:t xml:space="preserve"> the</w:t>
      </w:r>
      <w:r w:rsidRPr="00C52801">
        <w:t xml:space="preserve"> </w:t>
      </w:r>
      <w:r w:rsidR="00C52801" w:rsidRPr="00C52801">
        <w:t>MSS</w:t>
      </w:r>
      <w:r w:rsidRPr="00C52801">
        <w:t xml:space="preserve"> on a primary basis;</w:t>
      </w:r>
    </w:p>
    <w:p w14:paraId="06FA43AE" w14:textId="59AAE7F5" w:rsidR="00F86B6F" w:rsidRPr="00C52801" w:rsidRDefault="00F86B6F" w:rsidP="00F86B6F">
      <w:r w:rsidRPr="00C52801">
        <w:rPr>
          <w:i/>
          <w:iCs/>
        </w:rPr>
        <w:t>h)</w:t>
      </w:r>
      <w:r w:rsidRPr="00C52801">
        <w:tab/>
        <w:t xml:space="preserve">that the introduction of applications of the possible new allocation of </w:t>
      </w:r>
      <w:r w:rsidR="00C52801" w:rsidRPr="00C52801">
        <w:t xml:space="preserve">the </w:t>
      </w:r>
      <w:r w:rsidRPr="00C52801">
        <w:t>MSS should not impose constraints on other existing primary services allocated in the frequency bands being considered and adjacent frequency bands that operate in application of the Radio Regulations,</w:t>
      </w:r>
    </w:p>
    <w:p w14:paraId="4A0310A6" w14:textId="77777777" w:rsidR="00F86B6F" w:rsidRPr="00C52801" w:rsidRDefault="00F86B6F" w:rsidP="00F86B6F">
      <w:pPr>
        <w:pStyle w:val="Call"/>
      </w:pPr>
      <w:r w:rsidRPr="00C52801">
        <w:t>resolves to invite the ITU Radiocommunication Sector</w:t>
      </w:r>
    </w:p>
    <w:p w14:paraId="72A2911C" w14:textId="2434B750" w:rsidR="00F86B6F" w:rsidRPr="00C52801" w:rsidRDefault="00F86B6F" w:rsidP="008F5BDE">
      <w:r w:rsidRPr="00C52801">
        <w:t>1</w:t>
      </w:r>
      <w:r w:rsidRPr="00C52801">
        <w:tab/>
        <w:t>to conduct and complete on time for WRC</w:t>
      </w:r>
      <w:r w:rsidR="00C52801" w:rsidRPr="00C52801">
        <w:noBreakHyphen/>
      </w:r>
      <w:r w:rsidRPr="00C52801">
        <w:t xml:space="preserve">27 the appropriate studies on technical, operational, and regulatory matters in connection with the possible allocation to </w:t>
      </w:r>
      <w:r w:rsidR="00C52801" w:rsidRPr="00C52801">
        <w:t>the MSS</w:t>
      </w:r>
      <w:r w:rsidRPr="00C52801">
        <w:t xml:space="preserve"> in the frequency bands 2</w:t>
      </w:r>
      <w:r w:rsidR="008F5BDE" w:rsidRPr="00C52801">
        <w:t> </w:t>
      </w:r>
      <w:r w:rsidRPr="00C52801">
        <w:t>010-2</w:t>
      </w:r>
      <w:r w:rsidR="008F5BDE" w:rsidRPr="00C52801">
        <w:t> </w:t>
      </w:r>
      <w:r w:rsidRPr="00C52801">
        <w:t>025</w:t>
      </w:r>
      <w:r w:rsidR="008F5BDE" w:rsidRPr="00C52801">
        <w:t> </w:t>
      </w:r>
      <w:r w:rsidRPr="00C52801">
        <w:t>MHz, and 2</w:t>
      </w:r>
      <w:r w:rsidR="008F5BDE" w:rsidRPr="00C52801">
        <w:t> </w:t>
      </w:r>
      <w:r w:rsidRPr="00C52801">
        <w:t>160-2</w:t>
      </w:r>
      <w:r w:rsidR="008F5BDE" w:rsidRPr="00C52801">
        <w:t> </w:t>
      </w:r>
      <w:r w:rsidRPr="00C52801">
        <w:t>170</w:t>
      </w:r>
      <w:r w:rsidR="008F5BDE" w:rsidRPr="00C52801">
        <w:t> </w:t>
      </w:r>
      <w:r w:rsidRPr="00C52801">
        <w:t>MHz in Regions</w:t>
      </w:r>
      <w:r w:rsidR="008473FB" w:rsidRPr="00C52801">
        <w:t> </w:t>
      </w:r>
      <w:r w:rsidRPr="00C52801">
        <w:t>1 and 3, and 2 120-2</w:t>
      </w:r>
      <w:r w:rsidR="008473FB" w:rsidRPr="00C52801">
        <w:t> </w:t>
      </w:r>
      <w:r w:rsidRPr="00C52801">
        <w:t>160</w:t>
      </w:r>
      <w:r w:rsidR="008473FB" w:rsidRPr="00C52801">
        <w:t> </w:t>
      </w:r>
      <w:r w:rsidRPr="00C52801">
        <w:t xml:space="preserve">MHz in all Regions, </w:t>
      </w:r>
      <w:proofErr w:type="gramStart"/>
      <w:r w:rsidRPr="00C52801">
        <w:t>taking into account</w:t>
      </w:r>
      <w:proofErr w:type="gramEnd"/>
      <w:r w:rsidRPr="00C52801">
        <w:t>:</w:t>
      </w:r>
    </w:p>
    <w:p w14:paraId="61A5D316" w14:textId="77777777" w:rsidR="00F86B6F" w:rsidRPr="00C52801" w:rsidRDefault="00F86B6F" w:rsidP="00F86B6F">
      <w:pPr>
        <w:pStyle w:val="enumlev1"/>
      </w:pPr>
      <w:r w:rsidRPr="00C52801">
        <w:t>–</w:t>
      </w:r>
      <w:r w:rsidRPr="00C52801">
        <w:tab/>
        <w:t>the technical, sharing, coexistence, and protection features for the current allocations in the above-mentioned bands;</w:t>
      </w:r>
    </w:p>
    <w:p w14:paraId="319FCCD5" w14:textId="77777777" w:rsidR="00F86B6F" w:rsidRPr="00C52801" w:rsidRDefault="00F86B6F" w:rsidP="00F86B6F">
      <w:pPr>
        <w:pStyle w:val="enumlev1"/>
      </w:pPr>
      <w:r w:rsidRPr="00C52801">
        <w:t>–</w:t>
      </w:r>
      <w:r w:rsidRPr="00C52801">
        <w:tab/>
        <w:t>the needs of developing countries; and</w:t>
      </w:r>
    </w:p>
    <w:p w14:paraId="5A81D90D" w14:textId="77777777" w:rsidR="00F86B6F" w:rsidRPr="00C52801" w:rsidRDefault="00F86B6F" w:rsidP="00F86B6F">
      <w:pPr>
        <w:pStyle w:val="enumlev1"/>
      </w:pPr>
      <w:r w:rsidRPr="00C52801">
        <w:t>–</w:t>
      </w:r>
      <w:r w:rsidRPr="00C52801">
        <w:tab/>
        <w:t xml:space="preserve">the </w:t>
      </w:r>
      <w:proofErr w:type="gramStart"/>
      <w:r w:rsidRPr="00C52801">
        <w:t>period of time</w:t>
      </w:r>
      <w:proofErr w:type="gramEnd"/>
      <w:r w:rsidRPr="00C52801">
        <w:t xml:space="preserve"> the spectrum would be needed;</w:t>
      </w:r>
    </w:p>
    <w:p w14:paraId="4270A11D" w14:textId="30384439" w:rsidR="00F86B6F" w:rsidRPr="00C52801" w:rsidRDefault="00F86B6F" w:rsidP="00F86B6F">
      <w:r w:rsidRPr="00C52801">
        <w:t>2</w:t>
      </w:r>
      <w:r w:rsidRPr="00C52801">
        <w:tab/>
        <w:t>to conduct and complete for WRC</w:t>
      </w:r>
      <w:r w:rsidR="00C52801" w:rsidRPr="00C52801">
        <w:noBreakHyphen/>
      </w:r>
      <w:r w:rsidRPr="00C52801">
        <w:t xml:space="preserve">27 appropriate coexistence and compatibility studies on possible new allocations to the MSS in the frequency bands under study to ensure the protection of existing services allocated on a primary basis </w:t>
      </w:r>
      <w:proofErr w:type="gramStart"/>
      <w:r w:rsidRPr="00C52801">
        <w:t>and also</w:t>
      </w:r>
      <w:proofErr w:type="gramEnd"/>
      <w:r w:rsidRPr="00C52801">
        <w:t>, as applicable, in adjacent frequency bands, without imposing additional constraints on them,</w:t>
      </w:r>
    </w:p>
    <w:p w14:paraId="75E1A3C2" w14:textId="77777777" w:rsidR="00F86B6F" w:rsidRPr="00C52801" w:rsidRDefault="00F86B6F" w:rsidP="00F86B6F">
      <w:pPr>
        <w:pStyle w:val="Call"/>
      </w:pPr>
      <w:r w:rsidRPr="00C52801">
        <w:lastRenderedPageBreak/>
        <w:t>resolves</w:t>
      </w:r>
    </w:p>
    <w:p w14:paraId="6C543B97" w14:textId="5C1A2EF0" w:rsidR="00F86B6F" w:rsidRPr="00C52801" w:rsidRDefault="00F86B6F" w:rsidP="00F86B6F">
      <w:r w:rsidRPr="00C52801">
        <w:t>to invite WRC</w:t>
      </w:r>
      <w:r w:rsidR="00C52801" w:rsidRPr="00C52801">
        <w:noBreakHyphen/>
      </w:r>
      <w:r w:rsidRPr="00C52801">
        <w:t xml:space="preserve">27 to consider, </w:t>
      </w:r>
      <w:proofErr w:type="gramStart"/>
      <w:r w:rsidRPr="00C52801">
        <w:t>on the basis of</w:t>
      </w:r>
      <w:proofErr w:type="gramEnd"/>
      <w:r w:rsidRPr="00C52801">
        <w:t xml:space="preserve"> the results of studies, additional spectrum allocations to </w:t>
      </w:r>
      <w:r w:rsidR="00C52801" w:rsidRPr="00C52801">
        <w:t xml:space="preserve">the </w:t>
      </w:r>
      <w:r w:rsidRPr="00C52801">
        <w:t>MSS on a primary basis</w:t>
      </w:r>
      <w:r w:rsidR="007164D3" w:rsidRPr="00C52801">
        <w:t>,</w:t>
      </w:r>
    </w:p>
    <w:p w14:paraId="767F0245" w14:textId="77777777" w:rsidR="00F86B6F" w:rsidRPr="00C52801" w:rsidRDefault="00F86B6F" w:rsidP="00F86B6F">
      <w:pPr>
        <w:pStyle w:val="Call"/>
      </w:pPr>
      <w:r w:rsidRPr="00C52801">
        <w:t>invites administrations</w:t>
      </w:r>
    </w:p>
    <w:p w14:paraId="0C8012CE" w14:textId="77777777" w:rsidR="00F86B6F" w:rsidRPr="00C52801" w:rsidRDefault="00F86B6F" w:rsidP="00C52801">
      <w:r w:rsidRPr="00C52801">
        <w:t>to actively participate in these studies by submitting their contributions to the ITU Radiocommunication Sector.</w:t>
      </w:r>
    </w:p>
    <w:p w14:paraId="30A5BA72" w14:textId="77777777" w:rsidR="00C0126D" w:rsidRPr="00C52801" w:rsidRDefault="00C0126D">
      <w:pPr>
        <w:pStyle w:val="Reasons"/>
      </w:pPr>
    </w:p>
    <w:p w14:paraId="434CD96D" w14:textId="763E040F" w:rsidR="009603E3" w:rsidRPr="00C52801" w:rsidRDefault="009603E3" w:rsidP="009603E3">
      <w:r w:rsidRPr="00C52801">
        <w:br w:type="page"/>
      </w:r>
    </w:p>
    <w:p w14:paraId="5FEE0EE7" w14:textId="77777777" w:rsidR="002A08BB" w:rsidRPr="00C52801" w:rsidRDefault="002A08BB" w:rsidP="002A08BB">
      <w:pPr>
        <w:pStyle w:val="AnnexNo"/>
      </w:pPr>
      <w:r w:rsidRPr="00C52801">
        <w:lastRenderedPageBreak/>
        <w:t>ATTACHMENT</w:t>
      </w:r>
    </w:p>
    <w:p w14:paraId="6167770B" w14:textId="017E1EDE" w:rsidR="00C732FD" w:rsidRPr="00C52801" w:rsidRDefault="00C732FD" w:rsidP="00C732FD">
      <w:pPr>
        <w:pStyle w:val="Annextitle"/>
      </w:pPr>
      <w:r w:rsidRPr="00C52801">
        <w:rPr>
          <w:rFonts w:eastAsia="Calibri"/>
        </w:rPr>
        <w:t xml:space="preserve">Potential New and Amended Frequency Allocations </w:t>
      </w:r>
      <w:r w:rsidRPr="00C52801">
        <w:t>to the mobile</w:t>
      </w:r>
      <w:r w:rsidR="00C52801" w:rsidRPr="00C52801">
        <w:t>-</w:t>
      </w:r>
      <w:r w:rsidRPr="00C52801">
        <w:t>satellite service</w:t>
      </w:r>
      <w:r w:rsidRPr="00C52801">
        <w:rPr>
          <w:rFonts w:eastAsia="Calibri"/>
        </w:rPr>
        <w:t xml:space="preserve"> in </w:t>
      </w:r>
      <w:r w:rsidRPr="00C52801">
        <w:t>the frequency bands 2</w:t>
      </w:r>
      <w:r w:rsidR="008473FB" w:rsidRPr="00C52801">
        <w:t> </w:t>
      </w:r>
      <w:r w:rsidRPr="00C52801">
        <w:t>010-2</w:t>
      </w:r>
      <w:r w:rsidR="008473FB" w:rsidRPr="00C52801">
        <w:t> </w:t>
      </w:r>
      <w:r w:rsidRPr="00C52801">
        <w:t>025</w:t>
      </w:r>
      <w:r w:rsidR="008473FB" w:rsidRPr="00C52801">
        <w:t> </w:t>
      </w:r>
      <w:r w:rsidRPr="00C52801">
        <w:t>MHz and 2</w:t>
      </w:r>
      <w:r w:rsidR="008473FB" w:rsidRPr="00C52801">
        <w:t> </w:t>
      </w:r>
      <w:r w:rsidRPr="00C52801">
        <w:t>160-2</w:t>
      </w:r>
      <w:r w:rsidR="008473FB" w:rsidRPr="00C52801">
        <w:t> </w:t>
      </w:r>
      <w:r w:rsidRPr="00C52801">
        <w:t>170</w:t>
      </w:r>
      <w:r w:rsidR="008473FB" w:rsidRPr="00C52801">
        <w:t> </w:t>
      </w:r>
      <w:r w:rsidRPr="00C52801">
        <w:t>MHz in Regions</w:t>
      </w:r>
      <w:r w:rsidR="008473FB" w:rsidRPr="00C52801">
        <w:t> </w:t>
      </w:r>
      <w:r w:rsidRPr="00C52801">
        <w:t>1 and 3, and 2</w:t>
      </w:r>
      <w:r w:rsidR="008473FB" w:rsidRPr="00C52801">
        <w:t> </w:t>
      </w:r>
      <w:r w:rsidRPr="00C52801">
        <w:t>120-2</w:t>
      </w:r>
      <w:r w:rsidR="008473FB" w:rsidRPr="00C52801">
        <w:t> </w:t>
      </w:r>
      <w:r w:rsidRPr="00C52801">
        <w:t>160</w:t>
      </w:r>
      <w:r w:rsidR="008473FB" w:rsidRPr="00C52801">
        <w:t> </w:t>
      </w:r>
      <w:r w:rsidRPr="00C52801">
        <w:t>MHz in all Regions for the future development of MSS systems</w:t>
      </w:r>
    </w:p>
    <w:tbl>
      <w:tblPr>
        <w:tblpPr w:leftFromText="180" w:rightFromText="180" w:vertAnchor="text" w:tblpX="-84" w:tblpY="1"/>
        <w:tblOverlap w:val="never"/>
        <w:tblW w:w="9072" w:type="dxa"/>
        <w:tblLayout w:type="fixed"/>
        <w:tblLook w:val="04A0" w:firstRow="1" w:lastRow="0" w:firstColumn="1" w:lastColumn="0" w:noHBand="0" w:noVBand="1"/>
      </w:tblPr>
      <w:tblGrid>
        <w:gridCol w:w="4111"/>
        <w:gridCol w:w="4961"/>
      </w:tblGrid>
      <w:tr w:rsidR="002A08BB" w:rsidRPr="00C52801" w14:paraId="00682DBD" w14:textId="77777777" w:rsidTr="00633913">
        <w:trPr>
          <w:cantSplit/>
        </w:trPr>
        <w:tc>
          <w:tcPr>
            <w:tcW w:w="9072" w:type="dxa"/>
            <w:gridSpan w:val="2"/>
          </w:tcPr>
          <w:p w14:paraId="0E08BDDB" w14:textId="1DBA870D" w:rsidR="002A08BB" w:rsidRPr="00C52801" w:rsidRDefault="002A08BB" w:rsidP="00CB54FB">
            <w:pPr>
              <w:pStyle w:val="NormalAfter6pt"/>
              <w:framePr w:hSpace="0" w:wrap="auto" w:vAnchor="margin" w:xAlign="left" w:yAlign="inline"/>
              <w:suppressOverlap w:val="0"/>
            </w:pPr>
            <w:r w:rsidRPr="00C52801">
              <w:rPr>
                <w:b/>
              </w:rPr>
              <w:t>Subject:</w:t>
            </w:r>
            <w:r w:rsidRPr="00C52801">
              <w:t xml:space="preserve"> </w:t>
            </w:r>
            <w:r w:rsidR="002A0A82" w:rsidRPr="00C52801">
              <w:t>This is a proposal for a new agenda item for WRC-27 to adopt new mobile-satellite service</w:t>
            </w:r>
            <w:r w:rsidR="00EA7B70" w:rsidRPr="00C52801">
              <w:t xml:space="preserve"> (MSS)</w:t>
            </w:r>
            <w:r w:rsidR="002A0A82" w:rsidRPr="00C52801">
              <w:t xml:space="preserve"> allocations.</w:t>
            </w:r>
          </w:p>
        </w:tc>
      </w:tr>
      <w:tr w:rsidR="002A08BB" w:rsidRPr="00C52801" w14:paraId="5E3AAF61" w14:textId="77777777" w:rsidTr="00633913">
        <w:trPr>
          <w:cantSplit/>
        </w:trPr>
        <w:tc>
          <w:tcPr>
            <w:tcW w:w="9072" w:type="dxa"/>
            <w:gridSpan w:val="2"/>
            <w:tcBorders>
              <w:top w:val="nil"/>
              <w:left w:val="nil"/>
              <w:bottom w:val="single" w:sz="4" w:space="0" w:color="auto"/>
              <w:right w:val="nil"/>
            </w:tcBorders>
          </w:tcPr>
          <w:p w14:paraId="37AF6176" w14:textId="77777777" w:rsidR="002A08BB" w:rsidRPr="00C52801" w:rsidRDefault="002A08BB" w:rsidP="00633913">
            <w:pPr>
              <w:keepNext/>
              <w:spacing w:after="120"/>
              <w:rPr>
                <w:rFonts w:eastAsia="SimSun"/>
                <w:b/>
                <w:i/>
                <w:color w:val="000000"/>
                <w:lang w:eastAsia="zh-CN"/>
              </w:rPr>
            </w:pPr>
            <w:r w:rsidRPr="00C52801">
              <w:rPr>
                <w:b/>
                <w:bCs/>
              </w:rPr>
              <w:t>Origin:</w:t>
            </w:r>
            <w:r w:rsidRPr="00C52801">
              <w:rPr>
                <w:rFonts w:eastAsia="SimSun"/>
                <w:b/>
                <w:bCs/>
                <w:lang w:eastAsia="zh-CN"/>
              </w:rPr>
              <w:t xml:space="preserve"> </w:t>
            </w:r>
            <w:r w:rsidRPr="00C52801">
              <w:rPr>
                <w:szCs w:val="24"/>
              </w:rPr>
              <w:t xml:space="preserve"> CITEL</w:t>
            </w:r>
          </w:p>
        </w:tc>
      </w:tr>
      <w:tr w:rsidR="002A08BB" w:rsidRPr="00C52801" w14:paraId="65F18EB7" w14:textId="77777777" w:rsidTr="00633913">
        <w:trPr>
          <w:cantSplit/>
        </w:trPr>
        <w:tc>
          <w:tcPr>
            <w:tcW w:w="9072" w:type="dxa"/>
            <w:gridSpan w:val="2"/>
            <w:tcBorders>
              <w:top w:val="single" w:sz="4" w:space="0" w:color="auto"/>
              <w:left w:val="nil"/>
              <w:bottom w:val="single" w:sz="4" w:space="0" w:color="auto"/>
              <w:right w:val="nil"/>
            </w:tcBorders>
          </w:tcPr>
          <w:p w14:paraId="0C66F75B" w14:textId="77777777" w:rsidR="002A08BB" w:rsidRPr="00C52801" w:rsidRDefault="002A08BB" w:rsidP="00633913">
            <w:pPr>
              <w:keepNext/>
              <w:spacing w:after="120"/>
              <w:rPr>
                <w:b/>
                <w:i/>
                <w:color w:val="000000"/>
              </w:rPr>
            </w:pPr>
            <w:r w:rsidRPr="00C52801">
              <w:rPr>
                <w:b/>
                <w:i/>
                <w:color w:val="000000"/>
              </w:rPr>
              <w:t>Proposal</w:t>
            </w:r>
            <w:r w:rsidRPr="00C52801">
              <w:rPr>
                <w:b/>
                <w:iCs/>
                <w:color w:val="000000"/>
              </w:rPr>
              <w:t>:</w:t>
            </w:r>
          </w:p>
          <w:p w14:paraId="652C0CBD" w14:textId="7FA1200E" w:rsidR="002A08BB" w:rsidRPr="00C52801" w:rsidRDefault="00394CD5" w:rsidP="00633913">
            <w:pPr>
              <w:keepNext/>
              <w:spacing w:after="120"/>
              <w:rPr>
                <w:b/>
                <w:i/>
              </w:rPr>
            </w:pPr>
            <w:r w:rsidRPr="00C52801">
              <w:rPr>
                <w:rFonts w:eastAsia="Calibri"/>
                <w:szCs w:val="24"/>
              </w:rPr>
              <w:t xml:space="preserve">Potential </w:t>
            </w:r>
            <w:r w:rsidR="00EA7B70" w:rsidRPr="00C52801">
              <w:rPr>
                <w:rFonts w:eastAsia="Calibri"/>
                <w:szCs w:val="24"/>
              </w:rPr>
              <w:t xml:space="preserve">new </w:t>
            </w:r>
            <w:r w:rsidRPr="00C52801">
              <w:rPr>
                <w:rFonts w:eastAsia="Calibri"/>
                <w:szCs w:val="24"/>
              </w:rPr>
              <w:t xml:space="preserve">allocations </w:t>
            </w:r>
            <w:r w:rsidRPr="00C52801">
              <w:rPr>
                <w:iCs/>
                <w:szCs w:val="24"/>
              </w:rPr>
              <w:t>and global harmonization of the frequency bands 2</w:t>
            </w:r>
            <w:r w:rsidR="008473FB" w:rsidRPr="00C52801">
              <w:rPr>
                <w:iCs/>
                <w:szCs w:val="24"/>
              </w:rPr>
              <w:t> </w:t>
            </w:r>
            <w:r w:rsidRPr="00C52801">
              <w:rPr>
                <w:iCs/>
                <w:szCs w:val="24"/>
              </w:rPr>
              <w:t>010-2</w:t>
            </w:r>
            <w:r w:rsidR="00EA7B70" w:rsidRPr="00C52801">
              <w:rPr>
                <w:iCs/>
                <w:szCs w:val="24"/>
              </w:rPr>
              <w:t> </w:t>
            </w:r>
            <w:r w:rsidRPr="00C52801">
              <w:rPr>
                <w:iCs/>
                <w:szCs w:val="24"/>
              </w:rPr>
              <w:t>025</w:t>
            </w:r>
            <w:r w:rsidR="00EA7B70" w:rsidRPr="00C52801">
              <w:rPr>
                <w:iCs/>
                <w:szCs w:val="24"/>
              </w:rPr>
              <w:t> </w:t>
            </w:r>
            <w:r w:rsidRPr="00C52801">
              <w:rPr>
                <w:iCs/>
                <w:szCs w:val="24"/>
              </w:rPr>
              <w:t>MHz, and 2</w:t>
            </w:r>
            <w:r w:rsidR="008473FB" w:rsidRPr="00C52801">
              <w:rPr>
                <w:iCs/>
                <w:szCs w:val="24"/>
              </w:rPr>
              <w:t> </w:t>
            </w:r>
            <w:r w:rsidRPr="00C52801">
              <w:rPr>
                <w:iCs/>
                <w:szCs w:val="24"/>
              </w:rPr>
              <w:t>160-2</w:t>
            </w:r>
            <w:r w:rsidR="008473FB" w:rsidRPr="00C52801">
              <w:rPr>
                <w:iCs/>
                <w:szCs w:val="24"/>
              </w:rPr>
              <w:t> </w:t>
            </w:r>
            <w:r w:rsidRPr="00C52801">
              <w:rPr>
                <w:iCs/>
                <w:szCs w:val="24"/>
              </w:rPr>
              <w:t>170</w:t>
            </w:r>
            <w:r w:rsidR="008473FB" w:rsidRPr="00C52801">
              <w:rPr>
                <w:iCs/>
                <w:szCs w:val="24"/>
              </w:rPr>
              <w:t> </w:t>
            </w:r>
            <w:r w:rsidRPr="00C52801">
              <w:rPr>
                <w:iCs/>
                <w:szCs w:val="24"/>
              </w:rPr>
              <w:t>MHz in Regions</w:t>
            </w:r>
            <w:r w:rsidR="008473FB" w:rsidRPr="00C52801">
              <w:rPr>
                <w:iCs/>
                <w:szCs w:val="24"/>
              </w:rPr>
              <w:t> </w:t>
            </w:r>
            <w:r w:rsidRPr="00C52801">
              <w:rPr>
                <w:iCs/>
                <w:szCs w:val="24"/>
              </w:rPr>
              <w:t>1 and 3, and 2</w:t>
            </w:r>
            <w:r w:rsidR="008473FB" w:rsidRPr="00C52801">
              <w:rPr>
                <w:iCs/>
                <w:szCs w:val="24"/>
              </w:rPr>
              <w:t> </w:t>
            </w:r>
            <w:r w:rsidRPr="00C52801">
              <w:rPr>
                <w:iCs/>
                <w:szCs w:val="24"/>
              </w:rPr>
              <w:t>120-2</w:t>
            </w:r>
            <w:r w:rsidR="008473FB" w:rsidRPr="00C52801">
              <w:rPr>
                <w:iCs/>
                <w:szCs w:val="24"/>
              </w:rPr>
              <w:t> </w:t>
            </w:r>
            <w:r w:rsidRPr="00C52801">
              <w:rPr>
                <w:iCs/>
                <w:szCs w:val="24"/>
              </w:rPr>
              <w:t>160</w:t>
            </w:r>
            <w:r w:rsidR="008473FB" w:rsidRPr="00C52801">
              <w:rPr>
                <w:iCs/>
                <w:szCs w:val="24"/>
              </w:rPr>
              <w:t> </w:t>
            </w:r>
            <w:r w:rsidRPr="00C52801">
              <w:rPr>
                <w:iCs/>
                <w:szCs w:val="24"/>
              </w:rPr>
              <w:t>MHz in all Regions to the mobile-satellite service</w:t>
            </w:r>
            <w:r w:rsidRPr="00C52801">
              <w:rPr>
                <w:rFonts w:eastAsia="Calibri"/>
                <w:szCs w:val="24"/>
              </w:rPr>
              <w:t xml:space="preserve"> and, based on the results of sharing and compatibility studies with incumbent services, consider new or amended allocations to the MSS.</w:t>
            </w:r>
          </w:p>
        </w:tc>
      </w:tr>
      <w:tr w:rsidR="002A08BB" w:rsidRPr="00C52801" w14:paraId="19C6E6EF" w14:textId="77777777" w:rsidTr="00633913">
        <w:trPr>
          <w:cantSplit/>
        </w:trPr>
        <w:tc>
          <w:tcPr>
            <w:tcW w:w="9072" w:type="dxa"/>
            <w:gridSpan w:val="2"/>
            <w:tcBorders>
              <w:top w:val="single" w:sz="4" w:space="0" w:color="auto"/>
              <w:left w:val="nil"/>
              <w:bottom w:val="single" w:sz="4" w:space="0" w:color="auto"/>
              <w:right w:val="nil"/>
            </w:tcBorders>
          </w:tcPr>
          <w:p w14:paraId="7EFCFD6F" w14:textId="77777777" w:rsidR="002A08BB" w:rsidRPr="00C52801" w:rsidRDefault="002A08BB" w:rsidP="00633913">
            <w:pPr>
              <w:rPr>
                <w:szCs w:val="24"/>
              </w:rPr>
            </w:pPr>
            <w:r w:rsidRPr="00C52801">
              <w:rPr>
                <w:b/>
                <w:i/>
                <w:szCs w:val="24"/>
              </w:rPr>
              <w:t>Background/reason:</w:t>
            </w:r>
          </w:p>
          <w:p w14:paraId="4A938E4C" w14:textId="44A5AE3F" w:rsidR="002A08BB" w:rsidRPr="00C52801" w:rsidRDefault="00A07696" w:rsidP="00CB54FB">
            <w:pPr>
              <w:pStyle w:val="NormalAfter6pt"/>
              <w:framePr w:hSpace="0" w:wrap="auto" w:vAnchor="margin" w:xAlign="left" w:yAlign="inline"/>
              <w:suppressOverlap w:val="0"/>
              <w:rPr>
                <w:b/>
                <w:iCs/>
              </w:rPr>
            </w:pPr>
            <w:r w:rsidRPr="00C52801">
              <w:t>Allocating more MSS spectrum is necessary to address the increasing demand for mobile satellite applications (and satellite mobility generally), a persistent MSS spectrum shortfall, and crowding in lower bands. MSS can provide coverage to underserved and remote areas, support evolving technologies, and facilitate the integration into new terminals.</w:t>
            </w:r>
          </w:p>
        </w:tc>
      </w:tr>
      <w:tr w:rsidR="002A08BB" w:rsidRPr="00C52801" w14:paraId="318BA9A4" w14:textId="77777777" w:rsidTr="00633913">
        <w:trPr>
          <w:cantSplit/>
        </w:trPr>
        <w:tc>
          <w:tcPr>
            <w:tcW w:w="9072" w:type="dxa"/>
            <w:gridSpan w:val="2"/>
            <w:tcBorders>
              <w:top w:val="single" w:sz="4" w:space="0" w:color="auto"/>
              <w:left w:val="nil"/>
              <w:bottom w:val="single" w:sz="4" w:space="0" w:color="auto"/>
              <w:right w:val="nil"/>
            </w:tcBorders>
          </w:tcPr>
          <w:p w14:paraId="7E9612D2" w14:textId="77777777" w:rsidR="002A08BB" w:rsidRPr="00C52801" w:rsidRDefault="002A08BB" w:rsidP="00633913">
            <w:pPr>
              <w:keepNext/>
              <w:spacing w:after="120"/>
              <w:rPr>
                <w:b/>
                <w:i/>
              </w:rPr>
            </w:pPr>
            <w:r w:rsidRPr="00C52801">
              <w:rPr>
                <w:b/>
                <w:i/>
              </w:rPr>
              <w:t>Radiocommunication services concerned</w:t>
            </w:r>
            <w:r w:rsidRPr="00C52801">
              <w:rPr>
                <w:b/>
                <w:iCs/>
              </w:rPr>
              <w:t>:</w:t>
            </w:r>
          </w:p>
          <w:p w14:paraId="5E5D04BD" w14:textId="313720C1" w:rsidR="002A08BB" w:rsidRPr="00C52801" w:rsidRDefault="004F7D00" w:rsidP="00633913">
            <w:pPr>
              <w:keepNext/>
              <w:spacing w:after="120"/>
              <w:rPr>
                <w:b/>
                <w:iCs/>
              </w:rPr>
            </w:pPr>
            <w:r w:rsidRPr="00C52801">
              <w:rPr>
                <w:rFonts w:eastAsia="Calibri"/>
                <w:szCs w:val="24"/>
                <w:lang w:eastAsia="ko-KR"/>
              </w:rPr>
              <w:t xml:space="preserve">Fixed </w:t>
            </w:r>
            <w:r w:rsidR="005F2752" w:rsidRPr="00C52801">
              <w:rPr>
                <w:rFonts w:eastAsia="Calibri"/>
                <w:szCs w:val="24"/>
                <w:lang w:eastAsia="ko-KR"/>
              </w:rPr>
              <w:t>service</w:t>
            </w:r>
            <w:r w:rsidRPr="00C52801">
              <w:rPr>
                <w:rFonts w:eastAsia="Calibri"/>
                <w:szCs w:val="24"/>
                <w:lang w:eastAsia="ko-KR"/>
              </w:rPr>
              <w:t xml:space="preserve">, </w:t>
            </w:r>
            <w:r w:rsidR="005F2752" w:rsidRPr="00C52801">
              <w:rPr>
                <w:rFonts w:eastAsia="Calibri"/>
                <w:szCs w:val="24"/>
                <w:lang w:eastAsia="ko-KR"/>
              </w:rPr>
              <w:t>mobile service</w:t>
            </w:r>
          </w:p>
        </w:tc>
      </w:tr>
      <w:tr w:rsidR="002A08BB" w:rsidRPr="00C52801" w14:paraId="3F2996D7" w14:textId="77777777" w:rsidTr="00633913">
        <w:trPr>
          <w:cantSplit/>
        </w:trPr>
        <w:tc>
          <w:tcPr>
            <w:tcW w:w="9072" w:type="dxa"/>
            <w:gridSpan w:val="2"/>
            <w:tcBorders>
              <w:top w:val="single" w:sz="4" w:space="0" w:color="auto"/>
              <w:left w:val="nil"/>
              <w:bottom w:val="single" w:sz="4" w:space="0" w:color="auto"/>
              <w:right w:val="nil"/>
            </w:tcBorders>
          </w:tcPr>
          <w:p w14:paraId="55F7D065" w14:textId="77777777" w:rsidR="002A08BB" w:rsidRPr="00C52801" w:rsidRDefault="002A08BB" w:rsidP="00633913">
            <w:pPr>
              <w:keepNext/>
              <w:spacing w:after="120"/>
              <w:rPr>
                <w:b/>
                <w:i/>
              </w:rPr>
            </w:pPr>
            <w:r w:rsidRPr="00C52801">
              <w:rPr>
                <w:b/>
                <w:i/>
              </w:rPr>
              <w:t>Indication of possible difficulties</w:t>
            </w:r>
            <w:r w:rsidRPr="00C52801">
              <w:rPr>
                <w:b/>
                <w:iCs/>
              </w:rPr>
              <w:t>:</w:t>
            </w:r>
          </w:p>
          <w:p w14:paraId="1F028809" w14:textId="77777777" w:rsidR="002A08BB" w:rsidRPr="00C52801" w:rsidRDefault="002A08BB" w:rsidP="00633913">
            <w:pPr>
              <w:keepNext/>
              <w:spacing w:after="120"/>
              <w:rPr>
                <w:b/>
                <w:i/>
              </w:rPr>
            </w:pPr>
            <w:r w:rsidRPr="00C52801">
              <w:rPr>
                <w:szCs w:val="24"/>
              </w:rPr>
              <w:t>none foreseen</w:t>
            </w:r>
          </w:p>
        </w:tc>
      </w:tr>
      <w:tr w:rsidR="002A08BB" w:rsidRPr="00C52801" w14:paraId="7F414796" w14:textId="77777777" w:rsidTr="00633913">
        <w:trPr>
          <w:cantSplit/>
        </w:trPr>
        <w:tc>
          <w:tcPr>
            <w:tcW w:w="9072" w:type="dxa"/>
            <w:gridSpan w:val="2"/>
            <w:tcBorders>
              <w:top w:val="single" w:sz="4" w:space="0" w:color="auto"/>
              <w:left w:val="nil"/>
              <w:bottom w:val="single" w:sz="4" w:space="0" w:color="auto"/>
              <w:right w:val="nil"/>
            </w:tcBorders>
          </w:tcPr>
          <w:p w14:paraId="398C7A37" w14:textId="77777777" w:rsidR="002A08BB" w:rsidRPr="00C52801" w:rsidRDefault="002A08BB" w:rsidP="00633913">
            <w:pPr>
              <w:keepNext/>
              <w:spacing w:after="120"/>
              <w:rPr>
                <w:b/>
                <w:i/>
              </w:rPr>
            </w:pPr>
            <w:r w:rsidRPr="00C52801">
              <w:rPr>
                <w:b/>
                <w:i/>
              </w:rPr>
              <w:t>Previous/ongoing studies on the issue</w:t>
            </w:r>
            <w:r w:rsidRPr="00C52801">
              <w:rPr>
                <w:b/>
                <w:iCs/>
              </w:rPr>
              <w:t>:</w:t>
            </w:r>
          </w:p>
          <w:p w14:paraId="5D396E17" w14:textId="1106DFE4" w:rsidR="002A08BB" w:rsidRPr="00C52801" w:rsidRDefault="00CA63AC" w:rsidP="00CB54FB">
            <w:pPr>
              <w:pStyle w:val="NormalAfter6pt"/>
              <w:framePr w:hSpace="0" w:wrap="auto" w:vAnchor="margin" w:xAlign="left" w:yAlign="inline"/>
              <w:suppressOverlap w:val="0"/>
              <w:rPr>
                <w:rFonts w:eastAsiaTheme="minorEastAsia"/>
                <w:bCs/>
                <w:iCs/>
                <w:lang w:eastAsia="ja-JP"/>
              </w:rPr>
            </w:pPr>
            <w:r w:rsidRPr="00C52801">
              <w:t>none</w:t>
            </w:r>
          </w:p>
        </w:tc>
      </w:tr>
      <w:tr w:rsidR="002A08BB" w:rsidRPr="00C52801" w14:paraId="2CBA66F7" w14:textId="77777777" w:rsidTr="00633913">
        <w:trPr>
          <w:cantSplit/>
        </w:trPr>
        <w:tc>
          <w:tcPr>
            <w:tcW w:w="4111" w:type="dxa"/>
            <w:tcBorders>
              <w:top w:val="single" w:sz="4" w:space="0" w:color="auto"/>
              <w:left w:val="nil"/>
              <w:bottom w:val="single" w:sz="4" w:space="0" w:color="auto"/>
              <w:right w:val="single" w:sz="4" w:space="0" w:color="auto"/>
            </w:tcBorders>
          </w:tcPr>
          <w:p w14:paraId="06644087" w14:textId="77777777" w:rsidR="002A08BB" w:rsidRPr="00C52801" w:rsidRDefault="002A08BB" w:rsidP="00633913">
            <w:pPr>
              <w:keepNext/>
              <w:spacing w:after="120"/>
              <w:rPr>
                <w:b/>
                <w:i/>
                <w:color w:val="000000"/>
              </w:rPr>
            </w:pPr>
            <w:r w:rsidRPr="00C52801">
              <w:rPr>
                <w:b/>
                <w:i/>
                <w:color w:val="000000"/>
              </w:rPr>
              <w:t>Studies to be carried out by</w:t>
            </w:r>
            <w:r w:rsidRPr="00C52801">
              <w:rPr>
                <w:b/>
                <w:iCs/>
                <w:color w:val="000000"/>
              </w:rPr>
              <w:t>:</w:t>
            </w:r>
          </w:p>
          <w:p w14:paraId="4F0C3869" w14:textId="37831C99" w:rsidR="002A08BB" w:rsidRPr="00C52801" w:rsidRDefault="002A08BB" w:rsidP="00633913">
            <w:pPr>
              <w:keepNext/>
              <w:spacing w:after="120"/>
              <w:rPr>
                <w:b/>
                <w:iCs/>
                <w:color w:val="000000"/>
              </w:rPr>
            </w:pPr>
            <w:r w:rsidRPr="00C52801">
              <w:rPr>
                <w:rFonts w:eastAsia="MS Mincho"/>
              </w:rPr>
              <w:t>ITU</w:t>
            </w:r>
            <w:r w:rsidR="008473FB" w:rsidRPr="00C52801">
              <w:rPr>
                <w:rFonts w:eastAsia="MS Mincho"/>
              </w:rPr>
              <w:noBreakHyphen/>
            </w:r>
            <w:r w:rsidRPr="00C52801">
              <w:rPr>
                <w:rFonts w:eastAsia="MS Mincho"/>
              </w:rPr>
              <w:t xml:space="preserve">R Working Party </w:t>
            </w:r>
            <w:r w:rsidR="004C0091" w:rsidRPr="00C52801">
              <w:rPr>
                <w:rFonts w:eastAsia="MS Mincho"/>
              </w:rPr>
              <w:t>4C</w:t>
            </w:r>
          </w:p>
        </w:tc>
        <w:tc>
          <w:tcPr>
            <w:tcW w:w="4961" w:type="dxa"/>
            <w:tcBorders>
              <w:top w:val="single" w:sz="4" w:space="0" w:color="auto"/>
              <w:left w:val="single" w:sz="4" w:space="0" w:color="auto"/>
              <w:bottom w:val="single" w:sz="4" w:space="0" w:color="auto"/>
              <w:right w:val="nil"/>
            </w:tcBorders>
          </w:tcPr>
          <w:p w14:paraId="22DCE4EB" w14:textId="77777777" w:rsidR="002A08BB" w:rsidRPr="00C52801" w:rsidRDefault="002A08BB" w:rsidP="00633913">
            <w:pPr>
              <w:keepNext/>
              <w:spacing w:after="120"/>
              <w:rPr>
                <w:b/>
                <w:iCs/>
                <w:color w:val="000000"/>
              </w:rPr>
            </w:pPr>
            <w:r w:rsidRPr="00C52801">
              <w:rPr>
                <w:b/>
                <w:i/>
                <w:color w:val="000000"/>
              </w:rPr>
              <w:t>with the participation of</w:t>
            </w:r>
            <w:r w:rsidRPr="00C52801">
              <w:rPr>
                <w:b/>
                <w:iCs/>
                <w:color w:val="000000"/>
              </w:rPr>
              <w:t>:</w:t>
            </w:r>
          </w:p>
          <w:p w14:paraId="0F46DDDF" w14:textId="026E84B1" w:rsidR="002A08BB" w:rsidRPr="00C52801" w:rsidRDefault="000B5B23" w:rsidP="00633913">
            <w:pPr>
              <w:keepNext/>
              <w:spacing w:after="120"/>
              <w:rPr>
                <w:b/>
                <w:iCs/>
                <w:color w:val="000000"/>
              </w:rPr>
            </w:pPr>
            <w:r w:rsidRPr="00C52801">
              <w:rPr>
                <w:rFonts w:eastAsia="MS Gothic"/>
                <w:szCs w:val="24"/>
                <w:lang w:eastAsia="ja-JP"/>
              </w:rPr>
              <w:t>Administrations</w:t>
            </w:r>
            <w:r w:rsidRPr="00C52801">
              <w:rPr>
                <w:rFonts w:eastAsia="Calibri"/>
                <w:szCs w:val="24"/>
                <w:lang w:eastAsia="ko-KR"/>
              </w:rPr>
              <w:t xml:space="preserve"> </w:t>
            </w:r>
            <w:r w:rsidR="004C0091" w:rsidRPr="00C52801">
              <w:rPr>
                <w:rFonts w:eastAsia="Calibri"/>
                <w:szCs w:val="24"/>
                <w:lang w:eastAsia="ko-KR"/>
              </w:rPr>
              <w:t xml:space="preserve">and Sector </w:t>
            </w:r>
            <w:r w:rsidR="005A65B5" w:rsidRPr="00C52801">
              <w:rPr>
                <w:rFonts w:eastAsia="Calibri"/>
                <w:szCs w:val="24"/>
                <w:lang w:eastAsia="ko-KR"/>
              </w:rPr>
              <w:t xml:space="preserve">Members </w:t>
            </w:r>
            <w:r w:rsidR="004C0091" w:rsidRPr="00C52801">
              <w:rPr>
                <w:rFonts w:eastAsia="Calibri"/>
                <w:szCs w:val="24"/>
                <w:lang w:eastAsia="ko-KR"/>
              </w:rPr>
              <w:t>of the ITU</w:t>
            </w:r>
            <w:r w:rsidR="008473FB" w:rsidRPr="00C52801">
              <w:rPr>
                <w:rFonts w:eastAsia="Calibri"/>
                <w:szCs w:val="24"/>
                <w:lang w:eastAsia="ko-KR"/>
              </w:rPr>
              <w:noBreakHyphen/>
            </w:r>
            <w:r w:rsidR="004C0091" w:rsidRPr="00C52801">
              <w:rPr>
                <w:rFonts w:eastAsia="Calibri"/>
                <w:szCs w:val="24"/>
                <w:lang w:eastAsia="ko-KR"/>
              </w:rPr>
              <w:t>R</w:t>
            </w:r>
          </w:p>
        </w:tc>
      </w:tr>
      <w:tr w:rsidR="002A08BB" w:rsidRPr="00C52801" w14:paraId="679BB79F" w14:textId="77777777" w:rsidTr="00633913">
        <w:trPr>
          <w:cantSplit/>
        </w:trPr>
        <w:tc>
          <w:tcPr>
            <w:tcW w:w="9072" w:type="dxa"/>
            <w:gridSpan w:val="2"/>
            <w:tcBorders>
              <w:top w:val="single" w:sz="4" w:space="0" w:color="auto"/>
              <w:left w:val="nil"/>
              <w:bottom w:val="single" w:sz="4" w:space="0" w:color="auto"/>
              <w:right w:val="nil"/>
            </w:tcBorders>
          </w:tcPr>
          <w:p w14:paraId="060CD8FE" w14:textId="49840129" w:rsidR="002A08BB" w:rsidRPr="00C52801" w:rsidRDefault="002A08BB" w:rsidP="00633913">
            <w:pPr>
              <w:keepNext/>
              <w:spacing w:after="120"/>
              <w:rPr>
                <w:b/>
                <w:i/>
                <w:color w:val="000000"/>
              </w:rPr>
            </w:pPr>
            <w:r w:rsidRPr="00C52801">
              <w:rPr>
                <w:b/>
                <w:i/>
                <w:color w:val="000000"/>
              </w:rPr>
              <w:t>ITU</w:t>
            </w:r>
            <w:r w:rsidRPr="00C52801">
              <w:rPr>
                <w:b/>
                <w:i/>
                <w:color w:val="000000"/>
              </w:rPr>
              <w:noBreakHyphen/>
              <w:t>R study groups concerned</w:t>
            </w:r>
            <w:r w:rsidRPr="00C52801">
              <w:rPr>
                <w:b/>
                <w:iCs/>
                <w:color w:val="000000"/>
              </w:rPr>
              <w:t>:</w:t>
            </w:r>
          </w:p>
          <w:p w14:paraId="35ED31C9" w14:textId="79CDD95E" w:rsidR="002A08BB" w:rsidRPr="00C52801" w:rsidRDefault="002A08BB" w:rsidP="00633913">
            <w:pPr>
              <w:keepNext/>
              <w:spacing w:after="120"/>
              <w:rPr>
                <w:b/>
                <w:iCs/>
              </w:rPr>
            </w:pPr>
            <w:r w:rsidRPr="00C52801">
              <w:rPr>
                <w:rFonts w:eastAsia="MS Mincho"/>
                <w:iCs/>
              </w:rPr>
              <w:t>ITU</w:t>
            </w:r>
            <w:r w:rsidR="008473FB" w:rsidRPr="00C52801">
              <w:rPr>
                <w:rFonts w:eastAsia="MS Mincho"/>
                <w:iCs/>
              </w:rPr>
              <w:noBreakHyphen/>
            </w:r>
            <w:r w:rsidRPr="00C52801">
              <w:rPr>
                <w:rFonts w:eastAsia="MS Mincho"/>
                <w:iCs/>
              </w:rPr>
              <w:t>R Study Groups</w:t>
            </w:r>
            <w:r w:rsidR="008473FB" w:rsidRPr="00C52801">
              <w:rPr>
                <w:rFonts w:eastAsia="MS Mincho"/>
                <w:iCs/>
              </w:rPr>
              <w:t> </w:t>
            </w:r>
            <w:r w:rsidR="00274D1F" w:rsidRPr="00C52801">
              <w:rPr>
                <w:rFonts w:eastAsia="MS Mincho"/>
                <w:iCs/>
              </w:rPr>
              <w:t>4</w:t>
            </w:r>
            <w:r w:rsidRPr="00C52801">
              <w:rPr>
                <w:rFonts w:eastAsia="MS Mincho"/>
                <w:iCs/>
              </w:rPr>
              <w:t xml:space="preserve">, </w:t>
            </w:r>
            <w:r w:rsidR="00274D1F" w:rsidRPr="00C52801">
              <w:rPr>
                <w:rFonts w:eastAsia="MS Mincho"/>
                <w:iCs/>
              </w:rPr>
              <w:t>5</w:t>
            </w:r>
          </w:p>
        </w:tc>
      </w:tr>
      <w:tr w:rsidR="002A08BB" w:rsidRPr="00C52801" w14:paraId="007C7260" w14:textId="77777777" w:rsidTr="00633913">
        <w:trPr>
          <w:cantSplit/>
        </w:trPr>
        <w:tc>
          <w:tcPr>
            <w:tcW w:w="9072" w:type="dxa"/>
            <w:gridSpan w:val="2"/>
            <w:tcBorders>
              <w:top w:val="single" w:sz="4" w:space="0" w:color="auto"/>
              <w:left w:val="nil"/>
              <w:bottom w:val="single" w:sz="4" w:space="0" w:color="auto"/>
              <w:right w:val="nil"/>
            </w:tcBorders>
          </w:tcPr>
          <w:p w14:paraId="5BE0332A" w14:textId="77777777" w:rsidR="002A08BB" w:rsidRPr="00C52801" w:rsidRDefault="002A08BB" w:rsidP="00633913">
            <w:pPr>
              <w:keepNext/>
              <w:spacing w:after="120"/>
              <w:rPr>
                <w:b/>
                <w:i/>
              </w:rPr>
            </w:pPr>
            <w:r w:rsidRPr="00C52801">
              <w:rPr>
                <w:b/>
                <w:i/>
              </w:rPr>
              <w:t>ITU resource implications, including financial implications (refer to CV126)</w:t>
            </w:r>
            <w:r w:rsidRPr="00C52801">
              <w:rPr>
                <w:b/>
                <w:iCs/>
              </w:rPr>
              <w:t>:</w:t>
            </w:r>
          </w:p>
          <w:p w14:paraId="4317BB62" w14:textId="7929CE8C" w:rsidR="002A08BB" w:rsidRPr="00C52801" w:rsidRDefault="00E24C56" w:rsidP="00633913">
            <w:pPr>
              <w:keepNext/>
              <w:spacing w:after="120"/>
              <w:rPr>
                <w:b/>
                <w:iCs/>
              </w:rPr>
            </w:pPr>
            <w:r w:rsidRPr="00C52801">
              <w:rPr>
                <w:rFonts w:eastAsia="Calibri"/>
                <w:bCs/>
                <w:iCs/>
                <w:szCs w:val="24"/>
                <w:lang w:eastAsia="ko-KR"/>
              </w:rPr>
              <w:t>This proposed agenda item will be studied within the normal ITU</w:t>
            </w:r>
            <w:r w:rsidR="008473FB" w:rsidRPr="00C52801">
              <w:rPr>
                <w:rFonts w:eastAsia="Calibri"/>
                <w:bCs/>
                <w:iCs/>
                <w:szCs w:val="24"/>
                <w:lang w:eastAsia="ko-KR"/>
              </w:rPr>
              <w:noBreakHyphen/>
            </w:r>
            <w:r w:rsidRPr="00C52801">
              <w:rPr>
                <w:rFonts w:eastAsia="Calibri"/>
                <w:bCs/>
                <w:iCs/>
                <w:szCs w:val="24"/>
                <w:lang w:eastAsia="ko-KR"/>
              </w:rPr>
              <w:t>R procedures and planned budget.</w:t>
            </w:r>
          </w:p>
        </w:tc>
      </w:tr>
      <w:tr w:rsidR="002A08BB" w:rsidRPr="00C52801" w14:paraId="61DBC146" w14:textId="77777777" w:rsidTr="00633913">
        <w:trPr>
          <w:cantSplit/>
        </w:trPr>
        <w:tc>
          <w:tcPr>
            <w:tcW w:w="4111" w:type="dxa"/>
            <w:tcBorders>
              <w:top w:val="single" w:sz="4" w:space="0" w:color="auto"/>
              <w:left w:val="nil"/>
              <w:bottom w:val="single" w:sz="4" w:space="0" w:color="auto"/>
              <w:right w:val="nil"/>
            </w:tcBorders>
          </w:tcPr>
          <w:p w14:paraId="413C8333" w14:textId="1AA8A2F8" w:rsidR="002A08BB" w:rsidRPr="00C52801" w:rsidRDefault="002A08BB" w:rsidP="00633913">
            <w:pPr>
              <w:keepNext/>
              <w:keepLines/>
              <w:spacing w:after="120"/>
              <w:rPr>
                <w:b/>
                <w:iCs/>
              </w:rPr>
            </w:pPr>
            <w:r w:rsidRPr="00C52801">
              <w:rPr>
                <w:b/>
                <w:i/>
              </w:rPr>
              <w:t>Common regional proposal</w:t>
            </w:r>
            <w:r w:rsidRPr="00C52801">
              <w:rPr>
                <w:b/>
                <w:iCs/>
              </w:rPr>
              <w:t>:</w:t>
            </w:r>
            <w:r w:rsidRPr="00C52801">
              <w:rPr>
                <w:szCs w:val="24"/>
              </w:rPr>
              <w:t xml:space="preserve"> </w:t>
            </w:r>
            <w:r w:rsidR="00E24C56" w:rsidRPr="00C52801">
              <w:rPr>
                <w:szCs w:val="24"/>
              </w:rPr>
              <w:t xml:space="preserve"> Yes/No</w:t>
            </w:r>
          </w:p>
        </w:tc>
        <w:tc>
          <w:tcPr>
            <w:tcW w:w="4961" w:type="dxa"/>
            <w:tcBorders>
              <w:top w:val="single" w:sz="4" w:space="0" w:color="auto"/>
              <w:left w:val="nil"/>
              <w:bottom w:val="single" w:sz="4" w:space="0" w:color="auto"/>
              <w:right w:val="nil"/>
            </w:tcBorders>
          </w:tcPr>
          <w:p w14:paraId="49820974" w14:textId="77777777" w:rsidR="002A08BB" w:rsidRPr="00C52801" w:rsidRDefault="002A08BB" w:rsidP="00633913">
            <w:pPr>
              <w:keepNext/>
              <w:keepLines/>
              <w:spacing w:after="120"/>
              <w:rPr>
                <w:b/>
                <w:iCs/>
              </w:rPr>
            </w:pPr>
            <w:r w:rsidRPr="00C52801">
              <w:rPr>
                <w:b/>
                <w:i/>
              </w:rPr>
              <w:t>Multicountry proposal</w:t>
            </w:r>
            <w:r w:rsidRPr="00C52801">
              <w:rPr>
                <w:b/>
                <w:iCs/>
              </w:rPr>
              <w:t>:</w:t>
            </w:r>
            <w:r w:rsidRPr="00C52801">
              <w:rPr>
                <w:szCs w:val="24"/>
              </w:rPr>
              <w:t xml:space="preserve"> Yes/No</w:t>
            </w:r>
          </w:p>
          <w:p w14:paraId="1CB188D9" w14:textId="24B8544A" w:rsidR="002A08BB" w:rsidRPr="00C52801" w:rsidRDefault="002A08BB" w:rsidP="00633913">
            <w:pPr>
              <w:keepNext/>
              <w:keepLines/>
              <w:spacing w:after="120"/>
              <w:rPr>
                <w:b/>
                <w:i/>
              </w:rPr>
            </w:pPr>
            <w:r w:rsidRPr="00C52801">
              <w:rPr>
                <w:b/>
                <w:i/>
              </w:rPr>
              <w:t>Number of countries</w:t>
            </w:r>
            <w:r w:rsidRPr="00C52801">
              <w:rPr>
                <w:b/>
                <w:iCs/>
              </w:rPr>
              <w:t xml:space="preserve">: </w:t>
            </w:r>
          </w:p>
        </w:tc>
      </w:tr>
      <w:tr w:rsidR="002A08BB" w:rsidRPr="00C52801" w14:paraId="54FBEE5C" w14:textId="77777777" w:rsidTr="00633913">
        <w:trPr>
          <w:cantSplit/>
        </w:trPr>
        <w:tc>
          <w:tcPr>
            <w:tcW w:w="9072" w:type="dxa"/>
            <w:gridSpan w:val="2"/>
            <w:tcBorders>
              <w:top w:val="single" w:sz="4" w:space="0" w:color="auto"/>
              <w:left w:val="nil"/>
              <w:bottom w:val="nil"/>
              <w:right w:val="nil"/>
            </w:tcBorders>
          </w:tcPr>
          <w:p w14:paraId="46928F78" w14:textId="77777777" w:rsidR="002A08BB" w:rsidRPr="00C52801" w:rsidRDefault="002A08BB" w:rsidP="00633913">
            <w:pPr>
              <w:keepNext/>
              <w:keepLines/>
              <w:spacing w:after="120"/>
              <w:rPr>
                <w:b/>
                <w:i/>
              </w:rPr>
            </w:pPr>
            <w:r w:rsidRPr="00C52801">
              <w:rPr>
                <w:b/>
                <w:i/>
              </w:rPr>
              <w:lastRenderedPageBreak/>
              <w:t>Remarks</w:t>
            </w:r>
          </w:p>
          <w:p w14:paraId="7F96BDCA" w14:textId="77777777" w:rsidR="002A08BB" w:rsidRPr="00C52801" w:rsidRDefault="002A08BB" w:rsidP="00633913">
            <w:pPr>
              <w:keepNext/>
              <w:keepLines/>
              <w:spacing w:after="120"/>
              <w:rPr>
                <w:b/>
                <w:i/>
              </w:rPr>
            </w:pPr>
          </w:p>
        </w:tc>
      </w:tr>
    </w:tbl>
    <w:p w14:paraId="5FF4228D" w14:textId="77777777" w:rsidR="002A08BB" w:rsidRPr="00C52801" w:rsidRDefault="002A08BB" w:rsidP="002A08BB">
      <w:pPr>
        <w:rPr>
          <w:b/>
          <w:szCs w:val="24"/>
        </w:rPr>
      </w:pPr>
    </w:p>
    <w:p w14:paraId="442EAF02" w14:textId="53E5C466" w:rsidR="009603E3" w:rsidRPr="008473FB" w:rsidRDefault="002A08BB" w:rsidP="008473FB">
      <w:pPr>
        <w:jc w:val="center"/>
        <w:rPr>
          <w:b/>
          <w:szCs w:val="24"/>
        </w:rPr>
      </w:pPr>
      <w:r w:rsidRPr="00C52801">
        <w:rPr>
          <w:b/>
          <w:szCs w:val="24"/>
        </w:rPr>
        <w:t>_____________</w:t>
      </w:r>
    </w:p>
    <w:sectPr w:rsidR="009603E3" w:rsidRPr="008473FB"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D8A7" w14:textId="77777777" w:rsidR="00957BF1" w:rsidRDefault="00957BF1">
      <w:r>
        <w:separator/>
      </w:r>
    </w:p>
  </w:endnote>
  <w:endnote w:type="continuationSeparator" w:id="0">
    <w:p w14:paraId="730E92A9" w14:textId="77777777" w:rsidR="00957BF1" w:rsidRDefault="0095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charset w:val="00"/>
    <w:family w:val="roman"/>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072E" w14:textId="77777777" w:rsidR="00E45D05" w:rsidRDefault="00E45D05">
    <w:pPr>
      <w:framePr w:wrap="around" w:vAnchor="text" w:hAnchor="margin" w:xAlign="right" w:y="1"/>
    </w:pPr>
    <w:r>
      <w:fldChar w:fldCharType="begin"/>
    </w:r>
    <w:r>
      <w:instrText xml:space="preserve">PAGE  </w:instrText>
    </w:r>
    <w:r>
      <w:fldChar w:fldCharType="end"/>
    </w:r>
  </w:p>
  <w:p w14:paraId="5A4A3551" w14:textId="5E9EEAF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52801">
      <w:rPr>
        <w:noProof/>
      </w:rPr>
      <w:t>19.10.23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B71A" w14:textId="2AC0F733" w:rsidR="00E45D05" w:rsidRDefault="00E45D05" w:rsidP="009B1EA1">
    <w:pPr>
      <w:pStyle w:val="Footer"/>
    </w:pPr>
    <w:r>
      <w:fldChar w:fldCharType="begin"/>
    </w:r>
    <w:r w:rsidRPr="0041348E">
      <w:rPr>
        <w:lang w:val="en-US"/>
      </w:rPr>
      <w:instrText xml:space="preserve"> FILENAME \p  \* MERGEFORMAT </w:instrText>
    </w:r>
    <w:r>
      <w:fldChar w:fldCharType="separate"/>
    </w:r>
    <w:r w:rsidR="008F5BDE">
      <w:rPr>
        <w:lang w:val="en-US"/>
      </w:rPr>
      <w:t>P:\ENG\ITU-R\CONF-R\CMR23\000\044ADD27ADD11E.doc</w:t>
    </w:r>
    <w:r>
      <w:fldChar w:fldCharType="end"/>
    </w:r>
    <w:r w:rsidR="008F5BDE">
      <w:t xml:space="preserve"> (529496)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B26E" w14:textId="5751D47D" w:rsidR="007D0194" w:rsidRDefault="00C52801" w:rsidP="007D0194">
    <w:pPr>
      <w:pStyle w:val="Footer"/>
    </w:pPr>
    <w:r>
      <w:fldChar w:fldCharType="begin"/>
    </w:r>
    <w:r>
      <w:instrText xml:space="preserve"> FILENAME \p  \* MERGEFORMAT </w:instrText>
    </w:r>
    <w:r>
      <w:fldChar w:fldCharType="separate"/>
    </w:r>
    <w:r w:rsidR="007D0194">
      <w:t>P:\ENG\ITU-R\CONF-R\CMR23\000\044ADD27ADD11E.docx</w:t>
    </w:r>
    <w:r>
      <w:fldChar w:fldCharType="end"/>
    </w:r>
    <w:r w:rsidR="007D0194">
      <w:t xml:space="preserve"> (529496)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9784" w14:textId="77777777" w:rsidR="00957BF1" w:rsidRDefault="00957BF1">
      <w:r>
        <w:rPr>
          <w:b/>
        </w:rPr>
        <w:t>_______________</w:t>
      </w:r>
    </w:p>
  </w:footnote>
  <w:footnote w:type="continuationSeparator" w:id="0">
    <w:p w14:paraId="7917E4D5" w14:textId="77777777" w:rsidR="00957BF1" w:rsidRDefault="0095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DC0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C222AC2"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44(Add.27)(Add.11)</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D85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623E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F2E5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E860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7681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ECA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987F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3EB3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0499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B292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69524451">
    <w:abstractNumId w:val="8"/>
  </w:num>
  <w:num w:numId="2" w16cid:durableId="10964422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80079378">
    <w:abstractNumId w:val="9"/>
  </w:num>
  <w:num w:numId="4" w16cid:durableId="1707564351">
    <w:abstractNumId w:val="7"/>
  </w:num>
  <w:num w:numId="5" w16cid:durableId="241988474">
    <w:abstractNumId w:val="6"/>
  </w:num>
  <w:num w:numId="6" w16cid:durableId="107824553">
    <w:abstractNumId w:val="5"/>
  </w:num>
  <w:num w:numId="7" w16cid:durableId="2055035500">
    <w:abstractNumId w:val="4"/>
  </w:num>
  <w:num w:numId="8" w16cid:durableId="1800764501">
    <w:abstractNumId w:val="3"/>
  </w:num>
  <w:num w:numId="9" w16cid:durableId="713888667">
    <w:abstractNumId w:val="2"/>
  </w:num>
  <w:num w:numId="10" w16cid:durableId="1511333600">
    <w:abstractNumId w:val="1"/>
  </w:num>
  <w:num w:numId="11" w16cid:durableId="88063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7487"/>
    <w:rsid w:val="000705F2"/>
    <w:rsid w:val="00077239"/>
    <w:rsid w:val="0007795D"/>
    <w:rsid w:val="00086491"/>
    <w:rsid w:val="00091346"/>
    <w:rsid w:val="0009706C"/>
    <w:rsid w:val="000B5B23"/>
    <w:rsid w:val="000D154B"/>
    <w:rsid w:val="000D2DAF"/>
    <w:rsid w:val="000E463E"/>
    <w:rsid w:val="000F2C6E"/>
    <w:rsid w:val="000F73FF"/>
    <w:rsid w:val="00114CF7"/>
    <w:rsid w:val="00116C7A"/>
    <w:rsid w:val="00123B68"/>
    <w:rsid w:val="00126F2E"/>
    <w:rsid w:val="0013040C"/>
    <w:rsid w:val="0014076C"/>
    <w:rsid w:val="00146F6F"/>
    <w:rsid w:val="00161F26"/>
    <w:rsid w:val="00187BD9"/>
    <w:rsid w:val="00190B55"/>
    <w:rsid w:val="001C1297"/>
    <w:rsid w:val="001C3B5F"/>
    <w:rsid w:val="001D058F"/>
    <w:rsid w:val="001E3953"/>
    <w:rsid w:val="002009EA"/>
    <w:rsid w:val="00202756"/>
    <w:rsid w:val="00202CA0"/>
    <w:rsid w:val="0020779D"/>
    <w:rsid w:val="002128EA"/>
    <w:rsid w:val="00216B6D"/>
    <w:rsid w:val="0022757F"/>
    <w:rsid w:val="00241FA2"/>
    <w:rsid w:val="00270618"/>
    <w:rsid w:val="00270A94"/>
    <w:rsid w:val="00271316"/>
    <w:rsid w:val="00274D1F"/>
    <w:rsid w:val="002A08BB"/>
    <w:rsid w:val="002A0A82"/>
    <w:rsid w:val="002A6364"/>
    <w:rsid w:val="002B07E6"/>
    <w:rsid w:val="002B349C"/>
    <w:rsid w:val="002D58BE"/>
    <w:rsid w:val="002F4747"/>
    <w:rsid w:val="00302605"/>
    <w:rsid w:val="00361B37"/>
    <w:rsid w:val="00377BD3"/>
    <w:rsid w:val="00384088"/>
    <w:rsid w:val="003852CE"/>
    <w:rsid w:val="0039169B"/>
    <w:rsid w:val="00394CD5"/>
    <w:rsid w:val="003A2926"/>
    <w:rsid w:val="003A7F8C"/>
    <w:rsid w:val="003B2284"/>
    <w:rsid w:val="003B532E"/>
    <w:rsid w:val="003D0F8B"/>
    <w:rsid w:val="003E0DB6"/>
    <w:rsid w:val="00404E38"/>
    <w:rsid w:val="0041348E"/>
    <w:rsid w:val="00420873"/>
    <w:rsid w:val="00432887"/>
    <w:rsid w:val="00466564"/>
    <w:rsid w:val="00492075"/>
    <w:rsid w:val="004969AD"/>
    <w:rsid w:val="004A26C4"/>
    <w:rsid w:val="004B13CB"/>
    <w:rsid w:val="004B4CE0"/>
    <w:rsid w:val="004C0091"/>
    <w:rsid w:val="004D26EA"/>
    <w:rsid w:val="004D2BFB"/>
    <w:rsid w:val="004D5D5C"/>
    <w:rsid w:val="004F3DC0"/>
    <w:rsid w:val="004F7D00"/>
    <w:rsid w:val="0050139F"/>
    <w:rsid w:val="0055140B"/>
    <w:rsid w:val="005861D7"/>
    <w:rsid w:val="005964AB"/>
    <w:rsid w:val="005A65B5"/>
    <w:rsid w:val="005A667B"/>
    <w:rsid w:val="005C099A"/>
    <w:rsid w:val="005C31A5"/>
    <w:rsid w:val="005E10C9"/>
    <w:rsid w:val="005E290B"/>
    <w:rsid w:val="005E61DD"/>
    <w:rsid w:val="005F04D8"/>
    <w:rsid w:val="005F2752"/>
    <w:rsid w:val="006023DF"/>
    <w:rsid w:val="00615426"/>
    <w:rsid w:val="00616219"/>
    <w:rsid w:val="006201BA"/>
    <w:rsid w:val="00623B5E"/>
    <w:rsid w:val="00645B7D"/>
    <w:rsid w:val="006474E9"/>
    <w:rsid w:val="00657DE0"/>
    <w:rsid w:val="00667D05"/>
    <w:rsid w:val="00685313"/>
    <w:rsid w:val="00692833"/>
    <w:rsid w:val="006A6E9B"/>
    <w:rsid w:val="006B7C2A"/>
    <w:rsid w:val="006C23DA"/>
    <w:rsid w:val="006C4B78"/>
    <w:rsid w:val="006D70B0"/>
    <w:rsid w:val="006E3D45"/>
    <w:rsid w:val="0070607A"/>
    <w:rsid w:val="007149F9"/>
    <w:rsid w:val="007164D3"/>
    <w:rsid w:val="00733A30"/>
    <w:rsid w:val="00745AEE"/>
    <w:rsid w:val="00750F10"/>
    <w:rsid w:val="007742CA"/>
    <w:rsid w:val="00790D70"/>
    <w:rsid w:val="007A6F1F"/>
    <w:rsid w:val="007D0194"/>
    <w:rsid w:val="007D5320"/>
    <w:rsid w:val="007F6CE7"/>
    <w:rsid w:val="00800972"/>
    <w:rsid w:val="00804475"/>
    <w:rsid w:val="00811633"/>
    <w:rsid w:val="00814037"/>
    <w:rsid w:val="00824F8B"/>
    <w:rsid w:val="00832968"/>
    <w:rsid w:val="00841216"/>
    <w:rsid w:val="00842AF0"/>
    <w:rsid w:val="008473FB"/>
    <w:rsid w:val="0086171E"/>
    <w:rsid w:val="00872FC8"/>
    <w:rsid w:val="008845D0"/>
    <w:rsid w:val="00884D60"/>
    <w:rsid w:val="00896E56"/>
    <w:rsid w:val="008B43F2"/>
    <w:rsid w:val="008B6CFF"/>
    <w:rsid w:val="008C0DA9"/>
    <w:rsid w:val="008F5BDE"/>
    <w:rsid w:val="00906FF7"/>
    <w:rsid w:val="0091262A"/>
    <w:rsid w:val="00925C7B"/>
    <w:rsid w:val="009274B4"/>
    <w:rsid w:val="00934EA2"/>
    <w:rsid w:val="00944A5C"/>
    <w:rsid w:val="009502B5"/>
    <w:rsid w:val="00952A66"/>
    <w:rsid w:val="00957BF1"/>
    <w:rsid w:val="009603E3"/>
    <w:rsid w:val="009B1EA1"/>
    <w:rsid w:val="009B7C9A"/>
    <w:rsid w:val="009C56E5"/>
    <w:rsid w:val="009C7716"/>
    <w:rsid w:val="009E5FC8"/>
    <w:rsid w:val="009E687A"/>
    <w:rsid w:val="009F236F"/>
    <w:rsid w:val="009F7E49"/>
    <w:rsid w:val="00A066F1"/>
    <w:rsid w:val="00A07696"/>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44F0"/>
    <w:rsid w:val="00AD7914"/>
    <w:rsid w:val="00AE514B"/>
    <w:rsid w:val="00B40888"/>
    <w:rsid w:val="00B639E9"/>
    <w:rsid w:val="00B817CD"/>
    <w:rsid w:val="00B81A7D"/>
    <w:rsid w:val="00B91EF7"/>
    <w:rsid w:val="00B94AD0"/>
    <w:rsid w:val="00BB3A95"/>
    <w:rsid w:val="00BC75DE"/>
    <w:rsid w:val="00BD6CCE"/>
    <w:rsid w:val="00BE21C9"/>
    <w:rsid w:val="00C0018F"/>
    <w:rsid w:val="00C0126D"/>
    <w:rsid w:val="00C16A5A"/>
    <w:rsid w:val="00C17CEC"/>
    <w:rsid w:val="00C20466"/>
    <w:rsid w:val="00C214ED"/>
    <w:rsid w:val="00C234E6"/>
    <w:rsid w:val="00C324A8"/>
    <w:rsid w:val="00C46D65"/>
    <w:rsid w:val="00C52801"/>
    <w:rsid w:val="00C54517"/>
    <w:rsid w:val="00C56F70"/>
    <w:rsid w:val="00C57B91"/>
    <w:rsid w:val="00C64CD8"/>
    <w:rsid w:val="00C732FD"/>
    <w:rsid w:val="00C82695"/>
    <w:rsid w:val="00C97C68"/>
    <w:rsid w:val="00CA1A47"/>
    <w:rsid w:val="00CA2551"/>
    <w:rsid w:val="00CA3DFC"/>
    <w:rsid w:val="00CA63AC"/>
    <w:rsid w:val="00CB44E5"/>
    <w:rsid w:val="00CB54FB"/>
    <w:rsid w:val="00CC247A"/>
    <w:rsid w:val="00CE388F"/>
    <w:rsid w:val="00CE5E47"/>
    <w:rsid w:val="00CF020F"/>
    <w:rsid w:val="00CF2B5B"/>
    <w:rsid w:val="00D01CFA"/>
    <w:rsid w:val="00D14CE0"/>
    <w:rsid w:val="00D255D4"/>
    <w:rsid w:val="00D268B3"/>
    <w:rsid w:val="00D52FD6"/>
    <w:rsid w:val="00D54009"/>
    <w:rsid w:val="00D5651D"/>
    <w:rsid w:val="00D57A34"/>
    <w:rsid w:val="00D74898"/>
    <w:rsid w:val="00D801ED"/>
    <w:rsid w:val="00D86603"/>
    <w:rsid w:val="00D934A5"/>
    <w:rsid w:val="00D936BC"/>
    <w:rsid w:val="00D96530"/>
    <w:rsid w:val="00D97517"/>
    <w:rsid w:val="00DA1CB1"/>
    <w:rsid w:val="00DA7D38"/>
    <w:rsid w:val="00DD44AF"/>
    <w:rsid w:val="00DE2AC3"/>
    <w:rsid w:val="00DE5692"/>
    <w:rsid w:val="00DE6300"/>
    <w:rsid w:val="00DF4BC6"/>
    <w:rsid w:val="00DF78E0"/>
    <w:rsid w:val="00E02CDA"/>
    <w:rsid w:val="00E03C94"/>
    <w:rsid w:val="00E205BC"/>
    <w:rsid w:val="00E2178B"/>
    <w:rsid w:val="00E24C56"/>
    <w:rsid w:val="00E26226"/>
    <w:rsid w:val="00E45D05"/>
    <w:rsid w:val="00E55816"/>
    <w:rsid w:val="00E55AEF"/>
    <w:rsid w:val="00E635D4"/>
    <w:rsid w:val="00E96270"/>
    <w:rsid w:val="00E976C1"/>
    <w:rsid w:val="00EA12E5"/>
    <w:rsid w:val="00EA7B70"/>
    <w:rsid w:val="00EB0812"/>
    <w:rsid w:val="00EB54B2"/>
    <w:rsid w:val="00EB55C6"/>
    <w:rsid w:val="00EF1932"/>
    <w:rsid w:val="00EF71B6"/>
    <w:rsid w:val="00F02766"/>
    <w:rsid w:val="00F05BD4"/>
    <w:rsid w:val="00F06473"/>
    <w:rsid w:val="00F320AA"/>
    <w:rsid w:val="00F6155B"/>
    <w:rsid w:val="00F65C19"/>
    <w:rsid w:val="00F822B0"/>
    <w:rsid w:val="00F86B6F"/>
    <w:rsid w:val="00FA2E5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16D9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832968"/>
    <w:rPr>
      <w:rFonts w:ascii="Times New Roman Bold" w:hAnsi="Times New Roman Bold" w:cs="Times New Roman Bold"/>
      <w:b/>
      <w:sz w:val="24"/>
      <w:lang w:val="fr-CH" w:eastAsia="en-US"/>
    </w:rPr>
  </w:style>
  <w:style w:type="paragraph" w:customStyle="1" w:styleId="NormalAfter6pt">
    <w:name w:val="Normal + After:  6 pt"/>
    <w:basedOn w:val="Normal"/>
    <w:rsid w:val="00CB54FB"/>
    <w:pPr>
      <w:keepNext/>
      <w:framePr w:hSpace="180" w:wrap="around" w:vAnchor="text" w:hAnchor="text" w:x="-84" w:y="1"/>
      <w:spacing w:after="120"/>
      <w:suppressOverlap/>
    </w:pPr>
    <w:rPr>
      <w:rFonts w:eastAsia="Calibri"/>
      <w:color w:val="000000"/>
      <w:szCs w:val="24"/>
    </w:rPr>
  </w:style>
  <w:style w:type="paragraph" w:styleId="Revision">
    <w:name w:val="Revision"/>
    <w:hidden/>
    <w:uiPriority w:val="99"/>
    <w:semiHidden/>
    <w:rsid w:val="00D934A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R23-WRC23-C-0044!A27-A11!MSW-E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F9CDF-C4BC-4242-B142-7B837CDA90D4}">
  <ds:schemaRefs>
    <ds:schemaRef ds:uri="http://schemas.openxmlformats.org/officeDocument/2006/bibliography"/>
  </ds:schemaRefs>
</ds:datastoreItem>
</file>

<file path=customXml/itemProps2.xml><?xml version="1.0" encoding="utf-8"?>
<ds:datastoreItem xmlns:ds="http://schemas.openxmlformats.org/officeDocument/2006/customXml" ds:itemID="{61DA0B5C-4471-4789-86F0-96C41C0D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D33F3-4206-4BDD-A72C-AA814DBA1A05}">
  <ds:schemaRefs>
    <ds:schemaRef ds:uri="http://schemas.microsoft.com/sharepoint/events"/>
  </ds:schemaRefs>
</ds:datastoreItem>
</file>

<file path=customXml/itemProps4.xml><?xml version="1.0" encoding="utf-8"?>
<ds:datastoreItem xmlns:ds="http://schemas.openxmlformats.org/officeDocument/2006/customXml" ds:itemID="{91B7573B-AE28-4665-9A08-E72CE1238F53}">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A94544F3-A370-416C-8554-BDE8138B1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1616</Words>
  <Characters>9182</Characters>
  <Application>Microsoft Office Word</Application>
  <DocSecurity>0</DocSecurity>
  <Lines>316</Lines>
  <Paragraphs>183</Paragraphs>
  <ScaleCrop>false</ScaleCrop>
  <HeadingPairs>
    <vt:vector size="2" baseType="variant">
      <vt:variant>
        <vt:lpstr>Title</vt:lpstr>
      </vt:variant>
      <vt:variant>
        <vt:i4>1</vt:i4>
      </vt:variant>
    </vt:vector>
  </HeadingPairs>
  <TitlesOfParts>
    <vt:vector size="1" baseType="lpstr">
      <vt:lpstr>R23-WRC23-C-0044!A27-A11!MSW-E</vt:lpstr>
    </vt:vector>
  </TitlesOfParts>
  <Manager>General Secretariat - Pool</Manager>
  <Company>International Telecommunication Union (ITU)</Company>
  <LinksUpToDate>false</LinksUpToDate>
  <CharactersWithSpaces>10615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R23-WRC23-C-0044!A27-A11!MSW-E</dc:title>
  <dc:subject>World Radiocommunication Conference - 2023</dc:subject>
  <dc:creator>Documents Proposals Manager (DPM)</dc:creator>
  <cp:keywords>DPM_v2023.8.1.1_prod</cp:keywords>
  <dc:description>Uploaded on 2015.07.06</dc:description>
  <cp:lastModifiedBy>TPU E RR</cp:lastModifiedBy>
  <cp:revision>8</cp:revision>
  <cp:lastPrinted>2017-02-10T08:23:00Z</cp:lastPrinted>
  <dcterms:created xsi:type="dcterms:W3CDTF">2023-10-19T13:22:00Z</dcterms:created>
  <dcterms:modified xsi:type="dcterms:W3CDTF">2023-10-20T06:03:00Z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