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FFA97EF" w14:textId="77777777" w:rsidTr="0080079E">
        <w:trPr>
          <w:cantSplit/>
        </w:trPr>
        <w:tc>
          <w:tcPr>
            <w:tcW w:w="1418" w:type="dxa"/>
            <w:vAlign w:val="center"/>
          </w:tcPr>
          <w:p w14:paraId="39DF38E0"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3405C150" wp14:editId="5BD5F09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395C769" w14:textId="6E9A3EEC"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7A5B11" w:rsidRPr="007A5B11">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640FDF68"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397C3C48" wp14:editId="6E21650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671EB5AE" w14:textId="77777777" w:rsidTr="0050008E">
        <w:trPr>
          <w:cantSplit/>
        </w:trPr>
        <w:tc>
          <w:tcPr>
            <w:tcW w:w="6911" w:type="dxa"/>
            <w:gridSpan w:val="2"/>
            <w:tcBorders>
              <w:bottom w:val="single" w:sz="12" w:space="0" w:color="auto"/>
            </w:tcBorders>
          </w:tcPr>
          <w:p w14:paraId="5BA38F07"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2CB2EC44" w14:textId="77777777" w:rsidR="0090121B" w:rsidRPr="0002785D" w:rsidRDefault="0090121B" w:rsidP="0090121B">
            <w:pPr>
              <w:spacing w:before="0" w:line="240" w:lineRule="atLeast"/>
              <w:rPr>
                <w:rFonts w:ascii="Verdana" w:hAnsi="Verdana"/>
                <w:szCs w:val="24"/>
                <w:lang w:val="en-US"/>
              </w:rPr>
            </w:pPr>
          </w:p>
        </w:tc>
      </w:tr>
      <w:tr w:rsidR="0090121B" w:rsidRPr="0002785D" w14:paraId="276236B2" w14:textId="77777777" w:rsidTr="0090121B">
        <w:trPr>
          <w:cantSplit/>
        </w:trPr>
        <w:tc>
          <w:tcPr>
            <w:tcW w:w="6911" w:type="dxa"/>
            <w:gridSpan w:val="2"/>
            <w:tcBorders>
              <w:top w:val="single" w:sz="12" w:space="0" w:color="auto"/>
            </w:tcBorders>
          </w:tcPr>
          <w:p w14:paraId="202CD145"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264FD9C" w14:textId="77777777" w:rsidR="0090121B" w:rsidRPr="0002785D" w:rsidRDefault="0090121B" w:rsidP="0090121B">
            <w:pPr>
              <w:spacing w:before="0" w:line="240" w:lineRule="atLeast"/>
              <w:rPr>
                <w:rFonts w:ascii="Verdana" w:hAnsi="Verdana"/>
                <w:sz w:val="20"/>
                <w:lang w:val="en-US"/>
              </w:rPr>
            </w:pPr>
          </w:p>
        </w:tc>
      </w:tr>
      <w:tr w:rsidR="0090121B" w:rsidRPr="007A5B11" w14:paraId="6A65E31B" w14:textId="77777777" w:rsidTr="0090121B">
        <w:trPr>
          <w:cantSplit/>
        </w:trPr>
        <w:tc>
          <w:tcPr>
            <w:tcW w:w="6911" w:type="dxa"/>
            <w:gridSpan w:val="2"/>
          </w:tcPr>
          <w:p w14:paraId="7DD9093A" w14:textId="77777777" w:rsidR="0090121B" w:rsidRPr="007A5B11" w:rsidRDefault="001E7D42" w:rsidP="00EA77F0">
            <w:pPr>
              <w:pStyle w:val="Committee"/>
              <w:framePr w:hSpace="0" w:wrap="auto" w:hAnchor="text" w:yAlign="inline"/>
              <w:rPr>
                <w:sz w:val="18"/>
                <w:szCs w:val="18"/>
                <w:lang w:val="es-ES"/>
              </w:rPr>
            </w:pPr>
            <w:r w:rsidRPr="007A5B11">
              <w:rPr>
                <w:sz w:val="18"/>
                <w:szCs w:val="18"/>
                <w:lang w:val="es-ES"/>
              </w:rPr>
              <w:t>SESIÓN PLENARIA</w:t>
            </w:r>
          </w:p>
        </w:tc>
        <w:tc>
          <w:tcPr>
            <w:tcW w:w="3120" w:type="dxa"/>
            <w:gridSpan w:val="2"/>
          </w:tcPr>
          <w:p w14:paraId="0A43E99D" w14:textId="77777777" w:rsidR="0090121B" w:rsidRPr="007A5B11" w:rsidRDefault="00AE658F" w:rsidP="0045384C">
            <w:pPr>
              <w:spacing w:before="0"/>
              <w:rPr>
                <w:rFonts w:ascii="Verdana" w:hAnsi="Verdana"/>
                <w:sz w:val="18"/>
                <w:szCs w:val="18"/>
                <w:lang w:val="es-ES"/>
              </w:rPr>
            </w:pPr>
            <w:r w:rsidRPr="007A5B11">
              <w:rPr>
                <w:rFonts w:ascii="Verdana" w:hAnsi="Verdana"/>
                <w:b/>
                <w:sz w:val="18"/>
                <w:szCs w:val="18"/>
                <w:lang w:val="es-ES"/>
              </w:rPr>
              <w:t>Addéndum 2 al</w:t>
            </w:r>
            <w:r w:rsidRPr="007A5B11">
              <w:rPr>
                <w:rFonts w:ascii="Verdana" w:hAnsi="Verdana"/>
                <w:b/>
                <w:sz w:val="18"/>
                <w:szCs w:val="18"/>
                <w:lang w:val="es-ES"/>
              </w:rPr>
              <w:br/>
              <w:t>Documento 44(Add.26)</w:t>
            </w:r>
            <w:r w:rsidR="0090121B" w:rsidRPr="007A5B11">
              <w:rPr>
                <w:rFonts w:ascii="Verdana" w:hAnsi="Verdana"/>
                <w:b/>
                <w:sz w:val="18"/>
                <w:szCs w:val="18"/>
                <w:lang w:val="es-ES"/>
              </w:rPr>
              <w:t>-</w:t>
            </w:r>
            <w:r w:rsidRPr="007A5B11">
              <w:rPr>
                <w:rFonts w:ascii="Verdana" w:hAnsi="Verdana"/>
                <w:b/>
                <w:sz w:val="18"/>
                <w:szCs w:val="18"/>
                <w:lang w:val="es-ES"/>
              </w:rPr>
              <w:t>S</w:t>
            </w:r>
          </w:p>
        </w:tc>
      </w:tr>
      <w:bookmarkEnd w:id="1"/>
      <w:tr w:rsidR="000A5B9A" w:rsidRPr="0002785D" w14:paraId="7C10FAE3" w14:textId="77777777" w:rsidTr="0090121B">
        <w:trPr>
          <w:cantSplit/>
        </w:trPr>
        <w:tc>
          <w:tcPr>
            <w:tcW w:w="6911" w:type="dxa"/>
            <w:gridSpan w:val="2"/>
          </w:tcPr>
          <w:p w14:paraId="61C6700D" w14:textId="77777777" w:rsidR="000A5B9A" w:rsidRPr="007A5B11" w:rsidRDefault="000A5B9A" w:rsidP="0045384C">
            <w:pPr>
              <w:spacing w:before="0" w:after="48"/>
              <w:rPr>
                <w:rFonts w:ascii="Verdana" w:hAnsi="Verdana"/>
                <w:b/>
                <w:smallCaps/>
                <w:sz w:val="18"/>
                <w:szCs w:val="18"/>
                <w:lang w:val="es-ES"/>
              </w:rPr>
            </w:pPr>
          </w:p>
        </w:tc>
        <w:tc>
          <w:tcPr>
            <w:tcW w:w="3120" w:type="dxa"/>
            <w:gridSpan w:val="2"/>
          </w:tcPr>
          <w:p w14:paraId="14C59C7C" w14:textId="77777777" w:rsidR="000A5B9A" w:rsidRPr="007A5B11" w:rsidRDefault="000A5B9A" w:rsidP="0045384C">
            <w:pPr>
              <w:spacing w:before="0"/>
              <w:rPr>
                <w:rFonts w:ascii="Verdana" w:hAnsi="Verdana"/>
                <w:b/>
                <w:sz w:val="18"/>
                <w:szCs w:val="18"/>
                <w:lang w:val="es-ES"/>
              </w:rPr>
            </w:pPr>
            <w:r w:rsidRPr="007A5B11">
              <w:rPr>
                <w:rFonts w:ascii="Verdana" w:hAnsi="Verdana"/>
                <w:b/>
                <w:sz w:val="18"/>
                <w:szCs w:val="18"/>
                <w:lang w:val="es-ES"/>
              </w:rPr>
              <w:t>13 de octubre de 2023</w:t>
            </w:r>
          </w:p>
        </w:tc>
      </w:tr>
      <w:tr w:rsidR="000A5B9A" w:rsidRPr="0002785D" w14:paraId="6C563352" w14:textId="77777777" w:rsidTr="0090121B">
        <w:trPr>
          <w:cantSplit/>
        </w:trPr>
        <w:tc>
          <w:tcPr>
            <w:tcW w:w="6911" w:type="dxa"/>
            <w:gridSpan w:val="2"/>
          </w:tcPr>
          <w:p w14:paraId="3275DF5C" w14:textId="77777777" w:rsidR="000A5B9A" w:rsidRPr="007A5B11" w:rsidRDefault="000A5B9A" w:rsidP="0045384C">
            <w:pPr>
              <w:spacing w:before="0" w:after="48"/>
              <w:rPr>
                <w:rFonts w:ascii="Verdana" w:hAnsi="Verdana"/>
                <w:b/>
                <w:smallCaps/>
                <w:sz w:val="18"/>
                <w:szCs w:val="18"/>
                <w:lang w:val="es-ES"/>
              </w:rPr>
            </w:pPr>
          </w:p>
        </w:tc>
        <w:tc>
          <w:tcPr>
            <w:tcW w:w="3120" w:type="dxa"/>
            <w:gridSpan w:val="2"/>
          </w:tcPr>
          <w:p w14:paraId="6F06A0DD" w14:textId="4A7EC773" w:rsidR="000A5B9A" w:rsidRPr="007A5B11" w:rsidRDefault="000A5B9A" w:rsidP="0045384C">
            <w:pPr>
              <w:spacing w:before="0"/>
              <w:rPr>
                <w:rFonts w:ascii="Verdana" w:hAnsi="Verdana"/>
                <w:b/>
                <w:sz w:val="18"/>
                <w:szCs w:val="18"/>
                <w:lang w:val="es-ES"/>
              </w:rPr>
            </w:pPr>
            <w:r w:rsidRPr="007A5B11">
              <w:rPr>
                <w:rFonts w:ascii="Verdana" w:hAnsi="Verdana"/>
                <w:b/>
                <w:sz w:val="18"/>
                <w:szCs w:val="18"/>
                <w:lang w:val="es-ES"/>
              </w:rPr>
              <w:t xml:space="preserve">Original: </w:t>
            </w:r>
            <w:r w:rsidR="007A5B11">
              <w:rPr>
                <w:rFonts w:ascii="Verdana" w:hAnsi="Verdana"/>
                <w:b/>
                <w:sz w:val="18"/>
                <w:szCs w:val="18"/>
                <w:lang w:val="es-ES"/>
              </w:rPr>
              <w:t>español</w:t>
            </w:r>
          </w:p>
        </w:tc>
      </w:tr>
      <w:tr w:rsidR="000A5B9A" w:rsidRPr="0002785D" w14:paraId="72FB041F" w14:textId="77777777" w:rsidTr="006744FC">
        <w:trPr>
          <w:cantSplit/>
        </w:trPr>
        <w:tc>
          <w:tcPr>
            <w:tcW w:w="10031" w:type="dxa"/>
            <w:gridSpan w:val="4"/>
          </w:tcPr>
          <w:p w14:paraId="41FBC680" w14:textId="77777777" w:rsidR="000A5B9A" w:rsidRPr="007424E8" w:rsidRDefault="000A5B9A" w:rsidP="0045384C">
            <w:pPr>
              <w:spacing w:before="0"/>
              <w:rPr>
                <w:rFonts w:ascii="Verdana" w:hAnsi="Verdana"/>
                <w:b/>
                <w:sz w:val="18"/>
                <w:szCs w:val="22"/>
                <w:lang w:val="en-US"/>
              </w:rPr>
            </w:pPr>
          </w:p>
        </w:tc>
      </w:tr>
      <w:tr w:rsidR="000A5B9A" w:rsidRPr="0002785D" w14:paraId="25434E37" w14:textId="77777777" w:rsidTr="0050008E">
        <w:trPr>
          <w:cantSplit/>
        </w:trPr>
        <w:tc>
          <w:tcPr>
            <w:tcW w:w="10031" w:type="dxa"/>
            <w:gridSpan w:val="4"/>
          </w:tcPr>
          <w:p w14:paraId="22DA217C" w14:textId="77777777" w:rsidR="000A5B9A" w:rsidRPr="00751816" w:rsidRDefault="000A5B9A" w:rsidP="000A5B9A">
            <w:pPr>
              <w:pStyle w:val="Source"/>
              <w:rPr>
                <w:lang w:val="es-ES"/>
              </w:rPr>
            </w:pPr>
            <w:bookmarkStart w:id="2" w:name="dsource" w:colFirst="0" w:colLast="0"/>
            <w:r w:rsidRPr="00751816">
              <w:rPr>
                <w:lang w:val="es-ES"/>
              </w:rPr>
              <w:t>Estados Miembros de la Comisión Interamericana de Telecomunicaciones (CITEL)</w:t>
            </w:r>
          </w:p>
        </w:tc>
      </w:tr>
      <w:tr w:rsidR="000A5B9A" w:rsidRPr="00751816" w14:paraId="36DC0C67" w14:textId="77777777" w:rsidTr="0050008E">
        <w:trPr>
          <w:cantSplit/>
        </w:trPr>
        <w:tc>
          <w:tcPr>
            <w:tcW w:w="10031" w:type="dxa"/>
            <w:gridSpan w:val="4"/>
          </w:tcPr>
          <w:p w14:paraId="221C685A" w14:textId="14D2BE32" w:rsidR="000A5B9A" w:rsidRPr="00751816" w:rsidRDefault="00751816" w:rsidP="000A5B9A">
            <w:pPr>
              <w:pStyle w:val="Title1"/>
              <w:rPr>
                <w:lang w:val="es-ES"/>
              </w:rPr>
            </w:pPr>
            <w:bookmarkStart w:id="3" w:name="dtitle1" w:colFirst="0" w:colLast="0"/>
            <w:bookmarkEnd w:id="2"/>
            <w:r w:rsidRPr="00751816">
              <w:rPr>
                <w:lang w:val="es-ES"/>
              </w:rPr>
              <w:t>PROPUESTAS PARA LOS TRABAJOS DE LA CONFERENCIA</w:t>
            </w:r>
          </w:p>
        </w:tc>
      </w:tr>
      <w:tr w:rsidR="000A5B9A" w:rsidRPr="00751816" w14:paraId="21DA91E7" w14:textId="77777777" w:rsidTr="0050008E">
        <w:trPr>
          <w:cantSplit/>
        </w:trPr>
        <w:tc>
          <w:tcPr>
            <w:tcW w:w="10031" w:type="dxa"/>
            <w:gridSpan w:val="4"/>
          </w:tcPr>
          <w:p w14:paraId="32D49EBD" w14:textId="77777777" w:rsidR="000A5B9A" w:rsidRPr="00751816" w:rsidRDefault="000A5B9A" w:rsidP="000A5B9A">
            <w:pPr>
              <w:pStyle w:val="Title2"/>
              <w:rPr>
                <w:lang w:val="es-ES"/>
              </w:rPr>
            </w:pPr>
            <w:bookmarkStart w:id="4" w:name="dtitle2" w:colFirst="0" w:colLast="0"/>
            <w:bookmarkEnd w:id="3"/>
          </w:p>
        </w:tc>
      </w:tr>
      <w:tr w:rsidR="000A5B9A" w14:paraId="23E6C440" w14:textId="77777777" w:rsidTr="0050008E">
        <w:trPr>
          <w:cantSplit/>
        </w:trPr>
        <w:tc>
          <w:tcPr>
            <w:tcW w:w="10031" w:type="dxa"/>
            <w:gridSpan w:val="4"/>
          </w:tcPr>
          <w:p w14:paraId="591C0B35" w14:textId="77777777" w:rsidR="000A5B9A" w:rsidRDefault="000A5B9A" w:rsidP="000A5B9A">
            <w:pPr>
              <w:pStyle w:val="Agendaitem"/>
            </w:pPr>
            <w:bookmarkStart w:id="5" w:name="dtitle3" w:colFirst="0" w:colLast="0"/>
            <w:bookmarkEnd w:id="4"/>
            <w:r w:rsidRPr="00AE658F">
              <w:t>Punto 9.3 del orden del día</w:t>
            </w:r>
          </w:p>
        </w:tc>
      </w:tr>
    </w:tbl>
    <w:bookmarkEnd w:id="5"/>
    <w:p w14:paraId="6703967A" w14:textId="77777777" w:rsidR="00751816" w:rsidRPr="002D64EA" w:rsidRDefault="00751816" w:rsidP="007A5B11">
      <w:pPr>
        <w:pStyle w:val="Normalaftertitle"/>
      </w:pPr>
      <w:r w:rsidRPr="00ED1619">
        <w:t>9</w:t>
      </w:r>
      <w:r w:rsidRPr="00ED1619">
        <w:tab/>
        <w:t>examinar y aprobar el Informe del Director de la Oficina de Radiocomunicaciones, de conformidad con el Artículo 7 del Convenio de la UIT:</w:t>
      </w:r>
    </w:p>
    <w:p w14:paraId="0FB0AE40" w14:textId="77777777" w:rsidR="00751816" w:rsidRPr="003F6416" w:rsidRDefault="00751816" w:rsidP="003F6416">
      <w:r w:rsidRPr="003F6416">
        <w:t>9.3</w:t>
      </w:r>
      <w:r w:rsidRPr="003F6416">
        <w:tab/>
        <w:t xml:space="preserve">sobre acciones en respuesta a la Resolución </w:t>
      </w:r>
      <w:r w:rsidRPr="003F6416">
        <w:rPr>
          <w:b/>
          <w:bCs/>
        </w:rPr>
        <w:t>80 (Rev.CMR-07</w:t>
      </w:r>
      <w:r w:rsidRPr="007A5B11">
        <w:rPr>
          <w:b/>
          <w:bCs/>
        </w:rPr>
        <w:t>)</w:t>
      </w:r>
      <w:r w:rsidRPr="003F6416">
        <w:t>;</w:t>
      </w:r>
    </w:p>
    <w:p w14:paraId="74D8E50C" w14:textId="77777777" w:rsidR="00751816" w:rsidRPr="00942570" w:rsidRDefault="00751816" w:rsidP="007A5B11">
      <w:pPr>
        <w:pStyle w:val="Headingb"/>
        <w:rPr>
          <w:b w:val="0"/>
        </w:rPr>
      </w:pPr>
      <w:r w:rsidRPr="007A5B11">
        <w:t>Antecedentes</w:t>
      </w:r>
    </w:p>
    <w:p w14:paraId="3FD7FA31" w14:textId="0F937B49" w:rsidR="00751816" w:rsidRPr="00392DCA" w:rsidRDefault="00751816" w:rsidP="00751816">
      <w:r w:rsidRPr="00392DCA">
        <w:t>En respuesta al Informe de la Junta de Reglamento de Radiocomunicaciones (RRB) a la CMR-23 sobre la Resolución</w:t>
      </w:r>
      <w:r w:rsidR="007A5B11">
        <w:t> </w:t>
      </w:r>
      <w:r w:rsidRPr="007A5B11">
        <w:rPr>
          <w:b/>
          <w:bCs/>
        </w:rPr>
        <w:t>80 (Rev.CMR-07)</w:t>
      </w:r>
      <w:r w:rsidRPr="00392DCA">
        <w:t xml:space="preserve"> en (Doc.</w:t>
      </w:r>
      <w:r w:rsidR="007A5B11">
        <w:t> </w:t>
      </w:r>
      <w:hyperlink r:id="rId14" w:history="1">
        <w:r w:rsidRPr="007A5B11">
          <w:rPr>
            <w:rStyle w:val="Hyperlink"/>
          </w:rPr>
          <w:t>WRC-23/50</w:t>
        </w:r>
      </w:hyperlink>
      <w:r w:rsidRPr="00392DCA">
        <w:t>), la CITEL proporciona los siguientes comentarios y propuestas con respecto a la cuestión tratada en la Sección</w:t>
      </w:r>
      <w:r w:rsidR="007A5B11">
        <w:t> </w:t>
      </w:r>
      <w:r w:rsidRPr="00392DCA">
        <w:t>4.14 del Doc.</w:t>
      </w:r>
      <w:r w:rsidR="007A5B11">
        <w:t> </w:t>
      </w:r>
      <w:r w:rsidRPr="00392DCA">
        <w:t>MR-23/50 sobre el Registro de asignaciones de frecuencias a redes y sistemas de satélites conforme al número</w:t>
      </w:r>
      <w:r w:rsidR="007A5B11">
        <w:t> </w:t>
      </w:r>
      <w:r w:rsidRPr="007A5B11">
        <w:rPr>
          <w:b/>
          <w:bCs/>
        </w:rPr>
        <w:t>4.4</w:t>
      </w:r>
      <w:r w:rsidRPr="00392DCA">
        <w:t xml:space="preserve"> de ese Informe.</w:t>
      </w:r>
    </w:p>
    <w:p w14:paraId="5BA5F4F4" w14:textId="0813B9B1" w:rsidR="00751816" w:rsidRPr="007A5B11" w:rsidRDefault="00751816" w:rsidP="007A5B11">
      <w:pPr>
        <w:pStyle w:val="Headingb"/>
      </w:pPr>
      <w:r w:rsidRPr="007A5B11">
        <w:t>Sección 4.14 – Registro de asignaciones de frecuencias a redes y sistemas de satélites conforme al número</w:t>
      </w:r>
      <w:r w:rsidR="007A5B11">
        <w:t> </w:t>
      </w:r>
      <w:r w:rsidRPr="007A5B11">
        <w:t>4.4</w:t>
      </w:r>
    </w:p>
    <w:p w14:paraId="08B3159A" w14:textId="7C6E9604" w:rsidR="00751816" w:rsidRPr="00392DCA" w:rsidRDefault="00751816" w:rsidP="00751816">
      <w:pPr>
        <w:rPr>
          <w:lang w:val="es-419"/>
        </w:rPr>
      </w:pPr>
      <w:r w:rsidRPr="00392DCA">
        <w:rPr>
          <w:lang w:val="es-419"/>
        </w:rPr>
        <w:t>La presente propuesta preliminar se refiere a la sección</w:t>
      </w:r>
      <w:r w:rsidR="007A5B11">
        <w:rPr>
          <w:lang w:val="es-419"/>
        </w:rPr>
        <w:t> </w:t>
      </w:r>
      <w:r w:rsidRPr="00392DCA">
        <w:rPr>
          <w:lang w:val="es-419"/>
        </w:rPr>
        <w:t>4.14 del Informe de la Junta del Reglamento de Radiocomunicaciones (RRB) a la CMR-23 sobre la Resolución</w:t>
      </w:r>
      <w:r w:rsidR="007A5B11">
        <w:rPr>
          <w:lang w:val="es-419"/>
        </w:rPr>
        <w:t> </w:t>
      </w:r>
      <w:r w:rsidRPr="007A5B11">
        <w:rPr>
          <w:b/>
          <w:bCs/>
          <w:lang w:val="es-419"/>
        </w:rPr>
        <w:t>80 (Rev.CMR-07)</w:t>
      </w:r>
      <w:r w:rsidRPr="00392DCA">
        <w:rPr>
          <w:lang w:val="es-419"/>
        </w:rPr>
        <w:t xml:space="preserve">, presentado como </w:t>
      </w:r>
      <w:r w:rsidR="007A5B11" w:rsidRPr="00392DCA">
        <w:rPr>
          <w:lang w:val="es-419"/>
        </w:rPr>
        <w:t>Documento</w:t>
      </w:r>
      <w:r w:rsidR="007A5B11">
        <w:rPr>
          <w:lang w:val="es-419"/>
        </w:rPr>
        <w:t> </w:t>
      </w:r>
      <w:r w:rsidRPr="00392DCA">
        <w:rPr>
          <w:lang w:val="es-419"/>
        </w:rPr>
        <w:t xml:space="preserve">50 de las contribuciones a la CMR-23. Indica la cuestión del aumento en el registro de asignaciones de frecuencia a redes y sistemas satelitales en virtud del </w:t>
      </w:r>
      <w:r w:rsidR="007A5B11">
        <w:rPr>
          <w:lang w:val="es-419"/>
        </w:rPr>
        <w:t>a</w:t>
      </w:r>
      <w:r w:rsidRPr="00392DCA">
        <w:rPr>
          <w:lang w:val="es-419"/>
        </w:rPr>
        <w:t>rtículo</w:t>
      </w:r>
      <w:r w:rsidR="007A5B11">
        <w:rPr>
          <w:lang w:val="es-419"/>
        </w:rPr>
        <w:t> </w:t>
      </w:r>
      <w:r w:rsidRPr="007A5B11">
        <w:rPr>
          <w:b/>
          <w:bCs/>
          <w:lang w:val="es-419"/>
        </w:rPr>
        <w:t>4.4</w:t>
      </w:r>
      <w:r w:rsidRPr="00392DCA">
        <w:rPr>
          <w:lang w:val="es-419"/>
        </w:rPr>
        <w:t xml:space="preserve"> del</w:t>
      </w:r>
      <w:r w:rsidR="007A5B11">
        <w:rPr>
          <w:lang w:val="es-419"/>
        </w:rPr>
        <w:t> </w:t>
      </w:r>
      <w:r w:rsidRPr="00392DCA">
        <w:rPr>
          <w:lang w:val="es-419"/>
        </w:rPr>
        <w:t>RR y pide a la Conferencia su consideración y posible decisión en el marco del punto</w:t>
      </w:r>
      <w:r w:rsidR="007A5B11">
        <w:rPr>
          <w:lang w:val="es-419"/>
        </w:rPr>
        <w:t> </w:t>
      </w:r>
      <w:r w:rsidRPr="00392DCA">
        <w:rPr>
          <w:lang w:val="es-419"/>
        </w:rPr>
        <w:t>9.3 del orden del día.</w:t>
      </w:r>
    </w:p>
    <w:p w14:paraId="59506A11" w14:textId="558D5E35" w:rsidR="00751816" w:rsidRPr="00392DCA" w:rsidRDefault="00751816" w:rsidP="00751816">
      <w:pPr>
        <w:rPr>
          <w:lang w:val="es-419"/>
        </w:rPr>
      </w:pPr>
      <w:r w:rsidRPr="00392DCA">
        <w:rPr>
          <w:lang w:val="es-419"/>
        </w:rPr>
        <w:t xml:space="preserve">Según lo expresado por la Junta, en la Regla de Procedimiento del </w:t>
      </w:r>
      <w:r w:rsidR="007A5B11">
        <w:rPr>
          <w:lang w:val="es-419"/>
        </w:rPr>
        <w:t>a</w:t>
      </w:r>
      <w:r w:rsidR="007A5B11" w:rsidRPr="00392DCA">
        <w:rPr>
          <w:lang w:val="es-419"/>
        </w:rPr>
        <w:t>rtículo</w:t>
      </w:r>
      <w:r w:rsidR="007A5B11">
        <w:rPr>
          <w:lang w:val="es-419"/>
        </w:rPr>
        <w:t> </w:t>
      </w:r>
      <w:r w:rsidRPr="007A5B11">
        <w:rPr>
          <w:b/>
          <w:bCs/>
          <w:lang w:val="es-419"/>
        </w:rPr>
        <w:t>4.4</w:t>
      </w:r>
      <w:r w:rsidRPr="00392DCA">
        <w:rPr>
          <w:lang w:val="es-419"/>
        </w:rPr>
        <w:t xml:space="preserve"> se especifica que el ámbito de este se limita a las excepciones a el Cuadro de Asignaciones de Frecuencia y a las disposiciones enumeradas en la Regla de Procedimiento del </w:t>
      </w:r>
      <w:r w:rsidR="007A5B11">
        <w:rPr>
          <w:lang w:val="es-419"/>
        </w:rPr>
        <w:t>a</w:t>
      </w:r>
      <w:r w:rsidR="007A5B11" w:rsidRPr="00392DCA">
        <w:rPr>
          <w:lang w:val="es-419"/>
        </w:rPr>
        <w:t>rtículo</w:t>
      </w:r>
      <w:r w:rsidR="007A5B11">
        <w:rPr>
          <w:lang w:val="es-419"/>
        </w:rPr>
        <w:t> </w:t>
      </w:r>
      <w:r w:rsidRPr="007A5B11">
        <w:rPr>
          <w:b/>
          <w:bCs/>
          <w:lang w:val="es-419"/>
        </w:rPr>
        <w:t>11.31</w:t>
      </w:r>
      <w:r w:rsidRPr="00392DCA">
        <w:rPr>
          <w:lang w:val="es-419"/>
        </w:rPr>
        <w:t xml:space="preserve"> en lo referente </w:t>
      </w:r>
      <w:r w:rsidRPr="007A5B11">
        <w:rPr>
          <w:lang w:val="es-419"/>
        </w:rPr>
        <w:t xml:space="preserve">a </w:t>
      </w:r>
      <w:r w:rsidR="007A5B11" w:rsidRPr="007A5B11">
        <w:rPr>
          <w:lang w:val="es-419"/>
        </w:rPr>
        <w:t>«</w:t>
      </w:r>
      <w:r w:rsidRPr="007A5B11">
        <w:rPr>
          <w:lang w:val="es-419"/>
        </w:rPr>
        <w:t>las demás disposiciones</w:t>
      </w:r>
      <w:r w:rsidR="007A5B11" w:rsidRPr="007A5B11">
        <w:rPr>
          <w:lang w:val="es-419"/>
        </w:rPr>
        <w:t>»</w:t>
      </w:r>
      <w:r w:rsidRPr="00392DCA">
        <w:rPr>
          <w:lang w:val="es-419"/>
        </w:rPr>
        <w:t>. En particular, aquellas administraciones que tienen la intención de autorizar la utilización del espectro en virtud del artículo</w:t>
      </w:r>
      <w:r w:rsidR="007A5B11">
        <w:rPr>
          <w:lang w:val="es-419"/>
        </w:rPr>
        <w:t> </w:t>
      </w:r>
      <w:r w:rsidRPr="007A5B11">
        <w:rPr>
          <w:b/>
          <w:bCs/>
          <w:lang w:val="es-419"/>
        </w:rPr>
        <w:t>4.4</w:t>
      </w:r>
      <w:r w:rsidRPr="00392DCA">
        <w:rPr>
          <w:lang w:val="es-419"/>
        </w:rPr>
        <w:t xml:space="preserve"> siguen teniendo la obligación, según las </w:t>
      </w:r>
      <w:r w:rsidR="007A5B11" w:rsidRPr="00392DCA">
        <w:rPr>
          <w:lang w:val="es-419"/>
        </w:rPr>
        <w:t>Secciones</w:t>
      </w:r>
      <w:r w:rsidR="007A5B11">
        <w:rPr>
          <w:lang w:val="es-419"/>
        </w:rPr>
        <w:t> </w:t>
      </w:r>
      <w:r w:rsidRPr="00392DCA">
        <w:rPr>
          <w:lang w:val="es-419"/>
        </w:rPr>
        <w:t xml:space="preserve">I y II del </w:t>
      </w:r>
      <w:r w:rsidR="007A5B11" w:rsidRPr="00392DCA">
        <w:rPr>
          <w:lang w:val="es-419"/>
        </w:rPr>
        <w:t>Artículo </w:t>
      </w:r>
      <w:r w:rsidRPr="007A5B11">
        <w:rPr>
          <w:b/>
          <w:bCs/>
          <w:lang w:val="es-419"/>
        </w:rPr>
        <w:t>9</w:t>
      </w:r>
      <w:r w:rsidRPr="00392DCA">
        <w:rPr>
          <w:lang w:val="es-419"/>
        </w:rPr>
        <w:t>, numerales </w:t>
      </w:r>
      <w:r w:rsidRPr="007A5B11">
        <w:rPr>
          <w:b/>
          <w:bCs/>
          <w:lang w:val="es-419"/>
        </w:rPr>
        <w:t>11.2</w:t>
      </w:r>
      <w:r w:rsidRPr="00392DCA">
        <w:rPr>
          <w:lang w:val="es-419"/>
        </w:rPr>
        <w:t xml:space="preserve"> y </w:t>
      </w:r>
      <w:r w:rsidRPr="007A5B11">
        <w:rPr>
          <w:b/>
          <w:bCs/>
          <w:lang w:val="es-419"/>
        </w:rPr>
        <w:t>11.3</w:t>
      </w:r>
      <w:r w:rsidRPr="00392DCA">
        <w:rPr>
          <w:lang w:val="es-419"/>
        </w:rPr>
        <w:t xml:space="preserve">, de notificar a la Oficina de </w:t>
      </w:r>
      <w:r w:rsidR="007A5B11">
        <w:rPr>
          <w:lang w:val="es-419"/>
        </w:rPr>
        <w:t>«</w:t>
      </w:r>
      <w:r w:rsidRPr="007A5B11">
        <w:rPr>
          <w:lang w:val="es-419"/>
        </w:rPr>
        <w:t xml:space="preserve">Toda asignación </w:t>
      </w:r>
      <w:r w:rsidRPr="007A5B11">
        <w:rPr>
          <w:lang w:val="es-419"/>
        </w:rPr>
        <w:lastRenderedPageBreak/>
        <w:t>de frecuencia... si la utilización de dicha asignación pudiera causar interferencia perjudicial a cualquier servicio de otra administración</w:t>
      </w:r>
      <w:r w:rsidR="007A5B11">
        <w:rPr>
          <w:lang w:val="es-419"/>
        </w:rPr>
        <w:t>»</w:t>
      </w:r>
      <w:r w:rsidRPr="00392DCA">
        <w:rPr>
          <w:lang w:val="es-419"/>
        </w:rPr>
        <w:t>.</w:t>
      </w:r>
    </w:p>
    <w:p w14:paraId="7D02060F" w14:textId="57F78825" w:rsidR="00751816" w:rsidRPr="00392DCA" w:rsidRDefault="00751816" w:rsidP="00751816">
      <w:pPr>
        <w:rPr>
          <w:lang w:val="es-419"/>
        </w:rPr>
      </w:pPr>
      <w:r w:rsidRPr="00392DCA">
        <w:rPr>
          <w:lang w:val="es-419"/>
        </w:rPr>
        <w:t>En junio de 2023, en la última y definitiva versión del Informe de la RRB a la CMR-23, la información de la Oficina de Radiocomunicaciones indicaba que había más de 1</w:t>
      </w:r>
      <w:r w:rsidR="007A5B11">
        <w:rPr>
          <w:lang w:val="es-419"/>
        </w:rPr>
        <w:t> </w:t>
      </w:r>
      <w:r w:rsidRPr="00392DCA">
        <w:rPr>
          <w:lang w:val="es-419"/>
        </w:rPr>
        <w:t>600</w:t>
      </w:r>
      <w:r w:rsidR="007A5B11">
        <w:rPr>
          <w:lang w:val="es-419"/>
        </w:rPr>
        <w:t> </w:t>
      </w:r>
      <w:r w:rsidRPr="00392DCA">
        <w:rPr>
          <w:lang w:val="es-419"/>
        </w:rPr>
        <w:t>grupos de asignaciones de frecuencias asociadas a 488</w:t>
      </w:r>
      <w:r w:rsidR="00966848">
        <w:rPr>
          <w:lang w:val="es-419"/>
        </w:rPr>
        <w:t> </w:t>
      </w:r>
      <w:r w:rsidRPr="00392DCA">
        <w:rPr>
          <w:lang w:val="es-419"/>
        </w:rPr>
        <w:t>redes y sistemas de satélites registrados en el MIFR utilizando el número</w:t>
      </w:r>
      <w:r w:rsidR="007A5B11">
        <w:rPr>
          <w:lang w:val="es-419"/>
        </w:rPr>
        <w:t> </w:t>
      </w:r>
      <w:r w:rsidRPr="007A5B11">
        <w:rPr>
          <w:b/>
          <w:bCs/>
          <w:lang w:val="es-419"/>
        </w:rPr>
        <w:t>4.4</w:t>
      </w:r>
      <w:r w:rsidRPr="00392DCA">
        <w:rPr>
          <w:lang w:val="es-419"/>
        </w:rPr>
        <w:t>.</w:t>
      </w:r>
    </w:p>
    <w:p w14:paraId="51AF5F44" w14:textId="77777777" w:rsidR="00751816" w:rsidRPr="00392DCA" w:rsidRDefault="00751816" w:rsidP="00751816">
      <w:pPr>
        <w:rPr>
          <w:lang w:val="es-419"/>
        </w:rPr>
      </w:pPr>
      <w:r w:rsidRPr="00392DCA">
        <w:rPr>
          <w:lang w:val="es-419"/>
        </w:rPr>
        <w:t>La RRB expresó las siguientes opiniones en su reporte a la CMR-23:</w:t>
      </w:r>
    </w:p>
    <w:p w14:paraId="4FE68A3F" w14:textId="7410E8FE" w:rsidR="00751816" w:rsidRPr="00392DCA" w:rsidRDefault="007A5B11" w:rsidP="007A5B11">
      <w:pPr>
        <w:pStyle w:val="enumlev1"/>
        <w:rPr>
          <w:bCs/>
          <w:iCs/>
          <w:lang w:val="es-419"/>
        </w:rPr>
      </w:pPr>
      <w:r w:rsidRPr="007A5B11">
        <w:rPr>
          <w:lang w:val="es-419"/>
        </w:rPr>
        <w:t>–</w:t>
      </w:r>
      <w:r>
        <w:rPr>
          <w:lang w:val="es-419"/>
        </w:rPr>
        <w:tab/>
      </w:r>
      <w:r w:rsidR="00751816" w:rsidRPr="00392DCA">
        <w:rPr>
          <w:lang w:val="es-419"/>
        </w:rPr>
        <w:t xml:space="preserve">Se invita a la CMR-23 a confirmar que las asignaciones de frecuencias registradas en virtud del </w:t>
      </w:r>
      <w:r>
        <w:rPr>
          <w:lang w:val="es-419"/>
        </w:rPr>
        <w:t>a</w:t>
      </w:r>
      <w:r w:rsidRPr="00392DCA">
        <w:rPr>
          <w:lang w:val="es-419"/>
        </w:rPr>
        <w:t>rtículo</w:t>
      </w:r>
      <w:r>
        <w:rPr>
          <w:lang w:val="es-419"/>
        </w:rPr>
        <w:t> </w:t>
      </w:r>
      <w:r w:rsidR="00751816" w:rsidRPr="007A5B11">
        <w:rPr>
          <w:b/>
          <w:bCs/>
          <w:lang w:val="es-419"/>
        </w:rPr>
        <w:t>4.4</w:t>
      </w:r>
      <w:r w:rsidR="00751816" w:rsidRPr="00392DCA">
        <w:rPr>
          <w:lang w:val="es-419"/>
        </w:rPr>
        <w:t xml:space="preserve"> no tienen derecho a la protección contra interferencias perjudiciales de otras asignaciones de frecuencias registradas bajo el mismo artículo.</w:t>
      </w:r>
    </w:p>
    <w:p w14:paraId="5A5264DB" w14:textId="3404954F" w:rsidR="00751816" w:rsidRPr="007A5B11" w:rsidRDefault="007A5B11" w:rsidP="007A5B11">
      <w:pPr>
        <w:pStyle w:val="enumlev1"/>
        <w:rPr>
          <w:lang w:val="es-419"/>
        </w:rPr>
      </w:pPr>
      <w:r w:rsidRPr="007A5B11">
        <w:rPr>
          <w:lang w:val="es-419"/>
        </w:rPr>
        <w:t>–</w:t>
      </w:r>
      <w:r>
        <w:rPr>
          <w:lang w:val="es-419"/>
        </w:rPr>
        <w:tab/>
      </w:r>
      <w:r w:rsidR="00751816" w:rsidRPr="007A5B11">
        <w:rPr>
          <w:lang w:val="es-419"/>
        </w:rPr>
        <w:t xml:space="preserve">Se invita a la CMR-23 a considerar medidas normativas más estrictas para garantizar que el </w:t>
      </w:r>
      <w:r>
        <w:rPr>
          <w:lang w:val="es-419"/>
        </w:rPr>
        <w:t>a</w:t>
      </w:r>
      <w:r w:rsidRPr="007A5B11">
        <w:rPr>
          <w:lang w:val="es-419"/>
        </w:rPr>
        <w:t>rtículo</w:t>
      </w:r>
      <w:r>
        <w:rPr>
          <w:lang w:val="es-419"/>
        </w:rPr>
        <w:t> </w:t>
      </w:r>
      <w:r w:rsidR="00751816" w:rsidRPr="007A5B11">
        <w:rPr>
          <w:b/>
          <w:bCs/>
          <w:lang w:val="es-419"/>
        </w:rPr>
        <w:t>4.4</w:t>
      </w:r>
      <w:r w:rsidR="00751816" w:rsidRPr="007A5B11">
        <w:rPr>
          <w:lang w:val="es-419"/>
        </w:rPr>
        <w:t xml:space="preserve"> pueda hacerse cumplir con respecto a la aplicación de la condición de no interferencia y no protección contra las asignaciones de frecuencias que operan de conformidad con las disposiciones del Reglamento de Radiocomunicaciones.</w:t>
      </w:r>
    </w:p>
    <w:p w14:paraId="25F41AD3" w14:textId="7F91A6CC" w:rsidR="00751816" w:rsidRPr="007A5B11" w:rsidRDefault="007A5B11" w:rsidP="007A5B11">
      <w:pPr>
        <w:pStyle w:val="enumlev1"/>
        <w:rPr>
          <w:lang w:val="es-419"/>
        </w:rPr>
      </w:pPr>
      <w:r w:rsidRPr="007A5B11">
        <w:rPr>
          <w:lang w:val="es-419"/>
        </w:rPr>
        <w:t>–</w:t>
      </w:r>
      <w:r>
        <w:rPr>
          <w:lang w:val="es-419"/>
        </w:rPr>
        <w:tab/>
      </w:r>
      <w:r w:rsidR="00751816" w:rsidRPr="007A5B11">
        <w:rPr>
          <w:lang w:val="es-419"/>
        </w:rPr>
        <w:t>Se invita a la CMR-23 alentar a las administraciones a que se abstengan de utilizar el artículo</w:t>
      </w:r>
      <w:r>
        <w:rPr>
          <w:lang w:val="es-419"/>
        </w:rPr>
        <w:t> </w:t>
      </w:r>
      <w:r w:rsidR="00751816" w:rsidRPr="007A5B11">
        <w:rPr>
          <w:b/>
          <w:bCs/>
          <w:lang w:val="es-419"/>
        </w:rPr>
        <w:t>4.4</w:t>
      </w:r>
      <w:r w:rsidR="00751816" w:rsidRPr="007A5B11">
        <w:rPr>
          <w:lang w:val="es-419"/>
        </w:rPr>
        <w:t xml:space="preserve"> para aplicaciones comerciales que presten servicios a largo plazo, si una nueva asignación de espacio que daría reconocimiento internacional a las asignaciones de frecuencia que no se encuentren bajo estudio en el UIT-R o en consideración para una próxima CMR.</w:t>
      </w:r>
    </w:p>
    <w:p w14:paraId="57BCCAEE" w14:textId="75A5779B" w:rsidR="00D324C8" w:rsidRPr="007A5B11" w:rsidRDefault="00D324C8" w:rsidP="007A5B11">
      <w:r w:rsidRPr="007A5B11">
        <w:t>Junto con sus propuestas para responder al punto</w:t>
      </w:r>
      <w:r w:rsidR="007A5B11">
        <w:t> </w:t>
      </w:r>
      <w:r w:rsidRPr="007A5B11">
        <w:t>9.3 del orden del día de la CMR-23, la CITEL presenta su opinión al respecto.</w:t>
      </w:r>
    </w:p>
    <w:p w14:paraId="20B5CE65" w14:textId="55CA94D6" w:rsidR="00751816" w:rsidRPr="007A5B11" w:rsidRDefault="00751816" w:rsidP="007A5B11">
      <w:pPr>
        <w:pStyle w:val="Headingb"/>
      </w:pPr>
      <w:r w:rsidRPr="007A5B11">
        <w:t>Propuestas</w:t>
      </w:r>
    </w:p>
    <w:p w14:paraId="550D5582" w14:textId="77777777" w:rsidR="008750A8" w:rsidRDefault="008750A8" w:rsidP="007A5B11">
      <w:r>
        <w:br w:type="page"/>
      </w:r>
    </w:p>
    <w:p w14:paraId="168E02C5" w14:textId="77777777" w:rsidR="00751816" w:rsidRPr="007A5B11" w:rsidRDefault="00751816" w:rsidP="007A5B11">
      <w:pPr>
        <w:pStyle w:val="VolumeTitle0"/>
        <w:rPr>
          <w:rStyle w:val="PageNumber"/>
          <w:lang w:val="es-ES"/>
        </w:rPr>
      </w:pPr>
      <w:r w:rsidRPr="007A5B11">
        <w:rPr>
          <w:lang w:val="es-ES"/>
        </w:rPr>
        <w:lastRenderedPageBreak/>
        <w:t>PROPUESTA SOBRE LAS OPINIONES DE LA RRB</w:t>
      </w:r>
    </w:p>
    <w:p w14:paraId="7B964A85" w14:textId="77777777" w:rsidR="00B55D9D" w:rsidRPr="00D324C8" w:rsidRDefault="00751816">
      <w:pPr>
        <w:pStyle w:val="Proposal"/>
        <w:rPr>
          <w:lang w:val="es-ES"/>
        </w:rPr>
      </w:pPr>
      <w:r>
        <w:tab/>
      </w:r>
      <w:r w:rsidRPr="00D324C8">
        <w:rPr>
          <w:lang w:val="es-ES"/>
        </w:rPr>
        <w:t>IAP/44A26A2/1</w:t>
      </w:r>
    </w:p>
    <w:p w14:paraId="050F8037" w14:textId="1C6BA641" w:rsidR="00751816" w:rsidRPr="007A5B11" w:rsidRDefault="00751816" w:rsidP="00751816">
      <w:r w:rsidRPr="007A5B11">
        <w:rPr>
          <w:b/>
          <w:bCs/>
        </w:rPr>
        <w:t>Opinión 1 de la RRB:</w:t>
      </w:r>
      <w:r w:rsidRPr="00392DCA">
        <w:rPr>
          <w:lang w:val="es-419"/>
        </w:rPr>
        <w:t xml:space="preserve"> </w:t>
      </w:r>
      <w:r w:rsidR="007A5B11" w:rsidRPr="007A5B11">
        <w:t>«</w:t>
      </w:r>
      <w:r w:rsidRPr="007A5B11">
        <w:t>Se invita a la CMR-23 a confirmar que las asignaciones de frecuencia registradas con arreglo al número</w:t>
      </w:r>
      <w:r w:rsidR="007A5B11">
        <w:t> </w:t>
      </w:r>
      <w:r w:rsidRPr="007A5B11">
        <w:rPr>
          <w:b/>
          <w:bCs/>
        </w:rPr>
        <w:t>4.4</w:t>
      </w:r>
      <w:r w:rsidRPr="007A5B11">
        <w:t xml:space="preserve"> no tienen derecho a protección contra interferencias perjudiciales procedentes de otras asignaciones de frecuencia registradas con arreglo al número</w:t>
      </w:r>
      <w:r w:rsidR="007A5B11">
        <w:t> </w:t>
      </w:r>
      <w:r w:rsidRPr="007A5B11">
        <w:rPr>
          <w:b/>
          <w:bCs/>
        </w:rPr>
        <w:t>4.4</w:t>
      </w:r>
      <w:r w:rsidR="007A5B11" w:rsidRPr="007A5B11">
        <w:t>»</w:t>
      </w:r>
      <w:r w:rsidRPr="007A5B11">
        <w:t>.</w:t>
      </w:r>
    </w:p>
    <w:p w14:paraId="3EB67B7F" w14:textId="754E5E1B" w:rsidR="00751816" w:rsidRPr="00392DCA" w:rsidRDefault="00751816" w:rsidP="00751816">
      <w:pPr>
        <w:rPr>
          <w:lang w:val="es-419"/>
        </w:rPr>
      </w:pPr>
      <w:r w:rsidRPr="00392DCA">
        <w:rPr>
          <w:lang w:val="es-419"/>
        </w:rPr>
        <w:t>La CITEL propone a la CMR-23 confirmar que las asignaciones de frecuencia registradas según el número</w:t>
      </w:r>
      <w:r w:rsidR="007A5B11">
        <w:rPr>
          <w:lang w:val="es-419"/>
        </w:rPr>
        <w:t> </w:t>
      </w:r>
      <w:r w:rsidRPr="007A5B11">
        <w:rPr>
          <w:b/>
          <w:bCs/>
          <w:lang w:val="es-419"/>
        </w:rPr>
        <w:t>4.4</w:t>
      </w:r>
      <w:r w:rsidRPr="00392DCA">
        <w:rPr>
          <w:lang w:val="es-419"/>
        </w:rPr>
        <w:t xml:space="preserve"> no tienen derecho a protección contra interferencias perjudiciales procedentes de otras asignaciones de frecuencia registradas según el número</w:t>
      </w:r>
      <w:r w:rsidR="007A5B11">
        <w:rPr>
          <w:lang w:val="es-419"/>
        </w:rPr>
        <w:t> </w:t>
      </w:r>
      <w:r w:rsidRPr="007A5B11">
        <w:rPr>
          <w:b/>
          <w:bCs/>
          <w:lang w:val="es-419"/>
        </w:rPr>
        <w:t>4.4</w:t>
      </w:r>
      <w:r w:rsidRPr="00392DCA">
        <w:rPr>
          <w:lang w:val="es-419"/>
        </w:rPr>
        <w:t>.</w:t>
      </w:r>
    </w:p>
    <w:p w14:paraId="09757973" w14:textId="66927693" w:rsidR="00B55D9D" w:rsidRPr="00D324C8" w:rsidRDefault="00B55D9D">
      <w:pPr>
        <w:pStyle w:val="Reasons"/>
        <w:rPr>
          <w:lang w:val="es-ES"/>
        </w:rPr>
      </w:pPr>
    </w:p>
    <w:p w14:paraId="7AC0F928" w14:textId="77777777" w:rsidR="00B55D9D" w:rsidRPr="00D324C8" w:rsidRDefault="00751816">
      <w:pPr>
        <w:pStyle w:val="Proposal"/>
        <w:rPr>
          <w:lang w:val="es-ES"/>
        </w:rPr>
      </w:pPr>
      <w:r w:rsidRPr="00D324C8">
        <w:rPr>
          <w:lang w:val="es-ES"/>
        </w:rPr>
        <w:tab/>
        <w:t>IAP/44A26A2/2</w:t>
      </w:r>
    </w:p>
    <w:p w14:paraId="241BCA41" w14:textId="5D203301" w:rsidR="00751816" w:rsidRPr="007A5B11" w:rsidRDefault="00751816" w:rsidP="00751816">
      <w:r w:rsidRPr="007A5B11">
        <w:rPr>
          <w:b/>
          <w:bCs/>
        </w:rPr>
        <w:t>Opinión 2 de la RRB:</w:t>
      </w:r>
      <w:r w:rsidRPr="007A5B11">
        <w:t xml:space="preserve"> </w:t>
      </w:r>
      <w:r w:rsidR="007A5B11" w:rsidRPr="007A5B11">
        <w:t>«</w:t>
      </w:r>
      <w:r w:rsidRPr="007A5B11">
        <w:t>Se invita a la CMR-23 a considerar medidas reglamentarias más estrictas para garantizar que se pueda hacer cumplir el número</w:t>
      </w:r>
      <w:r w:rsidR="007A5B11">
        <w:t> </w:t>
      </w:r>
      <w:r w:rsidRPr="007A5B11">
        <w:rPr>
          <w:b/>
          <w:bCs/>
        </w:rPr>
        <w:t>4.4</w:t>
      </w:r>
      <w:r w:rsidRPr="007A5B11">
        <w:t xml:space="preserve"> con respecto a la aplicación de la condición de no interferencia y no protección de las asignaciones de frecuencia que funcionan en cumplimiento de lo dispuesto en el Reglamento de Radiocomunicaciones</w:t>
      </w:r>
      <w:r w:rsidR="007A5B11" w:rsidRPr="007A5B11">
        <w:t>»</w:t>
      </w:r>
      <w:r w:rsidRPr="007A5B11">
        <w:t>.</w:t>
      </w:r>
    </w:p>
    <w:p w14:paraId="592AE8E4" w14:textId="4B6389BB" w:rsidR="00751816" w:rsidRPr="00392DCA" w:rsidRDefault="00751816" w:rsidP="00751816">
      <w:pPr>
        <w:rPr>
          <w:lang w:val="es-419"/>
        </w:rPr>
      </w:pPr>
      <w:r w:rsidRPr="00392DCA">
        <w:rPr>
          <w:lang w:val="es-419"/>
        </w:rPr>
        <w:t>La CITEL propone a la CMR-23 que encargue a la BR que mejore la divulgación de información sobre las redes y sistemas de satélites que invocan el número</w:t>
      </w:r>
      <w:r w:rsidR="007A5B11">
        <w:rPr>
          <w:lang w:val="es-419"/>
        </w:rPr>
        <w:t> </w:t>
      </w:r>
      <w:r w:rsidRPr="007A5B11">
        <w:rPr>
          <w:b/>
          <w:bCs/>
          <w:lang w:val="es-419"/>
        </w:rPr>
        <w:t>4.4</w:t>
      </w:r>
      <w:r w:rsidRPr="00392DCA">
        <w:rPr>
          <w:lang w:val="es-419"/>
        </w:rPr>
        <w:t xml:space="preserve"> del RR para permitir que se ponga a disposición de los miembros más información sobre la aplicación del número</w:t>
      </w:r>
      <w:r w:rsidR="007A5B11">
        <w:rPr>
          <w:lang w:val="es-419"/>
        </w:rPr>
        <w:t> </w:t>
      </w:r>
      <w:r w:rsidRPr="007A5B11">
        <w:rPr>
          <w:b/>
          <w:bCs/>
          <w:lang w:val="es-419"/>
        </w:rPr>
        <w:t>4.4</w:t>
      </w:r>
      <w:r w:rsidRPr="00392DCA">
        <w:rPr>
          <w:lang w:val="es-419"/>
        </w:rPr>
        <w:t xml:space="preserve"> con respecto a la operación en un base de interferencia. Para facilitar el seguimiento de esta cuestión por parte de las administraciones, la Oficina de Radiocomunicaciones debería facilitar el acceso a información actualizada sobre la notificación y la puesta en servicio de las notificaciones previstas en el número</w:t>
      </w:r>
      <w:r w:rsidR="007A5B11">
        <w:rPr>
          <w:lang w:val="es-419"/>
        </w:rPr>
        <w:t> </w:t>
      </w:r>
      <w:r w:rsidRPr="007A5B11">
        <w:rPr>
          <w:b/>
          <w:bCs/>
          <w:lang w:val="es-419"/>
        </w:rPr>
        <w:t>4.4</w:t>
      </w:r>
      <w:r w:rsidRPr="00392DCA">
        <w:rPr>
          <w:lang w:val="es-419"/>
        </w:rPr>
        <w:t>. Esta información podría incluir la lista de presentaciones que utilizan el número</w:t>
      </w:r>
      <w:r w:rsidR="007A5B11">
        <w:rPr>
          <w:lang w:val="es-419"/>
        </w:rPr>
        <w:t> </w:t>
      </w:r>
      <w:r w:rsidRPr="007A5B11">
        <w:rPr>
          <w:b/>
          <w:bCs/>
          <w:lang w:val="es-419"/>
        </w:rPr>
        <w:t>4.4</w:t>
      </w:r>
      <w:r w:rsidRPr="00392DCA">
        <w:rPr>
          <w:lang w:val="es-419"/>
        </w:rPr>
        <w:t xml:space="preserve"> del</w:t>
      </w:r>
      <w:r w:rsidR="007A5B11">
        <w:rPr>
          <w:lang w:val="es-419"/>
        </w:rPr>
        <w:t> </w:t>
      </w:r>
      <w:r w:rsidRPr="00392DCA">
        <w:rPr>
          <w:lang w:val="es-419"/>
        </w:rPr>
        <w:t>RR y datos históricos sobre las presentaciones que utilizan esta disposición en su sitio web. También podría implementarse como una nueva opción de filtro en la herramienta de análisis de datos Space Explorer de la UIT, junto con nuevos gráficos de datos históricos, por ejemplo.</w:t>
      </w:r>
    </w:p>
    <w:p w14:paraId="705B0428" w14:textId="77777777" w:rsidR="007A5B11" w:rsidRDefault="007A5B11" w:rsidP="00411C49">
      <w:pPr>
        <w:pStyle w:val="Reasons"/>
      </w:pPr>
    </w:p>
    <w:p w14:paraId="6EBB5E80" w14:textId="77777777" w:rsidR="007A5B11" w:rsidRDefault="007A5B11">
      <w:pPr>
        <w:jc w:val="center"/>
      </w:pPr>
      <w:r>
        <w:t>______________</w:t>
      </w:r>
    </w:p>
    <w:sectPr w:rsidR="007A5B11">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7178" w14:textId="77777777" w:rsidR="00666B37" w:rsidRDefault="00666B37">
      <w:r>
        <w:separator/>
      </w:r>
    </w:p>
  </w:endnote>
  <w:endnote w:type="continuationSeparator" w:id="0">
    <w:p w14:paraId="56899D8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226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F5CA2" w14:textId="21D37D0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12E9F">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CB33" w14:textId="64C1DA66" w:rsidR="0077084A" w:rsidRPr="00751816" w:rsidRDefault="00751816" w:rsidP="00751816">
    <w:pPr>
      <w:pStyle w:val="Footer"/>
      <w:rPr>
        <w:lang w:val="en-GB"/>
      </w:rPr>
    </w:pPr>
    <w:r>
      <w:fldChar w:fldCharType="begin"/>
    </w:r>
    <w:r w:rsidRPr="00751816">
      <w:rPr>
        <w:lang w:val="en-GB"/>
      </w:rPr>
      <w:instrText xml:space="preserve"> FILENAME \p  \* MERGEFORMAT </w:instrText>
    </w:r>
    <w:r>
      <w:fldChar w:fldCharType="separate"/>
    </w:r>
    <w:r w:rsidR="007A5B11">
      <w:rPr>
        <w:lang w:val="en-GB"/>
      </w:rPr>
      <w:t>P:\ESP\ITU-R\CONF-R\CMR23\000\044ADD26ADD02S.docx</w:t>
    </w:r>
    <w:r>
      <w:fldChar w:fldCharType="end"/>
    </w:r>
    <w:r w:rsidRPr="00751816">
      <w:rPr>
        <w:lang w:val="en-GB"/>
      </w:rPr>
      <w:t xml:space="preserve"> (</w:t>
    </w:r>
    <w:r>
      <w:rPr>
        <w:lang w:val="en-GB"/>
      </w:rPr>
      <w:t>529470</w:t>
    </w:r>
    <w:r w:rsidRPr="00751816">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5C58" w14:textId="4908C42E" w:rsidR="0077084A" w:rsidRPr="00751816" w:rsidRDefault="00751816" w:rsidP="00751816">
    <w:pPr>
      <w:pStyle w:val="Footer"/>
      <w:rPr>
        <w:lang w:val="en-GB"/>
      </w:rPr>
    </w:pPr>
    <w:r>
      <w:fldChar w:fldCharType="begin"/>
    </w:r>
    <w:r w:rsidRPr="00751816">
      <w:rPr>
        <w:lang w:val="en-GB"/>
      </w:rPr>
      <w:instrText xml:space="preserve"> FILENAME \p  \* MERGEFORMAT </w:instrText>
    </w:r>
    <w:r>
      <w:fldChar w:fldCharType="separate"/>
    </w:r>
    <w:r w:rsidR="007A5B11">
      <w:rPr>
        <w:lang w:val="en-GB"/>
      </w:rPr>
      <w:t>P:\ESP\ITU-R\CONF-R\CMR23\000\044ADD26ADD02S.docx</w:t>
    </w:r>
    <w:r>
      <w:fldChar w:fldCharType="end"/>
    </w:r>
    <w:r w:rsidRPr="00751816">
      <w:rPr>
        <w:lang w:val="en-GB"/>
      </w:rPr>
      <w:t xml:space="preserve"> (</w:t>
    </w:r>
    <w:r>
      <w:rPr>
        <w:lang w:val="en-GB"/>
      </w:rPr>
      <w:t>529470</w:t>
    </w:r>
    <w:r w:rsidRPr="00751816">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5B0E" w14:textId="77777777" w:rsidR="00666B37" w:rsidRDefault="00666B37">
      <w:r>
        <w:rPr>
          <w:b/>
        </w:rPr>
        <w:t>_______________</w:t>
      </w:r>
    </w:p>
  </w:footnote>
  <w:footnote w:type="continuationSeparator" w:id="0">
    <w:p w14:paraId="1D558303"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76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CA5E00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44(Add.26)(Add.2)-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BC42865"/>
    <w:multiLevelType w:val="hybridMultilevel"/>
    <w:tmpl w:val="AB624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3243874">
    <w:abstractNumId w:val="8"/>
  </w:num>
  <w:num w:numId="2" w16cid:durableId="8564998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2217478">
    <w:abstractNumId w:val="9"/>
  </w:num>
  <w:num w:numId="4" w16cid:durableId="1918396253">
    <w:abstractNumId w:val="7"/>
  </w:num>
  <w:num w:numId="5" w16cid:durableId="967777219">
    <w:abstractNumId w:val="6"/>
  </w:num>
  <w:num w:numId="6" w16cid:durableId="581643025">
    <w:abstractNumId w:val="5"/>
  </w:num>
  <w:num w:numId="7" w16cid:durableId="2032681130">
    <w:abstractNumId w:val="4"/>
  </w:num>
  <w:num w:numId="8" w16cid:durableId="1124078121">
    <w:abstractNumId w:val="3"/>
  </w:num>
  <w:num w:numId="9" w16cid:durableId="596250694">
    <w:abstractNumId w:val="2"/>
  </w:num>
  <w:num w:numId="10" w16cid:durableId="219362495">
    <w:abstractNumId w:val="1"/>
  </w:num>
  <w:num w:numId="11" w16cid:durableId="740559946">
    <w:abstractNumId w:val="0"/>
  </w:num>
  <w:num w:numId="12" w16cid:durableId="2043048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95C05"/>
    <w:rsid w:val="006C0E38"/>
    <w:rsid w:val="006D6E67"/>
    <w:rsid w:val="006E1A13"/>
    <w:rsid w:val="00701C20"/>
    <w:rsid w:val="00702F3D"/>
    <w:rsid w:val="0070518E"/>
    <w:rsid w:val="007354E9"/>
    <w:rsid w:val="007424E8"/>
    <w:rsid w:val="0074579D"/>
    <w:rsid w:val="00751816"/>
    <w:rsid w:val="00765578"/>
    <w:rsid w:val="00766333"/>
    <w:rsid w:val="0077084A"/>
    <w:rsid w:val="007952C7"/>
    <w:rsid w:val="007A5B11"/>
    <w:rsid w:val="007C0B95"/>
    <w:rsid w:val="007C2317"/>
    <w:rsid w:val="007D330A"/>
    <w:rsid w:val="0080079E"/>
    <w:rsid w:val="008504C2"/>
    <w:rsid w:val="00866AE6"/>
    <w:rsid w:val="008750A8"/>
    <w:rsid w:val="008D3316"/>
    <w:rsid w:val="008E5AF2"/>
    <w:rsid w:val="0090121B"/>
    <w:rsid w:val="009144C9"/>
    <w:rsid w:val="0094091F"/>
    <w:rsid w:val="00962171"/>
    <w:rsid w:val="00966848"/>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55D9D"/>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324C8"/>
    <w:rsid w:val="00D544C7"/>
    <w:rsid w:val="00D72A5D"/>
    <w:rsid w:val="00DA71A3"/>
    <w:rsid w:val="00DC1922"/>
    <w:rsid w:val="00DC629B"/>
    <w:rsid w:val="00DE1C31"/>
    <w:rsid w:val="00E05BFF"/>
    <w:rsid w:val="00E262F1"/>
    <w:rsid w:val="00E3176A"/>
    <w:rsid w:val="00E36CE4"/>
    <w:rsid w:val="00E54754"/>
    <w:rsid w:val="00E56BD3"/>
    <w:rsid w:val="00E71D14"/>
    <w:rsid w:val="00EA77F0"/>
    <w:rsid w:val="00EB098B"/>
    <w:rsid w:val="00F12E9F"/>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32959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character" w:customStyle="1" w:styleId="HeadingbChar">
    <w:name w:val="Heading_b Char"/>
    <w:link w:val="Headingb"/>
    <w:qFormat/>
    <w:locked/>
    <w:rsid w:val="00751816"/>
    <w:rPr>
      <w:b/>
      <w:sz w:val="24"/>
      <w:lang w:val="es-ES_tradnl" w:eastAsia="en-US"/>
    </w:rPr>
  </w:style>
  <w:style w:type="paragraph" w:customStyle="1" w:styleId="VolumeTitle0">
    <w:name w:val="VolumeTitle"/>
    <w:basedOn w:val="Normal"/>
    <w:next w:val="Normal"/>
    <w:rsid w:val="0075181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UnresolvedMention">
    <w:name w:val="Unresolved Mention"/>
    <w:basedOn w:val="DefaultParagraphFont"/>
    <w:uiPriority w:val="99"/>
    <w:semiHidden/>
    <w:unhideWhenUsed/>
    <w:rsid w:val="007A5B11"/>
    <w:rPr>
      <w:color w:val="605E5C"/>
      <w:shd w:val="clear" w:color="auto" w:fill="E1DFDD"/>
    </w:rPr>
  </w:style>
  <w:style w:type="paragraph" w:styleId="Revision">
    <w:name w:val="Revision"/>
    <w:hidden/>
    <w:uiPriority w:val="99"/>
    <w:semiHidden/>
    <w:rsid w:val="00D544C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50/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R23-WRC23-C-0044!A26-A2!MSW-S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1185-270A-4FDA-A3FC-2FF419530557}">
  <ds:schemaRefs>
    <ds:schemaRef ds:uri="http://schemas.microsoft.com/sharepoint/v3/contenttype/forms"/>
  </ds:schemaRefs>
</ds:datastoreItem>
</file>

<file path=customXml/itemProps2.xml><?xml version="1.0" encoding="utf-8"?>
<ds:datastoreItem xmlns:ds="http://schemas.openxmlformats.org/officeDocument/2006/customXml" ds:itemID="{2C18849F-AF60-430B-8949-10A4727A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805D4-F333-40AA-A931-FE3A71FFD3FB}">
  <ds:schemaRefs>
    <ds:schemaRef ds:uri="http://schemas.microsoft.com/sharepoint/events"/>
  </ds:schemaRefs>
</ds:datastoreItem>
</file>

<file path=customXml/itemProps4.xml><?xml version="1.0" encoding="utf-8"?>
<ds:datastoreItem xmlns:ds="http://schemas.openxmlformats.org/officeDocument/2006/customXml" ds:itemID="{26AF8828-C7B8-4ADB-A496-908907AE813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900</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R23-WRC23-C-0044!A26-A2!MSW-S</dc:title>
  <dc:subject>Conferencia Mundial de Radiocomunicaciones - 2019</dc:subject>
  <dc:creator>Documents Proposals Manager (DPM)</dc:creator>
  <cp:keywords>DPM_v2023.8.1.1_prod</cp:keywords>
  <dc:description/>
  <cp:lastModifiedBy>Spanish83</cp:lastModifiedBy>
  <cp:revision>5</cp:revision>
  <cp:lastPrinted>2003-02-19T20:20:00Z</cp:lastPrinted>
  <dcterms:created xsi:type="dcterms:W3CDTF">2023-11-03T13:36:00Z</dcterms:created>
  <dcterms:modified xsi:type="dcterms:W3CDTF">2023-11-03T13:48:00Z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