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F6C49" w14:paraId="7181FC03" w14:textId="77777777" w:rsidTr="00C1305F">
        <w:trPr>
          <w:cantSplit/>
        </w:trPr>
        <w:tc>
          <w:tcPr>
            <w:tcW w:w="1418" w:type="dxa"/>
            <w:vAlign w:val="center"/>
          </w:tcPr>
          <w:p w14:paraId="4B660BC1" w14:textId="77777777" w:rsidR="00C1305F" w:rsidRPr="007F6C49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F6C49">
              <w:rPr>
                <w:noProof/>
                <w:lang w:eastAsia="fr-CH"/>
              </w:rPr>
              <w:drawing>
                <wp:inline distT="0" distB="0" distL="0" distR="0" wp14:anchorId="6D3794EE" wp14:editId="08595ABC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4DDC541" w14:textId="70CAD6A8" w:rsidR="00C1305F" w:rsidRPr="007F6C49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F6C4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F6C49">
              <w:rPr>
                <w:rFonts w:ascii="Verdana" w:hAnsi="Verdana"/>
                <w:b/>
                <w:bCs/>
                <w:sz w:val="20"/>
              </w:rPr>
              <w:br/>
            </w:r>
            <w:r w:rsidRPr="007F6C4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A1906" w:rsidRPr="007F6C4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F6C4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AE515CB" w14:textId="77777777" w:rsidR="00C1305F" w:rsidRPr="007F6C49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7F6C49">
              <w:rPr>
                <w:noProof/>
                <w:lang w:eastAsia="fr-CH"/>
              </w:rPr>
              <w:drawing>
                <wp:inline distT="0" distB="0" distL="0" distR="0" wp14:anchorId="66FAA3E7" wp14:editId="386ECB4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F6C49" w14:paraId="3D08D04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2ADF541" w14:textId="77777777" w:rsidR="00BB1D82" w:rsidRPr="007F6C49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6A68354" w14:textId="77777777" w:rsidR="00BB1D82" w:rsidRPr="007F6C49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F6C49" w14:paraId="71003357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62B3ECA" w14:textId="77777777" w:rsidR="00BB1D82" w:rsidRPr="007F6C49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4147CB0" w14:textId="77777777" w:rsidR="00BB1D82" w:rsidRPr="007F6C49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F6C49" w14:paraId="6D61FE9B" w14:textId="77777777" w:rsidTr="00BB1D82">
        <w:trPr>
          <w:cantSplit/>
        </w:trPr>
        <w:tc>
          <w:tcPr>
            <w:tcW w:w="6911" w:type="dxa"/>
            <w:gridSpan w:val="2"/>
          </w:tcPr>
          <w:p w14:paraId="2FBE94C8" w14:textId="77777777" w:rsidR="00BB1D82" w:rsidRPr="007F6C49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6C4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D5E8004" w14:textId="77777777" w:rsidR="00BB1D82" w:rsidRPr="007F6C4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F6C49">
              <w:rPr>
                <w:rFonts w:ascii="Verdana" w:hAnsi="Verdana"/>
                <w:b/>
                <w:sz w:val="20"/>
              </w:rPr>
              <w:t>Addendum 2 au</w:t>
            </w:r>
            <w:r w:rsidRPr="007F6C49">
              <w:rPr>
                <w:rFonts w:ascii="Verdana" w:hAnsi="Verdana"/>
                <w:b/>
                <w:sz w:val="20"/>
              </w:rPr>
              <w:br/>
              <w:t>Document 44(Add.26)</w:t>
            </w:r>
            <w:r w:rsidR="00BB1D82" w:rsidRPr="007F6C49">
              <w:rPr>
                <w:rFonts w:ascii="Verdana" w:hAnsi="Verdana"/>
                <w:b/>
                <w:sz w:val="20"/>
              </w:rPr>
              <w:t>-</w:t>
            </w:r>
            <w:r w:rsidRPr="007F6C4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7F6C49" w14:paraId="7C00C28D" w14:textId="77777777" w:rsidTr="00BB1D82">
        <w:trPr>
          <w:cantSplit/>
        </w:trPr>
        <w:tc>
          <w:tcPr>
            <w:tcW w:w="6911" w:type="dxa"/>
            <w:gridSpan w:val="2"/>
          </w:tcPr>
          <w:p w14:paraId="63716263" w14:textId="77777777" w:rsidR="00690C7B" w:rsidRPr="007F6C4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FD86754" w14:textId="77777777" w:rsidR="00690C7B" w:rsidRPr="007F6C4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6C49">
              <w:rPr>
                <w:rFonts w:ascii="Verdana" w:hAnsi="Verdana"/>
                <w:b/>
                <w:sz w:val="20"/>
              </w:rPr>
              <w:t>13 octobre 2023</w:t>
            </w:r>
          </w:p>
        </w:tc>
      </w:tr>
      <w:tr w:rsidR="00690C7B" w:rsidRPr="007F6C49" w14:paraId="39E8C922" w14:textId="77777777" w:rsidTr="00BB1D82">
        <w:trPr>
          <w:cantSplit/>
        </w:trPr>
        <w:tc>
          <w:tcPr>
            <w:tcW w:w="6911" w:type="dxa"/>
            <w:gridSpan w:val="2"/>
          </w:tcPr>
          <w:p w14:paraId="44348E8A" w14:textId="77777777" w:rsidR="00690C7B" w:rsidRPr="007F6C49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F4D0C97" w14:textId="77777777" w:rsidR="00690C7B" w:rsidRPr="007F6C4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6C4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7F6C49" w14:paraId="652BAA6B" w14:textId="77777777" w:rsidTr="00C11970">
        <w:trPr>
          <w:cantSplit/>
        </w:trPr>
        <w:tc>
          <w:tcPr>
            <w:tcW w:w="10031" w:type="dxa"/>
            <w:gridSpan w:val="4"/>
          </w:tcPr>
          <w:p w14:paraId="3278F3BF" w14:textId="77777777" w:rsidR="00690C7B" w:rsidRPr="007F6C4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F6C49" w14:paraId="4554EE3B" w14:textId="77777777" w:rsidTr="0050008E">
        <w:trPr>
          <w:cantSplit/>
        </w:trPr>
        <w:tc>
          <w:tcPr>
            <w:tcW w:w="10031" w:type="dxa"/>
            <w:gridSpan w:val="4"/>
          </w:tcPr>
          <w:p w14:paraId="5735C860" w14:textId="77777777" w:rsidR="00690C7B" w:rsidRPr="007F6C49" w:rsidRDefault="00690C7B" w:rsidP="00690C7B">
            <w:pPr>
              <w:pStyle w:val="Source"/>
            </w:pPr>
            <w:bookmarkStart w:id="2" w:name="dsource" w:colFirst="0" w:colLast="0"/>
            <w:r w:rsidRPr="007F6C49">
              <w:t>États Membres de la Commission interaméricaine des télécommunications (CITEL)</w:t>
            </w:r>
          </w:p>
        </w:tc>
      </w:tr>
      <w:tr w:rsidR="00690C7B" w:rsidRPr="007F6C49" w14:paraId="5ECEC3AC" w14:textId="77777777" w:rsidTr="0050008E">
        <w:trPr>
          <w:cantSplit/>
        </w:trPr>
        <w:tc>
          <w:tcPr>
            <w:tcW w:w="10031" w:type="dxa"/>
            <w:gridSpan w:val="4"/>
          </w:tcPr>
          <w:p w14:paraId="664421BA" w14:textId="59305D40" w:rsidR="00690C7B" w:rsidRPr="007F6C49" w:rsidRDefault="007D5068" w:rsidP="00690C7B">
            <w:pPr>
              <w:pStyle w:val="Title1"/>
            </w:pPr>
            <w:bookmarkStart w:id="3" w:name="dtitle1" w:colFirst="0" w:colLast="0"/>
            <w:bookmarkEnd w:id="2"/>
            <w:r w:rsidRPr="007F6C49">
              <w:t>PROPOSITIONS POUR LES TRAVAUX DE LA CONFÉRENCE</w:t>
            </w:r>
          </w:p>
        </w:tc>
      </w:tr>
      <w:tr w:rsidR="00690C7B" w:rsidRPr="007F6C49" w14:paraId="46D380F6" w14:textId="77777777" w:rsidTr="0050008E">
        <w:trPr>
          <w:cantSplit/>
        </w:trPr>
        <w:tc>
          <w:tcPr>
            <w:tcW w:w="10031" w:type="dxa"/>
            <w:gridSpan w:val="4"/>
          </w:tcPr>
          <w:p w14:paraId="3D3574ED" w14:textId="77777777" w:rsidR="00690C7B" w:rsidRPr="007F6C49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7F6C49" w14:paraId="215061BC" w14:textId="77777777" w:rsidTr="0050008E">
        <w:trPr>
          <w:cantSplit/>
        </w:trPr>
        <w:tc>
          <w:tcPr>
            <w:tcW w:w="10031" w:type="dxa"/>
            <w:gridSpan w:val="4"/>
          </w:tcPr>
          <w:p w14:paraId="3B07478B" w14:textId="77777777" w:rsidR="00690C7B" w:rsidRPr="007F6C49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F6C49">
              <w:rPr>
                <w:lang w:val="fr-FR"/>
              </w:rPr>
              <w:t>Point 9.3 de l'ordre du jour</w:t>
            </w:r>
          </w:p>
        </w:tc>
      </w:tr>
    </w:tbl>
    <w:bookmarkEnd w:id="5"/>
    <w:p w14:paraId="23C232A7" w14:textId="36A78AA8" w:rsidR="00350BC3" w:rsidRPr="007F6C49" w:rsidRDefault="00350BC3" w:rsidP="003D082A">
      <w:r w:rsidRPr="007F6C49">
        <w:t>9</w:t>
      </w:r>
      <w:r w:rsidRPr="007F6C49">
        <w:tab/>
        <w:t>examiner et approuver le rapport du Directeur du Bureau des radiocommunications, conformément à l'</w:t>
      </w:r>
      <w:r w:rsidR="00210C49" w:rsidRPr="007F6C49">
        <w:t>A</w:t>
      </w:r>
      <w:r w:rsidRPr="007F6C49">
        <w:t>rticle </w:t>
      </w:r>
      <w:r w:rsidRPr="007F6C49">
        <w:rPr>
          <w:b/>
          <w:bCs/>
        </w:rPr>
        <w:t>7</w:t>
      </w:r>
      <w:r w:rsidRPr="007F6C49">
        <w:t xml:space="preserve"> de la Convention de l'UIT</w:t>
      </w:r>
      <w:r w:rsidR="00D83D5A" w:rsidRPr="007F6C49">
        <w:t>;</w:t>
      </w:r>
    </w:p>
    <w:p w14:paraId="6C1E03D6" w14:textId="77777777" w:rsidR="00350BC3" w:rsidRPr="007F6C49" w:rsidRDefault="00350BC3" w:rsidP="00303194">
      <w:r w:rsidRPr="007F6C49">
        <w:t>9.3</w:t>
      </w:r>
      <w:r w:rsidRPr="007F6C49">
        <w:tab/>
        <w:t>sur la suite donnée à la Résolution </w:t>
      </w:r>
      <w:r w:rsidRPr="007F6C49">
        <w:rPr>
          <w:b/>
          <w:bCs/>
        </w:rPr>
        <w:t>80 (Rév.CMR-07)</w:t>
      </w:r>
      <w:r w:rsidRPr="007F6C49">
        <w:t>;</w:t>
      </w:r>
    </w:p>
    <w:p w14:paraId="56861A68" w14:textId="3271945E" w:rsidR="003A583E" w:rsidRPr="007F6C49" w:rsidRDefault="00F211C3" w:rsidP="00EB6AB6">
      <w:pPr>
        <w:pStyle w:val="Headingb"/>
      </w:pPr>
      <w:r w:rsidRPr="007F6C49">
        <w:t>Considérations générales</w:t>
      </w:r>
    </w:p>
    <w:p w14:paraId="6EEFA83E" w14:textId="7A6E27DA" w:rsidR="00EB6AB6" w:rsidRPr="007F6C49" w:rsidRDefault="00205FD8" w:rsidP="00EB6AB6">
      <w:r w:rsidRPr="007F6C49">
        <w:t xml:space="preserve">Comme suite au </w:t>
      </w:r>
      <w:r w:rsidR="00F211C3" w:rsidRPr="007F6C49">
        <w:t xml:space="preserve">rapport du Comité du Règlement des radiocommunications (RRB) à la CMR-23 sur la Résolution </w:t>
      </w:r>
      <w:r w:rsidR="00F211C3" w:rsidRPr="007F6C49">
        <w:rPr>
          <w:b/>
          <w:bCs/>
        </w:rPr>
        <w:t>80 (Rév.CMR-07)</w:t>
      </w:r>
      <w:r w:rsidR="00F211C3" w:rsidRPr="007F6C49">
        <w:t xml:space="preserve"> (Document </w:t>
      </w:r>
      <w:hyperlink r:id="rId14" w:history="1">
        <w:r w:rsidR="00F211C3" w:rsidRPr="007F6C49">
          <w:rPr>
            <w:rStyle w:val="Hyperlink"/>
          </w:rPr>
          <w:t>CMR-2</w:t>
        </w:r>
        <w:r w:rsidR="00F211C3" w:rsidRPr="007F6C49">
          <w:rPr>
            <w:rStyle w:val="Hyperlink"/>
          </w:rPr>
          <w:t>3</w:t>
        </w:r>
        <w:r w:rsidR="00F211C3" w:rsidRPr="007F6C49">
          <w:rPr>
            <w:rStyle w:val="Hyperlink"/>
          </w:rPr>
          <w:t>/50</w:t>
        </w:r>
      </w:hyperlink>
      <w:r w:rsidR="00F211C3" w:rsidRPr="007F6C49">
        <w:t xml:space="preserve">), la CITEL soumet les observations et propositions ci-après au sujet de la question traitée au </w:t>
      </w:r>
      <w:r w:rsidR="00F73777" w:rsidRPr="007F6C49">
        <w:t>§ </w:t>
      </w:r>
      <w:r w:rsidR="00F211C3" w:rsidRPr="007F6C49">
        <w:t>4.14 du Doc</w:t>
      </w:r>
      <w:r w:rsidR="005A1906" w:rsidRPr="007F6C49">
        <w:t>ument</w:t>
      </w:r>
      <w:r w:rsidR="00F211C3" w:rsidRPr="007F6C49">
        <w:t xml:space="preserve"> CMR-23/50</w:t>
      </w:r>
      <w:r w:rsidRPr="007F6C49">
        <w:t>,</w:t>
      </w:r>
      <w:r w:rsidR="00F211C3" w:rsidRPr="007F6C49">
        <w:t xml:space="preserve"> relatif à l'inscription des assignations de fréquence des réseaux à satellite ou des systèmes à satellites au titre du numéro </w:t>
      </w:r>
      <w:r w:rsidR="00F211C3" w:rsidRPr="007F6C49">
        <w:rPr>
          <w:b/>
          <w:bCs/>
        </w:rPr>
        <w:t>4.4</w:t>
      </w:r>
      <w:r w:rsidR="00F211C3" w:rsidRPr="007F6C49">
        <w:t xml:space="preserve"> du RR.</w:t>
      </w:r>
    </w:p>
    <w:p w14:paraId="1063468B" w14:textId="7E786DCD" w:rsidR="00F211C3" w:rsidRPr="007F6C49" w:rsidRDefault="00F211C3" w:rsidP="005A1906">
      <w:pPr>
        <w:pStyle w:val="Headingb"/>
      </w:pPr>
      <w:r w:rsidRPr="007F6C49">
        <w:t>§ 4.</w:t>
      </w:r>
      <w:r w:rsidR="005F4D19" w:rsidRPr="007F6C49">
        <w:t>1</w:t>
      </w:r>
      <w:r w:rsidRPr="007F6C49">
        <w:t>4 – Inscription des assignations de fréquence des réseaux à satellite ou des systèmes à satellites au titre du numéro 4.4 du RR</w:t>
      </w:r>
    </w:p>
    <w:p w14:paraId="524EB17C" w14:textId="5F45062C" w:rsidR="00F211C3" w:rsidRPr="007F6C49" w:rsidRDefault="00F211C3" w:rsidP="00EB6AB6">
      <w:r w:rsidRPr="007F6C49">
        <w:t xml:space="preserve">La présente proposition </w:t>
      </w:r>
      <w:r w:rsidR="00F73777" w:rsidRPr="007F6C49">
        <w:t xml:space="preserve">préliminaire </w:t>
      </w:r>
      <w:r w:rsidRPr="007F6C49">
        <w:t xml:space="preserve">concerne le </w:t>
      </w:r>
      <w:r w:rsidR="00F73777" w:rsidRPr="007F6C49">
        <w:t>§ </w:t>
      </w:r>
      <w:r w:rsidRPr="007F6C49">
        <w:t xml:space="preserve">4.14 du </w:t>
      </w:r>
      <w:r w:rsidR="00205FD8" w:rsidRPr="007F6C49">
        <w:t xml:space="preserve">Rapport </w:t>
      </w:r>
      <w:r w:rsidRPr="007F6C49">
        <w:t xml:space="preserve">du Comité du Règlement des radiocommunications (RRB) à la CMR-23 sur la Résolution </w:t>
      </w:r>
      <w:r w:rsidRPr="007F6C49">
        <w:rPr>
          <w:b/>
          <w:bCs/>
        </w:rPr>
        <w:t>80 (Rév.CMR-07)</w:t>
      </w:r>
      <w:r w:rsidRPr="007F6C49">
        <w:t xml:space="preserve">, soumise à titre de contribution </w:t>
      </w:r>
      <w:r w:rsidR="00F73777" w:rsidRPr="007F6C49">
        <w:t>numéro </w:t>
      </w:r>
      <w:r w:rsidRPr="007F6C49">
        <w:t xml:space="preserve">50 à la CMR-23. Elle </w:t>
      </w:r>
      <w:r w:rsidR="00205FD8" w:rsidRPr="007F6C49">
        <w:t xml:space="preserve">concerne </w:t>
      </w:r>
      <w:r w:rsidRPr="007F6C49">
        <w:t xml:space="preserve">la question de l'inscription accrue </w:t>
      </w:r>
      <w:r w:rsidR="00205FD8" w:rsidRPr="007F6C49">
        <w:t>d</w:t>
      </w:r>
      <w:r w:rsidR="005A1906" w:rsidRPr="007F6C49">
        <w:t>'</w:t>
      </w:r>
      <w:r w:rsidRPr="007F6C49">
        <w:t xml:space="preserve">assignations de fréquence </w:t>
      </w:r>
      <w:r w:rsidR="00205FD8" w:rsidRPr="007F6C49">
        <w:t xml:space="preserve">de </w:t>
      </w:r>
      <w:r w:rsidRPr="007F6C49">
        <w:t xml:space="preserve">réseaux à satellite ou </w:t>
      </w:r>
      <w:r w:rsidR="00205FD8" w:rsidRPr="007F6C49">
        <w:t xml:space="preserve">de </w:t>
      </w:r>
      <w:r w:rsidRPr="007F6C49">
        <w:t xml:space="preserve">systèmes à satellites au titre du </w:t>
      </w:r>
      <w:r w:rsidR="00F73777" w:rsidRPr="007F6C49">
        <w:t>numéro </w:t>
      </w:r>
      <w:r w:rsidRPr="007F6C49">
        <w:rPr>
          <w:b/>
          <w:bCs/>
        </w:rPr>
        <w:t>4.4</w:t>
      </w:r>
      <w:r w:rsidRPr="007F6C49">
        <w:t xml:space="preserve"> du RR, </w:t>
      </w:r>
      <w:r w:rsidR="00205FD8" w:rsidRPr="007F6C49">
        <w:t xml:space="preserve">et invite également </w:t>
      </w:r>
      <w:r w:rsidRPr="007F6C49">
        <w:t xml:space="preserve">la Conférence </w:t>
      </w:r>
      <w:r w:rsidR="00205FD8" w:rsidRPr="007F6C49">
        <w:t>à l</w:t>
      </w:r>
      <w:r w:rsidR="005A1906" w:rsidRPr="007F6C49">
        <w:t>'</w:t>
      </w:r>
      <w:r w:rsidR="00205FD8" w:rsidRPr="007F6C49">
        <w:t xml:space="preserve">examiner et à prendre éventuellement une décision </w:t>
      </w:r>
      <w:r w:rsidRPr="007F6C49">
        <w:t>au titre du point 9.3 de l'ordre du jour de la CMR-23.</w:t>
      </w:r>
    </w:p>
    <w:p w14:paraId="5495A0D5" w14:textId="77777777" w:rsidR="005A1906" w:rsidRPr="007F6C49" w:rsidRDefault="007B09AF" w:rsidP="00B712AC">
      <w:r w:rsidRPr="007F6C49">
        <w:t xml:space="preserve">Comme l'a exprimé le Comité, la Règle de procédure relative au numéro </w:t>
      </w:r>
      <w:r w:rsidRPr="007F6C49">
        <w:rPr>
          <w:b/>
          <w:bCs/>
        </w:rPr>
        <w:t>4.4</w:t>
      </w:r>
      <w:r w:rsidRPr="007F6C49">
        <w:t xml:space="preserve"> du RR dispose que la portée du numéro </w:t>
      </w:r>
      <w:r w:rsidRPr="007F6C49">
        <w:rPr>
          <w:b/>
          <w:bCs/>
        </w:rPr>
        <w:t>4.4</w:t>
      </w:r>
      <w:r w:rsidRPr="007F6C49">
        <w:t xml:space="preserve"> du RR est limitée aux dérogations au Tableau d'attribution des bandes de fréquences et aux dispositions énumérées dans les Règles de procédures relatives au numéro </w:t>
      </w:r>
      <w:r w:rsidRPr="007F6C49">
        <w:rPr>
          <w:b/>
          <w:bCs/>
        </w:rPr>
        <w:t>11.31</w:t>
      </w:r>
      <w:r w:rsidRPr="007F6C49">
        <w:t xml:space="preserve"> du RR s'agissant des «autres dispositions». </w:t>
      </w:r>
      <w:r w:rsidR="00EB6AB6" w:rsidRPr="007F6C49">
        <w:t xml:space="preserve">En particulier, les administrations qui se proposent d'autoriser l'utilisation de bandes de fréquences conformément au numéro </w:t>
      </w:r>
      <w:r w:rsidR="00EB6AB6" w:rsidRPr="007F6C49">
        <w:rPr>
          <w:b/>
          <w:bCs/>
        </w:rPr>
        <w:t>4.4</w:t>
      </w:r>
      <w:r w:rsidR="00EB6AB6" w:rsidRPr="007F6C49">
        <w:t xml:space="preserve"> </w:t>
      </w:r>
      <w:r w:rsidRPr="007F6C49">
        <w:t xml:space="preserve">du RR </w:t>
      </w:r>
      <w:r w:rsidR="00EB6AB6" w:rsidRPr="007F6C49">
        <w:t xml:space="preserve">demeurent </w:t>
      </w:r>
      <w:r w:rsidR="005A1906" w:rsidRPr="007F6C49">
        <w:br w:type="page"/>
      </w:r>
    </w:p>
    <w:p w14:paraId="662F1F75" w14:textId="141A6B5E" w:rsidR="00EB6AB6" w:rsidRPr="007F6C49" w:rsidRDefault="00EB6AB6" w:rsidP="00B712AC">
      <w:r w:rsidRPr="007F6C49">
        <w:lastRenderedPageBreak/>
        <w:t xml:space="preserve">dans l'obligation, en vertu des Sections I et II de l'Article </w:t>
      </w:r>
      <w:r w:rsidRPr="007F6C49">
        <w:rPr>
          <w:b/>
          <w:bCs/>
        </w:rPr>
        <w:t>9</w:t>
      </w:r>
      <w:r w:rsidRPr="007F6C49">
        <w:t xml:space="preserve"> </w:t>
      </w:r>
      <w:r w:rsidR="007B09AF" w:rsidRPr="007F6C49">
        <w:t xml:space="preserve">du RR </w:t>
      </w:r>
      <w:r w:rsidRPr="007F6C49">
        <w:t xml:space="preserve">et des numéros </w:t>
      </w:r>
      <w:r w:rsidRPr="007F6C49">
        <w:rPr>
          <w:b/>
          <w:bCs/>
        </w:rPr>
        <w:t>11.2</w:t>
      </w:r>
      <w:r w:rsidRPr="007F6C49">
        <w:t xml:space="preserve"> et </w:t>
      </w:r>
      <w:r w:rsidRPr="007F6C49">
        <w:rPr>
          <w:b/>
          <w:bCs/>
        </w:rPr>
        <w:t>11.3</w:t>
      </w:r>
      <w:r w:rsidR="007B09AF" w:rsidRPr="007F6C49">
        <w:t xml:space="preserve"> du</w:t>
      </w:r>
      <w:r w:rsidR="00440034" w:rsidRPr="007F6C49">
        <w:t> </w:t>
      </w:r>
      <w:r w:rsidR="007B09AF" w:rsidRPr="007F6C49">
        <w:t>RR</w:t>
      </w:r>
      <w:r w:rsidRPr="007F6C49">
        <w:t xml:space="preserve">, de notifier au Bureau </w:t>
      </w:r>
      <w:r w:rsidR="00C24DBC" w:rsidRPr="007F6C49">
        <w:t>«</w:t>
      </w:r>
      <w:r w:rsidRPr="007F6C49">
        <w:t>toute assignation de fréquence si l'utilisation de l'assignation en question est susceptible de causer des brouillages préjudiciables à un service quelconque d'une autre administration</w:t>
      </w:r>
      <w:r w:rsidR="00D83D5A" w:rsidRPr="007F6C49">
        <w:t>»</w:t>
      </w:r>
      <w:r w:rsidRPr="007F6C49">
        <w:t>.</w:t>
      </w:r>
    </w:p>
    <w:p w14:paraId="1FB6F9F1" w14:textId="6B22EC71" w:rsidR="00EB6AB6" w:rsidRPr="007F6C49" w:rsidRDefault="007B09AF" w:rsidP="00EB6AB6">
      <w:r w:rsidRPr="007F6C49">
        <w:t xml:space="preserve">Au mois de juin 2023, dans la dernière version définitive du </w:t>
      </w:r>
      <w:r w:rsidR="00F73777" w:rsidRPr="007F6C49">
        <w:t>r</w:t>
      </w:r>
      <w:r w:rsidRPr="007F6C49">
        <w:t>apport du RRB à la CMR-23, les renseignements transmis par le Bureau des radiocommunications indiquaient qu'il existait plus de 1 600 groupes d'</w:t>
      </w:r>
      <w:r w:rsidR="007F6C49" w:rsidRPr="007F6C49">
        <w:t>assignations de fréquence</w:t>
      </w:r>
      <w:r w:rsidRPr="007F6C49">
        <w:t xml:space="preserve"> associés à 488 réseaux à satellite et systèmes à satellites inscrits dans le Fichier de référence international des fréquences dans le cadre du numéro </w:t>
      </w:r>
      <w:r w:rsidRPr="007F6C49">
        <w:rPr>
          <w:b/>
          <w:bCs/>
        </w:rPr>
        <w:t>4.4</w:t>
      </w:r>
      <w:r w:rsidRPr="007F6C49">
        <w:t xml:space="preserve"> du</w:t>
      </w:r>
      <w:r w:rsidR="00ED4856" w:rsidRPr="007F6C49">
        <w:t> </w:t>
      </w:r>
      <w:r w:rsidRPr="007F6C49">
        <w:t>RR.</w:t>
      </w:r>
    </w:p>
    <w:p w14:paraId="55C768D0" w14:textId="1767CF6B" w:rsidR="007B09AF" w:rsidRPr="007F6C49" w:rsidRDefault="007B09AF" w:rsidP="00EB6AB6">
      <w:r w:rsidRPr="007F6C49">
        <w:t xml:space="preserve">Les points de vue suivants ont été exprimés par le RRB dans son </w:t>
      </w:r>
      <w:r w:rsidR="00F73777" w:rsidRPr="007F6C49">
        <w:t>r</w:t>
      </w:r>
      <w:r w:rsidRPr="007F6C49">
        <w:t>apport à la CMR-23:</w:t>
      </w:r>
    </w:p>
    <w:p w14:paraId="7CECEA5B" w14:textId="75EA4DDE" w:rsidR="00EB6AB6" w:rsidRPr="007F6C49" w:rsidRDefault="00EB6AB6" w:rsidP="00B712AC">
      <w:pPr>
        <w:pStyle w:val="enumlev1"/>
      </w:pPr>
      <w:r w:rsidRPr="007F6C49">
        <w:t>–</w:t>
      </w:r>
      <w:r w:rsidRPr="007F6C49">
        <w:tab/>
      </w:r>
      <w:r w:rsidRPr="007F6C49">
        <w:rPr>
          <w:szCs w:val="24"/>
        </w:rPr>
        <w:t xml:space="preserve">La CMR-23 est invitée à confirmer que les </w:t>
      </w:r>
      <w:r w:rsidR="007F6C49" w:rsidRPr="007F6C49">
        <w:rPr>
          <w:szCs w:val="24"/>
        </w:rPr>
        <w:t>assignations de fréquence</w:t>
      </w:r>
      <w:r w:rsidRPr="007F6C49">
        <w:rPr>
          <w:szCs w:val="24"/>
        </w:rPr>
        <w:t xml:space="preserve"> inscrites au titre du numéro </w:t>
      </w:r>
      <w:r w:rsidRPr="007F6C49">
        <w:rPr>
          <w:b/>
          <w:bCs/>
          <w:szCs w:val="24"/>
        </w:rPr>
        <w:t>4.4</w:t>
      </w:r>
      <w:r w:rsidRPr="007F6C49">
        <w:rPr>
          <w:szCs w:val="24"/>
        </w:rPr>
        <w:t xml:space="preserve"> </w:t>
      </w:r>
      <w:r w:rsidR="007B09AF" w:rsidRPr="007F6C49">
        <w:rPr>
          <w:szCs w:val="24"/>
        </w:rPr>
        <w:t xml:space="preserve">du RR </w:t>
      </w:r>
      <w:r w:rsidRPr="007F6C49">
        <w:rPr>
          <w:szCs w:val="24"/>
        </w:rPr>
        <w:t xml:space="preserve">n'ont pas </w:t>
      </w:r>
      <w:r w:rsidRPr="007F6C49">
        <w:t xml:space="preserve">droit à une protection contre les brouillages préjudiciables causés par d'autres </w:t>
      </w:r>
      <w:r w:rsidR="007F6C49" w:rsidRPr="007F6C49">
        <w:t>assignations de fréquence</w:t>
      </w:r>
      <w:r w:rsidRPr="007F6C49">
        <w:t xml:space="preserve"> inscrites au titre du numéro</w:t>
      </w:r>
      <w:r w:rsidR="00ED4856" w:rsidRPr="007F6C49">
        <w:t> </w:t>
      </w:r>
      <w:r w:rsidRPr="007F6C49">
        <w:rPr>
          <w:b/>
          <w:bCs/>
        </w:rPr>
        <w:t>4.4</w:t>
      </w:r>
      <w:r w:rsidR="007B09AF" w:rsidRPr="007F6C49">
        <w:t xml:space="preserve"> du RR</w:t>
      </w:r>
      <w:r w:rsidRPr="007F6C49">
        <w:t>.</w:t>
      </w:r>
    </w:p>
    <w:p w14:paraId="34801500" w14:textId="72D178DB" w:rsidR="00EB6AB6" w:rsidRPr="007F6C49" w:rsidRDefault="00EB6AB6" w:rsidP="00B712AC">
      <w:pPr>
        <w:pStyle w:val="enumlev1"/>
      </w:pPr>
      <w:r w:rsidRPr="007F6C49">
        <w:t>–</w:t>
      </w:r>
      <w:r w:rsidRPr="007F6C49">
        <w:tab/>
        <w:t xml:space="preserve">La CMR-23 est invitée à examiner des mesures réglementaires plus strictes visant à faire en sorte que le numéro </w:t>
      </w:r>
      <w:r w:rsidRPr="007F6C49">
        <w:rPr>
          <w:b/>
          <w:bCs/>
        </w:rPr>
        <w:t>4.4</w:t>
      </w:r>
      <w:r w:rsidRPr="007F6C49">
        <w:t xml:space="preserve"> </w:t>
      </w:r>
      <w:r w:rsidR="007B09AF" w:rsidRPr="007F6C49">
        <w:t xml:space="preserve">du RR </w:t>
      </w:r>
      <w:r w:rsidRPr="007F6C49">
        <w:t>puisse être appliqué à condition qu'aucun brouillage préjudiciable ne soit causé aux assignations de fréquence exploitées conformément aux dispositions du Règlement des radiocommunications et qu'aucune protection ne soit demandée vis-à-vis de ces assignations de fréquence.</w:t>
      </w:r>
    </w:p>
    <w:p w14:paraId="130CE94D" w14:textId="606D4DB9" w:rsidR="00EB6AB6" w:rsidRPr="007F6C49" w:rsidRDefault="00EB6AB6" w:rsidP="00B712AC">
      <w:pPr>
        <w:pStyle w:val="enumlev1"/>
        <w:rPr>
          <w:szCs w:val="24"/>
        </w:rPr>
      </w:pPr>
      <w:r w:rsidRPr="007F6C49">
        <w:t>–</w:t>
      </w:r>
      <w:r w:rsidRPr="007F6C49">
        <w:tab/>
      </w:r>
      <w:r w:rsidRPr="007F6C49">
        <w:rPr>
          <w:szCs w:val="24"/>
        </w:rPr>
        <w:t xml:space="preserve">La CMR-23 est invitée à encourager les administrations à s'abstenir de recourir au </w:t>
      </w:r>
      <w:r w:rsidRPr="007F6C49">
        <w:t>numéro </w:t>
      </w:r>
      <w:r w:rsidRPr="007F6C49">
        <w:rPr>
          <w:b/>
          <w:bCs/>
        </w:rPr>
        <w:t>4</w:t>
      </w:r>
      <w:r w:rsidRPr="007F6C49">
        <w:rPr>
          <w:b/>
          <w:bCs/>
          <w:szCs w:val="24"/>
        </w:rPr>
        <w:t>.4</w:t>
      </w:r>
      <w:r w:rsidR="009A7786" w:rsidRPr="007F6C49">
        <w:rPr>
          <w:szCs w:val="24"/>
        </w:rPr>
        <w:t xml:space="preserve"> du RR</w:t>
      </w:r>
      <w:r w:rsidRPr="007F6C49">
        <w:rPr>
          <w:szCs w:val="24"/>
        </w:rPr>
        <w:t xml:space="preserve"> pour des applications commerciales qui fourniraient des services à long terme si aucune nouvelle attribution spatiale qui accorderait une reconnaissance internationale aux assignations de fréquence n'est à l'étude au sein de l'UIT-R ou si l'examen d'une telle attribution n'est pas prévu à la prochaine CMR.</w:t>
      </w:r>
    </w:p>
    <w:p w14:paraId="07B0753F" w14:textId="4AE0AA2D" w:rsidR="00EB6AB6" w:rsidRPr="007F6C49" w:rsidRDefault="009A7786" w:rsidP="007D5068">
      <w:r w:rsidRPr="007F6C49">
        <w:t>La CITEL souhaite faire connaître ses vue</w:t>
      </w:r>
      <w:r w:rsidR="00F73777" w:rsidRPr="007F6C49">
        <w:t>s, accompagnée</w:t>
      </w:r>
      <w:r w:rsidRPr="007F6C49">
        <w:t xml:space="preserve">s </w:t>
      </w:r>
      <w:r w:rsidR="00F73777" w:rsidRPr="007F6C49">
        <w:t xml:space="preserve">de </w:t>
      </w:r>
      <w:r w:rsidRPr="007F6C49">
        <w:t>propositions visant à traiter cette question au titre du point 9.3 de l'ordre du jour de la CMR-23.</w:t>
      </w:r>
    </w:p>
    <w:p w14:paraId="49BB2F41" w14:textId="2D10AC7A" w:rsidR="00EB6AB6" w:rsidRPr="007F6C49" w:rsidRDefault="00EB6AB6" w:rsidP="00EB6AB6">
      <w:pPr>
        <w:pStyle w:val="Headingb"/>
      </w:pPr>
      <w:r w:rsidRPr="007F6C49">
        <w:t>Propositions</w:t>
      </w:r>
    </w:p>
    <w:p w14:paraId="71AFF6BF" w14:textId="77777777" w:rsidR="0015203F" w:rsidRPr="007F6C49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F6C49">
        <w:br w:type="page"/>
      </w:r>
    </w:p>
    <w:p w14:paraId="7DD4ABB8" w14:textId="17291697" w:rsidR="00EB6AB6" w:rsidRPr="007F6C49" w:rsidRDefault="009A7786" w:rsidP="00EB6AB6">
      <w:pPr>
        <w:pStyle w:val="Volumetitle"/>
        <w:rPr>
          <w:lang w:val="fr-FR"/>
        </w:rPr>
      </w:pPr>
      <w:r w:rsidRPr="007F6C49">
        <w:rPr>
          <w:lang w:val="fr-FR"/>
        </w:rPr>
        <w:lastRenderedPageBreak/>
        <w:t>Proposition concernant les vues du RRB</w:t>
      </w:r>
    </w:p>
    <w:p w14:paraId="0699FDF8" w14:textId="6074D9CE" w:rsidR="00714D68" w:rsidRPr="007F6C49" w:rsidRDefault="00350BC3">
      <w:pPr>
        <w:pStyle w:val="Proposal"/>
      </w:pPr>
      <w:r w:rsidRPr="007F6C49">
        <w:tab/>
        <w:t>IAP/44A26A2/1</w:t>
      </w:r>
    </w:p>
    <w:p w14:paraId="2B8C50AB" w14:textId="3622FD23" w:rsidR="00EB6AB6" w:rsidRPr="007F6C49" w:rsidRDefault="009A7786" w:rsidP="00B712AC">
      <w:r w:rsidRPr="007F6C49">
        <w:rPr>
          <w:b/>
          <w:bCs/>
        </w:rPr>
        <w:t>Vue numéro 1</w:t>
      </w:r>
      <w:r w:rsidR="00F73777" w:rsidRPr="007F6C49">
        <w:rPr>
          <w:b/>
          <w:bCs/>
        </w:rPr>
        <w:t xml:space="preserve"> du RRB</w:t>
      </w:r>
      <w:r w:rsidRPr="007F6C49">
        <w:rPr>
          <w:b/>
          <w:bCs/>
        </w:rPr>
        <w:t>:</w:t>
      </w:r>
      <w:r w:rsidRPr="007F6C49">
        <w:t xml:space="preserve"> </w:t>
      </w:r>
      <w:r w:rsidR="00C24DBC" w:rsidRPr="007F6C49">
        <w:t>«</w:t>
      </w:r>
      <w:r w:rsidR="007D5068" w:rsidRPr="007F6C49">
        <w:t xml:space="preserve">La CMR-23 est invitée à confirmer que les </w:t>
      </w:r>
      <w:r w:rsidR="007F6C49" w:rsidRPr="007F6C49">
        <w:t>assignations de fréquence</w:t>
      </w:r>
      <w:r w:rsidR="007D5068" w:rsidRPr="007F6C49">
        <w:t xml:space="preserve"> inscrites au titre du numéro </w:t>
      </w:r>
      <w:r w:rsidR="007D5068" w:rsidRPr="007F6C49">
        <w:rPr>
          <w:b/>
          <w:bCs/>
        </w:rPr>
        <w:t>4.4</w:t>
      </w:r>
      <w:r w:rsidR="007D5068" w:rsidRPr="007F6C49">
        <w:t xml:space="preserve"> </w:t>
      </w:r>
      <w:r w:rsidRPr="007F6C49">
        <w:t xml:space="preserve">du RR </w:t>
      </w:r>
      <w:r w:rsidR="007D5068" w:rsidRPr="007F6C49">
        <w:t xml:space="preserve">n'ont pas droit à une protection contre les brouillages préjudiciables causés par d'autres </w:t>
      </w:r>
      <w:r w:rsidR="007F6C49" w:rsidRPr="007F6C49">
        <w:t>assignations de fréquence</w:t>
      </w:r>
      <w:r w:rsidR="007D5068" w:rsidRPr="007F6C49">
        <w:t xml:space="preserve"> inscrites au titre du numéro </w:t>
      </w:r>
      <w:r w:rsidR="007D5068" w:rsidRPr="007F6C49">
        <w:rPr>
          <w:b/>
          <w:bCs/>
        </w:rPr>
        <w:t>4.4</w:t>
      </w:r>
      <w:r w:rsidRPr="007F6C49">
        <w:t xml:space="preserve"> du</w:t>
      </w:r>
      <w:r w:rsidR="00ED4856" w:rsidRPr="007F6C49">
        <w:t> </w:t>
      </w:r>
      <w:r w:rsidRPr="007F6C49">
        <w:t>RR</w:t>
      </w:r>
      <w:r w:rsidR="00D83D5A" w:rsidRPr="007F6C49">
        <w:t>»</w:t>
      </w:r>
      <w:r w:rsidR="007F6C49" w:rsidRPr="007F6C49">
        <w:t>.</w:t>
      </w:r>
    </w:p>
    <w:p w14:paraId="464DEAD7" w14:textId="6B626471" w:rsidR="007D5068" w:rsidRPr="007F6C49" w:rsidRDefault="007D5068" w:rsidP="00B712AC">
      <w:r w:rsidRPr="007F6C49">
        <w:t xml:space="preserve">La </w:t>
      </w:r>
      <w:r w:rsidR="009A7786" w:rsidRPr="007F6C49">
        <w:t xml:space="preserve">CITEL </w:t>
      </w:r>
      <w:r w:rsidR="00F73777" w:rsidRPr="007F6C49">
        <w:t>propose que</w:t>
      </w:r>
      <w:r w:rsidR="009A7786" w:rsidRPr="007F6C49">
        <w:t xml:space="preserve"> la </w:t>
      </w:r>
      <w:r w:rsidRPr="007F6C49">
        <w:t xml:space="preserve">CMR-23 confirme que les </w:t>
      </w:r>
      <w:r w:rsidR="007F6C49" w:rsidRPr="007F6C49">
        <w:t>assignations de fréquence</w:t>
      </w:r>
      <w:r w:rsidRPr="007F6C49">
        <w:t xml:space="preserve"> inscrites au titre du numéro </w:t>
      </w:r>
      <w:r w:rsidRPr="007F6C49">
        <w:rPr>
          <w:b/>
          <w:bCs/>
        </w:rPr>
        <w:t>4.4</w:t>
      </w:r>
      <w:r w:rsidRPr="007F6C49">
        <w:t xml:space="preserve"> </w:t>
      </w:r>
      <w:r w:rsidR="009A7786" w:rsidRPr="007F6C49">
        <w:t xml:space="preserve">du RR </w:t>
      </w:r>
      <w:r w:rsidRPr="007F6C49">
        <w:t xml:space="preserve">n'ont pas droit à une protection contre les brouillages préjudiciables causés par d'autres </w:t>
      </w:r>
      <w:r w:rsidR="007F6C49" w:rsidRPr="007F6C49">
        <w:t>assignations de fréquence</w:t>
      </w:r>
      <w:r w:rsidRPr="007F6C49">
        <w:t xml:space="preserve"> inscrites au titre du numéro </w:t>
      </w:r>
      <w:r w:rsidRPr="007F6C49">
        <w:rPr>
          <w:b/>
          <w:bCs/>
        </w:rPr>
        <w:t>4.4</w:t>
      </w:r>
      <w:r w:rsidR="009A7786" w:rsidRPr="007F6C49">
        <w:t xml:space="preserve"> du RR</w:t>
      </w:r>
      <w:r w:rsidRPr="007F6C49">
        <w:t>.</w:t>
      </w:r>
    </w:p>
    <w:p w14:paraId="5A060978" w14:textId="77777777" w:rsidR="00693B00" w:rsidRPr="007F6C49" w:rsidRDefault="00693B00" w:rsidP="00693B00">
      <w:pPr>
        <w:pStyle w:val="Reasons"/>
      </w:pPr>
    </w:p>
    <w:p w14:paraId="6D3FB890" w14:textId="77777777" w:rsidR="00714D68" w:rsidRPr="007F6C49" w:rsidRDefault="00350BC3">
      <w:pPr>
        <w:pStyle w:val="Proposal"/>
      </w:pPr>
      <w:r w:rsidRPr="007F6C49">
        <w:tab/>
        <w:t>IAP/44A26A2/2</w:t>
      </w:r>
    </w:p>
    <w:p w14:paraId="2DC80369" w14:textId="01207BCA" w:rsidR="00714D68" w:rsidRPr="007F6C49" w:rsidRDefault="009A7786" w:rsidP="00B712AC">
      <w:r w:rsidRPr="007F6C49">
        <w:rPr>
          <w:b/>
          <w:bCs/>
        </w:rPr>
        <w:t>Vue numéro 2</w:t>
      </w:r>
      <w:r w:rsidR="00F73777" w:rsidRPr="007F6C49">
        <w:rPr>
          <w:b/>
          <w:bCs/>
        </w:rPr>
        <w:t xml:space="preserve"> du RRB</w:t>
      </w:r>
      <w:r w:rsidRPr="007F6C49">
        <w:rPr>
          <w:b/>
          <w:bCs/>
        </w:rPr>
        <w:t>:</w:t>
      </w:r>
      <w:r w:rsidRPr="007F6C49">
        <w:t xml:space="preserve"> </w:t>
      </w:r>
      <w:r w:rsidR="00F026C2" w:rsidRPr="007F6C49">
        <w:t>«</w:t>
      </w:r>
      <w:r w:rsidR="007D5068" w:rsidRPr="007F6C49">
        <w:t xml:space="preserve">La CMR-23 est invitée à examiner des mesures réglementaires plus strictes visant à faire en sorte que le numéro </w:t>
      </w:r>
      <w:r w:rsidR="007D5068" w:rsidRPr="007F6C49">
        <w:rPr>
          <w:b/>
          <w:bCs/>
        </w:rPr>
        <w:t>4.4</w:t>
      </w:r>
      <w:r w:rsidR="007D5068" w:rsidRPr="007F6C49">
        <w:t xml:space="preserve"> </w:t>
      </w:r>
      <w:r w:rsidRPr="007F6C49">
        <w:t xml:space="preserve">du RR </w:t>
      </w:r>
      <w:r w:rsidR="007D5068" w:rsidRPr="007F6C49">
        <w:t>puisse être appliqué à condition qu'aucun brouillage préjudiciable ne soit causé aux assignations de fréquence exploitées conformément aux dispositions du Règlement des radiocommunications et qu'aucune protection ne soit demandée vis</w:t>
      </w:r>
      <w:r w:rsidR="00F026C2" w:rsidRPr="007F6C49">
        <w:noBreakHyphen/>
      </w:r>
      <w:r w:rsidR="007D5068" w:rsidRPr="007F6C49">
        <w:t>à-vis de ces assignations de fréquence</w:t>
      </w:r>
      <w:r w:rsidR="00D83D5A" w:rsidRPr="007F6C49">
        <w:t>»</w:t>
      </w:r>
      <w:r w:rsidR="007D5068" w:rsidRPr="007F6C49">
        <w:t>.</w:t>
      </w:r>
    </w:p>
    <w:p w14:paraId="2E67EF80" w14:textId="352FAA16" w:rsidR="007D5068" w:rsidRPr="007F6C49" w:rsidRDefault="009A7786" w:rsidP="007D5068">
      <w:r w:rsidRPr="007F6C49">
        <w:t xml:space="preserve">La CITEL propose que la CMR-23 charge le BR d'améliorer la </w:t>
      </w:r>
      <w:r w:rsidR="00205FD8" w:rsidRPr="007F6C49">
        <w:t xml:space="preserve">communication de </w:t>
      </w:r>
      <w:r w:rsidRPr="007F6C49">
        <w:t xml:space="preserve">renseignements relatifs aux réseaux à satellite et aux systèmes à satellites </w:t>
      </w:r>
      <w:r w:rsidR="00205FD8" w:rsidRPr="007F6C49">
        <w:t xml:space="preserve">au titre du </w:t>
      </w:r>
      <w:r w:rsidRPr="007F6C49">
        <w:t xml:space="preserve">numéro </w:t>
      </w:r>
      <w:r w:rsidRPr="007F6C49">
        <w:rPr>
          <w:b/>
          <w:bCs/>
        </w:rPr>
        <w:t>4.4</w:t>
      </w:r>
      <w:r w:rsidRPr="007F6C49">
        <w:t xml:space="preserve"> du RR </w:t>
      </w:r>
      <w:r w:rsidR="00205FD8" w:rsidRPr="007F6C49">
        <w:t xml:space="preserve">afin de permettre </w:t>
      </w:r>
      <w:r w:rsidRPr="007F6C49">
        <w:t xml:space="preserve">que d'autres renseignements soient fournis aux membres </w:t>
      </w:r>
      <w:r w:rsidR="00D4597A" w:rsidRPr="007F6C49">
        <w:t xml:space="preserve">sur </w:t>
      </w:r>
      <w:r w:rsidRPr="007F6C49">
        <w:t xml:space="preserve">l'application du numéro </w:t>
      </w:r>
      <w:r w:rsidRPr="007F6C49">
        <w:rPr>
          <w:b/>
          <w:bCs/>
        </w:rPr>
        <w:t>4.4</w:t>
      </w:r>
      <w:r w:rsidRPr="007F6C49">
        <w:t xml:space="preserve"> du RR</w:t>
      </w:r>
      <w:r w:rsidR="00D4597A" w:rsidRPr="007F6C49">
        <w:t xml:space="preserve"> en ce qui concerne le fonctionnement sous réserve</w:t>
      </w:r>
      <w:r w:rsidRPr="007F6C49">
        <w:t xml:space="preserve"> de ne pas causer de brouillages. </w:t>
      </w:r>
      <w:r w:rsidR="00D4597A" w:rsidRPr="007F6C49">
        <w:t xml:space="preserve">Pour </w:t>
      </w:r>
      <w:r w:rsidRPr="007F6C49">
        <w:t xml:space="preserve">faciliter </w:t>
      </w:r>
      <w:r w:rsidR="00D4597A" w:rsidRPr="007F6C49">
        <w:t xml:space="preserve">le suivi de cette question </w:t>
      </w:r>
      <w:r w:rsidRPr="007F6C49">
        <w:t>par les administrations</w:t>
      </w:r>
      <w:r w:rsidR="00B01AEC" w:rsidRPr="007F6C49">
        <w:t xml:space="preserve">, le Bureau des radiocommunications devrait </w:t>
      </w:r>
      <w:r w:rsidR="00D4597A" w:rsidRPr="007F6C49">
        <w:t xml:space="preserve">permettre un accès aisé </w:t>
      </w:r>
      <w:r w:rsidR="00B01AEC" w:rsidRPr="007F6C49">
        <w:t xml:space="preserve">aux renseignements actualisés concernant la notification et la mise en service des fiches de notification au titre du numéro </w:t>
      </w:r>
      <w:r w:rsidR="00B01AEC" w:rsidRPr="007F6C49">
        <w:rPr>
          <w:b/>
          <w:bCs/>
        </w:rPr>
        <w:t>4.4</w:t>
      </w:r>
      <w:r w:rsidR="00B01AEC" w:rsidRPr="007F6C49">
        <w:t xml:space="preserve"> du RR. Ces renseignements pourraient inclure la liste des fiches de notification assujettie</w:t>
      </w:r>
      <w:r w:rsidR="00F73777" w:rsidRPr="007F6C49">
        <w:t>s</w:t>
      </w:r>
      <w:r w:rsidR="00B01AEC" w:rsidRPr="007F6C49">
        <w:t xml:space="preserve"> au numéro </w:t>
      </w:r>
      <w:r w:rsidR="00B01AEC" w:rsidRPr="007F6C49">
        <w:rPr>
          <w:b/>
          <w:bCs/>
        </w:rPr>
        <w:t>4.4</w:t>
      </w:r>
      <w:r w:rsidR="00B01AEC" w:rsidRPr="007F6C49">
        <w:t xml:space="preserve"> du RR et des données historiques concernant les fiches de notification assujetties à cette disposition, </w:t>
      </w:r>
      <w:r w:rsidR="00D4597A" w:rsidRPr="007F6C49">
        <w:t xml:space="preserve">qui seraient </w:t>
      </w:r>
      <w:r w:rsidR="00B01AEC" w:rsidRPr="007F6C49">
        <w:t>disponible</w:t>
      </w:r>
      <w:r w:rsidR="00F73777" w:rsidRPr="007F6C49">
        <w:t>s</w:t>
      </w:r>
      <w:r w:rsidR="00B01AEC" w:rsidRPr="007F6C49">
        <w:t xml:space="preserve"> sur son site web. Il</w:t>
      </w:r>
      <w:r w:rsidR="00F73777" w:rsidRPr="007F6C49">
        <w:t>s</w:t>
      </w:r>
      <w:r w:rsidR="00B01AEC" w:rsidRPr="007F6C49">
        <w:t xml:space="preserve"> pourrai</w:t>
      </w:r>
      <w:r w:rsidR="00F73777" w:rsidRPr="007F6C49">
        <w:t>en</w:t>
      </w:r>
      <w:r w:rsidR="00B01AEC" w:rsidRPr="007F6C49">
        <w:t xml:space="preserve">t également être </w:t>
      </w:r>
      <w:r w:rsidR="00D4597A" w:rsidRPr="007F6C49">
        <w:t xml:space="preserve">accessibles grâce à une </w:t>
      </w:r>
      <w:r w:rsidR="00B01AEC" w:rsidRPr="007F6C49">
        <w:t>nouvelle option de filtre dans l</w:t>
      </w:r>
      <w:r w:rsidR="00E35BCF" w:rsidRPr="007F6C49">
        <w:t>'</w:t>
      </w:r>
      <w:r w:rsidR="00B01AEC" w:rsidRPr="007F6C49">
        <w:t>outil d</w:t>
      </w:r>
      <w:r w:rsidR="00E35BCF" w:rsidRPr="007F6C49">
        <w:t>'</w:t>
      </w:r>
      <w:r w:rsidR="00B01AEC" w:rsidRPr="007F6C49">
        <w:t xml:space="preserve">analyse de données </w:t>
      </w:r>
      <w:r w:rsidR="00E35BCF" w:rsidRPr="007F6C49">
        <w:t xml:space="preserve">ITU </w:t>
      </w:r>
      <w:r w:rsidR="00B01AEC" w:rsidRPr="007F6C49">
        <w:t xml:space="preserve">Space Explorer, parallèlement à de nouveaux graphiques de données </w:t>
      </w:r>
      <w:r w:rsidR="00E35BCF" w:rsidRPr="007F6C49">
        <w:t>historiques, par exemple</w:t>
      </w:r>
      <w:r w:rsidR="00B01AEC" w:rsidRPr="007F6C49">
        <w:t>.</w:t>
      </w:r>
    </w:p>
    <w:p w14:paraId="41CC9108" w14:textId="77777777" w:rsidR="00210C49" w:rsidRPr="007F6C49" w:rsidRDefault="00210C49" w:rsidP="007F6C49">
      <w:pPr>
        <w:pStyle w:val="Reasons"/>
      </w:pPr>
    </w:p>
    <w:p w14:paraId="645BD618" w14:textId="77777777" w:rsidR="007D5068" w:rsidRPr="007F6C49" w:rsidRDefault="007D5068">
      <w:pPr>
        <w:jc w:val="center"/>
      </w:pPr>
      <w:r w:rsidRPr="007F6C49">
        <w:t>______________</w:t>
      </w:r>
    </w:p>
    <w:sectPr w:rsidR="007D5068" w:rsidRPr="007F6C49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0FC6" w14:textId="77777777" w:rsidR="00C548EA" w:rsidRDefault="00C548EA">
      <w:r>
        <w:separator/>
      </w:r>
    </w:p>
    <w:p w14:paraId="68C762C0" w14:textId="77777777" w:rsidR="00F026C2" w:rsidRDefault="00F026C2"/>
  </w:endnote>
  <w:endnote w:type="continuationSeparator" w:id="0">
    <w:p w14:paraId="64523F7A" w14:textId="77777777" w:rsidR="00C548EA" w:rsidRDefault="00C548EA">
      <w:r>
        <w:continuationSeparator/>
      </w:r>
    </w:p>
    <w:p w14:paraId="1AEE6CC7" w14:textId="77777777" w:rsidR="00F026C2" w:rsidRDefault="00F02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2429" w14:textId="252D371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F6C49">
      <w:rPr>
        <w:noProof/>
        <w:lang w:val="en-US"/>
      </w:rPr>
      <w:t>P:\FRA\ITU-R\CONF-R\CMR23\000\044ADD26ADD02F.docx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6C49">
      <w:rPr>
        <w:noProof/>
      </w:rPr>
      <w:t>31.10.23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6C49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0C9F" w14:textId="5149C621" w:rsidR="00936D25" w:rsidRDefault="00537B6B" w:rsidP="00537B6B">
    <w:pPr>
      <w:pStyle w:val="Footer"/>
      <w:rPr>
        <w:lang w:val="en-US"/>
      </w:rPr>
    </w:pPr>
    <w:r w:rsidRPr="00537B6B">
      <w:rPr>
        <w:lang w:val="en-US"/>
      </w:rPr>
      <w:fldChar w:fldCharType="begin"/>
    </w:r>
    <w:r w:rsidRPr="00537B6B">
      <w:rPr>
        <w:lang w:val="en-US"/>
      </w:rPr>
      <w:instrText xml:space="preserve"> FILENAME \p  \* MERGEFORMAT </w:instrText>
    </w:r>
    <w:r w:rsidRPr="00537B6B">
      <w:rPr>
        <w:lang w:val="en-US"/>
      </w:rPr>
      <w:fldChar w:fldCharType="separate"/>
    </w:r>
    <w:r w:rsidR="007F6C49">
      <w:rPr>
        <w:lang w:val="en-US"/>
      </w:rPr>
      <w:t>P:\FRA\ITU-R\CONF-R\CMR23\000\044ADD26ADD02F.docx</w:t>
    </w:r>
    <w:r w:rsidRPr="00537B6B">
      <w:rPr>
        <w:lang w:val="en-US"/>
      </w:rPr>
      <w:fldChar w:fldCharType="end"/>
    </w:r>
    <w:r w:rsidR="007D5068" w:rsidRPr="00B712AC">
      <w:rPr>
        <w:lang w:val="en-US"/>
      </w:rPr>
      <w:t xml:space="preserve"> (529470)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31F9" w14:textId="185B91A4" w:rsidR="00936D25" w:rsidRPr="008827D6" w:rsidRDefault="008827D6" w:rsidP="008827D6">
    <w:pPr>
      <w:pStyle w:val="Footer"/>
      <w:rPr>
        <w:lang w:val="en-GB"/>
      </w:rPr>
    </w:pPr>
    <w:r>
      <w:fldChar w:fldCharType="begin"/>
    </w:r>
    <w:r w:rsidRPr="008827D6">
      <w:rPr>
        <w:lang w:val="en-GB"/>
      </w:rPr>
      <w:instrText xml:space="preserve"> FILENAME \p  \* MERGEFORMAT </w:instrText>
    </w:r>
    <w:r>
      <w:fldChar w:fldCharType="separate"/>
    </w:r>
    <w:r w:rsidR="007F6C49">
      <w:rPr>
        <w:lang w:val="en-GB"/>
      </w:rPr>
      <w:t>P:\FRA\ITU-R\CONF-R\CMR23\000\044ADD26ADD02F.docx</w:t>
    </w:r>
    <w:r>
      <w:fldChar w:fldCharType="end"/>
    </w:r>
    <w:r w:rsidRPr="008827D6">
      <w:rPr>
        <w:lang w:val="en-GB"/>
      </w:rPr>
      <w:t xml:space="preserve"> (</w:t>
    </w:r>
    <w:r>
      <w:rPr>
        <w:lang w:val="en-GB"/>
      </w:rPr>
      <w:t>529470)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CEE3" w14:textId="77777777" w:rsidR="00C548EA" w:rsidRDefault="00C548EA">
      <w:r>
        <w:rPr>
          <w:b/>
        </w:rPr>
        <w:t>_______________</w:t>
      </w:r>
    </w:p>
    <w:p w14:paraId="6FF594B8" w14:textId="77777777" w:rsidR="00F026C2" w:rsidRDefault="00F026C2"/>
  </w:footnote>
  <w:footnote w:type="continuationSeparator" w:id="0">
    <w:p w14:paraId="298B7007" w14:textId="77777777" w:rsidR="00C548EA" w:rsidRDefault="00C548EA">
      <w:r>
        <w:continuationSeparator/>
      </w:r>
    </w:p>
    <w:p w14:paraId="0B032B1C" w14:textId="77777777" w:rsidR="00F026C2" w:rsidRDefault="00F02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3CF0" w14:textId="2732F2D3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4597A">
      <w:rPr>
        <w:noProof/>
      </w:rPr>
      <w:t>2</w:t>
    </w:r>
    <w:r>
      <w:fldChar w:fldCharType="end"/>
    </w:r>
  </w:p>
  <w:p w14:paraId="30522DEB" w14:textId="66AB7EED" w:rsidR="00F026C2" w:rsidRDefault="00225CF2" w:rsidP="005F4D19">
    <w:pPr>
      <w:pStyle w:val="Header"/>
    </w:pPr>
    <w:r>
      <w:t>WRC</w:t>
    </w:r>
    <w:r w:rsidR="00D3426F">
      <w:t>23</w:t>
    </w:r>
    <w:r w:rsidR="004F1F8E">
      <w:t>/</w:t>
    </w:r>
    <w:r w:rsidR="006A4B45">
      <w:t>44(Add.26)(Add.2)-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5943657">
    <w:abstractNumId w:val="0"/>
  </w:num>
  <w:num w:numId="2" w16cid:durableId="4726015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3EF6"/>
    <w:rsid w:val="001960D0"/>
    <w:rsid w:val="001A11F6"/>
    <w:rsid w:val="001F17E8"/>
    <w:rsid w:val="00204306"/>
    <w:rsid w:val="00205FD8"/>
    <w:rsid w:val="00210C49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50BC3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3F54"/>
    <w:rsid w:val="00440034"/>
    <w:rsid w:val="00466211"/>
    <w:rsid w:val="00483196"/>
    <w:rsid w:val="004834A9"/>
    <w:rsid w:val="004D01FC"/>
    <w:rsid w:val="004E28C3"/>
    <w:rsid w:val="004F1F8E"/>
    <w:rsid w:val="00504AD0"/>
    <w:rsid w:val="00512A32"/>
    <w:rsid w:val="00523C26"/>
    <w:rsid w:val="005343DA"/>
    <w:rsid w:val="00537B6B"/>
    <w:rsid w:val="00560874"/>
    <w:rsid w:val="00586CF2"/>
    <w:rsid w:val="005A1906"/>
    <w:rsid w:val="005A7C75"/>
    <w:rsid w:val="005C3768"/>
    <w:rsid w:val="005C6C3F"/>
    <w:rsid w:val="005F4D19"/>
    <w:rsid w:val="00613635"/>
    <w:rsid w:val="0062093D"/>
    <w:rsid w:val="00637ECF"/>
    <w:rsid w:val="00647B59"/>
    <w:rsid w:val="00690C7B"/>
    <w:rsid w:val="00693B00"/>
    <w:rsid w:val="006A4B45"/>
    <w:rsid w:val="006D4724"/>
    <w:rsid w:val="006F5FA2"/>
    <w:rsid w:val="0070076C"/>
    <w:rsid w:val="00701BAE"/>
    <w:rsid w:val="00714D68"/>
    <w:rsid w:val="00721F04"/>
    <w:rsid w:val="00730E95"/>
    <w:rsid w:val="007426B9"/>
    <w:rsid w:val="00764342"/>
    <w:rsid w:val="00774362"/>
    <w:rsid w:val="00775C32"/>
    <w:rsid w:val="00786598"/>
    <w:rsid w:val="00790C74"/>
    <w:rsid w:val="007A04E8"/>
    <w:rsid w:val="007B09AF"/>
    <w:rsid w:val="007B2C34"/>
    <w:rsid w:val="007D5068"/>
    <w:rsid w:val="007F282B"/>
    <w:rsid w:val="007F6C49"/>
    <w:rsid w:val="00830086"/>
    <w:rsid w:val="00851625"/>
    <w:rsid w:val="00863C0A"/>
    <w:rsid w:val="008827D6"/>
    <w:rsid w:val="008A3120"/>
    <w:rsid w:val="008A4B97"/>
    <w:rsid w:val="008C2E29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A7786"/>
    <w:rsid w:val="009C7E7C"/>
    <w:rsid w:val="00A00473"/>
    <w:rsid w:val="00A03C9B"/>
    <w:rsid w:val="00A37105"/>
    <w:rsid w:val="00A425F1"/>
    <w:rsid w:val="00A606C3"/>
    <w:rsid w:val="00A83B09"/>
    <w:rsid w:val="00A84541"/>
    <w:rsid w:val="00AE36A0"/>
    <w:rsid w:val="00B00294"/>
    <w:rsid w:val="00B01AEC"/>
    <w:rsid w:val="00B3749C"/>
    <w:rsid w:val="00B64FD0"/>
    <w:rsid w:val="00B712AC"/>
    <w:rsid w:val="00BA5BD0"/>
    <w:rsid w:val="00BB1D82"/>
    <w:rsid w:val="00BC217E"/>
    <w:rsid w:val="00BD51C5"/>
    <w:rsid w:val="00BF26E7"/>
    <w:rsid w:val="00C1305F"/>
    <w:rsid w:val="00C24DBC"/>
    <w:rsid w:val="00C53FCA"/>
    <w:rsid w:val="00C548E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4597A"/>
    <w:rsid w:val="00D66EAC"/>
    <w:rsid w:val="00D730DF"/>
    <w:rsid w:val="00D772F0"/>
    <w:rsid w:val="00D77BDC"/>
    <w:rsid w:val="00D83D5A"/>
    <w:rsid w:val="00DC402B"/>
    <w:rsid w:val="00DE0932"/>
    <w:rsid w:val="00DF15E8"/>
    <w:rsid w:val="00E03A27"/>
    <w:rsid w:val="00E049F1"/>
    <w:rsid w:val="00E35BCF"/>
    <w:rsid w:val="00E37A25"/>
    <w:rsid w:val="00E537FF"/>
    <w:rsid w:val="00E60CB2"/>
    <w:rsid w:val="00E6539B"/>
    <w:rsid w:val="00E70A31"/>
    <w:rsid w:val="00E723A7"/>
    <w:rsid w:val="00EA3F38"/>
    <w:rsid w:val="00EA5AB6"/>
    <w:rsid w:val="00EB6AB6"/>
    <w:rsid w:val="00EC7615"/>
    <w:rsid w:val="00ED16AA"/>
    <w:rsid w:val="00ED4856"/>
    <w:rsid w:val="00ED6B8D"/>
    <w:rsid w:val="00EE3D7B"/>
    <w:rsid w:val="00EF662E"/>
    <w:rsid w:val="00F026C2"/>
    <w:rsid w:val="00F10064"/>
    <w:rsid w:val="00F148F1"/>
    <w:rsid w:val="00F211C3"/>
    <w:rsid w:val="00F711A7"/>
    <w:rsid w:val="00F7377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C699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211C3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B09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9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09AF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9AF"/>
    <w:rPr>
      <w:rFonts w:ascii="Times New Roman" w:hAnsi="Times New Roman"/>
      <w:b/>
      <w:bCs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1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5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R23-WRC23-C-0044!A26-A2!MSW-F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22AC2-CA21-429C-9727-88C71A241C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187CE9-8C30-4FCE-BCA0-5EA4C27D8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73CB6-D422-43AD-BC3B-0D6AA50F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769BB5-28E4-430F-BB83-2D71FFA4143D}">
  <ds:schemaRefs>
    <ds:schemaRef ds:uri="996b2e75-67fd-4955-a3b0-5ab9934cb50b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R23-WRC23-C-0044!A26-A2!MSW-F</vt:lpstr>
      <vt:lpstr>R23-WRC23-C-0044!A26-A2!MSW-F</vt:lpstr>
    </vt:vector>
  </TitlesOfParts>
  <Manager>Secrétariat général - Pool</Manager>
  <Company>Union internationale des télécommunications (UIT)</Company>
  <LinksUpToDate>false</LinksUpToDate>
  <CharactersWithSpaces>6365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R23-WRC23-C-0044!A26-A2!MSW-F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8</cp:revision>
  <cp:lastPrinted>2003-06-05T19:34:00Z</cp:lastPrinted>
  <dcterms:created xsi:type="dcterms:W3CDTF">2023-10-27T11:41:00Z</dcterms:created>
  <dcterms:modified xsi:type="dcterms:W3CDTF">2023-10-31T10:07:00Z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