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1241D" w14:paraId="78394EC4" w14:textId="77777777" w:rsidTr="00C1305F">
        <w:trPr>
          <w:cantSplit/>
        </w:trPr>
        <w:tc>
          <w:tcPr>
            <w:tcW w:w="1418" w:type="dxa"/>
            <w:vAlign w:val="center"/>
          </w:tcPr>
          <w:p w14:paraId="115F4F66" w14:textId="77777777" w:rsidR="00C1305F" w:rsidRPr="00E1241D" w:rsidRDefault="00C1305F" w:rsidP="009922B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1241D">
              <w:drawing>
                <wp:inline distT="0" distB="0" distL="0" distR="0" wp14:anchorId="2A1F5AEC" wp14:editId="0FEFCB3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075B90D" w14:textId="6F5EC26B" w:rsidR="00C1305F" w:rsidRPr="00E1241D" w:rsidRDefault="00C1305F" w:rsidP="009922B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E1241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1241D">
              <w:rPr>
                <w:rFonts w:ascii="Verdana" w:hAnsi="Verdana"/>
                <w:b/>
                <w:bCs/>
                <w:sz w:val="20"/>
              </w:rPr>
              <w:br/>
            </w:r>
            <w:r w:rsidRPr="00E1241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3000C" w:rsidRPr="00E1241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1241D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F48D5A8" w14:textId="77777777" w:rsidR="00C1305F" w:rsidRPr="00E1241D" w:rsidRDefault="00C1305F" w:rsidP="009922B1">
            <w:pPr>
              <w:spacing w:before="0"/>
            </w:pPr>
            <w:bookmarkStart w:id="0" w:name="ditulogo"/>
            <w:bookmarkEnd w:id="0"/>
            <w:r w:rsidRPr="00E1241D">
              <w:drawing>
                <wp:inline distT="0" distB="0" distL="0" distR="0" wp14:anchorId="7D5460D5" wp14:editId="2913D9B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1241D" w14:paraId="486566E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8FB302" w14:textId="77777777" w:rsidR="00BB1D82" w:rsidRPr="00E1241D" w:rsidRDefault="00BB1D82" w:rsidP="009922B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D32CAB" w14:textId="77777777" w:rsidR="00BB1D82" w:rsidRPr="00E1241D" w:rsidRDefault="00BB1D82" w:rsidP="009922B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E1241D" w14:paraId="2F27C0A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296A08" w14:textId="77777777" w:rsidR="00BB1D82" w:rsidRPr="00E1241D" w:rsidRDefault="00BB1D82" w:rsidP="009922B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D5A500" w14:textId="77777777" w:rsidR="00BB1D82" w:rsidRPr="00E1241D" w:rsidRDefault="00BB1D82" w:rsidP="009922B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E1241D" w14:paraId="5B168E39" w14:textId="77777777" w:rsidTr="00BB1D82">
        <w:trPr>
          <w:cantSplit/>
        </w:trPr>
        <w:tc>
          <w:tcPr>
            <w:tcW w:w="6911" w:type="dxa"/>
            <w:gridSpan w:val="2"/>
          </w:tcPr>
          <w:p w14:paraId="23167D5E" w14:textId="77777777" w:rsidR="00BB1D82" w:rsidRPr="00E1241D" w:rsidRDefault="006D4724" w:rsidP="005D6E4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241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0D4498E" w14:textId="77777777" w:rsidR="00BB1D82" w:rsidRPr="00E1241D" w:rsidRDefault="006D4724" w:rsidP="005D6E44">
            <w:pPr>
              <w:spacing w:before="0"/>
              <w:rPr>
                <w:rFonts w:ascii="Verdana" w:hAnsi="Verdana"/>
                <w:sz w:val="20"/>
              </w:rPr>
            </w:pPr>
            <w:r w:rsidRPr="00E1241D">
              <w:rPr>
                <w:rFonts w:ascii="Verdana" w:hAnsi="Verdana"/>
                <w:b/>
                <w:sz w:val="20"/>
              </w:rPr>
              <w:t>Addendum 1 au</w:t>
            </w:r>
            <w:r w:rsidRPr="00E1241D">
              <w:rPr>
                <w:rFonts w:ascii="Verdana" w:hAnsi="Verdana"/>
                <w:b/>
                <w:sz w:val="20"/>
              </w:rPr>
              <w:br/>
              <w:t>Document 44(Add.26)</w:t>
            </w:r>
            <w:r w:rsidR="00BB1D82" w:rsidRPr="00E1241D">
              <w:rPr>
                <w:rFonts w:ascii="Verdana" w:hAnsi="Verdana"/>
                <w:b/>
                <w:sz w:val="20"/>
              </w:rPr>
              <w:t>-</w:t>
            </w:r>
            <w:r w:rsidRPr="00E1241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E1241D" w14:paraId="6E31723C" w14:textId="77777777" w:rsidTr="00BB1D82">
        <w:trPr>
          <w:cantSplit/>
        </w:trPr>
        <w:tc>
          <w:tcPr>
            <w:tcW w:w="6911" w:type="dxa"/>
            <w:gridSpan w:val="2"/>
          </w:tcPr>
          <w:p w14:paraId="0B5AFF0C" w14:textId="77777777" w:rsidR="00690C7B" w:rsidRPr="00E1241D" w:rsidRDefault="00690C7B" w:rsidP="005D6E4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CF716C6" w14:textId="77777777" w:rsidR="00690C7B" w:rsidRPr="00E1241D" w:rsidRDefault="00690C7B" w:rsidP="005D6E4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241D">
              <w:rPr>
                <w:rFonts w:ascii="Verdana" w:hAnsi="Verdana"/>
                <w:b/>
                <w:sz w:val="20"/>
              </w:rPr>
              <w:t>13 octobre 2023</w:t>
            </w:r>
          </w:p>
        </w:tc>
      </w:tr>
      <w:tr w:rsidR="00690C7B" w:rsidRPr="00E1241D" w14:paraId="7FB46712" w14:textId="77777777" w:rsidTr="00BB1D82">
        <w:trPr>
          <w:cantSplit/>
        </w:trPr>
        <w:tc>
          <w:tcPr>
            <w:tcW w:w="6911" w:type="dxa"/>
            <w:gridSpan w:val="2"/>
          </w:tcPr>
          <w:p w14:paraId="79F84C7F" w14:textId="77777777" w:rsidR="00690C7B" w:rsidRPr="00E1241D" w:rsidRDefault="00690C7B" w:rsidP="005D6E4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9BA922" w14:textId="77777777" w:rsidR="00690C7B" w:rsidRPr="00E1241D" w:rsidRDefault="00690C7B" w:rsidP="005D6E4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1241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1241D" w14:paraId="13AAE052" w14:textId="77777777" w:rsidTr="00C11970">
        <w:trPr>
          <w:cantSplit/>
        </w:trPr>
        <w:tc>
          <w:tcPr>
            <w:tcW w:w="10031" w:type="dxa"/>
            <w:gridSpan w:val="4"/>
          </w:tcPr>
          <w:p w14:paraId="46E3290E" w14:textId="77777777" w:rsidR="00690C7B" w:rsidRPr="00E1241D" w:rsidRDefault="00690C7B" w:rsidP="005D6E4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1241D" w14:paraId="620362B5" w14:textId="77777777" w:rsidTr="0050008E">
        <w:trPr>
          <w:cantSplit/>
        </w:trPr>
        <w:tc>
          <w:tcPr>
            <w:tcW w:w="10031" w:type="dxa"/>
            <w:gridSpan w:val="4"/>
          </w:tcPr>
          <w:p w14:paraId="1D6C624A" w14:textId="77777777" w:rsidR="00690C7B" w:rsidRPr="00E1241D" w:rsidRDefault="00690C7B" w:rsidP="005D6E44">
            <w:pPr>
              <w:pStyle w:val="Source"/>
            </w:pPr>
            <w:bookmarkStart w:id="2" w:name="dsource" w:colFirst="0" w:colLast="0"/>
            <w:r w:rsidRPr="00E1241D">
              <w:t>États Membres de la Commission interaméricaine des télécommunications (CITEL)</w:t>
            </w:r>
          </w:p>
        </w:tc>
      </w:tr>
      <w:tr w:rsidR="00690C7B" w:rsidRPr="00E1241D" w14:paraId="7E2D2B83" w14:textId="77777777" w:rsidTr="0050008E">
        <w:trPr>
          <w:cantSplit/>
        </w:trPr>
        <w:tc>
          <w:tcPr>
            <w:tcW w:w="10031" w:type="dxa"/>
            <w:gridSpan w:val="4"/>
          </w:tcPr>
          <w:p w14:paraId="36EEB1F1" w14:textId="1E3D8A7B" w:rsidR="00690C7B" w:rsidRPr="00E1241D" w:rsidRDefault="00C3000C" w:rsidP="005D6E44">
            <w:pPr>
              <w:pStyle w:val="Title1"/>
            </w:pPr>
            <w:bookmarkStart w:id="3" w:name="dtitle1" w:colFirst="0" w:colLast="0"/>
            <w:bookmarkEnd w:id="2"/>
            <w:r w:rsidRPr="00E1241D">
              <w:t>Propositions pour les travaux de la conférence</w:t>
            </w:r>
          </w:p>
        </w:tc>
      </w:tr>
      <w:tr w:rsidR="00690C7B" w:rsidRPr="00E1241D" w14:paraId="4A27BFD7" w14:textId="77777777" w:rsidTr="0050008E">
        <w:trPr>
          <w:cantSplit/>
        </w:trPr>
        <w:tc>
          <w:tcPr>
            <w:tcW w:w="10031" w:type="dxa"/>
            <w:gridSpan w:val="4"/>
          </w:tcPr>
          <w:p w14:paraId="25EB2CF0" w14:textId="77777777" w:rsidR="00690C7B" w:rsidRPr="00E1241D" w:rsidRDefault="00690C7B" w:rsidP="005D6E4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E1241D" w14:paraId="3C42E59D" w14:textId="77777777" w:rsidTr="0050008E">
        <w:trPr>
          <w:cantSplit/>
        </w:trPr>
        <w:tc>
          <w:tcPr>
            <w:tcW w:w="10031" w:type="dxa"/>
            <w:gridSpan w:val="4"/>
          </w:tcPr>
          <w:p w14:paraId="71F76DF9" w14:textId="77777777" w:rsidR="00690C7B" w:rsidRPr="00E1241D" w:rsidRDefault="00690C7B" w:rsidP="005D6E4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1241D">
              <w:rPr>
                <w:lang w:val="fr-FR"/>
              </w:rPr>
              <w:t>Point 9.3 de l'ordre du jour</w:t>
            </w:r>
          </w:p>
        </w:tc>
      </w:tr>
    </w:tbl>
    <w:bookmarkEnd w:id="5"/>
    <w:p w14:paraId="6D6F911F" w14:textId="77777777" w:rsidR="00BB3926" w:rsidRPr="00E1241D" w:rsidRDefault="002816EF" w:rsidP="005D6E44">
      <w:r w:rsidRPr="00E1241D">
        <w:t>9</w:t>
      </w:r>
      <w:r w:rsidRPr="00E1241D">
        <w:tab/>
        <w:t>examiner et approuver le rapport du Directeur du Bureau des radiocommunications, conformément à l'article 7 de la Convention de l'UIT:</w:t>
      </w:r>
    </w:p>
    <w:p w14:paraId="6C1F5156" w14:textId="77777777" w:rsidR="00BB3926" w:rsidRPr="00E1241D" w:rsidRDefault="002816EF" w:rsidP="005D6E44">
      <w:r w:rsidRPr="00E1241D">
        <w:t>9.3</w:t>
      </w:r>
      <w:r w:rsidRPr="00E1241D">
        <w:tab/>
        <w:t>sur la suite donnée à la Résolution </w:t>
      </w:r>
      <w:r w:rsidRPr="00E1241D">
        <w:rPr>
          <w:b/>
          <w:bCs/>
        </w:rPr>
        <w:t>80 (Rév.CMR-07)</w:t>
      </w:r>
      <w:r w:rsidRPr="00E1241D">
        <w:t>;</w:t>
      </w:r>
    </w:p>
    <w:p w14:paraId="088052D9" w14:textId="5948FB20" w:rsidR="003A583E" w:rsidRPr="00E1241D" w:rsidRDefault="00F306D5" w:rsidP="005D6E44">
      <w:pPr>
        <w:pStyle w:val="Headingb"/>
      </w:pPr>
      <w:r w:rsidRPr="00E1241D">
        <w:t>Considérations générales</w:t>
      </w:r>
    </w:p>
    <w:p w14:paraId="5FD6F295" w14:textId="509A8B4F" w:rsidR="00F306D5" w:rsidRPr="00E1241D" w:rsidRDefault="005D6E44" w:rsidP="005D6E44">
      <w:r w:rsidRPr="00E1241D">
        <w:t>Compte tenu</w:t>
      </w:r>
      <w:r w:rsidR="00F306D5" w:rsidRPr="00E1241D">
        <w:t xml:space="preserve"> du Rapport du Comité du Règlement des radiocommunications (RRB) </w:t>
      </w:r>
      <w:r w:rsidRPr="00E1241D">
        <w:t xml:space="preserve">soumis </w:t>
      </w:r>
      <w:r w:rsidR="00F306D5" w:rsidRPr="00E1241D">
        <w:t>à la</w:t>
      </w:r>
      <w:r w:rsidR="00677187" w:rsidRPr="00E1241D">
        <w:t> </w:t>
      </w:r>
      <w:r w:rsidR="00F306D5" w:rsidRPr="00E1241D">
        <w:t>CMR-23 sur la Résolution</w:t>
      </w:r>
      <w:r w:rsidR="00677187" w:rsidRPr="00E1241D">
        <w:t> </w:t>
      </w:r>
      <w:r w:rsidR="00F306D5" w:rsidRPr="00E1241D">
        <w:rPr>
          <w:b/>
        </w:rPr>
        <w:t>80 (Rév.CMR-07)</w:t>
      </w:r>
      <w:r w:rsidR="00F306D5" w:rsidRPr="00E1241D">
        <w:t xml:space="preserve"> (Document </w:t>
      </w:r>
      <w:hyperlink r:id="rId14" w:history="1">
        <w:r w:rsidR="00F306D5" w:rsidRPr="00E1241D">
          <w:rPr>
            <w:rStyle w:val="Hyperlink"/>
          </w:rPr>
          <w:t>WRC-23/50</w:t>
        </w:r>
      </w:hyperlink>
      <w:r w:rsidR="00F306D5" w:rsidRPr="00E1241D">
        <w:t xml:space="preserve">), la CITEL </w:t>
      </w:r>
      <w:r w:rsidRPr="00E1241D">
        <w:t xml:space="preserve">tient à </w:t>
      </w:r>
      <w:r w:rsidR="00F306D5" w:rsidRPr="00E1241D">
        <w:t>formule</w:t>
      </w:r>
      <w:r w:rsidRPr="00E1241D">
        <w:t>r</w:t>
      </w:r>
      <w:r w:rsidR="00F306D5" w:rsidRPr="00E1241D">
        <w:t xml:space="preserve"> les observations et propositions </w:t>
      </w:r>
      <w:r w:rsidRPr="00E1241D">
        <w:t xml:space="preserve">ci-après </w:t>
      </w:r>
      <w:r w:rsidR="00F306D5" w:rsidRPr="00E1241D">
        <w:t>concernant la question visée au paragraphe</w:t>
      </w:r>
      <w:r w:rsidR="00677187" w:rsidRPr="00E1241D">
        <w:t> </w:t>
      </w:r>
      <w:r w:rsidR="00F306D5" w:rsidRPr="00E1241D">
        <w:t>4.13</w:t>
      </w:r>
      <w:r w:rsidRPr="00E1241D">
        <w:t>,</w:t>
      </w:r>
      <w:r w:rsidR="00F306D5" w:rsidRPr="00E1241D">
        <w:t xml:space="preserve"> portant sur la viabilité spatiale à long terme, l'accès équitable aux ressources que sont le spectre et les orbites </w:t>
      </w:r>
      <w:r w:rsidRPr="00E1241D">
        <w:t xml:space="preserve">de satellites </w:t>
      </w:r>
      <w:r w:rsidR="00F306D5" w:rsidRPr="00E1241D">
        <w:t>non</w:t>
      </w:r>
      <w:r w:rsidR="00677187" w:rsidRPr="00E1241D">
        <w:t> </w:t>
      </w:r>
      <w:r w:rsidR="00F306D5" w:rsidRPr="00E1241D">
        <w:t>OSG et leur utilisation rationnelle.</w:t>
      </w:r>
    </w:p>
    <w:p w14:paraId="58256D25" w14:textId="32E7E18D" w:rsidR="00406A1A" w:rsidRPr="00E1241D" w:rsidRDefault="00F306D5" w:rsidP="000C466A">
      <w:pPr>
        <w:pStyle w:val="Headingb"/>
      </w:pPr>
      <w:r w:rsidRPr="00E1241D">
        <w:t>Paragraphe</w:t>
      </w:r>
      <w:r w:rsidR="00406A1A" w:rsidRPr="00E1241D">
        <w:t xml:space="preserve"> 4.13 – Viabilité à long terme des ressources que sont le spectre et </w:t>
      </w:r>
      <w:r w:rsidR="005D6E44" w:rsidRPr="00E1241D">
        <w:t>les</w:t>
      </w:r>
      <w:r w:rsidR="009922B1" w:rsidRPr="00E1241D">
        <w:t xml:space="preserve"> </w:t>
      </w:r>
      <w:r w:rsidR="00406A1A" w:rsidRPr="00E1241D">
        <w:t>orbite</w:t>
      </w:r>
      <w:r w:rsidR="005D6E44" w:rsidRPr="00E1241D">
        <w:t>s</w:t>
      </w:r>
      <w:r w:rsidR="00406A1A" w:rsidRPr="00E1241D">
        <w:t xml:space="preserve"> </w:t>
      </w:r>
      <w:r w:rsidR="005D6E44" w:rsidRPr="00E1241D">
        <w:t xml:space="preserve">de satellites </w:t>
      </w:r>
      <w:r w:rsidR="00406A1A" w:rsidRPr="00E1241D">
        <w:t>non</w:t>
      </w:r>
      <w:r w:rsidR="00677187" w:rsidRPr="00E1241D">
        <w:t> </w:t>
      </w:r>
      <w:r w:rsidR="00406A1A" w:rsidRPr="00E1241D">
        <w:t>OSG, accès équitable à ces ressources et leur utilisation rationnelle</w:t>
      </w:r>
    </w:p>
    <w:p w14:paraId="38113F6A" w14:textId="2407E8D5" w:rsidR="00406A1A" w:rsidRPr="00E1241D" w:rsidRDefault="00F306D5" w:rsidP="005D6E44">
      <w:r w:rsidRPr="00E1241D">
        <w:t>Le paragraphe</w:t>
      </w:r>
      <w:r w:rsidR="00677187" w:rsidRPr="00E1241D">
        <w:t> </w:t>
      </w:r>
      <w:r w:rsidRPr="00E1241D">
        <w:t xml:space="preserve">4.13 du Rapport du </w:t>
      </w:r>
      <w:r w:rsidR="00CC5204" w:rsidRPr="00E1241D">
        <w:t>RRB</w:t>
      </w:r>
      <w:r w:rsidRPr="00E1241D">
        <w:t xml:space="preserve"> à la CMR-23 sur la Résolution</w:t>
      </w:r>
      <w:r w:rsidR="00677187" w:rsidRPr="00E1241D">
        <w:t> </w:t>
      </w:r>
      <w:r w:rsidRPr="00E1241D">
        <w:rPr>
          <w:b/>
        </w:rPr>
        <w:t>80 (Rév.CMR-07)</w:t>
      </w:r>
      <w:r w:rsidRPr="00E1241D">
        <w:t xml:space="preserve"> </w:t>
      </w:r>
      <w:r w:rsidR="00CC5204" w:rsidRPr="00E1241D">
        <w:t>(</w:t>
      </w:r>
      <w:hyperlink r:id="rId15" w:history="1">
        <w:r w:rsidRPr="00E1241D">
          <w:rPr>
            <w:rStyle w:val="Hyperlink"/>
          </w:rPr>
          <w:t>Document 50 des contributions soumises à la CMR-23</w:t>
        </w:r>
      </w:hyperlink>
      <w:r w:rsidR="00CC5204" w:rsidRPr="00E1241D">
        <w:t>)</w:t>
      </w:r>
      <w:r w:rsidRPr="00E1241D">
        <w:t xml:space="preserve"> a pour objet d'examiner la question de la viabilité spatiale à long terme et l'accès équitable aux ressources </w:t>
      </w:r>
      <w:r w:rsidR="00917A83" w:rsidRPr="00E1241D">
        <w:t xml:space="preserve">que sont le spectre et les orbites </w:t>
      </w:r>
      <w:r w:rsidR="005D6E44" w:rsidRPr="00E1241D">
        <w:t xml:space="preserve">de satellites </w:t>
      </w:r>
      <w:r w:rsidR="00917A83" w:rsidRPr="00E1241D">
        <w:t>non</w:t>
      </w:r>
      <w:r w:rsidR="00677187" w:rsidRPr="00E1241D">
        <w:t> </w:t>
      </w:r>
      <w:r w:rsidR="00917A83" w:rsidRPr="00E1241D">
        <w:t>OSG et leur utilisation rationnelle</w:t>
      </w:r>
      <w:r w:rsidR="009F7F93" w:rsidRPr="00E1241D">
        <w:t>.</w:t>
      </w:r>
      <w:r w:rsidR="00917A83" w:rsidRPr="00E1241D">
        <w:t xml:space="preserve"> </w:t>
      </w:r>
      <w:r w:rsidR="003958D2" w:rsidRPr="00E1241D">
        <w:t xml:space="preserve">Aux termes de ce paragraphe, </w:t>
      </w:r>
      <w:r w:rsidR="00917A83" w:rsidRPr="00E1241D">
        <w:t xml:space="preserve">la Conférence </w:t>
      </w:r>
      <w:r w:rsidR="005D6E44" w:rsidRPr="00E1241D">
        <w:t xml:space="preserve">est invitée à examiner </w:t>
      </w:r>
      <w:r w:rsidR="00917A83" w:rsidRPr="00E1241D">
        <w:t xml:space="preserve">cette question et </w:t>
      </w:r>
      <w:r w:rsidR="005D6E44" w:rsidRPr="00E1241D">
        <w:t xml:space="preserve">à prendre </w:t>
      </w:r>
      <w:r w:rsidR="00917A83" w:rsidRPr="00E1241D">
        <w:t>d'éventuelles décisions à cet égard au titre du point</w:t>
      </w:r>
      <w:r w:rsidR="00677187" w:rsidRPr="00E1241D">
        <w:t> </w:t>
      </w:r>
      <w:r w:rsidR="00917A83" w:rsidRPr="00E1241D">
        <w:t>9.3 de l'ordre du jour de la CMR-23. Pendant ce</w:t>
      </w:r>
      <w:r w:rsidR="005D6E44" w:rsidRPr="00E1241D">
        <w:t>tte</w:t>
      </w:r>
      <w:r w:rsidR="00917A83" w:rsidRPr="00E1241D">
        <w:t xml:space="preserve"> </w:t>
      </w:r>
      <w:r w:rsidR="005D6E44" w:rsidRPr="00E1241D">
        <w:t xml:space="preserve">période </w:t>
      </w:r>
      <w:r w:rsidR="00917A83" w:rsidRPr="00E1241D">
        <w:t xml:space="preserve">d'études (2020-2023), le RRB a constaté </w:t>
      </w:r>
      <w:r w:rsidR="005D6E44" w:rsidRPr="00E1241D">
        <w:t xml:space="preserve">une augmentation du </w:t>
      </w:r>
      <w:r w:rsidR="00917A83" w:rsidRPr="00E1241D">
        <w:t xml:space="preserve">nombre de fiches de notification de systèmes </w:t>
      </w:r>
      <w:r w:rsidR="003958D2" w:rsidRPr="00E1241D">
        <w:t>en orbite terrestre basse</w:t>
      </w:r>
      <w:r w:rsidR="00A309FD">
        <w:t xml:space="preserve"> </w:t>
      </w:r>
      <w:r w:rsidR="003958D2" w:rsidRPr="00E1241D">
        <w:t>(</w:t>
      </w:r>
      <w:r w:rsidR="00917A83" w:rsidRPr="00E1241D">
        <w:t>LEO</w:t>
      </w:r>
      <w:r w:rsidR="003958D2" w:rsidRPr="00E1241D">
        <w:t>)</w:t>
      </w:r>
      <w:r w:rsidR="00917A83" w:rsidRPr="00E1241D">
        <w:t xml:space="preserve"> dans lesquelles il est proposé de déployer plusieurs dizaines à plusieurs centaines de milliers de satellites. </w:t>
      </w:r>
      <w:r w:rsidR="005D6E44" w:rsidRPr="00E1241D">
        <w:t>L</w:t>
      </w:r>
      <w:r w:rsidR="00E1241D" w:rsidRPr="00E1241D">
        <w:t>'</w:t>
      </w:r>
      <w:r w:rsidR="005D6E44" w:rsidRPr="00E1241D">
        <w:t>augmentation</w:t>
      </w:r>
      <w:r w:rsidR="00917A83" w:rsidRPr="00E1241D">
        <w:t xml:space="preserve"> du nombre de stations spatiales </w:t>
      </w:r>
      <w:r w:rsidR="003958D2" w:rsidRPr="00E1241D">
        <w:t xml:space="preserve">dans les </w:t>
      </w:r>
      <w:r w:rsidR="00917A83" w:rsidRPr="00E1241D">
        <w:t>fiches de notification de systèmes à satellites non</w:t>
      </w:r>
      <w:r w:rsidR="00677187" w:rsidRPr="00E1241D">
        <w:t> </w:t>
      </w:r>
      <w:r w:rsidR="00917A83" w:rsidRPr="00E1241D">
        <w:t>OSG soumises à l'UIT soulève plusieurs questions concernant la viabilité spatiale à long terme.</w:t>
      </w:r>
    </w:p>
    <w:p w14:paraId="538A0FBB" w14:textId="068F877B" w:rsidR="00406A1A" w:rsidRPr="00E1241D" w:rsidRDefault="00033D7D" w:rsidP="00C353ED">
      <w:pPr>
        <w:keepNext/>
        <w:keepLines/>
      </w:pPr>
      <w:r w:rsidRPr="00E1241D">
        <w:lastRenderedPageBreak/>
        <w:t>Il existe</w:t>
      </w:r>
      <w:r w:rsidR="005D6E44" w:rsidRPr="00E1241D">
        <w:t>,</w:t>
      </w:r>
      <w:r w:rsidRPr="00E1241D">
        <w:t xml:space="preserve"> </w:t>
      </w:r>
      <w:r w:rsidR="005D6E44" w:rsidRPr="00E1241D">
        <w:t xml:space="preserve">dans ce domaine, </w:t>
      </w:r>
      <w:r w:rsidRPr="00E1241D">
        <w:t xml:space="preserve">des lacunes </w:t>
      </w:r>
      <w:r w:rsidR="00012FB0" w:rsidRPr="00E1241D">
        <w:t xml:space="preserve">que </w:t>
      </w:r>
      <w:r w:rsidRPr="00E1241D">
        <w:t>l'UIT pourrait</w:t>
      </w:r>
      <w:r w:rsidR="00012FB0" w:rsidRPr="00E1241D">
        <w:t xml:space="preserve"> combler, afin de contribuer</w:t>
      </w:r>
      <w:r w:rsidRPr="00E1241D">
        <w:t xml:space="preserve"> à préserver la viabilité spatiale à long terme</w:t>
      </w:r>
      <w:r w:rsidR="00704612" w:rsidRPr="00E1241D">
        <w:t>,</w:t>
      </w:r>
      <w:r w:rsidRPr="00E1241D">
        <w:t xml:space="preserve"> sans </w:t>
      </w:r>
      <w:r w:rsidR="00704612" w:rsidRPr="00E1241D">
        <w:t xml:space="preserve">empiéter sur le mandat d'autres organisations et organismes du système des Nations Unies </w:t>
      </w:r>
      <w:r w:rsidR="003B640E" w:rsidRPr="00E1241D">
        <w:t>œuvrant dans le domaine spatial</w:t>
      </w:r>
      <w:r w:rsidR="000D0412" w:rsidRPr="00E1241D">
        <w:t xml:space="preserve">, et sans </w:t>
      </w:r>
      <w:r w:rsidR="00C852F1" w:rsidRPr="00E1241D">
        <w:t>donner des</w:t>
      </w:r>
      <w:r w:rsidR="000D0412" w:rsidRPr="00E1241D">
        <w:t xml:space="preserve"> orientations </w:t>
      </w:r>
      <w:r w:rsidR="00C852F1" w:rsidRPr="00E1241D">
        <w:t>faisant</w:t>
      </w:r>
      <w:r w:rsidR="000D0412" w:rsidRPr="00E1241D">
        <w:t xml:space="preserve"> double emploi avec les orientations de ces organisations et organismes. Comme l'indique le RRB,</w:t>
      </w:r>
      <w:r w:rsidR="00406A1A" w:rsidRPr="00E1241D">
        <w:t xml:space="preserve"> l</w:t>
      </w:r>
      <w:r w:rsidR="000D0412" w:rsidRPr="00E1241D">
        <w:t>'UIT</w:t>
      </w:r>
      <w:r w:rsidR="00406A1A" w:rsidRPr="00E1241D">
        <w:t xml:space="preserve"> joue un rôle dans la mise en œuvre des principales composantes </w:t>
      </w:r>
      <w:r w:rsidR="000D0412" w:rsidRPr="00E1241D">
        <w:t>du concept de viabilité spatiale à long terme</w:t>
      </w:r>
      <w:r w:rsidR="00406A1A" w:rsidRPr="00E1241D">
        <w:t xml:space="preserve">, en s'attachant à prévenir les brouillages préjudiciables et à garantir l'utilisation rationnelle, efficace, économique et </w:t>
      </w:r>
      <w:r w:rsidR="000D0412" w:rsidRPr="00E1241D">
        <w:t>équitable des ressources spectrales</w:t>
      </w:r>
      <w:r w:rsidR="00D37BA4" w:rsidRPr="00E1241D">
        <w:t xml:space="preserve"> et </w:t>
      </w:r>
      <w:r w:rsidR="000D0412" w:rsidRPr="00E1241D">
        <w:t>orbitales</w:t>
      </w:r>
      <w:r w:rsidR="00406A1A" w:rsidRPr="00E1241D">
        <w:t>, y compris les ressources LEO</w:t>
      </w:r>
      <w:r w:rsidR="00D37BA4" w:rsidRPr="00E1241D">
        <w:t>,</w:t>
      </w:r>
      <w:r w:rsidR="00406A1A" w:rsidRPr="00E1241D">
        <w:t xml:space="preserve"> conformément aux dispositions du Règlement des radiocommunications, compte dûment tenu des besoins spéciaux des pays en développement et de la situation géographique de certains pays.</w:t>
      </w:r>
    </w:p>
    <w:p w14:paraId="613ADA43" w14:textId="2096FAAF" w:rsidR="00406A1A" w:rsidRPr="00E1241D" w:rsidRDefault="00D37BA4" w:rsidP="009922B1">
      <w:r w:rsidRPr="00E1241D">
        <w:t>Dans son</w:t>
      </w:r>
      <w:r w:rsidR="00563EA7" w:rsidRPr="00E1241D">
        <w:t xml:space="preserve"> rapport, le RRB invite la CMR-23, </w:t>
      </w:r>
      <w:r w:rsidRPr="00E1241D">
        <w:t>notamment</w:t>
      </w:r>
      <w:r w:rsidR="00563EA7" w:rsidRPr="00E1241D">
        <w:t xml:space="preserve">, à charger </w:t>
      </w:r>
      <w:r w:rsidR="00202EEE" w:rsidRPr="00E1241D">
        <w:t xml:space="preserve">l'UIT-R d'élaborer des </w:t>
      </w:r>
      <w:r w:rsidR="006C1126" w:rsidRPr="006C1126">
        <w:t>r</w:t>
      </w:r>
      <w:r w:rsidR="00202EEE" w:rsidRPr="006C1126">
        <w:t>ecommandations et des rapports UIT</w:t>
      </w:r>
      <w:r w:rsidR="00202EEE" w:rsidRPr="00E1241D">
        <w:t xml:space="preserve">-R traitant de la viabilité à long terme des ressources que sont </w:t>
      </w:r>
      <w:r w:rsidRPr="00E1241D">
        <w:t xml:space="preserve">le spectre et </w:t>
      </w:r>
      <w:r w:rsidR="00202EEE" w:rsidRPr="00E1241D">
        <w:t xml:space="preserve">les orbites </w:t>
      </w:r>
      <w:r w:rsidRPr="00E1241D">
        <w:t xml:space="preserve">de satellites </w:t>
      </w:r>
      <w:r w:rsidR="00202EEE" w:rsidRPr="00E1241D">
        <w:t>non</w:t>
      </w:r>
      <w:r w:rsidR="00677187" w:rsidRPr="00E1241D">
        <w:t> </w:t>
      </w:r>
      <w:r w:rsidR="00202EEE" w:rsidRPr="00E1241D">
        <w:t xml:space="preserve">OSG ainsi que de l'accès équitable à ces </w:t>
      </w:r>
      <w:r w:rsidRPr="00E1241D">
        <w:t>ressources</w:t>
      </w:r>
      <w:r w:rsidR="00406A1A" w:rsidRPr="00E1241D">
        <w:t>.</w:t>
      </w:r>
      <w:r w:rsidR="00202EEE" w:rsidRPr="00E1241D">
        <w:t xml:space="preserve"> L'UIT a déjà adopté une recommandation </w:t>
      </w:r>
      <w:r w:rsidR="00B753A6" w:rsidRPr="00E1241D">
        <w:t xml:space="preserve">traitant de la viabilité spatiale à long terme de l'orbite </w:t>
      </w:r>
      <w:r w:rsidRPr="00E1241D">
        <w:t>des satellites</w:t>
      </w:r>
      <w:r w:rsidR="00677187" w:rsidRPr="00E1241D">
        <w:t> </w:t>
      </w:r>
      <w:r w:rsidR="00B753A6" w:rsidRPr="00E1241D">
        <w:t xml:space="preserve">OSG, à savoir la </w:t>
      </w:r>
      <w:hyperlink r:id="rId16" w:history="1">
        <w:r w:rsidR="00B753A6" w:rsidRPr="006C1126">
          <w:rPr>
            <w:rStyle w:val="Hyperlink"/>
          </w:rPr>
          <w:t xml:space="preserve">Recommandation UIT-R S.1003-2 intitulée </w:t>
        </w:r>
        <w:r w:rsidR="00A309FD" w:rsidRPr="006C1126">
          <w:rPr>
            <w:rStyle w:val="Hyperlink"/>
          </w:rPr>
          <w:t>«</w:t>
        </w:r>
        <w:r w:rsidR="00B753A6" w:rsidRPr="006C1126">
          <w:rPr>
            <w:rStyle w:val="Hyperlink"/>
          </w:rPr>
          <w:t>Protection de l'environnement de l'orbite des satellites géostationna</w:t>
        </w:r>
        <w:r w:rsidR="00B753A6" w:rsidRPr="006C1126">
          <w:rPr>
            <w:rStyle w:val="Hyperlink"/>
          </w:rPr>
          <w:t>i</w:t>
        </w:r>
        <w:r w:rsidR="00B753A6" w:rsidRPr="006C1126">
          <w:rPr>
            <w:rStyle w:val="Hyperlink"/>
          </w:rPr>
          <w:t>res</w:t>
        </w:r>
        <w:r w:rsidR="00A309FD" w:rsidRPr="006C1126">
          <w:rPr>
            <w:rStyle w:val="Hyperlink"/>
          </w:rPr>
          <w:t>»</w:t>
        </w:r>
      </w:hyperlink>
      <w:r w:rsidR="00B753A6" w:rsidRPr="00E1241D">
        <w:t xml:space="preserve">. La Recommandation UIT-R S.1003 a pour objet de </w:t>
      </w:r>
      <w:r w:rsidRPr="00E1241D">
        <w:t xml:space="preserve">fournir </w:t>
      </w:r>
      <w:r w:rsidR="00B753A6" w:rsidRPr="00E1241D">
        <w:t xml:space="preserve">des orientations concernant les orbites de rebut des satellites géostationnaires. Elle </w:t>
      </w:r>
      <w:r w:rsidRPr="00E1241D">
        <w:t xml:space="preserve">contient </w:t>
      </w:r>
      <w:r w:rsidR="00B753A6" w:rsidRPr="00E1241D">
        <w:t>également des observations relatives à l'augmentation des débris causés par la désagrégation d'un nombre toujours plus grand de satellites et leur lancement. Les orientations techniques présentées dans la Recommandation</w:t>
      </w:r>
      <w:r w:rsidR="00677187" w:rsidRPr="00E1241D">
        <w:t> </w:t>
      </w:r>
      <w:r w:rsidR="00B753A6" w:rsidRPr="00E1241D">
        <w:t>UIT-R S.1003 sont souvent intégrées dans des cadres réglementaires nationaux applicables aux satellites. Le Bureau des affaires spatiales de l'Organisation des Nations Unies fait également référence à la Recommandation</w:t>
      </w:r>
      <w:r w:rsidR="00677187" w:rsidRPr="00E1241D">
        <w:t> </w:t>
      </w:r>
      <w:r w:rsidR="00B753A6" w:rsidRPr="00E1241D">
        <w:t xml:space="preserve">UIT-R S.1003 sur son site web, </w:t>
      </w:r>
      <w:r w:rsidR="00042BAC" w:rsidRPr="00E1241D">
        <w:t xml:space="preserve">sur lequel on trouve un </w:t>
      </w:r>
      <w:hyperlink r:id="rId17" w:history="1">
        <w:r w:rsidR="00042BAC" w:rsidRPr="00E1241D">
          <w:rPr>
            <w:rStyle w:val="Hyperlink"/>
          </w:rPr>
          <w:t>r</w:t>
        </w:r>
        <w:r w:rsidR="00A7463D" w:rsidRPr="00E1241D">
          <w:rPr>
            <w:rStyle w:val="Hyperlink"/>
          </w:rPr>
          <w:t>ecueil des normes techniques relatives à la r</w:t>
        </w:r>
        <w:r w:rsidR="00A7463D" w:rsidRPr="00E1241D">
          <w:rPr>
            <w:rStyle w:val="Hyperlink"/>
          </w:rPr>
          <w:t>é</w:t>
        </w:r>
        <w:r w:rsidR="00A7463D" w:rsidRPr="00E1241D">
          <w:rPr>
            <w:rStyle w:val="Hyperlink"/>
          </w:rPr>
          <w:t>duction des débris spatiaux</w:t>
        </w:r>
        <w:r w:rsidR="0026484B" w:rsidRPr="00E1241D">
          <w:rPr>
            <w:rStyle w:val="Hyperlink"/>
          </w:rPr>
          <w:t xml:space="preserve"> adoptées par les États et les organisations internationales</w:t>
        </w:r>
      </w:hyperlink>
      <w:r w:rsidR="0026484B" w:rsidRPr="00E1241D">
        <w:t xml:space="preserve">. Cependant, </w:t>
      </w:r>
      <w:r w:rsidR="00BC4757" w:rsidRPr="00E1241D">
        <w:t>pour l'heure</w:t>
      </w:r>
      <w:r w:rsidR="0026484B" w:rsidRPr="00E1241D">
        <w:t xml:space="preserve">, l'UIT-R </w:t>
      </w:r>
      <w:r w:rsidR="000E3E71" w:rsidRPr="00E1241D">
        <w:t>n'a pas engagé de travaux visant à élaborer</w:t>
      </w:r>
      <w:r w:rsidR="0026484B" w:rsidRPr="00E1241D">
        <w:t xml:space="preserve"> </w:t>
      </w:r>
      <w:r w:rsidR="000E3E71" w:rsidRPr="00E1241D">
        <w:t>une</w:t>
      </w:r>
      <w:r w:rsidR="0026484B" w:rsidRPr="00E1241D">
        <w:t xml:space="preserve"> recommandation </w:t>
      </w:r>
      <w:r w:rsidR="000E3E71" w:rsidRPr="00E1241D">
        <w:t>ou à procéder à une étude</w:t>
      </w:r>
      <w:r w:rsidR="003B2ECD" w:rsidRPr="00E1241D">
        <w:t xml:space="preserve"> </w:t>
      </w:r>
      <w:r w:rsidR="000E3E71" w:rsidRPr="00E1241D">
        <w:t>sur</w:t>
      </w:r>
      <w:r w:rsidR="003B2ECD" w:rsidRPr="00E1241D">
        <w:t xml:space="preserve"> la question de la protection des orbites </w:t>
      </w:r>
      <w:r w:rsidR="001E2308" w:rsidRPr="00E1241D">
        <w:t xml:space="preserve">de satellites </w:t>
      </w:r>
      <w:r w:rsidR="003B2ECD" w:rsidRPr="00E1241D">
        <w:t>non</w:t>
      </w:r>
      <w:r w:rsidR="00677187" w:rsidRPr="00E1241D">
        <w:t> </w:t>
      </w:r>
      <w:r w:rsidR="003B2ECD" w:rsidRPr="00E1241D">
        <w:t>OSG.</w:t>
      </w:r>
    </w:p>
    <w:p w14:paraId="0B5D97D1" w14:textId="4CC7E55C" w:rsidR="00406A1A" w:rsidRPr="00E1241D" w:rsidRDefault="003B2ECD" w:rsidP="009922B1">
      <w:r w:rsidRPr="00E1241D">
        <w:t xml:space="preserve">Les administrations des pays </w:t>
      </w:r>
      <w:r w:rsidR="001E2308" w:rsidRPr="00E1241D">
        <w:t xml:space="preserve">membres </w:t>
      </w:r>
      <w:r w:rsidRPr="00E1241D">
        <w:t xml:space="preserve">de la CITEL sont d'avis </w:t>
      </w:r>
      <w:r w:rsidR="005E06FA" w:rsidRPr="00E1241D">
        <w:t>qu'une</w:t>
      </w:r>
      <w:r w:rsidRPr="00E1241D">
        <w:t xml:space="preserve"> </w:t>
      </w:r>
      <w:r w:rsidR="006C1126">
        <w:t>r</w:t>
      </w:r>
      <w:r w:rsidRPr="00E1241D">
        <w:t xml:space="preserve">ecommandation UIT-R </w:t>
      </w:r>
      <w:r w:rsidR="001E2308" w:rsidRPr="00E1241D">
        <w:t>sur cette question</w:t>
      </w:r>
      <w:r w:rsidR="005E06FA" w:rsidRPr="00E1241D">
        <w:t xml:space="preserve"> </w:t>
      </w:r>
      <w:r w:rsidRPr="00E1241D">
        <w:t xml:space="preserve">compléterait les lignes directrices du Bureau des affaires spatiales de l'Organisation des </w:t>
      </w:r>
      <w:r w:rsidR="001E2308" w:rsidRPr="00E1241D">
        <w:t xml:space="preserve">Nations </w:t>
      </w:r>
      <w:r w:rsidRPr="00E1241D">
        <w:t xml:space="preserve">Unies sur la viabilité spatiale à long terme, et </w:t>
      </w:r>
      <w:r w:rsidR="0093125D" w:rsidRPr="00E1241D">
        <w:t xml:space="preserve">qu'elle </w:t>
      </w:r>
      <w:r w:rsidRPr="00E1241D">
        <w:t xml:space="preserve">ne devrait pas </w:t>
      </w:r>
      <w:r w:rsidR="005E06FA" w:rsidRPr="00E1241D">
        <w:t>aller à l'encontre de</w:t>
      </w:r>
      <w:r w:rsidRPr="00E1241D">
        <w:t xml:space="preserve"> ces lignes directrices, ni faire double emploi, ni réin</w:t>
      </w:r>
      <w:r w:rsidR="0093125D" w:rsidRPr="00E1241D">
        <w:t xml:space="preserve">venter la roue dans ce domaine. </w:t>
      </w:r>
      <w:r w:rsidR="001E2308" w:rsidRPr="00E1241D">
        <w:t xml:space="preserve">Cette recommandation </w:t>
      </w:r>
      <w:r w:rsidRPr="00E1241D">
        <w:t xml:space="preserve">contribuerait </w:t>
      </w:r>
      <w:r w:rsidR="00467C7A" w:rsidRPr="00E1241D">
        <w:t xml:space="preserve">plutôt à </w:t>
      </w:r>
      <w:r w:rsidR="00B8094E" w:rsidRPr="00E1241D">
        <w:t>donner corps aux</w:t>
      </w:r>
      <w:r w:rsidR="005E06FA" w:rsidRPr="00E1241D">
        <w:t xml:space="preserve"> lignes directrices </w:t>
      </w:r>
      <w:r w:rsidR="0093125D" w:rsidRPr="00E1241D">
        <w:t>sur le plan de la gestion des ressources spectrales et orbitales</w:t>
      </w:r>
      <w:r w:rsidR="009F7F93" w:rsidRPr="00E1241D">
        <w:t>.</w:t>
      </w:r>
      <w:r w:rsidR="0093125D" w:rsidRPr="00E1241D">
        <w:t xml:space="preserve"> Elle fournirait aux </w:t>
      </w:r>
      <w:r w:rsidR="008A2A6B" w:rsidRPr="00E1241D">
        <w:t>États</w:t>
      </w:r>
      <w:r w:rsidR="00677187" w:rsidRPr="00E1241D">
        <w:t> </w:t>
      </w:r>
      <w:r w:rsidR="00C07F47" w:rsidRPr="00E1241D">
        <w:t>Membres d</w:t>
      </w:r>
      <w:r w:rsidR="0093125D" w:rsidRPr="00E1241D">
        <w:t xml:space="preserve">es orientations techniques </w:t>
      </w:r>
      <w:r w:rsidR="00A705C0" w:rsidRPr="00E1241D">
        <w:t>permettant de</w:t>
      </w:r>
      <w:r w:rsidR="0093125D" w:rsidRPr="00E1241D">
        <w:t xml:space="preserve"> retirer efficacement de leur orbite les satellites des systèmes à satellites non</w:t>
      </w:r>
      <w:r w:rsidR="00677187" w:rsidRPr="00E1241D">
        <w:t> </w:t>
      </w:r>
      <w:r w:rsidR="0093125D" w:rsidRPr="00E1241D">
        <w:t xml:space="preserve">OSG nationaux en fin de vie, dans un </w:t>
      </w:r>
      <w:r w:rsidR="00A705C0" w:rsidRPr="00E1241D">
        <w:t xml:space="preserve">contexte d'augmentation du </w:t>
      </w:r>
      <w:r w:rsidR="0093125D" w:rsidRPr="00E1241D">
        <w:t xml:space="preserve">nombre d'acteurs menant des activités </w:t>
      </w:r>
      <w:r w:rsidR="00973581" w:rsidRPr="00E1241D">
        <w:t>spatiales</w:t>
      </w:r>
      <w:r w:rsidR="0093125D" w:rsidRPr="00E1241D">
        <w:t>. Beaucoup de ces acteurs ne possèdent pas le même niveau d'expérience que les opérateurs de satellites établis</w:t>
      </w:r>
      <w:r w:rsidR="002C5158" w:rsidRPr="00E1241D">
        <w:t>, compte tenu en part</w:t>
      </w:r>
      <w:r w:rsidR="00A705C0" w:rsidRPr="00E1241D">
        <w:t>iculier de la participation d'amateurs, de chercheurs, d'</w:t>
      </w:r>
      <w:r w:rsidR="002C5158" w:rsidRPr="00E1241D">
        <w:t>étab</w:t>
      </w:r>
      <w:r w:rsidR="00A705C0" w:rsidRPr="00E1241D">
        <w:t>lissements universitaires et de</w:t>
      </w:r>
      <w:r w:rsidR="002C5158" w:rsidRPr="00E1241D">
        <w:t xml:space="preserve"> jeunes entreprises dans </w:t>
      </w:r>
      <w:r w:rsidR="001E2308" w:rsidRPr="00E1241D">
        <w:t xml:space="preserve">le secteur </w:t>
      </w:r>
      <w:r w:rsidR="002C5158" w:rsidRPr="00E1241D">
        <w:t xml:space="preserve">des petits satellites. La </w:t>
      </w:r>
      <w:r w:rsidR="006C1126">
        <w:t>r</w:t>
      </w:r>
      <w:r w:rsidR="002C5158" w:rsidRPr="00E1241D">
        <w:t xml:space="preserve">ecommandation serait également utile </w:t>
      </w:r>
      <w:r w:rsidR="009F4BB4" w:rsidRPr="00E1241D">
        <w:t>aux</w:t>
      </w:r>
      <w:r w:rsidR="002C5158" w:rsidRPr="00E1241D">
        <w:t xml:space="preserve"> régulateurs du spectre, car ceux-ci s'appuient souvent sur les normes et recommandations de l'UIT-R en tant que fondement pour établir les conditions techniques des autorisations qu'ils délivrent pour l'utilisation des fréquences radioélectriques et des ressources orbitales dans leur pays. </w:t>
      </w:r>
      <w:r w:rsidR="00A705C0" w:rsidRPr="00E1241D">
        <w:t>En l'absence de</w:t>
      </w:r>
      <w:r w:rsidR="002C5158" w:rsidRPr="00E1241D">
        <w:t xml:space="preserve"> </w:t>
      </w:r>
      <w:r w:rsidR="006C1126">
        <w:t>r</w:t>
      </w:r>
      <w:r w:rsidR="002C5158" w:rsidRPr="00E1241D">
        <w:t xml:space="preserve">ecommandation de l'UIT </w:t>
      </w:r>
      <w:r w:rsidR="00A705C0" w:rsidRPr="00E1241D">
        <w:t xml:space="preserve">de ce type </w:t>
      </w:r>
      <w:r w:rsidR="002C5158" w:rsidRPr="00E1241D">
        <w:t>pour les orbites</w:t>
      </w:r>
      <w:r w:rsidR="0041529E" w:rsidRPr="00E1241D">
        <w:t xml:space="preserve"> de satellites</w:t>
      </w:r>
      <w:r w:rsidR="002C5158" w:rsidRPr="00E1241D">
        <w:t xml:space="preserve"> non</w:t>
      </w:r>
      <w:r w:rsidR="00677187" w:rsidRPr="00E1241D">
        <w:t> </w:t>
      </w:r>
      <w:r w:rsidR="002C5158" w:rsidRPr="00E1241D">
        <w:t xml:space="preserve">OSG, </w:t>
      </w:r>
      <w:r w:rsidR="00A705C0" w:rsidRPr="00E1241D">
        <w:t>on continuerait d'autoriser</w:t>
      </w:r>
      <w:r w:rsidR="002C5158" w:rsidRPr="00E1241D">
        <w:t xml:space="preserve"> </w:t>
      </w:r>
      <w:r w:rsidR="00A705C0" w:rsidRPr="00E1241D">
        <w:t>l'exploitation de satellites</w:t>
      </w:r>
      <w:r w:rsidR="00A63D2C" w:rsidRPr="00E1241D">
        <w:t xml:space="preserve"> sans </w:t>
      </w:r>
      <w:r w:rsidR="00C841EA" w:rsidRPr="00E1241D">
        <w:t>exiger</w:t>
      </w:r>
      <w:r w:rsidR="005F4DEC" w:rsidRPr="00E1241D">
        <w:t xml:space="preserve"> de respecter les</w:t>
      </w:r>
      <w:r w:rsidR="00A63D2C" w:rsidRPr="00E1241D">
        <w:t xml:space="preserve"> bonnes pratiques en la matière.</w:t>
      </w:r>
    </w:p>
    <w:p w14:paraId="4B32540D" w14:textId="4A267477" w:rsidR="00406A1A" w:rsidRPr="00E1241D" w:rsidRDefault="00406A1A" w:rsidP="005D6E44">
      <w:pPr>
        <w:pStyle w:val="Headingb"/>
      </w:pPr>
      <w:r w:rsidRPr="00E1241D">
        <w:t>Proposition</w:t>
      </w:r>
    </w:p>
    <w:p w14:paraId="3DF6F306" w14:textId="77777777" w:rsidR="0015203F" w:rsidRPr="00E1241D" w:rsidRDefault="0015203F" w:rsidP="005D6E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1241D">
        <w:br w:type="page"/>
      </w:r>
    </w:p>
    <w:p w14:paraId="338E5AF3" w14:textId="705383AA" w:rsidR="009F7F93" w:rsidRPr="00E1241D" w:rsidRDefault="000C466A" w:rsidP="00677187">
      <w:pPr>
        <w:pStyle w:val="Sectiontitle"/>
      </w:pPr>
      <w:r w:rsidRPr="00E1241D">
        <w:lastRenderedPageBreak/>
        <w:t>Paragraphe 4.13 – Viabilité à long terme des ressources que sont le spectre</w:t>
      </w:r>
      <w:r w:rsidRPr="00E1241D">
        <w:br/>
        <w:t>et les</w:t>
      </w:r>
      <w:r w:rsidR="0041529E" w:rsidRPr="00E1241D">
        <w:t xml:space="preserve"> </w:t>
      </w:r>
      <w:r w:rsidRPr="00E1241D">
        <w:t>orbites</w:t>
      </w:r>
      <w:r w:rsidR="00BB3926" w:rsidRPr="00E1241D">
        <w:t xml:space="preserve"> </w:t>
      </w:r>
      <w:r w:rsidRPr="00E1241D">
        <w:t>de satellites non OSG, accès équitable à ces ressources</w:t>
      </w:r>
      <w:r w:rsidRPr="00E1241D">
        <w:br/>
        <w:t>et leur utilisation rationnelle</w:t>
      </w:r>
    </w:p>
    <w:p w14:paraId="45D5FCC1" w14:textId="6A35F895" w:rsidR="001A48C8" w:rsidRPr="00E1241D" w:rsidRDefault="002816EF" w:rsidP="005D6E44">
      <w:pPr>
        <w:pStyle w:val="Proposal"/>
      </w:pPr>
      <w:r w:rsidRPr="00E1241D">
        <w:tab/>
        <w:t>IAP/44A26A1/1</w:t>
      </w:r>
    </w:p>
    <w:p w14:paraId="001B15C8" w14:textId="3ED8CA94" w:rsidR="001A48C8" w:rsidRPr="00E1241D" w:rsidRDefault="00724F00" w:rsidP="001241E7">
      <w:r w:rsidRPr="00E1241D">
        <w:t xml:space="preserve">Afin de résoudre une partie du problème </w:t>
      </w:r>
      <w:r w:rsidR="00143822" w:rsidRPr="00E1241D">
        <w:t xml:space="preserve">exposé </w:t>
      </w:r>
      <w:r w:rsidRPr="00E1241D">
        <w:t>dans le paragraphe</w:t>
      </w:r>
      <w:r w:rsidR="00677187" w:rsidRPr="00E1241D">
        <w:t> </w:t>
      </w:r>
      <w:r w:rsidRPr="00E1241D">
        <w:t>4.13 du Rapport du RRB à la</w:t>
      </w:r>
      <w:r w:rsidR="00677187" w:rsidRPr="00E1241D">
        <w:t> </w:t>
      </w:r>
      <w:r w:rsidRPr="00E1241D">
        <w:t>CMR-23, la CITEL propose que la CMR-23 décide de charger les commissions d'études de l'UIT</w:t>
      </w:r>
      <w:r w:rsidR="001E3F2F" w:rsidRPr="00E1241D">
        <w:t>-R</w:t>
      </w:r>
      <w:r w:rsidRPr="00E1241D">
        <w:t xml:space="preserve"> </w:t>
      </w:r>
      <w:r w:rsidR="00CB02E6" w:rsidRPr="00E1241D">
        <w:t>concernées de procéder à</w:t>
      </w:r>
      <w:r w:rsidRPr="00E1241D">
        <w:t xml:space="preserve"> des études et </w:t>
      </w:r>
      <w:r w:rsidR="001E3F2F" w:rsidRPr="00E1241D">
        <w:t>d'établir</w:t>
      </w:r>
      <w:r w:rsidR="00972CE6" w:rsidRPr="00E1241D">
        <w:t xml:space="preserve"> lors d</w:t>
      </w:r>
      <w:r w:rsidR="0041529E" w:rsidRPr="00E1241D">
        <w:t>e la prochaine période</w:t>
      </w:r>
      <w:r w:rsidR="00972CE6" w:rsidRPr="00E1241D">
        <w:t xml:space="preserve"> d'études, </w:t>
      </w:r>
      <w:r w:rsidR="0041529E" w:rsidRPr="00E1241D">
        <w:t xml:space="preserve">de toute </w:t>
      </w:r>
      <w:r w:rsidR="00972CE6" w:rsidRPr="00E1241D">
        <w:t xml:space="preserve">urgence et </w:t>
      </w:r>
      <w:r w:rsidR="0041529E" w:rsidRPr="00E1241D">
        <w:t>à titre prioritaire</w:t>
      </w:r>
      <w:r w:rsidR="00972CE6" w:rsidRPr="00E1241D">
        <w:t xml:space="preserve">, </w:t>
      </w:r>
      <w:r w:rsidR="001E3F2F" w:rsidRPr="00E1241D">
        <w:t>la version finale d'</w:t>
      </w:r>
      <w:r w:rsidR="00972CE6" w:rsidRPr="00E1241D">
        <w:t xml:space="preserve">une nouvelle recommandation technique sur la protection environnementale des orbites de satellites non géostationnaires pour une utilisation durable par les services de radiocommunication spatiale, </w:t>
      </w:r>
      <w:r w:rsidR="001E3F2F" w:rsidRPr="00E1241D">
        <w:t>afin</w:t>
      </w:r>
      <w:r w:rsidR="00972CE6" w:rsidRPr="00E1241D">
        <w:t xml:space="preserve"> </w:t>
      </w:r>
      <w:r w:rsidR="001E3F2F" w:rsidRPr="00E1241D">
        <w:t>d'évaluer et d'</w:t>
      </w:r>
      <w:r w:rsidR="00972CE6" w:rsidRPr="00E1241D">
        <w:t xml:space="preserve">examiner l'intégration, </w:t>
      </w:r>
      <w:r w:rsidR="0041529E" w:rsidRPr="00E1241D">
        <w:t>notamment</w:t>
      </w:r>
      <w:r w:rsidR="00972CE6" w:rsidRPr="00E1241D">
        <w:t>, d'orientations sur des stratégies et des méthodes sûres et efficaces de retrait de stations spatiales non</w:t>
      </w:r>
      <w:r w:rsidR="00C353ED">
        <w:t xml:space="preserve"> </w:t>
      </w:r>
      <w:r w:rsidR="00972CE6" w:rsidRPr="00E1241D">
        <w:t>OSG</w:t>
      </w:r>
      <w:r w:rsidR="00240F5B" w:rsidRPr="00E1241D">
        <w:t xml:space="preserve"> en fin de vie</w:t>
      </w:r>
      <w:r w:rsidR="00972CE6" w:rsidRPr="00E1241D">
        <w:t xml:space="preserve"> </w:t>
      </w:r>
      <w:r w:rsidR="00240F5B" w:rsidRPr="00E1241D">
        <w:t>de leur orbite</w:t>
      </w:r>
      <w:r w:rsidR="009F7F93" w:rsidRPr="00E1241D">
        <w:t>.</w:t>
      </w:r>
    </w:p>
    <w:p w14:paraId="0E40CA4B" w14:textId="71155949" w:rsidR="00492D69" w:rsidRPr="00E1241D" w:rsidRDefault="0041529E" w:rsidP="001241E7">
      <w:r w:rsidRPr="00E1241D">
        <w:t>Dans l</w:t>
      </w:r>
      <w:r w:rsidR="00E1241D" w:rsidRPr="00E1241D">
        <w:t>'</w:t>
      </w:r>
      <w:r w:rsidRPr="00E1241D">
        <w:t>intervalle</w:t>
      </w:r>
      <w:r w:rsidR="00972CE6" w:rsidRPr="00E1241D">
        <w:t>, il serait demandé au Directeur du BR de créer un site web consacré à la protection environnementale des orbites de satellites non géostationnaires pour une utilisation durable par les services</w:t>
      </w:r>
      <w:r w:rsidR="00347078" w:rsidRPr="00E1241D">
        <w:t xml:space="preserve"> de radiocommunication spatiale</w:t>
      </w:r>
      <w:r w:rsidR="00972CE6" w:rsidRPr="00E1241D">
        <w:t xml:space="preserve">, accessible </w:t>
      </w:r>
      <w:r w:rsidR="00347078" w:rsidRPr="00E1241D">
        <w:t>depuis</w:t>
      </w:r>
      <w:r w:rsidR="00972CE6" w:rsidRPr="00E1241D">
        <w:t xml:space="preserve"> un lien sur le site web de l'UIT-R</w:t>
      </w:r>
      <w:r w:rsidR="00347078" w:rsidRPr="00E1241D">
        <w:t>, où l'on</w:t>
      </w:r>
      <w:r w:rsidR="00972CE6" w:rsidRPr="00E1241D">
        <w:t xml:space="preserve"> trouverait un ensemble de liens </w:t>
      </w:r>
      <w:r w:rsidR="00347078" w:rsidRPr="00E1241D">
        <w:t>permettant d'avoir accès à des</w:t>
      </w:r>
      <w:r w:rsidR="00972CE6" w:rsidRPr="00E1241D">
        <w:t xml:space="preserve"> renseignements</w:t>
      </w:r>
      <w:r w:rsidR="00347078" w:rsidRPr="00E1241D">
        <w:t xml:space="preserve"> </w:t>
      </w:r>
      <w:r w:rsidR="00A14F71" w:rsidRPr="00E1241D">
        <w:t>fiables</w:t>
      </w:r>
      <w:r w:rsidR="00972CE6" w:rsidRPr="00E1241D">
        <w:t xml:space="preserve"> sur les sujets </w:t>
      </w:r>
      <w:r w:rsidR="00A14F71" w:rsidRPr="00E1241D">
        <w:t>susmentionnés</w:t>
      </w:r>
      <w:r w:rsidR="00972CE6" w:rsidRPr="00E1241D">
        <w:t xml:space="preserve"> </w:t>
      </w:r>
      <w:r w:rsidR="00EA68C1" w:rsidRPr="00E1241D">
        <w:t>mis à disposition</w:t>
      </w:r>
      <w:r w:rsidR="00A14F71" w:rsidRPr="00E1241D">
        <w:t xml:space="preserve"> </w:t>
      </w:r>
      <w:r w:rsidR="00972CE6" w:rsidRPr="00E1241D">
        <w:t>par les différe</w:t>
      </w:r>
      <w:r w:rsidR="00A14F71" w:rsidRPr="00E1241D">
        <w:t xml:space="preserve">nts groupes d'experts existants, </w:t>
      </w:r>
      <w:r w:rsidR="008C7C9B" w:rsidRPr="00E1241D">
        <w:t>sur la base des</w:t>
      </w:r>
      <w:r w:rsidR="00A14F71" w:rsidRPr="00E1241D">
        <w:t xml:space="preserve"> </w:t>
      </w:r>
      <w:r w:rsidR="00972CE6" w:rsidRPr="00E1241D">
        <w:t xml:space="preserve">propositions formulées par les administrations et les Membres de Secteur. Par exemple, </w:t>
      </w:r>
      <w:r w:rsidR="000509BF" w:rsidRPr="00E1241D">
        <w:t>pour obtenir des renseignements sur</w:t>
      </w:r>
      <w:r w:rsidR="00FD4A5E" w:rsidRPr="00E1241D">
        <w:t xml:space="preserve"> les données d'éphémérides, ce site web devrait contenir un lien vers la Space Data Association (</w:t>
      </w:r>
      <w:hyperlink r:id="rId18" w:history="1">
        <w:r w:rsidR="00FD4A5E" w:rsidRPr="00E1241D">
          <w:rPr>
            <w:rStyle w:val="Hyperlink"/>
          </w:rPr>
          <w:t>Space Data C</w:t>
        </w:r>
        <w:r w:rsidR="00FD4A5E" w:rsidRPr="00E1241D">
          <w:rPr>
            <w:rStyle w:val="Hyperlink"/>
          </w:rPr>
          <w:t>e</w:t>
        </w:r>
        <w:r w:rsidR="00FD4A5E" w:rsidRPr="00E1241D">
          <w:rPr>
            <w:rStyle w:val="Hyperlink"/>
          </w:rPr>
          <w:t>nter – Space Data Association (space-data.org)</w:t>
        </w:r>
      </w:hyperlink>
      <w:r w:rsidR="007114D7" w:rsidRPr="00E1241D">
        <w:t xml:space="preserve"> </w:t>
      </w:r>
      <w:r w:rsidR="00FD4A5E" w:rsidRPr="00E1241D">
        <w:t>et Space</w:t>
      </w:r>
      <w:r w:rsidR="00C353ED">
        <w:t> </w:t>
      </w:r>
      <w:r w:rsidR="00FD4A5E" w:rsidRPr="00E1241D">
        <w:t>Track</w:t>
      </w:r>
      <w:r w:rsidRPr="00E1241D">
        <w:t xml:space="preserve"> (</w:t>
      </w:r>
      <w:hyperlink r:id="rId19" w:anchor="odr" w:history="1">
        <w:r w:rsidR="00677187" w:rsidRPr="00E1241D">
          <w:rPr>
            <w:rStyle w:val="Hyperlink"/>
          </w:rPr>
          <w:t>space-tra</w:t>
        </w:r>
        <w:r w:rsidR="00677187" w:rsidRPr="00E1241D">
          <w:rPr>
            <w:rStyle w:val="Hyperlink"/>
          </w:rPr>
          <w:t>c</w:t>
        </w:r>
        <w:r w:rsidR="00677187" w:rsidRPr="00E1241D">
          <w:rPr>
            <w:rStyle w:val="Hyperlink"/>
          </w:rPr>
          <w:t>k.org</w:t>
        </w:r>
      </w:hyperlink>
      <w:r w:rsidRPr="00E1241D">
        <w:t>)</w:t>
      </w:r>
      <w:r w:rsidR="00677187" w:rsidRPr="00E1241D">
        <w:t>)</w:t>
      </w:r>
      <w:r w:rsidR="00FD4A5E" w:rsidRPr="00E1241D">
        <w:t xml:space="preserve">. </w:t>
      </w:r>
      <w:r w:rsidR="000509BF" w:rsidRPr="00E1241D">
        <w:t>Cela permettrait</w:t>
      </w:r>
      <w:r w:rsidR="00492D69" w:rsidRPr="00E1241D">
        <w:t xml:space="preserve"> </w:t>
      </w:r>
      <w:r w:rsidR="00816805" w:rsidRPr="00E1241D">
        <w:t xml:space="preserve">aux </w:t>
      </w:r>
      <w:r w:rsidR="00492D69" w:rsidRPr="00E1241D">
        <w:t xml:space="preserve">membres de l'UIT-R et </w:t>
      </w:r>
      <w:r w:rsidRPr="00E1241D">
        <w:t xml:space="preserve">à la population générale </w:t>
      </w:r>
      <w:r w:rsidR="00492D69" w:rsidRPr="00E1241D">
        <w:t xml:space="preserve">de trouver des renseignements connexes </w:t>
      </w:r>
      <w:r w:rsidR="00816805" w:rsidRPr="00E1241D">
        <w:t xml:space="preserve">en un seul endroit </w:t>
      </w:r>
      <w:r w:rsidR="008C7C9B" w:rsidRPr="00E1241D">
        <w:t>pendant que</w:t>
      </w:r>
      <w:r w:rsidR="00492D69" w:rsidRPr="00E1241D">
        <w:t xml:space="preserve"> l'UIT-R </w:t>
      </w:r>
      <w:r w:rsidR="008C7C9B" w:rsidRPr="00E1241D">
        <w:t xml:space="preserve">mène ses travaux </w:t>
      </w:r>
      <w:r w:rsidR="00492D69" w:rsidRPr="00E1241D">
        <w:t>sur la Recommandation technique.</w:t>
      </w:r>
    </w:p>
    <w:p w14:paraId="5F83A879" w14:textId="7C9003CC" w:rsidR="009F7F93" w:rsidRPr="00E1241D" w:rsidRDefault="00492D69" w:rsidP="001241E7">
      <w:r w:rsidRPr="00E1241D">
        <w:t xml:space="preserve">On trouvera, à la fin du présent document, </w:t>
      </w:r>
      <w:r w:rsidR="0041529E" w:rsidRPr="00E1241D">
        <w:t>un</w:t>
      </w:r>
      <w:r w:rsidRPr="00E1241D">
        <w:t xml:space="preserve"> pro</w:t>
      </w:r>
      <w:r w:rsidR="009F7CC2" w:rsidRPr="00E1241D">
        <w:t xml:space="preserve">jet de texte </w:t>
      </w:r>
      <w:r w:rsidR="0041529E" w:rsidRPr="00E1241D">
        <w:t>qu</w:t>
      </w:r>
      <w:r w:rsidR="00E1241D" w:rsidRPr="00E1241D">
        <w:t>'</w:t>
      </w:r>
      <w:r w:rsidR="0041529E" w:rsidRPr="00E1241D">
        <w:t>il est proposé d</w:t>
      </w:r>
      <w:r w:rsidR="00E1241D" w:rsidRPr="00E1241D">
        <w:t>'</w:t>
      </w:r>
      <w:r w:rsidR="009F7CC2" w:rsidRPr="00E1241D">
        <w:t xml:space="preserve">inclure dans le procès-verbal de la séance plénière </w:t>
      </w:r>
      <w:r w:rsidRPr="00E1241D">
        <w:t xml:space="preserve">de la CMR-23 pour refléter la décision, </w:t>
      </w:r>
      <w:r w:rsidR="009F7CC2" w:rsidRPr="00E1241D">
        <w:t>s'il en est ainsi convenu</w:t>
      </w:r>
      <w:r w:rsidR="009F7F93" w:rsidRPr="00E1241D">
        <w:t>.</w:t>
      </w:r>
    </w:p>
    <w:p w14:paraId="1C0C2D22" w14:textId="4534B17F" w:rsidR="009F7F93" w:rsidRPr="00E1241D" w:rsidRDefault="009F7CC2" w:rsidP="001241E7">
      <w:pPr>
        <w:pStyle w:val="Headingb"/>
      </w:pPr>
      <w:r w:rsidRPr="00E1241D">
        <w:t xml:space="preserve">Proposition </w:t>
      </w:r>
      <w:r w:rsidR="008C7C9B" w:rsidRPr="00E1241D">
        <w:t>de texte à inclure dans le PROCÈS-VERBAL DE LA PLÉNIÈ</w:t>
      </w:r>
      <w:r w:rsidRPr="00E1241D">
        <w:t>RE DE LA</w:t>
      </w:r>
      <w:r w:rsidR="00C353ED">
        <w:t> </w:t>
      </w:r>
      <w:r w:rsidRPr="00E1241D">
        <w:t>CMR</w:t>
      </w:r>
      <w:r w:rsidR="00677187" w:rsidRPr="00E1241D">
        <w:noBreakHyphen/>
      </w:r>
      <w:r w:rsidRPr="00E1241D">
        <w:t>23 pour mettre en œuvre la proposition ci-dessus</w:t>
      </w:r>
      <w:r w:rsidR="009F7F93" w:rsidRPr="00E1241D">
        <w:t>.</w:t>
      </w:r>
    </w:p>
    <w:p w14:paraId="38971303" w14:textId="67CAA62F" w:rsidR="009F7F93" w:rsidRPr="00E1241D" w:rsidRDefault="008166F2" w:rsidP="001241E7">
      <w:pPr>
        <w:rPr>
          <w:i/>
          <w:iCs/>
        </w:rPr>
      </w:pPr>
      <w:r w:rsidRPr="00E1241D">
        <w:rPr>
          <w:i/>
          <w:iCs/>
        </w:rPr>
        <w:t>«</w:t>
      </w:r>
      <w:r w:rsidR="00573DD0" w:rsidRPr="00E1241D">
        <w:rPr>
          <w:i/>
          <w:iCs/>
        </w:rPr>
        <w:t>…En ce qui concerne le contenu du paragraphe</w:t>
      </w:r>
      <w:r w:rsidR="00677187" w:rsidRPr="00E1241D">
        <w:rPr>
          <w:i/>
          <w:iCs/>
        </w:rPr>
        <w:t> </w:t>
      </w:r>
      <w:r w:rsidR="00573DD0" w:rsidRPr="00E1241D">
        <w:rPr>
          <w:i/>
          <w:iCs/>
        </w:rPr>
        <w:t>4.13 du Rapport du Comité du Règlement des radiocommunications sur la Résolution</w:t>
      </w:r>
      <w:r w:rsidR="00677187" w:rsidRPr="00E1241D">
        <w:rPr>
          <w:i/>
          <w:iCs/>
        </w:rPr>
        <w:t> </w:t>
      </w:r>
      <w:r w:rsidR="00573DD0" w:rsidRPr="00E1241D">
        <w:rPr>
          <w:b/>
          <w:i/>
          <w:iCs/>
        </w:rPr>
        <w:t>80 (Rév.CMR-07)</w:t>
      </w:r>
      <w:r w:rsidR="00573DD0" w:rsidRPr="00E1241D">
        <w:rPr>
          <w:i/>
          <w:iCs/>
        </w:rPr>
        <w:t xml:space="preserve">, </w:t>
      </w:r>
      <w:r w:rsidR="008C7C9B" w:rsidRPr="00E1241D">
        <w:rPr>
          <w:i/>
          <w:iCs/>
        </w:rPr>
        <w:t>qui traite de</w:t>
      </w:r>
      <w:r w:rsidR="00573DD0" w:rsidRPr="00E1241D">
        <w:rPr>
          <w:i/>
          <w:iCs/>
        </w:rPr>
        <w:t xml:space="preserve"> la question de la viabilité spatiale à long terme, la CMR-23 a décidé de charger les commissions d'études de l'UIT-R </w:t>
      </w:r>
      <w:r w:rsidR="00CB02E6" w:rsidRPr="00E1241D">
        <w:rPr>
          <w:i/>
          <w:iCs/>
        </w:rPr>
        <w:t>concernées de procéder à</w:t>
      </w:r>
      <w:r w:rsidR="00573DD0" w:rsidRPr="00E1241D">
        <w:rPr>
          <w:i/>
          <w:iCs/>
        </w:rPr>
        <w:t xml:space="preserve"> des études et </w:t>
      </w:r>
      <w:r w:rsidR="008C7C9B" w:rsidRPr="00E1241D">
        <w:rPr>
          <w:i/>
          <w:iCs/>
        </w:rPr>
        <w:t>d'établir</w:t>
      </w:r>
      <w:r w:rsidR="00573DD0" w:rsidRPr="00E1241D">
        <w:rPr>
          <w:i/>
          <w:iCs/>
        </w:rPr>
        <w:t xml:space="preserve"> </w:t>
      </w:r>
      <w:r w:rsidR="008C7C9B" w:rsidRPr="00E1241D">
        <w:rPr>
          <w:i/>
          <w:iCs/>
        </w:rPr>
        <w:t xml:space="preserve">lors </w:t>
      </w:r>
      <w:r w:rsidR="0041529E" w:rsidRPr="00E1241D">
        <w:rPr>
          <w:i/>
          <w:iCs/>
        </w:rPr>
        <w:t>de la prochaine période</w:t>
      </w:r>
      <w:r w:rsidR="00573DD0" w:rsidRPr="00E1241D">
        <w:rPr>
          <w:i/>
          <w:iCs/>
        </w:rPr>
        <w:t xml:space="preserve"> d'études, </w:t>
      </w:r>
      <w:r w:rsidR="0041529E" w:rsidRPr="00E1241D">
        <w:rPr>
          <w:i/>
          <w:iCs/>
        </w:rPr>
        <w:t xml:space="preserve">de toute </w:t>
      </w:r>
      <w:r w:rsidR="00573DD0" w:rsidRPr="00E1241D">
        <w:rPr>
          <w:i/>
          <w:iCs/>
        </w:rPr>
        <w:t xml:space="preserve">urgence et </w:t>
      </w:r>
      <w:r w:rsidR="0041529E" w:rsidRPr="00E1241D">
        <w:rPr>
          <w:i/>
          <w:iCs/>
        </w:rPr>
        <w:t>à titre prioritaire</w:t>
      </w:r>
      <w:r w:rsidR="00573DD0" w:rsidRPr="00E1241D">
        <w:rPr>
          <w:i/>
          <w:iCs/>
        </w:rPr>
        <w:t xml:space="preserve">, </w:t>
      </w:r>
      <w:r w:rsidR="008C7C9B" w:rsidRPr="00E1241D">
        <w:rPr>
          <w:i/>
          <w:iCs/>
        </w:rPr>
        <w:t>la version finale d'</w:t>
      </w:r>
      <w:r w:rsidR="00573DD0" w:rsidRPr="00E1241D">
        <w:rPr>
          <w:i/>
          <w:iCs/>
        </w:rPr>
        <w:t xml:space="preserve">une nouvelle recommandation technique sur la protection environnementale des orbites de satellites non géostationnaires pour une utilisation durable par les services de radiocommunication spatiale, </w:t>
      </w:r>
      <w:r w:rsidR="008C7C9B" w:rsidRPr="00E1241D">
        <w:rPr>
          <w:i/>
          <w:iCs/>
        </w:rPr>
        <w:t>afin</w:t>
      </w:r>
      <w:r w:rsidR="00573DD0" w:rsidRPr="00E1241D">
        <w:rPr>
          <w:i/>
          <w:iCs/>
        </w:rPr>
        <w:t xml:space="preserve"> </w:t>
      </w:r>
      <w:r w:rsidR="008C7C9B" w:rsidRPr="00E1241D">
        <w:rPr>
          <w:i/>
          <w:iCs/>
        </w:rPr>
        <w:t>d'évaluer et d'</w:t>
      </w:r>
      <w:r w:rsidR="00573DD0" w:rsidRPr="00E1241D">
        <w:rPr>
          <w:i/>
          <w:iCs/>
        </w:rPr>
        <w:t xml:space="preserve">examiner l'intégration, </w:t>
      </w:r>
      <w:r w:rsidR="0041529E" w:rsidRPr="00E1241D">
        <w:rPr>
          <w:i/>
          <w:iCs/>
        </w:rPr>
        <w:t>notamment</w:t>
      </w:r>
      <w:r w:rsidR="00573DD0" w:rsidRPr="00E1241D">
        <w:rPr>
          <w:i/>
          <w:iCs/>
        </w:rPr>
        <w:t>, d'orientations sur des stratégies et des méthodes sûres et efficaces de retrait de stations spatiales non</w:t>
      </w:r>
      <w:r w:rsidR="00677187" w:rsidRPr="00E1241D">
        <w:rPr>
          <w:i/>
          <w:iCs/>
        </w:rPr>
        <w:t> </w:t>
      </w:r>
      <w:r w:rsidR="00573DD0" w:rsidRPr="00E1241D">
        <w:rPr>
          <w:i/>
          <w:iCs/>
        </w:rPr>
        <w:t xml:space="preserve">OSG </w:t>
      </w:r>
      <w:r w:rsidR="008C7C9B" w:rsidRPr="00E1241D">
        <w:rPr>
          <w:i/>
          <w:iCs/>
        </w:rPr>
        <w:t xml:space="preserve">en fin de vie </w:t>
      </w:r>
      <w:r w:rsidR="00573DD0" w:rsidRPr="00E1241D">
        <w:rPr>
          <w:i/>
          <w:iCs/>
        </w:rPr>
        <w:t>de leur orbite</w:t>
      </w:r>
      <w:r w:rsidR="009F7F93" w:rsidRPr="00E1241D">
        <w:rPr>
          <w:i/>
          <w:iCs/>
        </w:rPr>
        <w:t>.</w:t>
      </w:r>
    </w:p>
    <w:p w14:paraId="55D0EA10" w14:textId="64564CFD" w:rsidR="00573DD0" w:rsidRPr="00E1241D" w:rsidRDefault="00573DD0" w:rsidP="001241E7">
      <w:pPr>
        <w:rPr>
          <w:i/>
          <w:iCs/>
        </w:rPr>
      </w:pPr>
      <w:r w:rsidRPr="00E1241D">
        <w:rPr>
          <w:i/>
          <w:iCs/>
        </w:rPr>
        <w:t xml:space="preserve">Afin </w:t>
      </w:r>
      <w:r w:rsidR="008C7C9B" w:rsidRPr="00E1241D">
        <w:rPr>
          <w:i/>
          <w:iCs/>
        </w:rPr>
        <w:t xml:space="preserve">de permettre aux membres de l'UIT-R et </w:t>
      </w:r>
      <w:r w:rsidR="0041529E" w:rsidRPr="00E1241D">
        <w:rPr>
          <w:i/>
          <w:iCs/>
        </w:rPr>
        <w:t>à la population générale</w:t>
      </w:r>
      <w:r w:rsidR="008C7C9B" w:rsidRPr="00E1241D">
        <w:rPr>
          <w:i/>
          <w:iCs/>
        </w:rPr>
        <w:t xml:space="preserve"> de trouver des renseignements connexes en un seul endroit pendant que l'UIT-R mène ses travaux sur la Recommandation technique, le Directeur du Bureau des radiocommunications est chargé de créer un site web consacré à la protection environnementale des orbites de satellites non géostationnaires pour une utilisation durable par les services de radiocommunication spatiale, accessible depuis un lien sur le site web de l'UIT-R, où l'on trouverait un ensemble de liens permettant d'avoir accès à des renseignements fiables sur les sujets susmentionnés </w:t>
      </w:r>
      <w:r w:rsidR="00EA68C1" w:rsidRPr="00E1241D">
        <w:rPr>
          <w:i/>
          <w:iCs/>
        </w:rPr>
        <w:t>mis à disposition</w:t>
      </w:r>
      <w:r w:rsidR="008C7C9B" w:rsidRPr="00E1241D">
        <w:rPr>
          <w:i/>
          <w:iCs/>
        </w:rPr>
        <w:t xml:space="preserve"> par les différents groupes d'experts existants, sur la base des propositions formulées par les administrations et les Membres de Secteur</w:t>
      </w:r>
      <w:r w:rsidR="00CB02E6" w:rsidRPr="00E1241D">
        <w:rPr>
          <w:i/>
          <w:iCs/>
        </w:rPr>
        <w:t>…»</w:t>
      </w:r>
    </w:p>
    <w:p w14:paraId="4A84549C" w14:textId="77777777" w:rsidR="009F7F93" w:rsidRPr="00E1241D" w:rsidRDefault="009F7F93" w:rsidP="001241E7">
      <w:pPr>
        <w:pStyle w:val="Reasons"/>
      </w:pPr>
    </w:p>
    <w:p w14:paraId="419811DA" w14:textId="77777777" w:rsidR="009F7F93" w:rsidRPr="00E1241D" w:rsidRDefault="009F7F93" w:rsidP="001241E7">
      <w:pPr>
        <w:jc w:val="center"/>
      </w:pPr>
      <w:r w:rsidRPr="00E1241D">
        <w:lastRenderedPageBreak/>
        <w:t>______________</w:t>
      </w:r>
    </w:p>
    <w:sectPr w:rsidR="009F7F93" w:rsidRPr="00E1241D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E14A" w14:textId="77777777" w:rsidR="00CB685A" w:rsidRDefault="00CB685A">
      <w:r>
        <w:separator/>
      </w:r>
    </w:p>
  </w:endnote>
  <w:endnote w:type="continuationSeparator" w:id="0">
    <w:p w14:paraId="5D1669F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7B98" w14:textId="13F45E6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3926">
      <w:rPr>
        <w:noProof/>
        <w:lang w:val="en-US"/>
      </w:rPr>
      <w:t>P:\TRAD\F\ITU-R\CONF-R\CMR23\000\044ADD26ADD01FMONTAGE.docx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3ED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926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975A" w14:textId="35DDF95E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E13">
      <w:rPr>
        <w:lang w:val="en-US"/>
      </w:rPr>
      <w:t>P:\FRA\ITU-R\CONF-R\CMR23\000\044ADD26ADD01F.docx</w:t>
    </w:r>
    <w:r>
      <w:fldChar w:fldCharType="end"/>
    </w:r>
    <w:r w:rsidR="002816EF" w:rsidRPr="00BB3926">
      <w:rPr>
        <w:lang w:val="en-US"/>
      </w:rPr>
      <w:t xml:space="preserve"> (529468)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B564" w14:textId="013F126F" w:rsidR="00936D25" w:rsidRPr="003D7E13" w:rsidRDefault="003D7E13" w:rsidP="003D7E1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P:\FRA\ITU-R\CONF-R\CMR23\000\044ADD26ADD01F.docx</w:t>
    </w:r>
    <w:r>
      <w:fldChar w:fldCharType="end"/>
    </w:r>
    <w:r w:rsidRPr="00BB3926">
      <w:rPr>
        <w:lang w:val="en-US"/>
      </w:rPr>
      <w:t xml:space="preserve"> (529468)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33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A4B36E6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5A50" w14:textId="6F4A8CB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68C1">
      <w:rPr>
        <w:noProof/>
      </w:rPr>
      <w:t>5</w:t>
    </w:r>
    <w:r>
      <w:fldChar w:fldCharType="end"/>
    </w:r>
  </w:p>
  <w:p w14:paraId="285297B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44(Add.26)(Add.1)-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6466135">
    <w:abstractNumId w:val="0"/>
  </w:num>
  <w:num w:numId="2" w16cid:durableId="14621907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2FB0"/>
    <w:rsid w:val="00016648"/>
    <w:rsid w:val="00033D7D"/>
    <w:rsid w:val="0003522F"/>
    <w:rsid w:val="00042BAC"/>
    <w:rsid w:val="000509BF"/>
    <w:rsid w:val="00063A1F"/>
    <w:rsid w:val="00080E2C"/>
    <w:rsid w:val="00081366"/>
    <w:rsid w:val="000863B3"/>
    <w:rsid w:val="000A4755"/>
    <w:rsid w:val="000A55AE"/>
    <w:rsid w:val="000B2E0C"/>
    <w:rsid w:val="000B3D0C"/>
    <w:rsid w:val="000C466A"/>
    <w:rsid w:val="000D0412"/>
    <w:rsid w:val="000E3E71"/>
    <w:rsid w:val="001167B9"/>
    <w:rsid w:val="001241E7"/>
    <w:rsid w:val="001267A0"/>
    <w:rsid w:val="00143822"/>
    <w:rsid w:val="0015203F"/>
    <w:rsid w:val="00160C64"/>
    <w:rsid w:val="0018169B"/>
    <w:rsid w:val="0019352B"/>
    <w:rsid w:val="001960D0"/>
    <w:rsid w:val="001A11F6"/>
    <w:rsid w:val="001A48C8"/>
    <w:rsid w:val="001E2308"/>
    <w:rsid w:val="001E3F2F"/>
    <w:rsid w:val="001F17E8"/>
    <w:rsid w:val="00202EEE"/>
    <w:rsid w:val="00204306"/>
    <w:rsid w:val="00212721"/>
    <w:rsid w:val="00225CF2"/>
    <w:rsid w:val="00232FD2"/>
    <w:rsid w:val="00240F5B"/>
    <w:rsid w:val="0026484B"/>
    <w:rsid w:val="0026554E"/>
    <w:rsid w:val="002816EF"/>
    <w:rsid w:val="00283CEC"/>
    <w:rsid w:val="002A4622"/>
    <w:rsid w:val="002A6F8F"/>
    <w:rsid w:val="002B17E5"/>
    <w:rsid w:val="002C0EBF"/>
    <w:rsid w:val="002C28A4"/>
    <w:rsid w:val="002C5158"/>
    <w:rsid w:val="002C6083"/>
    <w:rsid w:val="002D7E0A"/>
    <w:rsid w:val="002F1F0F"/>
    <w:rsid w:val="00315AFE"/>
    <w:rsid w:val="003411F6"/>
    <w:rsid w:val="00347078"/>
    <w:rsid w:val="003606A6"/>
    <w:rsid w:val="00362888"/>
    <w:rsid w:val="0036650C"/>
    <w:rsid w:val="0038320A"/>
    <w:rsid w:val="00393ACD"/>
    <w:rsid w:val="003958D2"/>
    <w:rsid w:val="003A583E"/>
    <w:rsid w:val="003B2ECD"/>
    <w:rsid w:val="003B640E"/>
    <w:rsid w:val="003D7E13"/>
    <w:rsid w:val="003E112B"/>
    <w:rsid w:val="003E1D1C"/>
    <w:rsid w:val="003E7B05"/>
    <w:rsid w:val="003F3719"/>
    <w:rsid w:val="003F6F2D"/>
    <w:rsid w:val="00406A1A"/>
    <w:rsid w:val="0041529E"/>
    <w:rsid w:val="00417F02"/>
    <w:rsid w:val="00451003"/>
    <w:rsid w:val="00455CED"/>
    <w:rsid w:val="00466211"/>
    <w:rsid w:val="00467C7A"/>
    <w:rsid w:val="00483196"/>
    <w:rsid w:val="004834A9"/>
    <w:rsid w:val="00492D69"/>
    <w:rsid w:val="004D01FC"/>
    <w:rsid w:val="004E28C3"/>
    <w:rsid w:val="004E5413"/>
    <w:rsid w:val="004F1F8E"/>
    <w:rsid w:val="00512A32"/>
    <w:rsid w:val="005343DA"/>
    <w:rsid w:val="00560874"/>
    <w:rsid w:val="00563EA7"/>
    <w:rsid w:val="00573DD0"/>
    <w:rsid w:val="00581C60"/>
    <w:rsid w:val="00586CF2"/>
    <w:rsid w:val="005A7C75"/>
    <w:rsid w:val="005C3768"/>
    <w:rsid w:val="005C6C3F"/>
    <w:rsid w:val="005D6E44"/>
    <w:rsid w:val="005E06FA"/>
    <w:rsid w:val="005F4DEC"/>
    <w:rsid w:val="00610292"/>
    <w:rsid w:val="00613635"/>
    <w:rsid w:val="0062093D"/>
    <w:rsid w:val="00637ECF"/>
    <w:rsid w:val="00647B59"/>
    <w:rsid w:val="00677187"/>
    <w:rsid w:val="00690C7B"/>
    <w:rsid w:val="006A4B45"/>
    <w:rsid w:val="006C1126"/>
    <w:rsid w:val="006D4724"/>
    <w:rsid w:val="006F5FA2"/>
    <w:rsid w:val="0070076C"/>
    <w:rsid w:val="00701BAE"/>
    <w:rsid w:val="00704612"/>
    <w:rsid w:val="007114D7"/>
    <w:rsid w:val="00721F04"/>
    <w:rsid w:val="00724F00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166F2"/>
    <w:rsid w:val="00816805"/>
    <w:rsid w:val="00830086"/>
    <w:rsid w:val="00851625"/>
    <w:rsid w:val="00863C0A"/>
    <w:rsid w:val="008A2A6B"/>
    <w:rsid w:val="008A3120"/>
    <w:rsid w:val="008A4B97"/>
    <w:rsid w:val="008C5B8E"/>
    <w:rsid w:val="008C5DD5"/>
    <w:rsid w:val="008C7123"/>
    <w:rsid w:val="008C7C9B"/>
    <w:rsid w:val="008D41BE"/>
    <w:rsid w:val="008D58D3"/>
    <w:rsid w:val="008E3BC9"/>
    <w:rsid w:val="00917A83"/>
    <w:rsid w:val="00923064"/>
    <w:rsid w:val="00930FFD"/>
    <w:rsid w:val="0093125D"/>
    <w:rsid w:val="00936D25"/>
    <w:rsid w:val="00941EA5"/>
    <w:rsid w:val="00964700"/>
    <w:rsid w:val="00966C16"/>
    <w:rsid w:val="00972CE6"/>
    <w:rsid w:val="00973581"/>
    <w:rsid w:val="0098732F"/>
    <w:rsid w:val="009922B1"/>
    <w:rsid w:val="009A045F"/>
    <w:rsid w:val="009A6A2B"/>
    <w:rsid w:val="009C7E7C"/>
    <w:rsid w:val="009F4BB4"/>
    <w:rsid w:val="009F7CC2"/>
    <w:rsid w:val="009F7F93"/>
    <w:rsid w:val="00A00473"/>
    <w:rsid w:val="00A03C9B"/>
    <w:rsid w:val="00A14F71"/>
    <w:rsid w:val="00A309FD"/>
    <w:rsid w:val="00A37105"/>
    <w:rsid w:val="00A606C3"/>
    <w:rsid w:val="00A63D2C"/>
    <w:rsid w:val="00A705C0"/>
    <w:rsid w:val="00A7463D"/>
    <w:rsid w:val="00A83B09"/>
    <w:rsid w:val="00A84541"/>
    <w:rsid w:val="00A9497A"/>
    <w:rsid w:val="00AE36A0"/>
    <w:rsid w:val="00B00294"/>
    <w:rsid w:val="00B242B4"/>
    <w:rsid w:val="00B3749C"/>
    <w:rsid w:val="00B64FD0"/>
    <w:rsid w:val="00B753A6"/>
    <w:rsid w:val="00B8094E"/>
    <w:rsid w:val="00BA5BD0"/>
    <w:rsid w:val="00BB1D82"/>
    <w:rsid w:val="00BB3926"/>
    <w:rsid w:val="00BC217E"/>
    <w:rsid w:val="00BC4757"/>
    <w:rsid w:val="00BD51C5"/>
    <w:rsid w:val="00BF26E7"/>
    <w:rsid w:val="00C07F47"/>
    <w:rsid w:val="00C1305F"/>
    <w:rsid w:val="00C3000C"/>
    <w:rsid w:val="00C353ED"/>
    <w:rsid w:val="00C53FCA"/>
    <w:rsid w:val="00C71DEB"/>
    <w:rsid w:val="00C76BAF"/>
    <w:rsid w:val="00C814B9"/>
    <w:rsid w:val="00C841EA"/>
    <w:rsid w:val="00C852F1"/>
    <w:rsid w:val="00CB02E6"/>
    <w:rsid w:val="00CB685A"/>
    <w:rsid w:val="00CC127C"/>
    <w:rsid w:val="00CC5204"/>
    <w:rsid w:val="00CD516F"/>
    <w:rsid w:val="00D119A7"/>
    <w:rsid w:val="00D25FBA"/>
    <w:rsid w:val="00D32B28"/>
    <w:rsid w:val="00D3426F"/>
    <w:rsid w:val="00D37BA4"/>
    <w:rsid w:val="00D42954"/>
    <w:rsid w:val="00D66EAC"/>
    <w:rsid w:val="00D730DF"/>
    <w:rsid w:val="00D772F0"/>
    <w:rsid w:val="00D77BDC"/>
    <w:rsid w:val="00D925A1"/>
    <w:rsid w:val="00DC402B"/>
    <w:rsid w:val="00DE0932"/>
    <w:rsid w:val="00DF15E8"/>
    <w:rsid w:val="00E03A27"/>
    <w:rsid w:val="00E049F1"/>
    <w:rsid w:val="00E1241D"/>
    <w:rsid w:val="00E37A25"/>
    <w:rsid w:val="00E537FF"/>
    <w:rsid w:val="00E60CB2"/>
    <w:rsid w:val="00E6539B"/>
    <w:rsid w:val="00E70A31"/>
    <w:rsid w:val="00E723A7"/>
    <w:rsid w:val="00EA3F38"/>
    <w:rsid w:val="00EA5AB6"/>
    <w:rsid w:val="00EA68C1"/>
    <w:rsid w:val="00EC7615"/>
    <w:rsid w:val="00ED16AA"/>
    <w:rsid w:val="00ED6B8D"/>
    <w:rsid w:val="00EE3D7B"/>
    <w:rsid w:val="00EF662E"/>
    <w:rsid w:val="00F10064"/>
    <w:rsid w:val="00F148F1"/>
    <w:rsid w:val="00F306D5"/>
    <w:rsid w:val="00F711A7"/>
    <w:rsid w:val="00FA3BBF"/>
    <w:rsid w:val="00FC41F8"/>
    <w:rsid w:val="00FD4A5E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9880BF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06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949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49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497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97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A9497A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A949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497A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space-data.org/sda/space-data-center-3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unoosa.org/oosa/en/ourwork/topics/space-debris/compendium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rec/itu-r/rec/s/R-REC-S.1003-2-201012-I!!PDF-F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23-WRC23-C-0050/fr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space-track.org/documen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50/f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R23-WRC23-C-0044!A26-A1!MSW-F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42D067C4-93B2-4ED2-9593-9230573FF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97DC1-3AA3-424D-BF0C-CD75473E28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64863-83E6-416F-8294-7EF6E516D8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400AE7-F282-4AC0-85D2-AEAF9D4C3111}">
  <ds:schemaRefs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1507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R23-WRC23-C-0044!A26-A1!MSW-F</vt:lpstr>
    </vt:vector>
  </TitlesOfParts>
  <Manager>Secrétariat général - Pool</Manager>
  <Company>Union internationale des télécommunications (UIT)</Company>
  <LinksUpToDate>false</LinksUpToDate>
  <CharactersWithSpaces>10520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R23-WRC23-C-0044!A26-A1!MSW-F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10</cp:revision>
  <cp:lastPrinted>2003-06-05T19:34:00Z</cp:lastPrinted>
  <dcterms:created xsi:type="dcterms:W3CDTF">2023-11-06T09:45:00Z</dcterms:created>
  <dcterms:modified xsi:type="dcterms:W3CDTF">2023-11-06T15:03:00Z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