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26D646F" w14:textId="77777777" w:rsidTr="0080079E">
        <w:trPr>
          <w:cantSplit/>
        </w:trPr>
        <w:tc>
          <w:tcPr>
            <w:tcW w:w="1418" w:type="dxa"/>
            <w:vAlign w:val="center"/>
          </w:tcPr>
          <w:p w14:paraId="42C6D5E8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F4F5F9" wp14:editId="4B8D179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10903C4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1E251EB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ECED64A" wp14:editId="5FFFDE4D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1CE11CE8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9B2DBC7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DA638E2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53C0663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31EABDA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AB38D2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1A6D3DF0" w14:textId="77777777" w:rsidTr="0090121B">
        <w:trPr>
          <w:cantSplit/>
        </w:trPr>
        <w:tc>
          <w:tcPr>
            <w:tcW w:w="6911" w:type="dxa"/>
            <w:gridSpan w:val="2"/>
          </w:tcPr>
          <w:p w14:paraId="4ACDEB4A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8C8623A" w14:textId="77777777" w:rsidR="0090121B" w:rsidRPr="00527CC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27CC1">
              <w:rPr>
                <w:rFonts w:ascii="Verdana" w:hAnsi="Verdana"/>
                <w:b/>
                <w:sz w:val="18"/>
                <w:szCs w:val="18"/>
                <w:lang w:val="es-ES"/>
              </w:rPr>
              <w:t>Addéndum 3 al</w:t>
            </w:r>
            <w:r w:rsidRPr="00527CC1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44(Add.24)</w:t>
            </w:r>
            <w:r w:rsidR="0090121B" w:rsidRPr="00527CC1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527CC1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44C09FF3" w14:textId="77777777" w:rsidTr="0090121B">
        <w:trPr>
          <w:cantSplit/>
        </w:trPr>
        <w:tc>
          <w:tcPr>
            <w:tcW w:w="6911" w:type="dxa"/>
            <w:gridSpan w:val="2"/>
          </w:tcPr>
          <w:p w14:paraId="6BEDE51F" w14:textId="77777777" w:rsidR="000A5B9A" w:rsidRPr="00527CC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07BB44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26 de junio de 2023</w:t>
            </w:r>
          </w:p>
        </w:tc>
      </w:tr>
      <w:tr w:rsidR="000A5B9A" w:rsidRPr="0002785D" w14:paraId="5FE4F6CA" w14:textId="77777777" w:rsidTr="0090121B">
        <w:trPr>
          <w:cantSplit/>
        </w:trPr>
        <w:tc>
          <w:tcPr>
            <w:tcW w:w="6911" w:type="dxa"/>
            <w:gridSpan w:val="2"/>
          </w:tcPr>
          <w:p w14:paraId="2CC50D0A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E91F15B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416EA657" w14:textId="77777777" w:rsidTr="006744FC">
        <w:trPr>
          <w:cantSplit/>
        </w:trPr>
        <w:tc>
          <w:tcPr>
            <w:tcW w:w="10031" w:type="dxa"/>
            <w:gridSpan w:val="4"/>
          </w:tcPr>
          <w:p w14:paraId="6DDC8F34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36DC261F" w14:textId="77777777" w:rsidTr="0050008E">
        <w:trPr>
          <w:cantSplit/>
        </w:trPr>
        <w:tc>
          <w:tcPr>
            <w:tcW w:w="10031" w:type="dxa"/>
            <w:gridSpan w:val="4"/>
          </w:tcPr>
          <w:p w14:paraId="4CF03989" w14:textId="77777777" w:rsidR="000A5B9A" w:rsidRPr="00527CC1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27CC1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0A5B9A" w:rsidRPr="00943383" w14:paraId="7AA718B9" w14:textId="77777777" w:rsidTr="0050008E">
        <w:trPr>
          <w:cantSplit/>
        </w:trPr>
        <w:tc>
          <w:tcPr>
            <w:tcW w:w="10031" w:type="dxa"/>
            <w:gridSpan w:val="4"/>
          </w:tcPr>
          <w:p w14:paraId="36AF3593" w14:textId="7D555AA7" w:rsidR="000A5B9A" w:rsidRPr="00943383" w:rsidRDefault="00943383" w:rsidP="00943383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943383">
              <w:rPr>
                <w:lang w:val="es-ES"/>
              </w:rPr>
              <w:t>PROPUESTAS PARA LOS TRABAJOS DE LA CONFERENCIA</w:t>
            </w:r>
          </w:p>
        </w:tc>
      </w:tr>
      <w:tr w:rsidR="000A5B9A" w:rsidRPr="00943383" w14:paraId="14A9AD84" w14:textId="77777777" w:rsidTr="0050008E">
        <w:trPr>
          <w:cantSplit/>
        </w:trPr>
        <w:tc>
          <w:tcPr>
            <w:tcW w:w="10031" w:type="dxa"/>
            <w:gridSpan w:val="4"/>
          </w:tcPr>
          <w:p w14:paraId="776C669E" w14:textId="77777777" w:rsidR="000A5B9A" w:rsidRPr="00943383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5CCCA736" w14:textId="77777777" w:rsidTr="0050008E">
        <w:trPr>
          <w:cantSplit/>
        </w:trPr>
        <w:tc>
          <w:tcPr>
            <w:tcW w:w="10031" w:type="dxa"/>
            <w:gridSpan w:val="4"/>
          </w:tcPr>
          <w:p w14:paraId="4C726D01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9.1(9.1-c) del orden del día</w:t>
            </w:r>
          </w:p>
        </w:tc>
      </w:tr>
    </w:tbl>
    <w:bookmarkEnd w:id="5"/>
    <w:p w14:paraId="3237B961" w14:textId="77777777" w:rsidR="00CA2965" w:rsidRPr="002D64EA" w:rsidRDefault="00527CC1" w:rsidP="002D64EA"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1ECF9442" w14:textId="77777777" w:rsidR="00CA2965" w:rsidRPr="0062039A" w:rsidRDefault="00527CC1" w:rsidP="0062039A">
      <w:r w:rsidRPr="00ED1619">
        <w:t>9.1</w:t>
      </w:r>
      <w:r w:rsidRPr="00ED1619">
        <w:tab/>
        <w:t>sobre las actividades del Sector de Radiocomunicaciones de la UIT desde la CMR</w:t>
      </w:r>
      <w:r w:rsidRPr="00ED1619">
        <w:noBreakHyphen/>
        <w:t>19;</w:t>
      </w:r>
    </w:p>
    <w:p w14:paraId="1C776F89" w14:textId="77777777" w:rsidR="00CA2965" w:rsidRDefault="00527CC1" w:rsidP="003F6416">
      <w:r>
        <w:t>(</w:t>
      </w:r>
      <w:r w:rsidRPr="003F6416">
        <w:t>9.</w:t>
      </w:r>
      <w:r>
        <w:t>1-c)</w:t>
      </w:r>
      <w:r w:rsidRPr="003F6416">
        <w:tab/>
      </w:r>
      <w:r w:rsidRPr="00ED1619">
        <w:rPr>
          <w:bCs/>
        </w:rPr>
        <w:t xml:space="preserve">estudiar la utilización de los sistemas de telecomunicaciones móviles internacionales para la banda ancha inalámbrica fija en las bandas de frecuencias atribuidas al servicio fijo a título primario, de conformidad con la Resolución </w:t>
      </w:r>
      <w:r w:rsidRPr="00ED1619">
        <w:rPr>
          <w:b/>
          <w:bCs/>
        </w:rPr>
        <w:t>175 (CMR-19)</w:t>
      </w:r>
      <w:r w:rsidRPr="00ED1619">
        <w:rPr>
          <w:bCs/>
        </w:rPr>
        <w:t>;</w:t>
      </w:r>
    </w:p>
    <w:p w14:paraId="2CFEA028" w14:textId="77777777" w:rsidR="00FF2C80" w:rsidRPr="003F6416" w:rsidRDefault="00527CC1" w:rsidP="00B103C4">
      <w:r>
        <w:t xml:space="preserve">Resolución </w:t>
      </w:r>
      <w:r w:rsidRPr="00B103C4">
        <w:rPr>
          <w:b/>
          <w:bCs/>
        </w:rPr>
        <w:t>175 (CMR-19)</w:t>
      </w:r>
      <w:r>
        <w:t xml:space="preserve"> - Utilización de sistemas de telecomunicaciones móviles internacionales para la banda ancha fija inalámbrica en las bandas de frecuencias atribuidas al servicio fijo a título primario</w:t>
      </w:r>
    </w:p>
    <w:p w14:paraId="76ED3018" w14:textId="2893A0B2" w:rsidR="00943383" w:rsidRPr="00943383" w:rsidRDefault="00943383" w:rsidP="00943383">
      <w:pPr>
        <w:pStyle w:val="Headingb"/>
        <w:spacing w:before="480"/>
        <w:rPr>
          <w:lang w:val="es-ES"/>
        </w:rPr>
      </w:pPr>
      <w:r w:rsidRPr="00943383">
        <w:rPr>
          <w:lang w:val="es-ES"/>
        </w:rPr>
        <w:t>Antecedentes</w:t>
      </w:r>
    </w:p>
    <w:p w14:paraId="65CC1D19" w14:textId="6807ED75" w:rsidR="00943383" w:rsidRPr="00943383" w:rsidRDefault="00943383" w:rsidP="00943383">
      <w:pPr>
        <w:rPr>
          <w:lang w:val="es-ES"/>
        </w:rPr>
      </w:pPr>
      <w:r>
        <w:rPr>
          <w:lang w:val="es-ES"/>
        </w:rPr>
        <w:t>En</w:t>
      </w:r>
      <w:r w:rsidRPr="00943383">
        <w:rPr>
          <w:lang w:val="es-ES"/>
        </w:rPr>
        <w:t xml:space="preserve"> la Conferencia Mundial de Radiocomunicaciones </w:t>
      </w:r>
      <w:r>
        <w:rPr>
          <w:lang w:val="es-ES"/>
        </w:rPr>
        <w:t xml:space="preserve">de </w:t>
      </w:r>
      <w:r w:rsidRPr="00943383">
        <w:rPr>
          <w:lang w:val="es-ES"/>
        </w:rPr>
        <w:t>2019 (CMR-19) del Sector de Radiocomunicaciones de la Unión Internaciona</w:t>
      </w:r>
      <w:r>
        <w:rPr>
          <w:lang w:val="es-ES"/>
        </w:rPr>
        <w:t>l de Telecomunicaciones (UIT-R)</w:t>
      </w:r>
      <w:r w:rsidRPr="00943383">
        <w:rPr>
          <w:lang w:val="es-ES"/>
        </w:rPr>
        <w:t xml:space="preserve"> se propuso que, para la Conferencia Mundial de Radiocomunicaciones </w:t>
      </w:r>
      <w:r>
        <w:rPr>
          <w:lang w:val="es-ES"/>
        </w:rPr>
        <w:t xml:space="preserve">de </w:t>
      </w:r>
      <w:r w:rsidRPr="00943383">
        <w:rPr>
          <w:lang w:val="es-ES"/>
        </w:rPr>
        <w:t>2023 (CMR-23), se estudiara la utilización de las Telecomunicaciones Móviles Internacionales (IMT) para la banda ancha inalámbrica fija en las bandas de frecuencias atribuidas al servicio fijo a título primario.</w:t>
      </w:r>
    </w:p>
    <w:p w14:paraId="30B796D5" w14:textId="7B1EAEBB" w:rsidR="00943383" w:rsidRPr="00943383" w:rsidRDefault="00943383" w:rsidP="00943383">
      <w:pPr>
        <w:rPr>
          <w:lang w:val="es-ES"/>
        </w:rPr>
      </w:pPr>
      <w:r>
        <w:rPr>
          <w:lang w:val="es-ES"/>
        </w:rPr>
        <w:t xml:space="preserve">En consecuencia, </w:t>
      </w:r>
      <w:r w:rsidRPr="00943383">
        <w:rPr>
          <w:lang w:val="es-ES"/>
        </w:rPr>
        <w:t xml:space="preserve">la Resolución </w:t>
      </w:r>
      <w:r w:rsidRPr="00943383">
        <w:rPr>
          <w:b/>
          <w:lang w:val="es-ES"/>
        </w:rPr>
        <w:t>175 (CMR-19)</w:t>
      </w:r>
      <w:r w:rsidRPr="00943383">
        <w:rPr>
          <w:lang w:val="es-ES"/>
        </w:rPr>
        <w:t xml:space="preserve"> </w:t>
      </w:r>
      <w:r w:rsidRPr="00943383">
        <w:rPr>
          <w:i/>
          <w:lang w:val="es-ES"/>
        </w:rPr>
        <w:t>resuelve invitar al Sector de Radiocomunicaciones de la UIT</w:t>
      </w:r>
      <w:r w:rsidRPr="00943383">
        <w:rPr>
          <w:lang w:val="es-ES"/>
        </w:rPr>
        <w:t xml:space="preserve"> </w:t>
      </w:r>
      <w:r w:rsidR="0007487E">
        <w:rPr>
          <w:lang w:val="es-ES"/>
        </w:rPr>
        <w:t>«</w:t>
      </w:r>
      <w:r w:rsidRPr="00943383">
        <w:rPr>
          <w:lang w:val="es-ES"/>
        </w:rPr>
        <w:t xml:space="preserve">a realizar los estudios necesarios sobre la utilización de sistemas IMT para la banda ancha inalámbrica fija en las bandas de frecuencias atribuidas al servicio fijo a título primario, </w:t>
      </w:r>
      <w:r>
        <w:rPr>
          <w:lang w:val="es-ES"/>
        </w:rPr>
        <w:t>habida cuenta de</w:t>
      </w:r>
      <w:r w:rsidRPr="00943383">
        <w:rPr>
          <w:lang w:val="es-ES"/>
        </w:rPr>
        <w:t xml:space="preserve"> los estudios, Manuales, Recomendaciones e Informes pertinentes del UIT-R</w:t>
      </w:r>
      <w:r w:rsidR="0007487E">
        <w:rPr>
          <w:lang w:val="es-ES"/>
        </w:rPr>
        <w:t>»</w:t>
      </w:r>
      <w:r w:rsidRPr="00943383">
        <w:rPr>
          <w:lang w:val="es-ES"/>
        </w:rPr>
        <w:t xml:space="preserve">, y </w:t>
      </w:r>
      <w:r w:rsidRPr="00943383">
        <w:rPr>
          <w:i/>
          <w:lang w:val="es-ES"/>
        </w:rPr>
        <w:t>encarga al Director de la Oficina de Radiocomunicaciones</w:t>
      </w:r>
      <w:r w:rsidRPr="00943383">
        <w:rPr>
          <w:lang w:val="es-ES"/>
        </w:rPr>
        <w:t xml:space="preserve"> </w:t>
      </w:r>
      <w:r w:rsidR="0007487E">
        <w:rPr>
          <w:lang w:val="es-ES"/>
        </w:rPr>
        <w:t>«</w:t>
      </w:r>
      <w:r w:rsidRPr="00943383">
        <w:rPr>
          <w:lang w:val="es-ES"/>
        </w:rPr>
        <w:t xml:space="preserve">que informe a la CMR-23 sobre los resultados de </w:t>
      </w:r>
      <w:r>
        <w:rPr>
          <w:lang w:val="es-ES"/>
        </w:rPr>
        <w:t>esos</w:t>
      </w:r>
      <w:r w:rsidRPr="00943383">
        <w:rPr>
          <w:lang w:val="es-ES"/>
        </w:rPr>
        <w:t xml:space="preserve"> estudios</w:t>
      </w:r>
      <w:r w:rsidR="0007487E">
        <w:rPr>
          <w:lang w:val="es-ES"/>
        </w:rPr>
        <w:t>»</w:t>
      </w:r>
      <w:r w:rsidRPr="00943383">
        <w:rPr>
          <w:lang w:val="es-ES"/>
        </w:rPr>
        <w:t>.</w:t>
      </w:r>
    </w:p>
    <w:p w14:paraId="31D48EC6" w14:textId="77777777" w:rsidR="0007487E" w:rsidRDefault="000748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</w:rPr>
      </w:pPr>
      <w:r>
        <w:br w:type="page"/>
      </w:r>
    </w:p>
    <w:p w14:paraId="0E2246BE" w14:textId="63223192" w:rsidR="00943383" w:rsidRPr="009E62C5" w:rsidRDefault="007B7B11" w:rsidP="0007487E">
      <w:pPr>
        <w:pStyle w:val="Headingb"/>
      </w:pPr>
      <w:r>
        <w:lastRenderedPageBreak/>
        <w:t>Debate</w:t>
      </w:r>
    </w:p>
    <w:p w14:paraId="00E0D425" w14:textId="6F9E4AC2" w:rsidR="00CB1E35" w:rsidRPr="00CB1E35" w:rsidRDefault="00CB1E35" w:rsidP="00CB1E35">
      <w:pPr>
        <w:rPr>
          <w:lang w:val="es-ES"/>
        </w:rPr>
      </w:pPr>
      <w:r w:rsidRPr="00CB1E35">
        <w:rPr>
          <w:lang w:val="es-ES"/>
        </w:rPr>
        <w:t xml:space="preserve">El UIT-R </w:t>
      </w:r>
      <w:r w:rsidR="00350B15">
        <w:rPr>
          <w:lang w:val="es-ES"/>
        </w:rPr>
        <w:t>desarrolló previamente</w:t>
      </w:r>
      <w:r w:rsidRPr="00CB1E35">
        <w:rPr>
          <w:lang w:val="es-ES"/>
        </w:rPr>
        <w:t xml:space="preserve"> un conjunto de Recomendaciones UIT-R y una Cuestión de Estudio </w:t>
      </w:r>
      <w:r>
        <w:rPr>
          <w:lang w:val="es-ES"/>
        </w:rPr>
        <w:t>sobre la utilización de</w:t>
      </w:r>
      <w:r w:rsidRPr="00CB1E35">
        <w:rPr>
          <w:lang w:val="es-ES"/>
        </w:rPr>
        <w:t xml:space="preserve"> las IMT</w:t>
      </w:r>
      <w:r>
        <w:rPr>
          <w:lang w:val="es-ES"/>
        </w:rPr>
        <w:t>, entre</w:t>
      </w:r>
      <w:r w:rsidRPr="00CB1E35">
        <w:rPr>
          <w:lang w:val="es-ES"/>
        </w:rPr>
        <w:t xml:space="preserve"> otras tecnologías móviles</w:t>
      </w:r>
      <w:r>
        <w:rPr>
          <w:lang w:val="es-ES"/>
        </w:rPr>
        <w:t>,</w:t>
      </w:r>
      <w:r w:rsidRPr="00CB1E35">
        <w:rPr>
          <w:lang w:val="es-ES"/>
        </w:rPr>
        <w:t xml:space="preserve"> para proporcionar acceso inalámbrico fijo (FWA), incluido el acceso </w:t>
      </w:r>
      <w:r>
        <w:rPr>
          <w:lang w:val="es-ES"/>
        </w:rPr>
        <w:t xml:space="preserve">de banda ancha. </w:t>
      </w:r>
      <w:r w:rsidR="00350B15">
        <w:rPr>
          <w:lang w:val="es-ES"/>
        </w:rPr>
        <w:t>No obstante</w:t>
      </w:r>
      <w:r>
        <w:rPr>
          <w:lang w:val="es-ES"/>
        </w:rPr>
        <w:t>, las correspondientes</w:t>
      </w:r>
      <w:r w:rsidRPr="00CB1E35">
        <w:rPr>
          <w:lang w:val="es-ES"/>
        </w:rPr>
        <w:t xml:space="preserve"> Recomendaciones de la serie F </w:t>
      </w:r>
      <w:r>
        <w:rPr>
          <w:lang w:val="es-ES"/>
        </w:rPr>
        <w:t>sobre</w:t>
      </w:r>
      <w:r w:rsidRPr="00CB1E35">
        <w:rPr>
          <w:lang w:val="es-ES"/>
        </w:rPr>
        <w:t xml:space="preserve"> FWA están obsoletas y no reflejan la capacidad actual de la tecnología inalámbrica de banda ancha. </w:t>
      </w:r>
      <w:r>
        <w:rPr>
          <w:lang w:val="es-ES"/>
        </w:rPr>
        <w:t>Sobre la base de</w:t>
      </w:r>
      <w:r w:rsidRPr="00CB1E35">
        <w:rPr>
          <w:lang w:val="es-ES"/>
        </w:rPr>
        <w:t xml:space="preserve"> los estudios realizados sobre el punto</w:t>
      </w:r>
      <w:r w:rsidR="0007487E">
        <w:rPr>
          <w:lang w:val="es-ES"/>
        </w:rPr>
        <w:t> </w:t>
      </w:r>
      <w:r w:rsidRPr="00CB1E35">
        <w:rPr>
          <w:lang w:val="es-ES"/>
        </w:rPr>
        <w:t>9.1</w:t>
      </w:r>
      <w:r w:rsidR="0007487E">
        <w:rPr>
          <w:lang w:val="es-ES"/>
        </w:rPr>
        <w:t> </w:t>
      </w:r>
      <w:r w:rsidRPr="00CB1E35">
        <w:rPr>
          <w:lang w:val="es-ES"/>
        </w:rPr>
        <w:t xml:space="preserve">c) del orden del día de la CMR-23, el UIT-R </w:t>
      </w:r>
      <w:r w:rsidR="00350B15">
        <w:rPr>
          <w:lang w:val="es-ES"/>
        </w:rPr>
        <w:t>examina varios</w:t>
      </w:r>
      <w:r w:rsidRPr="00CB1E35">
        <w:rPr>
          <w:lang w:val="es-ES"/>
        </w:rPr>
        <w:t xml:space="preserve"> enfoques </w:t>
      </w:r>
      <w:r w:rsidR="00350B15">
        <w:rPr>
          <w:lang w:val="es-ES"/>
        </w:rPr>
        <w:t>para</w:t>
      </w:r>
      <w:r w:rsidRPr="00CB1E35">
        <w:rPr>
          <w:lang w:val="es-ES"/>
        </w:rPr>
        <w:t xml:space="preserve"> </w:t>
      </w:r>
      <w:r w:rsidR="00350B15">
        <w:rPr>
          <w:lang w:val="es-ES"/>
        </w:rPr>
        <w:t>examinar</w:t>
      </w:r>
      <w:r w:rsidRPr="00CB1E35">
        <w:rPr>
          <w:lang w:val="es-ES"/>
        </w:rPr>
        <w:t xml:space="preserve"> y actualizar las Recomendaciones UIT-R F.1401-1 y F.1763-1, </w:t>
      </w:r>
      <w:r w:rsidR="00350B15">
        <w:rPr>
          <w:lang w:val="es-ES"/>
        </w:rPr>
        <w:t xml:space="preserve">a fin de reflejar mejor la situación </w:t>
      </w:r>
      <w:r w:rsidRPr="00CB1E35">
        <w:rPr>
          <w:lang w:val="es-ES"/>
        </w:rPr>
        <w:t xml:space="preserve">de la tecnología de acceso inalámbrico fijo de banda ancha. También se </w:t>
      </w:r>
      <w:r w:rsidR="00350B15">
        <w:rPr>
          <w:lang w:val="es-ES"/>
        </w:rPr>
        <w:t>revisan</w:t>
      </w:r>
      <w:r w:rsidRPr="00CB1E35">
        <w:rPr>
          <w:lang w:val="es-ES"/>
        </w:rPr>
        <w:t xml:space="preserve"> otras Recomendaciones</w:t>
      </w:r>
      <w:r w:rsidR="00350B15">
        <w:rPr>
          <w:lang w:val="es-ES"/>
        </w:rPr>
        <w:t xml:space="preserve"> e </w:t>
      </w:r>
      <w:r w:rsidRPr="00CB1E35">
        <w:rPr>
          <w:lang w:val="es-ES"/>
        </w:rPr>
        <w:t xml:space="preserve">Informes de la serie F </w:t>
      </w:r>
      <w:r w:rsidR="00350B15">
        <w:rPr>
          <w:lang w:val="es-ES"/>
        </w:rPr>
        <w:t>pertinentes a los efectos de</w:t>
      </w:r>
      <w:r w:rsidRPr="00CB1E35">
        <w:rPr>
          <w:lang w:val="es-ES"/>
        </w:rPr>
        <w:t xml:space="preserve"> FWA.</w:t>
      </w:r>
    </w:p>
    <w:p w14:paraId="4C374683" w14:textId="30BD2C60" w:rsidR="00CB1E35" w:rsidRPr="00CB1E35" w:rsidRDefault="00350B15" w:rsidP="00CB1E35">
      <w:pPr>
        <w:rPr>
          <w:lang w:val="es-ES"/>
        </w:rPr>
      </w:pPr>
      <w:r>
        <w:rPr>
          <w:lang w:val="es-ES"/>
        </w:rPr>
        <w:t xml:space="preserve">El </w:t>
      </w:r>
      <w:r w:rsidR="00CB1E35" w:rsidRPr="00CB1E35">
        <w:rPr>
          <w:lang w:val="es-ES"/>
        </w:rPr>
        <w:t xml:space="preserve">FWA </w:t>
      </w:r>
      <w:r>
        <w:rPr>
          <w:lang w:val="es-ES"/>
        </w:rPr>
        <w:t>proporciona</w:t>
      </w:r>
      <w:r w:rsidR="00CB1E35" w:rsidRPr="00CB1E35">
        <w:rPr>
          <w:lang w:val="es-ES"/>
        </w:rPr>
        <w:t xml:space="preserve"> acceso de banda ancha </w:t>
      </w:r>
      <w:r>
        <w:rPr>
          <w:lang w:val="es-ES"/>
        </w:rPr>
        <w:t>mediante</w:t>
      </w:r>
      <w:r w:rsidR="00CB1E35" w:rsidRPr="00CB1E35">
        <w:rPr>
          <w:lang w:val="es-ES"/>
        </w:rPr>
        <w:t xml:space="preserve"> enlaces inalámbricos entre puntos fijos. La evolución de las soluciones FWA y </w:t>
      </w:r>
      <w:r>
        <w:rPr>
          <w:lang w:val="es-ES"/>
        </w:rPr>
        <w:t>el surgimiento</w:t>
      </w:r>
      <w:r w:rsidR="00CB1E35" w:rsidRPr="00CB1E35">
        <w:rPr>
          <w:lang w:val="es-ES"/>
        </w:rPr>
        <w:t xml:space="preserve"> de nuevos casos de </w:t>
      </w:r>
      <w:r>
        <w:rPr>
          <w:lang w:val="es-ES"/>
        </w:rPr>
        <w:t>utilización</w:t>
      </w:r>
      <w:r w:rsidR="00CB1E35" w:rsidRPr="00CB1E35">
        <w:rPr>
          <w:lang w:val="es-ES"/>
        </w:rPr>
        <w:t xml:space="preserve"> </w:t>
      </w:r>
      <w:r>
        <w:rPr>
          <w:lang w:val="es-ES"/>
        </w:rPr>
        <w:t>permiten fomentar</w:t>
      </w:r>
      <w:r w:rsidR="00CB1E35" w:rsidRPr="00CB1E35">
        <w:rPr>
          <w:lang w:val="es-ES"/>
        </w:rPr>
        <w:t xml:space="preserve"> la capacidad de los operadores de FWA para </w:t>
      </w:r>
      <w:r>
        <w:rPr>
          <w:lang w:val="es-ES"/>
        </w:rPr>
        <w:t>reducir</w:t>
      </w:r>
      <w:r w:rsidR="00CB1E35" w:rsidRPr="00CB1E35">
        <w:rPr>
          <w:lang w:val="es-ES"/>
        </w:rPr>
        <w:t xml:space="preserve"> la brecha digital</w:t>
      </w:r>
      <w:r>
        <w:rPr>
          <w:lang w:val="es-ES"/>
        </w:rPr>
        <w:t>,</w:t>
      </w:r>
      <w:r w:rsidR="00CB1E35" w:rsidRPr="00CB1E35">
        <w:rPr>
          <w:lang w:val="es-ES"/>
        </w:rPr>
        <w:t xml:space="preserve"> ofrecer conectividad a un</w:t>
      </w:r>
      <w:r>
        <w:rPr>
          <w:lang w:val="es-ES"/>
        </w:rPr>
        <w:t xml:space="preserve"> conjunto de personas más amplio </w:t>
      </w:r>
      <w:r w:rsidR="00CB1E35" w:rsidRPr="00CB1E35">
        <w:rPr>
          <w:lang w:val="es-ES"/>
        </w:rPr>
        <w:t xml:space="preserve">y </w:t>
      </w:r>
      <w:r>
        <w:rPr>
          <w:lang w:val="es-ES"/>
        </w:rPr>
        <w:t>abarcar</w:t>
      </w:r>
      <w:r w:rsidR="00CB1E35" w:rsidRPr="00CB1E35">
        <w:rPr>
          <w:lang w:val="es-ES"/>
        </w:rPr>
        <w:t xml:space="preserve"> zonas desatendidas. Los avances en</w:t>
      </w:r>
      <w:r w:rsidR="0007487E">
        <w:rPr>
          <w:lang w:val="es-ES"/>
        </w:rPr>
        <w:t> </w:t>
      </w:r>
      <w:r w:rsidR="00CB1E35" w:rsidRPr="00CB1E35">
        <w:rPr>
          <w:lang w:val="es-ES"/>
        </w:rPr>
        <w:t>IMT</w:t>
      </w:r>
      <w:r w:rsidR="004C3A53">
        <w:rPr>
          <w:lang w:val="es-ES"/>
        </w:rPr>
        <w:t>, entre</w:t>
      </w:r>
      <w:r w:rsidR="00CB1E35" w:rsidRPr="00CB1E35">
        <w:rPr>
          <w:lang w:val="es-ES"/>
        </w:rPr>
        <w:t xml:space="preserve"> otras tecnologías de red</w:t>
      </w:r>
      <w:r w:rsidR="004C3A53">
        <w:rPr>
          <w:lang w:val="es-ES"/>
        </w:rPr>
        <w:t>,</w:t>
      </w:r>
      <w:r w:rsidR="00CB1E35" w:rsidRPr="00CB1E35">
        <w:rPr>
          <w:lang w:val="es-ES"/>
        </w:rPr>
        <w:t xml:space="preserve"> han mejorado </w:t>
      </w:r>
      <w:r w:rsidR="004C3A53">
        <w:rPr>
          <w:lang w:val="es-ES"/>
        </w:rPr>
        <w:t>sustancialmente la capacidad de</w:t>
      </w:r>
      <w:r w:rsidR="00CB1E35" w:rsidRPr="00CB1E35">
        <w:rPr>
          <w:lang w:val="es-ES"/>
        </w:rPr>
        <w:t xml:space="preserve"> </w:t>
      </w:r>
      <w:r w:rsidR="004C3A53">
        <w:rPr>
          <w:lang w:val="es-ES"/>
        </w:rPr>
        <w:t>transmisión</w:t>
      </w:r>
      <w:r w:rsidR="00CB1E35" w:rsidRPr="00CB1E35">
        <w:rPr>
          <w:lang w:val="es-ES"/>
        </w:rPr>
        <w:t xml:space="preserve"> </w:t>
      </w:r>
      <w:r w:rsidR="004C3A53">
        <w:rPr>
          <w:lang w:val="es-ES"/>
        </w:rPr>
        <w:t>en sentidos ascendente y descendente del</w:t>
      </w:r>
      <w:r w:rsidR="00CB1E35" w:rsidRPr="00CB1E35">
        <w:rPr>
          <w:lang w:val="es-ES"/>
        </w:rPr>
        <w:t xml:space="preserve"> FWA</w:t>
      </w:r>
      <w:r w:rsidR="004C3A53">
        <w:rPr>
          <w:lang w:val="es-ES"/>
        </w:rPr>
        <w:t>,</w:t>
      </w:r>
      <w:r w:rsidR="004C3A53" w:rsidRPr="004C3A53">
        <w:rPr>
          <w:lang w:val="es-ES"/>
        </w:rPr>
        <w:t xml:space="preserve"> </w:t>
      </w:r>
      <w:r w:rsidR="004C3A53">
        <w:rPr>
          <w:lang w:val="es-ES"/>
        </w:rPr>
        <w:t xml:space="preserve">así como su </w:t>
      </w:r>
      <w:r w:rsidR="004C3A53" w:rsidRPr="00CB1E35">
        <w:rPr>
          <w:lang w:val="es-ES"/>
        </w:rPr>
        <w:t>latencia</w:t>
      </w:r>
      <w:r w:rsidR="00CB1E35" w:rsidRPr="00CB1E35">
        <w:rPr>
          <w:lang w:val="es-ES"/>
        </w:rPr>
        <w:t xml:space="preserve">. </w:t>
      </w:r>
      <w:r w:rsidR="004C3A53">
        <w:rPr>
          <w:lang w:val="es-ES"/>
        </w:rPr>
        <w:t>Puesto que la mejora del</w:t>
      </w:r>
      <w:r w:rsidR="0007487E">
        <w:rPr>
          <w:lang w:val="es-ES"/>
        </w:rPr>
        <w:t> </w:t>
      </w:r>
      <w:r w:rsidR="00CB1E35" w:rsidRPr="00CB1E35">
        <w:rPr>
          <w:lang w:val="es-ES"/>
        </w:rPr>
        <w:t xml:space="preserve">FWA puede </w:t>
      </w:r>
      <w:r w:rsidR="004C3A53">
        <w:rPr>
          <w:lang w:val="es-ES"/>
        </w:rPr>
        <w:t>apoyarse en la tecnología</w:t>
      </w:r>
      <w:r w:rsidR="00CB1E35" w:rsidRPr="00CB1E35">
        <w:rPr>
          <w:lang w:val="es-ES"/>
        </w:rPr>
        <w:t xml:space="preserve"> 5G y </w:t>
      </w:r>
      <w:r w:rsidR="004C3A53">
        <w:rPr>
          <w:lang w:val="es-ES"/>
        </w:rPr>
        <w:t xml:space="preserve">en la utilización de </w:t>
      </w:r>
      <w:r w:rsidR="00CB1E35" w:rsidRPr="00CB1E35">
        <w:rPr>
          <w:lang w:val="es-ES"/>
        </w:rPr>
        <w:t>ot</w:t>
      </w:r>
      <w:r w:rsidR="004C3A53">
        <w:rPr>
          <w:lang w:val="es-ES"/>
        </w:rPr>
        <w:t>ras normas y equipos evolucionados, esa</w:t>
      </w:r>
      <w:r w:rsidR="00CB1E35" w:rsidRPr="00CB1E35">
        <w:rPr>
          <w:lang w:val="es-ES"/>
        </w:rPr>
        <w:t xml:space="preserve"> compatibilidad </w:t>
      </w:r>
      <w:r w:rsidR="004C3A53">
        <w:rPr>
          <w:lang w:val="es-ES"/>
        </w:rPr>
        <w:t>permite implantar el</w:t>
      </w:r>
      <w:r w:rsidR="00CB1E35" w:rsidRPr="00CB1E35">
        <w:rPr>
          <w:lang w:val="es-ES"/>
        </w:rPr>
        <w:t xml:space="preserve"> FWA </w:t>
      </w:r>
      <w:r w:rsidR="004C3A53">
        <w:rPr>
          <w:lang w:val="es-ES"/>
        </w:rPr>
        <w:t>por etapas</w:t>
      </w:r>
      <w:r w:rsidR="00CB1E35" w:rsidRPr="00CB1E35">
        <w:rPr>
          <w:lang w:val="es-ES"/>
        </w:rPr>
        <w:t>.</w:t>
      </w:r>
    </w:p>
    <w:p w14:paraId="7F98FCD5" w14:textId="200AFD1D" w:rsidR="00CB1E35" w:rsidRPr="00CB1E35" w:rsidRDefault="00CB1E35" w:rsidP="00CB1E35">
      <w:pPr>
        <w:rPr>
          <w:lang w:val="es-ES"/>
        </w:rPr>
      </w:pPr>
      <w:r w:rsidRPr="00CB1E35">
        <w:rPr>
          <w:lang w:val="es-ES"/>
        </w:rPr>
        <w:t xml:space="preserve">El UIT-R, </w:t>
      </w:r>
      <w:r w:rsidR="002D10BD">
        <w:rPr>
          <w:lang w:val="es-ES"/>
        </w:rPr>
        <w:t>en el marco</w:t>
      </w:r>
      <w:r w:rsidRPr="00CB1E35">
        <w:rPr>
          <w:lang w:val="es-ES"/>
        </w:rPr>
        <w:t xml:space="preserve"> de la actividad </w:t>
      </w:r>
      <w:r w:rsidR="002D10BD">
        <w:rPr>
          <w:lang w:val="es-ES"/>
        </w:rPr>
        <w:t>habitual</w:t>
      </w:r>
      <w:r w:rsidRPr="00CB1E35">
        <w:rPr>
          <w:lang w:val="es-ES"/>
        </w:rPr>
        <w:t xml:space="preserve"> de sus Comisiones de Estudio, puede </w:t>
      </w:r>
      <w:r w:rsidR="002D10BD">
        <w:rPr>
          <w:lang w:val="es-ES"/>
        </w:rPr>
        <w:t>proseguir la realización de</w:t>
      </w:r>
      <w:r w:rsidRPr="00CB1E35">
        <w:rPr>
          <w:lang w:val="es-ES"/>
        </w:rPr>
        <w:t xml:space="preserve"> estudios </w:t>
      </w:r>
      <w:r w:rsidR="003300B8">
        <w:rPr>
          <w:lang w:val="es-ES"/>
        </w:rPr>
        <w:t>encaminados a</w:t>
      </w:r>
      <w:r w:rsidRPr="00CB1E35">
        <w:rPr>
          <w:lang w:val="es-ES"/>
        </w:rPr>
        <w:t xml:space="preserve"> la elaboración de nuevos Informes y Recomendaciones, o la revisión de los </w:t>
      </w:r>
      <w:r w:rsidR="00091E8C">
        <w:rPr>
          <w:lang w:val="es-ES"/>
        </w:rPr>
        <w:t>actuales</w:t>
      </w:r>
      <w:r w:rsidRPr="00CB1E35">
        <w:rPr>
          <w:lang w:val="es-ES"/>
        </w:rPr>
        <w:t xml:space="preserve">, </w:t>
      </w:r>
      <w:r w:rsidR="002D10BD">
        <w:rPr>
          <w:lang w:val="es-ES"/>
        </w:rPr>
        <w:t xml:space="preserve">a fin de </w:t>
      </w:r>
      <w:r w:rsidR="00091E8C">
        <w:rPr>
          <w:lang w:val="es-ES"/>
        </w:rPr>
        <w:t>fomentar</w:t>
      </w:r>
      <w:r w:rsidRPr="00CB1E35">
        <w:rPr>
          <w:lang w:val="es-ES"/>
        </w:rPr>
        <w:t xml:space="preserve"> el desarrollo y </w:t>
      </w:r>
      <w:r w:rsidR="002D10BD">
        <w:rPr>
          <w:lang w:val="es-ES"/>
        </w:rPr>
        <w:t xml:space="preserve">la </w:t>
      </w:r>
      <w:r w:rsidRPr="00CB1E35">
        <w:rPr>
          <w:lang w:val="es-ES"/>
        </w:rPr>
        <w:t xml:space="preserve">utilización de las IMT para la banda ancha inalámbrica fija </w:t>
      </w:r>
      <w:r w:rsidR="002D10BD">
        <w:rPr>
          <w:lang w:val="es-ES"/>
        </w:rPr>
        <w:t xml:space="preserve">en el </w:t>
      </w:r>
      <w:r w:rsidR="002D10BD" w:rsidRPr="00CB1E35">
        <w:rPr>
          <w:lang w:val="es-ES"/>
        </w:rPr>
        <w:t xml:space="preserve">futuro </w:t>
      </w:r>
      <w:r w:rsidRPr="00CB1E35">
        <w:rPr>
          <w:lang w:val="es-ES"/>
        </w:rPr>
        <w:t>en las bandas de frecuencia atribuida</w:t>
      </w:r>
      <w:r w:rsidR="002D10BD">
        <w:rPr>
          <w:lang w:val="es-ES"/>
        </w:rPr>
        <w:t>s a los servicios fijos y móvil</w:t>
      </w:r>
      <w:r w:rsidRPr="00CB1E35">
        <w:rPr>
          <w:lang w:val="es-ES"/>
        </w:rPr>
        <w:t xml:space="preserve">. </w:t>
      </w:r>
    </w:p>
    <w:p w14:paraId="2B287C9A" w14:textId="7616CDB5" w:rsidR="00CB1E35" w:rsidRPr="00CB1E35" w:rsidRDefault="00091E8C" w:rsidP="00CB1E35">
      <w:pPr>
        <w:rPr>
          <w:lang w:val="es-ES"/>
        </w:rPr>
      </w:pPr>
      <w:r>
        <w:rPr>
          <w:lang w:val="es-ES"/>
        </w:rPr>
        <w:t>Por otro lado, habida cuenta de que, de conformidad</w:t>
      </w:r>
      <w:r w:rsidR="00CB1E35" w:rsidRPr="00CB1E35">
        <w:rPr>
          <w:lang w:val="es-ES"/>
        </w:rPr>
        <w:t xml:space="preserve"> con el </w:t>
      </w:r>
      <w:r w:rsidR="00CB1E35" w:rsidRPr="00091E8C">
        <w:rPr>
          <w:i/>
          <w:lang w:val="es-ES"/>
        </w:rPr>
        <w:t>resuelve</w:t>
      </w:r>
      <w:r w:rsidR="00CB1E35" w:rsidRPr="00CB1E35">
        <w:rPr>
          <w:lang w:val="es-ES"/>
        </w:rPr>
        <w:t xml:space="preserve"> 9 de la Resolución</w:t>
      </w:r>
      <w:r w:rsidR="0007487E">
        <w:rPr>
          <w:lang w:val="es-ES"/>
        </w:rPr>
        <w:t> </w:t>
      </w:r>
      <w:r w:rsidR="00CB1E35" w:rsidRPr="00091E8C">
        <w:rPr>
          <w:b/>
          <w:lang w:val="es-ES"/>
        </w:rPr>
        <w:t>811 (CMR</w:t>
      </w:r>
      <w:r w:rsidR="0007487E">
        <w:rPr>
          <w:b/>
          <w:lang w:val="es-ES"/>
        </w:rPr>
        <w:noBreakHyphen/>
      </w:r>
      <w:r w:rsidR="00CB1E35" w:rsidRPr="00091E8C">
        <w:rPr>
          <w:b/>
          <w:lang w:val="es-ES"/>
        </w:rPr>
        <w:t>19)</w:t>
      </w:r>
      <w:r w:rsidR="00CB1E35" w:rsidRPr="00CB1E35">
        <w:rPr>
          <w:lang w:val="es-ES"/>
        </w:rPr>
        <w:t xml:space="preserve"> y los términos del Artículo </w:t>
      </w:r>
      <w:r w:rsidR="00CB1E35" w:rsidRPr="00091E8C">
        <w:rPr>
          <w:b/>
          <w:lang w:val="es-ES"/>
        </w:rPr>
        <w:t>7</w:t>
      </w:r>
      <w:r w:rsidR="00CB1E35" w:rsidRPr="00CB1E35">
        <w:rPr>
          <w:lang w:val="es-ES"/>
        </w:rPr>
        <w:t xml:space="preserve"> del Convenio de la UIT, la aplicación de los temas incluidos en el punto 9.1 del orden del día de la CMR-23 se limita </w:t>
      </w:r>
      <w:r>
        <w:rPr>
          <w:lang w:val="es-ES"/>
        </w:rPr>
        <w:t>al examen y a la aprobación d</w:t>
      </w:r>
      <w:r w:rsidR="00CB1E35" w:rsidRPr="00CB1E35">
        <w:rPr>
          <w:lang w:val="es-ES"/>
        </w:rPr>
        <w:t xml:space="preserve">el informe del Director de la Oficina de Radiocomunicaciones sobre las actividades del UIT-R desde la última Conferencia, </w:t>
      </w:r>
      <w:r>
        <w:rPr>
          <w:lang w:val="es-ES"/>
        </w:rPr>
        <w:t>de ahí que no se consideren susceptibles de</w:t>
      </w:r>
      <w:r w:rsidR="00CB1E35" w:rsidRPr="00CB1E35">
        <w:rPr>
          <w:lang w:val="es-ES"/>
        </w:rPr>
        <w:t xml:space="preserve"> modificar el RR de la UIT. Además, en la </w:t>
      </w:r>
      <w:r w:rsidR="0007487E">
        <w:rPr>
          <w:lang w:val="es-ES"/>
        </w:rPr>
        <w:t>«</w:t>
      </w:r>
      <w:r w:rsidR="00CB1E35" w:rsidRPr="00CB1E35">
        <w:rPr>
          <w:lang w:val="es-ES"/>
        </w:rPr>
        <w:t xml:space="preserve">Estructura de las secciones de los puntos del orden del día </w:t>
      </w:r>
      <w:r>
        <w:rPr>
          <w:lang w:val="es-ES"/>
        </w:rPr>
        <w:t>de</w:t>
      </w:r>
      <w:r w:rsidR="00CB1E35" w:rsidRPr="00CB1E35">
        <w:rPr>
          <w:lang w:val="es-ES"/>
        </w:rPr>
        <w:t xml:space="preserve"> los capítulos del proyecto de Informe de la RPC a la CMR-23</w:t>
      </w:r>
      <w:r w:rsidR="0007487E">
        <w:rPr>
          <w:lang w:val="es-ES"/>
        </w:rPr>
        <w:t>»</w:t>
      </w:r>
      <w:r w:rsidR="00CB1E35" w:rsidRPr="00CB1E35">
        <w:rPr>
          <w:lang w:val="es-ES"/>
        </w:rPr>
        <w:t xml:space="preserve"> </w:t>
      </w:r>
      <w:r>
        <w:rPr>
          <w:lang w:val="es-ES"/>
        </w:rPr>
        <w:t>que figura</w:t>
      </w:r>
      <w:r w:rsidR="00CB1E35" w:rsidRPr="00CB1E35">
        <w:rPr>
          <w:lang w:val="es-ES"/>
        </w:rPr>
        <w:t xml:space="preserve"> en la Circular Administrativa CA/251, no se </w:t>
      </w:r>
      <w:r>
        <w:rPr>
          <w:lang w:val="es-ES"/>
        </w:rPr>
        <w:t>considera ningún</w:t>
      </w:r>
      <w:r w:rsidR="00CB1E35" w:rsidRPr="00CB1E35">
        <w:rPr>
          <w:lang w:val="es-ES"/>
        </w:rPr>
        <w:t xml:space="preserve"> </w:t>
      </w:r>
      <w:r w:rsidR="0007487E">
        <w:rPr>
          <w:lang w:val="es-ES"/>
        </w:rPr>
        <w:t>«</w:t>
      </w:r>
      <w:r w:rsidR="00CB1E35" w:rsidRPr="00CB1E35">
        <w:rPr>
          <w:lang w:val="es-ES"/>
        </w:rPr>
        <w:t>Método para satisface</w:t>
      </w:r>
      <w:r>
        <w:rPr>
          <w:lang w:val="es-ES"/>
        </w:rPr>
        <w:t>r el punto del orden del día</w:t>
      </w:r>
      <w:r w:rsidR="0007487E">
        <w:rPr>
          <w:lang w:val="es-ES"/>
        </w:rPr>
        <w:t>»</w:t>
      </w:r>
      <w:r>
        <w:rPr>
          <w:lang w:val="es-ES"/>
        </w:rPr>
        <w:t xml:space="preserve"> o</w:t>
      </w:r>
      <w:r w:rsidR="00CB1E35" w:rsidRPr="00CB1E35">
        <w:rPr>
          <w:lang w:val="es-ES"/>
        </w:rPr>
        <w:t xml:space="preserve"> </w:t>
      </w:r>
      <w:r w:rsidR="0007487E">
        <w:rPr>
          <w:lang w:val="es-ES"/>
        </w:rPr>
        <w:t>«</w:t>
      </w:r>
      <w:r>
        <w:rPr>
          <w:lang w:val="es-ES"/>
        </w:rPr>
        <w:t xml:space="preserve">Aspecto reglamentario </w:t>
      </w:r>
      <w:r w:rsidR="00CB1E35" w:rsidRPr="00CB1E35">
        <w:rPr>
          <w:lang w:val="es-ES"/>
        </w:rPr>
        <w:t>y de procedimiento</w:t>
      </w:r>
      <w:r w:rsidR="0007487E">
        <w:rPr>
          <w:lang w:val="es-ES"/>
        </w:rPr>
        <w:t>»</w:t>
      </w:r>
      <w:r w:rsidR="00CB1E35" w:rsidRPr="00CB1E35">
        <w:rPr>
          <w:lang w:val="es-ES"/>
        </w:rPr>
        <w:t xml:space="preserve">. </w:t>
      </w:r>
      <w:r>
        <w:rPr>
          <w:lang w:val="es-ES"/>
        </w:rPr>
        <w:t>En consecuencia</w:t>
      </w:r>
      <w:r w:rsidR="00CB1E35" w:rsidRPr="00CB1E35">
        <w:rPr>
          <w:lang w:val="es-ES"/>
        </w:rPr>
        <w:t xml:space="preserve">, no se considera necesario establecer </w:t>
      </w:r>
      <w:r w:rsidR="00A63183">
        <w:rPr>
          <w:lang w:val="es-ES"/>
        </w:rPr>
        <w:t>ningún método</w:t>
      </w:r>
      <w:r w:rsidR="00CB1E35" w:rsidRPr="00CB1E35">
        <w:rPr>
          <w:lang w:val="es-ES"/>
        </w:rPr>
        <w:t xml:space="preserve"> </w:t>
      </w:r>
      <w:r w:rsidR="00A63183">
        <w:rPr>
          <w:lang w:val="es-ES"/>
        </w:rPr>
        <w:t>para</w:t>
      </w:r>
      <w:r w:rsidR="00CB1E35" w:rsidRPr="00CB1E35">
        <w:rPr>
          <w:lang w:val="es-ES"/>
        </w:rPr>
        <w:t xml:space="preserve"> satisfacer los requisitos de </w:t>
      </w:r>
      <w:r>
        <w:rPr>
          <w:lang w:val="es-ES"/>
        </w:rPr>
        <w:t>algún</w:t>
      </w:r>
      <w:r w:rsidR="00CB1E35" w:rsidRPr="00CB1E35">
        <w:rPr>
          <w:lang w:val="es-ES"/>
        </w:rPr>
        <w:t xml:space="preserve"> punto del orden del día o incluir </w:t>
      </w:r>
      <w:r>
        <w:rPr>
          <w:lang w:val="es-ES"/>
        </w:rPr>
        <w:t>aspectos reglamentario</w:t>
      </w:r>
      <w:r w:rsidR="00CB1E35" w:rsidRPr="00CB1E35">
        <w:rPr>
          <w:lang w:val="es-ES"/>
        </w:rPr>
        <w:t xml:space="preserve">s o de procedimiento, por lo que </w:t>
      </w:r>
      <w:r w:rsidR="00A63183">
        <w:rPr>
          <w:lang w:val="es-ES"/>
        </w:rPr>
        <w:t>la</w:t>
      </w:r>
      <w:r w:rsidR="00A63183" w:rsidRPr="00CB1E35">
        <w:rPr>
          <w:lang w:val="es-ES"/>
        </w:rPr>
        <w:t xml:space="preserve"> CMR </w:t>
      </w:r>
      <w:r w:rsidR="00CB1E35" w:rsidRPr="00CB1E35">
        <w:rPr>
          <w:lang w:val="es-ES"/>
        </w:rPr>
        <w:t xml:space="preserve">no </w:t>
      </w:r>
      <w:r>
        <w:rPr>
          <w:lang w:val="es-ES"/>
        </w:rPr>
        <w:t xml:space="preserve">debe llevar a cabo ninguna acción </w:t>
      </w:r>
      <w:r w:rsidR="00A63183">
        <w:rPr>
          <w:lang w:val="es-ES"/>
        </w:rPr>
        <w:t>adicional</w:t>
      </w:r>
      <w:r w:rsidR="00CB1E35" w:rsidRPr="00CB1E35">
        <w:rPr>
          <w:lang w:val="es-ES"/>
        </w:rPr>
        <w:t>.</w:t>
      </w:r>
    </w:p>
    <w:p w14:paraId="4B40F849" w14:textId="77777777" w:rsidR="00CB1E35" w:rsidRPr="00091E8C" w:rsidRDefault="00CB1E35" w:rsidP="0007487E">
      <w:pPr>
        <w:pStyle w:val="Headingb"/>
        <w:rPr>
          <w:lang w:val="en-US"/>
        </w:rPr>
      </w:pPr>
      <w:r w:rsidRPr="00091E8C">
        <w:rPr>
          <w:lang w:val="en-US"/>
        </w:rPr>
        <w:t>Propuestas</w:t>
      </w:r>
    </w:p>
    <w:p w14:paraId="5C731B4A" w14:textId="77777777" w:rsidR="00976458" w:rsidRDefault="00527CC1">
      <w:pPr>
        <w:pStyle w:val="Proposal"/>
      </w:pPr>
      <w:r>
        <w:rPr>
          <w:u w:val="single"/>
        </w:rPr>
        <w:t>NOC</w:t>
      </w:r>
      <w:r>
        <w:tab/>
        <w:t>IAP/44A24A3/1</w:t>
      </w:r>
    </w:p>
    <w:p w14:paraId="46EADA52" w14:textId="77777777" w:rsidR="00294F4B" w:rsidRPr="00E66C7B" w:rsidRDefault="00527CC1" w:rsidP="006C3DD2">
      <w:pPr>
        <w:pStyle w:val="Volumetitle"/>
      </w:pPr>
      <w:bookmarkStart w:id="6" w:name="_Toc48141288"/>
      <w:r w:rsidRPr="00E66C7B">
        <w:t>ARTÍCULOS</w:t>
      </w:r>
      <w:bookmarkEnd w:id="6"/>
    </w:p>
    <w:p w14:paraId="3AC65FF8" w14:textId="5CF2A629" w:rsidR="00976458" w:rsidRDefault="00527CC1">
      <w:pPr>
        <w:pStyle w:val="Reasons"/>
      </w:pPr>
      <w:r>
        <w:rPr>
          <w:b/>
        </w:rPr>
        <w:t>Motivos:</w:t>
      </w:r>
      <w:r>
        <w:tab/>
      </w:r>
      <w:r w:rsidR="00A63183" w:rsidRPr="00A63183">
        <w:t xml:space="preserve">No </w:t>
      </w:r>
      <w:r w:rsidR="00A63183">
        <w:t>es necesario modificar</w:t>
      </w:r>
      <w:r w:rsidR="00A63183" w:rsidRPr="00A63183">
        <w:t xml:space="preserve"> los artículos del Reglamento de Radiocomunicaciones en relación con </w:t>
      </w:r>
      <w:r w:rsidR="00A63183">
        <w:t>este</w:t>
      </w:r>
      <w:r w:rsidR="00A63183" w:rsidRPr="00A63183">
        <w:t xml:space="preserve"> tema del punto 9.1 del orden del día.</w:t>
      </w:r>
    </w:p>
    <w:p w14:paraId="675C8150" w14:textId="77777777" w:rsidR="00976458" w:rsidRDefault="00527CC1">
      <w:pPr>
        <w:pStyle w:val="Proposal"/>
      </w:pPr>
      <w:r>
        <w:rPr>
          <w:u w:val="single"/>
        </w:rPr>
        <w:t>NOC</w:t>
      </w:r>
      <w:r>
        <w:tab/>
        <w:t>IAP/44A24A3/2</w:t>
      </w:r>
    </w:p>
    <w:p w14:paraId="62D9BA32" w14:textId="77777777" w:rsidR="00D80A8A" w:rsidRPr="00FC5365" w:rsidRDefault="00527CC1" w:rsidP="003271E3">
      <w:pPr>
        <w:pStyle w:val="Volumetitle"/>
      </w:pPr>
      <w:bookmarkStart w:id="7" w:name="_Toc327956568"/>
      <w:r w:rsidRPr="00FC5365">
        <w:t>APÉNDICES</w:t>
      </w:r>
      <w:bookmarkEnd w:id="7"/>
    </w:p>
    <w:p w14:paraId="55C8EBBA" w14:textId="48A09DE9" w:rsidR="00976458" w:rsidRDefault="00527CC1">
      <w:pPr>
        <w:pStyle w:val="Reasons"/>
      </w:pPr>
      <w:r>
        <w:rPr>
          <w:b/>
        </w:rPr>
        <w:t>Motivos:</w:t>
      </w:r>
      <w:r>
        <w:tab/>
      </w:r>
      <w:r w:rsidR="00A63183" w:rsidRPr="00A63183">
        <w:t xml:space="preserve">No </w:t>
      </w:r>
      <w:r w:rsidR="00A63183">
        <w:t>es necesario modificar</w:t>
      </w:r>
      <w:r w:rsidR="00A63183" w:rsidRPr="00A63183">
        <w:t xml:space="preserve"> los </w:t>
      </w:r>
      <w:r w:rsidR="00A63183">
        <w:t xml:space="preserve">Apéndices </w:t>
      </w:r>
      <w:r w:rsidR="00A63183" w:rsidRPr="00A63183">
        <w:t xml:space="preserve">en relación con </w:t>
      </w:r>
      <w:r w:rsidR="00A63183">
        <w:t>este</w:t>
      </w:r>
      <w:r w:rsidR="00A63183" w:rsidRPr="00A63183">
        <w:t xml:space="preserve"> tema del punto 9.1 del orden del día</w:t>
      </w:r>
      <w:r w:rsidR="00A63183">
        <w:t>.</w:t>
      </w:r>
    </w:p>
    <w:p w14:paraId="18081710" w14:textId="77777777" w:rsidR="00976458" w:rsidRDefault="00527CC1">
      <w:pPr>
        <w:pStyle w:val="Proposal"/>
      </w:pPr>
      <w:r>
        <w:lastRenderedPageBreak/>
        <w:t>SUP</w:t>
      </w:r>
      <w:r>
        <w:tab/>
        <w:t>IAP/44A24A3/3</w:t>
      </w:r>
    </w:p>
    <w:p w14:paraId="09698826" w14:textId="77777777" w:rsidR="00265C64" w:rsidRPr="00ED1619" w:rsidRDefault="00527CC1" w:rsidP="00983DEC">
      <w:pPr>
        <w:pStyle w:val="ResNo"/>
      </w:pPr>
      <w:bookmarkStart w:id="8" w:name="_Toc36190215"/>
      <w:bookmarkStart w:id="9" w:name="_Toc39734881"/>
      <w:r w:rsidRPr="00ED1619">
        <w:rPr>
          <w:caps w:val="0"/>
        </w:rPr>
        <w:t xml:space="preserve">RESOLUCIÓN </w:t>
      </w:r>
      <w:r w:rsidRPr="008E6DAC">
        <w:rPr>
          <w:rStyle w:val="href"/>
          <w:caps w:val="0"/>
        </w:rPr>
        <w:t>175</w:t>
      </w:r>
      <w:r w:rsidRPr="00ED1619">
        <w:rPr>
          <w:caps w:val="0"/>
        </w:rPr>
        <w:t xml:space="preserve"> (CMR-19)</w:t>
      </w:r>
      <w:bookmarkEnd w:id="8"/>
      <w:bookmarkEnd w:id="9"/>
    </w:p>
    <w:p w14:paraId="3098CA49" w14:textId="77777777" w:rsidR="00265C64" w:rsidRPr="00ED1619" w:rsidRDefault="00527CC1" w:rsidP="00265C64">
      <w:pPr>
        <w:pStyle w:val="Restitle"/>
      </w:pPr>
      <w:bookmarkStart w:id="10" w:name="_Toc36190216"/>
      <w:bookmarkStart w:id="11" w:name="_Toc39734882"/>
      <w:r w:rsidRPr="00ED1619">
        <w:t>Utilización de sistemas de Telecomunicaciones Móviles Internacionales</w:t>
      </w:r>
      <w:r>
        <w:br/>
      </w:r>
      <w:r w:rsidRPr="00ED1619">
        <w:t xml:space="preserve">para la banda ancha fija inalámbrica en las bandas de frecuencias </w:t>
      </w:r>
      <w:r w:rsidRPr="00ED1619">
        <w:br/>
        <w:t>atribuidas al servicio fijo a título primario</w:t>
      </w:r>
      <w:bookmarkEnd w:id="10"/>
      <w:bookmarkEnd w:id="11"/>
    </w:p>
    <w:p w14:paraId="231356C8" w14:textId="4B711648" w:rsidR="00976458" w:rsidRDefault="00527CC1">
      <w:pPr>
        <w:pStyle w:val="Reasons"/>
      </w:pPr>
      <w:r>
        <w:rPr>
          <w:b/>
        </w:rPr>
        <w:t>Motivos:</w:t>
      </w:r>
      <w:r>
        <w:tab/>
      </w:r>
      <w:r w:rsidR="00A63183" w:rsidRPr="00A63183">
        <w:t xml:space="preserve">La supresión de la Resolución </w:t>
      </w:r>
      <w:r w:rsidR="00A63183" w:rsidRPr="00A63183">
        <w:rPr>
          <w:b/>
        </w:rPr>
        <w:t>175 (CMR-19)</w:t>
      </w:r>
      <w:r w:rsidR="00A63183" w:rsidRPr="00A63183">
        <w:t xml:space="preserve"> </w:t>
      </w:r>
      <w:r w:rsidR="00D55EB4">
        <w:t>constituye</w:t>
      </w:r>
      <w:r w:rsidR="00A63183" w:rsidRPr="00A63183">
        <w:t xml:space="preserve"> un</w:t>
      </w:r>
      <w:r w:rsidR="00D55EB4">
        <w:t>a</w:t>
      </w:r>
      <w:r w:rsidR="00A63183" w:rsidRPr="00A63183">
        <w:t xml:space="preserve"> </w:t>
      </w:r>
      <w:r w:rsidR="00D55EB4">
        <w:t>modificación</w:t>
      </w:r>
      <w:r w:rsidR="00A63183" w:rsidRPr="00A63183">
        <w:t xml:space="preserve"> consecuente, </w:t>
      </w:r>
      <w:r w:rsidR="00D55EB4">
        <w:t>puesto que no se</w:t>
      </w:r>
      <w:r w:rsidR="00A63183" w:rsidRPr="00A63183">
        <w:t xml:space="preserve"> requiere ninguna acción </w:t>
      </w:r>
      <w:r w:rsidR="00D55EB4">
        <w:t>adicional de la</w:t>
      </w:r>
      <w:r w:rsidR="00A63183" w:rsidRPr="00A63183">
        <w:t xml:space="preserve"> CMR para </w:t>
      </w:r>
      <w:r w:rsidR="00D55EB4">
        <w:t>abordar</w:t>
      </w:r>
      <w:r w:rsidR="00A63183" w:rsidRPr="00A63183">
        <w:t xml:space="preserve"> este tema. El UIT-R, en el </w:t>
      </w:r>
      <w:r w:rsidR="00D55EB4">
        <w:t>marco</w:t>
      </w:r>
      <w:r w:rsidR="00A63183" w:rsidRPr="00A63183">
        <w:t xml:space="preserve"> de la actividad </w:t>
      </w:r>
      <w:r w:rsidR="00D55EB4">
        <w:t>habitual</w:t>
      </w:r>
      <w:r w:rsidR="00A63183" w:rsidRPr="00A63183">
        <w:t xml:space="preserve"> de sus Comisiones de Estudio, </w:t>
      </w:r>
      <w:r w:rsidR="003300B8">
        <w:t>puede</w:t>
      </w:r>
      <w:r w:rsidR="00A63183" w:rsidRPr="00A63183">
        <w:t xml:space="preserve"> </w:t>
      </w:r>
      <w:r w:rsidR="003300B8">
        <w:t>proseguir la realización de</w:t>
      </w:r>
      <w:r w:rsidR="00A63183" w:rsidRPr="00A63183">
        <w:t xml:space="preserve"> estudios encaminados a la revisión de los Informes y </w:t>
      </w:r>
      <w:r w:rsidR="003300B8">
        <w:t xml:space="preserve">las </w:t>
      </w:r>
      <w:r w:rsidR="00A63183" w:rsidRPr="00A63183">
        <w:t xml:space="preserve">Recomendaciones </w:t>
      </w:r>
      <w:r w:rsidR="003300B8">
        <w:t>actuales</w:t>
      </w:r>
      <w:r w:rsidR="00A63183" w:rsidRPr="00A63183">
        <w:t xml:space="preserve">, </w:t>
      </w:r>
      <w:r w:rsidR="003300B8">
        <w:t>a fin de</w:t>
      </w:r>
      <w:r w:rsidR="00A63183" w:rsidRPr="00A63183">
        <w:t xml:space="preserve"> considerar </w:t>
      </w:r>
      <w:r w:rsidR="003300B8">
        <w:t>la utilización</w:t>
      </w:r>
      <w:r w:rsidR="00A63183" w:rsidRPr="00A63183">
        <w:t xml:space="preserve"> de las IMT para la banda ancha inalámbrica fija </w:t>
      </w:r>
      <w:r w:rsidR="003300B8">
        <w:t>en el</w:t>
      </w:r>
      <w:r w:rsidR="00A63183" w:rsidRPr="00A63183">
        <w:t xml:space="preserve"> servicio fijo </w:t>
      </w:r>
      <w:r w:rsidR="003300B8">
        <w:t>a título prim</w:t>
      </w:r>
      <w:r w:rsidR="00454C24">
        <w:t>a</w:t>
      </w:r>
      <w:r w:rsidR="003300B8">
        <w:t>rio</w:t>
      </w:r>
      <w:r w:rsidR="00A63183" w:rsidRPr="00A63183">
        <w:t>.</w:t>
      </w:r>
    </w:p>
    <w:p w14:paraId="364C34C7" w14:textId="39D6F429" w:rsidR="00454C24" w:rsidRDefault="00454C24" w:rsidP="0007487E">
      <w:pPr>
        <w:jc w:val="center"/>
      </w:pPr>
      <w:r>
        <w:t>______________</w:t>
      </w:r>
    </w:p>
    <w:sectPr w:rsidR="00454C2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EA41" w14:textId="77777777" w:rsidR="00666B37" w:rsidRDefault="00666B37">
      <w:r>
        <w:separator/>
      </w:r>
    </w:p>
  </w:endnote>
  <w:endnote w:type="continuationSeparator" w:id="0">
    <w:p w14:paraId="54EE070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A69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A37A3C" w14:textId="3E78A00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487E">
      <w:rPr>
        <w:noProof/>
      </w:rPr>
      <w:t>03.07.23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167E" w14:textId="12B617EB" w:rsidR="0077084A" w:rsidRDefault="00527CC1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37EF">
      <w:rPr>
        <w:lang w:val="en-US"/>
      </w:rPr>
      <w:t>P:\ESP\ITU-R\CONF-R\CMR23\000\044ADD24ADD03S.docx</w:t>
    </w:r>
    <w:r>
      <w:fldChar w:fldCharType="end"/>
    </w:r>
    <w:r w:rsidRPr="00527CC1">
      <w:rPr>
        <w:lang w:val="en-US"/>
      </w:rPr>
      <w:t xml:space="preserve"> </w:t>
    </w:r>
    <w:r>
      <w:rPr>
        <w:lang w:val="en-US"/>
      </w:rPr>
      <w:t>(525335)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3AE8" w14:textId="6828558C" w:rsidR="0077084A" w:rsidRPr="00527CC1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37EF">
      <w:rPr>
        <w:lang w:val="en-US"/>
      </w:rPr>
      <w:t>P:\ESP\ITU-R\CONF-R\CMR23\000\044ADD24ADD03S.docx</w:t>
    </w:r>
    <w:r>
      <w:fldChar w:fldCharType="end"/>
    </w:r>
    <w:r w:rsidR="00527CC1" w:rsidRPr="00527CC1">
      <w:rPr>
        <w:lang w:val="en-US"/>
      </w:rPr>
      <w:t xml:space="preserve"> </w:t>
    </w:r>
    <w:r w:rsidR="00527CC1">
      <w:rPr>
        <w:lang w:val="en-US"/>
      </w:rPr>
      <w:t>(525335)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0EE7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2FFEF1E7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3DB3" w14:textId="63F93CD2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C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D0992" w14:textId="180EA693" w:rsidR="0077084A" w:rsidRDefault="0007487E" w:rsidP="00C44E9E">
    <w:pPr>
      <w:pStyle w:val="Header"/>
      <w:rPr>
        <w:lang w:val="en-US"/>
      </w:rPr>
    </w:pPr>
    <w:r>
      <w:rPr>
        <w:lang w:val="en-US"/>
      </w:rPr>
      <w:t>CMR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44(Add.24)(Add.3)-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44254963">
    <w:abstractNumId w:val="8"/>
  </w:num>
  <w:num w:numId="2" w16cid:durableId="4410754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3706436">
    <w:abstractNumId w:val="9"/>
  </w:num>
  <w:num w:numId="4" w16cid:durableId="868371337">
    <w:abstractNumId w:val="7"/>
  </w:num>
  <w:num w:numId="5" w16cid:durableId="845704103">
    <w:abstractNumId w:val="6"/>
  </w:num>
  <w:num w:numId="6" w16cid:durableId="1103189610">
    <w:abstractNumId w:val="5"/>
  </w:num>
  <w:num w:numId="7" w16cid:durableId="473303917">
    <w:abstractNumId w:val="4"/>
  </w:num>
  <w:num w:numId="8" w16cid:durableId="454909808">
    <w:abstractNumId w:val="3"/>
  </w:num>
  <w:num w:numId="9" w16cid:durableId="401022075">
    <w:abstractNumId w:val="2"/>
  </w:num>
  <w:num w:numId="10" w16cid:durableId="981815686">
    <w:abstractNumId w:val="1"/>
  </w:num>
  <w:num w:numId="11" w16cid:durableId="99923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7487E"/>
    <w:rsid w:val="00087AE8"/>
    <w:rsid w:val="00091054"/>
    <w:rsid w:val="00091E8C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10BD"/>
    <w:rsid w:val="002E701F"/>
    <w:rsid w:val="003248A9"/>
    <w:rsid w:val="00324FFA"/>
    <w:rsid w:val="0032680B"/>
    <w:rsid w:val="003300B8"/>
    <w:rsid w:val="00350B15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54C24"/>
    <w:rsid w:val="00472A86"/>
    <w:rsid w:val="004B124A"/>
    <w:rsid w:val="004B3095"/>
    <w:rsid w:val="004C3A53"/>
    <w:rsid w:val="004D2749"/>
    <w:rsid w:val="004D2C7C"/>
    <w:rsid w:val="005133B5"/>
    <w:rsid w:val="00524392"/>
    <w:rsid w:val="00527CC1"/>
    <w:rsid w:val="00532097"/>
    <w:rsid w:val="0058350F"/>
    <w:rsid w:val="00583C7E"/>
    <w:rsid w:val="0059098E"/>
    <w:rsid w:val="005B37EF"/>
    <w:rsid w:val="005D46FB"/>
    <w:rsid w:val="005F2605"/>
    <w:rsid w:val="005F3B0E"/>
    <w:rsid w:val="005F3DB8"/>
    <w:rsid w:val="005F559C"/>
    <w:rsid w:val="00602857"/>
    <w:rsid w:val="006124AD"/>
    <w:rsid w:val="00617511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7B11"/>
    <w:rsid w:val="007C0B95"/>
    <w:rsid w:val="007C2317"/>
    <w:rsid w:val="007D330A"/>
    <w:rsid w:val="0080079E"/>
    <w:rsid w:val="008504C2"/>
    <w:rsid w:val="00866AE6"/>
    <w:rsid w:val="008750A8"/>
    <w:rsid w:val="008A4594"/>
    <w:rsid w:val="008D3316"/>
    <w:rsid w:val="008E5AF2"/>
    <w:rsid w:val="0090121B"/>
    <w:rsid w:val="009144C9"/>
    <w:rsid w:val="0094091F"/>
    <w:rsid w:val="00943383"/>
    <w:rsid w:val="00962171"/>
    <w:rsid w:val="00973754"/>
    <w:rsid w:val="00976458"/>
    <w:rsid w:val="009C0BED"/>
    <w:rsid w:val="009E11EC"/>
    <w:rsid w:val="00A021CC"/>
    <w:rsid w:val="00A118DB"/>
    <w:rsid w:val="00A4450C"/>
    <w:rsid w:val="00A63183"/>
    <w:rsid w:val="00A948C6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B1E35"/>
    <w:rsid w:val="00CC01E0"/>
    <w:rsid w:val="00CD5FEE"/>
    <w:rsid w:val="00CE60D2"/>
    <w:rsid w:val="00CE7431"/>
    <w:rsid w:val="00D00CA8"/>
    <w:rsid w:val="00D0288A"/>
    <w:rsid w:val="00D55EB4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7D8F5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R23-WRC23-C-0044!A24-A3!MSW-S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0E948D-741E-4837-885A-B8E97879ACE2}">
  <ds:schemaRefs>
    <ds:schemaRef ds:uri="http://schemas.microsoft.com/office/2006/documentManagement/types"/>
    <ds:schemaRef ds:uri="http://purl.org/dc/dcmitype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DB553B-5171-4FB9-A5E5-723FF7BA2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39B9D-41B7-4484-9B07-A3F71736C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DB4CC-324A-45F5-8A54-4903FCC67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AA11AE-B575-4208-ACD2-FD278F303C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940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R23-WRC23-C-0044!A24-A3!MSW-S</vt:lpstr>
    </vt:vector>
  </TitlesOfParts>
  <Manager>Secretaría General - Pool</Manager>
  <Company>Unión Internacional de Telecomunicaciones (UIT)</Company>
  <LinksUpToDate>false</LinksUpToDate>
  <CharactersWithSpaces>6022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R23-WRC23-C-0044!A24-A3!MSW-S</dc:title>
  <dc:subject>Conferencia Mundial de Radiocomunicaciones - 2019</dc:subject>
  <dc:creator>Documents Proposals Manager (DPM)</dc:creator>
  <cp:keywords>DPM_v2023.5.24.1_prod</cp:keywords>
  <dc:description/>
  <cp:lastModifiedBy>Spanish</cp:lastModifiedBy>
  <cp:revision>4</cp:revision>
  <cp:lastPrinted>2003-02-19T20:20:00Z</cp:lastPrinted>
  <dcterms:created xsi:type="dcterms:W3CDTF">2023-07-04T12:47:00Z</dcterms:created>
  <dcterms:modified xsi:type="dcterms:W3CDTF">2023-07-04T12:50:00Z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