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D542E1" w14:paraId="7C994711" w14:textId="77777777" w:rsidTr="00C1305F">
        <w:trPr>
          <w:cantSplit/>
        </w:trPr>
        <w:tc>
          <w:tcPr>
            <w:tcW w:w="1418" w:type="dxa"/>
            <w:vAlign w:val="center"/>
          </w:tcPr>
          <w:p w14:paraId="1DFC8D4B" w14:textId="77777777" w:rsidR="00C1305F" w:rsidRPr="00D542E1" w:rsidRDefault="00C1305F" w:rsidP="00C1305F">
            <w:pPr>
              <w:spacing w:before="0" w:line="240" w:lineRule="atLeast"/>
              <w:rPr>
                <w:rFonts w:ascii="Verdana" w:hAnsi="Verdana"/>
                <w:b/>
                <w:bCs/>
                <w:sz w:val="20"/>
                <w:lang w:val="fr-CH"/>
              </w:rPr>
            </w:pPr>
            <w:r w:rsidRPr="00D542E1">
              <w:rPr>
                <w:noProof/>
                <w:lang w:val="fr-CH" w:eastAsia="fr-CH"/>
              </w:rPr>
              <w:drawing>
                <wp:inline distT="0" distB="0" distL="0" distR="0" wp14:anchorId="662D0387" wp14:editId="67ED4A00">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CC536D5" w14:textId="77777777" w:rsidR="00C1305F" w:rsidRPr="00D542E1" w:rsidRDefault="00C1305F" w:rsidP="00F10064">
            <w:pPr>
              <w:spacing w:before="400" w:after="48" w:line="240" w:lineRule="atLeast"/>
              <w:rPr>
                <w:rFonts w:ascii="Verdana" w:hAnsi="Verdana"/>
                <w:b/>
                <w:bCs/>
                <w:sz w:val="20"/>
                <w:lang w:val="fr-CH"/>
              </w:rPr>
            </w:pPr>
            <w:r w:rsidRPr="00D542E1">
              <w:rPr>
                <w:rFonts w:ascii="Verdana" w:hAnsi="Verdana"/>
                <w:b/>
                <w:bCs/>
                <w:sz w:val="20"/>
                <w:lang w:val="fr-CH"/>
              </w:rPr>
              <w:t>Conférence mondiale des radiocommunications (CMR-23)</w:t>
            </w:r>
            <w:r w:rsidRPr="00D542E1">
              <w:rPr>
                <w:rFonts w:ascii="Verdana" w:hAnsi="Verdana"/>
                <w:b/>
                <w:bCs/>
                <w:sz w:val="20"/>
                <w:lang w:val="fr-CH"/>
              </w:rPr>
              <w:br/>
            </w:r>
            <w:r w:rsidRPr="00D542E1">
              <w:rPr>
                <w:rFonts w:ascii="Verdana" w:hAnsi="Verdana"/>
                <w:b/>
                <w:bCs/>
                <w:sz w:val="18"/>
                <w:szCs w:val="18"/>
                <w:lang w:val="fr-CH"/>
              </w:rPr>
              <w:t>Dubaï, 20 novembre - 15 décembre 2023</w:t>
            </w:r>
          </w:p>
        </w:tc>
        <w:tc>
          <w:tcPr>
            <w:tcW w:w="1809" w:type="dxa"/>
            <w:vAlign w:val="center"/>
          </w:tcPr>
          <w:p w14:paraId="34D5793F" w14:textId="77777777" w:rsidR="00C1305F" w:rsidRPr="00D542E1" w:rsidRDefault="00C1305F" w:rsidP="00C1305F">
            <w:pPr>
              <w:spacing w:before="0" w:line="240" w:lineRule="atLeast"/>
              <w:rPr>
                <w:lang w:val="fr-CH"/>
              </w:rPr>
            </w:pPr>
            <w:bookmarkStart w:id="0" w:name="ditulogo"/>
            <w:bookmarkEnd w:id="0"/>
            <w:r w:rsidRPr="00D542E1">
              <w:rPr>
                <w:noProof/>
                <w:lang w:val="fr-CH" w:eastAsia="fr-CH"/>
              </w:rPr>
              <w:drawing>
                <wp:inline distT="0" distB="0" distL="0" distR="0" wp14:anchorId="153CDACA" wp14:editId="5AA2235D">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D542E1" w14:paraId="00797E1C" w14:textId="77777777" w:rsidTr="0050008E">
        <w:trPr>
          <w:cantSplit/>
        </w:trPr>
        <w:tc>
          <w:tcPr>
            <w:tcW w:w="6911" w:type="dxa"/>
            <w:gridSpan w:val="2"/>
            <w:tcBorders>
              <w:bottom w:val="single" w:sz="12" w:space="0" w:color="auto"/>
            </w:tcBorders>
          </w:tcPr>
          <w:p w14:paraId="1F484792" w14:textId="77777777" w:rsidR="00BB1D82" w:rsidRPr="00D542E1" w:rsidRDefault="00BB1D82" w:rsidP="00BB1D82">
            <w:pPr>
              <w:spacing w:before="0" w:after="48" w:line="240" w:lineRule="atLeast"/>
              <w:rPr>
                <w:b/>
                <w:smallCaps/>
                <w:szCs w:val="24"/>
                <w:lang w:val="fr-CH"/>
              </w:rPr>
            </w:pPr>
            <w:bookmarkStart w:id="1" w:name="dhead"/>
          </w:p>
        </w:tc>
        <w:tc>
          <w:tcPr>
            <w:tcW w:w="3120" w:type="dxa"/>
            <w:gridSpan w:val="2"/>
            <w:tcBorders>
              <w:bottom w:val="single" w:sz="12" w:space="0" w:color="auto"/>
            </w:tcBorders>
          </w:tcPr>
          <w:p w14:paraId="32EE7133" w14:textId="77777777" w:rsidR="00BB1D82" w:rsidRPr="00D542E1" w:rsidRDefault="00BB1D82" w:rsidP="00BB1D82">
            <w:pPr>
              <w:spacing w:before="0" w:line="240" w:lineRule="atLeast"/>
              <w:rPr>
                <w:rFonts w:ascii="Verdana" w:hAnsi="Verdana"/>
                <w:szCs w:val="24"/>
                <w:lang w:val="fr-CH"/>
              </w:rPr>
            </w:pPr>
          </w:p>
        </w:tc>
      </w:tr>
      <w:tr w:rsidR="00BB1D82" w:rsidRPr="00D542E1" w14:paraId="4C24FC03" w14:textId="77777777" w:rsidTr="00BB1D82">
        <w:trPr>
          <w:cantSplit/>
        </w:trPr>
        <w:tc>
          <w:tcPr>
            <w:tcW w:w="6911" w:type="dxa"/>
            <w:gridSpan w:val="2"/>
            <w:tcBorders>
              <w:top w:val="single" w:sz="12" w:space="0" w:color="auto"/>
            </w:tcBorders>
          </w:tcPr>
          <w:p w14:paraId="4FE79DB6" w14:textId="77777777" w:rsidR="00BB1D82" w:rsidRPr="00D542E1" w:rsidRDefault="00BB1D82" w:rsidP="00BB1D82">
            <w:pPr>
              <w:spacing w:before="0" w:after="48" w:line="240" w:lineRule="atLeast"/>
              <w:rPr>
                <w:rFonts w:ascii="Verdana" w:hAnsi="Verdana"/>
                <w:b/>
                <w:smallCaps/>
                <w:sz w:val="20"/>
                <w:lang w:val="fr-CH"/>
              </w:rPr>
            </w:pPr>
          </w:p>
        </w:tc>
        <w:tc>
          <w:tcPr>
            <w:tcW w:w="3120" w:type="dxa"/>
            <w:gridSpan w:val="2"/>
            <w:tcBorders>
              <w:top w:val="single" w:sz="12" w:space="0" w:color="auto"/>
            </w:tcBorders>
          </w:tcPr>
          <w:p w14:paraId="039A2909" w14:textId="77777777" w:rsidR="00BB1D82" w:rsidRPr="00D542E1" w:rsidRDefault="00BB1D82" w:rsidP="00BB1D82">
            <w:pPr>
              <w:spacing w:before="0" w:line="240" w:lineRule="atLeast"/>
              <w:rPr>
                <w:rFonts w:ascii="Verdana" w:hAnsi="Verdana"/>
                <w:sz w:val="20"/>
                <w:lang w:val="fr-CH"/>
              </w:rPr>
            </w:pPr>
          </w:p>
        </w:tc>
      </w:tr>
      <w:tr w:rsidR="00BB1D82" w:rsidRPr="00D542E1" w14:paraId="2807181D" w14:textId="77777777" w:rsidTr="00BB1D82">
        <w:trPr>
          <w:cantSplit/>
        </w:trPr>
        <w:tc>
          <w:tcPr>
            <w:tcW w:w="6911" w:type="dxa"/>
            <w:gridSpan w:val="2"/>
          </w:tcPr>
          <w:p w14:paraId="41E4CC57" w14:textId="77777777" w:rsidR="00BB1D82" w:rsidRPr="00D542E1" w:rsidRDefault="006D4724" w:rsidP="00BA5BD0">
            <w:pPr>
              <w:spacing w:before="0"/>
              <w:rPr>
                <w:rFonts w:ascii="Verdana" w:hAnsi="Verdana"/>
                <w:b/>
                <w:sz w:val="20"/>
                <w:lang w:val="fr-CH"/>
              </w:rPr>
            </w:pPr>
            <w:r w:rsidRPr="00D542E1">
              <w:rPr>
                <w:rFonts w:ascii="Verdana" w:hAnsi="Verdana"/>
                <w:b/>
                <w:sz w:val="20"/>
                <w:lang w:val="fr-CH"/>
              </w:rPr>
              <w:t>SÉANCE PLÉNIÈRE</w:t>
            </w:r>
          </w:p>
        </w:tc>
        <w:tc>
          <w:tcPr>
            <w:tcW w:w="3120" w:type="dxa"/>
            <w:gridSpan w:val="2"/>
          </w:tcPr>
          <w:p w14:paraId="018009DD" w14:textId="77777777" w:rsidR="00BB1D82" w:rsidRPr="00D542E1" w:rsidRDefault="006D4724" w:rsidP="00BA5BD0">
            <w:pPr>
              <w:spacing w:before="0"/>
              <w:rPr>
                <w:rFonts w:ascii="Verdana" w:hAnsi="Verdana"/>
                <w:sz w:val="20"/>
                <w:lang w:val="fr-CH"/>
              </w:rPr>
            </w:pPr>
            <w:r w:rsidRPr="00D542E1">
              <w:rPr>
                <w:rFonts w:ascii="Verdana" w:hAnsi="Verdana"/>
                <w:b/>
                <w:sz w:val="20"/>
                <w:lang w:val="fr-CH"/>
              </w:rPr>
              <w:t>Addendum 2 au</w:t>
            </w:r>
            <w:r w:rsidRPr="00D542E1">
              <w:rPr>
                <w:rFonts w:ascii="Verdana" w:hAnsi="Verdana"/>
                <w:b/>
                <w:sz w:val="20"/>
                <w:lang w:val="fr-CH"/>
              </w:rPr>
              <w:br/>
              <w:t>Document 44(Add.24)</w:t>
            </w:r>
            <w:r w:rsidR="00BB1D82" w:rsidRPr="00D542E1">
              <w:rPr>
                <w:rFonts w:ascii="Verdana" w:hAnsi="Verdana"/>
                <w:b/>
                <w:sz w:val="20"/>
                <w:lang w:val="fr-CH"/>
              </w:rPr>
              <w:t>-</w:t>
            </w:r>
            <w:r w:rsidRPr="00D542E1">
              <w:rPr>
                <w:rFonts w:ascii="Verdana" w:hAnsi="Verdana"/>
                <w:b/>
                <w:sz w:val="20"/>
                <w:lang w:val="fr-CH"/>
              </w:rPr>
              <w:t>F</w:t>
            </w:r>
          </w:p>
        </w:tc>
      </w:tr>
      <w:bookmarkEnd w:id="1"/>
      <w:tr w:rsidR="00690C7B" w:rsidRPr="00D542E1" w14:paraId="4BE8E535" w14:textId="77777777" w:rsidTr="00BB1D82">
        <w:trPr>
          <w:cantSplit/>
        </w:trPr>
        <w:tc>
          <w:tcPr>
            <w:tcW w:w="6911" w:type="dxa"/>
            <w:gridSpan w:val="2"/>
          </w:tcPr>
          <w:p w14:paraId="3334C630" w14:textId="77777777" w:rsidR="00690C7B" w:rsidRPr="00D542E1" w:rsidRDefault="00690C7B" w:rsidP="00BA5BD0">
            <w:pPr>
              <w:spacing w:before="0"/>
              <w:rPr>
                <w:rFonts w:ascii="Verdana" w:hAnsi="Verdana"/>
                <w:b/>
                <w:sz w:val="20"/>
                <w:lang w:val="fr-CH"/>
              </w:rPr>
            </w:pPr>
          </w:p>
        </w:tc>
        <w:tc>
          <w:tcPr>
            <w:tcW w:w="3120" w:type="dxa"/>
            <w:gridSpan w:val="2"/>
          </w:tcPr>
          <w:p w14:paraId="0AA3E084" w14:textId="77777777" w:rsidR="00690C7B" w:rsidRPr="00D542E1" w:rsidRDefault="00690C7B" w:rsidP="00BA5BD0">
            <w:pPr>
              <w:spacing w:before="0"/>
              <w:rPr>
                <w:rFonts w:ascii="Verdana" w:hAnsi="Verdana"/>
                <w:b/>
                <w:sz w:val="20"/>
                <w:lang w:val="fr-CH"/>
              </w:rPr>
            </w:pPr>
            <w:r w:rsidRPr="00D542E1">
              <w:rPr>
                <w:rFonts w:ascii="Verdana" w:hAnsi="Verdana"/>
                <w:b/>
                <w:sz w:val="20"/>
                <w:lang w:val="fr-CH"/>
              </w:rPr>
              <w:t>26 juin 2023</w:t>
            </w:r>
          </w:p>
        </w:tc>
      </w:tr>
      <w:tr w:rsidR="00690C7B" w:rsidRPr="00D542E1" w14:paraId="2F39C725" w14:textId="77777777" w:rsidTr="00BB1D82">
        <w:trPr>
          <w:cantSplit/>
        </w:trPr>
        <w:tc>
          <w:tcPr>
            <w:tcW w:w="6911" w:type="dxa"/>
            <w:gridSpan w:val="2"/>
          </w:tcPr>
          <w:p w14:paraId="40ADFBC2" w14:textId="77777777" w:rsidR="00690C7B" w:rsidRPr="00D542E1" w:rsidRDefault="00690C7B" w:rsidP="00BA5BD0">
            <w:pPr>
              <w:spacing w:before="0" w:after="48"/>
              <w:rPr>
                <w:rFonts w:ascii="Verdana" w:hAnsi="Verdana"/>
                <w:b/>
                <w:smallCaps/>
                <w:sz w:val="20"/>
                <w:lang w:val="fr-CH"/>
              </w:rPr>
            </w:pPr>
          </w:p>
        </w:tc>
        <w:tc>
          <w:tcPr>
            <w:tcW w:w="3120" w:type="dxa"/>
            <w:gridSpan w:val="2"/>
          </w:tcPr>
          <w:p w14:paraId="6DA00702" w14:textId="77777777" w:rsidR="00690C7B" w:rsidRPr="00D542E1" w:rsidRDefault="00690C7B" w:rsidP="00BA5BD0">
            <w:pPr>
              <w:spacing w:before="0"/>
              <w:rPr>
                <w:rFonts w:ascii="Verdana" w:hAnsi="Verdana"/>
                <w:b/>
                <w:sz w:val="20"/>
                <w:lang w:val="fr-CH"/>
              </w:rPr>
            </w:pPr>
            <w:r w:rsidRPr="00D542E1">
              <w:rPr>
                <w:rFonts w:ascii="Verdana" w:hAnsi="Verdana"/>
                <w:b/>
                <w:sz w:val="20"/>
                <w:lang w:val="fr-CH"/>
              </w:rPr>
              <w:t>Original: anglais</w:t>
            </w:r>
          </w:p>
        </w:tc>
      </w:tr>
      <w:tr w:rsidR="00690C7B" w:rsidRPr="00D542E1" w14:paraId="61A2051A" w14:textId="77777777" w:rsidTr="00C11970">
        <w:trPr>
          <w:cantSplit/>
        </w:trPr>
        <w:tc>
          <w:tcPr>
            <w:tcW w:w="10031" w:type="dxa"/>
            <w:gridSpan w:val="4"/>
          </w:tcPr>
          <w:p w14:paraId="5699B42D" w14:textId="77777777" w:rsidR="00690C7B" w:rsidRPr="00D542E1" w:rsidRDefault="00690C7B" w:rsidP="00BA5BD0">
            <w:pPr>
              <w:spacing w:before="0"/>
              <w:rPr>
                <w:rFonts w:ascii="Verdana" w:hAnsi="Verdana"/>
                <w:b/>
                <w:sz w:val="20"/>
                <w:lang w:val="fr-CH"/>
              </w:rPr>
            </w:pPr>
          </w:p>
        </w:tc>
      </w:tr>
      <w:tr w:rsidR="00690C7B" w:rsidRPr="00D542E1" w14:paraId="6FBE378C" w14:textId="77777777" w:rsidTr="0050008E">
        <w:trPr>
          <w:cantSplit/>
        </w:trPr>
        <w:tc>
          <w:tcPr>
            <w:tcW w:w="10031" w:type="dxa"/>
            <w:gridSpan w:val="4"/>
          </w:tcPr>
          <w:p w14:paraId="1FAA9FB9" w14:textId="77777777" w:rsidR="00690C7B" w:rsidRPr="00D542E1" w:rsidRDefault="00690C7B" w:rsidP="00690C7B">
            <w:pPr>
              <w:pStyle w:val="Source"/>
              <w:rPr>
                <w:lang w:val="fr-CH"/>
              </w:rPr>
            </w:pPr>
            <w:bookmarkStart w:id="2" w:name="dsource" w:colFirst="0" w:colLast="0"/>
            <w:r w:rsidRPr="00D542E1">
              <w:rPr>
                <w:lang w:val="fr-CH"/>
              </w:rPr>
              <w:t>États Membres de la Commission interaméricaine des télécommunications (CITEL)</w:t>
            </w:r>
          </w:p>
        </w:tc>
      </w:tr>
      <w:tr w:rsidR="00690C7B" w:rsidRPr="00D542E1" w14:paraId="34CE9EDF" w14:textId="77777777" w:rsidTr="0050008E">
        <w:trPr>
          <w:cantSplit/>
        </w:trPr>
        <w:tc>
          <w:tcPr>
            <w:tcW w:w="10031" w:type="dxa"/>
            <w:gridSpan w:val="4"/>
          </w:tcPr>
          <w:p w14:paraId="6F65F0AA" w14:textId="5F2B9ACE" w:rsidR="00690C7B" w:rsidRPr="00D542E1" w:rsidRDefault="00DB4C2D" w:rsidP="00690C7B">
            <w:pPr>
              <w:pStyle w:val="Title1"/>
              <w:rPr>
                <w:lang w:val="fr-CH"/>
              </w:rPr>
            </w:pPr>
            <w:bookmarkStart w:id="3" w:name="dtitle1" w:colFirst="0" w:colLast="0"/>
            <w:bookmarkEnd w:id="2"/>
            <w:r w:rsidRPr="00D542E1">
              <w:rPr>
                <w:lang w:val="fr-CH"/>
              </w:rPr>
              <w:t>PROPOSITIONS POUR LES TRAVAUX DE LA CONFÉRENCE</w:t>
            </w:r>
          </w:p>
        </w:tc>
      </w:tr>
      <w:tr w:rsidR="00690C7B" w:rsidRPr="00D542E1" w14:paraId="3B6A4513" w14:textId="77777777" w:rsidTr="0050008E">
        <w:trPr>
          <w:cantSplit/>
        </w:trPr>
        <w:tc>
          <w:tcPr>
            <w:tcW w:w="10031" w:type="dxa"/>
            <w:gridSpan w:val="4"/>
          </w:tcPr>
          <w:p w14:paraId="75B1A740" w14:textId="77777777" w:rsidR="00690C7B" w:rsidRPr="00D542E1" w:rsidRDefault="00690C7B" w:rsidP="00690C7B">
            <w:pPr>
              <w:pStyle w:val="Title2"/>
              <w:rPr>
                <w:lang w:val="fr-CH"/>
              </w:rPr>
            </w:pPr>
            <w:bookmarkStart w:id="4" w:name="dtitle2" w:colFirst="0" w:colLast="0"/>
            <w:bookmarkEnd w:id="3"/>
          </w:p>
        </w:tc>
      </w:tr>
      <w:tr w:rsidR="00690C7B" w:rsidRPr="00D542E1" w14:paraId="5B8497DD" w14:textId="77777777" w:rsidTr="0050008E">
        <w:trPr>
          <w:cantSplit/>
        </w:trPr>
        <w:tc>
          <w:tcPr>
            <w:tcW w:w="10031" w:type="dxa"/>
            <w:gridSpan w:val="4"/>
          </w:tcPr>
          <w:p w14:paraId="76E8C96F" w14:textId="77777777" w:rsidR="00690C7B" w:rsidRPr="00D542E1" w:rsidRDefault="00690C7B" w:rsidP="00690C7B">
            <w:pPr>
              <w:pStyle w:val="Agendaitem"/>
            </w:pPr>
            <w:bookmarkStart w:id="5" w:name="dtitle3" w:colFirst="0" w:colLast="0"/>
            <w:bookmarkEnd w:id="4"/>
            <w:r w:rsidRPr="00D542E1">
              <w:t>Point 9.1(9.1-b) de l'ordre du jour</w:t>
            </w:r>
          </w:p>
        </w:tc>
      </w:tr>
    </w:tbl>
    <w:bookmarkEnd w:id="5"/>
    <w:p w14:paraId="08C2F2E6" w14:textId="77777777" w:rsidR="00F5133A" w:rsidRPr="00D542E1" w:rsidRDefault="00E544EA" w:rsidP="003D082A">
      <w:pPr>
        <w:rPr>
          <w:lang w:val="fr-CH"/>
        </w:rPr>
      </w:pPr>
      <w:r w:rsidRPr="00D542E1">
        <w:rPr>
          <w:lang w:val="fr-CH"/>
        </w:rPr>
        <w:t>9</w:t>
      </w:r>
      <w:r w:rsidRPr="00D542E1">
        <w:rPr>
          <w:lang w:val="fr-CH"/>
        </w:rPr>
        <w:tab/>
        <w:t>examiner et approuver le rapport du Directeur du Bureau des radiocommunications, conformément à l'article 7 de la Convention de l'UIT:</w:t>
      </w:r>
    </w:p>
    <w:p w14:paraId="39ED0D77" w14:textId="77777777" w:rsidR="00F5133A" w:rsidRPr="00D542E1" w:rsidRDefault="00E544EA" w:rsidP="00E6271D">
      <w:pPr>
        <w:rPr>
          <w:lang w:val="fr-CH"/>
        </w:rPr>
      </w:pPr>
      <w:r w:rsidRPr="00D542E1">
        <w:rPr>
          <w:lang w:val="fr-CH"/>
        </w:rPr>
        <w:t>9.1</w:t>
      </w:r>
      <w:r w:rsidRPr="00D542E1">
        <w:rPr>
          <w:lang w:val="fr-CH"/>
        </w:rPr>
        <w:tab/>
        <w:t>sur les activités du Secteur des radiocommunications de l'UIT depuis la CMR</w:t>
      </w:r>
      <w:r w:rsidRPr="00D542E1">
        <w:rPr>
          <w:lang w:val="fr-CH"/>
        </w:rPr>
        <w:noBreakHyphen/>
        <w:t>19;</w:t>
      </w:r>
    </w:p>
    <w:p w14:paraId="562A52A4" w14:textId="77777777" w:rsidR="00E606A1" w:rsidRPr="00D542E1" w:rsidRDefault="00E544EA" w:rsidP="00ED7382">
      <w:pPr>
        <w:rPr>
          <w:lang w:val="fr-CH"/>
        </w:rPr>
      </w:pPr>
      <w:r w:rsidRPr="00D542E1">
        <w:rPr>
          <w:lang w:val="fr-CH"/>
        </w:rPr>
        <w:t>(9.1-b)</w:t>
      </w:r>
      <w:r w:rsidRPr="00D542E1">
        <w:rPr>
          <w:lang w:val="fr-CH"/>
        </w:rPr>
        <w:tab/>
        <w:t xml:space="preserve">Examiner les attributions au service d'amateur et au service d'amateur par satellite dans la bande de fréquences 1 240-1 300 MHz, afin de déterminer si des mesures additionnelles doivent être prises pour garantir la protection du service de radionavigation par satellite (espace vers Terre) fonctionnant dans la même bande de fréquences, conformément à la Résolution </w:t>
      </w:r>
      <w:r w:rsidRPr="00D542E1">
        <w:rPr>
          <w:b/>
          <w:bCs/>
          <w:lang w:val="fr-CH"/>
        </w:rPr>
        <w:t>774 (CMR-19)</w:t>
      </w:r>
      <w:r w:rsidRPr="00D542E1">
        <w:rPr>
          <w:lang w:val="fr-CH"/>
        </w:rPr>
        <w:t>;</w:t>
      </w:r>
    </w:p>
    <w:p w14:paraId="30B13133" w14:textId="538DDD9A" w:rsidR="00ED7382" w:rsidRPr="00D542E1" w:rsidRDefault="00E544EA" w:rsidP="00ED7382">
      <w:pPr>
        <w:rPr>
          <w:lang w:val="fr-CH"/>
        </w:rPr>
      </w:pPr>
      <w:r w:rsidRPr="00D542E1">
        <w:rPr>
          <w:lang w:val="fr-CH"/>
        </w:rPr>
        <w:t xml:space="preserve">Résolution </w:t>
      </w:r>
      <w:r w:rsidRPr="00D542E1">
        <w:rPr>
          <w:b/>
          <w:bCs/>
          <w:lang w:val="fr-CH"/>
        </w:rPr>
        <w:t>774 (CMR-19)</w:t>
      </w:r>
      <w:r w:rsidRPr="00D542E1">
        <w:rPr>
          <w:lang w:val="fr-CH"/>
        </w:rPr>
        <w:t xml:space="preserve"> </w:t>
      </w:r>
      <w:r w:rsidR="00DE774B" w:rsidRPr="00DE774B">
        <w:rPr>
          <w:lang w:val="fr-CH"/>
        </w:rPr>
        <w:t>–</w:t>
      </w:r>
      <w:r w:rsidRPr="00D542E1">
        <w:rPr>
          <w:lang w:val="fr-CH"/>
        </w:rPr>
        <w:t xml:space="preserve"> Études relatives aux mesures techniques et opérationnelles à appliquer dans la bande de fréquences 1 240-1 300 MHz pour garantir la protection du service de radionavigation par satellite (espace vers Terre)</w:t>
      </w:r>
    </w:p>
    <w:p w14:paraId="62A58C32" w14:textId="42A023CC" w:rsidR="00623BE8" w:rsidRPr="00D542E1" w:rsidRDefault="007E2991" w:rsidP="00623BE8">
      <w:pPr>
        <w:pStyle w:val="Headingb"/>
        <w:spacing w:before="480"/>
        <w:rPr>
          <w:lang w:val="fr-CH"/>
        </w:rPr>
      </w:pPr>
      <w:r w:rsidRPr="00D542E1">
        <w:rPr>
          <w:lang w:val="fr-CH"/>
        </w:rPr>
        <w:t>Considérations générales</w:t>
      </w:r>
    </w:p>
    <w:p w14:paraId="040054E7" w14:textId="5B3DD511" w:rsidR="00623BE8" w:rsidRPr="00D542E1" w:rsidRDefault="00472A65" w:rsidP="00623BE8">
      <w:pPr>
        <w:rPr>
          <w:i/>
          <w:iCs/>
          <w:lang w:val="fr-CH"/>
        </w:rPr>
      </w:pPr>
      <w:r w:rsidRPr="00D542E1">
        <w:rPr>
          <w:lang w:val="fr-CH"/>
        </w:rPr>
        <w:t xml:space="preserve">Par sa </w:t>
      </w:r>
      <w:r w:rsidR="00623BE8" w:rsidRPr="00D542E1">
        <w:rPr>
          <w:lang w:val="fr-CH"/>
        </w:rPr>
        <w:t xml:space="preserve">Résolution </w:t>
      </w:r>
      <w:r w:rsidR="00623BE8" w:rsidRPr="00D542E1">
        <w:rPr>
          <w:b/>
          <w:bCs/>
          <w:lang w:val="fr-CH"/>
        </w:rPr>
        <w:t>774 (</w:t>
      </w:r>
      <w:r w:rsidR="00E1516A">
        <w:rPr>
          <w:b/>
          <w:bCs/>
          <w:lang w:val="fr-CH"/>
        </w:rPr>
        <w:t>CMR</w:t>
      </w:r>
      <w:r w:rsidR="00623BE8" w:rsidRPr="00D542E1">
        <w:rPr>
          <w:b/>
          <w:bCs/>
          <w:lang w:val="fr-CH"/>
        </w:rPr>
        <w:t>-19)</w:t>
      </w:r>
      <w:r w:rsidRPr="00D542E1">
        <w:rPr>
          <w:bCs/>
          <w:lang w:val="fr-CH"/>
        </w:rPr>
        <w:t>, la CMR</w:t>
      </w:r>
      <w:r w:rsidR="00623BE8" w:rsidRPr="00D542E1">
        <w:rPr>
          <w:i/>
          <w:iCs/>
          <w:lang w:val="fr-CH"/>
        </w:rPr>
        <w:t xml:space="preserve"> </w:t>
      </w:r>
      <w:r w:rsidR="005C6B0F">
        <w:rPr>
          <w:iCs/>
          <w:lang w:val="fr-CH"/>
        </w:rPr>
        <w:t xml:space="preserve">a </w:t>
      </w:r>
      <w:r w:rsidR="005C6B0F" w:rsidRPr="00F63B25">
        <w:rPr>
          <w:i/>
          <w:lang w:val="fr-CH"/>
        </w:rPr>
        <w:t>décidé</w:t>
      </w:r>
      <w:r w:rsidR="005C6B0F">
        <w:rPr>
          <w:iCs/>
          <w:lang w:val="fr-CH"/>
        </w:rPr>
        <w:t xml:space="preserve"> </w:t>
      </w:r>
      <w:r w:rsidR="00623BE8" w:rsidRPr="00D542E1">
        <w:rPr>
          <w:i/>
          <w:iCs/>
          <w:color w:val="000000"/>
          <w:lang w:val="fr-CH"/>
        </w:rPr>
        <w:t>d'inviter le Secteur des radiocommunications de l'UIT</w:t>
      </w:r>
      <w:r w:rsidR="00623BE8" w:rsidRPr="00D542E1">
        <w:rPr>
          <w:i/>
          <w:iCs/>
          <w:lang w:val="fr-CH"/>
        </w:rPr>
        <w:t>:</w:t>
      </w:r>
    </w:p>
    <w:p w14:paraId="6F73946B" w14:textId="31592C3F" w:rsidR="00623BE8" w:rsidRPr="00D542E1" w:rsidRDefault="00623BE8" w:rsidP="00623BE8">
      <w:pPr>
        <w:rPr>
          <w:i/>
          <w:iCs/>
          <w:lang w:val="fr-CH"/>
        </w:rPr>
      </w:pPr>
      <w:r w:rsidRPr="00D542E1">
        <w:rPr>
          <w:i/>
          <w:iCs/>
          <w:lang w:val="fr-CH"/>
        </w:rPr>
        <w:t>«1</w:t>
      </w:r>
      <w:r w:rsidRPr="00D542E1">
        <w:rPr>
          <w:i/>
          <w:iCs/>
          <w:lang w:val="fr-CH"/>
        </w:rPr>
        <w:tab/>
        <w:t>à procéder à un examen détaillé des différents systèmes et des différentes applications utilisés dans le cadre des attributions aux services d'amateur et d'amateur par satellite dans la bande de fréquences 1 240-1 300 MHz;</w:t>
      </w:r>
    </w:p>
    <w:p w14:paraId="18B94048" w14:textId="3930A7B3" w:rsidR="003A583E" w:rsidRPr="00D542E1" w:rsidRDefault="00623BE8" w:rsidP="00623BE8">
      <w:pPr>
        <w:rPr>
          <w:i/>
          <w:iCs/>
          <w:lang w:val="fr-CH"/>
        </w:rPr>
      </w:pPr>
      <w:r w:rsidRPr="00D542E1">
        <w:rPr>
          <w:i/>
          <w:iCs/>
          <w:lang w:val="fr-CH"/>
        </w:rPr>
        <w:t>2</w:t>
      </w:r>
      <w:r w:rsidRPr="00D542E1">
        <w:rPr>
          <w:i/>
          <w:iCs/>
          <w:lang w:val="fr-CH"/>
        </w:rPr>
        <w:tab/>
        <w:t>à étudier, compte tenu des résultats de l'examen susmentionné, les mesures techniques et opérationnelles qui pourraient être prises pour garantir la protection des récepteurs du SRNS (espace vers Terre) vis-à-vis des services d'amateur et d'amateur par satellite dans la bande de fréquences 1 240-1 300 MHz, sans envisager la suppression de ces attributions aux services d'amateur et d'amateur par satellite</w:t>
      </w:r>
      <w:r w:rsidR="00200A49">
        <w:rPr>
          <w:i/>
          <w:iCs/>
          <w:lang w:val="fr-CH"/>
        </w:rPr>
        <w:t>,</w:t>
      </w:r>
      <w:r w:rsidRPr="00D542E1">
        <w:rPr>
          <w:i/>
          <w:iCs/>
          <w:lang w:val="fr-CH"/>
        </w:rPr>
        <w:t>»</w:t>
      </w:r>
    </w:p>
    <w:p w14:paraId="081E79E8" w14:textId="70C1F2D4" w:rsidR="00F469FC" w:rsidRPr="00530F3D" w:rsidRDefault="00F469FC" w:rsidP="00200A49">
      <w:pPr>
        <w:keepLines/>
        <w:rPr>
          <w:b/>
          <w:lang w:val="fr-CH"/>
        </w:rPr>
      </w:pPr>
      <w:r w:rsidRPr="00D542E1">
        <w:rPr>
          <w:lang w:val="fr-CH"/>
        </w:rPr>
        <w:lastRenderedPageBreak/>
        <w:t xml:space="preserve">La bande de fréquences 1 240-1 300 MHz </w:t>
      </w:r>
      <w:r w:rsidR="00B530DF" w:rsidRPr="00D542E1">
        <w:rPr>
          <w:lang w:val="fr-CH"/>
        </w:rPr>
        <w:t xml:space="preserve">est attribuée </w:t>
      </w:r>
      <w:r w:rsidR="0006120B">
        <w:rPr>
          <w:lang w:val="fr-CH"/>
        </w:rPr>
        <w:t xml:space="preserve">à titre primaire </w:t>
      </w:r>
      <w:r w:rsidR="00B530DF" w:rsidRPr="00D542E1">
        <w:rPr>
          <w:lang w:val="fr-CH"/>
        </w:rPr>
        <w:t>au service de radionavigation par satellite (espace vers Terre) et (espace-espace</w:t>
      </w:r>
      <w:r w:rsidR="00E01143" w:rsidRPr="00D542E1">
        <w:rPr>
          <w:lang w:val="fr-CH"/>
        </w:rPr>
        <w:t xml:space="preserve">) (SRNS), </w:t>
      </w:r>
      <w:r w:rsidR="009F1E46" w:rsidRPr="00D542E1">
        <w:rPr>
          <w:lang w:val="fr-CH"/>
        </w:rPr>
        <w:t xml:space="preserve">ainsi qu'aux services d'exploration de la Terre par satellite (active), de radiolocalisation et de recherche spatiale (active), </w:t>
      </w:r>
      <w:r w:rsidR="0066596F">
        <w:rPr>
          <w:lang w:val="fr-CH"/>
        </w:rPr>
        <w:t xml:space="preserve">dans </w:t>
      </w:r>
      <w:r w:rsidR="005E7B97" w:rsidRPr="00D542E1">
        <w:rPr>
          <w:lang w:val="fr-CH"/>
        </w:rPr>
        <w:t xml:space="preserve">les conditions énoncées </w:t>
      </w:r>
      <w:r w:rsidR="00441A19">
        <w:rPr>
          <w:lang w:val="fr-CH"/>
        </w:rPr>
        <w:t xml:space="preserve">aux numéros </w:t>
      </w:r>
      <w:r w:rsidR="00530F3D" w:rsidRPr="00D542E1">
        <w:rPr>
          <w:b/>
          <w:bCs/>
          <w:lang w:val="fr-CH"/>
        </w:rPr>
        <w:t>5.328B</w:t>
      </w:r>
      <w:r w:rsidR="00530F3D" w:rsidRPr="00D542E1">
        <w:rPr>
          <w:lang w:val="fr-CH"/>
        </w:rPr>
        <w:t xml:space="preserve">, </w:t>
      </w:r>
      <w:r w:rsidR="00530F3D" w:rsidRPr="00D542E1">
        <w:rPr>
          <w:b/>
          <w:bCs/>
          <w:lang w:val="fr-CH"/>
        </w:rPr>
        <w:t>5.329</w:t>
      </w:r>
      <w:r w:rsidR="00530F3D" w:rsidRPr="00D542E1">
        <w:rPr>
          <w:lang w:val="fr-CH"/>
        </w:rPr>
        <w:t xml:space="preserve"> </w:t>
      </w:r>
      <w:r w:rsidR="00530F3D">
        <w:rPr>
          <w:lang w:val="fr-CH"/>
        </w:rPr>
        <w:t>et</w:t>
      </w:r>
      <w:r w:rsidR="00530F3D" w:rsidRPr="00D542E1">
        <w:rPr>
          <w:lang w:val="fr-CH"/>
        </w:rPr>
        <w:t xml:space="preserve"> </w:t>
      </w:r>
      <w:r w:rsidR="00530F3D" w:rsidRPr="00D542E1">
        <w:rPr>
          <w:b/>
          <w:bCs/>
          <w:lang w:val="fr-CH"/>
        </w:rPr>
        <w:t>5.329A</w:t>
      </w:r>
      <w:r w:rsidR="00530F3D" w:rsidRPr="00D542E1">
        <w:rPr>
          <w:lang w:val="fr-CH"/>
        </w:rPr>
        <w:t>.</w:t>
      </w:r>
      <w:r w:rsidR="00530F3D">
        <w:rPr>
          <w:lang w:val="fr-CH"/>
        </w:rPr>
        <w:t xml:space="preserve"> </w:t>
      </w:r>
      <w:r w:rsidR="00B521A7">
        <w:rPr>
          <w:lang w:val="fr-CH"/>
        </w:rPr>
        <w:t xml:space="preserve">Le service </w:t>
      </w:r>
      <w:r w:rsidR="002909E6">
        <w:rPr>
          <w:lang w:val="fr-CH"/>
        </w:rPr>
        <w:t xml:space="preserve">d'amateur </w:t>
      </w:r>
      <w:r w:rsidR="00A2381F">
        <w:rPr>
          <w:lang w:val="fr-CH"/>
        </w:rPr>
        <w:t xml:space="preserve">bénéficie d'une attribution à titre secondaire dans la même bande de fréquences, et le service </w:t>
      </w:r>
      <w:r w:rsidR="00972723">
        <w:rPr>
          <w:lang w:val="fr-CH"/>
        </w:rPr>
        <w:t xml:space="preserve">d'amateur par satellite </w:t>
      </w:r>
      <w:r w:rsidR="009F6B79">
        <w:rPr>
          <w:lang w:val="fr-CH"/>
        </w:rPr>
        <w:t xml:space="preserve">peut fonctionner dans la bande de fréquences 1 260-1 270 MHz, dans le sens Terre vers espace, </w:t>
      </w:r>
      <w:r w:rsidR="003E00FC">
        <w:rPr>
          <w:lang w:val="fr-CH"/>
        </w:rPr>
        <w:t>conformément aux</w:t>
      </w:r>
      <w:r w:rsidR="009F6B79">
        <w:rPr>
          <w:lang w:val="fr-CH"/>
        </w:rPr>
        <w:t xml:space="preserve"> numéros </w:t>
      </w:r>
      <w:r w:rsidR="00947D9F" w:rsidRPr="00D542E1">
        <w:rPr>
          <w:b/>
          <w:bCs/>
          <w:lang w:val="fr-CH"/>
        </w:rPr>
        <w:t>5.282</w:t>
      </w:r>
      <w:r w:rsidR="00947D9F" w:rsidRPr="00200A49">
        <w:rPr>
          <w:lang w:val="fr-CH"/>
        </w:rPr>
        <w:t xml:space="preserve"> et </w:t>
      </w:r>
      <w:r w:rsidR="00947D9F" w:rsidRPr="00D542E1">
        <w:rPr>
          <w:b/>
          <w:bCs/>
          <w:lang w:val="fr-CH"/>
        </w:rPr>
        <w:t>5.43</w:t>
      </w:r>
      <w:r w:rsidR="00947D9F" w:rsidRPr="00D542E1">
        <w:rPr>
          <w:lang w:val="fr-CH"/>
        </w:rPr>
        <w:t>.</w:t>
      </w:r>
    </w:p>
    <w:p w14:paraId="58055A7D" w14:textId="2D28CA16" w:rsidR="00572112" w:rsidRPr="001C0029" w:rsidRDefault="00421267" w:rsidP="00DE774B">
      <w:pPr>
        <w:rPr>
          <w:lang w:val="fr-CH"/>
        </w:rPr>
      </w:pPr>
      <w:r>
        <w:rPr>
          <w:lang w:val="fr-CH"/>
        </w:rPr>
        <w:t xml:space="preserve">Sur la base de plusieurs années </w:t>
      </w:r>
      <w:r w:rsidR="006619A5">
        <w:rPr>
          <w:lang w:val="fr-CH"/>
        </w:rPr>
        <w:t>d'exploitation</w:t>
      </w:r>
      <w:r w:rsidR="001F1B9F">
        <w:rPr>
          <w:lang w:val="fr-CH"/>
        </w:rPr>
        <w:t xml:space="preserve">, </w:t>
      </w:r>
      <w:r w:rsidR="006A21A6">
        <w:rPr>
          <w:lang w:val="fr-CH"/>
        </w:rPr>
        <w:t xml:space="preserve">de nombreuses applications </w:t>
      </w:r>
      <w:r w:rsidR="00E34A3C">
        <w:rPr>
          <w:lang w:val="fr-CH"/>
        </w:rPr>
        <w:t>des services d'amateur et d'amateur par satellite, qui bénéficient d'attributions à ti</w:t>
      </w:r>
      <w:r w:rsidR="00A64A07">
        <w:rPr>
          <w:lang w:val="fr-CH"/>
        </w:rPr>
        <w:t>t</w:t>
      </w:r>
      <w:r w:rsidR="00E34A3C">
        <w:rPr>
          <w:lang w:val="fr-CH"/>
        </w:rPr>
        <w:t xml:space="preserve">re secondaire, ont </w:t>
      </w:r>
      <w:r w:rsidR="00DE2D3B">
        <w:rPr>
          <w:lang w:val="fr-CH"/>
        </w:rPr>
        <w:t xml:space="preserve">coexisté </w:t>
      </w:r>
      <w:r w:rsidR="00B24D51">
        <w:rPr>
          <w:lang w:val="fr-CH"/>
        </w:rPr>
        <w:t xml:space="preserve">de manière satisfaisante </w:t>
      </w:r>
      <w:r w:rsidR="00684965">
        <w:rPr>
          <w:lang w:val="fr-CH"/>
        </w:rPr>
        <w:t xml:space="preserve">avec tous les services </w:t>
      </w:r>
      <w:r w:rsidR="00166B43">
        <w:rPr>
          <w:lang w:val="fr-CH"/>
        </w:rPr>
        <w:t xml:space="preserve">primaires fonctionnant dans la gamme de fréquences </w:t>
      </w:r>
      <w:r w:rsidR="00C2666D" w:rsidRPr="00C2666D">
        <w:rPr>
          <w:lang w:val="fr-CH"/>
        </w:rPr>
        <w:t>1 240</w:t>
      </w:r>
      <w:r w:rsidR="00C2666D" w:rsidRPr="00C2666D">
        <w:rPr>
          <w:lang w:val="fr-CH"/>
        </w:rPr>
        <w:noBreakHyphen/>
        <w:t>1 300 MHz.</w:t>
      </w:r>
      <w:r w:rsidR="00C2666D">
        <w:rPr>
          <w:lang w:val="fr-CH"/>
        </w:rPr>
        <w:t xml:space="preserve"> </w:t>
      </w:r>
      <w:r w:rsidR="00D322BA">
        <w:rPr>
          <w:lang w:val="fr-CH"/>
        </w:rPr>
        <w:t xml:space="preserve">Toutefois, </w:t>
      </w:r>
      <w:r w:rsidR="00A47A63">
        <w:rPr>
          <w:lang w:val="fr-CH"/>
        </w:rPr>
        <w:t xml:space="preserve">dans deux situations, des brouillages ont été causés par des </w:t>
      </w:r>
      <w:r w:rsidR="00AB7C4C">
        <w:rPr>
          <w:lang w:val="fr-CH"/>
        </w:rPr>
        <w:t xml:space="preserve">répéteurs </w:t>
      </w:r>
      <w:r w:rsidR="0083774D">
        <w:rPr>
          <w:lang w:val="fr-CH"/>
        </w:rPr>
        <w:t>du</w:t>
      </w:r>
      <w:r w:rsidR="00AB7C4C">
        <w:rPr>
          <w:lang w:val="fr-CH"/>
        </w:rPr>
        <w:t xml:space="preserve"> service d'amateur</w:t>
      </w:r>
      <w:r w:rsidR="0083774D">
        <w:rPr>
          <w:lang w:val="fr-CH"/>
        </w:rPr>
        <w:t xml:space="preserve"> à des récepteurs </w:t>
      </w:r>
      <w:r w:rsidR="003F2962">
        <w:rPr>
          <w:lang w:val="fr-CH"/>
        </w:rPr>
        <w:t>d'un système du SRNS (espace vers Terre)</w:t>
      </w:r>
      <w:r w:rsidR="0071046A">
        <w:rPr>
          <w:lang w:val="fr-CH"/>
        </w:rPr>
        <w:t xml:space="preserve"> en Région 1, et ces </w:t>
      </w:r>
      <w:r w:rsidR="005A6C98">
        <w:rPr>
          <w:lang w:val="fr-CH"/>
        </w:rPr>
        <w:t>brouillages</w:t>
      </w:r>
      <w:r w:rsidR="0071046A">
        <w:rPr>
          <w:lang w:val="fr-CH"/>
        </w:rPr>
        <w:t xml:space="preserve"> ont été documentés et signalés.</w:t>
      </w:r>
      <w:r w:rsidR="00F30D72">
        <w:rPr>
          <w:lang w:val="fr-CH"/>
        </w:rPr>
        <w:t xml:space="preserve"> </w:t>
      </w:r>
      <w:r w:rsidR="00122D36">
        <w:rPr>
          <w:lang w:val="fr-CH"/>
        </w:rPr>
        <w:t xml:space="preserve">Ils </w:t>
      </w:r>
      <w:r w:rsidR="00A64A07" w:rsidRPr="00A64A07">
        <w:t>ont donné lieu à des enquêtes et à des instructions à l'intention de l'opérateur de la station brouilleuse pour qu'il soit mis fin aux émissions</w:t>
      </w:r>
      <w:r w:rsidR="00DD6593">
        <w:rPr>
          <w:lang w:val="fr-CH"/>
        </w:rPr>
        <w:t xml:space="preserve">, </w:t>
      </w:r>
      <w:r w:rsidR="00DB4054">
        <w:rPr>
          <w:lang w:val="fr-CH"/>
        </w:rPr>
        <w:t xml:space="preserve">ce qui a permis de résoudre </w:t>
      </w:r>
      <w:r w:rsidR="007B5C67">
        <w:rPr>
          <w:lang w:val="fr-CH"/>
        </w:rPr>
        <w:t xml:space="preserve">les cas </w:t>
      </w:r>
      <w:r w:rsidR="00896AA5">
        <w:rPr>
          <w:lang w:val="fr-CH"/>
        </w:rPr>
        <w:t xml:space="preserve">de brouillage </w:t>
      </w:r>
      <w:r w:rsidR="007B5C67">
        <w:rPr>
          <w:lang w:val="fr-CH"/>
        </w:rPr>
        <w:t>à l'échelle nationale</w:t>
      </w:r>
      <w:r w:rsidR="00A04CA3">
        <w:rPr>
          <w:lang w:val="fr-CH"/>
        </w:rPr>
        <w:t xml:space="preserve">, </w:t>
      </w:r>
      <w:r w:rsidR="00F851EB">
        <w:rPr>
          <w:lang w:val="fr-CH"/>
        </w:rPr>
        <w:t xml:space="preserve">au titre </w:t>
      </w:r>
      <w:r w:rsidR="005C10E0">
        <w:rPr>
          <w:lang w:val="fr-CH"/>
        </w:rPr>
        <w:t>de la relation traditionnelle</w:t>
      </w:r>
      <w:r w:rsidR="003138D8">
        <w:rPr>
          <w:lang w:val="fr-CH"/>
        </w:rPr>
        <w:t xml:space="preserve"> </w:t>
      </w:r>
      <w:r w:rsidR="001C0029">
        <w:rPr>
          <w:lang w:val="fr-CH"/>
        </w:rPr>
        <w:t xml:space="preserve">entre services primaires et services secondaires, conformément au numéro </w:t>
      </w:r>
      <w:r w:rsidR="001C0029">
        <w:rPr>
          <w:b/>
          <w:lang w:val="fr-CH"/>
        </w:rPr>
        <w:t>5.29</w:t>
      </w:r>
      <w:r w:rsidR="001C0029">
        <w:rPr>
          <w:lang w:val="fr-CH"/>
        </w:rPr>
        <w:t xml:space="preserve"> du Règlement des radiocommunications.</w:t>
      </w:r>
    </w:p>
    <w:p w14:paraId="4B53E5BD" w14:textId="2B357CE2" w:rsidR="00227D07" w:rsidRPr="00D542E1" w:rsidRDefault="00060AA0" w:rsidP="00DE774B">
      <w:pPr>
        <w:rPr>
          <w:lang w:val="fr-CH" w:eastAsia="zh-CN"/>
        </w:rPr>
      </w:pPr>
      <w:r w:rsidRPr="00D542E1">
        <w:rPr>
          <w:lang w:val="fr-CH" w:eastAsia="zh-CN"/>
        </w:rPr>
        <w:t xml:space="preserve">Des études effectuées par la suite </w:t>
      </w:r>
      <w:r w:rsidR="007276C4">
        <w:rPr>
          <w:lang w:val="fr-CH" w:eastAsia="zh-CN"/>
        </w:rPr>
        <w:t xml:space="preserve">par l'UIT-R </w:t>
      </w:r>
      <w:r w:rsidRPr="00D542E1">
        <w:rPr>
          <w:lang w:val="fr-CH" w:eastAsia="zh-CN"/>
        </w:rPr>
        <w:t xml:space="preserve">ont permis d'estimer la distance </w:t>
      </w:r>
      <w:r w:rsidRPr="00D542E1">
        <w:rPr>
          <w:color w:val="000000"/>
          <w:lang w:val="fr-CH"/>
        </w:rPr>
        <w:t xml:space="preserve">correspondant à la probabilité de </w:t>
      </w:r>
      <w:r w:rsidRPr="00D542E1">
        <w:rPr>
          <w:lang w:val="fr-CH" w:eastAsia="zh-CN"/>
        </w:rPr>
        <w:t xml:space="preserve">brouillage et de confirmer que les effets des brouillages dépendent généralement de la largeur de bande et de la puissance du signal brouilleur. En outre, </w:t>
      </w:r>
      <w:r w:rsidRPr="00D542E1">
        <w:rPr>
          <w:color w:val="000000"/>
          <w:lang w:val="fr-CH"/>
        </w:rPr>
        <w:t xml:space="preserve">selon les estimations </w:t>
      </w:r>
      <w:r w:rsidRPr="00D542E1">
        <w:rPr>
          <w:lang w:val="fr-CH" w:eastAsia="zh-CN"/>
        </w:rPr>
        <w:t>de ces études, les critères de protection des récepteurs du SRNS pourraient être dépassés du fait d'émissions aux mêmes fréquences provenant de stations types du service d'amateur.</w:t>
      </w:r>
      <w:r w:rsidR="00431472">
        <w:rPr>
          <w:lang w:val="fr-CH" w:eastAsia="zh-CN"/>
        </w:rPr>
        <w:t xml:space="preserve"> </w:t>
      </w:r>
      <w:r w:rsidR="00122ADA">
        <w:rPr>
          <w:lang w:val="fr-CH" w:eastAsia="zh-CN"/>
        </w:rPr>
        <w:t xml:space="preserve">Dans les cas où certaines applications (en particulier </w:t>
      </w:r>
      <w:r w:rsidR="00A14CF5">
        <w:rPr>
          <w:lang w:val="fr-CH" w:eastAsia="zh-CN"/>
        </w:rPr>
        <w:t xml:space="preserve">les applications </w:t>
      </w:r>
      <w:r w:rsidR="001A30CD">
        <w:rPr>
          <w:lang w:val="fr-CH" w:eastAsia="zh-CN"/>
        </w:rPr>
        <w:t xml:space="preserve">à grande largeur de bande et à </w:t>
      </w:r>
      <w:r w:rsidR="005D15C4">
        <w:rPr>
          <w:lang w:val="fr-CH" w:eastAsia="zh-CN"/>
        </w:rPr>
        <w:t xml:space="preserve">coefficient d'utilisation élevé) </w:t>
      </w:r>
      <w:r w:rsidR="00244C81">
        <w:rPr>
          <w:lang w:val="fr-CH" w:eastAsia="zh-CN"/>
        </w:rPr>
        <w:t xml:space="preserve">sont susceptibles </w:t>
      </w:r>
      <w:r w:rsidR="00E31AA4">
        <w:rPr>
          <w:lang w:val="fr-CH" w:eastAsia="zh-CN"/>
        </w:rPr>
        <w:t xml:space="preserve">d'accroître </w:t>
      </w:r>
      <w:r w:rsidR="002D2E1F">
        <w:rPr>
          <w:lang w:val="fr-CH" w:eastAsia="zh-CN"/>
        </w:rPr>
        <w:t xml:space="preserve">les risques de brouillage, </w:t>
      </w:r>
      <w:r w:rsidR="007205A5">
        <w:rPr>
          <w:lang w:val="fr-CH" w:eastAsia="zh-CN"/>
        </w:rPr>
        <w:t>l</w:t>
      </w:r>
      <w:r w:rsidR="00E058D2">
        <w:rPr>
          <w:lang w:val="fr-CH" w:eastAsia="zh-CN"/>
        </w:rPr>
        <w:t>es techniques</w:t>
      </w:r>
      <w:r w:rsidR="00F7140D">
        <w:rPr>
          <w:lang w:val="fr-CH" w:eastAsia="zh-CN"/>
        </w:rPr>
        <w:t xml:space="preserve"> spécifiques de gestion du spectre </w:t>
      </w:r>
      <w:r w:rsidR="00B1768F">
        <w:rPr>
          <w:lang w:val="fr-CH" w:eastAsia="zh-CN"/>
        </w:rPr>
        <w:t xml:space="preserve">et </w:t>
      </w:r>
      <w:r w:rsidR="00DB1379">
        <w:rPr>
          <w:lang w:val="fr-CH" w:eastAsia="zh-CN"/>
        </w:rPr>
        <w:t>l</w:t>
      </w:r>
      <w:r w:rsidR="00B1768F">
        <w:rPr>
          <w:lang w:val="fr-CH" w:eastAsia="zh-CN"/>
        </w:rPr>
        <w:t xml:space="preserve">es </w:t>
      </w:r>
      <w:r w:rsidR="007205A5">
        <w:rPr>
          <w:lang w:val="fr-CH" w:eastAsia="zh-CN"/>
        </w:rPr>
        <w:t>conditions</w:t>
      </w:r>
      <w:r w:rsidR="00B1768F">
        <w:rPr>
          <w:lang w:val="fr-CH" w:eastAsia="zh-CN"/>
        </w:rPr>
        <w:t xml:space="preserve"> </w:t>
      </w:r>
      <w:r w:rsidR="00232299">
        <w:rPr>
          <w:lang w:val="fr-CH" w:eastAsia="zh-CN"/>
        </w:rPr>
        <w:t xml:space="preserve">nationales applicables à l'octroi de licences </w:t>
      </w:r>
      <w:r w:rsidR="00CC1C0C">
        <w:rPr>
          <w:lang w:val="fr-CH" w:eastAsia="zh-CN"/>
        </w:rPr>
        <w:t xml:space="preserve">ont </w:t>
      </w:r>
      <w:r w:rsidR="007205A5">
        <w:rPr>
          <w:lang w:val="fr-CH" w:eastAsia="zh-CN"/>
        </w:rPr>
        <w:t>permis de réduire</w:t>
      </w:r>
      <w:r w:rsidR="002C5CEA">
        <w:rPr>
          <w:lang w:val="fr-CH" w:eastAsia="zh-CN"/>
        </w:rPr>
        <w:t xml:space="preserve"> le risque de brouillage au</w:t>
      </w:r>
      <w:r w:rsidR="002D2494">
        <w:rPr>
          <w:lang w:val="fr-CH" w:eastAsia="zh-CN"/>
        </w:rPr>
        <w:t xml:space="preserve"> niveau</w:t>
      </w:r>
      <w:r w:rsidR="002C5CEA">
        <w:rPr>
          <w:lang w:val="fr-CH" w:eastAsia="zh-CN"/>
        </w:rPr>
        <w:t xml:space="preserve"> minimum.</w:t>
      </w:r>
    </w:p>
    <w:p w14:paraId="6853EE5A" w14:textId="3CA05360" w:rsidR="003152B3" w:rsidRPr="00D542E1" w:rsidRDefault="007276C4" w:rsidP="00DE774B">
      <w:pPr>
        <w:rPr>
          <w:lang w:val="fr-CH" w:eastAsia="zh-CN"/>
        </w:rPr>
      </w:pPr>
      <w:r w:rsidRPr="007276C4">
        <w:rPr>
          <w:lang w:val="fr-CH" w:eastAsia="zh-CN"/>
        </w:rPr>
        <w:t>Les données opérationnelles indiquent que le nombre de stations se trouvant en phase d'émission active dans la totalité de la bande de fréquences 1 240-1 300 MHz est relativement faible et les caractéristiques opérationnelles donnent à penser que les émissions produites par les stations d'amateur les plus courantes ne sont ni de longue durée, ni de nature persistante, ce qui peut contribuer à assurer la compatibilité avec le SRNS</w:t>
      </w:r>
      <w:r w:rsidR="00060AA0" w:rsidRPr="00D542E1">
        <w:rPr>
          <w:lang w:val="fr-CH" w:eastAsia="zh-CN"/>
        </w:rPr>
        <w:t xml:space="preserve">. </w:t>
      </w:r>
      <w:r w:rsidR="001175E2">
        <w:rPr>
          <w:lang w:val="fr-CH" w:eastAsia="zh-CN"/>
        </w:rPr>
        <w:t>L'UIT-R envisage actuellement de mener des</w:t>
      </w:r>
      <w:r w:rsidR="00E0654E">
        <w:rPr>
          <w:lang w:val="fr-CH" w:eastAsia="zh-CN"/>
        </w:rPr>
        <w:t xml:space="preserve"> études statistiques plus détail</w:t>
      </w:r>
      <w:r w:rsidR="001175E2">
        <w:rPr>
          <w:lang w:val="fr-CH" w:eastAsia="zh-CN"/>
        </w:rPr>
        <w:t xml:space="preserve">lées sur ce sujet. </w:t>
      </w:r>
      <w:r w:rsidR="008D5349">
        <w:rPr>
          <w:lang w:val="fr-CH" w:eastAsia="zh-CN"/>
        </w:rPr>
        <w:t xml:space="preserve">Ces aspects pourraient expliquer la raison pour laquelle </w:t>
      </w:r>
      <w:r w:rsidR="0071058A">
        <w:rPr>
          <w:lang w:val="fr-CH" w:eastAsia="zh-CN"/>
        </w:rPr>
        <w:t>les</w:t>
      </w:r>
      <w:r w:rsidR="008D2E20">
        <w:rPr>
          <w:lang w:val="fr-CH" w:eastAsia="zh-CN"/>
        </w:rPr>
        <w:t xml:space="preserve"> brouillages</w:t>
      </w:r>
      <w:r w:rsidR="0071058A">
        <w:rPr>
          <w:lang w:val="fr-CH" w:eastAsia="zh-CN"/>
        </w:rPr>
        <w:t xml:space="preserve"> de ce type</w:t>
      </w:r>
      <w:r w:rsidR="008D2E20">
        <w:rPr>
          <w:lang w:val="fr-CH" w:eastAsia="zh-CN"/>
        </w:rPr>
        <w:t xml:space="preserve"> </w:t>
      </w:r>
      <w:r w:rsidR="00F40428">
        <w:rPr>
          <w:lang w:val="fr-CH" w:eastAsia="zh-CN"/>
        </w:rPr>
        <w:t>se produisent aussi rarement</w:t>
      </w:r>
      <w:r w:rsidR="008D2E20">
        <w:rPr>
          <w:lang w:val="fr-CH" w:eastAsia="zh-CN"/>
        </w:rPr>
        <w:t xml:space="preserve">, et </w:t>
      </w:r>
      <w:r w:rsidR="001A46C5">
        <w:rPr>
          <w:lang w:val="fr-CH" w:eastAsia="zh-CN"/>
        </w:rPr>
        <w:t xml:space="preserve">mettre en évidence un niveau d'activité des stations d'émission qui, dans la pratique, se traduit </w:t>
      </w:r>
      <w:r w:rsidR="00292EBC">
        <w:rPr>
          <w:lang w:val="fr-CH" w:eastAsia="zh-CN"/>
        </w:rPr>
        <w:t>par une</w:t>
      </w:r>
      <w:r w:rsidR="001A46C5">
        <w:rPr>
          <w:lang w:val="fr-CH" w:eastAsia="zh-CN"/>
        </w:rPr>
        <w:t xml:space="preserve"> </w:t>
      </w:r>
      <w:r w:rsidR="00292EBC">
        <w:rPr>
          <w:lang w:val="fr-CH" w:eastAsia="zh-CN"/>
        </w:rPr>
        <w:t xml:space="preserve">faible probabilité </w:t>
      </w:r>
      <w:r w:rsidR="001A46C5">
        <w:rPr>
          <w:lang w:val="fr-CH" w:eastAsia="zh-CN"/>
        </w:rPr>
        <w:t xml:space="preserve">que des </w:t>
      </w:r>
      <w:r w:rsidR="00292EBC">
        <w:rPr>
          <w:lang w:val="fr-CH" w:eastAsia="zh-CN"/>
        </w:rPr>
        <w:t>brouillage</w:t>
      </w:r>
      <w:r w:rsidR="001A46C5">
        <w:rPr>
          <w:lang w:val="fr-CH" w:eastAsia="zh-CN"/>
        </w:rPr>
        <w:t>s soient causés</w:t>
      </w:r>
      <w:r w:rsidR="00292EBC">
        <w:rPr>
          <w:lang w:val="fr-CH" w:eastAsia="zh-CN"/>
        </w:rPr>
        <w:t>.</w:t>
      </w:r>
    </w:p>
    <w:p w14:paraId="5EC6840F" w14:textId="2ADD9E36" w:rsidR="008E3C6F" w:rsidRPr="00C81B2B" w:rsidRDefault="004E2035" w:rsidP="00DE774B">
      <w:pPr>
        <w:rPr>
          <w:lang w:val="fr-CH"/>
        </w:rPr>
      </w:pPr>
      <w:r>
        <w:rPr>
          <w:lang w:val="fr-CH"/>
        </w:rPr>
        <w:t xml:space="preserve">Néanmoins, </w:t>
      </w:r>
      <w:r w:rsidR="00C81B2B">
        <w:rPr>
          <w:lang w:val="fr-CH"/>
        </w:rPr>
        <w:t xml:space="preserve">aux termes de la Résolution </w:t>
      </w:r>
      <w:r w:rsidR="00C81B2B">
        <w:rPr>
          <w:b/>
          <w:lang w:val="fr-CH"/>
        </w:rPr>
        <w:t>774 (CMR-19)</w:t>
      </w:r>
      <w:r w:rsidR="00C81B2B">
        <w:rPr>
          <w:lang w:val="fr-CH"/>
        </w:rPr>
        <w:t xml:space="preserve">, il est reconnu que les administrations </w:t>
      </w:r>
      <w:r w:rsidR="00852A23">
        <w:t xml:space="preserve">tireront parti de </w:t>
      </w:r>
      <w:r w:rsidR="00852A23" w:rsidRPr="004D0F43">
        <w:t>la disponibilité d</w:t>
      </w:r>
      <w:r w:rsidR="00852A23">
        <w:t>'</w:t>
      </w:r>
      <w:r w:rsidR="00852A23" w:rsidRPr="004D0F43">
        <w:t xml:space="preserve">études et de lignes directrices </w:t>
      </w:r>
      <w:r w:rsidR="00852A23">
        <w:t xml:space="preserve">sur </w:t>
      </w:r>
      <w:r w:rsidR="00852A23" w:rsidRPr="004D0F43">
        <w:t xml:space="preserve">la protection du SRNS (espace vers Terre) </w:t>
      </w:r>
      <w:r w:rsidR="00852A23">
        <w:t xml:space="preserve">par les </w:t>
      </w:r>
      <w:r w:rsidR="00852A23" w:rsidRPr="004D0F43">
        <w:t>services d</w:t>
      </w:r>
      <w:r w:rsidR="00852A23">
        <w:t>'</w:t>
      </w:r>
      <w:r w:rsidR="00852A23" w:rsidRPr="004D0F43">
        <w:t>amateur et d</w:t>
      </w:r>
      <w:r w:rsidR="00852A23">
        <w:t>'</w:t>
      </w:r>
      <w:r w:rsidR="00852A23" w:rsidRPr="004D0F43">
        <w:t>amateur par satellite dans la bande de fréquences 1 240</w:t>
      </w:r>
      <w:r w:rsidR="00852A23" w:rsidRPr="004D0F43">
        <w:noBreakHyphen/>
        <w:t>1 300 MHz</w:t>
      </w:r>
      <w:r w:rsidR="00852A23">
        <w:t xml:space="preserve">. </w:t>
      </w:r>
      <w:r w:rsidR="00646789">
        <w:t>D</w:t>
      </w:r>
      <w:r w:rsidR="0075437E">
        <w:t>ans cette</w:t>
      </w:r>
      <w:r w:rsidR="00646789">
        <w:t xml:space="preserve"> Résolution, le Secteur de l'UIT-R </w:t>
      </w:r>
      <w:r w:rsidR="00D06679">
        <w:t xml:space="preserve">est invité à </w:t>
      </w:r>
      <w:r w:rsidR="00CA5CFD">
        <w:t xml:space="preserve">examiner les différentes applications </w:t>
      </w:r>
      <w:r w:rsidR="00364E18">
        <w:t xml:space="preserve">utilisées </w:t>
      </w:r>
      <w:r w:rsidR="005022F9">
        <w:t>dans le cadre des attributions au</w:t>
      </w:r>
      <w:r w:rsidR="00364E18">
        <w:t xml:space="preserve"> service d'amateur, et à étudier les mesures techniques et opérationnelles qui pourraient </w:t>
      </w:r>
      <w:r w:rsidR="005D2988">
        <w:t xml:space="preserve">être prises, sans envisager la suppression de ces attributions </w:t>
      </w:r>
      <w:r w:rsidR="005022F9">
        <w:t xml:space="preserve">aux services d'amateur </w:t>
      </w:r>
      <w:r w:rsidR="00DB3653">
        <w:t>et d'amateur par satellite.</w:t>
      </w:r>
    </w:p>
    <w:p w14:paraId="1B928B5F" w14:textId="5389573D" w:rsidR="00060AA0" w:rsidRDefault="00132F90" w:rsidP="00465279">
      <w:pPr>
        <w:keepLines/>
        <w:rPr>
          <w:lang w:val="fr-CH"/>
        </w:rPr>
      </w:pPr>
      <w:r>
        <w:rPr>
          <w:lang w:val="fr-CH"/>
        </w:rPr>
        <w:lastRenderedPageBreak/>
        <w:t>Compte tenu des résultats des études, l'UIT-R élabore actuellement une Recommandation</w:t>
      </w:r>
      <w:r w:rsidR="00465279">
        <w:rPr>
          <w:lang w:val="fr-CH"/>
        </w:rPr>
        <w:t> </w:t>
      </w:r>
      <w:r>
        <w:rPr>
          <w:lang w:val="fr-CH"/>
        </w:rPr>
        <w:t>UIT</w:t>
      </w:r>
      <w:r w:rsidR="00465279">
        <w:rPr>
          <w:lang w:val="fr-CH"/>
        </w:rPr>
        <w:noBreakHyphen/>
      </w:r>
      <w:r>
        <w:rPr>
          <w:lang w:val="fr-CH"/>
        </w:rPr>
        <w:t>R</w:t>
      </w:r>
      <w:r w:rsidR="00465279">
        <w:rPr>
          <w:lang w:val="fr-CH"/>
        </w:rPr>
        <w:t> </w:t>
      </w:r>
      <w:r w:rsidRPr="00EA73F6">
        <w:rPr>
          <w:lang w:val="fr-CH"/>
        </w:rPr>
        <w:t>M.[AS.GUIDANCE]</w:t>
      </w:r>
      <w:r>
        <w:rPr>
          <w:lang w:val="fr-CH"/>
        </w:rPr>
        <w:t>, qui fournit des lignes directrices afin d'éviter à terme que des brouillages</w:t>
      </w:r>
      <w:r w:rsidR="00D73553">
        <w:rPr>
          <w:lang w:val="fr-CH"/>
        </w:rPr>
        <w:t xml:space="preserve"> préjudiciables</w:t>
      </w:r>
      <w:r>
        <w:rPr>
          <w:lang w:val="fr-CH"/>
        </w:rPr>
        <w:t xml:space="preserve"> ne soient causés aux récepteurs du SRNS.</w:t>
      </w:r>
      <w:r w:rsidR="00060AA0" w:rsidRPr="00D542E1">
        <w:rPr>
          <w:lang w:val="fr-CH"/>
        </w:rPr>
        <w:t xml:space="preserve"> </w:t>
      </w:r>
      <w:r w:rsidR="00060AA0" w:rsidRPr="00D542E1">
        <w:rPr>
          <w:lang w:val="fr-CH" w:eastAsia="zh-CN"/>
        </w:rPr>
        <w:t>Cette Recommandation pourrait notamment consister à encourager l'utilisation de sous-bandes spécifiques, avec des décalages de fréquence suffisants par rapport aux lobes principaux du spectre des signaux du SRNS pour renforcer la protection des récepteurs du SRNS dans les bandes considérées. Ces lignes directrices visent à aider les administrations et les services d'amateur et d'amateur par satellite à assurer la protection du SNRS (espace vers Terre) dans la bande de fréquences 1 240</w:t>
      </w:r>
      <w:r w:rsidR="00060AA0" w:rsidRPr="00D542E1">
        <w:rPr>
          <w:lang w:val="fr-CH" w:eastAsia="zh-CN"/>
        </w:rPr>
        <w:noBreakHyphen/>
        <w:t>1 300 MHz</w:t>
      </w:r>
      <w:r w:rsidR="00060AA0" w:rsidRPr="00D542E1">
        <w:rPr>
          <w:lang w:val="fr-CH"/>
        </w:rPr>
        <w:t>.</w:t>
      </w:r>
    </w:p>
    <w:p w14:paraId="7DD2205E" w14:textId="7CC4B366" w:rsidR="00985F42" w:rsidRPr="00D542E1" w:rsidRDefault="00985F42" w:rsidP="00DE774B">
      <w:pPr>
        <w:rPr>
          <w:lang w:val="fr-CH"/>
        </w:rPr>
      </w:pPr>
      <w:r>
        <w:rPr>
          <w:lang w:val="fr-CH"/>
        </w:rPr>
        <w:t xml:space="preserve">Par la Résolution en question, le Directeur du Bureau des radiocommunications est </w:t>
      </w:r>
      <w:r w:rsidR="0035385D">
        <w:rPr>
          <w:lang w:val="fr-CH"/>
        </w:rPr>
        <w:t>chargé de</w:t>
      </w:r>
      <w:r>
        <w:rPr>
          <w:lang w:val="fr-CH"/>
        </w:rPr>
        <w:t xml:space="preserve"> </w:t>
      </w:r>
      <w:r w:rsidR="005E3959">
        <w:rPr>
          <w:lang w:val="fr-CH"/>
        </w:rPr>
        <w:t xml:space="preserve">faire figurer les résultats des études dans son rapport à la CMR-23. </w:t>
      </w:r>
      <w:r w:rsidR="001C3753">
        <w:rPr>
          <w:lang w:val="fr-CH"/>
        </w:rPr>
        <w:t xml:space="preserve">Ces études, qui </w:t>
      </w:r>
      <w:r w:rsidR="003548B8">
        <w:rPr>
          <w:lang w:val="fr-CH"/>
        </w:rPr>
        <w:t>aboutissent</w:t>
      </w:r>
      <w:r w:rsidR="001C3753">
        <w:rPr>
          <w:lang w:val="fr-CH"/>
        </w:rPr>
        <w:t xml:space="preserve"> à l'élaboration de rapports et de recommandations ou </w:t>
      </w:r>
      <w:r w:rsidR="00372415">
        <w:rPr>
          <w:lang w:val="fr-CH"/>
        </w:rPr>
        <w:t>d'</w:t>
      </w:r>
      <w:r w:rsidR="001C3753">
        <w:rPr>
          <w:lang w:val="fr-CH"/>
        </w:rPr>
        <w:t xml:space="preserve">orientations, sont menées au titre </w:t>
      </w:r>
      <w:r w:rsidR="00185C6E">
        <w:rPr>
          <w:lang w:val="fr-CH"/>
        </w:rPr>
        <w:t xml:space="preserve">d'une Question </w:t>
      </w:r>
      <w:r w:rsidR="001C3753">
        <w:rPr>
          <w:lang w:val="fr-CH"/>
        </w:rPr>
        <w:t xml:space="preserve">du </w:t>
      </w:r>
      <w:r w:rsidR="00E15718">
        <w:rPr>
          <w:lang w:val="fr-CH"/>
        </w:rPr>
        <w:t>point</w:t>
      </w:r>
      <w:r w:rsidR="00402C3A">
        <w:rPr>
          <w:lang w:val="fr-CH"/>
        </w:rPr>
        <w:t xml:space="preserve"> 9.1 de l'ordre du jour</w:t>
      </w:r>
      <w:r w:rsidR="002A4960">
        <w:rPr>
          <w:lang w:val="fr-CH"/>
        </w:rPr>
        <w:t xml:space="preserve">, </w:t>
      </w:r>
      <w:r w:rsidR="000A1F95">
        <w:rPr>
          <w:lang w:val="fr-CH"/>
        </w:rPr>
        <w:t xml:space="preserve">qui ne vise pas à </w:t>
      </w:r>
      <w:r w:rsidR="00235643">
        <w:rPr>
          <w:lang w:val="fr-CH"/>
        </w:rPr>
        <w:t>suggérer que les administrations prennent des mesures réglementaires, ou à modifier des parties du Règlement des radiocommunications (</w:t>
      </w:r>
      <w:r w:rsidR="001C6E15">
        <w:rPr>
          <w:lang w:val="fr-CH"/>
        </w:rPr>
        <w:t>Volumes 1 à 4).</w:t>
      </w:r>
    </w:p>
    <w:p w14:paraId="1AE2CBB7" w14:textId="00498FCB" w:rsidR="00D95A52" w:rsidRPr="00D542E1" w:rsidRDefault="00EB18F8" w:rsidP="00DE774B">
      <w:pPr>
        <w:rPr>
          <w:lang w:val="fr-CH"/>
        </w:rPr>
      </w:pPr>
      <w:r>
        <w:rPr>
          <w:lang w:val="fr-CH"/>
        </w:rPr>
        <w:t xml:space="preserve">Étant donné que le service </w:t>
      </w:r>
      <w:r w:rsidR="001A43FA">
        <w:rPr>
          <w:lang w:val="fr-CH"/>
        </w:rPr>
        <w:t>bénéficie d'</w:t>
      </w:r>
      <w:r>
        <w:rPr>
          <w:lang w:val="fr-CH"/>
        </w:rPr>
        <w:t xml:space="preserve">attributions à titre secondaire, il </w:t>
      </w:r>
      <w:r w:rsidR="00CD03A4">
        <w:rPr>
          <w:lang w:val="fr-CH"/>
        </w:rPr>
        <w:t xml:space="preserve">n'y a pas lieu, à l'heure actuelle, d'inclure </w:t>
      </w:r>
      <w:r w:rsidR="005A1B04">
        <w:rPr>
          <w:lang w:val="fr-CH"/>
        </w:rPr>
        <w:t>des conditions réglementaires, opérationnelles ou techniques additionnelles dans le Règ</w:t>
      </w:r>
      <w:r w:rsidR="00E129DA">
        <w:rPr>
          <w:lang w:val="fr-CH"/>
        </w:rPr>
        <w:t xml:space="preserve">lement des radiocommunications. </w:t>
      </w:r>
      <w:r w:rsidR="00D11FBF">
        <w:rPr>
          <w:lang w:val="fr-CH"/>
        </w:rPr>
        <w:t xml:space="preserve">L'UIT-R </w:t>
      </w:r>
      <w:r w:rsidR="00DE6B3E">
        <w:rPr>
          <w:lang w:val="fr-CH"/>
        </w:rPr>
        <w:t xml:space="preserve">peut </w:t>
      </w:r>
      <w:r w:rsidR="000815C9">
        <w:rPr>
          <w:lang w:val="fr-CH"/>
        </w:rPr>
        <w:t>traiter</w:t>
      </w:r>
      <w:r w:rsidR="00DE6B3E">
        <w:rPr>
          <w:lang w:val="fr-CH"/>
        </w:rPr>
        <w:t xml:space="preserve"> et faciliter la compatibilité </w:t>
      </w:r>
      <w:r w:rsidR="00C7736A">
        <w:rPr>
          <w:lang w:val="fr-CH"/>
        </w:rPr>
        <w:t>entre les services d'ama</w:t>
      </w:r>
      <w:r w:rsidR="008C3FE2">
        <w:rPr>
          <w:lang w:val="fr-CH"/>
        </w:rPr>
        <w:t>teur et d'amateur par satellite</w:t>
      </w:r>
      <w:r w:rsidR="00C7736A">
        <w:rPr>
          <w:lang w:val="fr-CH"/>
        </w:rPr>
        <w:t xml:space="preserve"> qui </w:t>
      </w:r>
      <w:r w:rsidR="00036F4F">
        <w:rPr>
          <w:lang w:val="fr-CH"/>
        </w:rPr>
        <w:t>bénéficient d'</w:t>
      </w:r>
      <w:r w:rsidR="00C7736A">
        <w:rPr>
          <w:lang w:val="fr-CH"/>
        </w:rPr>
        <w:t xml:space="preserve">attributions à titre secondaire, </w:t>
      </w:r>
      <w:r w:rsidR="00A538E7">
        <w:rPr>
          <w:lang w:val="fr-CH"/>
        </w:rPr>
        <w:t xml:space="preserve">et les services existants </w:t>
      </w:r>
      <w:r w:rsidR="00036F4F">
        <w:rPr>
          <w:lang w:val="fr-CH"/>
        </w:rPr>
        <w:t xml:space="preserve">qui bénéficient d'attributions à titre primaire dans la même bande de fréquences, </w:t>
      </w:r>
      <w:r w:rsidR="008C3FE2">
        <w:rPr>
          <w:lang w:val="fr-CH"/>
        </w:rPr>
        <w:t>en élaborant des Rapports ou des Recommandations de l'</w:t>
      </w:r>
      <w:r w:rsidR="00056069">
        <w:rPr>
          <w:lang w:val="fr-CH"/>
        </w:rPr>
        <w:t xml:space="preserve">UIT, pour fournir </w:t>
      </w:r>
      <w:r w:rsidR="00A8068D">
        <w:rPr>
          <w:lang w:val="fr-CH"/>
        </w:rPr>
        <w:t xml:space="preserve">aux administrations des informations complémentaires </w:t>
      </w:r>
      <w:r w:rsidR="00C0603E">
        <w:rPr>
          <w:lang w:val="fr-CH"/>
        </w:rPr>
        <w:t xml:space="preserve">sur les questions d'ordre opérationnel et technique </w:t>
      </w:r>
      <w:r w:rsidR="002B1559">
        <w:rPr>
          <w:lang w:val="fr-CH"/>
        </w:rPr>
        <w:t xml:space="preserve">qui pourraient être examinées à l'échelle nationale. </w:t>
      </w:r>
      <w:r w:rsidR="00AC0848">
        <w:rPr>
          <w:lang w:val="fr-CH"/>
        </w:rPr>
        <w:t>Il n'y a pas lieu de modifier le Règlement des radiocommunications</w:t>
      </w:r>
      <w:r w:rsidR="0086107A">
        <w:rPr>
          <w:lang w:val="fr-CH"/>
        </w:rPr>
        <w:t xml:space="preserve">, notamment </w:t>
      </w:r>
      <w:r w:rsidR="0090121A">
        <w:rPr>
          <w:lang w:val="fr-CH"/>
        </w:rPr>
        <w:t xml:space="preserve">en ce qui concerne </w:t>
      </w:r>
      <w:r w:rsidR="003E242C">
        <w:rPr>
          <w:lang w:val="fr-CH"/>
        </w:rPr>
        <w:t xml:space="preserve">le statut des attributions aux services d'amateur et d'amateur par satellite, ou au SRNS, </w:t>
      </w:r>
      <w:r w:rsidR="00986F20">
        <w:rPr>
          <w:lang w:val="fr-CH"/>
        </w:rPr>
        <w:t xml:space="preserve">au titre de cette question. </w:t>
      </w:r>
      <w:r w:rsidR="007F0E3D">
        <w:rPr>
          <w:lang w:val="fr-CH"/>
        </w:rPr>
        <w:t xml:space="preserve">Les administrations peuvent </w:t>
      </w:r>
      <w:r w:rsidR="00045412">
        <w:rPr>
          <w:lang w:val="fr-CH"/>
        </w:rPr>
        <w:t>s'appuyer sur</w:t>
      </w:r>
      <w:r w:rsidR="007F0E3D">
        <w:rPr>
          <w:lang w:val="fr-CH"/>
        </w:rPr>
        <w:t xml:space="preserve"> les</w:t>
      </w:r>
      <w:r w:rsidR="004670C0">
        <w:rPr>
          <w:lang w:val="fr-CH"/>
        </w:rPr>
        <w:t xml:space="preserve"> bonnes pratiques e</w:t>
      </w:r>
      <w:r w:rsidR="007F0E3D">
        <w:rPr>
          <w:lang w:val="fr-CH"/>
        </w:rPr>
        <w:t>n matière de gestion du spectre et prendre des mesures</w:t>
      </w:r>
      <w:r w:rsidR="005319B6">
        <w:rPr>
          <w:lang w:val="fr-CH"/>
        </w:rPr>
        <w:t xml:space="preserve"> techniques et opérationnelles, afin de garantir la protection du SRNS</w:t>
      </w:r>
      <w:r w:rsidR="00F05CE9">
        <w:rPr>
          <w:lang w:val="fr-CH"/>
        </w:rPr>
        <w:t>, s</w:t>
      </w:r>
      <w:r w:rsidR="00376C5C">
        <w:rPr>
          <w:lang w:val="fr-CH"/>
        </w:rPr>
        <w:t xml:space="preserve">ans qu'il ne soit nécessaire d'imposer </w:t>
      </w:r>
      <w:r w:rsidR="0039522A">
        <w:rPr>
          <w:lang w:val="fr-CH"/>
        </w:rPr>
        <w:t xml:space="preserve">des contraintes réglementaires </w:t>
      </w:r>
      <w:r w:rsidR="00807906">
        <w:rPr>
          <w:lang w:val="fr-CH"/>
        </w:rPr>
        <w:t xml:space="preserve">additionnelles </w:t>
      </w:r>
      <w:r w:rsidR="00B83018">
        <w:rPr>
          <w:lang w:val="fr-CH"/>
        </w:rPr>
        <w:t>aux services d'amateur et d'amateur par satellite fonctionnant dans la bande de fréquences étu</w:t>
      </w:r>
      <w:r w:rsidR="002E2191">
        <w:rPr>
          <w:lang w:val="fr-CH"/>
        </w:rPr>
        <w:t>diée.</w:t>
      </w:r>
    </w:p>
    <w:p w14:paraId="2E904DE2" w14:textId="3E44D072" w:rsidR="002E2191" w:rsidRPr="00D542E1" w:rsidRDefault="002E2191" w:rsidP="00DE774B">
      <w:pPr>
        <w:rPr>
          <w:lang w:val="fr-CH"/>
        </w:rPr>
      </w:pPr>
      <w:r>
        <w:rPr>
          <w:lang w:val="fr-CH"/>
        </w:rPr>
        <w:t xml:space="preserve">En conséquence, les propositions ci-après </w:t>
      </w:r>
      <w:r w:rsidR="00D2360B">
        <w:rPr>
          <w:lang w:val="fr-CH"/>
        </w:rPr>
        <w:t>consistent à ne pas modifier ou à supprimer la Résolution existante</w:t>
      </w:r>
      <w:r w:rsidR="00144698">
        <w:rPr>
          <w:lang w:val="fr-CH"/>
        </w:rPr>
        <w:t xml:space="preserve">, étant donné que </w:t>
      </w:r>
      <w:r w:rsidR="00BC03A0">
        <w:rPr>
          <w:lang w:val="fr-CH"/>
        </w:rPr>
        <w:t xml:space="preserve">l'élaboration et la révision des Rapports et des Recommandations connexes </w:t>
      </w:r>
      <w:r w:rsidR="00142927">
        <w:rPr>
          <w:lang w:val="fr-CH"/>
        </w:rPr>
        <w:t>sont</w:t>
      </w:r>
      <w:r w:rsidR="00BC03A0">
        <w:rPr>
          <w:lang w:val="fr-CH"/>
        </w:rPr>
        <w:t xml:space="preserve"> susceptible</w:t>
      </w:r>
      <w:r w:rsidR="00142927">
        <w:rPr>
          <w:lang w:val="fr-CH"/>
        </w:rPr>
        <w:t>s</w:t>
      </w:r>
      <w:r w:rsidR="00BC03A0">
        <w:rPr>
          <w:lang w:val="fr-CH"/>
        </w:rPr>
        <w:t xml:space="preserve"> de se poursuivre </w:t>
      </w:r>
      <w:r w:rsidR="00C9737B">
        <w:rPr>
          <w:lang w:val="fr-CH"/>
        </w:rPr>
        <w:t>dans le cadre des</w:t>
      </w:r>
      <w:r w:rsidR="009D6AD5">
        <w:rPr>
          <w:lang w:val="fr-CH"/>
        </w:rPr>
        <w:t xml:space="preserve"> activités ordinaires des commissions d'études de l'UIT-R.</w:t>
      </w:r>
    </w:p>
    <w:p w14:paraId="15E3B9F7" w14:textId="77777777" w:rsidR="0015203F" w:rsidRPr="00D542E1" w:rsidRDefault="0015203F">
      <w:pPr>
        <w:tabs>
          <w:tab w:val="clear" w:pos="1134"/>
          <w:tab w:val="clear" w:pos="1871"/>
          <w:tab w:val="clear" w:pos="2268"/>
        </w:tabs>
        <w:overflowPunct/>
        <w:autoSpaceDE/>
        <w:autoSpaceDN/>
        <w:adjustRightInd/>
        <w:spacing w:before="0"/>
        <w:textAlignment w:val="auto"/>
        <w:rPr>
          <w:lang w:val="fr-CH"/>
        </w:rPr>
      </w:pPr>
      <w:r w:rsidRPr="00D542E1">
        <w:rPr>
          <w:lang w:val="fr-CH"/>
        </w:rPr>
        <w:br w:type="page"/>
      </w:r>
    </w:p>
    <w:p w14:paraId="086B98C5" w14:textId="33EB1005" w:rsidR="00060AA0" w:rsidRPr="00DE774B" w:rsidRDefault="006E3729" w:rsidP="00E97AA7">
      <w:pPr>
        <w:pStyle w:val="Headingb"/>
        <w:rPr>
          <w:lang w:val="fr-CH"/>
        </w:rPr>
      </w:pPr>
      <w:r>
        <w:rPr>
          <w:lang w:val="fr-CH"/>
        </w:rPr>
        <w:lastRenderedPageBreak/>
        <w:t>Propositions</w:t>
      </w:r>
    </w:p>
    <w:p w14:paraId="5C61E7DC" w14:textId="11ABD734" w:rsidR="00C231DE" w:rsidRPr="00D542E1" w:rsidRDefault="00E544EA">
      <w:pPr>
        <w:pStyle w:val="Proposal"/>
        <w:rPr>
          <w:lang w:val="fr-CH"/>
        </w:rPr>
      </w:pPr>
      <w:r w:rsidRPr="00D542E1">
        <w:rPr>
          <w:u w:val="single"/>
          <w:lang w:val="fr-CH"/>
        </w:rPr>
        <w:t>NOC</w:t>
      </w:r>
      <w:r w:rsidRPr="00D542E1">
        <w:rPr>
          <w:lang w:val="fr-CH"/>
        </w:rPr>
        <w:tab/>
        <w:t>IAP/44A24A2/1</w:t>
      </w:r>
    </w:p>
    <w:p w14:paraId="3308C66E" w14:textId="77777777" w:rsidR="00DC48DB" w:rsidRPr="00BC685D" w:rsidRDefault="00E544EA" w:rsidP="00F20B84">
      <w:pPr>
        <w:pStyle w:val="Volumetitle"/>
        <w:rPr>
          <w:bCs/>
          <w:szCs w:val="28"/>
        </w:rPr>
      </w:pPr>
      <w:bookmarkStart w:id="6" w:name="_Toc455752901"/>
      <w:bookmarkStart w:id="7" w:name="_Toc455756140"/>
      <w:r w:rsidRPr="00BC685D">
        <w:rPr>
          <w:bCs/>
          <w:szCs w:val="28"/>
        </w:rPr>
        <w:t>ARTICLES</w:t>
      </w:r>
      <w:bookmarkEnd w:id="6"/>
      <w:bookmarkEnd w:id="7"/>
    </w:p>
    <w:p w14:paraId="2A69C630" w14:textId="47918501" w:rsidR="00510C6B" w:rsidRDefault="00E544EA" w:rsidP="00BC685D">
      <w:pPr>
        <w:pStyle w:val="Reasons"/>
        <w:rPr>
          <w:lang w:val="fr-CH"/>
        </w:rPr>
      </w:pPr>
      <w:r w:rsidRPr="00D542E1">
        <w:rPr>
          <w:b/>
          <w:lang w:val="fr-CH"/>
        </w:rPr>
        <w:t>Motifs:</w:t>
      </w:r>
      <w:r w:rsidRPr="00D542E1">
        <w:rPr>
          <w:lang w:val="fr-CH"/>
        </w:rPr>
        <w:tab/>
      </w:r>
      <w:r w:rsidR="00510C6B">
        <w:rPr>
          <w:lang w:val="fr-CH"/>
        </w:rPr>
        <w:t xml:space="preserve">Il </w:t>
      </w:r>
      <w:r w:rsidR="002F33DB">
        <w:rPr>
          <w:lang w:val="fr-CH"/>
        </w:rPr>
        <w:t xml:space="preserve">est proposé de ne pas </w:t>
      </w:r>
      <w:r w:rsidR="004E06BC">
        <w:rPr>
          <w:lang w:val="fr-CH"/>
        </w:rPr>
        <w:t>modifier les</w:t>
      </w:r>
      <w:r w:rsidR="00510C6B">
        <w:rPr>
          <w:lang w:val="fr-CH"/>
        </w:rPr>
        <w:t xml:space="preserve"> Articles du Règlement des radiocommunications au titre de cette Question du point 9.1 de l'ordre du jour, </w:t>
      </w:r>
      <w:r w:rsidR="004E06BC">
        <w:rPr>
          <w:lang w:val="fr-CH"/>
        </w:rPr>
        <w:t>notamment en ce qui concerne</w:t>
      </w:r>
      <w:r w:rsidR="005362E0">
        <w:rPr>
          <w:lang w:val="fr-CH"/>
        </w:rPr>
        <w:t xml:space="preserve"> </w:t>
      </w:r>
      <w:r w:rsidR="009B2740">
        <w:rPr>
          <w:lang w:val="fr-CH"/>
        </w:rPr>
        <w:t xml:space="preserve">le statut des attributions </w:t>
      </w:r>
      <w:r w:rsidR="00757AF8">
        <w:rPr>
          <w:lang w:val="fr-CH"/>
        </w:rPr>
        <w:t xml:space="preserve">aux services d'amateur et d'amateur par satellite. </w:t>
      </w:r>
      <w:r w:rsidR="000B7AF2">
        <w:rPr>
          <w:lang w:val="fr-CH"/>
        </w:rPr>
        <w:t xml:space="preserve">Les administrations sont invitées à </w:t>
      </w:r>
      <w:r w:rsidR="00975B18">
        <w:rPr>
          <w:lang w:val="fr-CH"/>
        </w:rPr>
        <w:t>tenir compte des Rapports et des Recommandations UIT-R en cours d'élaboration</w:t>
      </w:r>
      <w:r w:rsidR="00FA73D0">
        <w:rPr>
          <w:lang w:val="fr-CH"/>
        </w:rPr>
        <w:t>, en ce qui concerne</w:t>
      </w:r>
      <w:r w:rsidR="00F827DE">
        <w:rPr>
          <w:lang w:val="fr-CH"/>
        </w:rPr>
        <w:t xml:space="preserve"> la manière </w:t>
      </w:r>
      <w:r w:rsidR="005E259E">
        <w:rPr>
          <w:lang w:val="fr-CH"/>
        </w:rPr>
        <w:t>dont le service d'amateur, qui bénéficie d'une attribution dans la bande de fréquences 1 240-1 </w:t>
      </w:r>
      <w:r w:rsidR="005E259E" w:rsidRPr="002E7648">
        <w:rPr>
          <w:lang w:val="fr-CH"/>
        </w:rPr>
        <w:t>300 MHz</w:t>
      </w:r>
      <w:r w:rsidR="005E259E">
        <w:rPr>
          <w:lang w:val="fr-CH"/>
        </w:rPr>
        <w:t xml:space="preserve">, </w:t>
      </w:r>
      <w:r w:rsidR="008222A2">
        <w:rPr>
          <w:lang w:val="fr-CH"/>
        </w:rPr>
        <w:t>peut</w:t>
      </w:r>
      <w:r w:rsidR="005E259E">
        <w:rPr>
          <w:lang w:val="fr-CH"/>
        </w:rPr>
        <w:t xml:space="preserve"> coexister avec les </w:t>
      </w:r>
      <w:r w:rsidR="002A442E">
        <w:rPr>
          <w:lang w:val="fr-CH"/>
        </w:rPr>
        <w:t xml:space="preserve">services primaires dans </w:t>
      </w:r>
      <w:r w:rsidR="005E259E">
        <w:rPr>
          <w:lang w:val="fr-CH"/>
        </w:rPr>
        <w:t>cette bande</w:t>
      </w:r>
      <w:r w:rsidR="00063484">
        <w:rPr>
          <w:lang w:val="fr-CH"/>
        </w:rPr>
        <w:t xml:space="preserve"> de fréquence</w:t>
      </w:r>
      <w:r w:rsidR="004752B4">
        <w:rPr>
          <w:lang w:val="fr-CH"/>
        </w:rPr>
        <w:t>s</w:t>
      </w:r>
      <w:r w:rsidR="002A442E">
        <w:rPr>
          <w:lang w:val="fr-CH"/>
        </w:rPr>
        <w:t>.</w:t>
      </w:r>
      <w:r w:rsidR="00EB48F4">
        <w:rPr>
          <w:lang w:val="fr-CH"/>
        </w:rPr>
        <w:t xml:space="preserve"> </w:t>
      </w:r>
      <w:r w:rsidR="00137EAB">
        <w:rPr>
          <w:lang w:val="fr-CH"/>
        </w:rPr>
        <w:t>Les administrations peuvent s'appuyer sur les bonnes pratiques en matière de gestion du spectre et prendre des mesures techniques et opérationnelles, afin de garantir la protection du</w:t>
      </w:r>
      <w:r w:rsidR="00BC685D">
        <w:rPr>
          <w:lang w:val="fr-CH"/>
        </w:rPr>
        <w:t> </w:t>
      </w:r>
      <w:r w:rsidR="00137EAB">
        <w:rPr>
          <w:lang w:val="fr-CH"/>
        </w:rPr>
        <w:t xml:space="preserve">SRNS, sans qu'il ne soit nécessaire d'imposer des contraintes réglementaires additionnelles aux services d'amateur et d'amateur par satellite fonctionnant dans </w:t>
      </w:r>
      <w:r w:rsidR="003A1CDB">
        <w:rPr>
          <w:lang w:val="fr-CH"/>
        </w:rPr>
        <w:t>cette</w:t>
      </w:r>
      <w:r w:rsidR="00137EAB">
        <w:rPr>
          <w:lang w:val="fr-CH"/>
        </w:rPr>
        <w:t xml:space="preserve"> bande de fréquences.</w:t>
      </w:r>
    </w:p>
    <w:p w14:paraId="110514E1" w14:textId="77777777" w:rsidR="00C231DE" w:rsidRPr="00D542E1" w:rsidRDefault="00E544EA">
      <w:pPr>
        <w:pStyle w:val="Proposal"/>
        <w:rPr>
          <w:lang w:val="fr-CH"/>
        </w:rPr>
      </w:pPr>
      <w:r w:rsidRPr="00D542E1">
        <w:rPr>
          <w:u w:val="single"/>
          <w:lang w:val="fr-CH"/>
        </w:rPr>
        <w:t>NOC</w:t>
      </w:r>
      <w:r w:rsidRPr="00D542E1">
        <w:rPr>
          <w:lang w:val="fr-CH"/>
        </w:rPr>
        <w:tab/>
        <w:t>IAP/44A24A2/2</w:t>
      </w:r>
    </w:p>
    <w:p w14:paraId="0AFEADB8" w14:textId="77777777" w:rsidR="00D80A8A" w:rsidRPr="00BC685D" w:rsidRDefault="00E544EA" w:rsidP="004050EF">
      <w:pPr>
        <w:pStyle w:val="Volumetitle"/>
        <w:rPr>
          <w:bCs/>
          <w:szCs w:val="28"/>
        </w:rPr>
      </w:pPr>
      <w:bookmarkStart w:id="8" w:name="_Toc327956568"/>
      <w:r w:rsidRPr="00BC685D">
        <w:rPr>
          <w:bCs/>
          <w:szCs w:val="28"/>
        </w:rPr>
        <w:t>APPENDICES</w:t>
      </w:r>
      <w:bookmarkEnd w:id="8"/>
    </w:p>
    <w:p w14:paraId="498CB38A" w14:textId="57C51E8D" w:rsidR="00A750E5" w:rsidRPr="00D542E1" w:rsidRDefault="00E544EA" w:rsidP="00BC685D">
      <w:pPr>
        <w:pStyle w:val="Reasons"/>
        <w:rPr>
          <w:lang w:val="fr-CH"/>
        </w:rPr>
      </w:pPr>
      <w:r w:rsidRPr="00D542E1">
        <w:rPr>
          <w:b/>
          <w:lang w:val="fr-CH"/>
        </w:rPr>
        <w:t>Motifs:</w:t>
      </w:r>
      <w:r w:rsidRPr="00D542E1">
        <w:rPr>
          <w:lang w:val="fr-CH"/>
        </w:rPr>
        <w:tab/>
      </w:r>
      <w:r w:rsidR="002F33DB">
        <w:rPr>
          <w:lang w:val="fr-CH"/>
        </w:rPr>
        <w:t xml:space="preserve">Il est proposé </w:t>
      </w:r>
      <w:r w:rsidR="00A750E5">
        <w:rPr>
          <w:lang w:val="fr-CH"/>
        </w:rPr>
        <w:t xml:space="preserve">de </w:t>
      </w:r>
      <w:r w:rsidR="002F33DB">
        <w:rPr>
          <w:lang w:val="fr-CH"/>
        </w:rPr>
        <w:t xml:space="preserve">ne pas </w:t>
      </w:r>
      <w:r w:rsidR="00A750E5">
        <w:rPr>
          <w:lang w:val="fr-CH"/>
        </w:rPr>
        <w:t>modifier les Appendices du Règlement des radiocommunications au titre de cette Question du point 9.1 de l'ordre du jour, notamment en ce qui concerne le statut des attributions aux services d'amateur et d'amateur par satellite.</w:t>
      </w:r>
      <w:r w:rsidR="007D604F">
        <w:rPr>
          <w:lang w:val="fr-CH"/>
        </w:rPr>
        <w:t xml:space="preserve"> </w:t>
      </w:r>
      <w:r w:rsidR="00584FDB">
        <w:rPr>
          <w:lang w:val="fr-CH"/>
        </w:rPr>
        <w:t>Les administrations sont invitées à tenir compte des Rapports et des Recommandations UIT-R en cours d'élaboration, en ce qui concerne la manière dont le service d'amateur, qui bénéficie d'une attribution dans la bande de fréquences 1 240-1 </w:t>
      </w:r>
      <w:r w:rsidR="00584FDB" w:rsidRPr="002E7648">
        <w:rPr>
          <w:lang w:val="fr-CH"/>
        </w:rPr>
        <w:t>300 MHz</w:t>
      </w:r>
      <w:r w:rsidR="00584FDB">
        <w:rPr>
          <w:lang w:val="fr-CH"/>
        </w:rPr>
        <w:t>, peut coexister avec les services primaires dans cette bande de fréquences</w:t>
      </w:r>
      <w:r w:rsidR="0007516C">
        <w:rPr>
          <w:lang w:val="fr-CH"/>
        </w:rPr>
        <w:t xml:space="preserve">. </w:t>
      </w:r>
      <w:r w:rsidR="003F4609">
        <w:rPr>
          <w:lang w:val="fr-CH"/>
        </w:rPr>
        <w:t>Les administrations peuvent s'appuyer sur les bonnes pratiques en matière de gestion du spectre et prendre des mesures techniques et opérationnelles, afin de garantir la protection du SRNS, sans qu'il ne soit nécessaire d'imposer des contraintes réglementaires additionnelles aux services d'amateur et d'amateur par satellite fonctionnant dans cette bande de fréquences.</w:t>
      </w:r>
    </w:p>
    <w:p w14:paraId="2EB0743F" w14:textId="77777777" w:rsidR="00C231DE" w:rsidRPr="00D542E1" w:rsidRDefault="00E544EA">
      <w:pPr>
        <w:pStyle w:val="Proposal"/>
        <w:rPr>
          <w:lang w:val="fr-CH"/>
        </w:rPr>
      </w:pPr>
      <w:r w:rsidRPr="00D542E1">
        <w:rPr>
          <w:lang w:val="fr-CH"/>
        </w:rPr>
        <w:t>SUP</w:t>
      </w:r>
      <w:r w:rsidRPr="00D542E1">
        <w:rPr>
          <w:lang w:val="fr-CH"/>
        </w:rPr>
        <w:tab/>
        <w:t>IAP/44A24A2/3</w:t>
      </w:r>
    </w:p>
    <w:p w14:paraId="42685B9F" w14:textId="77777777" w:rsidR="00BC1A64" w:rsidRPr="00D542E1" w:rsidRDefault="00E544EA" w:rsidP="00BC1A64">
      <w:pPr>
        <w:pStyle w:val="ResNo"/>
        <w:rPr>
          <w:lang w:val="fr-CH"/>
        </w:rPr>
      </w:pPr>
      <w:bookmarkStart w:id="9" w:name="_Toc35933917"/>
      <w:bookmarkStart w:id="10" w:name="_Toc39829399"/>
      <w:r w:rsidRPr="00D542E1">
        <w:rPr>
          <w:caps w:val="0"/>
          <w:lang w:val="fr-CH"/>
        </w:rPr>
        <w:t xml:space="preserve">RÉSOLUTION </w:t>
      </w:r>
      <w:r w:rsidRPr="00D542E1">
        <w:rPr>
          <w:rStyle w:val="href"/>
          <w:caps w:val="0"/>
          <w:lang w:val="fr-CH"/>
        </w:rPr>
        <w:t>774</w:t>
      </w:r>
      <w:r w:rsidRPr="00D542E1">
        <w:rPr>
          <w:caps w:val="0"/>
          <w:lang w:val="fr-CH"/>
        </w:rPr>
        <w:t xml:space="preserve"> (CMR-19)</w:t>
      </w:r>
      <w:bookmarkEnd w:id="9"/>
      <w:bookmarkEnd w:id="10"/>
    </w:p>
    <w:p w14:paraId="388FA839" w14:textId="77777777" w:rsidR="00BC1A64" w:rsidRPr="00D542E1" w:rsidRDefault="00E544EA" w:rsidP="00D34A57">
      <w:pPr>
        <w:pStyle w:val="Restitle"/>
        <w:rPr>
          <w:lang w:val="fr-CH"/>
        </w:rPr>
      </w:pPr>
      <w:bookmarkStart w:id="11" w:name="_Toc35933918"/>
      <w:bookmarkStart w:id="12" w:name="_Toc39829400"/>
      <w:r w:rsidRPr="00D542E1">
        <w:rPr>
          <w:lang w:val="fr-CH"/>
        </w:rPr>
        <w:t xml:space="preserve">Études relatives aux mesures techniques et opérationnelles à appliquer dans </w:t>
      </w:r>
      <w:r w:rsidRPr="00D542E1">
        <w:rPr>
          <w:lang w:val="fr-CH"/>
        </w:rPr>
        <w:br/>
        <w:t xml:space="preserve">la bande de fréquences 1 240-1 300 MHz pour garantir la protection </w:t>
      </w:r>
      <w:r w:rsidRPr="00D542E1">
        <w:rPr>
          <w:lang w:val="fr-CH"/>
        </w:rPr>
        <w:br/>
        <w:t>du service de radionavigation par satellite (espace vers Terre)</w:t>
      </w:r>
      <w:bookmarkEnd w:id="11"/>
      <w:bookmarkEnd w:id="12"/>
    </w:p>
    <w:p w14:paraId="6676789A" w14:textId="071F1C80" w:rsidR="000963C9" w:rsidRPr="00D542E1" w:rsidRDefault="00E544EA" w:rsidP="00BC685D">
      <w:pPr>
        <w:pStyle w:val="Reasons"/>
        <w:rPr>
          <w:lang w:val="fr-CH"/>
        </w:rPr>
      </w:pPr>
      <w:r w:rsidRPr="00D542E1">
        <w:rPr>
          <w:b/>
          <w:lang w:val="fr-CH"/>
        </w:rPr>
        <w:t>Motifs:</w:t>
      </w:r>
      <w:r w:rsidRPr="00D542E1">
        <w:rPr>
          <w:lang w:val="fr-CH"/>
        </w:rPr>
        <w:tab/>
      </w:r>
      <w:r w:rsidR="00603CFE" w:rsidRPr="002F33DB">
        <w:rPr>
          <w:lang w:val="fr-CH"/>
        </w:rPr>
        <w:t xml:space="preserve">Cette suppression </w:t>
      </w:r>
      <w:r w:rsidR="00974E54" w:rsidRPr="002F33DB">
        <w:rPr>
          <w:lang w:val="fr-CH"/>
        </w:rPr>
        <w:t>est proposée</w:t>
      </w:r>
      <w:r w:rsidR="00974E54">
        <w:rPr>
          <w:lang w:val="fr-CH"/>
        </w:rPr>
        <w:t xml:space="preserve"> </w:t>
      </w:r>
      <w:r w:rsidR="005827E4">
        <w:rPr>
          <w:lang w:val="fr-CH"/>
        </w:rPr>
        <w:t xml:space="preserve">étant donné </w:t>
      </w:r>
      <w:r w:rsidR="00522DDB">
        <w:rPr>
          <w:lang w:val="fr-CH"/>
        </w:rPr>
        <w:t>qu'aucune autre mesure n'est requise de la part de</w:t>
      </w:r>
      <w:r w:rsidR="005827E4">
        <w:rPr>
          <w:lang w:val="fr-CH"/>
        </w:rPr>
        <w:t xml:space="preserve"> la CMR pour traiter cette question.</w:t>
      </w:r>
      <w:r w:rsidR="00522DDB">
        <w:rPr>
          <w:lang w:val="fr-CH"/>
        </w:rPr>
        <w:t xml:space="preserve"> </w:t>
      </w:r>
      <w:r w:rsidR="000F0EDC">
        <w:rPr>
          <w:lang w:val="fr-CH"/>
        </w:rPr>
        <w:t xml:space="preserve">L'UIT-R, dans le cadre des activités ordinaires de ses commissions d'études, </w:t>
      </w:r>
      <w:r w:rsidR="00404DBF">
        <w:rPr>
          <w:lang w:val="fr-CH"/>
        </w:rPr>
        <w:t xml:space="preserve">pourrait continuer de mener des études en vue </w:t>
      </w:r>
      <w:r w:rsidR="009B3F52">
        <w:rPr>
          <w:lang w:val="fr-CH"/>
        </w:rPr>
        <w:t>de modifier les Rapports et les Recommandations existants.</w:t>
      </w:r>
    </w:p>
    <w:p w14:paraId="21CE5B55" w14:textId="77777777" w:rsidR="00E544EA" w:rsidRPr="00D542E1" w:rsidRDefault="00E544EA">
      <w:pPr>
        <w:jc w:val="center"/>
        <w:rPr>
          <w:lang w:val="fr-CH"/>
        </w:rPr>
      </w:pPr>
      <w:r w:rsidRPr="00D542E1">
        <w:rPr>
          <w:lang w:val="fr-CH"/>
        </w:rPr>
        <w:t>______________</w:t>
      </w:r>
    </w:p>
    <w:sectPr w:rsidR="00E544EA" w:rsidRPr="00D542E1">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E849" w14:textId="77777777" w:rsidR="00CB685A" w:rsidRDefault="00CB685A">
      <w:r>
        <w:separator/>
      </w:r>
    </w:p>
  </w:endnote>
  <w:endnote w:type="continuationSeparator" w:id="0">
    <w:p w14:paraId="48639500"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403B" w14:textId="5652701F"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037AD">
      <w:rPr>
        <w:noProof/>
      </w:rPr>
      <w:t>05.07.23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8726" w14:textId="28951E99" w:rsidR="00936D25" w:rsidRDefault="009376F8" w:rsidP="00060AA0">
    <w:pPr>
      <w:pStyle w:val="Footer"/>
      <w:rPr>
        <w:lang w:val="en-US"/>
      </w:rPr>
    </w:pPr>
    <w:r>
      <w:fldChar w:fldCharType="begin"/>
    </w:r>
    <w:r w:rsidRPr="0066596F">
      <w:rPr>
        <w:lang w:val="en-US"/>
      </w:rPr>
      <w:instrText xml:space="preserve"> FILENAME \p  \* MERGEFORMAT </w:instrText>
    </w:r>
    <w:r>
      <w:fldChar w:fldCharType="separate"/>
    </w:r>
    <w:r w:rsidR="00DE774B">
      <w:rPr>
        <w:lang w:val="en-US"/>
      </w:rPr>
      <w:t>P:\FRA\ITU-R\CONF-R\CMR23\000\044ADD24ADD02F.docx</w:t>
    </w:r>
    <w:r>
      <w:fldChar w:fldCharType="end"/>
    </w:r>
    <w:r w:rsidR="00060AA0" w:rsidRPr="0066596F">
      <w:rPr>
        <w:lang w:val="en-US"/>
      </w:rPr>
      <w:t xml:space="preserve"> (525334)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62E3" w14:textId="2EC5CEAD" w:rsidR="00936D25" w:rsidRDefault="009376F8" w:rsidP="00623BE8">
    <w:pPr>
      <w:pStyle w:val="Footer"/>
      <w:rPr>
        <w:lang w:val="en-US"/>
      </w:rPr>
    </w:pPr>
    <w:r>
      <w:fldChar w:fldCharType="begin"/>
    </w:r>
    <w:r w:rsidRPr="0066596F">
      <w:rPr>
        <w:lang w:val="en-US"/>
      </w:rPr>
      <w:instrText xml:space="preserve"> FILENAME \p  \* MERGEFORMAT </w:instrText>
    </w:r>
    <w:r>
      <w:fldChar w:fldCharType="separate"/>
    </w:r>
    <w:r w:rsidR="00DE774B">
      <w:rPr>
        <w:lang w:val="en-US"/>
      </w:rPr>
      <w:t>P:\FRA\ITU-R\CONF-R\CMR23\000\044ADD24ADD02F.docx</w:t>
    </w:r>
    <w:r>
      <w:fldChar w:fldCharType="end"/>
    </w:r>
    <w:r w:rsidR="00623BE8" w:rsidRPr="0066596F">
      <w:rPr>
        <w:lang w:val="en-US"/>
      </w:rPr>
      <w:t xml:space="preserve"> (525334)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428A" w14:textId="77777777" w:rsidR="00CB685A" w:rsidRDefault="00CB685A">
      <w:r>
        <w:rPr>
          <w:b/>
        </w:rPr>
        <w:t>_______________</w:t>
      </w:r>
    </w:p>
  </w:footnote>
  <w:footnote w:type="continuationSeparator" w:id="0">
    <w:p w14:paraId="30A3AF69"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EE75" w14:textId="397843B5" w:rsidR="004F1F8E" w:rsidRDefault="004F1F8E" w:rsidP="004F1F8E">
    <w:pPr>
      <w:pStyle w:val="Header"/>
    </w:pPr>
    <w:r>
      <w:fldChar w:fldCharType="begin"/>
    </w:r>
    <w:r>
      <w:instrText xml:space="preserve"> PAGE </w:instrText>
    </w:r>
    <w:r>
      <w:fldChar w:fldCharType="separate"/>
    </w:r>
    <w:r w:rsidR="005C6B0F">
      <w:rPr>
        <w:noProof/>
      </w:rPr>
      <w:t>7</w:t>
    </w:r>
    <w:r>
      <w:fldChar w:fldCharType="end"/>
    </w:r>
  </w:p>
  <w:p w14:paraId="2DD6D56C" w14:textId="77777777" w:rsidR="004F1F8E" w:rsidRDefault="00225CF2" w:rsidP="00FD7AA3">
    <w:pPr>
      <w:pStyle w:val="Header"/>
    </w:pPr>
    <w:r>
      <w:t>WRC</w:t>
    </w:r>
    <w:r w:rsidR="00D3426F">
      <w:t>23</w:t>
    </w:r>
    <w:r w:rsidR="004F1F8E">
      <w:t>/</w:t>
    </w:r>
    <w:r w:rsidR="006A4B45">
      <w:t>44(Add.24)(Add.2)-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148D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3C2D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5C84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9872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E6DF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CE4B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A03B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54FC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0A77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F2FC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076515001">
    <w:abstractNumId w:val="8"/>
  </w:num>
  <w:num w:numId="2" w16cid:durableId="120887716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94772672">
    <w:abstractNumId w:val="9"/>
  </w:num>
  <w:num w:numId="4" w16cid:durableId="785388786">
    <w:abstractNumId w:val="7"/>
  </w:num>
  <w:num w:numId="5" w16cid:durableId="447822825">
    <w:abstractNumId w:val="6"/>
  </w:num>
  <w:num w:numId="6" w16cid:durableId="366024532">
    <w:abstractNumId w:val="5"/>
  </w:num>
  <w:num w:numId="7" w16cid:durableId="1464692316">
    <w:abstractNumId w:val="4"/>
  </w:num>
  <w:num w:numId="8" w16cid:durableId="1969434830">
    <w:abstractNumId w:val="8"/>
  </w:num>
  <w:num w:numId="9" w16cid:durableId="1256547586">
    <w:abstractNumId w:val="3"/>
  </w:num>
  <w:num w:numId="10" w16cid:durableId="1175412335">
    <w:abstractNumId w:val="2"/>
  </w:num>
  <w:num w:numId="11" w16cid:durableId="490296142">
    <w:abstractNumId w:val="1"/>
  </w:num>
  <w:num w:numId="12" w16cid:durableId="1213149041">
    <w:abstractNumId w:val="0"/>
  </w:num>
  <w:num w:numId="13" w16cid:durableId="1278753612">
    <w:abstractNumId w:val="9"/>
  </w:num>
  <w:num w:numId="14" w16cid:durableId="2029671983">
    <w:abstractNumId w:val="7"/>
  </w:num>
  <w:num w:numId="15" w16cid:durableId="1661886792">
    <w:abstractNumId w:val="6"/>
  </w:num>
  <w:num w:numId="16" w16cid:durableId="1227452293">
    <w:abstractNumId w:val="5"/>
  </w:num>
  <w:num w:numId="17" w16cid:durableId="187137921">
    <w:abstractNumId w:val="4"/>
  </w:num>
  <w:num w:numId="18" w16cid:durableId="564990176">
    <w:abstractNumId w:val="8"/>
  </w:num>
  <w:num w:numId="19" w16cid:durableId="1468939702">
    <w:abstractNumId w:val="3"/>
  </w:num>
  <w:num w:numId="20" w16cid:durableId="979845147">
    <w:abstractNumId w:val="2"/>
  </w:num>
  <w:num w:numId="21" w16cid:durableId="103577746">
    <w:abstractNumId w:val="1"/>
  </w:num>
  <w:num w:numId="22" w16cid:durableId="129467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36F4F"/>
    <w:rsid w:val="00045412"/>
    <w:rsid w:val="00056069"/>
    <w:rsid w:val="00060AA0"/>
    <w:rsid w:val="0006120B"/>
    <w:rsid w:val="000616BA"/>
    <w:rsid w:val="00063484"/>
    <w:rsid w:val="00063A1F"/>
    <w:rsid w:val="000700EC"/>
    <w:rsid w:val="0007516C"/>
    <w:rsid w:val="0007639E"/>
    <w:rsid w:val="00080E2C"/>
    <w:rsid w:val="00081366"/>
    <w:rsid w:val="000815C9"/>
    <w:rsid w:val="0008332B"/>
    <w:rsid w:val="000863B3"/>
    <w:rsid w:val="00092B59"/>
    <w:rsid w:val="000963C9"/>
    <w:rsid w:val="00096B1C"/>
    <w:rsid w:val="000A1F95"/>
    <w:rsid w:val="000A39EB"/>
    <w:rsid w:val="000A40C0"/>
    <w:rsid w:val="000A4755"/>
    <w:rsid w:val="000A55AE"/>
    <w:rsid w:val="000B2E0C"/>
    <w:rsid w:val="000B3D0C"/>
    <w:rsid w:val="000B7AF2"/>
    <w:rsid w:val="000E4445"/>
    <w:rsid w:val="000E78F1"/>
    <w:rsid w:val="000F0EDC"/>
    <w:rsid w:val="00107285"/>
    <w:rsid w:val="001167B9"/>
    <w:rsid w:val="001175E2"/>
    <w:rsid w:val="00122ADA"/>
    <w:rsid w:val="00122D36"/>
    <w:rsid w:val="001267A0"/>
    <w:rsid w:val="00132F90"/>
    <w:rsid w:val="00137EAB"/>
    <w:rsid w:val="00142298"/>
    <w:rsid w:val="00142927"/>
    <w:rsid w:val="00144698"/>
    <w:rsid w:val="0015203F"/>
    <w:rsid w:val="0015354A"/>
    <w:rsid w:val="00160C64"/>
    <w:rsid w:val="001629AF"/>
    <w:rsid w:val="00166B43"/>
    <w:rsid w:val="00181463"/>
    <w:rsid w:val="0018169B"/>
    <w:rsid w:val="00185C6E"/>
    <w:rsid w:val="0019352B"/>
    <w:rsid w:val="001960D0"/>
    <w:rsid w:val="001A11F6"/>
    <w:rsid w:val="001A30CD"/>
    <w:rsid w:val="001A43FA"/>
    <w:rsid w:val="001A46C5"/>
    <w:rsid w:val="001C0029"/>
    <w:rsid w:val="001C3753"/>
    <w:rsid w:val="001C5D79"/>
    <w:rsid w:val="001C6E15"/>
    <w:rsid w:val="001F17E8"/>
    <w:rsid w:val="001F1B9F"/>
    <w:rsid w:val="00200A49"/>
    <w:rsid w:val="00204306"/>
    <w:rsid w:val="00216D8D"/>
    <w:rsid w:val="00225CF2"/>
    <w:rsid w:val="00227D07"/>
    <w:rsid w:val="00232299"/>
    <w:rsid w:val="00232FD2"/>
    <w:rsid w:val="00235643"/>
    <w:rsid w:val="00241474"/>
    <w:rsid w:val="00244C81"/>
    <w:rsid w:val="0026554E"/>
    <w:rsid w:val="002909E6"/>
    <w:rsid w:val="00292EBC"/>
    <w:rsid w:val="002A442E"/>
    <w:rsid w:val="002A4622"/>
    <w:rsid w:val="002A4960"/>
    <w:rsid w:val="002A6F8F"/>
    <w:rsid w:val="002B1559"/>
    <w:rsid w:val="002B17E5"/>
    <w:rsid w:val="002C0EBF"/>
    <w:rsid w:val="002C28A4"/>
    <w:rsid w:val="002C5CEA"/>
    <w:rsid w:val="002D2494"/>
    <w:rsid w:val="002D2E1F"/>
    <w:rsid w:val="002D7A3B"/>
    <w:rsid w:val="002D7E0A"/>
    <w:rsid w:val="002E2191"/>
    <w:rsid w:val="002F33DB"/>
    <w:rsid w:val="003138D8"/>
    <w:rsid w:val="003152B3"/>
    <w:rsid w:val="00315AFE"/>
    <w:rsid w:val="00333C56"/>
    <w:rsid w:val="003411F6"/>
    <w:rsid w:val="00344130"/>
    <w:rsid w:val="00350413"/>
    <w:rsid w:val="0035385D"/>
    <w:rsid w:val="003548B8"/>
    <w:rsid w:val="003606A6"/>
    <w:rsid w:val="00364E18"/>
    <w:rsid w:val="0036650C"/>
    <w:rsid w:val="00372415"/>
    <w:rsid w:val="00374DC1"/>
    <w:rsid w:val="00376C5C"/>
    <w:rsid w:val="00393ACD"/>
    <w:rsid w:val="0039522A"/>
    <w:rsid w:val="003A1CDB"/>
    <w:rsid w:val="003A583E"/>
    <w:rsid w:val="003D17BE"/>
    <w:rsid w:val="003E00FC"/>
    <w:rsid w:val="003E112B"/>
    <w:rsid w:val="003E1D1C"/>
    <w:rsid w:val="003E242C"/>
    <w:rsid w:val="003E7B05"/>
    <w:rsid w:val="003F1BF3"/>
    <w:rsid w:val="003F2962"/>
    <w:rsid w:val="003F3719"/>
    <w:rsid w:val="003F4609"/>
    <w:rsid w:val="003F6F2D"/>
    <w:rsid w:val="00402C3A"/>
    <w:rsid w:val="00404DBF"/>
    <w:rsid w:val="00421267"/>
    <w:rsid w:val="00431472"/>
    <w:rsid w:val="00441A19"/>
    <w:rsid w:val="00443D9A"/>
    <w:rsid w:val="0045184B"/>
    <w:rsid w:val="0045305E"/>
    <w:rsid w:val="00465279"/>
    <w:rsid w:val="00466211"/>
    <w:rsid w:val="004670C0"/>
    <w:rsid w:val="00472A65"/>
    <w:rsid w:val="004752B4"/>
    <w:rsid w:val="00483196"/>
    <w:rsid w:val="004834A9"/>
    <w:rsid w:val="00487879"/>
    <w:rsid w:val="004B0EF6"/>
    <w:rsid w:val="004B378B"/>
    <w:rsid w:val="004D01FC"/>
    <w:rsid w:val="004E06BC"/>
    <w:rsid w:val="004E1B0D"/>
    <w:rsid w:val="004E2035"/>
    <w:rsid w:val="004E28C3"/>
    <w:rsid w:val="004F13D3"/>
    <w:rsid w:val="004F1F8E"/>
    <w:rsid w:val="004F6C8E"/>
    <w:rsid w:val="005022F9"/>
    <w:rsid w:val="00510C6B"/>
    <w:rsid w:val="00512A32"/>
    <w:rsid w:val="00522DDB"/>
    <w:rsid w:val="00530F3D"/>
    <w:rsid w:val="005319B6"/>
    <w:rsid w:val="005343DA"/>
    <w:rsid w:val="005362E0"/>
    <w:rsid w:val="00560874"/>
    <w:rsid w:val="00572112"/>
    <w:rsid w:val="00577298"/>
    <w:rsid w:val="005827E4"/>
    <w:rsid w:val="00584FDB"/>
    <w:rsid w:val="00586CF2"/>
    <w:rsid w:val="00587FB7"/>
    <w:rsid w:val="00592740"/>
    <w:rsid w:val="005929F6"/>
    <w:rsid w:val="005A1B04"/>
    <w:rsid w:val="005A6C98"/>
    <w:rsid w:val="005A7C75"/>
    <w:rsid w:val="005C10E0"/>
    <w:rsid w:val="005C3768"/>
    <w:rsid w:val="005C6B0F"/>
    <w:rsid w:val="005C6C3F"/>
    <w:rsid w:val="005D15C4"/>
    <w:rsid w:val="005D2988"/>
    <w:rsid w:val="005E10F0"/>
    <w:rsid w:val="005E259E"/>
    <w:rsid w:val="005E3959"/>
    <w:rsid w:val="005E7B97"/>
    <w:rsid w:val="005F4C26"/>
    <w:rsid w:val="005F7370"/>
    <w:rsid w:val="00603CFE"/>
    <w:rsid w:val="00613635"/>
    <w:rsid w:val="0062093D"/>
    <w:rsid w:val="00623BE8"/>
    <w:rsid w:val="00637ECF"/>
    <w:rsid w:val="00646789"/>
    <w:rsid w:val="00647B59"/>
    <w:rsid w:val="00653042"/>
    <w:rsid w:val="006619A5"/>
    <w:rsid w:val="0066596F"/>
    <w:rsid w:val="00682B98"/>
    <w:rsid w:val="00683A5D"/>
    <w:rsid w:val="00684965"/>
    <w:rsid w:val="00685E26"/>
    <w:rsid w:val="00690C7B"/>
    <w:rsid w:val="006A1B56"/>
    <w:rsid w:val="006A21A6"/>
    <w:rsid w:val="006A3FCB"/>
    <w:rsid w:val="006A4B45"/>
    <w:rsid w:val="006B3245"/>
    <w:rsid w:val="006D4724"/>
    <w:rsid w:val="006E3729"/>
    <w:rsid w:val="006E7BE8"/>
    <w:rsid w:val="006F5FA2"/>
    <w:rsid w:val="0070076C"/>
    <w:rsid w:val="00701BAE"/>
    <w:rsid w:val="007037AD"/>
    <w:rsid w:val="0071046A"/>
    <w:rsid w:val="0071058A"/>
    <w:rsid w:val="0071721F"/>
    <w:rsid w:val="007205A5"/>
    <w:rsid w:val="00721F04"/>
    <w:rsid w:val="00724B00"/>
    <w:rsid w:val="007276C4"/>
    <w:rsid w:val="00730E95"/>
    <w:rsid w:val="007426B9"/>
    <w:rsid w:val="0074309D"/>
    <w:rsid w:val="0075437E"/>
    <w:rsid w:val="00757AF8"/>
    <w:rsid w:val="00764342"/>
    <w:rsid w:val="00774362"/>
    <w:rsid w:val="00786598"/>
    <w:rsid w:val="007871D7"/>
    <w:rsid w:val="00790C74"/>
    <w:rsid w:val="007A04E8"/>
    <w:rsid w:val="007A6D39"/>
    <w:rsid w:val="007B2C34"/>
    <w:rsid w:val="007B5C67"/>
    <w:rsid w:val="007D474A"/>
    <w:rsid w:val="007D53D5"/>
    <w:rsid w:val="007D604F"/>
    <w:rsid w:val="007E2991"/>
    <w:rsid w:val="007E5400"/>
    <w:rsid w:val="007F0E3D"/>
    <w:rsid w:val="007F282B"/>
    <w:rsid w:val="00807906"/>
    <w:rsid w:val="00821381"/>
    <w:rsid w:val="008222A2"/>
    <w:rsid w:val="00830086"/>
    <w:rsid w:val="00830576"/>
    <w:rsid w:val="008342DD"/>
    <w:rsid w:val="0083774D"/>
    <w:rsid w:val="008446DD"/>
    <w:rsid w:val="00851625"/>
    <w:rsid w:val="00852A23"/>
    <w:rsid w:val="00856EC3"/>
    <w:rsid w:val="0086107A"/>
    <w:rsid w:val="00863C0A"/>
    <w:rsid w:val="00896AA5"/>
    <w:rsid w:val="008A3120"/>
    <w:rsid w:val="008A4B97"/>
    <w:rsid w:val="008B49E4"/>
    <w:rsid w:val="008C3FE2"/>
    <w:rsid w:val="008C5B8E"/>
    <w:rsid w:val="008C5DD5"/>
    <w:rsid w:val="008C7123"/>
    <w:rsid w:val="008D2E20"/>
    <w:rsid w:val="008D41BE"/>
    <w:rsid w:val="008D5349"/>
    <w:rsid w:val="008D58D3"/>
    <w:rsid w:val="008E3BC9"/>
    <w:rsid w:val="008E3C6F"/>
    <w:rsid w:val="008E78CB"/>
    <w:rsid w:val="0090121A"/>
    <w:rsid w:val="00923064"/>
    <w:rsid w:val="00930FFD"/>
    <w:rsid w:val="00936D25"/>
    <w:rsid w:val="009376F8"/>
    <w:rsid w:val="00941EA5"/>
    <w:rsid w:val="00947D9F"/>
    <w:rsid w:val="009609B0"/>
    <w:rsid w:val="00964700"/>
    <w:rsid w:val="00966C16"/>
    <w:rsid w:val="00972723"/>
    <w:rsid w:val="00974E54"/>
    <w:rsid w:val="00975B18"/>
    <w:rsid w:val="00977939"/>
    <w:rsid w:val="00985F42"/>
    <w:rsid w:val="00986F20"/>
    <w:rsid w:val="0098732F"/>
    <w:rsid w:val="009A045F"/>
    <w:rsid w:val="009A6A2B"/>
    <w:rsid w:val="009B2740"/>
    <w:rsid w:val="009B3F52"/>
    <w:rsid w:val="009C7E7C"/>
    <w:rsid w:val="009D196F"/>
    <w:rsid w:val="009D2C7F"/>
    <w:rsid w:val="009D6AD5"/>
    <w:rsid w:val="009D73C9"/>
    <w:rsid w:val="009D74AC"/>
    <w:rsid w:val="009E4092"/>
    <w:rsid w:val="009F1E46"/>
    <w:rsid w:val="009F6B79"/>
    <w:rsid w:val="00A00473"/>
    <w:rsid w:val="00A03C9B"/>
    <w:rsid w:val="00A04CA3"/>
    <w:rsid w:val="00A14CF5"/>
    <w:rsid w:val="00A2381F"/>
    <w:rsid w:val="00A26693"/>
    <w:rsid w:val="00A31857"/>
    <w:rsid w:val="00A37105"/>
    <w:rsid w:val="00A41BE6"/>
    <w:rsid w:val="00A47A63"/>
    <w:rsid w:val="00A538E7"/>
    <w:rsid w:val="00A606C3"/>
    <w:rsid w:val="00A62A76"/>
    <w:rsid w:val="00A64A07"/>
    <w:rsid w:val="00A750E5"/>
    <w:rsid w:val="00A76282"/>
    <w:rsid w:val="00A76DC5"/>
    <w:rsid w:val="00A8068D"/>
    <w:rsid w:val="00A83B09"/>
    <w:rsid w:val="00A84541"/>
    <w:rsid w:val="00AA3830"/>
    <w:rsid w:val="00AA7991"/>
    <w:rsid w:val="00AB7C4C"/>
    <w:rsid w:val="00AC0848"/>
    <w:rsid w:val="00AE36A0"/>
    <w:rsid w:val="00B00294"/>
    <w:rsid w:val="00B03ECE"/>
    <w:rsid w:val="00B1768F"/>
    <w:rsid w:val="00B24D51"/>
    <w:rsid w:val="00B301F2"/>
    <w:rsid w:val="00B361D8"/>
    <w:rsid w:val="00B3749C"/>
    <w:rsid w:val="00B521A7"/>
    <w:rsid w:val="00B530DF"/>
    <w:rsid w:val="00B64FD0"/>
    <w:rsid w:val="00B658E5"/>
    <w:rsid w:val="00B83018"/>
    <w:rsid w:val="00BA5BD0"/>
    <w:rsid w:val="00BB1D82"/>
    <w:rsid w:val="00BB43AA"/>
    <w:rsid w:val="00BC03A0"/>
    <w:rsid w:val="00BC217E"/>
    <w:rsid w:val="00BC685D"/>
    <w:rsid w:val="00BD51C5"/>
    <w:rsid w:val="00BE1451"/>
    <w:rsid w:val="00BF26E7"/>
    <w:rsid w:val="00C014CA"/>
    <w:rsid w:val="00C0603E"/>
    <w:rsid w:val="00C1305F"/>
    <w:rsid w:val="00C17CBF"/>
    <w:rsid w:val="00C231DE"/>
    <w:rsid w:val="00C254B7"/>
    <w:rsid w:val="00C2666D"/>
    <w:rsid w:val="00C53FCA"/>
    <w:rsid w:val="00C71DEB"/>
    <w:rsid w:val="00C76BAF"/>
    <w:rsid w:val="00C7736A"/>
    <w:rsid w:val="00C814B9"/>
    <w:rsid w:val="00C81B2B"/>
    <w:rsid w:val="00C9179F"/>
    <w:rsid w:val="00C9737B"/>
    <w:rsid w:val="00CA5CFD"/>
    <w:rsid w:val="00CB685A"/>
    <w:rsid w:val="00CC1C0C"/>
    <w:rsid w:val="00CD03A4"/>
    <w:rsid w:val="00CD516F"/>
    <w:rsid w:val="00D06679"/>
    <w:rsid w:val="00D119A7"/>
    <w:rsid w:val="00D11FBF"/>
    <w:rsid w:val="00D14B89"/>
    <w:rsid w:val="00D16E37"/>
    <w:rsid w:val="00D2360B"/>
    <w:rsid w:val="00D2559D"/>
    <w:rsid w:val="00D25FBA"/>
    <w:rsid w:val="00D322BA"/>
    <w:rsid w:val="00D32B28"/>
    <w:rsid w:val="00D3426F"/>
    <w:rsid w:val="00D42954"/>
    <w:rsid w:val="00D542E1"/>
    <w:rsid w:val="00D662EA"/>
    <w:rsid w:val="00D66EAC"/>
    <w:rsid w:val="00D730DF"/>
    <w:rsid w:val="00D73553"/>
    <w:rsid w:val="00D772F0"/>
    <w:rsid w:val="00D77BDC"/>
    <w:rsid w:val="00D91349"/>
    <w:rsid w:val="00D95A52"/>
    <w:rsid w:val="00DB1379"/>
    <w:rsid w:val="00DB3653"/>
    <w:rsid w:val="00DB4054"/>
    <w:rsid w:val="00DB4C2D"/>
    <w:rsid w:val="00DC402B"/>
    <w:rsid w:val="00DD6593"/>
    <w:rsid w:val="00DE0932"/>
    <w:rsid w:val="00DE2D3B"/>
    <w:rsid w:val="00DE6B3E"/>
    <w:rsid w:val="00DE774B"/>
    <w:rsid w:val="00DF15E8"/>
    <w:rsid w:val="00E01143"/>
    <w:rsid w:val="00E03A27"/>
    <w:rsid w:val="00E049F1"/>
    <w:rsid w:val="00E058D2"/>
    <w:rsid w:val="00E0654E"/>
    <w:rsid w:val="00E129DA"/>
    <w:rsid w:val="00E1516A"/>
    <w:rsid w:val="00E15718"/>
    <w:rsid w:val="00E21024"/>
    <w:rsid w:val="00E31AA4"/>
    <w:rsid w:val="00E34A3C"/>
    <w:rsid w:val="00E37A25"/>
    <w:rsid w:val="00E438BF"/>
    <w:rsid w:val="00E537FF"/>
    <w:rsid w:val="00E544EA"/>
    <w:rsid w:val="00E60CB2"/>
    <w:rsid w:val="00E6539B"/>
    <w:rsid w:val="00E70A31"/>
    <w:rsid w:val="00E70F68"/>
    <w:rsid w:val="00E723A7"/>
    <w:rsid w:val="00E83DED"/>
    <w:rsid w:val="00E97AA7"/>
    <w:rsid w:val="00EA0746"/>
    <w:rsid w:val="00EA360D"/>
    <w:rsid w:val="00EA3F38"/>
    <w:rsid w:val="00EA5AB6"/>
    <w:rsid w:val="00EA73F6"/>
    <w:rsid w:val="00EB18F8"/>
    <w:rsid w:val="00EB48F4"/>
    <w:rsid w:val="00EC7615"/>
    <w:rsid w:val="00ED16AA"/>
    <w:rsid w:val="00ED6B8D"/>
    <w:rsid w:val="00EE3D7B"/>
    <w:rsid w:val="00EF4C2B"/>
    <w:rsid w:val="00EF662E"/>
    <w:rsid w:val="00EF75D5"/>
    <w:rsid w:val="00F05CE9"/>
    <w:rsid w:val="00F10064"/>
    <w:rsid w:val="00F148F1"/>
    <w:rsid w:val="00F30D72"/>
    <w:rsid w:val="00F40428"/>
    <w:rsid w:val="00F469FC"/>
    <w:rsid w:val="00F602BD"/>
    <w:rsid w:val="00F63B25"/>
    <w:rsid w:val="00F65A78"/>
    <w:rsid w:val="00F711A7"/>
    <w:rsid w:val="00F7140D"/>
    <w:rsid w:val="00F827DE"/>
    <w:rsid w:val="00F851EB"/>
    <w:rsid w:val="00F85411"/>
    <w:rsid w:val="00F8782C"/>
    <w:rsid w:val="00FA3BBF"/>
    <w:rsid w:val="00FA73D0"/>
    <w:rsid w:val="00FC3413"/>
    <w:rsid w:val="00FC41F8"/>
    <w:rsid w:val="00FC64C9"/>
    <w:rsid w:val="00FC7AC8"/>
    <w:rsid w:val="00FD7AA3"/>
    <w:rsid w:val="00FE254F"/>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4BE912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paragraph" w:customStyle="1" w:styleId="dpstylecall">
    <w:name w:val="dpstylecall"/>
    <w:basedOn w:val="Normal"/>
    <w:rsid w:val="00623BE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styleId="NormalWeb">
    <w:name w:val="Normal (Web)"/>
    <w:basedOn w:val="Normal"/>
    <w:uiPriority w:val="99"/>
    <w:semiHidden/>
    <w:unhideWhenUsed/>
    <w:rsid w:val="00623BE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styleId="Revision">
    <w:name w:val="Revision"/>
    <w:hidden/>
    <w:uiPriority w:val="99"/>
    <w:semiHidden/>
    <w:rsid w:val="00060AA0"/>
    <w:rPr>
      <w:rFonts w:ascii="Times New Roman" w:hAnsi="Times New Roman"/>
      <w:sz w:val="24"/>
      <w:lang w:val="fr-FR" w:eastAsia="en-US"/>
    </w:rPr>
  </w:style>
  <w:style w:type="paragraph" w:styleId="BalloonText">
    <w:name w:val="Balloon Text"/>
    <w:basedOn w:val="Normal"/>
    <w:link w:val="BalloonTextChar"/>
    <w:semiHidden/>
    <w:unhideWhenUsed/>
    <w:rsid w:val="00D662E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662EA"/>
    <w:rPr>
      <w:rFonts w:ascii="Segoe UI" w:hAnsi="Segoe UI" w:cs="Segoe UI"/>
      <w:sz w:val="18"/>
      <w:szCs w:val="18"/>
      <w:lang w:val="fr-FR" w:eastAsia="en-US"/>
    </w:rPr>
  </w:style>
  <w:style w:type="character" w:styleId="CommentReference">
    <w:name w:val="annotation reference"/>
    <w:basedOn w:val="DefaultParagraphFont"/>
    <w:semiHidden/>
    <w:unhideWhenUsed/>
    <w:rsid w:val="00227D07"/>
    <w:rPr>
      <w:sz w:val="16"/>
      <w:szCs w:val="16"/>
    </w:rPr>
  </w:style>
  <w:style w:type="paragraph" w:styleId="CommentText">
    <w:name w:val="annotation text"/>
    <w:basedOn w:val="Normal"/>
    <w:link w:val="CommentTextChar"/>
    <w:semiHidden/>
    <w:unhideWhenUsed/>
    <w:rsid w:val="00227D07"/>
    <w:rPr>
      <w:sz w:val="20"/>
    </w:rPr>
  </w:style>
  <w:style w:type="character" w:customStyle="1" w:styleId="CommentTextChar">
    <w:name w:val="Comment Text Char"/>
    <w:basedOn w:val="DefaultParagraphFont"/>
    <w:link w:val="CommentText"/>
    <w:semiHidden/>
    <w:rsid w:val="00227D07"/>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227D07"/>
    <w:rPr>
      <w:b/>
      <w:bCs/>
    </w:rPr>
  </w:style>
  <w:style w:type="character" w:customStyle="1" w:styleId="CommentSubjectChar">
    <w:name w:val="Comment Subject Char"/>
    <w:basedOn w:val="CommentTextChar"/>
    <w:link w:val="CommentSubject"/>
    <w:semiHidden/>
    <w:rsid w:val="00227D07"/>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218111">
      <w:bodyDiv w:val="1"/>
      <w:marLeft w:val="60"/>
      <w:marRight w:val="60"/>
      <w:marTop w:val="60"/>
      <w:marBottom w:val="60"/>
      <w:divBdr>
        <w:top w:val="none" w:sz="0" w:space="0" w:color="auto"/>
        <w:left w:val="none" w:sz="0" w:space="0" w:color="auto"/>
        <w:bottom w:val="none" w:sz="0" w:space="0" w:color="auto"/>
        <w:right w:val="none" w:sz="0" w:space="0" w:color="auto"/>
      </w:divBdr>
      <w:divsChild>
        <w:div w:id="174002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R23-WRC23-C-0044!A24-A2!MSW-F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731543E2-0615-45E9-A359-B753972CC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935C5-4F59-4277-9C5E-CDA2A7509041}">
  <ds:schemaRefs>
    <ds:schemaRef ds:uri="http://schemas.microsoft.com/sharepoint/events"/>
  </ds:schemaRefs>
</ds:datastoreItem>
</file>

<file path=customXml/itemProps4.xml><?xml version="1.0" encoding="utf-8"?>
<ds:datastoreItem xmlns:ds="http://schemas.openxmlformats.org/officeDocument/2006/customXml" ds:itemID="{789C5A03-7FAD-44FD-834B-D1321622C09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1664</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R23-WRC23-C-0044!A24-A2!MSW-F</vt:lpstr>
    </vt:vector>
  </TitlesOfParts>
  <Manager>Secrétariat général - Pool</Manager>
  <Company>Union internationale des télécommunications (UIT)</Company>
  <LinksUpToDate>false</LinksUpToDate>
  <CharactersWithSpaces>11224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R23-WRC23-C-0044!A24-A2!MSW-F</dc:title>
  <dc:subject>Conférence mondiale des radiocommunications - 2019</dc:subject>
  <dc:creator>Documents Proposals Manager (DPM)</dc:creator>
  <cp:keywords>DPM_v2023.5.24.1_prod</cp:keywords>
  <dc:description/>
  <cp:lastModifiedBy>FrenchVS</cp:lastModifiedBy>
  <cp:revision>6</cp:revision>
  <cp:lastPrinted>2003-06-05T19:34:00Z</cp:lastPrinted>
  <dcterms:created xsi:type="dcterms:W3CDTF">2023-07-05T07:55:00Z</dcterms:created>
  <dcterms:modified xsi:type="dcterms:W3CDTF">2023-07-05T08:45:00Z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