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6AB1290F" w14:textId="77777777" w:rsidTr="0080079E">
        <w:trPr>
          <w:cantSplit/>
        </w:trPr>
        <w:tc>
          <w:tcPr>
            <w:tcW w:w="1418" w:type="dxa"/>
            <w:vAlign w:val="center"/>
          </w:tcPr>
          <w:p w14:paraId="59F7FE71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D80F868" wp14:editId="17C6787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19E92D9D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21879D7B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4090A8F" wp14:editId="59E6DDCC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77CD55B8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9811930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8B02020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2C3C6ACC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B5E7BD7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2C1B4A9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6D5A39C0" w14:textId="77777777" w:rsidTr="0090121B">
        <w:trPr>
          <w:cantSplit/>
        </w:trPr>
        <w:tc>
          <w:tcPr>
            <w:tcW w:w="6911" w:type="dxa"/>
            <w:gridSpan w:val="2"/>
          </w:tcPr>
          <w:p w14:paraId="24D9DED1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5545AF12" w14:textId="77777777" w:rsidR="0090121B" w:rsidRPr="00EE2511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s-ES"/>
              </w:rPr>
            </w:pPr>
            <w:r w:rsidRPr="00EE2511">
              <w:rPr>
                <w:rFonts w:ascii="Verdana" w:hAnsi="Verdana"/>
                <w:b/>
                <w:sz w:val="18"/>
                <w:szCs w:val="18"/>
                <w:lang w:val="es-ES"/>
              </w:rPr>
              <w:t>Addéndum 2 al</w:t>
            </w:r>
            <w:r w:rsidRPr="00EE2511">
              <w:rPr>
                <w:rFonts w:ascii="Verdana" w:hAnsi="Verdana"/>
                <w:b/>
                <w:sz w:val="18"/>
                <w:szCs w:val="18"/>
                <w:lang w:val="es-ES"/>
              </w:rPr>
              <w:br/>
              <w:t>Documento 44(Add.22)</w:t>
            </w:r>
            <w:r w:rsidR="0090121B" w:rsidRPr="00EE2511">
              <w:rPr>
                <w:rFonts w:ascii="Verdana" w:hAnsi="Verdana"/>
                <w:b/>
                <w:sz w:val="18"/>
                <w:szCs w:val="18"/>
                <w:lang w:val="es-ES"/>
              </w:rPr>
              <w:t>-</w:t>
            </w:r>
            <w:r w:rsidRPr="00EE2511">
              <w:rPr>
                <w:rFonts w:ascii="Verdana" w:hAnsi="Verdana"/>
                <w:b/>
                <w:sz w:val="18"/>
                <w:szCs w:val="18"/>
                <w:lang w:val="es-ES"/>
              </w:rPr>
              <w:t>S</w:t>
            </w:r>
          </w:p>
        </w:tc>
      </w:tr>
      <w:bookmarkEnd w:id="0"/>
      <w:tr w:rsidR="000A5B9A" w:rsidRPr="0002785D" w14:paraId="535AA79C" w14:textId="77777777" w:rsidTr="0090121B">
        <w:trPr>
          <w:cantSplit/>
        </w:trPr>
        <w:tc>
          <w:tcPr>
            <w:tcW w:w="6911" w:type="dxa"/>
            <w:gridSpan w:val="2"/>
          </w:tcPr>
          <w:p w14:paraId="39667063" w14:textId="77777777" w:rsidR="000A5B9A" w:rsidRPr="00EE251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29F266B3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13 de octubre de 2023</w:t>
            </w:r>
          </w:p>
        </w:tc>
      </w:tr>
      <w:tr w:rsidR="000A5B9A" w:rsidRPr="0002785D" w14:paraId="764DCDD2" w14:textId="77777777" w:rsidTr="0090121B">
        <w:trPr>
          <w:cantSplit/>
        </w:trPr>
        <w:tc>
          <w:tcPr>
            <w:tcW w:w="6911" w:type="dxa"/>
            <w:gridSpan w:val="2"/>
          </w:tcPr>
          <w:p w14:paraId="57DCE98E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50F8DD47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5BD0D1B9" w14:textId="77777777" w:rsidTr="006744FC">
        <w:trPr>
          <w:cantSplit/>
        </w:trPr>
        <w:tc>
          <w:tcPr>
            <w:tcW w:w="10031" w:type="dxa"/>
            <w:gridSpan w:val="4"/>
          </w:tcPr>
          <w:p w14:paraId="21DDFA1C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2EDC3E29" w14:textId="77777777" w:rsidTr="0050008E">
        <w:trPr>
          <w:cantSplit/>
        </w:trPr>
        <w:tc>
          <w:tcPr>
            <w:tcW w:w="10031" w:type="dxa"/>
            <w:gridSpan w:val="4"/>
          </w:tcPr>
          <w:p w14:paraId="750A7FF8" w14:textId="77777777" w:rsidR="000A5B9A" w:rsidRPr="00EE2511" w:rsidRDefault="000A5B9A" w:rsidP="000A5B9A">
            <w:pPr>
              <w:pStyle w:val="Source"/>
              <w:rPr>
                <w:lang w:val="es-ES"/>
              </w:rPr>
            </w:pPr>
            <w:bookmarkStart w:id="1" w:name="dsource" w:colFirst="0" w:colLast="0"/>
            <w:r w:rsidRPr="00EE2511">
              <w:rPr>
                <w:lang w:val="es-ES"/>
              </w:rPr>
              <w:t>Estados Miembros de la Comisión Interamericana de Telecomunicaciones (CITEL)</w:t>
            </w:r>
          </w:p>
        </w:tc>
      </w:tr>
      <w:tr w:rsidR="000A5B9A" w:rsidRPr="0002785D" w14:paraId="6A05AB80" w14:textId="77777777" w:rsidTr="0050008E">
        <w:trPr>
          <w:cantSplit/>
        </w:trPr>
        <w:tc>
          <w:tcPr>
            <w:tcW w:w="10031" w:type="dxa"/>
            <w:gridSpan w:val="4"/>
          </w:tcPr>
          <w:p w14:paraId="5249887B" w14:textId="4C579C01" w:rsidR="000A5B9A" w:rsidRPr="00EE2511" w:rsidRDefault="00EE2511" w:rsidP="000A5B9A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EE2511">
              <w:rPr>
                <w:lang w:val="es-ES"/>
              </w:rPr>
              <w:t>propuestas para los trabajos d</w:t>
            </w:r>
            <w:r>
              <w:rPr>
                <w:lang w:val="es-ES"/>
              </w:rPr>
              <w:t>e la conferencia</w:t>
            </w:r>
          </w:p>
        </w:tc>
      </w:tr>
      <w:tr w:rsidR="000A5B9A" w:rsidRPr="0002785D" w14:paraId="3D2B5D69" w14:textId="77777777" w:rsidTr="0050008E">
        <w:trPr>
          <w:cantSplit/>
        </w:trPr>
        <w:tc>
          <w:tcPr>
            <w:tcW w:w="10031" w:type="dxa"/>
            <w:gridSpan w:val="4"/>
          </w:tcPr>
          <w:p w14:paraId="76913F03" w14:textId="77777777" w:rsidR="000A5B9A" w:rsidRPr="00EE2511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14:paraId="20ACB81E" w14:textId="77777777" w:rsidTr="0050008E">
        <w:trPr>
          <w:cantSplit/>
        </w:trPr>
        <w:tc>
          <w:tcPr>
            <w:tcW w:w="10031" w:type="dxa"/>
            <w:gridSpan w:val="4"/>
          </w:tcPr>
          <w:p w14:paraId="43AB60C8" w14:textId="77777777" w:rsidR="000A5B9A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AE658F">
              <w:t>Punto 7(B) del orden del día</w:t>
            </w:r>
          </w:p>
        </w:tc>
      </w:tr>
    </w:tbl>
    <w:bookmarkEnd w:id="4"/>
    <w:p w14:paraId="1D201A1D" w14:textId="77777777" w:rsidR="000F4658" w:rsidRPr="00F3193C" w:rsidRDefault="000F4658" w:rsidP="00F3193C">
      <w:r w:rsidRPr="00F3193C">
        <w:t>7</w:t>
      </w:r>
      <w:r w:rsidRPr="00F3193C">
        <w:tab/>
        <w:t>considerar posibles modificaciones para responder a lo dispuesto en la Resolución 86 (Rev. Marrakech, 2002) de la Conferencia de Plenipotenciarios: «Procedimientos de publicación anticipada, de coordinación, de notificación y de inscripción de asignaciones de frecuencias de redes de satélite» de conformidad con la Resolución </w:t>
      </w:r>
      <w:r w:rsidRPr="00F3193C">
        <w:rPr>
          <w:b/>
          <w:bCs/>
        </w:rPr>
        <w:t>86 (Rev.CMR-07</w:t>
      </w:r>
      <w:r w:rsidRPr="00F3193C">
        <w:rPr>
          <w:b/>
        </w:rPr>
        <w:t>)</w:t>
      </w:r>
      <w:r w:rsidRPr="00F3193C">
        <w:rPr>
          <w:b/>
          <w:bCs/>
        </w:rPr>
        <w:t xml:space="preserve">, </w:t>
      </w:r>
      <w:r w:rsidRPr="00F3193C">
        <w:t>para facilitar el uso</w:t>
      </w:r>
      <w:r w:rsidRPr="00F3193C">
        <w:rPr>
          <w:b/>
          <w:bCs/>
        </w:rPr>
        <w:t xml:space="preserve"> </w:t>
      </w:r>
      <w:r w:rsidRPr="00F3193C">
        <w:t>racional, eficiente y económico de las radiofrecuencias y órbitas asociadas, incluida la órbita de los satélites geoestacionarios;</w:t>
      </w:r>
    </w:p>
    <w:p w14:paraId="73967B63" w14:textId="154A7D0B" w:rsidR="000F4658" w:rsidRPr="00C444FC" w:rsidRDefault="000F4658" w:rsidP="00ED3AAB">
      <w:r w:rsidRPr="00BD7330">
        <w:rPr>
          <w:lang w:val="es-ES"/>
        </w:rPr>
        <w:t>7</w:t>
      </w:r>
      <w:r>
        <w:rPr>
          <w:lang w:val="es-ES"/>
        </w:rPr>
        <w:t>(</w:t>
      </w:r>
      <w:r w:rsidRPr="00BD7330">
        <w:rPr>
          <w:lang w:val="es-ES"/>
        </w:rPr>
        <w:t>B)</w:t>
      </w:r>
      <w:r w:rsidRPr="00BD7330">
        <w:rPr>
          <w:lang w:val="es-ES"/>
        </w:rPr>
        <w:tab/>
      </w:r>
      <w:r w:rsidRPr="007453E4">
        <w:rPr>
          <w:lang w:val="es-ES"/>
        </w:rPr>
        <w:t>Tema B – Procedimiento de puesta en servicio de sistemas no OSG después de cada objetivo intermedio</w:t>
      </w:r>
    </w:p>
    <w:p w14:paraId="693F7761" w14:textId="77777777" w:rsidR="00EE2511" w:rsidRPr="002470B7" w:rsidRDefault="00EE2511" w:rsidP="002470B7">
      <w:pPr>
        <w:pStyle w:val="Headingb"/>
      </w:pPr>
      <w:r w:rsidRPr="002470B7">
        <w:t>Antecedentes</w:t>
      </w:r>
    </w:p>
    <w:p w14:paraId="42D3B202" w14:textId="03065581" w:rsidR="00EE2511" w:rsidRPr="00185809" w:rsidRDefault="00EE2511" w:rsidP="00EE2511">
      <w:pPr>
        <w:rPr>
          <w:lang w:val="es-ES"/>
        </w:rPr>
      </w:pPr>
      <w:r w:rsidRPr="00185809">
        <w:rPr>
          <w:lang w:val="es-ES"/>
        </w:rPr>
        <w:t xml:space="preserve">En la CMR-19 se aprobó la Resolución </w:t>
      </w:r>
      <w:r w:rsidRPr="002470B7">
        <w:rPr>
          <w:b/>
          <w:bCs/>
          <w:lang w:val="es-ES"/>
        </w:rPr>
        <w:t>35 (CMR-19)</w:t>
      </w:r>
      <w:r w:rsidRPr="00185809">
        <w:rPr>
          <w:lang w:val="es-ES"/>
        </w:rPr>
        <w:t xml:space="preserve">, </w:t>
      </w:r>
      <w:r w:rsidR="002470B7">
        <w:rPr>
          <w:lang w:val="es-ES"/>
        </w:rPr>
        <w:t>«</w:t>
      </w:r>
      <w:r w:rsidRPr="00185809">
        <w:rPr>
          <w:lang w:val="es-ES"/>
        </w:rPr>
        <w:t>Métodos por etapas para la implementación de asignaciones de frecuencias a estaciones espaciales de sistemas de satélites no geoestacionarios en bandas de frecuencias y servicios específicos</w:t>
      </w:r>
      <w:r w:rsidR="002470B7">
        <w:rPr>
          <w:lang w:val="es-ES"/>
        </w:rPr>
        <w:t>»</w:t>
      </w:r>
      <w:r w:rsidRPr="00185809">
        <w:rPr>
          <w:lang w:val="es-ES"/>
        </w:rPr>
        <w:t>.</w:t>
      </w:r>
    </w:p>
    <w:p w14:paraId="4E60D489" w14:textId="1363C5A6" w:rsidR="00EE2511" w:rsidRPr="00185809" w:rsidRDefault="00EE2511" w:rsidP="00EE2511">
      <w:pPr>
        <w:rPr>
          <w:lang w:val="es-ES"/>
        </w:rPr>
      </w:pPr>
      <w:r w:rsidRPr="00185809">
        <w:rPr>
          <w:lang w:val="es-ES"/>
        </w:rPr>
        <w:t xml:space="preserve">Un aspecto planteado pero no tratado en sentido reglamentario en la Resolución se relaciona con el caso en que un sistema no OSG haya completado el proceso </w:t>
      </w:r>
      <w:r>
        <w:rPr>
          <w:lang w:val="es-ES"/>
        </w:rPr>
        <w:t>por etapas</w:t>
      </w:r>
      <w:r w:rsidRPr="00185809">
        <w:rPr>
          <w:lang w:val="es-ES"/>
        </w:rPr>
        <w:t xml:space="preserve"> y posteriormente experimente una reducción a mediano o largo plazo en el número de satélites desplegados. En este contexto, el tema B del punto 7 del orden del día de la CMR-23 considera la posible adopción de un procedimiento que deban seguir las administraciones y la Oficina de Radiocomunicaciones (BR) en los casos en que un sistema no OSG sujeto a la Resolución </w:t>
      </w:r>
      <w:r w:rsidRPr="00185809">
        <w:rPr>
          <w:b/>
          <w:lang w:val="es-ES"/>
        </w:rPr>
        <w:t>35 (CMR-19)</w:t>
      </w:r>
      <w:r w:rsidRPr="00185809">
        <w:rPr>
          <w:lang w:val="es-ES"/>
        </w:rPr>
        <w:t xml:space="preserve"> haya completado el procedimiento </w:t>
      </w:r>
      <w:r>
        <w:rPr>
          <w:lang w:val="es-ES"/>
        </w:rPr>
        <w:t>por etapas</w:t>
      </w:r>
      <w:r w:rsidRPr="00185809">
        <w:rPr>
          <w:lang w:val="es-ES"/>
        </w:rPr>
        <w:t>, pero posteriormente experimenta una reducción sostenida en el número de estaciones espaciales desplegadas y capaces de transmitir/recibir las frecuencias asignadas.</w:t>
      </w:r>
    </w:p>
    <w:p w14:paraId="73C6757E" w14:textId="2F3548D0" w:rsidR="00EE2511" w:rsidRPr="00185809" w:rsidRDefault="00EE2511" w:rsidP="00EE2511">
      <w:pPr>
        <w:rPr>
          <w:lang w:val="es-ES"/>
        </w:rPr>
      </w:pPr>
      <w:r w:rsidRPr="00185809">
        <w:rPr>
          <w:lang w:val="es-ES"/>
        </w:rPr>
        <w:t xml:space="preserve">En la CMR-19 se acordó incluir en la Resolución </w:t>
      </w:r>
      <w:r w:rsidRPr="00185809">
        <w:rPr>
          <w:b/>
          <w:lang w:val="es-ES"/>
        </w:rPr>
        <w:t>35 (WRC-19)</w:t>
      </w:r>
      <w:r w:rsidRPr="00185809">
        <w:rPr>
          <w:lang w:val="es-ES"/>
        </w:rPr>
        <w:t xml:space="preserve"> un </w:t>
      </w:r>
      <w:r w:rsidRPr="00185809">
        <w:rPr>
          <w:i/>
          <w:iCs/>
          <w:lang w:val="es-ES"/>
        </w:rPr>
        <w:t>resuelve</w:t>
      </w:r>
      <w:r w:rsidRPr="00185809">
        <w:rPr>
          <w:lang w:val="es-ES"/>
        </w:rPr>
        <w:t xml:space="preserve"> </w:t>
      </w:r>
      <w:r w:rsidR="002470B7">
        <w:rPr>
          <w:lang w:val="es-ES"/>
        </w:rPr>
        <w:t xml:space="preserve">19 </w:t>
      </w:r>
      <w:r w:rsidRPr="00185809">
        <w:rPr>
          <w:lang w:val="es-ES"/>
        </w:rPr>
        <w:t xml:space="preserve">que requiere que la administración notificante informe a la BR </w:t>
      </w:r>
      <w:r w:rsidR="002470B7">
        <w:rPr>
          <w:lang w:val="es-ES"/>
        </w:rPr>
        <w:t>«</w:t>
      </w:r>
      <w:r w:rsidRPr="00185809">
        <w:rPr>
          <w:lang w:val="es-ES"/>
        </w:rPr>
        <w:t>únicamente con fines informativos</w:t>
      </w:r>
      <w:r w:rsidR="002470B7">
        <w:rPr>
          <w:lang w:val="es-ES"/>
        </w:rPr>
        <w:t>» d</w:t>
      </w:r>
      <w:r w:rsidRPr="00185809">
        <w:rPr>
          <w:lang w:val="es-ES"/>
        </w:rPr>
        <w:t xml:space="preserve">e la fecha en la que se </w:t>
      </w:r>
      <w:r w:rsidR="002470B7">
        <w:rPr>
          <w:lang w:val="es-ES"/>
        </w:rPr>
        <w:t>«</w:t>
      </w:r>
      <w:r w:rsidRPr="00185809">
        <w:rPr>
          <w:lang w:val="es-ES"/>
        </w:rPr>
        <w:t>cruzó</w:t>
      </w:r>
      <w:r w:rsidR="002470B7">
        <w:rPr>
          <w:lang w:val="es-ES"/>
        </w:rPr>
        <w:t>»</w:t>
      </w:r>
      <w:r w:rsidRPr="00185809">
        <w:rPr>
          <w:lang w:val="es-ES"/>
        </w:rPr>
        <w:t xml:space="preserve"> por primera vez un umbral de reducción (95% del número de estaciones espaciales notificadas en el sistema, redondeado al número entero inferior, menos uno). (Tal informe no es necesari</w:t>
      </w:r>
      <w:r w:rsidR="002470B7">
        <w:rPr>
          <w:lang w:val="es-ES"/>
        </w:rPr>
        <w:t>o</w:t>
      </w:r>
      <w:r w:rsidRPr="00185809">
        <w:rPr>
          <w:lang w:val="es-ES"/>
        </w:rPr>
        <w:t xml:space="preserve"> mientras el número no permanezca por debajo del umbral durante seis meses). Además, si </w:t>
      </w:r>
      <w:r w:rsidRPr="00185809">
        <w:rPr>
          <w:lang w:val="es-ES"/>
        </w:rPr>
        <w:lastRenderedPageBreak/>
        <w:t>corresponde y se apli</w:t>
      </w:r>
      <w:r w:rsidR="000F4658">
        <w:rPr>
          <w:lang w:val="es-ES"/>
        </w:rPr>
        <w:t>ca</w:t>
      </w:r>
      <w:r w:rsidRPr="00185809">
        <w:rPr>
          <w:lang w:val="es-ES"/>
        </w:rPr>
        <w:t xml:space="preserve">, el mismo </w:t>
      </w:r>
      <w:r w:rsidRPr="00185809">
        <w:rPr>
          <w:i/>
          <w:iCs/>
          <w:lang w:val="es-ES"/>
        </w:rPr>
        <w:t>resuelve</w:t>
      </w:r>
      <w:r w:rsidRPr="00185809">
        <w:rPr>
          <w:lang w:val="es-ES"/>
        </w:rPr>
        <w:t xml:space="preserve"> establece que la administración notificante también debe informar a la BR de la fecha en que se reanudó el despliegue </w:t>
      </w:r>
      <w:r w:rsidR="000F4658">
        <w:rPr>
          <w:lang w:val="es-ES"/>
        </w:rPr>
        <w:t>d</w:t>
      </w:r>
      <w:r w:rsidRPr="00185809">
        <w:rPr>
          <w:lang w:val="es-ES"/>
        </w:rPr>
        <w:t xml:space="preserve">el número total de satélites. La BR publicará en su sitio web la información recibida en virtud del </w:t>
      </w:r>
      <w:r w:rsidRPr="00185809">
        <w:rPr>
          <w:i/>
          <w:iCs/>
          <w:lang w:val="es-ES"/>
        </w:rPr>
        <w:t xml:space="preserve">resuelve </w:t>
      </w:r>
      <w:r w:rsidRPr="00185809">
        <w:rPr>
          <w:lang w:val="es-ES"/>
        </w:rPr>
        <w:t>19.</w:t>
      </w:r>
    </w:p>
    <w:p w14:paraId="63523154" w14:textId="6F30992F" w:rsidR="00EE2511" w:rsidRPr="00185809" w:rsidRDefault="00EE2511" w:rsidP="00EE2511">
      <w:pPr>
        <w:rPr>
          <w:lang w:val="es-ES"/>
        </w:rPr>
      </w:pPr>
      <w:r w:rsidRPr="000F4658">
        <w:rPr>
          <w:highlight w:val="yellow"/>
          <w:lang w:val="es-ES"/>
        </w:rPr>
        <w:t>Al 30 de septiembre de 2022, la Oficina</w:t>
      </w:r>
      <w:r w:rsidRPr="00185809">
        <w:rPr>
          <w:lang w:val="es-ES"/>
        </w:rPr>
        <w:t xml:space="preserve"> no había recibido, y por ende no había publicado, ninguna información relacionada con el </w:t>
      </w:r>
      <w:r w:rsidRPr="00185809">
        <w:rPr>
          <w:i/>
          <w:iCs/>
          <w:lang w:val="es-ES"/>
        </w:rPr>
        <w:t xml:space="preserve">resuelve </w:t>
      </w:r>
      <w:r w:rsidRPr="00185809">
        <w:rPr>
          <w:lang w:val="es-ES"/>
        </w:rPr>
        <w:t xml:space="preserve">19 de la Resolución </w:t>
      </w:r>
      <w:r w:rsidRPr="00185809">
        <w:rPr>
          <w:b/>
          <w:lang w:val="es-ES"/>
        </w:rPr>
        <w:t>35 (CMR-19)</w:t>
      </w:r>
      <w:r w:rsidRPr="00185809">
        <w:rPr>
          <w:lang w:val="es-ES"/>
        </w:rPr>
        <w:t>. En el Anexo 2 al Informe del Director a la 91 RRB (</w:t>
      </w:r>
      <w:hyperlink r:id="rId14" w:history="1">
        <w:r w:rsidRPr="00185809">
          <w:rPr>
            <w:rStyle w:val="Hyperlink"/>
            <w:lang w:val="es-ES"/>
          </w:rPr>
          <w:t>documento RRB22-3/5Add2</w:t>
        </w:r>
      </w:hyperlink>
      <w:r w:rsidRPr="00185809">
        <w:rPr>
          <w:lang w:val="es-ES"/>
        </w:rPr>
        <w:t xml:space="preserve">) se enumera los veintiún sistemas no OSG a los que se aplica la Resolución </w:t>
      </w:r>
      <w:r w:rsidRPr="00185809">
        <w:rPr>
          <w:b/>
          <w:bCs/>
          <w:lang w:val="es-ES"/>
        </w:rPr>
        <w:t>35 (CMR-19)</w:t>
      </w:r>
      <w:r w:rsidRPr="00185809">
        <w:rPr>
          <w:lang w:val="es-ES"/>
        </w:rPr>
        <w:t>. De ellos, cuatro sistemas se han implementado por completo (</w:t>
      </w:r>
      <w:r>
        <w:rPr>
          <w:lang w:val="es-ES"/>
        </w:rPr>
        <w:t>etapa</w:t>
      </w:r>
      <w:r w:rsidRPr="00185809">
        <w:rPr>
          <w:lang w:val="es-ES"/>
        </w:rPr>
        <w:t xml:space="preserve"> </w:t>
      </w:r>
      <w:r w:rsidR="00725384">
        <w:rPr>
          <w:lang w:val="es-ES"/>
        </w:rPr>
        <w:t>«</w:t>
      </w:r>
      <w:r w:rsidRPr="00185809">
        <w:rPr>
          <w:lang w:val="es-ES"/>
        </w:rPr>
        <w:t>M3</w:t>
      </w:r>
      <w:r w:rsidR="00725384">
        <w:rPr>
          <w:lang w:val="es-ES"/>
        </w:rPr>
        <w:t>»</w:t>
      </w:r>
      <w:r w:rsidRPr="00185809">
        <w:rPr>
          <w:lang w:val="es-ES"/>
        </w:rPr>
        <w:t xml:space="preserve"> completad</w:t>
      </w:r>
      <w:r>
        <w:rPr>
          <w:lang w:val="es-ES"/>
        </w:rPr>
        <w:t>a</w:t>
      </w:r>
      <w:r w:rsidRPr="00185809">
        <w:rPr>
          <w:lang w:val="es-ES"/>
        </w:rPr>
        <w:t>), con fechas de puesta en servicio en los años 1994, 1997, 2010 y 2018. Por lo tanto, s</w:t>
      </w:r>
      <w:r w:rsidR="00725384">
        <w:rPr>
          <w:lang w:val="es-ES"/>
        </w:rPr>
        <w:t>ó</w:t>
      </w:r>
      <w:r w:rsidRPr="00185809">
        <w:rPr>
          <w:lang w:val="es-ES"/>
        </w:rPr>
        <w:t xml:space="preserve">lo hay cuatro sistemas a los que se aplica el </w:t>
      </w:r>
      <w:r w:rsidRPr="00185809">
        <w:rPr>
          <w:i/>
          <w:iCs/>
          <w:lang w:val="es-ES"/>
        </w:rPr>
        <w:t xml:space="preserve">resuelve </w:t>
      </w:r>
      <w:r w:rsidRPr="00185809">
        <w:rPr>
          <w:lang w:val="es-ES"/>
        </w:rPr>
        <w:t xml:space="preserve">19 de la Resolución </w:t>
      </w:r>
      <w:r w:rsidRPr="00185809">
        <w:rPr>
          <w:b/>
          <w:bCs/>
          <w:lang w:val="es-ES"/>
        </w:rPr>
        <w:t>35 (CMR-19)</w:t>
      </w:r>
      <w:r w:rsidRPr="00185809">
        <w:rPr>
          <w:lang w:val="es-ES"/>
        </w:rPr>
        <w:t xml:space="preserve">. Dado el reducido tamaño de la muestra, no sorprende la falta de informes en virtud del </w:t>
      </w:r>
      <w:r w:rsidRPr="00185809">
        <w:rPr>
          <w:i/>
          <w:iCs/>
          <w:lang w:val="es-ES"/>
        </w:rPr>
        <w:t xml:space="preserve">resuelve </w:t>
      </w:r>
      <w:r w:rsidRPr="00185809">
        <w:rPr>
          <w:lang w:val="es-ES"/>
        </w:rPr>
        <w:t xml:space="preserve">19 de la Resolución </w:t>
      </w:r>
      <w:r w:rsidRPr="00185809">
        <w:rPr>
          <w:b/>
          <w:bCs/>
          <w:lang w:val="es-ES"/>
        </w:rPr>
        <w:t>35 (CMR-19)</w:t>
      </w:r>
      <w:r w:rsidRPr="00185809">
        <w:rPr>
          <w:lang w:val="es-ES"/>
        </w:rPr>
        <w:t xml:space="preserve">. Esto indica que el </w:t>
      </w:r>
      <w:r w:rsidRPr="00185809">
        <w:rPr>
          <w:i/>
          <w:lang w:val="es-ES"/>
        </w:rPr>
        <w:t xml:space="preserve">resuelve </w:t>
      </w:r>
      <w:r w:rsidRPr="00185809">
        <w:rPr>
          <w:lang w:val="es-ES"/>
        </w:rPr>
        <w:t xml:space="preserve">19 de la Resolución </w:t>
      </w:r>
      <w:r w:rsidRPr="00185809">
        <w:rPr>
          <w:b/>
          <w:lang w:val="es-ES"/>
        </w:rPr>
        <w:t>35 (CMR-19)</w:t>
      </w:r>
      <w:r w:rsidRPr="00185809">
        <w:rPr>
          <w:lang w:val="es-ES"/>
        </w:rPr>
        <w:t xml:space="preserve"> no han estado en vigor durante el tiempo suficiente para generar datos de suficiente cantidad y calidad para que la Oficina pueda extraer conclusiones y fundamentar una decisión de la CMR-23 con respecto a cualquier procedimiento </w:t>
      </w:r>
      <w:r>
        <w:rPr>
          <w:lang w:val="es-ES"/>
        </w:rPr>
        <w:t xml:space="preserve">posterior a cada etapa </w:t>
      </w:r>
      <w:r w:rsidRPr="00185809">
        <w:rPr>
          <w:lang w:val="es-ES"/>
        </w:rPr>
        <w:t>o mejora en el procedimiento de suspensión.</w:t>
      </w:r>
    </w:p>
    <w:p w14:paraId="736E3510" w14:textId="67985583" w:rsidR="00EE2511" w:rsidRPr="00185809" w:rsidRDefault="00EE2511" w:rsidP="00EE2511">
      <w:pPr>
        <w:rPr>
          <w:lang w:val="es-ES"/>
        </w:rPr>
      </w:pPr>
      <w:r w:rsidRPr="00185809">
        <w:rPr>
          <w:lang w:val="es-ES"/>
        </w:rPr>
        <w:t xml:space="preserve">En este contexto, estas administraciones de la CITEL consideran que no hay ninguna deficiencia en el </w:t>
      </w:r>
      <w:r w:rsidRPr="00185809">
        <w:rPr>
          <w:i/>
          <w:iCs/>
          <w:lang w:val="es-ES"/>
        </w:rPr>
        <w:t>resuelve</w:t>
      </w:r>
      <w:r w:rsidRPr="00185809">
        <w:rPr>
          <w:lang w:val="es-ES"/>
        </w:rPr>
        <w:t xml:space="preserve"> 19 de la Resolución </w:t>
      </w:r>
      <w:r w:rsidRPr="00185809">
        <w:rPr>
          <w:b/>
          <w:lang w:val="es-ES"/>
        </w:rPr>
        <w:t>35 (CMR-19)</w:t>
      </w:r>
      <w:r w:rsidRPr="00185809">
        <w:rPr>
          <w:lang w:val="es-ES"/>
        </w:rPr>
        <w:t xml:space="preserve">, ni necesidad alguna de reemplazarlo con un procedimiento </w:t>
      </w:r>
      <w:r>
        <w:rPr>
          <w:lang w:val="es-ES"/>
        </w:rPr>
        <w:t>posterior a cada etapa</w:t>
      </w:r>
      <w:r w:rsidRPr="00185809">
        <w:rPr>
          <w:lang w:val="es-ES"/>
        </w:rPr>
        <w:t xml:space="preserve">. Proponen que no se justifica ningún cambio en la CMR-23, y consideran que se debe permitir que continúe la recopilación de información conforme al </w:t>
      </w:r>
      <w:r w:rsidRPr="00185809">
        <w:rPr>
          <w:i/>
          <w:iCs/>
          <w:lang w:val="es-ES"/>
        </w:rPr>
        <w:t>resuelve</w:t>
      </w:r>
      <w:r w:rsidR="00725384">
        <w:rPr>
          <w:lang w:val="es-ES"/>
        </w:rPr>
        <w:t> </w:t>
      </w:r>
      <w:r w:rsidRPr="00185809">
        <w:rPr>
          <w:lang w:val="es-ES"/>
        </w:rPr>
        <w:t xml:space="preserve">19 hasta que se puedan reunir los datos operativos </w:t>
      </w:r>
      <w:r w:rsidR="00725384">
        <w:rPr>
          <w:lang w:val="es-ES"/>
        </w:rPr>
        <w:t xml:space="preserve">y </w:t>
      </w:r>
      <w:r w:rsidRPr="00185809">
        <w:rPr>
          <w:lang w:val="es-ES"/>
        </w:rPr>
        <w:t xml:space="preserve">se acuerde la necesidad de revisitar la cuestión de un posible mecanismo </w:t>
      </w:r>
      <w:r>
        <w:rPr>
          <w:lang w:val="es-ES"/>
        </w:rPr>
        <w:t xml:space="preserve">posterior a cada etapa </w:t>
      </w:r>
      <w:r w:rsidRPr="00185809">
        <w:rPr>
          <w:lang w:val="es-ES"/>
        </w:rPr>
        <w:t xml:space="preserve">para tratar las reducciones a mediano y largo plazo en el número de estaciones espaciales en los sistemas no OSG que han completado el proceso </w:t>
      </w:r>
      <w:r>
        <w:rPr>
          <w:lang w:val="es-ES"/>
        </w:rPr>
        <w:t xml:space="preserve">por etapas </w:t>
      </w:r>
      <w:r w:rsidRPr="00185809">
        <w:rPr>
          <w:lang w:val="es-ES"/>
        </w:rPr>
        <w:t xml:space="preserve">en virtud de la Resolución </w:t>
      </w:r>
      <w:r w:rsidRPr="00185809">
        <w:rPr>
          <w:b/>
          <w:bCs/>
          <w:lang w:val="es-ES"/>
        </w:rPr>
        <w:t>35 (WRC- 19)</w:t>
      </w:r>
      <w:r w:rsidRPr="002470B7">
        <w:rPr>
          <w:lang w:val="es-ES"/>
        </w:rPr>
        <w:t>.</w:t>
      </w:r>
    </w:p>
    <w:p w14:paraId="65F69EFF" w14:textId="77777777" w:rsidR="00EE2511" w:rsidRPr="002470B7" w:rsidRDefault="00EE2511" w:rsidP="002470B7">
      <w:pPr>
        <w:pStyle w:val="Headingb"/>
      </w:pPr>
      <w:r w:rsidRPr="002470B7">
        <w:t>Propuestas</w:t>
      </w:r>
    </w:p>
    <w:p w14:paraId="6F086F49" w14:textId="77777777" w:rsidR="00363A65" w:rsidRPr="00EE2511" w:rsidRDefault="00363A65" w:rsidP="002C1A52">
      <w:pPr>
        <w:rPr>
          <w:b/>
          <w:bCs/>
        </w:rPr>
      </w:pPr>
    </w:p>
    <w:p w14:paraId="31A23A22" w14:textId="77777777"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379CF282" w14:textId="77777777" w:rsidR="00C061C4" w:rsidRDefault="000F4658">
      <w:pPr>
        <w:pStyle w:val="Proposal"/>
      </w:pPr>
      <w:r>
        <w:rPr>
          <w:u w:val="single"/>
        </w:rPr>
        <w:lastRenderedPageBreak/>
        <w:t>NOC</w:t>
      </w:r>
      <w:r>
        <w:tab/>
        <w:t>IAP/44A22A2/1</w:t>
      </w:r>
      <w:r>
        <w:rPr>
          <w:vanish/>
          <w:color w:val="7F7F7F" w:themeColor="text1" w:themeTint="80"/>
          <w:vertAlign w:val="superscript"/>
        </w:rPr>
        <w:t>#1990</w:t>
      </w:r>
    </w:p>
    <w:p w14:paraId="1B103BFF" w14:textId="77777777" w:rsidR="000F4658" w:rsidRPr="00FB751F" w:rsidRDefault="000F4658" w:rsidP="00F90D41">
      <w:pPr>
        <w:pStyle w:val="Volumetitle"/>
      </w:pPr>
      <w:r w:rsidRPr="00FB751F">
        <w:t>ARTÍCULOS</w:t>
      </w:r>
    </w:p>
    <w:p w14:paraId="58DA6626" w14:textId="77777777" w:rsidR="00C061C4" w:rsidRDefault="00C061C4">
      <w:pPr>
        <w:pStyle w:val="Reasons"/>
      </w:pPr>
    </w:p>
    <w:p w14:paraId="4D8DA8B4" w14:textId="77777777" w:rsidR="00C061C4" w:rsidRDefault="000F4658">
      <w:pPr>
        <w:pStyle w:val="Proposal"/>
      </w:pPr>
      <w:r>
        <w:rPr>
          <w:u w:val="single"/>
        </w:rPr>
        <w:t>NOC</w:t>
      </w:r>
      <w:r>
        <w:tab/>
        <w:t>IAP/44A22A2/2</w:t>
      </w:r>
      <w:r>
        <w:rPr>
          <w:vanish/>
          <w:color w:val="7F7F7F" w:themeColor="text1" w:themeTint="80"/>
          <w:vertAlign w:val="superscript"/>
        </w:rPr>
        <w:t>#1991</w:t>
      </w:r>
    </w:p>
    <w:p w14:paraId="4E8DE69E" w14:textId="77777777" w:rsidR="000F4658" w:rsidRPr="00F90D41" w:rsidRDefault="000F4658" w:rsidP="00F90D41">
      <w:pPr>
        <w:pStyle w:val="Volumetitle"/>
      </w:pPr>
      <w:r w:rsidRPr="00F90D41">
        <w:t>APÉNDICES</w:t>
      </w:r>
    </w:p>
    <w:p w14:paraId="34D52473" w14:textId="77777777" w:rsidR="00C061C4" w:rsidRDefault="00C061C4">
      <w:pPr>
        <w:pStyle w:val="Reasons"/>
      </w:pPr>
    </w:p>
    <w:p w14:paraId="6FE41C94" w14:textId="77777777" w:rsidR="00C061C4" w:rsidRDefault="000F4658">
      <w:pPr>
        <w:pStyle w:val="Proposal"/>
      </w:pPr>
      <w:r>
        <w:rPr>
          <w:u w:val="single"/>
        </w:rPr>
        <w:t>NOC</w:t>
      </w:r>
      <w:r>
        <w:tab/>
        <w:t>IAP/44A22A2/3</w:t>
      </w:r>
      <w:r>
        <w:rPr>
          <w:vanish/>
          <w:color w:val="7F7F7F" w:themeColor="text1" w:themeTint="80"/>
          <w:vertAlign w:val="superscript"/>
        </w:rPr>
        <w:t>#1992</w:t>
      </w:r>
    </w:p>
    <w:p w14:paraId="1D293A93" w14:textId="77777777" w:rsidR="000F4658" w:rsidRPr="00F90D41" w:rsidRDefault="000F4658" w:rsidP="00F90D41">
      <w:pPr>
        <w:pStyle w:val="Volumetitle"/>
      </w:pPr>
      <w:r w:rsidRPr="00F90D41">
        <w:t>RESOLUCIONES</w:t>
      </w:r>
    </w:p>
    <w:p w14:paraId="160564E9" w14:textId="77777777" w:rsidR="00EE2511" w:rsidRDefault="00EE2511" w:rsidP="00EE2511">
      <w:pPr>
        <w:pStyle w:val="Reasons"/>
      </w:pPr>
      <w:r>
        <w:rPr>
          <w:b/>
        </w:rPr>
        <w:t>Motivos:</w:t>
      </w:r>
      <w:r>
        <w:tab/>
      </w:r>
      <w:r w:rsidRPr="00185809">
        <w:rPr>
          <w:lang w:val="es-ES"/>
        </w:rPr>
        <w:t xml:space="preserve">Aún no se ha demostrado la urgencia de un procedimiento </w:t>
      </w:r>
      <w:r>
        <w:rPr>
          <w:lang w:val="es-ES"/>
        </w:rPr>
        <w:t>posterior a cada etapa</w:t>
      </w:r>
      <w:r w:rsidRPr="00185809">
        <w:rPr>
          <w:lang w:val="es-ES"/>
        </w:rPr>
        <w:t xml:space="preserve">. Dado que no se han proporcionado datos operativos a la Oficina en virtud de del </w:t>
      </w:r>
      <w:r w:rsidRPr="00185809">
        <w:rPr>
          <w:i/>
          <w:iCs/>
          <w:lang w:val="es-ES"/>
        </w:rPr>
        <w:t xml:space="preserve">resuelve </w:t>
      </w:r>
      <w:r w:rsidRPr="00185809">
        <w:rPr>
          <w:lang w:val="es-ES"/>
        </w:rPr>
        <w:t xml:space="preserve">19 de la Resolución </w:t>
      </w:r>
      <w:r w:rsidRPr="00185809">
        <w:rPr>
          <w:b/>
          <w:lang w:val="es-ES"/>
        </w:rPr>
        <w:t>35 (CMR-19)</w:t>
      </w:r>
      <w:r w:rsidRPr="00185809">
        <w:rPr>
          <w:lang w:val="es-ES"/>
        </w:rPr>
        <w:t xml:space="preserve">, no hay necesidad de reemplazarlo con un procedimiento posterior </w:t>
      </w:r>
      <w:r>
        <w:rPr>
          <w:lang w:val="es-ES"/>
        </w:rPr>
        <w:t xml:space="preserve">a la etapa </w:t>
      </w:r>
      <w:r w:rsidRPr="00185809">
        <w:rPr>
          <w:lang w:val="es-ES"/>
        </w:rPr>
        <w:t xml:space="preserve">y es prematuro adoptar disposiciones reglamentarias para abordar la reducción a mediano o largo plazo </w:t>
      </w:r>
      <w:r>
        <w:rPr>
          <w:lang w:val="es-ES"/>
        </w:rPr>
        <w:t xml:space="preserve">después de cada etapa </w:t>
      </w:r>
      <w:r w:rsidRPr="00185809">
        <w:rPr>
          <w:lang w:val="es-ES"/>
        </w:rPr>
        <w:t>del número de satélites desplegados. Sin embargo,</w:t>
      </w:r>
      <w:r w:rsidRPr="00725384">
        <w:rPr>
          <w:lang w:val="es-ES"/>
        </w:rPr>
        <w:t xml:space="preserve"> el </w:t>
      </w:r>
      <w:r w:rsidRPr="00185809">
        <w:rPr>
          <w:u w:val="single"/>
          <w:lang w:val="es-ES"/>
        </w:rPr>
        <w:t>NOC</w:t>
      </w:r>
      <w:r w:rsidRPr="00185809">
        <w:rPr>
          <w:lang w:val="es-ES"/>
        </w:rPr>
        <w:t xml:space="preserve"> sobre el tema B no pretende negar la importancia de abordar en el futuro la cuestión de la variación del número de satélites en sistemas no GSO durante su vida operativa.</w:t>
      </w:r>
    </w:p>
    <w:p w14:paraId="51B8E6F4" w14:textId="1A7CE8CB" w:rsidR="00C061C4" w:rsidRPr="00EE2511" w:rsidRDefault="00EE2511" w:rsidP="00EE2511">
      <w:pPr>
        <w:jc w:val="center"/>
        <w:rPr>
          <w:lang w:val="fr-FR"/>
        </w:rPr>
      </w:pPr>
      <w:r w:rsidRPr="00406B8B">
        <w:rPr>
          <w:lang w:val="fr-FR"/>
        </w:rPr>
        <w:t>______________</w:t>
      </w:r>
    </w:p>
    <w:sectPr w:rsidR="00C061C4" w:rsidRPr="00EE2511">
      <w:headerReference w:type="default" r:id="rId15"/>
      <w:footerReference w:type="even" r:id="rId16"/>
      <w:footerReference w:type="default" r:id="rId17"/>
      <w:footerReference w:type="first" r:id="rId18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DE443" w14:textId="77777777" w:rsidR="00666B37" w:rsidRDefault="00666B37">
      <w:r>
        <w:separator/>
      </w:r>
    </w:p>
  </w:endnote>
  <w:endnote w:type="continuationSeparator" w:id="0">
    <w:p w14:paraId="50B09CCF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0ED4B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9BFBC9" w14:textId="7B63FCDF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25384">
      <w:rPr>
        <w:noProof/>
      </w:rPr>
      <w:t>20.10.23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D477" w14:textId="3FA05FF8" w:rsidR="0077084A" w:rsidRDefault="0077084A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51D8E">
      <w:rPr>
        <w:lang w:val="en-US"/>
      </w:rPr>
      <w:t>P:\ESP\ITU-R\CONF-R\CMR23\000\044ADD22ADD02S.docx</w:t>
    </w:r>
    <w:r>
      <w:fldChar w:fldCharType="end"/>
    </w:r>
    <w:r w:rsidR="002470B7">
      <w:t xml:space="preserve"> (529462)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2F9" w14:textId="77C26E8B" w:rsidR="0077084A" w:rsidRPr="002470B7" w:rsidRDefault="002470B7" w:rsidP="002470B7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51D8E">
      <w:rPr>
        <w:lang w:val="en-US"/>
      </w:rPr>
      <w:t>P:\ESP\ITU-R\CONF-R\CMR23\000\044ADD22ADD02S.docx</w:t>
    </w:r>
    <w:r>
      <w:fldChar w:fldCharType="end"/>
    </w:r>
    <w:r>
      <w:t xml:space="preserve"> (529462)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00FF8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57A2D792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C4BB5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29128C9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44(Add.22)(Add.2)-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460567283">
    <w:abstractNumId w:val="8"/>
  </w:num>
  <w:num w:numId="2" w16cid:durableId="50791179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69687478">
    <w:abstractNumId w:val="9"/>
  </w:num>
  <w:num w:numId="4" w16cid:durableId="1772772864">
    <w:abstractNumId w:val="7"/>
  </w:num>
  <w:num w:numId="5" w16cid:durableId="201552082">
    <w:abstractNumId w:val="6"/>
  </w:num>
  <w:num w:numId="6" w16cid:durableId="1895575894">
    <w:abstractNumId w:val="5"/>
  </w:num>
  <w:num w:numId="7" w16cid:durableId="1584989366">
    <w:abstractNumId w:val="4"/>
  </w:num>
  <w:num w:numId="8" w16cid:durableId="1103889156">
    <w:abstractNumId w:val="3"/>
  </w:num>
  <w:num w:numId="9" w16cid:durableId="108476576">
    <w:abstractNumId w:val="2"/>
  </w:num>
  <w:num w:numId="10" w16cid:durableId="954022759">
    <w:abstractNumId w:val="1"/>
  </w:num>
  <w:num w:numId="11" w16cid:durableId="944919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0F4658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470B7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25384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1D8E"/>
    <w:rsid w:val="00B52D55"/>
    <w:rsid w:val="00B8288C"/>
    <w:rsid w:val="00B86034"/>
    <w:rsid w:val="00BE2E80"/>
    <w:rsid w:val="00BE5EDD"/>
    <w:rsid w:val="00BE6A1F"/>
    <w:rsid w:val="00C061C4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EE2511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9994649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2470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R22-RRB22.3-C-0005/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R23-WRC23-C-0044!A22-A2!MSW-S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2A65A-CF0B-4A25-A821-4C96F36280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963477-5130-418A-8FFE-70D2CE18D90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17F61AF-64C9-405A-8193-3E2C45D27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9FE8EE-CE36-442C-8F1A-4D193A5C7A08}">
  <ds:schemaRefs>
    <ds:schemaRef ds:uri="http://purl.org/dc/elements/1.1/"/>
    <ds:schemaRef ds:uri="http://schemas.microsoft.com/office/2006/metadata/properties"/>
    <ds:schemaRef ds:uri="32a1a8c5-2265-4ebc-b7a0-2071e2c5c9bb"/>
    <ds:schemaRef ds:uri="http://purl.org/dc/dcmitype/"/>
    <ds:schemaRef ds:uri="996b2e75-67fd-4955-a3b0-5ab9934cb50b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844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R23-WRC23-C-0044!A22-A2!MSW-S</vt:lpstr>
    </vt:vector>
  </TitlesOfParts>
  <Manager>Secretaría General - Pool</Manager>
  <Company>Unión Internacional de Telecomunicaciones (UIT)</Company>
  <LinksUpToDate>false</LinksUpToDate>
  <CharactersWithSpaces>5364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R23-WRC23-C-0044!A22-A2!MSW-S</dc:title>
  <dc:subject>Conferencia Mundial de Radiocomunicaciones - 2019</dc:subject>
  <dc:creator>Documents Proposals Manager (DPM)</dc:creator>
  <cp:keywords>DPM_v2023.8.1.1_prod</cp:keywords>
  <dc:description/>
  <cp:lastModifiedBy>Spanish</cp:lastModifiedBy>
  <cp:revision>5</cp:revision>
  <cp:lastPrinted>2003-02-19T20:20:00Z</cp:lastPrinted>
  <dcterms:created xsi:type="dcterms:W3CDTF">2023-10-20T14:50:00Z</dcterms:created>
  <dcterms:modified xsi:type="dcterms:W3CDTF">2023-10-23T07:19:00Z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