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AF515C" w14:paraId="08F3BDEF" w14:textId="77777777" w:rsidTr="00F320AA">
        <w:trPr>
          <w:cantSplit/>
        </w:trPr>
        <w:tc>
          <w:tcPr>
            <w:tcW w:w="1418" w:type="dxa"/>
            <w:vAlign w:val="center"/>
          </w:tcPr>
          <w:p w14:paraId="6FEE2264" w14:textId="77777777" w:rsidR="00F320AA" w:rsidRPr="00AF515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AF515C">
              <w:drawing>
                <wp:inline distT="0" distB="0" distL="0" distR="0" wp14:anchorId="15CEBC6E" wp14:editId="371F979C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DAA3963" w14:textId="77777777" w:rsidR="00F320AA" w:rsidRPr="00AF515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F515C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AF515C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F515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668438A" w14:textId="77777777" w:rsidR="00F320AA" w:rsidRPr="00AF515C" w:rsidRDefault="00EB0812" w:rsidP="00F320AA">
            <w:pPr>
              <w:spacing w:before="0" w:line="240" w:lineRule="atLeast"/>
            </w:pPr>
            <w:r w:rsidRPr="00AF515C">
              <w:drawing>
                <wp:inline distT="0" distB="0" distL="0" distR="0" wp14:anchorId="520818BB" wp14:editId="1BA9AEB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F515C" w14:paraId="4DE7F50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9CA212A" w14:textId="77777777" w:rsidR="00A066F1" w:rsidRPr="00AF515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A670999" w14:textId="77777777" w:rsidR="00A066F1" w:rsidRPr="00AF515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F515C" w14:paraId="6D6C1A7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6B08541" w14:textId="77777777" w:rsidR="00A066F1" w:rsidRPr="00AF515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CF4FBC9" w14:textId="77777777" w:rsidR="00A066F1" w:rsidRPr="00AF515C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F515C" w14:paraId="5468AE7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73F6BBE" w14:textId="77777777" w:rsidR="00A066F1" w:rsidRPr="00AF515C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AF515C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7153A42" w14:textId="77777777" w:rsidR="00A066F1" w:rsidRPr="00AF515C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F515C">
              <w:rPr>
                <w:rFonts w:ascii="Verdana" w:hAnsi="Verdana"/>
                <w:b/>
                <w:sz w:val="20"/>
              </w:rPr>
              <w:t>Addendum 2 to</w:t>
            </w:r>
            <w:r w:rsidRPr="00AF515C">
              <w:rPr>
                <w:rFonts w:ascii="Verdana" w:hAnsi="Verdana"/>
                <w:b/>
                <w:sz w:val="20"/>
              </w:rPr>
              <w:br/>
              <w:t>Document 44(Add.22)</w:t>
            </w:r>
            <w:r w:rsidR="00A066F1" w:rsidRPr="00AF515C">
              <w:rPr>
                <w:rFonts w:ascii="Verdana" w:hAnsi="Verdana"/>
                <w:b/>
                <w:sz w:val="20"/>
              </w:rPr>
              <w:t>-</w:t>
            </w:r>
            <w:r w:rsidR="005E10C9" w:rsidRPr="00AF515C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F515C" w14:paraId="3830287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EFA3026" w14:textId="77777777" w:rsidR="00A066F1" w:rsidRPr="00AF515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6F15F3A0" w14:textId="77777777" w:rsidR="00A066F1" w:rsidRPr="00AF515C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F515C">
              <w:rPr>
                <w:rFonts w:ascii="Verdana" w:hAnsi="Verdana"/>
                <w:b/>
                <w:sz w:val="20"/>
              </w:rPr>
              <w:t>13 October 2023</w:t>
            </w:r>
          </w:p>
        </w:tc>
      </w:tr>
      <w:tr w:rsidR="00A066F1" w:rsidRPr="00AF515C" w14:paraId="11B288D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A8CB033" w14:textId="77777777" w:rsidR="00A066F1" w:rsidRPr="00AF515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25067FF" w14:textId="77777777" w:rsidR="00A066F1" w:rsidRPr="00AF515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F515C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AF515C" w14:paraId="2F1F121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937720D" w14:textId="77777777" w:rsidR="00A066F1" w:rsidRPr="00AF515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F515C" w14:paraId="1E1B433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60522F7" w14:textId="77777777" w:rsidR="00E55816" w:rsidRPr="00AF515C" w:rsidRDefault="00884D60" w:rsidP="00E55816">
            <w:pPr>
              <w:pStyle w:val="Source"/>
            </w:pPr>
            <w:r w:rsidRPr="00AF515C">
              <w:t>Member States of the Inter-American Telecommunication Commission (CITEL)</w:t>
            </w:r>
          </w:p>
        </w:tc>
      </w:tr>
      <w:tr w:rsidR="00E55816" w:rsidRPr="00AF515C" w14:paraId="25CA159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6ED39AB" w14:textId="77777777" w:rsidR="00E55816" w:rsidRPr="00AF515C" w:rsidRDefault="007D5320" w:rsidP="00E55816">
            <w:pPr>
              <w:pStyle w:val="Title1"/>
            </w:pPr>
            <w:r w:rsidRPr="00AF515C">
              <w:t>PROPOSALS FOR THE WORK OF THE CONFERENCE</w:t>
            </w:r>
          </w:p>
        </w:tc>
      </w:tr>
      <w:tr w:rsidR="00E55816" w:rsidRPr="00AF515C" w14:paraId="168AD11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4A9F0E1" w14:textId="77777777" w:rsidR="00E55816" w:rsidRPr="00AF515C" w:rsidRDefault="00E55816" w:rsidP="00E55816">
            <w:pPr>
              <w:pStyle w:val="Title2"/>
            </w:pPr>
          </w:p>
        </w:tc>
      </w:tr>
      <w:tr w:rsidR="00A538A6" w:rsidRPr="00AF515C" w14:paraId="760C6D7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68421AA" w14:textId="77777777" w:rsidR="00A538A6" w:rsidRPr="00AF515C" w:rsidRDefault="004B13CB" w:rsidP="004B13CB">
            <w:pPr>
              <w:pStyle w:val="Agendaitem"/>
              <w:rPr>
                <w:lang w:val="en-GB"/>
              </w:rPr>
            </w:pPr>
            <w:r w:rsidRPr="00AF515C">
              <w:rPr>
                <w:lang w:val="en-GB"/>
              </w:rPr>
              <w:t>Agenda item 7(B)</w:t>
            </w:r>
          </w:p>
        </w:tc>
      </w:tr>
    </w:tbl>
    <w:bookmarkEnd w:id="4"/>
    <w:bookmarkEnd w:id="5"/>
    <w:p w14:paraId="55CF7D76" w14:textId="77777777" w:rsidR="00187BD9" w:rsidRPr="00AF515C" w:rsidRDefault="00EB22AC" w:rsidP="007341B9">
      <w:r w:rsidRPr="00AF515C">
        <w:t>7</w:t>
      </w:r>
      <w:r w:rsidRPr="00AF515C">
        <w:tab/>
        <w:t xml:space="preserve">to consider </w:t>
      </w:r>
      <w:proofErr w:type="gramStart"/>
      <w:r w:rsidRPr="00AF515C">
        <w:t>possible changes</w:t>
      </w:r>
      <w:proofErr w:type="gramEnd"/>
      <w:r w:rsidRPr="00AF515C">
        <w:t>, in response to Resolution 86 (Rev. Marrakesh, 2002) of the Plenipotentiary Conference, on advance publication, coordination, notification and recording procedures for frequency assignments pertaining to satellite networks, in accordance with Resolution </w:t>
      </w:r>
      <w:r w:rsidRPr="00AF515C">
        <w:rPr>
          <w:b/>
        </w:rPr>
        <w:t>86</w:t>
      </w:r>
      <w:r w:rsidRPr="00AF515C">
        <w:t xml:space="preserve"> </w:t>
      </w:r>
      <w:r w:rsidRPr="00AF515C">
        <w:rPr>
          <w:b/>
        </w:rPr>
        <w:t>(Rev.WRC</w:t>
      </w:r>
      <w:r w:rsidRPr="00AF515C">
        <w:rPr>
          <w:b/>
        </w:rPr>
        <w:noBreakHyphen/>
        <w:t>07)</w:t>
      </w:r>
      <w:r w:rsidRPr="00AF515C">
        <w:rPr>
          <w:bCs/>
        </w:rPr>
        <w:t>, in order to facilitate the rational, efficient and economical use of radio frequencies and any associated orbits, including the geostationary-satellite orbit;</w:t>
      </w:r>
    </w:p>
    <w:p w14:paraId="140D09FC" w14:textId="77777777" w:rsidR="00187BD9" w:rsidRPr="00AF515C" w:rsidRDefault="00EB22AC" w:rsidP="009A5BC8">
      <w:r w:rsidRPr="00AF515C">
        <w:t xml:space="preserve">7(B) </w:t>
      </w:r>
      <w:r w:rsidRPr="00AF515C">
        <w:tab/>
        <w:t>Topic B - Non-GSO bringing into use post-milestone procedure</w:t>
      </w:r>
    </w:p>
    <w:p w14:paraId="47156842" w14:textId="77777777" w:rsidR="0073407F" w:rsidRPr="00AF515C" w:rsidRDefault="0073407F" w:rsidP="0073407F">
      <w:pPr>
        <w:pStyle w:val="Headingb"/>
        <w:rPr>
          <w:b w:val="0"/>
          <w:lang w:val="en-GB"/>
        </w:rPr>
      </w:pPr>
      <w:r w:rsidRPr="00AF515C">
        <w:rPr>
          <w:lang w:val="en-GB"/>
        </w:rPr>
        <w:t>Background</w:t>
      </w:r>
    </w:p>
    <w:p w14:paraId="1B4D8DD6" w14:textId="77777777" w:rsidR="0073407F" w:rsidRPr="00AF515C" w:rsidRDefault="0073407F" w:rsidP="0073407F">
      <w:r w:rsidRPr="00AF515C">
        <w:t xml:space="preserve">WRC-19 approved Resolution </w:t>
      </w:r>
      <w:r w:rsidRPr="00AF515C">
        <w:rPr>
          <w:b/>
        </w:rPr>
        <w:t>35 (WRC-19)</w:t>
      </w:r>
      <w:r w:rsidRPr="00AF515C">
        <w:t xml:space="preserve">, “A milestone-based approach for the implementation of frequency assignments to space stations in a non-geostationary-satellite system in specific frequency bands and services.” </w:t>
      </w:r>
    </w:p>
    <w:p w14:paraId="04DB2D47" w14:textId="72778055" w:rsidR="0073407F" w:rsidRPr="00AF515C" w:rsidRDefault="0073407F" w:rsidP="0073407F">
      <w:r w:rsidRPr="00AF515C">
        <w:t xml:space="preserve">One aspect raised but not addressed in a regulatory sense in the Resolution relates to the case where a non-GSO system has completed the milestone process and subsequently experiences an intermediate- or long-term reduction of the number of satellites deployed. In this context, </w:t>
      </w:r>
      <w:r w:rsidR="007446A6" w:rsidRPr="00AF515C">
        <w:t>T</w:t>
      </w:r>
      <w:r w:rsidRPr="00AF515C">
        <w:t xml:space="preserve">opic B for WRC-23 agenda item 7 considers the possible adoption of a procedure to be followed by administrations and the Radiocommunication Bureau (BR) to apply in cases where a non-GSO system subject to the Resolution </w:t>
      </w:r>
      <w:r w:rsidRPr="00AF515C">
        <w:rPr>
          <w:b/>
          <w:bCs/>
        </w:rPr>
        <w:t>35 (WRC-19)</w:t>
      </w:r>
      <w:r w:rsidRPr="00AF515C">
        <w:t xml:space="preserve"> has completed the milestone procedure, but subsequently experiences a sustained reduction in the number of space stations deployed and capable of transmitting/receiving the assigned frequencies. </w:t>
      </w:r>
    </w:p>
    <w:p w14:paraId="1B4FA9D0" w14:textId="0535937D" w:rsidR="0073407F" w:rsidRPr="00AF515C" w:rsidRDefault="0073407F" w:rsidP="0073407F">
      <w:r w:rsidRPr="00AF515C">
        <w:t xml:space="preserve">WRC-19 included </w:t>
      </w:r>
      <w:r w:rsidRPr="00AF515C">
        <w:rPr>
          <w:i/>
        </w:rPr>
        <w:t xml:space="preserve">resolves </w:t>
      </w:r>
      <w:r w:rsidRPr="00AF515C">
        <w:t xml:space="preserve">19 in Resolution </w:t>
      </w:r>
      <w:r w:rsidRPr="00AF515C">
        <w:rPr>
          <w:b/>
          <w:bCs/>
        </w:rPr>
        <w:t>35 (WRC-19)</w:t>
      </w:r>
      <w:r w:rsidRPr="00AF515C">
        <w:t>, which requires the notifying administration to inform the BR “for information purposes only”</w:t>
      </w:r>
      <w:r w:rsidRPr="00AF515C">
        <w:rPr>
          <w:b/>
          <w:bCs/>
        </w:rPr>
        <w:t xml:space="preserve"> </w:t>
      </w:r>
      <w:r w:rsidRPr="00AF515C">
        <w:t xml:space="preserve">of the date a reduction threshold (95% of the notified number of space stations in the system, rounded down to the lower integer, minus one) was first ‘crossed’. (Reporting </w:t>
      </w:r>
      <w:proofErr w:type="gramStart"/>
      <w:r w:rsidRPr="00AF515C">
        <w:t>is required</w:t>
      </w:r>
      <w:proofErr w:type="gramEnd"/>
      <w:r w:rsidRPr="00AF515C">
        <w:t xml:space="preserve"> if the number remains below the threshold for six continuous months.) Further, if appropriate and applicable, the same </w:t>
      </w:r>
      <w:r w:rsidRPr="00AF515C">
        <w:rPr>
          <w:i/>
          <w:iCs/>
        </w:rPr>
        <w:t>resolves</w:t>
      </w:r>
      <w:r w:rsidRPr="00AF515C">
        <w:t xml:space="preserve"> states that the notifying administration should also inform the BR of the date on which the deployment of the total number of satellites </w:t>
      </w:r>
      <w:proofErr w:type="gramStart"/>
      <w:r w:rsidRPr="00AF515C">
        <w:t>was resumed</w:t>
      </w:r>
      <w:proofErr w:type="gramEnd"/>
      <w:r w:rsidRPr="00AF515C">
        <w:t xml:space="preserve">. The BR is to publish all information received under </w:t>
      </w:r>
      <w:r w:rsidRPr="00AF515C">
        <w:rPr>
          <w:i/>
          <w:iCs/>
        </w:rPr>
        <w:t xml:space="preserve">resolves </w:t>
      </w:r>
      <w:r w:rsidRPr="00AF515C">
        <w:t>19 on its website.</w:t>
      </w:r>
    </w:p>
    <w:p w14:paraId="56603A2E" w14:textId="187F80EA" w:rsidR="0073407F" w:rsidRPr="00AF515C" w:rsidRDefault="0073407F" w:rsidP="0073407F">
      <w:r w:rsidRPr="00AF515C">
        <w:lastRenderedPageBreak/>
        <w:t xml:space="preserve">As of 30 September 2022, the Bureau had not received, and therefore not published, any information specific to Resolution </w:t>
      </w:r>
      <w:r w:rsidRPr="00AF515C">
        <w:rPr>
          <w:b/>
          <w:bCs/>
        </w:rPr>
        <w:t>35 (WRC-19)</w:t>
      </w:r>
      <w:r w:rsidRPr="00AF515C">
        <w:t xml:space="preserve"> </w:t>
      </w:r>
      <w:r w:rsidRPr="00AF515C">
        <w:rPr>
          <w:i/>
          <w:iCs/>
        </w:rPr>
        <w:t>resolves</w:t>
      </w:r>
      <w:r w:rsidRPr="00AF515C">
        <w:t xml:space="preserve"> 19. Addendum 2 to the Director’s Report to the 91st RRB (</w:t>
      </w:r>
      <w:hyperlink r:id="rId14" w:history="1">
        <w:r w:rsidRPr="00AF515C">
          <w:rPr>
            <w:rStyle w:val="Hyperlink"/>
          </w:rPr>
          <w:t>Docume</w:t>
        </w:r>
        <w:r w:rsidRPr="00AF515C">
          <w:rPr>
            <w:rStyle w:val="Hyperlink"/>
          </w:rPr>
          <w:t>n</w:t>
        </w:r>
        <w:r w:rsidRPr="00AF515C">
          <w:rPr>
            <w:rStyle w:val="Hyperlink"/>
          </w:rPr>
          <w:t>t RRB22-3/5Add2</w:t>
        </w:r>
      </w:hyperlink>
      <w:r w:rsidRPr="00AF515C">
        <w:t xml:space="preserve">) lists the twenty-one non-GSO systems to which Resolution </w:t>
      </w:r>
      <w:r w:rsidRPr="00AF515C">
        <w:rPr>
          <w:b/>
          <w:bCs/>
        </w:rPr>
        <w:t>35 (WRC-19)</w:t>
      </w:r>
      <w:r w:rsidRPr="00AF515C">
        <w:t xml:space="preserve"> applies. Of those, four systems </w:t>
      </w:r>
      <w:proofErr w:type="gramStart"/>
      <w:r w:rsidRPr="00AF515C">
        <w:t>are fully-deployed</w:t>
      </w:r>
      <w:proofErr w:type="gramEnd"/>
      <w:r w:rsidRPr="00AF515C">
        <w:t xml:space="preserve"> (Milestone “M3” completed), with BIU dates of 1994, 1997, 2010, and 2018. Thus, there are only four systems to which Resolution </w:t>
      </w:r>
      <w:r w:rsidRPr="00AF515C">
        <w:rPr>
          <w:b/>
          <w:bCs/>
        </w:rPr>
        <w:t>35 (WRC-19)</w:t>
      </w:r>
      <w:r w:rsidRPr="00AF515C">
        <w:t xml:space="preserve"> </w:t>
      </w:r>
      <w:r w:rsidRPr="00AF515C">
        <w:rPr>
          <w:i/>
          <w:iCs/>
        </w:rPr>
        <w:t>resolves</w:t>
      </w:r>
      <w:r w:rsidRPr="00AF515C">
        <w:t xml:space="preserve"> 19 applies. Given this small sample size, it is not a surprise there have been no Resolution </w:t>
      </w:r>
      <w:r w:rsidRPr="00AF515C">
        <w:rPr>
          <w:b/>
          <w:bCs/>
        </w:rPr>
        <w:t>35 (WRC-19)</w:t>
      </w:r>
      <w:r w:rsidRPr="00AF515C">
        <w:t xml:space="preserve"> </w:t>
      </w:r>
      <w:r w:rsidRPr="00AF515C">
        <w:rPr>
          <w:i/>
          <w:iCs/>
        </w:rPr>
        <w:t>resolves</w:t>
      </w:r>
      <w:r w:rsidRPr="00AF515C">
        <w:t xml:space="preserve"> 19 reports. This indicates that </w:t>
      </w:r>
      <w:r w:rsidRPr="00AF515C">
        <w:rPr>
          <w:i/>
          <w:iCs/>
        </w:rPr>
        <w:t>resolves 19</w:t>
      </w:r>
      <w:r w:rsidRPr="00AF515C">
        <w:t xml:space="preserve"> of Resolution </w:t>
      </w:r>
      <w:r w:rsidRPr="00AF515C">
        <w:rPr>
          <w:b/>
          <w:bCs/>
        </w:rPr>
        <w:t>35 (WRC-19)</w:t>
      </w:r>
      <w:r w:rsidRPr="00AF515C">
        <w:t xml:space="preserve"> has not been in force long enough to generate a sufficient quantity and quality of data to the Bureau from which to draw conclusions and to support an informed decision by WRC-23 with respect to any post-milestone procedure or enhancement of the suspension procedure. </w:t>
      </w:r>
    </w:p>
    <w:p w14:paraId="0631513D" w14:textId="77777777" w:rsidR="0073407F" w:rsidRPr="00AF515C" w:rsidRDefault="0073407F" w:rsidP="0073407F">
      <w:r w:rsidRPr="00AF515C">
        <w:t xml:space="preserve">In this context, these CITEL administrations consider that there is no deficiency with Resolution </w:t>
      </w:r>
      <w:r w:rsidRPr="00AF515C">
        <w:rPr>
          <w:b/>
          <w:bCs/>
        </w:rPr>
        <w:t>35 (WRC-19)</w:t>
      </w:r>
      <w:r w:rsidRPr="00AF515C">
        <w:t xml:space="preserve"> </w:t>
      </w:r>
      <w:r w:rsidRPr="00AF515C">
        <w:rPr>
          <w:i/>
          <w:iCs/>
        </w:rPr>
        <w:t>resolves</w:t>
      </w:r>
      <w:r w:rsidRPr="00AF515C">
        <w:t xml:space="preserve"> 19 and no need to replace it with a post-milestone procedure</w:t>
      </w:r>
      <w:proofErr w:type="gramStart"/>
      <w:r w:rsidRPr="00AF515C">
        <w:t xml:space="preserve">.  </w:t>
      </w:r>
      <w:proofErr w:type="gramEnd"/>
      <w:r w:rsidRPr="00AF515C">
        <w:t xml:space="preserve">They propose that no change is warranted at WRC-23, and believes that the information-gathering under </w:t>
      </w:r>
      <w:r w:rsidRPr="00AF515C">
        <w:rPr>
          <w:i/>
          <w:iCs/>
        </w:rPr>
        <w:t xml:space="preserve">resolves </w:t>
      </w:r>
      <w:r w:rsidRPr="00AF515C">
        <w:t xml:space="preserve">19 should be allowed to continue until such time when sufficient and meaningful operational data are collected and there is an agreed need to revisit the question of a potential post-milestone mechanism to address intermediate- and long-term reductions in the number of space stations in non-GSO systems that have completed the milestone process under Resolution </w:t>
      </w:r>
      <w:r w:rsidRPr="00AF515C">
        <w:rPr>
          <w:b/>
          <w:bCs/>
        </w:rPr>
        <w:t>35 (WRC-19).</w:t>
      </w:r>
    </w:p>
    <w:p w14:paraId="2D063A99" w14:textId="77777777" w:rsidR="0073407F" w:rsidRPr="00AF515C" w:rsidRDefault="0073407F" w:rsidP="0073407F">
      <w:pPr>
        <w:pStyle w:val="Headingb"/>
        <w:rPr>
          <w:lang w:val="en-GB"/>
        </w:rPr>
      </w:pPr>
      <w:r w:rsidRPr="00AF515C">
        <w:rPr>
          <w:lang w:val="en-GB"/>
        </w:rPr>
        <w:t>Proposals</w:t>
      </w:r>
    </w:p>
    <w:p w14:paraId="5344D486" w14:textId="77777777" w:rsidR="00241FA2" w:rsidRPr="00AF515C" w:rsidRDefault="00241FA2" w:rsidP="00EB54B2"/>
    <w:p w14:paraId="1299F991" w14:textId="77777777" w:rsidR="00187BD9" w:rsidRPr="00AF515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515C">
        <w:br w:type="page"/>
      </w:r>
    </w:p>
    <w:p w14:paraId="3807DDD5" w14:textId="77777777" w:rsidR="00AA1BEF" w:rsidRPr="00AF515C" w:rsidRDefault="00EB22AC">
      <w:pPr>
        <w:pStyle w:val="Proposal"/>
      </w:pPr>
      <w:r w:rsidRPr="00AF515C">
        <w:rPr>
          <w:u w:val="single"/>
        </w:rPr>
        <w:lastRenderedPageBreak/>
        <w:t>NOC</w:t>
      </w:r>
      <w:r w:rsidRPr="00AF515C">
        <w:tab/>
        <w:t>IAP/44A22A2/1</w:t>
      </w:r>
      <w:r w:rsidRPr="00AF515C">
        <w:rPr>
          <w:vanish/>
          <w:color w:val="7F7F7F" w:themeColor="text1" w:themeTint="80"/>
          <w:vertAlign w:val="superscript"/>
        </w:rPr>
        <w:t>#1990</w:t>
      </w:r>
    </w:p>
    <w:p w14:paraId="20D60A06" w14:textId="77777777" w:rsidR="00EB22AC" w:rsidRPr="00AF515C" w:rsidRDefault="00EB22AC" w:rsidP="00E01721">
      <w:pPr>
        <w:pStyle w:val="Volumetitle"/>
      </w:pPr>
      <w:r w:rsidRPr="00AF515C">
        <w:t>ARTICLES</w:t>
      </w:r>
    </w:p>
    <w:p w14:paraId="4E4B5342" w14:textId="77777777" w:rsidR="00AA1BEF" w:rsidRPr="00AF515C" w:rsidRDefault="00AA1BEF">
      <w:pPr>
        <w:pStyle w:val="Reasons"/>
      </w:pPr>
    </w:p>
    <w:p w14:paraId="3AC5E4F7" w14:textId="77777777" w:rsidR="00AA1BEF" w:rsidRPr="00AF515C" w:rsidRDefault="00EB22AC">
      <w:pPr>
        <w:pStyle w:val="Proposal"/>
      </w:pPr>
      <w:r w:rsidRPr="00AF515C">
        <w:rPr>
          <w:u w:val="single"/>
        </w:rPr>
        <w:t>NOC</w:t>
      </w:r>
      <w:r w:rsidRPr="00AF515C">
        <w:tab/>
        <w:t>IAP/44A22A2/2</w:t>
      </w:r>
      <w:r w:rsidRPr="00AF515C">
        <w:rPr>
          <w:vanish/>
          <w:color w:val="7F7F7F" w:themeColor="text1" w:themeTint="80"/>
          <w:vertAlign w:val="superscript"/>
        </w:rPr>
        <w:t>#1991</w:t>
      </w:r>
    </w:p>
    <w:p w14:paraId="54EDB757" w14:textId="77777777" w:rsidR="00EB22AC" w:rsidRPr="00AF515C" w:rsidRDefault="00EB22AC" w:rsidP="00E01721">
      <w:pPr>
        <w:pStyle w:val="Volumetitle"/>
      </w:pPr>
      <w:r w:rsidRPr="00AF515C">
        <w:t>APPENDICES</w:t>
      </w:r>
    </w:p>
    <w:p w14:paraId="3E9F55C1" w14:textId="77777777" w:rsidR="00AA1BEF" w:rsidRPr="00AF515C" w:rsidRDefault="00AA1BEF">
      <w:pPr>
        <w:pStyle w:val="Reasons"/>
      </w:pPr>
    </w:p>
    <w:p w14:paraId="01A99C18" w14:textId="77777777" w:rsidR="00AA1BEF" w:rsidRPr="00AF515C" w:rsidRDefault="00EB22AC">
      <w:pPr>
        <w:pStyle w:val="Proposal"/>
      </w:pPr>
      <w:r w:rsidRPr="00AF515C">
        <w:rPr>
          <w:u w:val="single"/>
        </w:rPr>
        <w:t>NOC</w:t>
      </w:r>
      <w:r w:rsidRPr="00AF515C">
        <w:tab/>
        <w:t>IAP/44A22A2/3</w:t>
      </w:r>
      <w:r w:rsidRPr="00AF515C">
        <w:rPr>
          <w:vanish/>
          <w:color w:val="7F7F7F" w:themeColor="text1" w:themeTint="80"/>
          <w:vertAlign w:val="superscript"/>
        </w:rPr>
        <w:t>#1992</w:t>
      </w:r>
    </w:p>
    <w:p w14:paraId="62D5E310" w14:textId="77777777" w:rsidR="00EB22AC" w:rsidRPr="00AF515C" w:rsidRDefault="00EB22AC" w:rsidP="00D35B2F">
      <w:pPr>
        <w:pStyle w:val="Volumetitle"/>
      </w:pPr>
      <w:r w:rsidRPr="00AF515C">
        <w:t>RESOLUTIONS</w:t>
      </w:r>
    </w:p>
    <w:p w14:paraId="4274CC4F" w14:textId="6D19E65D" w:rsidR="00AA1BEF" w:rsidRPr="00AF515C" w:rsidRDefault="007446A6">
      <w:pPr>
        <w:pStyle w:val="Reasons"/>
      </w:pPr>
      <w:r w:rsidRPr="00AF515C">
        <w:rPr>
          <w:b/>
        </w:rPr>
        <w:t>Reasons:</w:t>
      </w:r>
      <w:r w:rsidRPr="00AF515C">
        <w:tab/>
        <w:t xml:space="preserve">The urgency for a post-milestone procedure has not yet </w:t>
      </w:r>
      <w:proofErr w:type="gramStart"/>
      <w:r w:rsidRPr="00AF515C">
        <w:t>been established</w:t>
      </w:r>
      <w:proofErr w:type="gramEnd"/>
      <w:r w:rsidRPr="00AF515C">
        <w:t xml:space="preserve">. As no operational data has </w:t>
      </w:r>
      <w:proofErr w:type="gramStart"/>
      <w:r w:rsidRPr="00AF515C">
        <w:t>been provided</w:t>
      </w:r>
      <w:proofErr w:type="gramEnd"/>
      <w:r w:rsidRPr="00AF515C">
        <w:t xml:space="preserve"> to the Bureau under Resolution </w:t>
      </w:r>
      <w:r w:rsidRPr="00AF515C">
        <w:rPr>
          <w:b/>
          <w:bCs/>
        </w:rPr>
        <w:t>35 (WRC-19)</w:t>
      </w:r>
      <w:r w:rsidRPr="00AF515C">
        <w:t xml:space="preserve"> </w:t>
      </w:r>
      <w:r w:rsidRPr="00AF515C">
        <w:rPr>
          <w:i/>
          <w:iCs/>
        </w:rPr>
        <w:t>resolves</w:t>
      </w:r>
      <w:r w:rsidRPr="00AF515C">
        <w:t xml:space="preserve"> 19, there is no need to replace it with a post-milestone procedure and it is premature to adopt any regulatory provisions to address post-milestone intermediate or long-term reduction of the number of satellites deployed. However, </w:t>
      </w:r>
      <w:r w:rsidRPr="00AF515C">
        <w:rPr>
          <w:u w:val="single"/>
        </w:rPr>
        <w:t>NOC</w:t>
      </w:r>
      <w:r w:rsidRPr="00AF515C">
        <w:t xml:space="preserve"> on Topic B is not meant to negate the importance to address in the future the issue of the variation of the number of satellites in non-GSO systems during </w:t>
      </w:r>
      <w:r w:rsidR="00C87419" w:rsidRPr="00AF515C">
        <w:t>their</w:t>
      </w:r>
      <w:r w:rsidRPr="00AF515C">
        <w:t xml:space="preserve"> operational life.</w:t>
      </w:r>
    </w:p>
    <w:p w14:paraId="57C5C15A" w14:textId="77777777" w:rsidR="00AF515C" w:rsidRPr="00AF515C" w:rsidRDefault="00AF515C" w:rsidP="00AF515C"/>
    <w:p w14:paraId="4626B5B5" w14:textId="3062823B" w:rsidR="00AF515C" w:rsidRDefault="00AF515C" w:rsidP="00AF515C">
      <w:pPr>
        <w:jc w:val="center"/>
      </w:pPr>
      <w:r w:rsidRPr="00AF515C">
        <w:t>______________</w:t>
      </w:r>
    </w:p>
    <w:sectPr w:rsidR="00AF515C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1A9C" w14:textId="77777777" w:rsidR="00014127" w:rsidRDefault="00014127">
      <w:r>
        <w:separator/>
      </w:r>
    </w:p>
  </w:endnote>
  <w:endnote w:type="continuationSeparator" w:id="0">
    <w:p w14:paraId="6B7422FD" w14:textId="77777777" w:rsidR="00014127" w:rsidRDefault="00014127">
      <w:r>
        <w:continuationSeparator/>
      </w:r>
    </w:p>
  </w:endnote>
  <w:endnote w:type="continuationNotice" w:id="1">
    <w:p w14:paraId="0455ACAC" w14:textId="77777777" w:rsidR="00014127" w:rsidRDefault="000141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9AA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D8B8B0" w14:textId="5DA3C3F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515C">
      <w:rPr>
        <w:noProof/>
      </w:rPr>
      <w:t>18.10.23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1F2" w14:textId="03841FA2" w:rsidR="001E5B5E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E5B5E">
      <w:rPr>
        <w:lang w:val="en-US"/>
      </w:rPr>
      <w:t>P:\ENG\ITU-R\CONF-R\CMR23\000\044ADD22ADD02E.docx</w:t>
    </w:r>
    <w:r>
      <w:fldChar w:fldCharType="end"/>
    </w:r>
    <w:r w:rsidR="001E5B5E">
      <w:t xml:space="preserve"> (529462)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99B7" w14:textId="07B067B3" w:rsidR="001E5B5E" w:rsidRDefault="001E5B5E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P:\ENG\ITU-R\CONF-R\CMR23\000\044ADD22ADD02E.docx</w:t>
    </w:r>
    <w:r>
      <w:fldChar w:fldCharType="end"/>
    </w:r>
    <w:r>
      <w:t xml:space="preserve"> (529462)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95E8" w14:textId="77777777" w:rsidR="00014127" w:rsidRDefault="00014127">
      <w:r>
        <w:rPr>
          <w:b/>
        </w:rPr>
        <w:t>_______________</w:t>
      </w:r>
    </w:p>
  </w:footnote>
  <w:footnote w:type="continuationSeparator" w:id="0">
    <w:p w14:paraId="0DEADC02" w14:textId="77777777" w:rsidR="00014127" w:rsidRDefault="00014127">
      <w:r>
        <w:continuationSeparator/>
      </w:r>
    </w:p>
  </w:footnote>
  <w:footnote w:type="continuationNotice" w:id="1">
    <w:p w14:paraId="50F6EBB4" w14:textId="77777777" w:rsidR="00014127" w:rsidRDefault="000141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B39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24C69B06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44(Add.22)(Add.2)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31108319">
    <w:abstractNumId w:val="0"/>
  </w:num>
  <w:num w:numId="2" w16cid:durableId="4025271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4127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E5B5E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27E7D"/>
    <w:rsid w:val="00733A30"/>
    <w:rsid w:val="0073407F"/>
    <w:rsid w:val="007446A6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7322E"/>
    <w:rsid w:val="008845D0"/>
    <w:rsid w:val="00884D60"/>
    <w:rsid w:val="00896E56"/>
    <w:rsid w:val="008B43F2"/>
    <w:rsid w:val="008B6CFF"/>
    <w:rsid w:val="008E18CA"/>
    <w:rsid w:val="00910407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83910"/>
    <w:rsid w:val="00A93B85"/>
    <w:rsid w:val="00AA0B18"/>
    <w:rsid w:val="00AA1BEF"/>
    <w:rsid w:val="00AA3C65"/>
    <w:rsid w:val="00AA666F"/>
    <w:rsid w:val="00AD7914"/>
    <w:rsid w:val="00AE514B"/>
    <w:rsid w:val="00AF515C"/>
    <w:rsid w:val="00B40888"/>
    <w:rsid w:val="00B639E9"/>
    <w:rsid w:val="00B817CD"/>
    <w:rsid w:val="00B81A7D"/>
    <w:rsid w:val="00B91EF7"/>
    <w:rsid w:val="00B94AD0"/>
    <w:rsid w:val="00BA6315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7419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2A13"/>
    <w:rsid w:val="00DD44AF"/>
    <w:rsid w:val="00DE2AC3"/>
    <w:rsid w:val="00DE5692"/>
    <w:rsid w:val="00DE6300"/>
    <w:rsid w:val="00DF4BC6"/>
    <w:rsid w:val="00DF78E0"/>
    <w:rsid w:val="00E03C94"/>
    <w:rsid w:val="00E12AC4"/>
    <w:rsid w:val="00E205BC"/>
    <w:rsid w:val="00E26226"/>
    <w:rsid w:val="00E45D05"/>
    <w:rsid w:val="00E55816"/>
    <w:rsid w:val="00E55AEF"/>
    <w:rsid w:val="00E976C1"/>
    <w:rsid w:val="00EA12E5"/>
    <w:rsid w:val="00EB0812"/>
    <w:rsid w:val="00EB22AC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C116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87419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F5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2-RRB22.3-C-00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R23-WRC23-C-0044!A22-A2!MSW-E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44B9B3-E444-4A54-98B8-F5EBA8B40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C01F4-CDF7-4111-AF6B-398E7F35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9F1EF-7586-4794-A450-F4A92B26E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31225-209A-4488-B0AE-D9CA70F0D507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433A3097-E327-4437-A718-05A40F3F61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712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4865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2023-10-18T11:57:00Z</dcterms:created>
  <dcterms:modified xsi:type="dcterms:W3CDTF">2023-10-18T12:25:00Z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