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3F2E2C" w14:paraId="03F5BC2D" w14:textId="77777777" w:rsidTr="00752552">
        <w:trPr>
          <w:cantSplit/>
          <w:trHeight w:val="20"/>
        </w:trPr>
        <w:tc>
          <w:tcPr>
            <w:tcW w:w="1589" w:type="dxa"/>
            <w:vAlign w:val="center"/>
          </w:tcPr>
          <w:p w14:paraId="49A88B9D" w14:textId="77777777" w:rsidR="00752552" w:rsidRPr="003F2E2C" w:rsidRDefault="00752552" w:rsidP="00752552">
            <w:pPr>
              <w:spacing w:before="0"/>
              <w:jc w:val="left"/>
              <w:rPr>
                <w:b/>
                <w:bCs/>
                <w:rtl/>
                <w:lang w:bidi="ar-EG"/>
              </w:rPr>
            </w:pPr>
            <w:r w:rsidRPr="003F2E2C">
              <w:rPr>
                <w:noProof/>
                <w:lang w:val="en-GB" w:bidi="ar-EG"/>
              </w:rPr>
              <w:drawing>
                <wp:inline distT="0" distB="0" distL="0" distR="0" wp14:anchorId="6896EFA3" wp14:editId="01742FF0">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200DA67" w14:textId="77777777" w:rsidR="00752552" w:rsidRPr="003F2E2C" w:rsidRDefault="00752552" w:rsidP="00752552">
            <w:pPr>
              <w:pStyle w:val="LOGO"/>
              <w:framePr w:hSpace="0" w:wrap="auto" w:xAlign="left" w:yAlign="inline"/>
              <w:rPr>
                <w:rtl/>
              </w:rPr>
            </w:pPr>
            <w:r w:rsidRPr="003F2E2C">
              <w:rPr>
                <w:rtl/>
              </w:rPr>
              <w:t xml:space="preserve">المؤتمر العالمي للاتصالات الراديوية </w:t>
            </w:r>
            <w:r w:rsidRPr="003F2E2C">
              <w:t>(WRC-23)</w:t>
            </w:r>
          </w:p>
          <w:p w14:paraId="55C78F7D" w14:textId="77777777" w:rsidR="00752552" w:rsidRPr="003F2E2C" w:rsidRDefault="00752552" w:rsidP="00752552">
            <w:pPr>
              <w:rPr>
                <w:b/>
                <w:bCs/>
                <w:rtl/>
                <w:lang w:bidi="ar-EG"/>
              </w:rPr>
            </w:pPr>
            <w:r w:rsidRPr="003F2E2C">
              <w:rPr>
                <w:b/>
                <w:bCs/>
                <w:sz w:val="26"/>
                <w:szCs w:val="26"/>
                <w:rtl/>
              </w:rPr>
              <w:t xml:space="preserve">دبي، </w:t>
            </w:r>
            <w:r w:rsidRPr="003F2E2C">
              <w:rPr>
                <w:b/>
                <w:bCs/>
                <w:sz w:val="26"/>
                <w:szCs w:val="26"/>
                <w:lang w:bidi="ar-EG"/>
              </w:rPr>
              <w:t>20</w:t>
            </w:r>
            <w:r w:rsidRPr="003F2E2C">
              <w:rPr>
                <w:b/>
                <w:bCs/>
                <w:sz w:val="26"/>
                <w:szCs w:val="26"/>
                <w:rtl/>
                <w:lang w:bidi="ar-EG"/>
              </w:rPr>
              <w:t xml:space="preserve"> نوفمبر – </w:t>
            </w:r>
            <w:r w:rsidRPr="003F2E2C">
              <w:rPr>
                <w:b/>
                <w:bCs/>
                <w:sz w:val="26"/>
                <w:szCs w:val="26"/>
                <w:lang w:bidi="ar-EG"/>
              </w:rPr>
              <w:t>15</w:t>
            </w:r>
            <w:r w:rsidRPr="003F2E2C">
              <w:rPr>
                <w:b/>
                <w:bCs/>
                <w:sz w:val="26"/>
                <w:szCs w:val="26"/>
                <w:rtl/>
                <w:lang w:bidi="ar-EG"/>
              </w:rPr>
              <w:t xml:space="preserve"> ديسمبر </w:t>
            </w:r>
            <w:r w:rsidRPr="003F2E2C">
              <w:rPr>
                <w:b/>
                <w:bCs/>
                <w:sz w:val="26"/>
                <w:szCs w:val="26"/>
                <w:lang w:bidi="ar-EG"/>
              </w:rPr>
              <w:t>2023</w:t>
            </w:r>
          </w:p>
        </w:tc>
        <w:tc>
          <w:tcPr>
            <w:tcW w:w="1982" w:type="dxa"/>
            <w:vAlign w:val="center"/>
          </w:tcPr>
          <w:p w14:paraId="63D881BB" w14:textId="77777777" w:rsidR="00752552" w:rsidRPr="003F2E2C" w:rsidRDefault="00752552" w:rsidP="00752552">
            <w:pPr>
              <w:jc w:val="right"/>
              <w:rPr>
                <w:rtl/>
                <w:lang w:bidi="ar-EG"/>
              </w:rPr>
            </w:pPr>
            <w:bookmarkStart w:id="0" w:name="ditulogo"/>
            <w:bookmarkEnd w:id="0"/>
            <w:r w:rsidRPr="003F2E2C">
              <w:rPr>
                <w:noProof/>
              </w:rPr>
              <w:drawing>
                <wp:inline distT="0" distB="0" distL="0" distR="0" wp14:anchorId="615FB6FE" wp14:editId="2FFC1FF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3F2E2C" w14:paraId="2A4419D9" w14:textId="77777777" w:rsidTr="00752552">
        <w:trPr>
          <w:cantSplit/>
          <w:trHeight w:val="20"/>
        </w:trPr>
        <w:tc>
          <w:tcPr>
            <w:tcW w:w="6696" w:type="dxa"/>
            <w:gridSpan w:val="2"/>
            <w:tcBorders>
              <w:bottom w:val="single" w:sz="12" w:space="0" w:color="auto"/>
            </w:tcBorders>
          </w:tcPr>
          <w:p w14:paraId="0540CAA4" w14:textId="77777777" w:rsidR="000D1EE4" w:rsidRPr="003F2E2C" w:rsidRDefault="000D1EE4" w:rsidP="000D1EE4">
            <w:pPr>
              <w:rPr>
                <w:rtl/>
                <w:lang w:bidi="ar-EG"/>
              </w:rPr>
            </w:pPr>
          </w:p>
        </w:tc>
        <w:tc>
          <w:tcPr>
            <w:tcW w:w="2970" w:type="dxa"/>
            <w:gridSpan w:val="2"/>
            <w:tcBorders>
              <w:bottom w:val="single" w:sz="12" w:space="0" w:color="auto"/>
            </w:tcBorders>
          </w:tcPr>
          <w:p w14:paraId="21AAA336" w14:textId="77777777" w:rsidR="000D1EE4" w:rsidRPr="003F2E2C" w:rsidRDefault="000D1EE4" w:rsidP="000D1EE4">
            <w:pPr>
              <w:rPr>
                <w:lang w:val="en-GB" w:bidi="ar-EG"/>
              </w:rPr>
            </w:pPr>
          </w:p>
        </w:tc>
      </w:tr>
      <w:tr w:rsidR="000D1EE4" w:rsidRPr="003F2E2C" w14:paraId="3A6B5659" w14:textId="77777777" w:rsidTr="00752552">
        <w:trPr>
          <w:cantSplit/>
          <w:trHeight w:val="20"/>
        </w:trPr>
        <w:tc>
          <w:tcPr>
            <w:tcW w:w="6696" w:type="dxa"/>
            <w:gridSpan w:val="2"/>
            <w:tcBorders>
              <w:top w:val="single" w:sz="12" w:space="0" w:color="auto"/>
            </w:tcBorders>
          </w:tcPr>
          <w:p w14:paraId="11A05B66" w14:textId="77777777" w:rsidR="000D1EE4" w:rsidRPr="003F2E2C" w:rsidRDefault="000D1EE4" w:rsidP="000D1EE4">
            <w:pPr>
              <w:rPr>
                <w:b/>
                <w:bCs/>
                <w:rtl/>
                <w:lang w:bidi="ar-EG"/>
              </w:rPr>
            </w:pPr>
          </w:p>
        </w:tc>
        <w:tc>
          <w:tcPr>
            <w:tcW w:w="2970" w:type="dxa"/>
            <w:gridSpan w:val="2"/>
            <w:tcBorders>
              <w:top w:val="single" w:sz="12" w:space="0" w:color="auto"/>
            </w:tcBorders>
          </w:tcPr>
          <w:p w14:paraId="4FDF090F" w14:textId="77777777" w:rsidR="000D1EE4" w:rsidRPr="003F2E2C" w:rsidRDefault="000D1EE4" w:rsidP="000D1EE4">
            <w:pPr>
              <w:rPr>
                <w:b/>
                <w:bCs/>
                <w:lang w:bidi="ar-EG"/>
              </w:rPr>
            </w:pPr>
          </w:p>
        </w:tc>
      </w:tr>
      <w:tr w:rsidR="000D1EE4" w:rsidRPr="003F2E2C" w14:paraId="2D54AD8E" w14:textId="77777777" w:rsidTr="00752552">
        <w:trPr>
          <w:cantSplit/>
        </w:trPr>
        <w:tc>
          <w:tcPr>
            <w:tcW w:w="6696" w:type="dxa"/>
            <w:gridSpan w:val="2"/>
          </w:tcPr>
          <w:p w14:paraId="42DC5C43" w14:textId="77777777" w:rsidR="000D1EE4" w:rsidRPr="003F2E2C" w:rsidRDefault="00E50850" w:rsidP="00782A8C">
            <w:pPr>
              <w:spacing w:before="60" w:after="60" w:line="260" w:lineRule="exact"/>
              <w:jc w:val="left"/>
              <w:rPr>
                <w:b/>
                <w:bCs/>
                <w:rtl/>
              </w:rPr>
            </w:pPr>
            <w:r w:rsidRPr="003F2E2C">
              <w:rPr>
                <w:b/>
                <w:bCs/>
                <w:rtl/>
              </w:rPr>
              <w:t>الجلسة العامة</w:t>
            </w:r>
          </w:p>
        </w:tc>
        <w:tc>
          <w:tcPr>
            <w:tcW w:w="2970" w:type="dxa"/>
            <w:gridSpan w:val="2"/>
          </w:tcPr>
          <w:p w14:paraId="1ACC5E91" w14:textId="77777777" w:rsidR="000D1EE4" w:rsidRPr="003F2E2C" w:rsidRDefault="00E50850" w:rsidP="00782A8C">
            <w:pPr>
              <w:spacing w:before="60" w:after="60" w:line="260" w:lineRule="exact"/>
              <w:jc w:val="left"/>
              <w:rPr>
                <w:b/>
                <w:bCs/>
                <w:rtl/>
              </w:rPr>
            </w:pPr>
            <w:r w:rsidRPr="003F2E2C">
              <w:rPr>
                <w:rFonts w:eastAsia="SimSun"/>
                <w:b/>
                <w:bCs/>
                <w:rtl/>
              </w:rPr>
              <w:t>الإضافة 11</w:t>
            </w:r>
            <w:r w:rsidRPr="003F2E2C">
              <w:rPr>
                <w:rFonts w:eastAsia="SimSun"/>
                <w:b/>
                <w:bCs/>
                <w:rtl/>
              </w:rPr>
              <w:br/>
              <w:t xml:space="preserve">للوثيقة </w:t>
            </w:r>
            <w:r w:rsidRPr="003F2E2C">
              <w:rPr>
                <w:rFonts w:eastAsia="SimSun"/>
                <w:b/>
                <w:bCs/>
              </w:rPr>
              <w:t>44(Add.22)-A</w:t>
            </w:r>
          </w:p>
        </w:tc>
      </w:tr>
      <w:tr w:rsidR="000D1EE4" w:rsidRPr="003F2E2C" w14:paraId="1AC5CD1A" w14:textId="77777777" w:rsidTr="00752552">
        <w:trPr>
          <w:cantSplit/>
        </w:trPr>
        <w:tc>
          <w:tcPr>
            <w:tcW w:w="6696" w:type="dxa"/>
            <w:gridSpan w:val="2"/>
          </w:tcPr>
          <w:p w14:paraId="2492E200" w14:textId="77777777" w:rsidR="000D1EE4" w:rsidRPr="003F2E2C" w:rsidRDefault="000D1EE4" w:rsidP="00782A8C">
            <w:pPr>
              <w:spacing w:before="60" w:after="60" w:line="260" w:lineRule="exact"/>
              <w:jc w:val="left"/>
              <w:rPr>
                <w:b/>
                <w:bCs/>
                <w:rtl/>
              </w:rPr>
            </w:pPr>
          </w:p>
        </w:tc>
        <w:tc>
          <w:tcPr>
            <w:tcW w:w="2970" w:type="dxa"/>
            <w:gridSpan w:val="2"/>
          </w:tcPr>
          <w:p w14:paraId="31F4E36E" w14:textId="77777777" w:rsidR="000D1EE4" w:rsidRPr="003F2E2C" w:rsidRDefault="00E50850" w:rsidP="00782A8C">
            <w:pPr>
              <w:spacing w:before="60" w:after="60" w:line="260" w:lineRule="exact"/>
              <w:jc w:val="left"/>
              <w:rPr>
                <w:b/>
                <w:bCs/>
                <w:rtl/>
              </w:rPr>
            </w:pPr>
            <w:r w:rsidRPr="003F2E2C">
              <w:rPr>
                <w:rFonts w:eastAsia="SimSun"/>
                <w:b/>
                <w:bCs/>
              </w:rPr>
              <w:t>13</w:t>
            </w:r>
            <w:r w:rsidRPr="003F2E2C">
              <w:rPr>
                <w:rFonts w:eastAsia="SimSun"/>
                <w:b/>
                <w:bCs/>
                <w:rtl/>
              </w:rPr>
              <w:t xml:space="preserve"> أكتوبر </w:t>
            </w:r>
            <w:r w:rsidRPr="003F2E2C">
              <w:rPr>
                <w:rFonts w:eastAsia="SimSun"/>
                <w:b/>
                <w:bCs/>
              </w:rPr>
              <w:t>2023</w:t>
            </w:r>
          </w:p>
        </w:tc>
      </w:tr>
      <w:tr w:rsidR="000D1EE4" w:rsidRPr="003F2E2C" w14:paraId="5A32A46A" w14:textId="77777777" w:rsidTr="00752552">
        <w:trPr>
          <w:cantSplit/>
        </w:trPr>
        <w:tc>
          <w:tcPr>
            <w:tcW w:w="6696" w:type="dxa"/>
            <w:gridSpan w:val="2"/>
          </w:tcPr>
          <w:p w14:paraId="315A25A1" w14:textId="77777777" w:rsidR="000D1EE4" w:rsidRPr="003F2E2C" w:rsidRDefault="000D1EE4" w:rsidP="00782A8C">
            <w:pPr>
              <w:spacing w:before="60" w:after="60" w:line="260" w:lineRule="exact"/>
              <w:jc w:val="left"/>
              <w:rPr>
                <w:b/>
                <w:bCs/>
                <w:rtl/>
              </w:rPr>
            </w:pPr>
          </w:p>
        </w:tc>
        <w:tc>
          <w:tcPr>
            <w:tcW w:w="2970" w:type="dxa"/>
            <w:gridSpan w:val="2"/>
          </w:tcPr>
          <w:p w14:paraId="6A625A64" w14:textId="77777777" w:rsidR="000D1EE4" w:rsidRPr="003F2E2C" w:rsidRDefault="00E50850" w:rsidP="00782A8C">
            <w:pPr>
              <w:spacing w:before="60" w:after="60" w:line="260" w:lineRule="exact"/>
              <w:jc w:val="left"/>
              <w:rPr>
                <w:b/>
                <w:bCs/>
              </w:rPr>
            </w:pPr>
            <w:r w:rsidRPr="003F2E2C">
              <w:rPr>
                <w:b/>
                <w:bCs/>
                <w:rtl/>
              </w:rPr>
              <w:t>الأصل: بالإنكليزية</w:t>
            </w:r>
          </w:p>
        </w:tc>
      </w:tr>
      <w:tr w:rsidR="000D1EE4" w:rsidRPr="003F2E2C" w14:paraId="4AD0266A" w14:textId="77777777" w:rsidTr="00752552">
        <w:trPr>
          <w:cantSplit/>
        </w:trPr>
        <w:tc>
          <w:tcPr>
            <w:tcW w:w="9666" w:type="dxa"/>
            <w:gridSpan w:val="4"/>
          </w:tcPr>
          <w:p w14:paraId="63DA5A89" w14:textId="77777777" w:rsidR="000D1EE4" w:rsidRPr="003F2E2C" w:rsidRDefault="000D1EE4" w:rsidP="000D1EE4">
            <w:pPr>
              <w:rPr>
                <w:b/>
                <w:bCs/>
                <w:lang w:bidi="ar-EG"/>
              </w:rPr>
            </w:pPr>
          </w:p>
        </w:tc>
      </w:tr>
      <w:tr w:rsidR="000D1EE4" w:rsidRPr="003F2E2C" w14:paraId="7E1BF0E9" w14:textId="77777777" w:rsidTr="00752552">
        <w:trPr>
          <w:cantSplit/>
        </w:trPr>
        <w:tc>
          <w:tcPr>
            <w:tcW w:w="9666" w:type="dxa"/>
            <w:gridSpan w:val="4"/>
          </w:tcPr>
          <w:p w14:paraId="2E5E98E2" w14:textId="77777777" w:rsidR="000D1EE4" w:rsidRPr="003F2E2C" w:rsidRDefault="000D1EE4" w:rsidP="000D1EE4">
            <w:pPr>
              <w:pStyle w:val="Source"/>
              <w:rPr>
                <w:rtl/>
                <w:lang w:bidi="ar-SA"/>
              </w:rPr>
            </w:pPr>
            <w:r w:rsidRPr="003F2E2C">
              <w:rPr>
                <w:rtl/>
              </w:rPr>
              <w:t>الدول الأعضاء في لجنة البلدان الأمريكية للاتصالات (CITEL)</w:t>
            </w:r>
          </w:p>
        </w:tc>
      </w:tr>
      <w:tr w:rsidR="000D1EE4" w:rsidRPr="003F2E2C" w14:paraId="4D4B3EC0" w14:textId="77777777" w:rsidTr="00752552">
        <w:trPr>
          <w:cantSplit/>
        </w:trPr>
        <w:tc>
          <w:tcPr>
            <w:tcW w:w="9666" w:type="dxa"/>
            <w:gridSpan w:val="4"/>
          </w:tcPr>
          <w:p w14:paraId="10F6208B" w14:textId="429E63FE" w:rsidR="000D1EE4" w:rsidRPr="003F2E2C" w:rsidRDefault="00782A8C" w:rsidP="000D1EE4">
            <w:pPr>
              <w:pStyle w:val="Title1"/>
              <w:rPr>
                <w:rtl/>
              </w:rPr>
            </w:pPr>
            <w:r w:rsidRPr="003F2E2C">
              <w:rPr>
                <w:rtl/>
              </w:rPr>
              <w:t>مقترحات بشأن أعمال المؤتمر</w:t>
            </w:r>
          </w:p>
        </w:tc>
      </w:tr>
      <w:tr w:rsidR="000D1EE4" w:rsidRPr="003F2E2C" w14:paraId="25BE8324" w14:textId="77777777" w:rsidTr="00752552">
        <w:trPr>
          <w:cantSplit/>
        </w:trPr>
        <w:tc>
          <w:tcPr>
            <w:tcW w:w="9666" w:type="dxa"/>
            <w:gridSpan w:val="4"/>
          </w:tcPr>
          <w:p w14:paraId="5AB325D0" w14:textId="77777777" w:rsidR="000D1EE4" w:rsidRPr="003F2E2C" w:rsidRDefault="000D1EE4" w:rsidP="000D1EE4">
            <w:pPr>
              <w:pStyle w:val="Title2"/>
              <w:rPr>
                <w:rtl/>
              </w:rPr>
            </w:pPr>
          </w:p>
        </w:tc>
      </w:tr>
      <w:tr w:rsidR="00E50850" w:rsidRPr="003F2E2C" w14:paraId="2A64E029" w14:textId="77777777" w:rsidTr="00752552">
        <w:trPr>
          <w:cantSplit/>
        </w:trPr>
        <w:tc>
          <w:tcPr>
            <w:tcW w:w="9666" w:type="dxa"/>
            <w:gridSpan w:val="4"/>
          </w:tcPr>
          <w:p w14:paraId="18B9C91B" w14:textId="6DE8A461" w:rsidR="00E50850" w:rsidRPr="00F321F5" w:rsidRDefault="00E50850" w:rsidP="00F321F5">
            <w:pPr>
              <w:pStyle w:val="Agendaitem"/>
            </w:pPr>
            <w:r w:rsidRPr="00F321F5">
              <w:rPr>
                <w:rtl/>
              </w:rPr>
              <w:t>‎‎‎‎‎‎بند جدول الأعمال</w:t>
            </w:r>
            <w:r w:rsidR="00921935" w:rsidRPr="00F321F5">
              <w:rPr>
                <w:rFonts w:hint="cs"/>
                <w:rtl/>
              </w:rPr>
              <w:t xml:space="preserve"> </w:t>
            </w:r>
            <w:r w:rsidR="00F321F5" w:rsidRPr="00F321F5">
              <w:t>(I)</w:t>
            </w:r>
            <w:r w:rsidR="00921935" w:rsidRPr="00F321F5">
              <w:rPr>
                <w:rFonts w:hint="cs"/>
                <w:rtl/>
              </w:rPr>
              <w:t>7</w:t>
            </w:r>
          </w:p>
        </w:tc>
      </w:tr>
    </w:tbl>
    <w:p w14:paraId="7AF84614" w14:textId="77777777" w:rsidR="003F2E2C" w:rsidRPr="003F2E2C" w:rsidRDefault="003F2E2C" w:rsidP="00EF1E29">
      <w:pPr>
        <w:rPr>
          <w:rtl/>
        </w:rPr>
      </w:pPr>
      <w:r w:rsidRPr="003F2E2C">
        <w:t>7</w:t>
      </w:r>
      <w:r w:rsidRPr="003F2E2C">
        <w:rPr>
          <w:rtl/>
        </w:rPr>
        <w:tab/>
        <w:t xml:space="preserve">النظر في أي تغييرات قد يلزم إجراؤها، تطبيقاً للقرار </w:t>
      </w:r>
      <w:r w:rsidRPr="003F2E2C">
        <w:t>86</w:t>
      </w:r>
      <w:r w:rsidRPr="003F2E2C">
        <w:rPr>
          <w:rtl/>
        </w:rPr>
        <w:t xml:space="preserve"> (المراجَع في مراكش، </w:t>
      </w:r>
      <w:r w:rsidRPr="003F2E2C">
        <w:t>(2002</w:t>
      </w:r>
      <w:r w:rsidRPr="003F2E2C">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3F2E2C">
        <w:rPr>
          <w:b/>
          <w:bCs/>
        </w:rPr>
        <w:t>86 (</w:t>
      </w:r>
      <w:proofErr w:type="spellStart"/>
      <w:r w:rsidRPr="003F2E2C">
        <w:rPr>
          <w:b/>
          <w:bCs/>
        </w:rPr>
        <w:t>Rev.WRC</w:t>
      </w:r>
      <w:proofErr w:type="spellEnd"/>
      <w:r w:rsidRPr="003F2E2C">
        <w:rPr>
          <w:b/>
          <w:bCs/>
          <w:lang w:val="en-GB"/>
        </w:rPr>
        <w:noBreakHyphen/>
      </w:r>
      <w:proofErr w:type="gramStart"/>
      <w:r w:rsidRPr="003F2E2C">
        <w:rPr>
          <w:b/>
          <w:bCs/>
          <w:lang w:val="en-GB"/>
        </w:rPr>
        <w:t>07</w:t>
      </w:r>
      <w:r w:rsidRPr="003F2E2C">
        <w:rPr>
          <w:b/>
          <w:bCs/>
        </w:rPr>
        <w:t>)</w:t>
      </w:r>
      <w:r w:rsidRPr="00A30F05">
        <w:rPr>
          <w:rtl/>
        </w:rPr>
        <w:t>،</w:t>
      </w:r>
      <w:proofErr w:type="gramEnd"/>
      <w:r w:rsidRPr="003F2E2C">
        <w:rPr>
          <w:rtl/>
        </w:rPr>
        <w:t xml:space="preserve"> تيسيراً للاستخدام الرشيد والفعّال والاقتصادي للترددات الراديوية وأي مدارات مرتبطة بها، بما فيها مدار </w:t>
      </w:r>
      <w:proofErr w:type="spellStart"/>
      <w:r w:rsidRPr="003F2E2C">
        <w:rPr>
          <w:rtl/>
        </w:rPr>
        <w:t>السواتل</w:t>
      </w:r>
      <w:proofErr w:type="spellEnd"/>
      <w:r w:rsidRPr="003F2E2C">
        <w:rPr>
          <w:rtl/>
        </w:rPr>
        <w:t xml:space="preserve"> المستقرة بالنسبة للأرض؛</w:t>
      </w:r>
    </w:p>
    <w:p w14:paraId="21A56E85" w14:textId="2229EAF5" w:rsidR="003F2E2C" w:rsidRPr="003F2E2C" w:rsidRDefault="003F2E2C" w:rsidP="00D35151">
      <w:pPr>
        <w:rPr>
          <w:lang w:bidi="ar-EG"/>
        </w:rPr>
      </w:pPr>
      <w:r w:rsidRPr="003F2E2C">
        <w:rPr>
          <w:rFonts w:eastAsia="SimSun"/>
          <w:spacing w:val="2"/>
          <w:lang w:eastAsia="zh-CN" w:bidi="ar-EG"/>
        </w:rPr>
        <w:t>7(I)</w:t>
      </w:r>
      <w:r w:rsidRPr="003F2E2C">
        <w:rPr>
          <w:rtl/>
        </w:rPr>
        <w:tab/>
      </w:r>
      <w:r w:rsidRPr="003F2E2C">
        <w:rPr>
          <w:rFonts w:eastAsia="SimSun"/>
          <w:spacing w:val="2"/>
          <w:rtl/>
          <w:lang w:eastAsia="zh-CN" w:bidi="ar-EG"/>
        </w:rPr>
        <w:t xml:space="preserve">الموضوع </w:t>
      </w:r>
      <w:r w:rsidRPr="003F2E2C">
        <w:rPr>
          <w:rFonts w:eastAsia="SimSun"/>
          <w:spacing w:val="2"/>
          <w:lang w:eastAsia="zh-CN" w:bidi="ar-EG"/>
        </w:rPr>
        <w:t>I</w:t>
      </w:r>
      <w:r w:rsidRPr="003F2E2C">
        <w:rPr>
          <w:rFonts w:eastAsia="SimSun"/>
          <w:spacing w:val="2"/>
          <w:rtl/>
          <w:lang w:eastAsia="zh-CN" w:bidi="ar-EG"/>
        </w:rPr>
        <w:t xml:space="preserve"> </w:t>
      </w:r>
      <w:r w:rsidRPr="003F2E2C">
        <w:rPr>
          <w:rtl/>
        </w:rPr>
        <w:t xml:space="preserve">– </w:t>
      </w:r>
      <w:r w:rsidRPr="003F2E2C">
        <w:rPr>
          <w:rtl/>
          <w:lang w:bidi="ar-EG"/>
        </w:rPr>
        <w:t>اتفاقات خاصة بموجب التذييل</w:t>
      </w:r>
      <w:r w:rsidRPr="00A30F05">
        <w:rPr>
          <w:rtl/>
          <w:lang w:bidi="ar-EG"/>
        </w:rPr>
        <w:t xml:space="preserve"> </w:t>
      </w:r>
      <w:r w:rsidR="00C74C8D" w:rsidRPr="001B3300">
        <w:rPr>
          <w:rStyle w:val="Appref"/>
          <w:b/>
          <w:bCs/>
        </w:rPr>
        <w:t>30B</w:t>
      </w:r>
      <w:r w:rsidR="00C74C8D">
        <w:rPr>
          <w:rFonts w:hint="cs"/>
          <w:rtl/>
        </w:rPr>
        <w:t xml:space="preserve"> </w:t>
      </w:r>
      <w:r w:rsidRPr="003F2E2C">
        <w:rPr>
          <w:rtl/>
          <w:lang w:bidi="ar-EG"/>
        </w:rPr>
        <w:t>للوائح الراديو</w:t>
      </w:r>
    </w:p>
    <w:p w14:paraId="54DAE21A" w14:textId="77777777" w:rsidR="00782A8C" w:rsidRPr="003F2E2C" w:rsidRDefault="00782A8C" w:rsidP="00782A8C">
      <w:pPr>
        <w:pStyle w:val="Headingb"/>
      </w:pPr>
      <w:bookmarkStart w:id="1" w:name="_Hlk148962012"/>
      <w:r w:rsidRPr="003F2E2C">
        <w:rPr>
          <w:rtl/>
        </w:rPr>
        <w:t>خلفية</w:t>
      </w:r>
    </w:p>
    <w:p w14:paraId="11A9F8B3" w14:textId="2C095681" w:rsidR="008D1E02" w:rsidRPr="003F2E2C" w:rsidRDefault="008D1E02" w:rsidP="008D1E02">
      <w:pPr>
        <w:rPr>
          <w:rtl/>
        </w:rPr>
      </w:pPr>
      <w:r w:rsidRPr="003F2E2C">
        <w:rPr>
          <w:rtl/>
        </w:rPr>
        <w:t xml:space="preserve">عندما </w:t>
      </w:r>
      <w:r w:rsidR="002F7979">
        <w:rPr>
          <w:rFonts w:hint="cs"/>
          <w:rtl/>
        </w:rPr>
        <w:t>تخطط</w:t>
      </w:r>
      <w:r w:rsidRPr="003F2E2C">
        <w:rPr>
          <w:rtl/>
        </w:rPr>
        <w:t xml:space="preserve"> إدارة ما </w:t>
      </w:r>
      <w:r w:rsidR="00663FCD">
        <w:rPr>
          <w:rFonts w:hint="cs"/>
          <w:rtl/>
        </w:rPr>
        <w:t>ل</w:t>
      </w:r>
      <w:r w:rsidRPr="003F2E2C">
        <w:rPr>
          <w:rtl/>
        </w:rPr>
        <w:t xml:space="preserve">تحويل تعيين إلى تخصيص أو عندما </w:t>
      </w:r>
      <w:r w:rsidR="001C5862">
        <w:rPr>
          <w:rFonts w:hint="cs"/>
          <w:rtl/>
        </w:rPr>
        <w:t>تخطط</w:t>
      </w:r>
      <w:r w:rsidRPr="003F2E2C">
        <w:rPr>
          <w:rtl/>
        </w:rPr>
        <w:t xml:space="preserve"> إدارة ما، أو إدارة تتصرف بالنيابة عن مجموعة من الإدارات</w:t>
      </w:r>
      <w:r w:rsidR="001C5862">
        <w:rPr>
          <w:rFonts w:hint="cs"/>
          <w:rtl/>
        </w:rPr>
        <w:t xml:space="preserve"> المعينة</w:t>
      </w:r>
      <w:r w:rsidRPr="003F2E2C">
        <w:rPr>
          <w:rtl/>
        </w:rPr>
        <w:t>، </w:t>
      </w:r>
      <w:r w:rsidR="00663FCD">
        <w:rPr>
          <w:rFonts w:hint="cs"/>
          <w:rtl/>
        </w:rPr>
        <w:t>ل</w:t>
      </w:r>
      <w:r w:rsidRPr="003F2E2C">
        <w:rPr>
          <w:rtl/>
        </w:rPr>
        <w:t xml:space="preserve">إدخال نظام إضافي أو تعديل خصائص </w:t>
      </w:r>
      <w:r w:rsidR="001C5862">
        <w:rPr>
          <w:rFonts w:hint="cs"/>
          <w:rtl/>
        </w:rPr>
        <w:t>ال</w:t>
      </w:r>
      <w:r w:rsidRPr="003F2E2C">
        <w:rPr>
          <w:rtl/>
        </w:rPr>
        <w:t xml:space="preserve">تخصيصات </w:t>
      </w:r>
      <w:r w:rsidR="001C5862">
        <w:rPr>
          <w:rFonts w:hint="cs"/>
          <w:rtl/>
        </w:rPr>
        <w:t xml:space="preserve">المدرجة </w:t>
      </w:r>
      <w:r w:rsidRPr="003F2E2C">
        <w:rPr>
          <w:rtl/>
        </w:rPr>
        <w:t xml:space="preserve">في القائمة </w:t>
      </w:r>
      <w:r w:rsidR="001C5862">
        <w:rPr>
          <w:rFonts w:hint="cs"/>
          <w:rtl/>
        </w:rPr>
        <w:t xml:space="preserve">والتي </w:t>
      </w:r>
      <w:r w:rsidRPr="003F2E2C">
        <w:rPr>
          <w:rtl/>
        </w:rPr>
        <w:t xml:space="preserve">وضعت في الخدمة في التذييل </w:t>
      </w:r>
      <w:r w:rsidR="00A30F05" w:rsidRPr="001B3300">
        <w:rPr>
          <w:rStyle w:val="Appref"/>
          <w:b/>
          <w:bCs/>
        </w:rPr>
        <w:t>30B</w:t>
      </w:r>
      <w:r w:rsidR="00A30F05" w:rsidRPr="003F2E2C">
        <w:rPr>
          <w:rtl/>
        </w:rPr>
        <w:t xml:space="preserve"> </w:t>
      </w:r>
      <w:r w:rsidRPr="003F2E2C">
        <w:rPr>
          <w:rtl/>
        </w:rPr>
        <w:t xml:space="preserve">من لوائح الراديو، ترسل إلى مكتب الاتصالات الراديوية </w:t>
      </w:r>
      <w:r w:rsidR="001C5862">
        <w:rPr>
          <w:rFonts w:hint="cs"/>
          <w:rtl/>
        </w:rPr>
        <w:t xml:space="preserve">جميع </w:t>
      </w:r>
      <w:r w:rsidRPr="003F2E2C">
        <w:rPr>
          <w:rtl/>
        </w:rPr>
        <w:t>المعلومات المطلوبة على النحو المحدد في التذييل </w:t>
      </w:r>
      <w:r w:rsidRPr="003F2E2C">
        <w:rPr>
          <w:b/>
          <w:bCs/>
          <w:rtl/>
        </w:rPr>
        <w:t>4</w:t>
      </w:r>
      <w:r w:rsidRPr="003F2E2C">
        <w:rPr>
          <w:rtl/>
        </w:rPr>
        <w:t xml:space="preserve"> من لوائح الراديو. وبعد ذلك، يحدد المكتب الإدارات التي تعتبر تعييناتها المدرجة في الخطة أو تخصيصاتها المدرجة في القائمة أو تخصيصاتها المعلقة متأثرةً بهذا التخصيص بموجب الفقرة 5.6 من التذييل </w:t>
      </w:r>
      <w:r w:rsidR="00A30F05" w:rsidRPr="001B3300">
        <w:rPr>
          <w:rStyle w:val="Appref"/>
          <w:b/>
          <w:bCs/>
        </w:rPr>
        <w:t>30B</w:t>
      </w:r>
      <w:r w:rsidRPr="003F2E2C">
        <w:rPr>
          <w:rtl/>
        </w:rPr>
        <w:t xml:space="preserve"> من لوائح الراديو.</w:t>
      </w:r>
    </w:p>
    <w:p w14:paraId="40B6949D" w14:textId="2246B474" w:rsidR="008D1E02" w:rsidRPr="003F2E2C" w:rsidRDefault="008D1E02" w:rsidP="008D1E02">
      <w:pPr>
        <w:rPr>
          <w:rtl/>
        </w:rPr>
      </w:pPr>
      <w:r w:rsidRPr="003F2E2C">
        <w:rPr>
          <w:rtl/>
        </w:rPr>
        <w:t xml:space="preserve">وتُمنح الإدارات المتأثرة مهلة </w:t>
      </w:r>
      <w:r w:rsidR="001C5862">
        <w:rPr>
          <w:rFonts w:hint="cs"/>
          <w:rtl/>
        </w:rPr>
        <w:t>أربعة</w:t>
      </w:r>
      <w:r w:rsidRPr="003F2E2C">
        <w:rPr>
          <w:rtl/>
        </w:rPr>
        <w:t xml:space="preserve"> أشهر بعد نشر القسم الخاص لهذا التخصيص </w:t>
      </w:r>
      <w:r w:rsidR="00663FCD">
        <w:rPr>
          <w:rFonts w:hint="cs"/>
          <w:rtl/>
        </w:rPr>
        <w:t xml:space="preserve">لإبداء </w:t>
      </w:r>
      <w:r w:rsidR="001C5862">
        <w:rPr>
          <w:rFonts w:hint="cs"/>
          <w:rtl/>
        </w:rPr>
        <w:t>تعليقات</w:t>
      </w:r>
      <w:r w:rsidRPr="003F2E2C">
        <w:rPr>
          <w:rtl/>
        </w:rPr>
        <w:t xml:space="preserve"> عليه (الفقرة 10.6)</w:t>
      </w:r>
      <w:r w:rsidR="001C5862">
        <w:rPr>
          <w:rFonts w:hint="cs"/>
          <w:rtl/>
        </w:rPr>
        <w:t xml:space="preserve">، </w:t>
      </w:r>
      <w:r w:rsidRPr="003F2E2C">
        <w:rPr>
          <w:rtl/>
        </w:rPr>
        <w:t xml:space="preserve">بالإضافة إلى مهلة إضافية مدتها شهر واحد رهناً بتطبيق الفقرة 13.6. وإذا لم تصدر الإدارة المتأثرة قراراً بعد هذه المهلة، على الرغم من العديد من الرسائل التذكيرية التي يرسلها المكتب (أي الفقرة 9.6 </w:t>
      </w:r>
      <w:r w:rsidR="00663FCD">
        <w:rPr>
          <w:rFonts w:hint="cs"/>
          <w:rtl/>
        </w:rPr>
        <w:t>و</w:t>
      </w:r>
      <w:r w:rsidRPr="003F2E2C">
        <w:rPr>
          <w:rtl/>
        </w:rPr>
        <w:t xml:space="preserve">الفقرة 11.6 </w:t>
      </w:r>
      <w:r w:rsidR="00663FCD">
        <w:rPr>
          <w:rFonts w:hint="cs"/>
          <w:rtl/>
        </w:rPr>
        <w:t>و</w:t>
      </w:r>
      <w:r w:rsidRPr="003F2E2C">
        <w:rPr>
          <w:rtl/>
        </w:rPr>
        <w:t xml:space="preserve">الفقرة 14.6 </w:t>
      </w:r>
      <w:r w:rsidR="00663FCD">
        <w:rPr>
          <w:rFonts w:hint="cs"/>
          <w:rtl/>
        </w:rPr>
        <w:t>و</w:t>
      </w:r>
      <w:r w:rsidRPr="003F2E2C">
        <w:rPr>
          <w:rtl/>
        </w:rPr>
        <w:t>الفقرة 14.6</w:t>
      </w:r>
      <w:r w:rsidRPr="003F2E2C">
        <w:rPr>
          <w:i/>
          <w:iCs/>
          <w:rtl/>
        </w:rPr>
        <w:t>مكرراً</w:t>
      </w:r>
      <w:r w:rsidRPr="003F2E2C">
        <w:rPr>
          <w:rtl/>
        </w:rPr>
        <w:t>)، يُعتبر أن هذه الإدارة قد منحت موافقتها الضمنية على ذلك التخصيص بموجب الفقرة 15.6.</w:t>
      </w:r>
    </w:p>
    <w:p w14:paraId="37701D9B" w14:textId="52B9B288" w:rsidR="008D1E02" w:rsidRPr="003F2E2C" w:rsidRDefault="008D1E02" w:rsidP="008D1E02">
      <w:pPr>
        <w:rPr>
          <w:rtl/>
        </w:rPr>
      </w:pPr>
      <w:r w:rsidRPr="003F2E2C">
        <w:rPr>
          <w:rtl/>
        </w:rPr>
        <w:t>وفي وقت تقديم التبليغ المقدم بموجب الجزء </w:t>
      </w:r>
      <w:r w:rsidRPr="003F2E2C">
        <w:t>B</w:t>
      </w:r>
      <w:r w:rsidRPr="003F2E2C">
        <w:rPr>
          <w:rtl/>
        </w:rPr>
        <w:t xml:space="preserve"> لهذا التخصيص بموجب الفقرة 17.6 أو الفقرة 25.6، حسب الاقتضاء، يمكن للخصائص النهائية لهذا التخصيص أن تؤثر على </w:t>
      </w:r>
      <w:r w:rsidR="000A55B4">
        <w:rPr>
          <w:rFonts w:hint="cs"/>
          <w:rtl/>
        </w:rPr>
        <w:t>ال</w:t>
      </w:r>
      <w:r w:rsidRPr="003F2E2C">
        <w:rPr>
          <w:rtl/>
        </w:rPr>
        <w:t xml:space="preserve">مستويات </w:t>
      </w:r>
      <w:r w:rsidR="000A55B4">
        <w:rPr>
          <w:rFonts w:hint="cs"/>
          <w:rtl/>
        </w:rPr>
        <w:t>الإجمالية ل</w:t>
      </w:r>
      <w:r w:rsidR="001C5862">
        <w:rPr>
          <w:rFonts w:hint="cs"/>
          <w:rtl/>
        </w:rPr>
        <w:t>نسبة ا</w:t>
      </w:r>
      <w:r w:rsidRPr="003F2E2C">
        <w:rPr>
          <w:rtl/>
        </w:rPr>
        <w:t>لموجة الحاملة إلى التداخل</w:t>
      </w:r>
      <w:r w:rsidR="001C5862">
        <w:rPr>
          <w:rFonts w:hint="cs"/>
          <w:rtl/>
        </w:rPr>
        <w:t xml:space="preserve"> الكلي</w:t>
      </w:r>
      <w:r w:rsidRPr="003F2E2C">
        <w:rPr>
          <w:rtl/>
        </w:rPr>
        <w:t xml:space="preserve"> ل</w:t>
      </w:r>
      <w:r w:rsidR="000A55B4">
        <w:rPr>
          <w:rFonts w:hint="cs"/>
          <w:rtl/>
        </w:rPr>
        <w:t>ل</w:t>
      </w:r>
      <w:r w:rsidRPr="003F2E2C">
        <w:rPr>
          <w:rtl/>
        </w:rPr>
        <w:t>تعيين ال</w:t>
      </w:r>
      <w:r w:rsidR="000A55B4">
        <w:rPr>
          <w:rFonts w:hint="cs"/>
          <w:rtl/>
        </w:rPr>
        <w:t>خاص بال</w:t>
      </w:r>
      <w:r w:rsidRPr="003F2E2C">
        <w:rPr>
          <w:rtl/>
        </w:rPr>
        <w:t xml:space="preserve">إدارة التي لم تصدر قرارها في الوقت المناسب. وتُستخدم </w:t>
      </w:r>
      <w:r w:rsidR="000A55B4">
        <w:rPr>
          <w:rFonts w:hint="cs"/>
          <w:rtl/>
        </w:rPr>
        <w:t>ال</w:t>
      </w:r>
      <w:r w:rsidR="001C5862">
        <w:rPr>
          <w:rFonts w:hint="cs"/>
          <w:rtl/>
        </w:rPr>
        <w:t xml:space="preserve">مستويات </w:t>
      </w:r>
      <w:r w:rsidR="000A55B4">
        <w:rPr>
          <w:rFonts w:hint="cs"/>
          <w:rtl/>
        </w:rPr>
        <w:t>الإجمالية ل</w:t>
      </w:r>
      <w:r w:rsidR="001C5862">
        <w:rPr>
          <w:rFonts w:hint="cs"/>
          <w:rtl/>
        </w:rPr>
        <w:t>نسبة ا</w:t>
      </w:r>
      <w:r w:rsidR="001C5862" w:rsidRPr="003F2E2C">
        <w:rPr>
          <w:rtl/>
        </w:rPr>
        <w:t>لموجة الحاملة إلى التداخل</w:t>
      </w:r>
      <w:r w:rsidR="001C5862">
        <w:rPr>
          <w:rFonts w:hint="cs"/>
          <w:rtl/>
        </w:rPr>
        <w:t xml:space="preserve"> الكلي</w:t>
      </w:r>
      <w:r w:rsidR="001C5862" w:rsidRPr="003F2E2C">
        <w:rPr>
          <w:rtl/>
        </w:rPr>
        <w:t xml:space="preserve"> </w:t>
      </w:r>
      <w:r w:rsidRPr="003F2E2C">
        <w:rPr>
          <w:rtl/>
        </w:rPr>
        <w:t xml:space="preserve">لتحديد الحماية لهذا التعيين أو التخصيص </w:t>
      </w:r>
      <w:r w:rsidR="000A55B4">
        <w:rPr>
          <w:rFonts w:hint="cs"/>
          <w:rtl/>
        </w:rPr>
        <w:t>مقابل</w:t>
      </w:r>
      <w:r w:rsidR="000A55B4" w:rsidRPr="003F2E2C">
        <w:rPr>
          <w:rtl/>
        </w:rPr>
        <w:t xml:space="preserve"> </w:t>
      </w:r>
      <w:r w:rsidRPr="003F2E2C">
        <w:rPr>
          <w:rtl/>
        </w:rPr>
        <w:t xml:space="preserve">التبليغات المستقبلية بموجب الفقرة 1.6، </w:t>
      </w:r>
      <w:r w:rsidR="00E56348">
        <w:rPr>
          <w:rFonts w:hint="cs"/>
          <w:rtl/>
        </w:rPr>
        <w:t>و</w:t>
      </w:r>
      <w:r w:rsidRPr="003F2E2C">
        <w:rPr>
          <w:rtl/>
        </w:rPr>
        <w:t xml:space="preserve">ما إذا كان لا يزال من الممكن وضع التعيين في الخدمة باستعمال خدمات لائقة. ويمكن أن تؤدي الموافقات الضمنية إلى وضع </w:t>
      </w:r>
      <w:r w:rsidR="00E56348">
        <w:rPr>
          <w:rFonts w:hint="cs"/>
          <w:rtl/>
        </w:rPr>
        <w:t>يتعذر</w:t>
      </w:r>
      <w:r w:rsidRPr="003F2E2C">
        <w:rPr>
          <w:rtl/>
        </w:rPr>
        <w:t xml:space="preserve"> فيه توفير خدمات لائقة بسبب المستويات الإجمالية المنخفضة للغاية لنسبة الموجة الحاملة إلى التداخل</w:t>
      </w:r>
      <w:r w:rsidR="000A55B4">
        <w:rPr>
          <w:rFonts w:hint="cs"/>
          <w:rtl/>
        </w:rPr>
        <w:t xml:space="preserve"> الكلي</w:t>
      </w:r>
      <w:r w:rsidRPr="003F2E2C">
        <w:rPr>
          <w:rtl/>
        </w:rPr>
        <w:t>.</w:t>
      </w:r>
    </w:p>
    <w:p w14:paraId="21ED8D71" w14:textId="5DB31958" w:rsidR="001C7FA2" w:rsidRDefault="00575DE0" w:rsidP="001C7FA2">
      <w:pPr>
        <w:rPr>
          <w:rtl/>
        </w:rPr>
      </w:pPr>
      <w:r>
        <w:rPr>
          <w:rFonts w:hint="cs"/>
          <w:rtl/>
        </w:rPr>
        <w:lastRenderedPageBreak/>
        <w:t>و</w:t>
      </w:r>
      <w:r w:rsidR="001C7FA2">
        <w:rPr>
          <w:rFonts w:hint="cs"/>
          <w:rtl/>
        </w:rPr>
        <w:t xml:space="preserve">يُنظر في إطار </w:t>
      </w:r>
      <w:r w:rsidR="001C7FA2" w:rsidRPr="00663E06">
        <w:rPr>
          <w:rFonts w:eastAsia="SimSun" w:hint="cs"/>
          <w:spacing w:val="2"/>
          <w:rtl/>
          <w:lang w:eastAsia="zh-CN" w:bidi="ar-EG"/>
        </w:rPr>
        <w:t xml:space="preserve">الموضوع </w:t>
      </w:r>
      <w:r w:rsidR="001C7FA2">
        <w:rPr>
          <w:rFonts w:eastAsia="SimSun"/>
          <w:spacing w:val="2"/>
          <w:lang w:eastAsia="zh-CN" w:bidi="ar-EG"/>
        </w:rPr>
        <w:t>I</w:t>
      </w:r>
      <w:r w:rsidR="001C7FA2" w:rsidRPr="00663E06">
        <w:rPr>
          <w:rFonts w:eastAsia="SimSun" w:hint="cs"/>
          <w:spacing w:val="2"/>
          <w:rtl/>
          <w:lang w:eastAsia="zh-CN" w:bidi="ar-EG"/>
        </w:rPr>
        <w:t xml:space="preserve"> </w:t>
      </w:r>
      <w:r w:rsidR="001C7FA2">
        <w:rPr>
          <w:rFonts w:hint="cs"/>
          <w:rtl/>
        </w:rPr>
        <w:t xml:space="preserve">في </w:t>
      </w:r>
      <w:r w:rsidR="001C7FA2">
        <w:rPr>
          <w:rtl/>
        </w:rPr>
        <w:t>الحلول التقنية والتنظيمية لاستعادة المستويات الملائمة</w:t>
      </w:r>
      <w:r w:rsidR="001C7FA2">
        <w:rPr>
          <w:rFonts w:hint="cs"/>
          <w:rtl/>
        </w:rPr>
        <w:t xml:space="preserve"> الإجمالية</w:t>
      </w:r>
      <w:r w:rsidR="001C7FA2">
        <w:rPr>
          <w:rtl/>
        </w:rPr>
        <w:t xml:space="preserve"> </w:t>
      </w:r>
      <w:r w:rsidR="001C7FA2" w:rsidRPr="008208DC">
        <w:rPr>
          <w:rtl/>
        </w:rPr>
        <w:t xml:space="preserve">لنسبة </w:t>
      </w:r>
      <w:r w:rsidR="001C7FA2">
        <w:rPr>
          <w:rFonts w:hint="cs"/>
          <w:rtl/>
        </w:rPr>
        <w:t>ال</w:t>
      </w:r>
      <w:r w:rsidR="001C7FA2" w:rsidRPr="008208DC">
        <w:rPr>
          <w:rtl/>
        </w:rPr>
        <w:t xml:space="preserve">موجة </w:t>
      </w:r>
      <w:r w:rsidR="001C7FA2">
        <w:rPr>
          <w:rFonts w:hint="cs"/>
          <w:rtl/>
        </w:rPr>
        <w:t>ال</w:t>
      </w:r>
      <w:r w:rsidR="001C7FA2" w:rsidRPr="008208DC">
        <w:rPr>
          <w:rtl/>
        </w:rPr>
        <w:t xml:space="preserve">حاملة إلى </w:t>
      </w:r>
      <w:r w:rsidR="001C7FA2">
        <w:rPr>
          <w:rFonts w:hint="cs"/>
          <w:rtl/>
        </w:rPr>
        <w:t>ال</w:t>
      </w:r>
      <w:r w:rsidR="001C7FA2" w:rsidRPr="008208DC">
        <w:rPr>
          <w:rtl/>
        </w:rPr>
        <w:t>تداخل</w:t>
      </w:r>
      <w:r w:rsidR="001C7FA2" w:rsidRPr="00A747B0">
        <w:rPr>
          <w:rtl/>
        </w:rPr>
        <w:t xml:space="preserve"> </w:t>
      </w:r>
      <w:r w:rsidR="001C7FA2">
        <w:rPr>
          <w:rFonts w:hint="cs"/>
          <w:rtl/>
        </w:rPr>
        <w:t>الكلي</w:t>
      </w:r>
      <w:r w:rsidR="001C7FA2" w:rsidRPr="00A747B0">
        <w:rPr>
          <w:rtl/>
        </w:rPr>
        <w:t xml:space="preserve"> </w:t>
      </w:r>
      <w:r w:rsidR="001C7FA2">
        <w:rPr>
          <w:rtl/>
        </w:rPr>
        <w:t>للتعيينات الوطنية الخاضعة للاتفاقات بموجب الفقرة 15.6 من</w:t>
      </w:r>
      <w:r w:rsidR="001C7FA2" w:rsidRPr="00755F78">
        <w:rPr>
          <w:rtl/>
        </w:rPr>
        <w:t xml:space="preserve"> </w:t>
      </w:r>
      <w:r w:rsidR="001C7FA2" w:rsidRPr="00CC0F12">
        <w:rPr>
          <w:rtl/>
        </w:rPr>
        <w:t xml:space="preserve">التذييل </w:t>
      </w:r>
      <w:r w:rsidR="00D864F1" w:rsidRPr="001B3300">
        <w:rPr>
          <w:rStyle w:val="Appref"/>
          <w:b/>
          <w:bCs/>
        </w:rPr>
        <w:t>30B</w:t>
      </w:r>
      <w:r w:rsidR="00D864F1" w:rsidRPr="00D864F1">
        <w:rPr>
          <w:rtl/>
        </w:rPr>
        <w:t xml:space="preserve"> </w:t>
      </w:r>
      <w:r w:rsidR="001C7FA2" w:rsidRPr="00CC0F12">
        <w:rPr>
          <w:rtl/>
        </w:rPr>
        <w:t xml:space="preserve">من لوائح </w:t>
      </w:r>
      <w:r w:rsidR="001C7FA2" w:rsidRPr="00CC0F12">
        <w:rPr>
          <w:rFonts w:hint="cs"/>
          <w:rtl/>
        </w:rPr>
        <w:t>الراديو</w:t>
      </w:r>
      <w:r w:rsidR="001C7FA2">
        <w:rPr>
          <w:rtl/>
        </w:rPr>
        <w:t xml:space="preserve"> دون تغيير الموقع المداري للتعيين</w:t>
      </w:r>
      <w:r w:rsidR="001C7FA2">
        <w:rPr>
          <w:rFonts w:hint="cs"/>
          <w:rtl/>
        </w:rPr>
        <w:t> </w:t>
      </w:r>
      <w:r w:rsidR="001C7FA2">
        <w:rPr>
          <w:rtl/>
        </w:rPr>
        <w:t>الوطني.</w:t>
      </w:r>
    </w:p>
    <w:p w14:paraId="3157E438" w14:textId="3A6B1724" w:rsidR="001C7FA2" w:rsidRPr="007000FE" w:rsidRDefault="001C7FA2" w:rsidP="00575DE0">
      <w:pPr>
        <w:rPr>
          <w:rtl/>
        </w:rPr>
      </w:pPr>
      <w:r w:rsidRPr="007000FE">
        <w:rPr>
          <w:rFonts w:hint="cs"/>
          <w:rtl/>
        </w:rPr>
        <w:t xml:space="preserve">ولمعالجة الشواغل المعرب عنها، يقترح اعتماد تعديلات تنظيمية لإدخال نوع جديد من الاتفاقات بين </w:t>
      </w:r>
      <w:r w:rsidR="00575DE0" w:rsidRPr="007000FE">
        <w:rPr>
          <w:rFonts w:hint="cs"/>
          <w:rtl/>
        </w:rPr>
        <w:t>ال</w:t>
      </w:r>
      <w:r w:rsidRPr="007000FE">
        <w:rPr>
          <w:rFonts w:hint="cs"/>
          <w:rtl/>
        </w:rPr>
        <w:t>إدارة</w:t>
      </w:r>
      <w:r w:rsidR="00575DE0" w:rsidRPr="007000FE">
        <w:rPr>
          <w:rFonts w:hint="cs"/>
          <w:rtl/>
        </w:rPr>
        <w:t xml:space="preserve"> المبلغة عن</w:t>
      </w:r>
      <w:r w:rsidRPr="007000FE">
        <w:rPr>
          <w:rFonts w:hint="cs"/>
          <w:rtl/>
        </w:rPr>
        <w:t xml:space="preserve"> التعيين الوطني والإدارة المبلغة عن التخصيص، </w:t>
      </w:r>
      <w:r w:rsidR="00575DE0" w:rsidRPr="007000FE">
        <w:rPr>
          <w:rFonts w:hint="cs"/>
          <w:rtl/>
        </w:rPr>
        <w:t xml:space="preserve">على التوالي. </w:t>
      </w:r>
      <w:r w:rsidRPr="007000FE">
        <w:rPr>
          <w:rFonts w:hint="cs"/>
          <w:rtl/>
        </w:rPr>
        <w:t>و</w:t>
      </w:r>
      <w:r w:rsidR="00575DE0" w:rsidRPr="007000FE">
        <w:rPr>
          <w:rFonts w:hint="cs"/>
          <w:rtl/>
        </w:rPr>
        <w:t>بموجب هذا الاتفاق، تسمح</w:t>
      </w:r>
      <w:r w:rsidRPr="007000FE">
        <w:rPr>
          <w:rFonts w:hint="cs"/>
          <w:rtl/>
        </w:rPr>
        <w:t xml:space="preserve"> إدارة التعيين الوطني </w:t>
      </w:r>
      <w:r w:rsidR="00575DE0" w:rsidRPr="007000FE">
        <w:rPr>
          <w:rFonts w:hint="cs"/>
          <w:rtl/>
        </w:rPr>
        <w:t xml:space="preserve">بتشغيل التخصيص </w:t>
      </w:r>
      <w:r w:rsidR="009412D9" w:rsidRPr="007000FE">
        <w:rPr>
          <w:rFonts w:hint="cs"/>
          <w:rtl/>
        </w:rPr>
        <w:t xml:space="preserve">إلى أن يتم </w:t>
      </w:r>
      <w:r w:rsidR="00575DE0" w:rsidRPr="007000FE">
        <w:rPr>
          <w:rFonts w:hint="cs"/>
          <w:rtl/>
        </w:rPr>
        <w:t xml:space="preserve">وضع تعيينها الوطني في الخدمة. وفي ذلك الوقت، </w:t>
      </w:r>
      <w:r w:rsidR="00575DE0" w:rsidRPr="007000FE">
        <w:rPr>
          <w:rtl/>
        </w:rPr>
        <w:t xml:space="preserve">تتعهد إدارة التخصيص باحترام مستويات كثافة تدفق القدرة </w:t>
      </w:r>
      <w:r w:rsidR="00575DE0" w:rsidRPr="007000FE">
        <w:rPr>
          <w:rFonts w:hint="cs"/>
          <w:rtl/>
        </w:rPr>
        <w:t>المحددة</w:t>
      </w:r>
      <w:r w:rsidR="00575DE0" w:rsidRPr="007000FE">
        <w:rPr>
          <w:rtl/>
        </w:rPr>
        <w:t xml:space="preserve"> في</w:t>
      </w:r>
      <w:r w:rsidR="007000FE" w:rsidRPr="007000FE">
        <w:rPr>
          <w:rFonts w:hint="cs"/>
          <w:rtl/>
        </w:rPr>
        <w:t> </w:t>
      </w:r>
      <w:r w:rsidR="00575DE0" w:rsidRPr="007000FE">
        <w:rPr>
          <w:rtl/>
        </w:rPr>
        <w:t>الفقرة 2.2 من الملحق 4 بالتذيي</w:t>
      </w:r>
      <w:r w:rsidR="00575DE0" w:rsidRPr="007000FE">
        <w:rPr>
          <w:rFonts w:hint="cs"/>
          <w:rtl/>
        </w:rPr>
        <w:t xml:space="preserve">ل </w:t>
      </w:r>
      <w:r w:rsidR="007000FE" w:rsidRPr="007000FE">
        <w:rPr>
          <w:rStyle w:val="Appref"/>
          <w:b/>
          <w:bCs/>
        </w:rPr>
        <w:t>30B</w:t>
      </w:r>
      <w:r w:rsidR="00575DE0" w:rsidRPr="007000FE">
        <w:rPr>
          <w:rtl/>
        </w:rPr>
        <w:t xml:space="preserve"> </w:t>
      </w:r>
      <w:r w:rsidR="00575DE0" w:rsidRPr="007000FE">
        <w:rPr>
          <w:rFonts w:hint="cs"/>
          <w:rtl/>
          <w:lang w:val="fr-CH" w:bidi="ar-SY"/>
        </w:rPr>
        <w:t xml:space="preserve">من </w:t>
      </w:r>
      <w:r w:rsidR="00575DE0" w:rsidRPr="007000FE">
        <w:rPr>
          <w:rtl/>
        </w:rPr>
        <w:t xml:space="preserve">لوائح الراديو في أراضي التخصيص الوطني. وبما أن التعيين والتخصيص الوطنيين لن </w:t>
      </w:r>
      <w:r w:rsidR="00575DE0" w:rsidRPr="007000FE">
        <w:rPr>
          <w:rFonts w:hint="cs"/>
          <w:rtl/>
        </w:rPr>
        <w:t>يشغلا</w:t>
      </w:r>
      <w:r w:rsidR="00575DE0" w:rsidRPr="007000FE">
        <w:rPr>
          <w:rtl/>
        </w:rPr>
        <w:t xml:space="preserve"> في </w:t>
      </w:r>
      <w:r w:rsidR="00575DE0" w:rsidRPr="007000FE">
        <w:rPr>
          <w:rFonts w:hint="cs"/>
          <w:rtl/>
        </w:rPr>
        <w:t>آن</w:t>
      </w:r>
      <w:r w:rsidR="00575DE0" w:rsidRPr="007000FE">
        <w:rPr>
          <w:rtl/>
        </w:rPr>
        <w:t xml:space="preserve"> واحد على نفس التردد </w:t>
      </w:r>
      <w:r w:rsidR="00575DE0" w:rsidRPr="007000FE">
        <w:rPr>
          <w:rFonts w:hint="cs"/>
          <w:rtl/>
        </w:rPr>
        <w:t>و</w:t>
      </w:r>
      <w:r w:rsidR="00575DE0" w:rsidRPr="007000FE">
        <w:rPr>
          <w:rtl/>
        </w:rPr>
        <w:t>في نفس المنطقة، فلا يؤخذ التداخل المتبادل في</w:t>
      </w:r>
      <w:r w:rsidR="007000FE" w:rsidRPr="007000FE">
        <w:rPr>
          <w:rFonts w:hint="cs"/>
          <w:rtl/>
        </w:rPr>
        <w:t> </w:t>
      </w:r>
      <w:r w:rsidR="00575DE0" w:rsidRPr="007000FE">
        <w:rPr>
          <w:rtl/>
        </w:rPr>
        <w:t>الاعتبار.</w:t>
      </w:r>
    </w:p>
    <w:p w14:paraId="2D83C679" w14:textId="02512378" w:rsidR="00782A8C" w:rsidRPr="003F2E2C" w:rsidRDefault="00575DE0" w:rsidP="00980359">
      <w:pPr>
        <w:rPr>
          <w:rtl/>
          <w:lang w:bidi="ar-EG"/>
        </w:rPr>
      </w:pPr>
      <w:r>
        <w:rPr>
          <w:rFonts w:hint="cs"/>
          <w:rtl/>
          <w:lang w:bidi="ar-EG"/>
        </w:rPr>
        <w:t>و</w:t>
      </w:r>
      <w:r w:rsidR="00980359" w:rsidRPr="00980359">
        <w:rPr>
          <w:rtl/>
          <w:lang w:bidi="ar-EG"/>
        </w:rPr>
        <w:t>يُقترح أيض</w:t>
      </w:r>
      <w:r>
        <w:rPr>
          <w:rFonts w:hint="cs"/>
          <w:rtl/>
          <w:lang w:bidi="ar-EG"/>
        </w:rPr>
        <w:t xml:space="preserve">اً </w:t>
      </w:r>
      <w:r w:rsidR="00980359" w:rsidRPr="00980359">
        <w:rPr>
          <w:rtl/>
          <w:lang w:bidi="ar-EG"/>
        </w:rPr>
        <w:t xml:space="preserve">مشروع </w:t>
      </w:r>
      <w:r w:rsidR="00980359" w:rsidRPr="003F2E2C">
        <w:rPr>
          <w:rtl/>
          <w:lang w:bidi="ar-EG"/>
        </w:rPr>
        <w:t xml:space="preserve">قرار جديد </w:t>
      </w:r>
      <w:r w:rsidR="00980359" w:rsidRPr="003F2E2C">
        <w:rPr>
          <w:b/>
          <w:bCs/>
        </w:rPr>
        <w:t>[7(I)-SPECIAL-AGREEMENT] (WRC-23)</w:t>
      </w:r>
      <w:r w:rsidR="00980359">
        <w:rPr>
          <w:rFonts w:hint="cs"/>
          <w:b/>
          <w:bCs/>
          <w:rtl/>
        </w:rPr>
        <w:t xml:space="preserve"> </w:t>
      </w:r>
      <w:r w:rsidR="00980359" w:rsidRPr="00980359">
        <w:rPr>
          <w:rtl/>
          <w:lang w:bidi="ar-EG"/>
        </w:rPr>
        <w:t>يسمح للإدارة المبلغة عن التعيين الوطني</w:t>
      </w:r>
      <w:r w:rsidR="002837F4">
        <w:rPr>
          <w:rFonts w:hint="cs"/>
          <w:rtl/>
          <w:lang w:bidi="ar-EG"/>
        </w:rPr>
        <w:t xml:space="preserve"> بما يلي،</w:t>
      </w:r>
      <w:r w:rsidR="00980359" w:rsidRPr="00980359">
        <w:rPr>
          <w:rtl/>
          <w:lang w:bidi="ar-EG"/>
        </w:rPr>
        <w:t xml:space="preserve"> رهن</w:t>
      </w:r>
      <w:r>
        <w:rPr>
          <w:rFonts w:hint="cs"/>
          <w:rtl/>
          <w:lang w:bidi="ar-EG"/>
        </w:rPr>
        <w:t>اً</w:t>
      </w:r>
      <w:r w:rsidR="00980359" w:rsidRPr="00980359">
        <w:rPr>
          <w:rtl/>
          <w:lang w:bidi="ar-EG"/>
        </w:rPr>
        <w:t xml:space="preserve"> بالاتفاقات </w:t>
      </w:r>
      <w:r>
        <w:rPr>
          <w:rFonts w:hint="cs"/>
          <w:rtl/>
          <w:lang w:bidi="ar-EG"/>
        </w:rPr>
        <w:t>المنصوص عليها في</w:t>
      </w:r>
      <w:r w:rsidR="00980359" w:rsidRPr="00980359">
        <w:rPr>
          <w:rtl/>
          <w:lang w:bidi="ar-EG"/>
        </w:rPr>
        <w:t xml:space="preserve"> الفقرة 15.6 من التذييل </w:t>
      </w:r>
      <w:r w:rsidR="00B41565" w:rsidRPr="007000FE">
        <w:rPr>
          <w:rStyle w:val="Appref"/>
          <w:b/>
          <w:bCs/>
        </w:rPr>
        <w:t>30B</w:t>
      </w:r>
      <w:r w:rsidR="00B41565" w:rsidRPr="007000FE">
        <w:rPr>
          <w:rtl/>
        </w:rPr>
        <w:t xml:space="preserve"> </w:t>
      </w:r>
      <w:r w:rsidR="00980359" w:rsidRPr="00980359">
        <w:rPr>
          <w:rtl/>
          <w:lang w:bidi="ar-EG"/>
        </w:rPr>
        <w:t>للوائح الرادي</w:t>
      </w:r>
      <w:r w:rsidR="002837F4">
        <w:rPr>
          <w:rFonts w:hint="cs"/>
          <w:rtl/>
          <w:lang w:bidi="ar-EG"/>
        </w:rPr>
        <w:t>و</w:t>
      </w:r>
      <w:r w:rsidR="00980359" w:rsidRPr="00980359">
        <w:rPr>
          <w:rtl/>
          <w:lang w:bidi="ar-EG"/>
        </w:rPr>
        <w:t>:</w:t>
      </w:r>
      <w:r w:rsidR="00980359">
        <w:rPr>
          <w:lang w:bidi="ar-EG"/>
        </w:rPr>
        <w:t xml:space="preserve"> </w:t>
      </w:r>
    </w:p>
    <w:p w14:paraId="0B9F31A5" w14:textId="58DA30CA" w:rsidR="002837F4" w:rsidRDefault="008D1E02" w:rsidP="002837F4">
      <w:pPr>
        <w:pStyle w:val="enumlev1"/>
        <w:rPr>
          <w:rtl/>
          <w:lang w:bidi="ar-EG"/>
        </w:rPr>
      </w:pPr>
      <w:r w:rsidRPr="003F2E2C">
        <w:rPr>
          <w:rtl/>
          <w:lang w:bidi="ar-EG"/>
        </w:rPr>
        <w:t>-</w:t>
      </w:r>
      <w:r w:rsidRPr="003F2E2C">
        <w:rPr>
          <w:rtl/>
          <w:lang w:bidi="ar-EG"/>
        </w:rPr>
        <w:tab/>
      </w:r>
      <w:r w:rsidR="00980359" w:rsidRPr="00980359">
        <w:rPr>
          <w:rtl/>
          <w:lang w:bidi="ar-EG"/>
        </w:rPr>
        <w:t>التوقيع على هذا النوع الجديد من الاتفاق</w:t>
      </w:r>
      <w:r w:rsidR="00295DF8">
        <w:rPr>
          <w:rFonts w:hint="cs"/>
          <w:rtl/>
          <w:lang w:bidi="ar-EG"/>
        </w:rPr>
        <w:t>ات</w:t>
      </w:r>
      <w:r w:rsidR="00980359" w:rsidRPr="00980359">
        <w:rPr>
          <w:rtl/>
          <w:lang w:bidi="ar-EG"/>
        </w:rPr>
        <w:t xml:space="preserve"> مع الإدارة المبلِّغة عن التخصيصات المعنية. </w:t>
      </w:r>
      <w:r w:rsidR="002837F4" w:rsidRPr="002837F4">
        <w:rPr>
          <w:rtl/>
          <w:lang w:bidi="ar-EG"/>
        </w:rPr>
        <w:t xml:space="preserve">ومن شأن هذا الاتفاق الخاص أن يسمح بتشغيل نظام إضافي يمكن بخلاف ذلك أن يؤثر على تعيينات خطة التذييل </w:t>
      </w:r>
      <w:r w:rsidR="00B41565" w:rsidRPr="007000FE">
        <w:rPr>
          <w:rStyle w:val="Appref"/>
          <w:b/>
          <w:bCs/>
        </w:rPr>
        <w:t>30B</w:t>
      </w:r>
      <w:r w:rsidR="00B41565" w:rsidRPr="007000FE">
        <w:rPr>
          <w:rtl/>
        </w:rPr>
        <w:t xml:space="preserve"> </w:t>
      </w:r>
      <w:r w:rsidR="002837F4" w:rsidRPr="002837F4">
        <w:rPr>
          <w:rtl/>
          <w:lang w:bidi="ar-EG"/>
        </w:rPr>
        <w:t xml:space="preserve">من لوائح الراديو، على أساس أنه في وقت وضع التعيينات المتأثرة في الخدمة ستتخذ الإدارة المبلغة عن النظام الإضافي </w:t>
      </w:r>
      <w:r w:rsidR="002837F4">
        <w:rPr>
          <w:rFonts w:hint="cs"/>
          <w:rtl/>
          <w:lang w:val="fr-CH" w:bidi="ar-EG"/>
        </w:rPr>
        <w:t xml:space="preserve">الخطوات </w:t>
      </w:r>
      <w:r w:rsidR="002837F4" w:rsidRPr="002837F4">
        <w:rPr>
          <w:rtl/>
          <w:lang w:bidi="ar-EG"/>
        </w:rPr>
        <w:t>الضرورية لحماية</w:t>
      </w:r>
      <w:r w:rsidR="00295DF8">
        <w:rPr>
          <w:rFonts w:hint="cs"/>
          <w:rtl/>
          <w:lang w:bidi="ar-EG"/>
        </w:rPr>
        <w:t xml:space="preserve"> هذه</w:t>
      </w:r>
      <w:r w:rsidR="002837F4" w:rsidRPr="002837F4">
        <w:rPr>
          <w:rtl/>
          <w:lang w:bidi="ar-EG"/>
        </w:rPr>
        <w:t xml:space="preserve"> التعيينات.</w:t>
      </w:r>
    </w:p>
    <w:p w14:paraId="4987B55A" w14:textId="16DC3A8D" w:rsidR="008D1E02" w:rsidRPr="003F2E2C" w:rsidRDefault="008D1E02" w:rsidP="002837F4">
      <w:pPr>
        <w:pStyle w:val="enumlev1"/>
        <w:rPr>
          <w:rtl/>
          <w:lang w:bidi="ar-EG"/>
        </w:rPr>
      </w:pPr>
      <w:r w:rsidRPr="003F2E2C">
        <w:rPr>
          <w:rtl/>
          <w:lang w:bidi="ar-EG"/>
        </w:rPr>
        <w:t>-</w:t>
      </w:r>
      <w:r w:rsidRPr="003F2E2C">
        <w:rPr>
          <w:rtl/>
          <w:lang w:bidi="ar-EG"/>
        </w:rPr>
        <w:tab/>
      </w:r>
      <w:r w:rsidR="00980359" w:rsidRPr="00980359">
        <w:rPr>
          <w:rtl/>
          <w:lang w:bidi="ar-EG"/>
        </w:rPr>
        <w:t xml:space="preserve">مطالبة المكتب بتحديث </w:t>
      </w:r>
      <w:r w:rsidR="002837F4">
        <w:rPr>
          <w:rFonts w:hint="cs"/>
          <w:rtl/>
          <w:lang w:bidi="ar-EG"/>
        </w:rPr>
        <w:t>الحالة المرجعية</w:t>
      </w:r>
      <w:r w:rsidR="00980359" w:rsidRPr="00980359">
        <w:rPr>
          <w:rtl/>
          <w:lang w:bidi="ar-EG"/>
        </w:rPr>
        <w:t xml:space="preserve"> دون </w:t>
      </w:r>
      <w:r w:rsidR="002837F4">
        <w:rPr>
          <w:rFonts w:hint="cs"/>
          <w:rtl/>
          <w:lang w:bidi="ar-EG"/>
        </w:rPr>
        <w:t>استعراض</w:t>
      </w:r>
      <w:r w:rsidR="00980359" w:rsidRPr="00980359">
        <w:rPr>
          <w:rtl/>
          <w:lang w:bidi="ar-EG"/>
        </w:rPr>
        <w:t xml:space="preserve"> </w:t>
      </w:r>
      <w:r w:rsidR="002837F4">
        <w:rPr>
          <w:rFonts w:hint="cs"/>
          <w:rtl/>
          <w:lang w:bidi="ar-EG"/>
        </w:rPr>
        <w:t>حالات التفحص</w:t>
      </w:r>
      <w:r w:rsidR="00980359" w:rsidRPr="00980359">
        <w:rPr>
          <w:rtl/>
          <w:lang w:bidi="ar-EG"/>
        </w:rPr>
        <w:t xml:space="preserve"> السابقة</w:t>
      </w:r>
      <w:r w:rsidR="00980359">
        <w:rPr>
          <w:rFonts w:hint="cs"/>
          <w:rtl/>
          <w:lang w:bidi="ar-EG"/>
        </w:rPr>
        <w:t>؛</w:t>
      </w:r>
    </w:p>
    <w:p w14:paraId="2E4C37EB" w14:textId="0B6F347C" w:rsidR="002837F4" w:rsidRPr="002837F4" w:rsidRDefault="008D1E02" w:rsidP="002837F4">
      <w:pPr>
        <w:pStyle w:val="enumlev1"/>
        <w:rPr>
          <w:rtl/>
          <w:lang w:bidi="ar-EG"/>
        </w:rPr>
      </w:pPr>
      <w:r w:rsidRPr="003F2E2C">
        <w:rPr>
          <w:rtl/>
          <w:lang w:bidi="ar-EG"/>
        </w:rPr>
        <w:t>-</w:t>
      </w:r>
      <w:r w:rsidRPr="003F2E2C">
        <w:rPr>
          <w:rtl/>
          <w:lang w:bidi="ar-EG"/>
        </w:rPr>
        <w:tab/>
      </w:r>
      <w:r w:rsidR="002837F4">
        <w:rPr>
          <w:rFonts w:hint="cs"/>
          <w:rtl/>
          <w:lang w:bidi="ar-EG"/>
        </w:rPr>
        <w:t>مطالبة</w:t>
      </w:r>
      <w:r w:rsidR="002837F4" w:rsidRPr="002837F4">
        <w:rPr>
          <w:rtl/>
          <w:lang w:bidi="ar-EG"/>
        </w:rPr>
        <w:t xml:space="preserve"> الإدارات المبلغة عن التخصيصات التي لم تُستكمل بشأنها بعد إجراءات المادة 6 من التذييل </w:t>
      </w:r>
      <w:r w:rsidR="00B41565" w:rsidRPr="007000FE">
        <w:rPr>
          <w:rStyle w:val="Appref"/>
          <w:b/>
          <w:bCs/>
        </w:rPr>
        <w:t>30B</w:t>
      </w:r>
      <w:r w:rsidR="00B41565" w:rsidRPr="007000FE">
        <w:rPr>
          <w:rtl/>
        </w:rPr>
        <w:t xml:space="preserve"> </w:t>
      </w:r>
      <w:r w:rsidR="002837F4" w:rsidRPr="002837F4">
        <w:rPr>
          <w:rtl/>
          <w:lang w:bidi="ar-EG"/>
        </w:rPr>
        <w:t>من لوائح الراديو والتي تفحصها المكتب قبل التوقيع على الاتفاق</w:t>
      </w:r>
      <w:r w:rsidR="002837F4">
        <w:rPr>
          <w:rFonts w:hint="cs"/>
          <w:rtl/>
          <w:lang w:bidi="ar-EG"/>
        </w:rPr>
        <w:t xml:space="preserve"> المذكور</w:t>
      </w:r>
      <w:r w:rsidR="002837F4" w:rsidRPr="002837F4">
        <w:rPr>
          <w:rtl/>
          <w:lang w:bidi="ar-EG"/>
        </w:rPr>
        <w:t xml:space="preserve">، </w:t>
      </w:r>
      <w:r w:rsidR="002837F4">
        <w:rPr>
          <w:rFonts w:hint="cs"/>
          <w:rtl/>
          <w:lang w:bidi="ar-EG"/>
        </w:rPr>
        <w:t>ب</w:t>
      </w:r>
      <w:r w:rsidR="002837F4" w:rsidRPr="002837F4">
        <w:rPr>
          <w:rtl/>
          <w:lang w:bidi="ar-EG"/>
        </w:rPr>
        <w:t>بذل قصارى جهدها لمراعاة الحالة المرجعية الجديدة لهذا التعيين الوطني.</w:t>
      </w:r>
    </w:p>
    <w:p w14:paraId="083D810A" w14:textId="015DD851" w:rsidR="00921935" w:rsidRPr="00921935" w:rsidRDefault="002837F4" w:rsidP="00921935">
      <w:pPr>
        <w:rPr>
          <w:rtl/>
          <w:lang w:bidi="ar-EG"/>
        </w:rPr>
      </w:pPr>
      <w:r>
        <w:rPr>
          <w:rFonts w:hint="cs"/>
          <w:rtl/>
          <w:lang w:bidi="ar-EG"/>
        </w:rPr>
        <w:t>ويتماشى</w:t>
      </w:r>
      <w:r w:rsidR="00980359" w:rsidRPr="00980359">
        <w:rPr>
          <w:rtl/>
          <w:lang w:bidi="ar-EG"/>
        </w:rPr>
        <w:t xml:space="preserve"> </w:t>
      </w:r>
      <w:r>
        <w:rPr>
          <w:rFonts w:hint="cs"/>
          <w:rtl/>
          <w:lang w:val="fr-CH" w:bidi="ar-SY"/>
        </w:rPr>
        <w:t>مقترح</w:t>
      </w:r>
      <w:r>
        <w:rPr>
          <w:rFonts w:hint="cs"/>
          <w:rtl/>
          <w:lang w:bidi="ar-EG"/>
        </w:rPr>
        <w:t xml:space="preserve"> البلدان الأمريكية </w:t>
      </w:r>
      <w:r>
        <w:rPr>
          <w:lang w:val="de-CH" w:bidi="ar-EG"/>
        </w:rPr>
        <w:t>(IAP)</w:t>
      </w:r>
      <w:r w:rsidR="00980359" w:rsidRPr="00980359">
        <w:rPr>
          <w:rtl/>
          <w:lang w:bidi="ar-EG"/>
        </w:rPr>
        <w:t xml:space="preserve"> هذا مع </w:t>
      </w:r>
      <w:r>
        <w:rPr>
          <w:rFonts w:hint="cs"/>
          <w:rtl/>
          <w:lang w:bidi="ar-EG"/>
        </w:rPr>
        <w:t>الأسلوب</w:t>
      </w:r>
      <w:r w:rsidR="00980359" w:rsidRPr="00980359">
        <w:rPr>
          <w:rtl/>
          <w:lang w:bidi="ar-EG"/>
        </w:rPr>
        <w:t xml:space="preserve"> </w:t>
      </w:r>
      <w:r w:rsidR="00980359" w:rsidRPr="00980359">
        <w:rPr>
          <w:lang w:bidi="ar-EG"/>
        </w:rPr>
        <w:t>I2</w:t>
      </w:r>
      <w:r w:rsidR="00980359" w:rsidRPr="00980359">
        <w:rPr>
          <w:rtl/>
          <w:lang w:bidi="ar-EG"/>
        </w:rPr>
        <w:t xml:space="preserve"> </w:t>
      </w:r>
      <w:r>
        <w:rPr>
          <w:rFonts w:hint="cs"/>
          <w:rtl/>
          <w:lang w:bidi="ar-EG"/>
        </w:rPr>
        <w:t xml:space="preserve">الوارد </w:t>
      </w:r>
      <w:r w:rsidR="00980359" w:rsidRPr="00980359">
        <w:rPr>
          <w:rtl/>
          <w:lang w:bidi="ar-EG"/>
        </w:rPr>
        <w:t xml:space="preserve">في تقرير </w:t>
      </w:r>
      <w:r>
        <w:rPr>
          <w:rFonts w:hint="cs"/>
          <w:rtl/>
          <w:lang w:bidi="ar-EG"/>
        </w:rPr>
        <w:t>الاجتماع التحضيري للمؤتمر</w:t>
      </w:r>
      <w:r w:rsidR="00980359" w:rsidRPr="00980359">
        <w:rPr>
          <w:rtl/>
          <w:lang w:bidi="ar-EG"/>
        </w:rPr>
        <w:t>.</w:t>
      </w:r>
    </w:p>
    <w:p w14:paraId="4E6727E0" w14:textId="77777777" w:rsidR="00782A8C" w:rsidRPr="003F2E2C" w:rsidRDefault="00782A8C" w:rsidP="00782A8C">
      <w:pPr>
        <w:pStyle w:val="Headingb"/>
        <w:rPr>
          <w:rtl/>
        </w:rPr>
      </w:pPr>
      <w:r w:rsidRPr="003F2E2C">
        <w:rPr>
          <w:rtl/>
        </w:rPr>
        <w:t>المقترحات</w:t>
      </w:r>
      <w:bookmarkEnd w:id="1"/>
    </w:p>
    <w:p w14:paraId="32860D1D" w14:textId="77777777" w:rsidR="004C67F1" w:rsidRPr="003F2E2C" w:rsidRDefault="004C67F1" w:rsidP="00B41565">
      <w:pPr>
        <w:rPr>
          <w:rtl/>
          <w:lang w:val="en-GB" w:bidi="ar-EG"/>
        </w:rPr>
      </w:pPr>
      <w:r w:rsidRPr="003F2E2C">
        <w:rPr>
          <w:rtl/>
          <w:lang w:val="en-GB" w:bidi="ar-EG"/>
        </w:rPr>
        <w:br w:type="page"/>
      </w:r>
    </w:p>
    <w:p w14:paraId="68EEF25A" w14:textId="51311368" w:rsidR="003F2E2C" w:rsidRPr="003F2E2C" w:rsidRDefault="003F2E2C" w:rsidP="00B41565">
      <w:pPr>
        <w:pStyle w:val="AppendixNo"/>
        <w:spacing w:before="0"/>
        <w:rPr>
          <w:rtl/>
        </w:rPr>
      </w:pPr>
      <w:bookmarkStart w:id="2" w:name="_Toc333932899"/>
      <w:bookmarkStart w:id="3" w:name="_Toc335225823"/>
      <w:r w:rsidRPr="003F2E2C">
        <w:rPr>
          <w:rtl/>
        </w:rPr>
        <w:lastRenderedPageBreak/>
        <w:t xml:space="preserve">التذييـل </w:t>
      </w:r>
      <w:bookmarkEnd w:id="2"/>
      <w:bookmarkEnd w:id="3"/>
      <w:r w:rsidR="00B41565" w:rsidRPr="00B41565">
        <w:rPr>
          <w:lang w:val="en-US"/>
        </w:rPr>
        <w:t>30B (REV.WRC</w:t>
      </w:r>
      <w:r w:rsidR="00B41565" w:rsidRPr="00B41565">
        <w:rPr>
          <w:lang w:val="en-US"/>
        </w:rPr>
        <w:noBreakHyphen/>
        <w:t>19)</w:t>
      </w:r>
    </w:p>
    <w:p w14:paraId="31D45FA1" w14:textId="77777777" w:rsidR="003F2E2C" w:rsidRPr="003F2E2C" w:rsidRDefault="003F2E2C" w:rsidP="00A00E19">
      <w:pPr>
        <w:pStyle w:val="Appendixtitle"/>
        <w:rPr>
          <w:rtl/>
          <w:lang w:bidi="ar-EG"/>
        </w:rPr>
      </w:pPr>
      <w:bookmarkStart w:id="4" w:name="_Toc335225824"/>
      <w:r w:rsidRPr="003F2E2C">
        <w:rPr>
          <w:rtl/>
          <w:lang w:bidi="ar-EG"/>
        </w:rPr>
        <w:t xml:space="preserve">الأحكام والخطة المصاحبة بشأن الخدمة الثابتة الساتلية في نطاقات الترددات </w:t>
      </w:r>
      <w:r w:rsidRPr="003F2E2C">
        <w:rPr>
          <w:rtl/>
          <w:lang w:bidi="ar-EG"/>
        </w:rPr>
        <w:br/>
      </w:r>
      <w:r w:rsidRPr="003F2E2C">
        <w:rPr>
          <w:lang w:bidi="ar-EG"/>
        </w:rPr>
        <w:t>MHz 4 800-4 500</w:t>
      </w:r>
      <w:r w:rsidRPr="003F2E2C">
        <w:rPr>
          <w:rtl/>
          <w:lang w:bidi="ar-EG"/>
        </w:rPr>
        <w:t xml:space="preserve"> و</w:t>
      </w:r>
      <w:r w:rsidRPr="003F2E2C">
        <w:rPr>
          <w:lang w:bidi="ar-EG"/>
        </w:rPr>
        <w:t>MHz 7 025-6 725</w:t>
      </w:r>
      <w:r w:rsidRPr="003F2E2C">
        <w:rPr>
          <w:rtl/>
          <w:lang w:bidi="ar-EG"/>
        </w:rPr>
        <w:t xml:space="preserve"> و</w:t>
      </w:r>
      <w:r w:rsidRPr="003F2E2C">
        <w:rPr>
          <w:lang w:bidi="ar-EG"/>
        </w:rPr>
        <w:t>GHz 10,95-10,70</w:t>
      </w:r>
      <w:r w:rsidRPr="003F2E2C">
        <w:rPr>
          <w:rtl/>
          <w:lang w:bidi="ar-EG"/>
        </w:rPr>
        <w:t xml:space="preserve"> </w:t>
      </w:r>
      <w:r w:rsidRPr="003F2E2C">
        <w:rPr>
          <w:rtl/>
          <w:lang w:bidi="ar-EG"/>
        </w:rPr>
        <w:br/>
        <w:t>و</w:t>
      </w:r>
      <w:r w:rsidRPr="003F2E2C">
        <w:rPr>
          <w:lang w:bidi="ar-EG"/>
        </w:rPr>
        <w:t>GHz 11,45-11,20</w:t>
      </w:r>
      <w:r w:rsidRPr="003F2E2C">
        <w:rPr>
          <w:rtl/>
          <w:lang w:bidi="ar-EG"/>
        </w:rPr>
        <w:t xml:space="preserve"> و</w:t>
      </w:r>
      <w:r w:rsidRPr="003F2E2C">
        <w:rPr>
          <w:lang w:bidi="ar-EG"/>
        </w:rPr>
        <w:t>GHz 13,25-12,75</w:t>
      </w:r>
      <w:bookmarkEnd w:id="4"/>
    </w:p>
    <w:p w14:paraId="3B6583C6" w14:textId="77777777" w:rsidR="003F2E2C" w:rsidRDefault="003F2E2C" w:rsidP="000103FE">
      <w:pPr>
        <w:pStyle w:val="AppArtNo"/>
        <w:rPr>
          <w:sz w:val="16"/>
          <w:szCs w:val="16"/>
          <w:rtl/>
        </w:rPr>
      </w:pPr>
      <w:r w:rsidRPr="003F2E2C">
        <w:rPr>
          <w:rtl/>
        </w:rPr>
        <w:t xml:space="preserve">المـادة </w:t>
      </w:r>
      <w:r w:rsidRPr="003F2E2C">
        <w:t>6</w:t>
      </w:r>
      <w:r w:rsidRPr="003F2E2C">
        <w:rPr>
          <w:rtl/>
        </w:rPr>
        <w:t> </w:t>
      </w:r>
      <w:r w:rsidRPr="003F2E2C">
        <w:rPr>
          <w:sz w:val="16"/>
          <w:szCs w:val="16"/>
        </w:rPr>
        <w:t>(REV.WRC-19)    </w:t>
      </w:r>
    </w:p>
    <w:p w14:paraId="5439884A" w14:textId="003556B8" w:rsidR="00921935" w:rsidRPr="00FE2CFF" w:rsidRDefault="00921935" w:rsidP="00921935">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AD4D38">
        <w:rPr>
          <w:rStyle w:val="AppArttitleChar"/>
          <w:rFonts w:hint="cs"/>
          <w:rtl/>
        </w:rPr>
        <w:t>في </w:t>
      </w:r>
      <w:r w:rsidRPr="00AD4D38">
        <w:rPr>
          <w:rStyle w:val="AppArttitleChar"/>
          <w:rtl/>
        </w:rPr>
        <w:t>تخصيص وارد في القائمة</w:t>
      </w:r>
      <w:r>
        <w:rPr>
          <w:rStyle w:val="FootnoteReference"/>
          <w:rFonts w:hint="cs"/>
          <w:rtl/>
        </w:rPr>
        <w:t>1</w:t>
      </w:r>
      <w:r w:rsidRPr="00AD4D38">
        <w:rPr>
          <w:rStyle w:val="FootnoteReference"/>
          <w:rFonts w:hint="cs"/>
          <w:rtl/>
        </w:rPr>
        <w:t>، 2، 2</w:t>
      </w:r>
      <w:r w:rsidRPr="00AD4D38">
        <w:rPr>
          <w:rStyle w:val="FootnoteReference"/>
          <w:rFonts w:hint="cs"/>
          <w:i/>
          <w:iCs/>
          <w:rtl/>
        </w:rPr>
        <w:t>مكرراً</w:t>
      </w:r>
      <w:r w:rsidRPr="00F91337">
        <w:rPr>
          <w:bCs/>
          <w:sz w:val="16"/>
          <w:szCs w:val="16"/>
        </w:rPr>
        <w:t>(WRC</w:t>
      </w:r>
      <w:r w:rsidRPr="00F91337">
        <w:rPr>
          <w:bCs/>
          <w:sz w:val="16"/>
          <w:szCs w:val="16"/>
        </w:rPr>
        <w:noBreakHyphen/>
        <w:t>19)</w:t>
      </w:r>
      <w:r w:rsidRPr="00AD4D38">
        <w:rPr>
          <w:bCs/>
          <w:sz w:val="16"/>
          <w:szCs w:val="16"/>
        </w:rPr>
        <w:t>     </w:t>
      </w:r>
    </w:p>
    <w:p w14:paraId="407D0611" w14:textId="77777777" w:rsidR="00D817D4" w:rsidRPr="003F2E2C" w:rsidRDefault="003F2E2C">
      <w:pPr>
        <w:pStyle w:val="Proposal"/>
      </w:pPr>
      <w:r w:rsidRPr="003F2E2C">
        <w:t>ADD</w:t>
      </w:r>
      <w:r w:rsidRPr="003F2E2C">
        <w:tab/>
        <w:t>IAP/44A22A11/1</w:t>
      </w:r>
      <w:r w:rsidRPr="003F2E2C">
        <w:rPr>
          <w:vanish/>
          <w:color w:val="7F7F7F" w:themeColor="text1" w:themeTint="80"/>
          <w:vertAlign w:val="superscript"/>
        </w:rPr>
        <w:t>#2149</w:t>
      </w:r>
    </w:p>
    <w:p w14:paraId="175E8A6D" w14:textId="08C9D174" w:rsidR="003F2E2C" w:rsidRPr="003F2E2C" w:rsidRDefault="003F2E2C" w:rsidP="00F91337">
      <w:pPr>
        <w:keepNext/>
        <w:rPr>
          <w:rtl/>
        </w:rPr>
      </w:pPr>
      <w:r w:rsidRPr="003F2E2C">
        <w:rPr>
          <w:rStyle w:val="Provsplit"/>
          <w:rFonts w:ascii="Dubai" w:hAnsi="Dubai" w:cs="Dubai"/>
        </w:rPr>
        <w:t>4.6</w:t>
      </w:r>
      <w:r w:rsidRPr="003F2E2C">
        <w:rPr>
          <w:rStyle w:val="Provsplit"/>
          <w:rFonts w:ascii="Dubai" w:hAnsi="Dubai" w:cs="Dubai"/>
          <w:i/>
          <w:iCs/>
          <w:rtl/>
        </w:rPr>
        <w:t>مكرراً</w:t>
      </w:r>
      <w:r w:rsidRPr="003F2E2C">
        <w:rPr>
          <w:b/>
          <w:bCs/>
          <w:rtl/>
        </w:rPr>
        <w:tab/>
      </w:r>
      <w:r w:rsidRPr="003F2E2C">
        <w:rPr>
          <w:rtl/>
        </w:rPr>
        <w:t xml:space="preserve">عندما يؤدي فحص كل تخصيص في بطاقة تبليغ استلمت بموجب الفقرة </w:t>
      </w:r>
      <w:r w:rsidRPr="003F2E2C">
        <w:t>1.6</w:t>
      </w:r>
      <w:r w:rsidRPr="003F2E2C">
        <w:rPr>
          <w:rtl/>
        </w:rPr>
        <w:t xml:space="preserve">، لتحويل تعيين إلى تخصيص، إلى نتيجة </w:t>
      </w:r>
      <w:proofErr w:type="spellStart"/>
      <w:r w:rsidRPr="003F2E2C">
        <w:rPr>
          <w:rtl/>
        </w:rPr>
        <w:t>مؤاتية</w:t>
      </w:r>
      <w:proofErr w:type="spellEnd"/>
      <w:r w:rsidR="00980359" w:rsidRPr="00980359">
        <w:rPr>
          <w:rtl/>
        </w:rPr>
        <w:t xml:space="preserve"> </w:t>
      </w:r>
      <w:r w:rsidR="00980359">
        <w:rPr>
          <w:rFonts w:hint="cs"/>
          <w:rtl/>
        </w:rPr>
        <w:t>فيما يتعلق</w:t>
      </w:r>
      <w:r w:rsidR="00980359" w:rsidRPr="003F2E2C">
        <w:rPr>
          <w:rtl/>
        </w:rPr>
        <w:t> </w:t>
      </w:r>
      <w:r w:rsidR="00980359">
        <w:rPr>
          <w:rFonts w:hint="cs"/>
          <w:rtl/>
        </w:rPr>
        <w:t>ب</w:t>
      </w:r>
      <w:r w:rsidR="00980359" w:rsidRPr="003F2E2C">
        <w:rPr>
          <w:rtl/>
        </w:rPr>
        <w:t xml:space="preserve">الفقرة </w:t>
      </w:r>
      <w:r w:rsidR="00980359" w:rsidRPr="003F2E2C">
        <w:t>3.6</w:t>
      </w:r>
      <w:r w:rsidRPr="003F2E2C">
        <w:rPr>
          <w:rtl/>
        </w:rPr>
        <w:t>، يرسل المكتب على الفور رسالة بالفاكس إلى الإدارات التي طبقت الفقرة 15.6</w:t>
      </w:r>
      <w:r w:rsidRPr="003F2E2C">
        <w:rPr>
          <w:i/>
          <w:iCs/>
          <w:rtl/>
        </w:rPr>
        <w:t>مكرراً ثالثاً</w:t>
      </w:r>
      <w:r w:rsidRPr="003F2E2C">
        <w:rPr>
          <w:rtl/>
        </w:rPr>
        <w:t xml:space="preserve"> فيما يتعلق بـ</w:t>
      </w:r>
      <w:r w:rsidR="00980359">
        <w:rPr>
          <w:rFonts w:hint="cs"/>
          <w:rtl/>
        </w:rPr>
        <w:t xml:space="preserve">التعيين المشمول في </w:t>
      </w:r>
      <w:r w:rsidRPr="003F2E2C">
        <w:rPr>
          <w:rtl/>
        </w:rPr>
        <w:t>بطاقة التبليغ هذه. وتُبلَغ هذه الإدارات من خلال رسالة الفاكس هذه باستلام بطاقة التبليغ هذه بموجب الفقرة 1.6.</w:t>
      </w:r>
      <w:r w:rsidRPr="003F2E2C">
        <w:rPr>
          <w:sz w:val="16"/>
          <w:szCs w:val="16"/>
        </w:rPr>
        <w:t>(WRC-23)     </w:t>
      </w:r>
    </w:p>
    <w:p w14:paraId="20F13FAE" w14:textId="77777777" w:rsidR="00D817D4" w:rsidRPr="003F2E2C" w:rsidRDefault="00D817D4">
      <w:pPr>
        <w:pStyle w:val="Reasons"/>
      </w:pPr>
    </w:p>
    <w:p w14:paraId="6224C602" w14:textId="77777777" w:rsidR="00D817D4" w:rsidRPr="003F2E2C" w:rsidRDefault="003F2E2C">
      <w:pPr>
        <w:pStyle w:val="Proposal"/>
      </w:pPr>
      <w:r w:rsidRPr="003F2E2C">
        <w:t>ADD</w:t>
      </w:r>
      <w:r w:rsidRPr="003F2E2C">
        <w:tab/>
        <w:t>IAP/44A22A11/2</w:t>
      </w:r>
      <w:r w:rsidRPr="003F2E2C">
        <w:rPr>
          <w:vanish/>
          <w:color w:val="7F7F7F" w:themeColor="text1" w:themeTint="80"/>
          <w:vertAlign w:val="superscript"/>
        </w:rPr>
        <w:t>#2150</w:t>
      </w:r>
    </w:p>
    <w:p w14:paraId="37CD25BA" w14:textId="3A05F80F" w:rsidR="003F2E2C" w:rsidRPr="000258BB" w:rsidRDefault="003F2E2C" w:rsidP="005E7FBF">
      <w:pPr>
        <w:rPr>
          <w:spacing w:val="-2"/>
        </w:rPr>
      </w:pPr>
      <w:r w:rsidRPr="000258BB">
        <w:rPr>
          <w:rStyle w:val="Provsplit"/>
          <w:rFonts w:ascii="Dubai" w:hAnsi="Dubai" w:cs="Dubai"/>
          <w:spacing w:val="-2"/>
        </w:rPr>
        <w:t>15.6</w:t>
      </w:r>
      <w:r w:rsidRPr="000258BB">
        <w:rPr>
          <w:rStyle w:val="Provsplit"/>
          <w:rFonts w:ascii="Dubai" w:hAnsi="Dubai" w:cs="Dubai"/>
          <w:i/>
          <w:iCs/>
          <w:spacing w:val="-2"/>
          <w:rtl/>
        </w:rPr>
        <w:t>مكرراً ثالثاً</w:t>
      </w:r>
      <w:r w:rsidRPr="000258BB">
        <w:rPr>
          <w:b/>
          <w:bCs/>
          <w:spacing w:val="-2"/>
          <w:rtl/>
        </w:rPr>
        <w:tab/>
      </w:r>
      <w:r w:rsidRPr="000258BB">
        <w:rPr>
          <w:spacing w:val="-2"/>
          <w:rtl/>
        </w:rPr>
        <w:t xml:space="preserve">تلتزم الإدارة المبلغة بالامتثال لحدود كثافة تدفق القدرة الواردة في القسم 2.2 من الملحق 4 </w:t>
      </w:r>
      <w:r w:rsidR="00980359" w:rsidRPr="000258BB">
        <w:rPr>
          <w:rFonts w:hint="cs"/>
          <w:spacing w:val="-2"/>
          <w:rtl/>
        </w:rPr>
        <w:t>بالتذييل</w:t>
      </w:r>
      <w:r w:rsidR="000258BB" w:rsidRPr="000258BB">
        <w:rPr>
          <w:rFonts w:hint="eastAsia"/>
          <w:spacing w:val="-2"/>
          <w:rtl/>
        </w:rPr>
        <w:t> </w:t>
      </w:r>
      <w:r w:rsidR="000258BB" w:rsidRPr="000258BB">
        <w:rPr>
          <w:rStyle w:val="Appref"/>
          <w:b/>
          <w:bCs/>
          <w:spacing w:val="-2"/>
        </w:rPr>
        <w:t>30B</w:t>
      </w:r>
      <w:r w:rsidR="000258BB" w:rsidRPr="000258BB">
        <w:rPr>
          <w:rFonts w:hint="cs"/>
          <w:spacing w:val="-2"/>
          <w:rtl/>
        </w:rPr>
        <w:t xml:space="preserve"> </w:t>
      </w:r>
      <w:r w:rsidRPr="000258BB">
        <w:rPr>
          <w:spacing w:val="-2"/>
          <w:rtl/>
        </w:rPr>
        <w:t xml:space="preserve">في أي نقطة واقعة داخل كفاف </w:t>
      </w:r>
      <w:r w:rsidRPr="000258BB">
        <w:rPr>
          <w:spacing w:val="-2"/>
        </w:rPr>
        <w:t>dB 3–</w:t>
      </w:r>
      <w:r w:rsidRPr="000258BB">
        <w:rPr>
          <w:spacing w:val="-2"/>
          <w:rtl/>
        </w:rPr>
        <w:t xml:space="preserve"> من منطقة الحزمة المصاحبة، داخل أراضي الإدارة التي </w:t>
      </w:r>
      <w:r w:rsidR="00295DF8" w:rsidRPr="000258BB">
        <w:rPr>
          <w:rFonts w:hint="cs"/>
          <w:spacing w:val="-2"/>
          <w:rtl/>
        </w:rPr>
        <w:t>حُدد</w:t>
      </w:r>
      <w:r w:rsidR="00295DF8" w:rsidRPr="000258BB">
        <w:rPr>
          <w:spacing w:val="-2"/>
          <w:rtl/>
        </w:rPr>
        <w:t xml:space="preserve"> </w:t>
      </w:r>
      <w:r w:rsidRPr="000258BB">
        <w:rPr>
          <w:spacing w:val="-2"/>
          <w:rtl/>
        </w:rPr>
        <w:t>تعيينها</w:t>
      </w:r>
      <w:r w:rsidR="00980359" w:rsidRPr="000258BB">
        <w:rPr>
          <w:rFonts w:hint="cs"/>
          <w:spacing w:val="-2"/>
          <w:rtl/>
        </w:rPr>
        <w:t xml:space="preserve"> على أنه متأثر بموجب الفقرة 5.6 والتي لم يتلقى المكتب أي قرار بشأنها عملاً بالفقرة 5.6 </w:t>
      </w:r>
      <w:r w:rsidR="001B3BC1" w:rsidRPr="000258BB">
        <w:rPr>
          <w:rFonts w:hint="cs"/>
          <w:spacing w:val="-2"/>
          <w:rtl/>
        </w:rPr>
        <w:t>اعتباراً من</w:t>
      </w:r>
      <w:r w:rsidRPr="000258BB">
        <w:rPr>
          <w:spacing w:val="-2"/>
          <w:rtl/>
        </w:rPr>
        <w:t xml:space="preserve"> التاريخ الذي سيتم فيه وضع تخصيص التردد في الخدمة المبلغ عنه بموجب الفقرة 10.8</w:t>
      </w:r>
      <w:r w:rsidRPr="000258BB">
        <w:rPr>
          <w:i/>
          <w:iCs/>
          <w:spacing w:val="-2"/>
          <w:rtl/>
        </w:rPr>
        <w:t>مكرراً</w:t>
      </w:r>
      <w:r w:rsidRPr="000258BB">
        <w:rPr>
          <w:spacing w:val="-2"/>
          <w:rtl/>
        </w:rPr>
        <w:t xml:space="preserve"> أو في غضون اثني عشر شهراً من تاريخ إرسال رسالة الفاكس المرسلة بموجب الفقرة 10.8</w:t>
      </w:r>
      <w:r w:rsidRPr="000258BB">
        <w:rPr>
          <w:i/>
          <w:iCs/>
          <w:spacing w:val="-2"/>
          <w:rtl/>
        </w:rPr>
        <w:t>مكرراً</w:t>
      </w:r>
      <w:r w:rsidRPr="000258BB">
        <w:rPr>
          <w:spacing w:val="-2"/>
          <w:rtl/>
        </w:rPr>
        <w:t>، أيهما أبعد.</w:t>
      </w:r>
      <w:r w:rsidR="001B3BC1" w:rsidRPr="000258BB">
        <w:rPr>
          <w:spacing w:val="-2"/>
          <w:rtl/>
        </w:rPr>
        <w:t xml:space="preserve"> ويمكن أيضاً الحصول على موافقة الإدارة التي تم تحديدها على أنها متأثرة بموجب الفقرة 5.6 فيما</w:t>
      </w:r>
      <w:r w:rsidR="000258BB">
        <w:rPr>
          <w:rFonts w:hint="cs"/>
          <w:spacing w:val="-2"/>
          <w:rtl/>
        </w:rPr>
        <w:t> </w:t>
      </w:r>
      <w:r w:rsidR="001B3BC1" w:rsidRPr="000258BB">
        <w:rPr>
          <w:spacing w:val="-2"/>
          <w:rtl/>
        </w:rPr>
        <w:t xml:space="preserve">يتعلق بتعيينها </w:t>
      </w:r>
      <w:r w:rsidR="005E7FBF" w:rsidRPr="000258BB">
        <w:rPr>
          <w:rFonts w:hint="cs"/>
          <w:spacing w:val="-2"/>
          <w:rtl/>
        </w:rPr>
        <w:t>والتي أعربت</w:t>
      </w:r>
      <w:r w:rsidR="001B3BC1" w:rsidRPr="000258BB">
        <w:rPr>
          <w:spacing w:val="-2"/>
          <w:rtl/>
        </w:rPr>
        <w:t xml:space="preserve"> عن عدم موافقتها، </w:t>
      </w:r>
      <w:r w:rsidR="005E7FBF" w:rsidRPr="000258BB">
        <w:rPr>
          <w:rFonts w:hint="cs"/>
          <w:spacing w:val="-2"/>
          <w:rtl/>
        </w:rPr>
        <w:t>وفقاً</w:t>
      </w:r>
      <w:r w:rsidR="001B3BC1" w:rsidRPr="000258BB">
        <w:rPr>
          <w:spacing w:val="-2"/>
          <w:rtl/>
        </w:rPr>
        <w:t xml:space="preserve"> </w:t>
      </w:r>
      <w:r w:rsidR="005E7FBF" w:rsidRPr="000258BB">
        <w:rPr>
          <w:rFonts w:hint="cs"/>
          <w:spacing w:val="-2"/>
          <w:rtl/>
        </w:rPr>
        <w:t>ل</w:t>
      </w:r>
      <w:r w:rsidR="001B3BC1" w:rsidRPr="000258BB">
        <w:rPr>
          <w:spacing w:val="-2"/>
          <w:rtl/>
        </w:rPr>
        <w:t>هذه الفقرة</w:t>
      </w:r>
      <w:r w:rsidR="001B3BC1" w:rsidRPr="000258BB">
        <w:rPr>
          <w:rFonts w:hint="cs"/>
          <w:spacing w:val="-2"/>
          <w:rtl/>
        </w:rPr>
        <w:t>.</w:t>
      </w:r>
      <w:r w:rsidR="001B3BC1" w:rsidRPr="000258BB">
        <w:rPr>
          <w:spacing w:val="-2"/>
          <w:rtl/>
        </w:rPr>
        <w:t xml:space="preserve"> </w:t>
      </w:r>
      <w:r w:rsidRPr="000258BB">
        <w:rPr>
          <w:spacing w:val="-2"/>
          <w:sz w:val="16"/>
          <w:szCs w:val="16"/>
        </w:rPr>
        <w:t>(WRC-23)     </w:t>
      </w:r>
    </w:p>
    <w:p w14:paraId="542D12BB" w14:textId="43C52820" w:rsidR="00D817D4" w:rsidRPr="00080358" w:rsidRDefault="00E00A7A" w:rsidP="00901184">
      <w:pPr>
        <w:pStyle w:val="EditorsNote"/>
        <w:rPr>
          <w:spacing w:val="-2"/>
        </w:rPr>
      </w:pPr>
      <w:r w:rsidRPr="00080358">
        <w:rPr>
          <w:rFonts w:hint="cs"/>
          <w:spacing w:val="-2"/>
          <w:rtl/>
        </w:rPr>
        <w:t>ملاحظة المحرر:</w:t>
      </w:r>
      <w:r w:rsidR="001B3BC1" w:rsidRPr="00080358">
        <w:rPr>
          <w:rFonts w:hint="cs"/>
          <w:spacing w:val="-2"/>
          <w:rtl/>
        </w:rPr>
        <w:t xml:space="preserve"> </w:t>
      </w:r>
      <w:r w:rsidR="001B3BC1" w:rsidRPr="00080358">
        <w:rPr>
          <w:spacing w:val="-2"/>
          <w:rtl/>
        </w:rPr>
        <w:t xml:space="preserve">تقترح </w:t>
      </w:r>
      <w:r w:rsidR="005E7FBF" w:rsidRPr="00080358">
        <w:rPr>
          <w:spacing w:val="-2"/>
          <w:rtl/>
        </w:rPr>
        <w:t xml:space="preserve">لجنة البلدان الأمريكية للاتصالات </w:t>
      </w:r>
      <w:r w:rsidR="005E7FBF" w:rsidRPr="00080358">
        <w:rPr>
          <w:spacing w:val="-2"/>
          <w:lang w:val="de-CH"/>
        </w:rPr>
        <w:t>(CITEL)</w:t>
      </w:r>
      <w:r w:rsidR="005E7FBF" w:rsidRPr="00080358">
        <w:rPr>
          <w:rFonts w:hint="cs"/>
          <w:spacing w:val="-2"/>
          <w:rtl/>
          <w:lang w:val="fr-CH" w:bidi="ar-SY"/>
        </w:rPr>
        <w:t xml:space="preserve"> </w:t>
      </w:r>
      <w:r w:rsidR="001B3BC1" w:rsidRPr="00080358">
        <w:rPr>
          <w:spacing w:val="-2"/>
          <w:rtl/>
        </w:rPr>
        <w:t xml:space="preserve">استخدام نفس الصياغة المستخدمة في الفقرة </w:t>
      </w:r>
      <w:r w:rsidR="007A26D1" w:rsidRPr="00080358">
        <w:rPr>
          <w:spacing w:val="-2"/>
          <w:rtl/>
        </w:rPr>
        <w:t>15.6مكرراً ثالثاً</w:t>
      </w:r>
      <w:r w:rsidR="007A26D1" w:rsidRPr="00080358" w:rsidDel="007A26D1">
        <w:rPr>
          <w:spacing w:val="-2"/>
          <w:rtl/>
        </w:rPr>
        <w:t xml:space="preserve"> </w:t>
      </w:r>
      <w:r w:rsidR="001B3BC1" w:rsidRPr="00080358">
        <w:rPr>
          <w:spacing w:val="-2"/>
          <w:rtl/>
        </w:rPr>
        <w:t xml:space="preserve">في إطار الموضوع </w:t>
      </w:r>
      <w:r w:rsidR="008349BC" w:rsidRPr="00080358">
        <w:rPr>
          <w:spacing w:val="-2"/>
        </w:rPr>
        <w:t>H</w:t>
      </w:r>
      <w:r w:rsidR="001B3BC1" w:rsidRPr="00080358">
        <w:rPr>
          <w:spacing w:val="-2"/>
          <w:rtl/>
        </w:rPr>
        <w:t xml:space="preserve"> هنا، </w:t>
      </w:r>
      <w:r w:rsidR="008349BC" w:rsidRPr="00080358">
        <w:rPr>
          <w:rFonts w:hint="cs"/>
          <w:spacing w:val="-2"/>
          <w:rtl/>
        </w:rPr>
        <w:t>مع</w:t>
      </w:r>
      <w:r w:rsidR="001B3BC1" w:rsidRPr="00080358">
        <w:rPr>
          <w:spacing w:val="-2"/>
          <w:rtl/>
        </w:rPr>
        <w:t xml:space="preserve"> ملاحظة أن الجملة الأخيرة من الحكم هي الجزء الذي يتناول إمكانية استخدام هذا النهج للتوصل إلى اتفاق بين </w:t>
      </w:r>
      <w:r w:rsidR="008349BC" w:rsidRPr="00080358">
        <w:rPr>
          <w:rFonts w:hint="cs"/>
          <w:spacing w:val="-2"/>
          <w:rtl/>
        </w:rPr>
        <w:t>ال</w:t>
      </w:r>
      <w:r w:rsidR="001B3BC1" w:rsidRPr="00080358">
        <w:rPr>
          <w:spacing w:val="-2"/>
          <w:rtl/>
        </w:rPr>
        <w:t xml:space="preserve">إدارة </w:t>
      </w:r>
      <w:r w:rsidR="008349BC" w:rsidRPr="00080358">
        <w:rPr>
          <w:rFonts w:hint="cs"/>
          <w:spacing w:val="-2"/>
          <w:rtl/>
        </w:rPr>
        <w:t>ال</w:t>
      </w:r>
      <w:r w:rsidR="001B3BC1" w:rsidRPr="00080358">
        <w:rPr>
          <w:spacing w:val="-2"/>
          <w:rtl/>
        </w:rPr>
        <w:t>مبلِّغة و</w:t>
      </w:r>
      <w:r w:rsidR="008349BC" w:rsidRPr="00080358">
        <w:rPr>
          <w:rFonts w:hint="cs"/>
          <w:spacing w:val="-2"/>
          <w:rtl/>
        </w:rPr>
        <w:t>ال</w:t>
      </w:r>
      <w:r w:rsidR="001B3BC1" w:rsidRPr="00080358">
        <w:rPr>
          <w:spacing w:val="-2"/>
          <w:rtl/>
        </w:rPr>
        <w:t>إدارة</w:t>
      </w:r>
      <w:r w:rsidR="008349BC" w:rsidRPr="00080358">
        <w:rPr>
          <w:rFonts w:hint="cs"/>
          <w:spacing w:val="-2"/>
          <w:rtl/>
        </w:rPr>
        <w:t xml:space="preserve"> التي</w:t>
      </w:r>
      <w:r w:rsidR="001B3BC1" w:rsidRPr="00080358">
        <w:rPr>
          <w:spacing w:val="-2"/>
          <w:rtl/>
        </w:rPr>
        <w:t xml:space="preserve"> تأثر </w:t>
      </w:r>
      <w:r w:rsidR="008349BC" w:rsidRPr="00080358">
        <w:rPr>
          <w:rFonts w:hint="cs"/>
          <w:spacing w:val="-2"/>
          <w:rtl/>
        </w:rPr>
        <w:t>تعيينها الوارد</w:t>
      </w:r>
      <w:r w:rsidR="001B3BC1" w:rsidRPr="00080358">
        <w:rPr>
          <w:spacing w:val="-2"/>
          <w:rtl/>
        </w:rPr>
        <w:t xml:space="preserve"> في الخطة </w:t>
      </w:r>
      <w:r w:rsidR="008349BC" w:rsidRPr="00080358">
        <w:rPr>
          <w:rFonts w:hint="cs"/>
          <w:spacing w:val="-2"/>
          <w:rtl/>
        </w:rPr>
        <w:t>وأبدت</w:t>
      </w:r>
      <w:r w:rsidR="001B3BC1" w:rsidRPr="00080358">
        <w:rPr>
          <w:spacing w:val="-2"/>
          <w:rtl/>
        </w:rPr>
        <w:t xml:space="preserve"> عدم موافقتها، وهذا يعني حتى في </w:t>
      </w:r>
      <w:r w:rsidR="008349BC" w:rsidRPr="00080358">
        <w:rPr>
          <w:rFonts w:hint="cs"/>
          <w:spacing w:val="-2"/>
          <w:rtl/>
        </w:rPr>
        <w:t>الحالة التي لا</w:t>
      </w:r>
      <w:r w:rsidR="006F57C9" w:rsidRPr="00080358">
        <w:rPr>
          <w:rFonts w:hint="eastAsia"/>
          <w:spacing w:val="-2"/>
          <w:rtl/>
        </w:rPr>
        <w:t> </w:t>
      </w:r>
      <w:r w:rsidR="008349BC" w:rsidRPr="00080358">
        <w:rPr>
          <w:rFonts w:hint="cs"/>
          <w:spacing w:val="-2"/>
          <w:rtl/>
        </w:rPr>
        <w:t xml:space="preserve">تنطبق فيها </w:t>
      </w:r>
      <w:r w:rsidR="007A26D1" w:rsidRPr="00080358">
        <w:rPr>
          <w:rFonts w:hint="cs"/>
          <w:spacing w:val="-2"/>
          <w:rtl/>
        </w:rPr>
        <w:t xml:space="preserve">الفقرة </w:t>
      </w:r>
      <w:r w:rsidR="008349BC" w:rsidRPr="00080358">
        <w:rPr>
          <w:rFonts w:hint="cs"/>
          <w:spacing w:val="-2"/>
          <w:rtl/>
        </w:rPr>
        <w:t>15.6.</w:t>
      </w:r>
    </w:p>
    <w:p w14:paraId="2BACD39A" w14:textId="77777777" w:rsidR="00B22643" w:rsidRPr="008349BC" w:rsidRDefault="00B22643" w:rsidP="00B22643">
      <w:pPr>
        <w:pStyle w:val="Reasons"/>
      </w:pPr>
    </w:p>
    <w:p w14:paraId="603478AF" w14:textId="77777777" w:rsidR="00D817D4" w:rsidRPr="003F2E2C" w:rsidRDefault="003F2E2C">
      <w:pPr>
        <w:pStyle w:val="Proposal"/>
      </w:pPr>
      <w:r w:rsidRPr="003F2E2C">
        <w:t>ADD</w:t>
      </w:r>
      <w:r w:rsidRPr="003F2E2C">
        <w:tab/>
        <w:t>IAP/44A22A11/3</w:t>
      </w:r>
      <w:r w:rsidRPr="003F2E2C">
        <w:rPr>
          <w:vanish/>
          <w:color w:val="7F7F7F" w:themeColor="text1" w:themeTint="80"/>
          <w:vertAlign w:val="superscript"/>
        </w:rPr>
        <w:t>#2151</w:t>
      </w:r>
    </w:p>
    <w:p w14:paraId="5806A8DD" w14:textId="05A9291B" w:rsidR="003F2E2C" w:rsidRPr="003F2E2C" w:rsidRDefault="003F2E2C" w:rsidP="00F91337">
      <w:pPr>
        <w:rPr>
          <w:sz w:val="16"/>
          <w:szCs w:val="16"/>
        </w:rPr>
      </w:pPr>
      <w:r w:rsidRPr="003F2E2C">
        <w:rPr>
          <w:rStyle w:val="Provsplit"/>
          <w:rFonts w:ascii="Dubai" w:hAnsi="Dubai" w:cs="Dubai"/>
        </w:rPr>
        <w:t>15.6</w:t>
      </w:r>
      <w:r w:rsidRPr="003F2E2C">
        <w:rPr>
          <w:rStyle w:val="Provsplit"/>
          <w:rFonts w:ascii="Dubai" w:hAnsi="Dubai" w:cs="Dubai"/>
          <w:i/>
          <w:iCs/>
          <w:rtl/>
        </w:rPr>
        <w:t>مكرراً رابعاً</w:t>
      </w:r>
      <w:r w:rsidRPr="003F2E2C">
        <w:rPr>
          <w:b/>
          <w:bCs/>
          <w:rtl/>
        </w:rPr>
        <w:tab/>
      </w:r>
      <w:r w:rsidRPr="003F2E2C">
        <w:rPr>
          <w:rtl/>
        </w:rPr>
        <w:t>عند إدخال تخصيص في القائمة،</w:t>
      </w:r>
      <w:r w:rsidR="001B3BC1">
        <w:rPr>
          <w:rFonts w:hint="cs"/>
          <w:rtl/>
        </w:rPr>
        <w:t xml:space="preserve"> </w:t>
      </w:r>
      <w:r w:rsidR="007A26D1">
        <w:rPr>
          <w:rFonts w:hint="cs"/>
          <w:rtl/>
        </w:rPr>
        <w:t>طبقاً للفقرة</w:t>
      </w:r>
      <w:r w:rsidR="001B3BC1">
        <w:rPr>
          <w:rFonts w:hint="cs"/>
          <w:rtl/>
        </w:rPr>
        <w:t xml:space="preserve"> </w:t>
      </w:r>
      <w:r w:rsidR="001B3BC1" w:rsidRPr="003F2E2C">
        <w:rPr>
          <w:rStyle w:val="Provsplit"/>
          <w:rFonts w:ascii="Dubai" w:hAnsi="Dubai" w:cs="Dubai"/>
        </w:rPr>
        <w:t>15.6</w:t>
      </w:r>
      <w:r w:rsidR="001B3BC1" w:rsidRPr="003F2E2C">
        <w:rPr>
          <w:rStyle w:val="Provsplit"/>
          <w:rFonts w:ascii="Dubai" w:hAnsi="Dubai" w:cs="Dubai"/>
          <w:i/>
          <w:iCs/>
          <w:rtl/>
        </w:rPr>
        <w:t>مكرراً ثالثاً</w:t>
      </w:r>
      <w:r w:rsidR="001B3BC1">
        <w:rPr>
          <w:rStyle w:val="Provsplit"/>
          <w:rFonts w:ascii="Dubai" w:hAnsi="Dubai" w:cs="Dubai" w:hint="cs"/>
          <w:i/>
          <w:iCs/>
          <w:rtl/>
        </w:rPr>
        <w:t>،</w:t>
      </w:r>
      <w:r w:rsidRPr="003F2E2C">
        <w:rPr>
          <w:rtl/>
        </w:rPr>
        <w:t xml:space="preserve"> يحدد المكتب الإدارات التي كانت تعييناتها أساس </w:t>
      </w:r>
      <w:r w:rsidR="001B3BC1">
        <w:rPr>
          <w:rFonts w:hint="cs"/>
          <w:rtl/>
        </w:rPr>
        <w:t xml:space="preserve">تطبيق الفقرة </w:t>
      </w:r>
      <w:r w:rsidR="001B3BC1" w:rsidRPr="003F2E2C">
        <w:rPr>
          <w:rStyle w:val="Provsplit"/>
          <w:rFonts w:ascii="Dubai" w:hAnsi="Dubai" w:cs="Dubai"/>
        </w:rPr>
        <w:t>15.6</w:t>
      </w:r>
      <w:r w:rsidR="001B3BC1" w:rsidRPr="003F2E2C">
        <w:rPr>
          <w:rStyle w:val="Provsplit"/>
          <w:rFonts w:ascii="Dubai" w:hAnsi="Dubai" w:cs="Dubai"/>
          <w:i/>
          <w:iCs/>
          <w:rtl/>
        </w:rPr>
        <w:t xml:space="preserve">مكرراً </w:t>
      </w:r>
      <w:proofErr w:type="gramStart"/>
      <w:r w:rsidR="001B3BC1" w:rsidRPr="003F2E2C">
        <w:rPr>
          <w:rStyle w:val="Provsplit"/>
          <w:rFonts w:ascii="Dubai" w:hAnsi="Dubai" w:cs="Dubai"/>
          <w:i/>
          <w:iCs/>
          <w:rtl/>
        </w:rPr>
        <w:t>ثالثاً</w:t>
      </w:r>
      <w:r w:rsidRPr="003F2E2C">
        <w:rPr>
          <w:rtl/>
        </w:rPr>
        <w:t>.</w:t>
      </w:r>
      <w:r w:rsidRPr="003F2E2C">
        <w:rPr>
          <w:sz w:val="16"/>
          <w:szCs w:val="16"/>
        </w:rPr>
        <w:t>(</w:t>
      </w:r>
      <w:proofErr w:type="gramEnd"/>
      <w:r w:rsidRPr="003F2E2C">
        <w:rPr>
          <w:sz w:val="16"/>
          <w:szCs w:val="16"/>
        </w:rPr>
        <w:t>WRC-23)     </w:t>
      </w:r>
    </w:p>
    <w:p w14:paraId="12891794" w14:textId="77777777" w:rsidR="00D817D4" w:rsidRPr="003F2E2C" w:rsidRDefault="00D817D4">
      <w:pPr>
        <w:pStyle w:val="Reasons"/>
      </w:pPr>
    </w:p>
    <w:p w14:paraId="305A54D2" w14:textId="77777777" w:rsidR="00D817D4" w:rsidRPr="003F2E2C" w:rsidRDefault="003F2E2C">
      <w:pPr>
        <w:pStyle w:val="Proposal"/>
      </w:pPr>
      <w:r w:rsidRPr="003F2E2C">
        <w:t>ADD</w:t>
      </w:r>
      <w:r w:rsidRPr="003F2E2C">
        <w:tab/>
        <w:t>IAP/44A22A11/4</w:t>
      </w:r>
      <w:r w:rsidRPr="003F2E2C">
        <w:rPr>
          <w:vanish/>
          <w:color w:val="7F7F7F" w:themeColor="text1" w:themeTint="80"/>
          <w:vertAlign w:val="superscript"/>
        </w:rPr>
        <w:t>#2152</w:t>
      </w:r>
    </w:p>
    <w:p w14:paraId="1474BDC8" w14:textId="72AD30CB" w:rsidR="003F2E2C" w:rsidRPr="003F2E2C" w:rsidRDefault="003F2E2C" w:rsidP="00F91337">
      <w:pPr>
        <w:rPr>
          <w:sz w:val="16"/>
          <w:szCs w:val="16"/>
        </w:rPr>
      </w:pPr>
      <w:r w:rsidRPr="003F2E2C">
        <w:rPr>
          <w:rStyle w:val="Provsplit"/>
          <w:rFonts w:ascii="Dubai" w:hAnsi="Dubai" w:cs="Dubai"/>
        </w:rPr>
        <w:t>27.6</w:t>
      </w:r>
      <w:r w:rsidRPr="003F2E2C">
        <w:rPr>
          <w:rStyle w:val="Provsplit"/>
          <w:rFonts w:ascii="Dubai" w:hAnsi="Dubai" w:cs="Dubai"/>
          <w:i/>
          <w:iCs/>
          <w:rtl/>
        </w:rPr>
        <w:t>مكرراً</w:t>
      </w:r>
      <w:r w:rsidRPr="003F2E2C">
        <w:rPr>
          <w:b/>
          <w:bCs/>
          <w:rtl/>
        </w:rPr>
        <w:tab/>
      </w:r>
      <w:r w:rsidRPr="003F2E2C">
        <w:rPr>
          <w:rtl/>
        </w:rPr>
        <w:t xml:space="preserve">عند إدخال تخصيص في القائمة </w:t>
      </w:r>
      <w:r w:rsidR="001B3BC1">
        <w:rPr>
          <w:rFonts w:hint="cs"/>
          <w:rtl/>
        </w:rPr>
        <w:t>وفقاً</w:t>
      </w:r>
      <w:r w:rsidRPr="003F2E2C">
        <w:rPr>
          <w:rtl/>
        </w:rPr>
        <w:t xml:space="preserve"> </w:t>
      </w:r>
      <w:r w:rsidR="001B3BC1">
        <w:rPr>
          <w:rFonts w:hint="cs"/>
          <w:rtl/>
        </w:rPr>
        <w:t>ل</w:t>
      </w:r>
      <w:r w:rsidRPr="003F2E2C">
        <w:rPr>
          <w:rtl/>
        </w:rPr>
        <w:t xml:space="preserve">لفقرة </w:t>
      </w:r>
      <w:r w:rsidRPr="003F2E2C">
        <w:t>15.6</w:t>
      </w:r>
      <w:r w:rsidRPr="003F2E2C">
        <w:rPr>
          <w:i/>
          <w:iCs/>
          <w:rtl/>
        </w:rPr>
        <w:t>مكرراً رابعاً</w:t>
      </w:r>
      <w:r w:rsidRPr="003F2E2C">
        <w:rPr>
          <w:rtl/>
        </w:rPr>
        <w:t xml:space="preserve">، </w:t>
      </w:r>
      <w:r w:rsidR="001B3BC1">
        <w:rPr>
          <w:rFonts w:hint="cs"/>
          <w:rtl/>
        </w:rPr>
        <w:t>لا يؤخذ في الاعتبار</w:t>
      </w:r>
      <w:r w:rsidRPr="003F2E2C">
        <w:rPr>
          <w:rtl/>
        </w:rPr>
        <w:t xml:space="preserve"> عند تحديث الحالة المرجعية </w:t>
      </w:r>
      <w:r w:rsidR="001B3BC1">
        <w:rPr>
          <w:rFonts w:hint="cs"/>
          <w:rtl/>
        </w:rPr>
        <w:t>ل</w:t>
      </w:r>
      <w:r w:rsidRPr="003F2E2C">
        <w:rPr>
          <w:rtl/>
        </w:rPr>
        <w:t xml:space="preserve">لتعيينات التي كانت أساس </w:t>
      </w:r>
      <w:r w:rsidR="001B3BC1">
        <w:rPr>
          <w:rFonts w:hint="cs"/>
          <w:rtl/>
        </w:rPr>
        <w:t>تطبيق</w:t>
      </w:r>
      <w:r w:rsidRPr="003F2E2C">
        <w:rPr>
          <w:rtl/>
        </w:rPr>
        <w:t xml:space="preserve"> الفقرة </w:t>
      </w:r>
      <w:r w:rsidRPr="003F2E2C">
        <w:rPr>
          <w:rStyle w:val="Provsplit"/>
          <w:rFonts w:ascii="Dubai" w:hAnsi="Dubai" w:cs="Dubai"/>
        </w:rPr>
        <w:t>15.</w:t>
      </w:r>
      <w:r w:rsidRPr="003F2E2C">
        <w:t>6</w:t>
      </w:r>
      <w:r w:rsidRPr="003F2E2C">
        <w:rPr>
          <w:i/>
          <w:iCs/>
          <w:rtl/>
        </w:rPr>
        <w:t>مكرراً</w:t>
      </w:r>
      <w:r w:rsidRPr="003F2E2C">
        <w:rPr>
          <w:rtl/>
        </w:rPr>
        <w:t xml:space="preserve"> </w:t>
      </w:r>
      <w:proofErr w:type="gramStart"/>
      <w:r w:rsidRPr="003F2E2C">
        <w:rPr>
          <w:i/>
          <w:iCs/>
          <w:rtl/>
        </w:rPr>
        <w:t>ثالثاً</w:t>
      </w:r>
      <w:r w:rsidRPr="003F2E2C">
        <w:rPr>
          <w:rStyle w:val="Provsplit"/>
          <w:rFonts w:ascii="Dubai" w:hAnsi="Dubai" w:cs="Dubai"/>
          <w:i/>
          <w:iCs/>
          <w:rtl/>
        </w:rPr>
        <w:t>.</w:t>
      </w:r>
      <w:r w:rsidRPr="003F2E2C">
        <w:rPr>
          <w:sz w:val="16"/>
          <w:szCs w:val="16"/>
        </w:rPr>
        <w:t>(</w:t>
      </w:r>
      <w:proofErr w:type="gramEnd"/>
      <w:r w:rsidRPr="003F2E2C">
        <w:rPr>
          <w:sz w:val="16"/>
          <w:szCs w:val="16"/>
        </w:rPr>
        <w:t>WRC-23)     </w:t>
      </w:r>
    </w:p>
    <w:p w14:paraId="5DA14BB1" w14:textId="77777777" w:rsidR="00D817D4" w:rsidRPr="003F2E2C" w:rsidRDefault="00D817D4">
      <w:pPr>
        <w:pStyle w:val="Reasons"/>
      </w:pPr>
    </w:p>
    <w:p w14:paraId="0FE19B52" w14:textId="77777777" w:rsidR="00D817D4" w:rsidRPr="003F2E2C" w:rsidRDefault="003F2E2C">
      <w:pPr>
        <w:pStyle w:val="Proposal"/>
      </w:pPr>
      <w:r w:rsidRPr="003F2E2C">
        <w:t>ADD</w:t>
      </w:r>
      <w:r w:rsidRPr="003F2E2C">
        <w:tab/>
        <w:t>IAP/44A22A11/5</w:t>
      </w:r>
      <w:r w:rsidRPr="003F2E2C">
        <w:rPr>
          <w:vanish/>
          <w:color w:val="7F7F7F" w:themeColor="text1" w:themeTint="80"/>
          <w:vertAlign w:val="superscript"/>
        </w:rPr>
        <w:t>#2153</w:t>
      </w:r>
    </w:p>
    <w:p w14:paraId="5D106058" w14:textId="46EF671F" w:rsidR="003F2E2C" w:rsidRPr="003F2E2C" w:rsidRDefault="003F2E2C" w:rsidP="009978A9">
      <w:pPr>
        <w:rPr>
          <w:sz w:val="18"/>
          <w:szCs w:val="18"/>
        </w:rPr>
      </w:pPr>
      <w:r w:rsidRPr="003F2E2C">
        <w:rPr>
          <w:rStyle w:val="Provsplit"/>
          <w:rFonts w:ascii="Dubai" w:hAnsi="Dubai" w:cs="Dubai"/>
          <w:spacing w:val="-4"/>
        </w:rPr>
        <w:t>29.6</w:t>
      </w:r>
      <w:r w:rsidRPr="003F2E2C">
        <w:rPr>
          <w:rStyle w:val="Provsplit"/>
          <w:rFonts w:ascii="Dubai" w:hAnsi="Dubai" w:cs="Dubai"/>
          <w:i/>
          <w:iCs/>
          <w:spacing w:val="-4"/>
          <w:rtl/>
        </w:rPr>
        <w:t>مكرراً</w:t>
      </w:r>
      <w:r w:rsidRPr="003F2E2C">
        <w:rPr>
          <w:b/>
          <w:bCs/>
          <w:rtl/>
        </w:rPr>
        <w:tab/>
      </w:r>
      <w:r w:rsidR="001B3BC1">
        <w:rPr>
          <w:rFonts w:hint="cs"/>
          <w:rtl/>
        </w:rPr>
        <w:t xml:space="preserve">إذا </w:t>
      </w:r>
      <w:r w:rsidR="007A26D1">
        <w:rPr>
          <w:rFonts w:hint="cs"/>
          <w:rtl/>
        </w:rPr>
        <w:t xml:space="preserve">أُبلغ </w:t>
      </w:r>
      <w:r w:rsidR="001B3BC1">
        <w:rPr>
          <w:rFonts w:hint="cs"/>
          <w:rtl/>
        </w:rPr>
        <w:t xml:space="preserve">المكتب بأن الإدارة المبلغة عن </w:t>
      </w:r>
      <w:r w:rsidRPr="003F2E2C">
        <w:rPr>
          <w:rtl/>
        </w:rPr>
        <w:t xml:space="preserve">تخصيص مدرج في القائمة </w:t>
      </w:r>
      <w:r w:rsidR="001B3BC1">
        <w:rPr>
          <w:rFonts w:hint="cs"/>
          <w:rtl/>
        </w:rPr>
        <w:t>تنطبق عليه</w:t>
      </w:r>
      <w:r w:rsidR="007A26D1">
        <w:rPr>
          <w:rFonts w:hint="cs"/>
          <w:rtl/>
        </w:rPr>
        <w:t xml:space="preserve"> </w:t>
      </w:r>
      <w:r w:rsidRPr="003F2E2C">
        <w:rPr>
          <w:rtl/>
        </w:rPr>
        <w:t xml:space="preserve">الفقرة </w:t>
      </w:r>
      <w:r w:rsidRPr="003F2E2C">
        <w:rPr>
          <w:rStyle w:val="Provsplit"/>
          <w:rFonts w:ascii="Dubai" w:hAnsi="Dubai" w:cs="Dubai"/>
          <w:spacing w:val="-4"/>
        </w:rPr>
        <w:t>15.6</w:t>
      </w:r>
      <w:r w:rsidRPr="003F2E2C">
        <w:rPr>
          <w:rStyle w:val="Provsplit"/>
          <w:rFonts w:ascii="Dubai" w:hAnsi="Dubai" w:cs="Dubai"/>
          <w:i/>
          <w:iCs/>
          <w:spacing w:val="-4"/>
          <w:rtl/>
        </w:rPr>
        <w:t>مكرراً ثالثاً</w:t>
      </w:r>
      <w:r w:rsidRPr="003F2E2C">
        <w:rPr>
          <w:i/>
          <w:iCs/>
          <w:rtl/>
        </w:rPr>
        <w:t>،</w:t>
      </w:r>
      <w:r w:rsidRPr="003F2E2C">
        <w:rPr>
          <w:rtl/>
        </w:rPr>
        <w:t xml:space="preserve"> </w:t>
      </w:r>
      <w:r w:rsidR="001B3BC1">
        <w:rPr>
          <w:rFonts w:hint="cs"/>
          <w:rtl/>
        </w:rPr>
        <w:t xml:space="preserve">لم تف بالتزامها، </w:t>
      </w:r>
      <w:r w:rsidRPr="003F2E2C">
        <w:rPr>
          <w:rtl/>
        </w:rPr>
        <w:t xml:space="preserve">يتشاور المكتب على الفور مع </w:t>
      </w:r>
      <w:r w:rsidR="00D56224">
        <w:rPr>
          <w:rFonts w:hint="cs"/>
          <w:rtl/>
        </w:rPr>
        <w:t xml:space="preserve">هذه </w:t>
      </w:r>
      <w:r w:rsidRPr="003F2E2C">
        <w:rPr>
          <w:rtl/>
        </w:rPr>
        <w:t>الإدارة، ويطلب منها الامتثال الفوري</w:t>
      </w:r>
      <w:r w:rsidR="00D56224">
        <w:rPr>
          <w:rFonts w:hint="cs"/>
          <w:rtl/>
        </w:rPr>
        <w:t xml:space="preserve"> </w:t>
      </w:r>
      <w:proofErr w:type="gramStart"/>
      <w:r w:rsidR="00D56224">
        <w:rPr>
          <w:rFonts w:hint="cs"/>
          <w:rtl/>
        </w:rPr>
        <w:t>لالتزا</w:t>
      </w:r>
      <w:r w:rsidR="00D56224">
        <w:rPr>
          <w:rFonts w:hint="eastAsia"/>
          <w:rtl/>
        </w:rPr>
        <w:t>م</w:t>
      </w:r>
      <w:r w:rsidR="00D56224">
        <w:rPr>
          <w:rFonts w:hint="cs"/>
          <w:rtl/>
        </w:rPr>
        <w:t>ها</w:t>
      </w:r>
      <w:r w:rsidRPr="003F2E2C">
        <w:rPr>
          <w:rtl/>
        </w:rPr>
        <w:t>.</w:t>
      </w:r>
      <w:r w:rsidRPr="003F2E2C">
        <w:rPr>
          <w:sz w:val="16"/>
          <w:szCs w:val="16"/>
        </w:rPr>
        <w:t>(</w:t>
      </w:r>
      <w:proofErr w:type="gramEnd"/>
      <w:r w:rsidRPr="003F2E2C">
        <w:rPr>
          <w:sz w:val="16"/>
          <w:szCs w:val="16"/>
        </w:rPr>
        <w:t>WRC</w:t>
      </w:r>
      <w:r w:rsidRPr="003F2E2C">
        <w:rPr>
          <w:sz w:val="16"/>
          <w:szCs w:val="16"/>
        </w:rPr>
        <w:noBreakHyphen/>
        <w:t>23)     </w:t>
      </w:r>
    </w:p>
    <w:p w14:paraId="584CFBB7" w14:textId="77777777" w:rsidR="00D817D4" w:rsidRPr="00D56224" w:rsidRDefault="00D817D4">
      <w:pPr>
        <w:pStyle w:val="Reasons"/>
      </w:pPr>
    </w:p>
    <w:p w14:paraId="1C617CF7" w14:textId="77777777" w:rsidR="00D817D4" w:rsidRPr="003F2E2C" w:rsidRDefault="003F2E2C">
      <w:pPr>
        <w:pStyle w:val="Proposal"/>
      </w:pPr>
      <w:r w:rsidRPr="003F2E2C">
        <w:t>ADD</w:t>
      </w:r>
      <w:r w:rsidRPr="003F2E2C">
        <w:tab/>
        <w:t>IAP/44A22A11/6</w:t>
      </w:r>
      <w:r w:rsidRPr="003F2E2C">
        <w:rPr>
          <w:vanish/>
          <w:color w:val="7F7F7F" w:themeColor="text1" w:themeTint="80"/>
          <w:vertAlign w:val="superscript"/>
        </w:rPr>
        <w:t>#2154</w:t>
      </w:r>
    </w:p>
    <w:p w14:paraId="6303CF45" w14:textId="74DE7604" w:rsidR="003F2E2C" w:rsidRPr="003F2E2C" w:rsidRDefault="003F2E2C" w:rsidP="00F91337">
      <w:pPr>
        <w:rPr>
          <w:rtl/>
        </w:rPr>
      </w:pPr>
      <w:r w:rsidRPr="003F2E2C">
        <w:rPr>
          <w:rStyle w:val="Provsplit"/>
          <w:rFonts w:ascii="Dubai" w:hAnsi="Dubai" w:cs="Dubai"/>
        </w:rPr>
        <w:t>29.6</w:t>
      </w:r>
      <w:r w:rsidRPr="003F2E2C">
        <w:rPr>
          <w:rStyle w:val="Provsplit"/>
          <w:rFonts w:ascii="Dubai" w:hAnsi="Dubai" w:cs="Dubai"/>
          <w:i/>
          <w:iCs/>
          <w:rtl/>
        </w:rPr>
        <w:t>مكرراً ثانياً</w:t>
      </w:r>
      <w:r w:rsidRPr="003F2E2C">
        <w:rPr>
          <w:b/>
          <w:bCs/>
          <w:rtl/>
        </w:rPr>
        <w:tab/>
      </w:r>
      <w:r w:rsidR="00D56224">
        <w:rPr>
          <w:rFonts w:hint="cs"/>
          <w:rtl/>
        </w:rPr>
        <w:t>إذا كانت الإدارة المبلغة عن</w:t>
      </w:r>
      <w:r w:rsidRPr="003F2E2C">
        <w:rPr>
          <w:rtl/>
        </w:rPr>
        <w:t xml:space="preserve"> تخصيص مدرج في القائمة </w:t>
      </w:r>
      <w:r w:rsidR="007A26D1">
        <w:rPr>
          <w:rFonts w:hint="cs"/>
          <w:rtl/>
        </w:rPr>
        <w:t>طبقاً</w:t>
      </w:r>
      <w:r w:rsidR="007A26D1" w:rsidRPr="003F2E2C">
        <w:rPr>
          <w:rtl/>
        </w:rPr>
        <w:t xml:space="preserve"> </w:t>
      </w:r>
      <w:r w:rsidR="00D56224">
        <w:rPr>
          <w:rFonts w:hint="cs"/>
          <w:rtl/>
        </w:rPr>
        <w:t>ل</w:t>
      </w:r>
      <w:r w:rsidRPr="003F2E2C">
        <w:rPr>
          <w:rtl/>
        </w:rPr>
        <w:t xml:space="preserve">لفقرة </w:t>
      </w:r>
      <w:r w:rsidRPr="003F2E2C">
        <w:rPr>
          <w:rStyle w:val="Provsplit"/>
          <w:rFonts w:ascii="Dubai" w:hAnsi="Dubai" w:cs="Dubai"/>
        </w:rPr>
        <w:t>15.6</w:t>
      </w:r>
      <w:r w:rsidRPr="003F2E2C">
        <w:rPr>
          <w:rStyle w:val="Provsplit"/>
          <w:rFonts w:ascii="Dubai" w:hAnsi="Dubai" w:cs="Dubai"/>
          <w:i/>
          <w:iCs/>
          <w:rtl/>
        </w:rPr>
        <w:t>مكرراً ثالثاً</w:t>
      </w:r>
      <w:r w:rsidRPr="00D56224">
        <w:rPr>
          <w:rStyle w:val="Provsplit"/>
          <w:rFonts w:ascii="Dubai" w:hAnsi="Dubai" w:cs="Dubai"/>
          <w:rtl/>
        </w:rPr>
        <w:t>،</w:t>
      </w:r>
      <w:r w:rsidRPr="003F2E2C">
        <w:rPr>
          <w:i/>
          <w:iCs/>
          <w:rtl/>
        </w:rPr>
        <w:t xml:space="preserve"> </w:t>
      </w:r>
      <w:r w:rsidR="00D56224" w:rsidRPr="00D56224">
        <w:rPr>
          <w:rFonts w:hint="cs"/>
          <w:rtl/>
        </w:rPr>
        <w:t>تواص</w:t>
      </w:r>
      <w:r w:rsidR="00D56224">
        <w:rPr>
          <w:rFonts w:hint="cs"/>
          <w:rtl/>
        </w:rPr>
        <w:t xml:space="preserve">ل </w:t>
      </w:r>
      <w:r w:rsidR="00D56224" w:rsidRPr="00D56224">
        <w:rPr>
          <w:rFonts w:hint="cs"/>
          <w:rtl/>
        </w:rPr>
        <w:t>عدم امتثالها</w:t>
      </w:r>
      <w:r w:rsidR="00D56224">
        <w:rPr>
          <w:rFonts w:hint="cs"/>
          <w:rtl/>
        </w:rPr>
        <w:t xml:space="preserve"> </w:t>
      </w:r>
      <w:r w:rsidR="00D56224">
        <w:rPr>
          <w:rFonts w:hint="cs"/>
          <w:spacing w:val="-4"/>
          <w:rtl/>
        </w:rPr>
        <w:t>لالتزا</w:t>
      </w:r>
      <w:r w:rsidR="00D56224">
        <w:rPr>
          <w:rFonts w:hint="eastAsia"/>
          <w:spacing w:val="-4"/>
          <w:rtl/>
        </w:rPr>
        <w:t>م</w:t>
      </w:r>
      <w:r w:rsidR="00D56224">
        <w:rPr>
          <w:rFonts w:hint="cs"/>
          <w:spacing w:val="-4"/>
          <w:rtl/>
        </w:rPr>
        <w:t>ها</w:t>
      </w:r>
      <w:r w:rsidR="00D56224" w:rsidRPr="00D56224">
        <w:rPr>
          <w:rFonts w:hint="cs"/>
          <w:rtl/>
        </w:rPr>
        <w:t>،</w:t>
      </w:r>
      <w:r w:rsidR="00D56224">
        <w:rPr>
          <w:rFonts w:hint="cs"/>
          <w:i/>
          <w:iCs/>
          <w:rtl/>
        </w:rPr>
        <w:t xml:space="preserve"> </w:t>
      </w:r>
      <w:r w:rsidRPr="003F2E2C">
        <w:rPr>
          <w:rtl/>
        </w:rPr>
        <w:t>على الرغم من تطبيق الفقرة 29.6</w:t>
      </w:r>
      <w:r w:rsidRPr="003F2E2C">
        <w:rPr>
          <w:i/>
          <w:iCs/>
          <w:rtl/>
        </w:rPr>
        <w:t>مكرراً،</w:t>
      </w:r>
      <w:r w:rsidRPr="003F2E2C">
        <w:rPr>
          <w:rtl/>
        </w:rPr>
        <w:t xml:space="preserve"> يُبلغ المكتب لجنة لوائح الراديو </w:t>
      </w:r>
      <w:r w:rsidR="007A26D1">
        <w:rPr>
          <w:rFonts w:hint="cs"/>
          <w:rtl/>
        </w:rPr>
        <w:t xml:space="preserve">بذلك </w:t>
      </w:r>
      <w:r w:rsidRPr="003F2E2C">
        <w:rPr>
          <w:rtl/>
        </w:rPr>
        <w:t xml:space="preserve">على </w:t>
      </w:r>
      <w:proofErr w:type="gramStart"/>
      <w:r w:rsidRPr="003F2E2C">
        <w:rPr>
          <w:rtl/>
        </w:rPr>
        <w:t>الفور.</w:t>
      </w:r>
      <w:r w:rsidRPr="003F2E2C">
        <w:rPr>
          <w:sz w:val="16"/>
          <w:szCs w:val="16"/>
        </w:rPr>
        <w:t>(</w:t>
      </w:r>
      <w:proofErr w:type="gramEnd"/>
      <w:r w:rsidRPr="003F2E2C">
        <w:rPr>
          <w:sz w:val="16"/>
          <w:szCs w:val="16"/>
        </w:rPr>
        <w:t>WRC-23)     </w:t>
      </w:r>
    </w:p>
    <w:p w14:paraId="2433651B" w14:textId="77777777" w:rsidR="00D817D4" w:rsidRPr="003F2E2C" w:rsidRDefault="00D817D4">
      <w:pPr>
        <w:pStyle w:val="Reasons"/>
      </w:pPr>
    </w:p>
    <w:p w14:paraId="62BA8AE2" w14:textId="77777777" w:rsidR="003F2E2C" w:rsidRPr="003F2E2C" w:rsidRDefault="003F2E2C" w:rsidP="000103FE">
      <w:pPr>
        <w:pStyle w:val="AppArtNo"/>
        <w:rPr>
          <w:rtl/>
        </w:rPr>
      </w:pPr>
      <w:r w:rsidRPr="00E542DC">
        <w:rPr>
          <w:rtl/>
        </w:rPr>
        <w:t xml:space="preserve">المـادة </w:t>
      </w:r>
      <w:r w:rsidRPr="00E542DC">
        <w:t>8</w:t>
      </w:r>
      <w:r w:rsidRPr="00E542DC">
        <w:rPr>
          <w:b/>
          <w:bCs/>
          <w:rtl/>
        </w:rPr>
        <w:t> </w:t>
      </w:r>
      <w:r w:rsidRPr="00E542DC">
        <w:rPr>
          <w:sz w:val="16"/>
          <w:szCs w:val="24"/>
        </w:rPr>
        <w:t>(REV.WRC-15)</w:t>
      </w:r>
      <w:r w:rsidRPr="003F2E2C">
        <w:rPr>
          <w:sz w:val="16"/>
          <w:szCs w:val="16"/>
        </w:rPr>
        <w:t>    </w:t>
      </w:r>
    </w:p>
    <w:p w14:paraId="296EE448" w14:textId="71A90A38" w:rsidR="003F2E2C" w:rsidRPr="003F2E2C" w:rsidRDefault="003F2E2C" w:rsidP="000103FE">
      <w:pPr>
        <w:pStyle w:val="AppArttitle"/>
        <w:rPr>
          <w:b w:val="0"/>
          <w:bCs w:val="0"/>
          <w:sz w:val="16"/>
          <w:szCs w:val="24"/>
          <w:rtl/>
        </w:rPr>
      </w:pPr>
      <w:r w:rsidRPr="003F2E2C">
        <w:rPr>
          <w:b w:val="0"/>
          <w:rtl/>
        </w:rPr>
        <w:t xml:space="preserve">إجراء التبليغ عن التخصيصات ضمن النطاقات المخطط لها </w:t>
      </w:r>
      <w:r w:rsidRPr="003F2E2C">
        <w:rPr>
          <w:b w:val="0"/>
          <w:rtl/>
        </w:rPr>
        <w:br/>
        <w:t xml:space="preserve">في الخدمة الثابتة الساتلية وتدوين هذه التخصيصات </w:t>
      </w:r>
      <w:r w:rsidRPr="003F2E2C">
        <w:rPr>
          <w:b w:val="0"/>
          <w:rtl/>
        </w:rPr>
        <w:br/>
        <w:t>في السجل الأساسي</w:t>
      </w:r>
      <w:r w:rsidR="00E13A67" w:rsidRPr="00E13A67">
        <w:rPr>
          <w:rStyle w:val="FootnoteReference"/>
          <w:b w:val="0"/>
          <w:bCs w:val="0"/>
        </w:rPr>
        <w:t>11</w:t>
      </w:r>
      <w:r w:rsidR="00E13A67" w:rsidRPr="00254BFF">
        <w:rPr>
          <w:rStyle w:val="FootnoteReference"/>
          <w:rFonts w:hint="cs"/>
          <w:b w:val="0"/>
          <w:bCs w:val="0"/>
          <w:rtl/>
        </w:rPr>
        <w:t xml:space="preserve">، </w:t>
      </w:r>
      <w:r w:rsidR="00E13A67" w:rsidRPr="00E13A67">
        <w:rPr>
          <w:rStyle w:val="FootnoteReference"/>
          <w:rFonts w:hint="cs"/>
          <w:b w:val="0"/>
          <w:bCs w:val="0"/>
          <w:rtl/>
        </w:rPr>
        <w:t>12</w:t>
      </w:r>
      <w:r w:rsidRPr="003F2E2C">
        <w:rPr>
          <w:b w:val="0"/>
          <w:bCs w:val="0"/>
          <w:sz w:val="16"/>
          <w:szCs w:val="24"/>
        </w:rPr>
        <w:t>(WRC-</w:t>
      </w:r>
      <w:r w:rsidRPr="003F2E2C">
        <w:rPr>
          <w:b w:val="0"/>
          <w:bCs w:val="0"/>
          <w:sz w:val="16"/>
          <w:szCs w:val="24"/>
          <w:lang w:val="en-GB"/>
        </w:rPr>
        <w:t>19</w:t>
      </w:r>
      <w:r w:rsidRPr="003F2E2C">
        <w:rPr>
          <w:b w:val="0"/>
          <w:bCs w:val="0"/>
          <w:sz w:val="16"/>
          <w:szCs w:val="24"/>
        </w:rPr>
        <w:t>)     </w:t>
      </w:r>
    </w:p>
    <w:p w14:paraId="1E387261" w14:textId="77777777" w:rsidR="00D817D4" w:rsidRPr="003F2E2C" w:rsidRDefault="003F2E2C">
      <w:pPr>
        <w:pStyle w:val="Proposal"/>
      </w:pPr>
      <w:r w:rsidRPr="003F2E2C">
        <w:t>ADD</w:t>
      </w:r>
      <w:r w:rsidRPr="003F2E2C">
        <w:tab/>
        <w:t>IAP/44A22A11/7</w:t>
      </w:r>
      <w:r w:rsidRPr="003F2E2C">
        <w:rPr>
          <w:vanish/>
          <w:color w:val="7F7F7F" w:themeColor="text1" w:themeTint="80"/>
          <w:vertAlign w:val="superscript"/>
        </w:rPr>
        <w:t>#2155</w:t>
      </w:r>
    </w:p>
    <w:p w14:paraId="7688AD01" w14:textId="2C7F307B" w:rsidR="003F2E2C" w:rsidRPr="003F2E2C" w:rsidRDefault="003F2E2C" w:rsidP="009978A9">
      <w:pPr>
        <w:rPr>
          <w:sz w:val="18"/>
          <w:szCs w:val="18"/>
        </w:rPr>
      </w:pPr>
      <w:r w:rsidRPr="003F2E2C">
        <w:rPr>
          <w:rStyle w:val="Provsplit"/>
          <w:rFonts w:ascii="Dubai" w:hAnsi="Dubai" w:cs="Dubai"/>
          <w:spacing w:val="-4"/>
        </w:rPr>
        <w:t>10.8</w:t>
      </w:r>
      <w:r w:rsidRPr="003F2E2C">
        <w:rPr>
          <w:rStyle w:val="Provsplit"/>
          <w:rFonts w:ascii="Dubai" w:hAnsi="Dubai" w:cs="Dubai"/>
          <w:i/>
          <w:iCs/>
          <w:spacing w:val="-4"/>
          <w:rtl/>
        </w:rPr>
        <w:t>مكرراً</w:t>
      </w:r>
      <w:r w:rsidRPr="003F2E2C">
        <w:rPr>
          <w:b/>
          <w:bCs/>
          <w:rtl/>
        </w:rPr>
        <w:tab/>
      </w:r>
      <w:r w:rsidRPr="003F2E2C">
        <w:rPr>
          <w:rtl/>
        </w:rPr>
        <w:t xml:space="preserve">عندما يؤدي التفحص المتعلق بالفقرة 9.8 إلى نتيجة مؤاتية، يرسل المكتب على الفور رسالة فاكس إلى الإدارات التي طبقت الفقرة </w:t>
      </w:r>
      <w:r w:rsidRPr="003F2E2C">
        <w:rPr>
          <w:rStyle w:val="Provsplit"/>
          <w:rFonts w:ascii="Dubai" w:hAnsi="Dubai" w:cs="Dubai"/>
          <w:spacing w:val="-4"/>
        </w:rPr>
        <w:t>15.6</w:t>
      </w:r>
      <w:r w:rsidRPr="003F2E2C">
        <w:rPr>
          <w:rStyle w:val="Provsplit"/>
          <w:rFonts w:ascii="Dubai" w:hAnsi="Dubai" w:cs="Dubai"/>
          <w:i/>
          <w:iCs/>
          <w:spacing w:val="-4"/>
          <w:rtl/>
        </w:rPr>
        <w:t>مكرراً ثالثاً</w:t>
      </w:r>
      <w:r w:rsidRPr="003F2E2C">
        <w:rPr>
          <w:rtl/>
        </w:rPr>
        <w:t xml:space="preserve"> فيما يتعلق ب</w:t>
      </w:r>
      <w:r w:rsidR="00D56224">
        <w:rPr>
          <w:rFonts w:hint="cs"/>
          <w:rtl/>
        </w:rPr>
        <w:t xml:space="preserve">التعيين المشمول في </w:t>
      </w:r>
      <w:r w:rsidRPr="003F2E2C">
        <w:rPr>
          <w:rtl/>
        </w:rPr>
        <w:t xml:space="preserve">بطاقة التبليغ هذه، إن وجدت. وتُبلَغ هذه الإدارات من خلال رسالة الفاكس هذه بالتبليغ المقدم بموجب الفقرة 1.8 والتاريخ الذي </w:t>
      </w:r>
      <w:r w:rsidR="00D56224">
        <w:rPr>
          <w:rFonts w:hint="cs"/>
          <w:rtl/>
        </w:rPr>
        <w:t>من المقرر أن يوضع</w:t>
      </w:r>
      <w:r w:rsidRPr="003F2E2C">
        <w:rPr>
          <w:rtl/>
        </w:rPr>
        <w:t xml:space="preserve"> فيه تخصيص التردد </w:t>
      </w:r>
      <w:r w:rsidR="00D56224">
        <w:rPr>
          <w:rFonts w:hint="cs"/>
          <w:rtl/>
        </w:rPr>
        <w:t xml:space="preserve">الناشئ عن تحويل التعيين والذي طبقت عليه الفقرة </w:t>
      </w:r>
      <w:r w:rsidR="00D56224" w:rsidRPr="003F2E2C">
        <w:rPr>
          <w:rStyle w:val="Provsplit"/>
          <w:rFonts w:ascii="Dubai" w:hAnsi="Dubai" w:cs="Dubai"/>
          <w:spacing w:val="-4"/>
        </w:rPr>
        <w:t>15.6</w:t>
      </w:r>
      <w:r w:rsidR="00D56224" w:rsidRPr="003F2E2C">
        <w:rPr>
          <w:rStyle w:val="Provsplit"/>
          <w:rFonts w:ascii="Dubai" w:hAnsi="Dubai" w:cs="Dubai"/>
          <w:i/>
          <w:iCs/>
          <w:spacing w:val="-4"/>
          <w:rtl/>
        </w:rPr>
        <w:t>مكرراً ثالثاً</w:t>
      </w:r>
      <w:r w:rsidR="00D56224">
        <w:rPr>
          <w:rFonts w:hint="cs"/>
          <w:rtl/>
        </w:rPr>
        <w:t xml:space="preserve">، </w:t>
      </w:r>
      <w:r w:rsidRPr="003F2E2C">
        <w:rPr>
          <w:rtl/>
        </w:rPr>
        <w:t>في الخدمة.</w:t>
      </w:r>
      <w:r w:rsidRPr="003F2E2C">
        <w:rPr>
          <w:sz w:val="16"/>
          <w:szCs w:val="16"/>
        </w:rPr>
        <w:t>(WRC</w:t>
      </w:r>
      <w:r w:rsidRPr="003F2E2C">
        <w:rPr>
          <w:sz w:val="16"/>
          <w:szCs w:val="16"/>
        </w:rPr>
        <w:noBreakHyphen/>
        <w:t>23)     </w:t>
      </w:r>
    </w:p>
    <w:p w14:paraId="74620149" w14:textId="77777777" w:rsidR="00D817D4" w:rsidRPr="003F2E2C" w:rsidRDefault="00D817D4">
      <w:pPr>
        <w:pStyle w:val="Reasons"/>
      </w:pPr>
    </w:p>
    <w:p w14:paraId="6ED84C85" w14:textId="77777777" w:rsidR="00D817D4" w:rsidRPr="003F2E2C" w:rsidRDefault="003F2E2C">
      <w:pPr>
        <w:pStyle w:val="Proposal"/>
      </w:pPr>
      <w:r w:rsidRPr="003F2E2C">
        <w:t>ADD</w:t>
      </w:r>
      <w:r w:rsidRPr="003F2E2C">
        <w:tab/>
        <w:t>IAP/44A22A11/8</w:t>
      </w:r>
      <w:r w:rsidRPr="003F2E2C">
        <w:rPr>
          <w:vanish/>
          <w:color w:val="7F7F7F" w:themeColor="text1" w:themeTint="80"/>
          <w:vertAlign w:val="superscript"/>
        </w:rPr>
        <w:t>#2156</w:t>
      </w:r>
    </w:p>
    <w:p w14:paraId="7AFC8605" w14:textId="77777777" w:rsidR="003F2E2C" w:rsidRPr="003F2E2C" w:rsidRDefault="003F2E2C" w:rsidP="00F91337">
      <w:pPr>
        <w:pStyle w:val="ResNo"/>
        <w:rPr>
          <w:rtl/>
          <w:lang w:bidi="ar-SA"/>
        </w:rPr>
      </w:pPr>
      <w:r w:rsidRPr="003F2E2C">
        <w:rPr>
          <w:rtl/>
          <w:lang w:bidi="ar-SA"/>
        </w:rPr>
        <w:t xml:space="preserve">مشروع القرار الجديد </w:t>
      </w:r>
      <w:r w:rsidRPr="003F2E2C">
        <w:rPr>
          <w:lang w:eastAsia="zh-CN"/>
        </w:rPr>
        <w:t>[A7(I)-METHOD I2] (WRC-23)</w:t>
      </w:r>
    </w:p>
    <w:p w14:paraId="44AE69D3" w14:textId="77777777" w:rsidR="003F2E2C" w:rsidRPr="003F2E2C" w:rsidRDefault="003F2E2C" w:rsidP="00F91337">
      <w:pPr>
        <w:pStyle w:val="Restitle"/>
        <w:rPr>
          <w:rtl/>
        </w:rPr>
      </w:pPr>
      <w:r w:rsidRPr="003F2E2C">
        <w:rPr>
          <w:rtl/>
        </w:rPr>
        <w:t xml:space="preserve">التدابير التنظيمية المؤقتة في التذييل </w:t>
      </w:r>
      <w:r w:rsidRPr="003F2E2C">
        <w:t>B</w:t>
      </w:r>
      <w:r w:rsidRPr="003F2E2C">
        <w:rPr>
          <w:rtl/>
        </w:rPr>
        <w:t xml:space="preserve">30 لتحسين الحالة المرجعية </w:t>
      </w:r>
      <w:r w:rsidRPr="003F2E2C">
        <w:br/>
      </w:r>
      <w:r w:rsidRPr="003F2E2C">
        <w:rPr>
          <w:rtl/>
        </w:rPr>
        <w:t>للتعيينات الوطنية المتأثرة بشدة</w:t>
      </w:r>
    </w:p>
    <w:p w14:paraId="721E8ECD" w14:textId="77777777" w:rsidR="003F2E2C" w:rsidRPr="003F2E2C" w:rsidRDefault="003F2E2C" w:rsidP="00F91337">
      <w:pPr>
        <w:pStyle w:val="Normalaftertitle"/>
        <w:rPr>
          <w:rtl/>
        </w:rPr>
      </w:pPr>
      <w:r w:rsidRPr="003F2E2C">
        <w:rPr>
          <w:rtl/>
        </w:rPr>
        <w:t>إن المؤتمر العالمي للاتصالات الراديوية (دبي، 2023)،</w:t>
      </w:r>
    </w:p>
    <w:p w14:paraId="195955CC" w14:textId="77777777" w:rsidR="003F2E2C" w:rsidRPr="003F2E2C" w:rsidRDefault="003F2E2C" w:rsidP="00F91337">
      <w:pPr>
        <w:pStyle w:val="Call"/>
        <w:rPr>
          <w:rtl/>
        </w:rPr>
      </w:pPr>
      <w:r w:rsidRPr="003F2E2C">
        <w:rPr>
          <w:rtl/>
        </w:rPr>
        <w:t>إذ يضع في اعتباره</w:t>
      </w:r>
    </w:p>
    <w:p w14:paraId="133D2863" w14:textId="6E57A954" w:rsidR="003F2E2C" w:rsidRPr="003F2E2C" w:rsidRDefault="003F2E2C" w:rsidP="00F91337">
      <w:pPr>
        <w:rPr>
          <w:rtl/>
        </w:rPr>
      </w:pPr>
      <w:r w:rsidRPr="003F2E2C">
        <w:rPr>
          <w:i/>
          <w:iCs/>
          <w:rtl/>
        </w:rPr>
        <w:t> أ )</w:t>
      </w:r>
      <w:r w:rsidRPr="003F2E2C">
        <w:rPr>
          <w:rtl/>
        </w:rPr>
        <w:tab/>
        <w:t xml:space="preserve">أن بعض التعيينات الوطنية، لا سيما تلك الخاصة بالبلدان النامية، لها قيم إجمالية منخفضة لنسبة الموجة الحاملة إلى التداخل الكلي في التذييل </w:t>
      </w:r>
      <w:r w:rsidR="00D45F27" w:rsidRPr="001B3300">
        <w:rPr>
          <w:rStyle w:val="Appref"/>
          <w:b/>
          <w:bCs/>
        </w:rPr>
        <w:t>30B</w:t>
      </w:r>
      <w:r w:rsidRPr="003F2E2C">
        <w:rPr>
          <w:rtl/>
        </w:rPr>
        <w:t>؛</w:t>
      </w:r>
    </w:p>
    <w:p w14:paraId="2C431710" w14:textId="77777777" w:rsidR="003F2E2C" w:rsidRPr="003F2E2C" w:rsidRDefault="003F2E2C" w:rsidP="00F91337">
      <w:pPr>
        <w:rPr>
          <w:rtl/>
        </w:rPr>
      </w:pPr>
      <w:r w:rsidRPr="003F2E2C">
        <w:rPr>
          <w:i/>
          <w:iCs/>
          <w:rtl/>
        </w:rPr>
        <w:t>ب)</w:t>
      </w:r>
      <w:r w:rsidRPr="003F2E2C">
        <w:rPr>
          <w:rtl/>
        </w:rPr>
        <w:tab/>
        <w:t>أن تنفيذ تعيين وطني بقيمة إجمالية منخفضة لنسبة الموجة الحاملة إلى التداخل الكلي قد يكون أمراً صعباً،</w:t>
      </w:r>
    </w:p>
    <w:p w14:paraId="24D88406" w14:textId="77777777" w:rsidR="003F2E2C" w:rsidRPr="003F2E2C" w:rsidRDefault="003F2E2C" w:rsidP="00D45F27">
      <w:pPr>
        <w:pStyle w:val="Call"/>
        <w:keepNext w:val="0"/>
        <w:keepLines w:val="0"/>
      </w:pPr>
      <w:r w:rsidRPr="003F2E2C">
        <w:rPr>
          <w:rtl/>
        </w:rPr>
        <w:t>وإذ يدرك</w:t>
      </w:r>
    </w:p>
    <w:p w14:paraId="214DB166" w14:textId="26DD6A9B" w:rsidR="003F2E2C" w:rsidRPr="003F2E2C" w:rsidRDefault="003F2E2C" w:rsidP="00D45F27">
      <w:pPr>
        <w:rPr>
          <w:rtl/>
        </w:rPr>
      </w:pPr>
      <w:r w:rsidRPr="003F2E2C">
        <w:rPr>
          <w:i/>
          <w:iCs/>
          <w:rtl/>
        </w:rPr>
        <w:t> أ )</w:t>
      </w:r>
      <w:r w:rsidRPr="003F2E2C">
        <w:rPr>
          <w:rtl/>
        </w:rPr>
        <w:tab/>
        <w:t xml:space="preserve">أنه قد يكون من الصعب تنفيذ الإجراء الخاص الوارد في هذا القرار عندما تكون أراضي </w:t>
      </w:r>
      <w:r w:rsidR="004811DF">
        <w:rPr>
          <w:rFonts w:hint="cs"/>
          <w:rtl/>
        </w:rPr>
        <w:t>الإدارة المسؤولة عن ال</w:t>
      </w:r>
      <w:r w:rsidRPr="003F2E2C">
        <w:rPr>
          <w:rtl/>
        </w:rPr>
        <w:t xml:space="preserve">تعيين </w:t>
      </w:r>
      <w:r w:rsidR="004811DF">
        <w:rPr>
          <w:rFonts w:hint="cs"/>
          <w:rtl/>
        </w:rPr>
        <w:t>ال</w:t>
      </w:r>
      <w:r w:rsidRPr="003F2E2C">
        <w:rPr>
          <w:rtl/>
        </w:rPr>
        <w:t>وطني</w:t>
      </w:r>
      <w:r w:rsidR="004811DF">
        <w:rPr>
          <w:rFonts w:hint="cs"/>
          <w:rtl/>
        </w:rPr>
        <w:t xml:space="preserve"> المتأثر، والتي </w:t>
      </w:r>
      <w:r w:rsidR="00E542DC">
        <w:rPr>
          <w:rFonts w:hint="cs"/>
          <w:rtl/>
        </w:rPr>
        <w:t xml:space="preserve">تُعتبر </w:t>
      </w:r>
      <w:r w:rsidR="004811DF">
        <w:rPr>
          <w:rFonts w:hint="cs"/>
          <w:rtl/>
        </w:rPr>
        <w:t>قد وافقت ضمناً على التخصيص المدرج في القائمة،</w:t>
      </w:r>
      <w:r w:rsidRPr="003F2E2C">
        <w:rPr>
          <w:rtl/>
        </w:rPr>
        <w:t xml:space="preserve"> مجاورةً لأراضي مدرجة في منطقة خدمة </w:t>
      </w:r>
      <w:r w:rsidR="004811DF">
        <w:rPr>
          <w:rFonts w:hint="cs"/>
          <w:rtl/>
        </w:rPr>
        <w:t>هذا ا</w:t>
      </w:r>
      <w:r w:rsidRPr="003F2E2C">
        <w:rPr>
          <w:rtl/>
        </w:rPr>
        <w:t xml:space="preserve">لتخصيص، </w:t>
      </w:r>
      <w:r w:rsidR="004811DF">
        <w:rPr>
          <w:rFonts w:hint="cs"/>
          <w:rtl/>
        </w:rPr>
        <w:t xml:space="preserve">(انظر </w:t>
      </w:r>
      <w:r w:rsidRPr="003F2E2C">
        <w:rPr>
          <w:rtl/>
        </w:rPr>
        <w:t xml:space="preserve">الفقرة 15.6 من التذييل </w:t>
      </w:r>
      <w:r w:rsidR="00D45F27" w:rsidRPr="001B3300">
        <w:rPr>
          <w:rStyle w:val="Appref"/>
          <w:b/>
          <w:bCs/>
        </w:rPr>
        <w:t>30B</w:t>
      </w:r>
      <w:r w:rsidR="00D45F27">
        <w:rPr>
          <w:rFonts w:hint="cs"/>
          <w:rtl/>
        </w:rPr>
        <w:t xml:space="preserve"> </w:t>
      </w:r>
      <w:r w:rsidR="00843A5D">
        <w:rPr>
          <w:rFonts w:hint="cs"/>
          <w:rtl/>
        </w:rPr>
        <w:t>من طبعة عام 2020</w:t>
      </w:r>
      <w:r w:rsidR="00E542DC">
        <w:rPr>
          <w:rFonts w:hint="cs"/>
          <w:rtl/>
        </w:rPr>
        <w:t xml:space="preserve"> من لوائح الراديو</w:t>
      </w:r>
      <w:r w:rsidR="00843A5D">
        <w:rPr>
          <w:rFonts w:hint="cs"/>
          <w:rtl/>
        </w:rPr>
        <w:t>)</w:t>
      </w:r>
      <w:r w:rsidRPr="003F2E2C">
        <w:rPr>
          <w:rtl/>
        </w:rPr>
        <w:t>؛</w:t>
      </w:r>
    </w:p>
    <w:p w14:paraId="3C9B5A04" w14:textId="77777777" w:rsidR="003F2E2C" w:rsidRPr="003F2E2C" w:rsidRDefault="003F2E2C" w:rsidP="00D45F27">
      <w:pPr>
        <w:rPr>
          <w:rtl/>
        </w:rPr>
      </w:pPr>
      <w:r w:rsidRPr="003F2E2C">
        <w:rPr>
          <w:i/>
          <w:iCs/>
          <w:rtl/>
        </w:rPr>
        <w:t>ب)</w:t>
      </w:r>
      <w:r w:rsidRPr="003F2E2C">
        <w:rPr>
          <w:rtl/>
        </w:rPr>
        <w:tab/>
      </w:r>
      <w:r w:rsidRPr="003F2E2C">
        <w:rPr>
          <w:rtl/>
          <w:lang w:bidi="ar"/>
        </w:rPr>
        <w:t xml:space="preserve">أن المادة </w:t>
      </w:r>
      <w:r w:rsidRPr="003F2E2C">
        <w:rPr>
          <w:lang w:bidi="ar"/>
        </w:rPr>
        <w:t>44</w:t>
      </w:r>
      <w:r w:rsidRPr="003F2E2C">
        <w:rPr>
          <w:rtl/>
          <w:lang w:bidi="ar"/>
        </w:rPr>
        <w:t xml:space="preserve"> من دستور الاتحاد تنص على ما يلي: </w:t>
      </w:r>
      <w:r w:rsidRPr="003F2E2C">
        <w:rPr>
          <w:rtl/>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2ED91BA1" w14:textId="76CA3EA6" w:rsidR="003F2E2C" w:rsidRPr="00843A5D" w:rsidRDefault="003F2E2C" w:rsidP="00F91337">
      <w:pPr>
        <w:rPr>
          <w:rtl/>
          <w:lang w:val="fr-CH" w:bidi="ar-SY"/>
        </w:rPr>
      </w:pPr>
      <w:r w:rsidRPr="003F2E2C">
        <w:rPr>
          <w:i/>
          <w:iCs/>
          <w:rtl/>
        </w:rPr>
        <w:t>ج)</w:t>
      </w:r>
      <w:r w:rsidRPr="003F2E2C">
        <w:rPr>
          <w:rtl/>
        </w:rPr>
        <w:tab/>
        <w:t xml:space="preserve">أن </w:t>
      </w:r>
      <w:r w:rsidR="00843A5D">
        <w:rPr>
          <w:rFonts w:hint="cs"/>
          <w:rtl/>
          <w:lang w:val="fr-CH" w:bidi="ar-SY"/>
        </w:rPr>
        <w:t xml:space="preserve">هذا المؤتمر يلغي مفهوم الموافقة الضمنية على النحو المشار إليه في الفقرة </w:t>
      </w:r>
      <w:r w:rsidR="00843A5D" w:rsidRPr="009978A9">
        <w:rPr>
          <w:rFonts w:hint="cs"/>
          <w:i/>
          <w:iCs/>
          <w:rtl/>
          <w:lang w:val="fr-CH" w:bidi="ar-SY"/>
        </w:rPr>
        <w:t>أ)</w:t>
      </w:r>
      <w:r w:rsidR="00843A5D">
        <w:rPr>
          <w:rFonts w:hint="cs"/>
          <w:rtl/>
          <w:lang w:val="fr-CH" w:bidi="ar-SY"/>
        </w:rPr>
        <w:t xml:space="preserve"> من </w:t>
      </w:r>
      <w:r w:rsidR="00843A5D" w:rsidRPr="009978A9">
        <w:rPr>
          <w:rFonts w:hint="cs"/>
          <w:rtl/>
          <w:lang w:val="fr-CH" w:bidi="ar-SY"/>
        </w:rPr>
        <w:t>"</w:t>
      </w:r>
      <w:r w:rsidR="00843A5D" w:rsidRPr="00843A5D">
        <w:rPr>
          <w:rFonts w:hint="cs"/>
          <w:i/>
          <w:iCs/>
          <w:rtl/>
          <w:lang w:val="fr-CH" w:bidi="ar-SY"/>
        </w:rPr>
        <w:t>وإذ يدرك</w:t>
      </w:r>
      <w:r w:rsidR="00843A5D" w:rsidRPr="009978A9">
        <w:rPr>
          <w:rFonts w:hint="cs"/>
          <w:rtl/>
          <w:lang w:val="fr-CH" w:bidi="ar-SY"/>
        </w:rPr>
        <w:t>"</w:t>
      </w:r>
      <w:r w:rsidR="00843A5D">
        <w:rPr>
          <w:rFonts w:hint="cs"/>
          <w:rtl/>
          <w:lang w:val="fr-CH" w:bidi="ar-SY"/>
        </w:rPr>
        <w:t>،</w:t>
      </w:r>
    </w:p>
    <w:p w14:paraId="5A05B09A" w14:textId="77777777" w:rsidR="003F2E2C" w:rsidRPr="003F2E2C" w:rsidRDefault="003F2E2C" w:rsidP="00F91337">
      <w:pPr>
        <w:pStyle w:val="Call"/>
      </w:pPr>
      <w:r w:rsidRPr="003F2E2C">
        <w:rPr>
          <w:rtl/>
        </w:rPr>
        <w:t>يقرر</w:t>
      </w:r>
    </w:p>
    <w:p w14:paraId="2754D7DE" w14:textId="5DFDCA13" w:rsidR="003F2E2C" w:rsidRPr="003F2E2C" w:rsidRDefault="003F2E2C" w:rsidP="001C6D2C">
      <w:pPr>
        <w:rPr>
          <w:rtl/>
        </w:rPr>
      </w:pPr>
      <w:r w:rsidRPr="003F2E2C">
        <w:rPr>
          <w:rtl/>
        </w:rPr>
        <w:t>1</w:t>
      </w:r>
      <w:r w:rsidRPr="003F2E2C">
        <w:rPr>
          <w:rtl/>
        </w:rPr>
        <w:tab/>
        <w:t xml:space="preserve">أن الإجراء الخاص الوارد في هذا القرار لا يطبق إلا من قبل إدارات التخصيصات المدرجة في القائمة وإدارات التعيينات الوطنية التي طُبقت عليها الفقرة 15.6 من التذييل </w:t>
      </w:r>
      <w:r w:rsidR="00D45F27" w:rsidRPr="001B3300">
        <w:rPr>
          <w:rStyle w:val="Appref"/>
          <w:b/>
          <w:bCs/>
        </w:rPr>
        <w:t>30B</w:t>
      </w:r>
      <w:r w:rsidR="00843A5D">
        <w:rPr>
          <w:rFonts w:hint="cs"/>
          <w:rtl/>
        </w:rPr>
        <w:t xml:space="preserve">، وفقاً لطبعة عام 2020 من لوائح الراديو، </w:t>
      </w:r>
      <w:r w:rsidRPr="003F2E2C">
        <w:rPr>
          <w:rtl/>
        </w:rPr>
        <w:t>على التوالي؛</w:t>
      </w:r>
    </w:p>
    <w:p w14:paraId="7CEA23E8" w14:textId="044ED2F0" w:rsidR="003F2E2C" w:rsidRPr="003F2E2C" w:rsidRDefault="003F2E2C" w:rsidP="001C6D2C">
      <w:pPr>
        <w:rPr>
          <w:rtl/>
        </w:rPr>
      </w:pPr>
      <w:r w:rsidRPr="003F2E2C">
        <w:t>2</w:t>
      </w:r>
      <w:r w:rsidRPr="003F2E2C">
        <w:tab/>
      </w:r>
      <w:r w:rsidRPr="003F2E2C">
        <w:rPr>
          <w:rtl/>
        </w:rPr>
        <w:t>أنه عند استلام مكتب الاتصالات الراديوية (</w:t>
      </w:r>
      <w:r w:rsidRPr="003F2E2C">
        <w:t>BR</w:t>
      </w:r>
      <w:r w:rsidRPr="003F2E2C">
        <w:rPr>
          <w:rtl/>
        </w:rPr>
        <w:t xml:space="preserve">) للاتفاقات بموجب الفقرة </w:t>
      </w:r>
      <w:r w:rsidRPr="003F2E2C">
        <w:rPr>
          <w:rStyle w:val="Provsplit"/>
          <w:rFonts w:ascii="Dubai" w:hAnsi="Dubai" w:cs="Dubai"/>
        </w:rPr>
        <w:t>15.6</w:t>
      </w:r>
      <w:r w:rsidRPr="003F2E2C">
        <w:rPr>
          <w:rStyle w:val="Provsplit"/>
          <w:rFonts w:ascii="Dubai" w:hAnsi="Dubai" w:cs="Dubai"/>
          <w:i/>
          <w:iCs/>
          <w:rtl/>
        </w:rPr>
        <w:t xml:space="preserve">مكرراً ثالثاً </w:t>
      </w:r>
      <w:r w:rsidRPr="003F2E2C">
        <w:rPr>
          <w:rStyle w:val="Provsplit"/>
          <w:rFonts w:ascii="Dubai" w:hAnsi="Dubai" w:cs="Dubai"/>
          <w:rtl/>
        </w:rPr>
        <w:t>من</w:t>
      </w:r>
      <w:r w:rsidRPr="003F2E2C">
        <w:rPr>
          <w:rStyle w:val="Provsplit"/>
          <w:rFonts w:ascii="Dubai" w:hAnsi="Dubai" w:cs="Dubai"/>
          <w:i/>
          <w:iCs/>
          <w:rtl/>
        </w:rPr>
        <w:t xml:space="preserve"> </w:t>
      </w:r>
      <w:r w:rsidRPr="003F2E2C">
        <w:rPr>
          <w:rtl/>
        </w:rPr>
        <w:t xml:space="preserve">التذييل </w:t>
      </w:r>
      <w:r w:rsidR="00964496" w:rsidRPr="001B3300">
        <w:rPr>
          <w:rStyle w:val="Appref"/>
          <w:b/>
          <w:bCs/>
        </w:rPr>
        <w:t>30B</w:t>
      </w:r>
      <w:r w:rsidRPr="003F2E2C">
        <w:rPr>
          <w:rtl/>
        </w:rPr>
        <w:t>، وفقاً للفقرة </w:t>
      </w:r>
      <w:r w:rsidRPr="003F2E2C">
        <w:rPr>
          <w:i/>
          <w:iCs/>
          <w:rtl/>
        </w:rPr>
        <w:t>ج)</w:t>
      </w:r>
      <w:r w:rsidRPr="003F2E2C">
        <w:rPr>
          <w:rtl/>
        </w:rPr>
        <w:t xml:space="preserve"> من "</w:t>
      </w:r>
      <w:r w:rsidRPr="003F2E2C">
        <w:rPr>
          <w:i/>
          <w:iCs/>
          <w:rtl/>
        </w:rPr>
        <w:t>إذ يدرك</w:t>
      </w:r>
      <w:r w:rsidRPr="003F2E2C">
        <w:rPr>
          <w:rtl/>
        </w:rPr>
        <w:t xml:space="preserve">"، فإنه يطبق على الفور الفقرة </w:t>
      </w:r>
      <w:r w:rsidRPr="003F2E2C">
        <w:rPr>
          <w:rStyle w:val="Provsplit"/>
          <w:rFonts w:ascii="Dubai" w:hAnsi="Dubai" w:cs="Dubai"/>
        </w:rPr>
        <w:t>15.6</w:t>
      </w:r>
      <w:r w:rsidRPr="003F2E2C">
        <w:rPr>
          <w:rStyle w:val="Provsplit"/>
          <w:rFonts w:ascii="Dubai" w:hAnsi="Dubai" w:cs="Dubai"/>
          <w:i/>
          <w:iCs/>
          <w:rtl/>
        </w:rPr>
        <w:t>مكرراً رابعاً</w:t>
      </w:r>
      <w:r w:rsidRPr="003F2E2C">
        <w:rPr>
          <w:rtl/>
        </w:rPr>
        <w:t xml:space="preserve">، والفقرة </w:t>
      </w:r>
      <w:r w:rsidRPr="003F2E2C">
        <w:t>27.6</w:t>
      </w:r>
      <w:r w:rsidRPr="003F2E2C">
        <w:rPr>
          <w:i/>
          <w:iCs/>
          <w:rtl/>
        </w:rPr>
        <w:t>مكرراً</w:t>
      </w:r>
      <w:r w:rsidRPr="003F2E2C">
        <w:rPr>
          <w:rtl/>
        </w:rPr>
        <w:t xml:space="preserve"> </w:t>
      </w:r>
      <w:r w:rsidRPr="003F2E2C">
        <w:rPr>
          <w:rStyle w:val="Provsplit"/>
          <w:rFonts w:ascii="Dubai" w:hAnsi="Dubai" w:cs="Dubai"/>
          <w:rtl/>
        </w:rPr>
        <w:t>من</w:t>
      </w:r>
      <w:r w:rsidRPr="003F2E2C">
        <w:rPr>
          <w:rStyle w:val="Provsplit"/>
          <w:rFonts w:ascii="Dubai" w:hAnsi="Dubai" w:cs="Dubai"/>
          <w:i/>
          <w:iCs/>
          <w:rtl/>
        </w:rPr>
        <w:t xml:space="preserve"> </w:t>
      </w:r>
      <w:r w:rsidRPr="003F2E2C">
        <w:rPr>
          <w:rtl/>
        </w:rPr>
        <w:t xml:space="preserve">التذييل </w:t>
      </w:r>
      <w:r w:rsidR="00964496" w:rsidRPr="001B3300">
        <w:rPr>
          <w:rStyle w:val="Appref"/>
          <w:b/>
          <w:bCs/>
        </w:rPr>
        <w:t>30B</w:t>
      </w:r>
      <w:r w:rsidRPr="003F2E2C">
        <w:rPr>
          <w:rtl/>
        </w:rPr>
        <w:t xml:space="preserve">، ويُحدّث الحالة المرجعية دون مراجعة عمليات التفحص </w:t>
      </w:r>
      <w:proofErr w:type="gramStart"/>
      <w:r w:rsidRPr="003F2E2C">
        <w:rPr>
          <w:rtl/>
        </w:rPr>
        <w:t>السابقة؛</w:t>
      </w:r>
      <w:proofErr w:type="gramEnd"/>
    </w:p>
    <w:p w14:paraId="3D706754" w14:textId="1861C1BD" w:rsidR="003F2E2C" w:rsidRPr="003F2E2C" w:rsidRDefault="003F2E2C" w:rsidP="00F91337">
      <w:pPr>
        <w:rPr>
          <w:rtl/>
        </w:rPr>
      </w:pPr>
      <w:r w:rsidRPr="003F2E2C">
        <w:t>3</w:t>
      </w:r>
      <w:r w:rsidRPr="003F2E2C">
        <w:tab/>
      </w:r>
      <w:r w:rsidRPr="003F2E2C">
        <w:rPr>
          <w:rtl/>
        </w:rPr>
        <w:t xml:space="preserve">أن يطلب من الإدارات المبلغة عن التخصيصات التي لم يتم استكمال إجراءات المادة 6 من التذييل </w:t>
      </w:r>
      <w:r w:rsidR="00964496" w:rsidRPr="001B3300">
        <w:rPr>
          <w:rStyle w:val="Appref"/>
          <w:b/>
          <w:bCs/>
        </w:rPr>
        <w:t>30B</w:t>
      </w:r>
      <w:r w:rsidR="00964496" w:rsidRPr="003F2E2C">
        <w:rPr>
          <w:rtl/>
        </w:rPr>
        <w:t xml:space="preserve"> </w:t>
      </w:r>
      <w:r w:rsidRPr="003F2E2C">
        <w:rPr>
          <w:rtl/>
        </w:rPr>
        <w:t>الخاصة بها والتي تفحصها المكتب قبل تطبيقه للفقرة 2 من "</w:t>
      </w:r>
      <w:r w:rsidRPr="003F2E2C">
        <w:rPr>
          <w:i/>
          <w:iCs/>
          <w:rtl/>
        </w:rPr>
        <w:t>يقرر</w:t>
      </w:r>
      <w:r w:rsidRPr="003F2E2C">
        <w:rPr>
          <w:rtl/>
        </w:rPr>
        <w:t xml:space="preserve">"، بذل قصارى جهدها لمراعاة الحالة المرجعية الجديدة للتعيينات الوطنية، والتي طبقت الإجراء الخاص لهذا القرار، عند تقديم بطاقة التبليغ الخاصة بها بموجب الفقرة 17.6 أو الفقرة 25.6 </w:t>
      </w:r>
      <w:r w:rsidRPr="003F2E2C">
        <w:rPr>
          <w:rStyle w:val="Provsplit"/>
          <w:rFonts w:ascii="Dubai" w:hAnsi="Dubai" w:cs="Dubai"/>
          <w:rtl/>
        </w:rPr>
        <w:t>من</w:t>
      </w:r>
      <w:r w:rsidRPr="003F2E2C">
        <w:rPr>
          <w:rStyle w:val="Provsplit"/>
          <w:rFonts w:ascii="Dubai" w:hAnsi="Dubai" w:cs="Dubai"/>
          <w:i/>
          <w:iCs/>
          <w:rtl/>
        </w:rPr>
        <w:t xml:space="preserve"> </w:t>
      </w:r>
      <w:r w:rsidRPr="003F2E2C">
        <w:rPr>
          <w:rtl/>
        </w:rPr>
        <w:t>التذييل</w:t>
      </w:r>
      <w:r w:rsidR="00964496">
        <w:rPr>
          <w:rFonts w:hint="eastAsia"/>
          <w:rtl/>
          <w:lang w:bidi="ar-EG"/>
        </w:rPr>
        <w:t> </w:t>
      </w:r>
      <w:r w:rsidR="00964496" w:rsidRPr="001B3300">
        <w:rPr>
          <w:rStyle w:val="Appref"/>
          <w:b/>
          <w:bCs/>
        </w:rPr>
        <w:t>30B</w:t>
      </w:r>
      <w:r w:rsidRPr="003F2E2C">
        <w:rPr>
          <w:rtl/>
        </w:rPr>
        <w:t>،</w:t>
      </w:r>
    </w:p>
    <w:p w14:paraId="1C38D8A9" w14:textId="77777777" w:rsidR="003F2E2C" w:rsidRPr="003F2E2C" w:rsidRDefault="003F2E2C" w:rsidP="00F91337">
      <w:pPr>
        <w:pStyle w:val="Call"/>
        <w:rPr>
          <w:rtl/>
        </w:rPr>
      </w:pPr>
      <w:r w:rsidRPr="003F2E2C">
        <w:rPr>
          <w:rtl/>
        </w:rPr>
        <w:t>يكلف مكتب الاتصالات الراديوية</w:t>
      </w:r>
    </w:p>
    <w:p w14:paraId="4BDC8863" w14:textId="7A566669" w:rsidR="003F2E2C" w:rsidRPr="003F2E2C" w:rsidRDefault="003F2E2C" w:rsidP="00F91337">
      <w:pPr>
        <w:rPr>
          <w:rtl/>
        </w:rPr>
      </w:pPr>
      <w:r w:rsidRPr="003F2E2C">
        <w:rPr>
          <w:rtl/>
        </w:rPr>
        <w:t>1</w:t>
      </w:r>
      <w:r w:rsidRPr="003F2E2C">
        <w:rPr>
          <w:rtl/>
        </w:rPr>
        <w:tab/>
        <w:t xml:space="preserve">باتخاذ الإجراءات اللازمة لتنفيذ هذا القرار، </w:t>
      </w:r>
      <w:r w:rsidR="00843A5D">
        <w:rPr>
          <w:rFonts w:hint="cs"/>
          <w:rtl/>
        </w:rPr>
        <w:t>بما في ذلك</w:t>
      </w:r>
      <w:r w:rsidRPr="003F2E2C">
        <w:rPr>
          <w:rtl/>
        </w:rPr>
        <w:t xml:space="preserve"> لفت انتباه الإدارات المبلغة إلى الفقرة 3 من "</w:t>
      </w:r>
      <w:r w:rsidRPr="003F2E2C">
        <w:rPr>
          <w:i/>
          <w:iCs/>
          <w:rtl/>
        </w:rPr>
        <w:t>يقرر</w:t>
      </w:r>
      <w:r w:rsidRPr="003F2E2C">
        <w:rPr>
          <w:rtl/>
        </w:rPr>
        <w:t xml:space="preserve">" وتقديم المساعدة اللازمة إلى الإدارات المبلغة </w:t>
      </w:r>
      <w:r w:rsidR="00843A5D">
        <w:rPr>
          <w:rFonts w:hint="cs"/>
          <w:rtl/>
        </w:rPr>
        <w:t>ل</w:t>
      </w:r>
      <w:r w:rsidRPr="003F2E2C">
        <w:rPr>
          <w:rtl/>
        </w:rPr>
        <w:t xml:space="preserve">تنفيذ </w:t>
      </w:r>
      <w:r w:rsidR="00843A5D">
        <w:rPr>
          <w:rFonts w:hint="cs"/>
          <w:rtl/>
        </w:rPr>
        <w:t xml:space="preserve">فقرة </w:t>
      </w:r>
      <w:r w:rsidRPr="003F2E2C">
        <w:rPr>
          <w:rtl/>
        </w:rPr>
        <w:t>"</w:t>
      </w:r>
      <w:r w:rsidRPr="003F2E2C">
        <w:rPr>
          <w:i/>
          <w:iCs/>
          <w:rtl/>
        </w:rPr>
        <w:t>يقرر</w:t>
      </w:r>
      <w:r w:rsidRPr="003F2E2C">
        <w:rPr>
          <w:rtl/>
        </w:rPr>
        <w:t>"</w:t>
      </w:r>
      <w:r w:rsidR="00843A5D">
        <w:rPr>
          <w:rFonts w:hint="cs"/>
          <w:rtl/>
        </w:rPr>
        <w:t xml:space="preserve"> </w:t>
      </w:r>
      <w:r w:rsidR="00FF0A1A">
        <w:rPr>
          <w:rFonts w:hint="cs"/>
          <w:rtl/>
        </w:rPr>
        <w:t>هذه</w:t>
      </w:r>
      <w:r w:rsidRPr="003F2E2C">
        <w:rPr>
          <w:rtl/>
        </w:rPr>
        <w:t>؛</w:t>
      </w:r>
    </w:p>
    <w:p w14:paraId="66691242" w14:textId="686491F3" w:rsidR="003F2E2C" w:rsidRPr="003F2E2C" w:rsidRDefault="003F2E2C" w:rsidP="00F91337">
      <w:pPr>
        <w:rPr>
          <w:rtl/>
        </w:rPr>
      </w:pPr>
      <w:r w:rsidRPr="003F2E2C">
        <w:t>2</w:t>
      </w:r>
      <w:r w:rsidRPr="003F2E2C">
        <w:tab/>
      </w:r>
      <w:r w:rsidRPr="003F2E2C">
        <w:rPr>
          <w:rtl/>
        </w:rPr>
        <w:t>بتقديم تقارير إلى الاجتماعات ذات الصلة للجنة لوائح الراديو بشأن الجهود التي تبذلها الإدارات المبلغة في</w:t>
      </w:r>
      <w:r w:rsidR="005944D6">
        <w:rPr>
          <w:rFonts w:hint="cs"/>
          <w:rtl/>
        </w:rPr>
        <w:t> </w:t>
      </w:r>
      <w:r w:rsidRPr="003F2E2C">
        <w:rPr>
          <w:rtl/>
        </w:rPr>
        <w:t>تنفيذ الفقرة 3 من "</w:t>
      </w:r>
      <w:r w:rsidRPr="003F2E2C">
        <w:rPr>
          <w:i/>
          <w:iCs/>
          <w:rtl/>
        </w:rPr>
        <w:t>يقرر</w:t>
      </w:r>
      <w:r w:rsidRPr="003F2E2C">
        <w:rPr>
          <w:rtl/>
        </w:rPr>
        <w:t xml:space="preserve">" لإمعان النظر </w:t>
      </w:r>
      <w:proofErr w:type="gramStart"/>
      <w:r w:rsidRPr="003F2E2C">
        <w:rPr>
          <w:rtl/>
        </w:rPr>
        <w:t>فيها؛</w:t>
      </w:r>
      <w:proofErr w:type="gramEnd"/>
    </w:p>
    <w:p w14:paraId="67EE5513" w14:textId="07E2DE21" w:rsidR="003F2E2C" w:rsidRPr="003F2E2C" w:rsidRDefault="003F2E2C" w:rsidP="00F91337">
      <w:pPr>
        <w:rPr>
          <w:rtl/>
        </w:rPr>
      </w:pPr>
      <w:r w:rsidRPr="003F2E2C">
        <w:t>3</w:t>
      </w:r>
      <w:r w:rsidRPr="003F2E2C">
        <w:tab/>
      </w:r>
      <w:r w:rsidRPr="003F2E2C">
        <w:rPr>
          <w:rtl/>
        </w:rPr>
        <w:t xml:space="preserve">برفع تقرير عن أي صعوبات تواجهه في تنفيذ هذا القرار إلى </w:t>
      </w:r>
      <w:r w:rsidR="00FF0A1A">
        <w:rPr>
          <w:rFonts w:hint="cs"/>
          <w:rtl/>
        </w:rPr>
        <w:t>المؤتمرات العالمية المقبلة</w:t>
      </w:r>
      <w:r w:rsidRPr="003F2E2C">
        <w:rPr>
          <w:rtl/>
        </w:rPr>
        <w:t xml:space="preserve"> للاتصالات الراديوية،</w:t>
      </w:r>
    </w:p>
    <w:p w14:paraId="3D42B7B5" w14:textId="77777777" w:rsidR="003F2E2C" w:rsidRPr="003F2E2C" w:rsidRDefault="003F2E2C" w:rsidP="00F91337">
      <w:pPr>
        <w:pStyle w:val="Call"/>
        <w:rPr>
          <w:rtl/>
        </w:rPr>
      </w:pPr>
      <w:r w:rsidRPr="003F2E2C">
        <w:rPr>
          <w:rtl/>
        </w:rPr>
        <w:t>يكلف لجنة لوائح الراديو</w:t>
      </w:r>
    </w:p>
    <w:p w14:paraId="438E739E" w14:textId="3436B95C" w:rsidR="003F2E2C" w:rsidRPr="003F2E2C" w:rsidRDefault="003F2E2C" w:rsidP="009978A9">
      <w:pPr>
        <w:rPr>
          <w:rtl/>
        </w:rPr>
      </w:pPr>
      <w:r w:rsidRPr="003F2E2C">
        <w:rPr>
          <w:rtl/>
        </w:rPr>
        <w:t>بتقديم تقرير إلى كل مؤتمر عالمي مقبل للاتصالات الراديوية عن الإجراءات التي اتخذتها الإدارات المبلغة عند تنفيذ الفقرة</w:t>
      </w:r>
      <w:r w:rsidR="005944D6">
        <w:rPr>
          <w:rFonts w:hint="cs"/>
          <w:rtl/>
        </w:rPr>
        <w:t> </w:t>
      </w:r>
      <w:r w:rsidRPr="003F2E2C">
        <w:rPr>
          <w:rtl/>
        </w:rPr>
        <w:t>3 من "</w:t>
      </w:r>
      <w:r w:rsidRPr="003F2E2C">
        <w:rPr>
          <w:i/>
          <w:iCs/>
          <w:rtl/>
        </w:rPr>
        <w:t>يقرر</w:t>
      </w:r>
      <w:r w:rsidRPr="003F2E2C">
        <w:rPr>
          <w:rtl/>
        </w:rPr>
        <w:t>".</w:t>
      </w:r>
    </w:p>
    <w:p w14:paraId="4AF65E92" w14:textId="77777777" w:rsidR="00D817D4" w:rsidRDefault="00D817D4">
      <w:pPr>
        <w:pStyle w:val="Reasons"/>
        <w:rPr>
          <w:rtl/>
        </w:rPr>
      </w:pPr>
    </w:p>
    <w:p w14:paraId="6B0364F7" w14:textId="77777777" w:rsidR="00E00A7A" w:rsidRDefault="00E00A7A" w:rsidP="00E00A7A">
      <w:pPr>
        <w:spacing w:before="600"/>
        <w:jc w:val="center"/>
        <w:rPr>
          <w:lang w:eastAsia="zh-CN"/>
        </w:rPr>
      </w:pPr>
      <w:r>
        <w:rPr>
          <w:rFonts w:hint="cs"/>
          <w:rtl/>
        </w:rPr>
        <w:t>ــــــــــــــــــــــــــــــــــــــــــــــــــــــــــــــــــــــــــــــــــــــــــــــــــــ</w:t>
      </w:r>
    </w:p>
    <w:sectPr w:rsidR="00E00A7A">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6437" w14:textId="77777777" w:rsidR="007430D1" w:rsidRDefault="007430D1" w:rsidP="002919E1">
      <w:r>
        <w:separator/>
      </w:r>
    </w:p>
    <w:p w14:paraId="01D3903D" w14:textId="77777777" w:rsidR="007430D1" w:rsidRDefault="007430D1" w:rsidP="002919E1"/>
    <w:p w14:paraId="2C512A2F" w14:textId="77777777" w:rsidR="007430D1" w:rsidRDefault="007430D1" w:rsidP="002919E1"/>
    <w:p w14:paraId="40CC257E" w14:textId="77777777" w:rsidR="007430D1" w:rsidRDefault="007430D1"/>
    <w:p w14:paraId="72C72A23" w14:textId="77777777" w:rsidR="007430D1" w:rsidRDefault="007430D1"/>
  </w:endnote>
  <w:endnote w:type="continuationSeparator" w:id="0">
    <w:p w14:paraId="2335D6D4" w14:textId="77777777" w:rsidR="007430D1" w:rsidRDefault="007430D1" w:rsidP="002919E1">
      <w:r>
        <w:continuationSeparator/>
      </w:r>
    </w:p>
    <w:p w14:paraId="637F4BD8" w14:textId="77777777" w:rsidR="007430D1" w:rsidRDefault="007430D1" w:rsidP="002919E1"/>
    <w:p w14:paraId="258D8C97" w14:textId="77777777" w:rsidR="007430D1" w:rsidRDefault="007430D1" w:rsidP="002919E1"/>
    <w:p w14:paraId="42573EA5" w14:textId="77777777" w:rsidR="007430D1" w:rsidRDefault="007430D1"/>
    <w:p w14:paraId="280B05DA" w14:textId="77777777" w:rsidR="007430D1" w:rsidRDefault="00743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818B" w14:textId="5354EDD5" w:rsidR="00D63A6F" w:rsidRPr="004E0B8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4E0B82">
      <w:rPr>
        <w:sz w:val="16"/>
        <w:szCs w:val="16"/>
        <w:lang w:val="pt-PT"/>
      </w:rPr>
      <w:instrText xml:space="preserve"> FILENAME \p \* MERGEFORMAT </w:instrText>
    </w:r>
    <w:r w:rsidRPr="0026373E">
      <w:rPr>
        <w:sz w:val="16"/>
        <w:szCs w:val="16"/>
        <w:lang w:val="fr-FR"/>
      </w:rPr>
      <w:fldChar w:fldCharType="separate"/>
    </w:r>
    <w:r w:rsidR="00C252C3">
      <w:rPr>
        <w:noProof/>
        <w:sz w:val="16"/>
        <w:szCs w:val="16"/>
        <w:lang w:val="pt-PT"/>
      </w:rPr>
      <w:t>P:\ARA\ITU-R\CONF-R\CMR23\000\044ADD22ADD11A.docx</w:t>
    </w:r>
    <w:r w:rsidRPr="0026373E">
      <w:rPr>
        <w:sz w:val="16"/>
        <w:szCs w:val="16"/>
      </w:rPr>
      <w:fldChar w:fldCharType="end"/>
    </w:r>
    <w:r w:rsidRPr="004E0B82">
      <w:rPr>
        <w:sz w:val="16"/>
        <w:szCs w:val="16"/>
        <w:lang w:val="pt-PT"/>
      </w:rPr>
      <w:t xml:space="preserve">   (</w:t>
    </w:r>
    <w:r w:rsidR="00FA1945" w:rsidRPr="004E0B82">
      <w:rPr>
        <w:sz w:val="16"/>
        <w:szCs w:val="16"/>
        <w:lang w:val="pt-PT"/>
      </w:rPr>
      <w:t>529467</w:t>
    </w:r>
    <w:r w:rsidRPr="004E0B82">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EABD" w14:textId="459E5959" w:rsidR="00782A8C" w:rsidRPr="004E0B82" w:rsidRDefault="00782A8C" w:rsidP="00782A8C">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4E0B82">
      <w:rPr>
        <w:sz w:val="16"/>
        <w:szCs w:val="16"/>
        <w:lang w:val="pt-PT"/>
      </w:rPr>
      <w:instrText xml:space="preserve"> FILENAME \p \* MERGEFORMAT </w:instrText>
    </w:r>
    <w:r w:rsidRPr="0026373E">
      <w:rPr>
        <w:sz w:val="16"/>
        <w:szCs w:val="16"/>
        <w:lang w:val="fr-FR"/>
      </w:rPr>
      <w:fldChar w:fldCharType="separate"/>
    </w:r>
    <w:r w:rsidR="000B71E2">
      <w:rPr>
        <w:noProof/>
        <w:sz w:val="16"/>
        <w:szCs w:val="16"/>
        <w:lang w:val="pt-PT"/>
      </w:rPr>
      <w:t>P:\ARA\ITU-R\CONF-R\CMR23\000\044ADD22ADD11A.docx</w:t>
    </w:r>
    <w:r w:rsidRPr="0026373E">
      <w:rPr>
        <w:sz w:val="16"/>
        <w:szCs w:val="16"/>
      </w:rPr>
      <w:fldChar w:fldCharType="end"/>
    </w:r>
    <w:r w:rsidRPr="004E0B82">
      <w:rPr>
        <w:sz w:val="16"/>
        <w:szCs w:val="16"/>
        <w:lang w:val="pt-PT"/>
      </w:rPr>
      <w:t xml:space="preserve">   (529467)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24E1" w14:textId="290A74FB" w:rsidR="00C252C3" w:rsidRPr="00C252C3" w:rsidRDefault="00C252C3" w:rsidP="00C252C3">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4E0B82">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P:\ARA\ITU-R\CONF-R\CMR23\000\044ADD22ADD11A.docx</w:t>
    </w:r>
    <w:r w:rsidRPr="0026373E">
      <w:rPr>
        <w:sz w:val="16"/>
        <w:szCs w:val="16"/>
      </w:rPr>
      <w:fldChar w:fldCharType="end"/>
    </w:r>
    <w:r w:rsidRPr="004E0B82">
      <w:rPr>
        <w:sz w:val="16"/>
        <w:szCs w:val="16"/>
        <w:lang w:val="pt-PT"/>
      </w:rPr>
      <w:t xml:space="preserve">   (529467)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8593" w14:textId="77777777" w:rsidR="007430D1" w:rsidRDefault="007430D1" w:rsidP="00C45930">
      <w:r>
        <w:separator/>
      </w:r>
    </w:p>
  </w:footnote>
  <w:footnote w:type="continuationSeparator" w:id="0">
    <w:p w14:paraId="51AFBB8A" w14:textId="77777777" w:rsidR="007430D1" w:rsidRDefault="007430D1" w:rsidP="002919E1">
      <w:r>
        <w:continuationSeparator/>
      </w:r>
    </w:p>
    <w:p w14:paraId="5DBA6F1A" w14:textId="77777777" w:rsidR="007430D1" w:rsidRDefault="007430D1" w:rsidP="002919E1"/>
    <w:p w14:paraId="54452DB5" w14:textId="77777777" w:rsidR="007430D1" w:rsidRDefault="007430D1" w:rsidP="002919E1"/>
    <w:p w14:paraId="7CF75CDB" w14:textId="77777777" w:rsidR="007430D1" w:rsidRDefault="007430D1"/>
    <w:p w14:paraId="38B2312C" w14:textId="77777777" w:rsidR="007430D1" w:rsidRDefault="00743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AF89" w14:textId="77777777" w:rsidR="005E5F16" w:rsidRPr="00782A8C" w:rsidRDefault="005E5F16" w:rsidP="005E5F16">
    <w:pPr>
      <w:bidi w:val="0"/>
      <w:spacing w:after="360" w:line="240" w:lineRule="auto"/>
      <w:jc w:val="center"/>
      <w:rPr>
        <w:sz w:val="20"/>
        <w:szCs w:val="20"/>
      </w:rPr>
    </w:pPr>
    <w:r w:rsidRPr="00782A8C">
      <w:rPr>
        <w:rStyle w:val="PageNumber"/>
        <w:rFonts w:ascii="Dubai" w:hAnsi="Dubai" w:cs="Dubai"/>
      </w:rPr>
      <w:fldChar w:fldCharType="begin"/>
    </w:r>
    <w:r w:rsidRPr="00782A8C">
      <w:rPr>
        <w:rStyle w:val="PageNumber"/>
        <w:rFonts w:ascii="Dubai" w:hAnsi="Dubai" w:cs="Dubai"/>
      </w:rPr>
      <w:instrText xml:space="preserve"> PAGE </w:instrText>
    </w:r>
    <w:r w:rsidRPr="00782A8C">
      <w:rPr>
        <w:rStyle w:val="PageNumber"/>
        <w:rFonts w:ascii="Dubai" w:hAnsi="Dubai" w:cs="Dubai"/>
      </w:rPr>
      <w:fldChar w:fldCharType="separate"/>
    </w:r>
    <w:r w:rsidRPr="00782A8C">
      <w:rPr>
        <w:rStyle w:val="PageNumber"/>
        <w:rFonts w:ascii="Dubai" w:hAnsi="Dubai" w:cs="Dubai"/>
      </w:rPr>
      <w:t>2</w:t>
    </w:r>
    <w:r w:rsidRPr="00782A8C">
      <w:rPr>
        <w:rStyle w:val="PageNumber"/>
        <w:rFonts w:ascii="Dubai" w:hAnsi="Dubai" w:cs="Dubai"/>
      </w:rPr>
      <w:fldChar w:fldCharType="end"/>
    </w:r>
    <w:r w:rsidRPr="00782A8C">
      <w:rPr>
        <w:rStyle w:val="PageNumber"/>
        <w:rFonts w:ascii="Dubai" w:hAnsi="Dubai" w:cs="Dubai"/>
        <w:rtl/>
      </w:rPr>
      <w:br/>
    </w:r>
    <w:r w:rsidR="004F5F29" w:rsidRPr="00782A8C">
      <w:rPr>
        <w:rStyle w:val="PageNumber"/>
        <w:rFonts w:ascii="Dubai" w:hAnsi="Dubai" w:cs="Dubai"/>
      </w:rPr>
      <w:t>WRC</w:t>
    </w:r>
    <w:r w:rsidRPr="00782A8C">
      <w:rPr>
        <w:rStyle w:val="PageNumber"/>
        <w:rFonts w:ascii="Dubai" w:hAnsi="Dubai" w:cs="Dubai"/>
      </w:rPr>
      <w:t>23/44(Add.</w:t>
    </w:r>
    <w:proofErr w:type="gramStart"/>
    <w:r w:rsidRPr="00782A8C">
      <w:rPr>
        <w:rStyle w:val="PageNumber"/>
        <w:rFonts w:ascii="Dubai" w:hAnsi="Dubai" w:cs="Dubai"/>
      </w:rPr>
      <w:t>22)(</w:t>
    </w:r>
    <w:proofErr w:type="gramEnd"/>
    <w:r w:rsidRPr="00782A8C">
      <w:rPr>
        <w:rStyle w:val="PageNumber"/>
        <w:rFonts w:ascii="Dubai" w:hAnsi="Dubai" w:cs="Dubai"/>
      </w:rPr>
      <w:t>Add.11)-A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7B82" w14:textId="77777777" w:rsidR="00782A8C" w:rsidRPr="00782A8C" w:rsidRDefault="00782A8C" w:rsidP="00782A8C">
    <w:pPr>
      <w:bidi w:val="0"/>
      <w:spacing w:after="360" w:line="240" w:lineRule="auto"/>
      <w:jc w:val="center"/>
      <w:rPr>
        <w:sz w:val="20"/>
        <w:szCs w:val="20"/>
      </w:rPr>
    </w:pPr>
    <w:r w:rsidRPr="00782A8C">
      <w:rPr>
        <w:rStyle w:val="PageNumber"/>
        <w:rFonts w:ascii="Dubai" w:hAnsi="Dubai" w:cs="Dubai"/>
      </w:rPr>
      <w:fldChar w:fldCharType="begin"/>
    </w:r>
    <w:r w:rsidRPr="00782A8C">
      <w:rPr>
        <w:rStyle w:val="PageNumber"/>
        <w:rFonts w:ascii="Dubai" w:hAnsi="Dubai" w:cs="Dubai"/>
      </w:rPr>
      <w:instrText xml:space="preserve"> PAGE </w:instrText>
    </w:r>
    <w:r w:rsidRPr="00782A8C">
      <w:rPr>
        <w:rStyle w:val="PageNumber"/>
        <w:rFonts w:ascii="Dubai" w:hAnsi="Dubai" w:cs="Dubai"/>
      </w:rPr>
      <w:fldChar w:fldCharType="separate"/>
    </w:r>
    <w:r w:rsidRPr="00782A8C">
      <w:rPr>
        <w:rStyle w:val="PageNumber"/>
        <w:rFonts w:ascii="Dubai" w:hAnsi="Dubai" w:cs="Dubai"/>
      </w:rPr>
      <w:t>2</w:t>
    </w:r>
    <w:r w:rsidRPr="00782A8C">
      <w:rPr>
        <w:rStyle w:val="PageNumber"/>
        <w:rFonts w:ascii="Dubai" w:hAnsi="Dubai" w:cs="Dubai"/>
      </w:rPr>
      <w:fldChar w:fldCharType="end"/>
    </w:r>
    <w:r w:rsidRPr="00782A8C">
      <w:rPr>
        <w:rStyle w:val="PageNumber"/>
        <w:rFonts w:ascii="Dubai" w:hAnsi="Dubai" w:cs="Dubai"/>
        <w:rtl/>
      </w:rPr>
      <w:br/>
    </w:r>
    <w:r w:rsidRPr="00782A8C">
      <w:rPr>
        <w:rStyle w:val="PageNumber"/>
        <w:rFonts w:ascii="Dubai" w:hAnsi="Dubai" w:cs="Dubai"/>
      </w:rPr>
      <w:t>WRC23/44(Add.</w:t>
    </w:r>
    <w:proofErr w:type="gramStart"/>
    <w:r w:rsidRPr="00782A8C">
      <w:rPr>
        <w:rStyle w:val="PageNumber"/>
        <w:rFonts w:ascii="Dubai" w:hAnsi="Dubai" w:cs="Dubai"/>
      </w:rPr>
      <w:t>22)(</w:t>
    </w:r>
    <w:proofErr w:type="gramEnd"/>
    <w:r w:rsidRPr="00782A8C">
      <w:rPr>
        <w:rStyle w:val="PageNumber"/>
        <w:rFonts w:ascii="Dubai" w:hAnsi="Dubai" w:cs="Dubai"/>
      </w:rPr>
      <w:t>Add.11)-A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85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2F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A8C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8A5E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38520628">
    <w:abstractNumId w:val="9"/>
  </w:num>
  <w:num w:numId="2" w16cid:durableId="1647590255">
    <w:abstractNumId w:val="13"/>
  </w:num>
  <w:num w:numId="3" w16cid:durableId="185948290">
    <w:abstractNumId w:val="11"/>
  </w:num>
  <w:num w:numId="4" w16cid:durableId="1834299237">
    <w:abstractNumId w:val="14"/>
  </w:num>
  <w:num w:numId="5" w16cid:durableId="831993901">
    <w:abstractNumId w:val="7"/>
  </w:num>
  <w:num w:numId="6" w16cid:durableId="803812567">
    <w:abstractNumId w:val="6"/>
  </w:num>
  <w:num w:numId="7" w16cid:durableId="643002142">
    <w:abstractNumId w:val="5"/>
  </w:num>
  <w:num w:numId="8" w16cid:durableId="850267480">
    <w:abstractNumId w:val="4"/>
  </w:num>
  <w:num w:numId="9" w16cid:durableId="480853718">
    <w:abstractNumId w:val="8"/>
  </w:num>
  <w:num w:numId="10" w16cid:durableId="1144396858">
    <w:abstractNumId w:val="3"/>
  </w:num>
  <w:num w:numId="11" w16cid:durableId="1427725733">
    <w:abstractNumId w:val="2"/>
  </w:num>
  <w:num w:numId="12" w16cid:durableId="536430077">
    <w:abstractNumId w:val="1"/>
  </w:num>
  <w:num w:numId="13" w16cid:durableId="1091968473">
    <w:abstractNumId w:val="0"/>
  </w:num>
  <w:num w:numId="14" w16cid:durableId="376052685">
    <w:abstractNumId w:val="10"/>
  </w:num>
  <w:num w:numId="15" w16cid:durableId="2034962563">
    <w:abstractNumId w:val="15"/>
  </w:num>
  <w:num w:numId="16" w16cid:durableId="713819810">
    <w:abstractNumId w:val="12"/>
  </w:num>
  <w:num w:numId="17" w16cid:durableId="394815302">
    <w:abstractNumId w:val="6"/>
  </w:num>
  <w:num w:numId="18" w16cid:durableId="1892762958">
    <w:abstractNumId w:val="5"/>
  </w:num>
  <w:num w:numId="19" w16cid:durableId="1118570541">
    <w:abstractNumId w:val="3"/>
  </w:num>
  <w:num w:numId="20" w16cid:durableId="863060394">
    <w:abstractNumId w:val="2"/>
  </w:num>
  <w:num w:numId="21" w16cid:durableId="1798915122">
    <w:abstractNumId w:val="6"/>
  </w:num>
  <w:num w:numId="22" w16cid:durableId="1063335252">
    <w:abstractNumId w:val="5"/>
  </w:num>
  <w:num w:numId="23" w16cid:durableId="1838497573">
    <w:abstractNumId w:val="3"/>
  </w:num>
  <w:num w:numId="24" w16cid:durableId="247429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258BB"/>
    <w:rsid w:val="0003280B"/>
    <w:rsid w:val="00034B65"/>
    <w:rsid w:val="00037AB5"/>
    <w:rsid w:val="00040C94"/>
    <w:rsid w:val="000425FC"/>
    <w:rsid w:val="00044D43"/>
    <w:rsid w:val="00046844"/>
    <w:rsid w:val="00051887"/>
    <w:rsid w:val="00051907"/>
    <w:rsid w:val="0005672F"/>
    <w:rsid w:val="00072F6A"/>
    <w:rsid w:val="0007384A"/>
    <w:rsid w:val="000746E7"/>
    <w:rsid w:val="00075A3F"/>
    <w:rsid w:val="00080358"/>
    <w:rsid w:val="00082E47"/>
    <w:rsid w:val="00085A2A"/>
    <w:rsid w:val="0008795A"/>
    <w:rsid w:val="00091F52"/>
    <w:rsid w:val="00094467"/>
    <w:rsid w:val="00095283"/>
    <w:rsid w:val="00095C28"/>
    <w:rsid w:val="000A01F0"/>
    <w:rsid w:val="000A1B16"/>
    <w:rsid w:val="000A53A4"/>
    <w:rsid w:val="000A55B4"/>
    <w:rsid w:val="000A6B88"/>
    <w:rsid w:val="000B0235"/>
    <w:rsid w:val="000B3896"/>
    <w:rsid w:val="000B5404"/>
    <w:rsid w:val="000B5B15"/>
    <w:rsid w:val="000B71E2"/>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3BC1"/>
    <w:rsid w:val="001B5953"/>
    <w:rsid w:val="001B76DD"/>
    <w:rsid w:val="001C4118"/>
    <w:rsid w:val="001C5862"/>
    <w:rsid w:val="001C69FA"/>
    <w:rsid w:val="001C7FA2"/>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369F"/>
    <w:rsid w:val="002160EC"/>
    <w:rsid w:val="0022104A"/>
    <w:rsid w:val="00223C6C"/>
    <w:rsid w:val="00227709"/>
    <w:rsid w:val="002319FD"/>
    <w:rsid w:val="002323AD"/>
    <w:rsid w:val="002333A0"/>
    <w:rsid w:val="002374F3"/>
    <w:rsid w:val="002418B0"/>
    <w:rsid w:val="00243CA9"/>
    <w:rsid w:val="00253B4E"/>
    <w:rsid w:val="002543CF"/>
    <w:rsid w:val="00254BFF"/>
    <w:rsid w:val="00257AAF"/>
    <w:rsid w:val="0026062E"/>
    <w:rsid w:val="00260F50"/>
    <w:rsid w:val="00261EF7"/>
    <w:rsid w:val="00263531"/>
    <w:rsid w:val="00266089"/>
    <w:rsid w:val="002705A8"/>
    <w:rsid w:val="0027069F"/>
    <w:rsid w:val="00270ACE"/>
    <w:rsid w:val="00277C94"/>
    <w:rsid w:val="00280E04"/>
    <w:rsid w:val="00281F5F"/>
    <w:rsid w:val="002837F4"/>
    <w:rsid w:val="002843E4"/>
    <w:rsid w:val="00284D30"/>
    <w:rsid w:val="00286A8C"/>
    <w:rsid w:val="00290E7C"/>
    <w:rsid w:val="00291458"/>
    <w:rsid w:val="002919E1"/>
    <w:rsid w:val="00295917"/>
    <w:rsid w:val="00295A6A"/>
    <w:rsid w:val="00295DF8"/>
    <w:rsid w:val="00296071"/>
    <w:rsid w:val="0029650F"/>
    <w:rsid w:val="002A33F7"/>
    <w:rsid w:val="002A4572"/>
    <w:rsid w:val="002A4829"/>
    <w:rsid w:val="002A7E2E"/>
    <w:rsid w:val="002B12C5"/>
    <w:rsid w:val="002B16D8"/>
    <w:rsid w:val="002B4093"/>
    <w:rsid w:val="002B4C6E"/>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2F7979"/>
    <w:rsid w:val="00301B24"/>
    <w:rsid w:val="00304DBA"/>
    <w:rsid w:val="00305971"/>
    <w:rsid w:val="00311E3F"/>
    <w:rsid w:val="00314B1E"/>
    <w:rsid w:val="00317364"/>
    <w:rsid w:val="00323DAA"/>
    <w:rsid w:val="0032715E"/>
    <w:rsid w:val="00330AB2"/>
    <w:rsid w:val="003365C2"/>
    <w:rsid w:val="0033737F"/>
    <w:rsid w:val="003401B0"/>
    <w:rsid w:val="003428A3"/>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2E2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11DF"/>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0B82"/>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5DE0"/>
    <w:rsid w:val="00576D0A"/>
    <w:rsid w:val="00576FCC"/>
    <w:rsid w:val="00580F39"/>
    <w:rsid w:val="005821DC"/>
    <w:rsid w:val="00584333"/>
    <w:rsid w:val="0058478B"/>
    <w:rsid w:val="005944D6"/>
    <w:rsid w:val="005953EC"/>
    <w:rsid w:val="005B00A1"/>
    <w:rsid w:val="005B4A6D"/>
    <w:rsid w:val="005C29C8"/>
    <w:rsid w:val="005C47A6"/>
    <w:rsid w:val="005C5D25"/>
    <w:rsid w:val="005D2606"/>
    <w:rsid w:val="005D6D48"/>
    <w:rsid w:val="005D72A4"/>
    <w:rsid w:val="005E1676"/>
    <w:rsid w:val="005E5F16"/>
    <w:rsid w:val="005E77B1"/>
    <w:rsid w:val="005E7F46"/>
    <w:rsid w:val="005E7FBF"/>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3FCD"/>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57C9"/>
    <w:rsid w:val="006F70BF"/>
    <w:rsid w:val="007000FE"/>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30D1"/>
    <w:rsid w:val="00751251"/>
    <w:rsid w:val="00752552"/>
    <w:rsid w:val="007545A3"/>
    <w:rsid w:val="0075482A"/>
    <w:rsid w:val="007579F6"/>
    <w:rsid w:val="007610E7"/>
    <w:rsid w:val="00764079"/>
    <w:rsid w:val="00770AA0"/>
    <w:rsid w:val="00771F7E"/>
    <w:rsid w:val="00773E9C"/>
    <w:rsid w:val="007760BF"/>
    <w:rsid w:val="00776E74"/>
    <w:rsid w:val="00776F6B"/>
    <w:rsid w:val="00777694"/>
    <w:rsid w:val="00780283"/>
    <w:rsid w:val="00782A8C"/>
    <w:rsid w:val="00786A7E"/>
    <w:rsid w:val="00787D57"/>
    <w:rsid w:val="00791772"/>
    <w:rsid w:val="00791D16"/>
    <w:rsid w:val="00794B15"/>
    <w:rsid w:val="00797A62"/>
    <w:rsid w:val="007A0802"/>
    <w:rsid w:val="007A0EE1"/>
    <w:rsid w:val="007A26D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502B"/>
    <w:rsid w:val="007F6A4D"/>
    <w:rsid w:val="007F7FC3"/>
    <w:rsid w:val="00800790"/>
    <w:rsid w:val="00810482"/>
    <w:rsid w:val="008150D6"/>
    <w:rsid w:val="0081659C"/>
    <w:rsid w:val="00816F17"/>
    <w:rsid w:val="00817568"/>
    <w:rsid w:val="008204AC"/>
    <w:rsid w:val="008261C2"/>
    <w:rsid w:val="00830058"/>
    <w:rsid w:val="00830D96"/>
    <w:rsid w:val="008349BC"/>
    <w:rsid w:val="00843A5D"/>
    <w:rsid w:val="00844DE0"/>
    <w:rsid w:val="008469DC"/>
    <w:rsid w:val="00851E79"/>
    <w:rsid w:val="0085569D"/>
    <w:rsid w:val="00855B59"/>
    <w:rsid w:val="008562C5"/>
    <w:rsid w:val="0085774F"/>
    <w:rsid w:val="008614B8"/>
    <w:rsid w:val="00862C7E"/>
    <w:rsid w:val="008657CB"/>
    <w:rsid w:val="008672FD"/>
    <w:rsid w:val="00867E6A"/>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1E02"/>
    <w:rsid w:val="008D2BB5"/>
    <w:rsid w:val="008D6ACC"/>
    <w:rsid w:val="008D7AF0"/>
    <w:rsid w:val="008E27B6"/>
    <w:rsid w:val="008E2CBE"/>
    <w:rsid w:val="008E32DD"/>
    <w:rsid w:val="008E53C5"/>
    <w:rsid w:val="008F3368"/>
    <w:rsid w:val="008F4626"/>
    <w:rsid w:val="008F6F58"/>
    <w:rsid w:val="009004DF"/>
    <w:rsid w:val="0090079C"/>
    <w:rsid w:val="00901184"/>
    <w:rsid w:val="00903820"/>
    <w:rsid w:val="00904AA5"/>
    <w:rsid w:val="00906BA8"/>
    <w:rsid w:val="00907ECF"/>
    <w:rsid w:val="00921935"/>
    <w:rsid w:val="00921CBB"/>
    <w:rsid w:val="00932571"/>
    <w:rsid w:val="009344B2"/>
    <w:rsid w:val="0094097F"/>
    <w:rsid w:val="009412D9"/>
    <w:rsid w:val="00951718"/>
    <w:rsid w:val="00951BEC"/>
    <w:rsid w:val="00954929"/>
    <w:rsid w:val="00955405"/>
    <w:rsid w:val="00960472"/>
    <w:rsid w:val="00960962"/>
    <w:rsid w:val="009633E4"/>
    <w:rsid w:val="00963EEA"/>
    <w:rsid w:val="00964496"/>
    <w:rsid w:val="00972CE0"/>
    <w:rsid w:val="00980359"/>
    <w:rsid w:val="00984018"/>
    <w:rsid w:val="009906D6"/>
    <w:rsid w:val="009925F6"/>
    <w:rsid w:val="00995CE3"/>
    <w:rsid w:val="009978A9"/>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0F05"/>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2643"/>
    <w:rsid w:val="00B23C68"/>
    <w:rsid w:val="00B24B17"/>
    <w:rsid w:val="00B26943"/>
    <w:rsid w:val="00B269D2"/>
    <w:rsid w:val="00B303E0"/>
    <w:rsid w:val="00B357D8"/>
    <w:rsid w:val="00B357E9"/>
    <w:rsid w:val="00B41565"/>
    <w:rsid w:val="00B4164D"/>
    <w:rsid w:val="00B425C1"/>
    <w:rsid w:val="00B4717A"/>
    <w:rsid w:val="00B4744D"/>
    <w:rsid w:val="00B47B13"/>
    <w:rsid w:val="00B542DF"/>
    <w:rsid w:val="00B54989"/>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2C3"/>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4C8D"/>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45F27"/>
    <w:rsid w:val="00D51132"/>
    <w:rsid w:val="00D51BB8"/>
    <w:rsid w:val="00D525F5"/>
    <w:rsid w:val="00D535D0"/>
    <w:rsid w:val="00D56224"/>
    <w:rsid w:val="00D577D8"/>
    <w:rsid w:val="00D62C78"/>
    <w:rsid w:val="00D63A6F"/>
    <w:rsid w:val="00D645CF"/>
    <w:rsid w:val="00D80761"/>
    <w:rsid w:val="00D81703"/>
    <w:rsid w:val="00D817D4"/>
    <w:rsid w:val="00D82929"/>
    <w:rsid w:val="00D84010"/>
    <w:rsid w:val="00D84214"/>
    <w:rsid w:val="00D864F1"/>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0A7A"/>
    <w:rsid w:val="00E06689"/>
    <w:rsid w:val="00E10821"/>
    <w:rsid w:val="00E13A67"/>
    <w:rsid w:val="00E20122"/>
    <w:rsid w:val="00E21A8D"/>
    <w:rsid w:val="00E221F5"/>
    <w:rsid w:val="00E2476B"/>
    <w:rsid w:val="00E2489D"/>
    <w:rsid w:val="00E26520"/>
    <w:rsid w:val="00E33051"/>
    <w:rsid w:val="00E343A3"/>
    <w:rsid w:val="00E428EF"/>
    <w:rsid w:val="00E50850"/>
    <w:rsid w:val="00E51BFA"/>
    <w:rsid w:val="00E542DC"/>
    <w:rsid w:val="00E549DE"/>
    <w:rsid w:val="00E56348"/>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21F5"/>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1945"/>
    <w:rsid w:val="00FA62BC"/>
    <w:rsid w:val="00FB049A"/>
    <w:rsid w:val="00FB0753"/>
    <w:rsid w:val="00FB0F38"/>
    <w:rsid w:val="00FB15D0"/>
    <w:rsid w:val="00FB2926"/>
    <w:rsid w:val="00FB3C45"/>
    <w:rsid w:val="00FB4A1C"/>
    <w:rsid w:val="00FB5CC8"/>
    <w:rsid w:val="00FC2CD0"/>
    <w:rsid w:val="00FD0594"/>
    <w:rsid w:val="00FD308E"/>
    <w:rsid w:val="00FD7BB8"/>
    <w:rsid w:val="00FE172E"/>
    <w:rsid w:val="00FE42C7"/>
    <w:rsid w:val="00FE43E2"/>
    <w:rsid w:val="00FE62C9"/>
    <w:rsid w:val="00FF0A1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56B5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unhideWhenUsed/>
    <w:qFormat/>
    <w:rsid w:val="00FB3C45"/>
    <w:pPr>
      <w:tabs>
        <w:tab w:val="left" w:pos="259"/>
      </w:tabs>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qFormat/>
    <w:rsid w:val="00FB3C45"/>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030F6B"/>
    <w:rPr>
      <w:rFonts w:ascii="Dubai" w:hAnsi="Dubai" w:cs="Dubai"/>
      <w:b/>
      <w:bCs/>
      <w:sz w:val="28"/>
      <w:szCs w:val="28"/>
      <w:lang w:eastAsia="en-US" w:bidi="ar-EG"/>
    </w:rPr>
  </w:style>
  <w:style w:type="paragraph" w:customStyle="1" w:styleId="Ei">
    <w:name w:val="Ei"/>
    <w:basedOn w:val="Normal"/>
    <w:rsid w:val="00B54989"/>
  </w:style>
  <w:style w:type="paragraph" w:customStyle="1" w:styleId="EditorsNote">
    <w:name w:val="EditorsNote"/>
    <w:basedOn w:val="EndnoteText"/>
    <w:rsid w:val="009978A9"/>
    <w:pPr>
      <w:spacing w:before="240" w:after="240"/>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786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20721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08750a-e09c-4725-9a30-bb3e9cbaf638" targetNamespace="http://schemas.microsoft.com/office/2006/metadata/properties" ma:root="true" ma:fieldsID="d41af5c836d734370eb92e7ee5f83852" ns2:_="" ns3:_="">
    <xsd:import namespace="996b2e75-67fd-4955-a3b0-5ab9934cb50b"/>
    <xsd:import namespace="9108750a-e09c-4725-9a30-bb3e9cbaf63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08750a-e09c-4725-9a30-bb3e9cbaf63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9108750a-e09c-4725-9a30-bb3e9cbaf638">DPM</DPM_x0020_Author>
    <DPM_x0020_File_x0020_name xmlns="9108750a-e09c-4725-9a30-bb3e9cbaf638">R23-WRC23-C-0044!A22-A11!MSW-A</DPM_x0020_File_x0020_name>
    <DPM_x0020_Version xmlns="9108750a-e09c-4725-9a30-bb3e9cbaf63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08750a-e09c-4725-9a30-bb3e9cba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108750a-e09c-4725-9a30-bb3e9cbaf638"/>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1612</Words>
  <Characters>8799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R23-WRC23-C-0044!A22-A11!MSW-A</vt:lpstr>
      <vt:lpstr>R23-WRC23-C-0044!A22-A11!MSW-A</vt:lpstr>
    </vt:vector>
  </TitlesOfParts>
  <Manager>General Secretariat - Pool</Manager>
  <Company>International Telecommunication Union (ITU)</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R23-WRC23-C-0044!A22-A11!MSW-A</dc:title>
  <dc:creator>Documents Proposals Manager (DPM)</dc:creator>
  <cp:keywords>DPM_v2023.8.1.1_prod</cp:keywords>
  <cp:lastModifiedBy>Arabic_GE</cp:lastModifiedBy>
  <cp:revision>5</cp:revision>
  <cp:lastPrinted>2020-08-11T14:28:00Z</cp:lastPrinted>
  <dcterms:created xsi:type="dcterms:W3CDTF">2023-11-05T17:15:00Z</dcterms:created>
  <dcterms:modified xsi:type="dcterms:W3CDTF">2023-11-05T18:03:00Z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