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E4B87" w14:paraId="5701ECC4" w14:textId="77777777" w:rsidTr="0080079E">
        <w:trPr>
          <w:cantSplit/>
        </w:trPr>
        <w:tc>
          <w:tcPr>
            <w:tcW w:w="1418" w:type="dxa"/>
            <w:vAlign w:val="center"/>
          </w:tcPr>
          <w:p w14:paraId="27D689DA" w14:textId="77777777" w:rsidR="0080079E" w:rsidRPr="002E4B87" w:rsidRDefault="0080079E" w:rsidP="0080079E">
            <w:pPr>
              <w:spacing w:before="0" w:line="240" w:lineRule="atLeast"/>
              <w:rPr>
                <w:rFonts w:ascii="Verdana" w:hAnsi="Verdana"/>
                <w:position w:val="6"/>
              </w:rPr>
            </w:pPr>
            <w:r w:rsidRPr="002E4B87">
              <w:rPr>
                <w:noProof/>
              </w:rPr>
              <w:drawing>
                <wp:inline distT="0" distB="0" distL="0" distR="0" wp14:anchorId="031FF4BA" wp14:editId="7BFC301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C7332F4" w14:textId="77777777" w:rsidR="0080079E" w:rsidRPr="002E4B87" w:rsidRDefault="0080079E" w:rsidP="00C44E9E">
            <w:pPr>
              <w:spacing w:before="400" w:after="48" w:line="240" w:lineRule="atLeast"/>
              <w:rPr>
                <w:rFonts w:ascii="Verdana" w:hAnsi="Verdana"/>
                <w:position w:val="6"/>
              </w:rPr>
            </w:pPr>
            <w:r w:rsidRPr="002E4B87">
              <w:rPr>
                <w:rFonts w:ascii="Verdana" w:hAnsi="Verdana" w:cs="Times"/>
                <w:b/>
                <w:position w:val="6"/>
                <w:sz w:val="20"/>
              </w:rPr>
              <w:t>Conferencia Mundial de Radiocomunicaciones (CMR-23)</w:t>
            </w:r>
            <w:r w:rsidRPr="002E4B87">
              <w:rPr>
                <w:rFonts w:ascii="Verdana" w:hAnsi="Verdana" w:cs="Times"/>
                <w:b/>
                <w:position w:val="6"/>
                <w:sz w:val="20"/>
              </w:rPr>
              <w:br/>
            </w:r>
            <w:r w:rsidRPr="002E4B87">
              <w:rPr>
                <w:rFonts w:ascii="Verdana" w:hAnsi="Verdana" w:cs="Times"/>
                <w:b/>
                <w:position w:val="6"/>
                <w:sz w:val="18"/>
                <w:szCs w:val="18"/>
              </w:rPr>
              <w:t>Dubái, 20 de noviembre - 15 de diciembre de 2023</w:t>
            </w:r>
          </w:p>
        </w:tc>
        <w:tc>
          <w:tcPr>
            <w:tcW w:w="1809" w:type="dxa"/>
            <w:vAlign w:val="center"/>
          </w:tcPr>
          <w:p w14:paraId="1A76B4C7" w14:textId="77777777" w:rsidR="0080079E" w:rsidRPr="002E4B87" w:rsidRDefault="0080079E" w:rsidP="0080079E">
            <w:pPr>
              <w:spacing w:before="0" w:line="240" w:lineRule="atLeast"/>
            </w:pPr>
            <w:r w:rsidRPr="002E4B87">
              <w:rPr>
                <w:noProof/>
              </w:rPr>
              <w:drawing>
                <wp:inline distT="0" distB="0" distL="0" distR="0" wp14:anchorId="14CD4510" wp14:editId="21DF407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E4B87" w14:paraId="75243CA1" w14:textId="77777777" w:rsidTr="0050008E">
        <w:trPr>
          <w:cantSplit/>
        </w:trPr>
        <w:tc>
          <w:tcPr>
            <w:tcW w:w="6911" w:type="dxa"/>
            <w:gridSpan w:val="2"/>
            <w:tcBorders>
              <w:bottom w:val="single" w:sz="12" w:space="0" w:color="auto"/>
            </w:tcBorders>
          </w:tcPr>
          <w:p w14:paraId="7FE4F710" w14:textId="77777777" w:rsidR="0090121B" w:rsidRPr="002E4B87" w:rsidRDefault="0090121B" w:rsidP="0090121B">
            <w:pPr>
              <w:spacing w:before="0" w:after="48" w:line="240" w:lineRule="atLeast"/>
              <w:rPr>
                <w:b/>
                <w:smallCaps/>
                <w:szCs w:val="24"/>
              </w:rPr>
            </w:pPr>
          </w:p>
        </w:tc>
        <w:tc>
          <w:tcPr>
            <w:tcW w:w="3120" w:type="dxa"/>
            <w:gridSpan w:val="2"/>
            <w:tcBorders>
              <w:bottom w:val="single" w:sz="12" w:space="0" w:color="auto"/>
            </w:tcBorders>
          </w:tcPr>
          <w:p w14:paraId="0DE7152E" w14:textId="77777777" w:rsidR="0090121B" w:rsidRPr="002E4B87" w:rsidRDefault="0090121B" w:rsidP="0090121B">
            <w:pPr>
              <w:spacing w:before="0" w:line="240" w:lineRule="atLeast"/>
              <w:rPr>
                <w:rFonts w:ascii="Verdana" w:hAnsi="Verdana"/>
                <w:szCs w:val="24"/>
              </w:rPr>
            </w:pPr>
          </w:p>
        </w:tc>
      </w:tr>
      <w:tr w:rsidR="0090121B" w:rsidRPr="002E4B87" w14:paraId="66D642DD" w14:textId="77777777" w:rsidTr="0090121B">
        <w:trPr>
          <w:cantSplit/>
        </w:trPr>
        <w:tc>
          <w:tcPr>
            <w:tcW w:w="6911" w:type="dxa"/>
            <w:gridSpan w:val="2"/>
            <w:tcBorders>
              <w:top w:val="single" w:sz="12" w:space="0" w:color="auto"/>
            </w:tcBorders>
          </w:tcPr>
          <w:p w14:paraId="0A36F22A" w14:textId="77777777" w:rsidR="0090121B" w:rsidRPr="002E4B8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8F4EA87" w14:textId="77777777" w:rsidR="0090121B" w:rsidRPr="002E4B87" w:rsidRDefault="0090121B" w:rsidP="0090121B">
            <w:pPr>
              <w:spacing w:before="0" w:line="240" w:lineRule="atLeast"/>
              <w:rPr>
                <w:rFonts w:ascii="Verdana" w:hAnsi="Verdana"/>
                <w:sz w:val="20"/>
              </w:rPr>
            </w:pPr>
          </w:p>
        </w:tc>
      </w:tr>
      <w:tr w:rsidR="0090121B" w:rsidRPr="002E4B87" w14:paraId="7B0AF8D1" w14:textId="77777777" w:rsidTr="0090121B">
        <w:trPr>
          <w:cantSplit/>
        </w:trPr>
        <w:tc>
          <w:tcPr>
            <w:tcW w:w="6911" w:type="dxa"/>
            <w:gridSpan w:val="2"/>
          </w:tcPr>
          <w:p w14:paraId="44D00202" w14:textId="77777777" w:rsidR="0090121B" w:rsidRPr="002E4B87" w:rsidRDefault="001E7D42" w:rsidP="00EA77F0">
            <w:pPr>
              <w:pStyle w:val="Committee"/>
              <w:framePr w:hSpace="0" w:wrap="auto" w:hAnchor="text" w:yAlign="inline"/>
              <w:rPr>
                <w:sz w:val="18"/>
                <w:szCs w:val="18"/>
                <w:lang w:val="es-ES_tradnl"/>
              </w:rPr>
            </w:pPr>
            <w:r w:rsidRPr="002E4B87">
              <w:rPr>
                <w:sz w:val="18"/>
                <w:szCs w:val="18"/>
                <w:lang w:val="es-ES_tradnl"/>
              </w:rPr>
              <w:t>SESIÓN PLENARIA</w:t>
            </w:r>
          </w:p>
        </w:tc>
        <w:tc>
          <w:tcPr>
            <w:tcW w:w="3120" w:type="dxa"/>
            <w:gridSpan w:val="2"/>
          </w:tcPr>
          <w:p w14:paraId="7AE9EBE0" w14:textId="77777777" w:rsidR="0090121B" w:rsidRPr="002E4B87" w:rsidRDefault="00AE658F" w:rsidP="0045384C">
            <w:pPr>
              <w:spacing w:before="0"/>
              <w:rPr>
                <w:rFonts w:ascii="Verdana" w:hAnsi="Verdana"/>
                <w:sz w:val="18"/>
                <w:szCs w:val="18"/>
              </w:rPr>
            </w:pPr>
            <w:r w:rsidRPr="002E4B87">
              <w:rPr>
                <w:rFonts w:ascii="Verdana" w:hAnsi="Verdana"/>
                <w:b/>
                <w:sz w:val="18"/>
                <w:szCs w:val="18"/>
              </w:rPr>
              <w:t>Addéndum 3 al</w:t>
            </w:r>
            <w:r w:rsidRPr="002E4B87">
              <w:rPr>
                <w:rFonts w:ascii="Verdana" w:hAnsi="Verdana"/>
                <w:b/>
                <w:sz w:val="18"/>
                <w:szCs w:val="18"/>
              </w:rPr>
              <w:br/>
              <w:t>Documento 44(Add.2)</w:t>
            </w:r>
            <w:r w:rsidR="0090121B" w:rsidRPr="002E4B87">
              <w:rPr>
                <w:rFonts w:ascii="Verdana" w:hAnsi="Verdana"/>
                <w:b/>
                <w:sz w:val="18"/>
                <w:szCs w:val="18"/>
              </w:rPr>
              <w:t>-</w:t>
            </w:r>
            <w:r w:rsidRPr="002E4B87">
              <w:rPr>
                <w:rFonts w:ascii="Verdana" w:hAnsi="Verdana"/>
                <w:b/>
                <w:sz w:val="18"/>
                <w:szCs w:val="18"/>
              </w:rPr>
              <w:t>S</w:t>
            </w:r>
          </w:p>
        </w:tc>
      </w:tr>
      <w:tr w:rsidR="000A5B9A" w:rsidRPr="002E4B87" w14:paraId="5C674EA1" w14:textId="77777777" w:rsidTr="0090121B">
        <w:trPr>
          <w:cantSplit/>
        </w:trPr>
        <w:tc>
          <w:tcPr>
            <w:tcW w:w="6911" w:type="dxa"/>
            <w:gridSpan w:val="2"/>
          </w:tcPr>
          <w:p w14:paraId="6EF86149" w14:textId="77777777" w:rsidR="000A5B9A" w:rsidRPr="002E4B87" w:rsidRDefault="000A5B9A" w:rsidP="0045384C">
            <w:pPr>
              <w:spacing w:before="0" w:after="48"/>
              <w:rPr>
                <w:rFonts w:ascii="Verdana" w:hAnsi="Verdana"/>
                <w:b/>
                <w:smallCaps/>
                <w:sz w:val="18"/>
                <w:szCs w:val="18"/>
              </w:rPr>
            </w:pPr>
          </w:p>
        </w:tc>
        <w:tc>
          <w:tcPr>
            <w:tcW w:w="3120" w:type="dxa"/>
            <w:gridSpan w:val="2"/>
          </w:tcPr>
          <w:p w14:paraId="49B914FF" w14:textId="77777777" w:rsidR="000A5B9A" w:rsidRPr="002E4B87" w:rsidRDefault="000A5B9A" w:rsidP="0045384C">
            <w:pPr>
              <w:spacing w:before="0"/>
              <w:rPr>
                <w:rFonts w:ascii="Verdana" w:hAnsi="Verdana"/>
                <w:b/>
                <w:sz w:val="18"/>
                <w:szCs w:val="18"/>
              </w:rPr>
            </w:pPr>
            <w:r w:rsidRPr="002E4B87">
              <w:rPr>
                <w:rFonts w:ascii="Verdana" w:hAnsi="Verdana"/>
                <w:b/>
                <w:sz w:val="18"/>
                <w:szCs w:val="18"/>
              </w:rPr>
              <w:t>13 de octubre de 2023</w:t>
            </w:r>
          </w:p>
        </w:tc>
      </w:tr>
      <w:tr w:rsidR="000A5B9A" w:rsidRPr="002E4B87" w14:paraId="357EC22C" w14:textId="77777777" w:rsidTr="0090121B">
        <w:trPr>
          <w:cantSplit/>
        </w:trPr>
        <w:tc>
          <w:tcPr>
            <w:tcW w:w="6911" w:type="dxa"/>
            <w:gridSpan w:val="2"/>
          </w:tcPr>
          <w:p w14:paraId="02406815" w14:textId="77777777" w:rsidR="000A5B9A" w:rsidRPr="002E4B87" w:rsidRDefault="000A5B9A" w:rsidP="0045384C">
            <w:pPr>
              <w:spacing w:before="0" w:after="48"/>
              <w:rPr>
                <w:rFonts w:ascii="Verdana" w:hAnsi="Verdana"/>
                <w:b/>
                <w:smallCaps/>
                <w:sz w:val="18"/>
                <w:szCs w:val="18"/>
              </w:rPr>
            </w:pPr>
          </w:p>
        </w:tc>
        <w:tc>
          <w:tcPr>
            <w:tcW w:w="3120" w:type="dxa"/>
            <w:gridSpan w:val="2"/>
          </w:tcPr>
          <w:p w14:paraId="7BE5AF30" w14:textId="57973EE9" w:rsidR="000A5B9A" w:rsidRPr="002E4B87" w:rsidRDefault="000A5B9A" w:rsidP="0045384C">
            <w:pPr>
              <w:spacing w:before="0"/>
              <w:rPr>
                <w:rFonts w:ascii="Verdana" w:hAnsi="Verdana"/>
                <w:b/>
                <w:sz w:val="18"/>
                <w:szCs w:val="18"/>
              </w:rPr>
            </w:pPr>
            <w:r w:rsidRPr="002E4B87">
              <w:rPr>
                <w:rFonts w:ascii="Verdana" w:hAnsi="Verdana"/>
                <w:b/>
                <w:sz w:val="18"/>
                <w:szCs w:val="18"/>
              </w:rPr>
              <w:t xml:space="preserve">Original: </w:t>
            </w:r>
            <w:r w:rsidR="004C4788" w:rsidRPr="002E4B87">
              <w:rPr>
                <w:rFonts w:ascii="Verdana" w:hAnsi="Verdana"/>
                <w:b/>
                <w:sz w:val="18"/>
                <w:szCs w:val="18"/>
              </w:rPr>
              <w:t>español</w:t>
            </w:r>
          </w:p>
        </w:tc>
      </w:tr>
      <w:tr w:rsidR="000A5B9A" w:rsidRPr="002E4B87" w14:paraId="2447B76B" w14:textId="77777777" w:rsidTr="006744FC">
        <w:trPr>
          <w:cantSplit/>
        </w:trPr>
        <w:tc>
          <w:tcPr>
            <w:tcW w:w="10031" w:type="dxa"/>
            <w:gridSpan w:val="4"/>
          </w:tcPr>
          <w:p w14:paraId="5AEBD498" w14:textId="77777777" w:rsidR="000A5B9A" w:rsidRPr="002E4B87" w:rsidRDefault="000A5B9A" w:rsidP="0045384C">
            <w:pPr>
              <w:spacing w:before="0"/>
              <w:rPr>
                <w:rFonts w:ascii="Verdana" w:hAnsi="Verdana"/>
                <w:b/>
                <w:sz w:val="18"/>
                <w:szCs w:val="22"/>
              </w:rPr>
            </w:pPr>
          </w:p>
        </w:tc>
      </w:tr>
      <w:tr w:rsidR="000A5B9A" w:rsidRPr="002E4B87" w14:paraId="31858FDD" w14:textId="77777777" w:rsidTr="0050008E">
        <w:trPr>
          <w:cantSplit/>
        </w:trPr>
        <w:tc>
          <w:tcPr>
            <w:tcW w:w="10031" w:type="dxa"/>
            <w:gridSpan w:val="4"/>
          </w:tcPr>
          <w:p w14:paraId="6E54426F" w14:textId="77777777" w:rsidR="000A5B9A" w:rsidRPr="002E4B87" w:rsidRDefault="000A5B9A" w:rsidP="000A5B9A">
            <w:pPr>
              <w:pStyle w:val="Source"/>
            </w:pPr>
            <w:bookmarkStart w:id="0" w:name="dsource" w:colFirst="0" w:colLast="0"/>
            <w:r w:rsidRPr="002E4B87">
              <w:t>Estados Miembros de la Comisión Interamericana de Telecomunicaciones (CITEL)</w:t>
            </w:r>
          </w:p>
        </w:tc>
      </w:tr>
      <w:tr w:rsidR="000A5B9A" w:rsidRPr="002E4B87" w14:paraId="7B8EF616" w14:textId="77777777" w:rsidTr="0050008E">
        <w:trPr>
          <w:cantSplit/>
        </w:trPr>
        <w:tc>
          <w:tcPr>
            <w:tcW w:w="10031" w:type="dxa"/>
            <w:gridSpan w:val="4"/>
          </w:tcPr>
          <w:p w14:paraId="6BECEEB8" w14:textId="20B8BADB" w:rsidR="000A5B9A" w:rsidRPr="002E4B87" w:rsidRDefault="004C4788" w:rsidP="000A5B9A">
            <w:pPr>
              <w:pStyle w:val="Title1"/>
            </w:pPr>
            <w:bookmarkStart w:id="1" w:name="dtitle1" w:colFirst="0" w:colLast="0"/>
            <w:bookmarkEnd w:id="0"/>
            <w:r w:rsidRPr="002E4B87">
              <w:t>PROPUESTAS PARA LOS TRABAJOS DE LA CONFERENCIA</w:t>
            </w:r>
          </w:p>
        </w:tc>
      </w:tr>
      <w:tr w:rsidR="000A5B9A" w:rsidRPr="002E4B87" w14:paraId="73339CC5" w14:textId="77777777" w:rsidTr="0050008E">
        <w:trPr>
          <w:cantSplit/>
        </w:trPr>
        <w:tc>
          <w:tcPr>
            <w:tcW w:w="10031" w:type="dxa"/>
            <w:gridSpan w:val="4"/>
          </w:tcPr>
          <w:p w14:paraId="3683A3E7" w14:textId="77777777" w:rsidR="000A5B9A" w:rsidRPr="002E4B87" w:rsidRDefault="000A5B9A" w:rsidP="000A5B9A">
            <w:pPr>
              <w:pStyle w:val="Title2"/>
            </w:pPr>
            <w:bookmarkStart w:id="2" w:name="dtitle2" w:colFirst="0" w:colLast="0"/>
            <w:bookmarkEnd w:id="1"/>
          </w:p>
        </w:tc>
      </w:tr>
      <w:tr w:rsidR="000A5B9A" w:rsidRPr="002E4B87" w14:paraId="3C28B796" w14:textId="77777777" w:rsidTr="0050008E">
        <w:trPr>
          <w:cantSplit/>
        </w:trPr>
        <w:tc>
          <w:tcPr>
            <w:tcW w:w="10031" w:type="dxa"/>
            <w:gridSpan w:val="4"/>
          </w:tcPr>
          <w:p w14:paraId="1E123930" w14:textId="77777777" w:rsidR="000A5B9A" w:rsidRPr="002E4B87" w:rsidRDefault="000A5B9A" w:rsidP="000A5B9A">
            <w:pPr>
              <w:pStyle w:val="Agendaitem"/>
            </w:pPr>
            <w:bookmarkStart w:id="3" w:name="dtitle3" w:colFirst="0" w:colLast="0"/>
            <w:bookmarkEnd w:id="2"/>
            <w:r w:rsidRPr="002E4B87">
              <w:t>Punto 1.2 del orden del día</w:t>
            </w:r>
          </w:p>
        </w:tc>
      </w:tr>
    </w:tbl>
    <w:bookmarkEnd w:id="3"/>
    <w:p w14:paraId="0117C479" w14:textId="675811F0" w:rsidR="0035207F" w:rsidRPr="00104448" w:rsidRDefault="0035207F" w:rsidP="00B268D9">
      <w:pPr>
        <w:rPr>
          <w:spacing w:val="-4"/>
        </w:rPr>
      </w:pPr>
      <w:r w:rsidRPr="00104448">
        <w:rPr>
          <w:bCs/>
          <w:spacing w:val="-4"/>
        </w:rPr>
        <w:t>1.2</w:t>
      </w:r>
      <w:r w:rsidRPr="00104448">
        <w:rPr>
          <w:bCs/>
          <w:spacing w:val="-4"/>
        </w:rPr>
        <w:tab/>
        <w:t>considerar la identificación de las bandas de frecuencias 3 300-3 400 MHz, 3 600</w:t>
      </w:r>
      <w:r w:rsidR="00104448" w:rsidRPr="00104448">
        <w:rPr>
          <w:bCs/>
          <w:spacing w:val="-4"/>
        </w:rPr>
        <w:noBreakHyphen/>
      </w:r>
      <w:r w:rsidRPr="00104448">
        <w:rPr>
          <w:bCs/>
          <w:spacing w:val="-4"/>
        </w:rPr>
        <w:t xml:space="preserve">3 800 MHz, 6 425-7 025 MHz, 7 025-7 125 MHz y 10,0-10,5 GHz para las Telecomunicaciones Móviles Internacionales (IMT), incluidas posibles atribuciones adicionales al servicio móvil a título primario, de conformidad con la Resolución </w:t>
      </w:r>
      <w:r w:rsidRPr="00104448">
        <w:rPr>
          <w:b/>
          <w:spacing w:val="-4"/>
        </w:rPr>
        <w:t>245 (CMR-19)</w:t>
      </w:r>
      <w:r w:rsidRPr="00104448">
        <w:rPr>
          <w:bCs/>
          <w:spacing w:val="-4"/>
        </w:rPr>
        <w:t>;</w:t>
      </w:r>
    </w:p>
    <w:p w14:paraId="3E08E2DA" w14:textId="2749B76A" w:rsidR="00E859DA" w:rsidRPr="002E4B87" w:rsidRDefault="00E859DA" w:rsidP="00E859DA">
      <w:pPr>
        <w:pStyle w:val="Title4"/>
      </w:pPr>
      <w:r w:rsidRPr="002E4B87">
        <w:t>Parte 3 – Banda</w:t>
      </w:r>
      <w:r w:rsidR="00F078D0">
        <w:t>s</w:t>
      </w:r>
      <w:r w:rsidRPr="002E4B87">
        <w:t xml:space="preserve"> de frecuencias 6 425-7 025 MHz</w:t>
      </w:r>
      <w:r w:rsidR="00544AB9">
        <w:t xml:space="preserve"> </w:t>
      </w:r>
      <w:r w:rsidR="00544AB9" w:rsidRPr="00544AB9">
        <w:rPr>
          <w:bCs/>
        </w:rPr>
        <w:t>y 7 025-7 125 MHz</w:t>
      </w:r>
    </w:p>
    <w:p w14:paraId="75F38B53" w14:textId="77777777" w:rsidR="00E859DA" w:rsidRPr="002E4B87" w:rsidRDefault="00E859DA" w:rsidP="00E859DA">
      <w:pPr>
        <w:pStyle w:val="Headingb"/>
        <w:rPr>
          <w:b w:val="0"/>
        </w:rPr>
      </w:pPr>
      <w:r w:rsidRPr="002E4B87">
        <w:t>Antecedentes</w:t>
      </w:r>
    </w:p>
    <w:p w14:paraId="58E646C5" w14:textId="7270055E" w:rsidR="00E859DA" w:rsidRPr="002E4B87" w:rsidRDefault="00E859DA" w:rsidP="00E859DA">
      <w:r w:rsidRPr="002E4B87">
        <w:t>La banda ancha móvil juega un papel crucial en la provisión de acceso a los negocios y consumidores de todo el mundo.</w:t>
      </w:r>
      <w:r w:rsidRPr="002E4B87">
        <w:rPr>
          <w:color w:val="000000"/>
        </w:rPr>
        <w:t xml:space="preserve"> </w:t>
      </w:r>
      <w:r w:rsidRPr="002E4B87">
        <w:t>En 2020, el primer año de la pandemia, el número de usuarios de Internet creció un 10,2 por ciento, el mayor aumento en una década, impulsado por los países en desarrollo donde el uso de Internet aumentó un 13,3 por ciento. Según las estimaciones de la UIT, el número de suscripciones activas de telefonía móvil-celular por cada 100 habitantes sigue creciendo con fuerza, alcanzando las 110 suscripciones por cada 100 habitantes, incluido un número récord de suscripciones móviles con capacidad de banda ancha (3G o superior).</w:t>
      </w:r>
      <w:r w:rsidRPr="002E4B87">
        <w:rPr>
          <w:vertAlign w:val="superscript"/>
        </w:rPr>
        <w:footnoteReference w:id="1"/>
      </w:r>
      <w:r w:rsidRPr="002E4B87">
        <w:t xml:space="preserve"> El noventa y cinco por ciento de la población mundial vive al alcance de un servicio de banda ancha móvil, y la diferencia relativamente pequeña en el número de suscripciones entre los países desarrollados y aquellos en desarrollo demuestra que la conectividad es una prioridad de las personas en los países en todos los niveles de desarrollo.</w:t>
      </w:r>
      <w:r w:rsidR="00BA5720" w:rsidRPr="00BA5720">
        <w:rPr>
          <w:vertAlign w:val="superscript"/>
        </w:rPr>
        <w:t>1</w:t>
      </w:r>
    </w:p>
    <w:p w14:paraId="7C0C6024" w14:textId="54487DFE" w:rsidR="00E859DA" w:rsidRPr="002E4B87" w:rsidRDefault="00E859DA" w:rsidP="00E859DA">
      <w:r w:rsidRPr="002E4B87">
        <w:t xml:space="preserve">La demanda de aplicaciones de banda ancha inalámbrica móvil, como las IMT, sigue creciendo drásticamente, al igual que la necesidad de acceso al espectro radioeléctrico para respaldar este </w:t>
      </w:r>
      <w:r w:rsidRPr="002E4B87">
        <w:lastRenderedPageBreak/>
        <w:t>crecimiento.</w:t>
      </w:r>
      <w:r w:rsidRPr="002E4B87">
        <w:rPr>
          <w:vertAlign w:val="superscript"/>
        </w:rPr>
        <w:footnoteReference w:id="2"/>
      </w:r>
      <w:r w:rsidRPr="002E4B87">
        <w:t xml:space="preserve"> La quinta generación (5G) proporciona mayores velocidades de datos y una latencia reducida. Es importante destacar que 5G ha sido diseñado para habilitar capacidades en una amplia gama de industrias, incluidas la atención médica, el transporte, la manufactura, la educación y la telemedicina; se espera que 5G tenga un amplio impacto en nuestras economías y sociedades. Con el incremento continuo de la demanda de aplicaciones IMT, se deberá considerar la identificación de espectro adicional para las IMT en las bandas de frecuencias medias –con su mezcla favorable de cobertura y capacidad</w:t>
      </w:r>
      <w:r w:rsidR="00C64AB7" w:rsidRPr="002E4B87">
        <w:t>–</w:t>
      </w:r>
      <w:r w:rsidRPr="002E4B87">
        <w:t xml:space="preserve"> con el fin de habilitar despliegues futuros donde estas aplicaciones y servicios </w:t>
      </w:r>
      <w:bookmarkStart w:id="4" w:name="OLE_LINK52"/>
      <w:bookmarkStart w:id="5" w:name="OLE_LINK51"/>
      <w:r w:rsidRPr="002E4B87">
        <w:t xml:space="preserve">sean difíciles de implementar con el uso de bandas de frecuencias </w:t>
      </w:r>
      <w:proofErr w:type="gramStart"/>
      <w:r w:rsidRPr="002E4B87">
        <w:t>más bajas o más altas</w:t>
      </w:r>
      <w:proofErr w:type="gramEnd"/>
      <w:r w:rsidRPr="002E4B87">
        <w:t>.</w:t>
      </w:r>
      <w:bookmarkEnd w:id="4"/>
      <w:bookmarkEnd w:id="5"/>
    </w:p>
    <w:p w14:paraId="55CB9C59" w14:textId="4224BA41" w:rsidR="00E859DA" w:rsidRPr="002E4B87" w:rsidRDefault="00E859DA" w:rsidP="00E859DA">
      <w:pPr>
        <w:rPr>
          <w:bCs/>
          <w:u w:val="single"/>
        </w:rPr>
      </w:pPr>
      <w:r w:rsidRPr="002E4B87">
        <w:rPr>
          <w:bCs/>
          <w:u w:val="single"/>
        </w:rPr>
        <w:t>6 425-7 025 MHz y 7 025-7 125 MHz</w:t>
      </w:r>
    </w:p>
    <w:p w14:paraId="6C2A70DA" w14:textId="5843E0FC" w:rsidR="00E859DA" w:rsidRPr="002E4B87" w:rsidRDefault="00E859DA" w:rsidP="00E859DA">
      <w:r w:rsidRPr="002E4B87">
        <w:t>La banda 6 425</w:t>
      </w:r>
      <w:r w:rsidR="00C64AB7" w:rsidRPr="002E4B87">
        <w:t>-</w:t>
      </w:r>
      <w:r w:rsidRPr="002E4B87">
        <w:t>7 125 MHz ya está atribuida al servicio móvil a título primario. Como atribución de servicio ampliamente definida,</w:t>
      </w:r>
      <w:r w:rsidRPr="002E4B87">
        <w:rPr>
          <w:rStyle w:val="FootnoteReference"/>
          <w:sz w:val="22"/>
          <w:szCs w:val="22"/>
        </w:rPr>
        <w:footnoteReference w:id="3"/>
      </w:r>
      <w:r w:rsidRPr="002E4B87">
        <w:t xml:space="preserve"> esta ofrece a las administraciones la flexibilidad de permitir el uso de diversos sistemas móviles y aplicaciones del servicio móvil (por ejemplo: recopilación electrónica de noticias y otros servicios auxiliares y de retransmisión de vídeo, IMT, RLAN) en función de sus prioridades y requisitos nacionales.</w:t>
      </w:r>
    </w:p>
    <w:p w14:paraId="121D4091" w14:textId="414E8186" w:rsidR="00E859DA" w:rsidRPr="00C2705C" w:rsidRDefault="00E859DA" w:rsidP="00E859DA">
      <w:r w:rsidRPr="00C2705C">
        <w:t>El rango de frecuencias 6 425-7 125 MHz está atribuido al servicio fijo por satélite (6</w:t>
      </w:r>
      <w:r w:rsidR="00D3199C" w:rsidRPr="00C2705C">
        <w:t> </w:t>
      </w:r>
      <w:r w:rsidRPr="00C2705C">
        <w:t>425</w:t>
      </w:r>
      <w:r w:rsidR="00D3199C" w:rsidRPr="00C2705C">
        <w:noBreakHyphen/>
      </w:r>
      <w:r w:rsidRPr="00C2705C">
        <w:t>7</w:t>
      </w:r>
      <w:r w:rsidR="00D3199C" w:rsidRPr="00C2705C">
        <w:t> </w:t>
      </w:r>
      <w:r w:rsidRPr="00C2705C">
        <w:t>075</w:t>
      </w:r>
      <w:r w:rsidR="00D3199C" w:rsidRPr="00C2705C">
        <w:t> </w:t>
      </w:r>
      <w:r w:rsidRPr="00C2705C">
        <w:t>MHz), el servicio fijo y el servicio móvil; se utilizan tramos de la banda para la telemedida móvil aeronáutica (TMA) en la Región 2 (número</w:t>
      </w:r>
      <w:r w:rsidRPr="00C2705C">
        <w:rPr>
          <w:b/>
        </w:rPr>
        <w:t xml:space="preserve"> 5.457C</w:t>
      </w:r>
      <w:r w:rsidRPr="00C2705C">
        <w:t xml:space="preserve">). Los servicios fijos incluyen enlaces de microondas de carácter crítico desplegados por la seguridad pública, los servicios públicos, el ferrocarril y la red de retroceso de las IMT para operadores de telecomunicaciones. La atribución al servicio fijo por satélite en el sentido espacio-Tierra en la banda 6 700-7 075 MHz se limita a enlaces de conexión para sistemas de satélites no geoestacionarios del servicio móvil por satélite. </w:t>
      </w:r>
    </w:p>
    <w:p w14:paraId="0198CD37" w14:textId="77777777" w:rsidR="00E859DA" w:rsidRPr="002E4B87" w:rsidRDefault="00E859DA" w:rsidP="00E859DA">
      <w:pPr>
        <w:rPr>
          <w:bCs/>
        </w:rPr>
      </w:pPr>
      <w:r w:rsidRPr="002E4B87">
        <w:rPr>
          <w:bCs/>
        </w:rPr>
        <w:t>Con respecto al uso de la banda por el Servicio Fijo por Satélite (SFS):</w:t>
      </w:r>
    </w:p>
    <w:p w14:paraId="248FFACC" w14:textId="23D97A83" w:rsidR="00E859DA" w:rsidRPr="002E4B87" w:rsidRDefault="00E859DA" w:rsidP="00E859DA">
      <w:pPr>
        <w:pStyle w:val="enumlev1"/>
        <w:rPr>
          <w:bCs/>
        </w:rPr>
      </w:pPr>
      <w:r w:rsidRPr="002E4B87">
        <w:rPr>
          <w:bCs/>
        </w:rPr>
        <w:t>–</w:t>
      </w:r>
      <w:r w:rsidRPr="002E4B87">
        <w:rPr>
          <w:bCs/>
        </w:rPr>
        <w:tab/>
      </w:r>
      <w:r w:rsidRPr="002E4B87">
        <w:t>6 425-7 075 MHz: atribuido al SFS a nivel global.</w:t>
      </w:r>
    </w:p>
    <w:p w14:paraId="4295363B" w14:textId="01219C1B" w:rsidR="00E859DA" w:rsidRPr="002E4B87" w:rsidRDefault="00E859DA" w:rsidP="00E859DA">
      <w:pPr>
        <w:pStyle w:val="enumlev2"/>
      </w:pPr>
      <w:r w:rsidRPr="002E4B87">
        <w:t>•</w:t>
      </w:r>
      <w:r w:rsidRPr="002E4B87">
        <w:tab/>
      </w:r>
      <w:r w:rsidRPr="002E4B87">
        <w:t xml:space="preserve">6 425-6 725 MHz: atribuido al SFS (Tierra-espacio) en todas las Regiones. </w:t>
      </w:r>
    </w:p>
    <w:p w14:paraId="714E5244" w14:textId="75C8F53E" w:rsidR="00E859DA" w:rsidRPr="002E4B87" w:rsidRDefault="00E859DA" w:rsidP="00E859DA">
      <w:pPr>
        <w:pStyle w:val="enumlev2"/>
      </w:pPr>
      <w:r w:rsidRPr="002E4B87">
        <w:t>•</w:t>
      </w:r>
      <w:r w:rsidRPr="002E4B87">
        <w:tab/>
        <w:t>6 725</w:t>
      </w:r>
      <w:r w:rsidR="00C64AB7" w:rsidRPr="002E4B87">
        <w:t>-</w:t>
      </w:r>
      <w:r w:rsidRPr="002E4B87">
        <w:t>7 025 MHz: atribuido al SFS (Tierra-espacio) sujeto a las disposiciones del Apéndice</w:t>
      </w:r>
      <w:r w:rsidRPr="002E4B87">
        <w:rPr>
          <w:b/>
          <w:bCs/>
        </w:rPr>
        <w:t xml:space="preserve"> 30B</w:t>
      </w:r>
      <w:r w:rsidRPr="002E4B87">
        <w:t xml:space="preserve"> (número</w:t>
      </w:r>
      <w:r w:rsidRPr="002E4B87">
        <w:rPr>
          <w:b/>
          <w:bCs/>
        </w:rPr>
        <w:t xml:space="preserve"> 5.441</w:t>
      </w:r>
      <w:r w:rsidRPr="002E4B87">
        <w:t>). La adjudicación al SFS en 6 725-7 025 MHz es particularmente importante para los países en desarrollo.</w:t>
      </w:r>
    </w:p>
    <w:p w14:paraId="64B6FCED" w14:textId="619F6A7E" w:rsidR="00E859DA" w:rsidRPr="002E4B87" w:rsidRDefault="00E859DA" w:rsidP="00E859DA">
      <w:pPr>
        <w:pStyle w:val="enumlev2"/>
      </w:pPr>
      <w:r w:rsidRPr="002E4B87">
        <w:t>•</w:t>
      </w:r>
      <w:r w:rsidRPr="002E4B87">
        <w:tab/>
        <w:t>6 700</w:t>
      </w:r>
      <w:r w:rsidR="00C64AB7" w:rsidRPr="002E4B87">
        <w:t>-</w:t>
      </w:r>
      <w:r w:rsidRPr="002E4B87">
        <w:t xml:space="preserve">7 075 MHz: atribuido al SFS (espacio-Tierra), limitado a enlaces de conexión para sistemas de satélites no geoestacionarios del servicio móvil por satélite, sujeto a la coordinación con el número </w:t>
      </w:r>
      <w:r w:rsidRPr="002E4B87">
        <w:rPr>
          <w:b/>
          <w:bCs/>
        </w:rPr>
        <w:t>9.11A</w:t>
      </w:r>
      <w:r w:rsidRPr="002E4B87">
        <w:t xml:space="preserve"> (número </w:t>
      </w:r>
      <w:r w:rsidRPr="002E4B87">
        <w:rPr>
          <w:b/>
          <w:bCs/>
        </w:rPr>
        <w:t>5.458B</w:t>
      </w:r>
      <w:r w:rsidRPr="002E4B87">
        <w:t>).</w:t>
      </w:r>
    </w:p>
    <w:p w14:paraId="5D47BFD1" w14:textId="21F1F449" w:rsidR="00E859DA" w:rsidRPr="002E4B87" w:rsidRDefault="00E859DA" w:rsidP="00C64AB7">
      <w:pPr>
        <w:pStyle w:val="enumlev1"/>
      </w:pPr>
      <w:r w:rsidRPr="002E4B87">
        <w:rPr>
          <w:bCs/>
        </w:rPr>
        <w:t>–</w:t>
      </w:r>
      <w:r w:rsidRPr="002E4B87">
        <w:rPr>
          <w:bCs/>
        </w:rPr>
        <w:tab/>
      </w:r>
      <w:r w:rsidRPr="002E4B87">
        <w:t>7 025-7 075 MHz: servicios de radiodifusión sonora digital por satélite (SDARS) para enlaces de conexión GEO en el sentido Tierra-espacio con el fin de proporcionar programación de audio a los suscriptores en los Estados Unidos, Canadá y el Caribe.</w:t>
      </w:r>
    </w:p>
    <w:p w14:paraId="2496AB64" w14:textId="58A98143" w:rsidR="00E859DA" w:rsidRPr="002E4B87" w:rsidRDefault="00E859DA" w:rsidP="00C64AB7">
      <w:r w:rsidRPr="002E4B87">
        <w:lastRenderedPageBreak/>
        <w:t>En 2020, Estados Unidos puso a disposición 1</w:t>
      </w:r>
      <w:r w:rsidR="008C231C">
        <w:t> </w:t>
      </w:r>
      <w:r w:rsidRPr="002E4B87">
        <w:t xml:space="preserve">200 megahercios de espectro, 5 925-7125 MHz, para uso sin licencia. Esta decisión permite que los dispositivos sin licencia (por ejemplo: Wi-Fi 6E, LAA, NR-U) compartan este espectro con los servicios establecidos con base en reglas que son cuidadosamente elaboradas para proteger los servicios con licencia y permitir que tanto las operaciones sin licencia como las con licencia sigan prosperando en toda la banda. </w:t>
      </w:r>
      <w:r w:rsidRPr="002E4B87">
        <w:rPr>
          <w:color w:val="000000" w:themeColor="text1"/>
        </w:rPr>
        <w:t xml:space="preserve">Varios países, entre ellos </w:t>
      </w:r>
      <w:r w:rsidRPr="002E4B87">
        <w:t xml:space="preserve">nueve administraciones de la CITEL, ya han decidido permitir el uso exento de licencia de la banda de frecuencias 6 425-7 125 MHz </w:t>
      </w:r>
      <w:r w:rsidR="00A064B8">
        <w:t>–</w:t>
      </w:r>
      <w:r w:rsidRPr="002E4B87">
        <w:t xml:space="preserve">otros están considerando dicho uso. Una armonización reglamentaria global garantizaría economías de alcance y de escala que permitan un ecosistema comercialmente viable de dispositivos sin licencia en 6 GHz. Además, el estudio y la consideración de la identificación de las frecuencias 6 425-7 025 MHz para el componente terrenal de las IMT para la Región 2 y la Región 3 está fuera del alcance del punto 1.2 del orden del día y, como tal, no habrá cambios en el Reglamento de Radiocomunicaciones que involucren estas frecuencias con respecto a estas Regiones. En consecuencia, Estados Unidos no propone ningún cambio en el Reglamento de Radiocomunicaciones para las bandas 6 425-7 125 MHz con el fin de apoyar el uso flexible de la atribución al servicio móvil, incluido el uso de RLAN, y apoyan una mayor armonización de la banda de 6 GHz para dispositivos sin licencia. </w:t>
      </w:r>
    </w:p>
    <w:p w14:paraId="07D8F44F" w14:textId="4339D579" w:rsidR="00363A65" w:rsidRPr="002E4B87" w:rsidRDefault="00E859DA" w:rsidP="00C64AB7">
      <w:pPr>
        <w:pStyle w:val="Headingb"/>
      </w:pPr>
      <w:r w:rsidRPr="002E4B87">
        <w:t>Propuestas</w:t>
      </w:r>
    </w:p>
    <w:p w14:paraId="29211D78" w14:textId="77777777" w:rsidR="008750A8" w:rsidRPr="002E4B87" w:rsidRDefault="008750A8" w:rsidP="008750A8">
      <w:pPr>
        <w:tabs>
          <w:tab w:val="clear" w:pos="1134"/>
          <w:tab w:val="clear" w:pos="1871"/>
          <w:tab w:val="clear" w:pos="2268"/>
        </w:tabs>
        <w:overflowPunct/>
        <w:autoSpaceDE/>
        <w:autoSpaceDN/>
        <w:adjustRightInd/>
        <w:spacing w:before="0"/>
        <w:textAlignment w:val="auto"/>
      </w:pPr>
      <w:r w:rsidRPr="002E4B87">
        <w:br w:type="page"/>
      </w:r>
    </w:p>
    <w:p w14:paraId="76744E5C" w14:textId="77777777" w:rsidR="0035207F" w:rsidRPr="002E4B87" w:rsidRDefault="0035207F" w:rsidP="00BE468A">
      <w:pPr>
        <w:pStyle w:val="ArtNo"/>
        <w:spacing w:before="0"/>
      </w:pPr>
      <w:bookmarkStart w:id="6" w:name="_Toc48141301"/>
      <w:r w:rsidRPr="002E4B87">
        <w:lastRenderedPageBreak/>
        <w:t xml:space="preserve">ARTÍCULO </w:t>
      </w:r>
      <w:r w:rsidRPr="002E4B87">
        <w:rPr>
          <w:rStyle w:val="href"/>
        </w:rPr>
        <w:t>5</w:t>
      </w:r>
      <w:bookmarkEnd w:id="6"/>
    </w:p>
    <w:p w14:paraId="66EF05BC" w14:textId="77777777" w:rsidR="0035207F" w:rsidRPr="002E4B87" w:rsidRDefault="0035207F" w:rsidP="00625DBA">
      <w:pPr>
        <w:pStyle w:val="Arttitle"/>
      </w:pPr>
      <w:bookmarkStart w:id="7" w:name="_Toc48141302"/>
      <w:r w:rsidRPr="002E4B87">
        <w:t>Atribuciones de frecuencia</w:t>
      </w:r>
      <w:bookmarkEnd w:id="7"/>
    </w:p>
    <w:p w14:paraId="7ABBEB83" w14:textId="77777777" w:rsidR="0035207F" w:rsidRPr="002E4B87" w:rsidRDefault="0035207F" w:rsidP="00625DBA">
      <w:pPr>
        <w:pStyle w:val="Section1"/>
      </w:pPr>
      <w:r w:rsidRPr="002E4B87">
        <w:t>Sección IV – Cuadro de atribución de bandas de frecuencias</w:t>
      </w:r>
      <w:r w:rsidRPr="002E4B87">
        <w:br/>
      </w:r>
      <w:r w:rsidRPr="002E4B87">
        <w:rPr>
          <w:b w:val="0"/>
          <w:bCs/>
        </w:rPr>
        <w:t>(Véase el número</w:t>
      </w:r>
      <w:r w:rsidRPr="002E4B87">
        <w:t xml:space="preserve"> </w:t>
      </w:r>
      <w:r w:rsidRPr="002E4B87">
        <w:rPr>
          <w:rStyle w:val="Artref"/>
        </w:rPr>
        <w:t>2.1</w:t>
      </w:r>
      <w:r w:rsidRPr="002E4B87">
        <w:rPr>
          <w:b w:val="0"/>
          <w:bCs/>
        </w:rPr>
        <w:t>)</w:t>
      </w:r>
      <w:r w:rsidRPr="002E4B87">
        <w:br/>
      </w:r>
    </w:p>
    <w:p w14:paraId="16470837" w14:textId="77777777" w:rsidR="00A22843" w:rsidRPr="002E4B87" w:rsidRDefault="0035207F">
      <w:pPr>
        <w:pStyle w:val="Proposal"/>
      </w:pPr>
      <w:r w:rsidRPr="002E4B87">
        <w:rPr>
          <w:u w:val="single"/>
        </w:rPr>
        <w:t>NOC</w:t>
      </w:r>
      <w:r w:rsidRPr="002E4B87">
        <w:tab/>
        <w:t>IAP/44A2A3/1</w:t>
      </w:r>
    </w:p>
    <w:p w14:paraId="3E12D0C4" w14:textId="77777777" w:rsidR="0035207F" w:rsidRPr="002E4B87" w:rsidRDefault="0035207F" w:rsidP="00745B6B">
      <w:pPr>
        <w:pStyle w:val="Tabletitle"/>
        <w:rPr>
          <w:color w:val="000000"/>
        </w:rPr>
      </w:pPr>
      <w:r w:rsidRPr="002E4B87">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25DBA" w:rsidRPr="002E4B87" w14:paraId="0C8FAF6C" w14:textId="77777777" w:rsidTr="00625DBA">
        <w:trPr>
          <w:cantSplit/>
        </w:trPr>
        <w:tc>
          <w:tcPr>
            <w:tcW w:w="9304" w:type="dxa"/>
            <w:gridSpan w:val="3"/>
            <w:tcBorders>
              <w:top w:val="single" w:sz="6" w:space="0" w:color="auto"/>
              <w:left w:val="single" w:sz="6" w:space="0" w:color="auto"/>
              <w:bottom w:val="single" w:sz="6" w:space="0" w:color="auto"/>
              <w:right w:val="single" w:sz="6" w:space="0" w:color="auto"/>
            </w:tcBorders>
          </w:tcPr>
          <w:p w14:paraId="72DFBE2D" w14:textId="77777777" w:rsidR="0035207F" w:rsidRPr="002E4B87" w:rsidRDefault="0035207F" w:rsidP="00625DBA">
            <w:pPr>
              <w:pStyle w:val="Tablehead"/>
              <w:spacing w:before="60" w:after="60"/>
              <w:rPr>
                <w:color w:val="000000"/>
              </w:rPr>
            </w:pPr>
            <w:r w:rsidRPr="002E4B87">
              <w:rPr>
                <w:color w:val="000000"/>
              </w:rPr>
              <w:t>Atribución a los servicios</w:t>
            </w:r>
          </w:p>
        </w:tc>
      </w:tr>
      <w:tr w:rsidR="00625DBA" w:rsidRPr="002E4B87" w14:paraId="000792F6"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7F498B70" w14:textId="77777777" w:rsidR="0035207F" w:rsidRPr="002E4B87" w:rsidRDefault="0035207F" w:rsidP="00625DBA">
            <w:pPr>
              <w:pStyle w:val="Tablehead"/>
              <w:spacing w:before="60" w:after="60"/>
              <w:rPr>
                <w:color w:val="000000"/>
              </w:rPr>
            </w:pPr>
            <w:r w:rsidRPr="002E4B8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43773349" w14:textId="77777777" w:rsidR="0035207F" w:rsidRPr="002E4B87" w:rsidRDefault="0035207F" w:rsidP="00625DBA">
            <w:pPr>
              <w:pStyle w:val="Tablehead"/>
              <w:spacing w:before="60" w:after="60"/>
              <w:rPr>
                <w:color w:val="000000"/>
              </w:rPr>
            </w:pPr>
            <w:r w:rsidRPr="002E4B8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4EF74B10" w14:textId="77777777" w:rsidR="0035207F" w:rsidRPr="002E4B87" w:rsidRDefault="0035207F" w:rsidP="00625DBA">
            <w:pPr>
              <w:pStyle w:val="Tablehead"/>
              <w:spacing w:before="60" w:after="60"/>
              <w:rPr>
                <w:color w:val="000000"/>
              </w:rPr>
            </w:pPr>
            <w:r w:rsidRPr="002E4B87">
              <w:rPr>
                <w:color w:val="000000"/>
              </w:rPr>
              <w:t>Región 3</w:t>
            </w:r>
          </w:p>
        </w:tc>
      </w:tr>
      <w:tr w:rsidR="00625DBA" w:rsidRPr="002E4B87" w14:paraId="473C0456" w14:textId="77777777" w:rsidTr="00625DBA">
        <w:trPr>
          <w:cantSplit/>
        </w:trPr>
        <w:tc>
          <w:tcPr>
            <w:tcW w:w="9304" w:type="dxa"/>
            <w:gridSpan w:val="3"/>
            <w:tcBorders>
              <w:top w:val="single" w:sz="6" w:space="0" w:color="auto"/>
              <w:left w:val="single" w:sz="6" w:space="0" w:color="auto"/>
              <w:bottom w:val="single" w:sz="6" w:space="0" w:color="auto"/>
              <w:right w:val="single" w:sz="6" w:space="0" w:color="auto"/>
            </w:tcBorders>
          </w:tcPr>
          <w:p w14:paraId="1835E894" w14:textId="77777777" w:rsidR="0035207F" w:rsidRPr="002E4B87" w:rsidRDefault="0035207F" w:rsidP="00625DBA">
            <w:pPr>
              <w:pStyle w:val="TableTextS5"/>
              <w:spacing w:before="20" w:after="20"/>
              <w:rPr>
                <w:color w:val="000000"/>
              </w:rPr>
            </w:pPr>
            <w:r w:rsidRPr="002E4B87">
              <w:rPr>
                <w:rStyle w:val="Tablefreq"/>
                <w:color w:val="000000"/>
              </w:rPr>
              <w:t>5 925-6 700</w:t>
            </w:r>
            <w:r w:rsidRPr="002E4B87">
              <w:rPr>
                <w:color w:val="000000"/>
              </w:rPr>
              <w:tab/>
              <w:t>FIJO  5.457</w:t>
            </w:r>
          </w:p>
          <w:p w14:paraId="67282737"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t xml:space="preserve">FIJO POR SATÉLITE (Tierra-espacio)  </w:t>
            </w:r>
            <w:r w:rsidRPr="002E4B87">
              <w:rPr>
                <w:rStyle w:val="Artref"/>
                <w:color w:val="000000"/>
              </w:rPr>
              <w:t>5.457A</w:t>
            </w:r>
            <w:r w:rsidRPr="002E4B87">
              <w:rPr>
                <w:color w:val="000000"/>
              </w:rPr>
              <w:t xml:space="preserve">  </w:t>
            </w:r>
            <w:r w:rsidRPr="002E4B87">
              <w:rPr>
                <w:rStyle w:val="Artref"/>
                <w:color w:val="000000"/>
              </w:rPr>
              <w:t>5.457B</w:t>
            </w:r>
          </w:p>
          <w:p w14:paraId="0A7564B1"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t>MÓVIL  5.457C</w:t>
            </w:r>
          </w:p>
          <w:p w14:paraId="54A48981"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r>
            <w:r w:rsidRPr="002E4B87">
              <w:rPr>
                <w:rStyle w:val="Artref"/>
                <w:color w:val="000000"/>
              </w:rPr>
              <w:t>5.149</w:t>
            </w:r>
            <w:r w:rsidRPr="002E4B87">
              <w:rPr>
                <w:color w:val="000000"/>
              </w:rPr>
              <w:t xml:space="preserve">  </w:t>
            </w:r>
            <w:r w:rsidRPr="002E4B87">
              <w:rPr>
                <w:rStyle w:val="Artref"/>
                <w:color w:val="000000"/>
              </w:rPr>
              <w:t>5.440</w:t>
            </w:r>
            <w:r w:rsidRPr="002E4B87">
              <w:rPr>
                <w:color w:val="000000"/>
              </w:rPr>
              <w:t xml:space="preserve">  </w:t>
            </w:r>
            <w:r w:rsidRPr="002E4B87">
              <w:rPr>
                <w:rStyle w:val="Artref"/>
                <w:color w:val="000000"/>
              </w:rPr>
              <w:t>5.458</w:t>
            </w:r>
          </w:p>
        </w:tc>
      </w:tr>
    </w:tbl>
    <w:p w14:paraId="647F355A" w14:textId="42A7C71F" w:rsidR="00A22843" w:rsidRPr="002E4B87" w:rsidRDefault="0035207F" w:rsidP="00C64AB7">
      <w:pPr>
        <w:pStyle w:val="Reasons"/>
      </w:pPr>
      <w:r w:rsidRPr="002E4B87">
        <w:rPr>
          <w:b/>
          <w:bCs/>
        </w:rPr>
        <w:t>Motivos:</w:t>
      </w:r>
      <w:r w:rsidRPr="002E4B87">
        <w:tab/>
      </w:r>
      <w:r w:rsidR="00C64AB7" w:rsidRPr="002E4B87">
        <w:t>No hay cambios en el Cuadro de Atribución de Frecuencias en la banda 6</w:t>
      </w:r>
      <w:r w:rsidR="00C64AB7" w:rsidRPr="002E4B87">
        <w:t> </w:t>
      </w:r>
      <w:r w:rsidR="00C64AB7" w:rsidRPr="002E4B87">
        <w:t>425</w:t>
      </w:r>
      <w:r w:rsidR="00C64AB7" w:rsidRPr="002E4B87">
        <w:noBreakHyphen/>
      </w:r>
      <w:r w:rsidR="00C64AB7" w:rsidRPr="002E4B87">
        <w:t>7</w:t>
      </w:r>
      <w:r w:rsidR="00C64AB7" w:rsidRPr="002E4B87">
        <w:t> </w:t>
      </w:r>
      <w:r w:rsidR="00C64AB7" w:rsidRPr="002E4B87">
        <w:t>125</w:t>
      </w:r>
      <w:r w:rsidR="00C64AB7" w:rsidRPr="002E4B87">
        <w:t> </w:t>
      </w:r>
      <w:r w:rsidR="00C64AB7" w:rsidRPr="002E4B87">
        <w:t>MHz para armonizar el uso de la banda exento de licencia. La armonización reglamentaria creará economías de alcance y de escala y producirá un mercado de equipos robusto, beneficiando a los consumidores y a las economías nacionales de todo el mundo. Dada la atribución móvil existente, las administraciones pueden desplegar y explotar sistemas y aplicaciones del servicio móvil (por ejemplo: IMT o RLAN) en función de sus prioridades y requisitos nacionales garantizando al mismo tiempo la protección de los servicios existentes.</w:t>
      </w:r>
    </w:p>
    <w:p w14:paraId="7F2E9CED" w14:textId="77777777" w:rsidR="00A22843" w:rsidRPr="002E4B87" w:rsidRDefault="0035207F">
      <w:pPr>
        <w:pStyle w:val="Proposal"/>
      </w:pPr>
      <w:r w:rsidRPr="002E4B87">
        <w:rPr>
          <w:u w:val="single"/>
        </w:rPr>
        <w:t>NOC</w:t>
      </w:r>
      <w:r w:rsidRPr="002E4B87">
        <w:tab/>
        <w:t>IAP/44A2A3/2</w:t>
      </w:r>
    </w:p>
    <w:p w14:paraId="3A472B21" w14:textId="77777777" w:rsidR="0035207F" w:rsidRPr="002E4B87" w:rsidRDefault="0035207F" w:rsidP="00745B6B">
      <w:pPr>
        <w:pStyle w:val="Tabletitle"/>
        <w:rPr>
          <w:color w:val="000000"/>
        </w:rPr>
      </w:pPr>
      <w:r w:rsidRPr="002E4B87">
        <w:t>6 700-7 250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25DBA" w:rsidRPr="002E4B87" w14:paraId="77E0879D" w14:textId="77777777" w:rsidTr="00625DBA">
        <w:trPr>
          <w:cantSplit/>
        </w:trPr>
        <w:tc>
          <w:tcPr>
            <w:tcW w:w="9304" w:type="dxa"/>
            <w:gridSpan w:val="3"/>
          </w:tcPr>
          <w:p w14:paraId="574E74B7" w14:textId="77777777" w:rsidR="0035207F" w:rsidRPr="002E4B87" w:rsidRDefault="0035207F" w:rsidP="00625DBA">
            <w:pPr>
              <w:pStyle w:val="Tablehead"/>
              <w:spacing w:before="60" w:after="60"/>
              <w:rPr>
                <w:color w:val="000000"/>
              </w:rPr>
            </w:pPr>
            <w:r w:rsidRPr="002E4B87">
              <w:rPr>
                <w:color w:val="000000"/>
              </w:rPr>
              <w:t>Atribución a los servicios</w:t>
            </w:r>
          </w:p>
        </w:tc>
      </w:tr>
      <w:tr w:rsidR="00625DBA" w:rsidRPr="002E4B87" w14:paraId="7A8454C1" w14:textId="77777777" w:rsidTr="00625DBA">
        <w:trPr>
          <w:cantSplit/>
        </w:trPr>
        <w:tc>
          <w:tcPr>
            <w:tcW w:w="3101" w:type="dxa"/>
          </w:tcPr>
          <w:p w14:paraId="7BBF8AE4" w14:textId="77777777" w:rsidR="0035207F" w:rsidRPr="002E4B87" w:rsidRDefault="0035207F" w:rsidP="00625DBA">
            <w:pPr>
              <w:pStyle w:val="Tablehead"/>
              <w:spacing w:before="60" w:after="60"/>
              <w:rPr>
                <w:color w:val="000000"/>
              </w:rPr>
            </w:pPr>
            <w:r w:rsidRPr="002E4B87">
              <w:rPr>
                <w:color w:val="000000"/>
              </w:rPr>
              <w:t>Región 1</w:t>
            </w:r>
          </w:p>
        </w:tc>
        <w:tc>
          <w:tcPr>
            <w:tcW w:w="3101" w:type="dxa"/>
          </w:tcPr>
          <w:p w14:paraId="7E404C94" w14:textId="77777777" w:rsidR="0035207F" w:rsidRPr="002E4B87" w:rsidRDefault="0035207F" w:rsidP="00625DBA">
            <w:pPr>
              <w:pStyle w:val="Tablehead"/>
              <w:spacing w:before="60" w:after="60"/>
              <w:rPr>
                <w:color w:val="000000"/>
              </w:rPr>
            </w:pPr>
            <w:r w:rsidRPr="002E4B87">
              <w:rPr>
                <w:color w:val="000000"/>
              </w:rPr>
              <w:t>Región 2</w:t>
            </w:r>
          </w:p>
        </w:tc>
        <w:tc>
          <w:tcPr>
            <w:tcW w:w="3102" w:type="dxa"/>
          </w:tcPr>
          <w:p w14:paraId="03C6BE6F" w14:textId="77777777" w:rsidR="0035207F" w:rsidRPr="002E4B87" w:rsidRDefault="0035207F" w:rsidP="00625DBA">
            <w:pPr>
              <w:pStyle w:val="Tablehead"/>
              <w:spacing w:before="60" w:after="60"/>
              <w:rPr>
                <w:color w:val="000000"/>
              </w:rPr>
            </w:pPr>
            <w:r w:rsidRPr="002E4B87">
              <w:rPr>
                <w:color w:val="000000"/>
              </w:rPr>
              <w:t>Región 3</w:t>
            </w:r>
          </w:p>
        </w:tc>
      </w:tr>
      <w:tr w:rsidR="00625DBA" w:rsidRPr="002E4B87" w14:paraId="5A18EC95" w14:textId="77777777" w:rsidTr="00625DBA">
        <w:trPr>
          <w:cantSplit/>
        </w:trPr>
        <w:tc>
          <w:tcPr>
            <w:tcW w:w="9304" w:type="dxa"/>
            <w:gridSpan w:val="3"/>
          </w:tcPr>
          <w:p w14:paraId="41B4654D" w14:textId="77777777" w:rsidR="0035207F" w:rsidRPr="002E4B87" w:rsidRDefault="0035207F" w:rsidP="00625DBA">
            <w:pPr>
              <w:pStyle w:val="TableTextS5"/>
              <w:spacing w:before="20" w:after="20"/>
              <w:rPr>
                <w:color w:val="000000"/>
              </w:rPr>
            </w:pPr>
            <w:r w:rsidRPr="002E4B87">
              <w:rPr>
                <w:rStyle w:val="Tablefreq"/>
                <w:color w:val="000000"/>
              </w:rPr>
              <w:t>6 700-7 075</w:t>
            </w:r>
            <w:r w:rsidRPr="002E4B87">
              <w:rPr>
                <w:color w:val="000000"/>
              </w:rPr>
              <w:tab/>
              <w:t>FIJO</w:t>
            </w:r>
          </w:p>
          <w:p w14:paraId="409F181C"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t xml:space="preserve">FIJO POR SATÉLITE (Tierra-espacio) (espacio-Tierra)  </w:t>
            </w:r>
            <w:r w:rsidRPr="002E4B87">
              <w:rPr>
                <w:rStyle w:val="Artref"/>
                <w:color w:val="000000"/>
              </w:rPr>
              <w:t>5.441</w:t>
            </w:r>
          </w:p>
          <w:p w14:paraId="326CBB8C"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t>MÓVIL</w:t>
            </w:r>
          </w:p>
          <w:p w14:paraId="1063A761"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r>
            <w:r w:rsidRPr="002E4B87">
              <w:rPr>
                <w:rStyle w:val="Artref"/>
                <w:color w:val="000000"/>
              </w:rPr>
              <w:t>5.458</w:t>
            </w:r>
            <w:r w:rsidRPr="002E4B87">
              <w:rPr>
                <w:color w:val="000000"/>
              </w:rPr>
              <w:t xml:space="preserve">  </w:t>
            </w:r>
            <w:r w:rsidRPr="002E4B87">
              <w:rPr>
                <w:rStyle w:val="Artref"/>
                <w:color w:val="000000"/>
              </w:rPr>
              <w:t>5.458A</w:t>
            </w:r>
            <w:r w:rsidRPr="002E4B87">
              <w:rPr>
                <w:color w:val="000000"/>
              </w:rPr>
              <w:t xml:space="preserve">  </w:t>
            </w:r>
            <w:r w:rsidRPr="002E4B87">
              <w:rPr>
                <w:rStyle w:val="Artref"/>
                <w:color w:val="000000"/>
              </w:rPr>
              <w:t>5.458B</w:t>
            </w:r>
          </w:p>
        </w:tc>
      </w:tr>
      <w:tr w:rsidR="00625DBA" w:rsidRPr="002E4B87" w14:paraId="5D1ACB29" w14:textId="77777777" w:rsidTr="00625DBA">
        <w:trPr>
          <w:cantSplit/>
        </w:trPr>
        <w:tc>
          <w:tcPr>
            <w:tcW w:w="9304" w:type="dxa"/>
            <w:gridSpan w:val="3"/>
          </w:tcPr>
          <w:p w14:paraId="093900C0" w14:textId="77777777" w:rsidR="0035207F" w:rsidRPr="002E4B87" w:rsidRDefault="0035207F" w:rsidP="00625DBA">
            <w:pPr>
              <w:pStyle w:val="TableTextS5"/>
              <w:spacing w:before="20" w:after="20"/>
              <w:rPr>
                <w:color w:val="000000"/>
              </w:rPr>
            </w:pPr>
            <w:r w:rsidRPr="002E4B87">
              <w:rPr>
                <w:rStyle w:val="Tablefreq"/>
                <w:color w:val="000000"/>
              </w:rPr>
              <w:t>7 075-7 145</w:t>
            </w:r>
            <w:r w:rsidRPr="002E4B87">
              <w:rPr>
                <w:color w:val="000000"/>
              </w:rPr>
              <w:tab/>
              <w:t>FIJO</w:t>
            </w:r>
          </w:p>
          <w:p w14:paraId="6ADE7973"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t>MÓVIL</w:t>
            </w:r>
          </w:p>
          <w:p w14:paraId="73E6175A" w14:textId="77777777" w:rsidR="0035207F" w:rsidRPr="002E4B87" w:rsidRDefault="0035207F" w:rsidP="00625DBA">
            <w:pPr>
              <w:pStyle w:val="TableTextS5"/>
              <w:spacing w:before="20" w:after="20"/>
              <w:rPr>
                <w:color w:val="000000"/>
              </w:rPr>
            </w:pPr>
            <w:r w:rsidRPr="002E4B87">
              <w:rPr>
                <w:color w:val="000000"/>
              </w:rPr>
              <w:tab/>
            </w:r>
            <w:r w:rsidRPr="002E4B87">
              <w:rPr>
                <w:color w:val="000000"/>
              </w:rPr>
              <w:tab/>
            </w:r>
            <w:r w:rsidRPr="002E4B87">
              <w:rPr>
                <w:color w:val="000000"/>
              </w:rPr>
              <w:tab/>
            </w:r>
            <w:r w:rsidRPr="002E4B87">
              <w:rPr>
                <w:color w:val="000000"/>
              </w:rPr>
              <w:tab/>
            </w:r>
            <w:r w:rsidRPr="002E4B87">
              <w:rPr>
                <w:rStyle w:val="Artref"/>
                <w:color w:val="000000"/>
              </w:rPr>
              <w:t>5.458</w:t>
            </w:r>
            <w:r w:rsidRPr="002E4B87">
              <w:rPr>
                <w:color w:val="000000"/>
              </w:rPr>
              <w:t xml:space="preserve">  </w:t>
            </w:r>
            <w:r w:rsidRPr="002E4B87">
              <w:rPr>
                <w:rStyle w:val="Artref"/>
                <w:color w:val="000000"/>
              </w:rPr>
              <w:t>5.459</w:t>
            </w:r>
          </w:p>
        </w:tc>
      </w:tr>
    </w:tbl>
    <w:p w14:paraId="31BEE33A" w14:textId="591AF0B2" w:rsidR="00A22843" w:rsidRPr="002E4B87" w:rsidRDefault="0035207F" w:rsidP="00C64AB7">
      <w:pPr>
        <w:pStyle w:val="Reasons"/>
      </w:pPr>
      <w:r w:rsidRPr="002E4B87">
        <w:rPr>
          <w:b/>
          <w:bCs/>
        </w:rPr>
        <w:t>Motivos:</w:t>
      </w:r>
      <w:r w:rsidRPr="002E4B87">
        <w:tab/>
      </w:r>
      <w:r w:rsidR="00C64AB7" w:rsidRPr="002E4B87">
        <w:t>No hay cambios en el Cuadro de Atribución de Frecuencias en la banda 6</w:t>
      </w:r>
      <w:r w:rsidR="00C64AB7" w:rsidRPr="002E4B87">
        <w:t> </w:t>
      </w:r>
      <w:r w:rsidR="00C64AB7" w:rsidRPr="002E4B87">
        <w:t>425</w:t>
      </w:r>
      <w:r w:rsidR="00C64AB7" w:rsidRPr="002E4B87">
        <w:noBreakHyphen/>
      </w:r>
      <w:r w:rsidR="00C64AB7" w:rsidRPr="002E4B87">
        <w:t>7</w:t>
      </w:r>
      <w:r w:rsidR="00C64AB7" w:rsidRPr="002E4B87">
        <w:t> </w:t>
      </w:r>
      <w:r w:rsidR="00C64AB7" w:rsidRPr="002E4B87">
        <w:t>125</w:t>
      </w:r>
      <w:r w:rsidR="00C64AB7" w:rsidRPr="002E4B87">
        <w:t> </w:t>
      </w:r>
      <w:r w:rsidR="00C64AB7" w:rsidRPr="002E4B87">
        <w:t>MHz para armonizar el uso de la banda exento de licencia. La armonización reglamentaria creará economías de alcance y de escala y producirá un mercado de equipos robusto, beneficiando a los consumidores y a las economías nacionales de todo el mundo. Dada la atribución móvil existente, las administraciones pueden desplegar y explotar sistemas y aplicaciones del servicio móvil (por ejemplo: IMT o RLAN) en función de sus prioridades y requisitos nacionales garantizando al mismo tiempo la protección de los servicios existentes.</w:t>
      </w:r>
    </w:p>
    <w:p w14:paraId="33237D12" w14:textId="77777777" w:rsidR="00C64AB7" w:rsidRPr="002E4B87" w:rsidRDefault="00C64AB7" w:rsidP="00C64AB7"/>
    <w:p w14:paraId="306F2677" w14:textId="5A9660C2" w:rsidR="00C64AB7" w:rsidRPr="002E4B87" w:rsidRDefault="00C64AB7" w:rsidP="00C64AB7">
      <w:pPr>
        <w:jc w:val="center"/>
      </w:pPr>
      <w:r w:rsidRPr="002E4B87">
        <w:t>______________</w:t>
      </w:r>
    </w:p>
    <w:sectPr w:rsidR="00C64AB7" w:rsidRPr="002E4B87">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CFE4" w14:textId="77777777" w:rsidR="00666B37" w:rsidRDefault="00666B37">
      <w:r>
        <w:separator/>
      </w:r>
    </w:p>
  </w:endnote>
  <w:endnote w:type="continuationSeparator" w:id="0">
    <w:p w14:paraId="36B1D69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E8A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B8A37" w14:textId="3B2F60AB" w:rsidR="0077084A" w:rsidRDefault="0077084A">
    <w:pPr>
      <w:ind w:right="360"/>
      <w:rPr>
        <w:lang w:val="en-US"/>
      </w:rPr>
    </w:pPr>
    <w:r>
      <w:fldChar w:fldCharType="begin"/>
    </w:r>
    <w:r>
      <w:rPr>
        <w:lang w:val="en-US"/>
      </w:rPr>
      <w:instrText xml:space="preserve"> FILENAME \p  \* MERGEFORMAT </w:instrText>
    </w:r>
    <w:r>
      <w:fldChar w:fldCharType="separate"/>
    </w:r>
    <w:r w:rsidR="00011726">
      <w:rPr>
        <w:noProof/>
        <w:lang w:val="en-US"/>
      </w:rPr>
      <w:t>P:\ESP\ITU-R\CONF-R\CMR23\000\044ADD02ADD03S.docx</w:t>
    </w:r>
    <w:r>
      <w:fldChar w:fldCharType="end"/>
    </w:r>
    <w:r>
      <w:rPr>
        <w:lang w:val="en-US"/>
      </w:rPr>
      <w:tab/>
    </w:r>
    <w:r>
      <w:fldChar w:fldCharType="begin"/>
    </w:r>
    <w:r>
      <w:instrText xml:space="preserve"> SAVEDATE \@ DD.MM.YY </w:instrText>
    </w:r>
    <w:r>
      <w:fldChar w:fldCharType="separate"/>
    </w:r>
    <w:r w:rsidR="00011726">
      <w:rPr>
        <w:noProof/>
      </w:rPr>
      <w:t>24.10.23</w:t>
    </w:r>
    <w:r>
      <w:fldChar w:fldCharType="end"/>
    </w:r>
    <w:r>
      <w:rPr>
        <w:lang w:val="en-US"/>
      </w:rPr>
      <w:tab/>
    </w:r>
    <w:r>
      <w:fldChar w:fldCharType="begin"/>
    </w:r>
    <w:r>
      <w:instrText xml:space="preserve"> PRINTDATE \@ DD.MM.YY </w:instrText>
    </w:r>
    <w:r>
      <w:fldChar w:fldCharType="separate"/>
    </w:r>
    <w:r w:rsidR="00011726">
      <w:rPr>
        <w:noProof/>
      </w:rPr>
      <w:t>24.10.23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B65E" w14:textId="3DF23E09" w:rsidR="0077084A" w:rsidRDefault="0035207F" w:rsidP="00B86034">
    <w:pPr>
      <w:pStyle w:val="Footer"/>
      <w:ind w:right="360"/>
      <w:rPr>
        <w:lang w:val="en-US"/>
      </w:rPr>
    </w:pPr>
    <w:r>
      <w:fldChar w:fldCharType="begin"/>
    </w:r>
    <w:r>
      <w:rPr>
        <w:lang w:val="en-US"/>
      </w:rPr>
      <w:instrText xml:space="preserve"> FILENAME \p  \* MERGEFORMAT </w:instrText>
    </w:r>
    <w:r>
      <w:fldChar w:fldCharType="separate"/>
    </w:r>
    <w:r w:rsidR="00011726">
      <w:rPr>
        <w:lang w:val="en-US"/>
      </w:rPr>
      <w:t>P:\ESP\ITU-R\CONF-R\CMR23\000\044ADD02ADD03S.docx</w:t>
    </w:r>
    <w:r>
      <w:fldChar w:fldCharType="end"/>
    </w:r>
    <w:r w:rsidRPr="0035207F">
      <w:rPr>
        <w:lang w:val="en-US"/>
      </w:rPr>
      <w:t xml:space="preserve"> </w:t>
    </w:r>
    <w:r>
      <w:rPr>
        <w:lang w:val="en-US"/>
      </w:rPr>
      <w:t>(529430)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97F3" w14:textId="455A34A6" w:rsidR="0077084A" w:rsidRPr="0035207F" w:rsidRDefault="0077084A" w:rsidP="00B47331">
    <w:pPr>
      <w:pStyle w:val="Footer"/>
      <w:rPr>
        <w:lang w:val="en-US"/>
      </w:rPr>
    </w:pPr>
    <w:r>
      <w:fldChar w:fldCharType="begin"/>
    </w:r>
    <w:r>
      <w:rPr>
        <w:lang w:val="en-US"/>
      </w:rPr>
      <w:instrText xml:space="preserve"> FILENAME \p  \* MERGEFORMAT </w:instrText>
    </w:r>
    <w:r>
      <w:fldChar w:fldCharType="separate"/>
    </w:r>
    <w:r w:rsidR="00011726">
      <w:rPr>
        <w:lang w:val="en-US"/>
      </w:rPr>
      <w:t>P:\ESP\ITU-R\CONF-R\CMR23\000\044ADD02ADD03S.docx</w:t>
    </w:r>
    <w:r>
      <w:fldChar w:fldCharType="end"/>
    </w:r>
    <w:r w:rsidR="0035207F" w:rsidRPr="0035207F">
      <w:rPr>
        <w:lang w:val="en-US"/>
      </w:rPr>
      <w:t xml:space="preserve"> </w:t>
    </w:r>
    <w:r w:rsidR="0035207F">
      <w:rPr>
        <w:lang w:val="en-US"/>
      </w:rPr>
      <w:t>(529430)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0447" w14:textId="77777777" w:rsidR="00666B37" w:rsidRDefault="00666B37">
      <w:r>
        <w:rPr>
          <w:b/>
        </w:rPr>
        <w:t>_______________</w:t>
      </w:r>
    </w:p>
  </w:footnote>
  <w:footnote w:type="continuationSeparator" w:id="0">
    <w:p w14:paraId="7BCD9B10" w14:textId="77777777" w:rsidR="00666B37" w:rsidRDefault="00666B37">
      <w:r>
        <w:continuationSeparator/>
      </w:r>
    </w:p>
  </w:footnote>
  <w:footnote w:id="1">
    <w:p w14:paraId="1CBF5B00" w14:textId="7F4BC6D9" w:rsidR="00E859DA" w:rsidRPr="003F65CC" w:rsidRDefault="00E859DA" w:rsidP="00E859DA">
      <w:pPr>
        <w:pStyle w:val="FootnoteText"/>
      </w:pPr>
      <w:r>
        <w:rPr>
          <w:rStyle w:val="FootnoteReference"/>
          <w:szCs w:val="24"/>
        </w:rPr>
        <w:footnoteRef/>
      </w:r>
      <w:r w:rsidR="00C64AB7">
        <w:rPr>
          <w:szCs w:val="24"/>
        </w:rPr>
        <w:tab/>
      </w:r>
      <w:hyperlink r:id="rId1" w:history="1">
        <w:r w:rsidRPr="00C64AB7">
          <w:rPr>
            <w:rStyle w:val="Hyperlink"/>
          </w:rPr>
          <w:t>https://www.itu.int/en/ITU-D/Statistics/Docu</w:t>
        </w:r>
        <w:r w:rsidRPr="00C64AB7">
          <w:rPr>
            <w:rStyle w:val="Hyperlink"/>
          </w:rPr>
          <w:t>m</w:t>
        </w:r>
        <w:r w:rsidRPr="00C64AB7">
          <w:rPr>
            <w:rStyle w:val="Hyperlink"/>
          </w:rPr>
          <w:t>ents/facts/FactsFigures2021.pdf</w:t>
        </w:r>
      </w:hyperlink>
      <w:r w:rsidR="00C64AB7">
        <w:t>.</w:t>
      </w:r>
    </w:p>
  </w:footnote>
  <w:footnote w:id="2">
    <w:p w14:paraId="113117AC" w14:textId="34D1002B" w:rsidR="00E859DA" w:rsidRDefault="00E859DA" w:rsidP="00E859DA">
      <w:pPr>
        <w:pStyle w:val="FootnoteText"/>
      </w:pPr>
      <w:r>
        <w:rPr>
          <w:rStyle w:val="FootnoteReference"/>
        </w:rPr>
        <w:footnoteRef/>
      </w:r>
      <w:r w:rsidR="00C64AB7">
        <w:tab/>
      </w:r>
      <w:r>
        <w:t xml:space="preserve">Ericsson predice que se espera que el tráfico móvil total aumente en un factor de cinco en los próximos seis años, alcanzando los 164 exabytes por mes para fines de 2025. Ericsson informa que hoy en día los teléfonos inteligentes generan alrededor del 95% del tráfico total de datos móviles, y que para 2025 las redes 5G transportarán aproximadamente la mitad del tráfico de datos móviles del mundo. </w:t>
      </w:r>
      <w:r>
        <w:rPr>
          <w:i/>
          <w:iCs/>
        </w:rPr>
        <w:t xml:space="preserve">Véase </w:t>
      </w:r>
      <w:r>
        <w:t xml:space="preserve">Ericsson, Reporte de Movilidad en 20 (2020), </w:t>
      </w:r>
      <w:hyperlink r:id="rId2" w:history="1">
        <w:r w:rsidR="00C64AB7" w:rsidRPr="00554005">
          <w:rPr>
            <w:rStyle w:val="Hyperlink"/>
          </w:rPr>
          <w:t>https://www.ericsson.com/49da93/</w:t>
        </w:r>
        <w:r w:rsidR="00C64AB7" w:rsidRPr="00554005">
          <w:rPr>
            <w:rStyle w:val="Hyperlink"/>
          </w:rPr>
          <w:br/>
        </w:r>
        <w:r w:rsidR="00C64AB7" w:rsidRPr="00554005">
          <w:rPr>
            <w:rStyle w:val="Hyperlink"/>
          </w:rPr>
          <w:t>assets/local/mobility-report/documents/2020/june2020-ericsson-mobilit</w:t>
        </w:r>
        <w:r w:rsidR="00C64AB7" w:rsidRPr="00554005">
          <w:rPr>
            <w:rStyle w:val="Hyperlink"/>
          </w:rPr>
          <w:t>y</w:t>
        </w:r>
        <w:r w:rsidR="00C64AB7" w:rsidRPr="00554005">
          <w:rPr>
            <w:rStyle w:val="Hyperlink"/>
          </w:rPr>
          <w:t>-report.pdf</w:t>
        </w:r>
      </w:hyperlink>
      <w:r>
        <w:t xml:space="preserve">. Cisco estima que, para 2022, el 22% del tráfico global de Internet provendrá de redes móviles, comparado con el 12% en 2017. </w:t>
      </w:r>
      <w:r>
        <w:rPr>
          <w:i/>
          <w:iCs/>
        </w:rPr>
        <w:t>Véase</w:t>
      </w:r>
      <w:r>
        <w:t xml:space="preserve"> Cisco Systems Inc., </w:t>
      </w:r>
      <w:r>
        <w:rPr>
          <w:i/>
          <w:iCs/>
        </w:rPr>
        <w:t>Índice Visual de Redes de Cisco:</w:t>
      </w:r>
      <w:r>
        <w:t xml:space="preserve"> Actualización del Pronóstico Global de Tráfico Móvil de Datos, 2017-2022 Notas Técnicas (White paper) (2019), </w:t>
      </w:r>
      <w:hyperlink r:id="rId3" w:history="1">
        <w:r w:rsidRPr="00C64AB7">
          <w:rPr>
            <w:rStyle w:val="Hyperlink"/>
          </w:rPr>
          <w:t>https://www.cisco.com/c/en/us/solutions/collateral/service-provider/visual-networking-index-vni/white-paper-c11-738429.html</w:t>
        </w:r>
      </w:hyperlink>
      <w:r>
        <w:t>.</w:t>
      </w:r>
    </w:p>
  </w:footnote>
  <w:footnote w:id="3">
    <w:p w14:paraId="2365E6CC" w14:textId="451A6DC5" w:rsidR="00E859DA" w:rsidRPr="003F65CC" w:rsidRDefault="00E859DA" w:rsidP="00E859DA">
      <w:pPr>
        <w:pStyle w:val="FootnoteText"/>
      </w:pPr>
      <w:r>
        <w:rPr>
          <w:rStyle w:val="FootnoteReference"/>
        </w:rPr>
        <w:footnoteRef/>
      </w:r>
      <w:r w:rsidR="00C64AB7">
        <w:tab/>
      </w:r>
      <w:r>
        <w:t>Véase Rec. UIT-R SM.1133, «Utilización del espectro de servicios definidos en acepción amplia».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2EE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050DE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w:t>
    </w:r>
    <w:proofErr w:type="gramStart"/>
    <w:r w:rsidR="00702F3D">
      <w:t>2)(</w:t>
    </w:r>
    <w:proofErr w:type="gramEnd"/>
    <w:r w:rsidR="00702F3D">
      <w:t>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3114FDF"/>
    <w:multiLevelType w:val="hybridMultilevel"/>
    <w:tmpl w:val="DDF0D4D6"/>
    <w:lvl w:ilvl="0" w:tplc="677EE4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3870295">
    <w:abstractNumId w:val="8"/>
  </w:num>
  <w:num w:numId="2" w16cid:durableId="10243585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2411845">
    <w:abstractNumId w:val="9"/>
  </w:num>
  <w:num w:numId="4" w16cid:durableId="1885486206">
    <w:abstractNumId w:val="7"/>
  </w:num>
  <w:num w:numId="5" w16cid:durableId="610362187">
    <w:abstractNumId w:val="6"/>
  </w:num>
  <w:num w:numId="6" w16cid:durableId="1709792005">
    <w:abstractNumId w:val="5"/>
  </w:num>
  <w:num w:numId="7" w16cid:durableId="522206654">
    <w:abstractNumId w:val="4"/>
  </w:num>
  <w:num w:numId="8" w16cid:durableId="2055232320">
    <w:abstractNumId w:val="3"/>
  </w:num>
  <w:num w:numId="9" w16cid:durableId="2054034687">
    <w:abstractNumId w:val="2"/>
  </w:num>
  <w:num w:numId="10" w16cid:durableId="1965888191">
    <w:abstractNumId w:val="1"/>
  </w:num>
  <w:num w:numId="11" w16cid:durableId="1310132742">
    <w:abstractNumId w:val="0"/>
  </w:num>
  <w:num w:numId="12" w16cid:durableId="1524399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1726"/>
    <w:rsid w:val="0002785D"/>
    <w:rsid w:val="00087AE8"/>
    <w:rsid w:val="00091054"/>
    <w:rsid w:val="000924AF"/>
    <w:rsid w:val="000A2A7D"/>
    <w:rsid w:val="000A5B9A"/>
    <w:rsid w:val="000E5BF9"/>
    <w:rsid w:val="000F0E6D"/>
    <w:rsid w:val="00104448"/>
    <w:rsid w:val="00113EC9"/>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4B87"/>
    <w:rsid w:val="002E701F"/>
    <w:rsid w:val="003248A9"/>
    <w:rsid w:val="00324FFA"/>
    <w:rsid w:val="0032680B"/>
    <w:rsid w:val="00330D7D"/>
    <w:rsid w:val="0035207F"/>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C4788"/>
    <w:rsid w:val="004D2749"/>
    <w:rsid w:val="004D2C7C"/>
    <w:rsid w:val="005133B5"/>
    <w:rsid w:val="00524392"/>
    <w:rsid w:val="00532097"/>
    <w:rsid w:val="00544AB9"/>
    <w:rsid w:val="00554C95"/>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C231C"/>
    <w:rsid w:val="008D3316"/>
    <w:rsid w:val="008E5AF2"/>
    <w:rsid w:val="0090121B"/>
    <w:rsid w:val="009144C9"/>
    <w:rsid w:val="0094091F"/>
    <w:rsid w:val="00962171"/>
    <w:rsid w:val="00973754"/>
    <w:rsid w:val="009C0BED"/>
    <w:rsid w:val="009E11EC"/>
    <w:rsid w:val="00A021CC"/>
    <w:rsid w:val="00A064B8"/>
    <w:rsid w:val="00A118DB"/>
    <w:rsid w:val="00A22843"/>
    <w:rsid w:val="00A4450C"/>
    <w:rsid w:val="00A808AE"/>
    <w:rsid w:val="00AA5E6C"/>
    <w:rsid w:val="00AC49B1"/>
    <w:rsid w:val="00AE5677"/>
    <w:rsid w:val="00AE658F"/>
    <w:rsid w:val="00AF2F78"/>
    <w:rsid w:val="00B239FA"/>
    <w:rsid w:val="00B372AB"/>
    <w:rsid w:val="00B47331"/>
    <w:rsid w:val="00B52D55"/>
    <w:rsid w:val="00B8288C"/>
    <w:rsid w:val="00B86034"/>
    <w:rsid w:val="00BA5720"/>
    <w:rsid w:val="00BE2E80"/>
    <w:rsid w:val="00BE5EDD"/>
    <w:rsid w:val="00BE6A1F"/>
    <w:rsid w:val="00C126C4"/>
    <w:rsid w:val="00C2705C"/>
    <w:rsid w:val="00C44E9E"/>
    <w:rsid w:val="00C63EB5"/>
    <w:rsid w:val="00C64AB7"/>
    <w:rsid w:val="00C87DA7"/>
    <w:rsid w:val="00CA4945"/>
    <w:rsid w:val="00CC01E0"/>
    <w:rsid w:val="00CD5FEE"/>
    <w:rsid w:val="00CE60D2"/>
    <w:rsid w:val="00CE7431"/>
    <w:rsid w:val="00D00CA8"/>
    <w:rsid w:val="00D0288A"/>
    <w:rsid w:val="00D3199C"/>
    <w:rsid w:val="00D72A5D"/>
    <w:rsid w:val="00DA71A3"/>
    <w:rsid w:val="00DC1922"/>
    <w:rsid w:val="00DC629B"/>
    <w:rsid w:val="00DE1C31"/>
    <w:rsid w:val="00E05BFF"/>
    <w:rsid w:val="00E262F1"/>
    <w:rsid w:val="00E3176A"/>
    <w:rsid w:val="00E36CE4"/>
    <w:rsid w:val="00E54754"/>
    <w:rsid w:val="00E56BD3"/>
    <w:rsid w:val="00E71D14"/>
    <w:rsid w:val="00E859DA"/>
    <w:rsid w:val="00EA77F0"/>
    <w:rsid w:val="00F078D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24E10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rsid w:val="00E859DA"/>
    <w:rPr>
      <w:rFonts w:ascii="Times New Roman" w:hAnsi="Times New Roman"/>
      <w:sz w:val="24"/>
      <w:lang w:val="es-ES_tradnl" w:eastAsia="en-US"/>
    </w:rPr>
  </w:style>
  <w:style w:type="paragraph" w:styleId="ListParagraph">
    <w:name w:val="List Paragraph"/>
    <w:basedOn w:val="Normal"/>
    <w:link w:val="ListParagraphChar"/>
    <w:uiPriority w:val="34"/>
    <w:qFormat/>
    <w:rsid w:val="00E859DA"/>
    <w:pPr>
      <w:tabs>
        <w:tab w:val="clear" w:pos="1134"/>
        <w:tab w:val="clear" w:pos="1871"/>
        <w:tab w:val="clear" w:pos="2268"/>
      </w:tabs>
      <w:overflowPunct/>
      <w:autoSpaceDE/>
      <w:autoSpaceDN/>
      <w:adjustRightInd/>
      <w:spacing w:before="0"/>
      <w:ind w:left="720"/>
      <w:contextualSpacing/>
      <w:textAlignment w:val="auto"/>
    </w:pPr>
    <w:rPr>
      <w:rFonts w:eastAsia="Calibri"/>
      <w:sz w:val="20"/>
      <w:lang w:val="es-ES"/>
    </w:rPr>
  </w:style>
  <w:style w:type="character" w:customStyle="1" w:styleId="ListParagraphChar">
    <w:name w:val="List Paragraph Char"/>
    <w:link w:val="ListParagraph"/>
    <w:uiPriority w:val="34"/>
    <w:locked/>
    <w:rsid w:val="00E859DA"/>
    <w:rPr>
      <w:rFonts w:ascii="Times New Roman" w:eastAsia="Calibri" w:hAnsi="Times New Roman"/>
      <w:lang w:val="es-ES" w:eastAsia="en-US"/>
    </w:rPr>
  </w:style>
  <w:style w:type="character" w:styleId="UnresolvedMention">
    <w:name w:val="Unresolved Mention"/>
    <w:basedOn w:val="DefaultParagraphFont"/>
    <w:uiPriority w:val="99"/>
    <w:semiHidden/>
    <w:unhideWhenUsed/>
    <w:rsid w:val="00C64AB7"/>
    <w:rPr>
      <w:color w:val="605E5C"/>
      <w:shd w:val="clear" w:color="auto" w:fill="E1DFDD"/>
    </w:rPr>
  </w:style>
  <w:style w:type="character" w:styleId="FollowedHyperlink">
    <w:name w:val="FollowedHyperlink"/>
    <w:basedOn w:val="DefaultParagraphFont"/>
    <w:semiHidden/>
    <w:unhideWhenUsed/>
    <w:rsid w:val="00C64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71B56-17C7-41A1-B80A-7845AD41BD20}">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E16D1E9C-669F-4B8E-ACCD-C991FF2A6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26AE-44B5-46FA-A470-B6603A0673F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E8756F68-CD19-4F35-8EF4-69B2F1D85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1289</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R23-WRC23-C-0044!A2-A3!MSW-S</vt:lpstr>
    </vt:vector>
  </TitlesOfParts>
  <Manager>Secretaría General - Pool</Manager>
  <Company>Unión Internacional de Telecomunicaciones (UIT)</Company>
  <LinksUpToDate>false</LinksUpToDate>
  <CharactersWithSpaces>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R23-WRC23-C-0044!A2-A3!MSW-S</dc:title>
  <dc:subject>Conferencia Mundial de Radiocomunicaciones - 2019</dc:subject>
  <dc:creator>Documents Proposals Manager (DPM)</dc:creator>
  <cp:keywords>DPM_v2023.8.1.1_prod</cp:keywords>
  <dc:description/>
  <cp:lastModifiedBy>Spanish</cp:lastModifiedBy>
  <cp:revision>12</cp:revision>
  <cp:lastPrinted>2023-10-24T13:37:00Z</cp:lastPrinted>
  <dcterms:created xsi:type="dcterms:W3CDTF">2023-10-24T13:05:00Z</dcterms:created>
  <dcterms:modified xsi:type="dcterms:W3CDTF">2023-10-24T14:18:00Z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