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3234D1" w14:paraId="37F4E38A" w14:textId="77777777" w:rsidTr="004C6D0B">
        <w:trPr>
          <w:cantSplit/>
        </w:trPr>
        <w:tc>
          <w:tcPr>
            <w:tcW w:w="1418" w:type="dxa"/>
            <w:vAlign w:val="center"/>
          </w:tcPr>
          <w:p w14:paraId="18129FF0" w14:textId="77777777" w:rsidR="004C6D0B" w:rsidRPr="003234D1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234D1">
              <w:drawing>
                <wp:inline distT="0" distB="0" distL="0" distR="0" wp14:anchorId="236B475C" wp14:editId="659D56B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D8E6C2B" w14:textId="77777777" w:rsidR="004C6D0B" w:rsidRPr="003234D1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234D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234D1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BD86703" w14:textId="77777777" w:rsidR="004C6D0B" w:rsidRPr="003234D1" w:rsidRDefault="004C6D0B" w:rsidP="004C6D0B">
            <w:pPr>
              <w:spacing w:before="0" w:line="240" w:lineRule="atLeast"/>
            </w:pPr>
            <w:r w:rsidRPr="003234D1">
              <w:drawing>
                <wp:inline distT="0" distB="0" distL="0" distR="0" wp14:anchorId="60153A9E" wp14:editId="2976B4D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234D1" w14:paraId="4C958326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8C9EBF1" w14:textId="77777777" w:rsidR="005651C9" w:rsidRPr="003234D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56D48FB" w14:textId="77777777" w:rsidR="005651C9" w:rsidRPr="003234D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234D1" w14:paraId="48637B4A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ED52AF7" w14:textId="77777777" w:rsidR="005651C9" w:rsidRPr="003234D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2DDF741" w14:textId="77777777" w:rsidR="005651C9" w:rsidRPr="003234D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3234D1" w14:paraId="439B3660" w14:textId="77777777" w:rsidTr="001226EC">
        <w:trPr>
          <w:cantSplit/>
        </w:trPr>
        <w:tc>
          <w:tcPr>
            <w:tcW w:w="6771" w:type="dxa"/>
            <w:gridSpan w:val="2"/>
          </w:tcPr>
          <w:p w14:paraId="2B7D9755" w14:textId="77777777" w:rsidR="005651C9" w:rsidRPr="003234D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234D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C235C5E" w14:textId="77777777" w:rsidR="005651C9" w:rsidRPr="003234D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234D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3234D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44(Add.2)</w:t>
            </w:r>
            <w:r w:rsidR="005651C9" w:rsidRPr="003234D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234D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234D1" w14:paraId="3DF569C1" w14:textId="77777777" w:rsidTr="001226EC">
        <w:trPr>
          <w:cantSplit/>
        </w:trPr>
        <w:tc>
          <w:tcPr>
            <w:tcW w:w="6771" w:type="dxa"/>
            <w:gridSpan w:val="2"/>
          </w:tcPr>
          <w:p w14:paraId="3481CB81" w14:textId="77777777" w:rsidR="000F33D8" w:rsidRPr="003234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268EA67" w14:textId="77777777" w:rsidR="000F33D8" w:rsidRPr="003234D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234D1">
              <w:rPr>
                <w:rFonts w:ascii="Verdana" w:hAnsi="Verdana"/>
                <w:b/>
                <w:bCs/>
                <w:sz w:val="18"/>
                <w:szCs w:val="18"/>
              </w:rPr>
              <w:t>13 октября 2023 года</w:t>
            </w:r>
          </w:p>
        </w:tc>
      </w:tr>
      <w:tr w:rsidR="000F33D8" w:rsidRPr="003234D1" w14:paraId="69099A32" w14:textId="77777777" w:rsidTr="001226EC">
        <w:trPr>
          <w:cantSplit/>
        </w:trPr>
        <w:tc>
          <w:tcPr>
            <w:tcW w:w="6771" w:type="dxa"/>
            <w:gridSpan w:val="2"/>
          </w:tcPr>
          <w:p w14:paraId="0AE6E02B" w14:textId="77777777" w:rsidR="000F33D8" w:rsidRPr="003234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63276EF" w14:textId="77777777" w:rsidR="000F33D8" w:rsidRPr="003234D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234D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234D1" w14:paraId="6D6926C3" w14:textId="77777777" w:rsidTr="009546EA">
        <w:trPr>
          <w:cantSplit/>
        </w:trPr>
        <w:tc>
          <w:tcPr>
            <w:tcW w:w="10031" w:type="dxa"/>
            <w:gridSpan w:val="4"/>
          </w:tcPr>
          <w:p w14:paraId="306D552B" w14:textId="77777777" w:rsidR="000F33D8" w:rsidRPr="003234D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234D1" w14:paraId="205E23FC" w14:textId="77777777">
        <w:trPr>
          <w:cantSplit/>
        </w:trPr>
        <w:tc>
          <w:tcPr>
            <w:tcW w:w="10031" w:type="dxa"/>
            <w:gridSpan w:val="4"/>
          </w:tcPr>
          <w:p w14:paraId="7601065D" w14:textId="77777777" w:rsidR="000F33D8" w:rsidRPr="003234D1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3234D1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3234D1" w14:paraId="02A4D8A5" w14:textId="77777777">
        <w:trPr>
          <w:cantSplit/>
        </w:trPr>
        <w:tc>
          <w:tcPr>
            <w:tcW w:w="10031" w:type="dxa"/>
            <w:gridSpan w:val="4"/>
          </w:tcPr>
          <w:p w14:paraId="56973A4F" w14:textId="412F6072" w:rsidR="000F33D8" w:rsidRPr="003234D1" w:rsidRDefault="00343D20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3234D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234D1" w14:paraId="76EB32F8" w14:textId="77777777">
        <w:trPr>
          <w:cantSplit/>
        </w:trPr>
        <w:tc>
          <w:tcPr>
            <w:tcW w:w="10031" w:type="dxa"/>
            <w:gridSpan w:val="4"/>
          </w:tcPr>
          <w:p w14:paraId="0917F3A8" w14:textId="77777777" w:rsidR="000F33D8" w:rsidRPr="003234D1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3234D1" w14:paraId="4026F1A7" w14:textId="77777777">
        <w:trPr>
          <w:cantSplit/>
        </w:trPr>
        <w:tc>
          <w:tcPr>
            <w:tcW w:w="10031" w:type="dxa"/>
            <w:gridSpan w:val="4"/>
          </w:tcPr>
          <w:p w14:paraId="380F5B1B" w14:textId="77777777" w:rsidR="000F33D8" w:rsidRPr="003234D1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3234D1">
              <w:rPr>
                <w:lang w:val="ru-RU"/>
              </w:rPr>
              <w:t>Пункт 1.2 повестки дня</w:t>
            </w:r>
          </w:p>
        </w:tc>
      </w:tr>
    </w:tbl>
    <w:bookmarkEnd w:id="3"/>
    <w:p w14:paraId="31115B27" w14:textId="77777777" w:rsidR="00C86899" w:rsidRPr="003234D1" w:rsidRDefault="00C86899" w:rsidP="00997E38">
      <w:r w:rsidRPr="003234D1">
        <w:t>1.2</w:t>
      </w:r>
      <w:r w:rsidRPr="003234D1">
        <w:tab/>
      </w:r>
      <w:r w:rsidRPr="003234D1">
        <w:rPr>
          <w:bCs/>
        </w:rPr>
        <w:t>в соответствии с Резолюцией </w:t>
      </w:r>
      <w:r w:rsidRPr="003234D1">
        <w:rPr>
          <w:b/>
          <w:bCs/>
        </w:rPr>
        <w:t xml:space="preserve">245 </w:t>
      </w:r>
      <w:r w:rsidRPr="003234D1">
        <w:rPr>
          <w:b/>
        </w:rPr>
        <w:t>(ВКР</w:t>
      </w:r>
      <w:r w:rsidRPr="003234D1">
        <w:rPr>
          <w:b/>
        </w:rPr>
        <w:noBreakHyphen/>
        <w:t>19)</w:t>
      </w:r>
      <w:r w:rsidRPr="003234D1">
        <w:rPr>
          <w:bCs/>
        </w:rPr>
        <w:t xml:space="preserve">, рассмотреть вопрос об определении </w:t>
      </w:r>
      <w:r w:rsidRPr="003234D1">
        <w:rPr>
          <w:rFonts w:eastAsia="MS Mincho"/>
        </w:rPr>
        <w:t>полос частот 3300−3400 МГц, 3600−3800 МГц, 6425−7025 МГц, 7025−7125 МГц и 10,0−10,5 ГГц</w:t>
      </w:r>
      <w:r w:rsidRPr="003234D1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3234D1">
        <w:rPr>
          <w:rFonts w:eastAsia="MS Mincho"/>
          <w:bCs/>
        </w:rPr>
        <w:t>;</w:t>
      </w:r>
    </w:p>
    <w:p w14:paraId="5BF60902" w14:textId="3B74D8E6" w:rsidR="00815D24" w:rsidRPr="003234D1" w:rsidRDefault="00815D24" w:rsidP="00815D24">
      <w:pPr>
        <w:pStyle w:val="Title4"/>
      </w:pPr>
      <w:bookmarkStart w:id="4" w:name="_Hlk137831495"/>
      <w:r w:rsidRPr="003234D1">
        <w:t xml:space="preserve">Часть 3 – </w:t>
      </w:r>
      <w:bookmarkStart w:id="5" w:name="_Hlk145501272"/>
      <w:r w:rsidRPr="003234D1">
        <w:t xml:space="preserve">Полосы частот 6425–7025 </w:t>
      </w:r>
      <w:bookmarkEnd w:id="4"/>
      <w:bookmarkEnd w:id="5"/>
      <w:r w:rsidRPr="003234D1">
        <w:t>МГц и 7025–7125 МГц</w:t>
      </w:r>
    </w:p>
    <w:p w14:paraId="2AF3752F" w14:textId="77777777" w:rsidR="004B6F63" w:rsidRPr="003234D1" w:rsidRDefault="004B6F63" w:rsidP="004B6F63">
      <w:pPr>
        <w:pStyle w:val="Headingb"/>
        <w:rPr>
          <w:lang w:val="ru-RU"/>
        </w:rPr>
      </w:pPr>
      <w:r w:rsidRPr="003234D1">
        <w:rPr>
          <w:lang w:val="ru-RU"/>
        </w:rPr>
        <w:t>Базовая информация</w:t>
      </w:r>
    </w:p>
    <w:p w14:paraId="53F719D7" w14:textId="77777777" w:rsidR="004B6F63" w:rsidRPr="003234D1" w:rsidRDefault="004B6F63" w:rsidP="004B6F63">
      <w:r w:rsidRPr="003234D1">
        <w:t xml:space="preserve">Подвижная широкополосная связь играет важнейшую роль в обеспечении доступа для предприятий и потребителей во всем мире. </w:t>
      </w:r>
      <w:r w:rsidRPr="003234D1">
        <w:rPr>
          <w:rFonts w:eastAsia="Calibri"/>
        </w:rPr>
        <w:t>В</w:t>
      </w:r>
      <w:r w:rsidRPr="003234D1">
        <w:t xml:space="preserve"> 2020 году, первом году пандемии, число пользователей интернета выросло на 10,2% – наиболее значительный прирост за десятилетие, бóльшая часть которого приходится на развивающиеся страны, где использование интернета увеличилось на 13,3%. По оценкам МСЭ, число действующих контрактов на подвижную сотовую телефонную связь на 100 жителей продолжает активно расти, достигнув 110 контрактов на 100 жителей, включая рекордное число контрактов на подвижную связь с возможностью широкополосной связи (3G или выше)</w:t>
      </w:r>
      <w:r w:rsidRPr="003234D1">
        <w:rPr>
          <w:rStyle w:val="FootnoteReference"/>
        </w:rPr>
        <w:footnoteReference w:id="1"/>
      </w:r>
      <w:r w:rsidRPr="003234D1">
        <w:t>. Девяносто пять процентов населения мира живут в пределах досягаемости услуг подвижной широкополосной связи, а относительно небольшая разница в количестве контрактов между развитыми и развивающимися странами свидетельствует о том, что возможность установления соединений является приоритетом для жителей всех странах на всех уровнях развития</w:t>
      </w:r>
      <w:r w:rsidRPr="003234D1">
        <w:rPr>
          <w:rStyle w:val="FootnoteReference"/>
        </w:rPr>
        <w:t>1</w:t>
      </w:r>
      <w:r w:rsidRPr="003234D1">
        <w:t>.</w:t>
      </w:r>
    </w:p>
    <w:p w14:paraId="49A7218D" w14:textId="28769D51" w:rsidR="004B6F63" w:rsidRPr="003234D1" w:rsidRDefault="004B6F63" w:rsidP="004B6F63">
      <w:r w:rsidRPr="003234D1">
        <w:t xml:space="preserve">Спрос на подвижные беспроводные широкополосные применения, такие как IMT, продолжает стремительно расти, как и потребность в доступе к радиочастотному спектру для обеспечения этого </w:t>
      </w:r>
      <w:r w:rsidRPr="003234D1">
        <w:lastRenderedPageBreak/>
        <w:t>роста</w:t>
      </w:r>
      <w:r w:rsidR="007D31C2" w:rsidRPr="003234D1">
        <w:rPr>
          <w:rStyle w:val="FootnoteReference"/>
        </w:rPr>
        <w:footnoteReference w:id="2"/>
      </w:r>
      <w:r w:rsidRPr="003234D1">
        <w:t xml:space="preserve">. Пятое поколение (5G) обеспечивает повышенную скорость передачи данных и сокращение времени задержки. Важно отметить, что технология 5G была разработана для расширения возможностей ее использования в широком спектре отраслей, включая здравоохранение, транспорт, промышленность, образование и телемедицину; ожидается, что 5G окажет существенное влияние на экономику и общество. </w:t>
      </w:r>
      <w:bookmarkStart w:id="6" w:name="OLE_LINK52"/>
      <w:bookmarkStart w:id="7" w:name="OLE_LINK51"/>
      <w:r w:rsidRPr="003234D1">
        <w:t>Поскольку спрос на применения IMT продолжает расти, необходимо рассмотреть дополнительные определения спектра для IMT в диапазонах средних частот</w:t>
      </w:r>
      <w:r w:rsidR="004D09B7" w:rsidRPr="003234D1">
        <w:t>, обладающих</w:t>
      </w:r>
      <w:r w:rsidRPr="003234D1">
        <w:t xml:space="preserve"> благоприятным сочетанием покрытия и пропускной способности, чтобы сделать возможным развертывание в будущем, когда эти применения и службы, вероятно, станет трудно внедрять с использованием диапазонов более низких или более высоких частот.</w:t>
      </w:r>
      <w:bookmarkEnd w:id="6"/>
      <w:bookmarkEnd w:id="7"/>
    </w:p>
    <w:p w14:paraId="2BBEECE6" w14:textId="77777777" w:rsidR="004B6F63" w:rsidRPr="003234D1" w:rsidRDefault="004B6F63" w:rsidP="004B6F63">
      <w:pPr>
        <w:pStyle w:val="Headingi"/>
        <w:rPr>
          <w:i w:val="0"/>
          <w:iCs/>
          <w:u w:val="single"/>
        </w:rPr>
      </w:pPr>
      <w:r w:rsidRPr="003234D1">
        <w:rPr>
          <w:i w:val="0"/>
          <w:iCs/>
          <w:u w:val="single"/>
        </w:rPr>
        <w:t xml:space="preserve">6425–7025 МГц и 7025–7125 МГц </w:t>
      </w:r>
    </w:p>
    <w:p w14:paraId="569302C1" w14:textId="32B339D9" w:rsidR="004B6F63" w:rsidRPr="003234D1" w:rsidRDefault="004B6F63" w:rsidP="004B6F63">
      <w:r w:rsidRPr="003234D1">
        <w:t>Полоса 6425–7125 МГц уже распределена на первичной основе подвижной службе. Как обобщенное распределение службе</w:t>
      </w:r>
      <w:r w:rsidR="005F0DAC" w:rsidRPr="003234D1">
        <w:rPr>
          <w:rStyle w:val="FootnoteReference"/>
        </w:rPr>
        <w:footnoteReference w:id="3"/>
      </w:r>
      <w:r w:rsidRPr="003234D1">
        <w:t>, оно дает администрациям гибкость, позволяющую использова</w:t>
      </w:r>
      <w:r w:rsidR="004D09B7" w:rsidRPr="003234D1">
        <w:t>ть</w:t>
      </w:r>
      <w:r w:rsidRPr="003234D1">
        <w:t xml:space="preserve"> различны</w:t>
      </w:r>
      <w:r w:rsidR="004D09B7" w:rsidRPr="003234D1">
        <w:t>е</w:t>
      </w:r>
      <w:r w:rsidRPr="003234D1">
        <w:t xml:space="preserve"> подвижны</w:t>
      </w:r>
      <w:r w:rsidR="004D09B7" w:rsidRPr="003234D1">
        <w:t>е</w:t>
      </w:r>
      <w:r w:rsidRPr="003234D1">
        <w:t xml:space="preserve"> систем</w:t>
      </w:r>
      <w:r w:rsidR="004D09B7" w:rsidRPr="003234D1">
        <w:t>ы</w:t>
      </w:r>
      <w:r w:rsidRPr="003234D1">
        <w:t xml:space="preserve"> и применени</w:t>
      </w:r>
      <w:r w:rsidR="004D09B7" w:rsidRPr="003234D1">
        <w:t>я</w:t>
      </w:r>
      <w:r w:rsidRPr="003234D1">
        <w:t xml:space="preserve"> </w:t>
      </w:r>
      <w:r w:rsidR="004D09B7" w:rsidRPr="003234D1">
        <w:t xml:space="preserve">подвижной </w:t>
      </w:r>
      <w:r w:rsidRPr="003234D1">
        <w:t>службы (например, электронный сбор новостей</w:t>
      </w:r>
      <w:r w:rsidR="004D09B7" w:rsidRPr="003234D1">
        <w:t>,</w:t>
      </w:r>
      <w:r w:rsidRPr="003234D1">
        <w:t xml:space="preserve"> другие </w:t>
      </w:r>
      <w:r w:rsidR="004D09B7" w:rsidRPr="003234D1">
        <w:t>службы ретрансляции в</w:t>
      </w:r>
      <w:r w:rsidRPr="003234D1">
        <w:t>идео</w:t>
      </w:r>
      <w:r w:rsidR="004D09B7" w:rsidRPr="003234D1">
        <w:t xml:space="preserve">сигналов и </w:t>
      </w:r>
      <w:r w:rsidRPr="003234D1">
        <w:t>вспомогательные службы, IMT, RLAN) исходя из национальных приоритетов и потребностей.</w:t>
      </w:r>
    </w:p>
    <w:p w14:paraId="60DD7FBA" w14:textId="55CFD1D0" w:rsidR="004B6F63" w:rsidRPr="003234D1" w:rsidRDefault="004B6F63" w:rsidP="004B6F63">
      <w:r w:rsidRPr="003234D1">
        <w:t>Диапазон частот 6425–7125 МГц распределен фиксированной спутниковой службе (ФСС) (6425</w:t>
      </w:r>
      <w:r w:rsidR="0072164A" w:rsidRPr="003234D1">
        <w:sym w:font="Symbol" w:char="F02D"/>
      </w:r>
      <w:r w:rsidRPr="003234D1">
        <w:t>7075</w:t>
      </w:r>
      <w:r w:rsidR="0072164A" w:rsidRPr="003234D1">
        <w:t> </w:t>
      </w:r>
      <w:r w:rsidRPr="003234D1">
        <w:t>МГц), фиксированн</w:t>
      </w:r>
      <w:r w:rsidR="004D09B7" w:rsidRPr="003234D1">
        <w:t>ой</w:t>
      </w:r>
      <w:r w:rsidRPr="003234D1">
        <w:t xml:space="preserve"> и подвижн</w:t>
      </w:r>
      <w:r w:rsidR="004D09B7" w:rsidRPr="003234D1">
        <w:t>ой</w:t>
      </w:r>
      <w:r w:rsidRPr="003234D1">
        <w:t xml:space="preserve"> служб</w:t>
      </w:r>
      <w:r w:rsidR="004D09B7" w:rsidRPr="003234D1">
        <w:t>ам</w:t>
      </w:r>
      <w:r w:rsidR="003D5E33" w:rsidRPr="003234D1">
        <w:t>,</w:t>
      </w:r>
      <w:r w:rsidRPr="003234D1">
        <w:t xml:space="preserve"> </w:t>
      </w:r>
      <w:r w:rsidR="003D5E33" w:rsidRPr="003234D1">
        <w:t>а</w:t>
      </w:r>
      <w:r w:rsidRPr="003234D1">
        <w:t xml:space="preserve"> участки полосы используются для воздушной подвижной телеметрии (ВПТ) в Районе 2 (</w:t>
      </w:r>
      <w:r w:rsidR="003D5E33" w:rsidRPr="003234D1">
        <w:t xml:space="preserve">п. </w:t>
      </w:r>
      <w:r w:rsidRPr="003234D1">
        <w:rPr>
          <w:b/>
        </w:rPr>
        <w:t xml:space="preserve">5.457C </w:t>
      </w:r>
      <w:r w:rsidRPr="003234D1">
        <w:rPr>
          <w:bCs/>
        </w:rPr>
        <w:t>РР</w:t>
      </w:r>
      <w:r w:rsidRPr="003234D1">
        <w:t xml:space="preserve">). Фиксированные службы включают микроволновые линии критического характера, применяемые для общественной безопасности, коммунальных услуг, железнодорожного транспорта, и транзитные соединения IMT для операторов электросвязи. Распределение ФСС (космос-Земля) в полосе 6700–7075 МГц ограничено фидерными линиями негеостационарных спутниковых систем подвижной спутниковой службы. </w:t>
      </w:r>
    </w:p>
    <w:p w14:paraId="2C79E5B4" w14:textId="77777777" w:rsidR="004B6F63" w:rsidRPr="003234D1" w:rsidRDefault="004B6F63" w:rsidP="004B6F63">
      <w:pPr>
        <w:rPr>
          <w:bCs/>
        </w:rPr>
      </w:pPr>
      <w:r w:rsidRPr="003234D1">
        <w:rPr>
          <w:bCs/>
        </w:rPr>
        <w:t>Относительно используемой ФСС полосы:</w:t>
      </w:r>
    </w:p>
    <w:p w14:paraId="5B6DE9C7" w14:textId="77777777" w:rsidR="004B6F63" w:rsidRPr="003234D1" w:rsidRDefault="004B6F63" w:rsidP="004B6F63">
      <w:pPr>
        <w:pStyle w:val="enumlev1"/>
      </w:pPr>
      <w:r w:rsidRPr="003234D1">
        <w:t>–</w:t>
      </w:r>
      <w:r w:rsidRPr="003234D1">
        <w:tab/>
        <w:t>6425–7075 МГц: распределена на глобальной основе для ФСС.</w:t>
      </w:r>
    </w:p>
    <w:p w14:paraId="22AE6AC2" w14:textId="20B0F6D3" w:rsidR="004B6F63" w:rsidRPr="003234D1" w:rsidRDefault="004B6F63" w:rsidP="004B6F63">
      <w:pPr>
        <w:pStyle w:val="enumlev2"/>
      </w:pPr>
      <w:r w:rsidRPr="003234D1">
        <w:t>•</w:t>
      </w:r>
      <w:r w:rsidRPr="003234D1">
        <w:tab/>
        <w:t>6425–6725 МГц: распределена ФСС (Земля-космос) во всех Районах.</w:t>
      </w:r>
    </w:p>
    <w:p w14:paraId="18426ACC" w14:textId="2621A47A" w:rsidR="004B6F63" w:rsidRPr="003234D1" w:rsidRDefault="004B6F63" w:rsidP="004B6F63">
      <w:pPr>
        <w:pStyle w:val="enumlev2"/>
      </w:pPr>
      <w:r w:rsidRPr="003234D1">
        <w:t>•</w:t>
      </w:r>
      <w:r w:rsidRPr="003234D1">
        <w:tab/>
        <w:t xml:space="preserve">6725–7025 МГц: распределена ФСС (Земля-космос) и регулируется положениями Приложения </w:t>
      </w:r>
      <w:r w:rsidRPr="003234D1">
        <w:rPr>
          <w:b/>
          <w:bCs/>
        </w:rPr>
        <w:t>30B</w:t>
      </w:r>
      <w:r w:rsidRPr="003234D1">
        <w:t xml:space="preserve"> (п</w:t>
      </w:r>
      <w:r w:rsidR="003D5E33" w:rsidRPr="003234D1">
        <w:t>.</w:t>
      </w:r>
      <w:r w:rsidRPr="003234D1">
        <w:t xml:space="preserve"> </w:t>
      </w:r>
      <w:r w:rsidRPr="003234D1">
        <w:rPr>
          <w:b/>
          <w:bCs/>
        </w:rPr>
        <w:t>5.441</w:t>
      </w:r>
      <w:r w:rsidRPr="003234D1">
        <w:t>). Выделение ФСС частот 6725–7025 МГц особенно важно для развивающихся стран.</w:t>
      </w:r>
    </w:p>
    <w:p w14:paraId="4707D12D" w14:textId="520C4E7D" w:rsidR="004B6F63" w:rsidRPr="003234D1" w:rsidRDefault="004B6F63" w:rsidP="004B6F63">
      <w:pPr>
        <w:pStyle w:val="enumlev2"/>
      </w:pPr>
      <w:r w:rsidRPr="003234D1">
        <w:t>•</w:t>
      </w:r>
      <w:r w:rsidRPr="003234D1">
        <w:tab/>
        <w:t xml:space="preserve">6700–7075 МГц: распределение ФСС (космос-Земля) ограничено фидерными линиями негеостационарных спутниковых систем подвижной спутниковой службы и подлежит координации согласно положению </w:t>
      </w:r>
      <w:r w:rsidRPr="003234D1">
        <w:rPr>
          <w:b/>
          <w:bCs/>
        </w:rPr>
        <w:t>9.11A</w:t>
      </w:r>
      <w:r w:rsidRPr="003234D1">
        <w:t xml:space="preserve"> (п. </w:t>
      </w:r>
      <w:r w:rsidRPr="003234D1">
        <w:rPr>
          <w:b/>
          <w:bCs/>
        </w:rPr>
        <w:t>5.458B</w:t>
      </w:r>
      <w:r w:rsidRPr="003234D1">
        <w:t>).</w:t>
      </w:r>
    </w:p>
    <w:p w14:paraId="11F0869D" w14:textId="38FF5D2B" w:rsidR="004B6F63" w:rsidRPr="003234D1" w:rsidRDefault="004B6F63" w:rsidP="004B6F63">
      <w:pPr>
        <w:pStyle w:val="enumlev1"/>
      </w:pPr>
      <w:r w:rsidRPr="003234D1">
        <w:t>–</w:t>
      </w:r>
      <w:r w:rsidRPr="003234D1">
        <w:tab/>
        <w:t xml:space="preserve">7025–7075 МГц: спутниковые службы </w:t>
      </w:r>
      <w:r w:rsidR="003D5E33" w:rsidRPr="003234D1">
        <w:t xml:space="preserve">цифрового звукового радиовещания </w:t>
      </w:r>
      <w:r w:rsidRPr="003234D1">
        <w:t>(SDARS) для фидерных линий ГСО в направлении Земля-космос для обеспечения передачи радиопрограмм абонентам в США, Канаде и на Карибских островах.</w:t>
      </w:r>
    </w:p>
    <w:p w14:paraId="5368F1A7" w14:textId="2B4B089C" w:rsidR="004B6F63" w:rsidRPr="003234D1" w:rsidRDefault="004B6F63" w:rsidP="004B6F63">
      <w:r w:rsidRPr="003234D1">
        <w:t xml:space="preserve">В 2020 году США сделали доступным для безлицензионного использования 1200 МГц спектра в полосе 5925–7125 МГц. Это решение дает возможность нелицензируемым устройствам (например, Wi-Fi 6E, LAA, NR-U) использовать этот спектр совместно с действующими службами в соответствии с правилами, тщательно разработанными с целью защиты лицензируемых услуг и </w:t>
      </w:r>
      <w:r w:rsidRPr="003234D1">
        <w:lastRenderedPageBreak/>
        <w:t>позволяющими благополучно осуществлять деятельность как на лицензионной, так и свободной от лицензирования основе в данной полосе. Ряд стран, включая девять администраций СИТЕЛ, уже приняли решение об освобожденном от лицензирования использования полосы частот 6425</w:t>
      </w:r>
      <w:r w:rsidR="001B1693" w:rsidRPr="003234D1">
        <w:t>−</w:t>
      </w:r>
      <w:r w:rsidRPr="003234D1">
        <w:t xml:space="preserve">7125 МГц, а другие рассматривают такую возможность. Регламентарное согласование на глобальном уровне обеспечит экономию средств и масштаба для создания коммерчески жизнеспособной экосистемы безлицензионных устройств </w:t>
      </w:r>
      <w:r w:rsidR="001B1693" w:rsidRPr="003234D1">
        <w:t xml:space="preserve">диапазона </w:t>
      </w:r>
      <w:r w:rsidRPr="003234D1">
        <w:t xml:space="preserve">6 ГГц. Кроме того, изучение и рассмотрение возможности </w:t>
      </w:r>
      <w:r w:rsidR="001B1693" w:rsidRPr="003234D1">
        <w:t>определения</w:t>
      </w:r>
      <w:r w:rsidRPr="003234D1">
        <w:t xml:space="preserve"> </w:t>
      </w:r>
      <w:r w:rsidR="001B1693" w:rsidRPr="003234D1">
        <w:t xml:space="preserve">полосы </w:t>
      </w:r>
      <w:r w:rsidRPr="003234D1">
        <w:t>частот 6425</w:t>
      </w:r>
      <w:r w:rsidR="001B1693" w:rsidRPr="003234D1">
        <w:t>−</w:t>
      </w:r>
      <w:r w:rsidRPr="003234D1">
        <w:t xml:space="preserve">7025 МГц для наземного </w:t>
      </w:r>
      <w:r w:rsidR="001B1693" w:rsidRPr="003234D1">
        <w:t xml:space="preserve">сегмента </w:t>
      </w:r>
      <w:r w:rsidRPr="003234D1">
        <w:t xml:space="preserve">IMT для Района 2 и Района 3 выходит за рамки пункта 1.2 повестки дня ВКР-23, и поэтому никаких изменений в Регламенте радиосвязи, касающихся этих частот, в отношении этих Районов не будет. </w:t>
      </w:r>
      <w:bookmarkStart w:id="8" w:name="_Hlk145501418"/>
      <w:r w:rsidRPr="003234D1">
        <w:t>Соответственно, СИТЕЛ предлагает не вносить изменений в Регламент радиосвязи для полос</w:t>
      </w:r>
      <w:r w:rsidR="001B1693" w:rsidRPr="003234D1">
        <w:t>ы</w:t>
      </w:r>
      <w:r w:rsidRPr="003234D1">
        <w:t xml:space="preserve"> 6425</w:t>
      </w:r>
      <w:r w:rsidR="001B1693" w:rsidRPr="003234D1">
        <w:t>−</w:t>
      </w:r>
      <w:r w:rsidRPr="003234D1">
        <w:t xml:space="preserve">7125 МГц, чтобы поддержать гибкое использование </w:t>
      </w:r>
      <w:r w:rsidR="001B1693" w:rsidRPr="003234D1">
        <w:t xml:space="preserve">распределения </w:t>
      </w:r>
      <w:r w:rsidRPr="003234D1">
        <w:t>подвижной служб</w:t>
      </w:r>
      <w:r w:rsidR="001B1693" w:rsidRPr="003234D1">
        <w:t>е</w:t>
      </w:r>
      <w:r w:rsidRPr="003234D1">
        <w:t>, в том числе для использования RLAN, и поддерживает дальнейш</w:t>
      </w:r>
      <w:r w:rsidR="001B1693" w:rsidRPr="003234D1">
        <w:t>ее</w:t>
      </w:r>
      <w:r w:rsidRPr="003234D1">
        <w:t xml:space="preserve"> </w:t>
      </w:r>
      <w:r w:rsidR="001B1693" w:rsidRPr="003234D1">
        <w:t xml:space="preserve">согласование диапазона </w:t>
      </w:r>
      <w:r w:rsidRPr="003234D1">
        <w:t>6 ГГц для нелицензируемых устройств.</w:t>
      </w:r>
      <w:bookmarkEnd w:id="8"/>
    </w:p>
    <w:p w14:paraId="7C0B6B7B" w14:textId="77777777" w:rsidR="004B6F63" w:rsidRPr="003234D1" w:rsidRDefault="004B6F63" w:rsidP="004B6F63">
      <w:pPr>
        <w:pStyle w:val="Headingb"/>
        <w:rPr>
          <w:lang w:val="ru-RU"/>
        </w:rPr>
      </w:pPr>
      <w:r w:rsidRPr="003234D1">
        <w:rPr>
          <w:lang w:val="ru-RU"/>
        </w:rPr>
        <w:t>Предложения</w:t>
      </w:r>
    </w:p>
    <w:p w14:paraId="6EF72ABB" w14:textId="1AC84A00" w:rsidR="009B5CC2" w:rsidRPr="003234D1" w:rsidRDefault="009B5CC2" w:rsidP="00223DD4">
      <w:r w:rsidRPr="003234D1">
        <w:br w:type="page"/>
      </w:r>
    </w:p>
    <w:p w14:paraId="1B2F2D77" w14:textId="77777777" w:rsidR="00C86899" w:rsidRPr="003234D1" w:rsidRDefault="00C86899" w:rsidP="00FB5E69">
      <w:pPr>
        <w:pStyle w:val="ArtNo"/>
        <w:spacing w:before="0"/>
      </w:pPr>
      <w:bookmarkStart w:id="9" w:name="_Toc43466450"/>
      <w:r w:rsidRPr="003234D1">
        <w:lastRenderedPageBreak/>
        <w:t xml:space="preserve">СТАТЬЯ </w:t>
      </w:r>
      <w:r w:rsidRPr="003234D1">
        <w:rPr>
          <w:rStyle w:val="href"/>
        </w:rPr>
        <w:t>5</w:t>
      </w:r>
      <w:bookmarkEnd w:id="9"/>
    </w:p>
    <w:p w14:paraId="7BEFFD6D" w14:textId="77777777" w:rsidR="00C86899" w:rsidRPr="003234D1" w:rsidRDefault="00C86899" w:rsidP="00FB5E69">
      <w:pPr>
        <w:pStyle w:val="Arttitle"/>
      </w:pPr>
      <w:bookmarkStart w:id="10" w:name="_Toc331607682"/>
      <w:bookmarkStart w:id="11" w:name="_Toc43466451"/>
      <w:r w:rsidRPr="003234D1">
        <w:t>Распределение частот</w:t>
      </w:r>
      <w:bookmarkEnd w:id="10"/>
      <w:bookmarkEnd w:id="11"/>
    </w:p>
    <w:p w14:paraId="40DA3E93" w14:textId="77777777" w:rsidR="00C86899" w:rsidRPr="003234D1" w:rsidRDefault="00C86899" w:rsidP="006E5BA1">
      <w:pPr>
        <w:pStyle w:val="Section1"/>
      </w:pPr>
      <w:r w:rsidRPr="003234D1">
        <w:t>Раздел IV  –  Таблица распределения частот</w:t>
      </w:r>
      <w:r w:rsidRPr="003234D1">
        <w:br/>
      </w:r>
      <w:r w:rsidRPr="003234D1">
        <w:rPr>
          <w:b w:val="0"/>
          <w:bCs/>
        </w:rPr>
        <w:t>(См. п.</w:t>
      </w:r>
      <w:r w:rsidRPr="003234D1">
        <w:t xml:space="preserve"> 2.1</w:t>
      </w:r>
      <w:r w:rsidRPr="003234D1">
        <w:rPr>
          <w:b w:val="0"/>
          <w:bCs/>
        </w:rPr>
        <w:t>)</w:t>
      </w:r>
      <w:r w:rsidRPr="003234D1">
        <w:rPr>
          <w:b w:val="0"/>
          <w:bCs/>
        </w:rPr>
        <w:br/>
      </w:r>
      <w:r w:rsidRPr="003234D1">
        <w:rPr>
          <w:b w:val="0"/>
          <w:bCs/>
        </w:rPr>
        <w:br/>
      </w:r>
    </w:p>
    <w:p w14:paraId="0F9F7089" w14:textId="56E79CA5" w:rsidR="00423044" w:rsidRPr="003234D1" w:rsidRDefault="00EF2EA7">
      <w:pPr>
        <w:pStyle w:val="Proposal"/>
      </w:pPr>
      <w:r w:rsidRPr="003234D1">
        <w:rPr>
          <w:u w:val="single"/>
        </w:rPr>
        <w:t>NOC</w:t>
      </w:r>
      <w:r w:rsidRPr="003234D1">
        <w:tab/>
        <w:t>IAP/44A2A3/1</w:t>
      </w:r>
      <w:r w:rsidRPr="003234D1">
        <w:rPr>
          <w:vanish/>
          <w:color w:val="7F7F7F" w:themeColor="text1" w:themeTint="80"/>
          <w:vertAlign w:val="superscript"/>
        </w:rPr>
        <w:t>#1363</w:t>
      </w:r>
    </w:p>
    <w:p w14:paraId="72ACF728" w14:textId="77777777" w:rsidR="00C86899" w:rsidRPr="003234D1" w:rsidRDefault="00C86899" w:rsidP="00FB5E69">
      <w:pPr>
        <w:pStyle w:val="Tabletitle"/>
      </w:pPr>
      <w:r w:rsidRPr="003234D1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FB5E69" w:rsidRPr="003234D1" w14:paraId="46038907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ACFE" w14:textId="77777777" w:rsidR="00C86899" w:rsidRPr="003234D1" w:rsidRDefault="00C86899" w:rsidP="00FB5E69">
            <w:pPr>
              <w:pStyle w:val="Tablehead"/>
              <w:rPr>
                <w:lang w:val="ru-RU"/>
              </w:rPr>
            </w:pPr>
            <w:r w:rsidRPr="003234D1">
              <w:rPr>
                <w:lang w:val="ru-RU"/>
              </w:rPr>
              <w:t>Распределение по службам</w:t>
            </w:r>
          </w:p>
        </w:tc>
      </w:tr>
      <w:tr w:rsidR="00FB5E69" w:rsidRPr="003234D1" w14:paraId="4564B187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BC05" w14:textId="77777777" w:rsidR="00C86899" w:rsidRPr="003234D1" w:rsidRDefault="00C86899" w:rsidP="00FB5E69">
            <w:pPr>
              <w:pStyle w:val="Tablehead"/>
              <w:rPr>
                <w:lang w:val="ru-RU"/>
              </w:rPr>
            </w:pPr>
            <w:r w:rsidRPr="003234D1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390" w14:textId="77777777" w:rsidR="00C86899" w:rsidRPr="003234D1" w:rsidRDefault="00C86899" w:rsidP="00FB5E69">
            <w:pPr>
              <w:pStyle w:val="Tablehead"/>
              <w:rPr>
                <w:lang w:val="ru-RU"/>
              </w:rPr>
            </w:pPr>
            <w:r w:rsidRPr="003234D1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A8C" w14:textId="77777777" w:rsidR="00C86899" w:rsidRPr="003234D1" w:rsidRDefault="00C86899" w:rsidP="00FB5E69">
            <w:pPr>
              <w:pStyle w:val="Tablehead"/>
              <w:rPr>
                <w:lang w:val="ru-RU"/>
              </w:rPr>
            </w:pPr>
            <w:r w:rsidRPr="003234D1">
              <w:rPr>
                <w:lang w:val="ru-RU"/>
              </w:rPr>
              <w:t>Район 3</w:t>
            </w:r>
          </w:p>
        </w:tc>
      </w:tr>
      <w:tr w:rsidR="00FB5E69" w:rsidRPr="003234D1" w14:paraId="1E7D8C6C" w14:textId="77777777" w:rsidTr="00FB5E6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8C8887" w14:textId="77777777" w:rsidR="00C86899" w:rsidRPr="003234D1" w:rsidRDefault="00C86899" w:rsidP="00E06566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3234D1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5E9FA6" w14:textId="77777777" w:rsidR="00C86899" w:rsidRPr="003234D1" w:rsidRDefault="00C86899" w:rsidP="00E06566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3234D1">
              <w:rPr>
                <w:lang w:val="ru-RU"/>
              </w:rPr>
              <w:t>ФИКСИРОВАННАЯ</w:t>
            </w:r>
            <w:r w:rsidRPr="003234D1">
              <w:rPr>
                <w:rStyle w:val="Artref"/>
                <w:lang w:val="ru-RU"/>
              </w:rPr>
              <w:t xml:space="preserve">  5.457</w:t>
            </w:r>
          </w:p>
          <w:p w14:paraId="451F7FC4" w14:textId="77777777" w:rsidR="00C86899" w:rsidRPr="003234D1" w:rsidRDefault="00C86899" w:rsidP="00E06566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3234D1">
              <w:rPr>
                <w:lang w:val="ru-RU"/>
              </w:rPr>
              <w:t xml:space="preserve">ФИКСИРОВАННАЯ СПУТНИКОВАЯ (Земля-космос)  </w:t>
            </w:r>
            <w:r w:rsidRPr="003234D1">
              <w:rPr>
                <w:rStyle w:val="Artref"/>
                <w:lang w:val="ru-RU"/>
              </w:rPr>
              <w:t>5.457А  5.457В</w:t>
            </w:r>
          </w:p>
          <w:p w14:paraId="64756196" w14:textId="77777777" w:rsidR="00C86899" w:rsidRPr="003234D1" w:rsidRDefault="00C86899" w:rsidP="00E06566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3234D1">
              <w:rPr>
                <w:lang w:val="ru-RU"/>
              </w:rPr>
              <w:t xml:space="preserve">ПОДВИЖНАЯ  </w:t>
            </w:r>
            <w:r w:rsidRPr="003234D1">
              <w:rPr>
                <w:rStyle w:val="Artref"/>
                <w:lang w:val="ru-RU"/>
              </w:rPr>
              <w:t>5.457С</w:t>
            </w:r>
          </w:p>
          <w:p w14:paraId="062D9A1A" w14:textId="77777777" w:rsidR="00C86899" w:rsidRPr="003234D1" w:rsidRDefault="00C86899" w:rsidP="00E06566">
            <w:pPr>
              <w:pStyle w:val="TableTextS5"/>
              <w:ind w:hanging="255"/>
              <w:rPr>
                <w:rStyle w:val="Artref"/>
                <w:rFonts w:asciiTheme="majorBidi" w:hAnsiTheme="majorBidi" w:cstheme="majorBidi"/>
                <w:b/>
                <w:bCs w:val="0"/>
                <w:szCs w:val="18"/>
                <w:lang w:val="ru-RU"/>
              </w:rPr>
            </w:pPr>
            <w:r w:rsidRPr="003234D1">
              <w:rPr>
                <w:rStyle w:val="Artref"/>
                <w:lang w:val="ru-RU"/>
              </w:rPr>
              <w:t>5.149  5.440  5.458</w:t>
            </w:r>
          </w:p>
        </w:tc>
      </w:tr>
    </w:tbl>
    <w:p w14:paraId="6CCEFE9E" w14:textId="54D42CC8" w:rsidR="004B6F63" w:rsidRPr="003234D1" w:rsidRDefault="004B6F63" w:rsidP="004B6F63">
      <w:pPr>
        <w:pStyle w:val="Reasons"/>
      </w:pPr>
      <w:r w:rsidRPr="003234D1">
        <w:rPr>
          <w:b/>
        </w:rPr>
        <w:t>Основания</w:t>
      </w:r>
      <w:r w:rsidRPr="003234D1">
        <w:rPr>
          <w:bCs/>
        </w:rPr>
        <w:t>:</w:t>
      </w:r>
      <w:r w:rsidR="00C86899" w:rsidRPr="003234D1">
        <w:tab/>
      </w:r>
      <w:r w:rsidRPr="003234D1">
        <w:t xml:space="preserve">Внесение изменений в Таблицу распределения частот в полосе 6425–7125 МГц с целью согласования безлицензионного использования полосы не требуется. Регламентарное согласование позволит добиться экономии на масштабе, создать прочный рынок оборудования, что благоприятно скажется на потребителях и национальных экономиках во всем мире. При существующем распределении </w:t>
      </w:r>
      <w:r w:rsidR="001B1693" w:rsidRPr="003234D1">
        <w:t xml:space="preserve">подвижной службе </w:t>
      </w:r>
      <w:r w:rsidRPr="003234D1">
        <w:t>администрации могут развертывать и эксплуатировать системы и при</w:t>
      </w:r>
      <w:r w:rsidR="001B1693" w:rsidRPr="003234D1">
        <w:t xml:space="preserve">менения подвижной </w:t>
      </w:r>
      <w:r w:rsidRPr="003234D1">
        <w:t>службы (например, IMT или RLAN), исходя из своих национальных приоритетов и требований, обеспечивая при этом защиту существующих служб.</w:t>
      </w:r>
    </w:p>
    <w:p w14:paraId="558B21FC" w14:textId="0C5968E9" w:rsidR="00423044" w:rsidRPr="003234D1" w:rsidRDefault="00FE6586">
      <w:pPr>
        <w:pStyle w:val="Proposal"/>
      </w:pPr>
      <w:r w:rsidRPr="003234D1">
        <w:rPr>
          <w:u w:val="single"/>
        </w:rPr>
        <w:t>NOC</w:t>
      </w:r>
      <w:r w:rsidRPr="003234D1">
        <w:tab/>
        <w:t>IAP/44A2A3/2</w:t>
      </w:r>
      <w:r w:rsidRPr="003234D1">
        <w:rPr>
          <w:vanish/>
          <w:color w:val="7F7F7F" w:themeColor="text1" w:themeTint="80"/>
          <w:vertAlign w:val="superscript"/>
        </w:rPr>
        <w:t>#1372</w:t>
      </w:r>
    </w:p>
    <w:p w14:paraId="55A39644" w14:textId="77777777" w:rsidR="00C86899" w:rsidRPr="003234D1" w:rsidRDefault="00C86899" w:rsidP="00FB5E69">
      <w:pPr>
        <w:pStyle w:val="Tabletitle"/>
      </w:pPr>
      <w:r w:rsidRPr="003234D1"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FB5E69" w:rsidRPr="003234D1" w14:paraId="4A001B9E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80BF" w14:textId="77777777" w:rsidR="00C86899" w:rsidRPr="003234D1" w:rsidRDefault="00C86899" w:rsidP="00FB5E69">
            <w:pPr>
              <w:pStyle w:val="Tablehead"/>
              <w:rPr>
                <w:lang w:val="ru-RU"/>
              </w:rPr>
            </w:pPr>
            <w:r w:rsidRPr="003234D1">
              <w:rPr>
                <w:lang w:val="ru-RU"/>
              </w:rPr>
              <w:t>Распределение по службам</w:t>
            </w:r>
          </w:p>
        </w:tc>
      </w:tr>
      <w:tr w:rsidR="00FB5E69" w:rsidRPr="003234D1" w14:paraId="24CFEF4A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C89" w14:textId="77777777" w:rsidR="00C86899" w:rsidRPr="003234D1" w:rsidRDefault="00C86899" w:rsidP="00FB5E69">
            <w:pPr>
              <w:pStyle w:val="Tablehead"/>
              <w:rPr>
                <w:lang w:val="ru-RU"/>
              </w:rPr>
            </w:pPr>
            <w:r w:rsidRPr="003234D1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A8F8" w14:textId="77777777" w:rsidR="00C86899" w:rsidRPr="003234D1" w:rsidRDefault="00C86899" w:rsidP="00FB5E69">
            <w:pPr>
              <w:pStyle w:val="Tablehead"/>
              <w:rPr>
                <w:lang w:val="ru-RU"/>
              </w:rPr>
            </w:pPr>
            <w:r w:rsidRPr="003234D1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A96" w14:textId="77777777" w:rsidR="00C86899" w:rsidRPr="003234D1" w:rsidRDefault="00C86899" w:rsidP="00FB5E69">
            <w:pPr>
              <w:pStyle w:val="Tablehead"/>
              <w:rPr>
                <w:lang w:val="ru-RU"/>
              </w:rPr>
            </w:pPr>
            <w:r w:rsidRPr="003234D1">
              <w:rPr>
                <w:lang w:val="ru-RU"/>
              </w:rPr>
              <w:t>Район 3</w:t>
            </w:r>
          </w:p>
        </w:tc>
      </w:tr>
      <w:tr w:rsidR="00FB5E69" w:rsidRPr="003234D1" w14:paraId="40D19807" w14:textId="77777777" w:rsidTr="004B6F6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1BB8B5" w14:textId="77777777" w:rsidR="00C86899" w:rsidRPr="003234D1" w:rsidRDefault="00C86899" w:rsidP="00FB5E69">
            <w:pPr>
              <w:spacing w:before="20" w:after="20"/>
              <w:rPr>
                <w:rStyle w:val="Tablefreq"/>
                <w:szCs w:val="18"/>
              </w:rPr>
            </w:pPr>
            <w:r w:rsidRPr="003234D1">
              <w:rPr>
                <w:rStyle w:val="Tablefreq"/>
                <w:szCs w:val="18"/>
              </w:rPr>
              <w:t>6 700–7 075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89D4E4" w14:textId="77777777" w:rsidR="00C86899" w:rsidRPr="003234D1" w:rsidRDefault="00C86899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234D1">
              <w:rPr>
                <w:szCs w:val="18"/>
                <w:lang w:val="ru-RU"/>
              </w:rPr>
              <w:t>ФИКСИРОВАННАЯ</w:t>
            </w:r>
          </w:p>
          <w:p w14:paraId="54B90033" w14:textId="77777777" w:rsidR="00C86899" w:rsidRPr="003234D1" w:rsidRDefault="00C86899" w:rsidP="00FB5E69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3234D1">
              <w:rPr>
                <w:lang w:val="ru-RU"/>
              </w:rPr>
              <w:t xml:space="preserve">ФИКСИРОВАННАЯ СПУТНИКОВАЯ (Земля-космос) (космос-Земля)  </w:t>
            </w:r>
            <w:r w:rsidRPr="003234D1">
              <w:rPr>
                <w:rStyle w:val="Artref"/>
                <w:lang w:val="ru-RU"/>
              </w:rPr>
              <w:t>5.441</w:t>
            </w:r>
          </w:p>
          <w:p w14:paraId="58498868" w14:textId="77777777" w:rsidR="00C86899" w:rsidRPr="003234D1" w:rsidRDefault="00C86899" w:rsidP="00FB5E6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3234D1">
              <w:rPr>
                <w:szCs w:val="18"/>
                <w:lang w:val="ru-RU"/>
              </w:rPr>
              <w:t>ПОДВИЖНАЯ</w:t>
            </w:r>
          </w:p>
          <w:p w14:paraId="1802DC7E" w14:textId="77777777" w:rsidR="00C86899" w:rsidRPr="003234D1" w:rsidRDefault="00C86899" w:rsidP="00FB5E69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3234D1">
              <w:rPr>
                <w:rStyle w:val="Artref"/>
                <w:lang w:val="ru-RU"/>
              </w:rPr>
              <w:t>5.458  5.458A  5.458B</w:t>
            </w:r>
          </w:p>
        </w:tc>
      </w:tr>
      <w:tr w:rsidR="00FB5E69" w:rsidRPr="003234D1" w14:paraId="4D2B10D0" w14:textId="77777777" w:rsidTr="004B6F6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C21E9B" w14:textId="77777777" w:rsidR="00C86899" w:rsidRPr="003234D1" w:rsidRDefault="00C86899" w:rsidP="00FB5E69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b/>
                <w:bCs/>
                <w:szCs w:val="18"/>
                <w:lang w:val="ru-RU"/>
              </w:rPr>
            </w:pPr>
            <w:r w:rsidRPr="003234D1">
              <w:rPr>
                <w:rStyle w:val="Tablefreq"/>
                <w:rFonts w:cs="Times New Roman Bold"/>
                <w:b/>
                <w:bCs/>
                <w:szCs w:val="18"/>
                <w:lang w:val="ru-RU"/>
              </w:rPr>
              <w:t>7 075–7 145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1D06E4" w14:textId="77777777" w:rsidR="00C86899" w:rsidRPr="003234D1" w:rsidRDefault="00C86899" w:rsidP="00FB5E69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3234D1">
              <w:rPr>
                <w:szCs w:val="18"/>
                <w:lang w:val="ru-RU"/>
              </w:rPr>
              <w:t>ФИКСИРОВАННАЯ</w:t>
            </w:r>
          </w:p>
          <w:p w14:paraId="399DFF7E" w14:textId="77777777" w:rsidR="00C86899" w:rsidRPr="003234D1" w:rsidRDefault="00C86899" w:rsidP="00FB5E69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3234D1">
              <w:rPr>
                <w:szCs w:val="18"/>
                <w:lang w:val="ru-RU"/>
              </w:rPr>
              <w:t>ПОДВИЖНАЯ</w:t>
            </w:r>
          </w:p>
          <w:p w14:paraId="7D5F541E" w14:textId="77777777" w:rsidR="00C86899" w:rsidRPr="003234D1" w:rsidRDefault="00C86899" w:rsidP="00FB5E69">
            <w:pPr>
              <w:pStyle w:val="TableTextS5"/>
              <w:tabs>
                <w:tab w:val="left" w:pos="27"/>
              </w:tabs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3234D1">
              <w:rPr>
                <w:rStyle w:val="Artref"/>
                <w:szCs w:val="18"/>
                <w:lang w:val="ru-RU"/>
              </w:rPr>
              <w:t>5.458  5.459</w:t>
            </w:r>
          </w:p>
        </w:tc>
      </w:tr>
    </w:tbl>
    <w:p w14:paraId="0D14A6BD" w14:textId="6D6DD6B6" w:rsidR="001B1693" w:rsidRPr="003234D1" w:rsidRDefault="001B1693" w:rsidP="004B6F63">
      <w:pPr>
        <w:pStyle w:val="Reasons"/>
        <w:rPr>
          <w:b/>
        </w:rPr>
      </w:pPr>
      <w:r w:rsidRPr="003234D1">
        <w:rPr>
          <w:b/>
        </w:rPr>
        <w:t>Основания</w:t>
      </w:r>
      <w:r w:rsidRPr="003234D1">
        <w:rPr>
          <w:bCs/>
        </w:rPr>
        <w:t>:</w:t>
      </w:r>
      <w:r w:rsidRPr="003234D1">
        <w:tab/>
        <w:t>Внесение изменений в Таблицу распределения частот в полосе 6425–7125 МГц с целью согласования безлицензионного использования полосы не требуется. Регламентарное согласование позволит добиться экономии на масштабе, создать прочный рынок оборудования, что благоприятно скажется на потребителях и национальных экономиках во всем мире. При существующем распределении подвижной службе администрации могут развертывать и эксплуатировать системы и применения подвижной службы (например, IMT или RLAN), исходя из своих национальных приоритетов и требований, обеспечивая при этом защиту существующих служб.</w:t>
      </w:r>
    </w:p>
    <w:p w14:paraId="49403D31" w14:textId="56CE93BE" w:rsidR="00C86899" w:rsidRPr="003234D1" w:rsidRDefault="00C86899" w:rsidP="005F0DAC">
      <w:pPr>
        <w:spacing w:before="720"/>
        <w:jc w:val="center"/>
      </w:pPr>
      <w:r w:rsidRPr="003234D1">
        <w:t>______________</w:t>
      </w:r>
    </w:p>
    <w:sectPr w:rsidR="00C86899" w:rsidRPr="003234D1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1945" w14:textId="77777777" w:rsidR="00FB64A8" w:rsidRDefault="00FB64A8">
      <w:r>
        <w:separator/>
      </w:r>
    </w:p>
  </w:endnote>
  <w:endnote w:type="continuationSeparator" w:id="0">
    <w:p w14:paraId="7FC49FEA" w14:textId="77777777" w:rsidR="00FB64A8" w:rsidRDefault="00FB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F27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E342EE" w14:textId="54893DB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31C2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A34F" w14:textId="4B37EC66" w:rsidR="00567276" w:rsidRDefault="0072164A" w:rsidP="00F33B22">
    <w:pPr>
      <w:pStyle w:val="Footer"/>
    </w:pPr>
    <w:r>
      <w:fldChar w:fldCharType="begin"/>
    </w:r>
    <w:r w:rsidRPr="00223DD4">
      <w:instrText xml:space="preserve"> FILENAME \p  \* MERGEFORMAT </w:instrText>
    </w:r>
    <w:r>
      <w:fldChar w:fldCharType="separate"/>
    </w:r>
    <w:r>
      <w:t>P:\RUS\ITU-R\CONF-R\CMR23\000\044ADD02ADD03R.docx</w:t>
    </w:r>
    <w:r>
      <w:fldChar w:fldCharType="end"/>
    </w:r>
    <w:r>
      <w:t xml:space="preserve"> (529430)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DCD7" w14:textId="7D3A791B" w:rsidR="00567276" w:rsidRPr="00223DD4" w:rsidRDefault="00567276" w:rsidP="00FB67E5">
    <w:pPr>
      <w:pStyle w:val="Footer"/>
    </w:pPr>
    <w:r>
      <w:fldChar w:fldCharType="begin"/>
    </w:r>
    <w:r w:rsidRPr="00223DD4">
      <w:instrText xml:space="preserve"> FILENAME \p  \* MERGEFORMAT </w:instrText>
    </w:r>
    <w:r>
      <w:fldChar w:fldCharType="separate"/>
    </w:r>
    <w:r w:rsidR="0072164A">
      <w:t>P:\RUS\ITU-R\CONF-R\CMR23\000\044ADD02ADD03R.docx</w:t>
    </w:r>
    <w:r>
      <w:fldChar w:fldCharType="end"/>
    </w:r>
    <w:r w:rsidR="00223DD4">
      <w:t xml:space="preserve"> (529430)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0072" w14:textId="77777777" w:rsidR="00FB64A8" w:rsidRDefault="00FB64A8">
      <w:r>
        <w:rPr>
          <w:b/>
        </w:rPr>
        <w:t>_______________</w:t>
      </w:r>
    </w:p>
  </w:footnote>
  <w:footnote w:type="continuationSeparator" w:id="0">
    <w:p w14:paraId="74FE9C55" w14:textId="77777777" w:rsidR="00FB64A8" w:rsidRDefault="00FB64A8">
      <w:r>
        <w:continuationSeparator/>
      </w:r>
    </w:p>
  </w:footnote>
  <w:footnote w:id="1">
    <w:p w14:paraId="5D274964" w14:textId="77777777" w:rsidR="004B6F63" w:rsidRPr="00C86899" w:rsidRDefault="004B6F63" w:rsidP="004B6F6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ab/>
      </w:r>
      <w:hyperlink r:id="rId1" w:history="1">
        <w:r w:rsidRPr="002C1B81">
          <w:rPr>
            <w:rStyle w:val="Hyperlink"/>
          </w:rPr>
          <w:t>https://www.itu.int/en/ITU-D/Statistics/Documents/facts/FactsFigures2021.pdf</w:t>
        </w:r>
      </w:hyperlink>
      <w:r>
        <w:rPr>
          <w:lang w:val="ru-RU"/>
        </w:rPr>
        <w:t>.</w:t>
      </w:r>
    </w:p>
  </w:footnote>
  <w:footnote w:id="2">
    <w:p w14:paraId="697DFD0C" w14:textId="50B78C77" w:rsidR="007D31C2" w:rsidRPr="007D31C2" w:rsidRDefault="007D31C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D31C2">
        <w:rPr>
          <w:lang w:val="ru-RU"/>
        </w:rPr>
        <w:tab/>
      </w:r>
      <w:r w:rsidRPr="001A7295">
        <w:rPr>
          <w:lang w:val="ru-RU"/>
        </w:rPr>
        <w:t xml:space="preserve">По прогнозам </w:t>
      </w:r>
      <w:r w:rsidRPr="001A7295">
        <w:t>Ericsson</w:t>
      </w:r>
      <w:r w:rsidRPr="001A7295">
        <w:rPr>
          <w:lang w:val="ru-RU"/>
        </w:rPr>
        <w:t xml:space="preserve">, в ближайшие шесть лет общий </w:t>
      </w:r>
      <w:r w:rsidRPr="00A65000">
        <w:rPr>
          <w:lang w:val="ru-RU"/>
        </w:rPr>
        <w:t>объем трафика</w:t>
      </w:r>
      <w:r w:rsidRPr="001A7295">
        <w:rPr>
          <w:lang w:val="ru-RU"/>
        </w:rPr>
        <w:t xml:space="preserve"> </w:t>
      </w:r>
      <w:r>
        <w:rPr>
          <w:lang w:val="ru-RU"/>
        </w:rPr>
        <w:t xml:space="preserve">сетей подвижной связи </w:t>
      </w:r>
      <w:r w:rsidRPr="001A7295">
        <w:rPr>
          <w:lang w:val="ru-RU"/>
        </w:rPr>
        <w:t>увеличится в пять раз и к концу 2025</w:t>
      </w:r>
      <w:r>
        <w:rPr>
          <w:lang w:val="ru-RU"/>
        </w:rPr>
        <w:t> года достигнет 164 экз</w:t>
      </w:r>
      <w:r w:rsidRPr="001A7295">
        <w:rPr>
          <w:lang w:val="ru-RU"/>
        </w:rPr>
        <w:t xml:space="preserve">абайт в месяц. По данным </w:t>
      </w:r>
      <w:r w:rsidRPr="001A7295">
        <w:t>Ericsson</w:t>
      </w:r>
      <w:r w:rsidRPr="001A7295">
        <w:rPr>
          <w:lang w:val="ru-RU"/>
        </w:rPr>
        <w:t>, сегодня смартфоны генерируют около 95% всего трафика данных</w:t>
      </w:r>
      <w:r>
        <w:rPr>
          <w:lang w:val="ru-RU"/>
        </w:rPr>
        <w:t xml:space="preserve"> подвижной связи, а к 2025 </w:t>
      </w:r>
      <w:r w:rsidRPr="001A7295">
        <w:rPr>
          <w:lang w:val="ru-RU"/>
        </w:rPr>
        <w:t>году сети 5</w:t>
      </w:r>
      <w:r w:rsidRPr="001A7295">
        <w:t>G</w:t>
      </w:r>
      <w:r w:rsidRPr="001A7295">
        <w:rPr>
          <w:lang w:val="ru-RU"/>
        </w:rPr>
        <w:t xml:space="preserve"> будут передавать около половины мирового трафика данных</w:t>
      </w:r>
      <w:r>
        <w:rPr>
          <w:lang w:val="ru-RU"/>
        </w:rPr>
        <w:t xml:space="preserve"> подвижной связи</w:t>
      </w:r>
      <w:r w:rsidRPr="001A7295">
        <w:rPr>
          <w:lang w:val="ru-RU"/>
        </w:rPr>
        <w:t>. См</w:t>
      </w:r>
      <w:r w:rsidRPr="0058611A">
        <w:rPr>
          <w:lang w:val="en-US"/>
        </w:rPr>
        <w:t xml:space="preserve">. </w:t>
      </w:r>
      <w:r w:rsidRPr="001A7295">
        <w:t>Ericsson</w:t>
      </w:r>
      <w:r w:rsidRPr="0058611A">
        <w:rPr>
          <w:lang w:val="en-US"/>
        </w:rPr>
        <w:t xml:space="preserve">, </w:t>
      </w:r>
      <w:r w:rsidRPr="001A7295">
        <w:t>Mobility</w:t>
      </w:r>
      <w:r w:rsidRPr="0058611A">
        <w:rPr>
          <w:lang w:val="en-US"/>
        </w:rPr>
        <w:t xml:space="preserve"> </w:t>
      </w:r>
      <w:r w:rsidRPr="001A7295">
        <w:t>Report</w:t>
      </w:r>
      <w:r w:rsidRPr="0058611A">
        <w:rPr>
          <w:lang w:val="en-US"/>
        </w:rPr>
        <w:t xml:space="preserve"> </w:t>
      </w:r>
      <w:r w:rsidRPr="001A7295">
        <w:t>at</w:t>
      </w:r>
      <w:r w:rsidRPr="0058611A">
        <w:rPr>
          <w:lang w:val="en-US"/>
        </w:rPr>
        <w:t xml:space="preserve"> 20 (2020), </w:t>
      </w:r>
      <w:hyperlink r:id="rId2" w:history="1">
        <w:r w:rsidRPr="002C1B81">
          <w:rPr>
            <w:rStyle w:val="Hyperlink"/>
          </w:rPr>
          <w:t>https://www.ericsson.com/49da93/assets/local/mobility-report/documents/2020/june2020-ericsson-mobility-report.pdf</w:t>
        </w:r>
      </w:hyperlink>
      <w:r w:rsidRPr="0058611A">
        <w:rPr>
          <w:lang w:val="en-US"/>
        </w:rPr>
        <w:t xml:space="preserve">. </w:t>
      </w:r>
      <w:r w:rsidRPr="001A7295">
        <w:rPr>
          <w:lang w:val="ru-RU"/>
        </w:rPr>
        <w:t xml:space="preserve">По оценкам </w:t>
      </w:r>
      <w:r w:rsidRPr="001A7295">
        <w:t>Cisco</w:t>
      </w:r>
      <w:r w:rsidRPr="001A7295">
        <w:rPr>
          <w:lang w:val="ru-RU"/>
        </w:rPr>
        <w:t>, к 2022</w:t>
      </w:r>
      <w:r>
        <w:rPr>
          <w:lang w:val="ru-RU"/>
        </w:rPr>
        <w:t> </w:t>
      </w:r>
      <w:r w:rsidRPr="001A7295">
        <w:rPr>
          <w:lang w:val="ru-RU"/>
        </w:rPr>
        <w:t>году 22% мирового интерн</w:t>
      </w:r>
      <w:r>
        <w:rPr>
          <w:lang w:val="ru-RU"/>
        </w:rPr>
        <w:t>ет-трафика будет приходиться на</w:t>
      </w:r>
      <w:r w:rsidRPr="001A7295">
        <w:rPr>
          <w:lang w:val="ru-RU"/>
        </w:rPr>
        <w:t xml:space="preserve"> сети</w:t>
      </w:r>
      <w:r>
        <w:rPr>
          <w:lang w:val="ru-RU"/>
        </w:rPr>
        <w:t xml:space="preserve"> подвижной связи по сравнению с 12% в 2017 </w:t>
      </w:r>
      <w:r w:rsidRPr="001A7295">
        <w:rPr>
          <w:lang w:val="ru-RU"/>
        </w:rPr>
        <w:t xml:space="preserve">году. </w:t>
      </w:r>
      <w:r w:rsidRPr="001A7295">
        <w:t xml:space="preserve">См. Cisco Systems Inc., Cisco Visual Networking Index: Global Mobile Data Traffic Forecast Update, 2017-2022 White Paper (2019), </w:t>
      </w:r>
      <w:hyperlink r:id="rId3" w:history="1">
        <w:r w:rsidRPr="009C7310">
          <w:rPr>
            <w:rStyle w:val="Hyperlink"/>
          </w:rPr>
          <w:t>https://www.cisco.com/c/en/us/solutions/collateral/service-provider/visual-networking-index-vni/white-paper-c11-738429.html</w:t>
        </w:r>
      </w:hyperlink>
      <w:r w:rsidRPr="001A7295">
        <w:t>.</w:t>
      </w:r>
    </w:p>
  </w:footnote>
  <w:footnote w:id="3">
    <w:p w14:paraId="20BEF8ED" w14:textId="704864C2" w:rsidR="005F0DAC" w:rsidRPr="00FE6586" w:rsidRDefault="005F0DA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E6586">
        <w:rPr>
          <w:lang w:val="ru-RU"/>
        </w:rPr>
        <w:tab/>
      </w:r>
      <w:r>
        <w:rPr>
          <w:lang w:val="ru-RU"/>
        </w:rPr>
        <w:t>См</w:t>
      </w:r>
      <w:r w:rsidRPr="00FE6586">
        <w:rPr>
          <w:lang w:val="ru-RU"/>
        </w:rPr>
        <w:t>.</w:t>
      </w:r>
      <w:r w:rsidRPr="00FE6586">
        <w:rPr>
          <w:lang w:val="ru-RU"/>
        </w:rPr>
        <w:t xml:space="preserve"> </w:t>
      </w:r>
      <w:r>
        <w:rPr>
          <w:lang w:val="ru-RU"/>
        </w:rPr>
        <w:t>Рекомендацию</w:t>
      </w:r>
      <w:r w:rsidRPr="00FE6586">
        <w:rPr>
          <w:lang w:val="ru-RU"/>
        </w:rPr>
        <w:t xml:space="preserve"> </w:t>
      </w:r>
      <w:r>
        <w:rPr>
          <w:lang w:val="ru-RU"/>
        </w:rPr>
        <w:t>МСЭ</w:t>
      </w:r>
      <w:r w:rsidRPr="00FE6586">
        <w:rPr>
          <w:lang w:val="ru-RU"/>
        </w:rPr>
        <w:t>-</w:t>
      </w:r>
      <w:r w:rsidRPr="003F65CC">
        <w:t>R</w:t>
      </w:r>
      <w:r w:rsidRPr="00FE6586">
        <w:rPr>
          <w:lang w:val="ru-RU"/>
        </w:rPr>
        <w:t xml:space="preserve"> </w:t>
      </w:r>
      <w:r w:rsidRPr="003F65CC">
        <w:t>SM</w:t>
      </w:r>
      <w:r w:rsidRPr="00FE6586">
        <w:rPr>
          <w:lang w:val="ru-RU"/>
        </w:rPr>
        <w:t xml:space="preserve">.1133 – </w:t>
      </w:r>
      <w:r w:rsidR="00FE6586" w:rsidRPr="00FE6586">
        <w:rPr>
          <w:i/>
          <w:iCs/>
          <w:lang w:val="ru-RU"/>
        </w:rPr>
        <w:t>Использование спектра обобщенными службами</w:t>
      </w:r>
      <w:r w:rsidRPr="00FE6586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FE1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A5594F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44(Add.2)(Add.3)-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59942930">
    <w:abstractNumId w:val="0"/>
  </w:num>
  <w:num w:numId="2" w16cid:durableId="213421130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B1693"/>
    <w:rsid w:val="001D46DF"/>
    <w:rsid w:val="001E5FB4"/>
    <w:rsid w:val="00202CA0"/>
    <w:rsid w:val="00223DD4"/>
    <w:rsid w:val="00224125"/>
    <w:rsid w:val="00230582"/>
    <w:rsid w:val="002449AA"/>
    <w:rsid w:val="00245A1F"/>
    <w:rsid w:val="002504E8"/>
    <w:rsid w:val="002807D0"/>
    <w:rsid w:val="00290C74"/>
    <w:rsid w:val="00296B3D"/>
    <w:rsid w:val="002A2D3F"/>
    <w:rsid w:val="002C0AAB"/>
    <w:rsid w:val="00300F84"/>
    <w:rsid w:val="003234D1"/>
    <w:rsid w:val="003258F2"/>
    <w:rsid w:val="00343D20"/>
    <w:rsid w:val="00344EB8"/>
    <w:rsid w:val="00346BEC"/>
    <w:rsid w:val="00371E4B"/>
    <w:rsid w:val="00373759"/>
    <w:rsid w:val="00377DFE"/>
    <w:rsid w:val="003B6FBC"/>
    <w:rsid w:val="003C583C"/>
    <w:rsid w:val="003D5E33"/>
    <w:rsid w:val="003F0078"/>
    <w:rsid w:val="00423044"/>
    <w:rsid w:val="00434A7C"/>
    <w:rsid w:val="0045143A"/>
    <w:rsid w:val="004A58F4"/>
    <w:rsid w:val="004B6F63"/>
    <w:rsid w:val="004B716F"/>
    <w:rsid w:val="004C1369"/>
    <w:rsid w:val="004C47ED"/>
    <w:rsid w:val="004C6D0B"/>
    <w:rsid w:val="004D09B7"/>
    <w:rsid w:val="004F29B1"/>
    <w:rsid w:val="004F3B0D"/>
    <w:rsid w:val="0051315E"/>
    <w:rsid w:val="005144A9"/>
    <w:rsid w:val="00514E1F"/>
    <w:rsid w:val="00521B1D"/>
    <w:rsid w:val="005305D5"/>
    <w:rsid w:val="00530E6C"/>
    <w:rsid w:val="00540D1E"/>
    <w:rsid w:val="005651C9"/>
    <w:rsid w:val="00567276"/>
    <w:rsid w:val="00574389"/>
    <w:rsid w:val="005755E2"/>
    <w:rsid w:val="00597005"/>
    <w:rsid w:val="005A295E"/>
    <w:rsid w:val="005D1879"/>
    <w:rsid w:val="005D79A3"/>
    <w:rsid w:val="005E61DD"/>
    <w:rsid w:val="005F0DAC"/>
    <w:rsid w:val="006023DF"/>
    <w:rsid w:val="006115BE"/>
    <w:rsid w:val="00614771"/>
    <w:rsid w:val="00620DD7"/>
    <w:rsid w:val="00657DE0"/>
    <w:rsid w:val="00692C06"/>
    <w:rsid w:val="006A6E9B"/>
    <w:rsid w:val="00710582"/>
    <w:rsid w:val="0072164A"/>
    <w:rsid w:val="00763F4F"/>
    <w:rsid w:val="00775720"/>
    <w:rsid w:val="007917AE"/>
    <w:rsid w:val="007A08B5"/>
    <w:rsid w:val="007D31C2"/>
    <w:rsid w:val="00811633"/>
    <w:rsid w:val="00812452"/>
    <w:rsid w:val="00815749"/>
    <w:rsid w:val="00815D24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7D1F"/>
    <w:rsid w:val="00AE5F04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0BDA"/>
    <w:rsid w:val="00C266F4"/>
    <w:rsid w:val="00C324A8"/>
    <w:rsid w:val="00C56E7A"/>
    <w:rsid w:val="00C779CE"/>
    <w:rsid w:val="00C86899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2EA7"/>
    <w:rsid w:val="00EF43E7"/>
    <w:rsid w:val="00F1578A"/>
    <w:rsid w:val="00F21A03"/>
    <w:rsid w:val="00F33B22"/>
    <w:rsid w:val="00F65316"/>
    <w:rsid w:val="00F65C19"/>
    <w:rsid w:val="00F761D2"/>
    <w:rsid w:val="00F97203"/>
    <w:rsid w:val="00FB64A8"/>
    <w:rsid w:val="00FB67E5"/>
    <w:rsid w:val="00FC63FD"/>
    <w:rsid w:val="00FD18DB"/>
    <w:rsid w:val="00FD51E3"/>
    <w:rsid w:val="00FE306E"/>
    <w:rsid w:val="00FE344F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EE1A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86899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isco.com/c/en/us/solutions/collateral/service-provider/visual-networking-index-vni/white-paper-c11-738429.html" TargetMode="External"/><Relationship Id="rId2" Type="http://schemas.openxmlformats.org/officeDocument/2006/relationships/hyperlink" Target="https://www.ericsson.com/49da93/assets/local/mobility-report/documents/2020/june2020-ericsson-mobility-report.pdf" TargetMode="External"/><Relationship Id="rId1" Type="http://schemas.openxmlformats.org/officeDocument/2006/relationships/hyperlink" Target="https://www.itu.int/en/ITU-D/Statistics/Documents/facts/FactsFigures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CD10E69-FC72-4523-B9E7-A50F13F049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47329-A2A5-4622-9DF7-FAC236751D0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0CD388-33C9-4CF2-A01D-0DB2226903F9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973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R23-WRC23-C-0044!A2-A3!MSW-R</vt:lpstr>
    </vt:vector>
  </TitlesOfParts>
  <Manager>General Secretariat - Pool</Manager>
  <Company>International Telecommunication Union (ITU)</Company>
  <LinksUpToDate>false</LinksUpToDate>
  <CharactersWithSpaces>7690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R23-WRC23-C-0044!A2-A3!MSW-R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9</cp:revision>
  <cp:lastPrinted>2003-06-17T08:22:00Z</cp:lastPrinted>
  <dcterms:created xsi:type="dcterms:W3CDTF">2023-10-19T16:48:00Z</dcterms:created>
  <dcterms:modified xsi:type="dcterms:W3CDTF">2023-11-13T09:52:00Z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