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5562F" w14:paraId="70920D07" w14:textId="77777777" w:rsidTr="00C1305F">
        <w:trPr>
          <w:cantSplit/>
        </w:trPr>
        <w:tc>
          <w:tcPr>
            <w:tcW w:w="1418" w:type="dxa"/>
            <w:vAlign w:val="center"/>
          </w:tcPr>
          <w:p w14:paraId="7AEEA00D" w14:textId="77777777" w:rsidR="00C1305F" w:rsidRPr="00F5562F" w:rsidRDefault="00C1305F" w:rsidP="00641A4C">
            <w:pPr>
              <w:spacing w:before="0"/>
              <w:rPr>
                <w:rFonts w:ascii="Verdana" w:hAnsi="Verdana"/>
                <w:b/>
                <w:bCs/>
                <w:sz w:val="20"/>
              </w:rPr>
            </w:pPr>
            <w:r w:rsidRPr="00F5562F">
              <w:drawing>
                <wp:inline distT="0" distB="0" distL="0" distR="0" wp14:anchorId="791B8CCE" wp14:editId="30F5AB4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F7F0CB5" w14:textId="142C86DC" w:rsidR="00C1305F" w:rsidRPr="00F5562F" w:rsidRDefault="00C1305F" w:rsidP="00641A4C">
            <w:pPr>
              <w:spacing w:before="400" w:after="48"/>
              <w:rPr>
                <w:rFonts w:ascii="Verdana" w:hAnsi="Verdana"/>
                <w:b/>
                <w:bCs/>
                <w:sz w:val="20"/>
              </w:rPr>
            </w:pPr>
            <w:r w:rsidRPr="00F5562F">
              <w:rPr>
                <w:rFonts w:ascii="Verdana" w:hAnsi="Verdana"/>
                <w:b/>
                <w:bCs/>
                <w:sz w:val="20"/>
              </w:rPr>
              <w:t>Conférence mondiale des radiocommunications (CMR-23)</w:t>
            </w:r>
            <w:r w:rsidRPr="00F5562F">
              <w:rPr>
                <w:rFonts w:ascii="Verdana" w:hAnsi="Verdana"/>
                <w:b/>
                <w:bCs/>
                <w:sz w:val="20"/>
              </w:rPr>
              <w:br/>
            </w:r>
            <w:r w:rsidRPr="00F5562F">
              <w:rPr>
                <w:rFonts w:ascii="Verdana" w:hAnsi="Verdana"/>
                <w:b/>
                <w:bCs/>
                <w:sz w:val="18"/>
                <w:szCs w:val="18"/>
              </w:rPr>
              <w:t xml:space="preserve">Dubaï, 20 novembre </w:t>
            </w:r>
            <w:r w:rsidR="007D584E" w:rsidRPr="00F5562F">
              <w:rPr>
                <w:rFonts w:ascii="Verdana" w:hAnsi="Verdana"/>
                <w:b/>
                <w:bCs/>
                <w:sz w:val="18"/>
                <w:szCs w:val="18"/>
              </w:rPr>
              <w:t>–</w:t>
            </w:r>
            <w:r w:rsidRPr="00F5562F">
              <w:rPr>
                <w:rFonts w:ascii="Verdana" w:hAnsi="Verdana"/>
                <w:b/>
                <w:bCs/>
                <w:sz w:val="18"/>
                <w:szCs w:val="18"/>
              </w:rPr>
              <w:t xml:space="preserve"> 15 décembre 2023</w:t>
            </w:r>
          </w:p>
        </w:tc>
        <w:tc>
          <w:tcPr>
            <w:tcW w:w="1809" w:type="dxa"/>
            <w:vAlign w:val="center"/>
          </w:tcPr>
          <w:p w14:paraId="38174A81" w14:textId="77777777" w:rsidR="00C1305F" w:rsidRPr="00F5562F" w:rsidRDefault="00C1305F" w:rsidP="00641A4C">
            <w:pPr>
              <w:spacing w:before="0"/>
            </w:pPr>
            <w:r w:rsidRPr="00F5562F">
              <w:drawing>
                <wp:inline distT="0" distB="0" distL="0" distR="0" wp14:anchorId="5BB99B89" wp14:editId="7A90CC8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5562F" w14:paraId="38D7B50D" w14:textId="77777777" w:rsidTr="0050008E">
        <w:trPr>
          <w:cantSplit/>
        </w:trPr>
        <w:tc>
          <w:tcPr>
            <w:tcW w:w="6911" w:type="dxa"/>
            <w:gridSpan w:val="2"/>
            <w:tcBorders>
              <w:bottom w:val="single" w:sz="12" w:space="0" w:color="auto"/>
            </w:tcBorders>
          </w:tcPr>
          <w:p w14:paraId="2E0AC167" w14:textId="77777777" w:rsidR="00BB1D82" w:rsidRPr="00F5562F" w:rsidRDefault="00BB1D82" w:rsidP="00641A4C">
            <w:pPr>
              <w:spacing w:before="0" w:after="48"/>
              <w:rPr>
                <w:b/>
                <w:smallCaps/>
                <w:szCs w:val="24"/>
              </w:rPr>
            </w:pPr>
          </w:p>
        </w:tc>
        <w:tc>
          <w:tcPr>
            <w:tcW w:w="3120" w:type="dxa"/>
            <w:gridSpan w:val="2"/>
            <w:tcBorders>
              <w:bottom w:val="single" w:sz="12" w:space="0" w:color="auto"/>
            </w:tcBorders>
          </w:tcPr>
          <w:p w14:paraId="6DAA49A2" w14:textId="77777777" w:rsidR="00BB1D82" w:rsidRPr="00F5562F" w:rsidRDefault="00BB1D82" w:rsidP="00641A4C">
            <w:pPr>
              <w:spacing w:before="0"/>
              <w:rPr>
                <w:rFonts w:ascii="Verdana" w:hAnsi="Verdana"/>
                <w:szCs w:val="24"/>
              </w:rPr>
            </w:pPr>
          </w:p>
        </w:tc>
      </w:tr>
      <w:tr w:rsidR="00BB1D82" w:rsidRPr="00F5562F" w14:paraId="6CD4F99F" w14:textId="77777777" w:rsidTr="00BB1D82">
        <w:trPr>
          <w:cantSplit/>
        </w:trPr>
        <w:tc>
          <w:tcPr>
            <w:tcW w:w="6911" w:type="dxa"/>
            <w:gridSpan w:val="2"/>
            <w:tcBorders>
              <w:top w:val="single" w:sz="12" w:space="0" w:color="auto"/>
            </w:tcBorders>
          </w:tcPr>
          <w:p w14:paraId="46498E76" w14:textId="77777777" w:rsidR="00BB1D82" w:rsidRPr="00F5562F" w:rsidRDefault="00BB1D82" w:rsidP="00641A4C">
            <w:pPr>
              <w:spacing w:before="0" w:after="48"/>
              <w:rPr>
                <w:rFonts w:ascii="Verdana" w:hAnsi="Verdana"/>
                <w:b/>
                <w:smallCaps/>
                <w:sz w:val="20"/>
              </w:rPr>
            </w:pPr>
          </w:p>
        </w:tc>
        <w:tc>
          <w:tcPr>
            <w:tcW w:w="3120" w:type="dxa"/>
            <w:gridSpan w:val="2"/>
            <w:tcBorders>
              <w:top w:val="single" w:sz="12" w:space="0" w:color="auto"/>
            </w:tcBorders>
          </w:tcPr>
          <w:p w14:paraId="0EEB1D70" w14:textId="77777777" w:rsidR="00BB1D82" w:rsidRPr="00F5562F" w:rsidRDefault="00BB1D82" w:rsidP="00641A4C">
            <w:pPr>
              <w:spacing w:before="0"/>
              <w:rPr>
                <w:rFonts w:ascii="Verdana" w:hAnsi="Verdana"/>
                <w:sz w:val="20"/>
              </w:rPr>
            </w:pPr>
          </w:p>
        </w:tc>
      </w:tr>
      <w:tr w:rsidR="00BB1D82" w:rsidRPr="00F5562F" w14:paraId="2014E632" w14:textId="77777777" w:rsidTr="00BB1D82">
        <w:trPr>
          <w:cantSplit/>
        </w:trPr>
        <w:tc>
          <w:tcPr>
            <w:tcW w:w="6911" w:type="dxa"/>
            <w:gridSpan w:val="2"/>
          </w:tcPr>
          <w:p w14:paraId="417941D9" w14:textId="77777777" w:rsidR="00BB1D82" w:rsidRPr="00F5562F" w:rsidRDefault="006D4724" w:rsidP="00641A4C">
            <w:pPr>
              <w:spacing w:before="0"/>
              <w:rPr>
                <w:rFonts w:ascii="Verdana" w:hAnsi="Verdana"/>
                <w:b/>
                <w:sz w:val="20"/>
              </w:rPr>
            </w:pPr>
            <w:r w:rsidRPr="00F5562F">
              <w:rPr>
                <w:rFonts w:ascii="Verdana" w:hAnsi="Verdana"/>
                <w:b/>
                <w:sz w:val="20"/>
              </w:rPr>
              <w:t>SÉANCE PLÉNIÈRE</w:t>
            </w:r>
          </w:p>
        </w:tc>
        <w:tc>
          <w:tcPr>
            <w:tcW w:w="3120" w:type="dxa"/>
            <w:gridSpan w:val="2"/>
          </w:tcPr>
          <w:p w14:paraId="63DFE9B0" w14:textId="77777777" w:rsidR="00BB1D82" w:rsidRPr="00F5562F" w:rsidRDefault="006D4724" w:rsidP="00641A4C">
            <w:pPr>
              <w:spacing w:before="0"/>
              <w:rPr>
                <w:rFonts w:ascii="Verdana" w:hAnsi="Verdana"/>
                <w:sz w:val="20"/>
              </w:rPr>
            </w:pPr>
            <w:r w:rsidRPr="00F5562F">
              <w:rPr>
                <w:rFonts w:ascii="Verdana" w:hAnsi="Verdana"/>
                <w:b/>
                <w:sz w:val="20"/>
              </w:rPr>
              <w:t>Addendum 3 au</w:t>
            </w:r>
            <w:r w:rsidRPr="00F5562F">
              <w:rPr>
                <w:rFonts w:ascii="Verdana" w:hAnsi="Verdana"/>
                <w:b/>
                <w:sz w:val="20"/>
              </w:rPr>
              <w:br/>
              <w:t>Document 44(Add.2)</w:t>
            </w:r>
            <w:r w:rsidR="00BB1D82" w:rsidRPr="00F5562F">
              <w:rPr>
                <w:rFonts w:ascii="Verdana" w:hAnsi="Verdana"/>
                <w:b/>
                <w:sz w:val="20"/>
              </w:rPr>
              <w:t>-</w:t>
            </w:r>
            <w:r w:rsidRPr="00F5562F">
              <w:rPr>
                <w:rFonts w:ascii="Verdana" w:hAnsi="Verdana"/>
                <w:b/>
                <w:sz w:val="20"/>
              </w:rPr>
              <w:t>F</w:t>
            </w:r>
          </w:p>
        </w:tc>
      </w:tr>
      <w:tr w:rsidR="00690C7B" w:rsidRPr="00F5562F" w14:paraId="7D29118F" w14:textId="77777777" w:rsidTr="00BB1D82">
        <w:trPr>
          <w:cantSplit/>
        </w:trPr>
        <w:tc>
          <w:tcPr>
            <w:tcW w:w="6911" w:type="dxa"/>
            <w:gridSpan w:val="2"/>
          </w:tcPr>
          <w:p w14:paraId="5CCFDD29" w14:textId="77777777" w:rsidR="00690C7B" w:rsidRPr="00F5562F" w:rsidRDefault="00690C7B" w:rsidP="00641A4C">
            <w:pPr>
              <w:spacing w:before="0"/>
              <w:rPr>
                <w:rFonts w:ascii="Verdana" w:hAnsi="Verdana"/>
                <w:b/>
                <w:sz w:val="20"/>
              </w:rPr>
            </w:pPr>
          </w:p>
        </w:tc>
        <w:tc>
          <w:tcPr>
            <w:tcW w:w="3120" w:type="dxa"/>
            <w:gridSpan w:val="2"/>
          </w:tcPr>
          <w:p w14:paraId="2D64554C" w14:textId="77777777" w:rsidR="00690C7B" w:rsidRPr="00F5562F" w:rsidRDefault="00690C7B" w:rsidP="00641A4C">
            <w:pPr>
              <w:spacing w:before="0"/>
              <w:rPr>
                <w:rFonts w:ascii="Verdana" w:hAnsi="Verdana"/>
                <w:b/>
                <w:sz w:val="20"/>
              </w:rPr>
            </w:pPr>
            <w:r w:rsidRPr="00F5562F">
              <w:rPr>
                <w:rFonts w:ascii="Verdana" w:hAnsi="Verdana"/>
                <w:b/>
                <w:sz w:val="20"/>
              </w:rPr>
              <w:t>13 octobre 2023</w:t>
            </w:r>
          </w:p>
        </w:tc>
      </w:tr>
      <w:tr w:rsidR="00690C7B" w:rsidRPr="00F5562F" w14:paraId="2D4D88B7" w14:textId="77777777" w:rsidTr="00BB1D82">
        <w:trPr>
          <w:cantSplit/>
        </w:trPr>
        <w:tc>
          <w:tcPr>
            <w:tcW w:w="6911" w:type="dxa"/>
            <w:gridSpan w:val="2"/>
          </w:tcPr>
          <w:p w14:paraId="2B9389B2" w14:textId="77777777" w:rsidR="00690C7B" w:rsidRPr="00F5562F" w:rsidRDefault="00690C7B" w:rsidP="00641A4C">
            <w:pPr>
              <w:spacing w:before="0" w:after="48"/>
              <w:rPr>
                <w:rFonts w:ascii="Verdana" w:hAnsi="Verdana"/>
                <w:b/>
                <w:smallCaps/>
                <w:sz w:val="20"/>
              </w:rPr>
            </w:pPr>
          </w:p>
        </w:tc>
        <w:tc>
          <w:tcPr>
            <w:tcW w:w="3120" w:type="dxa"/>
            <w:gridSpan w:val="2"/>
          </w:tcPr>
          <w:p w14:paraId="5616371F" w14:textId="77777777" w:rsidR="00690C7B" w:rsidRPr="00F5562F" w:rsidRDefault="00690C7B" w:rsidP="00641A4C">
            <w:pPr>
              <w:spacing w:before="0"/>
              <w:rPr>
                <w:rFonts w:ascii="Verdana" w:hAnsi="Verdana"/>
                <w:b/>
                <w:sz w:val="20"/>
              </w:rPr>
            </w:pPr>
            <w:r w:rsidRPr="00F5562F">
              <w:rPr>
                <w:rFonts w:ascii="Verdana" w:hAnsi="Verdana"/>
                <w:b/>
                <w:sz w:val="20"/>
              </w:rPr>
              <w:t>Original: anglais</w:t>
            </w:r>
          </w:p>
        </w:tc>
      </w:tr>
      <w:tr w:rsidR="00690C7B" w:rsidRPr="00F5562F" w14:paraId="35D745F8" w14:textId="77777777" w:rsidTr="00C11970">
        <w:trPr>
          <w:cantSplit/>
        </w:trPr>
        <w:tc>
          <w:tcPr>
            <w:tcW w:w="10031" w:type="dxa"/>
            <w:gridSpan w:val="4"/>
          </w:tcPr>
          <w:p w14:paraId="12828FE7" w14:textId="77777777" w:rsidR="00690C7B" w:rsidRPr="00F5562F" w:rsidRDefault="00690C7B" w:rsidP="00641A4C">
            <w:pPr>
              <w:spacing w:before="0"/>
              <w:rPr>
                <w:rFonts w:ascii="Verdana" w:hAnsi="Verdana"/>
                <w:b/>
                <w:sz w:val="20"/>
              </w:rPr>
            </w:pPr>
          </w:p>
        </w:tc>
      </w:tr>
      <w:tr w:rsidR="00690C7B" w:rsidRPr="00F5562F" w14:paraId="157980E2" w14:textId="77777777" w:rsidTr="0050008E">
        <w:trPr>
          <w:cantSplit/>
        </w:trPr>
        <w:tc>
          <w:tcPr>
            <w:tcW w:w="10031" w:type="dxa"/>
            <w:gridSpan w:val="4"/>
          </w:tcPr>
          <w:p w14:paraId="1EA405A6" w14:textId="77777777" w:rsidR="00690C7B" w:rsidRPr="00F5562F" w:rsidRDefault="00690C7B" w:rsidP="00641A4C">
            <w:pPr>
              <w:pStyle w:val="Source"/>
            </w:pPr>
            <w:r w:rsidRPr="00F5562F">
              <w:t>États Membres de la Commission interaméricaine des télécommunications (CITEL)</w:t>
            </w:r>
          </w:p>
        </w:tc>
      </w:tr>
      <w:tr w:rsidR="00690C7B" w:rsidRPr="00F5562F" w14:paraId="73E972E7" w14:textId="77777777" w:rsidTr="0050008E">
        <w:trPr>
          <w:cantSplit/>
        </w:trPr>
        <w:tc>
          <w:tcPr>
            <w:tcW w:w="10031" w:type="dxa"/>
            <w:gridSpan w:val="4"/>
          </w:tcPr>
          <w:p w14:paraId="71520DD4" w14:textId="48E40690" w:rsidR="00690C7B" w:rsidRPr="00F5562F" w:rsidRDefault="007D584E" w:rsidP="00641A4C">
            <w:pPr>
              <w:pStyle w:val="Title1"/>
            </w:pPr>
            <w:bookmarkStart w:id="0" w:name="dtitle1" w:colFirst="0" w:colLast="0"/>
            <w:r w:rsidRPr="00F5562F">
              <w:t>Propositions pour les travaux de la Conférence</w:t>
            </w:r>
          </w:p>
        </w:tc>
      </w:tr>
      <w:tr w:rsidR="00690C7B" w:rsidRPr="00F5562F" w14:paraId="7297896D" w14:textId="77777777" w:rsidTr="0050008E">
        <w:trPr>
          <w:cantSplit/>
        </w:trPr>
        <w:tc>
          <w:tcPr>
            <w:tcW w:w="10031" w:type="dxa"/>
            <w:gridSpan w:val="4"/>
          </w:tcPr>
          <w:p w14:paraId="5DE9EF8B" w14:textId="77777777" w:rsidR="00690C7B" w:rsidRPr="00F5562F" w:rsidRDefault="00690C7B" w:rsidP="00641A4C">
            <w:pPr>
              <w:pStyle w:val="Title2"/>
            </w:pPr>
            <w:bookmarkStart w:id="1" w:name="dtitle2" w:colFirst="0" w:colLast="0"/>
            <w:bookmarkEnd w:id="0"/>
          </w:p>
        </w:tc>
      </w:tr>
      <w:tr w:rsidR="00690C7B" w:rsidRPr="00F5562F" w14:paraId="5C2443BD" w14:textId="77777777" w:rsidTr="0050008E">
        <w:trPr>
          <w:cantSplit/>
        </w:trPr>
        <w:tc>
          <w:tcPr>
            <w:tcW w:w="10031" w:type="dxa"/>
            <w:gridSpan w:val="4"/>
          </w:tcPr>
          <w:p w14:paraId="3A8003F3" w14:textId="77777777" w:rsidR="00690C7B" w:rsidRPr="00F5562F" w:rsidRDefault="00690C7B" w:rsidP="00641A4C">
            <w:pPr>
              <w:pStyle w:val="Agendaitem"/>
              <w:rPr>
                <w:lang w:val="fr-FR"/>
              </w:rPr>
            </w:pPr>
            <w:bookmarkStart w:id="2" w:name="dtitle3" w:colFirst="0" w:colLast="0"/>
            <w:bookmarkEnd w:id="1"/>
            <w:r w:rsidRPr="00F5562F">
              <w:rPr>
                <w:lang w:val="fr-FR"/>
              </w:rPr>
              <w:t>Point 1.2 de l'ordre du jour</w:t>
            </w:r>
          </w:p>
        </w:tc>
      </w:tr>
    </w:tbl>
    <w:bookmarkEnd w:id="2"/>
    <w:p w14:paraId="764787EB" w14:textId="28EF3C15" w:rsidR="007F7725" w:rsidRPr="00F5562F" w:rsidRDefault="007F7725" w:rsidP="00641A4C">
      <w:r w:rsidRPr="00F5562F">
        <w:t>1.2</w:t>
      </w:r>
      <w:r w:rsidRPr="00F5562F">
        <w:tab/>
        <w:t>envisager l'identification des bandes de fréquences 3</w:t>
      </w:r>
      <w:r w:rsidR="000007DA" w:rsidRPr="00F5562F">
        <w:t> </w:t>
      </w:r>
      <w:r w:rsidRPr="00F5562F">
        <w:t>300</w:t>
      </w:r>
      <w:r w:rsidR="000007DA" w:rsidRPr="00F5562F">
        <w:noBreakHyphen/>
      </w:r>
      <w:r w:rsidRPr="00F5562F">
        <w:t>3 400</w:t>
      </w:r>
      <w:r w:rsidR="000007DA" w:rsidRPr="00F5562F">
        <w:t> </w:t>
      </w:r>
      <w:r w:rsidRPr="00F5562F">
        <w:t>MHz, 3 600</w:t>
      </w:r>
      <w:r w:rsidRPr="00F5562F">
        <w:noBreakHyphen/>
        <w:t>3 800 MHz, 6 425</w:t>
      </w:r>
      <w:r w:rsidR="000007DA" w:rsidRPr="00F5562F">
        <w:noBreakHyphen/>
      </w:r>
      <w:r w:rsidRPr="00F5562F">
        <w:t>7</w:t>
      </w:r>
      <w:r w:rsidR="000007DA" w:rsidRPr="00F5562F">
        <w:t> </w:t>
      </w:r>
      <w:r w:rsidRPr="00F5562F">
        <w:t>025</w:t>
      </w:r>
      <w:r w:rsidR="000007DA" w:rsidRPr="00F5562F">
        <w:t> </w:t>
      </w:r>
      <w:r w:rsidRPr="00F5562F">
        <w:t>MHz, 7</w:t>
      </w:r>
      <w:r w:rsidR="000007DA" w:rsidRPr="00F5562F">
        <w:t> </w:t>
      </w:r>
      <w:r w:rsidRPr="00F5562F">
        <w:t>025</w:t>
      </w:r>
      <w:r w:rsidR="000007DA" w:rsidRPr="00F5562F">
        <w:noBreakHyphen/>
      </w:r>
      <w:r w:rsidRPr="00F5562F">
        <w:t>7</w:t>
      </w:r>
      <w:r w:rsidR="000007DA" w:rsidRPr="00F5562F">
        <w:t> </w:t>
      </w:r>
      <w:r w:rsidRPr="00F5562F">
        <w:t>125</w:t>
      </w:r>
      <w:r w:rsidR="000007DA" w:rsidRPr="00F5562F">
        <w:t> </w:t>
      </w:r>
      <w:r w:rsidRPr="00F5562F">
        <w:t>MHz et 10,0</w:t>
      </w:r>
      <w:r w:rsidR="000007DA" w:rsidRPr="00F5562F">
        <w:noBreakHyphen/>
      </w:r>
      <w:r w:rsidRPr="00F5562F">
        <w:t>10,5</w:t>
      </w:r>
      <w:r w:rsidR="000007DA" w:rsidRPr="00F5562F">
        <w:t> </w:t>
      </w:r>
      <w:r w:rsidRPr="00F5562F">
        <w:t>GHz pour les Télécommunications mobiles internationales (IMT), y compris des attributions additionnelles possibles au service mobile à titre primaire, conformément à la Résolution</w:t>
      </w:r>
      <w:r w:rsidR="000007DA" w:rsidRPr="00F5562F">
        <w:t> </w:t>
      </w:r>
      <w:r w:rsidRPr="00F5562F">
        <w:rPr>
          <w:b/>
        </w:rPr>
        <w:t>245 (CMR-19)</w:t>
      </w:r>
      <w:r w:rsidRPr="00F5562F">
        <w:rPr>
          <w:bCs/>
        </w:rPr>
        <w:t>;</w:t>
      </w:r>
    </w:p>
    <w:p w14:paraId="31362F8B" w14:textId="02CF168F" w:rsidR="003A583E" w:rsidRPr="00F5562F" w:rsidRDefault="007D584E" w:rsidP="009002C4">
      <w:pPr>
        <w:pStyle w:val="Parttitle"/>
      </w:pPr>
      <w:r w:rsidRPr="00F5562F">
        <w:t>Partie 3</w:t>
      </w:r>
      <w:r w:rsidR="00304843" w:rsidRPr="00F5562F">
        <w:t xml:space="preserve"> – Bande de fréquences 6</w:t>
      </w:r>
      <w:r w:rsidR="00191DDA" w:rsidRPr="00F5562F">
        <w:t> </w:t>
      </w:r>
      <w:r w:rsidR="00304843" w:rsidRPr="00F5562F">
        <w:t>425</w:t>
      </w:r>
      <w:r w:rsidR="00191DDA" w:rsidRPr="00F5562F">
        <w:noBreakHyphen/>
      </w:r>
      <w:r w:rsidR="00304843" w:rsidRPr="00F5562F">
        <w:t>7</w:t>
      </w:r>
      <w:r w:rsidR="00191DDA" w:rsidRPr="00F5562F">
        <w:t> </w:t>
      </w:r>
      <w:r w:rsidR="00304843" w:rsidRPr="00F5562F">
        <w:t>025</w:t>
      </w:r>
      <w:r w:rsidR="00191DDA" w:rsidRPr="00F5562F">
        <w:t> </w:t>
      </w:r>
      <w:r w:rsidR="00304843" w:rsidRPr="00F5562F">
        <w:t>MHz et 7</w:t>
      </w:r>
      <w:r w:rsidR="00191DDA" w:rsidRPr="00F5562F">
        <w:t> </w:t>
      </w:r>
      <w:r w:rsidR="00304843" w:rsidRPr="00F5562F">
        <w:t>025</w:t>
      </w:r>
      <w:r w:rsidR="00191DDA" w:rsidRPr="00F5562F">
        <w:noBreakHyphen/>
      </w:r>
      <w:r w:rsidR="00304843" w:rsidRPr="00F5562F">
        <w:t>7</w:t>
      </w:r>
      <w:r w:rsidR="00191DDA" w:rsidRPr="00F5562F">
        <w:t> </w:t>
      </w:r>
      <w:r w:rsidR="00304843" w:rsidRPr="00F5562F">
        <w:t>125</w:t>
      </w:r>
      <w:r w:rsidR="00191DDA" w:rsidRPr="00F5562F">
        <w:t> </w:t>
      </w:r>
      <w:r w:rsidR="00304843" w:rsidRPr="00F5562F">
        <w:t>MHz</w:t>
      </w:r>
    </w:p>
    <w:p w14:paraId="779277E8" w14:textId="445C902A" w:rsidR="007D584E" w:rsidRPr="00F5562F" w:rsidRDefault="00304843" w:rsidP="00641A4C">
      <w:pPr>
        <w:pStyle w:val="Headingb"/>
      </w:pPr>
      <w:r w:rsidRPr="00F5562F">
        <w:t>Considérations générales</w:t>
      </w:r>
    </w:p>
    <w:p w14:paraId="56072F91" w14:textId="02B98DD5" w:rsidR="007D584E" w:rsidRPr="00F5562F" w:rsidRDefault="007D584E" w:rsidP="00641A4C">
      <w:r w:rsidRPr="00F5562F">
        <w:t xml:space="preserve">Le large bande mobile joue un rôle </w:t>
      </w:r>
      <w:r w:rsidR="00854DCF" w:rsidRPr="00F5562F">
        <w:t>crucial</w:t>
      </w:r>
      <w:r w:rsidRPr="00F5562F">
        <w:t xml:space="preserve"> </w:t>
      </w:r>
      <w:r w:rsidR="00DA5914" w:rsidRPr="00F5562F">
        <w:t>en matière de fourniture d'accès</w:t>
      </w:r>
      <w:r w:rsidR="00DE08AD" w:rsidRPr="00F5562F">
        <w:t xml:space="preserve"> </w:t>
      </w:r>
      <w:r w:rsidRPr="00F5562F">
        <w:t>aux entreprises et aux consommateurs du monde entier</w:t>
      </w:r>
      <w:r w:rsidR="005E20E8" w:rsidRPr="00F5562F">
        <w:t>.</w:t>
      </w:r>
      <w:r w:rsidRPr="00F5562F">
        <w:t xml:space="preserve"> En</w:t>
      </w:r>
      <w:r w:rsidR="000007DA" w:rsidRPr="00F5562F">
        <w:t> </w:t>
      </w:r>
      <w:r w:rsidRPr="00F5562F">
        <w:t>2020, première année de la pandémie, le nombre d'internautes a augmenté de</w:t>
      </w:r>
      <w:r w:rsidR="00D021A8" w:rsidRPr="00F5562F">
        <w:t> </w:t>
      </w:r>
      <w:r w:rsidRPr="00F5562F">
        <w:t>10,2%. Il s'agit de la plus forte croissance des dix dernières années. Elle a été portée par les pays en développement, dans lesquels la hausse de l'utilisation de l'Internet a atteint</w:t>
      </w:r>
      <w:r w:rsidR="00D021A8" w:rsidRPr="00F5562F">
        <w:t> </w:t>
      </w:r>
      <w:r w:rsidRPr="00F5562F">
        <w:t>13,3%. Selon les estimations de l'UIT, le nombre d'abonnements actifs à la téléphonie mobile cellulaire pour 100</w:t>
      </w:r>
      <w:r w:rsidR="00D021A8" w:rsidRPr="00F5562F">
        <w:t> </w:t>
      </w:r>
      <w:r w:rsidRPr="00F5562F">
        <w:t>habitants continue d'augmenter de manière considérable, s'établissant à 110</w:t>
      </w:r>
      <w:r w:rsidR="00D021A8" w:rsidRPr="00F5562F">
        <w:t> </w:t>
      </w:r>
      <w:r w:rsidRPr="00F5562F">
        <w:t>abonnements pour 100</w:t>
      </w:r>
      <w:r w:rsidR="00D021A8" w:rsidRPr="00F5562F">
        <w:t> </w:t>
      </w:r>
      <w:r w:rsidRPr="00F5562F">
        <w:t>habitants, dont un nombre record d'abonnements mobiles dotés d'une capacité large bande (3G</w:t>
      </w:r>
      <w:r w:rsidR="00D021A8" w:rsidRPr="00F5562F">
        <w:t> </w:t>
      </w:r>
      <w:r w:rsidRPr="00F5562F">
        <w:t>au moins)</w:t>
      </w:r>
      <w:r w:rsidR="00075BC7" w:rsidRPr="00F5562F">
        <w:rPr>
          <w:rStyle w:val="FootnoteReference"/>
        </w:rPr>
        <w:footnoteReference w:id="1"/>
      </w:r>
      <w:r w:rsidRPr="00F5562F">
        <w:t>. Quatre-vingt-quinze pour</w:t>
      </w:r>
      <w:r w:rsidR="00075BC7" w:rsidRPr="00F5562F">
        <w:t xml:space="preserve"> </w:t>
      </w:r>
      <w:r w:rsidRPr="00F5562F">
        <w:t>cent des habitants de la planète vivent dans une région où un service large bande mobile est accessible, et le fait qu'il n'y ait que peu d'écart entre les pays développés et les pays en développement en ce qui concerne le nombre d'abonnements montre que la connectivité est une priorité pour la population, quel que soit le niveau de développement des pays</w:t>
      </w:r>
      <w:r w:rsidR="000007DA" w:rsidRPr="00F5562F">
        <w:rPr>
          <w:rStyle w:val="FootnoteReference"/>
        </w:rPr>
        <w:t>1</w:t>
      </w:r>
      <w:r w:rsidR="00A75A92" w:rsidRPr="00F5562F">
        <w:t>.</w:t>
      </w:r>
    </w:p>
    <w:p w14:paraId="0AE68CBF" w14:textId="4DEC96FD" w:rsidR="00A75A92" w:rsidRPr="00F5562F" w:rsidRDefault="00A75A92" w:rsidP="009002C4">
      <w:pPr>
        <w:keepLines/>
      </w:pPr>
      <w:r w:rsidRPr="00F5562F">
        <w:lastRenderedPageBreak/>
        <w:t>La demande d'applications hertziennes mobiles large bande comme les</w:t>
      </w:r>
      <w:r w:rsidR="00D021A8" w:rsidRPr="00F5562F">
        <w:t> </w:t>
      </w:r>
      <w:r w:rsidRPr="00F5562F">
        <w:t>IMT continue de progresser de manière spectaculaire, de sorte qu'il est de plus en plus nécessaire d'accéder au spectre des fréquences radioélectriques pour soutenir cette croissance</w:t>
      </w:r>
      <w:r w:rsidRPr="00F5562F">
        <w:rPr>
          <w:rStyle w:val="FootnoteReference"/>
        </w:rPr>
        <w:footnoteReference w:id="2"/>
      </w:r>
      <w:r w:rsidRPr="00F5562F">
        <w:t>. La technologie de cinquième génération</w:t>
      </w:r>
      <w:r w:rsidR="00D021A8" w:rsidRPr="00F5562F">
        <w:t> </w:t>
      </w:r>
      <w:r w:rsidRPr="00F5562F">
        <w:t>(5G) offre des débits de données plus élevés et un temps de latence plus faible. Il est à noter que la</w:t>
      </w:r>
      <w:r w:rsidR="00D021A8" w:rsidRPr="00F5562F">
        <w:t> </w:t>
      </w:r>
      <w:r w:rsidRPr="00F5562F">
        <w:t>5G a été conçue pour offrir des fonctionnalités dans un large éventail de secteurs tels que la santé, le transport, la fabrication, l'éducation et la télémédecine. La</w:t>
      </w:r>
      <w:r w:rsidR="00D021A8" w:rsidRPr="00F5562F">
        <w:t> </w:t>
      </w:r>
      <w:r w:rsidRPr="00F5562F">
        <w:t>5G devrait avoir des retombées importantes sur nos économies et nos sociétés.</w:t>
      </w:r>
      <w:r w:rsidR="000007DA" w:rsidRPr="00F5562F">
        <w:t xml:space="preserve"> </w:t>
      </w:r>
      <w:r w:rsidRPr="00F5562F">
        <w:t>Étant donné que la demande d'applications</w:t>
      </w:r>
      <w:r w:rsidR="00D021A8" w:rsidRPr="00F5562F">
        <w:t> </w:t>
      </w:r>
      <w:r w:rsidRPr="00F5562F">
        <w:t>IMT ne cesse de croître, il fau</w:t>
      </w:r>
      <w:r w:rsidR="001C1AA8" w:rsidRPr="00F5562F">
        <w:t>dra</w:t>
      </w:r>
      <w:r w:rsidRPr="00F5562F">
        <w:t xml:space="preserve"> envisager </w:t>
      </w:r>
      <w:r w:rsidR="00850928" w:rsidRPr="00F5562F">
        <w:t>d'identifier</w:t>
      </w:r>
      <w:r w:rsidRPr="00F5562F">
        <w:t xml:space="preserve"> des bandes de fréquences additionnelles pour les</w:t>
      </w:r>
      <w:r w:rsidR="00D021A8" w:rsidRPr="00F5562F">
        <w:t> </w:t>
      </w:r>
      <w:r w:rsidRPr="00F5562F">
        <w:t>IMT en milieu de bande</w:t>
      </w:r>
      <w:r w:rsidR="00641A4C" w:rsidRPr="00F5562F">
        <w:t xml:space="preserve"> –</w:t>
      </w:r>
      <w:r w:rsidR="001C1AA8" w:rsidRPr="00F5562F">
        <w:t xml:space="preserve"> </w:t>
      </w:r>
      <w:r w:rsidR="00641A4C" w:rsidRPr="00F5562F">
        <w:t xml:space="preserve">offrant une combinaison favorable en termes de couverture et de capacité – </w:t>
      </w:r>
      <w:r w:rsidRPr="00F5562F">
        <w:t>afin de permettre les déploiements futurs dans les cas où il pourrait s'avérer difficile de mettre en œuvre ces applications et services en utilisant les bandes de fréquences inférieures ou supérieures.</w:t>
      </w:r>
    </w:p>
    <w:p w14:paraId="63BBB2DB" w14:textId="5E074811" w:rsidR="00A93D4E" w:rsidRPr="00F5562F" w:rsidRDefault="001C1AA8" w:rsidP="009002C4">
      <w:pPr>
        <w:pStyle w:val="Headingb"/>
        <w:rPr>
          <w:b w:val="0"/>
          <w:bCs/>
          <w:u w:val="single"/>
        </w:rPr>
      </w:pPr>
      <w:r w:rsidRPr="00F5562F">
        <w:rPr>
          <w:b w:val="0"/>
          <w:bCs/>
          <w:u w:val="single"/>
        </w:rPr>
        <w:t>Bandes de fréquences 6</w:t>
      </w:r>
      <w:r w:rsidR="00D021A8" w:rsidRPr="00F5562F">
        <w:rPr>
          <w:b w:val="0"/>
          <w:bCs/>
          <w:u w:val="single"/>
        </w:rPr>
        <w:t> </w:t>
      </w:r>
      <w:r w:rsidRPr="00F5562F">
        <w:rPr>
          <w:b w:val="0"/>
          <w:bCs/>
          <w:u w:val="single"/>
        </w:rPr>
        <w:t>425</w:t>
      </w:r>
      <w:r w:rsidR="00D021A8" w:rsidRPr="00F5562F">
        <w:rPr>
          <w:b w:val="0"/>
          <w:bCs/>
          <w:u w:val="single"/>
        </w:rPr>
        <w:noBreakHyphen/>
      </w:r>
      <w:r w:rsidRPr="00F5562F">
        <w:rPr>
          <w:b w:val="0"/>
          <w:bCs/>
          <w:u w:val="single"/>
        </w:rPr>
        <w:t>7</w:t>
      </w:r>
      <w:r w:rsidR="00D021A8" w:rsidRPr="00F5562F">
        <w:rPr>
          <w:b w:val="0"/>
          <w:bCs/>
          <w:u w:val="single"/>
        </w:rPr>
        <w:t> </w:t>
      </w:r>
      <w:r w:rsidRPr="00F5562F">
        <w:rPr>
          <w:b w:val="0"/>
          <w:bCs/>
          <w:u w:val="single"/>
        </w:rPr>
        <w:t>025</w:t>
      </w:r>
      <w:r w:rsidR="00D021A8" w:rsidRPr="00F5562F">
        <w:rPr>
          <w:b w:val="0"/>
          <w:bCs/>
          <w:u w:val="single"/>
        </w:rPr>
        <w:t> </w:t>
      </w:r>
      <w:r w:rsidRPr="00F5562F">
        <w:rPr>
          <w:b w:val="0"/>
          <w:bCs/>
          <w:u w:val="single"/>
        </w:rPr>
        <w:t>MHz et 7</w:t>
      </w:r>
      <w:r w:rsidR="00D021A8" w:rsidRPr="00F5562F">
        <w:rPr>
          <w:b w:val="0"/>
          <w:bCs/>
          <w:u w:val="single"/>
        </w:rPr>
        <w:t> </w:t>
      </w:r>
      <w:r w:rsidRPr="00F5562F">
        <w:rPr>
          <w:b w:val="0"/>
          <w:bCs/>
          <w:u w:val="single"/>
        </w:rPr>
        <w:t>025</w:t>
      </w:r>
      <w:r w:rsidR="00D021A8" w:rsidRPr="00F5562F">
        <w:rPr>
          <w:b w:val="0"/>
          <w:bCs/>
          <w:u w:val="single"/>
        </w:rPr>
        <w:noBreakHyphen/>
      </w:r>
      <w:r w:rsidRPr="00F5562F">
        <w:rPr>
          <w:b w:val="0"/>
          <w:bCs/>
          <w:u w:val="single"/>
        </w:rPr>
        <w:t>7</w:t>
      </w:r>
      <w:r w:rsidR="00D021A8" w:rsidRPr="00F5562F">
        <w:rPr>
          <w:b w:val="0"/>
          <w:bCs/>
          <w:u w:val="single"/>
        </w:rPr>
        <w:t> </w:t>
      </w:r>
      <w:r w:rsidRPr="00F5562F">
        <w:rPr>
          <w:b w:val="0"/>
          <w:bCs/>
          <w:u w:val="single"/>
        </w:rPr>
        <w:t>125</w:t>
      </w:r>
      <w:r w:rsidR="00D021A8" w:rsidRPr="00F5562F">
        <w:rPr>
          <w:b w:val="0"/>
          <w:bCs/>
          <w:u w:val="single"/>
        </w:rPr>
        <w:t> </w:t>
      </w:r>
      <w:r w:rsidRPr="00F5562F">
        <w:rPr>
          <w:b w:val="0"/>
          <w:bCs/>
          <w:u w:val="single"/>
        </w:rPr>
        <w:t>MHz</w:t>
      </w:r>
    </w:p>
    <w:p w14:paraId="39ACA5F2" w14:textId="449C7C10" w:rsidR="00B32F5D" w:rsidRPr="00F5562F" w:rsidRDefault="00B32F5D" w:rsidP="00641A4C">
      <w:r w:rsidRPr="00F5562F">
        <w:t>La bande de fréquences</w:t>
      </w:r>
      <w:r w:rsidR="00D021A8" w:rsidRPr="00F5562F">
        <w:t> </w:t>
      </w:r>
      <w:r w:rsidRPr="00F5562F">
        <w:t>6</w:t>
      </w:r>
      <w:r w:rsidR="00D021A8" w:rsidRPr="00F5562F">
        <w:t> </w:t>
      </w:r>
      <w:r w:rsidRPr="00F5562F">
        <w:t>425</w:t>
      </w:r>
      <w:r w:rsidR="00D021A8" w:rsidRPr="00F5562F">
        <w:noBreakHyphen/>
      </w:r>
      <w:r w:rsidRPr="00F5562F">
        <w:t>7</w:t>
      </w:r>
      <w:r w:rsidR="00D021A8" w:rsidRPr="00F5562F">
        <w:t> </w:t>
      </w:r>
      <w:r w:rsidRPr="00F5562F">
        <w:t>125</w:t>
      </w:r>
      <w:r w:rsidR="00D021A8" w:rsidRPr="00F5562F">
        <w:t> </w:t>
      </w:r>
      <w:r w:rsidRPr="00F5562F">
        <w:t xml:space="preserve">MHz est déjà attribuée au service mobile à titre primaire. En tant qu'attribution à un service </w:t>
      </w:r>
      <w:r w:rsidR="00841DD9" w:rsidRPr="00F5562F">
        <w:t>générique</w:t>
      </w:r>
      <w:r w:rsidR="00841DD9" w:rsidRPr="00F5562F">
        <w:rPr>
          <w:rStyle w:val="FootnoteReference"/>
        </w:rPr>
        <w:footnoteReference w:id="3"/>
      </w:r>
      <w:r w:rsidRPr="00F5562F">
        <w:t xml:space="preserve">, elle offre aux administrations la souplesse nécessaire pour utiliser divers systèmes mobiles et </w:t>
      </w:r>
      <w:r w:rsidR="00882C14" w:rsidRPr="00F5562F">
        <w:t xml:space="preserve">diverses </w:t>
      </w:r>
      <w:r w:rsidRPr="00F5562F">
        <w:t xml:space="preserve">applications du service mobile (par exemple, </w:t>
      </w:r>
      <w:r w:rsidR="00BF7438" w:rsidRPr="00F5562F">
        <w:t>des systèmes de reportages d'actualité électroniques et d'autres services de relais vidéo et des services auxiliaires, des systèmes</w:t>
      </w:r>
      <w:r w:rsidR="00D021A8" w:rsidRPr="00F5562F">
        <w:t> </w:t>
      </w:r>
      <w:r w:rsidR="00BF7438" w:rsidRPr="00F5562F">
        <w:t>IMT et</w:t>
      </w:r>
      <w:r w:rsidR="00D021A8" w:rsidRPr="00F5562F">
        <w:t> </w:t>
      </w:r>
      <w:r w:rsidR="00BF7438" w:rsidRPr="00F5562F">
        <w:t>R</w:t>
      </w:r>
      <w:r w:rsidR="00DA5914" w:rsidRPr="00F5562F">
        <w:t>L</w:t>
      </w:r>
      <w:r w:rsidR="00BF7438" w:rsidRPr="00F5562F">
        <w:t xml:space="preserve">AN), </w:t>
      </w:r>
      <w:r w:rsidRPr="00F5562F">
        <w:t xml:space="preserve">en fonction de leurs priorités et de leurs besoins </w:t>
      </w:r>
      <w:r w:rsidR="00AE769E" w:rsidRPr="00F5562F">
        <w:t>à l'échelle nationale.</w:t>
      </w:r>
    </w:p>
    <w:p w14:paraId="5C9135A7" w14:textId="626DB63C" w:rsidR="00AE769E" w:rsidRPr="00F5562F" w:rsidRDefault="00AE769E" w:rsidP="00641A4C">
      <w:r w:rsidRPr="00F5562F">
        <w:t xml:space="preserve">La </w:t>
      </w:r>
      <w:r w:rsidR="006C25AB" w:rsidRPr="00F5562F">
        <w:t>gamme</w:t>
      </w:r>
      <w:r w:rsidRPr="00F5562F">
        <w:t xml:space="preserve"> de fréquences</w:t>
      </w:r>
      <w:r w:rsidR="00D021A8" w:rsidRPr="00F5562F">
        <w:t> </w:t>
      </w:r>
      <w:r w:rsidRPr="00F5562F">
        <w:t>6</w:t>
      </w:r>
      <w:r w:rsidR="00D021A8" w:rsidRPr="00F5562F">
        <w:t> </w:t>
      </w:r>
      <w:r w:rsidRPr="00F5562F">
        <w:t>425</w:t>
      </w:r>
      <w:r w:rsidR="00D021A8" w:rsidRPr="00F5562F">
        <w:noBreakHyphen/>
      </w:r>
      <w:r w:rsidRPr="00F5562F">
        <w:t>7</w:t>
      </w:r>
      <w:r w:rsidR="00D021A8" w:rsidRPr="00F5562F">
        <w:t> </w:t>
      </w:r>
      <w:r w:rsidRPr="00F5562F">
        <w:t>125</w:t>
      </w:r>
      <w:r w:rsidR="00D021A8" w:rsidRPr="00F5562F">
        <w:t> </w:t>
      </w:r>
      <w:r w:rsidRPr="00F5562F">
        <w:t>MHz est attribuée au service fixe par satellite (SFS) (6</w:t>
      </w:r>
      <w:r w:rsidR="00D021A8" w:rsidRPr="00F5562F">
        <w:t> </w:t>
      </w:r>
      <w:r w:rsidRPr="00F5562F">
        <w:t>425</w:t>
      </w:r>
      <w:r w:rsidR="00D021A8" w:rsidRPr="00F5562F">
        <w:noBreakHyphen/>
      </w:r>
      <w:r w:rsidRPr="00F5562F">
        <w:t>7</w:t>
      </w:r>
      <w:r w:rsidR="00D021A8" w:rsidRPr="00F5562F">
        <w:t> </w:t>
      </w:r>
      <w:r w:rsidRPr="00F5562F">
        <w:t>075</w:t>
      </w:r>
      <w:r w:rsidR="00D021A8" w:rsidRPr="00F5562F">
        <w:t> </w:t>
      </w:r>
      <w:r w:rsidRPr="00F5562F">
        <w:t>MHz)</w:t>
      </w:r>
      <w:r w:rsidR="00850928" w:rsidRPr="00F5562F">
        <w:t xml:space="preserve"> et </w:t>
      </w:r>
      <w:r w:rsidRPr="00F5562F">
        <w:t>aux services fixe et mobile</w:t>
      </w:r>
      <w:r w:rsidR="00850928" w:rsidRPr="00F5562F">
        <w:t>,</w:t>
      </w:r>
      <w:r w:rsidRPr="00F5562F">
        <w:t xml:space="preserve"> et des parties de cette bande de fréquences sont utilisées pour la télémesure mobile aéronautique (AMT) dans la Région</w:t>
      </w:r>
      <w:r w:rsidR="00D021A8" w:rsidRPr="00F5562F">
        <w:t> </w:t>
      </w:r>
      <w:r w:rsidRPr="00F5562F">
        <w:t>2 (numéro</w:t>
      </w:r>
      <w:r w:rsidR="00D021A8" w:rsidRPr="00F5562F">
        <w:t> </w:t>
      </w:r>
      <w:r w:rsidRPr="00F5562F">
        <w:rPr>
          <w:b/>
          <w:bCs/>
        </w:rPr>
        <w:t>5.457C</w:t>
      </w:r>
      <w:r w:rsidRPr="00F5562F">
        <w:t xml:space="preserve"> du</w:t>
      </w:r>
      <w:r w:rsidR="00D021A8" w:rsidRPr="00F5562F">
        <w:t> </w:t>
      </w:r>
      <w:r w:rsidRPr="00F5562F">
        <w:t xml:space="preserve">RR). Les services fixes comprennent les liaisons hyperfréquences </w:t>
      </w:r>
      <w:r w:rsidR="006C0D42" w:rsidRPr="00F5562F">
        <w:t>essentielles</w:t>
      </w:r>
      <w:r w:rsidRPr="00F5562F">
        <w:t xml:space="preserve"> déployées par les </w:t>
      </w:r>
      <w:r w:rsidR="00BB5B9F" w:rsidRPr="00F5562F">
        <w:t xml:space="preserve">services de sécurité publique, les services publics, les liaisons ferroviaires et </w:t>
      </w:r>
      <w:r w:rsidRPr="00F5562F">
        <w:t>les liaisons de raccordement</w:t>
      </w:r>
      <w:r w:rsidR="00D021A8" w:rsidRPr="00F5562F">
        <w:t> </w:t>
      </w:r>
      <w:r w:rsidRPr="00F5562F">
        <w:t>IMT</w:t>
      </w:r>
      <w:r w:rsidR="00BB5B9F" w:rsidRPr="00F5562F">
        <w:t xml:space="preserve"> pour les opérateurs de télécommunication</w:t>
      </w:r>
      <w:r w:rsidRPr="00F5562F">
        <w:t>. L</w:t>
      </w:r>
      <w:r w:rsidR="00BB5B9F" w:rsidRPr="00F5562F">
        <w:t>'</w:t>
      </w:r>
      <w:r w:rsidRPr="00F5562F">
        <w:t>attribution au</w:t>
      </w:r>
      <w:r w:rsidR="00D021A8" w:rsidRPr="00F5562F">
        <w:t> </w:t>
      </w:r>
      <w:r w:rsidRPr="00F5562F">
        <w:t xml:space="preserve">SFS </w:t>
      </w:r>
      <w:r w:rsidR="00BB5B9F" w:rsidRPr="00F5562F">
        <w:t xml:space="preserve">(espace vers Terre) </w:t>
      </w:r>
      <w:r w:rsidRPr="00F5562F">
        <w:t>dans la bande</w:t>
      </w:r>
      <w:r w:rsidR="00BB5B9F" w:rsidRPr="00F5562F">
        <w:t xml:space="preserve"> de fréquences</w:t>
      </w:r>
      <w:r w:rsidR="00D021A8" w:rsidRPr="00F5562F">
        <w:t> </w:t>
      </w:r>
      <w:r w:rsidRPr="00F5562F">
        <w:t>6</w:t>
      </w:r>
      <w:r w:rsidR="00D021A8" w:rsidRPr="00F5562F">
        <w:t> </w:t>
      </w:r>
      <w:r w:rsidRPr="00F5562F">
        <w:t>700</w:t>
      </w:r>
      <w:r w:rsidR="00D021A8" w:rsidRPr="00F5562F">
        <w:noBreakHyphen/>
      </w:r>
      <w:r w:rsidRPr="00F5562F">
        <w:t>7</w:t>
      </w:r>
      <w:r w:rsidR="00D021A8" w:rsidRPr="00F5562F">
        <w:t> </w:t>
      </w:r>
      <w:r w:rsidRPr="00F5562F">
        <w:t>075</w:t>
      </w:r>
      <w:r w:rsidR="00D021A8" w:rsidRPr="00F5562F">
        <w:t> </w:t>
      </w:r>
      <w:r w:rsidRPr="00F5562F">
        <w:t>MHz est limitée aux liaisons de connexion des systèmes à satellites non géostationnaires du service mobile par satellite.</w:t>
      </w:r>
    </w:p>
    <w:p w14:paraId="357B368B" w14:textId="1EC927F4" w:rsidR="00F65EB7" w:rsidRPr="00F5562F" w:rsidRDefault="00F65EB7" w:rsidP="00641A4C">
      <w:r w:rsidRPr="00F5562F">
        <w:t>En ce qui concerne l'utilisation de la bande de fréquences par le</w:t>
      </w:r>
      <w:r w:rsidR="00D021A8" w:rsidRPr="00F5562F">
        <w:t> </w:t>
      </w:r>
      <w:r w:rsidRPr="00F5562F">
        <w:t>SFS:</w:t>
      </w:r>
    </w:p>
    <w:p w14:paraId="4A499F8F" w14:textId="5BE4FD32" w:rsidR="00F65EB7" w:rsidRPr="00F5562F" w:rsidRDefault="00F65EB7" w:rsidP="00F65EB7">
      <w:pPr>
        <w:pStyle w:val="enumlev1"/>
      </w:pPr>
      <w:r w:rsidRPr="00F5562F">
        <w:t>–</w:t>
      </w:r>
      <w:r w:rsidRPr="00F5562F">
        <w:tab/>
      </w:r>
      <w:r w:rsidR="003E51F1" w:rsidRPr="00F5562F">
        <w:t>B</w:t>
      </w:r>
      <w:r w:rsidRPr="00F5562F">
        <w:t>ande de fréquences</w:t>
      </w:r>
      <w:r w:rsidR="00D021A8" w:rsidRPr="00F5562F">
        <w:t> </w:t>
      </w:r>
      <w:r w:rsidRPr="00F5562F">
        <w:t>6</w:t>
      </w:r>
      <w:r w:rsidR="00D021A8" w:rsidRPr="00F5562F">
        <w:t> </w:t>
      </w:r>
      <w:r w:rsidRPr="00F5562F">
        <w:t>425</w:t>
      </w:r>
      <w:r w:rsidR="00D021A8" w:rsidRPr="00F5562F">
        <w:noBreakHyphen/>
      </w:r>
      <w:r w:rsidRPr="00F5562F">
        <w:t>7</w:t>
      </w:r>
      <w:r w:rsidR="00D021A8" w:rsidRPr="00F5562F">
        <w:t> </w:t>
      </w:r>
      <w:r w:rsidRPr="00F5562F">
        <w:t>075</w:t>
      </w:r>
      <w:r w:rsidR="00D021A8" w:rsidRPr="00F5562F">
        <w:t> </w:t>
      </w:r>
      <w:r w:rsidRPr="00F5562F">
        <w:t>MHz</w:t>
      </w:r>
      <w:r w:rsidR="009C7751" w:rsidRPr="00F5562F">
        <w:t>:</w:t>
      </w:r>
      <w:r w:rsidRPr="00F5562F">
        <w:t xml:space="preserve"> </w:t>
      </w:r>
      <w:r w:rsidR="00DD76A7" w:rsidRPr="00F5562F">
        <w:t>attribuée à l'échelle mondiale au</w:t>
      </w:r>
      <w:r w:rsidR="00D021A8" w:rsidRPr="00F5562F">
        <w:t> </w:t>
      </w:r>
      <w:r w:rsidR="00DD76A7" w:rsidRPr="00F5562F">
        <w:t>SF</w:t>
      </w:r>
      <w:r w:rsidRPr="00F5562F">
        <w:t>S</w:t>
      </w:r>
      <w:r w:rsidR="00353B17" w:rsidRPr="00F5562F">
        <w:t>:</w:t>
      </w:r>
    </w:p>
    <w:p w14:paraId="057AFBF5" w14:textId="32F0DF9A" w:rsidR="00F65EB7" w:rsidRPr="00F5562F" w:rsidRDefault="00F65EB7" w:rsidP="00F65EB7">
      <w:pPr>
        <w:pStyle w:val="enumlev2"/>
      </w:pPr>
      <w:r w:rsidRPr="00F5562F">
        <w:t>•</w:t>
      </w:r>
      <w:r w:rsidRPr="00F5562F">
        <w:tab/>
      </w:r>
      <w:r w:rsidR="003E51F1" w:rsidRPr="00F5562F">
        <w:t>B</w:t>
      </w:r>
      <w:r w:rsidR="00DD76A7" w:rsidRPr="00F5562F">
        <w:t>ande de fréquences</w:t>
      </w:r>
      <w:r w:rsidR="00D021A8" w:rsidRPr="00F5562F">
        <w:t> </w:t>
      </w:r>
      <w:r w:rsidRPr="00F5562F">
        <w:t>6</w:t>
      </w:r>
      <w:r w:rsidR="00D021A8" w:rsidRPr="00F5562F">
        <w:t> </w:t>
      </w:r>
      <w:r w:rsidRPr="00F5562F">
        <w:t>425</w:t>
      </w:r>
      <w:r w:rsidR="00D021A8" w:rsidRPr="00F5562F">
        <w:noBreakHyphen/>
      </w:r>
      <w:r w:rsidRPr="00F5562F">
        <w:t>6</w:t>
      </w:r>
      <w:r w:rsidR="00D021A8" w:rsidRPr="00F5562F">
        <w:t> </w:t>
      </w:r>
      <w:r w:rsidRPr="00F5562F">
        <w:t>725</w:t>
      </w:r>
      <w:r w:rsidR="00D021A8" w:rsidRPr="00F5562F">
        <w:t> </w:t>
      </w:r>
      <w:r w:rsidRPr="00F5562F">
        <w:t xml:space="preserve">MHz: </w:t>
      </w:r>
      <w:r w:rsidR="00CA0104" w:rsidRPr="00F5562F">
        <w:t>attribuée au</w:t>
      </w:r>
      <w:r w:rsidR="00D021A8" w:rsidRPr="00F5562F">
        <w:t> </w:t>
      </w:r>
      <w:r w:rsidR="00CA0104" w:rsidRPr="00F5562F">
        <w:t>SFS (Terre vers espace) dans toutes les Régions.</w:t>
      </w:r>
    </w:p>
    <w:p w14:paraId="5A2092A9" w14:textId="346544B9" w:rsidR="00F65EB7" w:rsidRPr="00F5562F" w:rsidRDefault="00F65EB7" w:rsidP="00353B17">
      <w:pPr>
        <w:pStyle w:val="enumlev2"/>
        <w:keepLines/>
      </w:pPr>
      <w:r w:rsidRPr="00F5562F">
        <w:lastRenderedPageBreak/>
        <w:t>•</w:t>
      </w:r>
      <w:r w:rsidRPr="00F5562F">
        <w:tab/>
      </w:r>
      <w:r w:rsidR="003E51F1" w:rsidRPr="00F5562F">
        <w:t>B</w:t>
      </w:r>
      <w:r w:rsidR="00DD76A7" w:rsidRPr="00F5562F">
        <w:t>ande de fréquences</w:t>
      </w:r>
      <w:r w:rsidR="00D021A8" w:rsidRPr="00F5562F">
        <w:t> </w:t>
      </w:r>
      <w:r w:rsidRPr="00F5562F">
        <w:t>6</w:t>
      </w:r>
      <w:r w:rsidR="00D021A8" w:rsidRPr="00F5562F">
        <w:t> </w:t>
      </w:r>
      <w:r w:rsidRPr="00F5562F">
        <w:t>725</w:t>
      </w:r>
      <w:r w:rsidR="00D021A8" w:rsidRPr="00F5562F">
        <w:noBreakHyphen/>
      </w:r>
      <w:r w:rsidRPr="00F5562F">
        <w:t>7</w:t>
      </w:r>
      <w:r w:rsidR="00D021A8" w:rsidRPr="00F5562F">
        <w:t> </w:t>
      </w:r>
      <w:r w:rsidRPr="00F5562F">
        <w:t>025</w:t>
      </w:r>
      <w:r w:rsidR="00D021A8" w:rsidRPr="00F5562F">
        <w:t> </w:t>
      </w:r>
      <w:r w:rsidRPr="00F5562F">
        <w:t xml:space="preserve">MHz: </w:t>
      </w:r>
      <w:r w:rsidR="00865552" w:rsidRPr="00F5562F">
        <w:t>attribuée au</w:t>
      </w:r>
      <w:r w:rsidR="00D021A8" w:rsidRPr="00F5562F">
        <w:t> </w:t>
      </w:r>
      <w:r w:rsidR="00865552" w:rsidRPr="00F5562F">
        <w:t xml:space="preserve">SFS (Terre vers </w:t>
      </w:r>
      <w:r w:rsidR="009A2B8D" w:rsidRPr="00F5562F">
        <w:t>e</w:t>
      </w:r>
      <w:r w:rsidR="00865552" w:rsidRPr="00F5562F">
        <w:t>space)</w:t>
      </w:r>
      <w:r w:rsidR="003E51F1" w:rsidRPr="00F5562F">
        <w:t xml:space="preserve"> et assujettie au</w:t>
      </w:r>
      <w:r w:rsidR="009A2B8D" w:rsidRPr="00F5562F">
        <w:t>x dispositions de l'Appendice</w:t>
      </w:r>
      <w:r w:rsidR="00D021A8" w:rsidRPr="00F5562F">
        <w:t> </w:t>
      </w:r>
      <w:r w:rsidRPr="00F5562F">
        <w:rPr>
          <w:b/>
          <w:bCs/>
        </w:rPr>
        <w:t>30B</w:t>
      </w:r>
      <w:r w:rsidRPr="00F5562F">
        <w:t xml:space="preserve"> (</w:t>
      </w:r>
      <w:r w:rsidR="00A26D5C" w:rsidRPr="00F5562F">
        <w:t>numéro</w:t>
      </w:r>
      <w:r w:rsidR="00D021A8" w:rsidRPr="00F5562F">
        <w:t> </w:t>
      </w:r>
      <w:r w:rsidRPr="00F5562F">
        <w:rPr>
          <w:b/>
          <w:bCs/>
        </w:rPr>
        <w:t>5.441</w:t>
      </w:r>
      <w:r w:rsidRPr="00F5562F">
        <w:t xml:space="preserve">). </w:t>
      </w:r>
      <w:r w:rsidR="00B908C7" w:rsidRPr="00F5562F">
        <w:t>L'allotissement pour le</w:t>
      </w:r>
      <w:r w:rsidR="00D021A8" w:rsidRPr="00F5562F">
        <w:t> </w:t>
      </w:r>
      <w:r w:rsidR="00B908C7" w:rsidRPr="00F5562F">
        <w:t>SFS dans la bande de fréquences</w:t>
      </w:r>
      <w:r w:rsidR="00D021A8" w:rsidRPr="00F5562F">
        <w:t> </w:t>
      </w:r>
      <w:r w:rsidRPr="00F5562F">
        <w:t>6</w:t>
      </w:r>
      <w:r w:rsidR="00D021A8" w:rsidRPr="00F5562F">
        <w:t> </w:t>
      </w:r>
      <w:r w:rsidRPr="00F5562F">
        <w:t>725</w:t>
      </w:r>
      <w:r w:rsidR="00D021A8" w:rsidRPr="00F5562F">
        <w:noBreakHyphen/>
      </w:r>
      <w:r w:rsidRPr="00F5562F">
        <w:t xml:space="preserve">7 025 MHz </w:t>
      </w:r>
      <w:r w:rsidR="000A21A7" w:rsidRPr="00F5562F">
        <w:t>est particulièrement important pour les pays en développement.</w:t>
      </w:r>
    </w:p>
    <w:p w14:paraId="2EA74120" w14:textId="025D379C" w:rsidR="00F65EB7" w:rsidRPr="00F5562F" w:rsidRDefault="00F65EB7" w:rsidP="00F65EB7">
      <w:pPr>
        <w:pStyle w:val="enumlev2"/>
      </w:pPr>
      <w:r w:rsidRPr="00F5562F">
        <w:t>•</w:t>
      </w:r>
      <w:r w:rsidRPr="00F5562F">
        <w:tab/>
      </w:r>
      <w:r w:rsidR="00961642" w:rsidRPr="00F5562F">
        <w:t>B</w:t>
      </w:r>
      <w:r w:rsidR="00DD76A7" w:rsidRPr="00F5562F">
        <w:t>ande de fréquences</w:t>
      </w:r>
      <w:r w:rsidR="00D021A8" w:rsidRPr="00F5562F">
        <w:t> </w:t>
      </w:r>
      <w:r w:rsidRPr="00F5562F">
        <w:t>6</w:t>
      </w:r>
      <w:r w:rsidR="00D021A8" w:rsidRPr="00F5562F">
        <w:t> </w:t>
      </w:r>
      <w:r w:rsidRPr="00F5562F">
        <w:t>700</w:t>
      </w:r>
      <w:r w:rsidR="00D021A8" w:rsidRPr="00F5562F">
        <w:noBreakHyphen/>
      </w:r>
      <w:r w:rsidRPr="00F5562F">
        <w:t>7</w:t>
      </w:r>
      <w:r w:rsidR="00D021A8" w:rsidRPr="00F5562F">
        <w:t> </w:t>
      </w:r>
      <w:r w:rsidRPr="00F5562F">
        <w:t>075</w:t>
      </w:r>
      <w:r w:rsidR="00D021A8" w:rsidRPr="00F5562F">
        <w:t> </w:t>
      </w:r>
      <w:r w:rsidRPr="00F5562F">
        <w:t xml:space="preserve">MHz: </w:t>
      </w:r>
      <w:r w:rsidR="00881957" w:rsidRPr="00F5562F">
        <w:t>attribuée au</w:t>
      </w:r>
      <w:r w:rsidR="00D021A8" w:rsidRPr="00F5562F">
        <w:t> </w:t>
      </w:r>
      <w:r w:rsidR="00881957" w:rsidRPr="00F5562F">
        <w:t>SFS (espace vers Terre), limitée au</w:t>
      </w:r>
      <w:r w:rsidR="00CB37F1" w:rsidRPr="00F5562F">
        <w:t>x</w:t>
      </w:r>
      <w:r w:rsidR="00881957" w:rsidRPr="00F5562F">
        <w:t xml:space="preserve"> liaisons de connexion pour les systèmes à satellites non géostationnaires du service mobile par satellite et </w:t>
      </w:r>
      <w:r w:rsidR="00D021A8" w:rsidRPr="00F5562F">
        <w:t>assujettie</w:t>
      </w:r>
      <w:r w:rsidR="00881957" w:rsidRPr="00F5562F">
        <w:t xml:space="preserve"> à la coordination au titre du numéro</w:t>
      </w:r>
      <w:r w:rsidR="00D021A8" w:rsidRPr="00F5562F">
        <w:t> </w:t>
      </w:r>
      <w:r w:rsidRPr="00F5562F">
        <w:rPr>
          <w:b/>
          <w:bCs/>
        </w:rPr>
        <w:t>9.11A</w:t>
      </w:r>
      <w:r w:rsidRPr="00F5562F">
        <w:t xml:space="preserve"> (</w:t>
      </w:r>
      <w:r w:rsidR="00BB6327" w:rsidRPr="00F5562F">
        <w:t>numéro</w:t>
      </w:r>
      <w:r w:rsidR="00D021A8" w:rsidRPr="00F5562F">
        <w:t> </w:t>
      </w:r>
      <w:r w:rsidRPr="00F5562F">
        <w:rPr>
          <w:b/>
          <w:bCs/>
        </w:rPr>
        <w:t>5.458B</w:t>
      </w:r>
      <w:r w:rsidRPr="00F5562F">
        <w:t>).</w:t>
      </w:r>
    </w:p>
    <w:p w14:paraId="3A47C127" w14:textId="07C8B84B" w:rsidR="00F65EB7" w:rsidRPr="00F5562F" w:rsidRDefault="00F65EB7" w:rsidP="000007DA">
      <w:pPr>
        <w:pStyle w:val="enumlev1"/>
      </w:pPr>
      <w:r w:rsidRPr="00F5562F">
        <w:t>–</w:t>
      </w:r>
      <w:r w:rsidRPr="00F5562F">
        <w:tab/>
      </w:r>
      <w:r w:rsidR="00961642" w:rsidRPr="00F5562F">
        <w:t>B</w:t>
      </w:r>
      <w:r w:rsidR="00DD76A7" w:rsidRPr="00F5562F">
        <w:t>ande de fréquences</w:t>
      </w:r>
      <w:r w:rsidR="00D021A8" w:rsidRPr="00F5562F">
        <w:t> </w:t>
      </w:r>
      <w:r w:rsidRPr="00F5562F">
        <w:t>7</w:t>
      </w:r>
      <w:r w:rsidR="00D021A8" w:rsidRPr="00F5562F">
        <w:t> </w:t>
      </w:r>
      <w:r w:rsidRPr="00F5562F">
        <w:t>025</w:t>
      </w:r>
      <w:r w:rsidR="00D021A8" w:rsidRPr="00F5562F">
        <w:noBreakHyphen/>
      </w:r>
      <w:r w:rsidRPr="00F5562F">
        <w:t>7</w:t>
      </w:r>
      <w:r w:rsidR="00D021A8" w:rsidRPr="00F5562F">
        <w:t> </w:t>
      </w:r>
      <w:r w:rsidRPr="00F5562F">
        <w:t>075</w:t>
      </w:r>
      <w:r w:rsidR="00D021A8" w:rsidRPr="00F5562F">
        <w:t> </w:t>
      </w:r>
      <w:r w:rsidRPr="00F5562F">
        <w:t xml:space="preserve">MHz: </w:t>
      </w:r>
      <w:r w:rsidR="00BB6327" w:rsidRPr="00F5562F">
        <w:t>attribuée au service de radiodiffusion audionumérique par satellite pour les liaisons de connexion</w:t>
      </w:r>
      <w:r w:rsidR="00D021A8" w:rsidRPr="00F5562F">
        <w:t> </w:t>
      </w:r>
      <w:r w:rsidR="00BB6327" w:rsidRPr="00F5562F">
        <w:t>GEO dans le sens Terre vers espace, afin de fournir des programmes audio aux abonnés des États-Unis, du Canada et des Caraïbes.</w:t>
      </w:r>
    </w:p>
    <w:p w14:paraId="4418BC09" w14:textId="46B9EF67" w:rsidR="00D214DD" w:rsidRPr="00F5562F" w:rsidRDefault="00D214DD" w:rsidP="00D214DD">
      <w:r w:rsidRPr="00F5562F">
        <w:t>En</w:t>
      </w:r>
      <w:r w:rsidR="00D021A8" w:rsidRPr="00F5562F">
        <w:t> </w:t>
      </w:r>
      <w:r w:rsidRPr="00F5562F">
        <w:t>2020, les États-Unis ont mis à disposition</w:t>
      </w:r>
      <w:r w:rsidR="00D021A8" w:rsidRPr="00F5562F">
        <w:t> </w:t>
      </w:r>
      <w:r w:rsidRPr="00F5562F">
        <w:t>1</w:t>
      </w:r>
      <w:r w:rsidR="00D021A8" w:rsidRPr="00F5562F">
        <w:t> </w:t>
      </w:r>
      <w:r w:rsidRPr="00F5562F">
        <w:t>200</w:t>
      </w:r>
      <w:r w:rsidR="00D021A8" w:rsidRPr="00F5562F">
        <w:t> </w:t>
      </w:r>
      <w:r w:rsidRPr="00F5562F">
        <w:t>mégahertz de spectre pour une utilisation sans licence dans la bande de fréquences</w:t>
      </w:r>
      <w:r w:rsidR="00D021A8" w:rsidRPr="00F5562F">
        <w:t> </w:t>
      </w:r>
      <w:r w:rsidRPr="00F5562F">
        <w:t>5</w:t>
      </w:r>
      <w:r w:rsidR="00D021A8" w:rsidRPr="00F5562F">
        <w:t> </w:t>
      </w:r>
      <w:r w:rsidRPr="00F5562F">
        <w:t>925</w:t>
      </w:r>
      <w:r w:rsidR="00D021A8" w:rsidRPr="00F5562F">
        <w:noBreakHyphen/>
      </w:r>
      <w:r w:rsidRPr="00F5562F">
        <w:t>7</w:t>
      </w:r>
      <w:r w:rsidR="00D021A8" w:rsidRPr="00F5562F">
        <w:t> </w:t>
      </w:r>
      <w:r w:rsidRPr="00F5562F">
        <w:t>125</w:t>
      </w:r>
      <w:r w:rsidR="00D021A8" w:rsidRPr="00F5562F">
        <w:t> </w:t>
      </w:r>
      <w:r w:rsidRPr="00F5562F">
        <w:t>MHz</w:t>
      </w:r>
      <w:r w:rsidR="00D911AB" w:rsidRPr="00F5562F">
        <w:t xml:space="preserve">, afin de </w:t>
      </w:r>
      <w:r w:rsidRPr="00F5562F">
        <w:t>permet</w:t>
      </w:r>
      <w:r w:rsidR="00D911AB" w:rsidRPr="00F5562F">
        <w:t>tre</w:t>
      </w:r>
      <w:r w:rsidRPr="00F5562F">
        <w:t xml:space="preserve"> aux dispositifs </w:t>
      </w:r>
      <w:r w:rsidR="004548BC" w:rsidRPr="00F5562F">
        <w:t>non soumis à</w:t>
      </w:r>
      <w:r w:rsidRPr="00F5562F">
        <w:t xml:space="preserve"> licence (par exemple</w:t>
      </w:r>
      <w:r w:rsidR="004548BC" w:rsidRPr="00F5562F">
        <w:t>, les dispositifs</w:t>
      </w:r>
      <w:r w:rsidRPr="00F5562F">
        <w:t xml:space="preserve"> Wi-Fi</w:t>
      </w:r>
      <w:r w:rsidR="00D021A8" w:rsidRPr="00F5562F">
        <w:t> </w:t>
      </w:r>
      <w:r w:rsidRPr="00F5562F">
        <w:t xml:space="preserve">6E, LAA, NR-U) de partager ce spectre avec les services existants, conformément à des règles soigneusement élaborées pour protéger les services </w:t>
      </w:r>
      <w:r w:rsidR="00B16033" w:rsidRPr="00F5562F">
        <w:t>titulaires d'une</w:t>
      </w:r>
      <w:r w:rsidRPr="00F5562F">
        <w:t xml:space="preserve"> licence et pour </w:t>
      </w:r>
      <w:r w:rsidR="00724537" w:rsidRPr="00F5562F">
        <w:t>permettre aux</w:t>
      </w:r>
      <w:r w:rsidR="008A645B" w:rsidRPr="00F5562F">
        <w:t xml:space="preserve"> services</w:t>
      </w:r>
      <w:r w:rsidRPr="00F5562F">
        <w:t xml:space="preserve"> sans licence et sous licence </w:t>
      </w:r>
      <w:r w:rsidR="00724537" w:rsidRPr="00F5562F">
        <w:t>de</w:t>
      </w:r>
      <w:r w:rsidR="00536706" w:rsidRPr="00F5562F">
        <w:t xml:space="preserve"> continuer de</w:t>
      </w:r>
      <w:r w:rsidR="00724537" w:rsidRPr="00F5562F">
        <w:t xml:space="preserve"> fonctionner de manière harmonieuse </w:t>
      </w:r>
      <w:r w:rsidRPr="00F5562F">
        <w:t>dans</w:t>
      </w:r>
      <w:r w:rsidR="00AA088C" w:rsidRPr="00F5562F">
        <w:t xml:space="preserve"> la totalité de</w:t>
      </w:r>
      <w:r w:rsidRPr="00F5562F">
        <w:t xml:space="preserve"> </w:t>
      </w:r>
      <w:r w:rsidR="009B2A66" w:rsidRPr="00F5562F">
        <w:t>la bande de fréquences</w:t>
      </w:r>
      <w:r w:rsidRPr="00F5562F">
        <w:t>. Un certain nombre de pays, dont neuf administrations de la</w:t>
      </w:r>
      <w:r w:rsidR="00D021A8" w:rsidRPr="00F5562F">
        <w:t> </w:t>
      </w:r>
      <w:r w:rsidRPr="00F5562F">
        <w:t>CITEL, ont déjà décidé d'autoriser l'utilisation sans licence de la bande de fréquences</w:t>
      </w:r>
      <w:r w:rsidR="00D021A8" w:rsidRPr="00F5562F">
        <w:t> </w:t>
      </w:r>
      <w:r w:rsidRPr="00F5562F">
        <w:t>6</w:t>
      </w:r>
      <w:r w:rsidR="00D021A8" w:rsidRPr="00F5562F">
        <w:t> </w:t>
      </w:r>
      <w:r w:rsidRPr="00F5562F">
        <w:t>425</w:t>
      </w:r>
      <w:r w:rsidR="00D021A8" w:rsidRPr="00F5562F">
        <w:noBreakHyphen/>
      </w:r>
      <w:r w:rsidRPr="00F5562F">
        <w:t>7</w:t>
      </w:r>
      <w:r w:rsidR="00D021A8" w:rsidRPr="00F5562F">
        <w:t> </w:t>
      </w:r>
      <w:r w:rsidRPr="00F5562F">
        <w:t>125</w:t>
      </w:r>
      <w:r w:rsidR="00D021A8" w:rsidRPr="00F5562F">
        <w:t> </w:t>
      </w:r>
      <w:r w:rsidRPr="00F5562F">
        <w:t>MHz et d'autres envisagent une telle utilisation. L'harmonisation de la réglementation à l'échelle mondiale garantirait des économies d'échelle et</w:t>
      </w:r>
      <w:r w:rsidR="00A60B0A" w:rsidRPr="00F5562F">
        <w:t xml:space="preserve"> de portée,</w:t>
      </w:r>
      <w:r w:rsidRPr="00F5562F">
        <w:t xml:space="preserve"> </w:t>
      </w:r>
      <w:r w:rsidR="00A60B0A" w:rsidRPr="00F5562F">
        <w:t>en vue</w:t>
      </w:r>
      <w:r w:rsidRPr="00F5562F">
        <w:t xml:space="preserve"> de créer un écosystème commercialement viable pour les dispositifs non soumis à licence dans la bande</w:t>
      </w:r>
      <w:r w:rsidR="00A60B0A" w:rsidRPr="00F5562F">
        <w:t xml:space="preserve"> de fréquences</w:t>
      </w:r>
      <w:r w:rsidRPr="00F5562F">
        <w:t xml:space="preserve"> des</w:t>
      </w:r>
      <w:r w:rsidR="00D021A8" w:rsidRPr="00F5562F">
        <w:t> </w:t>
      </w:r>
      <w:r w:rsidRPr="00F5562F">
        <w:t>6</w:t>
      </w:r>
      <w:r w:rsidR="00D021A8" w:rsidRPr="00F5562F">
        <w:t> </w:t>
      </w:r>
      <w:r w:rsidRPr="00F5562F">
        <w:t>GHz. En outre, l'étude et l'examen de l'identification de</w:t>
      </w:r>
      <w:r w:rsidR="00CD7E8B" w:rsidRPr="00F5562F">
        <w:t xml:space="preserve"> la bande de</w:t>
      </w:r>
      <w:r w:rsidRPr="00F5562F">
        <w:t xml:space="preserve"> fréquences</w:t>
      </w:r>
      <w:r w:rsidR="00D021A8" w:rsidRPr="00F5562F">
        <w:t> </w:t>
      </w:r>
      <w:r w:rsidRPr="00F5562F">
        <w:t>6</w:t>
      </w:r>
      <w:r w:rsidR="00D021A8" w:rsidRPr="00F5562F">
        <w:t> </w:t>
      </w:r>
      <w:r w:rsidRPr="00F5562F">
        <w:t>425</w:t>
      </w:r>
      <w:r w:rsidR="00D021A8" w:rsidRPr="00F5562F">
        <w:noBreakHyphen/>
      </w:r>
      <w:r w:rsidRPr="00F5562F">
        <w:t>7</w:t>
      </w:r>
      <w:r w:rsidR="00D021A8" w:rsidRPr="00F5562F">
        <w:t> </w:t>
      </w:r>
      <w:r w:rsidRPr="00F5562F">
        <w:t>025</w:t>
      </w:r>
      <w:r w:rsidR="00D021A8" w:rsidRPr="00F5562F">
        <w:t> </w:t>
      </w:r>
      <w:r w:rsidRPr="00F5562F">
        <w:t>MHz pour la composante de Terre des</w:t>
      </w:r>
      <w:r w:rsidR="00F61343" w:rsidRPr="00F5562F">
        <w:t> </w:t>
      </w:r>
      <w:r w:rsidRPr="00F5562F">
        <w:t>IMT en Région</w:t>
      </w:r>
      <w:r w:rsidR="00F61343" w:rsidRPr="00F5562F">
        <w:t> </w:t>
      </w:r>
      <w:r w:rsidRPr="00F5562F">
        <w:t>2 et en Région</w:t>
      </w:r>
      <w:r w:rsidR="00F61343" w:rsidRPr="00F5562F">
        <w:t> </w:t>
      </w:r>
      <w:r w:rsidRPr="00F5562F">
        <w:t>3 ne relèvent pas du point</w:t>
      </w:r>
      <w:r w:rsidR="00F61343" w:rsidRPr="00F5562F">
        <w:t> </w:t>
      </w:r>
      <w:r w:rsidRPr="00F5562F">
        <w:t>1.2 de l'ordre du jour de la</w:t>
      </w:r>
      <w:r w:rsidR="00F61343" w:rsidRPr="00F5562F">
        <w:t> </w:t>
      </w:r>
      <w:r w:rsidRPr="00F5562F">
        <w:t>CMR-23 et aucune modification ne sera donc apportée au Règlement des radiocommunications concernant ces fréquences pour ces Régions. En conséquence, la</w:t>
      </w:r>
      <w:r w:rsidR="00F61343" w:rsidRPr="00F5562F">
        <w:t> </w:t>
      </w:r>
      <w:r w:rsidRPr="00F5562F">
        <w:t xml:space="preserve">CITEL propose de n'apporter aucune modification au Règlement des radiocommunications </w:t>
      </w:r>
      <w:r w:rsidR="00810F25" w:rsidRPr="00F5562F">
        <w:t>en ce qui concerne la</w:t>
      </w:r>
      <w:r w:rsidRPr="00F5562F">
        <w:t xml:space="preserve"> bande</w:t>
      </w:r>
      <w:r w:rsidR="001F199D" w:rsidRPr="00F5562F">
        <w:t xml:space="preserve"> de fréquences</w:t>
      </w:r>
      <w:r w:rsidR="00F61343" w:rsidRPr="00F5562F">
        <w:t> </w:t>
      </w:r>
      <w:r w:rsidRPr="00F5562F">
        <w:t>6</w:t>
      </w:r>
      <w:r w:rsidR="00F61343" w:rsidRPr="00F5562F">
        <w:t> </w:t>
      </w:r>
      <w:r w:rsidRPr="00F5562F">
        <w:t>425</w:t>
      </w:r>
      <w:r w:rsidR="00F61343" w:rsidRPr="00F5562F">
        <w:noBreakHyphen/>
      </w:r>
      <w:r w:rsidRPr="00F5562F">
        <w:t>7</w:t>
      </w:r>
      <w:r w:rsidR="00F61343" w:rsidRPr="00F5562F">
        <w:t> </w:t>
      </w:r>
      <w:r w:rsidRPr="00F5562F">
        <w:t>125</w:t>
      </w:r>
      <w:r w:rsidR="00F61343" w:rsidRPr="00F5562F">
        <w:t> </w:t>
      </w:r>
      <w:r w:rsidRPr="00F5562F">
        <w:t>MHz</w:t>
      </w:r>
      <w:r w:rsidR="00600245" w:rsidRPr="00F5562F">
        <w:t>,</w:t>
      </w:r>
      <w:r w:rsidRPr="00F5562F">
        <w:t xml:space="preserve"> afin de favoriser </w:t>
      </w:r>
      <w:r w:rsidR="00600245" w:rsidRPr="00F5562F">
        <w:t xml:space="preserve">une </w:t>
      </w:r>
      <w:r w:rsidRPr="00F5562F">
        <w:t>utilisation souple de l'attribution au service mobile, y compris pour les</w:t>
      </w:r>
      <w:r w:rsidR="00600245" w:rsidRPr="00F5562F">
        <w:t xml:space="preserve"> réseaux</w:t>
      </w:r>
      <w:r w:rsidR="00F61343" w:rsidRPr="00F5562F">
        <w:t> </w:t>
      </w:r>
      <w:r w:rsidRPr="00F5562F">
        <w:t xml:space="preserve">RLAN, et </w:t>
      </w:r>
      <w:r w:rsidR="009C7751" w:rsidRPr="00F5562F">
        <w:t>est favorable à</w:t>
      </w:r>
      <w:r w:rsidRPr="00F5562F">
        <w:t xml:space="preserve"> la poursuite de l'harmonisation de la bande de</w:t>
      </w:r>
      <w:r w:rsidR="00600245" w:rsidRPr="00F5562F">
        <w:t xml:space="preserve"> de fréquences des</w:t>
      </w:r>
      <w:r w:rsidR="00F61343" w:rsidRPr="00F5562F">
        <w:t> </w:t>
      </w:r>
      <w:r w:rsidRPr="00F5562F">
        <w:t>6</w:t>
      </w:r>
      <w:r w:rsidR="00F61343" w:rsidRPr="00F5562F">
        <w:t> </w:t>
      </w:r>
      <w:r w:rsidRPr="00F5562F">
        <w:t xml:space="preserve">GHz pour les dispositifs </w:t>
      </w:r>
      <w:r w:rsidR="00600245" w:rsidRPr="00F5562F">
        <w:t xml:space="preserve">non soumis à </w:t>
      </w:r>
      <w:r w:rsidRPr="00F5562F">
        <w:t>licence.</w:t>
      </w:r>
    </w:p>
    <w:p w14:paraId="739E3C0A" w14:textId="721C55E9" w:rsidR="00A93D4E" w:rsidRPr="00F5562F" w:rsidRDefault="00A93D4E" w:rsidP="00353B17">
      <w:pPr>
        <w:pStyle w:val="Headingb"/>
      </w:pPr>
      <w:r w:rsidRPr="00F5562F">
        <w:t>Propositions</w:t>
      </w:r>
    </w:p>
    <w:p w14:paraId="06CAB400" w14:textId="04945CFB" w:rsidR="0015203F" w:rsidRPr="00F5562F" w:rsidRDefault="0015203F" w:rsidP="00641A4C">
      <w:pPr>
        <w:tabs>
          <w:tab w:val="clear" w:pos="1134"/>
          <w:tab w:val="clear" w:pos="1871"/>
          <w:tab w:val="clear" w:pos="2268"/>
        </w:tabs>
        <w:overflowPunct/>
        <w:autoSpaceDE/>
        <w:autoSpaceDN/>
        <w:adjustRightInd/>
        <w:spacing w:before="0"/>
        <w:textAlignment w:val="auto"/>
        <w:rPr>
          <w:b/>
          <w:bCs/>
        </w:rPr>
      </w:pPr>
      <w:r w:rsidRPr="00F5562F">
        <w:rPr>
          <w:b/>
          <w:bCs/>
        </w:rPr>
        <w:br w:type="page"/>
      </w:r>
    </w:p>
    <w:p w14:paraId="296828F0" w14:textId="77777777" w:rsidR="007F7725" w:rsidRPr="00F5562F" w:rsidRDefault="007F7725" w:rsidP="00F5562F">
      <w:pPr>
        <w:pStyle w:val="ArtNo"/>
      </w:pPr>
      <w:bookmarkStart w:id="3" w:name="_Toc455752914"/>
      <w:bookmarkStart w:id="4" w:name="_Toc455756153"/>
      <w:r w:rsidRPr="00F5562F">
        <w:lastRenderedPageBreak/>
        <w:t xml:space="preserve">ARTICLE </w:t>
      </w:r>
      <w:r w:rsidRPr="00F5562F">
        <w:rPr>
          <w:rStyle w:val="href"/>
        </w:rPr>
        <w:t>5</w:t>
      </w:r>
      <w:bookmarkEnd w:id="3"/>
      <w:bookmarkEnd w:id="4"/>
    </w:p>
    <w:p w14:paraId="1BF736DD" w14:textId="77777777" w:rsidR="007F7725" w:rsidRPr="00F5562F" w:rsidRDefault="007F7725" w:rsidP="00641A4C">
      <w:pPr>
        <w:pStyle w:val="Arttitle"/>
      </w:pPr>
      <w:bookmarkStart w:id="5" w:name="_Toc455752915"/>
      <w:bookmarkStart w:id="6" w:name="_Toc455756154"/>
      <w:r w:rsidRPr="00F5562F">
        <w:t>Attribution des bandes de fréquences</w:t>
      </w:r>
      <w:bookmarkEnd w:id="5"/>
      <w:bookmarkEnd w:id="6"/>
    </w:p>
    <w:p w14:paraId="76006E2F" w14:textId="77777777" w:rsidR="007F7725" w:rsidRPr="00F5562F" w:rsidRDefault="007F7725" w:rsidP="00641A4C">
      <w:pPr>
        <w:pStyle w:val="Section1"/>
        <w:keepNext/>
        <w:rPr>
          <w:b w:val="0"/>
          <w:color w:val="000000"/>
        </w:rPr>
      </w:pPr>
      <w:r w:rsidRPr="00F5562F">
        <w:t>Section IV – Tableau d'attribution des bandes de fréquences</w:t>
      </w:r>
      <w:r w:rsidRPr="00F5562F">
        <w:br/>
      </w:r>
      <w:r w:rsidRPr="00F5562F">
        <w:rPr>
          <w:b w:val="0"/>
          <w:bCs/>
        </w:rPr>
        <w:t xml:space="preserve">(Voir le numéro </w:t>
      </w:r>
      <w:r w:rsidRPr="00F5562F">
        <w:t>2.1</w:t>
      </w:r>
      <w:r w:rsidRPr="00F5562F">
        <w:rPr>
          <w:b w:val="0"/>
          <w:bCs/>
        </w:rPr>
        <w:t>)</w:t>
      </w:r>
      <w:r w:rsidRPr="00F5562F">
        <w:rPr>
          <w:b w:val="0"/>
          <w:color w:val="000000"/>
        </w:rPr>
        <w:br/>
      </w:r>
    </w:p>
    <w:p w14:paraId="0990003B" w14:textId="0B03DC5E" w:rsidR="009772E1" w:rsidRPr="00F5562F" w:rsidRDefault="007F7725" w:rsidP="00641A4C">
      <w:pPr>
        <w:pStyle w:val="Proposal"/>
      </w:pPr>
      <w:r w:rsidRPr="00F5562F">
        <w:rPr>
          <w:u w:val="single"/>
        </w:rPr>
        <w:t>NOC</w:t>
      </w:r>
      <w:r w:rsidRPr="00F5562F">
        <w:tab/>
        <w:t>IAP/44A2A3/1</w:t>
      </w:r>
      <w:r w:rsidR="00A93D4E" w:rsidRPr="00F5562F">
        <w:rPr>
          <w:vanish/>
          <w:color w:val="7F7F7F" w:themeColor="text1" w:themeTint="80"/>
          <w:vertAlign w:val="superscript"/>
        </w:rPr>
        <w:t>#1363</w:t>
      </w:r>
    </w:p>
    <w:p w14:paraId="74659459" w14:textId="77777777" w:rsidR="007F7725" w:rsidRPr="00F5562F" w:rsidRDefault="007F7725" w:rsidP="00F5562F">
      <w:pPr>
        <w:pStyle w:val="Tabletitle"/>
      </w:pPr>
      <w:r w:rsidRPr="00F5562F">
        <w:t>5 570-6 700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F5562F" w14:paraId="289BC10A" w14:textId="77777777" w:rsidTr="007F7725">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7F90E05" w14:textId="77777777" w:rsidR="007F7725" w:rsidRPr="00F5562F" w:rsidRDefault="007F7725" w:rsidP="00641A4C">
            <w:pPr>
              <w:pStyle w:val="Tablehead"/>
            </w:pPr>
            <w:r w:rsidRPr="00F5562F">
              <w:t>Attribution aux services</w:t>
            </w:r>
          </w:p>
        </w:tc>
      </w:tr>
      <w:tr w:rsidR="008D5FFA" w:rsidRPr="00F5562F" w14:paraId="79308C7A" w14:textId="77777777" w:rsidTr="007F7725">
        <w:trPr>
          <w:cantSplit/>
          <w:jc w:val="center"/>
        </w:trPr>
        <w:tc>
          <w:tcPr>
            <w:tcW w:w="3119" w:type="dxa"/>
            <w:tcBorders>
              <w:top w:val="single" w:sz="6" w:space="0" w:color="auto"/>
              <w:left w:val="single" w:sz="6" w:space="0" w:color="auto"/>
              <w:bottom w:val="single" w:sz="6" w:space="0" w:color="auto"/>
              <w:right w:val="single" w:sz="6" w:space="0" w:color="auto"/>
            </w:tcBorders>
          </w:tcPr>
          <w:p w14:paraId="7A4973C5" w14:textId="77777777" w:rsidR="007F7725" w:rsidRPr="00F5562F" w:rsidRDefault="007F7725" w:rsidP="00641A4C">
            <w:pPr>
              <w:pStyle w:val="Tablehead"/>
            </w:pPr>
            <w:r w:rsidRPr="00F5562F">
              <w:t>Région 1</w:t>
            </w:r>
          </w:p>
        </w:tc>
        <w:tc>
          <w:tcPr>
            <w:tcW w:w="3118" w:type="dxa"/>
            <w:tcBorders>
              <w:top w:val="single" w:sz="6" w:space="0" w:color="auto"/>
              <w:left w:val="single" w:sz="6" w:space="0" w:color="auto"/>
              <w:bottom w:val="single" w:sz="6" w:space="0" w:color="auto"/>
              <w:right w:val="single" w:sz="6" w:space="0" w:color="auto"/>
            </w:tcBorders>
          </w:tcPr>
          <w:p w14:paraId="6EEB5648" w14:textId="77777777" w:rsidR="007F7725" w:rsidRPr="00F5562F" w:rsidRDefault="007F7725" w:rsidP="00641A4C">
            <w:pPr>
              <w:pStyle w:val="Tablehead"/>
            </w:pPr>
            <w:r w:rsidRPr="00F5562F">
              <w:t>Région 2</w:t>
            </w:r>
          </w:p>
        </w:tc>
        <w:tc>
          <w:tcPr>
            <w:tcW w:w="3119" w:type="dxa"/>
            <w:tcBorders>
              <w:top w:val="single" w:sz="6" w:space="0" w:color="auto"/>
              <w:left w:val="single" w:sz="6" w:space="0" w:color="auto"/>
              <w:bottom w:val="single" w:sz="6" w:space="0" w:color="auto"/>
              <w:right w:val="single" w:sz="6" w:space="0" w:color="auto"/>
            </w:tcBorders>
          </w:tcPr>
          <w:p w14:paraId="555A02F6" w14:textId="77777777" w:rsidR="007F7725" w:rsidRPr="00F5562F" w:rsidRDefault="007F7725" w:rsidP="00641A4C">
            <w:pPr>
              <w:pStyle w:val="Tablehead"/>
            </w:pPr>
            <w:r w:rsidRPr="00F5562F">
              <w:t>Région 3</w:t>
            </w:r>
          </w:p>
        </w:tc>
      </w:tr>
      <w:tr w:rsidR="008D5FFA" w:rsidRPr="00F5562F" w14:paraId="2F472B19" w14:textId="77777777" w:rsidTr="007F77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Pr>
          <w:p w14:paraId="288BE2FE" w14:textId="77777777" w:rsidR="007F7725" w:rsidRPr="00F5562F" w:rsidRDefault="007F7725" w:rsidP="00641A4C">
            <w:pPr>
              <w:pStyle w:val="TableTextS5"/>
            </w:pPr>
            <w:r w:rsidRPr="00F5562F">
              <w:rPr>
                <w:rStyle w:val="Tablefreq"/>
              </w:rPr>
              <w:t>5 925-6 700</w:t>
            </w:r>
            <w:r w:rsidRPr="00F5562F">
              <w:tab/>
              <w:t xml:space="preserve">FIXE  </w:t>
            </w:r>
            <w:r w:rsidRPr="00F5562F">
              <w:rPr>
                <w:rStyle w:val="Artref"/>
              </w:rPr>
              <w:t>5.457</w:t>
            </w:r>
          </w:p>
          <w:p w14:paraId="198FE1B9" w14:textId="77777777" w:rsidR="007F7725" w:rsidRPr="00F5562F" w:rsidRDefault="007F7725" w:rsidP="00641A4C">
            <w:pPr>
              <w:pStyle w:val="TableTextS5"/>
            </w:pPr>
            <w:r w:rsidRPr="00F5562F">
              <w:tab/>
            </w:r>
            <w:r w:rsidRPr="00F5562F">
              <w:tab/>
            </w:r>
            <w:r w:rsidRPr="00F5562F">
              <w:tab/>
            </w:r>
            <w:r w:rsidRPr="00F5562F">
              <w:tab/>
              <w:t xml:space="preserve">FIXE PAR SATELLITE (Terre vers espace)  </w:t>
            </w:r>
            <w:r w:rsidRPr="00F5562F">
              <w:rPr>
                <w:rStyle w:val="Artref"/>
              </w:rPr>
              <w:t>5.457A  5.457B</w:t>
            </w:r>
          </w:p>
          <w:p w14:paraId="3FD33991" w14:textId="77777777" w:rsidR="007F7725" w:rsidRPr="00F5562F" w:rsidRDefault="007F7725" w:rsidP="00641A4C">
            <w:pPr>
              <w:pStyle w:val="TableTextS5"/>
            </w:pPr>
            <w:r w:rsidRPr="00F5562F">
              <w:tab/>
            </w:r>
            <w:r w:rsidRPr="00F5562F">
              <w:tab/>
            </w:r>
            <w:r w:rsidRPr="00F5562F">
              <w:tab/>
            </w:r>
            <w:r w:rsidRPr="00F5562F">
              <w:tab/>
              <w:t xml:space="preserve">MOBILE  </w:t>
            </w:r>
            <w:r w:rsidRPr="00F5562F">
              <w:rPr>
                <w:rStyle w:val="Artref"/>
              </w:rPr>
              <w:t>5.457C</w:t>
            </w:r>
          </w:p>
          <w:p w14:paraId="255454D5" w14:textId="77777777" w:rsidR="007F7725" w:rsidRPr="00F5562F" w:rsidRDefault="007F7725" w:rsidP="00641A4C">
            <w:pPr>
              <w:pStyle w:val="TableTextS5"/>
            </w:pPr>
            <w:r w:rsidRPr="00F5562F">
              <w:tab/>
            </w:r>
            <w:r w:rsidRPr="00F5562F">
              <w:tab/>
            </w:r>
            <w:r w:rsidRPr="00F5562F">
              <w:tab/>
            </w:r>
            <w:r w:rsidRPr="00F5562F">
              <w:tab/>
            </w:r>
            <w:r w:rsidRPr="00F5562F">
              <w:rPr>
                <w:rStyle w:val="Artref"/>
              </w:rPr>
              <w:t>5.149  5.440  5.458</w:t>
            </w:r>
          </w:p>
        </w:tc>
      </w:tr>
    </w:tbl>
    <w:p w14:paraId="584D2F01" w14:textId="2A830C0D" w:rsidR="009772E1" w:rsidRPr="00F5562F" w:rsidRDefault="007F7725" w:rsidP="00641A4C">
      <w:pPr>
        <w:pStyle w:val="Reasons"/>
      </w:pPr>
      <w:r w:rsidRPr="00F5562F">
        <w:rPr>
          <w:b/>
        </w:rPr>
        <w:t>Motifs:</w:t>
      </w:r>
      <w:r w:rsidRPr="00F5562F">
        <w:tab/>
      </w:r>
      <w:r w:rsidR="00961415" w:rsidRPr="00F5562F">
        <w:t>Il est proposé de n'apporter aucune modification au Tableau d'attribution des bandes de fréquences concernant la bande de fréquences</w:t>
      </w:r>
      <w:r w:rsidR="00F61343" w:rsidRPr="00F5562F">
        <w:t> </w:t>
      </w:r>
      <w:r w:rsidR="00961415" w:rsidRPr="00F5562F">
        <w:t>6</w:t>
      </w:r>
      <w:r w:rsidR="00F61343" w:rsidRPr="00F5562F">
        <w:t> </w:t>
      </w:r>
      <w:r w:rsidR="00961415" w:rsidRPr="00F5562F">
        <w:t>425</w:t>
      </w:r>
      <w:r w:rsidR="00F61343" w:rsidRPr="00F5562F">
        <w:noBreakHyphen/>
      </w:r>
      <w:r w:rsidR="00961415" w:rsidRPr="00F5562F">
        <w:t>7</w:t>
      </w:r>
      <w:r w:rsidR="00F61343" w:rsidRPr="00F5562F">
        <w:t> </w:t>
      </w:r>
      <w:r w:rsidR="00961415" w:rsidRPr="00F5562F">
        <w:t>125</w:t>
      </w:r>
      <w:r w:rsidR="00F61343" w:rsidRPr="00F5562F">
        <w:t> </w:t>
      </w:r>
      <w:r w:rsidR="00961415" w:rsidRPr="00F5562F">
        <w:t>MHz afin d'harmoniser l'utilisation sans licence de cette bande de fréquences</w:t>
      </w:r>
      <w:r w:rsidR="0070438E" w:rsidRPr="00F5562F">
        <w:t>. L</w:t>
      </w:r>
      <w:r w:rsidR="00A528AC" w:rsidRPr="00F5562F">
        <w:t>'</w:t>
      </w:r>
      <w:r w:rsidR="0070438E" w:rsidRPr="00F5562F">
        <w:t>harmonisation de la réglementation permettra de réaliser des économies d</w:t>
      </w:r>
      <w:r w:rsidR="00A528AC" w:rsidRPr="00F5562F">
        <w:t>'</w:t>
      </w:r>
      <w:r w:rsidR="0070438E" w:rsidRPr="00F5562F">
        <w:t>échelle</w:t>
      </w:r>
      <w:r w:rsidR="00BC6B3F" w:rsidRPr="00F5562F">
        <w:t xml:space="preserve"> et de portée,</w:t>
      </w:r>
      <w:r w:rsidR="0070438E" w:rsidRPr="00F5562F">
        <w:t xml:space="preserve"> et de </w:t>
      </w:r>
      <w:r w:rsidR="00EB5518" w:rsidRPr="00F5562F">
        <w:t>mettre en place</w:t>
      </w:r>
      <w:r w:rsidR="0070438E" w:rsidRPr="00F5562F">
        <w:t xml:space="preserve"> un marché des équipements robuste, qui profitera aux consommateurs et aux économies nationales dans le monde entier. Compte tenu de l</w:t>
      </w:r>
      <w:r w:rsidR="00A528AC" w:rsidRPr="00F5562F">
        <w:t>'</w:t>
      </w:r>
      <w:r w:rsidR="0070438E" w:rsidRPr="00F5562F">
        <w:t>attribution existante au service mobile, les administrations peuvent déployer et exploiter des systèmes et des applications du service mobile (par exemple</w:t>
      </w:r>
      <w:r w:rsidR="00BC6B3F" w:rsidRPr="00F5562F">
        <w:t>, des systèmes</w:t>
      </w:r>
      <w:r w:rsidR="00F61343" w:rsidRPr="00F5562F">
        <w:t> </w:t>
      </w:r>
      <w:r w:rsidR="0070438E" w:rsidRPr="00F5562F">
        <w:t>IMT ou</w:t>
      </w:r>
      <w:r w:rsidR="00F61343" w:rsidRPr="00F5562F">
        <w:t> </w:t>
      </w:r>
      <w:r w:rsidR="0070438E" w:rsidRPr="00F5562F">
        <w:t xml:space="preserve">RLAN) en fonction de leurs priorités et de leurs besoins </w:t>
      </w:r>
      <w:r w:rsidR="00B94C5B" w:rsidRPr="00F5562F">
        <w:t>à l'échelle nati</w:t>
      </w:r>
      <w:r w:rsidR="00691460" w:rsidRPr="00F5562F">
        <w:t>o</w:t>
      </w:r>
      <w:r w:rsidR="00B94C5B" w:rsidRPr="00F5562F">
        <w:t>nale</w:t>
      </w:r>
      <w:r w:rsidR="0070438E" w:rsidRPr="00F5562F">
        <w:t>, tout en assurant la protection des services existants.</w:t>
      </w:r>
    </w:p>
    <w:p w14:paraId="241119CC" w14:textId="4F749E39" w:rsidR="009772E1" w:rsidRPr="00F5562F" w:rsidRDefault="007F7725" w:rsidP="00641A4C">
      <w:pPr>
        <w:pStyle w:val="Proposal"/>
      </w:pPr>
      <w:r w:rsidRPr="00F5562F">
        <w:rPr>
          <w:u w:val="single"/>
        </w:rPr>
        <w:t>NOC</w:t>
      </w:r>
      <w:r w:rsidRPr="00F5562F">
        <w:tab/>
        <w:t>IAP/44A2A3/2</w:t>
      </w:r>
      <w:r w:rsidR="00A93D4E" w:rsidRPr="00F5562F">
        <w:rPr>
          <w:vanish/>
          <w:color w:val="7F7F7F" w:themeColor="text1" w:themeTint="80"/>
          <w:vertAlign w:val="superscript"/>
        </w:rPr>
        <w:t>#1372</w:t>
      </w:r>
    </w:p>
    <w:p w14:paraId="3F17782F" w14:textId="77777777" w:rsidR="007F7725" w:rsidRPr="00F5562F" w:rsidRDefault="007F7725" w:rsidP="00F5562F">
      <w:pPr>
        <w:pStyle w:val="Tabletitle"/>
      </w:pPr>
      <w:r w:rsidRPr="00F5562F">
        <w:t>6 700-7 250 MHz</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8D5FFA" w:rsidRPr="00F5562F" w14:paraId="479ACD76" w14:textId="77777777" w:rsidTr="007F7725">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26A6B16" w14:textId="77777777" w:rsidR="007F7725" w:rsidRPr="00F5562F" w:rsidRDefault="007F7725" w:rsidP="00641A4C">
            <w:pPr>
              <w:pStyle w:val="Tablehead"/>
            </w:pPr>
            <w:r w:rsidRPr="00F5562F">
              <w:t>Attribution aux services</w:t>
            </w:r>
          </w:p>
        </w:tc>
      </w:tr>
      <w:tr w:rsidR="008D5FFA" w:rsidRPr="00F5562F" w14:paraId="0E183A57" w14:textId="77777777" w:rsidTr="007F7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18C8F0A1" w14:textId="77777777" w:rsidR="007F7725" w:rsidRPr="00F5562F" w:rsidRDefault="007F7725" w:rsidP="00641A4C">
            <w:pPr>
              <w:pStyle w:val="Tablehead"/>
              <w:rPr>
                <w:color w:val="000000"/>
              </w:rPr>
            </w:pPr>
            <w:r w:rsidRPr="00F5562F">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6FC402EA" w14:textId="77777777" w:rsidR="007F7725" w:rsidRPr="00F5562F" w:rsidRDefault="007F7725" w:rsidP="00641A4C">
            <w:pPr>
              <w:pStyle w:val="Tablehead"/>
              <w:rPr>
                <w:color w:val="000000"/>
              </w:rPr>
            </w:pPr>
            <w:r w:rsidRPr="00F5562F">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14:paraId="4DB0AE36" w14:textId="77777777" w:rsidR="007F7725" w:rsidRPr="00F5562F" w:rsidRDefault="007F7725" w:rsidP="00641A4C">
            <w:pPr>
              <w:pStyle w:val="Tablehead"/>
              <w:rPr>
                <w:color w:val="000000"/>
              </w:rPr>
            </w:pPr>
            <w:r w:rsidRPr="00F5562F">
              <w:rPr>
                <w:color w:val="000000"/>
              </w:rPr>
              <w:t>Région 3</w:t>
            </w:r>
          </w:p>
        </w:tc>
      </w:tr>
      <w:tr w:rsidR="008D5FFA" w:rsidRPr="00F5562F" w14:paraId="71E25BBF" w14:textId="77777777" w:rsidTr="007F7725">
        <w:trPr>
          <w:cantSplit/>
          <w:jc w:val="center"/>
        </w:trPr>
        <w:tc>
          <w:tcPr>
            <w:tcW w:w="9356" w:type="dxa"/>
            <w:gridSpan w:val="3"/>
            <w:tcBorders>
              <w:bottom w:val="single" w:sz="4" w:space="0" w:color="auto"/>
            </w:tcBorders>
          </w:tcPr>
          <w:p w14:paraId="5282E496" w14:textId="77777777" w:rsidR="007F7725" w:rsidRPr="00F5562F" w:rsidRDefault="007F7725" w:rsidP="00641A4C">
            <w:pPr>
              <w:pStyle w:val="TableTextS5"/>
            </w:pPr>
            <w:r w:rsidRPr="00F5562F">
              <w:rPr>
                <w:rStyle w:val="Tablefreq"/>
              </w:rPr>
              <w:t>6 700-7 075</w:t>
            </w:r>
            <w:r w:rsidRPr="00F5562F">
              <w:tab/>
              <w:t>FIXE</w:t>
            </w:r>
          </w:p>
          <w:p w14:paraId="02882530" w14:textId="77777777" w:rsidR="007F7725" w:rsidRPr="00F5562F" w:rsidRDefault="007F7725" w:rsidP="00641A4C">
            <w:pPr>
              <w:pStyle w:val="TableTextS5"/>
            </w:pPr>
            <w:r w:rsidRPr="00F5562F">
              <w:tab/>
            </w:r>
            <w:r w:rsidRPr="00F5562F">
              <w:tab/>
            </w:r>
            <w:r w:rsidRPr="00F5562F">
              <w:tab/>
            </w:r>
            <w:r w:rsidRPr="00F5562F">
              <w:tab/>
              <w:t xml:space="preserve">FIXE PAR SATELLITE (Terre vers espace) (espace vers Terre)  </w:t>
            </w:r>
            <w:r w:rsidRPr="00F5562F">
              <w:rPr>
                <w:rStyle w:val="Artref"/>
              </w:rPr>
              <w:t>5.441</w:t>
            </w:r>
          </w:p>
          <w:p w14:paraId="3C075BFC" w14:textId="77777777" w:rsidR="007F7725" w:rsidRPr="00F5562F" w:rsidRDefault="007F7725" w:rsidP="00641A4C">
            <w:pPr>
              <w:pStyle w:val="TableTextS5"/>
            </w:pPr>
            <w:r w:rsidRPr="00F5562F">
              <w:tab/>
            </w:r>
            <w:r w:rsidRPr="00F5562F">
              <w:tab/>
            </w:r>
            <w:r w:rsidRPr="00F5562F">
              <w:tab/>
            </w:r>
            <w:r w:rsidRPr="00F5562F">
              <w:tab/>
              <w:t>MOBILE</w:t>
            </w:r>
          </w:p>
          <w:p w14:paraId="01609936" w14:textId="77777777" w:rsidR="007F7725" w:rsidRPr="00F5562F" w:rsidRDefault="007F7725" w:rsidP="00641A4C">
            <w:pPr>
              <w:pStyle w:val="TableTextS5"/>
            </w:pPr>
            <w:r w:rsidRPr="00F5562F">
              <w:tab/>
            </w:r>
            <w:r w:rsidRPr="00F5562F">
              <w:tab/>
            </w:r>
            <w:r w:rsidRPr="00F5562F">
              <w:tab/>
            </w:r>
            <w:r w:rsidRPr="00F5562F">
              <w:tab/>
            </w:r>
            <w:r w:rsidRPr="00F5562F">
              <w:rPr>
                <w:rStyle w:val="Artref"/>
              </w:rPr>
              <w:t>5.458</w:t>
            </w:r>
            <w:r w:rsidRPr="00F5562F">
              <w:t xml:space="preserve">  </w:t>
            </w:r>
            <w:r w:rsidRPr="00F5562F">
              <w:rPr>
                <w:rStyle w:val="Artref"/>
              </w:rPr>
              <w:t>5.458A</w:t>
            </w:r>
            <w:r w:rsidRPr="00F5562F">
              <w:t xml:space="preserve">  </w:t>
            </w:r>
            <w:r w:rsidRPr="00F5562F">
              <w:rPr>
                <w:rStyle w:val="Artref"/>
              </w:rPr>
              <w:t>5.458B</w:t>
            </w:r>
          </w:p>
        </w:tc>
      </w:tr>
      <w:tr w:rsidR="008D5FFA" w:rsidRPr="00F5562F" w14:paraId="53B9520D" w14:textId="77777777" w:rsidTr="007F7725">
        <w:trPr>
          <w:cantSplit/>
          <w:jc w:val="center"/>
        </w:trPr>
        <w:tc>
          <w:tcPr>
            <w:tcW w:w="9356" w:type="dxa"/>
            <w:gridSpan w:val="3"/>
            <w:tcBorders>
              <w:top w:val="single" w:sz="4" w:space="0" w:color="auto"/>
              <w:bottom w:val="single" w:sz="4" w:space="0" w:color="auto"/>
            </w:tcBorders>
          </w:tcPr>
          <w:p w14:paraId="13E691E5" w14:textId="77777777" w:rsidR="007F7725" w:rsidRPr="00F5562F" w:rsidRDefault="007F7725" w:rsidP="00641A4C">
            <w:pPr>
              <w:pStyle w:val="TableTextS5"/>
            </w:pPr>
            <w:r w:rsidRPr="00F5562F">
              <w:rPr>
                <w:rStyle w:val="Tablefreq"/>
              </w:rPr>
              <w:t>7 075-7 145</w:t>
            </w:r>
            <w:r w:rsidRPr="00F5562F">
              <w:tab/>
              <w:t>FIXE</w:t>
            </w:r>
          </w:p>
          <w:p w14:paraId="0F77C59A" w14:textId="77777777" w:rsidR="007F7725" w:rsidRPr="00F5562F" w:rsidRDefault="007F7725" w:rsidP="00641A4C">
            <w:pPr>
              <w:pStyle w:val="TableTextS5"/>
            </w:pPr>
            <w:r w:rsidRPr="00F5562F">
              <w:tab/>
            </w:r>
            <w:r w:rsidRPr="00F5562F">
              <w:tab/>
            </w:r>
            <w:r w:rsidRPr="00F5562F">
              <w:tab/>
            </w:r>
            <w:r w:rsidRPr="00F5562F">
              <w:tab/>
              <w:t>MOBILE</w:t>
            </w:r>
          </w:p>
          <w:p w14:paraId="00E45C65" w14:textId="77777777" w:rsidR="007F7725" w:rsidRPr="00F5562F" w:rsidRDefault="007F7725" w:rsidP="00641A4C">
            <w:pPr>
              <w:pStyle w:val="TableTextS5"/>
            </w:pPr>
            <w:r w:rsidRPr="00F5562F">
              <w:tab/>
            </w:r>
            <w:r w:rsidRPr="00F5562F">
              <w:tab/>
            </w:r>
            <w:r w:rsidRPr="00F5562F">
              <w:tab/>
            </w:r>
            <w:r w:rsidRPr="00F5562F">
              <w:tab/>
            </w:r>
            <w:r w:rsidRPr="00F5562F">
              <w:rPr>
                <w:rStyle w:val="Artref"/>
              </w:rPr>
              <w:t>5.458</w:t>
            </w:r>
            <w:r w:rsidRPr="00F5562F">
              <w:t xml:space="preserve">  </w:t>
            </w:r>
            <w:r w:rsidRPr="00F5562F">
              <w:rPr>
                <w:rStyle w:val="Artref"/>
              </w:rPr>
              <w:t>5.459</w:t>
            </w:r>
          </w:p>
        </w:tc>
      </w:tr>
    </w:tbl>
    <w:p w14:paraId="6294924A" w14:textId="7F264B72" w:rsidR="007F7725" w:rsidRPr="00F5562F" w:rsidRDefault="007F7725" w:rsidP="00641A4C">
      <w:pPr>
        <w:pStyle w:val="Reasons"/>
      </w:pPr>
      <w:r w:rsidRPr="00F5562F">
        <w:rPr>
          <w:b/>
        </w:rPr>
        <w:t>Motifs:</w:t>
      </w:r>
      <w:r w:rsidRPr="00F5562F">
        <w:tab/>
      </w:r>
      <w:r w:rsidR="00964644" w:rsidRPr="00F5562F">
        <w:t xml:space="preserve">Il est proposé de n'apporter aucune modification </w:t>
      </w:r>
      <w:r w:rsidR="00DE08AD" w:rsidRPr="00F5562F">
        <w:t xml:space="preserve">au Tableau d'attribution des bandes de fréquences </w:t>
      </w:r>
      <w:r w:rsidR="00F42193" w:rsidRPr="00F5562F">
        <w:t xml:space="preserve">concernant </w:t>
      </w:r>
      <w:r w:rsidR="00DE08AD" w:rsidRPr="00F5562F">
        <w:t>la bande de fréquences</w:t>
      </w:r>
      <w:r w:rsidR="00F61343" w:rsidRPr="00F5562F">
        <w:t> </w:t>
      </w:r>
      <w:r w:rsidR="00DE08AD" w:rsidRPr="00F5562F">
        <w:t>6</w:t>
      </w:r>
      <w:r w:rsidR="00F61343" w:rsidRPr="00F5562F">
        <w:t> </w:t>
      </w:r>
      <w:r w:rsidR="00DE08AD" w:rsidRPr="00F5562F">
        <w:t>425</w:t>
      </w:r>
      <w:r w:rsidR="00F61343" w:rsidRPr="00F5562F">
        <w:noBreakHyphen/>
      </w:r>
      <w:r w:rsidR="00DE08AD" w:rsidRPr="00F5562F">
        <w:t>7</w:t>
      </w:r>
      <w:r w:rsidR="00F61343" w:rsidRPr="00F5562F">
        <w:t> </w:t>
      </w:r>
      <w:r w:rsidR="00DE08AD" w:rsidRPr="00F5562F">
        <w:t>125</w:t>
      </w:r>
      <w:r w:rsidR="00F61343" w:rsidRPr="00F5562F">
        <w:t> </w:t>
      </w:r>
      <w:r w:rsidR="00DE08AD" w:rsidRPr="00F5562F">
        <w:t xml:space="preserve">MHz </w:t>
      </w:r>
      <w:r w:rsidR="000B2A2E" w:rsidRPr="00F5562F">
        <w:t>afin</w:t>
      </w:r>
      <w:r w:rsidR="00DE08AD" w:rsidRPr="00F5562F">
        <w:t xml:space="preserve"> d'harmoniser l'utilisation </w:t>
      </w:r>
      <w:r w:rsidR="000B2A2E" w:rsidRPr="00F5562F">
        <w:t>s</w:t>
      </w:r>
      <w:r w:rsidR="00EA1210" w:rsidRPr="00F5562F">
        <w:t>ans licence de cette bande de fréquences</w:t>
      </w:r>
      <w:r w:rsidR="00DE08AD" w:rsidRPr="00F5562F">
        <w:t>. L'harmonisation de la réglementation permettra de réaliser des économies d'échelle et de portée, et de mettre en place un marché des équipements robuste, qui profitera aux consommateurs et aux économies nationales dans le monde entier. Compte tenu de l'attribution existante au service mobile, les administrations peuvent déployer et exploiter des systèmes et des applications du service mobile (par exemple, des systèmes</w:t>
      </w:r>
      <w:r w:rsidR="00F61343" w:rsidRPr="00F5562F">
        <w:t> </w:t>
      </w:r>
      <w:r w:rsidR="00DE08AD" w:rsidRPr="00F5562F">
        <w:t>IMT ou</w:t>
      </w:r>
      <w:r w:rsidR="00F61343" w:rsidRPr="00F5562F">
        <w:t> </w:t>
      </w:r>
      <w:r w:rsidR="00DE08AD" w:rsidRPr="00F5562F">
        <w:t xml:space="preserve">RLAN) en fonction de leurs priorités et de leurs besoins </w:t>
      </w:r>
      <w:r w:rsidR="00DA5914" w:rsidRPr="00F5562F">
        <w:t>à l</w:t>
      </w:r>
      <w:r w:rsidR="00BD7EBB" w:rsidRPr="00F5562F">
        <w:t>'</w:t>
      </w:r>
      <w:r w:rsidR="00DA5914" w:rsidRPr="00F5562F">
        <w:t>échelle nationale</w:t>
      </w:r>
      <w:r w:rsidR="00DE08AD" w:rsidRPr="00F5562F">
        <w:t>, tout en assurant la protection des services existants.</w:t>
      </w:r>
    </w:p>
    <w:p w14:paraId="08FD5110" w14:textId="1E0A912C" w:rsidR="009772E1" w:rsidRPr="00F5562F" w:rsidRDefault="007F7725" w:rsidP="00641A4C">
      <w:pPr>
        <w:jc w:val="center"/>
      </w:pPr>
      <w:r w:rsidRPr="00F5562F">
        <w:t>______________</w:t>
      </w:r>
    </w:p>
    <w:sectPr w:rsidR="009772E1" w:rsidRPr="00F5562F">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30DB" w14:textId="77777777" w:rsidR="003E4A0A" w:rsidRDefault="003E4A0A">
      <w:r>
        <w:separator/>
      </w:r>
    </w:p>
  </w:endnote>
  <w:endnote w:type="continuationSeparator" w:id="0">
    <w:p w14:paraId="6C33A44B" w14:textId="77777777" w:rsidR="003E4A0A" w:rsidRDefault="003E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DDBF" w14:textId="5CD678F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002C4">
      <w:rPr>
        <w:noProof/>
      </w:rPr>
      <w:t>30.10.23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2D5F" w14:textId="534D823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458EB">
      <w:rPr>
        <w:lang w:val="en-US"/>
      </w:rPr>
      <w:t>P:\FRA\ITU-R\CONF-R\CMR23\000\044ADD02ADD03F.docx</w:t>
    </w:r>
    <w:r>
      <w:fldChar w:fldCharType="end"/>
    </w:r>
    <w:r w:rsidR="007F7725" w:rsidRPr="004B04B5">
      <w:rPr>
        <w:lang w:val="en-GB"/>
      </w:rPr>
      <w:t xml:space="preserve"> (529430)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8A7F" w14:textId="2B190C51" w:rsidR="00936D25" w:rsidRPr="00D458EB" w:rsidRDefault="00D458EB" w:rsidP="00D458EB">
    <w:pPr>
      <w:pStyle w:val="Footer"/>
      <w:rPr>
        <w:lang w:val="en-US"/>
      </w:rPr>
    </w:pPr>
    <w:r>
      <w:fldChar w:fldCharType="begin"/>
    </w:r>
    <w:r>
      <w:rPr>
        <w:lang w:val="en-US"/>
      </w:rPr>
      <w:instrText xml:space="preserve"> FILENAME \p  \* MERGEFORMAT </w:instrText>
    </w:r>
    <w:r>
      <w:fldChar w:fldCharType="separate"/>
    </w:r>
    <w:r>
      <w:rPr>
        <w:lang w:val="en-US"/>
      </w:rPr>
      <w:t>P:\FRA\ITU-R\CONF-R\CMR23\000\044ADD02ADD03F.docx</w:t>
    </w:r>
    <w:r>
      <w:fldChar w:fldCharType="end"/>
    </w:r>
    <w:r w:rsidRPr="004B04B5">
      <w:rPr>
        <w:lang w:val="en-GB"/>
      </w:rPr>
      <w:t xml:space="preserve"> (529430)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EA28" w14:textId="77777777" w:rsidR="003E4A0A" w:rsidRDefault="003E4A0A">
      <w:r>
        <w:rPr>
          <w:b/>
        </w:rPr>
        <w:t>_______________</w:t>
      </w:r>
    </w:p>
  </w:footnote>
  <w:footnote w:type="continuationSeparator" w:id="0">
    <w:p w14:paraId="1BF5C1A0" w14:textId="77777777" w:rsidR="003E4A0A" w:rsidRDefault="003E4A0A">
      <w:r>
        <w:continuationSeparator/>
      </w:r>
    </w:p>
  </w:footnote>
  <w:footnote w:id="1">
    <w:p w14:paraId="20DD6C4E" w14:textId="180F748A" w:rsidR="00075BC7" w:rsidRDefault="00075BC7" w:rsidP="00075BC7">
      <w:pPr>
        <w:pStyle w:val="FootnoteText"/>
      </w:pPr>
      <w:r>
        <w:rPr>
          <w:rStyle w:val="FootnoteReference"/>
        </w:rPr>
        <w:footnoteRef/>
      </w:r>
      <w:r>
        <w:tab/>
      </w:r>
      <w:hyperlink r:id="rId1" w:history="1">
        <w:r w:rsidRPr="004317DC">
          <w:rPr>
            <w:rStyle w:val="Hyperlink"/>
          </w:rPr>
          <w:t>https://www.itu.int/en/ITU-D/Statistics/Docu</w:t>
        </w:r>
        <w:r w:rsidRPr="004317DC">
          <w:rPr>
            <w:rStyle w:val="Hyperlink"/>
          </w:rPr>
          <w:t>m</w:t>
        </w:r>
        <w:r w:rsidRPr="004317DC">
          <w:rPr>
            <w:rStyle w:val="Hyperlink"/>
          </w:rPr>
          <w:t>ents/facts/FactsFigures2021.pdf</w:t>
        </w:r>
      </w:hyperlink>
      <w:r>
        <w:rPr>
          <w:rStyle w:val="Hyperlink"/>
        </w:rPr>
        <w:t>.</w:t>
      </w:r>
    </w:p>
  </w:footnote>
  <w:footnote w:id="2">
    <w:p w14:paraId="66F221CB" w14:textId="258AFBDF" w:rsidR="00A75A92" w:rsidRPr="00336A4A" w:rsidRDefault="00A75A92" w:rsidP="001C1AA8">
      <w:pPr>
        <w:pStyle w:val="FootnoteText"/>
        <w:rPr>
          <w:lang w:val="en-US"/>
        </w:rPr>
      </w:pPr>
      <w:r>
        <w:rPr>
          <w:rStyle w:val="FootnoteReference"/>
        </w:rPr>
        <w:footnoteRef/>
      </w:r>
      <w:r>
        <w:tab/>
        <w:t>Selon les prévisions d'Ericsson, le trafic mobile total devrait être multiplié par cinq au cours des six prochaines années, pour atteindre</w:t>
      </w:r>
      <w:r w:rsidR="00D021A8">
        <w:t> </w:t>
      </w:r>
      <w:r>
        <w:t>164 exaoctets par mois d'ici fin</w:t>
      </w:r>
      <w:r w:rsidR="00D021A8">
        <w:t> </w:t>
      </w:r>
      <w:r>
        <w:t>2025. Dans un rapport, Ericsson indique qu'à l'heure actuelle, les smartphones génèrent près de</w:t>
      </w:r>
      <w:r w:rsidR="00D021A8">
        <w:t> </w:t>
      </w:r>
      <w:r>
        <w:t>95% du trafic total de données mobiles et qu'à l'horizon</w:t>
      </w:r>
      <w:r w:rsidR="00D021A8">
        <w:t> </w:t>
      </w:r>
      <w:r>
        <w:t>2025, les réseaux</w:t>
      </w:r>
      <w:r w:rsidR="00D021A8">
        <w:t> </w:t>
      </w:r>
      <w:r>
        <w:t>5G achemineront environ la moitié du trafic mondial de données mobiles. Voir l'édition de</w:t>
      </w:r>
      <w:r w:rsidR="00D021A8">
        <w:t> </w:t>
      </w:r>
      <w:r>
        <w:t xml:space="preserve">2020 du rapport </w:t>
      </w:r>
      <w:r w:rsidR="001C1AA8">
        <w:t>«</w:t>
      </w:r>
      <w:r>
        <w:t>Mobility Report</w:t>
      </w:r>
      <w:r w:rsidR="001C1AA8">
        <w:t>»</w:t>
      </w:r>
      <w:r>
        <w:t xml:space="preserve"> d'Ericsson (</w:t>
      </w:r>
      <w:hyperlink r:id="rId2" w:history="1">
        <w:r w:rsidRPr="006366C0">
          <w:rPr>
            <w:rStyle w:val="Hyperlink"/>
          </w:rPr>
          <w:t>https://www.ericsson.com/49da93/assets/local/mobility-repo</w:t>
        </w:r>
        <w:r w:rsidRPr="006366C0">
          <w:rPr>
            <w:rStyle w:val="Hyperlink"/>
          </w:rPr>
          <w:t>r</w:t>
        </w:r>
        <w:r w:rsidRPr="006366C0">
          <w:rPr>
            <w:rStyle w:val="Hyperlink"/>
          </w:rPr>
          <w:t>t/documents/2020/june2020-ericsson-mobility-report.pdf</w:t>
        </w:r>
      </w:hyperlink>
      <w:r>
        <w:t>). Selon les prévisions de Cisco, à l'horizon</w:t>
      </w:r>
      <w:r w:rsidR="00D021A8">
        <w:t> </w:t>
      </w:r>
      <w:r>
        <w:t>2022, 22% du trafic Internet mondial serait acheminé par des réseaux mobiles, ce qui représenterait une augmentation de</w:t>
      </w:r>
      <w:r w:rsidR="00D021A8">
        <w:t> </w:t>
      </w:r>
      <w:r>
        <w:t>12% par rapport à</w:t>
      </w:r>
      <w:r w:rsidR="00D021A8">
        <w:t> </w:t>
      </w:r>
      <w:r>
        <w:t xml:space="preserve">2017. </w:t>
      </w:r>
      <w:r w:rsidRPr="0042761A">
        <w:rPr>
          <w:lang w:val="en-US"/>
        </w:rPr>
        <w:t xml:space="preserve">Voir le </w:t>
      </w:r>
      <w:r w:rsidR="00873EC7">
        <w:rPr>
          <w:lang w:val="en-US"/>
        </w:rPr>
        <w:t>d</w:t>
      </w:r>
      <w:r w:rsidRPr="0042761A">
        <w:rPr>
          <w:lang w:val="en-US"/>
        </w:rPr>
        <w:t xml:space="preserve">ocument </w:t>
      </w:r>
      <w:r w:rsidR="001C1AA8">
        <w:rPr>
          <w:lang w:val="en-US"/>
        </w:rPr>
        <w:t>«</w:t>
      </w:r>
      <w:r w:rsidRPr="0042761A">
        <w:rPr>
          <w:lang w:val="en-US"/>
        </w:rPr>
        <w:t>Cisco Visual Networking Index: Global Mobile Data Traffic Forecast Update</w:t>
      </w:r>
      <w:r w:rsidR="001C1AA8">
        <w:rPr>
          <w:lang w:val="en-US"/>
        </w:rPr>
        <w:t>»</w:t>
      </w:r>
      <w:r w:rsidRPr="0042761A">
        <w:rPr>
          <w:lang w:val="en-US"/>
        </w:rPr>
        <w:t xml:space="preserve">, 2017-2022 White Paper (2019), de Cisco Systems Inc.: </w:t>
      </w:r>
      <w:hyperlink r:id="rId3" w:history="1">
        <w:r w:rsidRPr="0042761A">
          <w:rPr>
            <w:rStyle w:val="Hyperlink"/>
            <w:lang w:val="en-US"/>
          </w:rPr>
          <w:t>https://www.cisco.com/c/en/us/solutions/collateral/service-provider/visual-n</w:t>
        </w:r>
        <w:r w:rsidRPr="0042761A">
          <w:rPr>
            <w:rStyle w:val="Hyperlink"/>
            <w:lang w:val="en-US"/>
          </w:rPr>
          <w:t>e</w:t>
        </w:r>
        <w:r w:rsidRPr="0042761A">
          <w:rPr>
            <w:rStyle w:val="Hyperlink"/>
            <w:lang w:val="en-US"/>
          </w:rPr>
          <w:t>tworking-index-vni/white-paper-c11-738429.html</w:t>
        </w:r>
      </w:hyperlink>
      <w:r w:rsidRPr="0042761A">
        <w:rPr>
          <w:lang w:val="en-US"/>
        </w:rPr>
        <w:t>.</w:t>
      </w:r>
    </w:p>
  </w:footnote>
  <w:footnote w:id="3">
    <w:p w14:paraId="5F9E5BAF" w14:textId="2945602F" w:rsidR="00841DD9" w:rsidRPr="00841DD9" w:rsidRDefault="00841DD9">
      <w:pPr>
        <w:pStyle w:val="FootnoteText"/>
        <w:rPr>
          <w:i/>
          <w:iCs/>
          <w:lang w:val="fr-CH"/>
        </w:rPr>
      </w:pPr>
      <w:r>
        <w:rPr>
          <w:rStyle w:val="FootnoteReference"/>
        </w:rPr>
        <w:footnoteRef/>
      </w:r>
      <w:r w:rsidR="00353B17">
        <w:tab/>
      </w:r>
      <w:r>
        <w:rPr>
          <w:lang w:val="fr-CH"/>
        </w:rPr>
        <w:t>Voir la Recommandation</w:t>
      </w:r>
      <w:r w:rsidR="00D021A8">
        <w:rPr>
          <w:lang w:val="fr-CH"/>
        </w:rPr>
        <w:t> </w:t>
      </w:r>
      <w:r>
        <w:rPr>
          <w:lang w:val="fr-CH"/>
        </w:rPr>
        <w:t>UIT</w:t>
      </w:r>
      <w:r w:rsidR="00D021A8">
        <w:rPr>
          <w:lang w:val="fr-CH"/>
        </w:rPr>
        <w:noBreakHyphen/>
      </w:r>
      <w:r>
        <w:rPr>
          <w:lang w:val="fr-CH"/>
        </w:rPr>
        <w:t>R</w:t>
      </w:r>
      <w:r w:rsidR="00D021A8">
        <w:rPr>
          <w:lang w:val="fr-CH"/>
        </w:rPr>
        <w:t> </w:t>
      </w:r>
      <w:r>
        <w:rPr>
          <w:lang w:val="fr-CH"/>
        </w:rPr>
        <w:t xml:space="preserve">SM.1133 – </w:t>
      </w:r>
      <w:r>
        <w:rPr>
          <w:i/>
          <w:iCs/>
          <w:lang w:val="fr-CH"/>
        </w:rPr>
        <w:t>Utilisation du spectre par des services génériques.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5E0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16022AB" w14:textId="77777777" w:rsidR="004F1F8E" w:rsidRDefault="00225CF2" w:rsidP="00FD7AA3">
    <w:pPr>
      <w:pStyle w:val="Header"/>
    </w:pPr>
    <w:r>
      <w:t>WRC</w:t>
    </w:r>
    <w:r w:rsidR="00D3426F">
      <w:t>23</w:t>
    </w:r>
    <w:r w:rsidR="004F1F8E">
      <w:t>/</w:t>
    </w:r>
    <w:r w:rsidR="006A4B45">
      <w:t>44(Add.2)(Add.3)-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51F7F1A"/>
    <w:multiLevelType w:val="hybridMultilevel"/>
    <w:tmpl w:val="1144AE5C"/>
    <w:lvl w:ilvl="0" w:tplc="CDCCB3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119995">
    <w:abstractNumId w:val="0"/>
  </w:num>
  <w:num w:numId="2" w16cid:durableId="21305911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516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7DA"/>
    <w:rsid w:val="00007EC7"/>
    <w:rsid w:val="00010B43"/>
    <w:rsid w:val="00016648"/>
    <w:rsid w:val="0003522F"/>
    <w:rsid w:val="00063A1F"/>
    <w:rsid w:val="00075BC7"/>
    <w:rsid w:val="00080E2C"/>
    <w:rsid w:val="00081366"/>
    <w:rsid w:val="000863B3"/>
    <w:rsid w:val="000A21A7"/>
    <w:rsid w:val="000A4755"/>
    <w:rsid w:val="000A55AE"/>
    <w:rsid w:val="000B2A2E"/>
    <w:rsid w:val="000B2E0C"/>
    <w:rsid w:val="000B3D0C"/>
    <w:rsid w:val="001167B9"/>
    <w:rsid w:val="001267A0"/>
    <w:rsid w:val="0015203F"/>
    <w:rsid w:val="00160C64"/>
    <w:rsid w:val="0018169B"/>
    <w:rsid w:val="00191DC1"/>
    <w:rsid w:val="00191DDA"/>
    <w:rsid w:val="0019352B"/>
    <w:rsid w:val="001960D0"/>
    <w:rsid w:val="001A11F6"/>
    <w:rsid w:val="001C1AA8"/>
    <w:rsid w:val="001C3DFF"/>
    <w:rsid w:val="001F17E8"/>
    <w:rsid w:val="001F199D"/>
    <w:rsid w:val="00204306"/>
    <w:rsid w:val="00225CF2"/>
    <w:rsid w:val="00232FD2"/>
    <w:rsid w:val="00261E9A"/>
    <w:rsid w:val="0026554E"/>
    <w:rsid w:val="002A4622"/>
    <w:rsid w:val="002A6F8F"/>
    <w:rsid w:val="002B16D8"/>
    <w:rsid w:val="002B17E5"/>
    <w:rsid w:val="002C0EBF"/>
    <w:rsid w:val="002C28A4"/>
    <w:rsid w:val="002D7E0A"/>
    <w:rsid w:val="00304843"/>
    <w:rsid w:val="00315AFE"/>
    <w:rsid w:val="0033389A"/>
    <w:rsid w:val="00336A4A"/>
    <w:rsid w:val="003411F6"/>
    <w:rsid w:val="00353B17"/>
    <w:rsid w:val="003606A6"/>
    <w:rsid w:val="0036650C"/>
    <w:rsid w:val="00393ACD"/>
    <w:rsid w:val="003A583E"/>
    <w:rsid w:val="003E112B"/>
    <w:rsid w:val="003E1D1C"/>
    <w:rsid w:val="003E4A0A"/>
    <w:rsid w:val="003E51F1"/>
    <w:rsid w:val="003E7B05"/>
    <w:rsid w:val="003F3719"/>
    <w:rsid w:val="003F6F2D"/>
    <w:rsid w:val="004548BC"/>
    <w:rsid w:val="00466211"/>
    <w:rsid w:val="00483196"/>
    <w:rsid w:val="004834A9"/>
    <w:rsid w:val="004A31C6"/>
    <w:rsid w:val="004B04B5"/>
    <w:rsid w:val="004D01FC"/>
    <w:rsid w:val="004E28C3"/>
    <w:rsid w:val="004F1F8E"/>
    <w:rsid w:val="00512A32"/>
    <w:rsid w:val="005343DA"/>
    <w:rsid w:val="00536706"/>
    <w:rsid w:val="00560874"/>
    <w:rsid w:val="00586CF2"/>
    <w:rsid w:val="005A7C75"/>
    <w:rsid w:val="005C3768"/>
    <w:rsid w:val="005C6C3F"/>
    <w:rsid w:val="005E20E8"/>
    <w:rsid w:val="00600245"/>
    <w:rsid w:val="00613635"/>
    <w:rsid w:val="0062093D"/>
    <w:rsid w:val="00637ECF"/>
    <w:rsid w:val="00641A4C"/>
    <w:rsid w:val="00647B59"/>
    <w:rsid w:val="006863BB"/>
    <w:rsid w:val="00690C7B"/>
    <w:rsid w:val="00691460"/>
    <w:rsid w:val="006A4B45"/>
    <w:rsid w:val="006C0D42"/>
    <w:rsid w:val="006C25AB"/>
    <w:rsid w:val="006D4724"/>
    <w:rsid w:val="006F5FA2"/>
    <w:rsid w:val="0070076C"/>
    <w:rsid w:val="00701BAE"/>
    <w:rsid w:val="0070438E"/>
    <w:rsid w:val="00721F04"/>
    <w:rsid w:val="00724537"/>
    <w:rsid w:val="00730E95"/>
    <w:rsid w:val="0073443A"/>
    <w:rsid w:val="007426B9"/>
    <w:rsid w:val="00764342"/>
    <w:rsid w:val="00774362"/>
    <w:rsid w:val="00786598"/>
    <w:rsid w:val="00790C74"/>
    <w:rsid w:val="007A04E8"/>
    <w:rsid w:val="007B2C34"/>
    <w:rsid w:val="007B4407"/>
    <w:rsid w:val="007D584E"/>
    <w:rsid w:val="007F282B"/>
    <w:rsid w:val="007F2E6C"/>
    <w:rsid w:val="007F7725"/>
    <w:rsid w:val="00810F25"/>
    <w:rsid w:val="00830086"/>
    <w:rsid w:val="00841DD9"/>
    <w:rsid w:val="00850928"/>
    <w:rsid w:val="00851625"/>
    <w:rsid w:val="00854DCF"/>
    <w:rsid w:val="00863C0A"/>
    <w:rsid w:val="00865552"/>
    <w:rsid w:val="00873EC7"/>
    <w:rsid w:val="00881957"/>
    <w:rsid w:val="00882C14"/>
    <w:rsid w:val="00892D55"/>
    <w:rsid w:val="008A3120"/>
    <w:rsid w:val="008A4B97"/>
    <w:rsid w:val="008A645B"/>
    <w:rsid w:val="008C5B8E"/>
    <w:rsid w:val="008C5DD5"/>
    <w:rsid w:val="008C7123"/>
    <w:rsid w:val="008D41BE"/>
    <w:rsid w:val="008D58D3"/>
    <w:rsid w:val="008E3BC9"/>
    <w:rsid w:val="009002C4"/>
    <w:rsid w:val="00923064"/>
    <w:rsid w:val="00930FFD"/>
    <w:rsid w:val="00936D25"/>
    <w:rsid w:val="00941EA5"/>
    <w:rsid w:val="00961415"/>
    <w:rsid w:val="00961642"/>
    <w:rsid w:val="00964644"/>
    <w:rsid w:val="00964700"/>
    <w:rsid w:val="00966C16"/>
    <w:rsid w:val="009772E1"/>
    <w:rsid w:val="0098732F"/>
    <w:rsid w:val="009A045F"/>
    <w:rsid w:val="009A2B8D"/>
    <w:rsid w:val="009A6A2B"/>
    <w:rsid w:val="009B2A66"/>
    <w:rsid w:val="009C7751"/>
    <w:rsid w:val="009C7E7C"/>
    <w:rsid w:val="00A00473"/>
    <w:rsid w:val="00A03C9B"/>
    <w:rsid w:val="00A26D5C"/>
    <w:rsid w:val="00A37105"/>
    <w:rsid w:val="00A528AC"/>
    <w:rsid w:val="00A606C3"/>
    <w:rsid w:val="00A60B0A"/>
    <w:rsid w:val="00A75A92"/>
    <w:rsid w:val="00A83B09"/>
    <w:rsid w:val="00A84541"/>
    <w:rsid w:val="00A93D4E"/>
    <w:rsid w:val="00AA088C"/>
    <w:rsid w:val="00AE36A0"/>
    <w:rsid w:val="00AE769E"/>
    <w:rsid w:val="00B00294"/>
    <w:rsid w:val="00B16033"/>
    <w:rsid w:val="00B32F5D"/>
    <w:rsid w:val="00B3749C"/>
    <w:rsid w:val="00B64FD0"/>
    <w:rsid w:val="00B908C7"/>
    <w:rsid w:val="00B94C5B"/>
    <w:rsid w:val="00BA5BD0"/>
    <w:rsid w:val="00BB1D82"/>
    <w:rsid w:val="00BB5B9F"/>
    <w:rsid w:val="00BB6327"/>
    <w:rsid w:val="00BC217E"/>
    <w:rsid w:val="00BC6B3F"/>
    <w:rsid w:val="00BD51C5"/>
    <w:rsid w:val="00BD7EBB"/>
    <w:rsid w:val="00BF26E7"/>
    <w:rsid w:val="00BF7438"/>
    <w:rsid w:val="00C1305F"/>
    <w:rsid w:val="00C53FCA"/>
    <w:rsid w:val="00C71DEB"/>
    <w:rsid w:val="00C76BAF"/>
    <w:rsid w:val="00C814B9"/>
    <w:rsid w:val="00CA0104"/>
    <w:rsid w:val="00CB37F1"/>
    <w:rsid w:val="00CB685A"/>
    <w:rsid w:val="00CD516F"/>
    <w:rsid w:val="00CD7E8B"/>
    <w:rsid w:val="00CE58BC"/>
    <w:rsid w:val="00D021A8"/>
    <w:rsid w:val="00D119A7"/>
    <w:rsid w:val="00D214DD"/>
    <w:rsid w:val="00D25FBA"/>
    <w:rsid w:val="00D32B28"/>
    <w:rsid w:val="00D3426F"/>
    <w:rsid w:val="00D42954"/>
    <w:rsid w:val="00D458EB"/>
    <w:rsid w:val="00D631C1"/>
    <w:rsid w:val="00D66EAC"/>
    <w:rsid w:val="00D730DF"/>
    <w:rsid w:val="00D772F0"/>
    <w:rsid w:val="00D77BDC"/>
    <w:rsid w:val="00D911AB"/>
    <w:rsid w:val="00DA5914"/>
    <w:rsid w:val="00DC402B"/>
    <w:rsid w:val="00DD76A7"/>
    <w:rsid w:val="00DE08AD"/>
    <w:rsid w:val="00DE0932"/>
    <w:rsid w:val="00DF15E8"/>
    <w:rsid w:val="00E03A27"/>
    <w:rsid w:val="00E049F1"/>
    <w:rsid w:val="00E37A25"/>
    <w:rsid w:val="00E537FF"/>
    <w:rsid w:val="00E60CB2"/>
    <w:rsid w:val="00E6539B"/>
    <w:rsid w:val="00E70A31"/>
    <w:rsid w:val="00E723A7"/>
    <w:rsid w:val="00EA1210"/>
    <w:rsid w:val="00EA3F38"/>
    <w:rsid w:val="00EA5AB6"/>
    <w:rsid w:val="00EB5518"/>
    <w:rsid w:val="00EC7615"/>
    <w:rsid w:val="00EC79EA"/>
    <w:rsid w:val="00ED16AA"/>
    <w:rsid w:val="00ED6B8D"/>
    <w:rsid w:val="00EE3D7B"/>
    <w:rsid w:val="00EF662E"/>
    <w:rsid w:val="00F10064"/>
    <w:rsid w:val="00F148F1"/>
    <w:rsid w:val="00F42193"/>
    <w:rsid w:val="00F5562F"/>
    <w:rsid w:val="00F61343"/>
    <w:rsid w:val="00F65EB7"/>
    <w:rsid w:val="00F711A7"/>
    <w:rsid w:val="00F85E18"/>
    <w:rsid w:val="00F865D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0071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75A92"/>
    <w:rPr>
      <w:color w:val="605E5C"/>
      <w:shd w:val="clear" w:color="auto" w:fill="E1DFDD"/>
    </w:rPr>
  </w:style>
  <w:style w:type="character" w:customStyle="1" w:styleId="FootnoteTextChar">
    <w:name w:val="Footnote Text Char"/>
    <w:basedOn w:val="DefaultParagraphFont"/>
    <w:link w:val="FootnoteText"/>
    <w:rsid w:val="00A75A92"/>
    <w:rPr>
      <w:rFonts w:ascii="Times New Roman" w:hAnsi="Times New Roman"/>
      <w:sz w:val="24"/>
      <w:lang w:val="fr-FR" w:eastAsia="en-US"/>
    </w:rPr>
  </w:style>
  <w:style w:type="character" w:styleId="CommentReference">
    <w:name w:val="annotation reference"/>
    <w:basedOn w:val="DefaultParagraphFont"/>
    <w:semiHidden/>
    <w:unhideWhenUsed/>
    <w:rsid w:val="00641A4C"/>
    <w:rPr>
      <w:sz w:val="16"/>
      <w:szCs w:val="16"/>
    </w:rPr>
  </w:style>
  <w:style w:type="paragraph" w:styleId="CommentText">
    <w:name w:val="annotation text"/>
    <w:basedOn w:val="Normal"/>
    <w:link w:val="CommentTextChar"/>
    <w:unhideWhenUsed/>
    <w:rsid w:val="00641A4C"/>
    <w:rPr>
      <w:sz w:val="20"/>
    </w:rPr>
  </w:style>
  <w:style w:type="character" w:customStyle="1" w:styleId="CommentTextChar">
    <w:name w:val="Comment Text Char"/>
    <w:basedOn w:val="DefaultParagraphFont"/>
    <w:link w:val="CommentText"/>
    <w:rsid w:val="00641A4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41A4C"/>
    <w:rPr>
      <w:b/>
      <w:bCs/>
    </w:rPr>
  </w:style>
  <w:style w:type="character" w:customStyle="1" w:styleId="CommentSubjectChar">
    <w:name w:val="Comment Subject Char"/>
    <w:basedOn w:val="CommentTextChar"/>
    <w:link w:val="CommentSubject"/>
    <w:semiHidden/>
    <w:rsid w:val="00641A4C"/>
    <w:rPr>
      <w:rFonts w:ascii="Times New Roman" w:hAnsi="Times New Roman"/>
      <w:b/>
      <w:bCs/>
      <w:lang w:val="fr-FR" w:eastAsia="en-US"/>
    </w:rPr>
  </w:style>
  <w:style w:type="paragraph" w:styleId="ListParagraph">
    <w:name w:val="List Paragraph"/>
    <w:basedOn w:val="Normal"/>
    <w:uiPriority w:val="34"/>
    <w:qFormat/>
    <w:rsid w:val="00F65EB7"/>
    <w:pPr>
      <w:ind w:left="720"/>
      <w:contextualSpacing/>
    </w:pPr>
  </w:style>
  <w:style w:type="character" w:styleId="FollowedHyperlink">
    <w:name w:val="FollowedHyperlink"/>
    <w:basedOn w:val="DefaultParagraphFont"/>
    <w:semiHidden/>
    <w:unhideWhenUsed/>
    <w:rsid w:val="00D02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site/fr/fr/index.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85FF8352-A424-4726-9EDF-1DA6F9FC4C8F}">
  <ds:schemaRefs>
    <ds:schemaRef ds:uri="http://schemas.microsoft.com/sharepoint/events"/>
  </ds:schemaRefs>
</ds:datastoreItem>
</file>

<file path=customXml/itemProps2.xml><?xml version="1.0" encoding="utf-8"?>
<ds:datastoreItem xmlns:ds="http://schemas.openxmlformats.org/officeDocument/2006/customXml" ds:itemID="{99043DD1-B75B-46A0-AA2C-0FF22093C50F}">
  <ds:schemaRefs>
    <ds:schemaRef ds:uri="http://schemas.openxmlformats.org/officeDocument/2006/bibliography"/>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9CE747FE-8CF4-4BE1-91DD-B9B4623A9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ED6BFC-9C2E-4A1D-93BC-0AE19386F514}">
  <ds:schemaRefs>
    <ds:schemaRef ds:uri="http://www.w3.org/XML/1998/namespace"/>
    <ds:schemaRef ds:uri="http://purl.org/dc/elements/1.1/"/>
    <ds:schemaRef ds:uri="http://schemas.microsoft.com/office/2006/documentManagement/types"/>
    <ds:schemaRef ds:uri="http://purl.org/dc/dcmitype/"/>
    <ds:schemaRef ds:uri="996b2e75-67fd-4955-a3b0-5ab9934cb50b"/>
    <ds:schemaRef ds:uri="http://schemas.openxmlformats.org/package/2006/metadata/core-properties"/>
    <ds:schemaRef ds:uri="http://schemas.microsoft.com/office/infopath/2007/PartnerControls"/>
    <ds:schemaRef ds:uri="http://schemas.microsoft.com/office/2006/metadata/properties"/>
    <ds:schemaRef ds:uri="http://purl.org/dc/term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1445</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R23-WRC23-C-0044!A2-A3!MSW-F</vt:lpstr>
    </vt:vector>
  </TitlesOfParts>
  <Manager>Secrétariat général - Pool</Manager>
  <Company>Union internationale des télécommunications (UIT)</Company>
  <LinksUpToDate>false</LinksUpToDate>
  <CharactersWithSpaces>9303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R23-WRC23-C-0044!A2-A3!MSW-F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2023-10-30T14:24:00Z</dcterms:created>
  <dcterms:modified xsi:type="dcterms:W3CDTF">2023-10-31T12:21:00Z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