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671E75" w14:paraId="760AA97A" w14:textId="77777777" w:rsidTr="0080079E">
        <w:trPr>
          <w:cantSplit/>
        </w:trPr>
        <w:tc>
          <w:tcPr>
            <w:tcW w:w="1418" w:type="dxa"/>
            <w:vAlign w:val="center"/>
          </w:tcPr>
          <w:p w14:paraId="19BDB3AD" w14:textId="77777777" w:rsidR="0080079E" w:rsidRPr="00671E75" w:rsidRDefault="0080079E" w:rsidP="0080079E">
            <w:pPr>
              <w:spacing w:before="0" w:line="240" w:lineRule="atLeast"/>
              <w:rPr>
                <w:rFonts w:ascii="Verdana" w:hAnsi="Verdana"/>
                <w:position w:val="6"/>
              </w:rPr>
            </w:pPr>
            <w:r w:rsidRPr="00671E75">
              <w:rPr>
                <w:lang w:eastAsia="es-ES_tradnl"/>
              </w:rPr>
              <w:drawing>
                <wp:inline distT="0" distB="0" distL="0" distR="0" wp14:anchorId="65921875" wp14:editId="30C13864">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1DA2C320" w14:textId="77777777" w:rsidR="0080079E" w:rsidRPr="00671E75" w:rsidRDefault="0080079E" w:rsidP="00C44E9E">
            <w:pPr>
              <w:spacing w:before="400" w:after="48" w:line="240" w:lineRule="atLeast"/>
              <w:rPr>
                <w:rFonts w:ascii="Verdana" w:hAnsi="Verdana"/>
                <w:position w:val="6"/>
              </w:rPr>
            </w:pPr>
            <w:r w:rsidRPr="00671E75">
              <w:rPr>
                <w:rFonts w:ascii="Verdana" w:hAnsi="Verdana" w:cs="Times"/>
                <w:b/>
                <w:position w:val="6"/>
                <w:sz w:val="20"/>
              </w:rPr>
              <w:t>Conferencia Mundial de Radiocomunicaciones (CMR-23)</w:t>
            </w:r>
            <w:r w:rsidRPr="00671E75">
              <w:rPr>
                <w:rFonts w:ascii="Verdana" w:hAnsi="Verdana" w:cs="Times"/>
                <w:b/>
                <w:position w:val="6"/>
                <w:sz w:val="20"/>
              </w:rPr>
              <w:br/>
            </w:r>
            <w:r w:rsidRPr="00671E75">
              <w:rPr>
                <w:rFonts w:ascii="Verdana" w:hAnsi="Verdana" w:cs="Times"/>
                <w:b/>
                <w:position w:val="6"/>
                <w:sz w:val="18"/>
                <w:szCs w:val="18"/>
              </w:rPr>
              <w:t>Dubái, 20 de noviembre - 15 de diciembre de 2023</w:t>
            </w:r>
          </w:p>
        </w:tc>
        <w:tc>
          <w:tcPr>
            <w:tcW w:w="1809" w:type="dxa"/>
            <w:vAlign w:val="center"/>
          </w:tcPr>
          <w:p w14:paraId="08245CD9" w14:textId="77777777" w:rsidR="0080079E" w:rsidRPr="00671E75" w:rsidRDefault="0080079E" w:rsidP="0080079E">
            <w:pPr>
              <w:spacing w:before="0" w:line="240" w:lineRule="atLeast"/>
            </w:pPr>
            <w:bookmarkStart w:id="0" w:name="ditulogo"/>
            <w:bookmarkEnd w:id="0"/>
            <w:r w:rsidRPr="00671E75">
              <w:rPr>
                <w:lang w:eastAsia="es-ES_tradnl"/>
              </w:rPr>
              <w:drawing>
                <wp:inline distT="0" distB="0" distL="0" distR="0" wp14:anchorId="7F9D1FC7" wp14:editId="49D91220">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671E75" w14:paraId="7971A700" w14:textId="77777777" w:rsidTr="0050008E">
        <w:trPr>
          <w:cantSplit/>
        </w:trPr>
        <w:tc>
          <w:tcPr>
            <w:tcW w:w="6911" w:type="dxa"/>
            <w:gridSpan w:val="2"/>
            <w:tcBorders>
              <w:bottom w:val="single" w:sz="12" w:space="0" w:color="auto"/>
            </w:tcBorders>
          </w:tcPr>
          <w:p w14:paraId="12149373" w14:textId="77777777" w:rsidR="0090121B" w:rsidRPr="00671E75" w:rsidRDefault="0090121B" w:rsidP="0090121B">
            <w:pPr>
              <w:spacing w:before="0" w:after="48" w:line="240" w:lineRule="atLeast"/>
              <w:rPr>
                <w:b/>
                <w:smallCaps/>
                <w:szCs w:val="24"/>
              </w:rPr>
            </w:pPr>
            <w:bookmarkStart w:id="1" w:name="dhead"/>
          </w:p>
        </w:tc>
        <w:tc>
          <w:tcPr>
            <w:tcW w:w="3120" w:type="dxa"/>
            <w:gridSpan w:val="2"/>
            <w:tcBorders>
              <w:bottom w:val="single" w:sz="12" w:space="0" w:color="auto"/>
            </w:tcBorders>
          </w:tcPr>
          <w:p w14:paraId="3A696C6F" w14:textId="77777777" w:rsidR="0090121B" w:rsidRPr="00671E75" w:rsidRDefault="0090121B" w:rsidP="0090121B">
            <w:pPr>
              <w:spacing w:before="0" w:line="240" w:lineRule="atLeast"/>
              <w:rPr>
                <w:rFonts w:ascii="Verdana" w:hAnsi="Verdana"/>
                <w:szCs w:val="24"/>
              </w:rPr>
            </w:pPr>
          </w:p>
        </w:tc>
      </w:tr>
      <w:tr w:rsidR="0090121B" w:rsidRPr="00671E75" w14:paraId="5CA3C5DB" w14:textId="77777777" w:rsidTr="0090121B">
        <w:trPr>
          <w:cantSplit/>
        </w:trPr>
        <w:tc>
          <w:tcPr>
            <w:tcW w:w="6911" w:type="dxa"/>
            <w:gridSpan w:val="2"/>
            <w:tcBorders>
              <w:top w:val="single" w:sz="12" w:space="0" w:color="auto"/>
            </w:tcBorders>
          </w:tcPr>
          <w:p w14:paraId="1820B28C" w14:textId="77777777" w:rsidR="0090121B" w:rsidRPr="00671E75"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396E6EF7" w14:textId="77777777" w:rsidR="0090121B" w:rsidRPr="00671E75" w:rsidRDefault="0090121B" w:rsidP="0090121B">
            <w:pPr>
              <w:spacing w:before="0" w:line="240" w:lineRule="atLeast"/>
              <w:rPr>
                <w:rFonts w:ascii="Verdana" w:hAnsi="Verdana"/>
                <w:sz w:val="20"/>
              </w:rPr>
            </w:pPr>
          </w:p>
        </w:tc>
      </w:tr>
      <w:tr w:rsidR="0090121B" w:rsidRPr="00671E75" w14:paraId="0073185A" w14:textId="77777777" w:rsidTr="0090121B">
        <w:trPr>
          <w:cantSplit/>
        </w:trPr>
        <w:tc>
          <w:tcPr>
            <w:tcW w:w="6911" w:type="dxa"/>
            <w:gridSpan w:val="2"/>
          </w:tcPr>
          <w:p w14:paraId="11EA5161" w14:textId="77777777" w:rsidR="0090121B" w:rsidRPr="00671E75" w:rsidRDefault="001E7D42" w:rsidP="00EA77F0">
            <w:pPr>
              <w:pStyle w:val="Committee"/>
              <w:framePr w:hSpace="0" w:wrap="auto" w:hAnchor="text" w:yAlign="inline"/>
              <w:rPr>
                <w:szCs w:val="18"/>
                <w:lang w:val="es-ES_tradnl"/>
              </w:rPr>
            </w:pPr>
            <w:r w:rsidRPr="00671E75">
              <w:rPr>
                <w:szCs w:val="18"/>
                <w:lang w:val="es-ES_tradnl"/>
              </w:rPr>
              <w:t>SESIÓN PLENARIA</w:t>
            </w:r>
          </w:p>
        </w:tc>
        <w:tc>
          <w:tcPr>
            <w:tcW w:w="3120" w:type="dxa"/>
            <w:gridSpan w:val="2"/>
          </w:tcPr>
          <w:p w14:paraId="6540C283" w14:textId="77777777" w:rsidR="0090121B" w:rsidRPr="00671E75" w:rsidRDefault="00AE658F" w:rsidP="0045384C">
            <w:pPr>
              <w:spacing w:before="0"/>
              <w:rPr>
                <w:rFonts w:ascii="Verdana" w:hAnsi="Verdana"/>
                <w:sz w:val="20"/>
                <w:szCs w:val="18"/>
              </w:rPr>
            </w:pPr>
            <w:r w:rsidRPr="00671E75">
              <w:rPr>
                <w:rFonts w:ascii="Verdana" w:hAnsi="Verdana"/>
                <w:b/>
                <w:sz w:val="20"/>
                <w:szCs w:val="18"/>
              </w:rPr>
              <w:t>Addéndum 3 al</w:t>
            </w:r>
            <w:r w:rsidRPr="00671E75">
              <w:rPr>
                <w:rFonts w:ascii="Verdana" w:hAnsi="Verdana"/>
                <w:b/>
                <w:sz w:val="20"/>
                <w:szCs w:val="18"/>
              </w:rPr>
              <w:br/>
              <w:t>Documento 44(Add.11)</w:t>
            </w:r>
            <w:r w:rsidR="0090121B" w:rsidRPr="00671E75">
              <w:rPr>
                <w:rFonts w:ascii="Verdana" w:hAnsi="Verdana"/>
                <w:b/>
                <w:sz w:val="20"/>
                <w:szCs w:val="18"/>
              </w:rPr>
              <w:t>-</w:t>
            </w:r>
            <w:r w:rsidRPr="00671E75">
              <w:rPr>
                <w:rFonts w:ascii="Verdana" w:hAnsi="Verdana"/>
                <w:b/>
                <w:sz w:val="20"/>
                <w:szCs w:val="18"/>
              </w:rPr>
              <w:t>S</w:t>
            </w:r>
          </w:p>
        </w:tc>
      </w:tr>
      <w:bookmarkEnd w:id="1"/>
      <w:tr w:rsidR="000A5B9A" w:rsidRPr="00671E75" w14:paraId="1ABE00B4" w14:textId="77777777" w:rsidTr="0090121B">
        <w:trPr>
          <w:cantSplit/>
        </w:trPr>
        <w:tc>
          <w:tcPr>
            <w:tcW w:w="6911" w:type="dxa"/>
            <w:gridSpan w:val="2"/>
          </w:tcPr>
          <w:p w14:paraId="5A79D25E" w14:textId="77777777" w:rsidR="000A5B9A" w:rsidRPr="00671E75" w:rsidRDefault="000A5B9A" w:rsidP="0045384C">
            <w:pPr>
              <w:spacing w:before="0" w:after="48"/>
              <w:rPr>
                <w:rFonts w:ascii="Verdana" w:hAnsi="Verdana"/>
                <w:b/>
                <w:smallCaps/>
                <w:sz w:val="20"/>
                <w:szCs w:val="18"/>
              </w:rPr>
            </w:pPr>
          </w:p>
        </w:tc>
        <w:tc>
          <w:tcPr>
            <w:tcW w:w="3120" w:type="dxa"/>
            <w:gridSpan w:val="2"/>
          </w:tcPr>
          <w:p w14:paraId="0E88374B" w14:textId="77777777" w:rsidR="000A5B9A" w:rsidRPr="00671E75" w:rsidRDefault="000A5B9A" w:rsidP="0045384C">
            <w:pPr>
              <w:spacing w:before="0"/>
              <w:rPr>
                <w:rFonts w:ascii="Verdana" w:hAnsi="Verdana"/>
                <w:b/>
                <w:sz w:val="20"/>
                <w:szCs w:val="18"/>
              </w:rPr>
            </w:pPr>
            <w:r w:rsidRPr="00671E75">
              <w:rPr>
                <w:rFonts w:ascii="Verdana" w:hAnsi="Verdana"/>
                <w:b/>
                <w:sz w:val="20"/>
                <w:szCs w:val="18"/>
              </w:rPr>
              <w:t>13 de octubre de 2023</w:t>
            </w:r>
          </w:p>
        </w:tc>
      </w:tr>
      <w:tr w:rsidR="000A5B9A" w:rsidRPr="00671E75" w14:paraId="4CFE16FD" w14:textId="77777777" w:rsidTr="0090121B">
        <w:trPr>
          <w:cantSplit/>
        </w:trPr>
        <w:tc>
          <w:tcPr>
            <w:tcW w:w="6911" w:type="dxa"/>
            <w:gridSpan w:val="2"/>
          </w:tcPr>
          <w:p w14:paraId="062DC5AC" w14:textId="77777777" w:rsidR="000A5B9A" w:rsidRPr="00671E75" w:rsidRDefault="000A5B9A" w:rsidP="0045384C">
            <w:pPr>
              <w:spacing w:before="0" w:after="48"/>
              <w:rPr>
                <w:rFonts w:ascii="Verdana" w:hAnsi="Verdana"/>
                <w:b/>
                <w:smallCaps/>
                <w:sz w:val="20"/>
                <w:szCs w:val="18"/>
              </w:rPr>
            </w:pPr>
          </w:p>
        </w:tc>
        <w:tc>
          <w:tcPr>
            <w:tcW w:w="3120" w:type="dxa"/>
            <w:gridSpan w:val="2"/>
          </w:tcPr>
          <w:p w14:paraId="25050784" w14:textId="510B72E3" w:rsidR="000A5B9A" w:rsidRPr="00671E75" w:rsidRDefault="000A5B9A" w:rsidP="0045384C">
            <w:pPr>
              <w:spacing w:before="0"/>
              <w:rPr>
                <w:rFonts w:ascii="Verdana" w:hAnsi="Verdana"/>
                <w:b/>
                <w:sz w:val="20"/>
                <w:szCs w:val="18"/>
              </w:rPr>
            </w:pPr>
            <w:r w:rsidRPr="00671E75">
              <w:rPr>
                <w:rFonts w:ascii="Verdana" w:hAnsi="Verdana"/>
                <w:b/>
                <w:sz w:val="20"/>
                <w:szCs w:val="18"/>
              </w:rPr>
              <w:t xml:space="preserve">Original: </w:t>
            </w:r>
            <w:r w:rsidR="00C52E1B" w:rsidRPr="00671E75">
              <w:rPr>
                <w:rFonts w:ascii="Verdana" w:hAnsi="Verdana"/>
                <w:b/>
                <w:sz w:val="20"/>
                <w:szCs w:val="18"/>
              </w:rPr>
              <w:t>español</w:t>
            </w:r>
          </w:p>
        </w:tc>
      </w:tr>
      <w:tr w:rsidR="000A5B9A" w:rsidRPr="00671E75" w14:paraId="78E23913" w14:textId="77777777" w:rsidTr="006744FC">
        <w:trPr>
          <w:cantSplit/>
        </w:trPr>
        <w:tc>
          <w:tcPr>
            <w:tcW w:w="10031" w:type="dxa"/>
            <w:gridSpan w:val="4"/>
          </w:tcPr>
          <w:p w14:paraId="4AC4BF0D" w14:textId="77777777" w:rsidR="000A5B9A" w:rsidRPr="00671E75" w:rsidRDefault="000A5B9A" w:rsidP="0045384C">
            <w:pPr>
              <w:spacing w:before="0"/>
              <w:rPr>
                <w:rFonts w:ascii="Verdana" w:hAnsi="Verdana"/>
                <w:b/>
                <w:sz w:val="18"/>
                <w:szCs w:val="22"/>
              </w:rPr>
            </w:pPr>
          </w:p>
        </w:tc>
      </w:tr>
      <w:tr w:rsidR="000A5B9A" w:rsidRPr="00671E75" w14:paraId="3DE7BD20" w14:textId="77777777" w:rsidTr="0050008E">
        <w:trPr>
          <w:cantSplit/>
        </w:trPr>
        <w:tc>
          <w:tcPr>
            <w:tcW w:w="10031" w:type="dxa"/>
            <w:gridSpan w:val="4"/>
          </w:tcPr>
          <w:p w14:paraId="19B48890" w14:textId="77777777" w:rsidR="000A5B9A" w:rsidRPr="00671E75" w:rsidRDefault="000A5B9A" w:rsidP="000A5B9A">
            <w:pPr>
              <w:pStyle w:val="Source"/>
            </w:pPr>
            <w:bookmarkStart w:id="2" w:name="dsource" w:colFirst="0" w:colLast="0"/>
            <w:r w:rsidRPr="00671E75">
              <w:t>Estados Miembros de la Comisión Interamericana de Telecomunicaciones (CITEL)</w:t>
            </w:r>
          </w:p>
        </w:tc>
      </w:tr>
      <w:tr w:rsidR="000A5B9A" w:rsidRPr="00671E75" w14:paraId="44315503" w14:textId="77777777" w:rsidTr="0050008E">
        <w:trPr>
          <w:cantSplit/>
        </w:trPr>
        <w:tc>
          <w:tcPr>
            <w:tcW w:w="10031" w:type="dxa"/>
            <w:gridSpan w:val="4"/>
          </w:tcPr>
          <w:p w14:paraId="7E4F5308" w14:textId="24F43A1D" w:rsidR="000A5B9A" w:rsidRPr="00671E75" w:rsidRDefault="00D57746" w:rsidP="000A5B9A">
            <w:pPr>
              <w:pStyle w:val="Title1"/>
            </w:pPr>
            <w:bookmarkStart w:id="3" w:name="dtitle1" w:colFirst="0" w:colLast="0"/>
            <w:bookmarkEnd w:id="2"/>
            <w:r w:rsidRPr="00671E75">
              <w:t>PROPUESTAS PARA LOS TRABAJOS DE LA CONFERENCIA</w:t>
            </w:r>
          </w:p>
        </w:tc>
      </w:tr>
      <w:tr w:rsidR="000A5B9A" w:rsidRPr="00671E75" w14:paraId="4C4DB82A" w14:textId="77777777" w:rsidTr="0050008E">
        <w:trPr>
          <w:cantSplit/>
        </w:trPr>
        <w:tc>
          <w:tcPr>
            <w:tcW w:w="10031" w:type="dxa"/>
            <w:gridSpan w:val="4"/>
          </w:tcPr>
          <w:p w14:paraId="33973EB7" w14:textId="77777777" w:rsidR="000A5B9A" w:rsidRPr="00671E75" w:rsidRDefault="000A5B9A" w:rsidP="000A5B9A">
            <w:pPr>
              <w:pStyle w:val="Title2"/>
            </w:pPr>
            <w:bookmarkStart w:id="4" w:name="dtitle2" w:colFirst="0" w:colLast="0"/>
            <w:bookmarkEnd w:id="3"/>
          </w:p>
        </w:tc>
      </w:tr>
      <w:tr w:rsidR="000A5B9A" w:rsidRPr="00671E75" w14:paraId="59F33EAB" w14:textId="77777777" w:rsidTr="0050008E">
        <w:trPr>
          <w:cantSplit/>
        </w:trPr>
        <w:tc>
          <w:tcPr>
            <w:tcW w:w="10031" w:type="dxa"/>
            <w:gridSpan w:val="4"/>
          </w:tcPr>
          <w:p w14:paraId="5C9EFA40" w14:textId="77777777" w:rsidR="000A5B9A" w:rsidRPr="00671E75" w:rsidRDefault="000A5B9A" w:rsidP="000A5B9A">
            <w:pPr>
              <w:pStyle w:val="Agendaitem"/>
            </w:pPr>
            <w:bookmarkStart w:id="5" w:name="dtitle3" w:colFirst="0" w:colLast="0"/>
            <w:bookmarkEnd w:id="4"/>
            <w:r w:rsidRPr="00671E75">
              <w:t>Punto 1.11 del orden del día</w:t>
            </w:r>
          </w:p>
        </w:tc>
      </w:tr>
    </w:tbl>
    <w:bookmarkEnd w:id="5"/>
    <w:p w14:paraId="63B802A8" w14:textId="77777777" w:rsidR="00D57746" w:rsidRPr="00671E75" w:rsidRDefault="00D57746" w:rsidP="009B0BD3">
      <w:r w:rsidRPr="00671E75">
        <w:rPr>
          <w:bCs/>
        </w:rPr>
        <w:t>1.11</w:t>
      </w:r>
      <w:r w:rsidRPr="00671E75">
        <w:rPr>
          <w:b/>
        </w:rPr>
        <w:tab/>
      </w:r>
      <w:r w:rsidRPr="00671E75">
        <w:t>considerar las posibles medidas reglamentarias para facilitar la modernización del Sistema Mundial de Socorro y Seguridad Marítimos y la implementación de la navegación electrónica, de conformidad con la Resolución </w:t>
      </w:r>
      <w:r w:rsidRPr="00671E75">
        <w:rPr>
          <w:b/>
          <w:bCs/>
        </w:rPr>
        <w:t>361 (Rev.CMR-19)</w:t>
      </w:r>
      <w:r w:rsidRPr="00671E75">
        <w:t>;</w:t>
      </w:r>
    </w:p>
    <w:p w14:paraId="254ACD63" w14:textId="206DA051" w:rsidR="00363A65" w:rsidRPr="00671E75" w:rsidRDefault="00671E75" w:rsidP="00671E75">
      <w:pPr>
        <w:pStyle w:val="Title4"/>
      </w:pPr>
      <w:r w:rsidRPr="00671E75">
        <w:t>Tema C</w:t>
      </w:r>
    </w:p>
    <w:p w14:paraId="28AC10FA" w14:textId="6DCE848B" w:rsidR="00671E75" w:rsidRPr="00671E75" w:rsidRDefault="00671E75" w:rsidP="00671E75">
      <w:pPr>
        <w:pStyle w:val="Headingb"/>
      </w:pPr>
      <w:r w:rsidRPr="00671E75">
        <w:t>Propuestas</w:t>
      </w:r>
    </w:p>
    <w:p w14:paraId="7F3AB2B3" w14:textId="7165CD7A" w:rsidR="00B85F9D" w:rsidRPr="00671E75" w:rsidRDefault="008750A8" w:rsidP="00671E75">
      <w:pPr>
        <w:pStyle w:val="Proposal"/>
      </w:pPr>
      <w:r w:rsidRPr="00671E75">
        <w:br w:type="page"/>
      </w:r>
      <w:r w:rsidR="00D57746" w:rsidRPr="00671E75">
        <w:rPr>
          <w:u w:val="single"/>
        </w:rPr>
        <w:lastRenderedPageBreak/>
        <w:t>NOC</w:t>
      </w:r>
      <w:r w:rsidR="00D57746" w:rsidRPr="00671E75">
        <w:tab/>
        <w:t>IAP/44A11A3/1</w:t>
      </w:r>
      <w:r w:rsidR="00D57746" w:rsidRPr="00671E75">
        <w:rPr>
          <w:vanish/>
          <w:color w:val="7F7F7F" w:themeColor="text1" w:themeTint="80"/>
          <w:vertAlign w:val="superscript"/>
        </w:rPr>
        <w:t>#1776</w:t>
      </w:r>
    </w:p>
    <w:p w14:paraId="09E689D2" w14:textId="77777777" w:rsidR="00D57746" w:rsidRPr="00671E75" w:rsidRDefault="00D57746" w:rsidP="00F32AF8">
      <w:pPr>
        <w:pStyle w:val="Volumetitle"/>
      </w:pPr>
      <w:r w:rsidRPr="00671E75">
        <w:t>ARTÍCULOS</w:t>
      </w:r>
    </w:p>
    <w:p w14:paraId="6C41FC74" w14:textId="77777777" w:rsidR="00B85F9D" w:rsidRPr="00671E75" w:rsidRDefault="00B85F9D">
      <w:pPr>
        <w:pStyle w:val="Reasons"/>
      </w:pPr>
    </w:p>
    <w:p w14:paraId="3A7ECCB3" w14:textId="77777777" w:rsidR="00B85F9D" w:rsidRPr="00671E75" w:rsidRDefault="00D57746">
      <w:pPr>
        <w:pStyle w:val="Proposal"/>
      </w:pPr>
      <w:r w:rsidRPr="00671E75">
        <w:rPr>
          <w:u w:val="single"/>
        </w:rPr>
        <w:t>NOC</w:t>
      </w:r>
      <w:r w:rsidRPr="00671E75">
        <w:tab/>
        <w:t>IAP/44A11A3/2</w:t>
      </w:r>
      <w:r w:rsidRPr="00671E75">
        <w:rPr>
          <w:vanish/>
          <w:color w:val="7F7F7F" w:themeColor="text1" w:themeTint="80"/>
          <w:vertAlign w:val="superscript"/>
        </w:rPr>
        <w:t>#1777</w:t>
      </w:r>
    </w:p>
    <w:p w14:paraId="2D7FD1DC" w14:textId="77777777" w:rsidR="00D57746" w:rsidRPr="00671E75" w:rsidRDefault="00D57746" w:rsidP="00F32AF8">
      <w:pPr>
        <w:pStyle w:val="Volumetitle"/>
      </w:pPr>
      <w:r w:rsidRPr="00671E75">
        <w:t>APÉNDICES</w:t>
      </w:r>
    </w:p>
    <w:p w14:paraId="1BA2AECE" w14:textId="77770480" w:rsidR="00B85F9D" w:rsidRPr="00671E75" w:rsidRDefault="00D57746" w:rsidP="00D57746">
      <w:pPr>
        <w:pStyle w:val="Reasons"/>
      </w:pPr>
      <w:r w:rsidRPr="00671E75">
        <w:rPr>
          <w:b/>
        </w:rPr>
        <w:t>Motivos:</w:t>
      </w:r>
      <w:r w:rsidRPr="00671E75">
        <w:tab/>
        <w:t xml:space="preserve">Las condiciones para hacer los cambios del </w:t>
      </w:r>
      <w:r w:rsidRPr="00671E75">
        <w:rPr>
          <w:i/>
        </w:rPr>
        <w:t>resuelve</w:t>
      </w:r>
      <w:r w:rsidRPr="00671E75">
        <w:t xml:space="preserve"> 3 no se han cumplido.</w:t>
      </w:r>
    </w:p>
    <w:p w14:paraId="71B0E155" w14:textId="57C98977" w:rsidR="00D57746" w:rsidRPr="00671E75" w:rsidRDefault="00D57746" w:rsidP="00A47C15">
      <w:r w:rsidRPr="00671E75">
        <w:t>1)</w:t>
      </w:r>
      <w:r w:rsidRPr="00671E75">
        <w:tab/>
        <w:t>A pesar del reconocimiento de OMI, los asuntos pendientes de implementación necesarios para iniciar el servicio SMSSM, incluyendo la coordinación de la frecuencia del candidato d</w:t>
      </w:r>
      <w:r w:rsidR="00671E75">
        <w:t>e la red satelital geo</w:t>
      </w:r>
      <w:r w:rsidRPr="00671E75">
        <w:t xml:space="preserve">estacionaria, se deben completar. La coordinación de frecuencia por parte de la administración notificante, la cual están dentro del alcance de la UIT, se debe completar antes de la CMR-23 de acuerdo con la Resolución </w:t>
      </w:r>
      <w:r w:rsidRPr="00671E75">
        <w:rPr>
          <w:b/>
        </w:rPr>
        <w:t>361</w:t>
      </w:r>
      <w:r w:rsidRPr="00671E75">
        <w:t xml:space="preserve"> </w:t>
      </w:r>
      <w:r w:rsidRPr="00671E75">
        <w:rPr>
          <w:b/>
        </w:rPr>
        <w:t>(Rev. CMR</w:t>
      </w:r>
      <w:r w:rsidR="007B2BD5">
        <w:rPr>
          <w:b/>
        </w:rPr>
        <w:t>-</w:t>
      </w:r>
      <w:bookmarkStart w:id="6" w:name="_GoBack"/>
      <w:bookmarkEnd w:id="6"/>
      <w:r w:rsidRPr="00671E75">
        <w:rPr>
          <w:b/>
        </w:rPr>
        <w:t xml:space="preserve">19). </w:t>
      </w:r>
    </w:p>
    <w:p w14:paraId="29C1694D" w14:textId="3DA2C0D3" w:rsidR="00D57746" w:rsidRPr="00671E75" w:rsidRDefault="00D57746" w:rsidP="00A47C15">
      <w:r w:rsidRPr="00671E75">
        <w:tab/>
        <w:t xml:space="preserve">Entre los problemas pendientes de implementación que el operador de la red del Sistema satelital geoestacionario debe completar antes de la CMR-13 es la conclusión de las acciones regulatorias necesarias para salvaguardar la disponibilidad y total protección al espectro que este Sistema propone para los servicios SMSSM. Esto incluye resolver el problema de la coordinación de frecuencia del Artículo 9 con otros sistemas antes de que el operador de la red satelital geoestacionaria pueda iniciar con el servicio SMSSM. Por ende, se necesita completar la coordinación complete con los </w:t>
      </w:r>
      <w:r w:rsidR="00671E75">
        <w:t>sistemas satelitales HIBLEO-2, y</w:t>
      </w:r>
      <w:r w:rsidRPr="00671E75">
        <w:t xml:space="preserve"> HIBLEO-X y HIBLEO-4.</w:t>
      </w:r>
    </w:p>
    <w:p w14:paraId="7BF16657" w14:textId="31061EF2" w:rsidR="00D57746" w:rsidRPr="00671E75" w:rsidRDefault="00A47C15" w:rsidP="00A47C15">
      <w:r w:rsidRPr="00671E75">
        <w:t>2)</w:t>
      </w:r>
      <w:r w:rsidRPr="00671E75">
        <w:tab/>
      </w:r>
      <w:r w:rsidR="00D57746" w:rsidRPr="00671E75">
        <w:t xml:space="preserve">No se han identificado las necesidades de espectro para un nuevo sistema SMSSM. El Resuelve 3 de la Resolución </w:t>
      </w:r>
      <w:r w:rsidR="00D57746" w:rsidRPr="00671E75">
        <w:rPr>
          <w:b/>
        </w:rPr>
        <w:t>361</w:t>
      </w:r>
      <w:r w:rsidR="00D57746" w:rsidRPr="00671E75">
        <w:t xml:space="preserve"> invita al UIT-R, entre otros asuntos, a que determine las necesidades de espectro para un nuevo sistema satelital del SMSSM, pero esto no se ha emprendido.</w:t>
      </w:r>
    </w:p>
    <w:p w14:paraId="76F020B9" w14:textId="7FC87068" w:rsidR="00D57746" w:rsidRPr="00671E75" w:rsidRDefault="00A47C15" w:rsidP="00A47C15">
      <w:r w:rsidRPr="00671E75">
        <w:t>3)</w:t>
      </w:r>
      <w:r w:rsidRPr="00671E75">
        <w:tab/>
      </w:r>
      <w:r w:rsidR="00D57746" w:rsidRPr="00671E75">
        <w:t>No se ha completado la coordinación de frecuencias en virtud del Artículo</w:t>
      </w:r>
      <w:r w:rsidR="00D57746" w:rsidRPr="00671E75">
        <w:rPr>
          <w:b/>
        </w:rPr>
        <w:t xml:space="preserve"> 9</w:t>
      </w:r>
      <w:r w:rsidR="00D57746" w:rsidRPr="00671E75">
        <w:t xml:space="preserve"> del Reglamento de Radiocomunicaciones. Sin una coordinación satisfactoria del sistema propuesto, éste no recibe protección. Las disposiciones del </w:t>
      </w:r>
      <w:bookmarkStart w:id="7" w:name="_Hlk102912114"/>
      <w:r w:rsidR="00D57746" w:rsidRPr="00671E75">
        <w:t xml:space="preserve">Artículo </w:t>
      </w:r>
      <w:r w:rsidR="00D57746" w:rsidRPr="00671E75">
        <w:rPr>
          <w:b/>
        </w:rPr>
        <w:t>9</w:t>
      </w:r>
      <w:r w:rsidR="00D57746" w:rsidRPr="00671E75">
        <w:t xml:space="preserve"> del Reglamento de Radiocomunicaciones</w:t>
      </w:r>
      <w:bookmarkEnd w:id="7"/>
      <w:r w:rsidR="00D57746" w:rsidRPr="00671E75">
        <w:t xml:space="preserve"> exigen la finalización de la coordinación para proporcionar algún grado de protección contra las interferencias perjudiciales para el sistema satelital del SMSSM a partir de los sistemas de satélites SMS existentes con mayor prioridad, operando en las mismas bandas de frecuencias. La administración responsable del SMSSM satelital adicional propuesto no ha completado satisfactoriamente la coordinación por satélite con arreglo al Artículo</w:t>
      </w:r>
      <w:r w:rsidR="00D57746" w:rsidRPr="00671E75">
        <w:rPr>
          <w:b/>
        </w:rPr>
        <w:t xml:space="preserve"> 9</w:t>
      </w:r>
      <w:r w:rsidR="00D57746" w:rsidRPr="00671E75">
        <w:t xml:space="preserve"> y, por consiguiente, la red propuesta no tiene derecho a protección contra las interferencias perjudiciales. Además, en el caso de interferencias perjudiciales en otras redes de satélites notificadas que operan en las bandas de frecuencias consideradas, el sistema SMSSM tendría que dar por terminados sus servicios inmediatamente y no podría prestar servicios a sus usuarios en las bandas de frecuencias consideradas.</w:t>
      </w:r>
    </w:p>
    <w:p w14:paraId="4B18CC0F" w14:textId="77777777" w:rsidR="00B85F9D" w:rsidRPr="00671E75" w:rsidRDefault="00D57746">
      <w:pPr>
        <w:pStyle w:val="Proposal"/>
      </w:pPr>
      <w:r w:rsidRPr="00671E75">
        <w:lastRenderedPageBreak/>
        <w:t>SUP</w:t>
      </w:r>
      <w:r w:rsidRPr="00671E75">
        <w:tab/>
        <w:t>IAP/44A11A3/3</w:t>
      </w:r>
      <w:r w:rsidRPr="00671E75">
        <w:rPr>
          <w:vanish/>
          <w:color w:val="7F7F7F" w:themeColor="text1" w:themeTint="80"/>
          <w:vertAlign w:val="superscript"/>
        </w:rPr>
        <w:t>#1773</w:t>
      </w:r>
    </w:p>
    <w:p w14:paraId="11593045" w14:textId="77777777" w:rsidR="00D57746" w:rsidRPr="00671E75" w:rsidRDefault="00D57746" w:rsidP="00F32AF8">
      <w:pPr>
        <w:pStyle w:val="ResNo"/>
      </w:pPr>
      <w:r w:rsidRPr="00671E75">
        <w:t>RESOLUCIÓN 361 (REV.CMR-19)</w:t>
      </w:r>
    </w:p>
    <w:p w14:paraId="259D9239" w14:textId="77777777" w:rsidR="00D57746" w:rsidRPr="00671E75" w:rsidRDefault="00D57746" w:rsidP="00F32AF8">
      <w:pPr>
        <w:pStyle w:val="Restitle"/>
      </w:pPr>
      <w:r w:rsidRPr="00671E75">
        <w:t>Consideración de posibles medidas reglamentarias para facilitar</w:t>
      </w:r>
      <w:r w:rsidRPr="00671E75">
        <w:br/>
        <w:t>la modernización del Sistema Mundial de Socorro</w:t>
      </w:r>
      <w:r w:rsidRPr="00671E75">
        <w:br/>
        <w:t>y Seguridad Marítimos y</w:t>
      </w:r>
      <w:r w:rsidRPr="00671E75" w:rsidDel="00A66185">
        <w:t xml:space="preserve"> </w:t>
      </w:r>
      <w:r w:rsidRPr="00671E75">
        <w:t>la implementación</w:t>
      </w:r>
      <w:r w:rsidRPr="00671E75">
        <w:br/>
        <w:t>de la navegación electrónica</w:t>
      </w:r>
    </w:p>
    <w:p w14:paraId="28FF4F4D" w14:textId="6DA34412" w:rsidR="00B85F9D" w:rsidRPr="00671E75" w:rsidRDefault="00D57746" w:rsidP="00D57746">
      <w:pPr>
        <w:pStyle w:val="Reasons"/>
        <w:rPr>
          <w:spacing w:val="-2"/>
        </w:rPr>
      </w:pPr>
      <w:r w:rsidRPr="00671E75">
        <w:rPr>
          <w:b/>
          <w:spacing w:val="-2"/>
        </w:rPr>
        <w:t>Motivos:</w:t>
      </w:r>
      <w:r w:rsidRPr="00671E75">
        <w:rPr>
          <w:spacing w:val="-2"/>
        </w:rPr>
        <w:tab/>
        <w:t xml:space="preserve">Como consecuencia del resultado de los estudios bajo </w:t>
      </w:r>
      <w:r w:rsidRPr="00671E75">
        <w:rPr>
          <w:i/>
          <w:spacing w:val="-2"/>
        </w:rPr>
        <w:t xml:space="preserve">resuelve </w:t>
      </w:r>
      <w:r w:rsidRPr="00671E75">
        <w:rPr>
          <w:spacing w:val="-2"/>
        </w:rPr>
        <w:t xml:space="preserve">3, La Resolución </w:t>
      </w:r>
      <w:r w:rsidR="00671E75" w:rsidRPr="00671E75">
        <w:rPr>
          <w:b/>
          <w:bCs/>
          <w:spacing w:val="-2"/>
        </w:rPr>
        <w:t>361 (Rev</w:t>
      </w:r>
      <w:r w:rsidRPr="00671E75">
        <w:rPr>
          <w:b/>
          <w:bCs/>
          <w:spacing w:val="-2"/>
        </w:rPr>
        <w:t>.CMR-19)</w:t>
      </w:r>
      <w:r w:rsidRPr="00671E75">
        <w:rPr>
          <w:spacing w:val="-2"/>
        </w:rPr>
        <w:t xml:space="preserve"> se propone que esta Resolución se elimine con re</w:t>
      </w:r>
      <w:r w:rsidR="00671E75" w:rsidRPr="00671E75">
        <w:rPr>
          <w:spacing w:val="-2"/>
        </w:rPr>
        <w:t>spec</w:t>
      </w:r>
      <w:r w:rsidR="00671E75">
        <w:rPr>
          <w:spacing w:val="-2"/>
        </w:rPr>
        <w:t>t</w:t>
      </w:r>
      <w:r w:rsidR="00671E75" w:rsidRPr="00671E75">
        <w:rPr>
          <w:spacing w:val="-2"/>
        </w:rPr>
        <w:t>o al resuelve 3, Resolución </w:t>
      </w:r>
      <w:r w:rsidR="00671E75" w:rsidRPr="00671E75">
        <w:rPr>
          <w:b/>
          <w:bCs/>
          <w:spacing w:val="-2"/>
        </w:rPr>
        <w:t>361 (Rev</w:t>
      </w:r>
      <w:r w:rsidRPr="00671E75">
        <w:rPr>
          <w:b/>
          <w:bCs/>
          <w:spacing w:val="-2"/>
        </w:rPr>
        <w:t>.CMR-19)</w:t>
      </w:r>
      <w:r w:rsidRPr="00671E75">
        <w:rPr>
          <w:spacing w:val="-2"/>
        </w:rPr>
        <w:t>.</w:t>
      </w:r>
    </w:p>
    <w:p w14:paraId="022BED85" w14:textId="77777777" w:rsidR="00A47C15" w:rsidRPr="00671E75" w:rsidRDefault="00A47C15" w:rsidP="00A47C15"/>
    <w:p w14:paraId="12C7D1AD" w14:textId="7A4DF45D" w:rsidR="00D57746" w:rsidRPr="00671E75" w:rsidRDefault="00A47C15" w:rsidP="00A47C15">
      <w:pPr>
        <w:jc w:val="center"/>
      </w:pPr>
      <w:r w:rsidRPr="00671E75">
        <w:t>______________</w:t>
      </w:r>
    </w:p>
    <w:sectPr w:rsidR="00D57746" w:rsidRPr="00671E75">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B80B87" w14:textId="77777777" w:rsidR="00666B37" w:rsidRDefault="00666B37">
      <w:r>
        <w:separator/>
      </w:r>
    </w:p>
  </w:endnote>
  <w:endnote w:type="continuationSeparator" w:id="0">
    <w:p w14:paraId="414C1C77"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C9285"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6DD455" w14:textId="70840332"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8047A8">
      <w:rPr>
        <w:noProof/>
      </w:rPr>
      <w:t>25.10.23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8151C" w14:textId="0C590804" w:rsidR="0077084A" w:rsidRPr="00D57746" w:rsidRDefault="00D57746" w:rsidP="00D57746">
    <w:pPr>
      <w:pStyle w:val="Footer"/>
      <w:rPr>
        <w:lang w:val="en-GB"/>
      </w:rPr>
    </w:pPr>
    <w:r>
      <w:fldChar w:fldCharType="begin"/>
    </w:r>
    <w:r w:rsidRPr="00D57746">
      <w:rPr>
        <w:lang w:val="en-GB"/>
      </w:rPr>
      <w:instrText xml:space="preserve"> FILENAME \p  \* MERGEFORMAT </w:instrText>
    </w:r>
    <w:r>
      <w:fldChar w:fldCharType="separate"/>
    </w:r>
    <w:r w:rsidR="00A47C15">
      <w:rPr>
        <w:lang w:val="en-GB"/>
      </w:rPr>
      <w:t>P:\ESP\ITU-R\CONF-R\CMR23\000\044ADD11ADD03S.docx</w:t>
    </w:r>
    <w:r>
      <w:fldChar w:fldCharType="end"/>
    </w:r>
    <w:r w:rsidRPr="00D57746">
      <w:rPr>
        <w:lang w:val="en-GB"/>
      </w:rPr>
      <w:t xml:space="preserve"> (529453)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35F0E" w14:textId="36D30BC0" w:rsidR="0077084A" w:rsidRPr="00D57746" w:rsidRDefault="00D57746" w:rsidP="00D57746">
    <w:pPr>
      <w:pStyle w:val="Footer"/>
      <w:rPr>
        <w:lang w:val="en-GB"/>
      </w:rPr>
    </w:pPr>
    <w:r>
      <w:fldChar w:fldCharType="begin"/>
    </w:r>
    <w:r w:rsidRPr="00D57746">
      <w:rPr>
        <w:lang w:val="en-GB"/>
      </w:rPr>
      <w:instrText xml:space="preserve"> FILENAME \p  \* MERGEFORMAT </w:instrText>
    </w:r>
    <w:r>
      <w:fldChar w:fldCharType="separate"/>
    </w:r>
    <w:r w:rsidR="00A47C15">
      <w:rPr>
        <w:lang w:val="en-GB"/>
      </w:rPr>
      <w:t>P:\ESP\ITU-R\CONF-R\CMR23\000\044ADD11ADD03S.docx</w:t>
    </w:r>
    <w:r>
      <w:fldChar w:fldCharType="end"/>
    </w:r>
    <w:r w:rsidRPr="00D57746">
      <w:rPr>
        <w:lang w:val="en-GB"/>
      </w:rPr>
      <w:t xml:space="preserve"> (529453)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920C8" w14:textId="77777777" w:rsidR="00666B37" w:rsidRDefault="00666B37">
      <w:r>
        <w:rPr>
          <w:b/>
        </w:rPr>
        <w:t>_______________</w:t>
      </w:r>
    </w:p>
  </w:footnote>
  <w:footnote w:type="continuationSeparator" w:id="0">
    <w:p w14:paraId="540599BD" w14:textId="77777777" w:rsidR="00666B37" w:rsidRDefault="0066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96617" w14:textId="55F0A7E8"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7B2BD5">
      <w:rPr>
        <w:rStyle w:val="PageNumber"/>
        <w:noProof/>
      </w:rPr>
      <w:t>3</w:t>
    </w:r>
    <w:r>
      <w:rPr>
        <w:rStyle w:val="PageNumber"/>
      </w:rPr>
      <w:fldChar w:fldCharType="end"/>
    </w:r>
  </w:p>
  <w:p w14:paraId="2CCE73F9"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44(Add.11)(Add.3)-</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54715"/>
    <w:rsid w:val="00087AE8"/>
    <w:rsid w:val="00091054"/>
    <w:rsid w:val="000A2A7D"/>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3659C"/>
    <w:rsid w:val="00236D2A"/>
    <w:rsid w:val="0024569E"/>
    <w:rsid w:val="00255F12"/>
    <w:rsid w:val="00262C09"/>
    <w:rsid w:val="002A791F"/>
    <w:rsid w:val="002C1A52"/>
    <w:rsid w:val="002C1B26"/>
    <w:rsid w:val="002C5D6C"/>
    <w:rsid w:val="002E701F"/>
    <w:rsid w:val="003248A9"/>
    <w:rsid w:val="00324FFA"/>
    <w:rsid w:val="0032680B"/>
    <w:rsid w:val="00363A65"/>
    <w:rsid w:val="003B1E8C"/>
    <w:rsid w:val="003C0613"/>
    <w:rsid w:val="003C2508"/>
    <w:rsid w:val="003D0AA3"/>
    <w:rsid w:val="003E2086"/>
    <w:rsid w:val="003F7F66"/>
    <w:rsid w:val="00440B3A"/>
    <w:rsid w:val="0044375A"/>
    <w:rsid w:val="0045384C"/>
    <w:rsid w:val="00454553"/>
    <w:rsid w:val="00472A86"/>
    <w:rsid w:val="004B124A"/>
    <w:rsid w:val="004B3095"/>
    <w:rsid w:val="004D2749"/>
    <w:rsid w:val="004D2C7C"/>
    <w:rsid w:val="005133B5"/>
    <w:rsid w:val="00524392"/>
    <w:rsid w:val="00532097"/>
    <w:rsid w:val="0058350F"/>
    <w:rsid w:val="00583C7E"/>
    <w:rsid w:val="0059098E"/>
    <w:rsid w:val="005D46FB"/>
    <w:rsid w:val="005F2605"/>
    <w:rsid w:val="005F3B0E"/>
    <w:rsid w:val="005F3DB8"/>
    <w:rsid w:val="005F559C"/>
    <w:rsid w:val="00602857"/>
    <w:rsid w:val="00606014"/>
    <w:rsid w:val="006124AD"/>
    <w:rsid w:val="00624009"/>
    <w:rsid w:val="00662BA0"/>
    <w:rsid w:val="00666B37"/>
    <w:rsid w:val="00671E75"/>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952C7"/>
    <w:rsid w:val="007B2BD5"/>
    <w:rsid w:val="007C0B95"/>
    <w:rsid w:val="007C2317"/>
    <w:rsid w:val="007D330A"/>
    <w:rsid w:val="0080079E"/>
    <w:rsid w:val="008047A8"/>
    <w:rsid w:val="008504C2"/>
    <w:rsid w:val="00866AE6"/>
    <w:rsid w:val="008750A8"/>
    <w:rsid w:val="008D3316"/>
    <w:rsid w:val="008E5AF2"/>
    <w:rsid w:val="0090121B"/>
    <w:rsid w:val="009144C9"/>
    <w:rsid w:val="0094091F"/>
    <w:rsid w:val="00962171"/>
    <w:rsid w:val="00973754"/>
    <w:rsid w:val="009C0BED"/>
    <w:rsid w:val="009E11EC"/>
    <w:rsid w:val="00A021CC"/>
    <w:rsid w:val="00A118DB"/>
    <w:rsid w:val="00A4450C"/>
    <w:rsid w:val="00A47C15"/>
    <w:rsid w:val="00AA5E6C"/>
    <w:rsid w:val="00AC49B1"/>
    <w:rsid w:val="00AE5677"/>
    <w:rsid w:val="00AE658F"/>
    <w:rsid w:val="00AF2F78"/>
    <w:rsid w:val="00B239FA"/>
    <w:rsid w:val="00B372AB"/>
    <w:rsid w:val="00B47331"/>
    <w:rsid w:val="00B52D55"/>
    <w:rsid w:val="00B8288C"/>
    <w:rsid w:val="00B85F9D"/>
    <w:rsid w:val="00B86034"/>
    <w:rsid w:val="00BE2E80"/>
    <w:rsid w:val="00BE5EDD"/>
    <w:rsid w:val="00BE6A1F"/>
    <w:rsid w:val="00C126C4"/>
    <w:rsid w:val="00C44E9E"/>
    <w:rsid w:val="00C52E1B"/>
    <w:rsid w:val="00C63EB5"/>
    <w:rsid w:val="00C87DA7"/>
    <w:rsid w:val="00CA4945"/>
    <w:rsid w:val="00CC01E0"/>
    <w:rsid w:val="00CD5FEE"/>
    <w:rsid w:val="00CE60D2"/>
    <w:rsid w:val="00CE7431"/>
    <w:rsid w:val="00D00CA8"/>
    <w:rsid w:val="00D0288A"/>
    <w:rsid w:val="00D57746"/>
    <w:rsid w:val="00D72A5D"/>
    <w:rsid w:val="00DA71A3"/>
    <w:rsid w:val="00DC1922"/>
    <w:rsid w:val="00DC629B"/>
    <w:rsid w:val="00DE1C31"/>
    <w:rsid w:val="00E05BFF"/>
    <w:rsid w:val="00E262F1"/>
    <w:rsid w:val="00E3176A"/>
    <w:rsid w:val="00E36CE4"/>
    <w:rsid w:val="00E54754"/>
    <w:rsid w:val="00E56BD3"/>
    <w:rsid w:val="00E71D14"/>
    <w:rsid w:val="00EA77F0"/>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0DBB7CB"/>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R23-WRC23-C-0044!A11-A3!MSW-S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4FC19-0862-4B4A-8612-BCAB683E2863}">
  <ds:schemaRefs>
    <ds:schemaRef ds:uri="http://schemas.microsoft.com/office/2006/documentManagement/types"/>
    <ds:schemaRef ds:uri="http://schemas.microsoft.com/office/2006/metadata/properties"/>
    <ds:schemaRef ds:uri="996b2e75-67fd-4955-a3b0-5ab9934cb50b"/>
    <ds:schemaRef ds:uri="http://www.w3.org/XML/1998/namespace"/>
    <ds:schemaRef ds:uri="http://purl.org/dc/dcmitype/"/>
    <ds:schemaRef ds:uri="http://schemas.openxmlformats.org/package/2006/metadata/core-properties"/>
    <ds:schemaRef ds:uri="http://schemas.microsoft.com/office/infopath/2007/PartnerControls"/>
    <ds:schemaRef ds:uri="32a1a8c5-2265-4ebc-b7a0-2071e2c5c9bb"/>
    <ds:schemaRef ds:uri="http://purl.org/dc/terms/"/>
    <ds:schemaRef ds:uri="http://purl.org/dc/elements/1.1/"/>
  </ds:schemaRefs>
</ds:datastoreItem>
</file>

<file path=customXml/itemProps2.xml><?xml version="1.0" encoding="utf-8"?>
<ds:datastoreItem xmlns:ds="http://schemas.openxmlformats.org/officeDocument/2006/customXml" ds:itemID="{14E676F5-E550-4E5D-BCB4-56FA590C8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84AE7F-CF68-4F05-9049-50C452BC388C}">
  <ds:schemaRefs>
    <ds:schemaRef ds:uri="http://schemas.microsoft.com/sharepoint/v3/contenttype/forms"/>
  </ds:schemaRefs>
</ds:datastoreItem>
</file>

<file path=customXml/itemProps4.xml><?xml version="1.0" encoding="utf-8"?>
<ds:datastoreItem xmlns:ds="http://schemas.openxmlformats.org/officeDocument/2006/customXml" ds:itemID="{F9C33CA7-3B2A-40C1-820C-FC9DD680060B}">
  <ds:schemaRefs>
    <ds:schemaRef ds:uri="http://schemas.microsoft.com/sharepoint/events"/>
  </ds:schemaRefs>
</ds:datastoreItem>
</file>

<file path=customXml/itemProps5.xml><?xml version="1.0" encoding="utf-8"?>
<ds:datastoreItem xmlns:ds="http://schemas.openxmlformats.org/officeDocument/2006/customXml" ds:itemID="{DF14DF88-438C-4DCE-AE90-8A97B79D0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538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R23-WRC23-C-0044!A11-A3!MSW-S</vt:lpstr>
    </vt:vector>
  </TitlesOfParts>
  <Manager>Secretaría General - Pool</Manager>
  <Company>Unión Internacional de Telecomunicaciones (UIT)</Company>
  <LinksUpToDate>false</LinksUpToDate>
  <CharactersWithSpaces>3716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R23-WRC23-C-0044!A11-A3!MSW-S</dc:title>
  <dc:subject>Conferencia Mundial de Radiocomunicaciones - 2019</dc:subject>
  <dc:creator>Documents Proposals Manager (DPM)</dc:creator>
  <cp:keywords>DPM_v2023.8.1.1_prod</cp:keywords>
  <dc:description/>
  <cp:lastModifiedBy>Spanish</cp:lastModifiedBy>
  <cp:revision>4</cp:revision>
  <cp:lastPrinted>2003-02-19T20:20:00Z</cp:lastPrinted>
  <dcterms:created xsi:type="dcterms:W3CDTF">2023-10-25T14:28:00Z</dcterms:created>
  <dcterms:modified xsi:type="dcterms:W3CDTF">2023-10-25T14:38:00Z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