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272B2B6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7B50E9F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5C619E8" wp14:editId="4BDCC79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7FED15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5B0C4F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98084C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FE13AA0" wp14:editId="2E92FF5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57E5E4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53EE9F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9A1F69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E26209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BF42FC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1D89DB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D812A0" w14:paraId="7F2E2506" w14:textId="77777777" w:rsidTr="00752552">
        <w:trPr>
          <w:cantSplit/>
        </w:trPr>
        <w:tc>
          <w:tcPr>
            <w:tcW w:w="6696" w:type="dxa"/>
            <w:gridSpan w:val="2"/>
          </w:tcPr>
          <w:p w14:paraId="67BDD8EF" w14:textId="77777777" w:rsidR="000D1EE4" w:rsidRPr="00D812A0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D812A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93847F9" w14:textId="77777777" w:rsidR="000D1EE4" w:rsidRPr="00D812A0" w:rsidRDefault="00E50850" w:rsidP="00D812A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812A0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D812A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812A0">
              <w:rPr>
                <w:rFonts w:eastAsia="SimSun"/>
                <w:b/>
                <w:bCs/>
              </w:rPr>
              <w:t>44(Add.11)-A</w:t>
            </w:r>
          </w:p>
        </w:tc>
      </w:tr>
      <w:tr w:rsidR="000D1EE4" w:rsidRPr="00D812A0" w14:paraId="2C40D71E" w14:textId="77777777" w:rsidTr="00752552">
        <w:trPr>
          <w:cantSplit/>
        </w:trPr>
        <w:tc>
          <w:tcPr>
            <w:tcW w:w="6696" w:type="dxa"/>
            <w:gridSpan w:val="2"/>
          </w:tcPr>
          <w:p w14:paraId="284F43E7" w14:textId="77777777" w:rsidR="000D1EE4" w:rsidRPr="00D812A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3ECBDFA" w14:textId="77777777" w:rsidR="000D1EE4" w:rsidRPr="00D812A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812A0">
              <w:rPr>
                <w:rFonts w:eastAsia="SimSun"/>
                <w:b/>
                <w:bCs/>
              </w:rPr>
              <w:t>13</w:t>
            </w:r>
            <w:r w:rsidRPr="00D812A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D812A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D812A0" w14:paraId="385CB66D" w14:textId="77777777" w:rsidTr="00752552">
        <w:trPr>
          <w:cantSplit/>
        </w:trPr>
        <w:tc>
          <w:tcPr>
            <w:tcW w:w="6696" w:type="dxa"/>
            <w:gridSpan w:val="2"/>
          </w:tcPr>
          <w:p w14:paraId="4E8975AF" w14:textId="77777777" w:rsidR="000D1EE4" w:rsidRPr="00D812A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A74A7F9" w14:textId="77777777" w:rsidR="000D1EE4" w:rsidRPr="00D812A0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D812A0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692B698" w14:textId="77777777" w:rsidTr="00752552">
        <w:trPr>
          <w:cantSplit/>
        </w:trPr>
        <w:tc>
          <w:tcPr>
            <w:tcW w:w="9666" w:type="dxa"/>
            <w:gridSpan w:val="4"/>
          </w:tcPr>
          <w:p w14:paraId="57CF4B9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29569B8" w14:textId="77777777" w:rsidTr="00752552">
        <w:trPr>
          <w:cantSplit/>
        </w:trPr>
        <w:tc>
          <w:tcPr>
            <w:tcW w:w="9666" w:type="dxa"/>
            <w:gridSpan w:val="4"/>
          </w:tcPr>
          <w:p w14:paraId="0573B28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65485D07" w14:textId="77777777" w:rsidTr="00752552">
        <w:trPr>
          <w:cantSplit/>
        </w:trPr>
        <w:tc>
          <w:tcPr>
            <w:tcW w:w="9666" w:type="dxa"/>
            <w:gridSpan w:val="4"/>
          </w:tcPr>
          <w:p w14:paraId="79058EE8" w14:textId="26F307C2" w:rsidR="000D1EE4" w:rsidRPr="000D1EE4" w:rsidRDefault="00D812A0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A521463" w14:textId="77777777" w:rsidTr="00752552">
        <w:trPr>
          <w:cantSplit/>
        </w:trPr>
        <w:tc>
          <w:tcPr>
            <w:tcW w:w="9666" w:type="dxa"/>
            <w:gridSpan w:val="4"/>
          </w:tcPr>
          <w:p w14:paraId="2425D46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EF6FCAD" w14:textId="77777777" w:rsidTr="00752552">
        <w:trPr>
          <w:cantSplit/>
        </w:trPr>
        <w:tc>
          <w:tcPr>
            <w:tcW w:w="9666" w:type="dxa"/>
            <w:gridSpan w:val="4"/>
          </w:tcPr>
          <w:p w14:paraId="19E4F0CF" w14:textId="7440C044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D812A0">
              <w:rPr>
                <w:rFonts w:hint="cs"/>
                <w:rtl/>
              </w:rPr>
              <w:t xml:space="preserve"> </w:t>
            </w:r>
            <w:r w:rsidR="00D812A0">
              <w:rPr>
                <w:rtl/>
              </w:rPr>
              <w:t>11.1</w:t>
            </w:r>
          </w:p>
        </w:tc>
      </w:tr>
    </w:tbl>
    <w:p w14:paraId="644883FD" w14:textId="77777777" w:rsidR="00DB2A3F" w:rsidRPr="00FE2CFF" w:rsidRDefault="00DB2A3F" w:rsidP="00D061A6">
      <w:pPr>
        <w:spacing w:line="185" w:lineRule="auto"/>
        <w:rPr>
          <w:rtl/>
          <w:lang w:val="en-GB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4CFC6696" w14:textId="77C91648" w:rsidR="00DB2A3F" w:rsidRPr="00194323" w:rsidRDefault="006A3B8B" w:rsidP="00194323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المسألة </w:t>
      </w:r>
      <w:r>
        <w:rPr>
          <w:b/>
          <w:bCs/>
        </w:rPr>
        <w:t>B</w:t>
      </w:r>
    </w:p>
    <w:p w14:paraId="522291C0" w14:textId="77777777" w:rsidR="004C67F1" w:rsidRDefault="004C67F1" w:rsidP="00194323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B67AB3C" w14:textId="77777777" w:rsidR="00BF5622" w:rsidRDefault="00DB2A3F">
      <w:pPr>
        <w:pStyle w:val="Proposal"/>
      </w:pPr>
      <w:r>
        <w:rPr>
          <w:u w:val="single"/>
        </w:rPr>
        <w:lastRenderedPageBreak/>
        <w:t>NOC</w:t>
      </w:r>
      <w:r>
        <w:tab/>
        <w:t>IAP/44A11A2/1</w:t>
      </w:r>
      <w:r>
        <w:rPr>
          <w:vanish/>
          <w:color w:val="7F7F7F" w:themeColor="text1" w:themeTint="80"/>
          <w:vertAlign w:val="superscript"/>
        </w:rPr>
        <w:t>#1774</w:t>
      </w:r>
    </w:p>
    <w:p w14:paraId="7320D79D" w14:textId="77777777" w:rsidR="00DB2A3F" w:rsidRPr="00EE56C3" w:rsidRDefault="00DB2A3F" w:rsidP="00F91337">
      <w:pPr>
        <w:pStyle w:val="ArtNo"/>
      </w:pPr>
      <w:r w:rsidRPr="00EE56C3">
        <w:rPr>
          <w:rtl/>
        </w:rPr>
        <w:t xml:space="preserve">المـادة </w:t>
      </w:r>
      <w:r w:rsidRPr="00EE56C3">
        <w:rPr>
          <w:rStyle w:val="href"/>
          <w:rtl/>
        </w:rPr>
        <w:t>5</w:t>
      </w:r>
    </w:p>
    <w:p w14:paraId="4DFC926D" w14:textId="77777777" w:rsidR="00DB2A3F" w:rsidRPr="00EE56C3" w:rsidRDefault="00DB2A3F" w:rsidP="00F91337">
      <w:pPr>
        <w:pStyle w:val="Arttitle"/>
        <w:rPr>
          <w:rtl/>
        </w:rPr>
      </w:pPr>
      <w:r w:rsidRPr="00EE56C3">
        <w:rPr>
          <w:rtl/>
        </w:rPr>
        <w:t>توزيع نطاقات التردد</w:t>
      </w:r>
    </w:p>
    <w:p w14:paraId="6D8A4B1E" w14:textId="21940EB2" w:rsidR="00BF5622" w:rsidRDefault="00DB2A3F" w:rsidP="001E2157">
      <w:pPr>
        <w:pStyle w:val="Reasons"/>
      </w:pPr>
      <w:r>
        <w:rPr>
          <w:rtl/>
        </w:rPr>
        <w:t>الأسباب:</w:t>
      </w:r>
      <w:r>
        <w:tab/>
      </w:r>
      <w:r w:rsidR="001E2157" w:rsidRPr="001E2157">
        <w:rPr>
          <w:b w:val="0"/>
          <w:bCs w:val="0"/>
          <w:rtl/>
        </w:rPr>
        <w:t>لا</w:t>
      </w:r>
      <w:r w:rsidR="001E2157">
        <w:rPr>
          <w:rFonts w:hint="cs"/>
          <w:b w:val="0"/>
          <w:bCs w:val="0"/>
          <w:rtl/>
        </w:rPr>
        <w:t xml:space="preserve"> </w:t>
      </w:r>
      <w:r w:rsidR="007049C6">
        <w:rPr>
          <w:rFonts w:hint="cs"/>
          <w:b w:val="0"/>
          <w:bCs w:val="0"/>
          <w:rtl/>
        </w:rPr>
        <w:t>يحتاج تشغيل</w:t>
      </w:r>
      <w:r w:rsidR="001E2157" w:rsidRPr="001E2157">
        <w:rPr>
          <w:b w:val="0"/>
          <w:bCs w:val="0"/>
          <w:rtl/>
        </w:rPr>
        <w:t xml:space="preserve"> الملاحة الإلكترونية إلى توزيع ترددات إضافية </w:t>
      </w:r>
      <w:r w:rsidR="007049C6">
        <w:rPr>
          <w:rFonts w:hint="cs"/>
          <w:b w:val="0"/>
          <w:bCs w:val="0"/>
          <w:rtl/>
        </w:rPr>
        <w:t>في لوائح الراديو</w:t>
      </w:r>
      <w:r w:rsidR="001E2157" w:rsidRPr="001E2157">
        <w:rPr>
          <w:b w:val="0"/>
          <w:bCs w:val="0"/>
          <w:rtl/>
        </w:rPr>
        <w:t>.</w:t>
      </w:r>
    </w:p>
    <w:p w14:paraId="6D70B0D6" w14:textId="77777777" w:rsidR="00BF5622" w:rsidRDefault="00DB2A3F">
      <w:pPr>
        <w:pStyle w:val="Proposal"/>
      </w:pPr>
      <w:r>
        <w:t>SUP</w:t>
      </w:r>
      <w:r>
        <w:tab/>
        <w:t>IAP/44A11A2/2</w:t>
      </w:r>
      <w:r>
        <w:rPr>
          <w:vanish/>
          <w:color w:val="7F7F7F" w:themeColor="text1" w:themeTint="80"/>
          <w:vertAlign w:val="superscript"/>
        </w:rPr>
        <w:t>#1773</w:t>
      </w:r>
    </w:p>
    <w:p w14:paraId="173CF429" w14:textId="77777777" w:rsidR="00DB2A3F" w:rsidRPr="00EE56C3" w:rsidRDefault="00DB2A3F" w:rsidP="00F91337">
      <w:pPr>
        <w:pStyle w:val="ResNo"/>
      </w:pPr>
      <w:bookmarkStart w:id="1" w:name="_Toc36038379"/>
      <w:bookmarkStart w:id="2" w:name="_Toc40075842"/>
      <w:r w:rsidRPr="00EE56C3">
        <w:rPr>
          <w:rFonts w:hint="cs"/>
          <w:rtl/>
        </w:rPr>
        <w:t xml:space="preserve">القرار </w:t>
      </w:r>
      <w:r w:rsidRPr="00EE56C3">
        <w:rPr>
          <w:rStyle w:val="href"/>
        </w:rPr>
        <w:t>361</w:t>
      </w:r>
      <w:r w:rsidRPr="00EE56C3">
        <w:t> (REV.WRC-19)</w:t>
      </w:r>
      <w:bookmarkEnd w:id="1"/>
      <w:bookmarkEnd w:id="2"/>
    </w:p>
    <w:p w14:paraId="186F8A76" w14:textId="77777777" w:rsidR="00DB2A3F" w:rsidRPr="00EE56C3" w:rsidRDefault="00DB2A3F" w:rsidP="00F91337">
      <w:pPr>
        <w:pStyle w:val="Restitle"/>
        <w:rPr>
          <w:rtl/>
        </w:rPr>
      </w:pPr>
      <w:bookmarkStart w:id="3" w:name="_Toc36038380"/>
      <w:bookmarkStart w:id="4" w:name="_Toc40075843"/>
      <w:r w:rsidRPr="00EE56C3">
        <w:rPr>
          <w:rFonts w:hint="cs"/>
          <w:rtl/>
        </w:rPr>
        <w:t>النظر في </w:t>
      </w:r>
      <w:r w:rsidRPr="00EE56C3">
        <w:rPr>
          <w:rtl/>
        </w:rPr>
        <w:t>إمكانية </w:t>
      </w:r>
      <w:r w:rsidRPr="00EE56C3">
        <w:rPr>
          <w:rFonts w:hint="cs"/>
          <w:rtl/>
        </w:rPr>
        <w:t xml:space="preserve">تطبيق </w:t>
      </w:r>
      <w:r w:rsidRPr="00EE56C3">
        <w:rPr>
          <w:rtl/>
        </w:rPr>
        <w:t>تدابير </w:t>
      </w:r>
      <w:r w:rsidRPr="00EE56C3">
        <w:rPr>
          <w:rFonts w:hint="cs"/>
          <w:rtl/>
        </w:rPr>
        <w:t>تنظيمية من أجل دعم تحديث</w:t>
      </w:r>
      <w:r w:rsidRPr="00EE56C3">
        <w:rPr>
          <w:rtl/>
        </w:rPr>
        <w:br/>
      </w:r>
      <w:r w:rsidRPr="00EE56C3">
        <w:rPr>
          <w:rFonts w:hint="cs"/>
          <w:rtl/>
        </w:rPr>
        <w:t>النظام العالمي للاستغاثة والسلامة في البحر وتنفيذ الملاحة الإلكترونية</w:t>
      </w:r>
      <w:bookmarkEnd w:id="3"/>
      <w:bookmarkEnd w:id="4"/>
    </w:p>
    <w:p w14:paraId="0A1F81E0" w14:textId="503EC28C" w:rsidR="00BF5622" w:rsidRDefault="00DB2A3F" w:rsidP="00DB2A3F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Pr="00DB2A3F">
        <w:rPr>
          <w:b w:val="0"/>
          <w:bCs w:val="0"/>
          <w:rtl/>
        </w:rPr>
        <w:t xml:space="preserve">يُقترح إلغاء هذا القرار نظراً لاكتمال الدراسات بشأن البند 11.1 من جدول أعمال المؤتمر </w:t>
      </w:r>
      <w:r w:rsidRPr="00DB2A3F">
        <w:rPr>
          <w:b w:val="0"/>
          <w:bCs w:val="0"/>
        </w:rPr>
        <w:t>WRC-23</w:t>
      </w:r>
      <w:r w:rsidRPr="00DB2A3F">
        <w:rPr>
          <w:b w:val="0"/>
          <w:bCs w:val="0"/>
          <w:rtl/>
        </w:rPr>
        <w:t xml:space="preserve"> الذي تتناوله الفقرة </w:t>
      </w:r>
      <w:r w:rsidRPr="00DB2A3F">
        <w:rPr>
          <w:rFonts w:hint="cs"/>
          <w:b w:val="0"/>
          <w:bCs w:val="0"/>
          <w:rtl/>
        </w:rPr>
        <w:t>2</w:t>
      </w:r>
      <w:r w:rsidRPr="00DB2A3F">
        <w:rPr>
          <w:b w:val="0"/>
          <w:bCs w:val="0"/>
          <w:rtl/>
        </w:rPr>
        <w:t xml:space="preserve"> من </w:t>
      </w:r>
      <w:r w:rsidRPr="00DB2A3F">
        <w:rPr>
          <w:rFonts w:hint="cs"/>
          <w:b w:val="0"/>
          <w:bCs w:val="0"/>
          <w:rtl/>
        </w:rPr>
        <w:t>"</w:t>
      </w:r>
      <w:r w:rsidRPr="00DB2A3F">
        <w:rPr>
          <w:b w:val="0"/>
          <w:bCs w:val="0"/>
          <w:i/>
          <w:iCs/>
          <w:rtl/>
        </w:rPr>
        <w:t>يقرر</w:t>
      </w:r>
      <w:r w:rsidRPr="00DB2A3F">
        <w:rPr>
          <w:rFonts w:hint="cs"/>
          <w:b w:val="0"/>
          <w:bCs w:val="0"/>
          <w:rtl/>
        </w:rPr>
        <w:t>"</w:t>
      </w:r>
      <w:r w:rsidRPr="00DB2A3F">
        <w:rPr>
          <w:b w:val="0"/>
          <w:bCs w:val="0"/>
          <w:rtl/>
        </w:rPr>
        <w:t xml:space="preserve"> (الملاحة الإلكترونية</w:t>
      </w:r>
      <w:r w:rsidRPr="00DB2A3F">
        <w:rPr>
          <w:rFonts w:hint="cs"/>
          <w:b w:val="0"/>
          <w:bCs w:val="0"/>
          <w:rtl/>
        </w:rPr>
        <w:t>).</w:t>
      </w:r>
    </w:p>
    <w:p w14:paraId="2E8AFB1B" w14:textId="23F8B679" w:rsidR="001F7BE4" w:rsidRPr="001F7BE4" w:rsidRDefault="001F7BE4" w:rsidP="00794BC4">
      <w:pPr>
        <w:spacing w:before="600"/>
        <w:jc w:val="center"/>
      </w:pPr>
      <w:r w:rsidRPr="00987944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F7BE4" w:rsidRPr="001F7B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E6FD" w14:textId="77777777" w:rsidR="001A6F04" w:rsidRDefault="001A6F04" w:rsidP="002919E1">
      <w:r>
        <w:separator/>
      </w:r>
    </w:p>
    <w:p w14:paraId="16B93355" w14:textId="77777777" w:rsidR="001A6F04" w:rsidRDefault="001A6F04" w:rsidP="002919E1"/>
    <w:p w14:paraId="59F2F8ED" w14:textId="77777777" w:rsidR="001A6F04" w:rsidRDefault="001A6F04" w:rsidP="002919E1"/>
    <w:p w14:paraId="59448D03" w14:textId="77777777" w:rsidR="001A6F04" w:rsidRDefault="001A6F04"/>
    <w:p w14:paraId="35E2A207" w14:textId="77777777" w:rsidR="001A6F04" w:rsidRDefault="001A6F04"/>
  </w:endnote>
  <w:endnote w:type="continuationSeparator" w:id="0">
    <w:p w14:paraId="7D4787BC" w14:textId="77777777" w:rsidR="001A6F04" w:rsidRDefault="001A6F04" w:rsidP="002919E1">
      <w:r>
        <w:continuationSeparator/>
      </w:r>
    </w:p>
    <w:p w14:paraId="3C2F4549" w14:textId="77777777" w:rsidR="001A6F04" w:rsidRDefault="001A6F04" w:rsidP="002919E1"/>
    <w:p w14:paraId="7C81E373" w14:textId="77777777" w:rsidR="001A6F04" w:rsidRDefault="001A6F04" w:rsidP="002919E1"/>
    <w:p w14:paraId="1DFF9C21" w14:textId="77777777" w:rsidR="001A6F04" w:rsidRDefault="001A6F04"/>
    <w:p w14:paraId="7215607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A9DE" w14:textId="7699EAF8" w:rsidR="00D63A6F" w:rsidRPr="00D63A6F" w:rsidRDefault="00D63A6F" w:rsidP="00D812A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506D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87A2F">
      <w:rPr>
        <w:noProof/>
        <w:sz w:val="16"/>
        <w:szCs w:val="16"/>
        <w:lang w:val="en-GB"/>
      </w:rPr>
      <w:t>P:\ARA\ITU-R\CONF-R\CMR23\000\044ADD11ADD02A.docx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506D9">
      <w:rPr>
        <w:sz w:val="16"/>
        <w:szCs w:val="16"/>
        <w:lang w:val="en-GB"/>
      </w:rPr>
      <w:t xml:space="preserve"> (</w:t>
    </w:r>
    <w:proofErr w:type="gramEnd"/>
    <w:r w:rsidR="00D812A0" w:rsidRPr="00D812A0">
      <w:rPr>
        <w:sz w:val="16"/>
        <w:szCs w:val="16"/>
      </w:rPr>
      <w:t>529450</w:t>
    </w:r>
    <w:r w:rsidRPr="009506D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399F" w14:textId="77777777" w:rsidR="00187A2F" w:rsidRDefault="00187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137A" w14:textId="4621D5D9" w:rsidR="00D812A0" w:rsidRPr="00D63A6F" w:rsidRDefault="00D812A0" w:rsidP="00D812A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506D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87A2F">
      <w:rPr>
        <w:noProof/>
        <w:sz w:val="16"/>
        <w:szCs w:val="16"/>
        <w:lang w:val="en-GB"/>
      </w:rPr>
      <w:t>P:\ARA\ITU-R\CONF-R\CMR23\000\044ADD11ADD02A.docx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506D9">
      <w:rPr>
        <w:sz w:val="16"/>
        <w:szCs w:val="16"/>
        <w:lang w:val="en-GB"/>
      </w:rPr>
      <w:t xml:space="preserve"> (</w:t>
    </w:r>
    <w:proofErr w:type="gramEnd"/>
    <w:r w:rsidRPr="00D812A0">
      <w:rPr>
        <w:sz w:val="16"/>
        <w:szCs w:val="16"/>
      </w:rPr>
      <w:t>529450</w:t>
    </w:r>
    <w:r w:rsidRPr="009506D9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7AB6" w14:textId="77777777" w:rsidR="001A6F04" w:rsidRDefault="001A6F04" w:rsidP="00C45930">
      <w:r>
        <w:separator/>
      </w:r>
    </w:p>
  </w:footnote>
  <w:footnote w:type="continuationSeparator" w:id="0">
    <w:p w14:paraId="5BE4B9F1" w14:textId="77777777" w:rsidR="001A6F04" w:rsidRDefault="001A6F04" w:rsidP="002919E1">
      <w:r>
        <w:continuationSeparator/>
      </w:r>
    </w:p>
    <w:p w14:paraId="70BE40D8" w14:textId="77777777" w:rsidR="001A6F04" w:rsidRDefault="001A6F04" w:rsidP="002919E1"/>
    <w:p w14:paraId="4DCA86B2" w14:textId="77777777" w:rsidR="001A6F04" w:rsidRDefault="001A6F04" w:rsidP="002919E1"/>
    <w:p w14:paraId="6D9E279D" w14:textId="77777777" w:rsidR="001A6F04" w:rsidRDefault="001A6F04"/>
    <w:p w14:paraId="6762A0C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3339" w14:textId="70E0D586" w:rsidR="00D63A6F" w:rsidRPr="005E5F16" w:rsidRDefault="005E5F16" w:rsidP="00D812A0">
    <w:pPr>
      <w:bidi w:val="0"/>
      <w:spacing w:after="360" w:line="240" w:lineRule="auto"/>
      <w:jc w:val="center"/>
    </w:pPr>
    <w:r w:rsidRPr="00D812A0">
      <w:rPr>
        <w:rStyle w:val="PageNumber"/>
        <w:rFonts w:ascii="Dubai" w:hAnsi="Dubai" w:cs="Dubai"/>
      </w:rPr>
      <w:fldChar w:fldCharType="begin"/>
    </w:r>
    <w:r w:rsidRPr="00D812A0">
      <w:rPr>
        <w:rStyle w:val="PageNumber"/>
        <w:rFonts w:ascii="Dubai" w:hAnsi="Dubai" w:cs="Dubai"/>
      </w:rPr>
      <w:instrText xml:space="preserve"> PAGE </w:instrText>
    </w:r>
    <w:r w:rsidRPr="00D812A0">
      <w:rPr>
        <w:rStyle w:val="PageNumber"/>
        <w:rFonts w:ascii="Dubai" w:hAnsi="Dubai" w:cs="Dubai"/>
      </w:rPr>
      <w:fldChar w:fldCharType="separate"/>
    </w:r>
    <w:r w:rsidRPr="00D812A0">
      <w:rPr>
        <w:rStyle w:val="PageNumber"/>
        <w:rFonts w:ascii="Dubai" w:hAnsi="Dubai" w:cs="Dubai"/>
      </w:rPr>
      <w:t>2</w:t>
    </w:r>
    <w:r w:rsidRPr="00D812A0">
      <w:rPr>
        <w:rStyle w:val="PageNumber"/>
        <w:rFonts w:ascii="Dubai" w:hAnsi="Dubai" w:cs="Dubai"/>
      </w:rPr>
      <w:fldChar w:fldCharType="end"/>
    </w:r>
    <w:r w:rsidRPr="00D812A0">
      <w:rPr>
        <w:rStyle w:val="PageNumber"/>
        <w:rFonts w:ascii="Dubai" w:hAnsi="Dubai" w:cs="Dubai"/>
        <w:rtl/>
      </w:rPr>
      <w:br/>
    </w:r>
    <w:r w:rsidR="004F5F29" w:rsidRPr="00D812A0">
      <w:rPr>
        <w:rStyle w:val="PageNumber"/>
        <w:rFonts w:ascii="Dubai" w:hAnsi="Dubai" w:cs="Dubai"/>
      </w:rPr>
      <w:t>WRC</w:t>
    </w:r>
    <w:r w:rsidRPr="00D812A0">
      <w:rPr>
        <w:rStyle w:val="PageNumber"/>
        <w:rFonts w:ascii="Dubai" w:hAnsi="Dubai" w:cs="Dubai"/>
      </w:rPr>
      <w:t>23/44(Add.</w:t>
    </w:r>
    <w:proofErr w:type="gramStart"/>
    <w:r w:rsidRPr="00D812A0">
      <w:rPr>
        <w:rStyle w:val="PageNumber"/>
        <w:rFonts w:ascii="Dubai" w:hAnsi="Dubai" w:cs="Dubai"/>
      </w:rPr>
      <w:t>11)(</w:t>
    </w:r>
    <w:proofErr w:type="gramEnd"/>
    <w:r w:rsidRPr="00D812A0">
      <w:rPr>
        <w:rStyle w:val="PageNumber"/>
        <w:rFonts w:ascii="Dubai" w:hAnsi="Dubai" w:cs="Dubai"/>
      </w:rPr>
      <w:t>Add.2)-A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B960" w14:textId="77777777" w:rsidR="00187A2F" w:rsidRDefault="00187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80D5" w14:textId="77777777" w:rsidR="00187A2F" w:rsidRDefault="0018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3568484">
    <w:abstractNumId w:val="9"/>
  </w:num>
  <w:num w:numId="2" w16cid:durableId="1799180181">
    <w:abstractNumId w:val="13"/>
  </w:num>
  <w:num w:numId="3" w16cid:durableId="110905747">
    <w:abstractNumId w:val="11"/>
  </w:num>
  <w:num w:numId="4" w16cid:durableId="1164779269">
    <w:abstractNumId w:val="14"/>
  </w:num>
  <w:num w:numId="5" w16cid:durableId="1159035668">
    <w:abstractNumId w:val="7"/>
  </w:num>
  <w:num w:numId="6" w16cid:durableId="1713920312">
    <w:abstractNumId w:val="6"/>
  </w:num>
  <w:num w:numId="7" w16cid:durableId="778450238">
    <w:abstractNumId w:val="5"/>
  </w:num>
  <w:num w:numId="8" w16cid:durableId="795370345">
    <w:abstractNumId w:val="4"/>
  </w:num>
  <w:num w:numId="9" w16cid:durableId="1238172068">
    <w:abstractNumId w:val="8"/>
  </w:num>
  <w:num w:numId="10" w16cid:durableId="1736468420">
    <w:abstractNumId w:val="3"/>
  </w:num>
  <w:num w:numId="11" w16cid:durableId="1952131141">
    <w:abstractNumId w:val="2"/>
  </w:num>
  <w:num w:numId="12" w16cid:durableId="881356971">
    <w:abstractNumId w:val="1"/>
  </w:num>
  <w:num w:numId="13" w16cid:durableId="54009000">
    <w:abstractNumId w:val="0"/>
  </w:num>
  <w:num w:numId="14" w16cid:durableId="1647514966">
    <w:abstractNumId w:val="10"/>
  </w:num>
  <w:num w:numId="15" w16cid:durableId="242762656">
    <w:abstractNumId w:val="15"/>
  </w:num>
  <w:num w:numId="16" w16cid:durableId="1277365751">
    <w:abstractNumId w:val="12"/>
  </w:num>
  <w:num w:numId="17" w16cid:durableId="1335450410">
    <w:abstractNumId w:val="6"/>
  </w:num>
  <w:num w:numId="18" w16cid:durableId="765032622">
    <w:abstractNumId w:val="5"/>
  </w:num>
  <w:num w:numId="19" w16cid:durableId="563225560">
    <w:abstractNumId w:val="3"/>
  </w:num>
  <w:num w:numId="20" w16cid:durableId="489761346">
    <w:abstractNumId w:val="2"/>
  </w:num>
  <w:num w:numId="21" w16cid:durableId="2008749124">
    <w:abstractNumId w:val="6"/>
  </w:num>
  <w:num w:numId="22" w16cid:durableId="166288292">
    <w:abstractNumId w:val="5"/>
  </w:num>
  <w:num w:numId="23" w16cid:durableId="250895025">
    <w:abstractNumId w:val="3"/>
  </w:num>
  <w:num w:numId="24" w16cid:durableId="112145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7A2F"/>
    <w:rsid w:val="001903B2"/>
    <w:rsid w:val="00194323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6CE"/>
    <w:rsid w:val="001E190C"/>
    <w:rsid w:val="001E1A72"/>
    <w:rsid w:val="001E2157"/>
    <w:rsid w:val="001E2DB9"/>
    <w:rsid w:val="001E2F56"/>
    <w:rsid w:val="001E3FDB"/>
    <w:rsid w:val="001E51EE"/>
    <w:rsid w:val="001E54F6"/>
    <w:rsid w:val="001E5A8C"/>
    <w:rsid w:val="001F7BE4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3B8B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49C6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2D55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4BC4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1168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06D9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5622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2A0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2A3F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209D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F9C7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ba4512-c191-43fd-8f5c-1b0349e283e9" targetNamespace="http://schemas.microsoft.com/office/2006/metadata/properties" ma:root="true" ma:fieldsID="d41af5c836d734370eb92e7ee5f83852" ns2:_="" ns3:_="">
    <xsd:import namespace="996b2e75-67fd-4955-a3b0-5ab9934cb50b"/>
    <xsd:import namespace="47ba4512-c191-43fd-8f5c-1b0349e283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4512-c191-43fd-8f5c-1b0349e283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ba4512-c191-43fd-8f5c-1b0349e283e9">DPM</DPM_x0020_Author>
    <DPM_x0020_File_x0020_name xmlns="47ba4512-c191-43fd-8f5c-1b0349e283e9">R23-WRC23-C-0044!A11-A2!MSW-A</DPM_x0020_File_x0020_name>
    <DPM_x0020_Version xmlns="47ba4512-c191-43fd-8f5c-1b0349e283e9">DPM_2022.05.12.01</DPM_x0020_Version>
  </documentManagement>
</p:properti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ba4512-c191-43fd-8f5c-1b0349e28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a4512-c191-43fd-8f5c-1b0349e28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R23-WRC23-C-0044!A11-A2!MSW-A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2023-11-14T13:26:00Z</dcterms:created>
  <dcterms:modified xsi:type="dcterms:W3CDTF">2023-11-16T23:28:00Z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