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3A9BEFB5" w14:textId="77777777" w:rsidTr="0080079E">
        <w:trPr>
          <w:cantSplit/>
        </w:trPr>
        <w:tc>
          <w:tcPr>
            <w:tcW w:w="1418" w:type="dxa"/>
            <w:vAlign w:val="center"/>
          </w:tcPr>
          <w:p w14:paraId="48DD330C"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55091556" wp14:editId="5884598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68FC3BBB" w14:textId="16FEBB99"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 xml:space="preserve">Dubái, 20 de noviembre </w:t>
            </w:r>
            <w:r w:rsidR="00852285" w:rsidRPr="00852285">
              <w:rPr>
                <w:rFonts w:ascii="Verdana" w:hAnsi="Verdana" w:cs="Times"/>
                <w:b/>
                <w:position w:val="6"/>
                <w:sz w:val="18"/>
                <w:szCs w:val="18"/>
              </w:rPr>
              <w:t>–</w:t>
            </w:r>
            <w:r w:rsidRPr="00DC1922">
              <w:rPr>
                <w:rFonts w:ascii="Verdana" w:hAnsi="Verdana" w:cs="Times"/>
                <w:b/>
                <w:position w:val="6"/>
                <w:sz w:val="18"/>
                <w:szCs w:val="18"/>
              </w:rPr>
              <w:t xml:space="preserve"> 15 de diciembre de 2023</w:t>
            </w:r>
          </w:p>
        </w:tc>
        <w:tc>
          <w:tcPr>
            <w:tcW w:w="1809" w:type="dxa"/>
            <w:vAlign w:val="center"/>
          </w:tcPr>
          <w:p w14:paraId="2F8C761C" w14:textId="77777777" w:rsidR="0080079E" w:rsidRPr="0002785D" w:rsidRDefault="0080079E" w:rsidP="0080079E">
            <w:pPr>
              <w:spacing w:before="0" w:line="240" w:lineRule="atLeast"/>
              <w:rPr>
                <w:lang w:val="en-US"/>
              </w:rPr>
            </w:pPr>
            <w:bookmarkStart w:id="0" w:name="ditulogo"/>
            <w:bookmarkEnd w:id="0"/>
            <w:r>
              <w:rPr>
                <w:noProof/>
              </w:rPr>
              <w:drawing>
                <wp:inline distT="0" distB="0" distL="0" distR="0" wp14:anchorId="686AC530" wp14:editId="631BB108">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492BF512" w14:textId="77777777" w:rsidTr="0050008E">
        <w:trPr>
          <w:cantSplit/>
        </w:trPr>
        <w:tc>
          <w:tcPr>
            <w:tcW w:w="6911" w:type="dxa"/>
            <w:gridSpan w:val="2"/>
            <w:tcBorders>
              <w:bottom w:val="single" w:sz="12" w:space="0" w:color="auto"/>
            </w:tcBorders>
          </w:tcPr>
          <w:p w14:paraId="0B47BCF0" w14:textId="77777777" w:rsidR="0090121B" w:rsidRPr="0002785D" w:rsidRDefault="0090121B" w:rsidP="0090121B">
            <w:pPr>
              <w:spacing w:before="0" w:after="48" w:line="240" w:lineRule="atLeast"/>
              <w:rPr>
                <w:b/>
                <w:smallCaps/>
                <w:szCs w:val="24"/>
                <w:lang w:val="en-US"/>
              </w:rPr>
            </w:pPr>
            <w:bookmarkStart w:id="1" w:name="dhead"/>
          </w:p>
        </w:tc>
        <w:tc>
          <w:tcPr>
            <w:tcW w:w="3120" w:type="dxa"/>
            <w:gridSpan w:val="2"/>
            <w:tcBorders>
              <w:bottom w:val="single" w:sz="12" w:space="0" w:color="auto"/>
            </w:tcBorders>
          </w:tcPr>
          <w:p w14:paraId="5A27EFEB" w14:textId="77777777" w:rsidR="0090121B" w:rsidRPr="0002785D" w:rsidRDefault="0090121B" w:rsidP="0090121B">
            <w:pPr>
              <w:spacing w:before="0" w:line="240" w:lineRule="atLeast"/>
              <w:rPr>
                <w:rFonts w:ascii="Verdana" w:hAnsi="Verdana"/>
                <w:szCs w:val="24"/>
                <w:lang w:val="en-US"/>
              </w:rPr>
            </w:pPr>
          </w:p>
        </w:tc>
      </w:tr>
      <w:tr w:rsidR="0090121B" w:rsidRPr="0002785D" w14:paraId="14E75E48" w14:textId="77777777" w:rsidTr="0090121B">
        <w:trPr>
          <w:cantSplit/>
        </w:trPr>
        <w:tc>
          <w:tcPr>
            <w:tcW w:w="6911" w:type="dxa"/>
            <w:gridSpan w:val="2"/>
            <w:tcBorders>
              <w:top w:val="single" w:sz="12" w:space="0" w:color="auto"/>
            </w:tcBorders>
          </w:tcPr>
          <w:p w14:paraId="36658031"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6EF3AAAB" w14:textId="77777777" w:rsidR="0090121B" w:rsidRPr="0002785D" w:rsidRDefault="0090121B" w:rsidP="0090121B">
            <w:pPr>
              <w:spacing w:before="0" w:line="240" w:lineRule="atLeast"/>
              <w:rPr>
                <w:rFonts w:ascii="Verdana" w:hAnsi="Verdana"/>
                <w:sz w:val="20"/>
                <w:lang w:val="en-US"/>
              </w:rPr>
            </w:pPr>
          </w:p>
        </w:tc>
      </w:tr>
      <w:tr w:rsidR="0090121B" w:rsidRPr="0002785D" w14:paraId="2E197E2A" w14:textId="77777777" w:rsidTr="0090121B">
        <w:trPr>
          <w:cantSplit/>
        </w:trPr>
        <w:tc>
          <w:tcPr>
            <w:tcW w:w="6911" w:type="dxa"/>
            <w:gridSpan w:val="2"/>
          </w:tcPr>
          <w:p w14:paraId="0B18A2E3"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4B2D90D1" w14:textId="77777777" w:rsidR="0090121B" w:rsidRPr="0023659C" w:rsidRDefault="00AE658F" w:rsidP="0045384C">
            <w:pPr>
              <w:spacing w:before="0"/>
              <w:rPr>
                <w:rFonts w:ascii="Verdana" w:hAnsi="Verdana"/>
                <w:sz w:val="18"/>
                <w:szCs w:val="18"/>
                <w:lang w:val="en-US"/>
              </w:rPr>
            </w:pPr>
            <w:r>
              <w:rPr>
                <w:rFonts w:ascii="Verdana" w:hAnsi="Verdana"/>
                <w:b/>
                <w:sz w:val="18"/>
                <w:szCs w:val="18"/>
                <w:lang w:val="en-US"/>
              </w:rPr>
              <w:t>Addéndum 10 al</w:t>
            </w:r>
            <w:r>
              <w:rPr>
                <w:rFonts w:ascii="Verdana" w:hAnsi="Verdana"/>
                <w:b/>
                <w:sz w:val="18"/>
                <w:szCs w:val="18"/>
                <w:lang w:val="en-US"/>
              </w:rPr>
              <w:br/>
              <w:t>Documento 44</w:t>
            </w:r>
            <w:r w:rsidR="0090121B" w:rsidRPr="0023659C">
              <w:rPr>
                <w:rFonts w:ascii="Verdana" w:hAnsi="Verdana"/>
                <w:b/>
                <w:sz w:val="18"/>
                <w:szCs w:val="18"/>
                <w:lang w:val="en-US"/>
              </w:rPr>
              <w:t>-</w:t>
            </w:r>
            <w:r w:rsidRPr="0023659C">
              <w:rPr>
                <w:rFonts w:ascii="Verdana" w:hAnsi="Verdana"/>
                <w:b/>
                <w:sz w:val="18"/>
                <w:szCs w:val="18"/>
                <w:lang w:val="en-US"/>
              </w:rPr>
              <w:t>S</w:t>
            </w:r>
          </w:p>
        </w:tc>
      </w:tr>
      <w:bookmarkEnd w:id="1"/>
      <w:tr w:rsidR="000A5B9A" w:rsidRPr="0002785D" w14:paraId="4173CCEB" w14:textId="77777777" w:rsidTr="0090121B">
        <w:trPr>
          <w:cantSplit/>
        </w:trPr>
        <w:tc>
          <w:tcPr>
            <w:tcW w:w="6911" w:type="dxa"/>
            <w:gridSpan w:val="2"/>
          </w:tcPr>
          <w:p w14:paraId="2309DBBD"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4C3FAA44"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13 de octubre de 2023</w:t>
            </w:r>
          </w:p>
        </w:tc>
      </w:tr>
      <w:tr w:rsidR="000A5B9A" w:rsidRPr="0002785D" w14:paraId="404B6354" w14:textId="77777777" w:rsidTr="0090121B">
        <w:trPr>
          <w:cantSplit/>
        </w:trPr>
        <w:tc>
          <w:tcPr>
            <w:tcW w:w="6911" w:type="dxa"/>
            <w:gridSpan w:val="2"/>
          </w:tcPr>
          <w:p w14:paraId="12892186"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31D7D677"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inglés</w:t>
            </w:r>
          </w:p>
        </w:tc>
      </w:tr>
      <w:tr w:rsidR="000A5B9A" w:rsidRPr="0002785D" w14:paraId="3B3FB439" w14:textId="77777777" w:rsidTr="006744FC">
        <w:trPr>
          <w:cantSplit/>
        </w:trPr>
        <w:tc>
          <w:tcPr>
            <w:tcW w:w="10031" w:type="dxa"/>
            <w:gridSpan w:val="4"/>
          </w:tcPr>
          <w:p w14:paraId="272E6E06" w14:textId="77777777" w:rsidR="000A5B9A" w:rsidRPr="007424E8" w:rsidRDefault="000A5B9A" w:rsidP="0045384C">
            <w:pPr>
              <w:spacing w:before="0"/>
              <w:rPr>
                <w:rFonts w:ascii="Verdana" w:hAnsi="Verdana"/>
                <w:b/>
                <w:sz w:val="18"/>
                <w:szCs w:val="22"/>
                <w:lang w:val="en-US"/>
              </w:rPr>
            </w:pPr>
          </w:p>
        </w:tc>
      </w:tr>
      <w:tr w:rsidR="000A5B9A" w:rsidRPr="0002785D" w14:paraId="745D3A6C" w14:textId="77777777" w:rsidTr="0050008E">
        <w:trPr>
          <w:cantSplit/>
        </w:trPr>
        <w:tc>
          <w:tcPr>
            <w:tcW w:w="10031" w:type="dxa"/>
            <w:gridSpan w:val="4"/>
          </w:tcPr>
          <w:p w14:paraId="15F1B298" w14:textId="77777777" w:rsidR="000A5B9A" w:rsidRPr="00852285" w:rsidRDefault="000A5B9A" w:rsidP="000A5B9A">
            <w:pPr>
              <w:pStyle w:val="Source"/>
              <w:rPr>
                <w:lang w:val="es-ES"/>
              </w:rPr>
            </w:pPr>
            <w:bookmarkStart w:id="2" w:name="dsource" w:colFirst="0" w:colLast="0"/>
            <w:r w:rsidRPr="00852285">
              <w:rPr>
                <w:lang w:val="es-ES"/>
              </w:rPr>
              <w:t>Estados Miembros de la Comisión Interamericana de Telecomunicaciones (CITEL)</w:t>
            </w:r>
          </w:p>
        </w:tc>
      </w:tr>
      <w:tr w:rsidR="000A5B9A" w:rsidRPr="00F42494" w14:paraId="3D9FBAED" w14:textId="77777777" w:rsidTr="0050008E">
        <w:trPr>
          <w:cantSplit/>
        </w:trPr>
        <w:tc>
          <w:tcPr>
            <w:tcW w:w="10031" w:type="dxa"/>
            <w:gridSpan w:val="4"/>
          </w:tcPr>
          <w:p w14:paraId="37972CD5" w14:textId="692F42ED" w:rsidR="000A5B9A" w:rsidRPr="00F42494" w:rsidRDefault="00F42494" w:rsidP="000A5B9A">
            <w:pPr>
              <w:pStyle w:val="Title1"/>
              <w:rPr>
                <w:lang w:val="es-ES"/>
              </w:rPr>
            </w:pPr>
            <w:bookmarkStart w:id="3" w:name="dtitle1" w:colFirst="0" w:colLast="0"/>
            <w:bookmarkEnd w:id="2"/>
            <w:r w:rsidRPr="00F42494">
              <w:rPr>
                <w:lang w:val="es-ES"/>
              </w:rPr>
              <w:t>PROPUESTAS PARA LOS TRABAJOS DE LA CONFERENCIA</w:t>
            </w:r>
          </w:p>
        </w:tc>
      </w:tr>
      <w:tr w:rsidR="000A5B9A" w:rsidRPr="00F42494" w14:paraId="3B96DB07" w14:textId="77777777" w:rsidTr="0050008E">
        <w:trPr>
          <w:cantSplit/>
        </w:trPr>
        <w:tc>
          <w:tcPr>
            <w:tcW w:w="10031" w:type="dxa"/>
            <w:gridSpan w:val="4"/>
          </w:tcPr>
          <w:p w14:paraId="33D2DDE1" w14:textId="77777777" w:rsidR="000A5B9A" w:rsidRPr="00F42494" w:rsidRDefault="000A5B9A" w:rsidP="000A5B9A">
            <w:pPr>
              <w:pStyle w:val="Title2"/>
              <w:rPr>
                <w:lang w:val="es-ES"/>
              </w:rPr>
            </w:pPr>
            <w:bookmarkStart w:id="4" w:name="dtitle2" w:colFirst="0" w:colLast="0"/>
            <w:bookmarkEnd w:id="3"/>
          </w:p>
        </w:tc>
      </w:tr>
      <w:tr w:rsidR="000A5B9A" w14:paraId="0CB7EA6D" w14:textId="77777777" w:rsidTr="0050008E">
        <w:trPr>
          <w:cantSplit/>
        </w:trPr>
        <w:tc>
          <w:tcPr>
            <w:tcW w:w="10031" w:type="dxa"/>
            <w:gridSpan w:val="4"/>
          </w:tcPr>
          <w:p w14:paraId="255D70AA" w14:textId="77777777" w:rsidR="000A5B9A" w:rsidRDefault="000A5B9A" w:rsidP="000A5B9A">
            <w:pPr>
              <w:pStyle w:val="Agendaitem"/>
            </w:pPr>
            <w:bookmarkStart w:id="5" w:name="dtitle3" w:colFirst="0" w:colLast="0"/>
            <w:bookmarkEnd w:id="4"/>
            <w:r w:rsidRPr="00AE658F">
              <w:t>Punto 1.10 del orden del día</w:t>
            </w:r>
          </w:p>
        </w:tc>
      </w:tr>
    </w:tbl>
    <w:bookmarkEnd w:id="5"/>
    <w:p w14:paraId="06A901B6" w14:textId="77777777" w:rsidR="00F42494" w:rsidRPr="0047229C" w:rsidRDefault="00F42494" w:rsidP="00FE7276">
      <w:pPr>
        <w:pStyle w:val="Normalaftertitle"/>
      </w:pPr>
      <w:r w:rsidRPr="00074DFA">
        <w:t>1.10</w:t>
      </w:r>
      <w:r w:rsidRPr="00074DFA">
        <w:tab/>
        <w:t>realizar estudios sobre las necesidades de espectro, la coexistencia con los servicios de radiocomunicaciones y las medidas reglamentarias para posibles nuevas atribuciones al servicio móvil aeronáutico para la utilización de aplicaciones móviles aeronáuticas no relacionadas con la seguridad, de conformidad con la Resolución </w:t>
      </w:r>
      <w:r w:rsidRPr="00074DFA">
        <w:rPr>
          <w:b/>
          <w:bCs/>
        </w:rPr>
        <w:t>430 (CMR-19)</w:t>
      </w:r>
      <w:r w:rsidRPr="00074DFA">
        <w:t>;</w:t>
      </w:r>
    </w:p>
    <w:p w14:paraId="48B693B0" w14:textId="77777777" w:rsidR="009D1B12" w:rsidRPr="009D1B12" w:rsidRDefault="009D1B12" w:rsidP="009D1B12">
      <w:pPr>
        <w:pStyle w:val="Headingb"/>
      </w:pPr>
      <w:r w:rsidRPr="009D1B12">
        <w:t>Propuestas</w:t>
      </w:r>
    </w:p>
    <w:p w14:paraId="27869176" w14:textId="6A669CA7" w:rsidR="008750A8" w:rsidRDefault="008750A8" w:rsidP="00FE7276">
      <w:r>
        <w:br w:type="page"/>
      </w:r>
    </w:p>
    <w:p w14:paraId="7087219F" w14:textId="77777777" w:rsidR="00F42494" w:rsidRPr="006537F1" w:rsidRDefault="00F42494" w:rsidP="00BE468A">
      <w:pPr>
        <w:pStyle w:val="ArtNo"/>
        <w:spacing w:before="0"/>
      </w:pPr>
      <w:bookmarkStart w:id="6" w:name="_Toc48141301"/>
      <w:r w:rsidRPr="006537F1">
        <w:lastRenderedPageBreak/>
        <w:t xml:space="preserve">ARTÍCULO </w:t>
      </w:r>
      <w:r w:rsidRPr="006537F1">
        <w:rPr>
          <w:rStyle w:val="href"/>
        </w:rPr>
        <w:t>5</w:t>
      </w:r>
      <w:bookmarkEnd w:id="6"/>
    </w:p>
    <w:p w14:paraId="0B21D517" w14:textId="77777777" w:rsidR="00F42494" w:rsidRPr="00625DBA" w:rsidRDefault="00F42494" w:rsidP="00625DBA">
      <w:pPr>
        <w:pStyle w:val="Arttitle"/>
        <w:rPr>
          <w:lang w:val="es-ES"/>
        </w:rPr>
      </w:pPr>
      <w:bookmarkStart w:id="7" w:name="_Toc48141302"/>
      <w:r w:rsidRPr="00625DBA">
        <w:rPr>
          <w:lang w:val="es-ES"/>
        </w:rPr>
        <w:t>Atribuciones de frecuencia</w:t>
      </w:r>
      <w:bookmarkEnd w:id="7"/>
    </w:p>
    <w:p w14:paraId="2BF87E71" w14:textId="77777777" w:rsidR="00F42494" w:rsidRPr="00625DBA" w:rsidRDefault="00F42494" w:rsidP="00625DBA">
      <w:pPr>
        <w:pStyle w:val="Section1"/>
        <w:rPr>
          <w:lang w:val="es-ES"/>
        </w:rPr>
      </w:pPr>
      <w:r w:rsidRPr="00625DBA">
        <w:rPr>
          <w:lang w:val="es-ES"/>
        </w:rPr>
        <w:t>Sección IV – Cuadro de atribución de bandas de frecuencias</w:t>
      </w:r>
      <w:r w:rsidRPr="00625DBA">
        <w:rPr>
          <w:lang w:val="es-ES"/>
        </w:rPr>
        <w:br/>
      </w:r>
      <w:r w:rsidRPr="00625DBA">
        <w:rPr>
          <w:b w:val="0"/>
          <w:bCs/>
          <w:lang w:val="es-ES"/>
        </w:rPr>
        <w:t>(Véase el número</w:t>
      </w:r>
      <w:r w:rsidRPr="00625DBA">
        <w:rPr>
          <w:lang w:val="es-ES"/>
        </w:rPr>
        <w:t xml:space="preserve"> </w:t>
      </w:r>
      <w:r w:rsidRPr="00625DBA">
        <w:rPr>
          <w:rStyle w:val="Artref"/>
          <w:lang w:val="es-ES"/>
        </w:rPr>
        <w:t>2.1</w:t>
      </w:r>
      <w:r w:rsidRPr="00625DBA">
        <w:rPr>
          <w:b w:val="0"/>
          <w:bCs/>
          <w:lang w:val="es-ES"/>
        </w:rPr>
        <w:t>)</w:t>
      </w:r>
      <w:r w:rsidRPr="00625DBA">
        <w:rPr>
          <w:lang w:val="es-ES"/>
        </w:rPr>
        <w:br/>
      </w:r>
    </w:p>
    <w:p w14:paraId="77177988" w14:textId="77777777" w:rsidR="0070328C" w:rsidRDefault="00F42494">
      <w:pPr>
        <w:pStyle w:val="Proposal"/>
      </w:pPr>
      <w:r>
        <w:rPr>
          <w:u w:val="single"/>
        </w:rPr>
        <w:t>NOC</w:t>
      </w:r>
      <w:r>
        <w:tab/>
        <w:t>IAP/44A10/1</w:t>
      </w:r>
    </w:p>
    <w:p w14:paraId="5A9E575B" w14:textId="77777777" w:rsidR="00F42494" w:rsidRPr="00245062" w:rsidRDefault="00F42494" w:rsidP="00745B6B">
      <w:pPr>
        <w:pStyle w:val="Tabletitle"/>
        <w:rPr>
          <w:color w:val="000000"/>
        </w:rPr>
      </w:pPr>
      <w:r w:rsidRPr="00245062">
        <w:t>15,4-18,4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625DBA" w:rsidRPr="00245062" w14:paraId="5B3EBC22" w14:textId="77777777" w:rsidTr="00625DBA">
        <w:trPr>
          <w:cantSplit/>
        </w:trPr>
        <w:tc>
          <w:tcPr>
            <w:tcW w:w="9303" w:type="dxa"/>
            <w:gridSpan w:val="3"/>
            <w:tcBorders>
              <w:top w:val="single" w:sz="6" w:space="0" w:color="auto"/>
              <w:left w:val="single" w:sz="6" w:space="0" w:color="auto"/>
              <w:bottom w:val="single" w:sz="6" w:space="0" w:color="auto"/>
              <w:right w:val="single" w:sz="6" w:space="0" w:color="auto"/>
            </w:tcBorders>
          </w:tcPr>
          <w:p w14:paraId="078A2F21" w14:textId="77777777" w:rsidR="00F42494" w:rsidRPr="00245062" w:rsidRDefault="00F42494" w:rsidP="00625DBA">
            <w:pPr>
              <w:pStyle w:val="Tablehead"/>
              <w:rPr>
                <w:color w:val="000000"/>
                <w:sz w:val="19"/>
                <w:szCs w:val="19"/>
              </w:rPr>
            </w:pPr>
            <w:r w:rsidRPr="00245062">
              <w:rPr>
                <w:color w:val="000000"/>
                <w:sz w:val="19"/>
                <w:szCs w:val="19"/>
              </w:rPr>
              <w:t>Atribución a los servicios</w:t>
            </w:r>
          </w:p>
        </w:tc>
      </w:tr>
      <w:tr w:rsidR="00625DBA" w:rsidRPr="00245062" w14:paraId="11EA01EF" w14:textId="77777777" w:rsidTr="00625DBA">
        <w:trPr>
          <w:cantSplit/>
        </w:trPr>
        <w:tc>
          <w:tcPr>
            <w:tcW w:w="3101" w:type="dxa"/>
            <w:tcBorders>
              <w:top w:val="single" w:sz="6" w:space="0" w:color="auto"/>
              <w:left w:val="single" w:sz="6" w:space="0" w:color="auto"/>
              <w:bottom w:val="single" w:sz="6" w:space="0" w:color="auto"/>
              <w:right w:val="single" w:sz="6" w:space="0" w:color="auto"/>
            </w:tcBorders>
          </w:tcPr>
          <w:p w14:paraId="10C45892" w14:textId="77777777" w:rsidR="00F42494" w:rsidRPr="00245062" w:rsidRDefault="00F42494" w:rsidP="00625DBA">
            <w:pPr>
              <w:pStyle w:val="Tablehead"/>
              <w:rPr>
                <w:color w:val="000000"/>
                <w:sz w:val="19"/>
                <w:szCs w:val="19"/>
              </w:rPr>
            </w:pPr>
            <w:r w:rsidRPr="00245062">
              <w:rPr>
                <w:color w:val="000000"/>
                <w:sz w:val="19"/>
                <w:szCs w:val="19"/>
              </w:rPr>
              <w:t>Región 1</w:t>
            </w:r>
          </w:p>
        </w:tc>
        <w:tc>
          <w:tcPr>
            <w:tcW w:w="3101" w:type="dxa"/>
            <w:tcBorders>
              <w:top w:val="single" w:sz="6" w:space="0" w:color="auto"/>
              <w:left w:val="single" w:sz="6" w:space="0" w:color="auto"/>
              <w:bottom w:val="single" w:sz="6" w:space="0" w:color="auto"/>
              <w:right w:val="single" w:sz="6" w:space="0" w:color="auto"/>
            </w:tcBorders>
          </w:tcPr>
          <w:p w14:paraId="578681F3" w14:textId="77777777" w:rsidR="00F42494" w:rsidRPr="00245062" w:rsidRDefault="00F42494" w:rsidP="00625DBA">
            <w:pPr>
              <w:pStyle w:val="Tablehead"/>
              <w:rPr>
                <w:color w:val="000000"/>
                <w:sz w:val="19"/>
                <w:szCs w:val="19"/>
              </w:rPr>
            </w:pPr>
            <w:r w:rsidRPr="00245062">
              <w:rPr>
                <w:color w:val="000000"/>
                <w:sz w:val="19"/>
                <w:szCs w:val="19"/>
              </w:rPr>
              <w:t>Región 2</w:t>
            </w:r>
          </w:p>
        </w:tc>
        <w:tc>
          <w:tcPr>
            <w:tcW w:w="3101" w:type="dxa"/>
            <w:tcBorders>
              <w:top w:val="single" w:sz="6" w:space="0" w:color="auto"/>
              <w:left w:val="single" w:sz="6" w:space="0" w:color="auto"/>
              <w:bottom w:val="single" w:sz="6" w:space="0" w:color="auto"/>
              <w:right w:val="single" w:sz="6" w:space="0" w:color="auto"/>
            </w:tcBorders>
          </w:tcPr>
          <w:p w14:paraId="5E3427DC" w14:textId="77777777" w:rsidR="00F42494" w:rsidRPr="00245062" w:rsidRDefault="00F42494" w:rsidP="00625DBA">
            <w:pPr>
              <w:pStyle w:val="Tablehead"/>
              <w:rPr>
                <w:color w:val="000000"/>
                <w:sz w:val="19"/>
                <w:szCs w:val="19"/>
              </w:rPr>
            </w:pPr>
            <w:r w:rsidRPr="00245062">
              <w:rPr>
                <w:color w:val="000000"/>
                <w:sz w:val="19"/>
                <w:szCs w:val="19"/>
              </w:rPr>
              <w:t>Región 3</w:t>
            </w:r>
          </w:p>
        </w:tc>
      </w:tr>
      <w:tr w:rsidR="00625DBA" w:rsidRPr="007349A9" w14:paraId="59822166" w14:textId="77777777" w:rsidTr="00625DBA">
        <w:trPr>
          <w:cantSplit/>
        </w:trPr>
        <w:tc>
          <w:tcPr>
            <w:tcW w:w="9303" w:type="dxa"/>
            <w:gridSpan w:val="3"/>
            <w:tcBorders>
              <w:top w:val="single" w:sz="6" w:space="0" w:color="auto"/>
              <w:left w:val="single" w:sz="6" w:space="0" w:color="auto"/>
              <w:bottom w:val="single" w:sz="6" w:space="0" w:color="auto"/>
              <w:right w:val="single" w:sz="6" w:space="0" w:color="auto"/>
            </w:tcBorders>
          </w:tcPr>
          <w:p w14:paraId="5958ED96" w14:textId="77777777" w:rsidR="00F42494" w:rsidRPr="00625DBA" w:rsidRDefault="00F42494" w:rsidP="00625DBA">
            <w:pPr>
              <w:pStyle w:val="TableTextS5"/>
              <w:rPr>
                <w:color w:val="000000"/>
                <w:lang w:val="es-ES"/>
              </w:rPr>
            </w:pPr>
            <w:r w:rsidRPr="00625DBA">
              <w:rPr>
                <w:rStyle w:val="Tablefreq"/>
                <w:color w:val="000000"/>
                <w:lang w:val="es-ES"/>
              </w:rPr>
              <w:t>15,4-15,43</w:t>
            </w:r>
            <w:r w:rsidRPr="00625DBA">
              <w:rPr>
                <w:color w:val="000000"/>
                <w:lang w:val="es-ES"/>
              </w:rPr>
              <w:tab/>
              <w:t>RADIOLOCALIZACIÓN 5.511E  5.511F</w:t>
            </w:r>
          </w:p>
          <w:p w14:paraId="439F836F" w14:textId="77777777" w:rsidR="00F42494" w:rsidRPr="00625DBA" w:rsidRDefault="00F42494" w:rsidP="00625DBA">
            <w:pPr>
              <w:pStyle w:val="TableTextS5"/>
              <w:rPr>
                <w:color w:val="000000"/>
                <w:lang w:val="es-ES"/>
              </w:rPr>
            </w:pPr>
            <w:r w:rsidRPr="00625DBA">
              <w:rPr>
                <w:color w:val="000000"/>
                <w:lang w:val="es-ES"/>
              </w:rPr>
              <w:tab/>
            </w:r>
            <w:r w:rsidRPr="00625DBA">
              <w:rPr>
                <w:color w:val="000000"/>
                <w:lang w:val="es-ES"/>
              </w:rPr>
              <w:tab/>
            </w:r>
            <w:r w:rsidRPr="00625DBA">
              <w:rPr>
                <w:color w:val="000000"/>
                <w:lang w:val="es-ES"/>
              </w:rPr>
              <w:tab/>
            </w:r>
            <w:r w:rsidRPr="00625DBA">
              <w:rPr>
                <w:color w:val="000000"/>
                <w:lang w:val="es-ES"/>
              </w:rPr>
              <w:tab/>
              <w:t>RADIONAVEGACIÓN AERONÁUTICA</w:t>
            </w:r>
          </w:p>
        </w:tc>
      </w:tr>
      <w:tr w:rsidR="00625DBA" w:rsidRPr="007349A9" w14:paraId="1B929D27" w14:textId="77777777" w:rsidTr="00625DBA">
        <w:trPr>
          <w:cantSplit/>
        </w:trPr>
        <w:tc>
          <w:tcPr>
            <w:tcW w:w="9303" w:type="dxa"/>
            <w:gridSpan w:val="3"/>
            <w:tcBorders>
              <w:top w:val="single" w:sz="6" w:space="0" w:color="auto"/>
              <w:left w:val="single" w:sz="6" w:space="0" w:color="auto"/>
              <w:bottom w:val="single" w:sz="6" w:space="0" w:color="auto"/>
              <w:right w:val="single" w:sz="6" w:space="0" w:color="auto"/>
            </w:tcBorders>
          </w:tcPr>
          <w:p w14:paraId="70482B5B" w14:textId="77777777" w:rsidR="00F42494" w:rsidRPr="00625DBA" w:rsidRDefault="00F42494" w:rsidP="00625DBA">
            <w:pPr>
              <w:pStyle w:val="TableTextS5"/>
              <w:rPr>
                <w:color w:val="000000"/>
                <w:lang w:val="es-ES"/>
              </w:rPr>
            </w:pPr>
            <w:r w:rsidRPr="00625DBA">
              <w:rPr>
                <w:rStyle w:val="Tablefreq"/>
                <w:color w:val="000000"/>
                <w:lang w:val="es-ES"/>
              </w:rPr>
              <w:t>15,43-15,63</w:t>
            </w:r>
            <w:r w:rsidRPr="00625DBA">
              <w:rPr>
                <w:color w:val="000000"/>
                <w:lang w:val="es-ES"/>
              </w:rPr>
              <w:tab/>
              <w:t xml:space="preserve">FIJO POR SATÉLITE  (Tierra-espacio)  </w:t>
            </w:r>
            <w:r w:rsidRPr="00625DBA">
              <w:rPr>
                <w:rStyle w:val="Artref10pt"/>
                <w:lang w:val="es-ES"/>
              </w:rPr>
              <w:t>5.511A</w:t>
            </w:r>
          </w:p>
          <w:p w14:paraId="1BB43214" w14:textId="77777777" w:rsidR="00F42494" w:rsidRPr="00625DBA" w:rsidRDefault="00F42494" w:rsidP="00625DBA">
            <w:pPr>
              <w:pStyle w:val="TableTextS5"/>
              <w:rPr>
                <w:color w:val="000000"/>
                <w:lang w:val="es-ES"/>
              </w:rPr>
            </w:pPr>
            <w:r w:rsidRPr="00625DBA">
              <w:rPr>
                <w:color w:val="000000"/>
                <w:lang w:val="es-ES"/>
              </w:rPr>
              <w:tab/>
            </w:r>
            <w:r w:rsidRPr="00625DBA">
              <w:rPr>
                <w:color w:val="000000"/>
                <w:lang w:val="es-ES"/>
              </w:rPr>
              <w:tab/>
            </w:r>
            <w:r w:rsidRPr="00625DBA">
              <w:rPr>
                <w:color w:val="000000"/>
                <w:lang w:val="es-ES"/>
              </w:rPr>
              <w:tab/>
            </w:r>
            <w:r w:rsidRPr="00625DBA">
              <w:rPr>
                <w:color w:val="000000"/>
                <w:lang w:val="es-ES"/>
              </w:rPr>
              <w:tab/>
              <w:t>RADIOLOCALIZACIÓN 5.511E  5.511F</w:t>
            </w:r>
          </w:p>
          <w:p w14:paraId="6AF1F205" w14:textId="77777777" w:rsidR="00F42494" w:rsidRPr="00625DBA" w:rsidRDefault="00F42494" w:rsidP="00625DBA">
            <w:pPr>
              <w:pStyle w:val="TableTextS5"/>
              <w:rPr>
                <w:color w:val="000000"/>
                <w:lang w:val="es-ES"/>
              </w:rPr>
            </w:pPr>
            <w:r w:rsidRPr="00625DBA">
              <w:rPr>
                <w:color w:val="000000"/>
                <w:lang w:val="es-ES"/>
              </w:rPr>
              <w:tab/>
            </w:r>
            <w:r w:rsidRPr="00625DBA">
              <w:rPr>
                <w:color w:val="000000"/>
                <w:lang w:val="es-ES"/>
              </w:rPr>
              <w:tab/>
            </w:r>
            <w:r w:rsidRPr="00625DBA">
              <w:rPr>
                <w:color w:val="000000"/>
                <w:lang w:val="es-ES"/>
              </w:rPr>
              <w:tab/>
            </w:r>
            <w:r w:rsidRPr="00625DBA">
              <w:rPr>
                <w:color w:val="000000"/>
                <w:lang w:val="es-ES"/>
              </w:rPr>
              <w:tab/>
              <w:t>RADIONAVEGACIÓN AERONÁUTICA</w:t>
            </w:r>
          </w:p>
          <w:p w14:paraId="5EDE91F7" w14:textId="77777777" w:rsidR="00F42494" w:rsidRPr="00625DBA" w:rsidRDefault="00F42494" w:rsidP="00625DBA">
            <w:pPr>
              <w:pStyle w:val="TableTextS5"/>
              <w:rPr>
                <w:color w:val="000000"/>
                <w:lang w:val="es-ES"/>
              </w:rPr>
            </w:pPr>
            <w:r w:rsidRPr="00625DBA">
              <w:rPr>
                <w:color w:val="000000"/>
                <w:lang w:val="es-ES"/>
              </w:rPr>
              <w:tab/>
            </w:r>
            <w:r w:rsidRPr="00625DBA">
              <w:rPr>
                <w:color w:val="000000"/>
                <w:lang w:val="es-ES"/>
              </w:rPr>
              <w:tab/>
            </w:r>
            <w:r w:rsidRPr="00625DBA">
              <w:rPr>
                <w:color w:val="000000"/>
                <w:lang w:val="es-ES"/>
              </w:rPr>
              <w:tab/>
            </w:r>
            <w:r w:rsidRPr="00625DBA">
              <w:rPr>
                <w:color w:val="000000"/>
                <w:lang w:val="es-ES"/>
              </w:rPr>
              <w:tab/>
            </w:r>
            <w:r w:rsidRPr="00625DBA">
              <w:rPr>
                <w:rStyle w:val="Artref"/>
                <w:color w:val="000000"/>
                <w:lang w:val="es-ES"/>
              </w:rPr>
              <w:t>5.511C</w:t>
            </w:r>
          </w:p>
        </w:tc>
      </w:tr>
      <w:tr w:rsidR="00625DBA" w:rsidRPr="007349A9" w14:paraId="1C8FB2BE" w14:textId="77777777" w:rsidTr="00625DBA">
        <w:trPr>
          <w:cantSplit/>
        </w:trPr>
        <w:tc>
          <w:tcPr>
            <w:tcW w:w="9303" w:type="dxa"/>
            <w:gridSpan w:val="3"/>
            <w:tcBorders>
              <w:top w:val="single" w:sz="6" w:space="0" w:color="auto"/>
              <w:left w:val="single" w:sz="6" w:space="0" w:color="auto"/>
              <w:bottom w:val="single" w:sz="6" w:space="0" w:color="auto"/>
              <w:right w:val="single" w:sz="6" w:space="0" w:color="auto"/>
            </w:tcBorders>
          </w:tcPr>
          <w:p w14:paraId="62A3B4A3" w14:textId="77777777" w:rsidR="00F42494" w:rsidRPr="00625DBA" w:rsidRDefault="00F42494" w:rsidP="00625DBA">
            <w:pPr>
              <w:pStyle w:val="TableTextS5"/>
              <w:rPr>
                <w:color w:val="000000"/>
                <w:lang w:val="es-ES"/>
              </w:rPr>
            </w:pPr>
            <w:r w:rsidRPr="00625DBA">
              <w:rPr>
                <w:rStyle w:val="Tablefreq"/>
                <w:color w:val="000000"/>
                <w:lang w:val="es-ES"/>
              </w:rPr>
              <w:t>15,63-15,7</w:t>
            </w:r>
            <w:r w:rsidRPr="00625DBA">
              <w:rPr>
                <w:color w:val="000000"/>
                <w:lang w:val="es-ES"/>
              </w:rPr>
              <w:tab/>
              <w:t>RADIOLOCALIZACIÓN 5.511E  5.511F</w:t>
            </w:r>
          </w:p>
          <w:p w14:paraId="3D55B864" w14:textId="77777777" w:rsidR="00F42494" w:rsidRPr="00625DBA" w:rsidRDefault="00F42494" w:rsidP="00625DBA">
            <w:pPr>
              <w:pStyle w:val="TableTextS5"/>
              <w:rPr>
                <w:color w:val="000000"/>
                <w:lang w:val="es-ES"/>
              </w:rPr>
            </w:pPr>
            <w:r w:rsidRPr="00625DBA">
              <w:rPr>
                <w:color w:val="000000"/>
                <w:lang w:val="es-ES"/>
              </w:rPr>
              <w:tab/>
            </w:r>
            <w:r w:rsidRPr="00625DBA">
              <w:rPr>
                <w:color w:val="000000"/>
                <w:lang w:val="es-ES"/>
              </w:rPr>
              <w:tab/>
            </w:r>
            <w:r w:rsidRPr="00625DBA">
              <w:rPr>
                <w:color w:val="000000"/>
                <w:lang w:val="es-ES"/>
              </w:rPr>
              <w:tab/>
            </w:r>
            <w:r w:rsidRPr="00625DBA">
              <w:rPr>
                <w:color w:val="000000"/>
                <w:lang w:val="es-ES"/>
              </w:rPr>
              <w:tab/>
              <w:t>RADIONAVEGACIÓN AERONÁUTICA</w:t>
            </w:r>
          </w:p>
        </w:tc>
      </w:tr>
    </w:tbl>
    <w:p w14:paraId="3C00E597" w14:textId="7D1456C4" w:rsidR="0070328C" w:rsidRDefault="00F42494" w:rsidP="00FE7276">
      <w:pPr>
        <w:pStyle w:val="Reasons"/>
      </w:pPr>
      <w:r w:rsidRPr="00FE7276">
        <w:rPr>
          <w:b/>
          <w:bCs/>
        </w:rPr>
        <w:t>Motivos:</w:t>
      </w:r>
      <w:r>
        <w:tab/>
      </w:r>
      <w:r w:rsidR="00FE7276" w:rsidRPr="00FE7276">
        <w:rPr>
          <w:lang w:val="es-MX"/>
        </w:rPr>
        <w:t>Se han realizado estudios de compartición entre los SMA(OR) no relacionados con la seguridad y los servicios existentes, como por ejemplo los de radiolocalización, lo que ha dado como resultado una gran distancia de separación. Los resultados muestran que no es factible que los SMA(OR) no relacionados con la seguridad obtengan una atribución. Por lo tanto, no se propone ningún cambio en la banda de frecuencias de 15,4-15,7</w:t>
      </w:r>
      <w:r>
        <w:rPr>
          <w:lang w:val="es-MX"/>
        </w:rPr>
        <w:t> </w:t>
      </w:r>
      <w:r w:rsidR="00FE7276" w:rsidRPr="00FE7276">
        <w:rPr>
          <w:lang w:val="es-MX"/>
        </w:rPr>
        <w:t>GHz.</w:t>
      </w:r>
    </w:p>
    <w:p w14:paraId="09749CB6" w14:textId="77777777" w:rsidR="0070328C" w:rsidRDefault="00F42494">
      <w:pPr>
        <w:pStyle w:val="Proposal"/>
      </w:pPr>
      <w:r>
        <w:rPr>
          <w:u w:val="single"/>
        </w:rPr>
        <w:t>NOC</w:t>
      </w:r>
      <w:r>
        <w:tab/>
        <w:t>IAP/44A10/2</w:t>
      </w:r>
    </w:p>
    <w:p w14:paraId="59ACB733" w14:textId="77777777" w:rsidR="00F42494" w:rsidRPr="00245062" w:rsidRDefault="00F42494" w:rsidP="00745B6B">
      <w:pPr>
        <w:pStyle w:val="Tabletitle"/>
        <w:rPr>
          <w:color w:val="000000"/>
        </w:rPr>
      </w:pPr>
      <w:r w:rsidRPr="00245062">
        <w:t>22-24,75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625DBA" w:rsidRPr="00245062" w14:paraId="73AEFD85" w14:textId="77777777" w:rsidTr="00625DBA">
        <w:trPr>
          <w:cantSplit/>
        </w:trPr>
        <w:tc>
          <w:tcPr>
            <w:tcW w:w="9303" w:type="dxa"/>
            <w:gridSpan w:val="3"/>
          </w:tcPr>
          <w:p w14:paraId="51FD0B80" w14:textId="77777777" w:rsidR="00F42494" w:rsidRPr="00245062" w:rsidRDefault="00F42494" w:rsidP="00967236">
            <w:pPr>
              <w:pStyle w:val="Tablehead"/>
              <w:spacing w:before="60" w:after="60"/>
              <w:rPr>
                <w:color w:val="000000"/>
              </w:rPr>
            </w:pPr>
            <w:r w:rsidRPr="00245062">
              <w:rPr>
                <w:color w:val="000000"/>
              </w:rPr>
              <w:t>Atribución a los servicios</w:t>
            </w:r>
          </w:p>
        </w:tc>
      </w:tr>
      <w:tr w:rsidR="00625DBA" w:rsidRPr="00245062" w14:paraId="46858247" w14:textId="77777777" w:rsidTr="00625DBA">
        <w:trPr>
          <w:cantSplit/>
        </w:trPr>
        <w:tc>
          <w:tcPr>
            <w:tcW w:w="3101" w:type="dxa"/>
          </w:tcPr>
          <w:p w14:paraId="1B40D739" w14:textId="77777777" w:rsidR="00F42494" w:rsidRPr="00245062" w:rsidRDefault="00F42494" w:rsidP="00967236">
            <w:pPr>
              <w:pStyle w:val="Tablehead"/>
              <w:spacing w:before="60" w:after="60"/>
              <w:rPr>
                <w:color w:val="000000"/>
              </w:rPr>
            </w:pPr>
            <w:r w:rsidRPr="00245062">
              <w:rPr>
                <w:color w:val="000000"/>
              </w:rPr>
              <w:t>Región 1</w:t>
            </w:r>
          </w:p>
        </w:tc>
        <w:tc>
          <w:tcPr>
            <w:tcW w:w="3101" w:type="dxa"/>
          </w:tcPr>
          <w:p w14:paraId="218D5B95" w14:textId="77777777" w:rsidR="00F42494" w:rsidRPr="00245062" w:rsidRDefault="00F42494" w:rsidP="00967236">
            <w:pPr>
              <w:pStyle w:val="Tablehead"/>
              <w:spacing w:before="60" w:after="60"/>
              <w:rPr>
                <w:color w:val="000000"/>
              </w:rPr>
            </w:pPr>
            <w:r w:rsidRPr="00245062">
              <w:rPr>
                <w:color w:val="000000"/>
              </w:rPr>
              <w:t>Región 2</w:t>
            </w:r>
          </w:p>
        </w:tc>
        <w:tc>
          <w:tcPr>
            <w:tcW w:w="3101" w:type="dxa"/>
          </w:tcPr>
          <w:p w14:paraId="46FF2D9C" w14:textId="77777777" w:rsidR="00F42494" w:rsidRPr="00245062" w:rsidRDefault="00F42494" w:rsidP="00967236">
            <w:pPr>
              <w:pStyle w:val="Tablehead"/>
              <w:spacing w:before="60" w:after="60"/>
              <w:rPr>
                <w:color w:val="000000"/>
              </w:rPr>
            </w:pPr>
            <w:r w:rsidRPr="00245062">
              <w:rPr>
                <w:color w:val="000000"/>
              </w:rPr>
              <w:t>Región 3</w:t>
            </w:r>
          </w:p>
        </w:tc>
      </w:tr>
      <w:tr w:rsidR="00625DBA" w:rsidRPr="007349A9" w14:paraId="7719F2C6" w14:textId="77777777" w:rsidTr="00625DBA">
        <w:trPr>
          <w:cantSplit/>
        </w:trPr>
        <w:tc>
          <w:tcPr>
            <w:tcW w:w="9303" w:type="dxa"/>
            <w:gridSpan w:val="3"/>
          </w:tcPr>
          <w:p w14:paraId="0AE3B803" w14:textId="77777777" w:rsidR="00F42494" w:rsidRPr="00625DBA" w:rsidRDefault="00F42494" w:rsidP="00967236">
            <w:pPr>
              <w:pStyle w:val="TableTextS5"/>
              <w:spacing w:before="20" w:after="20"/>
              <w:rPr>
                <w:color w:val="000000"/>
                <w:lang w:val="es-ES"/>
              </w:rPr>
            </w:pPr>
            <w:r w:rsidRPr="00625DBA">
              <w:rPr>
                <w:rStyle w:val="Tablefreq"/>
                <w:color w:val="000000"/>
                <w:lang w:val="es-ES"/>
              </w:rPr>
              <w:t>22-22,21</w:t>
            </w:r>
            <w:r w:rsidRPr="00625DBA">
              <w:rPr>
                <w:color w:val="000000"/>
                <w:lang w:val="es-ES"/>
              </w:rPr>
              <w:tab/>
            </w:r>
            <w:r w:rsidRPr="00625DBA">
              <w:rPr>
                <w:color w:val="000000"/>
                <w:lang w:val="es-ES"/>
              </w:rPr>
              <w:tab/>
              <w:t>FIJO</w:t>
            </w:r>
          </w:p>
          <w:p w14:paraId="5D16F2E0" w14:textId="77777777" w:rsidR="00F42494" w:rsidRPr="00625DBA" w:rsidRDefault="00F42494" w:rsidP="00967236">
            <w:pPr>
              <w:pStyle w:val="TableTextS5"/>
              <w:spacing w:before="20" w:after="20"/>
              <w:rPr>
                <w:color w:val="000000"/>
                <w:lang w:val="es-ES"/>
              </w:rPr>
            </w:pPr>
            <w:r w:rsidRPr="00625DBA">
              <w:rPr>
                <w:color w:val="000000"/>
                <w:lang w:val="es-ES"/>
              </w:rPr>
              <w:tab/>
            </w:r>
            <w:r w:rsidRPr="00625DBA">
              <w:rPr>
                <w:color w:val="000000"/>
                <w:lang w:val="es-ES"/>
              </w:rPr>
              <w:tab/>
            </w:r>
            <w:r w:rsidRPr="00625DBA">
              <w:rPr>
                <w:color w:val="000000"/>
                <w:lang w:val="es-ES"/>
              </w:rPr>
              <w:tab/>
            </w:r>
            <w:r w:rsidRPr="00625DBA">
              <w:rPr>
                <w:color w:val="000000"/>
                <w:lang w:val="es-ES"/>
              </w:rPr>
              <w:tab/>
              <w:t>MÓVIL salvo móvil aeronáutico</w:t>
            </w:r>
          </w:p>
          <w:p w14:paraId="54706686" w14:textId="77777777" w:rsidR="00F42494" w:rsidRPr="00625DBA" w:rsidRDefault="00F42494" w:rsidP="00967236">
            <w:pPr>
              <w:pStyle w:val="TableTextS5"/>
              <w:spacing w:before="20" w:after="20"/>
              <w:rPr>
                <w:color w:val="000000"/>
                <w:lang w:val="es-ES"/>
              </w:rPr>
            </w:pPr>
            <w:r w:rsidRPr="00625DBA">
              <w:rPr>
                <w:color w:val="000000"/>
                <w:lang w:val="es-ES"/>
              </w:rPr>
              <w:tab/>
            </w:r>
            <w:r w:rsidRPr="00625DBA">
              <w:rPr>
                <w:color w:val="000000"/>
                <w:lang w:val="es-ES"/>
              </w:rPr>
              <w:tab/>
            </w:r>
            <w:r w:rsidRPr="00625DBA">
              <w:rPr>
                <w:color w:val="000000"/>
                <w:lang w:val="es-ES"/>
              </w:rPr>
              <w:tab/>
            </w:r>
            <w:r w:rsidRPr="00625DBA">
              <w:rPr>
                <w:color w:val="000000"/>
                <w:lang w:val="es-ES"/>
              </w:rPr>
              <w:tab/>
            </w:r>
            <w:r w:rsidRPr="00625DBA">
              <w:rPr>
                <w:rStyle w:val="Artref"/>
                <w:color w:val="000000"/>
                <w:lang w:val="es-ES"/>
              </w:rPr>
              <w:t>5.149</w:t>
            </w:r>
          </w:p>
        </w:tc>
      </w:tr>
    </w:tbl>
    <w:p w14:paraId="126F3044" w14:textId="60E6F0EE" w:rsidR="0070328C" w:rsidRDefault="00F42494" w:rsidP="00FE7276">
      <w:pPr>
        <w:pStyle w:val="Reasons"/>
      </w:pPr>
      <w:r w:rsidRPr="00FE7276">
        <w:rPr>
          <w:b/>
          <w:bCs/>
        </w:rPr>
        <w:t>Motivos:</w:t>
      </w:r>
      <w:r>
        <w:tab/>
      </w:r>
      <w:r w:rsidR="00FE7276" w:rsidRPr="00FE7276">
        <w:rPr>
          <w:lang w:val="es-419"/>
        </w:rPr>
        <w:t>Se han realizado estudios de compatibilidad entre los SMA(OR) no relacionados con la seguridad y los servicios existentes en la banda de frecuencias adyacente. Los resultados muestran que varios escenarios de SMA(OR) (p.ej.: la observación de incendios forestales y la red sobre las nubes) no son compatibles con las operaciones SETS (pasivo) basadas en los niveles de emisiones fuera de banda previstos de los enlaces de SMA(OR) no relacionados con la seguridad. Los estudios también indicaron desafíos significativos para la coexistencia con los servicios fijos tradicionales dentro de la banda. Por lo tanto, se propone no modificar la banda de frecuencias de 22-22,21</w:t>
      </w:r>
      <w:r w:rsidR="009D1B12">
        <w:rPr>
          <w:lang w:val="es-419"/>
        </w:rPr>
        <w:t> </w:t>
      </w:r>
      <w:r w:rsidR="00FE7276" w:rsidRPr="00FE7276">
        <w:rPr>
          <w:lang w:val="es-419"/>
        </w:rPr>
        <w:t>GHz.</w:t>
      </w:r>
    </w:p>
    <w:p w14:paraId="4E9B65DD" w14:textId="77777777" w:rsidR="0070328C" w:rsidRDefault="00F42494">
      <w:pPr>
        <w:pStyle w:val="Proposal"/>
      </w:pPr>
      <w:r>
        <w:lastRenderedPageBreak/>
        <w:t>SUP</w:t>
      </w:r>
      <w:r>
        <w:tab/>
        <w:t>IAP/44A10/3</w:t>
      </w:r>
      <w:r>
        <w:rPr>
          <w:vanish/>
          <w:color w:val="7F7F7F" w:themeColor="text1" w:themeTint="80"/>
          <w:vertAlign w:val="superscript"/>
        </w:rPr>
        <w:t>#1670</w:t>
      </w:r>
    </w:p>
    <w:p w14:paraId="3A9F9BDD" w14:textId="77777777" w:rsidR="00F42494" w:rsidRPr="005B4E00" w:rsidRDefault="00F42494" w:rsidP="00571CDC">
      <w:pPr>
        <w:pStyle w:val="RecNo"/>
        <w:rPr>
          <w:lang w:val="es-ES"/>
        </w:rPr>
      </w:pPr>
      <w:r w:rsidRPr="005B4E00">
        <w:rPr>
          <w:lang w:val="es-ES"/>
        </w:rPr>
        <w:t>RESOLUCIÓN 430 (CMR-19)</w:t>
      </w:r>
    </w:p>
    <w:p w14:paraId="182B3931" w14:textId="77777777" w:rsidR="00F42494" w:rsidRPr="00F8102D" w:rsidRDefault="00F42494" w:rsidP="00571CDC">
      <w:pPr>
        <w:pStyle w:val="Restitle"/>
        <w:rPr>
          <w:lang w:val="es-ES"/>
        </w:rPr>
      </w:pPr>
      <w:r w:rsidRPr="005B4E00">
        <w:rPr>
          <w:lang w:val="es-ES"/>
        </w:rPr>
        <w:t xml:space="preserve">Estudios sobre cuestiones relativas a las frecuencias, incluidas posibles </w:t>
      </w:r>
      <w:r w:rsidRPr="005B4E00">
        <w:rPr>
          <w:lang w:val="es-ES"/>
        </w:rPr>
        <w:br/>
        <w:t>atribuciones adicionales, para la posible introducción de nuevas</w:t>
      </w:r>
      <w:r w:rsidRPr="005B4E00">
        <w:rPr>
          <w:lang w:val="es-ES"/>
        </w:rPr>
        <w:br/>
        <w:t>aplicaciones móviles aeronáuticas no relacionadas con la seguridad</w:t>
      </w:r>
    </w:p>
    <w:p w14:paraId="4D3DC05A" w14:textId="323AF1BC" w:rsidR="0070328C" w:rsidRDefault="00F42494" w:rsidP="00FE7276">
      <w:pPr>
        <w:pStyle w:val="Reasons"/>
        <w:rPr>
          <w:lang w:val="es-MX"/>
        </w:rPr>
      </w:pPr>
      <w:r w:rsidRPr="00FE7276">
        <w:rPr>
          <w:b/>
          <w:bCs/>
        </w:rPr>
        <w:t>Motivos:</w:t>
      </w:r>
      <w:r>
        <w:tab/>
      </w:r>
      <w:r w:rsidR="00FE7276" w:rsidRPr="00FE7276">
        <w:rPr>
          <w:lang w:val="es-MX"/>
        </w:rPr>
        <w:t>Esta resolución debería ser suprimida por la CMR-23 señalando las dificultades con las nuevas atribuciones a los SMA(OR) en este punto del orden del día.</w:t>
      </w:r>
    </w:p>
    <w:p w14:paraId="400F2912" w14:textId="77777777" w:rsidR="00FE7276" w:rsidRDefault="00FE7276" w:rsidP="00FE7276"/>
    <w:p w14:paraId="20A780A0" w14:textId="77777777" w:rsidR="00FE7276" w:rsidRDefault="00FE7276">
      <w:pPr>
        <w:jc w:val="center"/>
      </w:pPr>
      <w:r>
        <w:t>______________</w:t>
      </w:r>
    </w:p>
    <w:sectPr w:rsidR="00FE7276">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5E5F7" w14:textId="77777777" w:rsidR="00666B37" w:rsidRDefault="00666B37">
      <w:r>
        <w:separator/>
      </w:r>
    </w:p>
  </w:endnote>
  <w:endnote w:type="continuationSeparator" w:id="0">
    <w:p w14:paraId="587D5AD1"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FFEE1"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91DC26" w14:textId="7B22886C"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E86FBF">
      <w:rPr>
        <w:noProof/>
      </w:rPr>
      <w:t>19.10.23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4F68" w14:textId="43EEAE4B" w:rsidR="0077084A" w:rsidRPr="00FE7276" w:rsidRDefault="00FE7276" w:rsidP="00FE7276">
    <w:pPr>
      <w:pStyle w:val="Footer"/>
      <w:rPr>
        <w:lang w:val="en-GB"/>
      </w:rPr>
    </w:pPr>
    <w:r>
      <w:fldChar w:fldCharType="begin"/>
    </w:r>
    <w:r w:rsidRPr="00FE7276">
      <w:rPr>
        <w:lang w:val="en-GB"/>
      </w:rPr>
      <w:instrText xml:space="preserve"> FILENAME \p  \* MERGEFORMAT </w:instrText>
    </w:r>
    <w:r>
      <w:fldChar w:fldCharType="separate"/>
    </w:r>
    <w:r w:rsidR="009D1B12">
      <w:rPr>
        <w:lang w:val="en-GB"/>
      </w:rPr>
      <w:t>P:\ESP\ITU-R\CONF-R\CMR23\000\044ADD10S.docx</w:t>
    </w:r>
    <w:r>
      <w:fldChar w:fldCharType="end"/>
    </w:r>
    <w:r w:rsidRPr="00FE7276">
      <w:rPr>
        <w:lang w:val="en-GB"/>
      </w:rPr>
      <w:t xml:space="preserve"> (529446)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637E2" w14:textId="38CC0CF3" w:rsidR="00FE7276" w:rsidRPr="00FE7276" w:rsidRDefault="00FE7276" w:rsidP="009D1B12">
    <w:pPr>
      <w:pStyle w:val="Footer"/>
      <w:rPr>
        <w:lang w:val="en-GB"/>
      </w:rPr>
    </w:pPr>
    <w:r>
      <w:fldChar w:fldCharType="begin"/>
    </w:r>
    <w:r w:rsidRPr="00FE7276">
      <w:rPr>
        <w:lang w:val="en-GB"/>
      </w:rPr>
      <w:instrText xml:space="preserve"> FILENAME \p  \* MERGEFORMAT </w:instrText>
    </w:r>
    <w:r>
      <w:fldChar w:fldCharType="separate"/>
    </w:r>
    <w:r w:rsidR="009D1B12">
      <w:rPr>
        <w:lang w:val="en-GB"/>
      </w:rPr>
      <w:t>P:\ESP\ITU-R\CONF-R\CMR23\000\044ADD10S.docx</w:t>
    </w:r>
    <w:r>
      <w:fldChar w:fldCharType="end"/>
    </w:r>
    <w:r w:rsidRPr="00FE7276">
      <w:rPr>
        <w:lang w:val="en-GB"/>
      </w:rPr>
      <w:t xml:space="preserve"> (529446)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C3F55" w14:textId="77777777" w:rsidR="00666B37" w:rsidRDefault="00666B37">
      <w:r>
        <w:rPr>
          <w:b/>
        </w:rPr>
        <w:t>_______________</w:t>
      </w:r>
    </w:p>
  </w:footnote>
  <w:footnote w:type="continuationSeparator" w:id="0">
    <w:p w14:paraId="26287EE0"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B811"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21AB2A3C"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44(Add.10)-</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496921613">
    <w:abstractNumId w:val="8"/>
  </w:num>
  <w:num w:numId="2" w16cid:durableId="148808629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874462108">
    <w:abstractNumId w:val="9"/>
  </w:num>
  <w:num w:numId="4" w16cid:durableId="1744449896">
    <w:abstractNumId w:val="7"/>
  </w:num>
  <w:num w:numId="5" w16cid:durableId="654838745">
    <w:abstractNumId w:val="6"/>
  </w:num>
  <w:num w:numId="6" w16cid:durableId="1200095842">
    <w:abstractNumId w:val="5"/>
  </w:num>
  <w:num w:numId="7" w16cid:durableId="837577925">
    <w:abstractNumId w:val="4"/>
  </w:num>
  <w:num w:numId="8" w16cid:durableId="1245602387">
    <w:abstractNumId w:val="3"/>
  </w:num>
  <w:num w:numId="9" w16cid:durableId="1958170906">
    <w:abstractNumId w:val="2"/>
  </w:num>
  <w:num w:numId="10" w16cid:durableId="266889723">
    <w:abstractNumId w:val="1"/>
  </w:num>
  <w:num w:numId="11" w16cid:durableId="1108432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328C"/>
    <w:rsid w:val="0070518E"/>
    <w:rsid w:val="007354E9"/>
    <w:rsid w:val="007424E8"/>
    <w:rsid w:val="0074579D"/>
    <w:rsid w:val="00765578"/>
    <w:rsid w:val="00766333"/>
    <w:rsid w:val="0077084A"/>
    <w:rsid w:val="007952C7"/>
    <w:rsid w:val="007C0B95"/>
    <w:rsid w:val="007C2317"/>
    <w:rsid w:val="007D330A"/>
    <w:rsid w:val="0080079E"/>
    <w:rsid w:val="008504C2"/>
    <w:rsid w:val="00852285"/>
    <w:rsid w:val="00866AE6"/>
    <w:rsid w:val="008750A8"/>
    <w:rsid w:val="008D3316"/>
    <w:rsid w:val="008E5AF2"/>
    <w:rsid w:val="0090121B"/>
    <w:rsid w:val="009144C9"/>
    <w:rsid w:val="0094091F"/>
    <w:rsid w:val="00962171"/>
    <w:rsid w:val="00973754"/>
    <w:rsid w:val="009C0BED"/>
    <w:rsid w:val="009D1B12"/>
    <w:rsid w:val="009E11EC"/>
    <w:rsid w:val="00A021CC"/>
    <w:rsid w:val="00A118DB"/>
    <w:rsid w:val="00A4450C"/>
    <w:rsid w:val="00AA5E6C"/>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72A5D"/>
    <w:rsid w:val="00DA71A3"/>
    <w:rsid w:val="00DC1922"/>
    <w:rsid w:val="00DC629B"/>
    <w:rsid w:val="00DE1C31"/>
    <w:rsid w:val="00E05BFF"/>
    <w:rsid w:val="00E262F1"/>
    <w:rsid w:val="00E3176A"/>
    <w:rsid w:val="00E36CE4"/>
    <w:rsid w:val="00E54754"/>
    <w:rsid w:val="00E56BD3"/>
    <w:rsid w:val="00E71D14"/>
    <w:rsid w:val="00E86FBF"/>
    <w:rsid w:val="00EA77F0"/>
    <w:rsid w:val="00F32316"/>
    <w:rsid w:val="00F42494"/>
    <w:rsid w:val="00F66597"/>
    <w:rsid w:val="00F675D0"/>
    <w:rsid w:val="00F8150C"/>
    <w:rsid w:val="00FD03C4"/>
    <w:rsid w:val="00FE4574"/>
    <w:rsid w:val="00FE72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13F112C"/>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6537F1"/>
    <w:rPr>
      <w:color w:val="000000"/>
      <w:sz w:val="20"/>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R23-WRC23-C-0044!A10!MSW-S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Props1.xml><?xml version="1.0" encoding="utf-8"?>
<ds:datastoreItem xmlns:ds="http://schemas.openxmlformats.org/officeDocument/2006/customXml" ds:itemID="{F64CAE99-A253-4795-9D5E-332659E28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B7AA51-40B8-4C62-89D5-70B71CDC15D1}">
  <ds:schemaRefs>
    <ds:schemaRef ds:uri="http://schemas.microsoft.com/sharepoint/v3/contenttype/forms"/>
  </ds:schemaRefs>
</ds:datastoreItem>
</file>

<file path=customXml/itemProps3.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4.xml><?xml version="1.0" encoding="utf-8"?>
<ds:datastoreItem xmlns:ds="http://schemas.openxmlformats.org/officeDocument/2006/customXml" ds:itemID="{7712A022-5253-4B74-98CF-F64A4B07CAA5}">
  <ds:schemaRefs>
    <ds:schemaRef ds:uri="http://schemas.microsoft.com/sharepoint/events"/>
  </ds:schemaRefs>
</ds:datastoreItem>
</file>

<file path=customXml/itemProps5.xml><?xml version="1.0" encoding="utf-8"?>
<ds:datastoreItem xmlns:ds="http://schemas.openxmlformats.org/officeDocument/2006/customXml" ds:itemID="{5E88F4E4-9EBE-4E90-8715-FC2676422AB1}">
  <ds:schemaRefs>
    <ds:schemaRef ds:uri="http://purl.org/dc/terms/"/>
    <ds:schemaRef ds:uri="http://schemas.microsoft.com/office/2006/documentManagement/types"/>
    <ds:schemaRef ds:uri="http://schemas.microsoft.com/office/infopath/2007/PartnerControls"/>
    <ds:schemaRef ds:uri="http://purl.org/dc/dcmitype/"/>
    <ds:schemaRef ds:uri="http://www.w3.org/XML/1998/namespace"/>
    <ds:schemaRef ds:uri="996b2e75-67fd-4955-a3b0-5ab9934cb50b"/>
    <ds:schemaRef ds:uri="http://schemas.microsoft.com/office/2006/metadata/properties"/>
    <ds:schemaRef ds:uri="http://schemas.openxmlformats.org/package/2006/metadata/core-properties"/>
    <ds:schemaRef ds:uri="http://purl.org/dc/elements/1.1/"/>
    <ds:schemaRef ds:uri="32a1a8c5-2265-4ebc-b7a0-2071e2c5c9bb"/>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406</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R23-WRC23-C-0044!A10!MSW-S</vt:lpstr>
    </vt:vector>
  </TitlesOfParts>
  <Manager>Secretaría General - Pool</Manager>
  <Company>Unión Internacional de Telecomunicaciones (UIT)</Company>
  <LinksUpToDate>false</LinksUpToDate>
  <CharactersWithSpaces>2916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R23-WRC23-C-0044!A10!MSW-S</dc:title>
  <dc:subject>Conferencia Mundial de Radiocomunicaciones - 2019</dc:subject>
  <dc:creator>Documents Proposals Manager (DPM)</dc:creator>
  <cp:keywords>DPM_v2023.8.1.1_prod</cp:keywords>
  <dc:description/>
  <cp:lastModifiedBy>Spanish83</cp:lastModifiedBy>
  <cp:revision>3</cp:revision>
  <cp:lastPrinted>2003-02-19T20:20:00Z</cp:lastPrinted>
  <dcterms:created xsi:type="dcterms:W3CDTF">2023-10-20T08:46:00Z</dcterms:created>
  <dcterms:modified xsi:type="dcterms:W3CDTF">2023-10-20T08:53:00Z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