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43444A" w14:paraId="332DA9C7" w14:textId="77777777" w:rsidTr="00915398">
        <w:trPr>
          <w:cantSplit/>
        </w:trPr>
        <w:tc>
          <w:tcPr>
            <w:tcW w:w="1418" w:type="dxa"/>
            <w:vAlign w:val="center"/>
          </w:tcPr>
          <w:p w14:paraId="79742A23" w14:textId="77777777" w:rsidR="0043444A" w:rsidRPr="00DF23FC" w:rsidRDefault="0043444A" w:rsidP="00915398">
            <w:pPr>
              <w:spacing w:before="0"/>
              <w:rPr>
                <w:rFonts w:ascii="Verdana" w:hAnsi="Verdana"/>
                <w:position w:val="6"/>
              </w:rPr>
            </w:pPr>
            <w:bookmarkStart w:id="0" w:name="_Hlk131597142"/>
            <w:r>
              <w:rPr>
                <w:noProof/>
                <w:lang w:val="en-US"/>
              </w:rPr>
              <w:drawing>
                <wp:inline distT="0" distB="0" distL="0" distR="0" wp14:anchorId="1F0B8853" wp14:editId="1879989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88168B6" w14:textId="729F9374" w:rsidR="0043444A" w:rsidRPr="000C5AE9" w:rsidRDefault="000C5AE9" w:rsidP="00915398">
            <w:pPr>
              <w:spacing w:before="400" w:after="48" w:line="240" w:lineRule="atLeast"/>
              <w:rPr>
                <w:rFonts w:ascii="Verdana" w:hAnsi="Verdana"/>
                <w:position w:val="6"/>
                <w:lang w:val="es-ES"/>
              </w:rPr>
            </w:pPr>
            <w:r w:rsidRPr="000C5AE9">
              <w:rPr>
                <w:rFonts w:ascii="Verdana" w:hAnsi="Verdana" w:cs="Times"/>
                <w:b/>
                <w:position w:val="6"/>
                <w:sz w:val="20"/>
                <w:lang w:val="es-ES"/>
              </w:rPr>
              <w:t>Conferencia Mundial de Radiocomunicaciones (CMR-23)</w:t>
            </w:r>
            <w:r w:rsidRPr="000C5AE9">
              <w:rPr>
                <w:rFonts w:ascii="Verdana" w:hAnsi="Verdana" w:cs="Times"/>
                <w:b/>
                <w:position w:val="6"/>
                <w:sz w:val="20"/>
                <w:lang w:val="es-ES"/>
              </w:rPr>
              <w:br/>
            </w:r>
            <w:r w:rsidRPr="000C5AE9">
              <w:rPr>
                <w:rFonts w:ascii="Verdana" w:hAnsi="Verdana"/>
                <w:b/>
                <w:bCs/>
                <w:position w:val="6"/>
                <w:sz w:val="17"/>
                <w:szCs w:val="17"/>
                <w:lang w:val="es-ES"/>
              </w:rPr>
              <w:t>Dubái, 20 de noviembre - 15 de diciembre de 2023</w:t>
            </w:r>
          </w:p>
        </w:tc>
        <w:tc>
          <w:tcPr>
            <w:tcW w:w="1951" w:type="dxa"/>
            <w:vAlign w:val="center"/>
          </w:tcPr>
          <w:p w14:paraId="179B12D1" w14:textId="2C0906EB" w:rsidR="0043444A" w:rsidRDefault="000C5AE9" w:rsidP="00915398">
            <w:pPr>
              <w:spacing w:before="0" w:line="240" w:lineRule="atLeast"/>
            </w:pPr>
            <w:bookmarkStart w:id="1" w:name="ditulogo"/>
            <w:bookmarkEnd w:id="1"/>
            <w:r>
              <w:rPr>
                <w:noProof/>
              </w:rPr>
              <w:drawing>
                <wp:inline distT="0" distB="0" distL="0" distR="0" wp14:anchorId="715B297A" wp14:editId="515331C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43444A" w:rsidRPr="00974431" w14:paraId="7CECC80F" w14:textId="77777777" w:rsidTr="0043444A">
        <w:trPr>
          <w:cantSplit/>
        </w:trPr>
        <w:tc>
          <w:tcPr>
            <w:tcW w:w="6911" w:type="dxa"/>
            <w:gridSpan w:val="2"/>
            <w:tcBorders>
              <w:bottom w:val="single" w:sz="12" w:space="0" w:color="auto"/>
            </w:tcBorders>
          </w:tcPr>
          <w:p w14:paraId="79D70690" w14:textId="77777777" w:rsidR="0043444A" w:rsidRPr="00974431" w:rsidRDefault="0043444A" w:rsidP="00D91769">
            <w:pPr>
              <w:spacing w:before="0" w:after="48" w:line="240" w:lineRule="atLeast"/>
              <w:rPr>
                <w:rFonts w:ascii="Verdana" w:hAnsi="Verdana"/>
                <w:b/>
                <w:bCs/>
                <w:position w:val="6"/>
                <w:sz w:val="20"/>
              </w:rPr>
            </w:pPr>
            <w:bookmarkStart w:id="2" w:name="dhead"/>
            <w:bookmarkEnd w:id="0"/>
          </w:p>
        </w:tc>
        <w:tc>
          <w:tcPr>
            <w:tcW w:w="3120" w:type="dxa"/>
            <w:gridSpan w:val="2"/>
            <w:tcBorders>
              <w:bottom w:val="single" w:sz="12" w:space="0" w:color="auto"/>
            </w:tcBorders>
          </w:tcPr>
          <w:p w14:paraId="4923C942" w14:textId="77777777" w:rsidR="0043444A" w:rsidRPr="00974431" w:rsidRDefault="0043444A" w:rsidP="00D91769">
            <w:pPr>
              <w:spacing w:before="0" w:after="48" w:line="240" w:lineRule="atLeast"/>
              <w:rPr>
                <w:rFonts w:ascii="Verdana" w:hAnsi="Verdana"/>
                <w:b/>
                <w:bCs/>
                <w:position w:val="6"/>
                <w:sz w:val="20"/>
              </w:rPr>
            </w:pPr>
          </w:p>
        </w:tc>
      </w:tr>
      <w:tr w:rsidR="0043444A" w:rsidRPr="00C324A8" w14:paraId="04213FE1" w14:textId="77777777" w:rsidTr="0043444A">
        <w:trPr>
          <w:cantSplit/>
        </w:trPr>
        <w:tc>
          <w:tcPr>
            <w:tcW w:w="6911" w:type="dxa"/>
            <w:gridSpan w:val="2"/>
            <w:tcBorders>
              <w:top w:val="single" w:sz="12" w:space="0" w:color="auto"/>
            </w:tcBorders>
          </w:tcPr>
          <w:p w14:paraId="22C3D48C" w14:textId="77777777" w:rsidR="0043444A" w:rsidRPr="00C324A8" w:rsidRDefault="0043444A" w:rsidP="00D91769">
            <w:pPr>
              <w:spacing w:before="0" w:after="48" w:line="240" w:lineRule="atLeast"/>
              <w:rPr>
                <w:rFonts w:ascii="Verdana" w:hAnsi="Verdana"/>
                <w:b/>
                <w:smallCaps/>
                <w:sz w:val="20"/>
              </w:rPr>
            </w:pPr>
          </w:p>
        </w:tc>
        <w:tc>
          <w:tcPr>
            <w:tcW w:w="3120" w:type="dxa"/>
            <w:gridSpan w:val="2"/>
            <w:tcBorders>
              <w:top w:val="single" w:sz="12" w:space="0" w:color="auto"/>
            </w:tcBorders>
          </w:tcPr>
          <w:p w14:paraId="4DBDC451" w14:textId="77777777" w:rsidR="0043444A" w:rsidRPr="00C324A8" w:rsidRDefault="0043444A" w:rsidP="00D91769">
            <w:pPr>
              <w:spacing w:before="0" w:line="240" w:lineRule="atLeast"/>
              <w:rPr>
                <w:rFonts w:ascii="Verdana" w:hAnsi="Verdana"/>
                <w:sz w:val="20"/>
              </w:rPr>
            </w:pPr>
          </w:p>
        </w:tc>
      </w:tr>
      <w:tr w:rsidR="0043444A" w:rsidRPr="00AC632E" w14:paraId="277D6978" w14:textId="77777777" w:rsidTr="0043444A">
        <w:trPr>
          <w:cantSplit/>
          <w:trHeight w:val="23"/>
        </w:trPr>
        <w:tc>
          <w:tcPr>
            <w:tcW w:w="6911" w:type="dxa"/>
            <w:gridSpan w:val="2"/>
            <w:vMerge w:val="restart"/>
          </w:tcPr>
          <w:p w14:paraId="0A9C5629" w14:textId="1F8420F5" w:rsidR="0043444A" w:rsidRPr="00D91769" w:rsidRDefault="00C4704A" w:rsidP="00D9176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SESIÓN PLENARIA</w:t>
            </w:r>
          </w:p>
        </w:tc>
        <w:tc>
          <w:tcPr>
            <w:tcW w:w="3120" w:type="dxa"/>
            <w:gridSpan w:val="2"/>
          </w:tcPr>
          <w:p w14:paraId="2AA217F2" w14:textId="3FAB3683" w:rsidR="0043444A" w:rsidRPr="00AC632E" w:rsidRDefault="00AC632E" w:rsidP="00D91769">
            <w:pPr>
              <w:tabs>
                <w:tab w:val="left" w:pos="851"/>
              </w:tabs>
              <w:spacing w:before="0" w:line="240" w:lineRule="atLeast"/>
              <w:rPr>
                <w:rFonts w:ascii="Verdana" w:hAnsi="Verdana"/>
                <w:sz w:val="20"/>
                <w:lang w:val="it-IT"/>
              </w:rPr>
            </w:pPr>
            <w:r w:rsidRPr="00AC632E">
              <w:rPr>
                <w:rFonts w:ascii="Verdana" w:hAnsi="Verdana"/>
                <w:b/>
                <w:sz w:val="20"/>
                <w:lang w:val="it-IT"/>
              </w:rPr>
              <w:t>Add</w:t>
            </w:r>
            <w:r w:rsidR="00C4704A">
              <w:rPr>
                <w:rFonts w:ascii="Verdana" w:hAnsi="Verdana"/>
                <w:b/>
                <w:sz w:val="20"/>
                <w:lang w:val="it-IT"/>
              </w:rPr>
              <w:t>é</w:t>
            </w:r>
            <w:r w:rsidRPr="00AC632E">
              <w:rPr>
                <w:rFonts w:ascii="Verdana" w:hAnsi="Verdana"/>
                <w:b/>
                <w:sz w:val="20"/>
                <w:lang w:val="it-IT"/>
              </w:rPr>
              <w:t xml:space="preserve">ndum </w:t>
            </w:r>
            <w:r w:rsidR="00651B52">
              <w:rPr>
                <w:rFonts w:ascii="Verdana" w:hAnsi="Verdana"/>
                <w:b/>
                <w:sz w:val="20"/>
                <w:lang w:val="it-IT"/>
              </w:rPr>
              <w:t>6</w:t>
            </w:r>
            <w:r w:rsidRPr="00AC632E">
              <w:rPr>
                <w:rFonts w:ascii="Verdana" w:hAnsi="Verdana"/>
                <w:b/>
                <w:sz w:val="20"/>
                <w:lang w:val="it-IT"/>
              </w:rPr>
              <w:t xml:space="preserve"> </w:t>
            </w:r>
            <w:r w:rsidR="00C4704A">
              <w:rPr>
                <w:rFonts w:ascii="Verdana" w:hAnsi="Verdana"/>
                <w:b/>
                <w:sz w:val="20"/>
                <w:lang w:val="it-IT"/>
              </w:rPr>
              <w:t>al</w:t>
            </w:r>
            <w:r w:rsidRPr="00AC632E">
              <w:rPr>
                <w:rFonts w:ascii="Verdana" w:hAnsi="Verdana"/>
                <w:b/>
                <w:sz w:val="20"/>
                <w:lang w:val="it-IT"/>
              </w:rPr>
              <w:br/>
              <w:t>Document</w:t>
            </w:r>
            <w:r w:rsidR="00C4704A">
              <w:rPr>
                <w:rFonts w:ascii="Verdana" w:hAnsi="Verdana"/>
                <w:b/>
                <w:sz w:val="20"/>
                <w:lang w:val="it-IT"/>
              </w:rPr>
              <w:t>o</w:t>
            </w:r>
            <w:r w:rsidRPr="00AC632E">
              <w:rPr>
                <w:rFonts w:ascii="Verdana" w:hAnsi="Verdana"/>
                <w:b/>
                <w:sz w:val="20"/>
                <w:lang w:val="it-IT"/>
              </w:rPr>
              <w:t xml:space="preserve"> 4-</w:t>
            </w:r>
            <w:r w:rsidR="00C4704A">
              <w:rPr>
                <w:rFonts w:ascii="Verdana" w:hAnsi="Verdana"/>
                <w:b/>
                <w:sz w:val="20"/>
                <w:lang w:val="it-IT"/>
              </w:rPr>
              <w:t>S</w:t>
            </w:r>
            <w:r w:rsidRPr="00AC632E">
              <w:rPr>
                <w:rFonts w:ascii="Verdana" w:hAnsi="Verdana"/>
                <w:b/>
                <w:sz w:val="20"/>
                <w:lang w:val="it-IT"/>
              </w:rPr>
              <w:t xml:space="preserve"> </w:t>
            </w:r>
          </w:p>
        </w:tc>
      </w:tr>
      <w:tr w:rsidR="0043444A" w:rsidRPr="00C324A8" w14:paraId="143A7602" w14:textId="77777777" w:rsidTr="0043444A">
        <w:trPr>
          <w:cantSplit/>
          <w:trHeight w:val="23"/>
        </w:trPr>
        <w:tc>
          <w:tcPr>
            <w:tcW w:w="6911" w:type="dxa"/>
            <w:gridSpan w:val="2"/>
            <w:vMerge/>
          </w:tcPr>
          <w:p w14:paraId="1143F02C" w14:textId="77777777" w:rsidR="0043444A" w:rsidRPr="00AC632E" w:rsidRDefault="0043444A" w:rsidP="00517B78">
            <w:pPr>
              <w:tabs>
                <w:tab w:val="left" w:pos="851"/>
              </w:tabs>
              <w:spacing w:line="240" w:lineRule="atLeast"/>
              <w:rPr>
                <w:rFonts w:ascii="Verdana" w:hAnsi="Verdana"/>
                <w:b/>
                <w:sz w:val="20"/>
                <w:lang w:val="it-IT"/>
              </w:rPr>
            </w:pPr>
            <w:bookmarkStart w:id="5" w:name="ddate" w:colFirst="1" w:colLast="1"/>
            <w:bookmarkEnd w:id="3"/>
            <w:bookmarkEnd w:id="4"/>
          </w:p>
        </w:tc>
        <w:tc>
          <w:tcPr>
            <w:tcW w:w="3120" w:type="dxa"/>
            <w:gridSpan w:val="2"/>
          </w:tcPr>
          <w:p w14:paraId="766177B6" w14:textId="2D9A35F1" w:rsidR="0043444A" w:rsidRPr="00D91769" w:rsidRDefault="00651B52" w:rsidP="00A2048C">
            <w:pPr>
              <w:tabs>
                <w:tab w:val="left" w:pos="993"/>
              </w:tabs>
              <w:spacing w:before="0"/>
              <w:rPr>
                <w:rFonts w:ascii="Verdana" w:hAnsi="Verdana"/>
                <w:sz w:val="20"/>
              </w:rPr>
            </w:pPr>
            <w:r>
              <w:rPr>
                <w:rFonts w:ascii="Verdana" w:hAnsi="Verdana"/>
                <w:b/>
                <w:sz w:val="20"/>
              </w:rPr>
              <w:t>11</w:t>
            </w:r>
            <w:r w:rsidR="00AC632E">
              <w:rPr>
                <w:rFonts w:ascii="Verdana" w:hAnsi="Verdana"/>
                <w:b/>
                <w:sz w:val="20"/>
              </w:rPr>
              <w:t xml:space="preserve"> </w:t>
            </w:r>
            <w:r w:rsidR="00C4704A">
              <w:rPr>
                <w:rFonts w:ascii="Verdana" w:hAnsi="Verdana"/>
                <w:b/>
                <w:sz w:val="20"/>
              </w:rPr>
              <w:t>de agosto de</w:t>
            </w:r>
            <w:r w:rsidR="00AC632E">
              <w:rPr>
                <w:rFonts w:ascii="Verdana" w:hAnsi="Verdana"/>
                <w:b/>
                <w:sz w:val="20"/>
              </w:rPr>
              <w:t xml:space="preserve"> </w:t>
            </w:r>
            <w:r w:rsidR="00C02572">
              <w:rPr>
                <w:rFonts w:ascii="Verdana" w:hAnsi="Verdana"/>
                <w:b/>
                <w:sz w:val="20"/>
              </w:rPr>
              <w:t>2023</w:t>
            </w:r>
          </w:p>
        </w:tc>
      </w:tr>
      <w:tr w:rsidR="0043444A" w:rsidRPr="00C324A8" w14:paraId="6CEC8395" w14:textId="77777777" w:rsidTr="0043444A">
        <w:trPr>
          <w:cantSplit/>
          <w:trHeight w:val="23"/>
        </w:trPr>
        <w:tc>
          <w:tcPr>
            <w:tcW w:w="6911" w:type="dxa"/>
            <w:gridSpan w:val="2"/>
            <w:vMerge/>
          </w:tcPr>
          <w:p w14:paraId="21CDEBFE" w14:textId="77777777" w:rsidR="0043444A" w:rsidRPr="00C324A8" w:rsidRDefault="0043444A" w:rsidP="00517B78">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73E32AC3" w14:textId="002CEBA2" w:rsidR="0043444A" w:rsidRPr="00D91769" w:rsidRDefault="0043444A" w:rsidP="00D91769">
            <w:pPr>
              <w:tabs>
                <w:tab w:val="left" w:pos="993"/>
              </w:tabs>
              <w:spacing w:before="0" w:after="120"/>
              <w:rPr>
                <w:rFonts w:ascii="Verdana" w:hAnsi="Verdana"/>
                <w:sz w:val="20"/>
              </w:rPr>
            </w:pPr>
            <w:r>
              <w:rPr>
                <w:rFonts w:ascii="Verdana" w:hAnsi="Verdana"/>
                <w:b/>
                <w:sz w:val="20"/>
              </w:rPr>
              <w:t xml:space="preserve">Original: </w:t>
            </w:r>
            <w:r w:rsidR="00C4704A">
              <w:rPr>
                <w:rFonts w:ascii="Verdana" w:hAnsi="Verdana"/>
                <w:b/>
                <w:sz w:val="20"/>
              </w:rPr>
              <w:t>inglés</w:t>
            </w:r>
          </w:p>
        </w:tc>
      </w:tr>
      <w:tr w:rsidR="0043444A" w:rsidRPr="004652EA" w14:paraId="11EB4EFF" w14:textId="77777777" w:rsidTr="0043444A">
        <w:trPr>
          <w:cantSplit/>
        </w:trPr>
        <w:tc>
          <w:tcPr>
            <w:tcW w:w="10031" w:type="dxa"/>
            <w:gridSpan w:val="4"/>
          </w:tcPr>
          <w:p w14:paraId="4880D800" w14:textId="0E040DD7" w:rsidR="0043444A" w:rsidRPr="00C4704A" w:rsidRDefault="00AC632E" w:rsidP="00517B78">
            <w:pPr>
              <w:pStyle w:val="Source"/>
              <w:rPr>
                <w:lang w:val="es-ES"/>
              </w:rPr>
            </w:pPr>
            <w:bookmarkStart w:id="7" w:name="dsource" w:colFirst="0" w:colLast="0"/>
            <w:bookmarkEnd w:id="6"/>
            <w:r w:rsidRPr="00C4704A">
              <w:rPr>
                <w:lang w:val="es-ES"/>
              </w:rPr>
              <w:t>Director</w:t>
            </w:r>
            <w:r w:rsidR="00C4704A" w:rsidRPr="00C4704A">
              <w:rPr>
                <w:lang w:val="es-ES"/>
              </w:rPr>
              <w:t xml:space="preserve"> de la Oficina de Radiocomunicacio</w:t>
            </w:r>
            <w:r w:rsidR="00C4704A">
              <w:rPr>
                <w:lang w:val="es-ES"/>
              </w:rPr>
              <w:t>nes</w:t>
            </w:r>
          </w:p>
        </w:tc>
      </w:tr>
      <w:tr w:rsidR="00AC632E" w:rsidRPr="004652EA" w14:paraId="06F8D1D7" w14:textId="77777777" w:rsidTr="0043444A">
        <w:trPr>
          <w:cantSplit/>
        </w:trPr>
        <w:tc>
          <w:tcPr>
            <w:tcW w:w="10031" w:type="dxa"/>
            <w:gridSpan w:val="4"/>
          </w:tcPr>
          <w:p w14:paraId="0B423BB2" w14:textId="5661003B" w:rsidR="00AC632E" w:rsidRPr="00C4704A" w:rsidRDefault="00C4704A" w:rsidP="00AC632E">
            <w:pPr>
              <w:pStyle w:val="Title1"/>
              <w:rPr>
                <w:lang w:val="es-ES"/>
              </w:rPr>
            </w:pPr>
            <w:bookmarkStart w:id="8" w:name="dtitle1" w:colFirst="0" w:colLast="0"/>
            <w:bookmarkEnd w:id="7"/>
            <w:r w:rsidRPr="00C4704A">
              <w:rPr>
                <w:lang w:val="es-ES"/>
              </w:rPr>
              <w:t xml:space="preserve">INFORME DEL DIRECTOR SOBRE LAS ACTIVIDADES DEL SECTOR </w:t>
            </w:r>
            <w:r w:rsidR="001073CC">
              <w:rPr>
                <w:lang w:val="es-ES"/>
              </w:rPr>
              <w:br/>
            </w:r>
            <w:r w:rsidRPr="00C4704A">
              <w:rPr>
                <w:lang w:val="es-ES"/>
              </w:rPr>
              <w:t>DE RADIOC</w:t>
            </w:r>
            <w:r>
              <w:rPr>
                <w:lang w:val="es-ES"/>
              </w:rPr>
              <w:t xml:space="preserve">OMUNICACIONES </w:t>
            </w:r>
            <w:r w:rsidRPr="00C4704A">
              <w:rPr>
                <w:lang w:val="es-ES"/>
              </w:rPr>
              <w:t>A LA CMR</w:t>
            </w:r>
            <w:r w:rsidR="007A3AB3" w:rsidRPr="00C4704A">
              <w:rPr>
                <w:lang w:val="es-ES"/>
              </w:rPr>
              <w:t>-23</w:t>
            </w:r>
          </w:p>
        </w:tc>
      </w:tr>
      <w:tr w:rsidR="00AC632E" w:rsidRPr="004652EA" w14:paraId="31EB3060" w14:textId="77777777" w:rsidTr="0043444A">
        <w:trPr>
          <w:cantSplit/>
        </w:trPr>
        <w:tc>
          <w:tcPr>
            <w:tcW w:w="10031" w:type="dxa"/>
            <w:gridSpan w:val="4"/>
          </w:tcPr>
          <w:p w14:paraId="758533C8" w14:textId="1973E4BE" w:rsidR="00E2130C" w:rsidRPr="007024F7" w:rsidRDefault="00AC632E" w:rsidP="007024F7">
            <w:pPr>
              <w:pStyle w:val="Title2"/>
              <w:rPr>
                <w:lang w:val="es-ES_tradnl"/>
              </w:rPr>
            </w:pPr>
            <w:bookmarkStart w:id="9" w:name="dtitle3" w:colFirst="0" w:colLast="0"/>
            <w:bookmarkEnd w:id="8"/>
            <w:r w:rsidRPr="000C5AE9">
              <w:rPr>
                <w:lang w:val="es-ES"/>
              </w:rPr>
              <w:t>part</w:t>
            </w:r>
            <w:r w:rsidR="00C4704A" w:rsidRPr="000C5AE9">
              <w:rPr>
                <w:lang w:val="es-ES"/>
              </w:rPr>
              <w:t>e</w:t>
            </w:r>
            <w:r w:rsidRPr="000C5AE9">
              <w:rPr>
                <w:lang w:val="es-ES"/>
              </w:rPr>
              <w:t xml:space="preserve"> </w:t>
            </w:r>
            <w:r w:rsidR="007A3AB3" w:rsidRPr="000C5AE9">
              <w:rPr>
                <w:lang w:val="es-ES"/>
              </w:rPr>
              <w:t>6</w:t>
            </w:r>
          </w:p>
          <w:p w14:paraId="3C44AE9A" w14:textId="06DF03AB" w:rsidR="00AC632E" w:rsidRPr="00C4704A" w:rsidRDefault="00C4704A" w:rsidP="007024F7">
            <w:pPr>
              <w:pStyle w:val="Title3"/>
              <w:rPr>
                <w:lang w:val="es-ES"/>
              </w:rPr>
            </w:pPr>
            <w:r w:rsidRPr="00C4704A">
              <w:rPr>
                <w:lang w:val="es-ES"/>
              </w:rPr>
              <w:t xml:space="preserve">ANÁLISIS DE LOS MÉTODOS DEL INFORME DE LA RPC PARA RESPONDER A LOS PUNTOS DEL ORDEN DEL </w:t>
            </w:r>
            <w:r>
              <w:rPr>
                <w:lang w:val="es-ES"/>
              </w:rPr>
              <w:t>DÍA DE LA CMR</w:t>
            </w:r>
            <w:r w:rsidR="00E2130C" w:rsidRPr="00C4704A">
              <w:rPr>
                <w:lang w:val="es-ES"/>
              </w:rPr>
              <w:t>-23</w:t>
            </w:r>
          </w:p>
        </w:tc>
      </w:tr>
      <w:bookmarkEnd w:id="9"/>
    </w:tbl>
    <w:p w14:paraId="4EAAF449" w14:textId="4A324932" w:rsidR="00A15F86" w:rsidRPr="00C4704A" w:rsidRDefault="00A15F86" w:rsidP="00DE6CDF">
      <w:pPr>
        <w:rPr>
          <w:lang w:val="es-ES"/>
        </w:rPr>
      </w:pPr>
    </w:p>
    <w:p w14:paraId="3374D64C" w14:textId="7E3DFF65" w:rsidR="00D43945" w:rsidRPr="000C5AE9" w:rsidRDefault="00D43945" w:rsidP="00D43945">
      <w:pPr>
        <w:pStyle w:val="Heading1"/>
        <w:rPr>
          <w:lang w:val="es-ES"/>
        </w:rPr>
      </w:pPr>
      <w:bookmarkStart w:id="10" w:name="_Toc19181722"/>
      <w:bookmarkStart w:id="11" w:name="_Toc19280106"/>
      <w:r w:rsidRPr="000C5AE9">
        <w:rPr>
          <w:lang w:val="es-ES"/>
        </w:rPr>
        <w:t>1</w:t>
      </w:r>
      <w:r w:rsidRPr="000C5AE9">
        <w:rPr>
          <w:lang w:val="es-ES"/>
        </w:rPr>
        <w:tab/>
        <w:t>Introduc</w:t>
      </w:r>
      <w:r w:rsidR="00C4704A" w:rsidRPr="000C5AE9">
        <w:rPr>
          <w:lang w:val="es-ES"/>
        </w:rPr>
        <w:t>ción</w:t>
      </w:r>
      <w:bookmarkEnd w:id="10"/>
      <w:bookmarkEnd w:id="11"/>
    </w:p>
    <w:p w14:paraId="244DF65B" w14:textId="33202D7F" w:rsidR="00D43945" w:rsidRPr="00C4704A" w:rsidRDefault="00C4704A" w:rsidP="00D43945">
      <w:pPr>
        <w:rPr>
          <w:lang w:val="es-ES" w:eastAsia="zh-CN"/>
        </w:rPr>
      </w:pPr>
      <w:r w:rsidRPr="00C4704A">
        <w:rPr>
          <w:lang w:val="es-ES" w:eastAsia="zh-CN"/>
        </w:rPr>
        <w:t>En esta parte del Informe del Director de la BR se formulan observaciones sobre las posibles dificultades que entrañaría la aplicación por la Oficina de algunos de los métodos previstos en</w:t>
      </w:r>
      <w:r>
        <w:rPr>
          <w:lang w:val="es-ES" w:eastAsia="zh-CN"/>
        </w:rPr>
        <w:t xml:space="preserve"> el Informe de la RPC para responder a determinados puntos del orden del día de la CMR-23. </w:t>
      </w:r>
      <w:r w:rsidRPr="00C4704A">
        <w:rPr>
          <w:lang w:val="es-ES" w:eastAsia="zh-CN"/>
        </w:rPr>
        <w:t>Para los puntos del orden del día de la CMR-23 no consignados en este documento la Oficina no ha id</w:t>
      </w:r>
      <w:r>
        <w:rPr>
          <w:lang w:val="es-ES" w:eastAsia="zh-CN"/>
        </w:rPr>
        <w:t>entificado por el momento ninguna dificultad de aplicación específica</w:t>
      </w:r>
      <w:r w:rsidR="00D43945" w:rsidRPr="00C4704A">
        <w:rPr>
          <w:lang w:val="es-ES" w:eastAsia="zh-CN"/>
        </w:rPr>
        <w:t>.</w:t>
      </w:r>
    </w:p>
    <w:p w14:paraId="5DF0C53E" w14:textId="6F6A49E0" w:rsidR="00D43945" w:rsidRPr="00C4704A" w:rsidRDefault="00C4704A" w:rsidP="00D43945">
      <w:pPr>
        <w:rPr>
          <w:lang w:val="es-ES" w:eastAsia="zh-CN"/>
        </w:rPr>
      </w:pPr>
      <w:r w:rsidRPr="00C4704A">
        <w:rPr>
          <w:lang w:val="es-ES" w:eastAsia="zh-CN"/>
        </w:rPr>
        <w:t xml:space="preserve">Este documento se ha preparado en respuesta a los debates sostenidos en el UIT-R, en los que se expresó la conveniencia de que la BR evaluase la aplicabilidad de </w:t>
      </w:r>
      <w:r>
        <w:rPr>
          <w:lang w:val="es-ES" w:eastAsia="zh-CN"/>
        </w:rPr>
        <w:t>los métodos recogidos en el Informe de la RPC</w:t>
      </w:r>
      <w:r w:rsidR="00D43945" w:rsidRPr="00C4704A">
        <w:rPr>
          <w:lang w:val="es-ES" w:eastAsia="zh-CN"/>
        </w:rPr>
        <w:t>.</w:t>
      </w:r>
    </w:p>
    <w:p w14:paraId="78CBC099" w14:textId="0A615174" w:rsidR="00D43945" w:rsidRPr="00C4704A" w:rsidRDefault="00C4704A" w:rsidP="00D43945">
      <w:pPr>
        <w:rPr>
          <w:lang w:val="es-ES" w:eastAsia="zh-CN"/>
        </w:rPr>
      </w:pPr>
      <w:r w:rsidRPr="00C4704A">
        <w:rPr>
          <w:lang w:val="es-ES" w:eastAsia="zh-CN"/>
        </w:rPr>
        <w:t>Otro elemento a favor de la preparación de este documento ha sido la experiencia adquirida durante los tr</w:t>
      </w:r>
      <w:r>
        <w:rPr>
          <w:lang w:val="es-ES" w:eastAsia="zh-CN"/>
        </w:rPr>
        <w:t>abajos de la CMR-19 sobre las Resoluciones relativas a las</w:t>
      </w:r>
      <w:r w:rsidR="00D43945" w:rsidRPr="00C4704A">
        <w:rPr>
          <w:lang w:val="es-ES" w:eastAsia="zh-CN"/>
        </w:rPr>
        <w:t xml:space="preserve"> HAPS. </w:t>
      </w:r>
      <w:r w:rsidRPr="00C4704A">
        <w:rPr>
          <w:lang w:val="es-ES" w:eastAsia="zh-CN"/>
        </w:rPr>
        <w:t>A lo largo de los debates sobre las</w:t>
      </w:r>
      <w:r w:rsidR="00D43945" w:rsidRPr="00C4704A">
        <w:rPr>
          <w:lang w:val="es-ES" w:eastAsia="zh-CN"/>
        </w:rPr>
        <w:t xml:space="preserve"> HAPS</w:t>
      </w:r>
      <w:r w:rsidRPr="00C4704A">
        <w:rPr>
          <w:lang w:val="es-ES" w:eastAsia="zh-CN"/>
        </w:rPr>
        <w:t>, y a petición de las administraciones, la Oficina fue verificando la apli</w:t>
      </w:r>
      <w:r>
        <w:rPr>
          <w:lang w:val="es-ES" w:eastAsia="zh-CN"/>
        </w:rPr>
        <w:t xml:space="preserve">cabilidad de las condiciones de funcionamiento de las HAPS propuestas. </w:t>
      </w:r>
      <w:r w:rsidRPr="00C4704A">
        <w:rPr>
          <w:lang w:val="es-ES" w:eastAsia="zh-CN"/>
        </w:rPr>
        <w:t>Ese ejercicio realizado durante la CMR-19 demostró la utilidad de realizar este tipo de análisis con ante</w:t>
      </w:r>
      <w:r>
        <w:rPr>
          <w:lang w:val="es-ES" w:eastAsia="zh-CN"/>
        </w:rPr>
        <w:t>lación a la CMR a fin de evitar tener que hacerlo durante el limitado periodo de la Conferencia</w:t>
      </w:r>
      <w:r w:rsidR="00D43945" w:rsidRPr="00C4704A">
        <w:rPr>
          <w:lang w:val="es-ES" w:eastAsia="zh-CN"/>
        </w:rPr>
        <w:t xml:space="preserve">. </w:t>
      </w:r>
    </w:p>
    <w:p w14:paraId="3BA8AF0F" w14:textId="01CFAD56" w:rsidR="00D43945" w:rsidRPr="00C4704A" w:rsidRDefault="00D43945" w:rsidP="00D43945">
      <w:pPr>
        <w:rPr>
          <w:lang w:val="es-ES" w:eastAsia="zh-CN"/>
        </w:rPr>
      </w:pPr>
    </w:p>
    <w:p w14:paraId="5150A77E" w14:textId="77777777" w:rsidR="00D43945" w:rsidRPr="00C4704A" w:rsidRDefault="00D43945" w:rsidP="00D43945">
      <w:pPr>
        <w:rPr>
          <w:lang w:val="es-ES" w:eastAsia="zh-CN"/>
        </w:rPr>
      </w:pPr>
    </w:p>
    <w:p w14:paraId="1E366CD5" w14:textId="77777777" w:rsidR="00D43945" w:rsidRPr="00C4704A" w:rsidRDefault="00D43945" w:rsidP="00D43945">
      <w:pPr>
        <w:pStyle w:val="Heading1"/>
        <w:rPr>
          <w:lang w:val="es-ES"/>
        </w:rPr>
        <w:sectPr w:rsidR="00D43945" w:rsidRPr="00C4704A" w:rsidSect="00A74154">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docGrid w:linePitch="326"/>
        </w:sectPr>
      </w:pPr>
      <w:bookmarkStart w:id="12" w:name="_Toc418836013"/>
      <w:bookmarkStart w:id="13" w:name="_Toc424137120"/>
      <w:bookmarkStart w:id="14" w:name="_Toc19181723"/>
      <w:bookmarkStart w:id="15" w:name="_Toc19280107"/>
    </w:p>
    <w:p w14:paraId="28F9FBFA" w14:textId="69BF0874" w:rsidR="00D43945" w:rsidRPr="00C4704A" w:rsidRDefault="00D43945" w:rsidP="00D43945">
      <w:pPr>
        <w:pStyle w:val="Heading1"/>
        <w:rPr>
          <w:lang w:val="es-ES"/>
        </w:rPr>
      </w:pPr>
      <w:r w:rsidRPr="00C4704A">
        <w:rPr>
          <w:lang w:val="es-ES"/>
        </w:rPr>
        <w:lastRenderedPageBreak/>
        <w:t>2</w:t>
      </w:r>
      <w:r w:rsidRPr="00C4704A">
        <w:rPr>
          <w:lang w:val="es-ES"/>
        </w:rPr>
        <w:tab/>
      </w:r>
      <w:bookmarkEnd w:id="12"/>
      <w:bookmarkEnd w:id="13"/>
      <w:bookmarkEnd w:id="14"/>
      <w:bookmarkEnd w:id="15"/>
      <w:r w:rsidRPr="00C4704A">
        <w:rPr>
          <w:lang w:val="es-ES"/>
        </w:rPr>
        <w:t>An</w:t>
      </w:r>
      <w:r w:rsidR="00C4704A" w:rsidRPr="00C4704A">
        <w:rPr>
          <w:lang w:val="es-ES"/>
        </w:rPr>
        <w:t xml:space="preserve">álisis de los métodos </w:t>
      </w:r>
      <w:r w:rsidR="00C4704A">
        <w:rPr>
          <w:lang w:val="es-ES"/>
        </w:rPr>
        <w:t>d</w:t>
      </w:r>
      <w:r w:rsidR="00C4704A" w:rsidRPr="00C4704A">
        <w:rPr>
          <w:lang w:val="es-ES"/>
        </w:rPr>
        <w:t xml:space="preserve">el Informe de </w:t>
      </w:r>
      <w:r w:rsidR="00C4704A">
        <w:rPr>
          <w:lang w:val="es-ES"/>
        </w:rPr>
        <w:t>la RPC</w:t>
      </w:r>
    </w:p>
    <w:p w14:paraId="19445C12" w14:textId="77777777" w:rsidR="00D43945" w:rsidRPr="00C4704A" w:rsidRDefault="00D43945" w:rsidP="00D43945">
      <w:pPr>
        <w:rPr>
          <w:lang w:val="es-ES" w:eastAsia="zh-CN"/>
        </w:rPr>
      </w:pPr>
    </w:p>
    <w:tbl>
      <w:tblPr>
        <w:tblStyle w:val="TableGrid"/>
        <w:tblW w:w="14035" w:type="dxa"/>
        <w:tblLook w:val="04A0" w:firstRow="1" w:lastRow="0" w:firstColumn="1" w:lastColumn="0" w:noHBand="0" w:noVBand="1"/>
      </w:tblPr>
      <w:tblGrid>
        <w:gridCol w:w="779"/>
        <w:gridCol w:w="1116"/>
        <w:gridCol w:w="4904"/>
        <w:gridCol w:w="3675"/>
        <w:gridCol w:w="3561"/>
      </w:tblGrid>
      <w:tr w:rsidR="007B2F35" w:rsidRPr="001C0383" w14:paraId="5304C9A1" w14:textId="77777777" w:rsidTr="007D6727">
        <w:trPr>
          <w:tblHeader/>
        </w:trPr>
        <w:tc>
          <w:tcPr>
            <w:tcW w:w="779" w:type="dxa"/>
          </w:tcPr>
          <w:p w14:paraId="6E8CE57E" w14:textId="779D9090" w:rsidR="00D43945" w:rsidRPr="001C0383" w:rsidRDefault="00C4704A" w:rsidP="002D32CF">
            <w:pPr>
              <w:jc w:val="center"/>
              <w:rPr>
                <w:b/>
                <w:bCs/>
                <w:sz w:val="20"/>
                <w:szCs w:val="20"/>
                <w:lang w:val="es-ES" w:eastAsia="zh-CN"/>
              </w:rPr>
            </w:pPr>
            <w:r w:rsidRPr="001C0383">
              <w:rPr>
                <w:b/>
                <w:bCs/>
                <w:sz w:val="20"/>
                <w:szCs w:val="20"/>
                <w:lang w:val="es-ES" w:eastAsia="zh-CN"/>
              </w:rPr>
              <w:t>Punto del orden del día</w:t>
            </w:r>
          </w:p>
        </w:tc>
        <w:tc>
          <w:tcPr>
            <w:tcW w:w="1116" w:type="dxa"/>
          </w:tcPr>
          <w:p w14:paraId="2E4D1380" w14:textId="3E108523" w:rsidR="00D43945" w:rsidRPr="001C0383" w:rsidRDefault="00D43945" w:rsidP="002D32CF">
            <w:pPr>
              <w:jc w:val="center"/>
              <w:rPr>
                <w:b/>
                <w:bCs/>
                <w:sz w:val="20"/>
                <w:szCs w:val="20"/>
                <w:lang w:eastAsia="zh-CN"/>
              </w:rPr>
            </w:pPr>
            <w:r w:rsidRPr="001C0383">
              <w:rPr>
                <w:b/>
                <w:bCs/>
                <w:sz w:val="20"/>
                <w:szCs w:val="20"/>
                <w:lang w:eastAsia="zh-CN"/>
              </w:rPr>
              <w:t>Sec</w:t>
            </w:r>
            <w:r w:rsidR="00C4704A" w:rsidRPr="001C0383">
              <w:rPr>
                <w:b/>
                <w:bCs/>
                <w:sz w:val="20"/>
                <w:szCs w:val="20"/>
                <w:lang w:eastAsia="zh-CN"/>
              </w:rPr>
              <w:t>ción</w:t>
            </w:r>
            <w:r w:rsidRPr="001C0383">
              <w:rPr>
                <w:b/>
                <w:bCs/>
                <w:sz w:val="20"/>
                <w:szCs w:val="20"/>
                <w:lang w:eastAsia="zh-CN"/>
              </w:rPr>
              <w:t>/</w:t>
            </w:r>
          </w:p>
          <w:p w14:paraId="5DF1F1BC" w14:textId="0D9E3BB1" w:rsidR="00D43945" w:rsidRPr="001C0383" w:rsidRDefault="00D43945" w:rsidP="002D32CF">
            <w:pPr>
              <w:jc w:val="center"/>
              <w:rPr>
                <w:b/>
                <w:bCs/>
                <w:sz w:val="20"/>
                <w:szCs w:val="20"/>
                <w:lang w:eastAsia="zh-CN"/>
              </w:rPr>
            </w:pPr>
            <w:r w:rsidRPr="001C0383">
              <w:rPr>
                <w:b/>
                <w:bCs/>
                <w:sz w:val="20"/>
                <w:szCs w:val="20"/>
                <w:lang w:eastAsia="zh-CN"/>
              </w:rPr>
              <w:t>M</w:t>
            </w:r>
            <w:r w:rsidR="00C4704A" w:rsidRPr="001C0383">
              <w:rPr>
                <w:b/>
                <w:bCs/>
                <w:sz w:val="20"/>
                <w:szCs w:val="20"/>
                <w:lang w:eastAsia="zh-CN"/>
              </w:rPr>
              <w:t>étodo</w:t>
            </w:r>
          </w:p>
          <w:p w14:paraId="25D3AA24" w14:textId="77777777" w:rsidR="00D43945" w:rsidRPr="001C0383" w:rsidRDefault="00D43945" w:rsidP="002D32CF">
            <w:pPr>
              <w:jc w:val="center"/>
              <w:rPr>
                <w:b/>
                <w:bCs/>
                <w:sz w:val="20"/>
                <w:szCs w:val="20"/>
                <w:lang w:eastAsia="zh-CN"/>
              </w:rPr>
            </w:pPr>
          </w:p>
        </w:tc>
        <w:tc>
          <w:tcPr>
            <w:tcW w:w="4904" w:type="dxa"/>
          </w:tcPr>
          <w:p w14:paraId="4432EFAF" w14:textId="0EDAF460" w:rsidR="00D43945" w:rsidRPr="001C0383" w:rsidRDefault="00C4704A" w:rsidP="002D32CF">
            <w:pPr>
              <w:jc w:val="center"/>
              <w:rPr>
                <w:b/>
                <w:bCs/>
                <w:sz w:val="20"/>
                <w:szCs w:val="20"/>
                <w:lang w:val="es-ES" w:eastAsia="zh-CN"/>
              </w:rPr>
            </w:pPr>
            <w:r w:rsidRPr="001C0383">
              <w:rPr>
                <w:b/>
                <w:bCs/>
                <w:sz w:val="20"/>
                <w:szCs w:val="20"/>
                <w:lang w:val="es-ES" w:eastAsia="zh-CN"/>
              </w:rPr>
              <w:t>Texto del Informe de la RPC</w:t>
            </w:r>
          </w:p>
        </w:tc>
        <w:tc>
          <w:tcPr>
            <w:tcW w:w="3675" w:type="dxa"/>
          </w:tcPr>
          <w:p w14:paraId="7121E6C9" w14:textId="6252B8EA" w:rsidR="00D43945" w:rsidRPr="001C0383" w:rsidRDefault="00D43945" w:rsidP="002D32CF">
            <w:pPr>
              <w:jc w:val="center"/>
              <w:rPr>
                <w:b/>
                <w:bCs/>
                <w:sz w:val="20"/>
                <w:szCs w:val="20"/>
                <w:lang w:eastAsia="zh-CN"/>
              </w:rPr>
            </w:pPr>
            <w:r w:rsidRPr="001C0383">
              <w:rPr>
                <w:b/>
                <w:bCs/>
                <w:sz w:val="20"/>
                <w:szCs w:val="20"/>
                <w:lang w:eastAsia="zh-CN"/>
              </w:rPr>
              <w:t>Observa</w:t>
            </w:r>
            <w:r w:rsidR="00C4704A" w:rsidRPr="001C0383">
              <w:rPr>
                <w:b/>
                <w:bCs/>
                <w:sz w:val="20"/>
                <w:szCs w:val="20"/>
                <w:lang w:eastAsia="zh-CN"/>
              </w:rPr>
              <w:t>ciones</w:t>
            </w:r>
            <w:r w:rsidRPr="001C0383">
              <w:rPr>
                <w:b/>
                <w:bCs/>
                <w:sz w:val="20"/>
                <w:szCs w:val="20"/>
                <w:lang w:eastAsia="zh-CN"/>
              </w:rPr>
              <w:t>/dif</w:t>
            </w:r>
            <w:r w:rsidR="00C4704A" w:rsidRPr="001C0383">
              <w:rPr>
                <w:b/>
                <w:bCs/>
                <w:sz w:val="20"/>
                <w:szCs w:val="20"/>
                <w:lang w:eastAsia="zh-CN"/>
              </w:rPr>
              <w:t>icultades</w:t>
            </w:r>
          </w:p>
        </w:tc>
        <w:tc>
          <w:tcPr>
            <w:tcW w:w="3561" w:type="dxa"/>
          </w:tcPr>
          <w:p w14:paraId="3C9FA189" w14:textId="0C81B6CD" w:rsidR="00D43945" w:rsidRPr="001C0383" w:rsidRDefault="00C4704A" w:rsidP="002D32CF">
            <w:pPr>
              <w:jc w:val="center"/>
              <w:rPr>
                <w:b/>
                <w:bCs/>
                <w:sz w:val="20"/>
                <w:szCs w:val="20"/>
                <w:lang w:eastAsia="zh-CN"/>
              </w:rPr>
            </w:pPr>
            <w:r w:rsidRPr="001C0383">
              <w:rPr>
                <w:b/>
                <w:bCs/>
                <w:sz w:val="20"/>
                <w:szCs w:val="20"/>
                <w:lang w:eastAsia="zh-CN"/>
              </w:rPr>
              <w:t>Posibles soluciones</w:t>
            </w:r>
          </w:p>
        </w:tc>
      </w:tr>
      <w:tr w:rsidR="007B2F35" w:rsidRPr="004652EA" w14:paraId="2AFB0FCB" w14:textId="77777777" w:rsidTr="007D6727">
        <w:tc>
          <w:tcPr>
            <w:tcW w:w="779" w:type="dxa"/>
          </w:tcPr>
          <w:p w14:paraId="79B7FC8D" w14:textId="77777777" w:rsidR="00D43945" w:rsidRPr="00E34869" w:rsidRDefault="00D43945" w:rsidP="002D32CF">
            <w:pPr>
              <w:rPr>
                <w:sz w:val="20"/>
                <w:lang w:eastAsia="zh-CN"/>
              </w:rPr>
            </w:pPr>
            <w:r>
              <w:rPr>
                <w:sz w:val="20"/>
                <w:lang w:eastAsia="zh-CN"/>
              </w:rPr>
              <w:t>1.0</w:t>
            </w:r>
          </w:p>
        </w:tc>
        <w:tc>
          <w:tcPr>
            <w:tcW w:w="1116" w:type="dxa"/>
          </w:tcPr>
          <w:p w14:paraId="2260AFFA" w14:textId="4C875919" w:rsidR="00D43945" w:rsidRPr="00E34869" w:rsidRDefault="00C4704A" w:rsidP="002D32CF">
            <w:pPr>
              <w:rPr>
                <w:sz w:val="20"/>
              </w:rPr>
            </w:pPr>
            <w:r>
              <w:rPr>
                <w:sz w:val="20"/>
                <w:lang w:eastAsia="zh-CN"/>
              </w:rPr>
              <w:t>Todos</w:t>
            </w:r>
          </w:p>
        </w:tc>
        <w:tc>
          <w:tcPr>
            <w:tcW w:w="4904" w:type="dxa"/>
          </w:tcPr>
          <w:p w14:paraId="724BBBF2" w14:textId="77777777" w:rsidR="00D43945" w:rsidRPr="00944DC4" w:rsidRDefault="00D43945" w:rsidP="002D32CF">
            <w:pPr>
              <w:rPr>
                <w:iCs/>
                <w:sz w:val="20"/>
              </w:rPr>
            </w:pPr>
          </w:p>
        </w:tc>
        <w:tc>
          <w:tcPr>
            <w:tcW w:w="3675" w:type="dxa"/>
          </w:tcPr>
          <w:p w14:paraId="5E76209C" w14:textId="59E1FFB2" w:rsidR="00D43945" w:rsidRPr="00C4704A" w:rsidRDefault="00C4704A" w:rsidP="002D32CF">
            <w:pPr>
              <w:rPr>
                <w:rFonts w:cs="Times New Roman"/>
                <w:sz w:val="20"/>
                <w:lang w:val="es-ES" w:eastAsia="zh-CN"/>
              </w:rPr>
            </w:pPr>
            <w:r w:rsidRPr="00C4704A">
              <w:rPr>
                <w:rFonts w:cs="Times New Roman"/>
                <w:sz w:val="20"/>
                <w:szCs w:val="20"/>
                <w:lang w:val="es-ES" w:eastAsia="zh-CN"/>
              </w:rPr>
              <w:t>Cuando la Oficina no pueda examinar un límite de potencia o cualquier otra condición prevista en una disposición del RR o una Resolución, ya sea porque se carece de un método para ello, porque no se han notificado los datos necesarios o por cualquier otro motivo, podría in</w:t>
            </w:r>
            <w:r>
              <w:rPr>
                <w:rFonts w:cs="Times New Roman"/>
                <w:sz w:val="20"/>
                <w:szCs w:val="20"/>
                <w:lang w:val="es-ES" w:eastAsia="zh-CN"/>
              </w:rPr>
              <w:t>dic</w:t>
            </w:r>
            <w:r w:rsidRPr="00C4704A">
              <w:rPr>
                <w:rFonts w:cs="Times New Roman"/>
                <w:sz w:val="20"/>
                <w:szCs w:val="20"/>
                <w:lang w:val="es-ES" w:eastAsia="zh-CN"/>
              </w:rPr>
              <w:t>arse en la notificaci</w:t>
            </w:r>
            <w:r>
              <w:rPr>
                <w:rFonts w:cs="Times New Roman"/>
                <w:sz w:val="20"/>
                <w:szCs w:val="20"/>
                <w:lang w:val="es-ES" w:eastAsia="zh-CN"/>
              </w:rPr>
              <w:t xml:space="preserve">ón el compromiso de la administración notificante de cumplir </w:t>
            </w:r>
            <w:r w:rsidR="003131BB">
              <w:rPr>
                <w:rFonts w:cs="Times New Roman"/>
                <w:sz w:val="20"/>
                <w:szCs w:val="20"/>
                <w:lang w:val="es-ES" w:eastAsia="zh-CN"/>
              </w:rPr>
              <w:t xml:space="preserve">con </w:t>
            </w:r>
            <w:r>
              <w:rPr>
                <w:rFonts w:cs="Times New Roman"/>
                <w:sz w:val="20"/>
                <w:szCs w:val="20"/>
                <w:lang w:val="es-ES" w:eastAsia="zh-CN"/>
              </w:rPr>
              <w:t>tal límite o condición</w:t>
            </w:r>
            <w:r w:rsidR="00D43945" w:rsidRPr="00C4704A">
              <w:rPr>
                <w:rFonts w:cs="Times New Roman"/>
                <w:iCs/>
                <w:sz w:val="20"/>
                <w:lang w:val="es-ES"/>
              </w:rPr>
              <w:t>.</w:t>
            </w:r>
            <w:r w:rsidR="00D43945" w:rsidRPr="00C4704A">
              <w:rPr>
                <w:rFonts w:cs="Times New Roman"/>
                <w:sz w:val="20"/>
                <w:lang w:val="es-ES" w:eastAsia="zh-CN"/>
              </w:rPr>
              <w:t xml:space="preserve"> </w:t>
            </w:r>
          </w:p>
        </w:tc>
        <w:tc>
          <w:tcPr>
            <w:tcW w:w="3561" w:type="dxa"/>
          </w:tcPr>
          <w:p w14:paraId="74CDD783" w14:textId="219130E7" w:rsidR="00D43945" w:rsidRPr="003131BB" w:rsidRDefault="003131BB" w:rsidP="002D32CF">
            <w:pPr>
              <w:rPr>
                <w:rFonts w:cs="Times New Roman"/>
                <w:iCs/>
                <w:sz w:val="20"/>
                <w:szCs w:val="20"/>
                <w:lang w:val="es-ES"/>
              </w:rPr>
            </w:pPr>
            <w:r w:rsidRPr="003131BB">
              <w:rPr>
                <w:rFonts w:cs="Times New Roman"/>
                <w:iCs/>
                <w:sz w:val="20"/>
                <w:szCs w:val="20"/>
                <w:lang w:val="es-ES"/>
              </w:rPr>
              <w:t xml:space="preserve">Añadir un nuevo elemento en el Anexo 1 o 2 al Apéndice </w:t>
            </w:r>
            <w:r w:rsidRPr="003131BB">
              <w:rPr>
                <w:rFonts w:cs="Times New Roman"/>
                <w:b/>
                <w:bCs/>
                <w:iCs/>
                <w:sz w:val="20"/>
                <w:szCs w:val="20"/>
                <w:lang w:val="es-ES"/>
              </w:rPr>
              <w:t>4</w:t>
            </w:r>
            <w:r w:rsidRPr="003131BB">
              <w:rPr>
                <w:rFonts w:cs="Times New Roman"/>
                <w:iCs/>
                <w:sz w:val="20"/>
                <w:szCs w:val="20"/>
                <w:lang w:val="es-ES"/>
              </w:rPr>
              <w:t xml:space="preserve"> del</w:t>
            </w:r>
            <w:r w:rsidR="00D43945" w:rsidRPr="003131BB">
              <w:rPr>
                <w:rFonts w:cs="Times New Roman"/>
                <w:iCs/>
                <w:sz w:val="20"/>
                <w:szCs w:val="20"/>
                <w:lang w:val="es-ES"/>
              </w:rPr>
              <w:t xml:space="preserve"> RR </w:t>
            </w:r>
            <w:r>
              <w:rPr>
                <w:rFonts w:cs="Times New Roman"/>
                <w:iCs/>
                <w:sz w:val="20"/>
                <w:szCs w:val="20"/>
                <w:lang w:val="es-ES"/>
              </w:rPr>
              <w:t>–</w:t>
            </w:r>
            <w:r w:rsidR="00D43945" w:rsidRPr="003131BB">
              <w:rPr>
                <w:rFonts w:cs="Times New Roman"/>
                <w:iCs/>
                <w:sz w:val="20"/>
                <w:szCs w:val="20"/>
                <w:lang w:val="es-ES"/>
              </w:rPr>
              <w:t xml:space="preserve"> </w:t>
            </w:r>
            <w:r w:rsidRPr="003131BB">
              <w:rPr>
                <w:rFonts w:cs="Times New Roman"/>
                <w:iCs/>
                <w:sz w:val="20"/>
                <w:szCs w:val="20"/>
                <w:lang w:val="es-ES"/>
              </w:rPr>
              <w:t>c</w:t>
            </w:r>
            <w:r>
              <w:rPr>
                <w:rFonts w:cs="Times New Roman"/>
                <w:iCs/>
                <w:sz w:val="20"/>
                <w:szCs w:val="20"/>
                <w:lang w:val="es-ES"/>
              </w:rPr>
              <w:t>ompromiso de la administración notificante de cumplir con un límite o condición</w:t>
            </w:r>
            <w:r w:rsidR="00D43945" w:rsidRPr="003131BB">
              <w:rPr>
                <w:rFonts w:cs="Times New Roman"/>
                <w:iCs/>
                <w:sz w:val="20"/>
                <w:szCs w:val="20"/>
                <w:lang w:val="es-ES"/>
              </w:rPr>
              <w:t xml:space="preserve">. </w:t>
            </w:r>
          </w:p>
          <w:p w14:paraId="17D1AA70" w14:textId="3ADEC5BE" w:rsidR="00D43945" w:rsidRPr="003131BB" w:rsidRDefault="003131BB" w:rsidP="002D32CF">
            <w:pPr>
              <w:rPr>
                <w:rFonts w:cs="Times New Roman"/>
                <w:iCs/>
                <w:sz w:val="20"/>
                <w:szCs w:val="20"/>
                <w:lang w:val="es-ES"/>
              </w:rPr>
            </w:pPr>
            <w:r w:rsidRPr="003131BB">
              <w:rPr>
                <w:rFonts w:cs="Times New Roman"/>
                <w:iCs/>
                <w:sz w:val="20"/>
                <w:szCs w:val="20"/>
                <w:lang w:val="es-ES"/>
              </w:rPr>
              <w:t xml:space="preserve">El elemento debe hacer referencia a la </w:t>
            </w:r>
            <w:r w:rsidRPr="003131BB">
              <w:rPr>
                <w:rFonts w:cs="Times New Roman"/>
                <w:i/>
                <w:sz w:val="20"/>
                <w:szCs w:val="20"/>
                <w:lang w:val="es-ES"/>
              </w:rPr>
              <w:t>disposición</w:t>
            </w:r>
            <w:r w:rsidR="00D43945" w:rsidRPr="003131BB">
              <w:rPr>
                <w:rFonts w:cs="Times New Roman"/>
                <w:iCs/>
                <w:sz w:val="20"/>
                <w:szCs w:val="20"/>
                <w:lang w:val="es-ES"/>
              </w:rPr>
              <w:t xml:space="preserve"> o </w:t>
            </w:r>
            <w:r w:rsidR="00D43945" w:rsidRPr="003131BB">
              <w:rPr>
                <w:rFonts w:cs="Times New Roman"/>
                <w:i/>
                <w:sz w:val="20"/>
                <w:szCs w:val="20"/>
                <w:lang w:val="es-ES"/>
              </w:rPr>
              <w:t>Resolu</w:t>
            </w:r>
            <w:r w:rsidRPr="003131BB">
              <w:rPr>
                <w:rFonts w:cs="Times New Roman"/>
                <w:i/>
                <w:sz w:val="20"/>
                <w:szCs w:val="20"/>
                <w:lang w:val="es-ES"/>
              </w:rPr>
              <w:t xml:space="preserve">ción </w:t>
            </w:r>
            <w:r>
              <w:rPr>
                <w:rFonts w:cs="Times New Roman"/>
                <w:iCs/>
                <w:sz w:val="20"/>
                <w:szCs w:val="20"/>
                <w:lang w:val="es-ES"/>
              </w:rPr>
              <w:t>en virtud de la cual se exige el compromiso</w:t>
            </w:r>
            <w:r w:rsidR="00D43945" w:rsidRPr="003131BB">
              <w:rPr>
                <w:rFonts w:cs="Times New Roman"/>
                <w:iCs/>
                <w:sz w:val="20"/>
                <w:szCs w:val="20"/>
                <w:lang w:val="es-ES"/>
              </w:rPr>
              <w:t xml:space="preserve">. </w:t>
            </w:r>
          </w:p>
          <w:p w14:paraId="61844940" w14:textId="77777777" w:rsidR="00D43945" w:rsidRPr="003131BB" w:rsidRDefault="00D43945" w:rsidP="002D32CF">
            <w:pPr>
              <w:rPr>
                <w:rFonts w:cs="Times New Roman"/>
                <w:iCs/>
                <w:sz w:val="20"/>
                <w:lang w:val="es-ES"/>
              </w:rPr>
            </w:pPr>
          </w:p>
        </w:tc>
      </w:tr>
      <w:tr w:rsidR="007B2F35" w:rsidRPr="004652EA" w14:paraId="7B821CF8" w14:textId="77777777" w:rsidTr="007D6727">
        <w:tc>
          <w:tcPr>
            <w:tcW w:w="779" w:type="dxa"/>
          </w:tcPr>
          <w:p w14:paraId="7C9995AA" w14:textId="77777777" w:rsidR="00D43945" w:rsidRPr="00E34869" w:rsidRDefault="00D43945" w:rsidP="002D32CF">
            <w:pPr>
              <w:rPr>
                <w:sz w:val="20"/>
                <w:szCs w:val="20"/>
                <w:lang w:eastAsia="zh-CN"/>
              </w:rPr>
            </w:pPr>
            <w:r w:rsidRPr="00E34869">
              <w:rPr>
                <w:sz w:val="20"/>
                <w:szCs w:val="20"/>
                <w:lang w:eastAsia="zh-CN"/>
              </w:rPr>
              <w:t>1.1</w:t>
            </w:r>
          </w:p>
        </w:tc>
        <w:tc>
          <w:tcPr>
            <w:tcW w:w="1116" w:type="dxa"/>
          </w:tcPr>
          <w:p w14:paraId="2B0FA06E" w14:textId="67C03B77" w:rsidR="00D43945" w:rsidRPr="003131BB" w:rsidRDefault="00D43945" w:rsidP="002D32CF">
            <w:pPr>
              <w:rPr>
                <w:sz w:val="20"/>
                <w:szCs w:val="20"/>
                <w:lang w:val="es-ES" w:eastAsia="zh-CN"/>
              </w:rPr>
            </w:pPr>
            <w:r w:rsidRPr="003131BB">
              <w:rPr>
                <w:sz w:val="20"/>
                <w:szCs w:val="20"/>
                <w:lang w:val="es-ES"/>
              </w:rPr>
              <w:t>1/1.1/5.3 M</w:t>
            </w:r>
            <w:r w:rsidR="003131BB" w:rsidRPr="003131BB">
              <w:rPr>
                <w:sz w:val="20"/>
                <w:szCs w:val="20"/>
                <w:lang w:val="es-ES"/>
              </w:rPr>
              <w:t>étodos</w:t>
            </w:r>
            <w:r w:rsidRPr="003131BB">
              <w:rPr>
                <w:sz w:val="20"/>
                <w:szCs w:val="20"/>
                <w:lang w:val="es-ES"/>
              </w:rPr>
              <w:t xml:space="preserve"> C </w:t>
            </w:r>
            <w:r w:rsidR="003131BB" w:rsidRPr="003131BB">
              <w:rPr>
                <w:sz w:val="20"/>
                <w:szCs w:val="20"/>
                <w:lang w:val="es-ES"/>
              </w:rPr>
              <w:t>y</w:t>
            </w:r>
            <w:r w:rsidRPr="003131BB">
              <w:rPr>
                <w:sz w:val="20"/>
                <w:szCs w:val="20"/>
                <w:lang w:val="es-ES"/>
              </w:rPr>
              <w:t xml:space="preserve"> D, </w:t>
            </w:r>
            <w:r w:rsidRPr="003131BB">
              <w:rPr>
                <w:sz w:val="20"/>
                <w:szCs w:val="20"/>
                <w:lang w:val="es-ES" w:eastAsia="zh-CN"/>
              </w:rPr>
              <w:t>Alternativ</w:t>
            </w:r>
            <w:r w:rsidR="003131BB" w:rsidRPr="003131BB">
              <w:rPr>
                <w:sz w:val="20"/>
                <w:szCs w:val="20"/>
                <w:lang w:val="es-ES" w:eastAsia="zh-CN"/>
              </w:rPr>
              <w:t>a</w:t>
            </w:r>
            <w:r w:rsidRPr="003131BB">
              <w:rPr>
                <w:sz w:val="20"/>
                <w:szCs w:val="20"/>
                <w:lang w:val="es-ES" w:eastAsia="zh-CN"/>
              </w:rPr>
              <w:t xml:space="preserve"> 5</w:t>
            </w:r>
          </w:p>
        </w:tc>
        <w:tc>
          <w:tcPr>
            <w:tcW w:w="4904" w:type="dxa"/>
          </w:tcPr>
          <w:p w14:paraId="118A779A" w14:textId="6191C7D6" w:rsidR="00D43945" w:rsidRPr="003131BB" w:rsidRDefault="00D43945" w:rsidP="002D32CF">
            <w:pPr>
              <w:rPr>
                <w:sz w:val="20"/>
                <w:szCs w:val="20"/>
                <w:lang w:val="es-ES" w:eastAsia="zh-CN"/>
              </w:rPr>
            </w:pPr>
            <w:r w:rsidRPr="003131BB">
              <w:rPr>
                <w:i/>
                <w:sz w:val="20"/>
                <w:szCs w:val="20"/>
                <w:lang w:val="es-ES"/>
              </w:rPr>
              <w:t>Alternativ</w:t>
            </w:r>
            <w:r w:rsidR="003131BB" w:rsidRPr="003131BB">
              <w:rPr>
                <w:i/>
                <w:sz w:val="20"/>
                <w:szCs w:val="20"/>
                <w:lang w:val="es-ES"/>
              </w:rPr>
              <w:t>a</w:t>
            </w:r>
            <w:r w:rsidRPr="003131BB">
              <w:rPr>
                <w:i/>
                <w:sz w:val="20"/>
                <w:szCs w:val="20"/>
                <w:lang w:val="es-ES"/>
              </w:rPr>
              <w:t xml:space="preserve"> 5:</w:t>
            </w:r>
            <w:r w:rsidRPr="003131BB">
              <w:rPr>
                <w:sz w:val="20"/>
                <w:szCs w:val="20"/>
                <w:lang w:val="es-ES"/>
              </w:rPr>
              <w:t xml:space="preserve"> </w:t>
            </w:r>
            <w:r w:rsidR="003131BB" w:rsidRPr="003131BB">
              <w:rPr>
                <w:sz w:val="20"/>
                <w:szCs w:val="20"/>
                <w:lang w:val="es-ES"/>
              </w:rPr>
              <w:t>dfp de</w:t>
            </w:r>
            <w:r w:rsidRPr="003131BB">
              <w:rPr>
                <w:sz w:val="20"/>
                <w:szCs w:val="20"/>
                <w:lang w:val="es-ES"/>
              </w:rPr>
              <w:t xml:space="preserve"> −</w:t>
            </w:r>
            <w:r w:rsidRPr="003131BB">
              <w:rPr>
                <w:rFonts w:eastAsiaTheme="minorEastAsia"/>
                <w:sz w:val="20"/>
                <w:szCs w:val="20"/>
                <w:lang w:val="es-ES"/>
              </w:rPr>
              <w:t>117</w:t>
            </w:r>
            <w:r w:rsidRPr="003131BB">
              <w:rPr>
                <w:sz w:val="20"/>
                <w:szCs w:val="20"/>
                <w:lang w:val="es-ES"/>
              </w:rPr>
              <w:t> </w:t>
            </w:r>
            <w:r w:rsidRPr="003131BB">
              <w:rPr>
                <w:rFonts w:eastAsiaTheme="minorEastAsia"/>
                <w:sz w:val="20"/>
                <w:szCs w:val="20"/>
                <w:lang w:val="es-ES"/>
              </w:rPr>
              <w:t>dB(W/(m²</w:t>
            </w:r>
            <w:r w:rsidRPr="003131BB">
              <w:rPr>
                <w:sz w:val="20"/>
                <w:szCs w:val="20"/>
                <w:lang w:val="es-ES"/>
              </w:rPr>
              <w:t> </w:t>
            </w:r>
            <w:r w:rsidRPr="003131BB">
              <w:rPr>
                <w:rFonts w:eastAsiaTheme="minorEastAsia"/>
                <w:sz w:val="20"/>
                <w:szCs w:val="20"/>
                <w:lang w:val="es-ES"/>
              </w:rPr>
              <w:t>·</w:t>
            </w:r>
            <w:r w:rsidRPr="003131BB">
              <w:rPr>
                <w:sz w:val="20"/>
                <w:szCs w:val="20"/>
                <w:lang w:val="es-ES"/>
              </w:rPr>
              <w:t> </w:t>
            </w:r>
            <w:r w:rsidRPr="003131BB">
              <w:rPr>
                <w:rFonts w:eastAsiaTheme="minorEastAsia"/>
                <w:sz w:val="20"/>
                <w:szCs w:val="20"/>
                <w:lang w:val="es-ES"/>
              </w:rPr>
              <w:t>MHz)) produc</w:t>
            </w:r>
            <w:r w:rsidR="003131BB" w:rsidRPr="003131BB">
              <w:rPr>
                <w:rFonts w:eastAsiaTheme="minorEastAsia"/>
                <w:sz w:val="20"/>
                <w:szCs w:val="20"/>
                <w:lang w:val="es-ES"/>
              </w:rPr>
              <w:t>ida a</w:t>
            </w:r>
            <w:r w:rsidRPr="003131BB">
              <w:rPr>
                <w:rFonts w:eastAsiaTheme="minorEastAsia"/>
                <w:sz w:val="20"/>
                <w:szCs w:val="20"/>
                <w:lang w:val="es-ES"/>
              </w:rPr>
              <w:t xml:space="preserve"> 19</w:t>
            </w:r>
            <w:r w:rsidRPr="003131BB">
              <w:rPr>
                <w:sz w:val="20"/>
                <w:szCs w:val="20"/>
                <w:lang w:val="es-ES"/>
              </w:rPr>
              <w:t> </w:t>
            </w:r>
            <w:r w:rsidRPr="003131BB">
              <w:rPr>
                <w:rFonts w:eastAsiaTheme="minorEastAsia"/>
                <w:sz w:val="20"/>
                <w:szCs w:val="20"/>
                <w:lang w:val="es-ES"/>
              </w:rPr>
              <w:t xml:space="preserve">km </w:t>
            </w:r>
            <w:r w:rsidR="003131BB" w:rsidRPr="003131BB">
              <w:rPr>
                <w:rFonts w:eastAsiaTheme="minorEastAsia"/>
                <w:sz w:val="20"/>
                <w:szCs w:val="20"/>
                <w:lang w:val="es-ES"/>
              </w:rPr>
              <w:t>por encima del nivel del mar en el límite exterior de la zona económica exclusiva oficialmente reconocida por el Estado costero para la protección del SMA en las bandas de frecuencias</w:t>
            </w:r>
            <w:r w:rsidRPr="003131BB">
              <w:rPr>
                <w:rFonts w:eastAsiaTheme="minorEastAsia"/>
                <w:sz w:val="20"/>
                <w:szCs w:val="20"/>
                <w:lang w:val="es-ES"/>
              </w:rPr>
              <w:t xml:space="preserve"> 4</w:t>
            </w:r>
            <w:r w:rsidRPr="003131BB">
              <w:rPr>
                <w:sz w:val="20"/>
                <w:szCs w:val="20"/>
                <w:lang w:val="es-ES"/>
              </w:rPr>
              <w:t> </w:t>
            </w:r>
            <w:r w:rsidRPr="003131BB">
              <w:rPr>
                <w:rFonts w:eastAsiaTheme="minorEastAsia"/>
                <w:sz w:val="20"/>
                <w:szCs w:val="20"/>
                <w:lang w:val="es-ES"/>
              </w:rPr>
              <w:t>800-4</w:t>
            </w:r>
            <w:r w:rsidRPr="003131BB">
              <w:rPr>
                <w:sz w:val="20"/>
                <w:szCs w:val="20"/>
                <w:lang w:val="es-ES"/>
              </w:rPr>
              <w:t> </w:t>
            </w:r>
            <w:r w:rsidRPr="003131BB">
              <w:rPr>
                <w:rFonts w:eastAsiaTheme="minorEastAsia"/>
                <w:sz w:val="20"/>
                <w:szCs w:val="20"/>
                <w:lang w:val="es-ES"/>
              </w:rPr>
              <w:t xml:space="preserve">825 MHz </w:t>
            </w:r>
            <w:r w:rsidR="003131BB" w:rsidRPr="003131BB">
              <w:rPr>
                <w:rFonts w:eastAsiaTheme="minorEastAsia"/>
                <w:sz w:val="20"/>
                <w:szCs w:val="20"/>
                <w:lang w:val="es-ES"/>
              </w:rPr>
              <w:t>y</w:t>
            </w:r>
            <w:r w:rsidRPr="003131BB">
              <w:rPr>
                <w:rFonts w:eastAsiaTheme="minorEastAsia"/>
                <w:sz w:val="20"/>
                <w:szCs w:val="20"/>
                <w:lang w:val="es-ES"/>
              </w:rPr>
              <w:t xml:space="preserve"> 4</w:t>
            </w:r>
            <w:r w:rsidRPr="003131BB">
              <w:rPr>
                <w:sz w:val="20"/>
                <w:szCs w:val="20"/>
                <w:lang w:val="es-ES"/>
              </w:rPr>
              <w:t> </w:t>
            </w:r>
            <w:r w:rsidRPr="003131BB">
              <w:rPr>
                <w:rFonts w:eastAsiaTheme="minorEastAsia"/>
                <w:sz w:val="20"/>
                <w:szCs w:val="20"/>
                <w:lang w:val="es-ES"/>
              </w:rPr>
              <w:t>835-4</w:t>
            </w:r>
            <w:r w:rsidRPr="003131BB">
              <w:rPr>
                <w:sz w:val="20"/>
                <w:szCs w:val="20"/>
                <w:lang w:val="es-ES"/>
              </w:rPr>
              <w:t> </w:t>
            </w:r>
            <w:r w:rsidRPr="003131BB">
              <w:rPr>
                <w:rFonts w:eastAsiaTheme="minorEastAsia"/>
                <w:sz w:val="20"/>
                <w:szCs w:val="20"/>
                <w:lang w:val="es-ES"/>
              </w:rPr>
              <w:t xml:space="preserve">950 MHz </w:t>
            </w:r>
            <w:r w:rsidR="003131BB">
              <w:rPr>
                <w:rFonts w:eastAsiaTheme="minorEastAsia"/>
                <w:sz w:val="20"/>
                <w:szCs w:val="20"/>
                <w:lang w:val="es-ES"/>
              </w:rPr>
              <w:t>y de</w:t>
            </w:r>
            <w:r w:rsidRPr="003131BB">
              <w:rPr>
                <w:rFonts w:eastAsiaTheme="minorEastAsia"/>
                <w:sz w:val="20"/>
                <w:szCs w:val="20"/>
                <w:lang w:val="es-ES"/>
              </w:rPr>
              <w:t xml:space="preserve"> </w:t>
            </w:r>
            <w:r w:rsidRPr="003131BB">
              <w:rPr>
                <w:sz w:val="20"/>
                <w:szCs w:val="20"/>
                <w:lang w:val="es-ES"/>
              </w:rPr>
              <w:t>−</w:t>
            </w:r>
            <w:r w:rsidRPr="003131BB">
              <w:rPr>
                <w:rFonts w:eastAsiaTheme="minorEastAsia"/>
                <w:sz w:val="20"/>
                <w:szCs w:val="20"/>
                <w:lang w:val="es-ES"/>
              </w:rPr>
              <w:t>115</w:t>
            </w:r>
            <w:r w:rsidRPr="003131BB">
              <w:rPr>
                <w:sz w:val="20"/>
                <w:szCs w:val="20"/>
                <w:lang w:val="es-ES"/>
              </w:rPr>
              <w:t> </w:t>
            </w:r>
            <w:r w:rsidRPr="003131BB">
              <w:rPr>
                <w:rFonts w:eastAsiaTheme="minorEastAsia"/>
                <w:sz w:val="20"/>
                <w:szCs w:val="20"/>
                <w:lang w:val="es-ES"/>
              </w:rPr>
              <w:t>dB(W/(m²</w:t>
            </w:r>
            <w:r w:rsidRPr="003131BB">
              <w:rPr>
                <w:sz w:val="20"/>
                <w:szCs w:val="20"/>
                <w:lang w:val="es-ES"/>
              </w:rPr>
              <w:t> </w:t>
            </w:r>
            <w:r w:rsidRPr="003131BB">
              <w:rPr>
                <w:rFonts w:eastAsiaTheme="minorEastAsia"/>
                <w:sz w:val="20"/>
                <w:szCs w:val="20"/>
                <w:lang w:val="es-ES"/>
              </w:rPr>
              <w:t>·</w:t>
            </w:r>
            <w:r w:rsidRPr="003131BB">
              <w:rPr>
                <w:sz w:val="20"/>
                <w:szCs w:val="20"/>
                <w:lang w:val="es-ES"/>
              </w:rPr>
              <w:t xml:space="preserve"> 1 </w:t>
            </w:r>
            <w:r w:rsidRPr="003131BB">
              <w:rPr>
                <w:rFonts w:eastAsiaTheme="minorEastAsia"/>
                <w:sz w:val="20"/>
                <w:szCs w:val="20"/>
                <w:lang w:val="es-ES"/>
              </w:rPr>
              <w:t>MHz)) produc</w:t>
            </w:r>
            <w:r w:rsidR="003131BB">
              <w:rPr>
                <w:rFonts w:eastAsiaTheme="minorEastAsia"/>
                <w:sz w:val="20"/>
                <w:szCs w:val="20"/>
                <w:lang w:val="es-ES"/>
              </w:rPr>
              <w:t xml:space="preserve">ida a </w:t>
            </w:r>
            <w:r w:rsidRPr="003131BB">
              <w:rPr>
                <w:rFonts w:eastAsiaTheme="minorEastAsia"/>
                <w:sz w:val="20"/>
                <w:szCs w:val="20"/>
                <w:lang w:val="es-ES"/>
              </w:rPr>
              <w:t xml:space="preserve">30 m </w:t>
            </w:r>
            <w:r w:rsidR="003131BB">
              <w:rPr>
                <w:rFonts w:eastAsiaTheme="minorEastAsia"/>
                <w:sz w:val="20"/>
                <w:szCs w:val="20"/>
                <w:lang w:val="es-ES"/>
              </w:rPr>
              <w:t>por encima del nivel del mar en el límite exterior de la zona económica exclusiva oficialmente reconocida por el Estado costero para la protección del SMM en la banda de frecuencias</w:t>
            </w:r>
            <w:r w:rsidRPr="003131BB">
              <w:rPr>
                <w:rFonts w:eastAsiaTheme="minorEastAsia"/>
                <w:sz w:val="20"/>
                <w:szCs w:val="20"/>
                <w:lang w:val="es-ES"/>
              </w:rPr>
              <w:t xml:space="preserve"> 4</w:t>
            </w:r>
            <w:r w:rsidRPr="003131BB">
              <w:rPr>
                <w:sz w:val="20"/>
                <w:szCs w:val="20"/>
                <w:lang w:val="es-ES"/>
              </w:rPr>
              <w:t> </w:t>
            </w:r>
            <w:r w:rsidRPr="003131BB">
              <w:rPr>
                <w:rFonts w:eastAsiaTheme="minorEastAsia"/>
                <w:sz w:val="20"/>
                <w:szCs w:val="20"/>
                <w:lang w:val="es-ES"/>
              </w:rPr>
              <w:t>800-4</w:t>
            </w:r>
            <w:r w:rsidRPr="003131BB">
              <w:rPr>
                <w:sz w:val="20"/>
                <w:szCs w:val="20"/>
                <w:lang w:val="es-ES"/>
              </w:rPr>
              <w:t> </w:t>
            </w:r>
            <w:r w:rsidRPr="003131BB">
              <w:rPr>
                <w:rFonts w:eastAsiaTheme="minorEastAsia"/>
                <w:sz w:val="20"/>
                <w:szCs w:val="20"/>
                <w:lang w:val="es-ES"/>
              </w:rPr>
              <w:t>990</w:t>
            </w:r>
            <w:r w:rsidR="00632AFF">
              <w:rPr>
                <w:rFonts w:eastAsiaTheme="minorEastAsia"/>
                <w:sz w:val="20"/>
                <w:szCs w:val="20"/>
                <w:lang w:val="es-ES"/>
              </w:rPr>
              <w:t> </w:t>
            </w:r>
            <w:r w:rsidRPr="003131BB">
              <w:rPr>
                <w:rFonts w:eastAsiaTheme="minorEastAsia"/>
                <w:sz w:val="20"/>
                <w:szCs w:val="20"/>
                <w:lang w:val="es-ES"/>
              </w:rPr>
              <w:t>MHz.</w:t>
            </w:r>
          </w:p>
        </w:tc>
        <w:tc>
          <w:tcPr>
            <w:tcW w:w="3675" w:type="dxa"/>
          </w:tcPr>
          <w:p w14:paraId="081B080B" w14:textId="18156F42" w:rsidR="00D43945" w:rsidRPr="003131BB" w:rsidRDefault="003131BB" w:rsidP="002D32CF">
            <w:pPr>
              <w:rPr>
                <w:sz w:val="20"/>
                <w:szCs w:val="20"/>
                <w:lang w:val="es-ES" w:eastAsia="zh-CN"/>
              </w:rPr>
            </w:pPr>
            <w:r w:rsidRPr="003131BB">
              <w:rPr>
                <w:sz w:val="20"/>
                <w:szCs w:val="20"/>
                <w:lang w:val="es-ES" w:eastAsia="zh-CN"/>
              </w:rPr>
              <w:t xml:space="preserve">Resulta difícil identificar los límites de las zonas económicas exclusivas (ZEE) pues la UIT carece de un </w:t>
            </w:r>
            <w:r>
              <w:rPr>
                <w:sz w:val="20"/>
                <w:szCs w:val="20"/>
                <w:lang w:val="es-ES" w:eastAsia="zh-CN"/>
              </w:rPr>
              <w:t xml:space="preserve">mapa mundial de ZEE acordado u oficialmente reconocido. </w:t>
            </w:r>
            <w:r w:rsidRPr="003131BB">
              <w:rPr>
                <w:sz w:val="20"/>
                <w:szCs w:val="20"/>
                <w:lang w:val="es-ES" w:eastAsia="zh-CN"/>
              </w:rPr>
              <w:t xml:space="preserve">Existe una serie de ZEE supuerpuestas objeto de conflicto y siguen en curso las negociaciones </w:t>
            </w:r>
            <w:r>
              <w:rPr>
                <w:sz w:val="20"/>
                <w:szCs w:val="20"/>
                <w:lang w:val="es-ES" w:eastAsia="zh-CN"/>
              </w:rPr>
              <w:t>al respecto entre los países concernidos</w:t>
            </w:r>
            <w:r w:rsidR="00D43945" w:rsidRPr="003131BB">
              <w:rPr>
                <w:sz w:val="20"/>
                <w:szCs w:val="20"/>
                <w:lang w:val="es-ES" w:eastAsia="zh-CN"/>
              </w:rPr>
              <w:t>.</w:t>
            </w:r>
          </w:p>
          <w:p w14:paraId="10105136" w14:textId="13B2D87C" w:rsidR="00D43945" w:rsidRPr="003131BB" w:rsidRDefault="003131BB" w:rsidP="002D32CF">
            <w:pPr>
              <w:rPr>
                <w:sz w:val="20"/>
                <w:szCs w:val="20"/>
                <w:lang w:val="es-ES" w:eastAsia="zh-CN"/>
              </w:rPr>
            </w:pPr>
            <w:r w:rsidRPr="003131BB">
              <w:rPr>
                <w:sz w:val="20"/>
                <w:szCs w:val="20"/>
                <w:lang w:val="es-ES" w:eastAsia="zh-CN"/>
              </w:rPr>
              <w:t>La BR carece asimismo de mapas de “</w:t>
            </w:r>
            <w:r w:rsidRPr="003131BB">
              <w:rPr>
                <w:i/>
                <w:iCs/>
                <w:sz w:val="20"/>
                <w:szCs w:val="20"/>
                <w:lang w:val="es-ES" w:eastAsia="zh-CN"/>
              </w:rPr>
              <w:t>zonas económicas exclusivas oficialment</w:t>
            </w:r>
            <w:r>
              <w:rPr>
                <w:i/>
                <w:iCs/>
                <w:sz w:val="20"/>
                <w:szCs w:val="20"/>
                <w:lang w:val="es-ES" w:eastAsia="zh-CN"/>
              </w:rPr>
              <w:t>e reconocidas por los Estados costeros</w:t>
            </w:r>
            <w:r>
              <w:rPr>
                <w:sz w:val="20"/>
                <w:szCs w:val="20"/>
                <w:lang w:val="es-ES" w:eastAsia="zh-CN"/>
              </w:rPr>
              <w:t>”</w:t>
            </w:r>
            <w:r w:rsidR="00D43945" w:rsidRPr="003131BB">
              <w:rPr>
                <w:rFonts w:eastAsiaTheme="minorEastAsia"/>
                <w:sz w:val="20"/>
                <w:szCs w:val="20"/>
                <w:lang w:val="es-ES"/>
              </w:rPr>
              <w:t>.</w:t>
            </w:r>
          </w:p>
        </w:tc>
        <w:tc>
          <w:tcPr>
            <w:tcW w:w="3561" w:type="dxa"/>
          </w:tcPr>
          <w:p w14:paraId="5D083578" w14:textId="2A7085FC" w:rsidR="00D43945" w:rsidRPr="003131BB" w:rsidRDefault="003131BB" w:rsidP="002D32CF">
            <w:pPr>
              <w:rPr>
                <w:rFonts w:cs="Times New Roman"/>
                <w:sz w:val="20"/>
                <w:szCs w:val="20"/>
                <w:lang w:val="es-ES"/>
              </w:rPr>
            </w:pPr>
            <w:r w:rsidRPr="003131BB">
              <w:rPr>
                <w:rFonts w:cs="Times New Roman"/>
                <w:iCs/>
                <w:sz w:val="20"/>
                <w:szCs w:val="20"/>
                <w:lang w:val="es-ES"/>
              </w:rPr>
              <w:t>Indicar en la Resolución</w:t>
            </w:r>
            <w:r w:rsidR="00D43945" w:rsidRPr="003131BB">
              <w:rPr>
                <w:rFonts w:cs="Times New Roman"/>
                <w:sz w:val="20"/>
                <w:szCs w:val="20"/>
                <w:lang w:val="es-ES"/>
              </w:rPr>
              <w:t xml:space="preserve"> </w:t>
            </w:r>
            <w:r w:rsidR="00D43945" w:rsidRPr="003131BB">
              <w:rPr>
                <w:rFonts w:cs="Times New Roman"/>
                <w:b/>
                <w:bCs/>
                <w:sz w:val="20"/>
                <w:szCs w:val="20"/>
                <w:lang w:val="es-ES"/>
              </w:rPr>
              <w:t>223 (Rev.</w:t>
            </w:r>
            <w:r w:rsidRPr="003131BB">
              <w:rPr>
                <w:rFonts w:cs="Times New Roman"/>
                <w:b/>
                <w:bCs/>
                <w:sz w:val="20"/>
                <w:szCs w:val="20"/>
                <w:lang w:val="es-ES"/>
              </w:rPr>
              <w:t>CMR</w:t>
            </w:r>
            <w:r w:rsidR="00D518D8">
              <w:rPr>
                <w:rFonts w:cs="Times New Roman"/>
                <w:b/>
                <w:bCs/>
                <w:sz w:val="20"/>
                <w:szCs w:val="20"/>
                <w:lang w:val="es-ES"/>
              </w:rPr>
              <w:t>–</w:t>
            </w:r>
            <w:r w:rsidR="00D43945" w:rsidRPr="003131BB">
              <w:rPr>
                <w:rFonts w:cs="Times New Roman"/>
                <w:b/>
                <w:bCs/>
                <w:sz w:val="20"/>
                <w:szCs w:val="20"/>
                <w:lang w:val="es-ES"/>
              </w:rPr>
              <w:t>23)</w:t>
            </w:r>
            <w:r w:rsidR="00D43945" w:rsidRPr="003131BB">
              <w:rPr>
                <w:rFonts w:cs="Times New Roman"/>
                <w:sz w:val="20"/>
                <w:szCs w:val="20"/>
                <w:lang w:val="es-ES"/>
              </w:rPr>
              <w:t xml:space="preserve"> </w:t>
            </w:r>
            <w:r w:rsidRPr="003131BB">
              <w:rPr>
                <w:rFonts w:cs="Times New Roman"/>
                <w:sz w:val="20"/>
                <w:szCs w:val="20"/>
                <w:lang w:val="es-ES"/>
              </w:rPr>
              <w:t>que la BR no efect</w:t>
            </w:r>
            <w:r>
              <w:rPr>
                <w:rFonts w:cs="Times New Roman"/>
                <w:sz w:val="20"/>
                <w:szCs w:val="20"/>
                <w:lang w:val="es-ES"/>
              </w:rPr>
              <w:t>úa exámenes de ese límite</w:t>
            </w:r>
            <w:r w:rsidR="00D43945" w:rsidRPr="003131BB">
              <w:rPr>
                <w:rFonts w:cs="Times New Roman"/>
                <w:sz w:val="20"/>
                <w:szCs w:val="20"/>
                <w:lang w:val="es-ES"/>
              </w:rPr>
              <w:t>, O</w:t>
            </w:r>
          </w:p>
          <w:p w14:paraId="1EF826EB" w14:textId="54762AD4" w:rsidR="00D43945" w:rsidRPr="003131BB" w:rsidRDefault="00D43945" w:rsidP="002D32CF">
            <w:pPr>
              <w:rPr>
                <w:sz w:val="20"/>
                <w:szCs w:val="20"/>
                <w:lang w:val="es-ES" w:eastAsia="zh-CN"/>
              </w:rPr>
            </w:pPr>
            <w:r w:rsidRPr="003131BB">
              <w:rPr>
                <w:sz w:val="20"/>
                <w:szCs w:val="20"/>
                <w:lang w:val="es-ES"/>
              </w:rPr>
              <w:t xml:space="preserve">2. </w:t>
            </w:r>
            <w:r w:rsidR="003131BB" w:rsidRPr="003131BB">
              <w:rPr>
                <w:sz w:val="20"/>
                <w:szCs w:val="20"/>
                <w:lang w:val="es-ES"/>
              </w:rPr>
              <w:t>Facilitar a la BR un mapa de zonas económicas exclusivas acordado de</w:t>
            </w:r>
            <w:r w:rsidR="003131BB">
              <w:rPr>
                <w:sz w:val="20"/>
                <w:szCs w:val="20"/>
                <w:lang w:val="es-ES"/>
              </w:rPr>
              <w:t xml:space="preserve"> la UIT o indicar el enlace/referencia a tal mapa</w:t>
            </w:r>
            <w:r w:rsidRPr="003131BB">
              <w:rPr>
                <w:sz w:val="20"/>
                <w:szCs w:val="20"/>
                <w:lang w:val="es-ES" w:eastAsia="zh-CN"/>
              </w:rPr>
              <w:t>, O</w:t>
            </w:r>
          </w:p>
          <w:p w14:paraId="30F9D58C" w14:textId="1B70AA84" w:rsidR="00D43945" w:rsidRPr="003131BB" w:rsidRDefault="00D43945" w:rsidP="002D32CF">
            <w:pPr>
              <w:rPr>
                <w:sz w:val="20"/>
                <w:szCs w:val="20"/>
                <w:lang w:val="es-ES" w:eastAsia="zh-CN"/>
              </w:rPr>
            </w:pPr>
            <w:r w:rsidRPr="003131BB">
              <w:rPr>
                <w:sz w:val="20"/>
                <w:szCs w:val="20"/>
                <w:lang w:val="es-ES" w:eastAsia="zh-CN"/>
              </w:rPr>
              <w:t xml:space="preserve">3. </w:t>
            </w:r>
            <w:r w:rsidR="00D518D8">
              <w:rPr>
                <w:sz w:val="20"/>
                <w:szCs w:val="20"/>
                <w:lang w:val="es-ES" w:eastAsia="zh-CN"/>
              </w:rPr>
              <w:t>Q</w:t>
            </w:r>
            <w:r w:rsidR="003131BB" w:rsidRPr="003131BB">
              <w:rPr>
                <w:sz w:val="20"/>
                <w:szCs w:val="20"/>
                <w:lang w:val="es-ES" w:eastAsia="zh-CN"/>
              </w:rPr>
              <w:t>ue cada administración del número</w:t>
            </w:r>
            <w:r w:rsidRPr="003131BB">
              <w:rPr>
                <w:sz w:val="20"/>
                <w:szCs w:val="20"/>
                <w:lang w:val="es-ES" w:eastAsia="zh-CN"/>
              </w:rPr>
              <w:t xml:space="preserve"> </w:t>
            </w:r>
            <w:r w:rsidRPr="003131BB">
              <w:rPr>
                <w:b/>
                <w:bCs/>
                <w:sz w:val="20"/>
                <w:szCs w:val="20"/>
                <w:lang w:val="es-ES" w:eastAsia="zh-CN"/>
              </w:rPr>
              <w:t>5.441B</w:t>
            </w:r>
            <w:r w:rsidRPr="003131BB">
              <w:rPr>
                <w:sz w:val="20"/>
                <w:szCs w:val="20"/>
                <w:lang w:val="es-ES" w:eastAsia="zh-CN"/>
              </w:rPr>
              <w:t xml:space="preserve"> </w:t>
            </w:r>
            <w:r w:rsidR="003131BB" w:rsidRPr="003131BB">
              <w:rPr>
                <w:sz w:val="20"/>
                <w:szCs w:val="20"/>
                <w:lang w:val="es-ES" w:eastAsia="zh-CN"/>
              </w:rPr>
              <w:t>a que se aplique el límite de dfp facilite el mapa de</w:t>
            </w:r>
            <w:r w:rsidR="003131BB">
              <w:rPr>
                <w:sz w:val="20"/>
                <w:szCs w:val="20"/>
                <w:lang w:val="es-ES" w:eastAsia="zh-CN"/>
              </w:rPr>
              <w:t xml:space="preserve"> su zona económica exclusiva “oficialmente reconocida” por su Administración</w:t>
            </w:r>
            <w:r w:rsidRPr="003131BB">
              <w:rPr>
                <w:rFonts w:eastAsiaTheme="minorEastAsia"/>
                <w:sz w:val="20"/>
                <w:szCs w:val="20"/>
                <w:lang w:val="es-ES"/>
              </w:rPr>
              <w:t>.</w:t>
            </w:r>
          </w:p>
        </w:tc>
      </w:tr>
      <w:tr w:rsidR="007B2F35" w:rsidRPr="004652EA" w14:paraId="7176AA3B" w14:textId="77777777" w:rsidTr="007D6727">
        <w:tc>
          <w:tcPr>
            <w:tcW w:w="779" w:type="dxa"/>
            <w:vMerge w:val="restart"/>
          </w:tcPr>
          <w:p w14:paraId="499E5060" w14:textId="77777777" w:rsidR="00D43945" w:rsidRPr="00E34869" w:rsidRDefault="00D43945" w:rsidP="002D32CF">
            <w:pPr>
              <w:rPr>
                <w:sz w:val="20"/>
                <w:szCs w:val="20"/>
                <w:lang w:eastAsia="zh-CN"/>
              </w:rPr>
            </w:pPr>
            <w:r w:rsidRPr="00E34869">
              <w:rPr>
                <w:sz w:val="20"/>
                <w:szCs w:val="20"/>
                <w:lang w:eastAsia="zh-CN"/>
              </w:rPr>
              <w:t>1.2</w:t>
            </w:r>
          </w:p>
        </w:tc>
        <w:tc>
          <w:tcPr>
            <w:tcW w:w="1116" w:type="dxa"/>
            <w:vMerge w:val="restart"/>
          </w:tcPr>
          <w:p w14:paraId="597E5D7F" w14:textId="77777777" w:rsidR="00D43945" w:rsidRPr="00E34869" w:rsidRDefault="00D43945" w:rsidP="002D32CF">
            <w:pPr>
              <w:rPr>
                <w:iCs/>
                <w:sz w:val="20"/>
                <w:szCs w:val="20"/>
              </w:rPr>
            </w:pPr>
            <w:r w:rsidRPr="00E34869">
              <w:rPr>
                <w:iCs/>
                <w:sz w:val="20"/>
                <w:szCs w:val="20"/>
              </w:rPr>
              <w:t>1/1.2/5.7.3</w:t>
            </w:r>
          </w:p>
          <w:p w14:paraId="5FD5BD2F" w14:textId="4F202785" w:rsidR="00D43945" w:rsidRPr="00E34869" w:rsidRDefault="00D43945" w:rsidP="002D32CF">
            <w:pPr>
              <w:rPr>
                <w:sz w:val="20"/>
                <w:szCs w:val="20"/>
                <w:lang w:eastAsia="zh-CN"/>
              </w:rPr>
            </w:pPr>
            <w:r w:rsidRPr="00E34869">
              <w:rPr>
                <w:iCs/>
                <w:sz w:val="20"/>
                <w:szCs w:val="20"/>
              </w:rPr>
              <w:t>M</w:t>
            </w:r>
            <w:r w:rsidR="003131BB">
              <w:rPr>
                <w:iCs/>
                <w:sz w:val="20"/>
                <w:szCs w:val="20"/>
              </w:rPr>
              <w:t>étodos</w:t>
            </w:r>
            <w:r w:rsidRPr="00E34869">
              <w:rPr>
                <w:iCs/>
                <w:sz w:val="20"/>
                <w:szCs w:val="20"/>
              </w:rPr>
              <w:t xml:space="preserve"> 6B </w:t>
            </w:r>
            <w:r w:rsidR="003131BB">
              <w:rPr>
                <w:iCs/>
                <w:sz w:val="20"/>
                <w:szCs w:val="20"/>
              </w:rPr>
              <w:t>y</w:t>
            </w:r>
            <w:r w:rsidRPr="00E34869">
              <w:rPr>
                <w:iCs/>
                <w:sz w:val="20"/>
                <w:szCs w:val="20"/>
              </w:rPr>
              <w:t xml:space="preserve"> 6C</w:t>
            </w:r>
            <w:r w:rsidRPr="00E34869">
              <w:rPr>
                <w:iCs/>
                <w:sz w:val="20"/>
                <w:szCs w:val="20"/>
              </w:rPr>
              <w:br/>
            </w:r>
          </w:p>
        </w:tc>
        <w:tc>
          <w:tcPr>
            <w:tcW w:w="4904" w:type="dxa"/>
          </w:tcPr>
          <w:p w14:paraId="25C78B11" w14:textId="75A699A8" w:rsidR="00D43945" w:rsidRPr="003131BB" w:rsidRDefault="003131BB" w:rsidP="002D32CF">
            <w:pPr>
              <w:rPr>
                <w:i/>
                <w:iCs/>
                <w:sz w:val="20"/>
                <w:szCs w:val="20"/>
                <w:lang w:val="es-ES" w:eastAsia="zh-CN"/>
              </w:rPr>
            </w:pPr>
            <w:r w:rsidRPr="003131BB">
              <w:rPr>
                <w:iCs/>
                <w:sz w:val="20"/>
                <w:szCs w:val="20"/>
                <w:lang w:val="es-ES"/>
              </w:rPr>
              <w:t>Proyecto de nueva Resolución</w:t>
            </w:r>
            <w:r w:rsidR="00D43945" w:rsidRPr="003131BB">
              <w:rPr>
                <w:iCs/>
                <w:sz w:val="20"/>
                <w:szCs w:val="20"/>
                <w:lang w:val="es-ES"/>
              </w:rPr>
              <w:t xml:space="preserve"> </w:t>
            </w:r>
            <w:r w:rsidR="00D43945" w:rsidRPr="003131BB">
              <w:rPr>
                <w:b/>
                <w:bCs/>
                <w:iCs/>
                <w:sz w:val="20"/>
                <w:szCs w:val="20"/>
                <w:lang w:val="es-ES"/>
              </w:rPr>
              <w:t>[C12-10GHz]</w:t>
            </w:r>
            <w:r w:rsidR="00D43945" w:rsidRPr="003131BB">
              <w:rPr>
                <w:iCs/>
                <w:sz w:val="20"/>
                <w:szCs w:val="20"/>
                <w:lang w:val="es-ES"/>
              </w:rPr>
              <w:t>:</w:t>
            </w:r>
          </w:p>
          <w:p w14:paraId="732EE097" w14:textId="0C530B49" w:rsidR="00D43945" w:rsidRPr="003131BB" w:rsidRDefault="00D43945" w:rsidP="002D32CF">
            <w:pPr>
              <w:rPr>
                <w:sz w:val="20"/>
                <w:szCs w:val="20"/>
                <w:lang w:val="es-ES" w:eastAsia="zh-CN"/>
              </w:rPr>
            </w:pPr>
            <w:r w:rsidRPr="003131BB">
              <w:rPr>
                <w:i/>
                <w:iCs/>
                <w:sz w:val="20"/>
                <w:szCs w:val="20"/>
                <w:lang w:val="es-ES" w:eastAsia="zh-CN"/>
              </w:rPr>
              <w:t>res</w:t>
            </w:r>
            <w:r w:rsidR="003131BB" w:rsidRPr="003131BB">
              <w:rPr>
                <w:i/>
                <w:iCs/>
                <w:sz w:val="20"/>
                <w:szCs w:val="20"/>
                <w:lang w:val="es-ES" w:eastAsia="zh-CN"/>
              </w:rPr>
              <w:t>ue</w:t>
            </w:r>
            <w:r w:rsidRPr="003131BB">
              <w:rPr>
                <w:i/>
                <w:iCs/>
                <w:sz w:val="20"/>
                <w:szCs w:val="20"/>
                <w:lang w:val="es-ES" w:eastAsia="zh-CN"/>
              </w:rPr>
              <w:t>lve 3bis</w:t>
            </w:r>
            <w:r w:rsidRPr="003131BB">
              <w:rPr>
                <w:sz w:val="20"/>
                <w:szCs w:val="20"/>
                <w:lang w:val="es-ES" w:eastAsia="zh-CN"/>
              </w:rPr>
              <w:t xml:space="preserve">: </w:t>
            </w:r>
            <w:r w:rsidR="003131BB" w:rsidRPr="003131BB">
              <w:rPr>
                <w:sz w:val="20"/>
                <w:szCs w:val="20"/>
                <w:lang w:val="es-ES" w:eastAsia="zh-CN"/>
              </w:rPr>
              <w:t>que la p.i.r.e. máxima de la antena de las estaciones base IMT no sea s</w:t>
            </w:r>
            <w:r w:rsidR="003131BB">
              <w:rPr>
                <w:sz w:val="20"/>
                <w:szCs w:val="20"/>
                <w:lang w:val="es-ES" w:eastAsia="zh-CN"/>
              </w:rPr>
              <w:t>uperior a</w:t>
            </w:r>
            <w:r w:rsidRPr="003131BB">
              <w:rPr>
                <w:sz w:val="20"/>
                <w:szCs w:val="20"/>
                <w:lang w:val="es-ES"/>
              </w:rPr>
              <w:t xml:space="preserve"> 5 dBW </w:t>
            </w:r>
            <w:r w:rsidR="00D46EA9">
              <w:rPr>
                <w:sz w:val="20"/>
                <w:szCs w:val="20"/>
                <w:lang w:val="es-ES"/>
              </w:rPr>
              <w:t>para todos los ángulos de elevación por encima de 34 grados</w:t>
            </w:r>
          </w:p>
        </w:tc>
        <w:tc>
          <w:tcPr>
            <w:tcW w:w="3675" w:type="dxa"/>
          </w:tcPr>
          <w:p w14:paraId="686B03C1" w14:textId="2AC64F72" w:rsidR="00D43945" w:rsidRPr="00D46EA9" w:rsidRDefault="00D46EA9" w:rsidP="002D32CF">
            <w:pPr>
              <w:rPr>
                <w:sz w:val="20"/>
                <w:szCs w:val="20"/>
                <w:lang w:val="es-ES" w:eastAsia="zh-CN"/>
              </w:rPr>
            </w:pPr>
            <w:r w:rsidRPr="00D46EA9">
              <w:rPr>
                <w:sz w:val="20"/>
                <w:szCs w:val="20"/>
                <w:lang w:val="es-ES" w:eastAsia="zh-CN"/>
              </w:rPr>
              <w:t xml:space="preserve">La </w:t>
            </w:r>
            <w:r w:rsidR="00D43945" w:rsidRPr="00D46EA9">
              <w:rPr>
                <w:sz w:val="20"/>
                <w:szCs w:val="20"/>
                <w:lang w:val="es-ES" w:eastAsia="zh-CN"/>
              </w:rPr>
              <w:t xml:space="preserve">BR </w:t>
            </w:r>
            <w:r w:rsidRPr="00D46EA9">
              <w:rPr>
                <w:sz w:val="20"/>
                <w:szCs w:val="20"/>
                <w:lang w:val="es-ES" w:eastAsia="zh-CN"/>
              </w:rPr>
              <w:t>no dispone de medios para calcular el límite, pues</w:t>
            </w:r>
            <w:r>
              <w:rPr>
                <w:sz w:val="20"/>
                <w:szCs w:val="20"/>
                <w:lang w:val="es-ES" w:eastAsia="zh-CN"/>
              </w:rPr>
              <w:t xml:space="preserve">, en virtud del Apéndice </w:t>
            </w:r>
            <w:r w:rsidRPr="00D46EA9">
              <w:rPr>
                <w:b/>
                <w:bCs/>
                <w:sz w:val="20"/>
                <w:szCs w:val="20"/>
                <w:lang w:val="es-ES" w:eastAsia="zh-CN"/>
              </w:rPr>
              <w:t>4</w:t>
            </w:r>
            <w:r>
              <w:rPr>
                <w:sz w:val="20"/>
                <w:szCs w:val="20"/>
                <w:lang w:val="es-ES" w:eastAsia="zh-CN"/>
              </w:rPr>
              <w:t xml:space="preserve"> del RR, no se exige para la notificación el diagrama de antena en el plano vertical</w:t>
            </w:r>
            <w:r w:rsidR="00D43945" w:rsidRPr="00D46EA9">
              <w:rPr>
                <w:rFonts w:cs="Times New Roman"/>
                <w:iCs/>
                <w:sz w:val="20"/>
                <w:szCs w:val="20"/>
                <w:lang w:val="es-ES"/>
              </w:rPr>
              <w:t>.</w:t>
            </w:r>
          </w:p>
        </w:tc>
        <w:tc>
          <w:tcPr>
            <w:tcW w:w="3561" w:type="dxa"/>
          </w:tcPr>
          <w:p w14:paraId="6C7BE98A" w14:textId="2C1F2C75" w:rsidR="00D43945" w:rsidRPr="00D46EA9" w:rsidRDefault="00D43945" w:rsidP="002D32CF">
            <w:pPr>
              <w:rPr>
                <w:sz w:val="20"/>
                <w:szCs w:val="20"/>
                <w:lang w:val="es-ES"/>
              </w:rPr>
            </w:pPr>
            <w:r w:rsidRPr="00D46EA9">
              <w:rPr>
                <w:sz w:val="20"/>
                <w:szCs w:val="20"/>
                <w:lang w:val="es-ES"/>
              </w:rPr>
              <w:t>1.</w:t>
            </w:r>
            <w:r w:rsidR="00D46EA9" w:rsidRPr="00D46EA9">
              <w:rPr>
                <w:sz w:val="20"/>
                <w:szCs w:val="20"/>
                <w:lang w:val="es-ES"/>
              </w:rPr>
              <w:t>Hacer obligatoria la notificación del diagrama de antena de las estaciones ba</w:t>
            </w:r>
            <w:r w:rsidR="00D46EA9">
              <w:rPr>
                <w:sz w:val="20"/>
                <w:szCs w:val="20"/>
                <w:lang w:val="es-ES"/>
              </w:rPr>
              <w:t>se IMT en el plano vertical (para sistemas de antena no adaptables</w:t>
            </w:r>
            <w:r w:rsidRPr="00D46EA9">
              <w:rPr>
                <w:sz w:val="20"/>
                <w:szCs w:val="20"/>
                <w:lang w:val="es-ES"/>
              </w:rPr>
              <w:t>)</w:t>
            </w:r>
            <w:r w:rsidRPr="00D46EA9">
              <w:rPr>
                <w:rFonts w:cs="Times New Roman"/>
                <w:sz w:val="20"/>
                <w:szCs w:val="20"/>
                <w:lang w:val="es-ES"/>
              </w:rPr>
              <w:t>, O</w:t>
            </w:r>
          </w:p>
          <w:p w14:paraId="68BB3895" w14:textId="0E7D3775" w:rsidR="00D43945" w:rsidRPr="00D46EA9" w:rsidRDefault="00D43945" w:rsidP="002D32CF">
            <w:pPr>
              <w:rPr>
                <w:sz w:val="20"/>
                <w:szCs w:val="20"/>
                <w:lang w:val="es-ES" w:eastAsia="zh-CN"/>
              </w:rPr>
            </w:pPr>
            <w:r w:rsidRPr="00D46EA9">
              <w:rPr>
                <w:sz w:val="20"/>
                <w:szCs w:val="20"/>
                <w:lang w:val="es-ES"/>
              </w:rPr>
              <w:t xml:space="preserve">2. </w:t>
            </w:r>
            <w:r w:rsidR="00D46EA9" w:rsidRPr="00D46EA9">
              <w:rPr>
                <w:sz w:val="20"/>
                <w:szCs w:val="20"/>
                <w:lang w:val="es-ES"/>
              </w:rPr>
              <w:t xml:space="preserve">compromiso de la administración notificante de cumplir con este </w:t>
            </w:r>
            <w:r w:rsidR="00D46EA9">
              <w:rPr>
                <w:sz w:val="20"/>
                <w:szCs w:val="20"/>
                <w:lang w:val="es-ES"/>
              </w:rPr>
              <w:t>límite</w:t>
            </w:r>
            <w:r w:rsidRPr="00D46EA9">
              <w:rPr>
                <w:rFonts w:cs="Times New Roman"/>
                <w:iCs/>
                <w:sz w:val="20"/>
                <w:szCs w:val="20"/>
                <w:lang w:val="es-ES"/>
              </w:rPr>
              <w:t>.</w:t>
            </w:r>
          </w:p>
        </w:tc>
      </w:tr>
      <w:tr w:rsidR="007B2F35" w:rsidRPr="004652EA" w14:paraId="3AA11F2A" w14:textId="77777777" w:rsidTr="007D6727">
        <w:tc>
          <w:tcPr>
            <w:tcW w:w="779" w:type="dxa"/>
            <w:vMerge/>
          </w:tcPr>
          <w:p w14:paraId="706D8E2B" w14:textId="77777777" w:rsidR="00D43945" w:rsidRPr="00D46EA9" w:rsidRDefault="00D43945" w:rsidP="002D32CF">
            <w:pPr>
              <w:rPr>
                <w:lang w:val="es-ES" w:eastAsia="zh-CN"/>
              </w:rPr>
            </w:pPr>
          </w:p>
        </w:tc>
        <w:tc>
          <w:tcPr>
            <w:tcW w:w="1116" w:type="dxa"/>
            <w:vMerge/>
          </w:tcPr>
          <w:p w14:paraId="35F407D3" w14:textId="77777777" w:rsidR="00D43945" w:rsidRPr="00D46EA9" w:rsidRDefault="00D43945" w:rsidP="002D32CF">
            <w:pPr>
              <w:rPr>
                <w:lang w:val="es-ES" w:eastAsia="zh-CN"/>
              </w:rPr>
            </w:pPr>
          </w:p>
        </w:tc>
        <w:tc>
          <w:tcPr>
            <w:tcW w:w="4904" w:type="dxa"/>
          </w:tcPr>
          <w:p w14:paraId="6DDCFB66" w14:textId="731658F9" w:rsidR="00D43945" w:rsidRPr="00D46EA9" w:rsidRDefault="00D43945" w:rsidP="002D32CF">
            <w:pPr>
              <w:rPr>
                <w:sz w:val="20"/>
                <w:szCs w:val="20"/>
                <w:lang w:val="es-ES" w:eastAsia="zh-CN"/>
              </w:rPr>
            </w:pPr>
            <w:r w:rsidRPr="00D46EA9">
              <w:rPr>
                <w:i/>
                <w:iCs/>
                <w:sz w:val="20"/>
                <w:szCs w:val="20"/>
                <w:lang w:val="es-ES" w:eastAsia="zh-CN"/>
              </w:rPr>
              <w:t>res</w:t>
            </w:r>
            <w:r w:rsidR="00D46EA9" w:rsidRPr="00D46EA9">
              <w:rPr>
                <w:i/>
                <w:iCs/>
                <w:sz w:val="20"/>
                <w:szCs w:val="20"/>
                <w:lang w:val="es-ES" w:eastAsia="zh-CN"/>
              </w:rPr>
              <w:t>ue</w:t>
            </w:r>
            <w:r w:rsidRPr="00D46EA9">
              <w:rPr>
                <w:i/>
                <w:iCs/>
                <w:sz w:val="20"/>
                <w:szCs w:val="20"/>
                <w:lang w:val="es-ES" w:eastAsia="zh-CN"/>
              </w:rPr>
              <w:t>lve 4</w:t>
            </w:r>
            <w:r w:rsidRPr="00D46EA9">
              <w:rPr>
                <w:sz w:val="20"/>
                <w:szCs w:val="20"/>
                <w:lang w:val="es-ES" w:eastAsia="zh-CN"/>
              </w:rPr>
              <w:t>:</w:t>
            </w:r>
            <w:r w:rsidRPr="00D46EA9">
              <w:rPr>
                <w:sz w:val="20"/>
                <w:szCs w:val="20"/>
                <w:lang w:val="es-ES"/>
              </w:rPr>
              <w:t xml:space="preserve"> </w:t>
            </w:r>
            <w:r w:rsidR="00D46EA9" w:rsidRPr="00D46EA9">
              <w:rPr>
                <w:sz w:val="20"/>
                <w:szCs w:val="20"/>
                <w:lang w:val="es-ES"/>
              </w:rPr>
              <w:t xml:space="preserve">que para proteger el servicio de exploración de la Tierra por satélite (SETS) (pasivo), el nivel de emisiones no deseadas de </w:t>
            </w:r>
            <w:r w:rsidR="00D46EA9">
              <w:rPr>
                <w:sz w:val="20"/>
                <w:szCs w:val="20"/>
                <w:lang w:val="es-ES"/>
              </w:rPr>
              <w:t>cada estación base</w:t>
            </w:r>
            <w:r w:rsidRPr="00D46EA9">
              <w:rPr>
                <w:sz w:val="20"/>
                <w:szCs w:val="20"/>
                <w:lang w:val="es-ES"/>
              </w:rPr>
              <w:t xml:space="preserve"> IMT </w:t>
            </w:r>
            <w:r w:rsidR="00D46EA9">
              <w:rPr>
                <w:sz w:val="20"/>
                <w:szCs w:val="20"/>
                <w:lang w:val="es-ES"/>
              </w:rPr>
              <w:t>no supere los</w:t>
            </w:r>
            <w:r w:rsidRPr="00D46EA9">
              <w:rPr>
                <w:sz w:val="20"/>
                <w:szCs w:val="20"/>
                <w:lang w:val="es-ES"/>
              </w:rPr>
              <w:t xml:space="preserve"> −43</w:t>
            </w:r>
            <w:r w:rsidR="00D46EA9">
              <w:rPr>
                <w:sz w:val="20"/>
                <w:szCs w:val="20"/>
                <w:lang w:val="es-ES"/>
              </w:rPr>
              <w:t>/por determinar</w:t>
            </w:r>
            <w:r w:rsidRPr="00D46EA9">
              <w:rPr>
                <w:sz w:val="20"/>
                <w:szCs w:val="20"/>
                <w:lang w:val="es-ES"/>
              </w:rPr>
              <w:t xml:space="preserve"> dBW</w:t>
            </w:r>
            <w:r w:rsidR="00D46EA9">
              <w:rPr>
                <w:sz w:val="20"/>
                <w:szCs w:val="20"/>
                <w:lang w:val="es-ES"/>
              </w:rPr>
              <w:t xml:space="preserve"> en la banda de frecuencias</w:t>
            </w:r>
            <w:r w:rsidRPr="00D46EA9">
              <w:rPr>
                <w:sz w:val="20"/>
                <w:szCs w:val="20"/>
                <w:lang w:val="es-ES"/>
              </w:rPr>
              <w:t xml:space="preserve"> 10</w:t>
            </w:r>
            <w:r w:rsidR="00D46EA9">
              <w:rPr>
                <w:sz w:val="20"/>
                <w:szCs w:val="20"/>
                <w:lang w:val="es-ES"/>
              </w:rPr>
              <w:t>,</w:t>
            </w:r>
            <w:r w:rsidRPr="00D46EA9">
              <w:rPr>
                <w:sz w:val="20"/>
                <w:szCs w:val="20"/>
                <w:lang w:val="es-ES"/>
              </w:rPr>
              <w:t>6-10</w:t>
            </w:r>
            <w:r w:rsidR="00D46EA9">
              <w:rPr>
                <w:sz w:val="20"/>
                <w:szCs w:val="20"/>
                <w:lang w:val="es-ES"/>
              </w:rPr>
              <w:t>,</w:t>
            </w:r>
            <w:r w:rsidRPr="00D46EA9">
              <w:rPr>
                <w:sz w:val="20"/>
                <w:szCs w:val="20"/>
                <w:lang w:val="es-ES"/>
              </w:rPr>
              <w:t>7 GHz</w:t>
            </w:r>
          </w:p>
        </w:tc>
        <w:tc>
          <w:tcPr>
            <w:tcW w:w="3675" w:type="dxa"/>
            <w:vMerge w:val="restart"/>
          </w:tcPr>
          <w:p w14:paraId="51A55869" w14:textId="5B6D1444" w:rsidR="00D43945" w:rsidRPr="00D46EA9" w:rsidRDefault="00D46EA9" w:rsidP="002D32CF">
            <w:pPr>
              <w:rPr>
                <w:sz w:val="20"/>
                <w:szCs w:val="20"/>
                <w:lang w:val="es-ES"/>
              </w:rPr>
            </w:pPr>
            <w:r w:rsidRPr="00D46EA9">
              <w:rPr>
                <w:sz w:val="20"/>
                <w:szCs w:val="20"/>
                <w:lang w:val="es-ES" w:eastAsia="zh-CN"/>
              </w:rPr>
              <w:t xml:space="preserve">La BR no dispone de medios para examinar el límite de emisiones no deseadas, pues no se </w:t>
            </w:r>
            <w:r>
              <w:rPr>
                <w:sz w:val="20"/>
                <w:szCs w:val="20"/>
                <w:lang w:val="es-ES" w:eastAsia="zh-CN"/>
              </w:rPr>
              <w:t>notifica el nivel de emisiones fuera de la banda principal</w:t>
            </w:r>
            <w:r w:rsidR="00D43945" w:rsidRPr="00D46EA9">
              <w:rPr>
                <w:sz w:val="20"/>
                <w:szCs w:val="20"/>
                <w:lang w:val="es-ES"/>
              </w:rPr>
              <w:t>.</w:t>
            </w:r>
          </w:p>
          <w:p w14:paraId="4F3DA4C3" w14:textId="77777777" w:rsidR="00D43945" w:rsidRPr="00D46EA9" w:rsidRDefault="00D43945" w:rsidP="002D32CF">
            <w:pPr>
              <w:rPr>
                <w:sz w:val="20"/>
                <w:szCs w:val="20"/>
                <w:lang w:val="es-ES" w:eastAsia="zh-CN"/>
              </w:rPr>
            </w:pPr>
          </w:p>
        </w:tc>
        <w:tc>
          <w:tcPr>
            <w:tcW w:w="3561" w:type="dxa"/>
            <w:vMerge w:val="restart"/>
          </w:tcPr>
          <w:p w14:paraId="0AE6A6E8" w14:textId="56F76C42" w:rsidR="00D43945" w:rsidRPr="00D46EA9" w:rsidRDefault="00D46EA9" w:rsidP="002D32CF">
            <w:pPr>
              <w:rPr>
                <w:rFonts w:cs="Times New Roman"/>
                <w:iCs/>
                <w:sz w:val="20"/>
                <w:szCs w:val="20"/>
                <w:lang w:val="es-ES"/>
              </w:rPr>
            </w:pPr>
            <w:r w:rsidRPr="00D46EA9">
              <w:rPr>
                <w:rFonts w:cs="Times New Roman"/>
                <w:iCs/>
                <w:sz w:val="20"/>
                <w:szCs w:val="20"/>
                <w:lang w:val="es-ES"/>
              </w:rPr>
              <w:t xml:space="preserve">Compromiso de la administración notificante de cumplir con este </w:t>
            </w:r>
            <w:r>
              <w:rPr>
                <w:rFonts w:cs="Times New Roman"/>
                <w:iCs/>
                <w:sz w:val="20"/>
                <w:szCs w:val="20"/>
                <w:lang w:val="es-ES"/>
              </w:rPr>
              <w:t>límite</w:t>
            </w:r>
            <w:r w:rsidR="00D43945" w:rsidRPr="00D46EA9">
              <w:rPr>
                <w:rFonts w:cs="Times New Roman"/>
                <w:iCs/>
                <w:sz w:val="20"/>
                <w:szCs w:val="20"/>
                <w:lang w:val="es-ES"/>
              </w:rPr>
              <w:t>.</w:t>
            </w:r>
          </w:p>
          <w:p w14:paraId="4D9DD27F" w14:textId="77777777" w:rsidR="00D43945" w:rsidRPr="00D46EA9" w:rsidRDefault="00D43945" w:rsidP="002D32CF">
            <w:pPr>
              <w:rPr>
                <w:lang w:val="es-ES" w:eastAsia="zh-CN"/>
              </w:rPr>
            </w:pPr>
          </w:p>
        </w:tc>
      </w:tr>
      <w:tr w:rsidR="007B2F35" w:rsidRPr="004652EA" w14:paraId="49426D11" w14:textId="77777777" w:rsidTr="007D6727">
        <w:trPr>
          <w:trHeight w:val="1860"/>
        </w:trPr>
        <w:tc>
          <w:tcPr>
            <w:tcW w:w="779" w:type="dxa"/>
            <w:vMerge/>
          </w:tcPr>
          <w:p w14:paraId="52355D9B" w14:textId="77777777" w:rsidR="00D43945" w:rsidRPr="00D46EA9" w:rsidRDefault="00D43945" w:rsidP="002D32CF">
            <w:pPr>
              <w:rPr>
                <w:lang w:val="es-ES" w:eastAsia="zh-CN"/>
              </w:rPr>
            </w:pPr>
          </w:p>
        </w:tc>
        <w:tc>
          <w:tcPr>
            <w:tcW w:w="1116" w:type="dxa"/>
            <w:vMerge/>
          </w:tcPr>
          <w:p w14:paraId="6454EADC" w14:textId="77777777" w:rsidR="00D43945" w:rsidRPr="00D46EA9" w:rsidRDefault="00D43945" w:rsidP="002D32CF">
            <w:pPr>
              <w:rPr>
                <w:lang w:val="es-ES" w:eastAsia="zh-CN"/>
              </w:rPr>
            </w:pPr>
          </w:p>
        </w:tc>
        <w:tc>
          <w:tcPr>
            <w:tcW w:w="4904" w:type="dxa"/>
          </w:tcPr>
          <w:p w14:paraId="28C2D4D0" w14:textId="03D95DF6" w:rsidR="00D43945" w:rsidRPr="00D46EA9" w:rsidRDefault="00D43945" w:rsidP="002D32CF">
            <w:pPr>
              <w:rPr>
                <w:sz w:val="20"/>
                <w:szCs w:val="20"/>
                <w:lang w:val="es-ES" w:eastAsia="zh-CN"/>
              </w:rPr>
            </w:pPr>
            <w:r w:rsidRPr="00D46EA9">
              <w:rPr>
                <w:i/>
                <w:iCs/>
                <w:sz w:val="20"/>
                <w:szCs w:val="20"/>
                <w:lang w:val="es-ES" w:eastAsia="zh-CN"/>
              </w:rPr>
              <w:t>res</w:t>
            </w:r>
            <w:r w:rsidR="00D46EA9" w:rsidRPr="00D46EA9">
              <w:rPr>
                <w:i/>
                <w:iCs/>
                <w:sz w:val="20"/>
                <w:szCs w:val="20"/>
                <w:lang w:val="es-ES" w:eastAsia="zh-CN"/>
              </w:rPr>
              <w:t>ue</w:t>
            </w:r>
            <w:r w:rsidRPr="00D46EA9">
              <w:rPr>
                <w:i/>
                <w:iCs/>
                <w:sz w:val="20"/>
                <w:szCs w:val="20"/>
                <w:lang w:val="es-ES" w:eastAsia="zh-CN"/>
              </w:rPr>
              <w:t>lve 5</w:t>
            </w:r>
            <w:r w:rsidRPr="00D46EA9">
              <w:rPr>
                <w:sz w:val="20"/>
                <w:szCs w:val="20"/>
                <w:lang w:val="es-ES" w:eastAsia="zh-CN"/>
              </w:rPr>
              <w:t>:</w:t>
            </w:r>
            <w:r w:rsidRPr="00D46EA9">
              <w:rPr>
                <w:sz w:val="20"/>
                <w:szCs w:val="20"/>
                <w:lang w:val="es-ES"/>
              </w:rPr>
              <w:t xml:space="preserve"> </w:t>
            </w:r>
            <w:r w:rsidR="00D46EA9" w:rsidRPr="00D46EA9">
              <w:rPr>
                <w:sz w:val="20"/>
                <w:szCs w:val="20"/>
                <w:lang w:val="es-ES"/>
              </w:rPr>
              <w:t>que para proteger el servicio de exploración de la Tierra por satélite (SETS) (pasivo), el nivel de emisiones no deseadas de ca</w:t>
            </w:r>
            <w:r w:rsidR="00D46EA9">
              <w:rPr>
                <w:sz w:val="20"/>
                <w:szCs w:val="20"/>
                <w:lang w:val="es-ES"/>
              </w:rPr>
              <w:t>da equipo de usuario IMT no supere los</w:t>
            </w:r>
            <w:r w:rsidRPr="00D46EA9">
              <w:rPr>
                <w:sz w:val="20"/>
                <w:szCs w:val="20"/>
                <w:lang w:val="es-ES"/>
              </w:rPr>
              <w:t xml:space="preserve"> −41</w:t>
            </w:r>
            <w:r w:rsidR="00D46EA9">
              <w:rPr>
                <w:sz w:val="20"/>
                <w:szCs w:val="20"/>
                <w:lang w:val="es-ES"/>
              </w:rPr>
              <w:t>/por determinar</w:t>
            </w:r>
            <w:r w:rsidRPr="00D46EA9">
              <w:rPr>
                <w:sz w:val="20"/>
                <w:szCs w:val="20"/>
                <w:lang w:val="es-ES"/>
              </w:rPr>
              <w:t xml:space="preserve"> dBW</w:t>
            </w:r>
            <w:r w:rsidR="00D46EA9">
              <w:rPr>
                <w:sz w:val="20"/>
                <w:szCs w:val="20"/>
                <w:lang w:val="es-ES"/>
              </w:rPr>
              <w:t xml:space="preserve"> en la banda de frecuencias</w:t>
            </w:r>
            <w:r w:rsidRPr="00D46EA9">
              <w:rPr>
                <w:sz w:val="20"/>
                <w:szCs w:val="20"/>
                <w:lang w:val="es-ES"/>
              </w:rPr>
              <w:t xml:space="preserve"> 10</w:t>
            </w:r>
            <w:r w:rsidR="00D46EA9">
              <w:rPr>
                <w:sz w:val="20"/>
                <w:szCs w:val="20"/>
                <w:lang w:val="es-ES"/>
              </w:rPr>
              <w:t>,</w:t>
            </w:r>
            <w:r w:rsidRPr="00D46EA9">
              <w:rPr>
                <w:sz w:val="20"/>
                <w:szCs w:val="20"/>
                <w:lang w:val="es-ES"/>
              </w:rPr>
              <w:t>6-10</w:t>
            </w:r>
            <w:r w:rsidR="00D46EA9">
              <w:rPr>
                <w:sz w:val="20"/>
                <w:szCs w:val="20"/>
                <w:lang w:val="es-ES"/>
              </w:rPr>
              <w:t>,</w:t>
            </w:r>
            <w:r w:rsidRPr="00D46EA9">
              <w:rPr>
                <w:sz w:val="20"/>
                <w:szCs w:val="20"/>
                <w:lang w:val="es-ES"/>
              </w:rPr>
              <w:t>7 GHz</w:t>
            </w:r>
          </w:p>
          <w:p w14:paraId="556AEFB3" w14:textId="63F182D4" w:rsidR="00D43945" w:rsidRPr="00D46EA9" w:rsidRDefault="00D43945" w:rsidP="002D32CF">
            <w:pPr>
              <w:rPr>
                <w:sz w:val="20"/>
                <w:szCs w:val="20"/>
                <w:lang w:val="es-ES" w:eastAsia="zh-CN"/>
              </w:rPr>
            </w:pPr>
            <w:r w:rsidRPr="00CA5590">
              <w:rPr>
                <w:i/>
                <w:iCs/>
                <w:sz w:val="20"/>
                <w:szCs w:val="20"/>
                <w:lang w:val="es-ES" w:eastAsia="zh-CN"/>
              </w:rPr>
              <w:t>res</w:t>
            </w:r>
            <w:r w:rsidR="00D46EA9" w:rsidRPr="00CA5590">
              <w:rPr>
                <w:i/>
                <w:iCs/>
                <w:sz w:val="20"/>
                <w:szCs w:val="20"/>
                <w:lang w:val="es-ES" w:eastAsia="zh-CN"/>
              </w:rPr>
              <w:t>ue</w:t>
            </w:r>
            <w:r w:rsidRPr="00CA5590">
              <w:rPr>
                <w:i/>
                <w:iCs/>
                <w:sz w:val="20"/>
                <w:szCs w:val="20"/>
                <w:lang w:val="es-ES" w:eastAsia="zh-CN"/>
              </w:rPr>
              <w:t>lve 6</w:t>
            </w:r>
            <w:r w:rsidRPr="00CA5590">
              <w:rPr>
                <w:sz w:val="20"/>
                <w:szCs w:val="20"/>
                <w:lang w:val="es-ES" w:eastAsia="zh-CN"/>
              </w:rPr>
              <w:t>:</w:t>
            </w:r>
            <w:r w:rsidRPr="00CA5590">
              <w:rPr>
                <w:sz w:val="20"/>
                <w:szCs w:val="20"/>
                <w:lang w:val="es-ES"/>
              </w:rPr>
              <w:t xml:space="preserve"> </w:t>
            </w:r>
            <w:r w:rsidR="00D46EA9" w:rsidRPr="00CA5590">
              <w:rPr>
                <w:sz w:val="20"/>
                <w:szCs w:val="20"/>
                <w:lang w:val="es-ES"/>
              </w:rPr>
              <w:t>que la densidad de flujo de potencia de las estaciones IMT que utilizan la banda de frecuencias 10</w:t>
            </w:r>
            <w:r w:rsidR="00DE3112" w:rsidRPr="00CA5590">
              <w:rPr>
                <w:sz w:val="20"/>
                <w:szCs w:val="20"/>
                <w:lang w:val="es-ES"/>
              </w:rPr>
              <w:noBreakHyphen/>
            </w:r>
            <w:r w:rsidR="00D46EA9" w:rsidRPr="00CA5590">
              <w:rPr>
                <w:sz w:val="20"/>
                <w:szCs w:val="20"/>
                <w:lang w:val="es-ES"/>
              </w:rPr>
              <w:t>10,5 GHz no sea superior a –167 dB(W/m2) en las estaciones de radioastronomía que utilizan la banda de frecuencias</w:t>
            </w:r>
            <w:r w:rsidRPr="00CA5590">
              <w:rPr>
                <w:sz w:val="20"/>
                <w:szCs w:val="20"/>
                <w:lang w:val="es-ES"/>
              </w:rPr>
              <w:t xml:space="preserve"> 10</w:t>
            </w:r>
            <w:r w:rsidR="00D46EA9" w:rsidRPr="00CA5590">
              <w:rPr>
                <w:sz w:val="20"/>
                <w:szCs w:val="20"/>
                <w:lang w:val="es-ES"/>
              </w:rPr>
              <w:t>,</w:t>
            </w:r>
            <w:r w:rsidRPr="00CA5590">
              <w:rPr>
                <w:sz w:val="20"/>
                <w:szCs w:val="20"/>
                <w:lang w:val="es-ES"/>
              </w:rPr>
              <w:t>68-10</w:t>
            </w:r>
            <w:r w:rsidR="00D46EA9" w:rsidRPr="00CA5590">
              <w:rPr>
                <w:sz w:val="20"/>
                <w:szCs w:val="20"/>
                <w:lang w:val="es-ES"/>
              </w:rPr>
              <w:t>,</w:t>
            </w:r>
            <w:r w:rsidRPr="00CA5590">
              <w:rPr>
                <w:sz w:val="20"/>
                <w:szCs w:val="20"/>
                <w:lang w:val="es-ES"/>
              </w:rPr>
              <w:t>7 GHz</w:t>
            </w:r>
            <w:r w:rsidRPr="00D46EA9">
              <w:rPr>
                <w:sz w:val="20"/>
                <w:szCs w:val="20"/>
                <w:lang w:val="es-ES"/>
              </w:rPr>
              <w:t xml:space="preserve"> </w:t>
            </w:r>
          </w:p>
        </w:tc>
        <w:tc>
          <w:tcPr>
            <w:tcW w:w="3675" w:type="dxa"/>
            <w:vMerge/>
          </w:tcPr>
          <w:p w14:paraId="027A9274" w14:textId="77777777" w:rsidR="00D43945" w:rsidRPr="00D46EA9" w:rsidRDefault="00D43945" w:rsidP="002D32CF">
            <w:pPr>
              <w:rPr>
                <w:lang w:val="es-ES" w:eastAsia="zh-CN"/>
              </w:rPr>
            </w:pPr>
          </w:p>
        </w:tc>
        <w:tc>
          <w:tcPr>
            <w:tcW w:w="3561" w:type="dxa"/>
            <w:vMerge/>
          </w:tcPr>
          <w:p w14:paraId="33511940" w14:textId="77777777" w:rsidR="00D43945" w:rsidRPr="00D46EA9" w:rsidRDefault="00D43945" w:rsidP="002D32CF">
            <w:pPr>
              <w:rPr>
                <w:lang w:val="es-ES" w:eastAsia="zh-CN"/>
              </w:rPr>
            </w:pPr>
          </w:p>
        </w:tc>
      </w:tr>
      <w:tr w:rsidR="007B2F35" w:rsidRPr="004652EA" w14:paraId="3D8608F9" w14:textId="77777777" w:rsidTr="007D6727">
        <w:tc>
          <w:tcPr>
            <w:tcW w:w="779" w:type="dxa"/>
            <w:vMerge w:val="restart"/>
          </w:tcPr>
          <w:p w14:paraId="145EF43A" w14:textId="77777777" w:rsidR="00D43945" w:rsidRPr="00E34869" w:rsidRDefault="00D43945" w:rsidP="002D32CF">
            <w:pPr>
              <w:rPr>
                <w:rFonts w:cs="Times New Roman"/>
                <w:sz w:val="20"/>
                <w:szCs w:val="20"/>
                <w:lang w:eastAsia="zh-CN"/>
              </w:rPr>
            </w:pPr>
            <w:r w:rsidRPr="00E34869">
              <w:rPr>
                <w:rFonts w:cs="Times New Roman"/>
                <w:sz w:val="20"/>
                <w:szCs w:val="20"/>
                <w:lang w:eastAsia="zh-CN"/>
              </w:rPr>
              <w:t>1.3</w:t>
            </w:r>
          </w:p>
        </w:tc>
        <w:tc>
          <w:tcPr>
            <w:tcW w:w="1116" w:type="dxa"/>
          </w:tcPr>
          <w:p w14:paraId="19CC20C0" w14:textId="291CC853" w:rsidR="00D43945" w:rsidRPr="000C5AE9" w:rsidRDefault="00D43945" w:rsidP="00DE3112">
            <w:pPr>
              <w:ind w:left="-57"/>
              <w:rPr>
                <w:rFonts w:cs="Times New Roman"/>
                <w:iCs/>
                <w:sz w:val="20"/>
                <w:szCs w:val="20"/>
                <w:lang w:val="es-ES"/>
              </w:rPr>
            </w:pPr>
            <w:r w:rsidRPr="000C5AE9">
              <w:rPr>
                <w:rFonts w:cs="Times New Roman"/>
                <w:iCs/>
                <w:sz w:val="20"/>
                <w:szCs w:val="20"/>
                <w:lang w:val="es-ES"/>
              </w:rPr>
              <w:t>1/1.3/5.3.1 M</w:t>
            </w:r>
            <w:r w:rsidR="00D46EA9" w:rsidRPr="000C5AE9">
              <w:rPr>
                <w:rFonts w:cs="Times New Roman"/>
                <w:iCs/>
                <w:sz w:val="20"/>
                <w:szCs w:val="20"/>
                <w:lang w:val="es-ES"/>
              </w:rPr>
              <w:t>étodo</w:t>
            </w:r>
            <w:r w:rsidRPr="000C5AE9">
              <w:rPr>
                <w:rFonts w:cs="Times New Roman"/>
                <w:iCs/>
                <w:sz w:val="20"/>
                <w:szCs w:val="20"/>
                <w:lang w:val="es-ES"/>
              </w:rPr>
              <w:t xml:space="preserve"> C, Alt. C1</w:t>
            </w:r>
          </w:p>
          <w:p w14:paraId="47112AC2" w14:textId="56D62A55" w:rsidR="00D43945" w:rsidRPr="000C5AE9" w:rsidRDefault="00D43945" w:rsidP="00DE3112">
            <w:pPr>
              <w:ind w:left="-57"/>
              <w:rPr>
                <w:rFonts w:cs="Times New Roman"/>
                <w:sz w:val="20"/>
                <w:szCs w:val="20"/>
                <w:lang w:val="es-ES"/>
              </w:rPr>
            </w:pPr>
            <w:r w:rsidRPr="000C5AE9">
              <w:rPr>
                <w:rFonts w:cs="Times New Roman"/>
                <w:sz w:val="20"/>
                <w:szCs w:val="20"/>
                <w:lang w:val="es-ES"/>
              </w:rPr>
              <w:t>1/1.3/5.3.2 M</w:t>
            </w:r>
            <w:r w:rsidR="00D46EA9" w:rsidRPr="000C5AE9">
              <w:rPr>
                <w:rFonts w:cs="Times New Roman"/>
                <w:sz w:val="20"/>
                <w:szCs w:val="20"/>
                <w:lang w:val="es-ES"/>
              </w:rPr>
              <w:t>étodo</w:t>
            </w:r>
            <w:r w:rsidRPr="000C5AE9">
              <w:rPr>
                <w:rFonts w:cs="Times New Roman"/>
                <w:sz w:val="20"/>
                <w:szCs w:val="20"/>
                <w:lang w:val="es-ES"/>
              </w:rPr>
              <w:t xml:space="preserve"> C, Alt. C2</w:t>
            </w:r>
          </w:p>
          <w:p w14:paraId="78A2397A" w14:textId="10B6D1FA" w:rsidR="00D43945" w:rsidRPr="000C5AE9" w:rsidRDefault="00D43945" w:rsidP="00DE3112">
            <w:pPr>
              <w:ind w:left="-57"/>
              <w:rPr>
                <w:rFonts w:cs="Times New Roman"/>
                <w:sz w:val="20"/>
                <w:szCs w:val="20"/>
                <w:lang w:val="es-ES"/>
              </w:rPr>
            </w:pPr>
            <w:r w:rsidRPr="000C5AE9">
              <w:rPr>
                <w:rFonts w:cs="Times New Roman"/>
                <w:sz w:val="20"/>
                <w:szCs w:val="20"/>
                <w:lang w:val="es-ES"/>
              </w:rPr>
              <w:t>1/1.3/5.5 M</w:t>
            </w:r>
            <w:r w:rsidR="00D46EA9" w:rsidRPr="000C5AE9">
              <w:rPr>
                <w:rFonts w:cs="Times New Roman"/>
                <w:sz w:val="20"/>
                <w:szCs w:val="20"/>
                <w:lang w:val="es-ES"/>
              </w:rPr>
              <w:t>étodo</w:t>
            </w:r>
            <w:r w:rsidRPr="000C5AE9">
              <w:rPr>
                <w:rFonts w:cs="Times New Roman"/>
                <w:sz w:val="20"/>
                <w:szCs w:val="20"/>
                <w:lang w:val="es-ES"/>
              </w:rPr>
              <w:t xml:space="preserve"> E1, </w:t>
            </w:r>
          </w:p>
          <w:p w14:paraId="0283F7D5" w14:textId="6D2EF6F7" w:rsidR="00D43945" w:rsidRPr="000C5AE9" w:rsidRDefault="00D43945" w:rsidP="00DE3112">
            <w:pPr>
              <w:ind w:left="-57"/>
              <w:rPr>
                <w:rFonts w:cs="Times New Roman"/>
                <w:iCs/>
                <w:sz w:val="20"/>
                <w:szCs w:val="20"/>
                <w:lang w:val="es-ES"/>
              </w:rPr>
            </w:pPr>
            <w:r w:rsidRPr="000C5AE9">
              <w:rPr>
                <w:rFonts w:cs="Times New Roman"/>
                <w:sz w:val="20"/>
                <w:szCs w:val="20"/>
                <w:lang w:val="es-ES"/>
              </w:rPr>
              <w:t>1/1.3/5.6 M</w:t>
            </w:r>
            <w:r w:rsidR="00D46EA9" w:rsidRPr="000C5AE9">
              <w:rPr>
                <w:rFonts w:cs="Times New Roman"/>
                <w:sz w:val="20"/>
                <w:szCs w:val="20"/>
                <w:lang w:val="es-ES"/>
              </w:rPr>
              <w:t>étodo</w:t>
            </w:r>
            <w:r w:rsidRPr="000C5AE9">
              <w:rPr>
                <w:rFonts w:cs="Times New Roman"/>
                <w:sz w:val="20"/>
                <w:szCs w:val="20"/>
                <w:lang w:val="es-ES"/>
              </w:rPr>
              <w:t xml:space="preserve"> E2</w:t>
            </w:r>
          </w:p>
        </w:tc>
        <w:tc>
          <w:tcPr>
            <w:tcW w:w="4904" w:type="dxa"/>
          </w:tcPr>
          <w:p w14:paraId="1BC75942" w14:textId="2E2DFA6F" w:rsidR="00D43945" w:rsidRPr="006A137B" w:rsidRDefault="00D43945" w:rsidP="002D32CF">
            <w:pPr>
              <w:pStyle w:val="enumlev1"/>
              <w:tabs>
                <w:tab w:val="clear" w:pos="1134"/>
                <w:tab w:val="left" w:pos="889"/>
              </w:tabs>
              <w:ind w:left="0" w:right="-19" w:firstLine="0"/>
              <w:rPr>
                <w:rFonts w:cs="Times New Roman"/>
                <w:iCs/>
                <w:sz w:val="20"/>
                <w:szCs w:val="20"/>
                <w:lang w:val="es-ES"/>
              </w:rPr>
            </w:pPr>
            <w:r w:rsidRPr="006A137B">
              <w:rPr>
                <w:rFonts w:cs="Times New Roman"/>
                <w:iCs/>
                <w:sz w:val="20"/>
                <w:szCs w:val="20"/>
                <w:lang w:val="es-ES"/>
              </w:rPr>
              <w:t xml:space="preserve">ADD 5.A13-C1, ADD </w:t>
            </w:r>
            <w:r w:rsidRPr="006A137B">
              <w:rPr>
                <w:rFonts w:cs="Times New Roman"/>
                <w:iCs/>
                <w:sz w:val="20"/>
                <w:szCs w:val="20"/>
                <w:lang w:val="es-ES" w:eastAsia="zh-CN"/>
              </w:rPr>
              <w:t>5.B13-C2, ADD 5.X13, ADD</w:t>
            </w:r>
            <w:r w:rsidR="00DE3112">
              <w:rPr>
                <w:rFonts w:cs="Times New Roman"/>
                <w:iCs/>
                <w:sz w:val="20"/>
                <w:szCs w:val="20"/>
                <w:lang w:val="es-ES" w:eastAsia="zh-CN"/>
              </w:rPr>
              <w:t> </w:t>
            </w:r>
            <w:r w:rsidRPr="006A137B">
              <w:rPr>
                <w:rFonts w:cs="Times New Roman"/>
                <w:iCs/>
                <w:sz w:val="20"/>
                <w:szCs w:val="20"/>
                <w:lang w:val="es-ES" w:eastAsia="zh-CN"/>
              </w:rPr>
              <w:t xml:space="preserve">5.Y13-1 </w:t>
            </w:r>
            <w:r w:rsidR="00D46EA9" w:rsidRPr="006A137B">
              <w:rPr>
                <w:rFonts w:cs="Times New Roman"/>
                <w:iCs/>
                <w:sz w:val="20"/>
                <w:szCs w:val="20"/>
                <w:lang w:val="es-ES" w:eastAsia="zh-CN"/>
              </w:rPr>
              <w:t>y</w:t>
            </w:r>
            <w:r w:rsidRPr="006A137B">
              <w:rPr>
                <w:rFonts w:cs="Times New Roman"/>
                <w:iCs/>
                <w:sz w:val="20"/>
                <w:szCs w:val="20"/>
                <w:lang w:val="es-ES" w:eastAsia="zh-CN"/>
              </w:rPr>
              <w:t xml:space="preserve"> 5.Y13-2, </w:t>
            </w:r>
            <w:r w:rsidR="00D46EA9" w:rsidRPr="006A137B">
              <w:rPr>
                <w:rFonts w:cs="Times New Roman"/>
                <w:iCs/>
                <w:sz w:val="20"/>
                <w:szCs w:val="20"/>
                <w:lang w:val="es-ES" w:eastAsia="zh-CN"/>
              </w:rPr>
              <w:t>que establecen límites de dfp en el límite del territorio de cualquier otra</w:t>
            </w:r>
            <w:r w:rsidR="006A137B" w:rsidRPr="006A137B">
              <w:rPr>
                <w:rFonts w:cs="Times New Roman"/>
                <w:iCs/>
                <w:sz w:val="20"/>
                <w:szCs w:val="20"/>
                <w:lang w:val="es-ES" w:eastAsia="zh-CN"/>
              </w:rPr>
              <w:t xml:space="preserve"> administració</w:t>
            </w:r>
            <w:r w:rsidR="006A137B">
              <w:rPr>
                <w:rFonts w:cs="Times New Roman"/>
                <w:iCs/>
                <w:sz w:val="20"/>
                <w:szCs w:val="20"/>
                <w:lang w:val="es-ES" w:eastAsia="zh-CN"/>
              </w:rPr>
              <w:t>n</w:t>
            </w:r>
            <w:r w:rsidRPr="006A137B">
              <w:rPr>
                <w:sz w:val="20"/>
                <w:szCs w:val="20"/>
                <w:lang w:val="es-ES"/>
              </w:rPr>
              <w:t>.</w:t>
            </w:r>
          </w:p>
        </w:tc>
        <w:tc>
          <w:tcPr>
            <w:tcW w:w="3675" w:type="dxa"/>
          </w:tcPr>
          <w:p w14:paraId="49B7F944" w14:textId="41CD5B8A" w:rsidR="00D43945" w:rsidRPr="006A137B" w:rsidRDefault="006A137B" w:rsidP="002D32CF">
            <w:pPr>
              <w:rPr>
                <w:rFonts w:cs="Times New Roman"/>
                <w:sz w:val="20"/>
                <w:szCs w:val="20"/>
                <w:lang w:val="es-ES" w:eastAsia="zh-CN"/>
              </w:rPr>
            </w:pPr>
            <w:r w:rsidRPr="006A137B">
              <w:rPr>
                <w:rFonts w:cs="Times New Roman"/>
                <w:sz w:val="20"/>
                <w:szCs w:val="20"/>
                <w:lang w:val="es-ES"/>
              </w:rPr>
              <w:t xml:space="preserve">Los ejemplos propuestos invocan un límite de dfp, pero no se </w:t>
            </w:r>
            <w:r>
              <w:rPr>
                <w:rFonts w:cs="Times New Roman"/>
                <w:sz w:val="20"/>
                <w:szCs w:val="20"/>
                <w:lang w:val="es-ES"/>
              </w:rPr>
              <w:t>incluyen en el Informe de la RPC</w:t>
            </w:r>
            <w:r w:rsidRPr="006A137B">
              <w:rPr>
                <w:rFonts w:cs="Times New Roman"/>
                <w:sz w:val="20"/>
                <w:szCs w:val="20"/>
                <w:lang w:val="es-ES"/>
              </w:rPr>
              <w:t xml:space="preserve"> métodos de cálculo que especifiquen el mo</w:t>
            </w:r>
            <w:r>
              <w:rPr>
                <w:rFonts w:cs="Times New Roman"/>
                <w:sz w:val="20"/>
                <w:szCs w:val="20"/>
                <w:lang w:val="es-ES"/>
              </w:rPr>
              <w:t>delo de propagación para verificar las condiciones de esas atribuciones</w:t>
            </w:r>
            <w:r w:rsidR="00D43945" w:rsidRPr="006A137B">
              <w:rPr>
                <w:rFonts w:cs="Times New Roman"/>
                <w:sz w:val="20"/>
                <w:szCs w:val="20"/>
                <w:lang w:val="es-ES"/>
              </w:rPr>
              <w:t>.</w:t>
            </w:r>
          </w:p>
        </w:tc>
        <w:tc>
          <w:tcPr>
            <w:tcW w:w="3561" w:type="dxa"/>
          </w:tcPr>
          <w:p w14:paraId="31E290B4" w14:textId="74EDCFF4" w:rsidR="00D43945" w:rsidRPr="006A137B" w:rsidRDefault="006A137B" w:rsidP="002D32CF">
            <w:pPr>
              <w:rPr>
                <w:rFonts w:cs="Times New Roman"/>
                <w:sz w:val="20"/>
                <w:szCs w:val="20"/>
                <w:lang w:val="es-ES"/>
              </w:rPr>
            </w:pPr>
            <w:r w:rsidRPr="006A137B">
              <w:rPr>
                <w:rFonts w:cs="Times New Roman"/>
                <w:sz w:val="20"/>
                <w:szCs w:val="20"/>
                <w:lang w:val="es-ES" w:eastAsia="zh-CN"/>
              </w:rPr>
              <w:t>Facilitar los métodos de cálcu</w:t>
            </w:r>
            <w:r>
              <w:rPr>
                <w:rFonts w:cs="Times New Roman"/>
                <w:sz w:val="20"/>
                <w:szCs w:val="20"/>
                <w:lang w:val="es-ES" w:eastAsia="zh-CN"/>
              </w:rPr>
              <w:t>lo</w:t>
            </w:r>
            <w:r w:rsidR="00D43945" w:rsidRPr="006A137B">
              <w:rPr>
                <w:rFonts w:cs="Times New Roman"/>
                <w:sz w:val="20"/>
                <w:szCs w:val="20"/>
                <w:lang w:val="es-ES"/>
              </w:rPr>
              <w:t>.</w:t>
            </w:r>
          </w:p>
          <w:p w14:paraId="5BD60B8D" w14:textId="73C95A60" w:rsidR="00D43945" w:rsidRPr="006A137B" w:rsidRDefault="006A137B" w:rsidP="002D32CF">
            <w:pPr>
              <w:rPr>
                <w:rFonts w:cs="Times New Roman"/>
                <w:iCs/>
                <w:sz w:val="20"/>
                <w:szCs w:val="20"/>
                <w:lang w:val="es-ES"/>
              </w:rPr>
            </w:pPr>
            <w:r w:rsidRPr="006A137B">
              <w:rPr>
                <w:rFonts w:cs="Times New Roman"/>
                <w:sz w:val="20"/>
                <w:szCs w:val="20"/>
                <w:lang w:val="es-ES"/>
              </w:rPr>
              <w:t>Alternativamente, deberá prepararse, tras la CMR-23, una Regla de Procedimiento para especi</w:t>
            </w:r>
            <w:r>
              <w:rPr>
                <w:rFonts w:cs="Times New Roman"/>
                <w:sz w:val="20"/>
                <w:szCs w:val="20"/>
                <w:lang w:val="es-ES"/>
              </w:rPr>
              <w:t>ficar los métodos</w:t>
            </w:r>
            <w:r w:rsidR="00D43945" w:rsidRPr="006A137B">
              <w:rPr>
                <w:rFonts w:cs="Times New Roman"/>
                <w:sz w:val="20"/>
                <w:szCs w:val="20"/>
                <w:lang w:val="es-ES"/>
              </w:rPr>
              <w:t>.</w:t>
            </w:r>
          </w:p>
        </w:tc>
      </w:tr>
      <w:tr w:rsidR="007B2F35" w:rsidRPr="004652EA" w14:paraId="2F480C6B" w14:textId="77777777" w:rsidTr="007D6727">
        <w:tc>
          <w:tcPr>
            <w:tcW w:w="779" w:type="dxa"/>
            <w:vMerge/>
            <w:tcBorders>
              <w:bottom w:val="single" w:sz="4" w:space="0" w:color="auto"/>
            </w:tcBorders>
          </w:tcPr>
          <w:p w14:paraId="5A130FBF" w14:textId="77777777" w:rsidR="00D43945" w:rsidRPr="006A137B" w:rsidRDefault="00D43945" w:rsidP="002D32CF">
            <w:pPr>
              <w:rPr>
                <w:sz w:val="20"/>
                <w:lang w:val="es-ES" w:eastAsia="zh-CN"/>
              </w:rPr>
            </w:pPr>
          </w:p>
        </w:tc>
        <w:tc>
          <w:tcPr>
            <w:tcW w:w="1116" w:type="dxa"/>
          </w:tcPr>
          <w:p w14:paraId="285003AE" w14:textId="641ED51F" w:rsidR="00D43945" w:rsidRPr="006A137B" w:rsidRDefault="00D43945" w:rsidP="00DE3112">
            <w:pPr>
              <w:ind w:left="-57"/>
              <w:rPr>
                <w:iCs/>
                <w:sz w:val="20"/>
                <w:lang w:val="es-ES"/>
              </w:rPr>
            </w:pPr>
            <w:bookmarkStart w:id="16" w:name="_Hlk140502479"/>
            <w:r w:rsidRPr="006A137B">
              <w:rPr>
                <w:rFonts w:cs="Times New Roman"/>
                <w:iCs/>
                <w:sz w:val="20"/>
                <w:szCs w:val="20"/>
                <w:lang w:val="es-ES"/>
              </w:rPr>
              <w:t xml:space="preserve">1/1.3/5.3.4 </w:t>
            </w:r>
            <w:r w:rsidR="006A137B" w:rsidRPr="006A137B">
              <w:rPr>
                <w:rFonts w:cs="Times New Roman"/>
                <w:iCs/>
                <w:sz w:val="20"/>
                <w:szCs w:val="20"/>
                <w:lang w:val="es-ES"/>
              </w:rPr>
              <w:t>Para el Método</w:t>
            </w:r>
            <w:r w:rsidRPr="006A137B">
              <w:rPr>
                <w:rFonts w:cs="Times New Roman"/>
                <w:iCs/>
                <w:sz w:val="20"/>
                <w:szCs w:val="20"/>
                <w:lang w:val="es-ES"/>
              </w:rPr>
              <w:t xml:space="preserve"> C, Alternativ</w:t>
            </w:r>
            <w:r w:rsidR="006A137B">
              <w:rPr>
                <w:rFonts w:cs="Times New Roman"/>
                <w:iCs/>
                <w:sz w:val="20"/>
                <w:szCs w:val="20"/>
                <w:lang w:val="es-ES"/>
              </w:rPr>
              <w:t>a</w:t>
            </w:r>
            <w:r w:rsidRPr="006A137B">
              <w:rPr>
                <w:rFonts w:cs="Times New Roman"/>
                <w:iCs/>
                <w:sz w:val="20"/>
                <w:szCs w:val="20"/>
                <w:lang w:val="es-ES"/>
              </w:rPr>
              <w:t xml:space="preserve"> C4</w:t>
            </w:r>
            <w:bookmarkEnd w:id="16"/>
          </w:p>
        </w:tc>
        <w:tc>
          <w:tcPr>
            <w:tcW w:w="4904" w:type="dxa"/>
          </w:tcPr>
          <w:p w14:paraId="20A9F644" w14:textId="6491A9D3" w:rsidR="00D43945" w:rsidRPr="00DE3112" w:rsidRDefault="00D43945" w:rsidP="002D32CF">
            <w:pPr>
              <w:pStyle w:val="enumlev1"/>
              <w:tabs>
                <w:tab w:val="clear" w:pos="1134"/>
                <w:tab w:val="left" w:pos="889"/>
              </w:tabs>
              <w:ind w:left="0" w:right="-19" w:firstLine="0"/>
              <w:rPr>
                <w:iCs/>
                <w:spacing w:val="-6"/>
                <w:sz w:val="20"/>
                <w:szCs w:val="20"/>
                <w:lang w:val="es-ES"/>
              </w:rPr>
            </w:pPr>
            <w:r w:rsidRPr="00DE3112">
              <w:rPr>
                <w:iCs/>
                <w:spacing w:val="-6"/>
                <w:sz w:val="20"/>
                <w:szCs w:val="20"/>
                <w:lang w:val="es-ES"/>
              </w:rPr>
              <w:t xml:space="preserve">ADD 5.C13-C4, </w:t>
            </w:r>
            <w:r w:rsidR="006A137B" w:rsidRPr="00DE3112">
              <w:rPr>
                <w:iCs/>
                <w:spacing w:val="-6"/>
                <w:sz w:val="20"/>
                <w:szCs w:val="20"/>
                <w:lang w:val="es-ES"/>
              </w:rPr>
              <w:t>que atribuye la banda de frecuencias</w:t>
            </w:r>
            <w:r w:rsidRPr="00DE3112">
              <w:rPr>
                <w:iCs/>
                <w:spacing w:val="-6"/>
                <w:sz w:val="20"/>
                <w:szCs w:val="20"/>
                <w:lang w:val="es-ES"/>
              </w:rPr>
              <w:t xml:space="preserve"> 3</w:t>
            </w:r>
            <w:r w:rsidR="00DE3112" w:rsidRPr="00DE3112">
              <w:rPr>
                <w:iCs/>
                <w:spacing w:val="-6"/>
                <w:sz w:val="20"/>
                <w:szCs w:val="20"/>
                <w:lang w:val="es-ES"/>
              </w:rPr>
              <w:t> </w:t>
            </w:r>
            <w:r w:rsidRPr="00DE3112">
              <w:rPr>
                <w:iCs/>
                <w:spacing w:val="-6"/>
                <w:sz w:val="20"/>
                <w:szCs w:val="20"/>
                <w:lang w:val="es-ES"/>
              </w:rPr>
              <w:t xml:space="preserve">600 – 3 800 MHz </w:t>
            </w:r>
            <w:r w:rsidR="006A137B" w:rsidRPr="00DE3112">
              <w:rPr>
                <w:iCs/>
                <w:spacing w:val="-6"/>
                <w:sz w:val="20"/>
                <w:szCs w:val="20"/>
                <w:lang w:val="es-ES"/>
              </w:rPr>
              <w:t>al servicio móvil, salvo móvil aeronáutico, con sujeción a los acuerdos obtenidos de las demás administraciones en virtud del número</w:t>
            </w:r>
            <w:r w:rsidRPr="00DE3112">
              <w:rPr>
                <w:spacing w:val="-6"/>
                <w:sz w:val="20"/>
                <w:szCs w:val="20"/>
                <w:lang w:val="es-ES"/>
              </w:rPr>
              <w:t xml:space="preserve"> </w:t>
            </w:r>
            <w:r w:rsidRPr="00DE3112">
              <w:rPr>
                <w:b/>
                <w:bCs/>
                <w:spacing w:val="-6"/>
                <w:sz w:val="20"/>
                <w:szCs w:val="20"/>
                <w:lang w:val="es-ES"/>
              </w:rPr>
              <w:t>9.21</w:t>
            </w:r>
            <w:r w:rsidRPr="00DE3112">
              <w:rPr>
                <w:spacing w:val="-6"/>
                <w:sz w:val="20"/>
                <w:szCs w:val="20"/>
                <w:lang w:val="es-ES"/>
              </w:rPr>
              <w:t>.</w:t>
            </w:r>
          </w:p>
        </w:tc>
        <w:tc>
          <w:tcPr>
            <w:tcW w:w="3675" w:type="dxa"/>
            <w:tcBorders>
              <w:bottom w:val="single" w:sz="4" w:space="0" w:color="auto"/>
            </w:tcBorders>
          </w:tcPr>
          <w:p w14:paraId="33595031" w14:textId="4D72998D" w:rsidR="00D43945" w:rsidRPr="00DE3112" w:rsidRDefault="006A137B" w:rsidP="002D32CF">
            <w:pPr>
              <w:rPr>
                <w:spacing w:val="-6"/>
                <w:sz w:val="20"/>
                <w:lang w:val="es-ES"/>
              </w:rPr>
            </w:pPr>
            <w:r w:rsidRPr="00DE3112">
              <w:rPr>
                <w:rFonts w:cs="Times New Roman"/>
                <w:spacing w:val="-6"/>
                <w:sz w:val="20"/>
                <w:szCs w:val="20"/>
                <w:lang w:val="es-ES"/>
              </w:rPr>
              <w:t>En el Informe de la RPC no se consignan los criterios para la identificación de las administraciones afectadas en virtud del procedimiento del número</w:t>
            </w:r>
            <w:r w:rsidR="00D43945" w:rsidRPr="00DE3112">
              <w:rPr>
                <w:iCs/>
                <w:spacing w:val="-6"/>
                <w:sz w:val="20"/>
                <w:lang w:val="es-ES"/>
              </w:rPr>
              <w:t xml:space="preserve"> </w:t>
            </w:r>
            <w:r w:rsidR="00D43945" w:rsidRPr="00DE3112">
              <w:rPr>
                <w:b/>
                <w:bCs/>
                <w:iCs/>
                <w:spacing w:val="-6"/>
                <w:sz w:val="20"/>
                <w:lang w:val="es-ES"/>
              </w:rPr>
              <w:t>9.21</w:t>
            </w:r>
            <w:r w:rsidRPr="00DE3112">
              <w:rPr>
                <w:iCs/>
                <w:spacing w:val="-6"/>
                <w:sz w:val="20"/>
                <w:lang w:val="es-ES"/>
              </w:rPr>
              <w:t>, los métodos de cálculo ni el modelo de propagación para verificar las condiciones de esta atribución</w:t>
            </w:r>
            <w:r w:rsidR="00D43945" w:rsidRPr="00DE3112">
              <w:rPr>
                <w:rFonts w:cs="Times New Roman"/>
                <w:spacing w:val="-6"/>
                <w:sz w:val="20"/>
                <w:szCs w:val="20"/>
                <w:lang w:val="es-ES"/>
              </w:rPr>
              <w:t>.</w:t>
            </w:r>
          </w:p>
        </w:tc>
        <w:tc>
          <w:tcPr>
            <w:tcW w:w="3561" w:type="dxa"/>
            <w:tcBorders>
              <w:bottom w:val="single" w:sz="4" w:space="0" w:color="auto"/>
            </w:tcBorders>
          </w:tcPr>
          <w:p w14:paraId="04663834" w14:textId="02D94004" w:rsidR="00D43945" w:rsidRPr="00DE3112" w:rsidRDefault="006A137B" w:rsidP="002D32CF">
            <w:pPr>
              <w:rPr>
                <w:rFonts w:cs="Times New Roman"/>
                <w:spacing w:val="-6"/>
                <w:sz w:val="20"/>
                <w:szCs w:val="20"/>
                <w:lang w:val="es-ES"/>
              </w:rPr>
            </w:pPr>
            <w:r w:rsidRPr="00DE3112">
              <w:rPr>
                <w:rFonts w:cs="Times New Roman"/>
                <w:spacing w:val="-6"/>
                <w:sz w:val="20"/>
                <w:szCs w:val="20"/>
                <w:lang w:val="es-ES" w:eastAsia="zh-CN"/>
              </w:rPr>
              <w:t>Facilitar los criterios y métodos de cálculo</w:t>
            </w:r>
            <w:r w:rsidR="00D43945" w:rsidRPr="00DE3112">
              <w:rPr>
                <w:rFonts w:cs="Times New Roman"/>
                <w:spacing w:val="-6"/>
                <w:sz w:val="20"/>
                <w:szCs w:val="20"/>
                <w:lang w:val="es-ES"/>
              </w:rPr>
              <w:t>.</w:t>
            </w:r>
          </w:p>
          <w:p w14:paraId="6086D28B" w14:textId="202F5359" w:rsidR="00D43945" w:rsidRPr="00DE3112" w:rsidRDefault="006A137B" w:rsidP="002D32CF">
            <w:pPr>
              <w:rPr>
                <w:spacing w:val="-6"/>
                <w:sz w:val="20"/>
                <w:lang w:val="es-ES" w:eastAsia="zh-CN"/>
              </w:rPr>
            </w:pPr>
            <w:r w:rsidRPr="00DE3112">
              <w:rPr>
                <w:rFonts w:cs="Times New Roman"/>
                <w:spacing w:val="-6"/>
                <w:sz w:val="20"/>
                <w:szCs w:val="20"/>
                <w:lang w:val="es-ES"/>
              </w:rPr>
              <w:t>Alternativamente, deberá prepararse, tras la CMR-23, una Regla de Procedimiento para especificar los criterios y métodos</w:t>
            </w:r>
            <w:r w:rsidR="00D43945" w:rsidRPr="00DE3112">
              <w:rPr>
                <w:rFonts w:cs="Times New Roman"/>
                <w:spacing w:val="-6"/>
                <w:sz w:val="20"/>
                <w:szCs w:val="20"/>
                <w:lang w:val="es-ES"/>
              </w:rPr>
              <w:t>.</w:t>
            </w:r>
          </w:p>
        </w:tc>
      </w:tr>
      <w:tr w:rsidR="007B2F35" w:rsidRPr="004652EA" w14:paraId="74042E9A" w14:textId="77777777" w:rsidTr="007D6727">
        <w:trPr>
          <w:trHeight w:val="64"/>
        </w:trPr>
        <w:tc>
          <w:tcPr>
            <w:tcW w:w="779" w:type="dxa"/>
            <w:vMerge w:val="restart"/>
            <w:tcBorders>
              <w:top w:val="single" w:sz="4" w:space="0" w:color="auto"/>
              <w:left w:val="single" w:sz="4" w:space="0" w:color="auto"/>
              <w:bottom w:val="nil"/>
              <w:right w:val="single" w:sz="4" w:space="0" w:color="auto"/>
            </w:tcBorders>
          </w:tcPr>
          <w:p w14:paraId="7A112A40" w14:textId="77777777" w:rsidR="00D43945" w:rsidRPr="00E34869" w:rsidRDefault="00D43945" w:rsidP="002D32CF">
            <w:pPr>
              <w:rPr>
                <w:sz w:val="20"/>
                <w:szCs w:val="20"/>
                <w:lang w:eastAsia="zh-CN"/>
              </w:rPr>
            </w:pPr>
            <w:r w:rsidRPr="00E34869">
              <w:rPr>
                <w:sz w:val="20"/>
                <w:szCs w:val="20"/>
                <w:lang w:eastAsia="zh-CN"/>
              </w:rPr>
              <w:lastRenderedPageBreak/>
              <w:t>1.4</w:t>
            </w:r>
          </w:p>
        </w:tc>
        <w:tc>
          <w:tcPr>
            <w:tcW w:w="1116" w:type="dxa"/>
            <w:vMerge w:val="restart"/>
            <w:tcBorders>
              <w:left w:val="single" w:sz="4" w:space="0" w:color="auto"/>
            </w:tcBorders>
          </w:tcPr>
          <w:p w14:paraId="7F8EE117" w14:textId="03133766" w:rsidR="00D43945" w:rsidRPr="007954E4" w:rsidRDefault="00D43945" w:rsidP="002D32CF">
            <w:pPr>
              <w:rPr>
                <w:sz w:val="20"/>
                <w:szCs w:val="20"/>
                <w:lang w:val="es-ES" w:eastAsia="zh-CN"/>
              </w:rPr>
            </w:pPr>
            <w:r w:rsidRPr="007954E4">
              <w:rPr>
                <w:iCs/>
                <w:sz w:val="20"/>
                <w:szCs w:val="20"/>
                <w:lang w:val="es-ES"/>
              </w:rPr>
              <w:t xml:space="preserve">1/1.4/5.1.5 </w:t>
            </w:r>
            <w:r w:rsidRPr="007954E4">
              <w:rPr>
                <w:rFonts w:cs="Times New Roman"/>
                <w:sz w:val="20"/>
                <w:szCs w:val="20"/>
                <w:lang w:val="es-ES" w:eastAsia="ja-JP"/>
              </w:rPr>
              <w:t>M</w:t>
            </w:r>
            <w:r w:rsidR="007954E4" w:rsidRPr="007954E4">
              <w:rPr>
                <w:rFonts w:cs="Times New Roman"/>
                <w:sz w:val="20"/>
                <w:szCs w:val="20"/>
                <w:lang w:val="es-ES" w:eastAsia="ja-JP"/>
              </w:rPr>
              <w:t>étodos</w:t>
            </w:r>
            <w:r w:rsidRPr="007954E4">
              <w:rPr>
                <w:rFonts w:cs="Times New Roman"/>
                <w:sz w:val="20"/>
                <w:szCs w:val="20"/>
                <w:lang w:val="es-ES" w:eastAsia="ja-JP"/>
              </w:rPr>
              <w:t xml:space="preserve"> A2, A3 </w:t>
            </w:r>
            <w:r w:rsidR="007954E4" w:rsidRPr="007954E4">
              <w:rPr>
                <w:rFonts w:cs="Times New Roman"/>
                <w:sz w:val="20"/>
                <w:szCs w:val="20"/>
                <w:lang w:val="es-ES" w:eastAsia="ja-JP"/>
              </w:rPr>
              <w:t>y</w:t>
            </w:r>
            <w:r w:rsidRPr="007954E4">
              <w:rPr>
                <w:rFonts w:cs="Times New Roman"/>
                <w:sz w:val="20"/>
                <w:szCs w:val="20"/>
                <w:lang w:val="es-ES" w:eastAsia="ja-JP"/>
              </w:rPr>
              <w:t xml:space="preserve"> A4</w:t>
            </w:r>
          </w:p>
          <w:p w14:paraId="275E3BB3" w14:textId="77777777" w:rsidR="00D43945" w:rsidRPr="007954E4" w:rsidRDefault="00D43945" w:rsidP="002D32CF">
            <w:pPr>
              <w:rPr>
                <w:sz w:val="20"/>
                <w:szCs w:val="20"/>
                <w:lang w:val="es-ES" w:eastAsia="zh-CN"/>
              </w:rPr>
            </w:pPr>
          </w:p>
        </w:tc>
        <w:tc>
          <w:tcPr>
            <w:tcW w:w="4904" w:type="dxa"/>
            <w:tcBorders>
              <w:right w:val="single" w:sz="4" w:space="0" w:color="auto"/>
            </w:tcBorders>
          </w:tcPr>
          <w:p w14:paraId="6524FDBE" w14:textId="65B8C34F" w:rsidR="00D43945" w:rsidRPr="00F0526C" w:rsidRDefault="007954E4" w:rsidP="002D32CF">
            <w:pPr>
              <w:pStyle w:val="enumlev1"/>
              <w:tabs>
                <w:tab w:val="clear" w:pos="1134"/>
                <w:tab w:val="left" w:pos="889"/>
              </w:tabs>
              <w:ind w:left="0" w:right="-19" w:firstLine="0"/>
              <w:rPr>
                <w:i/>
                <w:spacing w:val="-6"/>
                <w:sz w:val="20"/>
                <w:szCs w:val="20"/>
                <w:lang w:val="es-ES"/>
              </w:rPr>
            </w:pPr>
            <w:r w:rsidRPr="00F0526C">
              <w:rPr>
                <w:iCs/>
                <w:spacing w:val="-6"/>
                <w:sz w:val="20"/>
                <w:szCs w:val="20"/>
                <w:lang w:val="es-ES"/>
              </w:rPr>
              <w:t>Proyecto de nueva Resolución</w:t>
            </w:r>
            <w:r w:rsidR="00D43945" w:rsidRPr="00F0526C">
              <w:rPr>
                <w:iCs/>
                <w:spacing w:val="-6"/>
                <w:sz w:val="20"/>
                <w:szCs w:val="20"/>
                <w:lang w:val="es-ES"/>
              </w:rPr>
              <w:t xml:space="preserve"> </w:t>
            </w:r>
            <w:r w:rsidR="00D43945" w:rsidRPr="00F0526C">
              <w:rPr>
                <w:rStyle w:val="href"/>
                <w:b/>
                <w:bCs/>
                <w:spacing w:val="-6"/>
                <w:sz w:val="20"/>
                <w:szCs w:val="20"/>
                <w:lang w:val="es-ES"/>
              </w:rPr>
              <w:t>[A14-HIBS 694-960 MHZ]:</w:t>
            </w:r>
          </w:p>
          <w:p w14:paraId="5727594F" w14:textId="34BDB197" w:rsidR="00D43945" w:rsidRPr="007954E4" w:rsidRDefault="00D43945" w:rsidP="00F0526C">
            <w:pPr>
              <w:rPr>
                <w:rFonts w:eastAsia="Batang"/>
                <w:sz w:val="20"/>
                <w:szCs w:val="20"/>
                <w:lang w:val="es-ES"/>
              </w:rPr>
            </w:pPr>
            <w:r w:rsidRPr="007954E4">
              <w:rPr>
                <w:iCs/>
                <w:sz w:val="20"/>
                <w:lang w:val="es-ES"/>
              </w:rPr>
              <w:t>E</w:t>
            </w:r>
            <w:r w:rsidR="007954E4" w:rsidRPr="007954E4">
              <w:rPr>
                <w:iCs/>
                <w:sz w:val="20"/>
                <w:lang w:val="es-ES"/>
              </w:rPr>
              <w:t>jemplo</w:t>
            </w:r>
            <w:r w:rsidRPr="007954E4">
              <w:rPr>
                <w:iCs/>
                <w:sz w:val="20"/>
                <w:lang w:val="es-ES"/>
              </w:rPr>
              <w:t xml:space="preserve"> 2 </w:t>
            </w:r>
            <w:r w:rsidR="007954E4" w:rsidRPr="007954E4">
              <w:rPr>
                <w:iCs/>
                <w:sz w:val="20"/>
                <w:lang w:val="es-ES"/>
              </w:rPr>
              <w:t>para el</w:t>
            </w:r>
            <w:r w:rsidRPr="007954E4">
              <w:rPr>
                <w:i/>
                <w:sz w:val="20"/>
                <w:lang w:val="es-ES"/>
              </w:rPr>
              <w:t xml:space="preserve"> </w:t>
            </w:r>
            <w:r w:rsidRPr="007954E4">
              <w:rPr>
                <w:i/>
                <w:sz w:val="20"/>
                <w:szCs w:val="20"/>
                <w:lang w:val="es-ES"/>
              </w:rPr>
              <w:t>res</w:t>
            </w:r>
            <w:r w:rsidR="007954E4" w:rsidRPr="007954E4">
              <w:rPr>
                <w:i/>
                <w:sz w:val="20"/>
                <w:szCs w:val="20"/>
                <w:lang w:val="es-ES"/>
              </w:rPr>
              <w:t>ue</w:t>
            </w:r>
            <w:r w:rsidRPr="007954E4">
              <w:rPr>
                <w:i/>
                <w:sz w:val="20"/>
                <w:szCs w:val="20"/>
                <w:lang w:val="es-ES"/>
              </w:rPr>
              <w:t>lve</w:t>
            </w:r>
            <w:r w:rsidRPr="007954E4">
              <w:rPr>
                <w:iCs/>
                <w:sz w:val="20"/>
                <w:szCs w:val="20"/>
                <w:lang w:val="es-ES"/>
              </w:rPr>
              <w:t xml:space="preserve"> 6.3: </w:t>
            </w:r>
            <w:r w:rsidR="007954E4" w:rsidRPr="007954E4">
              <w:rPr>
                <w:iCs/>
                <w:sz w:val="20"/>
                <w:szCs w:val="20"/>
                <w:lang w:val="es-ES"/>
              </w:rPr>
              <w:t>con el fin de proteger las estaciones de radioastronomía en la banda de frecuencias</w:t>
            </w:r>
            <w:r w:rsidRPr="007954E4">
              <w:rPr>
                <w:sz w:val="20"/>
                <w:szCs w:val="20"/>
                <w:lang w:val="es-ES"/>
              </w:rPr>
              <w:t xml:space="preserve"> 1</w:t>
            </w:r>
            <w:r w:rsidR="007954E4" w:rsidRPr="007954E4">
              <w:rPr>
                <w:sz w:val="20"/>
                <w:szCs w:val="20"/>
                <w:lang w:val="es-ES"/>
              </w:rPr>
              <w:t> </w:t>
            </w:r>
            <w:r w:rsidRPr="007954E4">
              <w:rPr>
                <w:sz w:val="20"/>
                <w:szCs w:val="20"/>
                <w:lang w:val="es-ES"/>
              </w:rPr>
              <w:t>610</w:t>
            </w:r>
            <w:r w:rsidR="007954E4" w:rsidRPr="007954E4">
              <w:rPr>
                <w:sz w:val="20"/>
                <w:szCs w:val="20"/>
                <w:lang w:val="es-ES"/>
              </w:rPr>
              <w:t>,</w:t>
            </w:r>
            <w:r w:rsidRPr="007954E4">
              <w:rPr>
                <w:sz w:val="20"/>
                <w:szCs w:val="20"/>
                <w:lang w:val="es-ES"/>
              </w:rPr>
              <w:t>6-1</w:t>
            </w:r>
            <w:r w:rsidR="007954E4" w:rsidRPr="007954E4">
              <w:rPr>
                <w:sz w:val="20"/>
                <w:szCs w:val="20"/>
                <w:lang w:val="es-ES"/>
              </w:rPr>
              <w:t> </w:t>
            </w:r>
            <w:r w:rsidRPr="007954E4">
              <w:rPr>
                <w:sz w:val="20"/>
                <w:szCs w:val="20"/>
                <w:lang w:val="es-ES"/>
              </w:rPr>
              <w:t>613</w:t>
            </w:r>
            <w:r w:rsidR="007954E4" w:rsidRPr="007954E4">
              <w:rPr>
                <w:sz w:val="20"/>
                <w:szCs w:val="20"/>
                <w:lang w:val="es-ES"/>
              </w:rPr>
              <w:t>,</w:t>
            </w:r>
            <w:r w:rsidRPr="007954E4">
              <w:rPr>
                <w:sz w:val="20"/>
                <w:szCs w:val="20"/>
                <w:lang w:val="es-ES"/>
              </w:rPr>
              <w:t xml:space="preserve">8 MHz, </w:t>
            </w:r>
            <w:r w:rsidR="007954E4" w:rsidRPr="007954E4">
              <w:rPr>
                <w:sz w:val="20"/>
                <w:szCs w:val="20"/>
                <w:lang w:val="es-ES"/>
              </w:rPr>
              <w:t>la densidad de flujo de potencia (dfp) de los enlaces descendentes</w:t>
            </w:r>
            <w:r w:rsidR="007954E4">
              <w:rPr>
                <w:sz w:val="20"/>
                <w:szCs w:val="20"/>
                <w:lang w:val="es-ES"/>
              </w:rPr>
              <w:t xml:space="preserve"> de las</w:t>
            </w:r>
            <w:r w:rsidRPr="007954E4">
              <w:rPr>
                <w:sz w:val="20"/>
                <w:szCs w:val="20"/>
                <w:lang w:val="es-ES"/>
              </w:rPr>
              <w:t xml:space="preserve"> HIBS </w:t>
            </w:r>
            <w:r w:rsidR="007954E4">
              <w:rPr>
                <w:sz w:val="20"/>
                <w:szCs w:val="20"/>
                <w:lang w:val="es-ES"/>
              </w:rPr>
              <w:t>que funcionan en la banda de frecuencias</w:t>
            </w:r>
            <w:r w:rsidRPr="007954E4">
              <w:rPr>
                <w:sz w:val="20"/>
                <w:szCs w:val="20"/>
                <w:lang w:val="es-ES"/>
              </w:rPr>
              <w:t xml:space="preserve"> 805</w:t>
            </w:r>
            <w:r w:rsidR="007954E4">
              <w:rPr>
                <w:sz w:val="20"/>
                <w:szCs w:val="20"/>
                <w:lang w:val="es-ES"/>
              </w:rPr>
              <w:t>,</w:t>
            </w:r>
            <w:r w:rsidRPr="007954E4">
              <w:rPr>
                <w:sz w:val="20"/>
                <w:szCs w:val="20"/>
                <w:lang w:val="es-ES"/>
              </w:rPr>
              <w:t>3-806</w:t>
            </w:r>
            <w:r w:rsidR="007954E4">
              <w:rPr>
                <w:sz w:val="20"/>
                <w:szCs w:val="20"/>
                <w:lang w:val="es-ES"/>
              </w:rPr>
              <w:t>,</w:t>
            </w:r>
            <w:r w:rsidRPr="007954E4">
              <w:rPr>
                <w:sz w:val="20"/>
                <w:szCs w:val="20"/>
                <w:lang w:val="es-ES"/>
              </w:rPr>
              <w:t xml:space="preserve">9 MHz </w:t>
            </w:r>
            <w:r w:rsidR="007954E4">
              <w:rPr>
                <w:sz w:val="20"/>
                <w:szCs w:val="20"/>
                <w:lang w:val="es-ES"/>
              </w:rPr>
              <w:t>no superará el siguiente valor en la banda de frecuencias</w:t>
            </w:r>
            <w:r w:rsidRPr="007954E4">
              <w:rPr>
                <w:sz w:val="20"/>
                <w:szCs w:val="20"/>
                <w:lang w:val="es-ES"/>
              </w:rPr>
              <w:t xml:space="preserve"> 1</w:t>
            </w:r>
            <w:r w:rsidR="007954E4">
              <w:rPr>
                <w:sz w:val="20"/>
                <w:szCs w:val="20"/>
                <w:lang w:val="es-ES"/>
              </w:rPr>
              <w:t> </w:t>
            </w:r>
            <w:r w:rsidRPr="007954E4">
              <w:rPr>
                <w:sz w:val="20"/>
                <w:szCs w:val="20"/>
                <w:lang w:val="es-ES"/>
              </w:rPr>
              <w:t>610</w:t>
            </w:r>
            <w:r w:rsidR="007954E4">
              <w:rPr>
                <w:sz w:val="20"/>
                <w:szCs w:val="20"/>
                <w:lang w:val="es-ES"/>
              </w:rPr>
              <w:t>,</w:t>
            </w:r>
            <w:r w:rsidRPr="007954E4">
              <w:rPr>
                <w:sz w:val="20"/>
                <w:szCs w:val="20"/>
                <w:lang w:val="es-ES"/>
              </w:rPr>
              <w:t>6-1</w:t>
            </w:r>
            <w:r w:rsidR="007954E4">
              <w:rPr>
                <w:sz w:val="20"/>
                <w:szCs w:val="20"/>
                <w:lang w:val="es-ES"/>
              </w:rPr>
              <w:t> </w:t>
            </w:r>
            <w:r w:rsidRPr="007954E4">
              <w:rPr>
                <w:sz w:val="20"/>
                <w:szCs w:val="20"/>
                <w:lang w:val="es-ES"/>
              </w:rPr>
              <w:t>613</w:t>
            </w:r>
            <w:r w:rsidR="007954E4">
              <w:rPr>
                <w:sz w:val="20"/>
                <w:szCs w:val="20"/>
                <w:lang w:val="es-ES"/>
              </w:rPr>
              <w:t>,</w:t>
            </w:r>
            <w:r w:rsidRPr="007954E4">
              <w:rPr>
                <w:sz w:val="20"/>
                <w:szCs w:val="20"/>
                <w:lang w:val="es-ES"/>
              </w:rPr>
              <w:t xml:space="preserve">8 MHz </w:t>
            </w:r>
            <w:r w:rsidR="007954E4">
              <w:rPr>
                <w:sz w:val="20"/>
                <w:szCs w:val="20"/>
                <w:lang w:val="es-ES"/>
              </w:rPr>
              <w:t>en ninguna estación de radioastronomía sin el acuerdo explícito de las administraciones afectadas</w:t>
            </w:r>
            <w:r w:rsidRPr="007954E4">
              <w:rPr>
                <w:sz w:val="20"/>
                <w:szCs w:val="20"/>
                <w:lang w:val="es-ES"/>
              </w:rPr>
              <w:t xml:space="preserve">: </w:t>
            </w:r>
            <w:r w:rsidRPr="007954E4">
              <w:rPr>
                <w:rFonts w:eastAsia="Batang"/>
                <w:sz w:val="20"/>
                <w:szCs w:val="20"/>
                <w:lang w:val="es-ES"/>
              </w:rPr>
              <w:t>−194 dB(W/(m</w:t>
            </w:r>
            <w:r w:rsidRPr="007954E4">
              <w:rPr>
                <w:rFonts w:eastAsia="Batang"/>
                <w:sz w:val="20"/>
                <w:szCs w:val="20"/>
                <w:vertAlign w:val="superscript"/>
                <w:lang w:val="es-ES"/>
              </w:rPr>
              <w:t>2</w:t>
            </w:r>
            <w:r w:rsidRPr="007954E4">
              <w:rPr>
                <w:rFonts w:eastAsia="Batang"/>
                <w:sz w:val="20"/>
                <w:szCs w:val="20"/>
                <w:lang w:val="es-ES"/>
              </w:rPr>
              <w:t> · 20 kHz)</w:t>
            </w:r>
          </w:p>
        </w:tc>
        <w:tc>
          <w:tcPr>
            <w:tcW w:w="3675" w:type="dxa"/>
            <w:tcBorders>
              <w:top w:val="single" w:sz="4" w:space="0" w:color="auto"/>
              <w:left w:val="single" w:sz="4" w:space="0" w:color="auto"/>
              <w:bottom w:val="single" w:sz="4" w:space="0" w:color="auto"/>
              <w:right w:val="single" w:sz="4" w:space="0" w:color="auto"/>
            </w:tcBorders>
          </w:tcPr>
          <w:p w14:paraId="1B9A0C22" w14:textId="54F4DEDE" w:rsidR="00D43945" w:rsidRPr="007954E4" w:rsidRDefault="007954E4" w:rsidP="002D32CF">
            <w:pPr>
              <w:rPr>
                <w:lang w:val="es-ES" w:eastAsia="zh-CN"/>
              </w:rPr>
            </w:pPr>
            <w:r w:rsidRPr="00D46EA9">
              <w:rPr>
                <w:sz w:val="20"/>
                <w:szCs w:val="20"/>
                <w:lang w:val="es-ES" w:eastAsia="zh-CN"/>
              </w:rPr>
              <w:t xml:space="preserve">La BR no dispone de medios para examinar el límite de emisiones no deseadas, pues no se </w:t>
            </w:r>
            <w:r>
              <w:rPr>
                <w:sz w:val="20"/>
                <w:szCs w:val="20"/>
                <w:lang w:val="es-ES" w:eastAsia="zh-CN"/>
              </w:rPr>
              <w:t>notifica el nivel de emisiones fuera de la banda principal.</w:t>
            </w:r>
          </w:p>
        </w:tc>
        <w:tc>
          <w:tcPr>
            <w:tcW w:w="3561" w:type="dxa"/>
            <w:tcBorders>
              <w:top w:val="single" w:sz="4" w:space="0" w:color="auto"/>
              <w:left w:val="single" w:sz="4" w:space="0" w:color="auto"/>
              <w:bottom w:val="single" w:sz="4" w:space="0" w:color="auto"/>
              <w:right w:val="single" w:sz="4" w:space="0" w:color="auto"/>
            </w:tcBorders>
          </w:tcPr>
          <w:p w14:paraId="7FD0456C" w14:textId="65CAE071" w:rsidR="00D43945" w:rsidRPr="007954E4" w:rsidRDefault="007954E4" w:rsidP="002D32CF">
            <w:pPr>
              <w:rPr>
                <w:lang w:val="es-ES" w:eastAsia="zh-CN"/>
              </w:rPr>
            </w:pPr>
            <w:r w:rsidRPr="00D46EA9">
              <w:rPr>
                <w:rFonts w:cs="Times New Roman"/>
                <w:iCs/>
                <w:sz w:val="20"/>
                <w:szCs w:val="20"/>
                <w:lang w:val="es-ES"/>
              </w:rPr>
              <w:t xml:space="preserve">Compromiso de la administración notificante de cumplir con este </w:t>
            </w:r>
            <w:r>
              <w:rPr>
                <w:rFonts w:cs="Times New Roman"/>
                <w:iCs/>
                <w:sz w:val="20"/>
                <w:szCs w:val="20"/>
                <w:lang w:val="es-ES"/>
              </w:rPr>
              <w:t>límite.</w:t>
            </w:r>
          </w:p>
        </w:tc>
      </w:tr>
      <w:tr w:rsidR="007B2F35" w:rsidRPr="004652EA" w14:paraId="7058C4EF" w14:textId="77777777" w:rsidTr="007D6727">
        <w:tc>
          <w:tcPr>
            <w:tcW w:w="779" w:type="dxa"/>
            <w:vMerge/>
            <w:tcBorders>
              <w:top w:val="nil"/>
              <w:left w:val="single" w:sz="4" w:space="0" w:color="auto"/>
              <w:bottom w:val="nil"/>
              <w:right w:val="single" w:sz="4" w:space="0" w:color="auto"/>
            </w:tcBorders>
          </w:tcPr>
          <w:p w14:paraId="5F7CB936" w14:textId="77777777" w:rsidR="00D43945" w:rsidRPr="007954E4" w:rsidRDefault="00D43945" w:rsidP="002D32CF">
            <w:pPr>
              <w:rPr>
                <w:lang w:val="es-ES" w:eastAsia="zh-CN"/>
              </w:rPr>
            </w:pPr>
          </w:p>
        </w:tc>
        <w:tc>
          <w:tcPr>
            <w:tcW w:w="1116" w:type="dxa"/>
            <w:vMerge/>
            <w:tcBorders>
              <w:left w:val="single" w:sz="4" w:space="0" w:color="auto"/>
            </w:tcBorders>
          </w:tcPr>
          <w:p w14:paraId="4EDA42C7" w14:textId="77777777" w:rsidR="00D43945" w:rsidRPr="007954E4" w:rsidRDefault="00D43945" w:rsidP="002D32CF">
            <w:pPr>
              <w:rPr>
                <w:iCs/>
                <w:sz w:val="20"/>
                <w:lang w:val="es-ES"/>
              </w:rPr>
            </w:pPr>
          </w:p>
        </w:tc>
        <w:tc>
          <w:tcPr>
            <w:tcW w:w="4904" w:type="dxa"/>
            <w:tcBorders>
              <w:right w:val="single" w:sz="4" w:space="0" w:color="auto"/>
            </w:tcBorders>
          </w:tcPr>
          <w:p w14:paraId="2640B74B" w14:textId="26A48E4D" w:rsidR="00D43945" w:rsidRPr="00F0526C" w:rsidRDefault="007954E4" w:rsidP="002D32CF">
            <w:pPr>
              <w:rPr>
                <w:rFonts w:cs="Times New Roman"/>
                <w:spacing w:val="-6"/>
                <w:sz w:val="20"/>
                <w:lang w:val="es-ES"/>
              </w:rPr>
            </w:pPr>
            <w:r w:rsidRPr="00F0526C">
              <w:rPr>
                <w:iCs/>
                <w:spacing w:val="-6"/>
                <w:sz w:val="20"/>
                <w:szCs w:val="20"/>
                <w:lang w:val="es-ES"/>
              </w:rPr>
              <w:t>Proyecto de nueva Resolución</w:t>
            </w:r>
            <w:r w:rsidR="00D43945" w:rsidRPr="00F0526C">
              <w:rPr>
                <w:spacing w:val="-6"/>
                <w:sz w:val="20"/>
                <w:szCs w:val="20"/>
                <w:lang w:val="es-ES" w:eastAsia="ja-JP"/>
              </w:rPr>
              <w:t xml:space="preserve"> </w:t>
            </w:r>
            <w:r w:rsidR="00D43945" w:rsidRPr="00F0526C">
              <w:rPr>
                <w:b/>
                <w:bCs/>
                <w:spacing w:val="-6"/>
                <w:sz w:val="20"/>
                <w:szCs w:val="20"/>
                <w:lang w:val="es-ES" w:eastAsia="ja-JP"/>
              </w:rPr>
              <w:t>[A14-HIBS 694-960 MHZ]</w:t>
            </w:r>
            <w:r w:rsidR="00D43945" w:rsidRPr="00F0526C">
              <w:rPr>
                <w:b/>
                <w:bCs/>
                <w:iCs/>
                <w:spacing w:val="-6"/>
                <w:sz w:val="20"/>
                <w:szCs w:val="20"/>
                <w:lang w:val="es-ES"/>
              </w:rPr>
              <w:t xml:space="preserve"> (WRC-23)</w:t>
            </w:r>
            <w:r w:rsidR="00D43945" w:rsidRPr="00F0526C">
              <w:rPr>
                <w:iCs/>
                <w:spacing w:val="-6"/>
                <w:sz w:val="20"/>
                <w:szCs w:val="20"/>
                <w:lang w:val="es-ES"/>
              </w:rPr>
              <w:t xml:space="preserve">: </w:t>
            </w:r>
            <w:r w:rsidR="00D43945" w:rsidRPr="00F0526C">
              <w:rPr>
                <w:rFonts w:cs="Times New Roman"/>
                <w:spacing w:val="-6"/>
                <w:sz w:val="20"/>
                <w:lang w:val="es-ES" w:eastAsia="ja-JP"/>
              </w:rPr>
              <w:t>E</w:t>
            </w:r>
            <w:r w:rsidRPr="00F0526C">
              <w:rPr>
                <w:rFonts w:cs="Times New Roman"/>
                <w:spacing w:val="-6"/>
                <w:sz w:val="20"/>
                <w:lang w:val="es-ES" w:eastAsia="ja-JP"/>
              </w:rPr>
              <w:t>jemplo</w:t>
            </w:r>
            <w:r w:rsidR="00D43945" w:rsidRPr="00F0526C">
              <w:rPr>
                <w:rFonts w:cs="Times New Roman"/>
                <w:spacing w:val="-6"/>
                <w:sz w:val="20"/>
                <w:lang w:val="es-ES" w:eastAsia="ja-JP"/>
              </w:rPr>
              <w:t xml:space="preserve"> 3 </w:t>
            </w:r>
            <w:r w:rsidRPr="00F0526C">
              <w:rPr>
                <w:rFonts w:cs="Times New Roman"/>
                <w:spacing w:val="-6"/>
                <w:sz w:val="20"/>
                <w:lang w:val="es-ES" w:eastAsia="ja-JP"/>
              </w:rPr>
              <w:t xml:space="preserve">para el </w:t>
            </w:r>
            <w:r w:rsidRPr="00F0526C">
              <w:rPr>
                <w:rFonts w:cs="Times New Roman"/>
                <w:i/>
                <w:iCs/>
                <w:spacing w:val="-6"/>
                <w:sz w:val="20"/>
                <w:lang w:val="es-ES" w:eastAsia="ja-JP"/>
              </w:rPr>
              <w:t>resuelve</w:t>
            </w:r>
            <w:r w:rsidR="00D43945" w:rsidRPr="00F0526C">
              <w:rPr>
                <w:rFonts w:cs="Times New Roman"/>
                <w:spacing w:val="-6"/>
                <w:sz w:val="20"/>
                <w:lang w:val="es-ES"/>
              </w:rPr>
              <w:t xml:space="preserve"> 3; </w:t>
            </w:r>
            <w:r w:rsidR="00D43945" w:rsidRPr="00F0526C">
              <w:rPr>
                <w:iCs/>
                <w:spacing w:val="-6"/>
                <w:sz w:val="20"/>
                <w:lang w:val="es-ES"/>
              </w:rPr>
              <w:t>E</w:t>
            </w:r>
            <w:r w:rsidRPr="00F0526C">
              <w:rPr>
                <w:iCs/>
                <w:spacing w:val="-6"/>
                <w:sz w:val="20"/>
                <w:lang w:val="es-ES"/>
              </w:rPr>
              <w:t>jemplo</w:t>
            </w:r>
            <w:r w:rsidR="00F0526C" w:rsidRPr="00F0526C">
              <w:rPr>
                <w:iCs/>
                <w:spacing w:val="-6"/>
                <w:sz w:val="20"/>
                <w:lang w:val="es-ES"/>
              </w:rPr>
              <w:t> </w:t>
            </w:r>
            <w:r w:rsidR="00D43945" w:rsidRPr="00F0526C">
              <w:rPr>
                <w:spacing w:val="-6"/>
                <w:sz w:val="20"/>
                <w:lang w:val="es-ES" w:eastAsia="ja-JP"/>
              </w:rPr>
              <w:t xml:space="preserve">1 </w:t>
            </w:r>
            <w:r w:rsidRPr="00F0526C">
              <w:rPr>
                <w:spacing w:val="-6"/>
                <w:sz w:val="20"/>
                <w:lang w:val="es-ES" w:eastAsia="ja-JP"/>
              </w:rPr>
              <w:t>para el</w:t>
            </w:r>
            <w:r w:rsidR="00D43945" w:rsidRPr="00F0526C">
              <w:rPr>
                <w:i/>
                <w:spacing w:val="-6"/>
                <w:sz w:val="20"/>
                <w:lang w:val="es-ES" w:eastAsia="ja-JP"/>
              </w:rPr>
              <w:t xml:space="preserve"> </w:t>
            </w:r>
            <w:r w:rsidR="00D43945" w:rsidRPr="00F0526C">
              <w:rPr>
                <w:i/>
                <w:spacing w:val="-6"/>
                <w:sz w:val="20"/>
                <w:lang w:val="es-ES"/>
              </w:rPr>
              <w:t>res</w:t>
            </w:r>
            <w:r w:rsidRPr="00F0526C">
              <w:rPr>
                <w:i/>
                <w:spacing w:val="-6"/>
                <w:sz w:val="20"/>
                <w:lang w:val="es-ES"/>
              </w:rPr>
              <w:t>ue</w:t>
            </w:r>
            <w:r w:rsidR="00D43945" w:rsidRPr="00F0526C">
              <w:rPr>
                <w:i/>
                <w:spacing w:val="-6"/>
                <w:sz w:val="20"/>
                <w:lang w:val="es-ES"/>
              </w:rPr>
              <w:t>lve</w:t>
            </w:r>
            <w:r w:rsidR="00D43945" w:rsidRPr="00F0526C">
              <w:rPr>
                <w:iCs/>
                <w:spacing w:val="-6"/>
                <w:sz w:val="20"/>
                <w:lang w:val="es-ES"/>
              </w:rPr>
              <w:t xml:space="preserve"> 5; E</w:t>
            </w:r>
            <w:r w:rsidRPr="00F0526C">
              <w:rPr>
                <w:iCs/>
                <w:spacing w:val="-6"/>
                <w:sz w:val="20"/>
                <w:lang w:val="es-ES"/>
              </w:rPr>
              <w:t>jemplo</w:t>
            </w:r>
            <w:r w:rsidR="00D43945" w:rsidRPr="00F0526C">
              <w:rPr>
                <w:iCs/>
                <w:spacing w:val="-6"/>
                <w:sz w:val="20"/>
                <w:lang w:val="es-ES"/>
              </w:rPr>
              <w:t xml:space="preserve"> 2 </w:t>
            </w:r>
            <w:r w:rsidRPr="00F0526C">
              <w:rPr>
                <w:iCs/>
                <w:spacing w:val="-6"/>
                <w:sz w:val="20"/>
                <w:lang w:val="es-ES"/>
              </w:rPr>
              <w:t xml:space="preserve">para los </w:t>
            </w:r>
            <w:r w:rsidRPr="00F0526C">
              <w:rPr>
                <w:i/>
                <w:spacing w:val="-6"/>
                <w:sz w:val="20"/>
                <w:lang w:val="es-ES"/>
              </w:rPr>
              <w:t>resuelve</w:t>
            </w:r>
            <w:r w:rsidR="00D43945" w:rsidRPr="00F0526C">
              <w:rPr>
                <w:iCs/>
                <w:spacing w:val="-6"/>
                <w:sz w:val="20"/>
                <w:lang w:val="es-ES"/>
              </w:rPr>
              <w:t xml:space="preserve"> 4.4 </w:t>
            </w:r>
            <w:r w:rsidRPr="00F0526C">
              <w:rPr>
                <w:iCs/>
                <w:spacing w:val="-6"/>
                <w:sz w:val="20"/>
                <w:lang w:val="es-ES"/>
              </w:rPr>
              <w:t>y</w:t>
            </w:r>
            <w:r w:rsidR="00D43945" w:rsidRPr="00F0526C">
              <w:rPr>
                <w:iCs/>
                <w:spacing w:val="-6"/>
                <w:sz w:val="20"/>
                <w:lang w:val="es-ES"/>
              </w:rPr>
              <w:t xml:space="preserve"> 5; </w:t>
            </w:r>
            <w:r w:rsidR="00D43945" w:rsidRPr="00F0526C">
              <w:rPr>
                <w:rFonts w:cs="Times New Roman"/>
                <w:spacing w:val="-6"/>
                <w:sz w:val="20"/>
                <w:lang w:val="es-ES" w:eastAsia="ja-JP"/>
              </w:rPr>
              <w:t>E</w:t>
            </w:r>
            <w:r w:rsidRPr="00F0526C">
              <w:rPr>
                <w:rFonts w:cs="Times New Roman"/>
                <w:spacing w:val="-6"/>
                <w:sz w:val="20"/>
                <w:lang w:val="es-ES" w:eastAsia="ja-JP"/>
              </w:rPr>
              <w:t>jemplo</w:t>
            </w:r>
            <w:r w:rsidR="00D43945" w:rsidRPr="00F0526C">
              <w:rPr>
                <w:rFonts w:cs="Times New Roman"/>
                <w:spacing w:val="-6"/>
                <w:sz w:val="20"/>
                <w:lang w:val="es-ES" w:eastAsia="ja-JP"/>
              </w:rPr>
              <w:t xml:space="preserve"> </w:t>
            </w:r>
            <w:r w:rsidR="00D43945" w:rsidRPr="00F0526C">
              <w:rPr>
                <w:rFonts w:cs="Times New Roman"/>
                <w:spacing w:val="-6"/>
                <w:sz w:val="20"/>
                <w:lang w:val="es-ES" w:eastAsia="ko-KR"/>
              </w:rPr>
              <w:t>1</w:t>
            </w:r>
            <w:r w:rsidR="00D43945" w:rsidRPr="00F0526C">
              <w:rPr>
                <w:rFonts w:cs="Times New Roman"/>
                <w:spacing w:val="-6"/>
                <w:sz w:val="20"/>
                <w:lang w:val="es-ES" w:eastAsia="ja-JP"/>
              </w:rPr>
              <w:t xml:space="preserve"> </w:t>
            </w:r>
            <w:r w:rsidRPr="00F0526C">
              <w:rPr>
                <w:rFonts w:cs="Times New Roman"/>
                <w:spacing w:val="-6"/>
                <w:sz w:val="20"/>
                <w:lang w:val="es-ES" w:eastAsia="ja-JP"/>
              </w:rPr>
              <w:t xml:space="preserve">para el </w:t>
            </w:r>
            <w:r w:rsidRPr="00F0526C">
              <w:rPr>
                <w:rFonts w:cs="Times New Roman"/>
                <w:i/>
                <w:iCs/>
                <w:spacing w:val="-6"/>
                <w:sz w:val="20"/>
                <w:lang w:val="es-ES" w:eastAsia="ja-JP"/>
              </w:rPr>
              <w:t>resuelve</w:t>
            </w:r>
            <w:r w:rsidR="00D43945" w:rsidRPr="00F0526C">
              <w:rPr>
                <w:rFonts w:cs="Times New Roman"/>
                <w:spacing w:val="-6"/>
                <w:sz w:val="20"/>
                <w:lang w:val="es-ES"/>
              </w:rPr>
              <w:t xml:space="preserve"> 6.1; E</w:t>
            </w:r>
            <w:r w:rsidRPr="00F0526C">
              <w:rPr>
                <w:rFonts w:cs="Times New Roman"/>
                <w:spacing w:val="-6"/>
                <w:sz w:val="20"/>
                <w:lang w:val="es-ES"/>
              </w:rPr>
              <w:t>jemplo</w:t>
            </w:r>
            <w:r w:rsidR="00D43945" w:rsidRPr="00F0526C">
              <w:rPr>
                <w:rFonts w:cs="Times New Roman"/>
                <w:spacing w:val="-6"/>
                <w:sz w:val="20"/>
                <w:lang w:val="es-ES"/>
              </w:rPr>
              <w:t xml:space="preserve"> 2 </w:t>
            </w:r>
            <w:r w:rsidRPr="00F0526C">
              <w:rPr>
                <w:rFonts w:cs="Times New Roman"/>
                <w:spacing w:val="-6"/>
                <w:sz w:val="20"/>
                <w:lang w:val="es-ES"/>
              </w:rPr>
              <w:t xml:space="preserve">para los </w:t>
            </w:r>
            <w:r w:rsidRPr="00F0526C">
              <w:rPr>
                <w:rFonts w:cs="Times New Roman"/>
                <w:i/>
                <w:iCs/>
                <w:spacing w:val="-6"/>
                <w:sz w:val="20"/>
                <w:lang w:val="es-ES"/>
              </w:rPr>
              <w:t>resuelve</w:t>
            </w:r>
            <w:r w:rsidR="00D43945" w:rsidRPr="00F0526C">
              <w:rPr>
                <w:rFonts w:cs="Times New Roman"/>
                <w:spacing w:val="-6"/>
                <w:sz w:val="20"/>
                <w:lang w:val="es-ES"/>
              </w:rPr>
              <w:t xml:space="preserve"> 6.1 </w:t>
            </w:r>
            <w:r w:rsidRPr="00F0526C">
              <w:rPr>
                <w:rFonts w:cs="Times New Roman"/>
                <w:spacing w:val="-6"/>
                <w:sz w:val="20"/>
                <w:lang w:val="es-ES"/>
              </w:rPr>
              <w:t>y</w:t>
            </w:r>
            <w:r w:rsidR="00D43945" w:rsidRPr="00F0526C">
              <w:rPr>
                <w:rFonts w:cs="Times New Roman"/>
                <w:spacing w:val="-6"/>
                <w:sz w:val="20"/>
                <w:lang w:val="es-ES"/>
              </w:rPr>
              <w:t xml:space="preserve"> 6.2; E</w:t>
            </w:r>
            <w:r w:rsidRPr="00F0526C">
              <w:rPr>
                <w:rFonts w:cs="Times New Roman"/>
                <w:spacing w:val="-6"/>
                <w:sz w:val="20"/>
                <w:lang w:val="es-ES"/>
              </w:rPr>
              <w:t xml:space="preserve">jemplo 3 para el </w:t>
            </w:r>
            <w:r w:rsidRPr="00F0526C">
              <w:rPr>
                <w:rFonts w:cs="Times New Roman"/>
                <w:i/>
                <w:iCs/>
                <w:spacing w:val="-6"/>
                <w:sz w:val="20"/>
                <w:lang w:val="es-ES"/>
              </w:rPr>
              <w:t>resuelve</w:t>
            </w:r>
            <w:r w:rsidR="00D43945" w:rsidRPr="00F0526C">
              <w:rPr>
                <w:rFonts w:cs="Times New Roman"/>
                <w:spacing w:val="-6"/>
                <w:sz w:val="20"/>
                <w:lang w:val="es-ES"/>
              </w:rPr>
              <w:t xml:space="preserve"> 6.1.</w:t>
            </w:r>
          </w:p>
        </w:tc>
        <w:tc>
          <w:tcPr>
            <w:tcW w:w="3675" w:type="dxa"/>
            <w:tcBorders>
              <w:top w:val="single" w:sz="4" w:space="0" w:color="auto"/>
              <w:left w:val="single" w:sz="4" w:space="0" w:color="auto"/>
              <w:bottom w:val="single" w:sz="4" w:space="0" w:color="auto"/>
              <w:right w:val="single" w:sz="4" w:space="0" w:color="auto"/>
            </w:tcBorders>
          </w:tcPr>
          <w:p w14:paraId="1BC47A69" w14:textId="77777777" w:rsidR="00D43945" w:rsidRPr="007954E4" w:rsidRDefault="00D43945" w:rsidP="002D32CF">
            <w:pPr>
              <w:rPr>
                <w:sz w:val="20"/>
                <w:szCs w:val="20"/>
                <w:lang w:val="es-ES" w:eastAsia="ja-JP"/>
              </w:rPr>
            </w:pPr>
          </w:p>
          <w:p w14:paraId="5B98D088" w14:textId="77777777" w:rsidR="00D43945" w:rsidRPr="007954E4" w:rsidRDefault="00D43945" w:rsidP="002D32CF">
            <w:pPr>
              <w:rPr>
                <w:sz w:val="20"/>
                <w:szCs w:val="20"/>
                <w:lang w:val="es-ES" w:eastAsia="ja-JP"/>
              </w:rPr>
            </w:pPr>
          </w:p>
          <w:p w14:paraId="1084C8B3" w14:textId="77777777" w:rsidR="00D43945" w:rsidRPr="007954E4" w:rsidRDefault="00D43945" w:rsidP="002D32CF">
            <w:pPr>
              <w:rPr>
                <w:sz w:val="20"/>
                <w:lang w:val="es-ES" w:eastAsia="zh-CN"/>
              </w:rPr>
            </w:pPr>
          </w:p>
        </w:tc>
        <w:tc>
          <w:tcPr>
            <w:tcW w:w="3561" w:type="dxa"/>
            <w:tcBorders>
              <w:top w:val="single" w:sz="4" w:space="0" w:color="auto"/>
              <w:left w:val="single" w:sz="4" w:space="0" w:color="auto"/>
              <w:bottom w:val="single" w:sz="4" w:space="0" w:color="auto"/>
              <w:right w:val="single" w:sz="4" w:space="0" w:color="auto"/>
            </w:tcBorders>
          </w:tcPr>
          <w:p w14:paraId="511445F4" w14:textId="77777777" w:rsidR="00D43945" w:rsidRPr="007954E4" w:rsidRDefault="00D43945" w:rsidP="002D32CF">
            <w:pPr>
              <w:rPr>
                <w:sz w:val="20"/>
                <w:szCs w:val="20"/>
                <w:lang w:val="es-ES" w:eastAsia="zh-CN"/>
              </w:rPr>
            </w:pPr>
          </w:p>
          <w:p w14:paraId="11CC940F" w14:textId="77777777" w:rsidR="00D43945" w:rsidRPr="007954E4" w:rsidRDefault="00D43945" w:rsidP="002D32CF">
            <w:pPr>
              <w:rPr>
                <w:iCs/>
                <w:sz w:val="20"/>
                <w:lang w:val="es-ES"/>
              </w:rPr>
            </w:pPr>
            <w:r w:rsidRPr="007954E4">
              <w:rPr>
                <w:sz w:val="20"/>
                <w:szCs w:val="20"/>
                <w:lang w:val="es-ES"/>
              </w:rPr>
              <w:t xml:space="preserve"> </w:t>
            </w:r>
          </w:p>
        </w:tc>
      </w:tr>
      <w:tr w:rsidR="007B2F35" w:rsidRPr="004652EA" w14:paraId="6C8C8331" w14:textId="77777777" w:rsidTr="007D6727">
        <w:tc>
          <w:tcPr>
            <w:tcW w:w="779" w:type="dxa"/>
            <w:vMerge/>
            <w:tcBorders>
              <w:top w:val="nil"/>
              <w:left w:val="single" w:sz="4" w:space="0" w:color="auto"/>
              <w:bottom w:val="nil"/>
              <w:right w:val="single" w:sz="4" w:space="0" w:color="auto"/>
            </w:tcBorders>
          </w:tcPr>
          <w:p w14:paraId="1887FB97" w14:textId="77777777" w:rsidR="00D43945" w:rsidRPr="007954E4" w:rsidRDefault="00D43945" w:rsidP="002D32CF">
            <w:pPr>
              <w:rPr>
                <w:lang w:val="es-ES" w:eastAsia="zh-CN"/>
              </w:rPr>
            </w:pPr>
          </w:p>
        </w:tc>
        <w:tc>
          <w:tcPr>
            <w:tcW w:w="1116" w:type="dxa"/>
            <w:tcBorders>
              <w:left w:val="single" w:sz="4" w:space="0" w:color="auto"/>
            </w:tcBorders>
          </w:tcPr>
          <w:p w14:paraId="33CB7F96" w14:textId="71A8DFD7" w:rsidR="00D43945" w:rsidRPr="007954E4" w:rsidRDefault="00D43945" w:rsidP="002D32CF">
            <w:pPr>
              <w:rPr>
                <w:iCs/>
                <w:sz w:val="20"/>
                <w:szCs w:val="20"/>
                <w:lang w:val="es-ES"/>
              </w:rPr>
            </w:pPr>
            <w:r w:rsidRPr="007954E4">
              <w:rPr>
                <w:iCs/>
                <w:sz w:val="20"/>
                <w:szCs w:val="20"/>
                <w:lang w:val="es-ES"/>
              </w:rPr>
              <w:t>1/1.4/5.2.5</w:t>
            </w:r>
            <w:r w:rsidRPr="007954E4">
              <w:rPr>
                <w:rFonts w:cs="Times New Roman"/>
                <w:sz w:val="20"/>
                <w:szCs w:val="20"/>
                <w:lang w:val="es-ES"/>
              </w:rPr>
              <w:t xml:space="preserve"> M</w:t>
            </w:r>
            <w:r w:rsidR="007954E4" w:rsidRPr="007954E4">
              <w:rPr>
                <w:rFonts w:cs="Times New Roman"/>
                <w:sz w:val="20"/>
                <w:szCs w:val="20"/>
                <w:lang w:val="es-ES"/>
              </w:rPr>
              <w:t>étodos</w:t>
            </w:r>
            <w:r w:rsidRPr="007954E4">
              <w:rPr>
                <w:rFonts w:cs="Times New Roman"/>
                <w:sz w:val="20"/>
                <w:szCs w:val="20"/>
                <w:lang w:val="es-ES"/>
              </w:rPr>
              <w:t xml:space="preserve"> B2, B3 </w:t>
            </w:r>
            <w:r w:rsidR="007954E4" w:rsidRPr="007954E4">
              <w:rPr>
                <w:rFonts w:cs="Times New Roman"/>
                <w:sz w:val="20"/>
                <w:szCs w:val="20"/>
                <w:lang w:val="es-ES"/>
              </w:rPr>
              <w:t>y</w:t>
            </w:r>
            <w:r w:rsidRPr="007954E4">
              <w:rPr>
                <w:rFonts w:cs="Times New Roman"/>
                <w:sz w:val="20"/>
                <w:szCs w:val="20"/>
                <w:lang w:val="es-ES"/>
              </w:rPr>
              <w:t xml:space="preserve"> B4</w:t>
            </w:r>
            <w:r w:rsidRPr="007954E4">
              <w:rPr>
                <w:iCs/>
                <w:sz w:val="20"/>
                <w:szCs w:val="20"/>
                <w:lang w:val="es-ES"/>
              </w:rPr>
              <w:t xml:space="preserve"> </w:t>
            </w:r>
          </w:p>
          <w:p w14:paraId="20EA6C05" w14:textId="3BBB5C3F" w:rsidR="00D43945" w:rsidRPr="007954E4" w:rsidRDefault="007954E4" w:rsidP="002D32CF">
            <w:pPr>
              <w:rPr>
                <w:iCs/>
                <w:sz w:val="20"/>
                <w:szCs w:val="20"/>
                <w:lang w:val="es-ES"/>
              </w:rPr>
            </w:pPr>
            <w:r w:rsidRPr="007954E4">
              <w:rPr>
                <w:iCs/>
                <w:sz w:val="20"/>
                <w:szCs w:val="20"/>
                <w:lang w:val="es-ES"/>
              </w:rPr>
              <w:t>y</w:t>
            </w:r>
          </w:p>
          <w:p w14:paraId="5C3EBD14" w14:textId="4B1BBBF0" w:rsidR="00D43945" w:rsidRPr="007954E4" w:rsidRDefault="00D43945" w:rsidP="002D32CF">
            <w:pPr>
              <w:rPr>
                <w:iCs/>
                <w:sz w:val="20"/>
                <w:lang w:val="es-ES"/>
              </w:rPr>
            </w:pPr>
            <w:r w:rsidRPr="007954E4">
              <w:rPr>
                <w:iCs/>
                <w:sz w:val="20"/>
                <w:szCs w:val="20"/>
                <w:lang w:val="es-ES"/>
              </w:rPr>
              <w:t xml:space="preserve">1/1.4/5.3.4 </w:t>
            </w:r>
            <w:r w:rsidRPr="007954E4">
              <w:rPr>
                <w:rFonts w:cs="Times New Roman"/>
                <w:sz w:val="20"/>
                <w:szCs w:val="20"/>
                <w:lang w:val="es-ES"/>
              </w:rPr>
              <w:t>M</w:t>
            </w:r>
            <w:r w:rsidR="007954E4" w:rsidRPr="007954E4">
              <w:rPr>
                <w:rFonts w:cs="Times New Roman"/>
                <w:sz w:val="20"/>
                <w:szCs w:val="20"/>
                <w:lang w:val="es-ES"/>
              </w:rPr>
              <w:t>étodos</w:t>
            </w:r>
            <w:r w:rsidRPr="007954E4">
              <w:rPr>
                <w:rFonts w:cs="Times New Roman"/>
                <w:sz w:val="20"/>
                <w:szCs w:val="20"/>
                <w:lang w:val="es-ES"/>
              </w:rPr>
              <w:t xml:space="preserve"> C2 </w:t>
            </w:r>
            <w:r w:rsidR="007954E4" w:rsidRPr="007954E4">
              <w:rPr>
                <w:rFonts w:cs="Times New Roman"/>
                <w:sz w:val="20"/>
                <w:szCs w:val="20"/>
                <w:lang w:val="es-ES"/>
              </w:rPr>
              <w:t>y</w:t>
            </w:r>
            <w:r w:rsidRPr="007954E4">
              <w:rPr>
                <w:rFonts w:cs="Times New Roman"/>
                <w:sz w:val="20"/>
                <w:szCs w:val="20"/>
                <w:lang w:val="es-ES"/>
              </w:rPr>
              <w:t xml:space="preserve"> C3</w:t>
            </w:r>
          </w:p>
        </w:tc>
        <w:tc>
          <w:tcPr>
            <w:tcW w:w="4904" w:type="dxa"/>
          </w:tcPr>
          <w:p w14:paraId="6DE88A1F" w14:textId="6B27780A" w:rsidR="00D43945" w:rsidRPr="007954E4" w:rsidRDefault="00D43945" w:rsidP="002D32CF">
            <w:pPr>
              <w:rPr>
                <w:rFonts w:cs="Times New Roman"/>
                <w:sz w:val="20"/>
                <w:lang w:val="es-ES" w:eastAsia="ko-KR"/>
              </w:rPr>
            </w:pPr>
            <w:r w:rsidRPr="007954E4">
              <w:rPr>
                <w:iCs/>
                <w:sz w:val="20"/>
                <w:szCs w:val="20"/>
                <w:lang w:val="es-ES"/>
              </w:rPr>
              <w:t>Resolu</w:t>
            </w:r>
            <w:r w:rsidR="007954E4" w:rsidRPr="007954E4">
              <w:rPr>
                <w:iCs/>
                <w:sz w:val="20"/>
                <w:szCs w:val="20"/>
                <w:lang w:val="es-ES"/>
              </w:rPr>
              <w:t>ción</w:t>
            </w:r>
            <w:r w:rsidRPr="007954E4">
              <w:rPr>
                <w:iCs/>
                <w:sz w:val="20"/>
                <w:szCs w:val="20"/>
                <w:lang w:val="es-ES"/>
              </w:rPr>
              <w:t xml:space="preserve"> </w:t>
            </w:r>
            <w:r w:rsidRPr="007954E4">
              <w:rPr>
                <w:b/>
                <w:bCs/>
                <w:iCs/>
                <w:sz w:val="20"/>
                <w:szCs w:val="20"/>
                <w:lang w:val="es-ES"/>
              </w:rPr>
              <w:t>221 (REV.WRC-23)</w:t>
            </w:r>
            <w:r w:rsidRPr="007954E4">
              <w:rPr>
                <w:iCs/>
                <w:sz w:val="20"/>
                <w:szCs w:val="20"/>
                <w:lang w:val="es-ES"/>
              </w:rPr>
              <w:t xml:space="preserve">: </w:t>
            </w:r>
            <w:r w:rsidRPr="007954E4">
              <w:rPr>
                <w:sz w:val="20"/>
                <w:lang w:val="es-ES" w:eastAsia="ko-KR"/>
              </w:rPr>
              <w:t>E</w:t>
            </w:r>
            <w:r w:rsidR="007954E4" w:rsidRPr="007954E4">
              <w:rPr>
                <w:sz w:val="20"/>
                <w:lang w:val="es-ES" w:eastAsia="ko-KR"/>
              </w:rPr>
              <w:t>jemplo para el</w:t>
            </w:r>
            <w:r w:rsidRPr="007954E4">
              <w:rPr>
                <w:sz w:val="20"/>
                <w:lang w:val="es-ES" w:eastAsia="ko-KR"/>
              </w:rPr>
              <w:t xml:space="preserve"> </w:t>
            </w:r>
            <w:r w:rsidRPr="007954E4">
              <w:rPr>
                <w:i/>
                <w:iCs/>
                <w:sz w:val="20"/>
                <w:lang w:val="es-ES" w:eastAsia="ko-KR"/>
              </w:rPr>
              <w:t>res</w:t>
            </w:r>
            <w:r w:rsidR="007954E4" w:rsidRPr="007954E4">
              <w:rPr>
                <w:i/>
                <w:iCs/>
                <w:sz w:val="20"/>
                <w:lang w:val="es-ES" w:eastAsia="ko-KR"/>
              </w:rPr>
              <w:t>ue</w:t>
            </w:r>
            <w:r w:rsidRPr="007954E4">
              <w:rPr>
                <w:i/>
                <w:iCs/>
                <w:sz w:val="20"/>
                <w:lang w:val="es-ES" w:eastAsia="ko-KR"/>
              </w:rPr>
              <w:t xml:space="preserve">lve </w:t>
            </w:r>
            <w:r w:rsidRPr="007954E4">
              <w:rPr>
                <w:sz w:val="20"/>
                <w:lang w:val="es-ES" w:eastAsia="ko-KR"/>
              </w:rPr>
              <w:t xml:space="preserve">1.1; </w:t>
            </w:r>
            <w:r w:rsidRPr="007954E4">
              <w:rPr>
                <w:rFonts w:cs="Times New Roman"/>
                <w:sz w:val="20"/>
                <w:lang w:val="es-ES" w:eastAsia="ja-JP"/>
              </w:rPr>
              <w:t>E</w:t>
            </w:r>
            <w:r w:rsidR="007954E4" w:rsidRPr="007954E4">
              <w:rPr>
                <w:rFonts w:cs="Times New Roman"/>
                <w:sz w:val="20"/>
                <w:lang w:val="es-ES" w:eastAsia="ja-JP"/>
              </w:rPr>
              <w:t>jempl</w:t>
            </w:r>
            <w:r w:rsidR="007954E4">
              <w:rPr>
                <w:rFonts w:cs="Times New Roman"/>
                <w:sz w:val="20"/>
                <w:lang w:val="es-ES" w:eastAsia="ja-JP"/>
              </w:rPr>
              <w:t xml:space="preserve">os 1 y 3 para los </w:t>
            </w:r>
            <w:r w:rsidR="007954E4">
              <w:rPr>
                <w:rFonts w:cs="Times New Roman"/>
                <w:i/>
                <w:iCs/>
                <w:sz w:val="20"/>
                <w:lang w:val="es-ES" w:eastAsia="ja-JP"/>
              </w:rPr>
              <w:t>resuelve</w:t>
            </w:r>
            <w:r w:rsidRPr="007954E4">
              <w:rPr>
                <w:rFonts w:cs="Times New Roman"/>
                <w:sz w:val="20"/>
                <w:lang w:val="es-ES" w:eastAsia="ko-KR"/>
              </w:rPr>
              <w:t xml:space="preserve"> 1.2 </w:t>
            </w:r>
            <w:r w:rsidR="007954E4">
              <w:rPr>
                <w:rFonts w:cs="Times New Roman"/>
                <w:sz w:val="20"/>
                <w:lang w:val="es-ES" w:eastAsia="ko-KR"/>
              </w:rPr>
              <w:t>y</w:t>
            </w:r>
            <w:r w:rsidRPr="007954E4">
              <w:rPr>
                <w:rFonts w:cs="Times New Roman"/>
                <w:sz w:val="20"/>
                <w:lang w:val="es-ES" w:eastAsia="ko-KR"/>
              </w:rPr>
              <w:t xml:space="preserve"> 1.3; </w:t>
            </w:r>
            <w:r w:rsidRPr="007954E4">
              <w:rPr>
                <w:rFonts w:cs="Times New Roman"/>
                <w:sz w:val="20"/>
                <w:lang w:val="es-ES" w:eastAsia="ja-JP"/>
              </w:rPr>
              <w:t>E</w:t>
            </w:r>
            <w:r w:rsidR="007954E4">
              <w:rPr>
                <w:rFonts w:cs="Times New Roman"/>
                <w:sz w:val="20"/>
                <w:lang w:val="es-ES" w:eastAsia="ja-JP"/>
              </w:rPr>
              <w:t xml:space="preserve">jemplo 2 para el </w:t>
            </w:r>
            <w:r w:rsidR="007954E4">
              <w:rPr>
                <w:rFonts w:cs="Times New Roman"/>
                <w:i/>
                <w:iCs/>
                <w:sz w:val="20"/>
                <w:lang w:val="es-ES" w:eastAsia="ja-JP"/>
              </w:rPr>
              <w:t>resuelve</w:t>
            </w:r>
            <w:r w:rsidRPr="007954E4">
              <w:rPr>
                <w:rFonts w:cs="Times New Roman"/>
                <w:sz w:val="20"/>
                <w:lang w:val="es-ES" w:eastAsia="ko-KR"/>
              </w:rPr>
              <w:t xml:space="preserve"> 1.2</w:t>
            </w:r>
            <w:r w:rsidR="007954E4">
              <w:rPr>
                <w:rFonts w:cs="Times New Roman"/>
                <w:sz w:val="20"/>
                <w:lang w:val="es-ES" w:eastAsia="ko-KR"/>
              </w:rPr>
              <w:t>, y Ejemplos</w:t>
            </w:r>
            <w:r w:rsidRPr="007954E4">
              <w:rPr>
                <w:rFonts w:cs="Times New Roman"/>
                <w:sz w:val="20"/>
                <w:lang w:val="es-ES" w:eastAsia="ko-KR"/>
              </w:rPr>
              <w:t xml:space="preserve"> 1, 2 </w:t>
            </w:r>
            <w:r w:rsidR="007954E4">
              <w:rPr>
                <w:rFonts w:cs="Times New Roman"/>
                <w:sz w:val="20"/>
                <w:lang w:val="es-ES" w:eastAsia="ko-KR"/>
              </w:rPr>
              <w:t>y</w:t>
            </w:r>
            <w:r w:rsidRPr="007954E4">
              <w:rPr>
                <w:rFonts w:cs="Times New Roman"/>
                <w:sz w:val="20"/>
                <w:lang w:val="es-ES" w:eastAsia="ko-KR"/>
              </w:rPr>
              <w:t xml:space="preserve"> 3 </w:t>
            </w:r>
            <w:r w:rsidR="007954E4">
              <w:rPr>
                <w:rFonts w:cs="Times New Roman"/>
                <w:sz w:val="20"/>
                <w:lang w:val="es-ES" w:eastAsia="ko-KR"/>
              </w:rPr>
              <w:t xml:space="preserve">para el </w:t>
            </w:r>
            <w:r w:rsidR="007954E4">
              <w:rPr>
                <w:rFonts w:cs="Times New Roman"/>
                <w:i/>
                <w:iCs/>
                <w:sz w:val="20"/>
                <w:lang w:val="es-ES" w:eastAsia="ko-KR"/>
              </w:rPr>
              <w:t>resuelve</w:t>
            </w:r>
            <w:r w:rsidRPr="007954E4">
              <w:rPr>
                <w:rFonts w:cs="Times New Roman"/>
                <w:sz w:val="20"/>
                <w:lang w:val="es-ES" w:eastAsia="ko-KR"/>
              </w:rPr>
              <w:t xml:space="preserve"> 1.6.</w:t>
            </w:r>
          </w:p>
          <w:p w14:paraId="0D07A9A5" w14:textId="77777777" w:rsidR="00D43945" w:rsidRPr="007954E4" w:rsidRDefault="00D43945" w:rsidP="002D32CF">
            <w:pPr>
              <w:rPr>
                <w:i/>
                <w:sz w:val="20"/>
                <w:lang w:val="es-ES"/>
              </w:rPr>
            </w:pPr>
          </w:p>
        </w:tc>
        <w:tc>
          <w:tcPr>
            <w:tcW w:w="3675" w:type="dxa"/>
            <w:tcBorders>
              <w:top w:val="single" w:sz="4" w:space="0" w:color="auto"/>
            </w:tcBorders>
          </w:tcPr>
          <w:p w14:paraId="7A03E572" w14:textId="1B50DEF9" w:rsidR="00D43945" w:rsidRPr="007954E4" w:rsidRDefault="007954E4" w:rsidP="002D32CF">
            <w:pPr>
              <w:rPr>
                <w:sz w:val="20"/>
                <w:lang w:val="es-ES" w:eastAsia="zh-CN"/>
              </w:rPr>
            </w:pPr>
            <w:r w:rsidRPr="007954E4">
              <w:rPr>
                <w:sz w:val="20"/>
                <w:szCs w:val="20"/>
                <w:lang w:val="es-ES" w:eastAsia="ja-JP"/>
              </w:rPr>
              <w:t xml:space="preserve">Los ejemplos propuestos invocan un límite de dfp, pero </w:t>
            </w:r>
            <w:r>
              <w:rPr>
                <w:sz w:val="20"/>
                <w:szCs w:val="20"/>
                <w:lang w:val="es-ES" w:eastAsia="ja-JP"/>
              </w:rPr>
              <w:t>en el Informe de la RPC no se incluyen</w:t>
            </w:r>
            <w:r w:rsidRPr="007954E4">
              <w:rPr>
                <w:sz w:val="20"/>
                <w:szCs w:val="20"/>
                <w:lang w:val="es-ES" w:eastAsia="ja-JP"/>
              </w:rPr>
              <w:t xml:space="preserve"> métodos de cálculo que especifiquen el modelo de propagación, es</w:t>
            </w:r>
            <w:r>
              <w:rPr>
                <w:sz w:val="20"/>
                <w:szCs w:val="20"/>
                <w:lang w:val="es-ES" w:eastAsia="ja-JP"/>
              </w:rPr>
              <w:t xml:space="preserve"> decir, el porcentaje de tiempo y los emplazamientos, etc., para verificar las condiciones de estos </w:t>
            </w:r>
            <w:r>
              <w:rPr>
                <w:i/>
                <w:iCs/>
                <w:sz w:val="20"/>
                <w:szCs w:val="20"/>
                <w:lang w:val="es-ES" w:eastAsia="ja-JP"/>
              </w:rPr>
              <w:t>resuelve</w:t>
            </w:r>
            <w:r w:rsidR="00D43945" w:rsidRPr="007954E4">
              <w:rPr>
                <w:sz w:val="20"/>
                <w:szCs w:val="20"/>
                <w:lang w:val="es-ES"/>
              </w:rPr>
              <w:t>.</w:t>
            </w:r>
          </w:p>
        </w:tc>
        <w:tc>
          <w:tcPr>
            <w:tcW w:w="3561" w:type="dxa"/>
            <w:tcBorders>
              <w:top w:val="single" w:sz="4" w:space="0" w:color="auto"/>
            </w:tcBorders>
          </w:tcPr>
          <w:p w14:paraId="028643B3" w14:textId="3105A8C6" w:rsidR="00D43945" w:rsidRPr="007954E4" w:rsidRDefault="007954E4" w:rsidP="002D32CF">
            <w:pPr>
              <w:rPr>
                <w:sz w:val="20"/>
                <w:szCs w:val="20"/>
                <w:lang w:val="es-ES"/>
              </w:rPr>
            </w:pPr>
            <w:r w:rsidRPr="007954E4">
              <w:rPr>
                <w:sz w:val="20"/>
                <w:szCs w:val="20"/>
                <w:lang w:val="es-ES" w:eastAsia="zh-CN"/>
              </w:rPr>
              <w:t>Facilitar los métodos de cálcu</w:t>
            </w:r>
            <w:r>
              <w:rPr>
                <w:sz w:val="20"/>
                <w:szCs w:val="20"/>
                <w:lang w:val="es-ES" w:eastAsia="zh-CN"/>
              </w:rPr>
              <w:t>lo</w:t>
            </w:r>
            <w:r w:rsidR="00D43945" w:rsidRPr="007954E4">
              <w:rPr>
                <w:sz w:val="20"/>
                <w:szCs w:val="20"/>
                <w:lang w:val="es-ES"/>
              </w:rPr>
              <w:t>.</w:t>
            </w:r>
          </w:p>
          <w:p w14:paraId="73DFD21C" w14:textId="520A3666" w:rsidR="00D43945" w:rsidRPr="007954E4" w:rsidRDefault="00D43945" w:rsidP="002D32CF">
            <w:pPr>
              <w:rPr>
                <w:iCs/>
                <w:sz w:val="20"/>
                <w:lang w:val="es-ES"/>
              </w:rPr>
            </w:pPr>
            <w:r w:rsidRPr="007954E4">
              <w:rPr>
                <w:sz w:val="20"/>
                <w:szCs w:val="20"/>
                <w:lang w:val="es-ES"/>
              </w:rPr>
              <w:t>Alternativ</w:t>
            </w:r>
            <w:r w:rsidR="007954E4" w:rsidRPr="007954E4">
              <w:rPr>
                <w:sz w:val="20"/>
                <w:szCs w:val="20"/>
                <w:lang w:val="es-ES"/>
              </w:rPr>
              <w:t xml:space="preserve">amente, deberá prepararse, tras la CMR-23, una Regla de Procedimiento para </w:t>
            </w:r>
            <w:r w:rsidR="007954E4">
              <w:rPr>
                <w:sz w:val="20"/>
                <w:szCs w:val="20"/>
                <w:lang w:val="es-ES"/>
              </w:rPr>
              <w:t>especificar los métodos.</w:t>
            </w:r>
          </w:p>
        </w:tc>
      </w:tr>
      <w:tr w:rsidR="007B2F35" w:rsidRPr="004652EA" w14:paraId="0BAC78E0" w14:textId="77777777" w:rsidTr="007D6727">
        <w:trPr>
          <w:trHeight w:val="1500"/>
        </w:trPr>
        <w:tc>
          <w:tcPr>
            <w:tcW w:w="779" w:type="dxa"/>
            <w:vMerge/>
            <w:tcBorders>
              <w:top w:val="nil"/>
              <w:left w:val="single" w:sz="4" w:space="0" w:color="auto"/>
              <w:bottom w:val="nil"/>
              <w:right w:val="single" w:sz="4" w:space="0" w:color="auto"/>
            </w:tcBorders>
          </w:tcPr>
          <w:p w14:paraId="6591EBDB" w14:textId="77777777" w:rsidR="004A2E99" w:rsidRPr="007954E4" w:rsidRDefault="004A2E99" w:rsidP="004A2E99">
            <w:pPr>
              <w:rPr>
                <w:lang w:val="es-ES" w:eastAsia="zh-CN"/>
              </w:rPr>
            </w:pPr>
          </w:p>
        </w:tc>
        <w:tc>
          <w:tcPr>
            <w:tcW w:w="1116" w:type="dxa"/>
            <w:vMerge w:val="restart"/>
            <w:tcBorders>
              <w:left w:val="single" w:sz="4" w:space="0" w:color="auto"/>
            </w:tcBorders>
          </w:tcPr>
          <w:p w14:paraId="2A12108B" w14:textId="05474FC2" w:rsidR="004A2E99" w:rsidRPr="00E34869" w:rsidRDefault="004A2E99" w:rsidP="004A2E99">
            <w:pPr>
              <w:rPr>
                <w:iCs/>
                <w:sz w:val="20"/>
              </w:rPr>
            </w:pPr>
            <w:r w:rsidRPr="00E34869">
              <w:rPr>
                <w:iCs/>
                <w:sz w:val="20"/>
                <w:szCs w:val="20"/>
              </w:rPr>
              <w:t xml:space="preserve">1/1.4/5.4.5 </w:t>
            </w:r>
            <w:r w:rsidRPr="00E34869">
              <w:rPr>
                <w:rFonts w:cs="Times New Roman"/>
                <w:sz w:val="20"/>
                <w:szCs w:val="20"/>
                <w:lang w:eastAsia="ko-KR"/>
              </w:rPr>
              <w:t>M</w:t>
            </w:r>
            <w:r>
              <w:rPr>
                <w:rFonts w:cs="Times New Roman"/>
                <w:sz w:val="20"/>
                <w:szCs w:val="20"/>
                <w:lang w:eastAsia="ko-KR"/>
              </w:rPr>
              <w:t>étodos</w:t>
            </w:r>
            <w:r w:rsidRPr="00E34869">
              <w:rPr>
                <w:rFonts w:cs="Times New Roman"/>
                <w:sz w:val="20"/>
                <w:szCs w:val="20"/>
                <w:lang w:eastAsia="ko-KR"/>
              </w:rPr>
              <w:t xml:space="preserve"> D2, D3 </w:t>
            </w:r>
            <w:r>
              <w:rPr>
                <w:rFonts w:cs="Times New Roman"/>
                <w:sz w:val="20"/>
                <w:szCs w:val="20"/>
                <w:lang w:eastAsia="ko-KR"/>
              </w:rPr>
              <w:t>y</w:t>
            </w:r>
            <w:r w:rsidRPr="00E34869">
              <w:rPr>
                <w:rFonts w:cs="Times New Roman"/>
                <w:sz w:val="20"/>
                <w:szCs w:val="20"/>
                <w:lang w:eastAsia="ko-KR"/>
              </w:rPr>
              <w:t xml:space="preserve"> D4</w:t>
            </w:r>
          </w:p>
          <w:p w14:paraId="12117220" w14:textId="77777777" w:rsidR="004A2E99" w:rsidRPr="00E34869" w:rsidRDefault="004A2E99" w:rsidP="004A2E99">
            <w:pPr>
              <w:rPr>
                <w:iCs/>
                <w:sz w:val="20"/>
              </w:rPr>
            </w:pPr>
          </w:p>
        </w:tc>
        <w:tc>
          <w:tcPr>
            <w:tcW w:w="4904" w:type="dxa"/>
          </w:tcPr>
          <w:p w14:paraId="4253EFFF" w14:textId="31A88136" w:rsidR="004A2E99" w:rsidRPr="00AD5D04" w:rsidRDefault="004A2E99" w:rsidP="004A2E99">
            <w:pPr>
              <w:rPr>
                <w:rFonts w:cs="Times New Roman"/>
                <w:spacing w:val="-6"/>
                <w:sz w:val="20"/>
                <w:szCs w:val="20"/>
                <w:lang w:val="es-ES"/>
              </w:rPr>
            </w:pPr>
            <w:r w:rsidRPr="00AD5D04">
              <w:rPr>
                <w:iCs/>
                <w:spacing w:val="-6"/>
                <w:sz w:val="20"/>
                <w:szCs w:val="20"/>
                <w:lang w:val="es-ES"/>
              </w:rPr>
              <w:t xml:space="preserve">Proyecto de nueva Resolución </w:t>
            </w:r>
            <w:r w:rsidRPr="00AD5D04">
              <w:rPr>
                <w:b/>
                <w:bCs/>
                <w:iCs/>
                <w:spacing w:val="-6"/>
                <w:sz w:val="20"/>
                <w:szCs w:val="20"/>
                <w:lang w:val="es-ES"/>
              </w:rPr>
              <w:t>[B14-HIBS 2 500-2</w:t>
            </w:r>
            <w:r w:rsidR="00AD5D04">
              <w:rPr>
                <w:b/>
                <w:bCs/>
                <w:iCs/>
                <w:spacing w:val="-6"/>
                <w:sz w:val="20"/>
                <w:szCs w:val="20"/>
                <w:lang w:val="es-ES"/>
              </w:rPr>
              <w:t> </w:t>
            </w:r>
            <w:r w:rsidRPr="00AD5D04">
              <w:rPr>
                <w:b/>
                <w:bCs/>
                <w:iCs/>
                <w:spacing w:val="-6"/>
                <w:sz w:val="20"/>
                <w:szCs w:val="20"/>
                <w:lang w:val="es-ES"/>
              </w:rPr>
              <w:t>690</w:t>
            </w:r>
            <w:r w:rsidR="00AD5D04">
              <w:rPr>
                <w:b/>
                <w:bCs/>
                <w:iCs/>
                <w:spacing w:val="-6"/>
                <w:sz w:val="20"/>
                <w:szCs w:val="20"/>
                <w:lang w:val="es-ES"/>
              </w:rPr>
              <w:t> </w:t>
            </w:r>
            <w:r w:rsidRPr="00AD5D04">
              <w:rPr>
                <w:b/>
                <w:bCs/>
                <w:iCs/>
                <w:spacing w:val="-6"/>
                <w:sz w:val="20"/>
                <w:szCs w:val="20"/>
                <w:lang w:val="es-ES"/>
              </w:rPr>
              <w:t xml:space="preserve">MHz]: </w:t>
            </w:r>
            <w:r w:rsidRPr="00AD5D04">
              <w:rPr>
                <w:rFonts w:cs="Times New Roman"/>
                <w:spacing w:val="-6"/>
                <w:sz w:val="20"/>
                <w:lang w:val="es-ES" w:eastAsia="ko-KR"/>
              </w:rPr>
              <w:t xml:space="preserve">Ejemplos 1 y 3 para los </w:t>
            </w:r>
            <w:r w:rsidRPr="00AD5D04">
              <w:rPr>
                <w:rFonts w:cs="Times New Roman"/>
                <w:i/>
                <w:iCs/>
                <w:spacing w:val="-6"/>
                <w:sz w:val="20"/>
                <w:lang w:val="es-ES" w:eastAsia="ko-KR"/>
              </w:rPr>
              <w:t>resuelve</w:t>
            </w:r>
            <w:r w:rsidRPr="00AD5D04">
              <w:rPr>
                <w:rFonts w:cs="Times New Roman"/>
                <w:spacing w:val="-6"/>
                <w:sz w:val="20"/>
                <w:lang w:val="es-ES" w:eastAsia="ko-KR"/>
              </w:rPr>
              <w:t xml:space="preserve"> 1.1 y 1.2;</w:t>
            </w:r>
            <w:r w:rsidRPr="00AD5D04">
              <w:rPr>
                <w:spacing w:val="-6"/>
                <w:sz w:val="20"/>
                <w:lang w:val="es-ES"/>
              </w:rPr>
              <w:t xml:space="preserve"> </w:t>
            </w:r>
            <w:r w:rsidRPr="00AD5D04">
              <w:rPr>
                <w:rFonts w:cs="Times New Roman"/>
                <w:spacing w:val="-6"/>
                <w:sz w:val="20"/>
                <w:lang w:val="es-ES" w:eastAsia="ja-JP"/>
              </w:rPr>
              <w:t xml:space="preserve">Ejemplo </w:t>
            </w:r>
            <w:r w:rsidRPr="00AD5D04">
              <w:rPr>
                <w:rFonts w:cs="Times New Roman"/>
                <w:spacing w:val="-6"/>
                <w:sz w:val="20"/>
                <w:lang w:val="es-ES" w:eastAsia="ko-KR"/>
              </w:rPr>
              <w:t xml:space="preserve">2 para el </w:t>
            </w:r>
            <w:r w:rsidRPr="00AD5D04">
              <w:rPr>
                <w:rFonts w:cs="Times New Roman"/>
                <w:i/>
                <w:iCs/>
                <w:spacing w:val="-6"/>
                <w:sz w:val="20"/>
                <w:lang w:val="es-ES" w:eastAsia="ko-KR"/>
              </w:rPr>
              <w:t>resuelve</w:t>
            </w:r>
            <w:r w:rsidRPr="00AD5D04">
              <w:rPr>
                <w:rFonts w:cs="Times New Roman"/>
                <w:spacing w:val="-6"/>
                <w:sz w:val="20"/>
                <w:lang w:val="es-ES" w:eastAsia="ko-KR"/>
              </w:rPr>
              <w:t xml:space="preserve"> 1.1;</w:t>
            </w:r>
            <w:r w:rsidRPr="00AD5D04">
              <w:rPr>
                <w:spacing w:val="-6"/>
                <w:sz w:val="20"/>
                <w:lang w:val="es-ES"/>
              </w:rPr>
              <w:t xml:space="preserve"> </w:t>
            </w:r>
            <w:r w:rsidRPr="00AD5D04">
              <w:rPr>
                <w:rFonts w:cs="Times New Roman"/>
                <w:spacing w:val="-6"/>
                <w:sz w:val="20"/>
                <w:lang w:val="es-ES" w:eastAsia="ja-JP"/>
              </w:rPr>
              <w:t>Ejemplos 1 y 2</w:t>
            </w:r>
            <w:r w:rsidRPr="00AD5D04">
              <w:rPr>
                <w:rFonts w:cs="Times New Roman"/>
                <w:spacing w:val="-6"/>
                <w:sz w:val="20"/>
                <w:lang w:val="es-ES" w:eastAsia="ko-KR"/>
              </w:rPr>
              <w:t xml:space="preserve"> para el </w:t>
            </w:r>
            <w:r w:rsidRPr="00AD5D04">
              <w:rPr>
                <w:rFonts w:cs="Times New Roman"/>
                <w:i/>
                <w:iCs/>
                <w:spacing w:val="-6"/>
                <w:sz w:val="20"/>
                <w:lang w:val="es-ES" w:eastAsia="ko-KR"/>
              </w:rPr>
              <w:t>resuelve</w:t>
            </w:r>
            <w:r w:rsidR="00AD5D04">
              <w:rPr>
                <w:rFonts w:cs="Times New Roman"/>
                <w:i/>
                <w:iCs/>
                <w:spacing w:val="-6"/>
                <w:sz w:val="20"/>
                <w:lang w:val="es-ES" w:eastAsia="ko-KR"/>
              </w:rPr>
              <w:t> </w:t>
            </w:r>
            <w:r w:rsidRPr="00AD5D04">
              <w:rPr>
                <w:rFonts w:cs="Times New Roman"/>
                <w:spacing w:val="-6"/>
                <w:sz w:val="20"/>
                <w:lang w:val="es-ES" w:eastAsia="ko-KR"/>
              </w:rPr>
              <w:t xml:space="preserve">1.3, y Ejemplos 1 y 2 para el </w:t>
            </w:r>
            <w:r w:rsidRPr="00AD5D04">
              <w:rPr>
                <w:rFonts w:cs="Times New Roman"/>
                <w:i/>
                <w:iCs/>
                <w:spacing w:val="-6"/>
                <w:sz w:val="20"/>
                <w:lang w:val="es-ES" w:eastAsia="ko-KR"/>
              </w:rPr>
              <w:t>resuelve</w:t>
            </w:r>
            <w:r w:rsidRPr="00AD5D04">
              <w:rPr>
                <w:rFonts w:cs="Times New Roman"/>
                <w:spacing w:val="-6"/>
                <w:sz w:val="20"/>
                <w:lang w:val="es-ES" w:eastAsia="ko-KR"/>
              </w:rPr>
              <w:t xml:space="preserve"> 1.4.</w:t>
            </w:r>
          </w:p>
        </w:tc>
        <w:tc>
          <w:tcPr>
            <w:tcW w:w="3675" w:type="dxa"/>
          </w:tcPr>
          <w:p w14:paraId="292AD039" w14:textId="42CAED0B" w:rsidR="004A2E99" w:rsidRPr="004A2E99" w:rsidRDefault="004A2E99" w:rsidP="004A2E99">
            <w:pPr>
              <w:rPr>
                <w:sz w:val="20"/>
                <w:lang w:val="es-ES" w:eastAsia="ja-JP"/>
              </w:rPr>
            </w:pPr>
            <w:r w:rsidRPr="007954E4">
              <w:rPr>
                <w:sz w:val="20"/>
                <w:szCs w:val="20"/>
                <w:lang w:val="es-ES" w:eastAsia="ja-JP"/>
              </w:rPr>
              <w:t xml:space="preserve">Los ejemplos propuestos invocan un límite de dfp, pero </w:t>
            </w:r>
            <w:r>
              <w:rPr>
                <w:sz w:val="20"/>
                <w:szCs w:val="20"/>
                <w:lang w:val="es-ES" w:eastAsia="ja-JP"/>
              </w:rPr>
              <w:t>en el Informe de la RPC no se incluyen</w:t>
            </w:r>
            <w:r w:rsidRPr="007954E4">
              <w:rPr>
                <w:sz w:val="20"/>
                <w:szCs w:val="20"/>
                <w:lang w:val="es-ES" w:eastAsia="ja-JP"/>
              </w:rPr>
              <w:t xml:space="preserve"> métodos de cálculo que especifiquen el modelo de propagación, es</w:t>
            </w:r>
            <w:r>
              <w:rPr>
                <w:sz w:val="20"/>
                <w:szCs w:val="20"/>
                <w:lang w:val="es-ES" w:eastAsia="ja-JP"/>
              </w:rPr>
              <w:t xml:space="preserve"> decir, el porcentaje de tiempo y los emplazamientos, etc., para verificar las condiciones de estos </w:t>
            </w:r>
            <w:r>
              <w:rPr>
                <w:i/>
                <w:iCs/>
                <w:sz w:val="20"/>
                <w:szCs w:val="20"/>
                <w:lang w:val="es-ES" w:eastAsia="ja-JP"/>
              </w:rPr>
              <w:t>resuelve</w:t>
            </w:r>
            <w:r w:rsidRPr="007954E4">
              <w:rPr>
                <w:sz w:val="20"/>
                <w:szCs w:val="20"/>
                <w:lang w:val="es-ES"/>
              </w:rPr>
              <w:t>.</w:t>
            </w:r>
          </w:p>
        </w:tc>
        <w:tc>
          <w:tcPr>
            <w:tcW w:w="3561" w:type="dxa"/>
          </w:tcPr>
          <w:p w14:paraId="2DC00296" w14:textId="77777777" w:rsidR="004A2E99" w:rsidRPr="007954E4" w:rsidRDefault="004A2E99" w:rsidP="004A2E99">
            <w:pPr>
              <w:rPr>
                <w:sz w:val="20"/>
                <w:szCs w:val="20"/>
                <w:lang w:val="es-ES"/>
              </w:rPr>
            </w:pPr>
            <w:r w:rsidRPr="007954E4">
              <w:rPr>
                <w:sz w:val="20"/>
                <w:szCs w:val="20"/>
                <w:lang w:val="es-ES" w:eastAsia="zh-CN"/>
              </w:rPr>
              <w:t>Facilitar los métodos de cálcu</w:t>
            </w:r>
            <w:r>
              <w:rPr>
                <w:sz w:val="20"/>
                <w:szCs w:val="20"/>
                <w:lang w:val="es-ES" w:eastAsia="zh-CN"/>
              </w:rPr>
              <w:t>lo</w:t>
            </w:r>
            <w:r w:rsidRPr="007954E4">
              <w:rPr>
                <w:sz w:val="20"/>
                <w:szCs w:val="20"/>
                <w:lang w:val="es-ES"/>
              </w:rPr>
              <w:t>.</w:t>
            </w:r>
          </w:p>
          <w:p w14:paraId="37C7EBC3" w14:textId="3A2FF60E" w:rsidR="004A2E99" w:rsidRPr="004A2E99" w:rsidRDefault="004A2E99" w:rsidP="004A2E99">
            <w:pPr>
              <w:rPr>
                <w:sz w:val="20"/>
                <w:lang w:val="es-ES" w:eastAsia="zh-CN"/>
              </w:rPr>
            </w:pPr>
            <w:r w:rsidRPr="007954E4">
              <w:rPr>
                <w:sz w:val="20"/>
                <w:szCs w:val="20"/>
                <w:lang w:val="es-ES"/>
              </w:rPr>
              <w:t xml:space="preserve">Alternativamente, deberá prepararse, tras la CMR-23, una Regla de Procedimiento para </w:t>
            </w:r>
            <w:r>
              <w:rPr>
                <w:sz w:val="20"/>
                <w:szCs w:val="20"/>
                <w:lang w:val="es-ES"/>
              </w:rPr>
              <w:t>especificar los métodos.</w:t>
            </w:r>
          </w:p>
        </w:tc>
      </w:tr>
      <w:tr w:rsidR="007B2F35" w:rsidRPr="004652EA" w14:paraId="31422E66" w14:textId="77777777" w:rsidTr="0070319A">
        <w:tc>
          <w:tcPr>
            <w:tcW w:w="779" w:type="dxa"/>
            <w:tcBorders>
              <w:top w:val="nil"/>
              <w:left w:val="single" w:sz="4" w:space="0" w:color="auto"/>
              <w:bottom w:val="single" w:sz="4" w:space="0" w:color="auto"/>
              <w:right w:val="single" w:sz="4" w:space="0" w:color="auto"/>
            </w:tcBorders>
          </w:tcPr>
          <w:p w14:paraId="72A5E577" w14:textId="77777777" w:rsidR="00A85452" w:rsidRPr="004A2E99" w:rsidRDefault="00A85452" w:rsidP="00A85452">
            <w:pPr>
              <w:rPr>
                <w:lang w:val="es-ES" w:eastAsia="zh-CN"/>
              </w:rPr>
            </w:pPr>
          </w:p>
        </w:tc>
        <w:tc>
          <w:tcPr>
            <w:tcW w:w="1116" w:type="dxa"/>
            <w:vMerge/>
            <w:tcBorders>
              <w:top w:val="nil"/>
              <w:left w:val="single" w:sz="4" w:space="0" w:color="auto"/>
            </w:tcBorders>
          </w:tcPr>
          <w:p w14:paraId="6160F9FE" w14:textId="77777777" w:rsidR="00A85452" w:rsidRPr="004A2E99" w:rsidRDefault="00A85452" w:rsidP="00A85452">
            <w:pPr>
              <w:rPr>
                <w:iCs/>
                <w:sz w:val="20"/>
                <w:lang w:val="es-ES"/>
              </w:rPr>
            </w:pPr>
          </w:p>
        </w:tc>
        <w:tc>
          <w:tcPr>
            <w:tcW w:w="4904" w:type="dxa"/>
            <w:tcBorders>
              <w:top w:val="nil"/>
            </w:tcBorders>
          </w:tcPr>
          <w:p w14:paraId="6063778A" w14:textId="51754838" w:rsidR="00A85452" w:rsidRPr="00AD5D04" w:rsidRDefault="00A85452" w:rsidP="00AD5D04">
            <w:pPr>
              <w:keepNext/>
              <w:keepLines/>
              <w:rPr>
                <w:i/>
                <w:spacing w:val="-6"/>
                <w:sz w:val="20"/>
                <w:szCs w:val="20"/>
                <w:lang w:val="es-ES"/>
              </w:rPr>
            </w:pPr>
            <w:r w:rsidRPr="00AD5D04">
              <w:rPr>
                <w:iCs/>
                <w:spacing w:val="-6"/>
                <w:sz w:val="20"/>
                <w:szCs w:val="20"/>
                <w:lang w:val="es-ES"/>
              </w:rPr>
              <w:t xml:space="preserve">Proyecto de nueva Resolución </w:t>
            </w:r>
            <w:r w:rsidRPr="00AD5D04">
              <w:rPr>
                <w:b/>
                <w:bCs/>
                <w:iCs/>
                <w:spacing w:val="-6"/>
                <w:sz w:val="20"/>
                <w:szCs w:val="20"/>
                <w:lang w:val="es-ES"/>
              </w:rPr>
              <w:t>[B14-HIBS 2 500-2</w:t>
            </w:r>
            <w:r w:rsidR="00AD5D04">
              <w:rPr>
                <w:b/>
                <w:bCs/>
                <w:iCs/>
                <w:spacing w:val="-6"/>
                <w:sz w:val="20"/>
                <w:szCs w:val="20"/>
                <w:lang w:val="es-ES"/>
              </w:rPr>
              <w:t> </w:t>
            </w:r>
            <w:r w:rsidRPr="00AD5D04">
              <w:rPr>
                <w:b/>
                <w:bCs/>
                <w:iCs/>
                <w:spacing w:val="-6"/>
                <w:sz w:val="20"/>
                <w:szCs w:val="20"/>
                <w:lang w:val="es-ES"/>
              </w:rPr>
              <w:t>690</w:t>
            </w:r>
            <w:r w:rsidR="00AD5D04">
              <w:rPr>
                <w:b/>
                <w:bCs/>
                <w:iCs/>
                <w:spacing w:val="-6"/>
                <w:sz w:val="20"/>
                <w:szCs w:val="20"/>
                <w:lang w:val="es-ES"/>
              </w:rPr>
              <w:t> </w:t>
            </w:r>
            <w:r w:rsidRPr="00AD5D04">
              <w:rPr>
                <w:b/>
                <w:bCs/>
                <w:iCs/>
                <w:spacing w:val="-6"/>
                <w:sz w:val="20"/>
                <w:szCs w:val="20"/>
                <w:lang w:val="es-ES"/>
              </w:rPr>
              <w:t>MHz]:</w:t>
            </w:r>
          </w:p>
          <w:p w14:paraId="62EDC30C" w14:textId="765263F6" w:rsidR="00A85452" w:rsidRPr="00AD5D04" w:rsidRDefault="00A85452" w:rsidP="0005670A">
            <w:pPr>
              <w:keepNext/>
              <w:keepLines/>
              <w:rPr>
                <w:spacing w:val="-6"/>
                <w:sz w:val="20"/>
                <w:szCs w:val="20"/>
                <w:lang w:val="es-ES"/>
              </w:rPr>
            </w:pPr>
            <w:r w:rsidRPr="00AD5D04">
              <w:rPr>
                <w:rFonts w:cs="Times New Roman"/>
                <w:i/>
                <w:iCs/>
                <w:spacing w:val="-6"/>
                <w:sz w:val="20"/>
                <w:szCs w:val="20"/>
                <w:lang w:val="es-ES" w:eastAsia="ko-KR"/>
              </w:rPr>
              <w:t>Resuelve</w:t>
            </w:r>
            <w:r w:rsidRPr="00AD5D04">
              <w:rPr>
                <w:rFonts w:cs="Times New Roman"/>
                <w:spacing w:val="-6"/>
                <w:sz w:val="20"/>
                <w:szCs w:val="20"/>
                <w:lang w:val="es-ES" w:eastAsia="ko-KR"/>
              </w:rPr>
              <w:t xml:space="preserve"> 1.5 con </w:t>
            </w:r>
            <w:r w:rsidRPr="0005670A">
              <w:rPr>
                <w:spacing w:val="-6"/>
                <w:sz w:val="20"/>
                <w:szCs w:val="20"/>
                <w:lang w:val="es-ES"/>
              </w:rPr>
              <w:t>el</w:t>
            </w:r>
            <w:r w:rsidRPr="00AD5D04">
              <w:rPr>
                <w:rFonts w:cs="Times New Roman"/>
                <w:spacing w:val="-6"/>
                <w:sz w:val="20"/>
                <w:szCs w:val="20"/>
                <w:lang w:val="es-ES" w:eastAsia="ko-KR"/>
              </w:rPr>
              <w:t xml:space="preserve"> fin de proteger los sistemas del servicio de radionavegación aeronáutica en el territorio de otras administraciones en la banda de frecuencias</w:t>
            </w:r>
            <w:r w:rsidRPr="00AD5D04">
              <w:rPr>
                <w:spacing w:val="-6"/>
                <w:sz w:val="20"/>
                <w:szCs w:val="20"/>
                <w:lang w:val="es-ES"/>
              </w:rPr>
              <w:t xml:space="preserve"> 2 700-2 900 MHz, el nivel de la densidad de flujo de potencia (dfp) producida por cada HIBS en la banda de frecuencias 2 500-2 690 MHz en la superficie de la Tierra en el territorio de otras administraciones no sobrepasará el siguiente límite de emisiones no deseadas salvo que la administración afectada otorgue su acuerdo explícito: </w:t>
            </w:r>
          </w:p>
          <w:p w14:paraId="56607C00" w14:textId="0794E7B1" w:rsidR="00A85452" w:rsidRPr="00AD5D04" w:rsidRDefault="00A85452" w:rsidP="0005670A">
            <w:pPr>
              <w:keepNext/>
              <w:keepLines/>
              <w:rPr>
                <w:spacing w:val="-6"/>
                <w:sz w:val="20"/>
                <w:szCs w:val="20"/>
                <w:lang w:val="es-ES"/>
              </w:rPr>
            </w:pPr>
            <w:r w:rsidRPr="00AD5D04">
              <w:rPr>
                <w:spacing w:val="-6"/>
                <w:sz w:val="20"/>
                <w:szCs w:val="20"/>
                <w:lang w:val="es-ES"/>
              </w:rPr>
              <w:t xml:space="preserve">−156,2 dB(W/(m2 · MHz)) para </w:t>
            </w:r>
            <w:r w:rsidRPr="00AD5D04">
              <w:rPr>
                <w:spacing w:val="-6"/>
                <w:sz w:val="20"/>
                <w:szCs w:val="20"/>
              </w:rPr>
              <w:t>θ</w:t>
            </w:r>
            <w:r w:rsidRPr="00AD5D04">
              <w:rPr>
                <w:spacing w:val="-6"/>
                <w:sz w:val="20"/>
                <w:szCs w:val="20"/>
                <w:lang w:val="es-ES"/>
              </w:rPr>
              <w:t xml:space="preserve"> ≤ 7° </w:t>
            </w:r>
          </w:p>
          <w:p w14:paraId="4E81E145" w14:textId="68E3EBBB" w:rsidR="00A85452" w:rsidRPr="00AD5D04" w:rsidRDefault="00A85452" w:rsidP="00AD5D04">
            <w:pPr>
              <w:pStyle w:val="Default"/>
              <w:keepNext/>
              <w:keepLines/>
              <w:rPr>
                <w:spacing w:val="-6"/>
                <w:sz w:val="20"/>
                <w:szCs w:val="20"/>
                <w:lang w:val="es-ES"/>
              </w:rPr>
            </w:pPr>
            <w:r w:rsidRPr="00AD5D04">
              <w:rPr>
                <w:spacing w:val="-6"/>
                <w:sz w:val="20"/>
                <w:szCs w:val="20"/>
                <w:lang w:val="es-ES"/>
              </w:rPr>
              <w:t xml:space="preserve">−163 + 15 · </w:t>
            </w:r>
            <w:r w:rsidRPr="00AD5D04">
              <w:rPr>
                <w:i/>
                <w:iCs/>
                <w:spacing w:val="-6"/>
                <w:sz w:val="20"/>
                <w:szCs w:val="20"/>
                <w:lang w:val="es-ES"/>
              </w:rPr>
              <w:t xml:space="preserve">log10 </w:t>
            </w:r>
            <w:r w:rsidRPr="00AD5D04">
              <w:rPr>
                <w:spacing w:val="-6"/>
                <w:sz w:val="20"/>
                <w:szCs w:val="20"/>
                <w:lang w:val="es-ES"/>
              </w:rPr>
              <w:t>(</w:t>
            </w:r>
            <w:r w:rsidRPr="00AD5D04">
              <w:rPr>
                <w:spacing w:val="-6"/>
                <w:sz w:val="20"/>
                <w:szCs w:val="20"/>
              </w:rPr>
              <w:t>θ</w:t>
            </w:r>
            <w:r w:rsidRPr="00AD5D04">
              <w:rPr>
                <w:spacing w:val="-6"/>
                <w:sz w:val="20"/>
                <w:szCs w:val="20"/>
                <w:lang w:val="es-ES"/>
              </w:rPr>
              <w:t xml:space="preserve"> − 4) dB(W/(m2 · MHz)) para 7° &lt; </w:t>
            </w:r>
            <w:r w:rsidRPr="00AD5D04">
              <w:rPr>
                <w:spacing w:val="-6"/>
                <w:sz w:val="20"/>
                <w:szCs w:val="20"/>
              </w:rPr>
              <w:t>θ</w:t>
            </w:r>
            <w:r w:rsidRPr="00AD5D04">
              <w:rPr>
                <w:spacing w:val="-6"/>
                <w:sz w:val="20"/>
                <w:szCs w:val="20"/>
                <w:lang w:val="es-ES"/>
              </w:rPr>
              <w:t xml:space="preserve"> &lt;</w:t>
            </w:r>
            <w:r w:rsidR="0005670A">
              <w:rPr>
                <w:spacing w:val="-6"/>
                <w:sz w:val="20"/>
                <w:szCs w:val="20"/>
                <w:lang w:val="es-ES"/>
              </w:rPr>
              <w:t> </w:t>
            </w:r>
            <w:r w:rsidRPr="00AD5D04">
              <w:rPr>
                <w:spacing w:val="-6"/>
                <w:sz w:val="20"/>
                <w:szCs w:val="20"/>
                <w:lang w:val="es-ES"/>
              </w:rPr>
              <w:t xml:space="preserve">30,5° </w:t>
            </w:r>
          </w:p>
          <w:p w14:paraId="67ABE2AA" w14:textId="1847A304" w:rsidR="00A85452" w:rsidRPr="00AD5D04" w:rsidRDefault="00A85452" w:rsidP="00AD5D04">
            <w:pPr>
              <w:pStyle w:val="Default"/>
              <w:keepNext/>
              <w:keepLines/>
              <w:rPr>
                <w:spacing w:val="-6"/>
                <w:sz w:val="20"/>
                <w:szCs w:val="20"/>
                <w:lang w:val="es-ES"/>
              </w:rPr>
            </w:pPr>
            <w:r w:rsidRPr="00AD5D04">
              <w:rPr>
                <w:spacing w:val="-6"/>
                <w:sz w:val="20"/>
                <w:szCs w:val="20"/>
                <w:lang w:val="es-ES"/>
              </w:rPr>
              <w:t xml:space="preserve">−141 + 2,7 · </w:t>
            </w:r>
            <w:r w:rsidRPr="00AD5D04">
              <w:rPr>
                <w:i/>
                <w:iCs/>
                <w:spacing w:val="-6"/>
                <w:sz w:val="20"/>
                <w:szCs w:val="20"/>
                <w:lang w:val="es-ES"/>
              </w:rPr>
              <w:t xml:space="preserve">log10 </w:t>
            </w:r>
            <w:r w:rsidRPr="00AD5D04">
              <w:rPr>
                <w:spacing w:val="-6"/>
                <w:sz w:val="20"/>
                <w:szCs w:val="20"/>
                <w:lang w:val="es-ES"/>
              </w:rPr>
              <w:t>(</w:t>
            </w:r>
            <w:r w:rsidRPr="00AD5D04">
              <w:rPr>
                <w:spacing w:val="-6"/>
                <w:sz w:val="20"/>
                <w:szCs w:val="20"/>
              </w:rPr>
              <w:t>θ</w:t>
            </w:r>
            <w:r w:rsidRPr="00AD5D04">
              <w:rPr>
                <w:spacing w:val="-6"/>
                <w:sz w:val="20"/>
                <w:szCs w:val="20"/>
                <w:lang w:val="es-ES"/>
              </w:rPr>
              <w:t xml:space="preserve"> − 4) dB(W/(m2 · MHz)) para </w:t>
            </w:r>
            <w:r w:rsidRPr="00AD5D04">
              <w:rPr>
                <w:spacing w:val="-6"/>
                <w:sz w:val="20"/>
                <w:szCs w:val="20"/>
              </w:rPr>
              <w:t>θ</w:t>
            </w:r>
            <w:r w:rsidRPr="00AD5D04">
              <w:rPr>
                <w:spacing w:val="-6"/>
                <w:sz w:val="20"/>
                <w:szCs w:val="20"/>
                <w:lang w:val="es-ES"/>
              </w:rPr>
              <w:t xml:space="preserve"> = 30,5° </w:t>
            </w:r>
          </w:p>
          <w:p w14:paraId="4823825A" w14:textId="02391972" w:rsidR="00A85452" w:rsidRPr="00AD5D04" w:rsidRDefault="00A85452" w:rsidP="00AD5D04">
            <w:pPr>
              <w:pStyle w:val="Default"/>
              <w:keepNext/>
              <w:keepLines/>
              <w:rPr>
                <w:spacing w:val="-6"/>
                <w:sz w:val="20"/>
                <w:szCs w:val="20"/>
                <w:lang w:val="es-ES"/>
              </w:rPr>
            </w:pPr>
            <w:r w:rsidRPr="00AD5D04">
              <w:rPr>
                <w:spacing w:val="-6"/>
                <w:sz w:val="20"/>
                <w:szCs w:val="20"/>
                <w:lang w:val="es-ES"/>
              </w:rPr>
              <w:t xml:space="preserve">−157 + 14 · </w:t>
            </w:r>
            <w:r w:rsidRPr="00AD5D04">
              <w:rPr>
                <w:i/>
                <w:iCs/>
                <w:spacing w:val="-6"/>
                <w:sz w:val="20"/>
                <w:szCs w:val="20"/>
                <w:lang w:val="es-ES"/>
              </w:rPr>
              <w:t xml:space="preserve">log10 </w:t>
            </w:r>
            <w:r w:rsidRPr="00AD5D04">
              <w:rPr>
                <w:spacing w:val="-6"/>
                <w:sz w:val="20"/>
                <w:szCs w:val="20"/>
                <w:lang w:val="es-ES"/>
              </w:rPr>
              <w:t>(</w:t>
            </w:r>
            <w:r w:rsidRPr="00AD5D04">
              <w:rPr>
                <w:spacing w:val="-6"/>
                <w:sz w:val="20"/>
                <w:szCs w:val="20"/>
              </w:rPr>
              <w:t>θ</w:t>
            </w:r>
            <w:r w:rsidRPr="00AD5D04">
              <w:rPr>
                <w:spacing w:val="-6"/>
                <w:sz w:val="20"/>
                <w:szCs w:val="20"/>
                <w:lang w:val="es-ES"/>
              </w:rPr>
              <w:t xml:space="preserve"> − 4) dB(W/(m2 · MHz)) para 30,5° &lt; </w:t>
            </w:r>
            <w:r w:rsidRPr="00AD5D04">
              <w:rPr>
                <w:spacing w:val="-6"/>
                <w:sz w:val="20"/>
                <w:szCs w:val="20"/>
              </w:rPr>
              <w:t>θ</w:t>
            </w:r>
            <w:r w:rsidRPr="00AD5D04">
              <w:rPr>
                <w:spacing w:val="-6"/>
                <w:sz w:val="20"/>
                <w:szCs w:val="20"/>
                <w:lang w:val="es-ES"/>
              </w:rPr>
              <w:t xml:space="preserve"> ≤</w:t>
            </w:r>
            <w:r w:rsidR="0005670A">
              <w:rPr>
                <w:spacing w:val="-6"/>
                <w:sz w:val="20"/>
                <w:szCs w:val="20"/>
                <w:lang w:val="es-ES"/>
              </w:rPr>
              <w:t> </w:t>
            </w:r>
            <w:r w:rsidRPr="00AD5D04">
              <w:rPr>
                <w:spacing w:val="-6"/>
                <w:sz w:val="20"/>
                <w:szCs w:val="20"/>
                <w:lang w:val="es-ES"/>
              </w:rPr>
              <w:t xml:space="preserve">40,5° </w:t>
            </w:r>
          </w:p>
          <w:p w14:paraId="154C946F" w14:textId="5BA4E867" w:rsidR="00A85452" w:rsidRPr="00AD5D04" w:rsidRDefault="00A85452" w:rsidP="00AD5D04">
            <w:pPr>
              <w:pStyle w:val="Default"/>
              <w:keepNext/>
              <w:keepLines/>
              <w:rPr>
                <w:spacing w:val="-6"/>
                <w:sz w:val="20"/>
                <w:szCs w:val="20"/>
                <w:lang w:val="es-ES"/>
              </w:rPr>
            </w:pPr>
            <w:r w:rsidRPr="00AD5D04">
              <w:rPr>
                <w:spacing w:val="-6"/>
                <w:sz w:val="20"/>
                <w:szCs w:val="20"/>
                <w:lang w:val="es-ES"/>
              </w:rPr>
              <w:t xml:space="preserve">−101,5 dB(W/(m2 · MHz)) para </w:t>
            </w:r>
            <w:r w:rsidRPr="00AD5D04">
              <w:rPr>
                <w:spacing w:val="-6"/>
                <w:sz w:val="20"/>
                <w:szCs w:val="20"/>
              </w:rPr>
              <w:t>θ</w:t>
            </w:r>
            <w:r w:rsidRPr="00AD5D04">
              <w:rPr>
                <w:spacing w:val="-6"/>
                <w:sz w:val="20"/>
                <w:szCs w:val="20"/>
                <w:lang w:val="es-ES"/>
              </w:rPr>
              <w:t xml:space="preserve"> &gt; 40,5° </w:t>
            </w:r>
          </w:p>
          <w:p w14:paraId="35E722B8" w14:textId="7A861D18" w:rsidR="00A85452" w:rsidRPr="00AD5D04" w:rsidRDefault="00A85452" w:rsidP="00AD5D04">
            <w:pPr>
              <w:keepNext/>
              <w:keepLines/>
              <w:rPr>
                <w:spacing w:val="-6"/>
                <w:sz w:val="20"/>
                <w:szCs w:val="20"/>
                <w:lang w:val="es-ES"/>
              </w:rPr>
            </w:pPr>
            <w:r w:rsidRPr="00AD5D04">
              <w:rPr>
                <w:spacing w:val="-6"/>
                <w:sz w:val="20"/>
                <w:szCs w:val="20"/>
                <w:lang w:val="es-ES"/>
              </w:rPr>
              <w:t xml:space="preserve">siendo </w:t>
            </w:r>
            <w:r w:rsidRPr="00AD5D04">
              <w:rPr>
                <w:spacing w:val="-6"/>
                <w:sz w:val="20"/>
                <w:szCs w:val="20"/>
              </w:rPr>
              <w:t>θ</w:t>
            </w:r>
            <w:r w:rsidRPr="00AD5D04">
              <w:rPr>
                <w:spacing w:val="-6"/>
                <w:sz w:val="20"/>
                <w:szCs w:val="20"/>
                <w:lang w:val="es-ES"/>
              </w:rPr>
              <w:t xml:space="preserve"> el ángulo de incidencia de la onda incidente sobre el plano horizontal, en grados </w:t>
            </w:r>
          </w:p>
          <w:p w14:paraId="7D02B258" w14:textId="00D2AAA6" w:rsidR="00A85452" w:rsidRPr="002B0EF6" w:rsidRDefault="002B0EF6" w:rsidP="0005670A">
            <w:pPr>
              <w:keepNext/>
              <w:keepLines/>
              <w:spacing w:before="80"/>
              <w:rPr>
                <w:spacing w:val="-6"/>
                <w:sz w:val="20"/>
                <w:szCs w:val="20"/>
                <w:lang w:val="es-ES"/>
              </w:rPr>
            </w:pPr>
            <w:r w:rsidRPr="002B0EF6">
              <w:rPr>
                <w:spacing w:val="-6"/>
                <w:sz w:val="20"/>
                <w:szCs w:val="20"/>
                <w:lang w:val="es-ES"/>
              </w:rPr>
              <w:t>Ejemplos</w:t>
            </w:r>
            <w:r w:rsidRPr="00AD5D04">
              <w:rPr>
                <w:rFonts w:cs="Times New Roman"/>
                <w:spacing w:val="-6"/>
                <w:sz w:val="20"/>
                <w:szCs w:val="20"/>
                <w:lang w:val="es-ES" w:eastAsia="ko-KR"/>
              </w:rPr>
              <w:t xml:space="preserve"> 1 y 2 para el </w:t>
            </w:r>
            <w:r w:rsidRPr="00AD5D04">
              <w:rPr>
                <w:rFonts w:cs="Times New Roman"/>
                <w:i/>
                <w:iCs/>
                <w:spacing w:val="-6"/>
                <w:sz w:val="20"/>
                <w:szCs w:val="20"/>
                <w:lang w:val="es-ES" w:eastAsia="ko-KR"/>
              </w:rPr>
              <w:t>resuelve</w:t>
            </w:r>
            <w:r w:rsidRPr="00AD5D04">
              <w:rPr>
                <w:rFonts w:cs="Times New Roman"/>
                <w:spacing w:val="-6"/>
                <w:sz w:val="20"/>
                <w:szCs w:val="20"/>
                <w:lang w:val="es-ES" w:eastAsia="ko-KR"/>
              </w:rPr>
              <w:t xml:space="preserve"> 1.6</w:t>
            </w:r>
            <w:r w:rsidRPr="00AD5D04">
              <w:rPr>
                <w:spacing w:val="-6"/>
                <w:sz w:val="20"/>
                <w:szCs w:val="20"/>
                <w:lang w:val="es-ES"/>
              </w:rPr>
              <w:t xml:space="preserve"> con el fin de proteger los sistemas del servicio de radiolocalización en el territorio de otras administraciones, en particular los sistemas que funcionan de acuerdo con el número </w:t>
            </w:r>
            <w:r w:rsidRPr="00AD5D04">
              <w:rPr>
                <w:b/>
                <w:bCs/>
                <w:spacing w:val="-6"/>
                <w:sz w:val="20"/>
                <w:szCs w:val="20"/>
                <w:lang w:val="es-ES"/>
              </w:rPr>
              <w:t>5.423</w:t>
            </w:r>
            <w:r w:rsidRPr="00AD5D04">
              <w:rPr>
                <w:spacing w:val="-6"/>
                <w:sz w:val="20"/>
                <w:szCs w:val="20"/>
                <w:lang w:val="es-ES"/>
              </w:rPr>
              <w:t xml:space="preserve">, en la banda de frecuencias 2 700-2 900 MHz, el nivel de la densidad de flujo de potencia (dfp) [combinada] producida por las HIBS en la banda de frecuencias 2 500-2 690 MHz en la superficie de la Tierra en el territorio de otras administraciones no sobrepasará el siguiente límite de emisiones no deseadas salvo que la administración afectada otorgue su acuerdo explícito: </w:t>
            </w:r>
          </w:p>
        </w:tc>
        <w:tc>
          <w:tcPr>
            <w:tcW w:w="3675" w:type="dxa"/>
            <w:tcBorders>
              <w:top w:val="nil"/>
            </w:tcBorders>
          </w:tcPr>
          <w:p w14:paraId="6B80D6B9" w14:textId="02ABDF70" w:rsidR="00A85452" w:rsidRPr="00A85452" w:rsidRDefault="00A85452" w:rsidP="00AD5D04">
            <w:pPr>
              <w:keepNext/>
              <w:keepLines/>
              <w:rPr>
                <w:sz w:val="20"/>
                <w:lang w:val="es-ES" w:eastAsia="ja-JP"/>
              </w:rPr>
            </w:pPr>
            <w:r w:rsidRPr="00D46EA9">
              <w:rPr>
                <w:sz w:val="20"/>
                <w:szCs w:val="20"/>
                <w:lang w:val="es-ES" w:eastAsia="zh-CN"/>
              </w:rPr>
              <w:t xml:space="preserve">La BR no dispone de medios para examinar el límite de emisiones no deseadas, pues no se </w:t>
            </w:r>
            <w:r>
              <w:rPr>
                <w:sz w:val="20"/>
                <w:szCs w:val="20"/>
                <w:lang w:val="es-ES" w:eastAsia="zh-CN"/>
              </w:rPr>
              <w:t>notifica el nivel de emisiones fuera de la banda principal.</w:t>
            </w:r>
          </w:p>
        </w:tc>
        <w:tc>
          <w:tcPr>
            <w:tcW w:w="3561" w:type="dxa"/>
            <w:tcBorders>
              <w:top w:val="nil"/>
            </w:tcBorders>
          </w:tcPr>
          <w:p w14:paraId="48BA61AE" w14:textId="3272E3AF" w:rsidR="00A85452" w:rsidRPr="00A85452" w:rsidRDefault="00A85452" w:rsidP="00AD5D04">
            <w:pPr>
              <w:keepNext/>
              <w:keepLines/>
              <w:rPr>
                <w:sz w:val="20"/>
                <w:lang w:val="es-ES" w:eastAsia="zh-CN"/>
              </w:rPr>
            </w:pPr>
            <w:r w:rsidRPr="00D46EA9">
              <w:rPr>
                <w:rFonts w:cs="Times New Roman"/>
                <w:iCs/>
                <w:sz w:val="20"/>
                <w:szCs w:val="20"/>
                <w:lang w:val="es-ES"/>
              </w:rPr>
              <w:t xml:space="preserve">Compromiso de la administración notificante de cumplir con este </w:t>
            </w:r>
            <w:r>
              <w:rPr>
                <w:rFonts w:cs="Times New Roman"/>
                <w:iCs/>
                <w:sz w:val="20"/>
                <w:szCs w:val="20"/>
                <w:lang w:val="es-ES"/>
              </w:rPr>
              <w:t>límite.</w:t>
            </w:r>
          </w:p>
        </w:tc>
      </w:tr>
      <w:tr w:rsidR="0070319A" w:rsidRPr="004652EA" w14:paraId="0D8A00A8" w14:textId="77777777" w:rsidTr="00840D8C">
        <w:tc>
          <w:tcPr>
            <w:tcW w:w="779" w:type="dxa"/>
            <w:tcBorders>
              <w:top w:val="single" w:sz="4" w:space="0" w:color="auto"/>
              <w:bottom w:val="nil"/>
            </w:tcBorders>
          </w:tcPr>
          <w:p w14:paraId="59EFB2B0" w14:textId="77777777" w:rsidR="0070319A" w:rsidRPr="00221F81" w:rsidRDefault="0070319A" w:rsidP="002D32CF">
            <w:pPr>
              <w:rPr>
                <w:sz w:val="20"/>
                <w:lang w:val="es-ES" w:eastAsia="zh-CN"/>
              </w:rPr>
            </w:pPr>
          </w:p>
        </w:tc>
        <w:tc>
          <w:tcPr>
            <w:tcW w:w="1116" w:type="dxa"/>
            <w:tcBorders>
              <w:bottom w:val="nil"/>
            </w:tcBorders>
          </w:tcPr>
          <w:p w14:paraId="5BA6F383" w14:textId="77777777" w:rsidR="0070319A" w:rsidRPr="00221F81" w:rsidRDefault="0070319A" w:rsidP="002D32CF">
            <w:pPr>
              <w:rPr>
                <w:sz w:val="20"/>
                <w:lang w:val="es-ES" w:eastAsia="ko-KR"/>
              </w:rPr>
            </w:pPr>
          </w:p>
        </w:tc>
        <w:tc>
          <w:tcPr>
            <w:tcW w:w="4904" w:type="dxa"/>
            <w:tcBorders>
              <w:bottom w:val="nil"/>
            </w:tcBorders>
          </w:tcPr>
          <w:p w14:paraId="69314E96" w14:textId="77777777" w:rsidR="0070319A" w:rsidRPr="00221F81" w:rsidRDefault="0070319A" w:rsidP="0070319A">
            <w:pPr>
              <w:pStyle w:val="Default"/>
              <w:keepNext/>
              <w:keepLines/>
              <w:rPr>
                <w:spacing w:val="-6"/>
                <w:sz w:val="20"/>
                <w:szCs w:val="20"/>
                <w:lang w:val="es-ES"/>
              </w:rPr>
            </w:pPr>
            <w:r w:rsidRPr="00221F81">
              <w:rPr>
                <w:spacing w:val="-6"/>
                <w:sz w:val="20"/>
                <w:szCs w:val="20"/>
                <w:lang w:val="es-ES"/>
              </w:rPr>
              <w:t xml:space="preserve">−165,6 dB(W/(m2 · MHz)) para </w:t>
            </w:r>
            <w:r w:rsidRPr="00AD5D04">
              <w:rPr>
                <w:spacing w:val="-6"/>
                <w:sz w:val="20"/>
                <w:szCs w:val="20"/>
              </w:rPr>
              <w:t>θ</w:t>
            </w:r>
            <w:r w:rsidRPr="00221F81">
              <w:rPr>
                <w:spacing w:val="-6"/>
                <w:sz w:val="20"/>
                <w:szCs w:val="20"/>
                <w:lang w:val="es-ES"/>
              </w:rPr>
              <w:t xml:space="preserve"> ≤ 37° </w:t>
            </w:r>
          </w:p>
          <w:p w14:paraId="23A0B6C5" w14:textId="77777777" w:rsidR="0070319A" w:rsidRPr="00CA5590" w:rsidRDefault="0070319A" w:rsidP="0070319A">
            <w:pPr>
              <w:pStyle w:val="Default"/>
              <w:keepNext/>
              <w:keepLines/>
              <w:rPr>
                <w:spacing w:val="-6"/>
                <w:sz w:val="20"/>
                <w:szCs w:val="20"/>
                <w:lang w:val="es-ES"/>
              </w:rPr>
            </w:pPr>
            <w:r w:rsidRPr="00CA5590">
              <w:rPr>
                <w:spacing w:val="-6"/>
                <w:sz w:val="20"/>
                <w:szCs w:val="20"/>
                <w:lang w:val="es-ES"/>
              </w:rPr>
              <w:t>−165,6 + 5,5 (</w:t>
            </w:r>
            <w:r w:rsidRPr="00AD5D04">
              <w:rPr>
                <w:spacing w:val="-6"/>
                <w:sz w:val="20"/>
                <w:szCs w:val="20"/>
              </w:rPr>
              <w:t>θ</w:t>
            </w:r>
            <w:r w:rsidRPr="00CA5590">
              <w:rPr>
                <w:spacing w:val="-6"/>
                <w:sz w:val="20"/>
                <w:szCs w:val="20"/>
                <w:lang w:val="es-ES"/>
              </w:rPr>
              <w:t xml:space="preserve"> − 37) dB(W/(m2 · MHz)) para 37° &lt; </w:t>
            </w:r>
            <w:r w:rsidRPr="00AD5D04">
              <w:rPr>
                <w:spacing w:val="-6"/>
                <w:sz w:val="20"/>
                <w:szCs w:val="20"/>
              </w:rPr>
              <w:t>θ</w:t>
            </w:r>
            <w:r w:rsidRPr="00CA5590">
              <w:rPr>
                <w:spacing w:val="-6"/>
                <w:sz w:val="20"/>
                <w:szCs w:val="20"/>
                <w:lang w:val="es-ES"/>
              </w:rPr>
              <w:t xml:space="preserve"> &lt; 45° </w:t>
            </w:r>
          </w:p>
          <w:p w14:paraId="67907B15" w14:textId="77777777" w:rsidR="0070319A" w:rsidRPr="00CA5590" w:rsidRDefault="0070319A" w:rsidP="0070319A">
            <w:pPr>
              <w:pStyle w:val="Default"/>
              <w:keepNext/>
              <w:keepLines/>
              <w:rPr>
                <w:spacing w:val="-6"/>
                <w:sz w:val="20"/>
                <w:szCs w:val="20"/>
                <w:lang w:val="es-ES"/>
              </w:rPr>
            </w:pPr>
            <w:r w:rsidRPr="00CA5590">
              <w:rPr>
                <w:spacing w:val="-6"/>
                <w:sz w:val="20"/>
                <w:szCs w:val="20"/>
                <w:lang w:val="es-ES"/>
              </w:rPr>
              <w:t>−121,6 + (</w:t>
            </w:r>
            <w:r w:rsidRPr="00AD5D04">
              <w:rPr>
                <w:spacing w:val="-6"/>
                <w:sz w:val="20"/>
                <w:szCs w:val="20"/>
              </w:rPr>
              <w:t>θ</w:t>
            </w:r>
            <w:r w:rsidRPr="00CA5590">
              <w:rPr>
                <w:spacing w:val="-6"/>
                <w:sz w:val="20"/>
                <w:szCs w:val="20"/>
                <w:lang w:val="es-ES"/>
              </w:rPr>
              <w:t xml:space="preserve"> − 45) / 3 dB(W/(m2 · MHz)) para 45° &lt; </w:t>
            </w:r>
            <w:r w:rsidRPr="00AD5D04">
              <w:rPr>
                <w:spacing w:val="-6"/>
                <w:sz w:val="20"/>
                <w:szCs w:val="20"/>
              </w:rPr>
              <w:t>θ</w:t>
            </w:r>
            <w:r w:rsidRPr="00CA5590">
              <w:rPr>
                <w:spacing w:val="-6"/>
                <w:sz w:val="20"/>
                <w:szCs w:val="20"/>
                <w:lang w:val="es-ES"/>
              </w:rPr>
              <w:t xml:space="preserve"> ≤ 90° </w:t>
            </w:r>
          </w:p>
          <w:p w14:paraId="2CCEB477" w14:textId="77777777" w:rsidR="0070319A" w:rsidRPr="00AD5D04" w:rsidRDefault="0070319A" w:rsidP="0070319A">
            <w:pPr>
              <w:pStyle w:val="Default"/>
              <w:keepNext/>
              <w:keepLines/>
              <w:rPr>
                <w:spacing w:val="-6"/>
                <w:sz w:val="20"/>
                <w:szCs w:val="20"/>
                <w:lang w:val="es-ES"/>
              </w:rPr>
            </w:pPr>
            <w:r w:rsidRPr="00AD5D04">
              <w:rPr>
                <w:spacing w:val="-6"/>
                <w:sz w:val="20"/>
                <w:szCs w:val="20"/>
                <w:lang w:val="es-ES"/>
              </w:rPr>
              <w:t xml:space="preserve">siendo </w:t>
            </w:r>
            <w:r w:rsidRPr="00AD5D04">
              <w:rPr>
                <w:spacing w:val="-6"/>
                <w:sz w:val="20"/>
                <w:szCs w:val="20"/>
              </w:rPr>
              <w:t>θ</w:t>
            </w:r>
            <w:r w:rsidRPr="00AD5D04">
              <w:rPr>
                <w:spacing w:val="-6"/>
                <w:sz w:val="20"/>
                <w:szCs w:val="20"/>
                <w:lang w:val="es-ES"/>
              </w:rPr>
              <w:t xml:space="preserve"> el ángulo de incidencia de la onda incidente sobre el plano horizontal, en grados </w:t>
            </w:r>
          </w:p>
          <w:p w14:paraId="2ED8BFCF" w14:textId="10EDF8EC" w:rsidR="0070319A" w:rsidRPr="00AD5D04" w:rsidRDefault="0070319A" w:rsidP="0070319A">
            <w:pPr>
              <w:keepNext/>
              <w:keepLines/>
              <w:rPr>
                <w:iCs/>
                <w:spacing w:val="-6"/>
                <w:sz w:val="20"/>
                <w:lang w:val="es-ES"/>
              </w:rPr>
            </w:pPr>
            <w:r w:rsidRPr="00AD5D04">
              <w:rPr>
                <w:iCs/>
                <w:spacing w:val="-6"/>
                <w:sz w:val="20"/>
                <w:szCs w:val="20"/>
                <w:lang w:val="es-ES"/>
              </w:rPr>
              <w:t xml:space="preserve">Ejemplo 1 para el </w:t>
            </w:r>
            <w:r w:rsidRPr="00AD5D04">
              <w:rPr>
                <w:i/>
                <w:spacing w:val="-6"/>
                <w:sz w:val="20"/>
                <w:szCs w:val="20"/>
                <w:lang w:val="es-ES"/>
              </w:rPr>
              <w:t>resuelve</w:t>
            </w:r>
            <w:r w:rsidRPr="00AD5D04">
              <w:rPr>
                <w:rFonts w:eastAsia="Batang"/>
                <w:i/>
                <w:iCs/>
                <w:spacing w:val="-6"/>
                <w:sz w:val="20"/>
                <w:szCs w:val="20"/>
                <w:lang w:val="es-ES" w:eastAsia="ko-KR"/>
              </w:rPr>
              <w:t xml:space="preserve"> </w:t>
            </w:r>
            <w:r w:rsidRPr="00AD5D04">
              <w:rPr>
                <w:rFonts w:eastAsia="Batang"/>
                <w:spacing w:val="-6"/>
                <w:sz w:val="20"/>
                <w:szCs w:val="20"/>
                <w:lang w:val="es-ES" w:eastAsia="ko-KR"/>
              </w:rPr>
              <w:t>1.7</w:t>
            </w:r>
            <w:r w:rsidRPr="00AD5D04">
              <w:rPr>
                <w:rFonts w:eastAsia="Batang"/>
                <w:spacing w:val="-6"/>
                <w:sz w:val="20"/>
                <w:szCs w:val="20"/>
                <w:lang w:val="es-ES" w:eastAsia="ko-KR"/>
              </w:rPr>
              <w:tab/>
              <w:t>con el fin de proteger las estaciones del servicio de radioastronomía en la banda de frecuencias</w:t>
            </w:r>
            <w:r w:rsidRPr="00AD5D04">
              <w:rPr>
                <w:spacing w:val="-6"/>
                <w:sz w:val="20"/>
                <w:szCs w:val="20"/>
                <w:lang w:val="es-ES"/>
              </w:rPr>
              <w:t xml:space="preserve"> 2 690-2 700 MHz, el nivel de la densidad de flujo de potencia (dfp) producida por cada</w:t>
            </w:r>
            <w:r w:rsidRPr="00AD5D04">
              <w:rPr>
                <w:spacing w:val="-6"/>
                <w:sz w:val="20"/>
                <w:szCs w:val="20"/>
                <w:lang w:val="es-ES" w:eastAsia="ja-JP"/>
              </w:rPr>
              <w:t xml:space="preserve"> HIBS en la banda de frecuencias</w:t>
            </w:r>
            <w:r w:rsidRPr="00AD5D04">
              <w:rPr>
                <w:spacing w:val="-6"/>
                <w:sz w:val="20"/>
                <w:szCs w:val="20"/>
                <w:lang w:val="es-ES"/>
              </w:rPr>
              <w:t xml:space="preserve"> 2 500-2 690 MHz en cualquier observatorio radioastronómico no sobrepasará el siguiente límite de emisiones no deseadas salvo que la administración afectada otorgue su acuerdo explícito</w:t>
            </w:r>
            <w:r w:rsidRPr="00AD5D04">
              <w:rPr>
                <w:rFonts w:eastAsia="Batang"/>
                <w:spacing w:val="-6"/>
                <w:sz w:val="20"/>
                <w:szCs w:val="20"/>
                <w:lang w:val="es-ES" w:eastAsia="ko-KR"/>
              </w:rPr>
              <w:t xml:space="preserve">: </w:t>
            </w:r>
            <w:r w:rsidRPr="00AD5D04">
              <w:rPr>
                <w:rFonts w:eastAsia="Batang"/>
                <w:spacing w:val="-6"/>
                <w:sz w:val="20"/>
                <w:szCs w:val="20"/>
                <w:lang w:val="es-ES"/>
              </w:rPr>
              <w:t>−177 dB(W/(m</w:t>
            </w:r>
            <w:r w:rsidRPr="00AD5D04">
              <w:rPr>
                <w:rFonts w:eastAsia="Batang"/>
                <w:spacing w:val="-6"/>
                <w:sz w:val="20"/>
                <w:szCs w:val="20"/>
                <w:vertAlign w:val="superscript"/>
                <w:lang w:val="es-ES"/>
              </w:rPr>
              <w:t>2</w:t>
            </w:r>
            <w:r w:rsidRPr="00AD5D04">
              <w:rPr>
                <w:rFonts w:eastAsia="Batang"/>
                <w:spacing w:val="-6"/>
                <w:sz w:val="20"/>
                <w:szCs w:val="20"/>
                <w:lang w:val="es-ES"/>
              </w:rPr>
              <w:t> · 10 MHz))</w:t>
            </w:r>
          </w:p>
        </w:tc>
        <w:tc>
          <w:tcPr>
            <w:tcW w:w="3675" w:type="dxa"/>
            <w:tcBorders>
              <w:bottom w:val="nil"/>
            </w:tcBorders>
          </w:tcPr>
          <w:p w14:paraId="4C432C29" w14:textId="77777777" w:rsidR="0070319A" w:rsidRPr="00A85452" w:rsidRDefault="0070319A" w:rsidP="002D32CF">
            <w:pPr>
              <w:rPr>
                <w:iCs/>
                <w:sz w:val="20"/>
                <w:lang w:val="es-ES"/>
              </w:rPr>
            </w:pPr>
          </w:p>
        </w:tc>
        <w:tc>
          <w:tcPr>
            <w:tcW w:w="3561" w:type="dxa"/>
            <w:tcBorders>
              <w:bottom w:val="nil"/>
            </w:tcBorders>
          </w:tcPr>
          <w:p w14:paraId="4801F111" w14:textId="77777777" w:rsidR="0070319A" w:rsidRPr="00A85452" w:rsidRDefault="0070319A" w:rsidP="002D32CF">
            <w:pPr>
              <w:rPr>
                <w:iCs/>
                <w:sz w:val="20"/>
                <w:lang w:val="es-ES"/>
              </w:rPr>
            </w:pPr>
          </w:p>
        </w:tc>
      </w:tr>
      <w:tr w:rsidR="0070319A" w:rsidRPr="004652EA" w14:paraId="358E1D04" w14:textId="77777777" w:rsidTr="00840D8C">
        <w:tc>
          <w:tcPr>
            <w:tcW w:w="779" w:type="dxa"/>
            <w:tcBorders>
              <w:top w:val="nil"/>
            </w:tcBorders>
          </w:tcPr>
          <w:p w14:paraId="25D1425E" w14:textId="77777777" w:rsidR="0070319A" w:rsidRPr="0070319A" w:rsidRDefault="0070319A" w:rsidP="002D32CF">
            <w:pPr>
              <w:rPr>
                <w:sz w:val="20"/>
                <w:lang w:val="es-ES" w:eastAsia="zh-CN"/>
              </w:rPr>
            </w:pPr>
          </w:p>
        </w:tc>
        <w:tc>
          <w:tcPr>
            <w:tcW w:w="1116" w:type="dxa"/>
            <w:tcBorders>
              <w:top w:val="nil"/>
            </w:tcBorders>
          </w:tcPr>
          <w:p w14:paraId="67EBE6B0" w14:textId="77777777" w:rsidR="0070319A" w:rsidRPr="0070319A" w:rsidRDefault="0070319A" w:rsidP="002D32CF">
            <w:pPr>
              <w:rPr>
                <w:sz w:val="20"/>
                <w:lang w:val="es-ES" w:eastAsia="ko-KR"/>
              </w:rPr>
            </w:pPr>
          </w:p>
        </w:tc>
        <w:tc>
          <w:tcPr>
            <w:tcW w:w="4904" w:type="dxa"/>
            <w:tcBorders>
              <w:top w:val="nil"/>
            </w:tcBorders>
          </w:tcPr>
          <w:p w14:paraId="0850377D" w14:textId="2B16D073" w:rsidR="0070319A" w:rsidRPr="00AD5D04" w:rsidRDefault="0070319A" w:rsidP="0070319A">
            <w:pPr>
              <w:keepNext/>
              <w:keepLines/>
              <w:rPr>
                <w:rFonts w:eastAsia="Batang"/>
                <w:spacing w:val="-6"/>
                <w:sz w:val="20"/>
                <w:szCs w:val="20"/>
                <w:lang w:val="es-ES" w:eastAsia="ko-KR"/>
              </w:rPr>
            </w:pPr>
            <w:r w:rsidRPr="00AD5D04">
              <w:rPr>
                <w:iCs/>
                <w:spacing w:val="-6"/>
                <w:sz w:val="20"/>
                <w:szCs w:val="20"/>
                <w:lang w:val="es-ES"/>
              </w:rPr>
              <w:t xml:space="preserve">Ejemplo 2 para el </w:t>
            </w:r>
            <w:r w:rsidRPr="00AD5D04">
              <w:rPr>
                <w:i/>
                <w:spacing w:val="-6"/>
                <w:sz w:val="20"/>
                <w:szCs w:val="20"/>
                <w:lang w:val="es-ES"/>
              </w:rPr>
              <w:t>resuelve</w:t>
            </w:r>
            <w:r w:rsidRPr="00AD5D04">
              <w:rPr>
                <w:rFonts w:eastAsia="Batang"/>
                <w:i/>
                <w:iCs/>
                <w:spacing w:val="-6"/>
                <w:sz w:val="20"/>
                <w:szCs w:val="20"/>
                <w:lang w:val="es-ES" w:eastAsia="ko-KR"/>
              </w:rPr>
              <w:t xml:space="preserve"> </w:t>
            </w:r>
            <w:r w:rsidRPr="00AD5D04">
              <w:rPr>
                <w:rFonts w:eastAsia="Batang"/>
                <w:spacing w:val="-6"/>
                <w:sz w:val="20"/>
                <w:szCs w:val="20"/>
                <w:lang w:val="es-ES" w:eastAsia="ko-KR"/>
              </w:rPr>
              <w:t>1.7 que, para proteger las estaciones de radioastronomía que funcionan en la banda de frecuencias</w:t>
            </w:r>
            <w:r w:rsidRPr="00AD5D04">
              <w:rPr>
                <w:spacing w:val="-6"/>
                <w:sz w:val="20"/>
                <w:szCs w:val="20"/>
                <w:lang w:val="es-ES"/>
              </w:rPr>
              <w:t xml:space="preserve"> 2 690-2 700 MHz de las emisiones no deseadas de las HIBS que funcionan en la banda de frecuencias 2 500-2</w:t>
            </w:r>
            <w:r w:rsidR="004959D1">
              <w:rPr>
                <w:spacing w:val="-6"/>
                <w:sz w:val="20"/>
                <w:szCs w:val="20"/>
                <w:lang w:val="es-ES"/>
              </w:rPr>
              <w:t> </w:t>
            </w:r>
            <w:r w:rsidRPr="00AD5D04">
              <w:rPr>
                <w:spacing w:val="-6"/>
                <w:sz w:val="20"/>
                <w:szCs w:val="20"/>
                <w:lang w:val="es-ES"/>
              </w:rPr>
              <w:t xml:space="preserve">690 MHz, la distancia de separación entre la estación de radioastronomía y el nadir de la plataforma HIBS no sobrepasará el horizonte radioeléctrico para la altitud de funcionamiento específica de la plataforma HIBS (véase también el número </w:t>
            </w:r>
            <w:r w:rsidRPr="00AD5D04">
              <w:rPr>
                <w:b/>
                <w:bCs/>
                <w:spacing w:val="-6"/>
                <w:sz w:val="20"/>
                <w:szCs w:val="20"/>
                <w:lang w:val="es-ES"/>
              </w:rPr>
              <w:t>29.12</w:t>
            </w:r>
            <w:r w:rsidRPr="00AD5D04">
              <w:rPr>
                <w:spacing w:val="-6"/>
                <w:sz w:val="20"/>
                <w:szCs w:val="20"/>
                <w:lang w:val="es-ES"/>
              </w:rPr>
              <w:t>);</w:t>
            </w:r>
          </w:p>
          <w:p w14:paraId="5FFDE645" w14:textId="46DD84C3" w:rsidR="0070319A" w:rsidRPr="000C5AE9" w:rsidRDefault="0070319A" w:rsidP="0070319A">
            <w:pPr>
              <w:rPr>
                <w:iCs/>
                <w:sz w:val="20"/>
                <w:lang w:val="es-ES"/>
              </w:rPr>
            </w:pPr>
            <w:r w:rsidRPr="00AD5D04">
              <w:rPr>
                <w:iCs/>
                <w:spacing w:val="-6"/>
                <w:sz w:val="20"/>
                <w:szCs w:val="20"/>
                <w:lang w:val="es-ES"/>
              </w:rPr>
              <w:t xml:space="preserve">Ejemplos 1 y 2 para el </w:t>
            </w:r>
            <w:r w:rsidRPr="00AD5D04">
              <w:rPr>
                <w:i/>
                <w:spacing w:val="-6"/>
                <w:sz w:val="20"/>
                <w:szCs w:val="20"/>
                <w:lang w:val="es-ES"/>
              </w:rPr>
              <w:t xml:space="preserve">resuelve 1.9: </w:t>
            </w:r>
            <w:r w:rsidRPr="00AD5D04">
              <w:rPr>
                <w:iCs/>
                <w:spacing w:val="-6"/>
                <w:sz w:val="20"/>
                <w:szCs w:val="20"/>
                <w:lang w:val="es-ES"/>
              </w:rPr>
              <w:t>con el fin de proteger el SMS (espacio-Tierra) y el SRDS (espacio-Tierra) en la banda de frecuencias</w:t>
            </w:r>
            <w:r w:rsidRPr="00AD5D04">
              <w:rPr>
                <w:spacing w:val="-6"/>
                <w:sz w:val="20"/>
                <w:szCs w:val="20"/>
                <w:lang w:val="es-ES"/>
              </w:rPr>
              <w:t xml:space="preserve"> 2 483,5-2 500 MHz, la utilización de una plataforma HIBS en la banda de frecuencias 2 500-2 690 MHz cumplirá un límite para las emisiones no deseadas de </w:t>
            </w:r>
            <w:r w:rsidR="004959D1">
              <w:rPr>
                <w:spacing w:val="-6"/>
                <w:sz w:val="20"/>
                <w:szCs w:val="20"/>
                <w:lang w:val="es-ES"/>
              </w:rPr>
              <w:br/>
            </w:r>
            <w:r w:rsidRPr="00AD5D04">
              <w:rPr>
                <w:spacing w:val="-6"/>
                <w:sz w:val="20"/>
                <w:szCs w:val="20"/>
                <w:lang w:val="es-ES"/>
              </w:rPr>
              <w:t xml:space="preserve">[−13 </w:t>
            </w:r>
            <w:proofErr w:type="gramStart"/>
            <w:r w:rsidRPr="00AD5D04">
              <w:rPr>
                <w:spacing w:val="-6"/>
                <w:sz w:val="20"/>
                <w:szCs w:val="20"/>
                <w:lang w:val="es-ES"/>
              </w:rPr>
              <w:t>/</w:t>
            </w:r>
            <w:r w:rsidR="004959D1">
              <w:rPr>
                <w:spacing w:val="-6"/>
                <w:sz w:val="20"/>
                <w:szCs w:val="20"/>
                <w:lang w:val="es-ES"/>
              </w:rPr>
              <w:t xml:space="preserve"> </w:t>
            </w:r>
            <w:r w:rsidRPr="00AD5D04">
              <w:rPr>
                <w:spacing w:val="-6"/>
                <w:sz w:val="20"/>
                <w:szCs w:val="20"/>
                <w:lang w:val="es-ES"/>
              </w:rPr>
              <w:t xml:space="preserve"> −</w:t>
            </w:r>
            <w:proofErr w:type="gramEnd"/>
            <w:r w:rsidRPr="00AD5D04">
              <w:rPr>
                <w:spacing w:val="-6"/>
                <w:sz w:val="20"/>
                <w:szCs w:val="20"/>
                <w:lang w:val="es-ES"/>
              </w:rPr>
              <w:t>30] dBm/MHz en la banda de frecuencias 2 483,5-2 500 MHz</w:t>
            </w:r>
          </w:p>
        </w:tc>
        <w:tc>
          <w:tcPr>
            <w:tcW w:w="3675" w:type="dxa"/>
            <w:tcBorders>
              <w:top w:val="nil"/>
            </w:tcBorders>
          </w:tcPr>
          <w:p w14:paraId="2A77DA55" w14:textId="77777777" w:rsidR="0070319A" w:rsidRPr="00A85452" w:rsidRDefault="0070319A" w:rsidP="002D32CF">
            <w:pPr>
              <w:rPr>
                <w:iCs/>
                <w:sz w:val="20"/>
                <w:lang w:val="es-ES"/>
              </w:rPr>
            </w:pPr>
          </w:p>
        </w:tc>
        <w:tc>
          <w:tcPr>
            <w:tcW w:w="3561" w:type="dxa"/>
            <w:tcBorders>
              <w:top w:val="nil"/>
            </w:tcBorders>
          </w:tcPr>
          <w:p w14:paraId="52FFAC9E" w14:textId="77777777" w:rsidR="0070319A" w:rsidRPr="00A85452" w:rsidRDefault="0070319A" w:rsidP="002D32CF">
            <w:pPr>
              <w:rPr>
                <w:iCs/>
                <w:sz w:val="20"/>
                <w:lang w:val="es-ES"/>
              </w:rPr>
            </w:pPr>
          </w:p>
        </w:tc>
      </w:tr>
      <w:tr w:rsidR="007B2F35" w:rsidRPr="004652EA" w14:paraId="5650A0C6" w14:textId="77777777" w:rsidTr="007D6727">
        <w:tc>
          <w:tcPr>
            <w:tcW w:w="779" w:type="dxa"/>
            <w:tcBorders>
              <w:top w:val="single" w:sz="4" w:space="0" w:color="auto"/>
            </w:tcBorders>
          </w:tcPr>
          <w:p w14:paraId="52FABEE5" w14:textId="77777777" w:rsidR="00D43945" w:rsidRPr="00E34869" w:rsidRDefault="00D43945" w:rsidP="004959D1">
            <w:pPr>
              <w:keepNext/>
              <w:keepLines/>
              <w:rPr>
                <w:sz w:val="20"/>
                <w:lang w:eastAsia="zh-CN"/>
              </w:rPr>
            </w:pPr>
            <w:r w:rsidRPr="00E34869">
              <w:rPr>
                <w:sz w:val="20"/>
                <w:lang w:eastAsia="zh-CN"/>
              </w:rPr>
              <w:lastRenderedPageBreak/>
              <w:t>1.11</w:t>
            </w:r>
          </w:p>
        </w:tc>
        <w:tc>
          <w:tcPr>
            <w:tcW w:w="1116" w:type="dxa"/>
          </w:tcPr>
          <w:p w14:paraId="787A27BC" w14:textId="77777777" w:rsidR="00D43945" w:rsidRPr="00E34869" w:rsidRDefault="00D43945" w:rsidP="004959D1">
            <w:pPr>
              <w:keepNext/>
              <w:keepLines/>
              <w:rPr>
                <w:sz w:val="20"/>
                <w:lang w:eastAsia="ko-KR"/>
              </w:rPr>
            </w:pPr>
            <w:r w:rsidRPr="00E34869">
              <w:rPr>
                <w:sz w:val="20"/>
                <w:lang w:eastAsia="ko-KR"/>
              </w:rPr>
              <w:t>2/1.11/5.3</w:t>
            </w:r>
          </w:p>
          <w:p w14:paraId="0153619E" w14:textId="018D6B02" w:rsidR="00D43945" w:rsidRPr="00E34869" w:rsidRDefault="00D43945" w:rsidP="004959D1">
            <w:pPr>
              <w:keepNext/>
              <w:keepLines/>
              <w:rPr>
                <w:sz w:val="20"/>
                <w:lang w:eastAsia="ko-KR"/>
              </w:rPr>
            </w:pPr>
            <w:r w:rsidRPr="00E34869">
              <w:rPr>
                <w:sz w:val="20"/>
                <w:lang w:eastAsia="ko-KR"/>
              </w:rPr>
              <w:t>M</w:t>
            </w:r>
            <w:r w:rsidR="00A85452">
              <w:rPr>
                <w:sz w:val="20"/>
                <w:lang w:eastAsia="ko-KR"/>
              </w:rPr>
              <w:t>étodos</w:t>
            </w:r>
            <w:r w:rsidRPr="00E34869">
              <w:rPr>
                <w:sz w:val="20"/>
                <w:lang w:eastAsia="ko-KR"/>
              </w:rPr>
              <w:t xml:space="preserve"> C2, C3</w:t>
            </w:r>
          </w:p>
        </w:tc>
        <w:tc>
          <w:tcPr>
            <w:tcW w:w="4904" w:type="dxa"/>
          </w:tcPr>
          <w:p w14:paraId="76D4A9DC" w14:textId="77777777" w:rsidR="00D43945" w:rsidRPr="000C5AE9" w:rsidRDefault="00D43945" w:rsidP="004959D1">
            <w:pPr>
              <w:keepNext/>
              <w:keepLines/>
              <w:rPr>
                <w:iCs/>
                <w:sz w:val="20"/>
                <w:szCs w:val="20"/>
                <w:lang w:val="es-ES"/>
              </w:rPr>
            </w:pPr>
            <w:r w:rsidRPr="000C5AE9">
              <w:rPr>
                <w:iCs/>
                <w:sz w:val="20"/>
                <w:szCs w:val="20"/>
                <w:lang w:val="es-ES"/>
              </w:rPr>
              <w:t xml:space="preserve">MOD </w:t>
            </w:r>
            <w:r w:rsidRPr="000C5AE9">
              <w:rPr>
                <w:b/>
                <w:bCs/>
                <w:iCs/>
                <w:sz w:val="20"/>
                <w:szCs w:val="20"/>
                <w:lang w:val="es-ES"/>
              </w:rPr>
              <w:t>5.364</w:t>
            </w:r>
            <w:r w:rsidRPr="000C5AE9">
              <w:rPr>
                <w:iCs/>
                <w:sz w:val="20"/>
                <w:szCs w:val="20"/>
                <w:lang w:val="es-ES"/>
              </w:rPr>
              <w:t>:</w:t>
            </w:r>
          </w:p>
          <w:p w14:paraId="5785575B" w14:textId="7B715246" w:rsidR="00D43945" w:rsidRPr="00A85452" w:rsidRDefault="00A85452" w:rsidP="004959D1">
            <w:pPr>
              <w:pStyle w:val="Note"/>
              <w:keepNext/>
              <w:keepLines/>
              <w:rPr>
                <w:iCs/>
                <w:sz w:val="20"/>
                <w:szCs w:val="20"/>
                <w:lang w:val="es-ES"/>
              </w:rPr>
            </w:pPr>
            <w:r w:rsidRPr="00A85452">
              <w:rPr>
                <w:sz w:val="20"/>
                <w:szCs w:val="20"/>
                <w:lang w:val="es-ES"/>
              </w:rPr>
              <w:t>Las estaciones del SMSSM que funcionan en los servicios móviles marítimos por satélite en la banda de frecuencias</w:t>
            </w:r>
            <w:r w:rsidR="00D43945" w:rsidRPr="00A85452">
              <w:rPr>
                <w:sz w:val="20"/>
                <w:szCs w:val="20"/>
                <w:lang w:val="es-ES"/>
              </w:rPr>
              <w:t xml:space="preserve"> </w:t>
            </w:r>
            <w:r w:rsidR="00D43945" w:rsidRPr="00A85452">
              <w:rPr>
                <w:rFonts w:eastAsiaTheme="minorEastAsia"/>
                <w:sz w:val="20"/>
                <w:szCs w:val="20"/>
                <w:lang w:val="es-ES"/>
              </w:rPr>
              <w:t>[1</w:t>
            </w:r>
            <w:r w:rsidRPr="00A85452">
              <w:rPr>
                <w:rFonts w:eastAsiaTheme="minorEastAsia"/>
                <w:sz w:val="20"/>
                <w:szCs w:val="20"/>
                <w:lang w:val="es-ES"/>
              </w:rPr>
              <w:t> </w:t>
            </w:r>
            <w:r w:rsidR="00D43945" w:rsidRPr="00A85452">
              <w:rPr>
                <w:rFonts w:eastAsiaTheme="minorEastAsia"/>
                <w:sz w:val="20"/>
                <w:szCs w:val="20"/>
                <w:lang w:val="es-ES"/>
              </w:rPr>
              <w:t>610</w:t>
            </w:r>
            <w:r w:rsidRPr="00A85452">
              <w:rPr>
                <w:rFonts w:eastAsiaTheme="minorEastAsia"/>
                <w:sz w:val="20"/>
                <w:szCs w:val="20"/>
                <w:lang w:val="es-ES"/>
              </w:rPr>
              <w:t>,</w:t>
            </w:r>
            <w:r w:rsidR="00D43945" w:rsidRPr="00A85452">
              <w:rPr>
                <w:rFonts w:eastAsiaTheme="minorEastAsia"/>
                <w:sz w:val="20"/>
                <w:szCs w:val="20"/>
                <w:lang w:val="es-ES"/>
              </w:rPr>
              <w:t>00-1</w:t>
            </w:r>
            <w:r>
              <w:rPr>
                <w:rFonts w:eastAsiaTheme="minorEastAsia"/>
                <w:sz w:val="20"/>
                <w:szCs w:val="20"/>
                <w:lang w:val="es-ES"/>
              </w:rPr>
              <w:t> </w:t>
            </w:r>
            <w:r w:rsidR="00D43945" w:rsidRPr="00A85452">
              <w:rPr>
                <w:rFonts w:eastAsiaTheme="minorEastAsia"/>
                <w:sz w:val="20"/>
                <w:szCs w:val="20"/>
                <w:lang w:val="es-ES"/>
              </w:rPr>
              <w:t>610</w:t>
            </w:r>
            <w:r>
              <w:rPr>
                <w:rFonts w:eastAsiaTheme="minorEastAsia"/>
                <w:sz w:val="20"/>
                <w:szCs w:val="20"/>
                <w:lang w:val="es-ES"/>
              </w:rPr>
              <w:t>,</w:t>
            </w:r>
            <w:r w:rsidR="00D43945" w:rsidRPr="00A85452">
              <w:rPr>
                <w:rFonts w:eastAsiaTheme="minorEastAsia"/>
                <w:sz w:val="20"/>
                <w:szCs w:val="20"/>
                <w:lang w:val="es-ES"/>
              </w:rPr>
              <w:t>5/1 610</w:t>
            </w:r>
            <w:r>
              <w:rPr>
                <w:rFonts w:eastAsiaTheme="minorEastAsia"/>
                <w:sz w:val="20"/>
                <w:szCs w:val="20"/>
                <w:lang w:val="es-ES"/>
              </w:rPr>
              <w:t>,</w:t>
            </w:r>
            <w:r w:rsidR="00D43945" w:rsidRPr="00A85452">
              <w:rPr>
                <w:rFonts w:eastAsiaTheme="minorEastAsia"/>
                <w:sz w:val="20"/>
                <w:szCs w:val="20"/>
                <w:lang w:val="es-ES"/>
              </w:rPr>
              <w:t>18-1</w:t>
            </w:r>
            <w:r>
              <w:rPr>
                <w:rFonts w:eastAsiaTheme="minorEastAsia"/>
                <w:sz w:val="20"/>
                <w:szCs w:val="20"/>
                <w:lang w:val="es-ES"/>
              </w:rPr>
              <w:t> </w:t>
            </w:r>
            <w:r w:rsidR="00D43945" w:rsidRPr="00A85452">
              <w:rPr>
                <w:rFonts w:eastAsiaTheme="minorEastAsia"/>
                <w:sz w:val="20"/>
                <w:szCs w:val="20"/>
                <w:lang w:val="es-ES"/>
              </w:rPr>
              <w:t>618</w:t>
            </w:r>
            <w:r>
              <w:rPr>
                <w:rFonts w:eastAsiaTheme="minorEastAsia"/>
                <w:sz w:val="20"/>
                <w:szCs w:val="20"/>
                <w:lang w:val="es-ES"/>
              </w:rPr>
              <w:t>,</w:t>
            </w:r>
            <w:r w:rsidR="00D43945" w:rsidRPr="00A85452">
              <w:rPr>
                <w:rFonts w:eastAsiaTheme="minorEastAsia"/>
                <w:sz w:val="20"/>
                <w:szCs w:val="20"/>
                <w:lang w:val="es-ES"/>
              </w:rPr>
              <w:t>34] [</w:t>
            </w:r>
            <w:r w:rsidR="00D43945" w:rsidRPr="00A85452">
              <w:rPr>
                <w:sz w:val="20"/>
                <w:szCs w:val="20"/>
                <w:lang w:val="es-ES"/>
              </w:rPr>
              <w:t>1</w:t>
            </w:r>
            <w:r>
              <w:rPr>
                <w:sz w:val="20"/>
                <w:szCs w:val="20"/>
                <w:lang w:val="es-ES"/>
              </w:rPr>
              <w:t> </w:t>
            </w:r>
            <w:r w:rsidR="00D43945" w:rsidRPr="00A85452">
              <w:rPr>
                <w:sz w:val="20"/>
                <w:szCs w:val="20"/>
                <w:lang w:val="es-ES"/>
              </w:rPr>
              <w:t>610</w:t>
            </w:r>
            <w:r>
              <w:rPr>
                <w:sz w:val="20"/>
                <w:szCs w:val="20"/>
                <w:lang w:val="es-ES"/>
              </w:rPr>
              <w:t>,</w:t>
            </w:r>
            <w:r w:rsidR="00D43945" w:rsidRPr="00A85452">
              <w:rPr>
                <w:sz w:val="20"/>
                <w:szCs w:val="20"/>
                <w:lang w:val="es-ES"/>
              </w:rPr>
              <w:t>18-1</w:t>
            </w:r>
            <w:r>
              <w:rPr>
                <w:sz w:val="20"/>
                <w:szCs w:val="20"/>
                <w:lang w:val="es-ES"/>
              </w:rPr>
              <w:t> </w:t>
            </w:r>
            <w:r w:rsidR="00D43945" w:rsidRPr="00A85452">
              <w:rPr>
                <w:sz w:val="20"/>
                <w:szCs w:val="20"/>
                <w:lang w:val="es-ES"/>
              </w:rPr>
              <w:t>621</w:t>
            </w:r>
            <w:r>
              <w:rPr>
                <w:sz w:val="20"/>
                <w:szCs w:val="20"/>
                <w:lang w:val="es-ES"/>
              </w:rPr>
              <w:t>,</w:t>
            </w:r>
            <w:r w:rsidR="00D43945" w:rsidRPr="00A85452">
              <w:rPr>
                <w:sz w:val="20"/>
                <w:szCs w:val="20"/>
                <w:lang w:val="es-ES"/>
              </w:rPr>
              <w:t xml:space="preserve">35] MHz </w:t>
            </w:r>
            <w:r>
              <w:rPr>
                <w:sz w:val="20"/>
                <w:szCs w:val="20"/>
                <w:lang w:val="es-ES"/>
              </w:rPr>
              <w:t>no solicitarán protección contra estaciones que funcionan de conformidad con las disposiciones del número</w:t>
            </w:r>
            <w:r w:rsidR="00D43945" w:rsidRPr="00A85452">
              <w:rPr>
                <w:sz w:val="20"/>
                <w:szCs w:val="20"/>
                <w:lang w:val="es-ES"/>
              </w:rPr>
              <w:t> </w:t>
            </w:r>
            <w:r w:rsidR="00D43945" w:rsidRPr="00A85452">
              <w:rPr>
                <w:rStyle w:val="Artref"/>
                <w:b/>
                <w:bCs/>
                <w:sz w:val="20"/>
                <w:szCs w:val="20"/>
                <w:lang w:val="es-ES"/>
              </w:rPr>
              <w:t>5.367</w:t>
            </w:r>
            <w:r w:rsidR="00D43945" w:rsidRPr="00A85452">
              <w:rPr>
                <w:sz w:val="20"/>
                <w:szCs w:val="20"/>
                <w:lang w:val="es-ES"/>
              </w:rPr>
              <w:t xml:space="preserve">. </w:t>
            </w:r>
          </w:p>
        </w:tc>
        <w:tc>
          <w:tcPr>
            <w:tcW w:w="3675" w:type="dxa"/>
          </w:tcPr>
          <w:p w14:paraId="31751BCC" w14:textId="2A87D454" w:rsidR="00D43945" w:rsidRPr="00A85452" w:rsidRDefault="00A85452" w:rsidP="004959D1">
            <w:pPr>
              <w:keepNext/>
              <w:keepLines/>
              <w:rPr>
                <w:iCs/>
                <w:sz w:val="20"/>
                <w:lang w:val="es-ES"/>
              </w:rPr>
            </w:pPr>
            <w:r w:rsidRPr="00A85452">
              <w:rPr>
                <w:iCs/>
                <w:sz w:val="20"/>
                <w:lang w:val="es-ES"/>
              </w:rPr>
              <w:t xml:space="preserve">La </w:t>
            </w:r>
            <w:r w:rsidR="00D43945" w:rsidRPr="00A85452">
              <w:rPr>
                <w:iCs/>
                <w:sz w:val="20"/>
                <w:lang w:val="es-ES"/>
              </w:rPr>
              <w:t xml:space="preserve">BR </w:t>
            </w:r>
            <w:r w:rsidRPr="00A85452">
              <w:rPr>
                <w:iCs/>
                <w:sz w:val="20"/>
                <w:lang w:val="es-ES"/>
              </w:rPr>
              <w:t>carece de elementos en la notificación que permitan identificar si la esta</w:t>
            </w:r>
            <w:r>
              <w:rPr>
                <w:iCs/>
                <w:sz w:val="20"/>
                <w:lang w:val="es-ES"/>
              </w:rPr>
              <w:t>ción notificada se utiliza o no para el SMSSM</w:t>
            </w:r>
            <w:r w:rsidR="00D43945" w:rsidRPr="00A85452">
              <w:rPr>
                <w:iCs/>
                <w:sz w:val="20"/>
                <w:lang w:val="es-ES"/>
              </w:rPr>
              <w:t>.</w:t>
            </w:r>
          </w:p>
        </w:tc>
        <w:tc>
          <w:tcPr>
            <w:tcW w:w="3561" w:type="dxa"/>
          </w:tcPr>
          <w:p w14:paraId="74B81D80" w14:textId="370CCFE2" w:rsidR="00D43945" w:rsidRPr="00A85452" w:rsidRDefault="00A85452" w:rsidP="004959D1">
            <w:pPr>
              <w:keepNext/>
              <w:keepLines/>
              <w:rPr>
                <w:sz w:val="20"/>
                <w:lang w:val="es-ES" w:eastAsia="zh-CN"/>
              </w:rPr>
            </w:pPr>
            <w:r w:rsidRPr="00A85452">
              <w:rPr>
                <w:rFonts w:cs="Times New Roman"/>
                <w:iCs/>
                <w:sz w:val="20"/>
                <w:szCs w:val="20"/>
                <w:lang w:val="es-ES"/>
              </w:rPr>
              <w:t xml:space="preserve">Añadir al Apéndice </w:t>
            </w:r>
            <w:r w:rsidRPr="00A85452">
              <w:rPr>
                <w:rFonts w:cs="Times New Roman"/>
                <w:b/>
                <w:bCs/>
                <w:iCs/>
                <w:sz w:val="20"/>
                <w:szCs w:val="20"/>
                <w:lang w:val="es-ES"/>
              </w:rPr>
              <w:t xml:space="preserve">4 </w:t>
            </w:r>
            <w:r w:rsidRPr="00A85452">
              <w:rPr>
                <w:rFonts w:cs="Times New Roman"/>
                <w:iCs/>
                <w:sz w:val="20"/>
                <w:szCs w:val="20"/>
                <w:lang w:val="es-ES"/>
              </w:rPr>
              <w:t>un nuevo elemento – indicación de que la es</w:t>
            </w:r>
            <w:r>
              <w:rPr>
                <w:rFonts w:cs="Times New Roman"/>
                <w:iCs/>
                <w:sz w:val="20"/>
                <w:szCs w:val="20"/>
                <w:lang w:val="es-ES"/>
              </w:rPr>
              <w:t>tación se utiliza para el SMSSM</w:t>
            </w:r>
          </w:p>
        </w:tc>
      </w:tr>
      <w:tr w:rsidR="007B2F35" w:rsidRPr="004652EA" w14:paraId="0FFD8E27" w14:textId="77777777" w:rsidTr="007D6727">
        <w:tc>
          <w:tcPr>
            <w:tcW w:w="779" w:type="dxa"/>
          </w:tcPr>
          <w:p w14:paraId="6E34ADB5" w14:textId="77777777" w:rsidR="00D43945" w:rsidRPr="00E34869" w:rsidRDefault="00D43945" w:rsidP="002D32CF">
            <w:pPr>
              <w:rPr>
                <w:lang w:eastAsia="zh-CN"/>
              </w:rPr>
            </w:pPr>
            <w:r w:rsidRPr="00E34869">
              <w:rPr>
                <w:sz w:val="20"/>
                <w:szCs w:val="20"/>
                <w:lang w:eastAsia="zh-CN"/>
              </w:rPr>
              <w:t>1.16</w:t>
            </w:r>
          </w:p>
        </w:tc>
        <w:tc>
          <w:tcPr>
            <w:tcW w:w="1116" w:type="dxa"/>
          </w:tcPr>
          <w:p w14:paraId="75F8FA87" w14:textId="7BD0D34F" w:rsidR="00D43945" w:rsidRPr="00E34869" w:rsidRDefault="00D43945" w:rsidP="002D32CF">
            <w:pPr>
              <w:rPr>
                <w:rFonts w:cs="Times New Roman"/>
                <w:sz w:val="20"/>
                <w:szCs w:val="20"/>
                <w:lang w:eastAsia="ko-KR"/>
              </w:rPr>
            </w:pPr>
            <w:bookmarkStart w:id="17" w:name="_Toc119592851"/>
            <w:r w:rsidRPr="00E34869">
              <w:rPr>
                <w:rFonts w:cs="Times New Roman"/>
                <w:sz w:val="20"/>
                <w:szCs w:val="20"/>
                <w:lang w:eastAsia="ko-KR"/>
              </w:rPr>
              <w:t>4/1.16/5.2  M</w:t>
            </w:r>
            <w:r w:rsidR="00A85452">
              <w:rPr>
                <w:rFonts w:cs="Times New Roman"/>
                <w:sz w:val="20"/>
                <w:szCs w:val="20"/>
                <w:lang w:eastAsia="ko-KR"/>
              </w:rPr>
              <w:t>étodo</w:t>
            </w:r>
            <w:r w:rsidRPr="00E34869">
              <w:rPr>
                <w:rFonts w:cs="Times New Roman"/>
                <w:sz w:val="20"/>
                <w:szCs w:val="20"/>
                <w:lang w:eastAsia="ko-KR"/>
              </w:rPr>
              <w:t xml:space="preserve"> B</w:t>
            </w:r>
            <w:bookmarkEnd w:id="17"/>
          </w:p>
          <w:p w14:paraId="6BAFFDF5" w14:textId="77777777" w:rsidR="00D43945" w:rsidRPr="00E34869" w:rsidRDefault="00D43945" w:rsidP="002D32CF">
            <w:pPr>
              <w:rPr>
                <w:rFonts w:cs="Times New Roman"/>
                <w:sz w:val="20"/>
                <w:szCs w:val="20"/>
                <w:lang w:eastAsia="ko-KR"/>
              </w:rPr>
            </w:pPr>
          </w:p>
        </w:tc>
        <w:tc>
          <w:tcPr>
            <w:tcW w:w="4904" w:type="dxa"/>
          </w:tcPr>
          <w:p w14:paraId="59AE9604" w14:textId="6631C897" w:rsidR="00D43945" w:rsidRPr="00A85452" w:rsidRDefault="00D43945" w:rsidP="002D32CF">
            <w:pPr>
              <w:rPr>
                <w:b/>
                <w:bCs/>
                <w:iCs/>
                <w:sz w:val="20"/>
                <w:lang w:val="es-ES"/>
              </w:rPr>
            </w:pPr>
            <w:r w:rsidRPr="00A85452">
              <w:rPr>
                <w:iCs/>
                <w:sz w:val="20"/>
                <w:lang w:val="es-ES"/>
              </w:rPr>
              <w:t>Anex</w:t>
            </w:r>
            <w:r w:rsidR="00A85452" w:rsidRPr="00A85452">
              <w:rPr>
                <w:iCs/>
                <w:sz w:val="20"/>
                <w:lang w:val="es-ES"/>
              </w:rPr>
              <w:t>o</w:t>
            </w:r>
            <w:r w:rsidRPr="00A85452">
              <w:rPr>
                <w:iCs/>
                <w:sz w:val="20"/>
                <w:lang w:val="es-ES"/>
              </w:rPr>
              <w:t xml:space="preserve"> 1, Part</w:t>
            </w:r>
            <w:r w:rsidR="00A85452" w:rsidRPr="00A85452">
              <w:rPr>
                <w:iCs/>
                <w:sz w:val="20"/>
                <w:lang w:val="es-ES"/>
              </w:rPr>
              <w:t>e</w:t>
            </w:r>
            <w:r w:rsidRPr="00A85452">
              <w:rPr>
                <w:iCs/>
                <w:sz w:val="20"/>
                <w:lang w:val="es-ES"/>
              </w:rPr>
              <w:t xml:space="preserve"> 2 </w:t>
            </w:r>
            <w:r w:rsidR="00A85452" w:rsidRPr="00A85452">
              <w:rPr>
                <w:iCs/>
                <w:sz w:val="20"/>
                <w:lang w:val="es-ES"/>
              </w:rPr>
              <w:t>del proyecto de nu</w:t>
            </w:r>
            <w:r w:rsidR="00A85452">
              <w:rPr>
                <w:iCs/>
                <w:sz w:val="20"/>
                <w:lang w:val="es-ES"/>
              </w:rPr>
              <w:t>eva Resolución</w:t>
            </w:r>
            <w:r w:rsidR="00B3776C">
              <w:rPr>
                <w:iCs/>
                <w:sz w:val="20"/>
                <w:lang w:val="es-ES"/>
              </w:rPr>
              <w:t> </w:t>
            </w:r>
            <w:r w:rsidRPr="00A85452">
              <w:rPr>
                <w:b/>
                <w:bCs/>
                <w:iCs/>
                <w:sz w:val="20"/>
                <w:lang w:val="es-ES"/>
              </w:rPr>
              <w:t>[A116]</w:t>
            </w:r>
          </w:p>
          <w:p w14:paraId="19BDF497" w14:textId="2D453D69" w:rsidR="00D43945" w:rsidRPr="00A85452" w:rsidRDefault="00D43945" w:rsidP="002D32CF">
            <w:pPr>
              <w:rPr>
                <w:iCs/>
                <w:sz w:val="20"/>
                <w:lang w:val="es-ES"/>
              </w:rPr>
            </w:pPr>
            <w:r w:rsidRPr="00A85452">
              <w:rPr>
                <w:iCs/>
                <w:sz w:val="20"/>
                <w:lang w:val="es-ES"/>
              </w:rPr>
              <w:t>Anex</w:t>
            </w:r>
            <w:r w:rsidR="00A85452" w:rsidRPr="00A85452">
              <w:rPr>
                <w:iCs/>
                <w:sz w:val="20"/>
                <w:lang w:val="es-ES"/>
              </w:rPr>
              <w:t>o</w:t>
            </w:r>
            <w:r w:rsidRPr="00A85452">
              <w:rPr>
                <w:iCs/>
                <w:sz w:val="20"/>
                <w:lang w:val="es-ES"/>
              </w:rPr>
              <w:t xml:space="preserve"> 2 </w:t>
            </w:r>
            <w:r w:rsidR="00A85452" w:rsidRPr="00A85452">
              <w:rPr>
                <w:iCs/>
                <w:sz w:val="20"/>
                <w:lang w:val="es-ES"/>
              </w:rPr>
              <w:t>del proyecto de nueva Resol</w:t>
            </w:r>
            <w:r w:rsidR="00A85452">
              <w:rPr>
                <w:iCs/>
                <w:sz w:val="20"/>
                <w:lang w:val="es-ES"/>
              </w:rPr>
              <w:t>ución</w:t>
            </w:r>
            <w:r w:rsidRPr="00A85452">
              <w:rPr>
                <w:iCs/>
                <w:sz w:val="20"/>
                <w:lang w:val="es-ES"/>
              </w:rPr>
              <w:t xml:space="preserve"> </w:t>
            </w:r>
            <w:r w:rsidRPr="00A85452">
              <w:rPr>
                <w:b/>
                <w:bCs/>
                <w:iCs/>
                <w:sz w:val="20"/>
                <w:lang w:val="es-ES"/>
              </w:rPr>
              <w:t>[A116]</w:t>
            </w:r>
          </w:p>
        </w:tc>
        <w:tc>
          <w:tcPr>
            <w:tcW w:w="3675" w:type="dxa"/>
          </w:tcPr>
          <w:p w14:paraId="275D163B" w14:textId="29CD72AC" w:rsidR="00D43945" w:rsidRPr="006B6127" w:rsidRDefault="00D43945" w:rsidP="002D32CF">
            <w:pPr>
              <w:rPr>
                <w:iCs/>
                <w:sz w:val="20"/>
                <w:lang w:val="es-ES"/>
              </w:rPr>
            </w:pPr>
            <w:r w:rsidRPr="006B6127">
              <w:rPr>
                <w:iCs/>
                <w:sz w:val="20"/>
                <w:lang w:val="es-ES"/>
              </w:rPr>
              <w:t xml:space="preserve">1) </w:t>
            </w:r>
            <w:r w:rsidR="006B6127" w:rsidRPr="006B6127">
              <w:rPr>
                <w:iCs/>
                <w:sz w:val="20"/>
                <w:lang w:val="es-ES"/>
              </w:rPr>
              <w:t xml:space="preserve">En la </w:t>
            </w:r>
            <w:r w:rsidRPr="006B6127">
              <w:rPr>
                <w:iCs/>
                <w:sz w:val="20"/>
                <w:lang w:val="es-ES"/>
              </w:rPr>
              <w:t>Sec</w:t>
            </w:r>
            <w:r w:rsidR="006B6127" w:rsidRPr="006B6127">
              <w:rPr>
                <w:iCs/>
                <w:sz w:val="20"/>
                <w:lang w:val="es-ES"/>
              </w:rPr>
              <w:t>ción</w:t>
            </w:r>
            <w:r w:rsidRPr="006B6127">
              <w:rPr>
                <w:iCs/>
                <w:sz w:val="20"/>
                <w:lang w:val="es-ES"/>
              </w:rPr>
              <w:t xml:space="preserve"> 2.1 </w:t>
            </w:r>
            <w:r w:rsidR="006B6127" w:rsidRPr="006B6127">
              <w:rPr>
                <w:iCs/>
                <w:sz w:val="20"/>
                <w:lang w:val="es-ES"/>
              </w:rPr>
              <w:t>del Anexo</w:t>
            </w:r>
            <w:r w:rsidRPr="006B6127">
              <w:rPr>
                <w:iCs/>
                <w:sz w:val="20"/>
                <w:lang w:val="es-ES"/>
              </w:rPr>
              <w:t xml:space="preserve"> 1, Part</w:t>
            </w:r>
            <w:r w:rsidR="006B6127" w:rsidRPr="006B6127">
              <w:rPr>
                <w:iCs/>
                <w:sz w:val="20"/>
                <w:lang w:val="es-ES"/>
              </w:rPr>
              <w:t>e</w:t>
            </w:r>
            <w:r w:rsidRPr="006B6127">
              <w:rPr>
                <w:iCs/>
                <w:sz w:val="20"/>
                <w:lang w:val="es-ES"/>
              </w:rPr>
              <w:t xml:space="preserve"> 2 </w:t>
            </w:r>
            <w:r w:rsidR="006B6127" w:rsidRPr="006B6127">
              <w:rPr>
                <w:iCs/>
                <w:sz w:val="20"/>
                <w:lang w:val="es-ES"/>
              </w:rPr>
              <w:t>del proyecto de nueva Resolución</w:t>
            </w:r>
            <w:r w:rsidRPr="006B6127">
              <w:rPr>
                <w:iCs/>
                <w:sz w:val="20"/>
                <w:lang w:val="es-ES"/>
              </w:rPr>
              <w:t xml:space="preserve"> </w:t>
            </w:r>
            <w:r w:rsidRPr="006B6127">
              <w:rPr>
                <w:b/>
                <w:bCs/>
                <w:iCs/>
                <w:sz w:val="20"/>
                <w:lang w:val="es-ES"/>
              </w:rPr>
              <w:t>[A116]</w:t>
            </w:r>
            <w:r w:rsidRPr="006B6127">
              <w:rPr>
                <w:iCs/>
                <w:sz w:val="20"/>
                <w:lang w:val="es-ES"/>
              </w:rPr>
              <w:t xml:space="preserve"> </w:t>
            </w:r>
            <w:r w:rsidR="006B6127" w:rsidRPr="006B6127">
              <w:rPr>
                <w:iCs/>
                <w:sz w:val="20"/>
                <w:lang w:val="es-ES"/>
              </w:rPr>
              <w:t>s</w:t>
            </w:r>
            <w:r w:rsidR="006B6127">
              <w:rPr>
                <w:iCs/>
                <w:sz w:val="20"/>
                <w:lang w:val="es-ES"/>
              </w:rPr>
              <w:t>e dan dos anchos de banda de referencia</w:t>
            </w:r>
            <w:r w:rsidRPr="006B6127">
              <w:rPr>
                <w:iCs/>
                <w:sz w:val="20"/>
                <w:lang w:val="es-ES"/>
              </w:rPr>
              <w:t xml:space="preserve"> (14 MHz </w:t>
            </w:r>
            <w:r w:rsidR="006B6127">
              <w:rPr>
                <w:iCs/>
                <w:sz w:val="20"/>
                <w:lang w:val="es-ES"/>
              </w:rPr>
              <w:t>y</w:t>
            </w:r>
            <w:r w:rsidRPr="006B6127">
              <w:rPr>
                <w:iCs/>
                <w:sz w:val="20"/>
                <w:lang w:val="es-ES"/>
              </w:rPr>
              <w:t xml:space="preserve"> 1 MHz) </w:t>
            </w:r>
            <w:r w:rsidR="006B6127">
              <w:rPr>
                <w:iCs/>
                <w:sz w:val="20"/>
                <w:lang w:val="es-ES"/>
              </w:rPr>
              <w:t>al haber dos opciones para la altitud: igual o superior a</w:t>
            </w:r>
            <w:r w:rsidRPr="006B6127">
              <w:rPr>
                <w:iCs/>
                <w:sz w:val="20"/>
                <w:lang w:val="es-ES"/>
              </w:rPr>
              <w:t xml:space="preserve"> 3 km. </w:t>
            </w:r>
            <w:r w:rsidR="006B6127" w:rsidRPr="006B6127">
              <w:rPr>
                <w:iCs/>
                <w:sz w:val="20"/>
                <w:lang w:val="es-ES"/>
              </w:rPr>
              <w:t>Dado que la metodología consiste en comparar la p.i.r.e. a distintas altitudes, sería necesario ajustar el ancho de banda de</w:t>
            </w:r>
            <w:r w:rsidR="006B6127">
              <w:rPr>
                <w:iCs/>
                <w:sz w:val="20"/>
                <w:lang w:val="es-ES"/>
              </w:rPr>
              <w:t xml:space="preserve"> referencia para el límite de dfp de</w:t>
            </w:r>
            <w:r w:rsidRPr="006B6127">
              <w:rPr>
                <w:iCs/>
                <w:sz w:val="20"/>
                <w:lang w:val="es-ES"/>
              </w:rPr>
              <w:t xml:space="preserve"> 14</w:t>
            </w:r>
            <w:r w:rsidR="00456251">
              <w:rPr>
                <w:iCs/>
                <w:sz w:val="20"/>
                <w:lang w:val="es-ES"/>
              </w:rPr>
              <w:t> </w:t>
            </w:r>
            <w:r w:rsidRPr="006B6127">
              <w:rPr>
                <w:iCs/>
                <w:sz w:val="20"/>
                <w:lang w:val="es-ES"/>
              </w:rPr>
              <w:t xml:space="preserve">MHz </w:t>
            </w:r>
            <w:r w:rsidR="006B6127">
              <w:rPr>
                <w:iCs/>
                <w:sz w:val="20"/>
                <w:lang w:val="es-ES"/>
              </w:rPr>
              <w:t>a</w:t>
            </w:r>
            <w:r w:rsidRPr="006B6127">
              <w:rPr>
                <w:iCs/>
                <w:sz w:val="20"/>
                <w:lang w:val="es-ES"/>
              </w:rPr>
              <w:t xml:space="preserve"> 1 MHz</w:t>
            </w:r>
            <w:r w:rsidR="006B6127">
              <w:rPr>
                <w:iCs/>
                <w:sz w:val="20"/>
                <w:lang w:val="es-ES"/>
              </w:rPr>
              <w:t>, que es también el que se utiliza para altitudes inferiores a</w:t>
            </w:r>
            <w:r w:rsidRPr="006B6127">
              <w:rPr>
                <w:iCs/>
                <w:sz w:val="20"/>
                <w:lang w:val="es-ES"/>
              </w:rPr>
              <w:t xml:space="preserve"> 3 km.</w:t>
            </w:r>
          </w:p>
          <w:p w14:paraId="392A92F3" w14:textId="2D8078B6" w:rsidR="00D43945" w:rsidRPr="006B6127" w:rsidRDefault="00D43945" w:rsidP="002D32CF">
            <w:pPr>
              <w:rPr>
                <w:iCs/>
                <w:sz w:val="20"/>
                <w:lang w:val="es-ES"/>
              </w:rPr>
            </w:pPr>
            <w:r w:rsidRPr="006B6127">
              <w:rPr>
                <w:iCs/>
                <w:sz w:val="20"/>
                <w:lang w:val="es-ES"/>
              </w:rPr>
              <w:t xml:space="preserve">2) </w:t>
            </w:r>
            <w:r w:rsidR="006B6127" w:rsidRPr="006B6127">
              <w:rPr>
                <w:iCs/>
                <w:sz w:val="20"/>
                <w:lang w:val="es-ES"/>
              </w:rPr>
              <w:t>En la Sección</w:t>
            </w:r>
            <w:r w:rsidRPr="006B6127">
              <w:rPr>
                <w:iCs/>
                <w:sz w:val="20"/>
                <w:lang w:val="es-ES"/>
              </w:rPr>
              <w:t xml:space="preserve"> 2.3 </w:t>
            </w:r>
            <w:r w:rsidR="006B6127" w:rsidRPr="006B6127">
              <w:rPr>
                <w:iCs/>
                <w:sz w:val="20"/>
                <w:lang w:val="es-ES"/>
              </w:rPr>
              <w:t>del Anexo</w:t>
            </w:r>
            <w:r w:rsidRPr="006B6127">
              <w:rPr>
                <w:iCs/>
                <w:sz w:val="20"/>
                <w:lang w:val="es-ES"/>
              </w:rPr>
              <w:t xml:space="preserve"> 1, Part</w:t>
            </w:r>
            <w:r w:rsidR="006B6127" w:rsidRPr="006B6127">
              <w:rPr>
                <w:iCs/>
                <w:sz w:val="20"/>
                <w:lang w:val="es-ES"/>
              </w:rPr>
              <w:t>e</w:t>
            </w:r>
            <w:r w:rsidRPr="006B6127">
              <w:rPr>
                <w:iCs/>
                <w:sz w:val="20"/>
                <w:lang w:val="es-ES"/>
              </w:rPr>
              <w:t xml:space="preserve"> 2 </w:t>
            </w:r>
            <w:r w:rsidR="006B6127" w:rsidRPr="006B6127">
              <w:rPr>
                <w:iCs/>
                <w:sz w:val="20"/>
                <w:lang w:val="es-ES"/>
              </w:rPr>
              <w:t>del proyecto de nueva Resolución</w:t>
            </w:r>
            <w:r w:rsidRPr="006B6127">
              <w:rPr>
                <w:iCs/>
                <w:sz w:val="20"/>
                <w:lang w:val="es-ES"/>
              </w:rPr>
              <w:t xml:space="preserve"> </w:t>
            </w:r>
            <w:r w:rsidRPr="006B6127">
              <w:rPr>
                <w:b/>
                <w:bCs/>
                <w:iCs/>
                <w:sz w:val="20"/>
                <w:lang w:val="es-ES"/>
              </w:rPr>
              <w:t>[A116]</w:t>
            </w:r>
            <w:r w:rsidRPr="006B6127">
              <w:rPr>
                <w:iCs/>
                <w:sz w:val="20"/>
                <w:lang w:val="es-ES"/>
              </w:rPr>
              <w:t xml:space="preserve"> </w:t>
            </w:r>
            <w:r w:rsidR="006B6127">
              <w:rPr>
                <w:iCs/>
                <w:sz w:val="20"/>
                <w:lang w:val="es-ES"/>
              </w:rPr>
              <w:t>se presenta una figura para la atenuación debida al fuselaje, mientras que el modelo de atenuación debida al fuselaje presentado en el Anexo 2 (Metodología) se define mediante fórmulas</w:t>
            </w:r>
            <w:r w:rsidRPr="006B6127">
              <w:rPr>
                <w:iCs/>
                <w:sz w:val="20"/>
                <w:lang w:val="es-ES"/>
              </w:rPr>
              <w:t xml:space="preserve">. </w:t>
            </w:r>
          </w:p>
          <w:p w14:paraId="315452FD" w14:textId="1EE767B0" w:rsidR="00D43945" w:rsidRPr="006B6127" w:rsidRDefault="00D43945" w:rsidP="002D32CF">
            <w:pPr>
              <w:rPr>
                <w:b/>
                <w:bCs/>
                <w:iCs/>
                <w:sz w:val="20"/>
                <w:lang w:val="es-ES"/>
              </w:rPr>
            </w:pPr>
            <w:r w:rsidRPr="006B6127">
              <w:rPr>
                <w:iCs/>
                <w:sz w:val="20"/>
                <w:lang w:val="es-ES"/>
              </w:rPr>
              <w:t xml:space="preserve">3) </w:t>
            </w:r>
            <w:r w:rsidR="006B6127" w:rsidRPr="006B6127">
              <w:rPr>
                <w:iCs/>
                <w:sz w:val="20"/>
                <w:lang w:val="es-ES"/>
              </w:rPr>
              <w:t>En la Sección</w:t>
            </w:r>
            <w:r w:rsidRPr="006B6127">
              <w:rPr>
                <w:iCs/>
                <w:sz w:val="20"/>
                <w:lang w:val="es-ES"/>
              </w:rPr>
              <w:t xml:space="preserve"> 2.3 </w:t>
            </w:r>
            <w:r w:rsidR="006B6127" w:rsidRPr="006B6127">
              <w:rPr>
                <w:iCs/>
                <w:sz w:val="20"/>
                <w:lang w:val="es-ES"/>
              </w:rPr>
              <w:t>del Anexo 1, Parte 2 del proyecto de nueva Resolución</w:t>
            </w:r>
            <w:r w:rsidRPr="006B6127">
              <w:rPr>
                <w:iCs/>
                <w:sz w:val="20"/>
                <w:lang w:val="es-ES"/>
              </w:rPr>
              <w:t xml:space="preserve"> </w:t>
            </w:r>
            <w:r w:rsidRPr="006B6127">
              <w:rPr>
                <w:b/>
                <w:bCs/>
                <w:iCs/>
                <w:sz w:val="20"/>
                <w:lang w:val="es-ES"/>
              </w:rPr>
              <w:t>[A116]</w:t>
            </w:r>
            <w:r w:rsidRPr="006B6127">
              <w:rPr>
                <w:iCs/>
                <w:sz w:val="20"/>
                <w:lang w:val="es-ES"/>
              </w:rPr>
              <w:t xml:space="preserve"> </w:t>
            </w:r>
            <w:r w:rsidR="006B6127" w:rsidRPr="006B6127">
              <w:rPr>
                <w:iCs/>
                <w:sz w:val="20"/>
                <w:lang w:val="es-ES"/>
              </w:rPr>
              <w:t>s</w:t>
            </w:r>
            <w:r w:rsidR="006B6127">
              <w:rPr>
                <w:iCs/>
                <w:sz w:val="20"/>
                <w:lang w:val="es-ES"/>
              </w:rPr>
              <w:t>e hace referencia al modelo de propagación en el espacio libre, mientras que el Anexo 2 (Metodología) contiene un procedimiento para calcular también la atenuación atmosférica</w:t>
            </w:r>
            <w:r w:rsidRPr="006B6127">
              <w:rPr>
                <w:iCs/>
                <w:sz w:val="20"/>
                <w:lang w:val="es-ES"/>
              </w:rPr>
              <w:t>.</w:t>
            </w:r>
          </w:p>
          <w:p w14:paraId="0B007E2B" w14:textId="7DBC6DA1" w:rsidR="00D43945" w:rsidRPr="00AE114F" w:rsidRDefault="00D43945" w:rsidP="002D32CF">
            <w:pPr>
              <w:rPr>
                <w:sz w:val="20"/>
                <w:lang w:val="es-ES"/>
              </w:rPr>
            </w:pPr>
            <w:r w:rsidRPr="006B6127">
              <w:rPr>
                <w:sz w:val="20"/>
                <w:lang w:val="es-ES"/>
              </w:rPr>
              <w:lastRenderedPageBreak/>
              <w:t xml:space="preserve">4) </w:t>
            </w:r>
            <w:r w:rsidR="006B6127" w:rsidRPr="006B6127">
              <w:rPr>
                <w:sz w:val="20"/>
                <w:lang w:val="es-ES"/>
              </w:rPr>
              <w:t>En la Sección 4, Ejemplo de aplicación de la metodología, del Anexo 2, Parte 2 del proyecto de nueva Resolución</w:t>
            </w:r>
            <w:r w:rsidRPr="006B6127">
              <w:rPr>
                <w:iCs/>
                <w:sz w:val="20"/>
                <w:lang w:val="es-ES"/>
              </w:rPr>
              <w:t xml:space="preserve"> </w:t>
            </w:r>
            <w:r w:rsidRPr="006B6127">
              <w:rPr>
                <w:b/>
                <w:bCs/>
                <w:iCs/>
                <w:sz w:val="20"/>
                <w:lang w:val="es-ES"/>
              </w:rPr>
              <w:t>[A116]</w:t>
            </w:r>
            <w:r w:rsidR="00AE114F">
              <w:rPr>
                <w:iCs/>
                <w:sz w:val="20"/>
                <w:lang w:val="es-ES"/>
              </w:rPr>
              <w:t>, el texto tras los dos Cuadros</w:t>
            </w:r>
            <w:r w:rsidRPr="006B6127">
              <w:rPr>
                <w:iCs/>
                <w:sz w:val="20"/>
                <w:lang w:val="es-ES"/>
              </w:rPr>
              <w:t xml:space="preserve"> A2-10 impli</w:t>
            </w:r>
            <w:r w:rsidR="00AE114F">
              <w:rPr>
                <w:iCs/>
                <w:sz w:val="20"/>
                <w:lang w:val="es-ES"/>
              </w:rPr>
              <w:t xml:space="preserve">ca que la Oficina otorgará una conclusión favorable si al menos una emisión se considera favorable (y la otra es desfavorable). </w:t>
            </w:r>
            <w:r w:rsidR="00AE114F" w:rsidRPr="00AE114F">
              <w:rPr>
                <w:iCs/>
                <w:sz w:val="20"/>
                <w:lang w:val="es-ES"/>
              </w:rPr>
              <w:t xml:space="preserve">Tal proceder es contrario a la práctica habitual de la Oficina, que otorga sus conclusiones a las </w:t>
            </w:r>
            <w:r w:rsidR="00AE114F">
              <w:rPr>
                <w:iCs/>
                <w:sz w:val="20"/>
                <w:lang w:val="es-ES"/>
              </w:rPr>
              <w:t>asignaciones de frecuencias (es decir, que las emisiones desfavorables se eliminan del grupo con conclusión favorable</w:t>
            </w:r>
            <w:r w:rsidRPr="00AE114F">
              <w:rPr>
                <w:iCs/>
                <w:sz w:val="20"/>
                <w:lang w:val="es-ES"/>
              </w:rPr>
              <w:t>).</w:t>
            </w:r>
          </w:p>
          <w:p w14:paraId="2CF4EB53" w14:textId="67980A72" w:rsidR="00D43945" w:rsidRPr="00AE114F" w:rsidRDefault="00D43945" w:rsidP="002D32CF">
            <w:pPr>
              <w:rPr>
                <w:iCs/>
                <w:sz w:val="20"/>
                <w:lang w:val="es-ES"/>
              </w:rPr>
            </w:pPr>
            <w:r w:rsidRPr="00AE114F">
              <w:rPr>
                <w:iCs/>
                <w:sz w:val="20"/>
                <w:lang w:val="es-ES"/>
              </w:rPr>
              <w:t xml:space="preserve">5) </w:t>
            </w:r>
            <w:r w:rsidR="00AE114F" w:rsidRPr="00AE114F">
              <w:rPr>
                <w:iCs/>
                <w:sz w:val="20"/>
                <w:lang w:val="es-ES"/>
              </w:rPr>
              <w:t>Recientemente la Comisión de Estudio</w:t>
            </w:r>
            <w:r w:rsidR="002505D0">
              <w:rPr>
                <w:iCs/>
                <w:sz w:val="20"/>
                <w:lang w:val="es-ES"/>
              </w:rPr>
              <w:t> </w:t>
            </w:r>
            <w:r w:rsidR="00AE114F" w:rsidRPr="00AE114F">
              <w:rPr>
                <w:iCs/>
                <w:sz w:val="20"/>
                <w:lang w:val="es-ES"/>
              </w:rPr>
              <w:t xml:space="preserve">4 del UIT-R preparó un </w:t>
            </w:r>
            <w:r w:rsidR="00AE114F" w:rsidRPr="00AE114F">
              <w:rPr>
                <w:i/>
                <w:sz w:val="20"/>
                <w:lang w:val="es-ES"/>
              </w:rPr>
              <w:t>proyecto de nueva Recomendación UIT</w:t>
            </w:r>
            <w:r w:rsidRPr="00AE114F">
              <w:rPr>
                <w:i/>
                <w:sz w:val="20"/>
                <w:lang w:val="es-ES"/>
              </w:rPr>
              <w:t>-R S.[method]</w:t>
            </w:r>
            <w:r w:rsidRPr="00AE114F">
              <w:rPr>
                <w:iCs/>
                <w:sz w:val="20"/>
                <w:lang w:val="es-ES"/>
              </w:rPr>
              <w:t xml:space="preserve">, </w:t>
            </w:r>
            <w:r w:rsidR="00AE114F">
              <w:rPr>
                <w:iCs/>
                <w:sz w:val="20"/>
                <w:lang w:val="es-ES"/>
              </w:rPr>
              <w:t>que contiene la metodología para examinar los límites de dfp de las ETEM-A para proteger los servicios terrenales</w:t>
            </w:r>
            <w:r w:rsidRPr="00AE114F">
              <w:rPr>
                <w:iCs/>
                <w:sz w:val="20"/>
                <w:lang w:val="es-ES"/>
              </w:rPr>
              <w:t>.</w:t>
            </w:r>
          </w:p>
          <w:p w14:paraId="4AF48F5E" w14:textId="77777777" w:rsidR="00D43945" w:rsidRPr="00AE114F" w:rsidRDefault="00D43945" w:rsidP="002D32CF">
            <w:pPr>
              <w:rPr>
                <w:sz w:val="20"/>
                <w:lang w:val="es-ES"/>
              </w:rPr>
            </w:pPr>
          </w:p>
        </w:tc>
        <w:tc>
          <w:tcPr>
            <w:tcW w:w="3561" w:type="dxa"/>
          </w:tcPr>
          <w:p w14:paraId="232CD62D" w14:textId="751F653A" w:rsidR="00D43945" w:rsidRPr="00AE114F" w:rsidRDefault="00D43945" w:rsidP="002D32CF">
            <w:pPr>
              <w:rPr>
                <w:sz w:val="20"/>
                <w:lang w:val="es-ES" w:eastAsia="zh-CN"/>
              </w:rPr>
            </w:pPr>
            <w:r w:rsidRPr="00AE114F">
              <w:rPr>
                <w:sz w:val="20"/>
                <w:lang w:val="es-ES" w:eastAsia="zh-CN"/>
              </w:rPr>
              <w:lastRenderedPageBreak/>
              <w:t xml:space="preserve">1) </w:t>
            </w:r>
            <w:r w:rsidR="00AE114F" w:rsidRPr="00AE114F">
              <w:rPr>
                <w:sz w:val="20"/>
                <w:lang w:val="es-ES" w:eastAsia="zh-CN"/>
              </w:rPr>
              <w:t>Mantener sólo el ancho de banda de referencia de</w:t>
            </w:r>
            <w:r w:rsidRPr="00AE114F">
              <w:rPr>
                <w:sz w:val="20"/>
                <w:lang w:val="es-ES" w:eastAsia="zh-CN"/>
              </w:rPr>
              <w:t xml:space="preserve"> 1 MHz.</w:t>
            </w:r>
          </w:p>
          <w:p w14:paraId="0A214BB3" w14:textId="07F6243A" w:rsidR="00D43945" w:rsidRPr="00AE114F" w:rsidRDefault="00D43945" w:rsidP="002D32CF">
            <w:pPr>
              <w:rPr>
                <w:sz w:val="20"/>
                <w:lang w:val="es-ES" w:eastAsia="zh-CN"/>
              </w:rPr>
            </w:pPr>
            <w:r w:rsidRPr="00AE114F">
              <w:rPr>
                <w:sz w:val="20"/>
                <w:lang w:val="es-ES" w:eastAsia="zh-CN"/>
              </w:rPr>
              <w:t>2) A</w:t>
            </w:r>
            <w:r w:rsidR="00AE114F" w:rsidRPr="00AE114F">
              <w:rPr>
                <w:sz w:val="20"/>
                <w:lang w:val="es-ES" w:eastAsia="zh-CN"/>
              </w:rPr>
              <w:t>rmonizar la Sección</w:t>
            </w:r>
            <w:r w:rsidRPr="00AE114F">
              <w:rPr>
                <w:iCs/>
                <w:sz w:val="20"/>
                <w:lang w:val="es-ES"/>
              </w:rPr>
              <w:t xml:space="preserve"> 2.3 </w:t>
            </w:r>
            <w:r w:rsidR="00AE114F" w:rsidRPr="00AE114F">
              <w:rPr>
                <w:iCs/>
                <w:sz w:val="20"/>
                <w:lang w:val="es-ES"/>
              </w:rPr>
              <w:t>del Anexo</w:t>
            </w:r>
            <w:r w:rsidRPr="00AE114F">
              <w:rPr>
                <w:iCs/>
                <w:sz w:val="20"/>
                <w:lang w:val="es-ES"/>
              </w:rPr>
              <w:t xml:space="preserve"> 1, Part</w:t>
            </w:r>
            <w:r w:rsidR="00AE114F" w:rsidRPr="00AE114F">
              <w:rPr>
                <w:iCs/>
                <w:sz w:val="20"/>
                <w:lang w:val="es-ES"/>
              </w:rPr>
              <w:t>e</w:t>
            </w:r>
            <w:r w:rsidRPr="00AE114F">
              <w:rPr>
                <w:iCs/>
                <w:sz w:val="20"/>
                <w:lang w:val="es-ES"/>
              </w:rPr>
              <w:t xml:space="preserve"> 2 </w:t>
            </w:r>
            <w:r w:rsidR="00AE114F" w:rsidRPr="00AE114F">
              <w:rPr>
                <w:iCs/>
                <w:sz w:val="20"/>
                <w:lang w:val="es-ES"/>
              </w:rPr>
              <w:t>del proyecto de Resoluc</w:t>
            </w:r>
            <w:r w:rsidR="00AE114F">
              <w:rPr>
                <w:iCs/>
                <w:sz w:val="20"/>
                <w:lang w:val="es-ES"/>
              </w:rPr>
              <w:t>ión</w:t>
            </w:r>
            <w:r w:rsidRPr="00AE114F">
              <w:rPr>
                <w:iCs/>
                <w:sz w:val="20"/>
                <w:lang w:val="es-ES"/>
              </w:rPr>
              <w:t xml:space="preserve"> </w:t>
            </w:r>
            <w:r w:rsidRPr="00AE114F">
              <w:rPr>
                <w:b/>
                <w:bCs/>
                <w:iCs/>
                <w:sz w:val="20"/>
                <w:lang w:val="es-ES"/>
              </w:rPr>
              <w:t xml:space="preserve">[A116] </w:t>
            </w:r>
            <w:r w:rsidR="00AE114F">
              <w:rPr>
                <w:iCs/>
                <w:sz w:val="20"/>
                <w:lang w:val="es-ES"/>
              </w:rPr>
              <w:t>sustituyendo la figura por las fórmulas del Cuadro A2-6 del Anexo 2</w:t>
            </w:r>
            <w:r w:rsidRPr="00AE114F">
              <w:rPr>
                <w:sz w:val="20"/>
                <w:lang w:val="es-ES" w:eastAsia="zh-CN"/>
              </w:rPr>
              <w:t>.</w:t>
            </w:r>
          </w:p>
          <w:p w14:paraId="3A61D337" w14:textId="3169740D" w:rsidR="00D43945" w:rsidRPr="00AE114F" w:rsidRDefault="00D43945" w:rsidP="002D32CF">
            <w:pPr>
              <w:rPr>
                <w:i/>
                <w:iCs/>
                <w:sz w:val="20"/>
                <w:szCs w:val="20"/>
                <w:lang w:val="es-ES"/>
              </w:rPr>
            </w:pPr>
            <w:r w:rsidRPr="00AE114F">
              <w:rPr>
                <w:sz w:val="20"/>
                <w:lang w:val="es-ES" w:eastAsia="zh-CN"/>
              </w:rPr>
              <w:t>3) A</w:t>
            </w:r>
            <w:r w:rsidR="00AE114F" w:rsidRPr="00AE114F">
              <w:rPr>
                <w:sz w:val="20"/>
                <w:lang w:val="es-ES" w:eastAsia="zh-CN"/>
              </w:rPr>
              <w:t>rmonizar la formulación de la Sección</w:t>
            </w:r>
            <w:r w:rsidRPr="00AE114F">
              <w:rPr>
                <w:iCs/>
                <w:sz w:val="20"/>
                <w:lang w:val="es-ES"/>
              </w:rPr>
              <w:t xml:space="preserve"> 2.3 </w:t>
            </w:r>
            <w:r w:rsidR="00AE114F" w:rsidRPr="00AE114F">
              <w:rPr>
                <w:iCs/>
                <w:sz w:val="20"/>
                <w:lang w:val="es-ES"/>
              </w:rPr>
              <w:t>del Anexo 1, Parte 2 del proyecto de nueva Resolución</w:t>
            </w:r>
            <w:r w:rsidRPr="00AE114F">
              <w:rPr>
                <w:iCs/>
                <w:sz w:val="20"/>
                <w:lang w:val="es-ES"/>
              </w:rPr>
              <w:t xml:space="preserve"> </w:t>
            </w:r>
            <w:r w:rsidRPr="00AE114F">
              <w:rPr>
                <w:b/>
                <w:bCs/>
                <w:iCs/>
                <w:sz w:val="20"/>
                <w:lang w:val="es-ES"/>
              </w:rPr>
              <w:t xml:space="preserve">[A116] </w:t>
            </w:r>
            <w:r w:rsidR="00AE114F">
              <w:rPr>
                <w:iCs/>
                <w:sz w:val="20"/>
                <w:lang w:val="es-ES"/>
              </w:rPr>
              <w:t>con el modelo de propagación utilizado en el Anexo</w:t>
            </w:r>
            <w:r w:rsidRPr="00AE114F">
              <w:rPr>
                <w:iCs/>
                <w:sz w:val="20"/>
                <w:lang w:val="es-ES"/>
              </w:rPr>
              <w:t xml:space="preserve"> 2, </w:t>
            </w:r>
            <w:r w:rsidR="00AE114F">
              <w:rPr>
                <w:iCs/>
                <w:sz w:val="20"/>
                <w:lang w:val="es-ES"/>
              </w:rPr>
              <w:t>por ejemplo,</w:t>
            </w:r>
            <w:r w:rsidRPr="00AE114F">
              <w:rPr>
                <w:iCs/>
                <w:sz w:val="20"/>
                <w:lang w:val="es-ES"/>
              </w:rPr>
              <w:t xml:space="preserve"> </w:t>
            </w:r>
            <w:r w:rsidRPr="00AE114F">
              <w:rPr>
                <w:i/>
                <w:iCs/>
                <w:sz w:val="20"/>
                <w:szCs w:val="20"/>
                <w:lang w:val="es-ES"/>
              </w:rPr>
              <w:t>s</w:t>
            </w:r>
            <w:r w:rsidR="00AE114F">
              <w:rPr>
                <w:i/>
                <w:iCs/>
                <w:sz w:val="20"/>
                <w:szCs w:val="20"/>
                <w:lang w:val="es-ES"/>
              </w:rPr>
              <w:t>e obtendrá a partir de la propagación en el espacio libre, la atenuación atmosférica y la atenuación debida al fuselaje de la aeronave</w:t>
            </w:r>
          </w:p>
          <w:p w14:paraId="55F0BFDE" w14:textId="2E39CC85" w:rsidR="00D43945" w:rsidRPr="00AE114F" w:rsidRDefault="00D43945" w:rsidP="002D32CF">
            <w:pPr>
              <w:rPr>
                <w:iCs/>
                <w:sz w:val="20"/>
                <w:lang w:val="es-ES" w:eastAsia="zh-CN"/>
              </w:rPr>
            </w:pPr>
            <w:r w:rsidRPr="00AE114F">
              <w:rPr>
                <w:iCs/>
                <w:sz w:val="20"/>
                <w:lang w:val="es-ES"/>
              </w:rPr>
              <w:t>4) Simplif</w:t>
            </w:r>
            <w:r w:rsidR="00AE114F" w:rsidRPr="00AE114F">
              <w:rPr>
                <w:iCs/>
                <w:sz w:val="20"/>
                <w:lang w:val="es-ES"/>
              </w:rPr>
              <w:t>icar la mención al proceso de determinación de conclusiones por la Oficina eliminando el texto posterior a los Cuadros</w:t>
            </w:r>
            <w:r w:rsidRPr="00AE114F">
              <w:rPr>
                <w:iCs/>
                <w:sz w:val="20"/>
                <w:lang w:val="es-ES"/>
              </w:rPr>
              <w:t xml:space="preserve"> A2-10 </w:t>
            </w:r>
            <w:r w:rsidR="00AE114F">
              <w:rPr>
                <w:iCs/>
                <w:sz w:val="20"/>
                <w:lang w:val="es-ES"/>
              </w:rPr>
              <w:t>y suprimiendo el Adjunto del Anexo</w:t>
            </w:r>
            <w:r w:rsidRPr="00AE114F">
              <w:rPr>
                <w:iCs/>
                <w:sz w:val="20"/>
                <w:lang w:val="es-ES"/>
              </w:rPr>
              <w:t xml:space="preserve"> 2.</w:t>
            </w:r>
          </w:p>
        </w:tc>
      </w:tr>
      <w:tr w:rsidR="007B2F35" w:rsidRPr="004652EA" w14:paraId="30963724" w14:textId="77777777" w:rsidTr="007D6727">
        <w:tc>
          <w:tcPr>
            <w:tcW w:w="779" w:type="dxa"/>
          </w:tcPr>
          <w:p w14:paraId="0D43343B" w14:textId="77777777" w:rsidR="00D43945" w:rsidRPr="00E34869" w:rsidRDefault="00D43945" w:rsidP="002D32CF">
            <w:pPr>
              <w:rPr>
                <w:sz w:val="20"/>
                <w:lang w:eastAsia="zh-CN"/>
              </w:rPr>
            </w:pPr>
            <w:r w:rsidRPr="00E34869">
              <w:rPr>
                <w:sz w:val="20"/>
                <w:lang w:eastAsia="zh-CN"/>
              </w:rPr>
              <w:t>1.17</w:t>
            </w:r>
          </w:p>
        </w:tc>
        <w:tc>
          <w:tcPr>
            <w:tcW w:w="1116" w:type="dxa"/>
          </w:tcPr>
          <w:p w14:paraId="619CCCEA" w14:textId="45AD57D2" w:rsidR="00D43945" w:rsidRPr="00E34869" w:rsidRDefault="00D43945" w:rsidP="00025C52">
            <w:pPr>
              <w:rPr>
                <w:sz w:val="20"/>
                <w:szCs w:val="20"/>
                <w:lang w:eastAsia="zh-CN"/>
              </w:rPr>
            </w:pPr>
            <w:bookmarkStart w:id="18" w:name="_Toc119592875"/>
            <w:r w:rsidRPr="007B2F35">
              <w:rPr>
                <w:sz w:val="20"/>
                <w:szCs w:val="20"/>
                <w:lang w:val="es-ES" w:eastAsia="zh-CN"/>
              </w:rPr>
              <w:t>4/1.17/5.2 M</w:t>
            </w:r>
            <w:r w:rsidR="007B2F35" w:rsidRPr="007B2F35">
              <w:rPr>
                <w:sz w:val="20"/>
                <w:szCs w:val="20"/>
                <w:lang w:val="es-ES" w:eastAsia="zh-CN"/>
              </w:rPr>
              <w:t>étodo</w:t>
            </w:r>
            <w:r w:rsidRPr="007B2F35">
              <w:rPr>
                <w:sz w:val="20"/>
                <w:szCs w:val="20"/>
                <w:lang w:val="es-ES" w:eastAsia="zh-CN"/>
              </w:rPr>
              <w:t xml:space="preserve"> B</w:t>
            </w:r>
            <w:bookmarkEnd w:id="18"/>
          </w:p>
          <w:p w14:paraId="576E178E" w14:textId="77777777" w:rsidR="00D43945" w:rsidRPr="00E34869" w:rsidRDefault="00D43945" w:rsidP="002D32CF">
            <w:pPr>
              <w:rPr>
                <w:sz w:val="20"/>
                <w:szCs w:val="20"/>
                <w:lang w:eastAsia="ko-KR"/>
              </w:rPr>
            </w:pPr>
          </w:p>
        </w:tc>
        <w:tc>
          <w:tcPr>
            <w:tcW w:w="4904" w:type="dxa"/>
          </w:tcPr>
          <w:p w14:paraId="358A87AA" w14:textId="47D19E6F" w:rsidR="00D43945" w:rsidRPr="007B2F35" w:rsidRDefault="007B2F35" w:rsidP="002D32CF">
            <w:pPr>
              <w:rPr>
                <w:iCs/>
                <w:sz w:val="20"/>
                <w:szCs w:val="20"/>
                <w:lang w:val="es-ES"/>
              </w:rPr>
            </w:pPr>
            <w:r w:rsidRPr="007B2F35">
              <w:rPr>
                <w:sz w:val="20"/>
                <w:szCs w:val="20"/>
                <w:lang w:val="es-ES" w:eastAsia="zh-CN"/>
              </w:rPr>
              <w:t>Proyectos de nueva Re</w:t>
            </w:r>
            <w:r>
              <w:rPr>
                <w:sz w:val="20"/>
                <w:szCs w:val="20"/>
                <w:lang w:val="es-ES" w:eastAsia="zh-CN"/>
              </w:rPr>
              <w:t>solución</w:t>
            </w:r>
            <w:r w:rsidR="00D43945" w:rsidRPr="007B2F35">
              <w:rPr>
                <w:sz w:val="20"/>
                <w:szCs w:val="20"/>
                <w:lang w:val="es-ES" w:eastAsia="zh-CN"/>
              </w:rPr>
              <w:t xml:space="preserve"> </w:t>
            </w:r>
            <w:r w:rsidR="00D43945" w:rsidRPr="007B2F35">
              <w:rPr>
                <w:b/>
                <w:bCs/>
                <w:sz w:val="20"/>
                <w:szCs w:val="20"/>
                <w:lang w:val="es-ES" w:eastAsia="zh-CN"/>
              </w:rPr>
              <w:t>[A117-B]</w:t>
            </w:r>
          </w:p>
        </w:tc>
        <w:tc>
          <w:tcPr>
            <w:tcW w:w="3675" w:type="dxa"/>
          </w:tcPr>
          <w:p w14:paraId="1E835FDF" w14:textId="51E02224" w:rsidR="00D43945" w:rsidRPr="007B2F35" w:rsidRDefault="00D43945" w:rsidP="002D32CF">
            <w:pPr>
              <w:rPr>
                <w:iCs/>
                <w:sz w:val="20"/>
                <w:szCs w:val="20"/>
                <w:lang w:val="es-ES"/>
              </w:rPr>
            </w:pPr>
            <w:r w:rsidRPr="007B2F35">
              <w:rPr>
                <w:iCs/>
                <w:sz w:val="20"/>
                <w:szCs w:val="20"/>
                <w:lang w:val="es-ES"/>
              </w:rPr>
              <w:t xml:space="preserve">1) </w:t>
            </w:r>
            <w:r w:rsidR="007B2F35" w:rsidRPr="007B2F35">
              <w:rPr>
                <w:iCs/>
                <w:sz w:val="20"/>
                <w:szCs w:val="20"/>
                <w:lang w:val="es-ES"/>
              </w:rPr>
              <w:t>La Oficina prevé recibir preguntas con respecto a la aplicación de los números</w:t>
            </w:r>
            <w:r w:rsidRPr="007B2F35">
              <w:rPr>
                <w:iCs/>
                <w:sz w:val="20"/>
                <w:szCs w:val="20"/>
                <w:lang w:val="es-ES"/>
              </w:rPr>
              <w:t xml:space="preserve"> </w:t>
            </w:r>
            <w:r w:rsidRPr="007B2F35">
              <w:rPr>
                <w:b/>
                <w:bCs/>
                <w:iCs/>
                <w:sz w:val="20"/>
                <w:szCs w:val="20"/>
                <w:lang w:val="es-ES"/>
              </w:rPr>
              <w:t>22.5C, 22.5D, 22.5F</w:t>
            </w:r>
            <w:r w:rsidRPr="007B2F35">
              <w:rPr>
                <w:iCs/>
                <w:sz w:val="20"/>
                <w:szCs w:val="20"/>
                <w:lang w:val="es-ES"/>
              </w:rPr>
              <w:t xml:space="preserve"> </w:t>
            </w:r>
            <w:r w:rsidR="007B2F35">
              <w:rPr>
                <w:iCs/>
                <w:sz w:val="20"/>
                <w:szCs w:val="20"/>
                <w:lang w:val="es-ES"/>
              </w:rPr>
              <w:t>a los satélites no OSG para operaciones espacio-espacio en las bandas de frecuencias</w:t>
            </w:r>
            <w:r w:rsidRPr="007B2F35">
              <w:rPr>
                <w:iCs/>
                <w:sz w:val="20"/>
                <w:szCs w:val="20"/>
                <w:lang w:val="es-ES"/>
              </w:rPr>
              <w:t xml:space="preserve"> 11</w:t>
            </w:r>
            <w:r w:rsidR="007B2F35">
              <w:rPr>
                <w:iCs/>
                <w:sz w:val="20"/>
                <w:szCs w:val="20"/>
                <w:lang w:val="es-ES"/>
              </w:rPr>
              <w:t>,</w:t>
            </w:r>
            <w:r w:rsidRPr="007B2F35">
              <w:rPr>
                <w:iCs/>
                <w:sz w:val="20"/>
                <w:szCs w:val="20"/>
                <w:lang w:val="es-ES"/>
              </w:rPr>
              <w:t>7-12</w:t>
            </w:r>
            <w:r w:rsidR="007B2F35">
              <w:rPr>
                <w:iCs/>
                <w:sz w:val="20"/>
                <w:szCs w:val="20"/>
                <w:lang w:val="es-ES"/>
              </w:rPr>
              <w:t>,</w:t>
            </w:r>
            <w:r w:rsidRPr="007B2F35">
              <w:rPr>
                <w:iCs/>
                <w:sz w:val="20"/>
                <w:szCs w:val="20"/>
                <w:lang w:val="es-ES"/>
              </w:rPr>
              <w:t>7 GHz, 17</w:t>
            </w:r>
            <w:r w:rsidR="007B2F35">
              <w:rPr>
                <w:iCs/>
                <w:sz w:val="20"/>
                <w:szCs w:val="20"/>
                <w:lang w:val="es-ES"/>
              </w:rPr>
              <w:t>,</w:t>
            </w:r>
            <w:r w:rsidRPr="007B2F35">
              <w:rPr>
                <w:iCs/>
                <w:sz w:val="20"/>
                <w:szCs w:val="20"/>
                <w:lang w:val="es-ES"/>
              </w:rPr>
              <w:t>8-18</w:t>
            </w:r>
            <w:r w:rsidR="007B2F35">
              <w:rPr>
                <w:iCs/>
                <w:sz w:val="20"/>
                <w:szCs w:val="20"/>
                <w:lang w:val="es-ES"/>
              </w:rPr>
              <w:t>,</w:t>
            </w:r>
            <w:r w:rsidRPr="007B2F35">
              <w:rPr>
                <w:iCs/>
                <w:sz w:val="20"/>
                <w:szCs w:val="20"/>
                <w:lang w:val="es-ES"/>
              </w:rPr>
              <w:t>6 GHz, 19</w:t>
            </w:r>
            <w:r w:rsidR="007B2F35">
              <w:rPr>
                <w:iCs/>
                <w:sz w:val="20"/>
                <w:szCs w:val="20"/>
                <w:lang w:val="es-ES"/>
              </w:rPr>
              <w:t>,</w:t>
            </w:r>
            <w:r w:rsidRPr="007B2F35">
              <w:rPr>
                <w:iCs/>
                <w:sz w:val="20"/>
                <w:szCs w:val="20"/>
                <w:lang w:val="es-ES"/>
              </w:rPr>
              <w:t>7-20</w:t>
            </w:r>
            <w:r w:rsidR="007B2F35">
              <w:rPr>
                <w:iCs/>
                <w:sz w:val="20"/>
                <w:szCs w:val="20"/>
                <w:lang w:val="es-ES"/>
              </w:rPr>
              <w:t>,</w:t>
            </w:r>
            <w:r w:rsidRPr="007B2F35">
              <w:rPr>
                <w:iCs/>
                <w:sz w:val="20"/>
                <w:szCs w:val="20"/>
                <w:lang w:val="es-ES"/>
              </w:rPr>
              <w:t>2 GHz, 27</w:t>
            </w:r>
            <w:r w:rsidR="007B2F35">
              <w:rPr>
                <w:iCs/>
                <w:sz w:val="20"/>
                <w:szCs w:val="20"/>
                <w:lang w:val="es-ES"/>
              </w:rPr>
              <w:t>,</w:t>
            </w:r>
            <w:r w:rsidRPr="007B2F35">
              <w:rPr>
                <w:iCs/>
                <w:sz w:val="20"/>
                <w:szCs w:val="20"/>
                <w:lang w:val="es-ES"/>
              </w:rPr>
              <w:t>5-28</w:t>
            </w:r>
            <w:r w:rsidR="007B2F35">
              <w:rPr>
                <w:iCs/>
                <w:sz w:val="20"/>
                <w:szCs w:val="20"/>
                <w:lang w:val="es-ES"/>
              </w:rPr>
              <w:t>,</w:t>
            </w:r>
            <w:r w:rsidRPr="007B2F35">
              <w:rPr>
                <w:iCs/>
                <w:sz w:val="20"/>
                <w:szCs w:val="20"/>
                <w:lang w:val="es-ES"/>
              </w:rPr>
              <w:t>6</w:t>
            </w:r>
            <w:r w:rsidR="00610BA6">
              <w:rPr>
                <w:iCs/>
                <w:sz w:val="20"/>
                <w:szCs w:val="20"/>
                <w:lang w:val="es-ES"/>
              </w:rPr>
              <w:t> </w:t>
            </w:r>
            <w:r w:rsidRPr="007B2F35">
              <w:rPr>
                <w:iCs/>
                <w:sz w:val="20"/>
                <w:szCs w:val="20"/>
                <w:lang w:val="es-ES"/>
              </w:rPr>
              <w:t>GHz, 29</w:t>
            </w:r>
            <w:r w:rsidR="007B2F35">
              <w:rPr>
                <w:iCs/>
                <w:sz w:val="20"/>
                <w:szCs w:val="20"/>
                <w:lang w:val="es-ES"/>
              </w:rPr>
              <w:t>,</w:t>
            </w:r>
            <w:r w:rsidRPr="007B2F35">
              <w:rPr>
                <w:iCs/>
                <w:sz w:val="20"/>
                <w:szCs w:val="20"/>
                <w:lang w:val="es-ES"/>
              </w:rPr>
              <w:t xml:space="preserve">5-30 GHz. </w:t>
            </w:r>
          </w:p>
          <w:p w14:paraId="3101C30E" w14:textId="596DF305" w:rsidR="00D43945" w:rsidRPr="007B2F35" w:rsidRDefault="007B2F35" w:rsidP="002D32CF">
            <w:pPr>
              <w:rPr>
                <w:iCs/>
                <w:sz w:val="20"/>
                <w:szCs w:val="20"/>
                <w:lang w:val="es-ES"/>
              </w:rPr>
            </w:pPr>
            <w:r w:rsidRPr="007B2F35">
              <w:rPr>
                <w:iCs/>
                <w:sz w:val="20"/>
                <w:szCs w:val="20"/>
                <w:lang w:val="es-ES"/>
              </w:rPr>
              <w:t>Dichas preguntas podrán estar relacionadas con</w:t>
            </w:r>
            <w:r w:rsidR="00D43945" w:rsidRPr="007B2F35">
              <w:rPr>
                <w:iCs/>
                <w:sz w:val="20"/>
                <w:szCs w:val="20"/>
                <w:lang w:val="es-ES"/>
              </w:rPr>
              <w:t>:</w:t>
            </w:r>
          </w:p>
          <w:p w14:paraId="2BA4D025" w14:textId="555E46F4" w:rsidR="00D43945" w:rsidRPr="007B2F35" w:rsidRDefault="00D43945" w:rsidP="002D32CF">
            <w:pPr>
              <w:rPr>
                <w:iCs/>
                <w:sz w:val="20"/>
                <w:szCs w:val="20"/>
                <w:lang w:val="es-ES"/>
              </w:rPr>
            </w:pPr>
            <w:r w:rsidRPr="007B2F35">
              <w:rPr>
                <w:iCs/>
                <w:sz w:val="20"/>
                <w:szCs w:val="20"/>
                <w:lang w:val="es-ES"/>
              </w:rPr>
              <w:t xml:space="preserve">a) </w:t>
            </w:r>
            <w:r w:rsidR="00610BA6">
              <w:rPr>
                <w:iCs/>
                <w:sz w:val="20"/>
                <w:szCs w:val="20"/>
                <w:lang w:val="es-ES"/>
              </w:rPr>
              <w:t>C</w:t>
            </w:r>
            <w:r w:rsidR="007B2F35">
              <w:rPr>
                <w:iCs/>
                <w:sz w:val="20"/>
                <w:szCs w:val="20"/>
                <w:lang w:val="es-ES"/>
              </w:rPr>
              <w:t>ó</w:t>
            </w:r>
            <w:r w:rsidR="007B2F35" w:rsidRPr="007B2F35">
              <w:rPr>
                <w:iCs/>
                <w:sz w:val="20"/>
                <w:szCs w:val="20"/>
                <w:lang w:val="es-ES"/>
              </w:rPr>
              <w:t xml:space="preserve">mo comprenderán los parámetros ya notificados para el </w:t>
            </w:r>
            <w:r w:rsidR="007B2F35">
              <w:rPr>
                <w:iCs/>
                <w:sz w:val="20"/>
                <w:szCs w:val="20"/>
                <w:lang w:val="es-ES"/>
              </w:rPr>
              <w:t xml:space="preserve">examen de la dfpe del Artículo 22 (en particular los </w:t>
            </w:r>
            <w:r w:rsidR="007B2F35">
              <w:rPr>
                <w:iCs/>
                <w:sz w:val="20"/>
                <w:szCs w:val="20"/>
                <w:lang w:val="es-ES"/>
              </w:rPr>
              <w:lastRenderedPageBreak/>
              <w:t>elementos</w:t>
            </w:r>
            <w:r w:rsidR="00610BA6">
              <w:rPr>
                <w:iCs/>
                <w:sz w:val="20"/>
                <w:szCs w:val="20"/>
                <w:lang w:val="es-ES"/>
              </w:rPr>
              <w:t> </w:t>
            </w:r>
            <w:r w:rsidRPr="007B2F35">
              <w:rPr>
                <w:iCs/>
                <w:sz w:val="20"/>
                <w:szCs w:val="20"/>
                <w:lang w:val="es-ES"/>
              </w:rPr>
              <w:t xml:space="preserve">A.4.b.6.a, A.4.b.7, A.14) </w:t>
            </w:r>
            <w:r w:rsidR="007B2F35">
              <w:rPr>
                <w:iCs/>
                <w:sz w:val="20"/>
                <w:szCs w:val="20"/>
                <w:lang w:val="es-ES"/>
              </w:rPr>
              <w:t>el funcionamiento en sentido espacio-espacio</w:t>
            </w:r>
          </w:p>
          <w:p w14:paraId="6CD1F008" w14:textId="21FFBDDE" w:rsidR="00D43945" w:rsidRPr="007B2F35" w:rsidRDefault="00D43945" w:rsidP="002D32CF">
            <w:pPr>
              <w:rPr>
                <w:iCs/>
                <w:sz w:val="20"/>
                <w:szCs w:val="20"/>
                <w:lang w:val="es-ES"/>
              </w:rPr>
            </w:pPr>
            <w:r w:rsidRPr="007B2F35">
              <w:rPr>
                <w:iCs/>
                <w:sz w:val="20"/>
                <w:szCs w:val="20"/>
                <w:lang w:val="es-ES"/>
              </w:rPr>
              <w:t xml:space="preserve">b) </w:t>
            </w:r>
            <w:r w:rsidR="00610BA6">
              <w:rPr>
                <w:iCs/>
                <w:sz w:val="20"/>
                <w:szCs w:val="20"/>
                <w:lang w:val="es-ES"/>
              </w:rPr>
              <w:t>C</w:t>
            </w:r>
            <w:r w:rsidR="007B2F35" w:rsidRPr="007B2F35">
              <w:rPr>
                <w:iCs/>
                <w:sz w:val="20"/>
                <w:szCs w:val="20"/>
                <w:lang w:val="es-ES"/>
              </w:rPr>
              <w:t xml:space="preserve">ómo definir adecuadamente esos parámetros para garantizar que, desde una perspectiva operacional, comprenden todos </w:t>
            </w:r>
            <w:r w:rsidR="007B2F35">
              <w:rPr>
                <w:iCs/>
                <w:sz w:val="20"/>
                <w:szCs w:val="20"/>
                <w:lang w:val="es-ES"/>
              </w:rPr>
              <w:t>los tipos de transmisiones, incluso en sentido espacio-espacio</w:t>
            </w:r>
            <w:r w:rsidRPr="007B2F35">
              <w:rPr>
                <w:iCs/>
                <w:sz w:val="20"/>
                <w:szCs w:val="20"/>
                <w:lang w:val="es-ES"/>
              </w:rPr>
              <w:t>.</w:t>
            </w:r>
          </w:p>
          <w:p w14:paraId="4CF265E1" w14:textId="241D901D" w:rsidR="00D43945" w:rsidRPr="007B2F35" w:rsidRDefault="007B2F35" w:rsidP="002D32CF">
            <w:pPr>
              <w:rPr>
                <w:iCs/>
                <w:sz w:val="20"/>
                <w:szCs w:val="20"/>
                <w:lang w:val="es-ES"/>
              </w:rPr>
            </w:pPr>
            <w:r w:rsidRPr="007B2F35">
              <w:rPr>
                <w:iCs/>
                <w:sz w:val="20"/>
                <w:szCs w:val="20"/>
                <w:lang w:val="es-ES"/>
              </w:rPr>
              <w:t>Las soluciones reglamentarias que actualmente ofrece el Informe de la RPC no contienen ej</w:t>
            </w:r>
            <w:r>
              <w:rPr>
                <w:iCs/>
                <w:sz w:val="20"/>
                <w:szCs w:val="20"/>
                <w:lang w:val="es-ES"/>
              </w:rPr>
              <w:t>emplos o consideraciones que ayuden a responder a esas preguntas</w:t>
            </w:r>
            <w:r w:rsidR="00D43945" w:rsidRPr="007B2F35">
              <w:rPr>
                <w:iCs/>
                <w:sz w:val="20"/>
                <w:szCs w:val="20"/>
                <w:lang w:val="es-ES"/>
              </w:rPr>
              <w:t>.</w:t>
            </w:r>
          </w:p>
          <w:p w14:paraId="0A3B5610" w14:textId="57E0D4FC" w:rsidR="00D43945" w:rsidRPr="007B2F35" w:rsidRDefault="007B2F35" w:rsidP="002D32CF">
            <w:pPr>
              <w:rPr>
                <w:iCs/>
                <w:sz w:val="20"/>
                <w:szCs w:val="20"/>
                <w:lang w:val="es-ES"/>
              </w:rPr>
            </w:pPr>
            <w:r w:rsidRPr="007B2F35">
              <w:rPr>
                <w:iCs/>
                <w:sz w:val="20"/>
                <w:szCs w:val="20"/>
                <w:lang w:val="es-ES"/>
              </w:rPr>
              <w:t xml:space="preserve">Además, la Oficina constata que podrá ser necesario realizar una validación cruzada entre algunos de </w:t>
            </w:r>
            <w:r>
              <w:rPr>
                <w:iCs/>
                <w:sz w:val="20"/>
                <w:szCs w:val="20"/>
                <w:lang w:val="es-ES"/>
              </w:rPr>
              <w:t>los parámetros adicionales propuestos y los parámetros notificados para la validación de la dfpe</w:t>
            </w:r>
            <w:r w:rsidR="00D43945" w:rsidRPr="007B2F35">
              <w:rPr>
                <w:iCs/>
                <w:sz w:val="20"/>
                <w:szCs w:val="20"/>
                <w:lang w:val="es-ES"/>
              </w:rPr>
              <w:t>.</w:t>
            </w:r>
          </w:p>
          <w:p w14:paraId="216157D1" w14:textId="024AB26A" w:rsidR="00D43945" w:rsidRPr="007B2F35" w:rsidRDefault="007B2F35" w:rsidP="002D32CF">
            <w:pPr>
              <w:rPr>
                <w:iCs/>
                <w:sz w:val="20"/>
                <w:szCs w:val="20"/>
                <w:lang w:val="es-ES"/>
              </w:rPr>
            </w:pPr>
            <w:r w:rsidRPr="007B2F35">
              <w:rPr>
                <w:iCs/>
                <w:sz w:val="20"/>
                <w:szCs w:val="20"/>
                <w:lang w:val="es-ES"/>
              </w:rPr>
              <w:t>Por ejemplo, la condición de que el ángulo con respecto al nadir entre la estación espacial del SFS OSG o no OSG y la estación espacial no OSG con la que comunica deba ser igual o inferior a</w:t>
            </w:r>
            <w:r w:rsidR="00D43945" w:rsidRPr="007B2F35">
              <w:rPr>
                <w:iCs/>
                <w:sz w:val="20"/>
                <w:szCs w:val="20"/>
                <w:lang w:val="es-ES"/>
              </w:rPr>
              <w:t xml:space="preserve"> </w:t>
            </w:r>
            <w:r w:rsidR="00D43945" w:rsidRPr="00E34869">
              <w:rPr>
                <w:iCs/>
                <w:sz w:val="20"/>
                <w:szCs w:val="20"/>
              </w:rPr>
              <w:t>θ</w:t>
            </w:r>
            <w:r w:rsidR="00D43945" w:rsidRPr="007B2F35">
              <w:rPr>
                <w:iCs/>
                <w:sz w:val="20"/>
                <w:szCs w:val="20"/>
                <w:lang w:val="es-ES"/>
              </w:rPr>
              <w:t xml:space="preserve">Max </w:t>
            </w:r>
            <w:r w:rsidRPr="007B2F35">
              <w:rPr>
                <w:iCs/>
                <w:sz w:val="20"/>
                <w:szCs w:val="20"/>
                <w:lang w:val="es-ES"/>
              </w:rPr>
              <w:t>d</w:t>
            </w:r>
            <w:r>
              <w:rPr>
                <w:iCs/>
                <w:sz w:val="20"/>
                <w:szCs w:val="20"/>
                <w:lang w:val="es-ES"/>
              </w:rPr>
              <w:t>epende de la definición de</w:t>
            </w:r>
            <w:r w:rsidR="00D43945" w:rsidRPr="007B2F35">
              <w:rPr>
                <w:iCs/>
                <w:sz w:val="20"/>
                <w:szCs w:val="20"/>
                <w:lang w:val="es-ES"/>
              </w:rPr>
              <w:t xml:space="preserve"> </w:t>
            </w:r>
            <w:r w:rsidR="00D43945" w:rsidRPr="00E34869">
              <w:rPr>
                <w:iCs/>
                <w:sz w:val="20"/>
                <w:szCs w:val="20"/>
              </w:rPr>
              <w:t>θ</w:t>
            </w:r>
            <w:r w:rsidR="00D43945" w:rsidRPr="007B2F35">
              <w:rPr>
                <w:iCs/>
                <w:sz w:val="20"/>
                <w:szCs w:val="20"/>
                <w:vertAlign w:val="subscript"/>
                <w:lang w:val="es-ES"/>
              </w:rPr>
              <w:t>Max</w:t>
            </w:r>
            <w:r>
              <w:rPr>
                <w:iCs/>
                <w:sz w:val="20"/>
                <w:szCs w:val="20"/>
                <w:vertAlign w:val="subscript"/>
                <w:lang w:val="es-ES"/>
              </w:rPr>
              <w:t>,</w:t>
            </w:r>
            <w:r w:rsidR="00D43945" w:rsidRPr="007B2F35">
              <w:rPr>
                <w:iCs/>
                <w:sz w:val="20"/>
                <w:szCs w:val="20"/>
                <w:lang w:val="es-ES"/>
              </w:rPr>
              <w:t xml:space="preserve"> </w:t>
            </w:r>
            <w:r>
              <w:rPr>
                <w:iCs/>
                <w:sz w:val="20"/>
                <w:szCs w:val="20"/>
                <w:lang w:val="es-ES"/>
              </w:rPr>
              <w:t xml:space="preserve">que ya tiene en cuenta que el satélite no OSG comunica con cualquier estación terrena cuya elevación sea superior a 0 grados. </w:t>
            </w:r>
            <w:r w:rsidRPr="007B2F35">
              <w:rPr>
                <w:iCs/>
                <w:sz w:val="20"/>
                <w:szCs w:val="20"/>
                <w:lang w:val="es-ES"/>
              </w:rPr>
              <w:t>Este supuesto puede ser contrario a la información facilitada para los números</w:t>
            </w:r>
            <w:r w:rsidR="00D43945" w:rsidRPr="007B2F35">
              <w:rPr>
                <w:iCs/>
                <w:sz w:val="20"/>
                <w:szCs w:val="20"/>
                <w:lang w:val="es-ES"/>
              </w:rPr>
              <w:t xml:space="preserve"> </w:t>
            </w:r>
            <w:r w:rsidR="00D43945" w:rsidRPr="007B2F35">
              <w:rPr>
                <w:b/>
                <w:bCs/>
                <w:iCs/>
                <w:sz w:val="20"/>
                <w:szCs w:val="20"/>
                <w:lang w:val="es-ES"/>
              </w:rPr>
              <w:t>22.5C</w:t>
            </w:r>
            <w:r w:rsidR="00D43945" w:rsidRPr="007B2F35">
              <w:rPr>
                <w:iCs/>
                <w:sz w:val="20"/>
                <w:szCs w:val="20"/>
                <w:lang w:val="es-ES"/>
              </w:rPr>
              <w:t xml:space="preserve">, </w:t>
            </w:r>
            <w:r w:rsidR="00D43945" w:rsidRPr="007B2F35">
              <w:rPr>
                <w:b/>
                <w:bCs/>
                <w:iCs/>
                <w:sz w:val="20"/>
                <w:szCs w:val="20"/>
                <w:lang w:val="es-ES"/>
              </w:rPr>
              <w:t>22.5D</w:t>
            </w:r>
            <w:r w:rsidR="00D43945" w:rsidRPr="007B2F35">
              <w:rPr>
                <w:iCs/>
                <w:sz w:val="20"/>
                <w:szCs w:val="20"/>
                <w:lang w:val="es-ES"/>
              </w:rPr>
              <w:t xml:space="preserve"> </w:t>
            </w:r>
            <w:r w:rsidRPr="007B2F35">
              <w:rPr>
                <w:iCs/>
                <w:sz w:val="20"/>
                <w:szCs w:val="20"/>
                <w:lang w:val="es-ES"/>
              </w:rPr>
              <w:t>en el elemento</w:t>
            </w:r>
            <w:r w:rsidR="00D43945" w:rsidRPr="007B2F35">
              <w:rPr>
                <w:b/>
                <w:bCs/>
                <w:iCs/>
                <w:sz w:val="20"/>
                <w:szCs w:val="20"/>
                <w:lang w:val="es-ES"/>
              </w:rPr>
              <w:t xml:space="preserve"> A.4.b.7.cbis</w:t>
            </w:r>
            <w:r w:rsidR="00D43945" w:rsidRPr="007B2F35">
              <w:rPr>
                <w:iCs/>
                <w:sz w:val="20"/>
                <w:szCs w:val="20"/>
                <w:lang w:val="es-ES"/>
              </w:rPr>
              <w:t xml:space="preserve"> </w:t>
            </w:r>
            <w:r w:rsidRPr="007B2F35">
              <w:rPr>
                <w:iCs/>
                <w:sz w:val="20"/>
                <w:szCs w:val="20"/>
                <w:lang w:val="es-ES"/>
              </w:rPr>
              <w:t xml:space="preserve">del Apéndice </w:t>
            </w:r>
            <w:r w:rsidRPr="007B2F35">
              <w:rPr>
                <w:b/>
                <w:bCs/>
                <w:iCs/>
                <w:sz w:val="20"/>
                <w:szCs w:val="20"/>
                <w:lang w:val="es-ES"/>
              </w:rPr>
              <w:t xml:space="preserve">4 </w:t>
            </w:r>
            <w:r w:rsidRPr="007B2F35">
              <w:rPr>
                <w:iCs/>
                <w:sz w:val="20"/>
                <w:szCs w:val="20"/>
                <w:lang w:val="es-ES"/>
              </w:rPr>
              <w:t>de</w:t>
            </w:r>
            <w:r>
              <w:rPr>
                <w:iCs/>
                <w:sz w:val="20"/>
                <w:szCs w:val="20"/>
                <w:lang w:val="es-ES"/>
              </w:rPr>
              <w:t>l RR –</w:t>
            </w:r>
            <w:r w:rsidR="00D43945" w:rsidRPr="007B2F35">
              <w:rPr>
                <w:iCs/>
                <w:sz w:val="20"/>
                <w:szCs w:val="20"/>
                <w:lang w:val="es-ES"/>
              </w:rPr>
              <w:t xml:space="preserve"> </w:t>
            </w:r>
            <w:r>
              <w:rPr>
                <w:iCs/>
                <w:sz w:val="20"/>
                <w:szCs w:val="20"/>
                <w:lang w:val="es-ES"/>
              </w:rPr>
              <w:t>ángulo de elevación mínimo en el que cualquier estación terrena asociada puede transmitir a un satélite no geoestacionario o recibir desde el mismo en las bandas de frecuencias</w:t>
            </w:r>
            <w:r w:rsidR="00D43945" w:rsidRPr="007B2F35">
              <w:rPr>
                <w:iCs/>
                <w:sz w:val="20"/>
                <w:szCs w:val="20"/>
                <w:lang w:val="es-ES"/>
              </w:rPr>
              <w:t xml:space="preserve"> 27</w:t>
            </w:r>
            <w:r>
              <w:rPr>
                <w:iCs/>
                <w:sz w:val="20"/>
                <w:szCs w:val="20"/>
                <w:lang w:val="es-ES"/>
              </w:rPr>
              <w:t>,</w:t>
            </w:r>
            <w:r w:rsidR="00D43945" w:rsidRPr="007B2F35">
              <w:rPr>
                <w:iCs/>
                <w:sz w:val="20"/>
                <w:szCs w:val="20"/>
                <w:lang w:val="es-ES"/>
              </w:rPr>
              <w:t>5-28</w:t>
            </w:r>
            <w:r>
              <w:rPr>
                <w:iCs/>
                <w:sz w:val="20"/>
                <w:szCs w:val="20"/>
                <w:lang w:val="es-ES"/>
              </w:rPr>
              <w:t>,</w:t>
            </w:r>
            <w:r w:rsidR="00D43945" w:rsidRPr="007B2F35">
              <w:rPr>
                <w:iCs/>
                <w:sz w:val="20"/>
                <w:szCs w:val="20"/>
                <w:lang w:val="es-ES"/>
              </w:rPr>
              <w:t>6 GHz, 29</w:t>
            </w:r>
            <w:r>
              <w:rPr>
                <w:iCs/>
                <w:sz w:val="20"/>
                <w:szCs w:val="20"/>
                <w:lang w:val="es-ES"/>
              </w:rPr>
              <w:t>,</w:t>
            </w:r>
            <w:r w:rsidR="00D43945" w:rsidRPr="007B2F35">
              <w:rPr>
                <w:iCs/>
                <w:sz w:val="20"/>
                <w:szCs w:val="20"/>
                <w:lang w:val="es-ES"/>
              </w:rPr>
              <w:t xml:space="preserve">5-30 GHz </w:t>
            </w:r>
            <w:r>
              <w:rPr>
                <w:iCs/>
                <w:sz w:val="20"/>
                <w:szCs w:val="20"/>
                <w:lang w:val="es-ES"/>
              </w:rPr>
              <w:t>y</w:t>
            </w:r>
            <w:r w:rsidR="00D43945" w:rsidRPr="007B2F35">
              <w:rPr>
                <w:iCs/>
                <w:sz w:val="20"/>
                <w:szCs w:val="20"/>
                <w:lang w:val="es-ES"/>
              </w:rPr>
              <w:t xml:space="preserve"> </w:t>
            </w:r>
            <w:r w:rsidR="00D43945" w:rsidRPr="007B2F35">
              <w:rPr>
                <w:iCs/>
                <w:sz w:val="20"/>
                <w:szCs w:val="20"/>
                <w:lang w:val="es-ES"/>
              </w:rPr>
              <w:lastRenderedPageBreak/>
              <w:t>11</w:t>
            </w:r>
            <w:r>
              <w:rPr>
                <w:iCs/>
                <w:sz w:val="20"/>
                <w:szCs w:val="20"/>
                <w:lang w:val="es-ES"/>
              </w:rPr>
              <w:t>,</w:t>
            </w:r>
            <w:r w:rsidR="00D43945" w:rsidRPr="007B2F35">
              <w:rPr>
                <w:iCs/>
                <w:sz w:val="20"/>
                <w:szCs w:val="20"/>
                <w:lang w:val="es-ES"/>
              </w:rPr>
              <w:t>7-12</w:t>
            </w:r>
            <w:r>
              <w:rPr>
                <w:iCs/>
                <w:sz w:val="20"/>
                <w:szCs w:val="20"/>
                <w:lang w:val="es-ES"/>
              </w:rPr>
              <w:t>,</w:t>
            </w:r>
            <w:r w:rsidR="00D43945" w:rsidRPr="007B2F35">
              <w:rPr>
                <w:iCs/>
                <w:sz w:val="20"/>
                <w:szCs w:val="20"/>
                <w:lang w:val="es-ES"/>
              </w:rPr>
              <w:t>7 GHz, 17</w:t>
            </w:r>
            <w:r>
              <w:rPr>
                <w:iCs/>
                <w:sz w:val="20"/>
                <w:szCs w:val="20"/>
                <w:lang w:val="es-ES"/>
              </w:rPr>
              <w:t>,</w:t>
            </w:r>
            <w:r w:rsidR="00D43945" w:rsidRPr="007B2F35">
              <w:rPr>
                <w:iCs/>
                <w:sz w:val="20"/>
                <w:szCs w:val="20"/>
                <w:lang w:val="es-ES"/>
              </w:rPr>
              <w:t>8-18</w:t>
            </w:r>
            <w:r>
              <w:rPr>
                <w:iCs/>
                <w:sz w:val="20"/>
                <w:szCs w:val="20"/>
                <w:lang w:val="es-ES"/>
              </w:rPr>
              <w:t>,</w:t>
            </w:r>
            <w:r w:rsidR="00D43945" w:rsidRPr="007B2F35">
              <w:rPr>
                <w:iCs/>
                <w:sz w:val="20"/>
                <w:szCs w:val="20"/>
                <w:lang w:val="es-ES"/>
              </w:rPr>
              <w:t>6 GHz, 19</w:t>
            </w:r>
            <w:r>
              <w:rPr>
                <w:iCs/>
                <w:sz w:val="20"/>
                <w:szCs w:val="20"/>
                <w:lang w:val="es-ES"/>
              </w:rPr>
              <w:t>,</w:t>
            </w:r>
            <w:r w:rsidR="00D43945" w:rsidRPr="007B2F35">
              <w:rPr>
                <w:iCs/>
                <w:sz w:val="20"/>
                <w:szCs w:val="20"/>
                <w:lang w:val="es-ES"/>
              </w:rPr>
              <w:t>7-20</w:t>
            </w:r>
            <w:r>
              <w:rPr>
                <w:iCs/>
                <w:sz w:val="20"/>
                <w:szCs w:val="20"/>
                <w:lang w:val="es-ES"/>
              </w:rPr>
              <w:t>,</w:t>
            </w:r>
            <w:r w:rsidR="00D43945" w:rsidRPr="007B2F35">
              <w:rPr>
                <w:iCs/>
                <w:sz w:val="20"/>
                <w:szCs w:val="20"/>
                <w:lang w:val="es-ES"/>
              </w:rPr>
              <w:t>2</w:t>
            </w:r>
            <w:r w:rsidR="00F2254D">
              <w:rPr>
                <w:iCs/>
                <w:sz w:val="20"/>
                <w:szCs w:val="20"/>
                <w:lang w:val="es-ES"/>
              </w:rPr>
              <w:t> </w:t>
            </w:r>
            <w:r w:rsidR="00D43945" w:rsidRPr="007B2F35">
              <w:rPr>
                <w:iCs/>
                <w:sz w:val="20"/>
                <w:szCs w:val="20"/>
                <w:lang w:val="es-ES"/>
              </w:rPr>
              <w:t>GHz.</w:t>
            </w:r>
          </w:p>
          <w:p w14:paraId="2E72A2A7" w14:textId="717AC6F6" w:rsidR="00D43945" w:rsidRPr="007B2F35" w:rsidRDefault="007B2F35" w:rsidP="002D32CF">
            <w:pPr>
              <w:rPr>
                <w:iCs/>
                <w:sz w:val="20"/>
                <w:szCs w:val="20"/>
                <w:lang w:val="es-ES"/>
              </w:rPr>
            </w:pPr>
            <w:r w:rsidRPr="007B2F35">
              <w:rPr>
                <w:iCs/>
                <w:sz w:val="20"/>
                <w:szCs w:val="20"/>
                <w:lang w:val="es-ES"/>
              </w:rPr>
              <w:t>Si el examen del Artículo 22 ya se realizó utilizando un</w:t>
            </w:r>
            <w:r w:rsidR="00D43945" w:rsidRPr="007B2F35">
              <w:rPr>
                <w:iCs/>
                <w:sz w:val="20"/>
                <w:szCs w:val="20"/>
                <w:lang w:val="es-ES"/>
              </w:rPr>
              <w:t xml:space="preserve"> </w:t>
            </w:r>
            <w:r w:rsidR="00D43945" w:rsidRPr="007B2F35">
              <w:rPr>
                <w:b/>
                <w:bCs/>
                <w:iCs/>
                <w:sz w:val="20"/>
                <w:szCs w:val="20"/>
                <w:lang w:val="es-ES"/>
              </w:rPr>
              <w:t>A.4.b.7.cbis</w:t>
            </w:r>
            <w:r w:rsidR="00D43945" w:rsidRPr="007B2F35">
              <w:rPr>
                <w:iCs/>
                <w:sz w:val="20"/>
                <w:szCs w:val="20"/>
                <w:lang w:val="es-ES"/>
              </w:rPr>
              <w:t xml:space="preserve"> </w:t>
            </w:r>
            <w:r w:rsidRPr="007B2F35">
              <w:rPr>
                <w:iCs/>
                <w:sz w:val="20"/>
                <w:szCs w:val="20"/>
                <w:lang w:val="es-ES"/>
              </w:rPr>
              <w:t>superior a 0</w:t>
            </w:r>
            <w:r w:rsidR="00F2254D">
              <w:rPr>
                <w:iCs/>
                <w:sz w:val="20"/>
                <w:szCs w:val="20"/>
                <w:lang w:val="es-ES"/>
              </w:rPr>
              <w:t> </w:t>
            </w:r>
            <w:r w:rsidRPr="007B2F35">
              <w:rPr>
                <w:iCs/>
                <w:sz w:val="20"/>
                <w:szCs w:val="20"/>
                <w:lang w:val="es-ES"/>
              </w:rPr>
              <w:t>grados</w:t>
            </w:r>
            <w:r>
              <w:rPr>
                <w:iCs/>
                <w:sz w:val="20"/>
                <w:szCs w:val="20"/>
                <w:lang w:val="es-ES"/>
              </w:rPr>
              <w:t>, permitir el funcionamiento espacio-espacio puede exigir la modificación de</w:t>
            </w:r>
            <w:r w:rsidR="00D43945" w:rsidRPr="007B2F35">
              <w:rPr>
                <w:iCs/>
                <w:sz w:val="20"/>
                <w:szCs w:val="20"/>
                <w:lang w:val="es-ES"/>
              </w:rPr>
              <w:t xml:space="preserve"> </w:t>
            </w:r>
            <w:r w:rsidR="00D43945" w:rsidRPr="007B2F35">
              <w:rPr>
                <w:b/>
                <w:bCs/>
                <w:iCs/>
                <w:sz w:val="20"/>
                <w:szCs w:val="20"/>
                <w:lang w:val="es-ES"/>
              </w:rPr>
              <w:t>A.4.b.7.cbis</w:t>
            </w:r>
            <w:r w:rsidR="00D43945" w:rsidRPr="007B2F35">
              <w:rPr>
                <w:iCs/>
                <w:sz w:val="20"/>
                <w:szCs w:val="20"/>
                <w:lang w:val="es-ES"/>
              </w:rPr>
              <w:t xml:space="preserve"> </w:t>
            </w:r>
            <w:r>
              <w:rPr>
                <w:iCs/>
                <w:sz w:val="20"/>
                <w:szCs w:val="20"/>
                <w:lang w:val="es-ES"/>
              </w:rPr>
              <w:t>a</w:t>
            </w:r>
            <w:r w:rsidR="00D43945" w:rsidRPr="007B2F35">
              <w:rPr>
                <w:iCs/>
                <w:sz w:val="20"/>
                <w:szCs w:val="20"/>
                <w:lang w:val="es-ES"/>
              </w:rPr>
              <w:t xml:space="preserve"> 0 </w:t>
            </w:r>
            <w:r>
              <w:rPr>
                <w:iCs/>
                <w:sz w:val="20"/>
                <w:szCs w:val="20"/>
                <w:lang w:val="es-ES"/>
              </w:rPr>
              <w:t>y</w:t>
            </w:r>
            <w:r w:rsidR="0039342D">
              <w:rPr>
                <w:iCs/>
                <w:sz w:val="20"/>
                <w:szCs w:val="20"/>
                <w:lang w:val="es-ES"/>
              </w:rPr>
              <w:t xml:space="preserve"> la reevaluación de los límites</w:t>
            </w:r>
            <w:r w:rsidR="00D43945" w:rsidRPr="007B2F35">
              <w:rPr>
                <w:iCs/>
                <w:sz w:val="20"/>
                <w:szCs w:val="20"/>
                <w:lang w:val="es-ES"/>
              </w:rPr>
              <w:t xml:space="preserve">. </w:t>
            </w:r>
          </w:p>
          <w:p w14:paraId="7ED69D35" w14:textId="4FB7DB45" w:rsidR="00D43945" w:rsidRPr="0039342D" w:rsidRDefault="00D43945" w:rsidP="002D32CF">
            <w:pPr>
              <w:rPr>
                <w:iCs/>
                <w:sz w:val="20"/>
                <w:szCs w:val="20"/>
                <w:lang w:val="es-ES"/>
              </w:rPr>
            </w:pPr>
            <w:r w:rsidRPr="0039342D">
              <w:rPr>
                <w:iCs/>
                <w:sz w:val="20"/>
                <w:szCs w:val="20"/>
                <w:lang w:val="es-ES"/>
              </w:rPr>
              <w:t>2)</w:t>
            </w:r>
            <w:r w:rsidR="0039342D" w:rsidRPr="0039342D">
              <w:rPr>
                <w:iCs/>
                <w:sz w:val="20"/>
                <w:szCs w:val="20"/>
                <w:lang w:val="es-ES"/>
              </w:rPr>
              <w:t xml:space="preserve"> el</w:t>
            </w:r>
            <w:r w:rsidRPr="0039342D">
              <w:rPr>
                <w:iCs/>
                <w:sz w:val="20"/>
                <w:szCs w:val="20"/>
                <w:lang w:val="es-ES"/>
              </w:rPr>
              <w:t xml:space="preserve"> </w:t>
            </w:r>
            <w:r w:rsidRPr="0039342D">
              <w:rPr>
                <w:i/>
                <w:sz w:val="20"/>
                <w:szCs w:val="20"/>
                <w:lang w:val="es-ES"/>
              </w:rPr>
              <w:t>res</w:t>
            </w:r>
            <w:r w:rsidR="0039342D" w:rsidRPr="0039342D">
              <w:rPr>
                <w:i/>
                <w:sz w:val="20"/>
                <w:szCs w:val="20"/>
                <w:lang w:val="es-ES"/>
              </w:rPr>
              <w:t>ue</w:t>
            </w:r>
            <w:r w:rsidRPr="0039342D">
              <w:rPr>
                <w:i/>
                <w:sz w:val="20"/>
                <w:szCs w:val="20"/>
                <w:lang w:val="es-ES"/>
              </w:rPr>
              <w:t>lves</w:t>
            </w:r>
            <w:r w:rsidRPr="0039342D">
              <w:rPr>
                <w:iCs/>
                <w:sz w:val="20"/>
                <w:szCs w:val="20"/>
                <w:lang w:val="es-ES"/>
              </w:rPr>
              <w:t xml:space="preserve"> 1</w:t>
            </w:r>
            <w:r w:rsidR="00025C52">
              <w:rPr>
                <w:iCs/>
                <w:sz w:val="20"/>
                <w:szCs w:val="20"/>
                <w:lang w:val="es-ES"/>
              </w:rPr>
              <w:t>.1</w:t>
            </w:r>
            <w:r w:rsidRPr="0039342D">
              <w:rPr>
                <w:iCs/>
                <w:sz w:val="20"/>
                <w:szCs w:val="20"/>
                <w:lang w:val="es-ES"/>
              </w:rPr>
              <w:t xml:space="preserve"> </w:t>
            </w:r>
            <w:r w:rsidR="0039342D" w:rsidRPr="0039342D">
              <w:rPr>
                <w:iCs/>
                <w:sz w:val="20"/>
                <w:szCs w:val="20"/>
                <w:lang w:val="es-ES"/>
              </w:rPr>
              <w:t>establece la condición de que se empleen únicamente enlaces espacio-espacio cuando su altitud de apogeo sea inferior a la mínima altitud operativa de la estación espacial del SFS OSG o no OSG con la que se comunica, lo que puede resultar confuso cuando se habla de redes de satélites OSG (cuya mín</w:t>
            </w:r>
            <w:r w:rsidR="0039342D">
              <w:rPr>
                <w:iCs/>
                <w:sz w:val="20"/>
                <w:szCs w:val="20"/>
                <w:lang w:val="es-ES"/>
              </w:rPr>
              <w:t xml:space="preserve">ima altitud operativa debe derivarse de la definición de la OSG o, si ello no es adecuado, notificarse en virtud del Apéndice </w:t>
            </w:r>
            <w:r w:rsidR="0039342D">
              <w:rPr>
                <w:b/>
                <w:bCs/>
                <w:iCs/>
                <w:sz w:val="20"/>
                <w:szCs w:val="20"/>
                <w:lang w:val="es-ES"/>
              </w:rPr>
              <w:t xml:space="preserve">4 </w:t>
            </w:r>
            <w:r w:rsidR="0039342D">
              <w:rPr>
                <w:iCs/>
                <w:sz w:val="20"/>
                <w:szCs w:val="20"/>
                <w:lang w:val="es-ES"/>
              </w:rPr>
              <w:t>del RR</w:t>
            </w:r>
            <w:r w:rsidRPr="0039342D">
              <w:rPr>
                <w:iCs/>
                <w:sz w:val="20"/>
                <w:szCs w:val="20"/>
                <w:lang w:val="es-ES"/>
              </w:rPr>
              <w:t>).</w:t>
            </w:r>
          </w:p>
        </w:tc>
        <w:tc>
          <w:tcPr>
            <w:tcW w:w="3561" w:type="dxa"/>
          </w:tcPr>
          <w:p w14:paraId="0A59F178" w14:textId="43238D68" w:rsidR="00D43945" w:rsidRPr="0039342D" w:rsidRDefault="00D43945" w:rsidP="002D32CF">
            <w:pPr>
              <w:rPr>
                <w:sz w:val="20"/>
                <w:lang w:val="es-ES" w:eastAsia="zh-CN"/>
              </w:rPr>
            </w:pPr>
            <w:r w:rsidRPr="0039342D">
              <w:rPr>
                <w:sz w:val="20"/>
                <w:lang w:val="es-ES" w:eastAsia="zh-CN"/>
              </w:rPr>
              <w:lastRenderedPageBreak/>
              <w:t xml:space="preserve">1) </w:t>
            </w:r>
            <w:r w:rsidR="0039342D" w:rsidRPr="0039342D">
              <w:rPr>
                <w:sz w:val="20"/>
                <w:lang w:val="es-ES" w:eastAsia="zh-CN"/>
              </w:rPr>
              <w:t xml:space="preserve">Considerar la posibilidad de facilitar ejemplos técnicos u orientaciones para verificar que </w:t>
            </w:r>
            <w:r w:rsidR="0039342D">
              <w:rPr>
                <w:sz w:val="20"/>
                <w:lang w:val="es-ES" w:eastAsia="zh-CN"/>
              </w:rPr>
              <w:t>el funcionamiento espacio-espacio se ajusta a los parámetros notificados para el examen de la dfpe</w:t>
            </w:r>
            <w:r w:rsidRPr="0039342D">
              <w:rPr>
                <w:sz w:val="20"/>
                <w:lang w:val="es-ES" w:eastAsia="zh-CN"/>
              </w:rPr>
              <w:t>.</w:t>
            </w:r>
          </w:p>
          <w:p w14:paraId="37913BC5" w14:textId="1D90EA9B" w:rsidR="00D43945" w:rsidRPr="0039342D" w:rsidRDefault="0039342D" w:rsidP="002D32CF">
            <w:pPr>
              <w:rPr>
                <w:sz w:val="20"/>
                <w:szCs w:val="20"/>
                <w:lang w:val="es-ES"/>
              </w:rPr>
            </w:pPr>
            <w:r w:rsidRPr="0039342D">
              <w:rPr>
                <w:sz w:val="20"/>
                <w:lang w:val="es-ES" w:eastAsia="zh-CN"/>
              </w:rPr>
              <w:t>Considerar la posibilidad de modificar la definición de</w:t>
            </w:r>
            <w:r w:rsidR="00D43945" w:rsidRPr="0039342D">
              <w:rPr>
                <w:sz w:val="20"/>
                <w:lang w:val="es-ES" w:eastAsia="zh-CN"/>
              </w:rPr>
              <w:t xml:space="preserve"> </w:t>
            </w:r>
            <w:r w:rsidR="00D43945" w:rsidRPr="00E34869">
              <w:rPr>
                <w:sz w:val="20"/>
                <w:szCs w:val="20"/>
              </w:rPr>
              <w:t>θ</w:t>
            </w:r>
            <w:r w:rsidR="00D43945" w:rsidRPr="0039342D">
              <w:rPr>
                <w:sz w:val="20"/>
                <w:szCs w:val="20"/>
                <w:vertAlign w:val="subscript"/>
                <w:lang w:val="es-ES"/>
              </w:rPr>
              <w:t>Max</w:t>
            </w:r>
            <w:r w:rsidR="00D43945" w:rsidRPr="0039342D">
              <w:rPr>
                <w:sz w:val="20"/>
                <w:lang w:val="es-ES" w:eastAsia="zh-CN"/>
              </w:rPr>
              <w:t xml:space="preserve"> </w:t>
            </w:r>
            <w:r w:rsidRPr="0039342D">
              <w:rPr>
                <w:sz w:val="20"/>
                <w:lang w:val="es-ES" w:eastAsia="zh-CN"/>
              </w:rPr>
              <w:t>en las bandas sujetas a los números</w:t>
            </w:r>
            <w:r w:rsidR="00D43945" w:rsidRPr="0039342D">
              <w:rPr>
                <w:sz w:val="20"/>
                <w:lang w:val="es-ES" w:eastAsia="zh-CN"/>
              </w:rPr>
              <w:t xml:space="preserve"> </w:t>
            </w:r>
            <w:r w:rsidR="00D43945" w:rsidRPr="0039342D">
              <w:rPr>
                <w:b/>
                <w:bCs/>
                <w:sz w:val="20"/>
                <w:lang w:val="es-ES" w:eastAsia="zh-CN"/>
              </w:rPr>
              <w:t>22.5C</w:t>
            </w:r>
            <w:r w:rsidR="00D43945" w:rsidRPr="0039342D">
              <w:rPr>
                <w:sz w:val="20"/>
                <w:lang w:val="es-ES" w:eastAsia="zh-CN"/>
              </w:rPr>
              <w:t xml:space="preserve">, </w:t>
            </w:r>
            <w:r w:rsidR="00D43945" w:rsidRPr="0039342D">
              <w:rPr>
                <w:b/>
                <w:bCs/>
                <w:sz w:val="20"/>
                <w:lang w:val="es-ES" w:eastAsia="zh-CN"/>
              </w:rPr>
              <w:t xml:space="preserve">22.5D </w:t>
            </w:r>
            <w:r w:rsidRPr="0039342D">
              <w:rPr>
                <w:sz w:val="20"/>
                <w:lang w:val="es-ES" w:eastAsia="zh-CN"/>
              </w:rPr>
              <w:t>a fin de incluir el elemento</w:t>
            </w:r>
            <w:r w:rsidR="00D43945" w:rsidRPr="0039342D">
              <w:rPr>
                <w:sz w:val="20"/>
                <w:lang w:val="es-ES" w:eastAsia="zh-CN"/>
              </w:rPr>
              <w:t xml:space="preserve"> </w:t>
            </w:r>
            <w:r w:rsidR="00D43945" w:rsidRPr="0039342D">
              <w:rPr>
                <w:sz w:val="20"/>
                <w:szCs w:val="20"/>
                <w:lang w:val="es-ES"/>
              </w:rPr>
              <w:t xml:space="preserve">A.4.b.7.cbis </w:t>
            </w:r>
            <w:r w:rsidRPr="0039342D">
              <w:rPr>
                <w:sz w:val="20"/>
                <w:szCs w:val="20"/>
                <w:lang w:val="es-ES"/>
              </w:rPr>
              <w:t xml:space="preserve">ya notificado en los cálculos o limitar el apuntamiento del </w:t>
            </w:r>
            <w:r w:rsidRPr="0039342D">
              <w:rPr>
                <w:b/>
                <w:bCs/>
                <w:sz w:val="20"/>
                <w:szCs w:val="20"/>
                <w:lang w:val="es-ES"/>
              </w:rPr>
              <w:t xml:space="preserve">haz principal </w:t>
            </w:r>
            <w:r w:rsidRPr="0039342D">
              <w:rPr>
                <w:sz w:val="20"/>
                <w:szCs w:val="20"/>
                <w:lang w:val="es-ES"/>
              </w:rPr>
              <w:t>de</w:t>
            </w:r>
            <w:r>
              <w:rPr>
                <w:sz w:val="20"/>
                <w:szCs w:val="20"/>
                <w:lang w:val="es-ES"/>
              </w:rPr>
              <w:t xml:space="preserve"> la estación espacial no OSG hacia otra estación OSG o no OSG </w:t>
            </w:r>
            <w:r>
              <w:rPr>
                <w:sz w:val="20"/>
                <w:szCs w:val="20"/>
                <w:lang w:val="es-ES"/>
              </w:rPr>
              <w:lastRenderedPageBreak/>
              <w:t>a un ángulo de elevación (visible desde el punto de la Tierra que marca la intersección entre la línea en que funcionan dos satélites comunicantes y la superficie de la Tierra) inferior a</w:t>
            </w:r>
            <w:r w:rsidR="00D43945" w:rsidRPr="0039342D">
              <w:rPr>
                <w:sz w:val="20"/>
                <w:szCs w:val="20"/>
                <w:lang w:val="es-ES"/>
              </w:rPr>
              <w:t xml:space="preserve"> A.4.b.7.cbis.</w:t>
            </w:r>
          </w:p>
          <w:p w14:paraId="59AED0BA" w14:textId="05AC055B" w:rsidR="00D43945" w:rsidRPr="0039342D" w:rsidRDefault="00D43945" w:rsidP="002D32CF">
            <w:pPr>
              <w:rPr>
                <w:i/>
                <w:sz w:val="20"/>
                <w:lang w:val="es-ES"/>
              </w:rPr>
            </w:pPr>
            <w:r w:rsidRPr="0039342D">
              <w:rPr>
                <w:sz w:val="20"/>
                <w:lang w:val="es-ES" w:eastAsia="zh-CN"/>
              </w:rPr>
              <w:t xml:space="preserve">2) </w:t>
            </w:r>
            <w:r w:rsidR="0039342D" w:rsidRPr="0039342D">
              <w:rPr>
                <w:sz w:val="20"/>
                <w:lang w:val="es-ES" w:eastAsia="zh-CN"/>
              </w:rPr>
              <w:t xml:space="preserve">Reformular esta condición como </w:t>
            </w:r>
            <w:r w:rsidR="0039342D" w:rsidRPr="0039342D">
              <w:rPr>
                <w:i/>
                <w:iCs/>
                <w:sz w:val="20"/>
                <w:lang w:val="es-ES" w:eastAsia="zh-CN"/>
              </w:rPr>
              <w:t xml:space="preserve">emplearán únicamente enlaces espacio-espacio cuando su altitud de apogeo sea inferior a la altura de la órbita del satélite OSG con el que </w:t>
            </w:r>
            <w:r w:rsidR="0039342D">
              <w:rPr>
                <w:i/>
                <w:iCs/>
                <w:sz w:val="20"/>
                <w:lang w:val="es-ES" w:eastAsia="zh-CN"/>
              </w:rPr>
              <w:t>comunica o a la mínima altitud operativa de la estación espacial del SFS no OSG con la que comunica</w:t>
            </w:r>
            <w:r w:rsidRPr="0039342D">
              <w:rPr>
                <w:i/>
                <w:sz w:val="20"/>
                <w:lang w:val="es-ES"/>
              </w:rPr>
              <w:t>.</w:t>
            </w:r>
          </w:p>
          <w:p w14:paraId="228A5972" w14:textId="77777777" w:rsidR="00D43945" w:rsidRPr="0039342D" w:rsidRDefault="00D43945" w:rsidP="002D32CF">
            <w:pPr>
              <w:rPr>
                <w:sz w:val="20"/>
                <w:lang w:val="es-ES" w:eastAsia="zh-CN"/>
              </w:rPr>
            </w:pPr>
          </w:p>
        </w:tc>
      </w:tr>
      <w:tr w:rsidR="007B2F35" w:rsidRPr="004652EA" w14:paraId="0D906E16" w14:textId="77777777" w:rsidTr="007D6727">
        <w:tc>
          <w:tcPr>
            <w:tcW w:w="779" w:type="dxa"/>
            <w:tcBorders>
              <w:top w:val="single" w:sz="4" w:space="0" w:color="auto"/>
              <w:left w:val="single" w:sz="4" w:space="0" w:color="auto"/>
              <w:bottom w:val="single" w:sz="4" w:space="0" w:color="auto"/>
              <w:right w:val="single" w:sz="4" w:space="0" w:color="auto"/>
            </w:tcBorders>
            <w:hideMark/>
          </w:tcPr>
          <w:p w14:paraId="0DCE39EC" w14:textId="77777777" w:rsidR="00D43945" w:rsidRPr="00E34869" w:rsidRDefault="00D43945" w:rsidP="002D32CF">
            <w:pPr>
              <w:rPr>
                <w:sz w:val="20"/>
                <w:lang w:eastAsia="zh-CN"/>
              </w:rPr>
            </w:pPr>
            <w:r w:rsidRPr="00E34869">
              <w:rPr>
                <w:sz w:val="20"/>
                <w:lang w:eastAsia="zh-CN"/>
              </w:rPr>
              <w:lastRenderedPageBreak/>
              <w:t>7</w:t>
            </w:r>
          </w:p>
        </w:tc>
        <w:tc>
          <w:tcPr>
            <w:tcW w:w="1116" w:type="dxa"/>
            <w:tcBorders>
              <w:top w:val="single" w:sz="4" w:space="0" w:color="auto"/>
              <w:left w:val="single" w:sz="4" w:space="0" w:color="auto"/>
              <w:bottom w:val="single" w:sz="4" w:space="0" w:color="auto"/>
              <w:right w:val="single" w:sz="4" w:space="0" w:color="auto"/>
            </w:tcBorders>
            <w:hideMark/>
          </w:tcPr>
          <w:p w14:paraId="3B90BE0B" w14:textId="75FA35BF" w:rsidR="00D43945" w:rsidRPr="0039342D" w:rsidRDefault="00D43945" w:rsidP="002D32CF">
            <w:pPr>
              <w:rPr>
                <w:sz w:val="20"/>
                <w:szCs w:val="20"/>
                <w:lang w:val="es-ES"/>
              </w:rPr>
            </w:pPr>
            <w:r w:rsidRPr="0039342D">
              <w:rPr>
                <w:sz w:val="20"/>
                <w:szCs w:val="20"/>
                <w:lang w:val="es-ES"/>
              </w:rPr>
              <w:t>4/7/10.4.2 M</w:t>
            </w:r>
            <w:r w:rsidR="0039342D" w:rsidRPr="0039342D">
              <w:rPr>
                <w:sz w:val="20"/>
                <w:szCs w:val="20"/>
                <w:lang w:val="es-ES"/>
              </w:rPr>
              <w:t>étodo</w:t>
            </w:r>
            <w:r w:rsidRPr="0039342D">
              <w:rPr>
                <w:sz w:val="20"/>
                <w:szCs w:val="20"/>
                <w:lang w:val="es-ES"/>
              </w:rPr>
              <w:t xml:space="preserve"> J2</w:t>
            </w:r>
          </w:p>
          <w:p w14:paraId="3AD78563" w14:textId="7F673723" w:rsidR="00D43945" w:rsidRPr="0039342D" w:rsidRDefault="00D43945" w:rsidP="002D32CF">
            <w:pPr>
              <w:rPr>
                <w:sz w:val="20"/>
                <w:szCs w:val="20"/>
                <w:lang w:val="es-ES"/>
              </w:rPr>
            </w:pPr>
            <w:r w:rsidRPr="0039342D">
              <w:rPr>
                <w:sz w:val="20"/>
                <w:szCs w:val="20"/>
                <w:lang w:val="es-ES"/>
              </w:rPr>
              <w:t>4/7/10.4.2 M</w:t>
            </w:r>
            <w:r w:rsidR="0039342D" w:rsidRPr="0039342D">
              <w:rPr>
                <w:sz w:val="20"/>
                <w:szCs w:val="20"/>
                <w:lang w:val="es-ES"/>
              </w:rPr>
              <w:t>étodo</w:t>
            </w:r>
            <w:r w:rsidRPr="0039342D">
              <w:rPr>
                <w:sz w:val="20"/>
                <w:szCs w:val="20"/>
                <w:lang w:val="es-ES"/>
              </w:rPr>
              <w:t xml:space="preserve"> J3</w:t>
            </w:r>
          </w:p>
          <w:p w14:paraId="7924F530" w14:textId="04A793A2" w:rsidR="00D43945" w:rsidRPr="0039342D" w:rsidRDefault="00D43945" w:rsidP="002D32CF">
            <w:pPr>
              <w:rPr>
                <w:sz w:val="20"/>
                <w:szCs w:val="20"/>
                <w:lang w:val="es-ES"/>
              </w:rPr>
            </w:pPr>
            <w:r w:rsidRPr="0039342D">
              <w:rPr>
                <w:sz w:val="20"/>
                <w:szCs w:val="20"/>
                <w:lang w:val="es-ES"/>
              </w:rPr>
              <w:t>4/7/10.4.4 M</w:t>
            </w:r>
            <w:r w:rsidR="0039342D" w:rsidRPr="0039342D">
              <w:rPr>
                <w:sz w:val="20"/>
                <w:szCs w:val="20"/>
                <w:lang w:val="es-ES"/>
              </w:rPr>
              <w:t>étodo</w:t>
            </w:r>
            <w:r w:rsidRPr="0039342D">
              <w:rPr>
                <w:sz w:val="20"/>
                <w:szCs w:val="20"/>
                <w:lang w:val="es-ES"/>
              </w:rPr>
              <w:t xml:space="preserve"> J4</w:t>
            </w:r>
          </w:p>
          <w:p w14:paraId="19DF248E" w14:textId="61FD2017" w:rsidR="00D43945" w:rsidRPr="00E34869" w:rsidRDefault="00D43945" w:rsidP="002D32CF">
            <w:pPr>
              <w:rPr>
                <w:b/>
                <w:bCs/>
                <w:sz w:val="20"/>
                <w:lang w:eastAsia="zh-CN"/>
              </w:rPr>
            </w:pPr>
            <w:r w:rsidRPr="00E34869">
              <w:rPr>
                <w:sz w:val="20"/>
                <w:szCs w:val="20"/>
              </w:rPr>
              <w:t>4/7/10.4.5 M</w:t>
            </w:r>
            <w:r w:rsidR="0039342D">
              <w:rPr>
                <w:sz w:val="20"/>
                <w:szCs w:val="20"/>
              </w:rPr>
              <w:t>étodo</w:t>
            </w:r>
            <w:r w:rsidRPr="00E34869">
              <w:rPr>
                <w:sz w:val="20"/>
                <w:szCs w:val="20"/>
              </w:rPr>
              <w:t xml:space="preserve"> J5</w:t>
            </w:r>
          </w:p>
        </w:tc>
        <w:tc>
          <w:tcPr>
            <w:tcW w:w="4904" w:type="dxa"/>
            <w:tcBorders>
              <w:top w:val="single" w:sz="4" w:space="0" w:color="auto"/>
              <w:left w:val="single" w:sz="4" w:space="0" w:color="auto"/>
              <w:bottom w:val="single" w:sz="4" w:space="0" w:color="auto"/>
              <w:right w:val="single" w:sz="4" w:space="0" w:color="auto"/>
            </w:tcBorders>
          </w:tcPr>
          <w:p w14:paraId="208A27A4" w14:textId="17F7E08D" w:rsidR="00D43945" w:rsidRPr="00E34869" w:rsidRDefault="00D43945" w:rsidP="002D32CF">
            <w:pPr>
              <w:rPr>
                <w:sz w:val="20"/>
                <w:szCs w:val="20"/>
                <w:lang w:eastAsia="zh-CN"/>
              </w:rPr>
            </w:pPr>
            <w:r w:rsidRPr="00E34869">
              <w:rPr>
                <w:sz w:val="20"/>
                <w:szCs w:val="20"/>
                <w:lang w:eastAsia="zh-CN"/>
              </w:rPr>
              <w:t>MOD Resolu</w:t>
            </w:r>
            <w:r w:rsidR="0039342D">
              <w:rPr>
                <w:sz w:val="20"/>
                <w:szCs w:val="20"/>
                <w:lang w:eastAsia="zh-CN"/>
              </w:rPr>
              <w:t>ción</w:t>
            </w:r>
            <w:r w:rsidRPr="00E34869">
              <w:rPr>
                <w:sz w:val="20"/>
                <w:szCs w:val="20"/>
                <w:lang w:eastAsia="zh-CN"/>
              </w:rPr>
              <w:t xml:space="preserve"> </w:t>
            </w:r>
            <w:r w:rsidRPr="00E34869">
              <w:rPr>
                <w:b/>
                <w:bCs/>
                <w:sz w:val="20"/>
                <w:szCs w:val="20"/>
                <w:lang w:eastAsia="zh-CN"/>
              </w:rPr>
              <w:t>76</w:t>
            </w:r>
            <w:r w:rsidRPr="00E34869">
              <w:rPr>
                <w:sz w:val="20"/>
                <w:szCs w:val="20"/>
                <w:lang w:eastAsia="zh-CN"/>
              </w:rPr>
              <w:t xml:space="preserve"> (Rev.WRC</w:t>
            </w:r>
            <w:r w:rsidRPr="00E34869">
              <w:rPr>
                <w:sz w:val="20"/>
                <w:szCs w:val="20"/>
                <w:lang w:eastAsia="zh-CN"/>
              </w:rPr>
              <w:noBreakHyphen/>
              <w:t xml:space="preserve">15) </w:t>
            </w:r>
          </w:p>
          <w:p w14:paraId="6F1F8010" w14:textId="77777777" w:rsidR="00D43945" w:rsidRPr="00E34869" w:rsidRDefault="00D43945" w:rsidP="002D32CF">
            <w:pPr>
              <w:rPr>
                <w:sz w:val="20"/>
                <w:lang w:eastAsia="zh-CN"/>
              </w:rPr>
            </w:pPr>
          </w:p>
        </w:tc>
        <w:tc>
          <w:tcPr>
            <w:tcW w:w="3675" w:type="dxa"/>
            <w:tcBorders>
              <w:top w:val="single" w:sz="4" w:space="0" w:color="auto"/>
              <w:left w:val="single" w:sz="4" w:space="0" w:color="auto"/>
              <w:bottom w:val="single" w:sz="4" w:space="0" w:color="auto"/>
              <w:right w:val="single" w:sz="4" w:space="0" w:color="auto"/>
            </w:tcBorders>
            <w:hideMark/>
          </w:tcPr>
          <w:p w14:paraId="2680DC93" w14:textId="63B1BA4E" w:rsidR="00D43945" w:rsidRPr="0039342D" w:rsidRDefault="00D43945" w:rsidP="002D32CF">
            <w:pPr>
              <w:rPr>
                <w:sz w:val="20"/>
                <w:szCs w:val="20"/>
                <w:lang w:val="es-ES" w:eastAsia="zh-CN"/>
              </w:rPr>
            </w:pPr>
            <w:r w:rsidRPr="0039342D">
              <w:rPr>
                <w:rFonts w:eastAsia="TimesNewRoman,Italic"/>
                <w:sz w:val="20"/>
                <w:szCs w:val="20"/>
                <w:lang w:val="es-ES" w:eastAsia="zh-CN"/>
              </w:rPr>
              <w:t xml:space="preserve">1) </w:t>
            </w:r>
            <w:r w:rsidRPr="0039342D">
              <w:rPr>
                <w:sz w:val="20"/>
                <w:szCs w:val="20"/>
                <w:lang w:val="es-ES"/>
              </w:rPr>
              <w:t>4/7/10.4.2 M</w:t>
            </w:r>
            <w:r w:rsidR="0039342D" w:rsidRPr="0039342D">
              <w:rPr>
                <w:sz w:val="20"/>
                <w:szCs w:val="20"/>
                <w:lang w:val="es-ES"/>
              </w:rPr>
              <w:t>étodo</w:t>
            </w:r>
            <w:r w:rsidRPr="0039342D">
              <w:rPr>
                <w:sz w:val="20"/>
                <w:szCs w:val="20"/>
                <w:lang w:val="es-ES"/>
              </w:rPr>
              <w:t xml:space="preserve"> J2 </w:t>
            </w:r>
            <w:r w:rsidRPr="0039342D">
              <w:rPr>
                <w:sz w:val="20"/>
                <w:szCs w:val="20"/>
                <w:lang w:val="es-ES"/>
              </w:rPr>
              <w:br/>
            </w:r>
            <w:r w:rsidRPr="0039342D">
              <w:rPr>
                <w:sz w:val="20"/>
                <w:szCs w:val="20"/>
                <w:lang w:val="es-ES" w:eastAsia="zh-CN"/>
              </w:rPr>
              <w:t>MOD Resolu</w:t>
            </w:r>
            <w:r w:rsidR="0039342D">
              <w:rPr>
                <w:sz w:val="20"/>
                <w:szCs w:val="20"/>
                <w:lang w:val="es-ES" w:eastAsia="zh-CN"/>
              </w:rPr>
              <w:t>ción</w:t>
            </w:r>
            <w:r w:rsidRPr="0039342D">
              <w:rPr>
                <w:sz w:val="20"/>
                <w:szCs w:val="20"/>
                <w:lang w:val="es-ES" w:eastAsia="zh-CN"/>
              </w:rPr>
              <w:t xml:space="preserve"> </w:t>
            </w:r>
            <w:r w:rsidRPr="0039342D">
              <w:rPr>
                <w:b/>
                <w:bCs/>
                <w:sz w:val="20"/>
                <w:szCs w:val="20"/>
                <w:lang w:val="es-ES" w:eastAsia="zh-CN"/>
              </w:rPr>
              <w:t>76</w:t>
            </w:r>
            <w:r w:rsidRPr="0039342D">
              <w:rPr>
                <w:sz w:val="20"/>
                <w:szCs w:val="20"/>
                <w:lang w:val="es-ES" w:eastAsia="zh-CN"/>
              </w:rPr>
              <w:t xml:space="preserve"> (Rev.</w:t>
            </w:r>
            <w:r w:rsidR="0039342D">
              <w:rPr>
                <w:sz w:val="20"/>
                <w:szCs w:val="20"/>
                <w:lang w:val="es-ES" w:eastAsia="zh-CN"/>
              </w:rPr>
              <w:t>CMR</w:t>
            </w:r>
            <w:r w:rsidRPr="0039342D">
              <w:rPr>
                <w:sz w:val="20"/>
                <w:szCs w:val="20"/>
                <w:lang w:val="es-ES" w:eastAsia="zh-CN"/>
              </w:rPr>
              <w:noBreakHyphen/>
              <w:t xml:space="preserve">15) </w:t>
            </w:r>
          </w:p>
          <w:p w14:paraId="389AC97F" w14:textId="0870BC8C" w:rsidR="00D43945" w:rsidRPr="0039342D" w:rsidRDefault="0039342D" w:rsidP="002D32CF">
            <w:pPr>
              <w:pStyle w:val="Call"/>
              <w:ind w:left="0"/>
              <w:rPr>
                <w:sz w:val="20"/>
                <w:szCs w:val="20"/>
                <w:lang w:val="es-ES"/>
              </w:rPr>
            </w:pPr>
            <w:r w:rsidRPr="0039342D">
              <w:rPr>
                <w:rFonts w:eastAsia="TimesNewRoman,Italic"/>
                <w:i w:val="0"/>
                <w:iCs/>
                <w:sz w:val="20"/>
                <w:szCs w:val="20"/>
                <w:lang w:val="es-ES" w:eastAsia="zh-CN"/>
              </w:rPr>
              <w:t xml:space="preserve">El </w:t>
            </w:r>
            <w:r w:rsidRPr="0039342D">
              <w:rPr>
                <w:rFonts w:eastAsia="TimesNewRoman,Italic"/>
                <w:sz w:val="20"/>
                <w:szCs w:val="20"/>
                <w:lang w:val="es-ES" w:eastAsia="zh-CN"/>
              </w:rPr>
              <w:t>encarga a la Oficina de Ra</w:t>
            </w:r>
            <w:r>
              <w:rPr>
                <w:rFonts w:eastAsia="TimesNewRoman,Italic"/>
                <w:sz w:val="20"/>
                <w:szCs w:val="20"/>
                <w:lang w:val="es-ES" w:eastAsia="zh-CN"/>
              </w:rPr>
              <w:t>diocomunicaciones</w:t>
            </w:r>
            <w:r w:rsidR="00D43945" w:rsidRPr="0039342D">
              <w:rPr>
                <w:rFonts w:eastAsia="TimesNewRoman,Italic"/>
                <w:sz w:val="20"/>
                <w:szCs w:val="20"/>
                <w:lang w:val="es-ES" w:eastAsia="zh-CN"/>
              </w:rPr>
              <w:t xml:space="preserve"> 3 </w:t>
            </w:r>
            <w:r>
              <w:rPr>
                <w:rFonts w:eastAsia="TimesNewRoman,Italic"/>
                <w:i w:val="0"/>
                <w:iCs/>
                <w:sz w:val="20"/>
                <w:szCs w:val="20"/>
                <w:lang w:val="es-ES" w:eastAsia="zh-CN"/>
              </w:rPr>
              <w:t xml:space="preserve">exige que la Oficina </w:t>
            </w:r>
            <w:r>
              <w:rPr>
                <w:rFonts w:eastAsia="TimesNewRoman,Italic"/>
                <w:sz w:val="20"/>
                <w:szCs w:val="20"/>
                <w:lang w:val="es-ES" w:eastAsia="zh-CN"/>
              </w:rPr>
              <w:t>elabore instrumentos de cálculo de la dfpe combinada basados en las Recomendaciones UIT-R pertinentes</w:t>
            </w:r>
            <w:r w:rsidR="00D43945" w:rsidRPr="0039342D">
              <w:rPr>
                <w:sz w:val="20"/>
                <w:szCs w:val="20"/>
                <w:lang w:val="es-ES"/>
              </w:rPr>
              <w:t>.</w:t>
            </w:r>
          </w:p>
          <w:p w14:paraId="2530DBAA" w14:textId="01A92576" w:rsidR="00D43945" w:rsidRPr="000C40CA" w:rsidRDefault="0039342D" w:rsidP="002D32CF">
            <w:pPr>
              <w:rPr>
                <w:rFonts w:eastAsia="TimesNewRoman,Italic"/>
                <w:sz w:val="20"/>
                <w:szCs w:val="20"/>
                <w:lang w:val="es-ES"/>
              </w:rPr>
            </w:pPr>
            <w:r w:rsidRPr="0039342D">
              <w:rPr>
                <w:rFonts w:eastAsia="TimesNewRoman,Italic"/>
                <w:sz w:val="20"/>
                <w:szCs w:val="20"/>
                <w:lang w:val="es-ES"/>
              </w:rPr>
              <w:t>La Oficina entiende que dicha elaboración se basará en una metodología completa, preparada por el UIT-R o acordada en las reuniones de consulta, y que no será necesario que la Oficina misma el</w:t>
            </w:r>
            <w:r>
              <w:rPr>
                <w:rFonts w:eastAsia="TimesNewRoman,Italic"/>
                <w:sz w:val="20"/>
                <w:szCs w:val="20"/>
                <w:lang w:val="es-ES"/>
              </w:rPr>
              <w:t xml:space="preserve">abore la metodología utilizando los elementos de </w:t>
            </w:r>
            <w:r>
              <w:rPr>
                <w:rFonts w:eastAsia="TimesNewRoman,Italic"/>
                <w:sz w:val="20"/>
                <w:szCs w:val="20"/>
                <w:lang w:val="es-ES"/>
              </w:rPr>
              <w:lastRenderedPageBreak/>
              <w:t>las Recomendaciones UIT-R pertinentes</w:t>
            </w:r>
            <w:r w:rsidR="00D43945" w:rsidRPr="0039342D">
              <w:rPr>
                <w:rFonts w:eastAsia="TimesNewRoman,Italic"/>
                <w:sz w:val="20"/>
                <w:szCs w:val="20"/>
                <w:lang w:val="es-ES"/>
              </w:rPr>
              <w:t>. A</w:t>
            </w:r>
            <w:r w:rsidRPr="0039342D">
              <w:rPr>
                <w:rFonts w:eastAsia="TimesNewRoman,Italic"/>
                <w:sz w:val="20"/>
                <w:szCs w:val="20"/>
                <w:lang w:val="es-ES"/>
              </w:rPr>
              <w:t xml:space="preserve">l mismo tiempo, podrá ser necesario actualizar esa metodología con frecuencia, habida cuenta de las especificidades de un </w:t>
            </w:r>
            <w:r>
              <w:rPr>
                <w:rFonts w:eastAsia="TimesNewRoman,Italic"/>
                <w:sz w:val="20"/>
                <w:szCs w:val="20"/>
                <w:lang w:val="es-ES"/>
              </w:rPr>
              <w:t xml:space="preserve">sistema no OSG concreto o de las dificultades que encuentre la Oficina. </w:t>
            </w:r>
            <w:r w:rsidR="000C40CA" w:rsidRPr="000C40CA">
              <w:rPr>
                <w:rFonts w:eastAsia="TimesNewRoman,Italic"/>
                <w:sz w:val="20"/>
                <w:szCs w:val="20"/>
                <w:lang w:val="es-ES"/>
              </w:rPr>
              <w:t>Así, podrá tener que solicitarse a las reuniones de consulta que actualicen la metodología según proceda</w:t>
            </w:r>
            <w:r w:rsidR="00D43945" w:rsidRPr="000C40CA">
              <w:rPr>
                <w:rFonts w:eastAsia="TimesNewRoman,Italic"/>
                <w:sz w:val="20"/>
                <w:szCs w:val="20"/>
                <w:lang w:val="es-ES"/>
              </w:rPr>
              <w:t>.</w:t>
            </w:r>
          </w:p>
          <w:p w14:paraId="5E67CA05" w14:textId="6BDF1CDF" w:rsidR="00D43945" w:rsidRPr="000C40CA" w:rsidRDefault="00D43945" w:rsidP="002D32CF">
            <w:pPr>
              <w:rPr>
                <w:iCs/>
                <w:sz w:val="20"/>
                <w:lang w:val="es-ES"/>
              </w:rPr>
            </w:pPr>
            <w:r w:rsidRPr="000C40CA">
              <w:rPr>
                <w:rFonts w:eastAsia="TimesNewRoman,Italic"/>
                <w:sz w:val="20"/>
                <w:lang w:val="es-ES"/>
              </w:rPr>
              <w:t xml:space="preserve">2) </w:t>
            </w:r>
            <w:r w:rsidR="000C40CA" w:rsidRPr="000C40CA">
              <w:rPr>
                <w:rFonts w:eastAsia="TimesNewRoman,Italic"/>
                <w:sz w:val="20"/>
                <w:lang w:val="es-ES"/>
              </w:rPr>
              <w:t>La Oficina entiende que participará en las reuniones de co</w:t>
            </w:r>
            <w:r w:rsidR="000C40CA">
              <w:rPr>
                <w:rFonts w:eastAsia="TimesNewRoman,Italic"/>
                <w:sz w:val="20"/>
                <w:lang w:val="es-ES"/>
              </w:rPr>
              <w:t>nsulta</w:t>
            </w:r>
            <w:r w:rsidRPr="000C40CA">
              <w:rPr>
                <w:iCs/>
                <w:sz w:val="20"/>
                <w:lang w:val="es-ES"/>
              </w:rPr>
              <w:t>.</w:t>
            </w:r>
          </w:p>
        </w:tc>
        <w:tc>
          <w:tcPr>
            <w:tcW w:w="3561" w:type="dxa"/>
            <w:tcBorders>
              <w:top w:val="single" w:sz="4" w:space="0" w:color="auto"/>
              <w:left w:val="single" w:sz="4" w:space="0" w:color="auto"/>
              <w:bottom w:val="single" w:sz="4" w:space="0" w:color="auto"/>
              <w:right w:val="single" w:sz="4" w:space="0" w:color="auto"/>
            </w:tcBorders>
            <w:hideMark/>
          </w:tcPr>
          <w:p w14:paraId="4EBE03AC" w14:textId="119A8807" w:rsidR="00D43945" w:rsidRPr="000C40CA" w:rsidRDefault="00D43945" w:rsidP="002D32CF">
            <w:pPr>
              <w:rPr>
                <w:sz w:val="20"/>
                <w:lang w:val="es-ES" w:eastAsia="zh-CN"/>
              </w:rPr>
            </w:pPr>
            <w:r w:rsidRPr="000C40CA">
              <w:rPr>
                <w:sz w:val="20"/>
                <w:lang w:val="es-ES" w:eastAsia="zh-CN"/>
              </w:rPr>
              <w:lastRenderedPageBreak/>
              <w:t xml:space="preserve">1) </w:t>
            </w:r>
            <w:r w:rsidR="000C40CA" w:rsidRPr="000C40CA">
              <w:rPr>
                <w:sz w:val="20"/>
                <w:lang w:val="es-ES" w:eastAsia="zh-CN"/>
              </w:rPr>
              <w:t xml:space="preserve">Aclarar que la Oficina sólo deberá aplicar </w:t>
            </w:r>
            <w:r w:rsidR="000C40CA">
              <w:rPr>
                <w:sz w:val="20"/>
                <w:lang w:val="es-ES" w:eastAsia="zh-CN"/>
              </w:rPr>
              <w:t>el instrumento</w:t>
            </w:r>
            <w:r w:rsidRPr="000C40CA">
              <w:rPr>
                <w:sz w:val="20"/>
                <w:lang w:val="es-ES" w:eastAsia="zh-CN"/>
              </w:rPr>
              <w:t>:</w:t>
            </w:r>
          </w:p>
          <w:p w14:paraId="6A9FBFDD" w14:textId="1A1F1C52" w:rsidR="00D43945" w:rsidRPr="000C40CA" w:rsidRDefault="000C40CA" w:rsidP="002D32CF">
            <w:pPr>
              <w:rPr>
                <w:i/>
                <w:iCs/>
                <w:sz w:val="20"/>
                <w:lang w:val="es-ES" w:eastAsia="zh-CN"/>
              </w:rPr>
            </w:pPr>
            <w:r w:rsidRPr="000C40CA">
              <w:rPr>
                <w:rFonts w:eastAsia="TimesNewRoman,Italic"/>
                <w:i/>
                <w:iCs/>
                <w:sz w:val="20"/>
                <w:szCs w:val="20"/>
                <w:lang w:val="es-ES" w:eastAsia="zh-CN"/>
              </w:rPr>
              <w:t xml:space="preserve">aplicar el instrumento de cálculo de la dfpe combinada utilizando la metodología que se defina en virtud del </w:t>
            </w:r>
            <w:r>
              <w:rPr>
                <w:rFonts w:eastAsia="TimesNewRoman,Italic"/>
                <w:sz w:val="20"/>
                <w:szCs w:val="20"/>
                <w:lang w:val="es-ES" w:eastAsia="zh-CN"/>
              </w:rPr>
              <w:t xml:space="preserve">invita al Sector de Radiocomunicaciones de la UIT </w:t>
            </w:r>
            <w:r>
              <w:rPr>
                <w:rFonts w:eastAsia="TimesNewRoman,Italic"/>
                <w:i/>
                <w:iCs/>
                <w:sz w:val="20"/>
                <w:szCs w:val="20"/>
                <w:lang w:val="es-ES" w:eastAsia="zh-CN"/>
              </w:rPr>
              <w:t>y siguiendo las orientaciones que se formulen en las reuniones de consulta</w:t>
            </w:r>
          </w:p>
        </w:tc>
      </w:tr>
    </w:tbl>
    <w:p w14:paraId="78DBEB93" w14:textId="77777777" w:rsidR="00D43945" w:rsidRPr="000C40CA" w:rsidRDefault="00D43945" w:rsidP="00D43945">
      <w:pPr>
        <w:rPr>
          <w:lang w:val="es-ES" w:eastAsia="zh-CN"/>
        </w:rPr>
      </w:pPr>
    </w:p>
    <w:p w14:paraId="6D220806" w14:textId="77777777" w:rsidR="008F0839" w:rsidRDefault="008F0839">
      <w:pPr>
        <w:jc w:val="center"/>
      </w:pPr>
      <w:r>
        <w:t>______________</w:t>
      </w:r>
    </w:p>
    <w:p w14:paraId="7AB1193A" w14:textId="77777777" w:rsidR="00DE6CDF" w:rsidRPr="00AC632E" w:rsidRDefault="00DE6CDF" w:rsidP="00DE6CDF"/>
    <w:sectPr w:rsidR="00DE6CDF" w:rsidRPr="00AC632E" w:rsidSect="001828F0">
      <w:headerReference w:type="default" r:id="rId19"/>
      <w:footerReference w:type="even" r:id="rId20"/>
      <w:headerReference w:type="first" r:id="rId21"/>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866F" w14:textId="77777777" w:rsidR="00C15AF0" w:rsidRDefault="00C15AF0">
      <w:r>
        <w:separator/>
      </w:r>
    </w:p>
  </w:endnote>
  <w:endnote w:type="continuationSeparator" w:id="0">
    <w:p w14:paraId="2B7B0AF5" w14:textId="77777777" w:rsidR="00C15AF0" w:rsidRDefault="00C1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5F57" w14:textId="77777777" w:rsidR="00D43945" w:rsidRDefault="00D43945">
    <w:pPr>
      <w:framePr w:wrap="around" w:vAnchor="text" w:hAnchor="margin" w:xAlign="right" w:y="1"/>
    </w:pPr>
    <w:r>
      <w:fldChar w:fldCharType="begin"/>
    </w:r>
    <w:r>
      <w:instrText xml:space="preserve">PAGE  </w:instrText>
    </w:r>
    <w:r>
      <w:fldChar w:fldCharType="separate"/>
    </w:r>
    <w:r>
      <w:rPr>
        <w:noProof/>
      </w:rPr>
      <w:t>1</w:t>
    </w:r>
    <w:r>
      <w:fldChar w:fldCharType="end"/>
    </w:r>
  </w:p>
  <w:p w14:paraId="3EFB46AD" w14:textId="6B8D657D" w:rsidR="00D43945" w:rsidRPr="0041348E" w:rsidRDefault="00D43945">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4652EA">
      <w:rPr>
        <w:noProof/>
      </w:rPr>
      <w:t>29.08.23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p w14:paraId="48D32BEB" w14:textId="77777777" w:rsidR="00D43945" w:rsidRDefault="00D43945"/>
  <w:p w14:paraId="6848C4BD" w14:textId="77777777" w:rsidR="00D43945" w:rsidRDefault="00D439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1B50" w14:textId="1B2391D9" w:rsidR="00D43945" w:rsidRDefault="00D43945">
    <w:pPr>
      <w:pStyle w:val="Footer"/>
      <w:jc w:val="right"/>
    </w:pPr>
  </w:p>
  <w:p w14:paraId="7572B436" w14:textId="4DB491BE" w:rsidR="00D43945" w:rsidRDefault="00747C50" w:rsidP="004934D4">
    <w:pPr>
      <w:pStyle w:val="Footer"/>
    </w:pPr>
    <w:fldSimple w:instr=" FILENAME \p  \* MERGEFORMAT ">
      <w:r w:rsidR="0081533B">
        <w:t>P:\ESP\ITU-R\CONF-R\CMR23\000\004ADD06V2S.docx</w:t>
      </w:r>
    </w:fldSimple>
    <w:r w:rsidR="004934D4">
      <w:t xml:space="preserve"> (526963)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0A7D" w14:textId="5AE7EBF9" w:rsidR="0005670A" w:rsidRDefault="0081533B">
    <w:pPr>
      <w:pStyle w:val="Footer"/>
    </w:pPr>
    <w:r>
      <w:fldChar w:fldCharType="begin"/>
    </w:r>
    <w:r>
      <w:instrText xml:space="preserve"> FILENAME \p  \* MERGEFORMAT </w:instrText>
    </w:r>
    <w:r>
      <w:fldChar w:fldCharType="separate"/>
    </w:r>
    <w:r>
      <w:t>P:\ESP\ITU-R\CONF-R\CMR23\000\004ADD06V2S.docx</w:t>
    </w:r>
    <w:r>
      <w:fldChar w:fldCharType="end"/>
    </w:r>
    <w:r w:rsidR="004934D4">
      <w:t xml:space="preserve"> (526963)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27EE" w14:textId="77777777" w:rsidR="00E45D05" w:rsidRDefault="00E45D05">
    <w:pPr>
      <w:framePr w:wrap="around" w:vAnchor="text" w:hAnchor="margin" w:xAlign="right" w:y="1"/>
    </w:pPr>
    <w:r>
      <w:fldChar w:fldCharType="begin"/>
    </w:r>
    <w:r>
      <w:instrText xml:space="preserve">PAGE  </w:instrText>
    </w:r>
    <w:r>
      <w:fldChar w:fldCharType="end"/>
    </w:r>
  </w:p>
  <w:p w14:paraId="57E2B571" w14:textId="6F181CE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02572">
      <w:rPr>
        <w:noProof/>
        <w:lang w:val="en-US"/>
      </w:rPr>
      <w:t>Document2</w:t>
    </w:r>
    <w:r>
      <w:fldChar w:fldCharType="end"/>
    </w:r>
    <w:r w:rsidRPr="0041348E">
      <w:rPr>
        <w:lang w:val="en-US"/>
      </w:rPr>
      <w:tab/>
    </w:r>
    <w:r>
      <w:fldChar w:fldCharType="begin"/>
    </w:r>
    <w:r>
      <w:instrText xml:space="preserve"> SAVEDATE \@ DD.MM.YY </w:instrText>
    </w:r>
    <w:r>
      <w:fldChar w:fldCharType="separate"/>
    </w:r>
    <w:r w:rsidR="004652EA">
      <w:rPr>
        <w:noProof/>
      </w:rPr>
      <w:t>29.08.23</w:t>
    </w:r>
    <w:r>
      <w:fldChar w:fldCharType="end"/>
    </w:r>
    <w:r w:rsidRPr="0041348E">
      <w:rPr>
        <w:lang w:val="en-US"/>
      </w:rPr>
      <w:tab/>
    </w:r>
    <w:r>
      <w:fldChar w:fldCharType="begin"/>
    </w:r>
    <w:r>
      <w:instrText xml:space="preserve"> PRINTDATE \@ DD.MM.YY </w:instrText>
    </w:r>
    <w:r>
      <w:fldChar w:fldCharType="separate"/>
    </w:r>
    <w:r w:rsidR="00C02572">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CEA3" w14:textId="77777777" w:rsidR="00C15AF0" w:rsidRDefault="00C15AF0">
      <w:r>
        <w:rPr>
          <w:b/>
        </w:rPr>
        <w:t>_______________</w:t>
      </w:r>
    </w:p>
  </w:footnote>
  <w:footnote w:type="continuationSeparator" w:id="0">
    <w:p w14:paraId="1A190B3A" w14:textId="77777777" w:rsidR="00C15AF0" w:rsidRDefault="00C1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BB75" w14:textId="77777777" w:rsidR="0081533B" w:rsidRDefault="00815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DB81" w14:textId="77777777" w:rsidR="0081533B" w:rsidRDefault="00815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B011" w14:textId="77777777" w:rsidR="0081533B" w:rsidRDefault="008153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3E0B" w14:textId="77777777"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14:paraId="2BB52814" w14:textId="6CE11F29" w:rsidR="00E45D05" w:rsidRPr="00800972" w:rsidRDefault="008A7CB7" w:rsidP="00A30305">
    <w:pPr>
      <w:pStyle w:val="Header"/>
    </w:pPr>
    <w:r>
      <w:t>WRC</w:t>
    </w:r>
    <w:r w:rsidR="00B37A1C">
      <w:t>23</w:t>
    </w:r>
    <w:r w:rsidR="00A2048C">
      <w:t>/</w:t>
    </w:r>
    <w:r w:rsidR="00AC632E">
      <w:t>4(Add.</w:t>
    </w:r>
    <w:r w:rsidR="003E1C82">
      <w:t>6</w:t>
    </w:r>
    <w:r w:rsidR="00AC632E">
      <w:t>)</w:t>
    </w:r>
    <w:r w:rsidR="00A2048C">
      <w:t>-</w:t>
    </w:r>
    <w:proofErr w:type="gramStart"/>
    <w:r w:rsidR="00AC5A85">
      <w:t>S</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600633"/>
      <w:docPartObj>
        <w:docPartGallery w:val="Page Numbers (Top of Page)"/>
        <w:docPartUnique/>
      </w:docPartObj>
    </w:sdtPr>
    <w:sdtEndPr>
      <w:rPr>
        <w:noProof/>
      </w:rPr>
    </w:sdtEndPr>
    <w:sdtContent>
      <w:p w14:paraId="2E3D35D0" w14:textId="35A35D15" w:rsidR="00BE0589" w:rsidRDefault="00BE0589">
        <w:pPr>
          <w:pStyle w:val="Header"/>
        </w:pPr>
        <w:r>
          <w:fldChar w:fldCharType="begin"/>
        </w:r>
        <w:r>
          <w:instrText xml:space="preserve"> PAGE   \* MERGEFORMAT </w:instrText>
        </w:r>
        <w:r>
          <w:fldChar w:fldCharType="separate"/>
        </w:r>
        <w:r>
          <w:rPr>
            <w:noProof/>
          </w:rPr>
          <w:t>2</w:t>
        </w:r>
        <w:r>
          <w:rPr>
            <w:noProof/>
          </w:rPr>
          <w:fldChar w:fldCharType="end"/>
        </w:r>
      </w:p>
    </w:sdtContent>
  </w:sdt>
  <w:p w14:paraId="26BFFC42" w14:textId="0A0F851F" w:rsidR="00BE0589" w:rsidRDefault="0030419E">
    <w:pPr>
      <w:pStyle w:val="Header"/>
    </w:pPr>
    <w:r>
      <w:t>WRC23/4(Add.</w:t>
    </w:r>
    <w:r w:rsidR="003E1C82">
      <w:t>6</w:t>
    </w:r>
    <w:r>
      <w:t>)-</w:t>
    </w:r>
    <w:proofErr w:type="gramStart"/>
    <w:r w:rsidR="007024F7">
      <w: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A5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C85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CA1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F2F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626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CD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48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257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6D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DE7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7198F"/>
    <w:multiLevelType w:val="hybridMultilevel"/>
    <w:tmpl w:val="6486F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03836E72"/>
    <w:multiLevelType w:val="hybridMultilevel"/>
    <w:tmpl w:val="B6067B04"/>
    <w:lvl w:ilvl="0" w:tplc="0409001B">
      <w:start w:val="1"/>
      <w:numFmt w:val="lowerRoman"/>
      <w:lvlText w:val="%1."/>
      <w:lvlJc w:val="right"/>
      <w:pPr>
        <w:ind w:left="2148" w:hanging="360"/>
      </w:pPr>
      <w:rPr>
        <w:rFonts w:ascii="Times New Roman" w:hAnsi="Times New Roman"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3" w15:restartNumberingAfterBreak="0">
    <w:nsid w:val="04055524"/>
    <w:multiLevelType w:val="hybridMultilevel"/>
    <w:tmpl w:val="60422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08200F"/>
    <w:multiLevelType w:val="multilevel"/>
    <w:tmpl w:val="ACD4D60C"/>
    <w:lvl w:ilvl="0">
      <w:start w:val="1"/>
      <w:numFmt w:val="decimal"/>
      <w:lvlText w:val="%1."/>
      <w:lvlJc w:val="left"/>
      <w:pPr>
        <w:tabs>
          <w:tab w:val="num" w:pos="720"/>
        </w:tabs>
        <w:ind w:left="720" w:hanging="720"/>
      </w:pPr>
      <w:rPr>
        <w:rFonts w:ascii="Times New Roman" w:hAnsi="Times New Roman" w:cs="Times New Roman" w:hint="default"/>
        <w:b w:val="0"/>
        <w:i w:val="0"/>
        <w:sz w:val="22"/>
      </w:rPr>
    </w:lvl>
    <w:lvl w:ilvl="1">
      <w:start w:val="1"/>
      <w:numFmt w:val="decimal"/>
      <w:lvlText w:val="%1.%2"/>
      <w:lvlJc w:val="left"/>
      <w:pPr>
        <w:tabs>
          <w:tab w:val="num" w:pos="0"/>
        </w:tabs>
        <w:ind w:left="0" w:firstLine="0"/>
      </w:pPr>
      <w:rPr>
        <w:rFonts w:ascii="Times New Roman" w:hAnsi="Times New Roman" w:cs="Times New Roman" w:hint="default"/>
        <w:b w:val="0"/>
        <w:i w:val="0"/>
        <w:iCs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15" w15:restartNumberingAfterBreak="0">
    <w:nsid w:val="07416DEE"/>
    <w:multiLevelType w:val="hybridMultilevel"/>
    <w:tmpl w:val="0E7AA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AA176D6"/>
    <w:multiLevelType w:val="multilevel"/>
    <w:tmpl w:val="7BDE6488"/>
    <w:lvl w:ilvl="0">
      <w:start w:val="1"/>
      <w:numFmt w:val="decimal"/>
      <w:lvlText w:val="%1."/>
      <w:lvlJc w:val="left"/>
      <w:pPr>
        <w:ind w:left="671" w:hanging="152"/>
      </w:pPr>
      <w:rPr>
        <w:rFonts w:ascii="Times New Roman" w:eastAsia="Times New Roman" w:hAnsi="Times New Roman" w:cs="Times New Roman" w:hint="default"/>
        <w:b w:val="0"/>
        <w:bCs w:val="0"/>
        <w:i w:val="0"/>
        <w:iCs w:val="0"/>
        <w:w w:val="100"/>
        <w:sz w:val="18"/>
        <w:szCs w:val="18"/>
        <w:lang w:val="en-US" w:eastAsia="en-US" w:bidi="ar-SA"/>
      </w:rPr>
    </w:lvl>
    <w:lvl w:ilvl="1">
      <w:start w:val="1"/>
      <w:numFmt w:val="decimal"/>
      <w:lvlText w:val="%1.%2"/>
      <w:lvlJc w:val="left"/>
      <w:pPr>
        <w:ind w:left="4931" w:hanging="452"/>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59" w:hanging="600"/>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269" w:hanging="751"/>
      </w:pPr>
      <w:rPr>
        <w:rFonts w:hint="default"/>
        <w:spacing w:val="-1"/>
        <w:w w:val="100"/>
        <w:lang w:val="en-US" w:eastAsia="en-US" w:bidi="ar-SA"/>
      </w:rPr>
    </w:lvl>
    <w:lvl w:ilvl="4">
      <w:numFmt w:val="bullet"/>
      <w:lvlText w:val="•"/>
      <w:lvlJc w:val="left"/>
      <w:pPr>
        <w:ind w:left="4940" w:hanging="751"/>
      </w:pPr>
      <w:rPr>
        <w:rFonts w:hint="default"/>
        <w:lang w:val="en-US" w:eastAsia="en-US" w:bidi="ar-SA"/>
      </w:rPr>
    </w:lvl>
    <w:lvl w:ilvl="5">
      <w:numFmt w:val="bullet"/>
      <w:lvlText w:val="•"/>
      <w:lvlJc w:val="left"/>
      <w:pPr>
        <w:ind w:left="5850" w:hanging="751"/>
      </w:pPr>
      <w:rPr>
        <w:rFonts w:hint="default"/>
        <w:lang w:val="en-US" w:eastAsia="en-US" w:bidi="ar-SA"/>
      </w:rPr>
    </w:lvl>
    <w:lvl w:ilvl="6">
      <w:numFmt w:val="bullet"/>
      <w:lvlText w:val="•"/>
      <w:lvlJc w:val="left"/>
      <w:pPr>
        <w:ind w:left="6760" w:hanging="751"/>
      </w:pPr>
      <w:rPr>
        <w:rFonts w:hint="default"/>
        <w:lang w:val="en-US" w:eastAsia="en-US" w:bidi="ar-SA"/>
      </w:rPr>
    </w:lvl>
    <w:lvl w:ilvl="7">
      <w:numFmt w:val="bullet"/>
      <w:lvlText w:val="•"/>
      <w:lvlJc w:val="left"/>
      <w:pPr>
        <w:ind w:left="7670" w:hanging="751"/>
      </w:pPr>
      <w:rPr>
        <w:rFonts w:hint="default"/>
        <w:lang w:val="en-US" w:eastAsia="en-US" w:bidi="ar-SA"/>
      </w:rPr>
    </w:lvl>
    <w:lvl w:ilvl="8">
      <w:numFmt w:val="bullet"/>
      <w:lvlText w:val="•"/>
      <w:lvlJc w:val="left"/>
      <w:pPr>
        <w:ind w:left="8580" w:hanging="751"/>
      </w:pPr>
      <w:rPr>
        <w:rFonts w:hint="default"/>
        <w:lang w:val="en-US" w:eastAsia="en-US" w:bidi="ar-SA"/>
      </w:rPr>
    </w:lvl>
  </w:abstractNum>
  <w:abstractNum w:abstractNumId="17" w15:restartNumberingAfterBreak="0">
    <w:nsid w:val="0D2E6123"/>
    <w:multiLevelType w:val="hybridMultilevel"/>
    <w:tmpl w:val="82F4624C"/>
    <w:lvl w:ilvl="0" w:tplc="8E92044E">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8" w15:restartNumberingAfterBreak="0">
    <w:nsid w:val="0F9A44FB"/>
    <w:multiLevelType w:val="hybridMultilevel"/>
    <w:tmpl w:val="383827C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824BE"/>
    <w:multiLevelType w:val="hybridMultilevel"/>
    <w:tmpl w:val="816A3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5F60FC7"/>
    <w:multiLevelType w:val="multilevel"/>
    <w:tmpl w:val="E4AE929E"/>
    <w:lvl w:ilvl="0">
      <w:start w:val="2"/>
      <w:numFmt w:val="decimal"/>
      <w:lvlText w:val="%1"/>
      <w:lvlJc w:val="left"/>
      <w:pPr>
        <w:ind w:left="4294" w:hanging="451"/>
      </w:pPr>
      <w:rPr>
        <w:rFonts w:hint="default"/>
        <w:lang w:val="en-US" w:eastAsia="en-US" w:bidi="ar-SA"/>
      </w:rPr>
    </w:lvl>
    <w:lvl w:ilvl="1">
      <w:start w:val="1"/>
      <w:numFmt w:val="decimal"/>
      <w:lvlText w:val="%1.%2"/>
      <w:lvlJc w:val="left"/>
      <w:pPr>
        <w:ind w:left="6481" w:hanging="451"/>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121" w:hanging="602"/>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60" w:hanging="751"/>
      </w:pPr>
      <w:rPr>
        <w:rFonts w:ascii="Times New Roman" w:eastAsia="Times New Roman" w:hAnsi="Times New Roman" w:cs="Times New Roman" w:hint="default"/>
        <w:b w:val="0"/>
        <w:bCs w:val="0"/>
        <w:i w:val="0"/>
        <w:iCs w:val="0"/>
        <w:spacing w:val="-1"/>
        <w:w w:val="100"/>
        <w:sz w:val="20"/>
        <w:szCs w:val="20"/>
        <w:lang w:val="en-US" w:eastAsia="en-US" w:bidi="ar-SA"/>
      </w:rPr>
    </w:lvl>
    <w:lvl w:ilvl="4">
      <w:numFmt w:val="bullet"/>
      <w:lvlText w:val="•"/>
      <w:lvlJc w:val="left"/>
      <w:pPr>
        <w:ind w:left="5825" w:hanging="751"/>
      </w:pPr>
      <w:rPr>
        <w:rFonts w:hint="default"/>
        <w:lang w:val="en-US" w:eastAsia="en-US" w:bidi="ar-SA"/>
      </w:rPr>
    </w:lvl>
    <w:lvl w:ilvl="5">
      <w:numFmt w:val="bullet"/>
      <w:lvlText w:val="•"/>
      <w:lvlJc w:val="left"/>
      <w:pPr>
        <w:ind w:left="6587" w:hanging="751"/>
      </w:pPr>
      <w:rPr>
        <w:rFonts w:hint="default"/>
        <w:lang w:val="en-US" w:eastAsia="en-US" w:bidi="ar-SA"/>
      </w:rPr>
    </w:lvl>
    <w:lvl w:ilvl="6">
      <w:numFmt w:val="bullet"/>
      <w:lvlText w:val="•"/>
      <w:lvlJc w:val="left"/>
      <w:pPr>
        <w:ind w:left="7350" w:hanging="751"/>
      </w:pPr>
      <w:rPr>
        <w:rFonts w:hint="default"/>
        <w:lang w:val="en-US" w:eastAsia="en-US" w:bidi="ar-SA"/>
      </w:rPr>
    </w:lvl>
    <w:lvl w:ilvl="7">
      <w:numFmt w:val="bullet"/>
      <w:lvlText w:val="•"/>
      <w:lvlJc w:val="left"/>
      <w:pPr>
        <w:ind w:left="8112" w:hanging="751"/>
      </w:pPr>
      <w:rPr>
        <w:rFonts w:hint="default"/>
        <w:lang w:val="en-US" w:eastAsia="en-US" w:bidi="ar-SA"/>
      </w:rPr>
    </w:lvl>
    <w:lvl w:ilvl="8">
      <w:numFmt w:val="bullet"/>
      <w:lvlText w:val="•"/>
      <w:lvlJc w:val="left"/>
      <w:pPr>
        <w:ind w:left="8875" w:hanging="751"/>
      </w:pPr>
      <w:rPr>
        <w:rFonts w:hint="default"/>
        <w:lang w:val="en-US" w:eastAsia="en-US" w:bidi="ar-SA"/>
      </w:rPr>
    </w:lvl>
  </w:abstractNum>
  <w:abstractNum w:abstractNumId="21" w15:restartNumberingAfterBreak="0">
    <w:nsid w:val="2A930D2A"/>
    <w:multiLevelType w:val="hybridMultilevel"/>
    <w:tmpl w:val="59626A18"/>
    <w:lvl w:ilvl="0" w:tplc="393AECF6">
      <w:start w:val="1"/>
      <w:numFmt w:val="lowerLetter"/>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22" w15:restartNumberingAfterBreak="0">
    <w:nsid w:val="30BE3906"/>
    <w:multiLevelType w:val="multilevel"/>
    <w:tmpl w:val="BBD693B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AA75FAD"/>
    <w:multiLevelType w:val="hybridMultilevel"/>
    <w:tmpl w:val="1F7C4FA2"/>
    <w:lvl w:ilvl="0" w:tplc="52AE3D0C">
      <w:start w:val="3"/>
      <w:numFmt w:val="bullet"/>
      <w:lvlText w:val="—"/>
      <w:lvlJc w:val="left"/>
      <w:pPr>
        <w:ind w:left="1502" w:hanging="360"/>
      </w:pPr>
      <w:rPr>
        <w:rFonts w:ascii="Times New Roman" w:eastAsiaTheme="minorEastAsia" w:hAnsi="Times New Roman" w:cs="Times New Roman" w:hint="default"/>
      </w:rPr>
    </w:lvl>
    <w:lvl w:ilvl="1" w:tplc="94249436">
      <w:numFmt w:val="bullet"/>
      <w:lvlText w:val="-"/>
      <w:lvlJc w:val="left"/>
      <w:pPr>
        <w:ind w:left="2222" w:hanging="360"/>
      </w:pPr>
      <w:rPr>
        <w:rFonts w:ascii="Times New Roman" w:eastAsiaTheme="minorEastAsia" w:hAnsi="Times New Roman" w:cs="Times New Roman" w:hint="default"/>
      </w:rPr>
    </w:lvl>
    <w:lvl w:ilvl="2" w:tplc="10090005" w:tentative="1">
      <w:start w:val="1"/>
      <w:numFmt w:val="bullet"/>
      <w:lvlText w:val=""/>
      <w:lvlJc w:val="left"/>
      <w:pPr>
        <w:ind w:left="2942" w:hanging="360"/>
      </w:pPr>
      <w:rPr>
        <w:rFonts w:ascii="Wingdings" w:hAnsi="Wingdings" w:hint="default"/>
      </w:rPr>
    </w:lvl>
    <w:lvl w:ilvl="3" w:tplc="10090001" w:tentative="1">
      <w:start w:val="1"/>
      <w:numFmt w:val="bullet"/>
      <w:lvlText w:val=""/>
      <w:lvlJc w:val="left"/>
      <w:pPr>
        <w:ind w:left="3662" w:hanging="360"/>
      </w:pPr>
      <w:rPr>
        <w:rFonts w:ascii="Symbol" w:hAnsi="Symbol" w:hint="default"/>
      </w:rPr>
    </w:lvl>
    <w:lvl w:ilvl="4" w:tplc="10090003" w:tentative="1">
      <w:start w:val="1"/>
      <w:numFmt w:val="bullet"/>
      <w:lvlText w:val="o"/>
      <w:lvlJc w:val="left"/>
      <w:pPr>
        <w:ind w:left="4382" w:hanging="360"/>
      </w:pPr>
      <w:rPr>
        <w:rFonts w:ascii="Courier New" w:hAnsi="Courier New" w:cs="Courier New" w:hint="default"/>
      </w:rPr>
    </w:lvl>
    <w:lvl w:ilvl="5" w:tplc="10090005" w:tentative="1">
      <w:start w:val="1"/>
      <w:numFmt w:val="bullet"/>
      <w:lvlText w:val=""/>
      <w:lvlJc w:val="left"/>
      <w:pPr>
        <w:ind w:left="5102" w:hanging="360"/>
      </w:pPr>
      <w:rPr>
        <w:rFonts w:ascii="Wingdings" w:hAnsi="Wingdings" w:hint="default"/>
      </w:rPr>
    </w:lvl>
    <w:lvl w:ilvl="6" w:tplc="10090001" w:tentative="1">
      <w:start w:val="1"/>
      <w:numFmt w:val="bullet"/>
      <w:lvlText w:val=""/>
      <w:lvlJc w:val="left"/>
      <w:pPr>
        <w:ind w:left="5822" w:hanging="360"/>
      </w:pPr>
      <w:rPr>
        <w:rFonts w:ascii="Symbol" w:hAnsi="Symbol" w:hint="default"/>
      </w:rPr>
    </w:lvl>
    <w:lvl w:ilvl="7" w:tplc="10090003" w:tentative="1">
      <w:start w:val="1"/>
      <w:numFmt w:val="bullet"/>
      <w:lvlText w:val="o"/>
      <w:lvlJc w:val="left"/>
      <w:pPr>
        <w:ind w:left="6542" w:hanging="360"/>
      </w:pPr>
      <w:rPr>
        <w:rFonts w:ascii="Courier New" w:hAnsi="Courier New" w:cs="Courier New" w:hint="default"/>
      </w:rPr>
    </w:lvl>
    <w:lvl w:ilvl="8" w:tplc="10090005" w:tentative="1">
      <w:start w:val="1"/>
      <w:numFmt w:val="bullet"/>
      <w:lvlText w:val=""/>
      <w:lvlJc w:val="left"/>
      <w:pPr>
        <w:ind w:left="7262" w:hanging="360"/>
      </w:pPr>
      <w:rPr>
        <w:rFonts w:ascii="Wingdings" w:hAnsi="Wingdings" w:hint="default"/>
      </w:rPr>
    </w:lvl>
  </w:abstractNum>
  <w:abstractNum w:abstractNumId="25" w15:restartNumberingAfterBreak="0">
    <w:nsid w:val="3AC72439"/>
    <w:multiLevelType w:val="multilevel"/>
    <w:tmpl w:val="70CA9408"/>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6" w15:restartNumberingAfterBreak="0">
    <w:nsid w:val="41A35653"/>
    <w:multiLevelType w:val="hybridMultilevel"/>
    <w:tmpl w:val="F87C3CA0"/>
    <w:lvl w:ilvl="0" w:tplc="9056CEA4">
      <w:start w:val="4"/>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87C7A8D"/>
    <w:multiLevelType w:val="hybridMultilevel"/>
    <w:tmpl w:val="856277F8"/>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8" w15:restartNumberingAfterBreak="0">
    <w:nsid w:val="4A427985"/>
    <w:multiLevelType w:val="multilevel"/>
    <w:tmpl w:val="4DE6E3BE"/>
    <w:lvl w:ilvl="0">
      <w:start w:val="3"/>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4A572B95"/>
    <w:multiLevelType w:val="hybridMultilevel"/>
    <w:tmpl w:val="B2C83800"/>
    <w:lvl w:ilvl="0" w:tplc="BAE680CC">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95251C"/>
    <w:multiLevelType w:val="hybridMultilevel"/>
    <w:tmpl w:val="88A829A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56720C2E"/>
    <w:multiLevelType w:val="hybridMultilevel"/>
    <w:tmpl w:val="B2202942"/>
    <w:lvl w:ilvl="0" w:tplc="D5083BB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69EB2766"/>
    <w:multiLevelType w:val="hybridMultilevel"/>
    <w:tmpl w:val="C206F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4" w15:restartNumberingAfterBreak="0">
    <w:nsid w:val="6D2E4DC2"/>
    <w:multiLevelType w:val="hybridMultilevel"/>
    <w:tmpl w:val="DEF0532E"/>
    <w:lvl w:ilvl="0" w:tplc="30E66FF8">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num w:numId="1" w16cid:durableId="1828091258">
    <w:abstractNumId w:val="8"/>
  </w:num>
  <w:num w:numId="2" w16cid:durableId="18378432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73473818">
    <w:abstractNumId w:val="33"/>
  </w:num>
  <w:num w:numId="4" w16cid:durableId="664089796">
    <w:abstractNumId w:val="23"/>
  </w:num>
  <w:num w:numId="5" w16cid:durableId="300117923">
    <w:abstractNumId w:val="18"/>
  </w:num>
  <w:num w:numId="6" w16cid:durableId="156965558">
    <w:abstractNumId w:val="19"/>
  </w:num>
  <w:num w:numId="7" w16cid:durableId="1818642175">
    <w:abstractNumId w:val="27"/>
  </w:num>
  <w:num w:numId="8" w16cid:durableId="1894998260">
    <w:abstractNumId w:val="12"/>
  </w:num>
  <w:num w:numId="9" w16cid:durableId="1079792281">
    <w:abstractNumId w:val="11"/>
  </w:num>
  <w:num w:numId="10" w16cid:durableId="1993018723">
    <w:abstractNumId w:val="32"/>
  </w:num>
  <w:num w:numId="11" w16cid:durableId="1347100634">
    <w:abstractNumId w:val="25"/>
  </w:num>
  <w:num w:numId="12" w16cid:durableId="531767959">
    <w:abstractNumId w:val="14"/>
  </w:num>
  <w:num w:numId="13" w16cid:durableId="1188250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7766072">
    <w:abstractNumId w:val="29"/>
  </w:num>
  <w:num w:numId="15" w16cid:durableId="130178234">
    <w:abstractNumId w:val="34"/>
  </w:num>
  <w:num w:numId="16" w16cid:durableId="435905879">
    <w:abstractNumId w:val="24"/>
  </w:num>
  <w:num w:numId="17" w16cid:durableId="173801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9469140">
    <w:abstractNumId w:val="31"/>
  </w:num>
  <w:num w:numId="19" w16cid:durableId="1564487649">
    <w:abstractNumId w:val="28"/>
  </w:num>
  <w:num w:numId="20" w16cid:durableId="793986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184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0652779">
    <w:abstractNumId w:val="16"/>
  </w:num>
  <w:num w:numId="23" w16cid:durableId="1310743296">
    <w:abstractNumId w:val="20"/>
  </w:num>
  <w:num w:numId="24" w16cid:durableId="1752309743">
    <w:abstractNumId w:val="17"/>
  </w:num>
  <w:num w:numId="25" w16cid:durableId="1278021822">
    <w:abstractNumId w:val="30"/>
  </w:num>
  <w:num w:numId="26" w16cid:durableId="2124104875">
    <w:abstractNumId w:val="15"/>
  </w:num>
  <w:num w:numId="27" w16cid:durableId="67849706">
    <w:abstractNumId w:val="26"/>
  </w:num>
  <w:num w:numId="28" w16cid:durableId="1964534164">
    <w:abstractNumId w:val="9"/>
  </w:num>
  <w:num w:numId="29" w16cid:durableId="374427707">
    <w:abstractNumId w:val="7"/>
  </w:num>
  <w:num w:numId="30" w16cid:durableId="1095440555">
    <w:abstractNumId w:val="6"/>
  </w:num>
  <w:num w:numId="31" w16cid:durableId="1733849477">
    <w:abstractNumId w:val="5"/>
  </w:num>
  <w:num w:numId="32" w16cid:durableId="1525897312">
    <w:abstractNumId w:val="4"/>
  </w:num>
  <w:num w:numId="33" w16cid:durableId="1698964746">
    <w:abstractNumId w:val="8"/>
  </w:num>
  <w:num w:numId="34" w16cid:durableId="1656564529">
    <w:abstractNumId w:val="3"/>
  </w:num>
  <w:num w:numId="35" w16cid:durableId="1579363774">
    <w:abstractNumId w:val="2"/>
  </w:num>
  <w:num w:numId="36" w16cid:durableId="347222699">
    <w:abstractNumId w:val="1"/>
  </w:num>
  <w:num w:numId="37" w16cid:durableId="536697445">
    <w:abstractNumId w:val="0"/>
  </w:num>
  <w:num w:numId="38" w16cid:durableId="1272398048">
    <w:abstractNumId w:val="9"/>
  </w:num>
  <w:num w:numId="39" w16cid:durableId="1850023152">
    <w:abstractNumId w:val="7"/>
  </w:num>
  <w:num w:numId="40" w16cid:durableId="919602999">
    <w:abstractNumId w:val="6"/>
  </w:num>
  <w:num w:numId="41" w16cid:durableId="1876696784">
    <w:abstractNumId w:val="5"/>
  </w:num>
  <w:num w:numId="42" w16cid:durableId="777481623">
    <w:abstractNumId w:val="4"/>
  </w:num>
  <w:num w:numId="43" w16cid:durableId="1114980167">
    <w:abstractNumId w:val="8"/>
  </w:num>
  <w:num w:numId="44" w16cid:durableId="1390616435">
    <w:abstractNumId w:val="3"/>
  </w:num>
  <w:num w:numId="45" w16cid:durableId="1541431837">
    <w:abstractNumId w:val="2"/>
  </w:num>
  <w:num w:numId="46" w16cid:durableId="1679575937">
    <w:abstractNumId w:val="1"/>
  </w:num>
  <w:num w:numId="47" w16cid:durableId="1736664606">
    <w:abstractNumId w:val="0"/>
  </w:num>
  <w:num w:numId="48" w16cid:durableId="2014139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MjAxMzAwMbcwMjNW0lEKTi0uzszPAykwrAUAL9HL3CwAAAA="/>
  </w:docVars>
  <w:rsids>
    <w:rsidRoot w:val="00C02572"/>
    <w:rsid w:val="00002A0B"/>
    <w:rsid w:val="000041EA"/>
    <w:rsid w:val="00005876"/>
    <w:rsid w:val="000131B1"/>
    <w:rsid w:val="00022A29"/>
    <w:rsid w:val="00025C52"/>
    <w:rsid w:val="000355FD"/>
    <w:rsid w:val="00040FA8"/>
    <w:rsid w:val="0004366F"/>
    <w:rsid w:val="00044DBE"/>
    <w:rsid w:val="00051E39"/>
    <w:rsid w:val="000551E6"/>
    <w:rsid w:val="0005670A"/>
    <w:rsid w:val="00061C3A"/>
    <w:rsid w:val="000648C4"/>
    <w:rsid w:val="00067761"/>
    <w:rsid w:val="0007459B"/>
    <w:rsid w:val="000757AD"/>
    <w:rsid w:val="000771E4"/>
    <w:rsid w:val="00077239"/>
    <w:rsid w:val="00077433"/>
    <w:rsid w:val="00085661"/>
    <w:rsid w:val="00086491"/>
    <w:rsid w:val="00091346"/>
    <w:rsid w:val="00096877"/>
    <w:rsid w:val="000A0CE5"/>
    <w:rsid w:val="000A4A0C"/>
    <w:rsid w:val="000A6559"/>
    <w:rsid w:val="000B3F7A"/>
    <w:rsid w:val="000C3392"/>
    <w:rsid w:val="000C40CA"/>
    <w:rsid w:val="000C4FB5"/>
    <w:rsid w:val="000C5AE9"/>
    <w:rsid w:val="000C6396"/>
    <w:rsid w:val="000D56BB"/>
    <w:rsid w:val="000E42C1"/>
    <w:rsid w:val="000E60CD"/>
    <w:rsid w:val="000E6D95"/>
    <w:rsid w:val="000F23A9"/>
    <w:rsid w:val="000F73FF"/>
    <w:rsid w:val="000F7BD7"/>
    <w:rsid w:val="00103630"/>
    <w:rsid w:val="001073CC"/>
    <w:rsid w:val="001128C7"/>
    <w:rsid w:val="00114CF7"/>
    <w:rsid w:val="00114D91"/>
    <w:rsid w:val="00117DF3"/>
    <w:rsid w:val="00123B68"/>
    <w:rsid w:val="00124946"/>
    <w:rsid w:val="00126F2E"/>
    <w:rsid w:val="00132C2E"/>
    <w:rsid w:val="00146F6F"/>
    <w:rsid w:val="001828F0"/>
    <w:rsid w:val="00184417"/>
    <w:rsid w:val="00186A70"/>
    <w:rsid w:val="00190B55"/>
    <w:rsid w:val="001C0383"/>
    <w:rsid w:val="001C057C"/>
    <w:rsid w:val="001C3B5F"/>
    <w:rsid w:val="001D058F"/>
    <w:rsid w:val="001D18E3"/>
    <w:rsid w:val="001E67C4"/>
    <w:rsid w:val="001F62DD"/>
    <w:rsid w:val="002009EA"/>
    <w:rsid w:val="00202CA0"/>
    <w:rsid w:val="002067CF"/>
    <w:rsid w:val="002149AA"/>
    <w:rsid w:val="00220569"/>
    <w:rsid w:val="0022060F"/>
    <w:rsid w:val="00221F81"/>
    <w:rsid w:val="00223592"/>
    <w:rsid w:val="00243C8D"/>
    <w:rsid w:val="002505D0"/>
    <w:rsid w:val="0026035E"/>
    <w:rsid w:val="0026520D"/>
    <w:rsid w:val="00271316"/>
    <w:rsid w:val="0027336E"/>
    <w:rsid w:val="002735EE"/>
    <w:rsid w:val="002774DE"/>
    <w:rsid w:val="00280B6B"/>
    <w:rsid w:val="00293146"/>
    <w:rsid w:val="002A33D2"/>
    <w:rsid w:val="002A70EF"/>
    <w:rsid w:val="002B0EF6"/>
    <w:rsid w:val="002C4F17"/>
    <w:rsid w:val="002D58BE"/>
    <w:rsid w:val="002E0445"/>
    <w:rsid w:val="002E1DAC"/>
    <w:rsid w:val="0030419E"/>
    <w:rsid w:val="003131BB"/>
    <w:rsid w:val="00317F55"/>
    <w:rsid w:val="00320634"/>
    <w:rsid w:val="00342273"/>
    <w:rsid w:val="0034295D"/>
    <w:rsid w:val="00342A88"/>
    <w:rsid w:val="003568D6"/>
    <w:rsid w:val="00357638"/>
    <w:rsid w:val="00371B06"/>
    <w:rsid w:val="00377BD3"/>
    <w:rsid w:val="00384088"/>
    <w:rsid w:val="0039342D"/>
    <w:rsid w:val="00396E90"/>
    <w:rsid w:val="003A1D1C"/>
    <w:rsid w:val="003A6C98"/>
    <w:rsid w:val="003A7F8C"/>
    <w:rsid w:val="003B35CE"/>
    <w:rsid w:val="003B532E"/>
    <w:rsid w:val="003B562A"/>
    <w:rsid w:val="003B5C4A"/>
    <w:rsid w:val="003C4685"/>
    <w:rsid w:val="003D0F8B"/>
    <w:rsid w:val="003E09E7"/>
    <w:rsid w:val="003E1C82"/>
    <w:rsid w:val="003E24F7"/>
    <w:rsid w:val="003E378F"/>
    <w:rsid w:val="00403878"/>
    <w:rsid w:val="00404E08"/>
    <w:rsid w:val="0041348E"/>
    <w:rsid w:val="0042123E"/>
    <w:rsid w:val="0042694D"/>
    <w:rsid w:val="0043131C"/>
    <w:rsid w:val="0043444A"/>
    <w:rsid w:val="004462E4"/>
    <w:rsid w:val="00456251"/>
    <w:rsid w:val="00461086"/>
    <w:rsid w:val="00461975"/>
    <w:rsid w:val="004652EA"/>
    <w:rsid w:val="00473D0C"/>
    <w:rsid w:val="00483FC9"/>
    <w:rsid w:val="004864BB"/>
    <w:rsid w:val="00492075"/>
    <w:rsid w:val="004934D4"/>
    <w:rsid w:val="004959D1"/>
    <w:rsid w:val="004969AD"/>
    <w:rsid w:val="004A0E1F"/>
    <w:rsid w:val="004A2E99"/>
    <w:rsid w:val="004B031A"/>
    <w:rsid w:val="004B30D4"/>
    <w:rsid w:val="004B64FA"/>
    <w:rsid w:val="004D1BC9"/>
    <w:rsid w:val="004D5D5C"/>
    <w:rsid w:val="004E782B"/>
    <w:rsid w:val="004F7821"/>
    <w:rsid w:val="004F795A"/>
    <w:rsid w:val="0050139F"/>
    <w:rsid w:val="00522159"/>
    <w:rsid w:val="0053485C"/>
    <w:rsid w:val="00535404"/>
    <w:rsid w:val="005427FE"/>
    <w:rsid w:val="00560BA1"/>
    <w:rsid w:val="0056132B"/>
    <w:rsid w:val="00567CA6"/>
    <w:rsid w:val="005749AE"/>
    <w:rsid w:val="00577C62"/>
    <w:rsid w:val="0058413F"/>
    <w:rsid w:val="005964AB"/>
    <w:rsid w:val="00597B60"/>
    <w:rsid w:val="005B29A4"/>
    <w:rsid w:val="005C099A"/>
    <w:rsid w:val="005C31A5"/>
    <w:rsid w:val="005C410C"/>
    <w:rsid w:val="005D31D6"/>
    <w:rsid w:val="005E61DD"/>
    <w:rsid w:val="006023DF"/>
    <w:rsid w:val="00610BA6"/>
    <w:rsid w:val="00617884"/>
    <w:rsid w:val="00621502"/>
    <w:rsid w:val="0062420F"/>
    <w:rsid w:val="00632AFF"/>
    <w:rsid w:val="00633318"/>
    <w:rsid w:val="006347EE"/>
    <w:rsid w:val="00642BA7"/>
    <w:rsid w:val="006473A5"/>
    <w:rsid w:val="00651B52"/>
    <w:rsid w:val="0065772D"/>
    <w:rsid w:val="00657DE0"/>
    <w:rsid w:val="006750E9"/>
    <w:rsid w:val="00680C98"/>
    <w:rsid w:val="00685313"/>
    <w:rsid w:val="00685A7A"/>
    <w:rsid w:val="006916EA"/>
    <w:rsid w:val="006943ED"/>
    <w:rsid w:val="006A137B"/>
    <w:rsid w:val="006A2E9A"/>
    <w:rsid w:val="006A6E9B"/>
    <w:rsid w:val="006B0F12"/>
    <w:rsid w:val="006B2846"/>
    <w:rsid w:val="006B3FA6"/>
    <w:rsid w:val="006B6127"/>
    <w:rsid w:val="006C38E6"/>
    <w:rsid w:val="006C62F7"/>
    <w:rsid w:val="006D4749"/>
    <w:rsid w:val="006D5099"/>
    <w:rsid w:val="006D7AD7"/>
    <w:rsid w:val="006E541D"/>
    <w:rsid w:val="006F0DDD"/>
    <w:rsid w:val="006F32B7"/>
    <w:rsid w:val="00700F60"/>
    <w:rsid w:val="007024F7"/>
    <w:rsid w:val="0070319A"/>
    <w:rsid w:val="00704723"/>
    <w:rsid w:val="007146D4"/>
    <w:rsid w:val="007149F9"/>
    <w:rsid w:val="00715118"/>
    <w:rsid w:val="00723A48"/>
    <w:rsid w:val="00727F2C"/>
    <w:rsid w:val="00733A30"/>
    <w:rsid w:val="00737718"/>
    <w:rsid w:val="007449E3"/>
    <w:rsid w:val="00745AEE"/>
    <w:rsid w:val="00747C50"/>
    <w:rsid w:val="00747CCC"/>
    <w:rsid w:val="00756F68"/>
    <w:rsid w:val="00767206"/>
    <w:rsid w:val="007742CA"/>
    <w:rsid w:val="00774730"/>
    <w:rsid w:val="00774A2B"/>
    <w:rsid w:val="00775C50"/>
    <w:rsid w:val="00780434"/>
    <w:rsid w:val="00781030"/>
    <w:rsid w:val="007867EA"/>
    <w:rsid w:val="00791430"/>
    <w:rsid w:val="007954E4"/>
    <w:rsid w:val="007A05B0"/>
    <w:rsid w:val="007A1D5F"/>
    <w:rsid w:val="007A2B1C"/>
    <w:rsid w:val="007A3906"/>
    <w:rsid w:val="007A3AB3"/>
    <w:rsid w:val="007A6FE6"/>
    <w:rsid w:val="007B0BF7"/>
    <w:rsid w:val="007B1CBD"/>
    <w:rsid w:val="007B2F35"/>
    <w:rsid w:val="007C66FB"/>
    <w:rsid w:val="007C67B9"/>
    <w:rsid w:val="007D585A"/>
    <w:rsid w:val="007D6727"/>
    <w:rsid w:val="007F0B5F"/>
    <w:rsid w:val="00800972"/>
    <w:rsid w:val="008029AD"/>
    <w:rsid w:val="00811633"/>
    <w:rsid w:val="0081533B"/>
    <w:rsid w:val="008243B9"/>
    <w:rsid w:val="0082473E"/>
    <w:rsid w:val="00837FCF"/>
    <w:rsid w:val="00840D8C"/>
    <w:rsid w:val="00853F5A"/>
    <w:rsid w:val="0085420C"/>
    <w:rsid w:val="00872FC8"/>
    <w:rsid w:val="0087439C"/>
    <w:rsid w:val="008845D0"/>
    <w:rsid w:val="008A2F0F"/>
    <w:rsid w:val="008A6359"/>
    <w:rsid w:val="008A6D63"/>
    <w:rsid w:val="008A7B6B"/>
    <w:rsid w:val="008A7CB7"/>
    <w:rsid w:val="008A7E34"/>
    <w:rsid w:val="008B0330"/>
    <w:rsid w:val="008B1320"/>
    <w:rsid w:val="008B3B0E"/>
    <w:rsid w:val="008B43F2"/>
    <w:rsid w:val="008C4CFE"/>
    <w:rsid w:val="008E249C"/>
    <w:rsid w:val="008F0839"/>
    <w:rsid w:val="0090359B"/>
    <w:rsid w:val="0091191D"/>
    <w:rsid w:val="00915398"/>
    <w:rsid w:val="0091784E"/>
    <w:rsid w:val="009260BD"/>
    <w:rsid w:val="009274B4"/>
    <w:rsid w:val="00936198"/>
    <w:rsid w:val="00944A5C"/>
    <w:rsid w:val="00951F3E"/>
    <w:rsid w:val="00952A66"/>
    <w:rsid w:val="00964655"/>
    <w:rsid w:val="009660D8"/>
    <w:rsid w:val="00967A7D"/>
    <w:rsid w:val="00974431"/>
    <w:rsid w:val="00981FF5"/>
    <w:rsid w:val="009835C2"/>
    <w:rsid w:val="009A472F"/>
    <w:rsid w:val="009A69BE"/>
    <w:rsid w:val="009C56E5"/>
    <w:rsid w:val="009E5FC8"/>
    <w:rsid w:val="009E687A"/>
    <w:rsid w:val="009F15BC"/>
    <w:rsid w:val="00A0042C"/>
    <w:rsid w:val="00A112C1"/>
    <w:rsid w:val="00A11440"/>
    <w:rsid w:val="00A11EF9"/>
    <w:rsid w:val="00A141AF"/>
    <w:rsid w:val="00A15F86"/>
    <w:rsid w:val="00A16D29"/>
    <w:rsid w:val="00A17FA2"/>
    <w:rsid w:val="00A2048C"/>
    <w:rsid w:val="00A30305"/>
    <w:rsid w:val="00A31D2D"/>
    <w:rsid w:val="00A37EF0"/>
    <w:rsid w:val="00A4600A"/>
    <w:rsid w:val="00A5188B"/>
    <w:rsid w:val="00A549EC"/>
    <w:rsid w:val="00A54C25"/>
    <w:rsid w:val="00A710E7"/>
    <w:rsid w:val="00A7372E"/>
    <w:rsid w:val="00A777AB"/>
    <w:rsid w:val="00A81943"/>
    <w:rsid w:val="00A85452"/>
    <w:rsid w:val="00A93B85"/>
    <w:rsid w:val="00A97648"/>
    <w:rsid w:val="00A97EBA"/>
    <w:rsid w:val="00AA0B18"/>
    <w:rsid w:val="00AB2581"/>
    <w:rsid w:val="00AC5A85"/>
    <w:rsid w:val="00AC632E"/>
    <w:rsid w:val="00AD5D04"/>
    <w:rsid w:val="00AE114F"/>
    <w:rsid w:val="00AE1682"/>
    <w:rsid w:val="00AE39A6"/>
    <w:rsid w:val="00AF0524"/>
    <w:rsid w:val="00AF3130"/>
    <w:rsid w:val="00AF7309"/>
    <w:rsid w:val="00B0290E"/>
    <w:rsid w:val="00B040DE"/>
    <w:rsid w:val="00B05324"/>
    <w:rsid w:val="00B1546A"/>
    <w:rsid w:val="00B16686"/>
    <w:rsid w:val="00B3776C"/>
    <w:rsid w:val="00B37A1C"/>
    <w:rsid w:val="00B6334C"/>
    <w:rsid w:val="00B639E9"/>
    <w:rsid w:val="00B74CF9"/>
    <w:rsid w:val="00B75C3C"/>
    <w:rsid w:val="00B817CD"/>
    <w:rsid w:val="00BB3A95"/>
    <w:rsid w:val="00BB6081"/>
    <w:rsid w:val="00BD0024"/>
    <w:rsid w:val="00BE0589"/>
    <w:rsid w:val="00BF02F4"/>
    <w:rsid w:val="00C0018F"/>
    <w:rsid w:val="00C02572"/>
    <w:rsid w:val="00C05DC5"/>
    <w:rsid w:val="00C15AF0"/>
    <w:rsid w:val="00C20466"/>
    <w:rsid w:val="00C214ED"/>
    <w:rsid w:val="00C234E6"/>
    <w:rsid w:val="00C311D2"/>
    <w:rsid w:val="00C324A8"/>
    <w:rsid w:val="00C3319A"/>
    <w:rsid w:val="00C334A3"/>
    <w:rsid w:val="00C43C30"/>
    <w:rsid w:val="00C4704A"/>
    <w:rsid w:val="00C47D11"/>
    <w:rsid w:val="00C51441"/>
    <w:rsid w:val="00C523A3"/>
    <w:rsid w:val="00C54517"/>
    <w:rsid w:val="00C57A57"/>
    <w:rsid w:val="00C62492"/>
    <w:rsid w:val="00C63535"/>
    <w:rsid w:val="00C6532C"/>
    <w:rsid w:val="00C660B8"/>
    <w:rsid w:val="00C80E6D"/>
    <w:rsid w:val="00C849F5"/>
    <w:rsid w:val="00C93E6C"/>
    <w:rsid w:val="00C97C68"/>
    <w:rsid w:val="00CA1A47"/>
    <w:rsid w:val="00CA515C"/>
    <w:rsid w:val="00CA5590"/>
    <w:rsid w:val="00CB70DC"/>
    <w:rsid w:val="00CC247A"/>
    <w:rsid w:val="00CD3DBF"/>
    <w:rsid w:val="00CE5E47"/>
    <w:rsid w:val="00CF020F"/>
    <w:rsid w:val="00CF2B5B"/>
    <w:rsid w:val="00D13157"/>
    <w:rsid w:val="00D13F67"/>
    <w:rsid w:val="00D14CE0"/>
    <w:rsid w:val="00D2212B"/>
    <w:rsid w:val="00D30663"/>
    <w:rsid w:val="00D325BF"/>
    <w:rsid w:val="00D350F6"/>
    <w:rsid w:val="00D353FB"/>
    <w:rsid w:val="00D43945"/>
    <w:rsid w:val="00D46EA9"/>
    <w:rsid w:val="00D50252"/>
    <w:rsid w:val="00D518D8"/>
    <w:rsid w:val="00D51F13"/>
    <w:rsid w:val="00D52DD4"/>
    <w:rsid w:val="00D5651D"/>
    <w:rsid w:val="00D705E9"/>
    <w:rsid w:val="00D74898"/>
    <w:rsid w:val="00D767C2"/>
    <w:rsid w:val="00D801ED"/>
    <w:rsid w:val="00D91769"/>
    <w:rsid w:val="00D936BC"/>
    <w:rsid w:val="00D962FB"/>
    <w:rsid w:val="00D96530"/>
    <w:rsid w:val="00DA6FA2"/>
    <w:rsid w:val="00DB43F5"/>
    <w:rsid w:val="00DB6192"/>
    <w:rsid w:val="00DB73FD"/>
    <w:rsid w:val="00DD0EDA"/>
    <w:rsid w:val="00DD108B"/>
    <w:rsid w:val="00DD44AF"/>
    <w:rsid w:val="00DD6E62"/>
    <w:rsid w:val="00DE2AC3"/>
    <w:rsid w:val="00DE3112"/>
    <w:rsid w:val="00DE5692"/>
    <w:rsid w:val="00DE6CDF"/>
    <w:rsid w:val="00DF04B2"/>
    <w:rsid w:val="00E016EC"/>
    <w:rsid w:val="00E03C94"/>
    <w:rsid w:val="00E048E6"/>
    <w:rsid w:val="00E1388D"/>
    <w:rsid w:val="00E15842"/>
    <w:rsid w:val="00E2130C"/>
    <w:rsid w:val="00E2333D"/>
    <w:rsid w:val="00E25A99"/>
    <w:rsid w:val="00E26226"/>
    <w:rsid w:val="00E35C21"/>
    <w:rsid w:val="00E44F2B"/>
    <w:rsid w:val="00E45D05"/>
    <w:rsid w:val="00E50791"/>
    <w:rsid w:val="00E55AEF"/>
    <w:rsid w:val="00E57819"/>
    <w:rsid w:val="00E622D6"/>
    <w:rsid w:val="00E6419D"/>
    <w:rsid w:val="00E84C0B"/>
    <w:rsid w:val="00E90FFC"/>
    <w:rsid w:val="00E91B9E"/>
    <w:rsid w:val="00E9313B"/>
    <w:rsid w:val="00E939F1"/>
    <w:rsid w:val="00E956F6"/>
    <w:rsid w:val="00E976C1"/>
    <w:rsid w:val="00EA12E5"/>
    <w:rsid w:val="00EA2016"/>
    <w:rsid w:val="00EA2471"/>
    <w:rsid w:val="00EA6EC4"/>
    <w:rsid w:val="00EB0791"/>
    <w:rsid w:val="00EC27D1"/>
    <w:rsid w:val="00EC69CA"/>
    <w:rsid w:val="00ED2AC8"/>
    <w:rsid w:val="00ED55FF"/>
    <w:rsid w:val="00ED6165"/>
    <w:rsid w:val="00ED6345"/>
    <w:rsid w:val="00EE069E"/>
    <w:rsid w:val="00EF5260"/>
    <w:rsid w:val="00F02766"/>
    <w:rsid w:val="00F0526C"/>
    <w:rsid w:val="00F05BD4"/>
    <w:rsid w:val="00F2254D"/>
    <w:rsid w:val="00F23B9B"/>
    <w:rsid w:val="00F257F3"/>
    <w:rsid w:val="00F25A62"/>
    <w:rsid w:val="00F27113"/>
    <w:rsid w:val="00F31097"/>
    <w:rsid w:val="00F37239"/>
    <w:rsid w:val="00F448F6"/>
    <w:rsid w:val="00F4569E"/>
    <w:rsid w:val="00F46367"/>
    <w:rsid w:val="00F4770D"/>
    <w:rsid w:val="00F51B1F"/>
    <w:rsid w:val="00F64E2F"/>
    <w:rsid w:val="00F65C19"/>
    <w:rsid w:val="00F74365"/>
    <w:rsid w:val="00F75114"/>
    <w:rsid w:val="00F91634"/>
    <w:rsid w:val="00F92F18"/>
    <w:rsid w:val="00F9468E"/>
    <w:rsid w:val="00FA4CBC"/>
    <w:rsid w:val="00FA727A"/>
    <w:rsid w:val="00FB0DAB"/>
    <w:rsid w:val="00FC38DD"/>
    <w:rsid w:val="00FC3FCF"/>
    <w:rsid w:val="00FD122A"/>
    <w:rsid w:val="00FD1803"/>
    <w:rsid w:val="00FD2546"/>
    <w:rsid w:val="00FD772E"/>
    <w:rsid w:val="00FE1D8B"/>
    <w:rsid w:val="00FE2DAD"/>
    <w:rsid w:val="00FE78C7"/>
    <w:rsid w:val="00FF319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B436E"/>
  <w15:docId w15:val="{B6FD0A6D-713A-40B9-AF23-1EE2997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767C2"/>
    <w:pPr>
      <w:keepNext/>
      <w:keepLines/>
      <w:spacing w:before="280"/>
      <w:ind w:left="1134" w:hanging="1134"/>
      <w:outlineLvl w:val="0"/>
    </w:pPr>
    <w:rPr>
      <w:b/>
      <w:sz w:val="28"/>
    </w:rPr>
  </w:style>
  <w:style w:type="paragraph" w:styleId="Heading2">
    <w:name w:val="heading 2"/>
    <w:basedOn w:val="Heading1"/>
    <w:next w:val="Normal"/>
    <w:uiPriority w:val="9"/>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qForma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qFormat/>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E048E6"/>
    <w:pPr>
      <w:spacing w:after="240"/>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E048E6"/>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uiPriority w:val="99"/>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D767C2"/>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D767C2"/>
    <w:pPr>
      <w:keepLines/>
      <w:tabs>
        <w:tab w:val="left" w:pos="255"/>
      </w:tabs>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uiPriority w:val="99"/>
    <w:rsid w:val="00D767C2"/>
    <w:pPr>
      <w:spacing w:before="0"/>
      <w:jc w:val="center"/>
    </w:pPr>
    <w:rPr>
      <w:sz w:val="18"/>
    </w:rPr>
  </w:style>
  <w:style w:type="character" w:customStyle="1" w:styleId="HeaderChar">
    <w:name w:val="Header Char"/>
    <w:basedOn w:val="DefaultParagraphFont"/>
    <w:link w:val="Header"/>
    <w:uiPriority w:val="99"/>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048E6"/>
    <w:rPr>
      <w:sz w:val="18"/>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E048E6"/>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E048E6"/>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EditorsNote">
    <w:name w:val="EditorsNote"/>
    <w:basedOn w:val="Normal"/>
    <w:qFormat/>
    <w:rsid w:val="00E048E6"/>
    <w:pPr>
      <w:spacing w:before="240" w:after="240"/>
    </w:pPr>
    <w:rPr>
      <w:i/>
    </w:rPr>
  </w:style>
  <w:style w:type="paragraph" w:customStyle="1" w:styleId="Tablefin">
    <w:name w:val="Table_fin"/>
    <w:basedOn w:val="Tabletext"/>
    <w:qFormat/>
    <w:rsid w:val="007B0BF7"/>
    <w:pPr>
      <w:spacing w:before="0" w:after="0"/>
    </w:pPr>
  </w:style>
  <w:style w:type="character" w:customStyle="1" w:styleId="enumlev1Char">
    <w:name w:val="enumlev1 Char"/>
    <w:basedOn w:val="DefaultParagraphFont"/>
    <w:link w:val="enumlev1"/>
    <w:qFormat/>
    <w:rsid w:val="00C02572"/>
    <w:rPr>
      <w:rFonts w:ascii="Times New Roman" w:hAnsi="Times New Roman"/>
      <w:sz w:val="24"/>
      <w:lang w:val="en-GB" w:eastAsia="en-US"/>
    </w:rPr>
  </w:style>
  <w:style w:type="character" w:styleId="Hyperlink">
    <w:name w:val="Hyperlink"/>
    <w:basedOn w:val="DefaultParagraphFont"/>
    <w:unhideWhenUsed/>
    <w:rsid w:val="00C02572"/>
    <w:rPr>
      <w:color w:val="0000FF" w:themeColor="hyperlink"/>
      <w:u w:val="single"/>
    </w:rPr>
  </w:style>
  <w:style w:type="character" w:styleId="UnresolvedMention">
    <w:name w:val="Unresolved Mention"/>
    <w:basedOn w:val="DefaultParagraphFont"/>
    <w:uiPriority w:val="99"/>
    <w:semiHidden/>
    <w:unhideWhenUsed/>
    <w:rsid w:val="00C02572"/>
    <w:rPr>
      <w:color w:val="605E5C"/>
      <w:shd w:val="clear" w:color="auto" w:fill="E1DFDD"/>
    </w:rPr>
  </w:style>
  <w:style w:type="character" w:styleId="FollowedHyperlink">
    <w:name w:val="FollowedHyperlink"/>
    <w:basedOn w:val="DefaultParagraphFont"/>
    <w:semiHidden/>
    <w:unhideWhenUsed/>
    <w:rsid w:val="007867EA"/>
    <w:rPr>
      <w:color w:val="800080" w:themeColor="followedHyperlink"/>
      <w:u w:val="single"/>
    </w:rPr>
  </w:style>
  <w:style w:type="paragraph" w:styleId="Revision">
    <w:name w:val="Revision"/>
    <w:hidden/>
    <w:uiPriority w:val="99"/>
    <w:semiHidden/>
    <w:rsid w:val="00280B6B"/>
    <w:rPr>
      <w:rFonts w:ascii="Times New Roman" w:hAnsi="Times New Roman"/>
      <w:sz w:val="24"/>
      <w:lang w:val="en-GB" w:eastAsia="en-US"/>
    </w:rPr>
  </w:style>
  <w:style w:type="paragraph" w:customStyle="1" w:styleId="Normalaftertitle0">
    <w:name w:val="Normal_after_title"/>
    <w:basedOn w:val="Normal"/>
    <w:next w:val="Normal"/>
    <w:rsid w:val="00293146"/>
    <w:pPr>
      <w:tabs>
        <w:tab w:val="clear" w:pos="1134"/>
        <w:tab w:val="clear" w:pos="1871"/>
        <w:tab w:val="clear" w:pos="2268"/>
        <w:tab w:val="left" w:pos="794"/>
        <w:tab w:val="left" w:pos="1191"/>
        <w:tab w:val="left" w:pos="1588"/>
        <w:tab w:val="left" w:pos="1985"/>
      </w:tabs>
      <w:spacing w:before="400" w:line="280" w:lineRule="exact"/>
      <w:jc w:val="both"/>
    </w:pPr>
    <w:rPr>
      <w:rFonts w:ascii="Calibri" w:eastAsia="MS Mincho" w:hAnsi="Calibri" w:cs="Calibri"/>
      <w:sz w:val="22"/>
      <w:szCs w:val="22"/>
      <w:lang w:val="en-US"/>
    </w:rPr>
  </w:style>
  <w:style w:type="paragraph" w:customStyle="1" w:styleId="call0">
    <w:name w:val="call"/>
    <w:basedOn w:val="Normal"/>
    <w:next w:val="Normal"/>
    <w:rsid w:val="00293146"/>
    <w:pPr>
      <w:keepNext/>
      <w:keepLines/>
      <w:tabs>
        <w:tab w:val="clear" w:pos="1871"/>
        <w:tab w:val="left" w:pos="567"/>
        <w:tab w:val="left" w:pos="1701"/>
        <w:tab w:val="left" w:pos="2835"/>
      </w:tabs>
      <w:spacing w:before="160"/>
      <w:ind w:left="794" w:hanging="357"/>
    </w:pPr>
    <w:rPr>
      <w:rFonts w:ascii="Calibri" w:hAnsi="Calibri"/>
      <w:i/>
    </w:rPr>
  </w:style>
  <w:style w:type="paragraph" w:styleId="ListParagraph">
    <w:name w:val="List Paragraph"/>
    <w:basedOn w:val="Normal"/>
    <w:uiPriority w:val="34"/>
    <w:qFormat/>
    <w:rsid w:val="00AC632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CN"/>
    </w:rPr>
  </w:style>
  <w:style w:type="paragraph" w:customStyle="1" w:styleId="Indent-a">
    <w:name w:val="Indent-a)"/>
    <w:basedOn w:val="Normal"/>
    <w:rsid w:val="00AC632E"/>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40" w:lineRule="exact"/>
      <w:ind w:left="1440" w:hanging="1440"/>
      <w:jc w:val="both"/>
      <w:textAlignment w:val="auto"/>
    </w:pPr>
    <w:rPr>
      <w:rFonts w:ascii="Arial" w:eastAsia="SimSun" w:hAnsi="Arial"/>
      <w:sz w:val="18"/>
    </w:rPr>
  </w:style>
  <w:style w:type="paragraph" w:customStyle="1" w:styleId="2Para">
    <w:name w:val="2Para"/>
    <w:basedOn w:val="Normal"/>
    <w:link w:val="2ParaChar"/>
    <w:rsid w:val="00AC632E"/>
    <w:pPr>
      <w:numPr>
        <w:ilvl w:val="1"/>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AC632E"/>
    <w:pPr>
      <w:numPr>
        <w:ilvl w:val="2"/>
        <w:numId w:val="11"/>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AC632E"/>
    <w:pPr>
      <w:numPr>
        <w:ilvl w:val="3"/>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AC632E"/>
    <w:pPr>
      <w:numPr>
        <w:ilvl w:val="4"/>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AC632E"/>
    <w:pPr>
      <w:numPr>
        <w:ilvl w:val="5"/>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AC632E"/>
    <w:pPr>
      <w:numPr>
        <w:ilvl w:val="6"/>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AC632E"/>
    <w:pPr>
      <w:numPr>
        <w:ilvl w:val="7"/>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1Heading">
    <w:name w:val="1Heading"/>
    <w:basedOn w:val="TOC1"/>
    <w:next w:val="2Para"/>
    <w:rsid w:val="00AC632E"/>
    <w:pPr>
      <w:keepNext/>
      <w:keepLines w:val="0"/>
      <w:numPr>
        <w:numId w:val="11"/>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rPr>
  </w:style>
  <w:style w:type="character" w:customStyle="1" w:styleId="2ParaChar">
    <w:name w:val="2Para Char"/>
    <w:link w:val="2Para"/>
    <w:rsid w:val="00AC632E"/>
    <w:rPr>
      <w:rFonts w:ascii="Times New Roman" w:hAnsi="Times New Roman"/>
      <w:sz w:val="22"/>
      <w:szCs w:val="22"/>
      <w:lang w:val="en-GB" w:eastAsia="en-US"/>
    </w:rPr>
  </w:style>
  <w:style w:type="character" w:styleId="CommentReference">
    <w:name w:val="annotation reference"/>
    <w:basedOn w:val="DefaultParagraphFont"/>
    <w:semiHidden/>
    <w:unhideWhenUsed/>
    <w:rsid w:val="00AC632E"/>
    <w:rPr>
      <w:sz w:val="16"/>
      <w:szCs w:val="16"/>
    </w:rPr>
  </w:style>
  <w:style w:type="paragraph" w:styleId="CommentText">
    <w:name w:val="annotation text"/>
    <w:basedOn w:val="Normal"/>
    <w:link w:val="CommentTextChar"/>
    <w:unhideWhenUsed/>
    <w:rsid w:val="00AC632E"/>
    <w:rPr>
      <w:sz w:val="20"/>
    </w:rPr>
  </w:style>
  <w:style w:type="character" w:customStyle="1" w:styleId="CommentTextChar">
    <w:name w:val="Comment Text Char"/>
    <w:basedOn w:val="DefaultParagraphFont"/>
    <w:link w:val="CommentText"/>
    <w:rsid w:val="00AC63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C632E"/>
    <w:rPr>
      <w:b/>
      <w:bCs/>
    </w:rPr>
  </w:style>
  <w:style w:type="character" w:customStyle="1" w:styleId="CommentSubjectChar">
    <w:name w:val="Comment Subject Char"/>
    <w:basedOn w:val="CommentTextChar"/>
    <w:link w:val="CommentSubject"/>
    <w:semiHidden/>
    <w:rsid w:val="00AC632E"/>
    <w:rPr>
      <w:rFonts w:ascii="Times New Roman" w:hAnsi="Times New Roman"/>
      <w:b/>
      <w:bCs/>
      <w:lang w:val="en-GB" w:eastAsia="en-US"/>
    </w:rPr>
  </w:style>
  <w:style w:type="paragraph" w:customStyle="1" w:styleId="3para0">
    <w:name w:val="3para"/>
    <w:basedOn w:val="Normal"/>
    <w:uiPriority w:val="99"/>
    <w:rsid w:val="00AC632E"/>
    <w:pPr>
      <w:numPr>
        <w:ilvl w:val="2"/>
      </w:numPr>
      <w:tabs>
        <w:tab w:val="clear" w:pos="1134"/>
        <w:tab w:val="clear" w:pos="1871"/>
        <w:tab w:val="clear" w:pos="2268"/>
        <w:tab w:val="num" w:pos="720"/>
      </w:tabs>
      <w:overflowPunct/>
      <w:autoSpaceDE/>
      <w:autoSpaceDN/>
      <w:adjustRightInd/>
      <w:spacing w:before="0" w:after="240"/>
      <w:ind w:left="720" w:hanging="720"/>
      <w:jc w:val="both"/>
      <w:textAlignment w:val="auto"/>
      <w:outlineLvl w:val="2"/>
    </w:pPr>
    <w:rPr>
      <w:rFonts w:eastAsiaTheme="minorEastAsia"/>
      <w:sz w:val="22"/>
    </w:rPr>
  </w:style>
  <w:style w:type="paragraph" w:customStyle="1" w:styleId="4para0">
    <w:name w:val="4para"/>
    <w:basedOn w:val="3para0"/>
    <w:rsid w:val="00AC632E"/>
    <w:pPr>
      <w:numPr>
        <w:ilvl w:val="0"/>
      </w:numPr>
      <w:tabs>
        <w:tab w:val="num" w:pos="720"/>
        <w:tab w:val="num" w:pos="1080"/>
        <w:tab w:val="left" w:pos="1440"/>
      </w:tabs>
      <w:ind w:left="720" w:hanging="720"/>
    </w:pPr>
  </w:style>
  <w:style w:type="paragraph" w:customStyle="1" w:styleId="Default">
    <w:name w:val="Default"/>
    <w:rsid w:val="00AC632E"/>
    <w:pPr>
      <w:autoSpaceDE w:val="0"/>
      <w:autoSpaceDN w:val="0"/>
      <w:adjustRightInd w:val="0"/>
    </w:pPr>
    <w:rPr>
      <w:rFonts w:ascii="Times New Roman" w:hAnsi="Times New Roman"/>
      <w:color w:val="000000"/>
      <w:sz w:val="24"/>
      <w:szCs w:val="24"/>
      <w:lang w:val="en-CA"/>
    </w:rPr>
  </w:style>
  <w:style w:type="paragraph" w:customStyle="1" w:styleId="Chapter">
    <w:name w:val="Chapter"/>
    <w:rsid w:val="00AC632E"/>
    <w:pPr>
      <w:spacing w:line="360" w:lineRule="exact"/>
      <w:jc w:val="center"/>
    </w:pPr>
    <w:rPr>
      <w:rFonts w:ascii="Times New Roman Bold" w:eastAsia="SimSun" w:hAnsi="Times New Roman Bold" w:cs="Times New Roman Bold"/>
      <w:b/>
      <w:bCs/>
      <w:sz w:val="28"/>
      <w:szCs w:val="24"/>
      <w:lang w:val="en-GB" w:eastAsia="en-US"/>
    </w:rPr>
  </w:style>
  <w:style w:type="paragraph" w:customStyle="1" w:styleId="BOLDCAPSCENTERED">
    <w:name w:val="BOLD CAPS CENTERED"/>
    <w:basedOn w:val="Normal"/>
    <w:rsid w:val="00AC632E"/>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line="240" w:lineRule="exact"/>
      <w:jc w:val="center"/>
      <w:textAlignment w:val="auto"/>
    </w:pPr>
    <w:rPr>
      <w:rFonts w:eastAsia="SimSun"/>
      <w:b/>
      <w:caps/>
      <w:sz w:val="20"/>
      <w:lang w:eastAsia="zh-CN"/>
    </w:rPr>
  </w:style>
  <w:style w:type="paragraph" w:customStyle="1" w:styleId="DateR">
    <w:name w:val="Date R"/>
    <w:qFormat/>
    <w:rsid w:val="00AC632E"/>
    <w:pPr>
      <w:pBdr>
        <w:bottom w:val="single" w:sz="4" w:space="2" w:color="auto"/>
      </w:pBdr>
      <w:spacing w:line="200" w:lineRule="exact"/>
      <w:jc w:val="center"/>
    </w:pPr>
    <w:rPr>
      <w:rFonts w:ascii="Times New Roman" w:eastAsia="SimSun" w:hAnsi="Times New Roman"/>
      <w:b/>
      <w:bCs/>
      <w:sz w:val="16"/>
      <w:szCs w:val="16"/>
    </w:rPr>
  </w:style>
  <w:style w:type="character" w:customStyle="1" w:styleId="Heading1Char">
    <w:name w:val="Heading 1 Char"/>
    <w:basedOn w:val="DefaultParagraphFont"/>
    <w:link w:val="Heading1"/>
    <w:rsid w:val="00D43945"/>
    <w:rPr>
      <w:rFonts w:ascii="Times New Roman" w:hAnsi="Times New Roman"/>
      <w:b/>
      <w:sz w:val="28"/>
      <w:lang w:val="en-GB" w:eastAsia="en-US"/>
    </w:rPr>
  </w:style>
  <w:style w:type="table" w:styleId="TableGrid">
    <w:name w:val="Table Grid"/>
    <w:basedOn w:val="TableNormal"/>
    <w:rsid w:val="00D4394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qFormat/>
    <w:rsid w:val="00D43945"/>
    <w:rPr>
      <w:rFonts w:ascii="Times New Roman" w:hAnsi="Times New Roman"/>
      <w:sz w:val="24"/>
      <w:lang w:val="en-GB" w:eastAsia="en-US"/>
    </w:rPr>
  </w:style>
  <w:style w:type="character" w:customStyle="1" w:styleId="href">
    <w:name w:val="href"/>
    <w:basedOn w:val="DefaultParagraphFont"/>
    <w:rsid w:val="00D43945"/>
  </w:style>
  <w:style w:type="character" w:customStyle="1" w:styleId="CallChar">
    <w:name w:val="Call Char"/>
    <w:basedOn w:val="DefaultParagraphFont"/>
    <w:link w:val="Call"/>
    <w:qFormat/>
    <w:locked/>
    <w:rsid w:val="00D4394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BR\PE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6b7d054-b29f-418b-b414-6b742f999448" xsi:nil="true"/>
    <DPM_x0020_Version xmlns="76b7d054-b29f-418b-b414-6b742f999448" xsi:nil="true"/>
    <DPM_x0020_File_x0020_name xmlns="76b7d054-b29f-418b-b414-6b742f99944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0804F-6044-4920-B731-D701A7FA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0CE6B-CA1B-4DAC-BDDC-081270121EA4}">
  <ds:schemaRefs>
    <ds:schemaRef ds:uri="http://schemas.microsoft.com/sharepoint/v3/contenttype/forms"/>
  </ds:schemaRefs>
</ds:datastoreItem>
</file>

<file path=customXml/itemProps3.xml><?xml version="1.0" encoding="utf-8"?>
<ds:datastoreItem xmlns:ds="http://schemas.openxmlformats.org/officeDocument/2006/customXml" ds:itemID="{D3C7FB28-767D-4A6B-914E-CCDE79DA8AB1}">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6E853A12-8ACA-48EA-9838-3F3F34BC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PE_WRC23.dotx</Template>
  <TotalTime>3</TotalTime>
  <Pages>11</Pages>
  <Words>3385</Words>
  <Characters>16933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WRC-23</vt:lpstr>
    </vt:vector>
  </TitlesOfParts>
  <Manager>General Secretariat - Pool</Manager>
  <Company>International Telecommunication Union (ITU)</Company>
  <LinksUpToDate>false</LinksUpToDate>
  <CharactersWithSpaces>20278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WRC-23</dc:title>
  <dc:subject>World Radiocommunication Conference - 2023</dc:subject>
  <dc:creator>MJD (ITU-R)</dc:creator>
  <cp:keywords>WRC-23</cp:keywords>
  <cp:lastModifiedBy>Spanish</cp:lastModifiedBy>
  <cp:revision>3</cp:revision>
  <cp:lastPrinted>2011-08-24T07:41:00Z</cp:lastPrinted>
  <dcterms:created xsi:type="dcterms:W3CDTF">2023-08-29T06:02:00Z</dcterms:created>
  <dcterms:modified xsi:type="dcterms:W3CDTF">2023-08-29T06:03:00Z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ies>
</file>