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43444A" w14:paraId="332DA9C7" w14:textId="77777777" w:rsidTr="00915398">
        <w:trPr>
          <w:cantSplit/>
        </w:trPr>
        <w:tc>
          <w:tcPr>
            <w:tcW w:w="1418" w:type="dxa"/>
            <w:vAlign w:val="center"/>
          </w:tcPr>
          <w:p w14:paraId="79742A23" w14:textId="77777777" w:rsidR="0043444A" w:rsidRPr="00DF23FC" w:rsidRDefault="0043444A" w:rsidP="00915398">
            <w:pPr>
              <w:spacing w:before="0"/>
              <w:rPr>
                <w:rFonts w:ascii="Verdana" w:hAnsi="Verdana"/>
                <w:position w:val="6"/>
              </w:rPr>
            </w:pPr>
            <w:bookmarkStart w:id="0" w:name="_Hlk131597142"/>
            <w:r>
              <w:rPr>
                <w:noProof/>
                <w:lang w:val="en-US"/>
              </w:rPr>
              <w:drawing>
                <wp:inline distT="0" distB="0" distL="0" distR="0" wp14:anchorId="1F0B8853" wp14:editId="1879989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788168B6" w14:textId="77777777" w:rsidR="0043444A" w:rsidRPr="00DF23FC" w:rsidRDefault="0043444A" w:rsidP="00915398">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179B12D1" w14:textId="77777777" w:rsidR="0043444A" w:rsidRDefault="0043444A" w:rsidP="00915398">
            <w:pPr>
              <w:spacing w:before="0" w:line="240" w:lineRule="atLeast"/>
            </w:pPr>
            <w:bookmarkStart w:id="1" w:name="ditulogo"/>
            <w:bookmarkEnd w:id="1"/>
            <w:r>
              <w:rPr>
                <w:noProof/>
              </w:rPr>
              <w:drawing>
                <wp:inline distT="0" distB="0" distL="0" distR="0" wp14:anchorId="0BDFBACA" wp14:editId="210D9A5F">
                  <wp:extent cx="768096"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3732" cy="979665"/>
                          </a:xfrm>
                          <a:prstGeom prst="rect">
                            <a:avLst/>
                          </a:prstGeom>
                          <a:noFill/>
                          <a:ln>
                            <a:noFill/>
                          </a:ln>
                        </pic:spPr>
                      </pic:pic>
                    </a:graphicData>
                  </a:graphic>
                </wp:inline>
              </w:drawing>
            </w:r>
          </w:p>
        </w:tc>
      </w:tr>
      <w:tr w:rsidR="0043444A" w:rsidRPr="00974431" w14:paraId="7CECC80F" w14:textId="77777777" w:rsidTr="0043444A">
        <w:trPr>
          <w:cantSplit/>
        </w:trPr>
        <w:tc>
          <w:tcPr>
            <w:tcW w:w="6911" w:type="dxa"/>
            <w:gridSpan w:val="2"/>
            <w:tcBorders>
              <w:bottom w:val="single" w:sz="12" w:space="0" w:color="auto"/>
            </w:tcBorders>
          </w:tcPr>
          <w:p w14:paraId="79D70690" w14:textId="77777777" w:rsidR="0043444A" w:rsidRPr="00974431" w:rsidRDefault="0043444A" w:rsidP="00D91769">
            <w:pPr>
              <w:spacing w:before="0" w:after="48" w:line="240" w:lineRule="atLeast"/>
              <w:rPr>
                <w:rFonts w:ascii="Verdana" w:hAnsi="Verdana"/>
                <w:b/>
                <w:bCs/>
                <w:position w:val="6"/>
                <w:sz w:val="20"/>
              </w:rPr>
            </w:pPr>
            <w:bookmarkStart w:id="2" w:name="dhead"/>
            <w:bookmarkEnd w:id="0"/>
          </w:p>
        </w:tc>
        <w:tc>
          <w:tcPr>
            <w:tcW w:w="3120" w:type="dxa"/>
            <w:gridSpan w:val="2"/>
            <w:tcBorders>
              <w:bottom w:val="single" w:sz="12" w:space="0" w:color="auto"/>
            </w:tcBorders>
          </w:tcPr>
          <w:p w14:paraId="4923C942" w14:textId="77777777" w:rsidR="0043444A" w:rsidRPr="00974431" w:rsidRDefault="0043444A" w:rsidP="00D91769">
            <w:pPr>
              <w:spacing w:before="0" w:after="48" w:line="240" w:lineRule="atLeast"/>
              <w:rPr>
                <w:rFonts w:ascii="Verdana" w:hAnsi="Verdana"/>
                <w:b/>
                <w:bCs/>
                <w:position w:val="6"/>
                <w:sz w:val="20"/>
              </w:rPr>
            </w:pPr>
          </w:p>
        </w:tc>
      </w:tr>
      <w:tr w:rsidR="0043444A" w:rsidRPr="00C324A8" w14:paraId="04213FE1" w14:textId="77777777" w:rsidTr="0043444A">
        <w:trPr>
          <w:cantSplit/>
        </w:trPr>
        <w:tc>
          <w:tcPr>
            <w:tcW w:w="6911" w:type="dxa"/>
            <w:gridSpan w:val="2"/>
            <w:tcBorders>
              <w:top w:val="single" w:sz="12" w:space="0" w:color="auto"/>
            </w:tcBorders>
          </w:tcPr>
          <w:p w14:paraId="22C3D48C" w14:textId="77777777" w:rsidR="0043444A" w:rsidRPr="00C324A8" w:rsidRDefault="0043444A" w:rsidP="00D91769">
            <w:pPr>
              <w:spacing w:before="0" w:after="48" w:line="240" w:lineRule="atLeast"/>
              <w:rPr>
                <w:rFonts w:ascii="Verdana" w:hAnsi="Verdana"/>
                <w:b/>
                <w:smallCaps/>
                <w:sz w:val="20"/>
              </w:rPr>
            </w:pPr>
          </w:p>
        </w:tc>
        <w:tc>
          <w:tcPr>
            <w:tcW w:w="3120" w:type="dxa"/>
            <w:gridSpan w:val="2"/>
            <w:tcBorders>
              <w:top w:val="single" w:sz="12" w:space="0" w:color="auto"/>
            </w:tcBorders>
          </w:tcPr>
          <w:p w14:paraId="4DBDC451" w14:textId="77777777" w:rsidR="0043444A" w:rsidRPr="00C324A8" w:rsidRDefault="0043444A" w:rsidP="00D91769">
            <w:pPr>
              <w:spacing w:before="0" w:line="240" w:lineRule="atLeast"/>
              <w:rPr>
                <w:rFonts w:ascii="Verdana" w:hAnsi="Verdana"/>
                <w:sz w:val="20"/>
              </w:rPr>
            </w:pPr>
          </w:p>
        </w:tc>
      </w:tr>
      <w:tr w:rsidR="0043444A" w:rsidRPr="00AC632E" w14:paraId="277D6978" w14:textId="77777777" w:rsidTr="0043444A">
        <w:trPr>
          <w:cantSplit/>
          <w:trHeight w:val="23"/>
        </w:trPr>
        <w:tc>
          <w:tcPr>
            <w:tcW w:w="6911" w:type="dxa"/>
            <w:gridSpan w:val="2"/>
            <w:vMerge w:val="restart"/>
          </w:tcPr>
          <w:p w14:paraId="0A9C5629" w14:textId="77777777" w:rsidR="0043444A" w:rsidRPr="00D91769" w:rsidRDefault="0043444A" w:rsidP="00D91769">
            <w:pPr>
              <w:tabs>
                <w:tab w:val="left" w:pos="851"/>
              </w:tabs>
              <w:spacing w:before="0" w:line="240" w:lineRule="atLeast"/>
              <w:rPr>
                <w:rFonts w:ascii="Verdana" w:hAnsi="Verdana"/>
                <w:sz w:val="20"/>
              </w:rPr>
            </w:pPr>
            <w:bookmarkStart w:id="3" w:name="dnum" w:colFirst="1" w:colLast="1"/>
            <w:bookmarkStart w:id="4" w:name="dmeeting" w:colFirst="0" w:colLast="0"/>
            <w:bookmarkEnd w:id="2"/>
            <w:r>
              <w:rPr>
                <w:rFonts w:ascii="Verdana" w:hAnsi="Verdana"/>
                <w:b/>
                <w:sz w:val="20"/>
              </w:rPr>
              <w:t>PLENARY MEETING</w:t>
            </w:r>
          </w:p>
        </w:tc>
        <w:tc>
          <w:tcPr>
            <w:tcW w:w="3120" w:type="dxa"/>
            <w:gridSpan w:val="2"/>
          </w:tcPr>
          <w:p w14:paraId="2AA217F2" w14:textId="24C837B7" w:rsidR="0043444A" w:rsidRPr="00AC632E" w:rsidRDefault="00AC632E" w:rsidP="00D91769">
            <w:pPr>
              <w:tabs>
                <w:tab w:val="left" w:pos="851"/>
              </w:tabs>
              <w:spacing w:before="0" w:line="240" w:lineRule="atLeast"/>
              <w:rPr>
                <w:rFonts w:ascii="Verdana" w:hAnsi="Verdana"/>
                <w:sz w:val="20"/>
                <w:lang w:val="it-IT"/>
              </w:rPr>
            </w:pPr>
            <w:r w:rsidRPr="00AC632E">
              <w:rPr>
                <w:rFonts w:ascii="Verdana" w:hAnsi="Verdana"/>
                <w:b/>
                <w:sz w:val="20"/>
                <w:lang w:val="it-IT"/>
              </w:rPr>
              <w:t xml:space="preserve">Addendum </w:t>
            </w:r>
            <w:r w:rsidR="00651B52">
              <w:rPr>
                <w:rFonts w:ascii="Verdana" w:hAnsi="Verdana"/>
                <w:b/>
                <w:sz w:val="20"/>
                <w:lang w:val="it-IT"/>
              </w:rPr>
              <w:t>6</w:t>
            </w:r>
            <w:r w:rsidRPr="00AC632E">
              <w:rPr>
                <w:rFonts w:ascii="Verdana" w:hAnsi="Verdana"/>
                <w:b/>
                <w:sz w:val="20"/>
                <w:lang w:val="it-IT"/>
              </w:rPr>
              <w:t xml:space="preserve"> to</w:t>
            </w:r>
            <w:r w:rsidRPr="00AC632E">
              <w:rPr>
                <w:rFonts w:ascii="Verdana" w:hAnsi="Verdana"/>
                <w:b/>
                <w:sz w:val="20"/>
                <w:lang w:val="it-IT"/>
              </w:rPr>
              <w:br/>
              <w:t xml:space="preserve">Document 4-E </w:t>
            </w:r>
          </w:p>
        </w:tc>
      </w:tr>
      <w:tr w:rsidR="0043444A" w:rsidRPr="00C324A8" w14:paraId="143A7602" w14:textId="77777777" w:rsidTr="0043444A">
        <w:trPr>
          <w:cantSplit/>
          <w:trHeight w:val="23"/>
        </w:trPr>
        <w:tc>
          <w:tcPr>
            <w:tcW w:w="6911" w:type="dxa"/>
            <w:gridSpan w:val="2"/>
            <w:vMerge/>
          </w:tcPr>
          <w:p w14:paraId="1143F02C" w14:textId="77777777" w:rsidR="0043444A" w:rsidRPr="00AC632E" w:rsidRDefault="0043444A" w:rsidP="00517B78">
            <w:pPr>
              <w:tabs>
                <w:tab w:val="left" w:pos="851"/>
              </w:tabs>
              <w:spacing w:line="240" w:lineRule="atLeast"/>
              <w:rPr>
                <w:rFonts w:ascii="Verdana" w:hAnsi="Verdana"/>
                <w:b/>
                <w:sz w:val="20"/>
                <w:lang w:val="it-IT"/>
              </w:rPr>
            </w:pPr>
            <w:bookmarkStart w:id="5" w:name="ddate" w:colFirst="1" w:colLast="1"/>
            <w:bookmarkEnd w:id="3"/>
            <w:bookmarkEnd w:id="4"/>
          </w:p>
        </w:tc>
        <w:tc>
          <w:tcPr>
            <w:tcW w:w="3120" w:type="dxa"/>
            <w:gridSpan w:val="2"/>
          </w:tcPr>
          <w:p w14:paraId="766177B6" w14:textId="5AE699BF" w:rsidR="0043444A" w:rsidRPr="00D91769" w:rsidRDefault="00651B52" w:rsidP="00A2048C">
            <w:pPr>
              <w:tabs>
                <w:tab w:val="left" w:pos="993"/>
              </w:tabs>
              <w:spacing w:before="0"/>
              <w:rPr>
                <w:rFonts w:ascii="Verdana" w:hAnsi="Verdana"/>
                <w:sz w:val="20"/>
              </w:rPr>
            </w:pPr>
            <w:r>
              <w:rPr>
                <w:rFonts w:ascii="Verdana" w:hAnsi="Verdana"/>
                <w:b/>
                <w:sz w:val="20"/>
              </w:rPr>
              <w:t>11</w:t>
            </w:r>
            <w:r w:rsidR="00AC632E">
              <w:rPr>
                <w:rFonts w:ascii="Verdana" w:hAnsi="Verdana"/>
                <w:b/>
                <w:sz w:val="20"/>
              </w:rPr>
              <w:t xml:space="preserve"> </w:t>
            </w:r>
            <w:r>
              <w:rPr>
                <w:rFonts w:ascii="Verdana" w:hAnsi="Verdana"/>
                <w:b/>
                <w:sz w:val="20"/>
              </w:rPr>
              <w:t>August</w:t>
            </w:r>
            <w:r w:rsidR="00AC632E">
              <w:rPr>
                <w:rFonts w:ascii="Verdana" w:hAnsi="Verdana"/>
                <w:b/>
                <w:sz w:val="20"/>
              </w:rPr>
              <w:t xml:space="preserve"> </w:t>
            </w:r>
            <w:r w:rsidR="00C02572">
              <w:rPr>
                <w:rFonts w:ascii="Verdana" w:hAnsi="Verdana"/>
                <w:b/>
                <w:sz w:val="20"/>
              </w:rPr>
              <w:t>2023</w:t>
            </w:r>
          </w:p>
        </w:tc>
      </w:tr>
      <w:tr w:rsidR="0043444A" w:rsidRPr="00C324A8" w14:paraId="6CEC8395" w14:textId="77777777" w:rsidTr="0043444A">
        <w:trPr>
          <w:cantSplit/>
          <w:trHeight w:val="23"/>
        </w:trPr>
        <w:tc>
          <w:tcPr>
            <w:tcW w:w="6911" w:type="dxa"/>
            <w:gridSpan w:val="2"/>
            <w:vMerge/>
          </w:tcPr>
          <w:p w14:paraId="21CDEBFE" w14:textId="77777777" w:rsidR="0043444A" w:rsidRPr="00C324A8" w:rsidRDefault="0043444A" w:rsidP="00517B78">
            <w:pPr>
              <w:tabs>
                <w:tab w:val="left" w:pos="851"/>
              </w:tabs>
              <w:spacing w:line="240" w:lineRule="atLeast"/>
              <w:rPr>
                <w:rFonts w:ascii="Verdana" w:hAnsi="Verdana"/>
                <w:b/>
                <w:sz w:val="20"/>
              </w:rPr>
            </w:pPr>
            <w:bookmarkStart w:id="6" w:name="dorlang" w:colFirst="1" w:colLast="1"/>
            <w:bookmarkEnd w:id="5"/>
          </w:p>
        </w:tc>
        <w:tc>
          <w:tcPr>
            <w:tcW w:w="3120" w:type="dxa"/>
            <w:gridSpan w:val="2"/>
          </w:tcPr>
          <w:p w14:paraId="73E32AC3" w14:textId="77777777" w:rsidR="0043444A" w:rsidRPr="00D91769" w:rsidRDefault="0043444A" w:rsidP="00D91769">
            <w:pPr>
              <w:tabs>
                <w:tab w:val="left" w:pos="993"/>
              </w:tabs>
              <w:spacing w:before="0" w:after="120"/>
              <w:rPr>
                <w:rFonts w:ascii="Verdana" w:hAnsi="Verdana"/>
                <w:sz w:val="20"/>
              </w:rPr>
            </w:pPr>
            <w:r>
              <w:rPr>
                <w:rFonts w:ascii="Verdana" w:hAnsi="Verdana"/>
                <w:b/>
                <w:sz w:val="20"/>
              </w:rPr>
              <w:t>Original: English</w:t>
            </w:r>
          </w:p>
        </w:tc>
      </w:tr>
      <w:tr w:rsidR="0043444A" w14:paraId="11EB4EFF" w14:textId="77777777" w:rsidTr="0043444A">
        <w:trPr>
          <w:cantSplit/>
        </w:trPr>
        <w:tc>
          <w:tcPr>
            <w:tcW w:w="10031" w:type="dxa"/>
            <w:gridSpan w:val="4"/>
          </w:tcPr>
          <w:p w14:paraId="4880D800" w14:textId="1DB06EA3" w:rsidR="0043444A" w:rsidRDefault="00AC632E" w:rsidP="00517B78">
            <w:pPr>
              <w:pStyle w:val="Source"/>
            </w:pPr>
            <w:bookmarkStart w:id="7" w:name="dsource" w:colFirst="0" w:colLast="0"/>
            <w:bookmarkEnd w:id="6"/>
            <w:r w:rsidRPr="00C42431">
              <w:t>Director, Radiocommunication Bureau</w:t>
            </w:r>
          </w:p>
        </w:tc>
      </w:tr>
      <w:tr w:rsidR="00AC632E" w14:paraId="06F8D1D7" w14:textId="77777777" w:rsidTr="0043444A">
        <w:trPr>
          <w:cantSplit/>
        </w:trPr>
        <w:tc>
          <w:tcPr>
            <w:tcW w:w="10031" w:type="dxa"/>
            <w:gridSpan w:val="4"/>
          </w:tcPr>
          <w:p w14:paraId="0B423BB2" w14:textId="267274F1" w:rsidR="00AC632E" w:rsidRDefault="00AC632E" w:rsidP="00AC632E">
            <w:pPr>
              <w:pStyle w:val="Title1"/>
            </w:pPr>
            <w:bookmarkStart w:id="8" w:name="dtitle1" w:colFirst="0" w:colLast="0"/>
            <w:bookmarkEnd w:id="7"/>
            <w:r w:rsidRPr="00C42431">
              <w:t xml:space="preserve">REPORT OF THE DIRECTOR </w:t>
            </w:r>
            <w:r w:rsidR="007A3AB3">
              <w:t xml:space="preserve">to WRC-23 </w:t>
            </w:r>
            <w:r w:rsidRPr="00C42431">
              <w:t>ON THE ACTIVITIES</w:t>
            </w:r>
            <w:r w:rsidR="007A3AB3">
              <w:br/>
            </w:r>
            <w:r w:rsidRPr="00C42431">
              <w:t>OF THE RADIOCOMMUNICATION SECTOR</w:t>
            </w:r>
          </w:p>
        </w:tc>
      </w:tr>
      <w:tr w:rsidR="00AC632E" w14:paraId="31EB3060" w14:textId="77777777" w:rsidTr="0043444A">
        <w:trPr>
          <w:cantSplit/>
        </w:trPr>
        <w:tc>
          <w:tcPr>
            <w:tcW w:w="10031" w:type="dxa"/>
            <w:gridSpan w:val="4"/>
          </w:tcPr>
          <w:p w14:paraId="758533C8" w14:textId="77777777" w:rsidR="00E2130C" w:rsidRDefault="00AC632E" w:rsidP="00791430">
            <w:pPr>
              <w:pStyle w:val="PartNo"/>
            </w:pPr>
            <w:bookmarkStart w:id="9" w:name="dtitle3" w:colFirst="0" w:colLast="0"/>
            <w:bookmarkEnd w:id="8"/>
            <w:r w:rsidRPr="001A6194">
              <w:t xml:space="preserve">part </w:t>
            </w:r>
            <w:r w:rsidR="007A3AB3">
              <w:t>6</w:t>
            </w:r>
          </w:p>
          <w:p w14:paraId="3C44AE9A" w14:textId="12207DC4" w:rsidR="00AC632E" w:rsidRDefault="00E2130C" w:rsidP="00AC632E">
            <w:pPr>
              <w:pStyle w:val="Title2"/>
            </w:pPr>
            <w:r w:rsidRPr="00E34869">
              <w:t>Analysis of the methods contained in the CPM report to satisfy agenda items of WRC-23</w:t>
            </w:r>
          </w:p>
        </w:tc>
      </w:tr>
      <w:bookmarkEnd w:id="9"/>
    </w:tbl>
    <w:p w14:paraId="4EAAF449" w14:textId="4A324932" w:rsidR="00A15F86" w:rsidRDefault="00A15F86" w:rsidP="00DE6CDF"/>
    <w:p w14:paraId="3374D64C" w14:textId="77777777" w:rsidR="00D43945" w:rsidRPr="00E34869" w:rsidRDefault="00D43945" w:rsidP="00D43945">
      <w:pPr>
        <w:pStyle w:val="Heading1"/>
      </w:pPr>
      <w:bookmarkStart w:id="10" w:name="_Toc19181722"/>
      <w:bookmarkStart w:id="11" w:name="_Toc19280106"/>
      <w:r w:rsidRPr="00E34869">
        <w:t>1</w:t>
      </w:r>
      <w:r w:rsidRPr="00E34869">
        <w:tab/>
        <w:t>Introduction</w:t>
      </w:r>
      <w:bookmarkEnd w:id="10"/>
      <w:bookmarkEnd w:id="11"/>
    </w:p>
    <w:p w14:paraId="244DF65B" w14:textId="56CC0D33" w:rsidR="00D43945" w:rsidRPr="00E34869" w:rsidRDefault="00D43945" w:rsidP="00D43945">
      <w:pPr>
        <w:rPr>
          <w:lang w:eastAsia="zh-CN"/>
        </w:rPr>
      </w:pPr>
      <w:r w:rsidRPr="00E34869">
        <w:rPr>
          <w:lang w:eastAsia="zh-CN"/>
        </w:rPr>
        <w:t xml:space="preserve">This part of the BR Director’s </w:t>
      </w:r>
      <w:r w:rsidR="00C43C30" w:rsidRPr="00E34869">
        <w:rPr>
          <w:lang w:eastAsia="zh-CN"/>
        </w:rPr>
        <w:t>R</w:t>
      </w:r>
      <w:r w:rsidRPr="00E34869">
        <w:rPr>
          <w:lang w:eastAsia="zh-CN"/>
        </w:rPr>
        <w:t xml:space="preserve">eport presents observations about potential difficulties in implementing by the Bureau </w:t>
      </w:r>
      <w:r w:rsidRPr="00E34869">
        <w:t xml:space="preserve">some of the methods contained in the CPM </w:t>
      </w:r>
      <w:r w:rsidR="00C43C30" w:rsidRPr="00E34869">
        <w:t>R</w:t>
      </w:r>
      <w:r w:rsidRPr="00E34869">
        <w:t>eport to satisfy certain WRC-23 agenda items</w:t>
      </w:r>
      <w:r w:rsidRPr="00E34869">
        <w:rPr>
          <w:lang w:eastAsia="zh-CN"/>
        </w:rPr>
        <w:t>. Concerning WRC-23 agenda items which are not listed in this document, the Bureau has not identified any specific implementation difficulties at this stage.</w:t>
      </w:r>
    </w:p>
    <w:p w14:paraId="5DF0C53E" w14:textId="7EA1F9B1" w:rsidR="00D43945" w:rsidRPr="00E34869" w:rsidRDefault="00D43945" w:rsidP="00D43945">
      <w:pPr>
        <w:rPr>
          <w:lang w:eastAsia="zh-CN"/>
        </w:rPr>
      </w:pPr>
      <w:r w:rsidRPr="00E34869">
        <w:rPr>
          <w:lang w:eastAsia="zh-CN"/>
        </w:rPr>
        <w:t xml:space="preserve">The document has been developed following discussions within ITU-R, where views were expressed that it would be useful if the BR assessed the implementability of the methods contained </w:t>
      </w:r>
      <w:r w:rsidRPr="00E34869">
        <w:t xml:space="preserve">in the CPM </w:t>
      </w:r>
      <w:r w:rsidR="00C43C30" w:rsidRPr="00E34869">
        <w:t>R</w:t>
      </w:r>
      <w:r w:rsidRPr="00E34869">
        <w:t>eport</w:t>
      </w:r>
      <w:r w:rsidRPr="00E34869">
        <w:rPr>
          <w:lang w:eastAsia="zh-CN"/>
        </w:rPr>
        <w:t>.</w:t>
      </w:r>
    </w:p>
    <w:p w14:paraId="78CBC099" w14:textId="1E6460FE" w:rsidR="00D43945" w:rsidRPr="00E34869" w:rsidRDefault="00D43945" w:rsidP="00D43945">
      <w:pPr>
        <w:rPr>
          <w:lang w:eastAsia="zh-CN"/>
        </w:rPr>
      </w:pPr>
      <w:r w:rsidRPr="00E34869">
        <w:rPr>
          <w:lang w:eastAsia="zh-CN"/>
        </w:rPr>
        <w:t>An additional element that triggered the development of this document was the experience of WRC</w:t>
      </w:r>
      <w:r w:rsidR="00C43C30">
        <w:rPr>
          <w:lang w:eastAsia="zh-CN"/>
        </w:rPr>
        <w:noBreakHyphen/>
      </w:r>
      <w:r w:rsidRPr="00E34869">
        <w:rPr>
          <w:lang w:eastAsia="zh-CN"/>
        </w:rPr>
        <w:t xml:space="preserve">19 work on the resolutions concerning HAPS. During the HAPS related discussions and at the request of administrations the Bureau was checking the implementability of the proposed conditions of HAPS operation. This WRC-19 experience has shown the utility of making such analysis well prior to a WRC, to avoid doing this work during the limited time of the Conference. </w:t>
      </w:r>
    </w:p>
    <w:p w14:paraId="3BA8AF0F" w14:textId="01CFAD56" w:rsidR="00D43945" w:rsidRPr="00E34869" w:rsidRDefault="00D43945" w:rsidP="00D43945">
      <w:pPr>
        <w:rPr>
          <w:lang w:eastAsia="zh-CN"/>
        </w:rPr>
      </w:pPr>
    </w:p>
    <w:p w14:paraId="5150A77E" w14:textId="77777777" w:rsidR="00D43945" w:rsidRPr="00E34869" w:rsidRDefault="00D43945" w:rsidP="00D43945">
      <w:pPr>
        <w:rPr>
          <w:lang w:eastAsia="zh-CN"/>
        </w:rPr>
      </w:pPr>
    </w:p>
    <w:p w14:paraId="1E366CD5" w14:textId="77777777" w:rsidR="00D43945" w:rsidRPr="00E34869" w:rsidRDefault="00D43945" w:rsidP="00D43945">
      <w:pPr>
        <w:pStyle w:val="Heading1"/>
        <w:sectPr w:rsidR="00D43945" w:rsidRPr="00E34869" w:rsidSect="00A74154">
          <w:footerReference w:type="even" r:id="rId13"/>
          <w:footerReference w:type="default" r:id="rId14"/>
          <w:pgSz w:w="11907" w:h="16834"/>
          <w:pgMar w:top="1418" w:right="1134" w:bottom="1418" w:left="1134" w:header="720" w:footer="720" w:gutter="0"/>
          <w:paperSrc w:first="15" w:other="15"/>
          <w:cols w:space="720"/>
          <w:titlePg/>
          <w:docGrid w:linePitch="326"/>
        </w:sectPr>
      </w:pPr>
      <w:bookmarkStart w:id="12" w:name="_Toc418836013"/>
      <w:bookmarkStart w:id="13" w:name="_Toc424137120"/>
      <w:bookmarkStart w:id="14" w:name="_Toc19181723"/>
      <w:bookmarkStart w:id="15" w:name="_Toc19280107"/>
    </w:p>
    <w:p w14:paraId="28F9FBFA" w14:textId="3C90D619" w:rsidR="00D43945" w:rsidRPr="00E34869" w:rsidRDefault="00D43945" w:rsidP="00D43945">
      <w:pPr>
        <w:pStyle w:val="Heading1"/>
      </w:pPr>
      <w:r w:rsidRPr="00E34869">
        <w:lastRenderedPageBreak/>
        <w:t>2</w:t>
      </w:r>
      <w:r w:rsidRPr="00E34869">
        <w:tab/>
      </w:r>
      <w:bookmarkEnd w:id="12"/>
      <w:bookmarkEnd w:id="13"/>
      <w:bookmarkEnd w:id="14"/>
      <w:bookmarkEnd w:id="15"/>
      <w:r w:rsidRPr="00E34869">
        <w:t xml:space="preserve">Analysis of the methods contained in the CPM </w:t>
      </w:r>
      <w:r w:rsidR="00396E90">
        <w:t>R</w:t>
      </w:r>
      <w:r w:rsidRPr="00E34869">
        <w:t>eport</w:t>
      </w:r>
    </w:p>
    <w:p w14:paraId="19445C12" w14:textId="77777777" w:rsidR="00D43945" w:rsidRPr="00E34869" w:rsidRDefault="00D43945" w:rsidP="00D43945">
      <w:pPr>
        <w:rPr>
          <w:lang w:eastAsia="zh-CN"/>
        </w:rPr>
      </w:pPr>
    </w:p>
    <w:tbl>
      <w:tblPr>
        <w:tblStyle w:val="TableGrid"/>
        <w:tblW w:w="14035" w:type="dxa"/>
        <w:tblLook w:val="04A0" w:firstRow="1" w:lastRow="0" w:firstColumn="1" w:lastColumn="0" w:noHBand="0" w:noVBand="1"/>
      </w:tblPr>
      <w:tblGrid>
        <w:gridCol w:w="636"/>
        <w:gridCol w:w="1116"/>
        <w:gridCol w:w="5353"/>
        <w:gridCol w:w="3330"/>
        <w:gridCol w:w="3600"/>
      </w:tblGrid>
      <w:tr w:rsidR="00D43945" w:rsidRPr="00E34869" w14:paraId="5304C9A1" w14:textId="77777777" w:rsidTr="002D32CF">
        <w:trPr>
          <w:tblHeader/>
        </w:trPr>
        <w:tc>
          <w:tcPr>
            <w:tcW w:w="636" w:type="dxa"/>
          </w:tcPr>
          <w:p w14:paraId="6E8CE57E" w14:textId="77777777" w:rsidR="00D43945" w:rsidRPr="00E34869" w:rsidRDefault="00D43945" w:rsidP="002D32CF">
            <w:pPr>
              <w:jc w:val="center"/>
              <w:rPr>
                <w:b/>
                <w:bCs/>
                <w:sz w:val="22"/>
                <w:lang w:eastAsia="zh-CN"/>
              </w:rPr>
            </w:pPr>
            <w:r w:rsidRPr="00E34869">
              <w:rPr>
                <w:b/>
                <w:bCs/>
                <w:sz w:val="22"/>
                <w:lang w:eastAsia="zh-CN"/>
              </w:rPr>
              <w:t>AI</w:t>
            </w:r>
          </w:p>
        </w:tc>
        <w:tc>
          <w:tcPr>
            <w:tcW w:w="1116" w:type="dxa"/>
          </w:tcPr>
          <w:p w14:paraId="2E4D1380" w14:textId="77777777" w:rsidR="00D43945" w:rsidRPr="00E34869" w:rsidRDefault="00D43945" w:rsidP="002D32CF">
            <w:pPr>
              <w:jc w:val="center"/>
              <w:rPr>
                <w:b/>
                <w:bCs/>
                <w:sz w:val="22"/>
                <w:lang w:eastAsia="zh-CN"/>
              </w:rPr>
            </w:pPr>
            <w:r w:rsidRPr="00E34869">
              <w:rPr>
                <w:b/>
                <w:bCs/>
                <w:sz w:val="22"/>
                <w:lang w:eastAsia="zh-CN"/>
              </w:rPr>
              <w:t>Section/</w:t>
            </w:r>
          </w:p>
          <w:p w14:paraId="5DF1F1BC" w14:textId="77777777" w:rsidR="00D43945" w:rsidRPr="00E34869" w:rsidRDefault="00D43945" w:rsidP="002D32CF">
            <w:pPr>
              <w:jc w:val="center"/>
              <w:rPr>
                <w:b/>
                <w:bCs/>
                <w:sz w:val="22"/>
                <w:lang w:eastAsia="zh-CN"/>
              </w:rPr>
            </w:pPr>
            <w:r w:rsidRPr="00E34869">
              <w:rPr>
                <w:b/>
                <w:bCs/>
                <w:sz w:val="22"/>
                <w:lang w:eastAsia="zh-CN"/>
              </w:rPr>
              <w:t>Method</w:t>
            </w:r>
          </w:p>
          <w:p w14:paraId="25D3AA24" w14:textId="77777777" w:rsidR="00D43945" w:rsidRPr="00E34869" w:rsidRDefault="00D43945" w:rsidP="002D32CF">
            <w:pPr>
              <w:jc w:val="center"/>
              <w:rPr>
                <w:b/>
                <w:bCs/>
                <w:sz w:val="22"/>
                <w:lang w:eastAsia="zh-CN"/>
              </w:rPr>
            </w:pPr>
          </w:p>
        </w:tc>
        <w:tc>
          <w:tcPr>
            <w:tcW w:w="5353" w:type="dxa"/>
          </w:tcPr>
          <w:p w14:paraId="4432EFAF" w14:textId="20D0C52B" w:rsidR="00D43945" w:rsidRPr="00E34869" w:rsidRDefault="00D43945" w:rsidP="002D32CF">
            <w:pPr>
              <w:jc w:val="center"/>
              <w:rPr>
                <w:b/>
                <w:bCs/>
                <w:sz w:val="22"/>
                <w:lang w:eastAsia="zh-CN"/>
              </w:rPr>
            </w:pPr>
            <w:r w:rsidRPr="00E34869">
              <w:rPr>
                <w:b/>
                <w:bCs/>
                <w:sz w:val="22"/>
                <w:lang w:eastAsia="zh-CN"/>
              </w:rPr>
              <w:t xml:space="preserve">CPM </w:t>
            </w:r>
            <w:r w:rsidR="00C43C30" w:rsidRPr="00E34869">
              <w:rPr>
                <w:b/>
                <w:bCs/>
                <w:sz w:val="22"/>
                <w:lang w:eastAsia="zh-CN"/>
              </w:rPr>
              <w:t>R</w:t>
            </w:r>
            <w:r w:rsidRPr="00E34869">
              <w:rPr>
                <w:b/>
                <w:bCs/>
                <w:sz w:val="22"/>
                <w:lang w:eastAsia="zh-CN"/>
              </w:rPr>
              <w:t>eport text</w:t>
            </w:r>
          </w:p>
        </w:tc>
        <w:tc>
          <w:tcPr>
            <w:tcW w:w="3330" w:type="dxa"/>
          </w:tcPr>
          <w:p w14:paraId="7121E6C9" w14:textId="77777777" w:rsidR="00D43945" w:rsidRPr="00E34869" w:rsidRDefault="00D43945" w:rsidP="002D32CF">
            <w:pPr>
              <w:jc w:val="center"/>
              <w:rPr>
                <w:b/>
                <w:bCs/>
                <w:sz w:val="22"/>
                <w:lang w:eastAsia="zh-CN"/>
              </w:rPr>
            </w:pPr>
            <w:r w:rsidRPr="00E34869">
              <w:rPr>
                <w:b/>
                <w:bCs/>
                <w:sz w:val="22"/>
                <w:lang w:eastAsia="zh-CN"/>
              </w:rPr>
              <w:t>Observations/ difficulties</w:t>
            </w:r>
          </w:p>
        </w:tc>
        <w:tc>
          <w:tcPr>
            <w:tcW w:w="3600" w:type="dxa"/>
          </w:tcPr>
          <w:p w14:paraId="3C9FA189" w14:textId="77777777" w:rsidR="00D43945" w:rsidRPr="00E34869" w:rsidRDefault="00D43945" w:rsidP="002D32CF">
            <w:pPr>
              <w:jc w:val="center"/>
              <w:rPr>
                <w:b/>
                <w:bCs/>
                <w:sz w:val="22"/>
                <w:lang w:eastAsia="zh-CN"/>
              </w:rPr>
            </w:pPr>
            <w:r w:rsidRPr="00E34869">
              <w:rPr>
                <w:b/>
                <w:bCs/>
                <w:sz w:val="22"/>
                <w:lang w:eastAsia="zh-CN"/>
              </w:rPr>
              <w:t>Possible solutions</w:t>
            </w:r>
          </w:p>
        </w:tc>
      </w:tr>
      <w:tr w:rsidR="00D43945" w:rsidRPr="00E34869" w14:paraId="2AFB0FCB" w14:textId="77777777" w:rsidTr="002D32CF">
        <w:tc>
          <w:tcPr>
            <w:tcW w:w="636" w:type="dxa"/>
          </w:tcPr>
          <w:p w14:paraId="79B7FC8D" w14:textId="77777777" w:rsidR="00D43945" w:rsidRPr="00E34869" w:rsidRDefault="00D43945" w:rsidP="002D32CF">
            <w:pPr>
              <w:rPr>
                <w:sz w:val="20"/>
                <w:lang w:eastAsia="zh-CN"/>
              </w:rPr>
            </w:pPr>
            <w:r>
              <w:rPr>
                <w:sz w:val="20"/>
                <w:lang w:eastAsia="zh-CN"/>
              </w:rPr>
              <w:t>1.0</w:t>
            </w:r>
          </w:p>
        </w:tc>
        <w:tc>
          <w:tcPr>
            <w:tcW w:w="1116" w:type="dxa"/>
          </w:tcPr>
          <w:p w14:paraId="2260AFFA" w14:textId="77777777" w:rsidR="00D43945" w:rsidRPr="00E34869" w:rsidRDefault="00D43945" w:rsidP="002D32CF">
            <w:pPr>
              <w:rPr>
                <w:sz w:val="20"/>
              </w:rPr>
            </w:pPr>
            <w:r>
              <w:rPr>
                <w:rFonts w:hint="eastAsia"/>
                <w:sz w:val="20"/>
                <w:lang w:eastAsia="zh-CN"/>
              </w:rPr>
              <w:t>All</w:t>
            </w:r>
          </w:p>
        </w:tc>
        <w:tc>
          <w:tcPr>
            <w:tcW w:w="5353" w:type="dxa"/>
          </w:tcPr>
          <w:p w14:paraId="724BBBF2" w14:textId="77777777" w:rsidR="00D43945" w:rsidRPr="00944DC4" w:rsidRDefault="00D43945" w:rsidP="002D32CF">
            <w:pPr>
              <w:rPr>
                <w:iCs/>
                <w:sz w:val="20"/>
              </w:rPr>
            </w:pPr>
          </w:p>
        </w:tc>
        <w:tc>
          <w:tcPr>
            <w:tcW w:w="3330" w:type="dxa"/>
          </w:tcPr>
          <w:p w14:paraId="5E76209C" w14:textId="77777777" w:rsidR="00D43945" w:rsidRPr="00CB229A" w:rsidRDefault="00D43945" w:rsidP="002D32CF">
            <w:pPr>
              <w:rPr>
                <w:rFonts w:cs="Times New Roman"/>
                <w:sz w:val="20"/>
                <w:lang w:val="en-US" w:eastAsia="zh-CN"/>
              </w:rPr>
            </w:pPr>
            <w:r w:rsidRPr="00CB229A">
              <w:rPr>
                <w:rFonts w:cs="Times New Roman"/>
                <w:sz w:val="20"/>
                <w:szCs w:val="20"/>
                <w:lang w:eastAsia="zh-CN"/>
              </w:rPr>
              <w:t>When</w:t>
            </w:r>
            <w:r w:rsidRPr="00CB229A">
              <w:rPr>
                <w:rFonts w:cs="Times New Roman"/>
                <w:sz w:val="20"/>
                <w:szCs w:val="20"/>
              </w:rPr>
              <w:t xml:space="preserve"> </w:t>
            </w:r>
            <w:r w:rsidRPr="00CB229A">
              <w:rPr>
                <w:rFonts w:cs="Times New Roman"/>
                <w:sz w:val="20"/>
                <w:szCs w:val="20"/>
                <w:lang w:eastAsia="zh-CN"/>
              </w:rPr>
              <w:t>t</w:t>
            </w:r>
            <w:r w:rsidRPr="00CB229A">
              <w:rPr>
                <w:rFonts w:cs="Times New Roman"/>
                <w:sz w:val="20"/>
                <w:szCs w:val="20"/>
              </w:rPr>
              <w:t xml:space="preserve">he Bureau can </w:t>
            </w:r>
            <w:r w:rsidRPr="00CB229A">
              <w:rPr>
                <w:rFonts w:cs="Times New Roman"/>
                <w:sz w:val="20"/>
                <w:szCs w:val="20"/>
                <w:lang w:val="en-US"/>
              </w:rPr>
              <w:t xml:space="preserve">not </w:t>
            </w:r>
            <w:r w:rsidRPr="00CB229A">
              <w:rPr>
                <w:rFonts w:cs="Times New Roman"/>
                <w:sz w:val="20"/>
                <w:szCs w:val="20"/>
              </w:rPr>
              <w:t xml:space="preserve">examine a power limit or any other condition contained in a RR provision or a Resolution, because </w:t>
            </w:r>
            <w:r w:rsidRPr="00CB229A">
              <w:rPr>
                <w:rFonts w:cs="Times New Roman"/>
                <w:sz w:val="20"/>
                <w:szCs w:val="20"/>
                <w:lang w:val="en-US"/>
              </w:rPr>
              <w:t>no method exists, necessary data are not notified or due to other difficulties</w:t>
            </w:r>
            <w:r w:rsidRPr="00CB229A">
              <w:rPr>
                <w:rFonts w:cs="Times New Roman"/>
                <w:iCs/>
                <w:sz w:val="20"/>
              </w:rPr>
              <w:t>, a commitment of the notifying administration to comply with the limit or such condition could be indicated in the notice.</w:t>
            </w:r>
            <w:r w:rsidRPr="00CB229A">
              <w:rPr>
                <w:rFonts w:cs="Times New Roman"/>
                <w:sz w:val="20"/>
                <w:lang w:eastAsia="zh-CN"/>
              </w:rPr>
              <w:t xml:space="preserve"> </w:t>
            </w:r>
          </w:p>
        </w:tc>
        <w:tc>
          <w:tcPr>
            <w:tcW w:w="3600" w:type="dxa"/>
          </w:tcPr>
          <w:p w14:paraId="74CDD783" w14:textId="77777777" w:rsidR="00D43945" w:rsidRPr="00944DC4" w:rsidRDefault="00D43945" w:rsidP="002D32CF">
            <w:pPr>
              <w:rPr>
                <w:rFonts w:cs="Times New Roman"/>
                <w:iCs/>
                <w:sz w:val="20"/>
                <w:szCs w:val="20"/>
              </w:rPr>
            </w:pPr>
            <w:r w:rsidRPr="00944DC4">
              <w:rPr>
                <w:rFonts w:cs="Times New Roman"/>
                <w:iCs/>
                <w:sz w:val="20"/>
                <w:szCs w:val="20"/>
              </w:rPr>
              <w:t xml:space="preserve">To add a new data item to Annex 1 </w:t>
            </w:r>
            <w:r>
              <w:rPr>
                <w:rFonts w:cs="Times New Roman"/>
                <w:iCs/>
                <w:sz w:val="20"/>
                <w:szCs w:val="20"/>
              </w:rPr>
              <w:t xml:space="preserve">or 2 </w:t>
            </w:r>
            <w:r w:rsidRPr="00944DC4">
              <w:rPr>
                <w:rFonts w:cs="Times New Roman"/>
                <w:iCs/>
                <w:sz w:val="20"/>
                <w:szCs w:val="20"/>
              </w:rPr>
              <w:t xml:space="preserve">of RR Appendix </w:t>
            </w:r>
            <w:r w:rsidRPr="00944DC4">
              <w:rPr>
                <w:rFonts w:cs="Times New Roman"/>
                <w:b/>
                <w:bCs/>
                <w:iCs/>
                <w:sz w:val="20"/>
                <w:szCs w:val="20"/>
              </w:rPr>
              <w:t>4</w:t>
            </w:r>
            <w:r w:rsidRPr="00944DC4">
              <w:rPr>
                <w:rFonts w:cs="Times New Roman"/>
                <w:iCs/>
                <w:sz w:val="20"/>
                <w:szCs w:val="20"/>
              </w:rPr>
              <w:t xml:space="preserve"> - a commitment of the notifying administration to comply with a </w:t>
            </w:r>
            <w:r>
              <w:rPr>
                <w:rFonts w:cs="Times New Roman"/>
                <w:iCs/>
                <w:sz w:val="20"/>
                <w:szCs w:val="20"/>
              </w:rPr>
              <w:t xml:space="preserve">power </w:t>
            </w:r>
            <w:r w:rsidRPr="00944DC4">
              <w:rPr>
                <w:rFonts w:cs="Times New Roman"/>
                <w:iCs/>
                <w:sz w:val="20"/>
                <w:szCs w:val="20"/>
              </w:rPr>
              <w:t xml:space="preserve">limit or </w:t>
            </w:r>
            <w:r>
              <w:rPr>
                <w:rFonts w:cs="Times New Roman"/>
                <w:iCs/>
                <w:sz w:val="20"/>
                <w:szCs w:val="20"/>
              </w:rPr>
              <w:t xml:space="preserve">a </w:t>
            </w:r>
            <w:r w:rsidRPr="00944DC4">
              <w:rPr>
                <w:rFonts w:cs="Times New Roman"/>
                <w:iCs/>
                <w:sz w:val="20"/>
                <w:szCs w:val="20"/>
              </w:rPr>
              <w:t xml:space="preserve">condition. </w:t>
            </w:r>
          </w:p>
          <w:p w14:paraId="17D1AA70" w14:textId="77777777" w:rsidR="00D43945" w:rsidRPr="00944DC4" w:rsidRDefault="00D43945" w:rsidP="002D32CF">
            <w:pPr>
              <w:rPr>
                <w:rFonts w:cs="Times New Roman"/>
                <w:iCs/>
                <w:sz w:val="20"/>
                <w:szCs w:val="20"/>
              </w:rPr>
            </w:pPr>
            <w:r w:rsidRPr="00944DC4">
              <w:rPr>
                <w:rFonts w:cs="Times New Roman"/>
                <w:iCs/>
                <w:sz w:val="20"/>
                <w:szCs w:val="20"/>
              </w:rPr>
              <w:t xml:space="preserve">The item </w:t>
            </w:r>
            <w:r>
              <w:rPr>
                <w:rFonts w:cs="Times New Roman"/>
                <w:iCs/>
                <w:sz w:val="20"/>
                <w:szCs w:val="20"/>
              </w:rPr>
              <w:t xml:space="preserve">should </w:t>
            </w:r>
            <w:r w:rsidRPr="00944DC4">
              <w:rPr>
                <w:rFonts w:cs="Times New Roman"/>
                <w:iCs/>
                <w:sz w:val="20"/>
                <w:szCs w:val="20"/>
              </w:rPr>
              <w:t xml:space="preserve">reference the </w:t>
            </w:r>
            <w:r w:rsidRPr="00944DC4">
              <w:rPr>
                <w:rFonts w:cs="Times New Roman"/>
                <w:i/>
                <w:sz w:val="20"/>
                <w:szCs w:val="20"/>
              </w:rPr>
              <w:t>provision</w:t>
            </w:r>
            <w:r w:rsidRPr="00944DC4">
              <w:rPr>
                <w:rFonts w:cs="Times New Roman"/>
                <w:iCs/>
                <w:sz w:val="20"/>
                <w:szCs w:val="20"/>
              </w:rPr>
              <w:t xml:space="preserve"> or </w:t>
            </w:r>
            <w:r>
              <w:rPr>
                <w:rFonts w:cs="Times New Roman"/>
                <w:i/>
                <w:sz w:val="20"/>
                <w:szCs w:val="20"/>
              </w:rPr>
              <w:t>R</w:t>
            </w:r>
            <w:r w:rsidRPr="00944DC4">
              <w:rPr>
                <w:rFonts w:cs="Times New Roman"/>
                <w:i/>
                <w:sz w:val="20"/>
                <w:szCs w:val="20"/>
              </w:rPr>
              <w:t>esolution</w:t>
            </w:r>
            <w:r w:rsidRPr="00944DC4">
              <w:rPr>
                <w:rFonts w:cs="Times New Roman"/>
                <w:iCs/>
                <w:sz w:val="20"/>
                <w:szCs w:val="20"/>
              </w:rPr>
              <w:t xml:space="preserve"> under which </w:t>
            </w:r>
            <w:r>
              <w:rPr>
                <w:rFonts w:cs="Times New Roman"/>
                <w:iCs/>
                <w:sz w:val="20"/>
                <w:szCs w:val="20"/>
              </w:rPr>
              <w:t xml:space="preserve">the </w:t>
            </w:r>
            <w:r w:rsidRPr="00944DC4">
              <w:rPr>
                <w:rFonts w:cs="Times New Roman"/>
                <w:iCs/>
                <w:sz w:val="20"/>
                <w:szCs w:val="20"/>
              </w:rPr>
              <w:t xml:space="preserve">commitment is required. </w:t>
            </w:r>
          </w:p>
          <w:p w14:paraId="61844940" w14:textId="77777777" w:rsidR="00D43945" w:rsidRPr="00944DC4" w:rsidRDefault="00D43945" w:rsidP="002D32CF">
            <w:pPr>
              <w:rPr>
                <w:rFonts w:cs="Times New Roman"/>
                <w:iCs/>
                <w:sz w:val="20"/>
              </w:rPr>
            </w:pPr>
          </w:p>
        </w:tc>
      </w:tr>
      <w:tr w:rsidR="00D43945" w:rsidRPr="00E34869" w14:paraId="7B821CF8" w14:textId="77777777" w:rsidTr="002D32CF">
        <w:tc>
          <w:tcPr>
            <w:tcW w:w="636" w:type="dxa"/>
          </w:tcPr>
          <w:p w14:paraId="7C9995AA" w14:textId="77777777" w:rsidR="00D43945" w:rsidRPr="00E34869" w:rsidRDefault="00D43945" w:rsidP="002D32CF">
            <w:pPr>
              <w:rPr>
                <w:sz w:val="20"/>
                <w:szCs w:val="20"/>
                <w:lang w:eastAsia="zh-CN"/>
              </w:rPr>
            </w:pPr>
            <w:r w:rsidRPr="00E34869">
              <w:rPr>
                <w:sz w:val="20"/>
                <w:szCs w:val="20"/>
                <w:lang w:eastAsia="zh-CN"/>
              </w:rPr>
              <w:t>1.1</w:t>
            </w:r>
          </w:p>
        </w:tc>
        <w:tc>
          <w:tcPr>
            <w:tcW w:w="1116" w:type="dxa"/>
          </w:tcPr>
          <w:p w14:paraId="2B0FA06E" w14:textId="77777777" w:rsidR="00D43945" w:rsidRPr="00E34869" w:rsidRDefault="00D43945" w:rsidP="002D32CF">
            <w:pPr>
              <w:rPr>
                <w:sz w:val="20"/>
                <w:szCs w:val="20"/>
                <w:lang w:eastAsia="zh-CN"/>
              </w:rPr>
            </w:pPr>
            <w:r w:rsidRPr="00E34869">
              <w:rPr>
                <w:sz w:val="20"/>
                <w:szCs w:val="20"/>
              </w:rPr>
              <w:t xml:space="preserve">1/1.1/5.3 Methods C and D, </w:t>
            </w:r>
            <w:r w:rsidRPr="00E34869">
              <w:rPr>
                <w:sz w:val="20"/>
                <w:szCs w:val="20"/>
                <w:lang w:eastAsia="zh-CN"/>
              </w:rPr>
              <w:t>Alternative 5</w:t>
            </w:r>
          </w:p>
        </w:tc>
        <w:tc>
          <w:tcPr>
            <w:tcW w:w="5353" w:type="dxa"/>
          </w:tcPr>
          <w:p w14:paraId="118A779A" w14:textId="77777777" w:rsidR="00D43945" w:rsidRPr="00E34869" w:rsidRDefault="00D43945" w:rsidP="002D32CF">
            <w:pPr>
              <w:rPr>
                <w:sz w:val="20"/>
                <w:szCs w:val="20"/>
                <w:lang w:eastAsia="zh-CN"/>
              </w:rPr>
            </w:pPr>
            <w:r w:rsidRPr="00E34869">
              <w:rPr>
                <w:i/>
                <w:sz w:val="20"/>
                <w:szCs w:val="20"/>
              </w:rPr>
              <w:t>Alternative 5:</w:t>
            </w:r>
            <w:r w:rsidRPr="00E34869">
              <w:rPr>
                <w:sz w:val="20"/>
                <w:szCs w:val="20"/>
              </w:rPr>
              <w:t xml:space="preserve"> pfd of −</w:t>
            </w:r>
            <w:r w:rsidRPr="00E34869">
              <w:rPr>
                <w:rFonts w:eastAsiaTheme="minorEastAsia"/>
                <w:sz w:val="20"/>
                <w:szCs w:val="20"/>
              </w:rPr>
              <w:t>117</w:t>
            </w:r>
            <w:r w:rsidRPr="00E34869">
              <w:rPr>
                <w:sz w:val="20"/>
                <w:szCs w:val="20"/>
              </w:rPr>
              <w:t> </w:t>
            </w:r>
            <w:r w:rsidRPr="00E34869">
              <w:rPr>
                <w:rFonts w:eastAsiaTheme="minorEastAsia"/>
                <w:sz w:val="20"/>
                <w:szCs w:val="20"/>
              </w:rPr>
              <w:t>dB(W/(m²</w:t>
            </w:r>
            <w:r w:rsidRPr="00E34869">
              <w:rPr>
                <w:sz w:val="20"/>
                <w:szCs w:val="20"/>
              </w:rPr>
              <w:t> </w:t>
            </w:r>
            <w:r w:rsidRPr="00E34869">
              <w:rPr>
                <w:rFonts w:eastAsiaTheme="minorEastAsia"/>
                <w:sz w:val="20"/>
                <w:szCs w:val="20"/>
              </w:rPr>
              <w:t>·</w:t>
            </w:r>
            <w:r w:rsidRPr="00E34869">
              <w:rPr>
                <w:sz w:val="20"/>
                <w:szCs w:val="20"/>
              </w:rPr>
              <w:t> </w:t>
            </w:r>
            <w:r w:rsidRPr="00E34869">
              <w:rPr>
                <w:rFonts w:eastAsiaTheme="minorEastAsia"/>
                <w:sz w:val="20"/>
                <w:szCs w:val="20"/>
              </w:rPr>
              <w:t>MHz)) produced up to 19</w:t>
            </w:r>
            <w:r w:rsidRPr="00E34869">
              <w:rPr>
                <w:sz w:val="20"/>
                <w:szCs w:val="20"/>
              </w:rPr>
              <w:t> </w:t>
            </w:r>
            <w:r w:rsidRPr="00E34869">
              <w:rPr>
                <w:rFonts w:eastAsiaTheme="minorEastAsia"/>
                <w:sz w:val="20"/>
                <w:szCs w:val="20"/>
              </w:rPr>
              <w:t xml:space="preserve">km above sea level at the external boundary of exclusive economic zone, as officially recognized by the coastal State, for the protection of </w:t>
            </w:r>
            <w:r w:rsidRPr="00E34869">
              <w:rPr>
                <w:rFonts w:eastAsia="Calibri"/>
                <w:sz w:val="20"/>
                <w:szCs w:val="20"/>
                <w:lang w:eastAsia="zh-CN"/>
              </w:rPr>
              <w:t xml:space="preserve">AMS </w:t>
            </w:r>
            <w:r w:rsidRPr="00E34869">
              <w:rPr>
                <w:rFonts w:eastAsiaTheme="minorEastAsia"/>
                <w:sz w:val="20"/>
                <w:szCs w:val="20"/>
              </w:rPr>
              <w:t xml:space="preserve">in the </w:t>
            </w:r>
            <w:r w:rsidRPr="00E34869">
              <w:rPr>
                <w:sz w:val="20"/>
                <w:szCs w:val="20"/>
              </w:rPr>
              <w:t xml:space="preserve">frequency </w:t>
            </w:r>
            <w:r w:rsidRPr="00E34869">
              <w:rPr>
                <w:rFonts w:eastAsiaTheme="minorEastAsia"/>
                <w:sz w:val="20"/>
                <w:szCs w:val="20"/>
              </w:rPr>
              <w:t>bands 4</w:t>
            </w:r>
            <w:r w:rsidRPr="00E34869">
              <w:rPr>
                <w:sz w:val="20"/>
                <w:szCs w:val="20"/>
              </w:rPr>
              <w:t> </w:t>
            </w:r>
            <w:r w:rsidRPr="00E34869">
              <w:rPr>
                <w:rFonts w:eastAsiaTheme="minorEastAsia"/>
                <w:sz w:val="20"/>
                <w:szCs w:val="20"/>
              </w:rPr>
              <w:t>800-4</w:t>
            </w:r>
            <w:r w:rsidRPr="00E34869">
              <w:rPr>
                <w:sz w:val="20"/>
                <w:szCs w:val="20"/>
              </w:rPr>
              <w:t> </w:t>
            </w:r>
            <w:r w:rsidRPr="00E34869">
              <w:rPr>
                <w:rFonts w:eastAsiaTheme="minorEastAsia"/>
                <w:sz w:val="20"/>
                <w:szCs w:val="20"/>
              </w:rPr>
              <w:t>825 MHz and 4</w:t>
            </w:r>
            <w:r w:rsidRPr="00E34869">
              <w:rPr>
                <w:sz w:val="20"/>
                <w:szCs w:val="20"/>
              </w:rPr>
              <w:t> </w:t>
            </w:r>
            <w:r w:rsidRPr="00E34869">
              <w:rPr>
                <w:rFonts w:eastAsiaTheme="minorEastAsia"/>
                <w:sz w:val="20"/>
                <w:szCs w:val="20"/>
              </w:rPr>
              <w:t>835-4</w:t>
            </w:r>
            <w:r w:rsidRPr="00E34869">
              <w:rPr>
                <w:sz w:val="20"/>
                <w:szCs w:val="20"/>
              </w:rPr>
              <w:t> </w:t>
            </w:r>
            <w:r w:rsidRPr="00E34869">
              <w:rPr>
                <w:rFonts w:eastAsiaTheme="minorEastAsia"/>
                <w:sz w:val="20"/>
                <w:szCs w:val="20"/>
              </w:rPr>
              <w:t xml:space="preserve">950 MHz and </w:t>
            </w:r>
            <w:r w:rsidRPr="00E34869">
              <w:rPr>
                <w:sz w:val="20"/>
                <w:szCs w:val="20"/>
              </w:rPr>
              <w:t>−</w:t>
            </w:r>
            <w:r w:rsidRPr="00E34869">
              <w:rPr>
                <w:rFonts w:eastAsiaTheme="minorEastAsia"/>
                <w:sz w:val="20"/>
                <w:szCs w:val="20"/>
              </w:rPr>
              <w:t>115</w:t>
            </w:r>
            <w:r w:rsidRPr="00E34869">
              <w:rPr>
                <w:sz w:val="20"/>
                <w:szCs w:val="20"/>
              </w:rPr>
              <w:t> </w:t>
            </w:r>
            <w:r w:rsidRPr="00E34869">
              <w:rPr>
                <w:rFonts w:eastAsiaTheme="minorEastAsia"/>
                <w:sz w:val="20"/>
                <w:szCs w:val="20"/>
              </w:rPr>
              <w:t>dB(W/(m²</w:t>
            </w:r>
            <w:r w:rsidRPr="00E34869">
              <w:rPr>
                <w:sz w:val="20"/>
                <w:szCs w:val="20"/>
              </w:rPr>
              <w:t> </w:t>
            </w:r>
            <w:r w:rsidRPr="00E34869">
              <w:rPr>
                <w:rFonts w:eastAsiaTheme="minorEastAsia"/>
                <w:sz w:val="20"/>
                <w:szCs w:val="20"/>
              </w:rPr>
              <w:t>·</w:t>
            </w:r>
            <w:r w:rsidRPr="00E34869">
              <w:rPr>
                <w:sz w:val="20"/>
                <w:szCs w:val="20"/>
              </w:rPr>
              <w:t xml:space="preserve"> 1 </w:t>
            </w:r>
            <w:r w:rsidRPr="00E34869">
              <w:rPr>
                <w:rFonts w:eastAsiaTheme="minorEastAsia"/>
                <w:sz w:val="20"/>
                <w:szCs w:val="20"/>
              </w:rPr>
              <w:t xml:space="preserve">MHz)) produced up to 30 m above sea level at the external boundary of exclusive economic zone, as officially recognized by the coastal State, for the protection of </w:t>
            </w:r>
            <w:r w:rsidRPr="00E34869">
              <w:rPr>
                <w:rFonts w:eastAsia="Calibri"/>
                <w:sz w:val="20"/>
                <w:szCs w:val="20"/>
                <w:lang w:eastAsia="zh-CN"/>
              </w:rPr>
              <w:t xml:space="preserve">MMS </w:t>
            </w:r>
            <w:r w:rsidRPr="00E34869">
              <w:rPr>
                <w:rFonts w:eastAsiaTheme="minorEastAsia"/>
                <w:sz w:val="20"/>
                <w:szCs w:val="20"/>
              </w:rPr>
              <w:t xml:space="preserve">in the </w:t>
            </w:r>
            <w:r w:rsidRPr="00E34869">
              <w:rPr>
                <w:sz w:val="20"/>
                <w:szCs w:val="20"/>
              </w:rPr>
              <w:t xml:space="preserve">frequency </w:t>
            </w:r>
            <w:r w:rsidRPr="00E34869">
              <w:rPr>
                <w:rFonts w:eastAsiaTheme="minorEastAsia"/>
                <w:sz w:val="20"/>
                <w:szCs w:val="20"/>
              </w:rPr>
              <w:t>band 4</w:t>
            </w:r>
            <w:r w:rsidRPr="00E34869">
              <w:rPr>
                <w:sz w:val="20"/>
                <w:szCs w:val="20"/>
              </w:rPr>
              <w:t> </w:t>
            </w:r>
            <w:r w:rsidRPr="00E34869">
              <w:rPr>
                <w:rFonts w:eastAsiaTheme="minorEastAsia"/>
                <w:sz w:val="20"/>
                <w:szCs w:val="20"/>
              </w:rPr>
              <w:t>800-4</w:t>
            </w:r>
            <w:r w:rsidRPr="00E34869">
              <w:rPr>
                <w:sz w:val="20"/>
                <w:szCs w:val="20"/>
              </w:rPr>
              <w:t> </w:t>
            </w:r>
            <w:r w:rsidRPr="00E34869">
              <w:rPr>
                <w:rFonts w:eastAsiaTheme="minorEastAsia"/>
                <w:sz w:val="20"/>
                <w:szCs w:val="20"/>
              </w:rPr>
              <w:t>990 MHz.</w:t>
            </w:r>
          </w:p>
        </w:tc>
        <w:tc>
          <w:tcPr>
            <w:tcW w:w="3330" w:type="dxa"/>
          </w:tcPr>
          <w:p w14:paraId="081B080B" w14:textId="77777777" w:rsidR="00D43945" w:rsidRPr="00E34869" w:rsidRDefault="00D43945" w:rsidP="002D32CF">
            <w:pPr>
              <w:rPr>
                <w:sz w:val="20"/>
                <w:szCs w:val="20"/>
                <w:lang w:eastAsia="zh-CN"/>
              </w:rPr>
            </w:pPr>
            <w:r w:rsidRPr="00E34869">
              <w:rPr>
                <w:sz w:val="20"/>
                <w:szCs w:val="20"/>
                <w:lang w:eastAsia="zh-CN"/>
              </w:rPr>
              <w:t>Difficulty to identify the borders of an exclusive economic zones (EEZ), due to the fact that there is no ITU agreed or officially recognised global map of EEZ. A number of overlapping EEZ are contested and still in discussions between the countries concerned.</w:t>
            </w:r>
          </w:p>
          <w:p w14:paraId="10105136" w14:textId="77777777" w:rsidR="00D43945" w:rsidRPr="00E34869" w:rsidRDefault="00D43945" w:rsidP="002D32CF">
            <w:pPr>
              <w:rPr>
                <w:sz w:val="20"/>
                <w:szCs w:val="20"/>
                <w:lang w:eastAsia="zh-CN"/>
              </w:rPr>
            </w:pPr>
            <w:r w:rsidRPr="00E34869">
              <w:rPr>
                <w:sz w:val="20"/>
                <w:szCs w:val="20"/>
                <w:lang w:eastAsia="zh-CN"/>
              </w:rPr>
              <w:t>BR does not have maps of “</w:t>
            </w:r>
            <w:r w:rsidRPr="00E34869">
              <w:rPr>
                <w:rFonts w:eastAsiaTheme="minorEastAsia"/>
                <w:i/>
                <w:iCs/>
                <w:sz w:val="20"/>
                <w:szCs w:val="20"/>
              </w:rPr>
              <w:t>exclusive economic zone as officially recognized by the coastal State</w:t>
            </w:r>
            <w:r w:rsidRPr="00E34869">
              <w:rPr>
                <w:rFonts w:eastAsiaTheme="minorEastAsia"/>
                <w:sz w:val="20"/>
                <w:szCs w:val="20"/>
              </w:rPr>
              <w:t>” either.</w:t>
            </w:r>
          </w:p>
        </w:tc>
        <w:tc>
          <w:tcPr>
            <w:tcW w:w="3600" w:type="dxa"/>
          </w:tcPr>
          <w:p w14:paraId="5D083578" w14:textId="77777777" w:rsidR="00D43945" w:rsidRPr="00E34869" w:rsidRDefault="00D43945" w:rsidP="002D32CF">
            <w:pPr>
              <w:rPr>
                <w:rFonts w:cs="Times New Roman"/>
                <w:sz w:val="20"/>
                <w:szCs w:val="20"/>
              </w:rPr>
            </w:pPr>
            <w:r w:rsidRPr="00E34869">
              <w:rPr>
                <w:rFonts w:cs="Times New Roman"/>
                <w:iCs/>
                <w:sz w:val="20"/>
                <w:szCs w:val="20"/>
              </w:rPr>
              <w:t>To</w:t>
            </w:r>
            <w:r w:rsidRPr="00E34869">
              <w:rPr>
                <w:rFonts w:cs="Times New Roman"/>
                <w:sz w:val="20"/>
                <w:szCs w:val="20"/>
              </w:rPr>
              <w:t xml:space="preserve"> indicate in Resolution </w:t>
            </w:r>
            <w:r w:rsidRPr="00E34869">
              <w:rPr>
                <w:rFonts w:cs="Times New Roman"/>
                <w:b/>
                <w:bCs/>
                <w:sz w:val="20"/>
                <w:szCs w:val="20"/>
              </w:rPr>
              <w:t>223 (Rev.WRC-23)</w:t>
            </w:r>
            <w:r w:rsidRPr="00E34869">
              <w:rPr>
                <w:rFonts w:cs="Times New Roman"/>
                <w:sz w:val="20"/>
                <w:szCs w:val="20"/>
              </w:rPr>
              <w:t xml:space="preserve"> that BR does not make examination of this limit, OR</w:t>
            </w:r>
          </w:p>
          <w:p w14:paraId="1EF826EB" w14:textId="77777777" w:rsidR="00D43945" w:rsidRPr="00E34869" w:rsidRDefault="00D43945" w:rsidP="002D32CF">
            <w:pPr>
              <w:rPr>
                <w:sz w:val="20"/>
                <w:szCs w:val="20"/>
                <w:lang w:eastAsia="zh-CN"/>
              </w:rPr>
            </w:pPr>
            <w:r w:rsidRPr="00E34869">
              <w:rPr>
                <w:sz w:val="20"/>
                <w:szCs w:val="20"/>
              </w:rPr>
              <w:t xml:space="preserve">2. To provide BR with an ITU agreed map of </w:t>
            </w:r>
            <w:r w:rsidRPr="00E34869">
              <w:rPr>
                <w:sz w:val="20"/>
                <w:szCs w:val="20"/>
                <w:lang w:eastAsia="zh-CN"/>
              </w:rPr>
              <w:t>exclusive economic zones or to indicate the link/reference to such map, OR</w:t>
            </w:r>
          </w:p>
          <w:p w14:paraId="30F9D58C" w14:textId="77777777" w:rsidR="00D43945" w:rsidRPr="00E34869" w:rsidRDefault="00D43945" w:rsidP="002D32CF">
            <w:pPr>
              <w:rPr>
                <w:sz w:val="20"/>
                <w:szCs w:val="20"/>
                <w:lang w:eastAsia="zh-CN"/>
              </w:rPr>
            </w:pPr>
            <w:r w:rsidRPr="00E34869">
              <w:rPr>
                <w:sz w:val="20"/>
                <w:szCs w:val="20"/>
                <w:lang w:eastAsia="zh-CN"/>
              </w:rPr>
              <w:t>3. Each administration of No</w:t>
            </w:r>
            <w:r w:rsidRPr="0054291C">
              <w:rPr>
                <w:sz w:val="20"/>
                <w:szCs w:val="20"/>
                <w:lang w:eastAsia="zh-CN"/>
              </w:rPr>
              <w:t xml:space="preserve">. </w:t>
            </w:r>
            <w:r w:rsidRPr="0054291C">
              <w:rPr>
                <w:b/>
                <w:bCs/>
                <w:sz w:val="20"/>
                <w:szCs w:val="20"/>
                <w:lang w:eastAsia="zh-CN"/>
              </w:rPr>
              <w:t>5.441B</w:t>
            </w:r>
            <w:r w:rsidRPr="0054291C">
              <w:rPr>
                <w:sz w:val="20"/>
                <w:szCs w:val="20"/>
                <w:lang w:eastAsia="zh-CN"/>
              </w:rPr>
              <w:t>, for which the pfd limit applies, should</w:t>
            </w:r>
            <w:r w:rsidRPr="00E34869">
              <w:rPr>
                <w:sz w:val="20"/>
                <w:szCs w:val="20"/>
                <w:lang w:eastAsia="zh-CN"/>
              </w:rPr>
              <w:t xml:space="preserve"> provide the </w:t>
            </w:r>
            <w:r w:rsidRPr="00E34869">
              <w:rPr>
                <w:sz w:val="20"/>
                <w:szCs w:val="20"/>
              </w:rPr>
              <w:t xml:space="preserve">map of </w:t>
            </w:r>
            <w:r w:rsidRPr="00E34869">
              <w:rPr>
                <w:sz w:val="20"/>
                <w:szCs w:val="20"/>
                <w:lang w:eastAsia="zh-CN"/>
              </w:rPr>
              <w:t>its exclusive economic zones “</w:t>
            </w:r>
            <w:r w:rsidRPr="00E34869">
              <w:rPr>
                <w:rFonts w:eastAsiaTheme="minorEastAsia"/>
                <w:sz w:val="20"/>
                <w:szCs w:val="20"/>
              </w:rPr>
              <w:t>as officially recognized” by the administration.</w:t>
            </w:r>
          </w:p>
        </w:tc>
      </w:tr>
      <w:tr w:rsidR="00D43945" w:rsidRPr="00E34869" w14:paraId="7176AA3B" w14:textId="77777777" w:rsidTr="002D32CF">
        <w:tc>
          <w:tcPr>
            <w:tcW w:w="636" w:type="dxa"/>
            <w:vMerge w:val="restart"/>
          </w:tcPr>
          <w:p w14:paraId="499E5060" w14:textId="77777777" w:rsidR="00D43945" w:rsidRPr="00E34869" w:rsidRDefault="00D43945" w:rsidP="002D32CF">
            <w:pPr>
              <w:rPr>
                <w:sz w:val="20"/>
                <w:szCs w:val="20"/>
                <w:lang w:eastAsia="zh-CN"/>
              </w:rPr>
            </w:pPr>
            <w:r w:rsidRPr="00E34869">
              <w:rPr>
                <w:sz w:val="20"/>
                <w:szCs w:val="20"/>
                <w:lang w:eastAsia="zh-CN"/>
              </w:rPr>
              <w:t>1.2</w:t>
            </w:r>
          </w:p>
        </w:tc>
        <w:tc>
          <w:tcPr>
            <w:tcW w:w="1116" w:type="dxa"/>
            <w:vMerge w:val="restart"/>
          </w:tcPr>
          <w:p w14:paraId="597E5D7F" w14:textId="77777777" w:rsidR="00D43945" w:rsidRPr="00E34869" w:rsidRDefault="00D43945" w:rsidP="002D32CF">
            <w:pPr>
              <w:rPr>
                <w:iCs/>
                <w:sz w:val="20"/>
                <w:szCs w:val="20"/>
              </w:rPr>
            </w:pPr>
            <w:r w:rsidRPr="00E34869">
              <w:rPr>
                <w:iCs/>
                <w:sz w:val="20"/>
                <w:szCs w:val="20"/>
              </w:rPr>
              <w:t>1/1.2/5.7.3</w:t>
            </w:r>
          </w:p>
          <w:p w14:paraId="5FD5BD2F" w14:textId="77777777" w:rsidR="00D43945" w:rsidRPr="00E34869" w:rsidRDefault="00D43945" w:rsidP="002D32CF">
            <w:pPr>
              <w:rPr>
                <w:sz w:val="20"/>
                <w:szCs w:val="20"/>
                <w:lang w:eastAsia="zh-CN"/>
              </w:rPr>
            </w:pPr>
            <w:r w:rsidRPr="00E34869">
              <w:rPr>
                <w:iCs/>
                <w:sz w:val="20"/>
                <w:szCs w:val="20"/>
              </w:rPr>
              <w:t>Methods 6B and 6C</w:t>
            </w:r>
            <w:r w:rsidRPr="00E34869">
              <w:rPr>
                <w:iCs/>
                <w:sz w:val="20"/>
                <w:szCs w:val="20"/>
              </w:rPr>
              <w:br/>
            </w:r>
          </w:p>
        </w:tc>
        <w:tc>
          <w:tcPr>
            <w:tcW w:w="5353" w:type="dxa"/>
          </w:tcPr>
          <w:p w14:paraId="25C78B11" w14:textId="77777777" w:rsidR="00D43945" w:rsidRPr="00E34869" w:rsidRDefault="00D43945" w:rsidP="002D32CF">
            <w:pPr>
              <w:rPr>
                <w:i/>
                <w:iCs/>
                <w:sz w:val="20"/>
                <w:szCs w:val="20"/>
                <w:lang w:eastAsia="zh-CN"/>
              </w:rPr>
            </w:pPr>
            <w:r w:rsidRPr="00E34869">
              <w:rPr>
                <w:iCs/>
                <w:sz w:val="20"/>
                <w:szCs w:val="20"/>
              </w:rPr>
              <w:t xml:space="preserve">Draft new Resolution </w:t>
            </w:r>
            <w:r w:rsidRPr="00E34869">
              <w:rPr>
                <w:b/>
                <w:bCs/>
                <w:iCs/>
                <w:sz w:val="20"/>
                <w:szCs w:val="20"/>
              </w:rPr>
              <w:t>[C12-10GHz]</w:t>
            </w:r>
            <w:r w:rsidRPr="00E34869">
              <w:rPr>
                <w:iCs/>
                <w:sz w:val="20"/>
                <w:szCs w:val="20"/>
              </w:rPr>
              <w:t>:</w:t>
            </w:r>
          </w:p>
          <w:p w14:paraId="732EE097" w14:textId="77777777" w:rsidR="00D43945" w:rsidRPr="00E34869" w:rsidRDefault="00D43945" w:rsidP="002D32CF">
            <w:pPr>
              <w:rPr>
                <w:sz w:val="20"/>
                <w:szCs w:val="20"/>
                <w:lang w:eastAsia="zh-CN"/>
              </w:rPr>
            </w:pPr>
            <w:r w:rsidRPr="00E34869">
              <w:rPr>
                <w:i/>
                <w:iCs/>
                <w:sz w:val="20"/>
                <w:szCs w:val="20"/>
                <w:lang w:eastAsia="zh-CN"/>
              </w:rPr>
              <w:t>resolves 3bis</w:t>
            </w:r>
            <w:r w:rsidRPr="00E34869">
              <w:rPr>
                <w:sz w:val="20"/>
                <w:szCs w:val="20"/>
                <w:lang w:eastAsia="zh-CN"/>
              </w:rPr>
              <w:t xml:space="preserve">: </w:t>
            </w:r>
            <w:r w:rsidRPr="00E34869">
              <w:rPr>
                <w:sz w:val="20"/>
                <w:szCs w:val="20"/>
              </w:rPr>
              <w:t>that the maximum e.i.r.p. of the IMT base stations antenna shall not exceed 5 dBW for all elevation angles above 34 degrees</w:t>
            </w:r>
          </w:p>
        </w:tc>
        <w:tc>
          <w:tcPr>
            <w:tcW w:w="3330" w:type="dxa"/>
          </w:tcPr>
          <w:p w14:paraId="686B03C1" w14:textId="77777777" w:rsidR="00D43945" w:rsidRPr="00E34869" w:rsidRDefault="00D43945" w:rsidP="002D32CF">
            <w:pPr>
              <w:rPr>
                <w:sz w:val="20"/>
                <w:szCs w:val="20"/>
                <w:lang w:eastAsia="zh-CN"/>
              </w:rPr>
            </w:pPr>
            <w:r w:rsidRPr="00E34869">
              <w:rPr>
                <w:sz w:val="20"/>
                <w:szCs w:val="20"/>
                <w:lang w:eastAsia="zh-CN"/>
              </w:rPr>
              <w:t xml:space="preserve">BR has no means to calculate the limit since </w:t>
            </w:r>
            <w:r w:rsidRPr="00E34869">
              <w:rPr>
                <w:sz w:val="20"/>
                <w:szCs w:val="20"/>
              </w:rPr>
              <w:t xml:space="preserve">the antenna diagram in the vertical plane is not required for notification by RR </w:t>
            </w:r>
            <w:r w:rsidRPr="00E34869">
              <w:rPr>
                <w:rFonts w:cs="Times New Roman"/>
                <w:iCs/>
                <w:sz w:val="20"/>
                <w:szCs w:val="20"/>
              </w:rPr>
              <w:t xml:space="preserve">Appendix </w:t>
            </w:r>
            <w:r w:rsidRPr="00E34869">
              <w:rPr>
                <w:rFonts w:cs="Times New Roman"/>
                <w:b/>
                <w:bCs/>
                <w:iCs/>
                <w:sz w:val="20"/>
                <w:szCs w:val="20"/>
              </w:rPr>
              <w:t>4</w:t>
            </w:r>
            <w:r w:rsidRPr="00E34869">
              <w:rPr>
                <w:rFonts w:cs="Times New Roman"/>
                <w:iCs/>
                <w:sz w:val="20"/>
                <w:szCs w:val="20"/>
              </w:rPr>
              <w:t>.</w:t>
            </w:r>
          </w:p>
        </w:tc>
        <w:tc>
          <w:tcPr>
            <w:tcW w:w="3600" w:type="dxa"/>
          </w:tcPr>
          <w:p w14:paraId="6C7BE98A" w14:textId="77777777" w:rsidR="00D43945" w:rsidRPr="00E34869" w:rsidRDefault="00D43945" w:rsidP="002D32CF">
            <w:pPr>
              <w:rPr>
                <w:sz w:val="20"/>
                <w:szCs w:val="20"/>
              </w:rPr>
            </w:pPr>
            <w:r w:rsidRPr="00E34869">
              <w:rPr>
                <w:sz w:val="20"/>
                <w:szCs w:val="20"/>
              </w:rPr>
              <w:t>1.To make mandatory the notification of the antenna diagram of an IMT base stations in vertical plane (for non-adaptive antenna systems)</w:t>
            </w:r>
            <w:r w:rsidRPr="00E34869">
              <w:rPr>
                <w:rFonts w:cs="Times New Roman"/>
                <w:sz w:val="20"/>
                <w:szCs w:val="20"/>
              </w:rPr>
              <w:t>, OR</w:t>
            </w:r>
          </w:p>
          <w:p w14:paraId="68BB3895" w14:textId="7DC6FDCE" w:rsidR="00D43945" w:rsidRPr="00E34869" w:rsidRDefault="00D43945" w:rsidP="002D32CF">
            <w:pPr>
              <w:rPr>
                <w:sz w:val="20"/>
                <w:szCs w:val="20"/>
                <w:lang w:eastAsia="zh-CN"/>
              </w:rPr>
            </w:pPr>
            <w:r w:rsidRPr="00E34869">
              <w:rPr>
                <w:sz w:val="20"/>
                <w:szCs w:val="20"/>
              </w:rPr>
              <w:t xml:space="preserve">2. </w:t>
            </w:r>
            <w:r w:rsidR="008A7B6B">
              <w:rPr>
                <w:rFonts w:cs="Times New Roman"/>
                <w:iCs/>
                <w:sz w:val="20"/>
                <w:szCs w:val="20"/>
              </w:rPr>
              <w:t>A</w:t>
            </w:r>
            <w:r w:rsidRPr="00E34869">
              <w:rPr>
                <w:rFonts w:cs="Times New Roman"/>
                <w:iCs/>
                <w:sz w:val="20"/>
                <w:szCs w:val="20"/>
              </w:rPr>
              <w:t xml:space="preserve"> commitment of the notifying administration to comply with this limit.</w:t>
            </w:r>
          </w:p>
        </w:tc>
      </w:tr>
      <w:tr w:rsidR="00D43945" w:rsidRPr="00E34869" w14:paraId="3AA11F2A" w14:textId="77777777" w:rsidTr="002D32CF">
        <w:tc>
          <w:tcPr>
            <w:tcW w:w="636" w:type="dxa"/>
            <w:vMerge/>
          </w:tcPr>
          <w:p w14:paraId="706D8E2B" w14:textId="77777777" w:rsidR="00D43945" w:rsidRPr="00E34869" w:rsidRDefault="00D43945" w:rsidP="002D32CF">
            <w:pPr>
              <w:rPr>
                <w:lang w:eastAsia="zh-CN"/>
              </w:rPr>
            </w:pPr>
          </w:p>
        </w:tc>
        <w:tc>
          <w:tcPr>
            <w:tcW w:w="1116" w:type="dxa"/>
            <w:vMerge/>
          </w:tcPr>
          <w:p w14:paraId="35F407D3" w14:textId="77777777" w:rsidR="00D43945" w:rsidRPr="00E34869" w:rsidRDefault="00D43945" w:rsidP="002D32CF">
            <w:pPr>
              <w:rPr>
                <w:lang w:eastAsia="zh-CN"/>
              </w:rPr>
            </w:pPr>
          </w:p>
        </w:tc>
        <w:tc>
          <w:tcPr>
            <w:tcW w:w="5353" w:type="dxa"/>
          </w:tcPr>
          <w:p w14:paraId="6DDCFB66" w14:textId="77777777" w:rsidR="00D43945" w:rsidRPr="00E34869" w:rsidRDefault="00D43945" w:rsidP="002D32CF">
            <w:pPr>
              <w:rPr>
                <w:sz w:val="20"/>
                <w:szCs w:val="20"/>
                <w:lang w:eastAsia="zh-CN"/>
              </w:rPr>
            </w:pPr>
            <w:r w:rsidRPr="00E34869">
              <w:rPr>
                <w:i/>
                <w:iCs/>
                <w:sz w:val="20"/>
                <w:szCs w:val="20"/>
                <w:lang w:eastAsia="zh-CN"/>
              </w:rPr>
              <w:t>resolves 4</w:t>
            </w:r>
            <w:r w:rsidRPr="00E34869">
              <w:rPr>
                <w:sz w:val="20"/>
                <w:szCs w:val="20"/>
                <w:lang w:eastAsia="zh-CN"/>
              </w:rPr>
              <w:t>:</w:t>
            </w:r>
            <w:r w:rsidRPr="00E34869">
              <w:rPr>
                <w:sz w:val="20"/>
                <w:szCs w:val="20"/>
              </w:rPr>
              <w:t xml:space="preserve"> that, for the purposes of protecting the Earth exploration-satellite service (EESS) (passive), the unwanted emission level per IMT base station shall not exceed −43 dBW/TBD in the frequency band 10.6-10.7 GHz</w:t>
            </w:r>
          </w:p>
        </w:tc>
        <w:tc>
          <w:tcPr>
            <w:tcW w:w="3330" w:type="dxa"/>
            <w:vMerge w:val="restart"/>
          </w:tcPr>
          <w:p w14:paraId="51A55869" w14:textId="77777777" w:rsidR="00D43945" w:rsidRPr="00E34869" w:rsidRDefault="00D43945" w:rsidP="002D32CF">
            <w:pPr>
              <w:rPr>
                <w:sz w:val="20"/>
                <w:szCs w:val="20"/>
              </w:rPr>
            </w:pPr>
            <w:r w:rsidRPr="00E34869">
              <w:rPr>
                <w:sz w:val="20"/>
                <w:szCs w:val="20"/>
                <w:lang w:eastAsia="zh-CN"/>
              </w:rPr>
              <w:t xml:space="preserve">BR has no means to examine the </w:t>
            </w:r>
            <w:r w:rsidRPr="00E34869">
              <w:rPr>
                <w:sz w:val="20"/>
                <w:szCs w:val="20"/>
              </w:rPr>
              <w:t xml:space="preserve">unwanted emission </w:t>
            </w:r>
            <w:r w:rsidRPr="00E34869">
              <w:rPr>
                <w:sz w:val="20"/>
                <w:szCs w:val="20"/>
                <w:lang w:eastAsia="zh-CN"/>
              </w:rPr>
              <w:t xml:space="preserve">limit since </w:t>
            </w:r>
            <w:r w:rsidRPr="00E34869">
              <w:rPr>
                <w:sz w:val="20"/>
                <w:szCs w:val="20"/>
              </w:rPr>
              <w:t>the emission level outside the main band is not notified.</w:t>
            </w:r>
          </w:p>
          <w:p w14:paraId="4F3DA4C3" w14:textId="77777777" w:rsidR="00D43945" w:rsidRPr="00E34869" w:rsidRDefault="00D43945" w:rsidP="002D32CF">
            <w:pPr>
              <w:rPr>
                <w:sz w:val="20"/>
                <w:szCs w:val="20"/>
                <w:lang w:eastAsia="zh-CN"/>
              </w:rPr>
            </w:pPr>
          </w:p>
        </w:tc>
        <w:tc>
          <w:tcPr>
            <w:tcW w:w="3600" w:type="dxa"/>
            <w:vMerge w:val="restart"/>
          </w:tcPr>
          <w:p w14:paraId="0AE6A6E8" w14:textId="551EEF2D" w:rsidR="00D43945" w:rsidRPr="00E34869" w:rsidRDefault="00D353FB" w:rsidP="002D32CF">
            <w:pPr>
              <w:rPr>
                <w:rFonts w:cs="Times New Roman"/>
                <w:iCs/>
                <w:sz w:val="20"/>
                <w:szCs w:val="20"/>
              </w:rPr>
            </w:pPr>
            <w:r>
              <w:rPr>
                <w:rFonts w:cs="Times New Roman"/>
                <w:iCs/>
                <w:sz w:val="20"/>
                <w:szCs w:val="20"/>
              </w:rPr>
              <w:t>A</w:t>
            </w:r>
            <w:r w:rsidR="00D43945" w:rsidRPr="00E34869">
              <w:rPr>
                <w:rFonts w:cs="Times New Roman"/>
                <w:iCs/>
                <w:sz w:val="20"/>
                <w:szCs w:val="20"/>
              </w:rPr>
              <w:t xml:space="preserve"> commitment of the notifying administration to comply with this limit.</w:t>
            </w:r>
          </w:p>
          <w:p w14:paraId="4D9DD27F" w14:textId="77777777" w:rsidR="00D43945" w:rsidRPr="00E34869" w:rsidRDefault="00D43945" w:rsidP="002D32CF">
            <w:pPr>
              <w:rPr>
                <w:lang w:eastAsia="zh-CN"/>
              </w:rPr>
            </w:pPr>
          </w:p>
        </w:tc>
      </w:tr>
      <w:tr w:rsidR="00D43945" w:rsidRPr="00E34869" w14:paraId="49426D11" w14:textId="77777777" w:rsidTr="002D32CF">
        <w:trPr>
          <w:trHeight w:val="1860"/>
        </w:trPr>
        <w:tc>
          <w:tcPr>
            <w:tcW w:w="636" w:type="dxa"/>
            <w:vMerge/>
          </w:tcPr>
          <w:p w14:paraId="52355D9B" w14:textId="77777777" w:rsidR="00D43945" w:rsidRPr="00E34869" w:rsidRDefault="00D43945" w:rsidP="002D32CF">
            <w:pPr>
              <w:rPr>
                <w:lang w:eastAsia="zh-CN"/>
              </w:rPr>
            </w:pPr>
          </w:p>
        </w:tc>
        <w:tc>
          <w:tcPr>
            <w:tcW w:w="1116" w:type="dxa"/>
            <w:vMerge/>
          </w:tcPr>
          <w:p w14:paraId="6454EADC" w14:textId="77777777" w:rsidR="00D43945" w:rsidRPr="00E34869" w:rsidRDefault="00D43945" w:rsidP="002D32CF">
            <w:pPr>
              <w:rPr>
                <w:lang w:eastAsia="zh-CN"/>
              </w:rPr>
            </w:pPr>
          </w:p>
        </w:tc>
        <w:tc>
          <w:tcPr>
            <w:tcW w:w="5353" w:type="dxa"/>
          </w:tcPr>
          <w:p w14:paraId="28C2D4D0" w14:textId="77777777" w:rsidR="00D43945" w:rsidRPr="00E34869" w:rsidRDefault="00D43945" w:rsidP="002D32CF">
            <w:pPr>
              <w:rPr>
                <w:sz w:val="20"/>
                <w:szCs w:val="20"/>
                <w:lang w:eastAsia="zh-CN"/>
              </w:rPr>
            </w:pPr>
            <w:r w:rsidRPr="00E34869">
              <w:rPr>
                <w:i/>
                <w:iCs/>
                <w:sz w:val="20"/>
                <w:szCs w:val="20"/>
                <w:lang w:eastAsia="zh-CN"/>
              </w:rPr>
              <w:t>resolves 5</w:t>
            </w:r>
            <w:r w:rsidRPr="00E34869">
              <w:rPr>
                <w:sz w:val="20"/>
                <w:szCs w:val="20"/>
                <w:lang w:eastAsia="zh-CN"/>
              </w:rPr>
              <w:t>:</w:t>
            </w:r>
            <w:r w:rsidRPr="00E34869">
              <w:rPr>
                <w:sz w:val="20"/>
                <w:szCs w:val="20"/>
              </w:rPr>
              <w:t xml:space="preserve"> that, for the purposes of protecting the Earth exploration-satellite service (EESS) (passive), the unwanted emission level per IMT user equipment shall not exceed −41 dBW/TBD in the frequency band 10.6-10.7 GHz</w:t>
            </w:r>
          </w:p>
          <w:p w14:paraId="556AEFB3" w14:textId="77777777" w:rsidR="00D43945" w:rsidRPr="00E34869" w:rsidRDefault="00D43945" w:rsidP="002D32CF">
            <w:pPr>
              <w:rPr>
                <w:sz w:val="20"/>
                <w:szCs w:val="20"/>
                <w:lang w:eastAsia="zh-CN"/>
              </w:rPr>
            </w:pPr>
            <w:r w:rsidRPr="00E34869">
              <w:rPr>
                <w:i/>
                <w:iCs/>
                <w:sz w:val="20"/>
                <w:szCs w:val="20"/>
                <w:lang w:eastAsia="zh-CN"/>
              </w:rPr>
              <w:t>resolves 6</w:t>
            </w:r>
            <w:r w:rsidRPr="00E34869">
              <w:rPr>
                <w:sz w:val="20"/>
                <w:szCs w:val="20"/>
                <w:lang w:eastAsia="zh-CN"/>
              </w:rPr>
              <w:t>:</w:t>
            </w:r>
            <w:r w:rsidRPr="00E34869">
              <w:rPr>
                <w:sz w:val="20"/>
                <w:szCs w:val="20"/>
              </w:rPr>
              <w:t xml:space="preserve"> that the power flux received at such radio astronomy stations in the band 10.68-10.7 GHz by these stations shall not exceed –167 dB(W/m2)</w:t>
            </w:r>
          </w:p>
        </w:tc>
        <w:tc>
          <w:tcPr>
            <w:tcW w:w="3330" w:type="dxa"/>
            <w:vMerge/>
          </w:tcPr>
          <w:p w14:paraId="027A9274" w14:textId="77777777" w:rsidR="00D43945" w:rsidRPr="00E34869" w:rsidRDefault="00D43945" w:rsidP="002D32CF">
            <w:pPr>
              <w:rPr>
                <w:lang w:eastAsia="zh-CN"/>
              </w:rPr>
            </w:pPr>
          </w:p>
        </w:tc>
        <w:tc>
          <w:tcPr>
            <w:tcW w:w="3600" w:type="dxa"/>
            <w:vMerge/>
          </w:tcPr>
          <w:p w14:paraId="33511940" w14:textId="77777777" w:rsidR="00D43945" w:rsidRPr="00E34869" w:rsidRDefault="00D43945" w:rsidP="002D32CF">
            <w:pPr>
              <w:rPr>
                <w:lang w:eastAsia="zh-CN"/>
              </w:rPr>
            </w:pPr>
          </w:p>
        </w:tc>
      </w:tr>
      <w:tr w:rsidR="00D43945" w:rsidRPr="00E34869" w14:paraId="3D8608F9" w14:textId="77777777" w:rsidTr="002D32CF">
        <w:tc>
          <w:tcPr>
            <w:tcW w:w="636" w:type="dxa"/>
            <w:vMerge w:val="restart"/>
          </w:tcPr>
          <w:p w14:paraId="145EF43A" w14:textId="77777777" w:rsidR="00D43945" w:rsidRPr="00E34869" w:rsidRDefault="00D43945" w:rsidP="002D32CF">
            <w:pPr>
              <w:rPr>
                <w:rFonts w:cs="Times New Roman"/>
                <w:sz w:val="20"/>
                <w:szCs w:val="20"/>
                <w:lang w:eastAsia="zh-CN"/>
              </w:rPr>
            </w:pPr>
            <w:r w:rsidRPr="00E34869">
              <w:rPr>
                <w:rFonts w:cs="Times New Roman"/>
                <w:sz w:val="20"/>
                <w:szCs w:val="20"/>
                <w:lang w:eastAsia="zh-CN"/>
              </w:rPr>
              <w:t>1.3</w:t>
            </w:r>
          </w:p>
        </w:tc>
        <w:tc>
          <w:tcPr>
            <w:tcW w:w="1116" w:type="dxa"/>
          </w:tcPr>
          <w:p w14:paraId="19CC20C0" w14:textId="77777777" w:rsidR="00D43945" w:rsidRPr="00E34869" w:rsidRDefault="00D43945" w:rsidP="002D32CF">
            <w:pPr>
              <w:rPr>
                <w:rFonts w:cs="Times New Roman"/>
                <w:iCs/>
                <w:sz w:val="20"/>
                <w:szCs w:val="20"/>
              </w:rPr>
            </w:pPr>
            <w:r w:rsidRPr="00E34869">
              <w:rPr>
                <w:rFonts w:cs="Times New Roman"/>
                <w:iCs/>
                <w:sz w:val="20"/>
                <w:szCs w:val="20"/>
              </w:rPr>
              <w:t>1/1.3/5.3.1 Method C, Alt. C1</w:t>
            </w:r>
          </w:p>
          <w:p w14:paraId="47112AC2" w14:textId="77777777" w:rsidR="00D43945" w:rsidRPr="00E34869" w:rsidRDefault="00D43945" w:rsidP="002D32CF">
            <w:pPr>
              <w:rPr>
                <w:rFonts w:cs="Times New Roman"/>
                <w:sz w:val="20"/>
                <w:szCs w:val="20"/>
              </w:rPr>
            </w:pPr>
            <w:r w:rsidRPr="00E34869">
              <w:rPr>
                <w:rFonts w:cs="Times New Roman"/>
                <w:sz w:val="20"/>
                <w:szCs w:val="20"/>
              </w:rPr>
              <w:t>1/1.3/5.3.2 Method C, Alt. C2</w:t>
            </w:r>
          </w:p>
          <w:p w14:paraId="78A2397A" w14:textId="77777777" w:rsidR="00D43945" w:rsidRPr="00E34869" w:rsidRDefault="00D43945" w:rsidP="002D32CF">
            <w:pPr>
              <w:rPr>
                <w:rFonts w:cs="Times New Roman"/>
                <w:sz w:val="20"/>
                <w:szCs w:val="20"/>
              </w:rPr>
            </w:pPr>
            <w:r w:rsidRPr="00E34869">
              <w:rPr>
                <w:rFonts w:cs="Times New Roman"/>
                <w:sz w:val="20"/>
                <w:szCs w:val="20"/>
              </w:rPr>
              <w:t xml:space="preserve">1/1.3/5.5 Method E1, </w:t>
            </w:r>
          </w:p>
          <w:p w14:paraId="0283F7D5" w14:textId="77777777" w:rsidR="00D43945" w:rsidRPr="00E34869" w:rsidRDefault="00D43945" w:rsidP="002D32CF">
            <w:pPr>
              <w:rPr>
                <w:rFonts w:cs="Times New Roman"/>
                <w:iCs/>
                <w:sz w:val="20"/>
                <w:szCs w:val="20"/>
              </w:rPr>
            </w:pPr>
            <w:r w:rsidRPr="00E34869">
              <w:rPr>
                <w:rFonts w:cs="Times New Roman"/>
                <w:sz w:val="20"/>
                <w:szCs w:val="20"/>
              </w:rPr>
              <w:t>1/1.3/5.6 Method E2</w:t>
            </w:r>
          </w:p>
        </w:tc>
        <w:tc>
          <w:tcPr>
            <w:tcW w:w="5353" w:type="dxa"/>
          </w:tcPr>
          <w:p w14:paraId="1BC75942" w14:textId="77777777" w:rsidR="00D43945" w:rsidRPr="00E34869" w:rsidRDefault="00D43945" w:rsidP="002D32CF">
            <w:pPr>
              <w:pStyle w:val="enumlev1"/>
              <w:tabs>
                <w:tab w:val="clear" w:pos="1134"/>
                <w:tab w:val="left" w:pos="889"/>
              </w:tabs>
              <w:ind w:left="0" w:right="-19" w:firstLine="0"/>
              <w:rPr>
                <w:rFonts w:cs="Times New Roman"/>
                <w:iCs/>
                <w:sz w:val="20"/>
                <w:szCs w:val="20"/>
              </w:rPr>
            </w:pPr>
            <w:r w:rsidRPr="00E34869">
              <w:rPr>
                <w:rFonts w:cs="Times New Roman"/>
                <w:iCs/>
                <w:sz w:val="20"/>
                <w:szCs w:val="20"/>
              </w:rPr>
              <w:t xml:space="preserve">ADD 5.A13-C1, ADD </w:t>
            </w:r>
            <w:r w:rsidRPr="00E34869">
              <w:rPr>
                <w:rFonts w:cs="Times New Roman"/>
                <w:iCs/>
                <w:sz w:val="20"/>
                <w:szCs w:val="20"/>
                <w:lang w:eastAsia="zh-CN"/>
              </w:rPr>
              <w:t>5.B13-C2, ADD 5.X13, ADD 5.Y13-1 and 5.Y13-2</w:t>
            </w:r>
            <w:r>
              <w:rPr>
                <w:rFonts w:cs="Times New Roman"/>
                <w:iCs/>
                <w:sz w:val="20"/>
                <w:szCs w:val="20"/>
                <w:lang w:eastAsia="zh-CN"/>
              </w:rPr>
              <w:t xml:space="preserve">, which establish pfd limits </w:t>
            </w:r>
            <w:r w:rsidRPr="001F5ACE">
              <w:rPr>
                <w:sz w:val="20"/>
                <w:szCs w:val="20"/>
              </w:rPr>
              <w:t>at the border of the territory of any other administration</w:t>
            </w:r>
            <w:r>
              <w:rPr>
                <w:sz w:val="20"/>
                <w:szCs w:val="20"/>
              </w:rPr>
              <w:t>.</w:t>
            </w:r>
          </w:p>
        </w:tc>
        <w:tc>
          <w:tcPr>
            <w:tcW w:w="3330" w:type="dxa"/>
          </w:tcPr>
          <w:p w14:paraId="49B7F944" w14:textId="77777777" w:rsidR="00D43945" w:rsidRPr="00E34869" w:rsidRDefault="00D43945" w:rsidP="002D32CF">
            <w:pPr>
              <w:rPr>
                <w:rFonts w:cs="Times New Roman"/>
                <w:sz w:val="20"/>
                <w:szCs w:val="20"/>
                <w:lang w:eastAsia="zh-CN"/>
              </w:rPr>
            </w:pPr>
            <w:r w:rsidRPr="00E34869">
              <w:rPr>
                <w:rFonts w:cs="Times New Roman"/>
                <w:sz w:val="20"/>
                <w:szCs w:val="20"/>
              </w:rPr>
              <w:t xml:space="preserve">The proposed examples are invoking a pfd limit but there are no calculation methods, specifying </w:t>
            </w:r>
            <w:r w:rsidRPr="00E34869">
              <w:rPr>
                <w:rFonts w:cs="Times New Roman"/>
                <w:sz w:val="20"/>
                <w:szCs w:val="20"/>
                <w:lang w:eastAsia="ja-JP"/>
              </w:rPr>
              <w:t>the propagation model</w:t>
            </w:r>
            <w:r w:rsidRPr="00E34869">
              <w:rPr>
                <w:rFonts w:cs="Times New Roman"/>
                <w:sz w:val="20"/>
                <w:szCs w:val="20"/>
              </w:rPr>
              <w:t xml:space="preserve"> in the CPM Report for checking the conditions of these allocations.</w:t>
            </w:r>
          </w:p>
        </w:tc>
        <w:tc>
          <w:tcPr>
            <w:tcW w:w="3600" w:type="dxa"/>
          </w:tcPr>
          <w:p w14:paraId="31E290B4" w14:textId="77777777" w:rsidR="00D43945" w:rsidRPr="00E34869" w:rsidRDefault="00D43945" w:rsidP="002D32CF">
            <w:pPr>
              <w:rPr>
                <w:rFonts w:cs="Times New Roman"/>
                <w:sz w:val="20"/>
                <w:szCs w:val="20"/>
              </w:rPr>
            </w:pPr>
            <w:r w:rsidRPr="00E34869">
              <w:rPr>
                <w:rFonts w:cs="Times New Roman"/>
                <w:sz w:val="20"/>
                <w:szCs w:val="20"/>
                <w:lang w:eastAsia="zh-CN"/>
              </w:rPr>
              <w:t xml:space="preserve">To provide the </w:t>
            </w:r>
            <w:r w:rsidRPr="00E34869">
              <w:rPr>
                <w:rFonts w:cs="Times New Roman"/>
                <w:sz w:val="20"/>
                <w:szCs w:val="20"/>
              </w:rPr>
              <w:t>calculation methods.</w:t>
            </w:r>
          </w:p>
          <w:p w14:paraId="5BD60B8D" w14:textId="77777777" w:rsidR="00D43945" w:rsidRPr="00E34869" w:rsidRDefault="00D43945" w:rsidP="002D32CF">
            <w:pPr>
              <w:rPr>
                <w:rFonts w:cs="Times New Roman"/>
                <w:iCs/>
                <w:sz w:val="20"/>
                <w:szCs w:val="20"/>
              </w:rPr>
            </w:pPr>
            <w:r w:rsidRPr="00E34869">
              <w:rPr>
                <w:rFonts w:cs="Times New Roman"/>
                <w:sz w:val="20"/>
                <w:szCs w:val="20"/>
              </w:rPr>
              <w:t>Alternatively, a Rule of Procedure needs to be developed after WRC-23 to specify the methods.</w:t>
            </w:r>
          </w:p>
        </w:tc>
      </w:tr>
      <w:tr w:rsidR="00D43945" w:rsidRPr="00E34869" w14:paraId="2F480C6B" w14:textId="77777777" w:rsidTr="002D32CF">
        <w:tc>
          <w:tcPr>
            <w:tcW w:w="636" w:type="dxa"/>
            <w:vMerge/>
            <w:tcBorders>
              <w:bottom w:val="single" w:sz="4" w:space="0" w:color="auto"/>
            </w:tcBorders>
          </w:tcPr>
          <w:p w14:paraId="5A130FBF" w14:textId="77777777" w:rsidR="00D43945" w:rsidRPr="00E34869" w:rsidRDefault="00D43945" w:rsidP="002D32CF">
            <w:pPr>
              <w:rPr>
                <w:sz w:val="20"/>
                <w:lang w:eastAsia="zh-CN"/>
              </w:rPr>
            </w:pPr>
          </w:p>
        </w:tc>
        <w:tc>
          <w:tcPr>
            <w:tcW w:w="1116" w:type="dxa"/>
          </w:tcPr>
          <w:p w14:paraId="285003AE" w14:textId="77777777" w:rsidR="00D43945" w:rsidRPr="00E34869" w:rsidRDefault="00D43945" w:rsidP="002D32CF">
            <w:pPr>
              <w:rPr>
                <w:iCs/>
                <w:sz w:val="20"/>
              </w:rPr>
            </w:pPr>
            <w:bookmarkStart w:id="16" w:name="_Hlk140502479"/>
            <w:r w:rsidRPr="00E34869">
              <w:rPr>
                <w:rFonts w:cs="Times New Roman"/>
                <w:iCs/>
                <w:sz w:val="20"/>
                <w:szCs w:val="20"/>
              </w:rPr>
              <w:t>1/1.3/5.3.4 For Method C, Alternative C4</w:t>
            </w:r>
            <w:bookmarkEnd w:id="16"/>
          </w:p>
        </w:tc>
        <w:tc>
          <w:tcPr>
            <w:tcW w:w="5353" w:type="dxa"/>
          </w:tcPr>
          <w:p w14:paraId="20A9F644" w14:textId="77777777" w:rsidR="00D43945" w:rsidRPr="001F5ACE" w:rsidRDefault="00D43945" w:rsidP="002D32CF">
            <w:pPr>
              <w:pStyle w:val="enumlev1"/>
              <w:tabs>
                <w:tab w:val="clear" w:pos="1134"/>
                <w:tab w:val="left" w:pos="889"/>
              </w:tabs>
              <w:ind w:left="0" w:right="-19" w:firstLine="0"/>
              <w:rPr>
                <w:iCs/>
                <w:sz w:val="20"/>
                <w:szCs w:val="20"/>
              </w:rPr>
            </w:pPr>
            <w:r w:rsidRPr="001F5ACE">
              <w:rPr>
                <w:iCs/>
                <w:sz w:val="20"/>
                <w:szCs w:val="20"/>
              </w:rPr>
              <w:t xml:space="preserve">ADD 5.C13-C4, which allocates the 3 600 – 3 800 MHz band to </w:t>
            </w:r>
            <w:r w:rsidRPr="001F5ACE">
              <w:rPr>
                <w:sz w:val="20"/>
                <w:szCs w:val="20"/>
              </w:rPr>
              <w:t xml:space="preserve">the mobile, except aeronautical mobile, service subject to agreements with the other administrations obtained under No. </w:t>
            </w:r>
            <w:r w:rsidRPr="001F5ACE">
              <w:rPr>
                <w:b/>
                <w:bCs/>
                <w:sz w:val="20"/>
                <w:szCs w:val="20"/>
              </w:rPr>
              <w:t>9.21</w:t>
            </w:r>
            <w:r w:rsidRPr="001F5ACE">
              <w:rPr>
                <w:sz w:val="20"/>
                <w:szCs w:val="20"/>
              </w:rPr>
              <w:t>.</w:t>
            </w:r>
          </w:p>
        </w:tc>
        <w:tc>
          <w:tcPr>
            <w:tcW w:w="3330" w:type="dxa"/>
            <w:tcBorders>
              <w:bottom w:val="single" w:sz="4" w:space="0" w:color="auto"/>
            </w:tcBorders>
          </w:tcPr>
          <w:p w14:paraId="33595031" w14:textId="77777777" w:rsidR="00D43945" w:rsidRPr="0054291C" w:rsidRDefault="00D43945" w:rsidP="002D32CF">
            <w:pPr>
              <w:rPr>
                <w:sz w:val="20"/>
              </w:rPr>
            </w:pPr>
            <w:r w:rsidRPr="0054291C">
              <w:rPr>
                <w:rFonts w:cs="Times New Roman"/>
                <w:sz w:val="20"/>
                <w:szCs w:val="20"/>
              </w:rPr>
              <w:t xml:space="preserve">There are no criteria for </w:t>
            </w:r>
            <w:r w:rsidRPr="0054291C">
              <w:rPr>
                <w:iCs/>
                <w:sz w:val="20"/>
              </w:rPr>
              <w:t xml:space="preserve">identification of affected administrations under the No. </w:t>
            </w:r>
            <w:r w:rsidRPr="0054291C">
              <w:rPr>
                <w:b/>
                <w:bCs/>
                <w:iCs/>
                <w:sz w:val="20"/>
              </w:rPr>
              <w:t>9.21</w:t>
            </w:r>
            <w:r w:rsidRPr="0054291C">
              <w:rPr>
                <w:iCs/>
                <w:sz w:val="20"/>
              </w:rPr>
              <w:t xml:space="preserve"> procedure</w:t>
            </w:r>
            <w:r w:rsidRPr="0054291C">
              <w:rPr>
                <w:rFonts w:cs="Times New Roman"/>
                <w:sz w:val="20"/>
                <w:szCs w:val="20"/>
              </w:rPr>
              <w:t xml:space="preserve">, calculation methods and </w:t>
            </w:r>
            <w:r w:rsidRPr="0054291C">
              <w:rPr>
                <w:rFonts w:cs="Times New Roman"/>
                <w:sz w:val="20"/>
                <w:szCs w:val="20"/>
                <w:lang w:eastAsia="ja-JP"/>
              </w:rPr>
              <w:t>the propagation model</w:t>
            </w:r>
            <w:r w:rsidRPr="0054291C">
              <w:rPr>
                <w:rFonts w:cs="Times New Roman"/>
                <w:sz w:val="20"/>
                <w:szCs w:val="20"/>
              </w:rPr>
              <w:t xml:space="preserve"> in the CPM Report for checking the conditions of this allocation.</w:t>
            </w:r>
          </w:p>
        </w:tc>
        <w:tc>
          <w:tcPr>
            <w:tcW w:w="3600" w:type="dxa"/>
            <w:tcBorders>
              <w:bottom w:val="single" w:sz="4" w:space="0" w:color="auto"/>
            </w:tcBorders>
          </w:tcPr>
          <w:p w14:paraId="04663834" w14:textId="77777777" w:rsidR="00D43945" w:rsidRPr="0054291C" w:rsidRDefault="00D43945" w:rsidP="002D32CF">
            <w:pPr>
              <w:rPr>
                <w:rFonts w:cs="Times New Roman"/>
                <w:sz w:val="20"/>
                <w:szCs w:val="20"/>
              </w:rPr>
            </w:pPr>
            <w:r w:rsidRPr="0054291C">
              <w:rPr>
                <w:rFonts w:cs="Times New Roman"/>
                <w:sz w:val="20"/>
                <w:szCs w:val="20"/>
                <w:lang w:eastAsia="zh-CN"/>
              </w:rPr>
              <w:t xml:space="preserve">To provide the </w:t>
            </w:r>
            <w:r w:rsidRPr="0054291C">
              <w:rPr>
                <w:rFonts w:cs="Times New Roman"/>
                <w:sz w:val="20"/>
                <w:szCs w:val="20"/>
              </w:rPr>
              <w:t>criteria and calculation methods.</w:t>
            </w:r>
          </w:p>
          <w:p w14:paraId="6086D28B" w14:textId="77777777" w:rsidR="00D43945" w:rsidRPr="0054291C" w:rsidRDefault="00D43945" w:rsidP="002D32CF">
            <w:pPr>
              <w:rPr>
                <w:sz w:val="20"/>
                <w:lang w:eastAsia="zh-CN"/>
              </w:rPr>
            </w:pPr>
            <w:r w:rsidRPr="0054291C">
              <w:rPr>
                <w:rFonts w:cs="Times New Roman"/>
                <w:sz w:val="20"/>
                <w:szCs w:val="20"/>
              </w:rPr>
              <w:t>Alternatively, a Rule of Procedure needs to be developed after WRC-23 to specify the criteria and methods.</w:t>
            </w:r>
          </w:p>
        </w:tc>
      </w:tr>
      <w:tr w:rsidR="00D43945" w:rsidRPr="00E34869" w14:paraId="74042E9A" w14:textId="77777777" w:rsidTr="002D32CF">
        <w:trPr>
          <w:trHeight w:val="64"/>
        </w:trPr>
        <w:tc>
          <w:tcPr>
            <w:tcW w:w="636" w:type="dxa"/>
            <w:vMerge w:val="restart"/>
            <w:tcBorders>
              <w:top w:val="single" w:sz="4" w:space="0" w:color="auto"/>
              <w:left w:val="single" w:sz="4" w:space="0" w:color="auto"/>
              <w:bottom w:val="nil"/>
              <w:right w:val="single" w:sz="4" w:space="0" w:color="auto"/>
            </w:tcBorders>
          </w:tcPr>
          <w:p w14:paraId="7A112A40" w14:textId="77777777" w:rsidR="00D43945" w:rsidRPr="00E34869" w:rsidRDefault="00D43945" w:rsidP="002D32CF">
            <w:pPr>
              <w:rPr>
                <w:sz w:val="20"/>
                <w:szCs w:val="20"/>
                <w:lang w:eastAsia="zh-CN"/>
              </w:rPr>
            </w:pPr>
            <w:r w:rsidRPr="00E34869">
              <w:rPr>
                <w:sz w:val="20"/>
                <w:szCs w:val="20"/>
                <w:lang w:eastAsia="zh-CN"/>
              </w:rPr>
              <w:t>1.4</w:t>
            </w:r>
          </w:p>
        </w:tc>
        <w:tc>
          <w:tcPr>
            <w:tcW w:w="1116" w:type="dxa"/>
            <w:vMerge w:val="restart"/>
            <w:tcBorders>
              <w:left w:val="single" w:sz="4" w:space="0" w:color="auto"/>
            </w:tcBorders>
          </w:tcPr>
          <w:p w14:paraId="7F8EE117" w14:textId="77777777" w:rsidR="00D43945" w:rsidRPr="00E34869" w:rsidRDefault="00D43945" w:rsidP="002D32CF">
            <w:pPr>
              <w:rPr>
                <w:sz w:val="20"/>
                <w:szCs w:val="20"/>
                <w:lang w:eastAsia="zh-CN"/>
              </w:rPr>
            </w:pPr>
            <w:r w:rsidRPr="00E34869">
              <w:rPr>
                <w:iCs/>
                <w:sz w:val="20"/>
                <w:szCs w:val="20"/>
              </w:rPr>
              <w:t xml:space="preserve">1/1.4/5.1.5 </w:t>
            </w:r>
            <w:r w:rsidRPr="00E34869">
              <w:rPr>
                <w:rFonts w:cs="Times New Roman"/>
                <w:sz w:val="20"/>
                <w:szCs w:val="20"/>
                <w:lang w:eastAsia="ja-JP"/>
              </w:rPr>
              <w:t>Methods A2, A3, and A4</w:t>
            </w:r>
          </w:p>
          <w:p w14:paraId="275E3BB3" w14:textId="77777777" w:rsidR="00D43945" w:rsidRPr="00E34869" w:rsidRDefault="00D43945" w:rsidP="002D32CF">
            <w:pPr>
              <w:rPr>
                <w:sz w:val="20"/>
                <w:szCs w:val="20"/>
                <w:lang w:eastAsia="zh-CN"/>
              </w:rPr>
            </w:pPr>
          </w:p>
        </w:tc>
        <w:tc>
          <w:tcPr>
            <w:tcW w:w="5353" w:type="dxa"/>
            <w:tcBorders>
              <w:right w:val="single" w:sz="4" w:space="0" w:color="auto"/>
            </w:tcBorders>
          </w:tcPr>
          <w:p w14:paraId="6524FDBE" w14:textId="77777777" w:rsidR="00D43945" w:rsidRPr="00E34869" w:rsidRDefault="00D43945" w:rsidP="002D32CF">
            <w:pPr>
              <w:pStyle w:val="enumlev1"/>
              <w:tabs>
                <w:tab w:val="clear" w:pos="1134"/>
                <w:tab w:val="left" w:pos="889"/>
              </w:tabs>
              <w:ind w:left="0" w:right="-19" w:firstLine="0"/>
              <w:rPr>
                <w:i/>
                <w:sz w:val="20"/>
                <w:szCs w:val="20"/>
              </w:rPr>
            </w:pPr>
            <w:r w:rsidRPr="00E34869">
              <w:rPr>
                <w:iCs/>
                <w:sz w:val="20"/>
                <w:szCs w:val="20"/>
              </w:rPr>
              <w:lastRenderedPageBreak/>
              <w:t xml:space="preserve">Draft new Resolution </w:t>
            </w:r>
            <w:r w:rsidRPr="00E34869">
              <w:rPr>
                <w:rStyle w:val="href"/>
                <w:b/>
                <w:bCs/>
                <w:sz w:val="20"/>
                <w:szCs w:val="20"/>
              </w:rPr>
              <w:t>[A14-HIBS 694-960 MHZ]:</w:t>
            </w:r>
          </w:p>
          <w:p w14:paraId="5727594F" w14:textId="77777777" w:rsidR="00D43945" w:rsidRPr="00E34869" w:rsidRDefault="00D43945" w:rsidP="002D32CF">
            <w:pPr>
              <w:pStyle w:val="enumlev1"/>
              <w:tabs>
                <w:tab w:val="clear" w:pos="1134"/>
                <w:tab w:val="left" w:pos="889"/>
              </w:tabs>
              <w:ind w:left="70" w:right="-19" w:firstLine="0"/>
              <w:rPr>
                <w:rFonts w:eastAsia="Batang"/>
                <w:sz w:val="20"/>
                <w:szCs w:val="20"/>
              </w:rPr>
            </w:pPr>
            <w:r w:rsidRPr="00E34869">
              <w:rPr>
                <w:iCs/>
                <w:sz w:val="20"/>
              </w:rPr>
              <w:t>Example 2 for</w:t>
            </w:r>
            <w:r w:rsidRPr="00E34869">
              <w:rPr>
                <w:i/>
                <w:sz w:val="20"/>
              </w:rPr>
              <w:t xml:space="preserve"> </w:t>
            </w:r>
            <w:r w:rsidRPr="00E34869">
              <w:rPr>
                <w:i/>
                <w:sz w:val="20"/>
                <w:szCs w:val="20"/>
              </w:rPr>
              <w:t>resolve</w:t>
            </w:r>
            <w:r w:rsidRPr="00E34869">
              <w:rPr>
                <w:iCs/>
                <w:sz w:val="20"/>
                <w:szCs w:val="20"/>
              </w:rPr>
              <w:t xml:space="preserve">s 6.3: </w:t>
            </w:r>
            <w:r w:rsidRPr="00E34869">
              <w:rPr>
                <w:sz w:val="20"/>
                <w:szCs w:val="20"/>
              </w:rPr>
              <w:t xml:space="preserve">for the purpose of protecting radio astronomy stations in the frequency band 1 610.6-1 613.8 </w:t>
            </w:r>
            <w:r w:rsidRPr="00E34869">
              <w:rPr>
                <w:sz w:val="20"/>
                <w:szCs w:val="20"/>
              </w:rPr>
              <w:lastRenderedPageBreak/>
              <w:t>MHz, the power flux density (pfd) of HIBS downlinks operating in the frequency band 805.3-806.9 MHz shall not exceed the following value in the frequency band 1 610.6-1 613.8 MHz at any radio astronomy station without agreement of the affected administrations:</w:t>
            </w:r>
            <w:r>
              <w:rPr>
                <w:sz w:val="20"/>
                <w:szCs w:val="20"/>
              </w:rPr>
              <w:t xml:space="preserve"> </w:t>
            </w:r>
            <w:r w:rsidRPr="00E34869">
              <w:rPr>
                <w:rFonts w:eastAsia="Batang"/>
                <w:sz w:val="20"/>
                <w:szCs w:val="20"/>
              </w:rPr>
              <w:t>−194 dB(W/(m</w:t>
            </w:r>
            <w:r w:rsidRPr="00E34869">
              <w:rPr>
                <w:rFonts w:eastAsia="Batang"/>
                <w:sz w:val="20"/>
                <w:szCs w:val="20"/>
                <w:vertAlign w:val="superscript"/>
              </w:rPr>
              <w:t>2</w:t>
            </w:r>
            <w:r w:rsidRPr="00E34869">
              <w:rPr>
                <w:rFonts w:eastAsia="Batang"/>
                <w:sz w:val="20"/>
                <w:szCs w:val="20"/>
              </w:rPr>
              <w:t> · 20 kHz)</w:t>
            </w:r>
          </w:p>
        </w:tc>
        <w:tc>
          <w:tcPr>
            <w:tcW w:w="3330" w:type="dxa"/>
            <w:tcBorders>
              <w:top w:val="single" w:sz="4" w:space="0" w:color="auto"/>
              <w:left w:val="single" w:sz="4" w:space="0" w:color="auto"/>
              <w:bottom w:val="single" w:sz="4" w:space="0" w:color="auto"/>
              <w:right w:val="single" w:sz="4" w:space="0" w:color="auto"/>
            </w:tcBorders>
          </w:tcPr>
          <w:p w14:paraId="1B9A0C22" w14:textId="77777777" w:rsidR="00D43945" w:rsidRPr="0054291C" w:rsidRDefault="00D43945" w:rsidP="002D32CF">
            <w:pPr>
              <w:rPr>
                <w:lang w:eastAsia="zh-CN"/>
              </w:rPr>
            </w:pPr>
            <w:r w:rsidRPr="0054291C">
              <w:rPr>
                <w:sz w:val="20"/>
                <w:szCs w:val="20"/>
                <w:lang w:eastAsia="zh-CN"/>
              </w:rPr>
              <w:lastRenderedPageBreak/>
              <w:t xml:space="preserve">BR has no means to examine the </w:t>
            </w:r>
            <w:r w:rsidRPr="0054291C">
              <w:rPr>
                <w:sz w:val="20"/>
                <w:szCs w:val="20"/>
              </w:rPr>
              <w:t xml:space="preserve">unwanted emission </w:t>
            </w:r>
            <w:r w:rsidRPr="0054291C">
              <w:rPr>
                <w:sz w:val="20"/>
                <w:szCs w:val="20"/>
                <w:lang w:eastAsia="zh-CN"/>
              </w:rPr>
              <w:t xml:space="preserve">limit since </w:t>
            </w:r>
            <w:r w:rsidRPr="0054291C">
              <w:rPr>
                <w:sz w:val="20"/>
                <w:szCs w:val="20"/>
              </w:rPr>
              <w:t>the emission level outside the main band is not notified</w:t>
            </w:r>
          </w:p>
        </w:tc>
        <w:tc>
          <w:tcPr>
            <w:tcW w:w="3600" w:type="dxa"/>
            <w:tcBorders>
              <w:top w:val="single" w:sz="4" w:space="0" w:color="auto"/>
              <w:left w:val="single" w:sz="4" w:space="0" w:color="auto"/>
              <w:bottom w:val="single" w:sz="4" w:space="0" w:color="auto"/>
              <w:right w:val="single" w:sz="4" w:space="0" w:color="auto"/>
            </w:tcBorders>
          </w:tcPr>
          <w:p w14:paraId="7FD0456C" w14:textId="46C7DA30" w:rsidR="00D43945" w:rsidRPr="0054291C" w:rsidRDefault="00D2212B" w:rsidP="002D32CF">
            <w:pPr>
              <w:rPr>
                <w:lang w:eastAsia="zh-CN"/>
              </w:rPr>
            </w:pPr>
            <w:r>
              <w:rPr>
                <w:rFonts w:cs="Times New Roman"/>
                <w:iCs/>
                <w:sz w:val="20"/>
                <w:szCs w:val="20"/>
              </w:rPr>
              <w:t>A</w:t>
            </w:r>
            <w:r w:rsidR="00D43945" w:rsidRPr="0054291C">
              <w:rPr>
                <w:rFonts w:cs="Times New Roman"/>
                <w:iCs/>
                <w:sz w:val="20"/>
                <w:szCs w:val="20"/>
              </w:rPr>
              <w:t xml:space="preserve"> commitment of the notifying administration to comply with this limit</w:t>
            </w:r>
          </w:p>
        </w:tc>
      </w:tr>
      <w:tr w:rsidR="00D43945" w:rsidRPr="00E34869" w14:paraId="7058C4EF" w14:textId="77777777" w:rsidTr="002D32CF">
        <w:tc>
          <w:tcPr>
            <w:tcW w:w="636" w:type="dxa"/>
            <w:vMerge/>
            <w:tcBorders>
              <w:top w:val="nil"/>
              <w:left w:val="single" w:sz="4" w:space="0" w:color="auto"/>
              <w:bottom w:val="nil"/>
              <w:right w:val="single" w:sz="4" w:space="0" w:color="auto"/>
            </w:tcBorders>
          </w:tcPr>
          <w:p w14:paraId="5F7CB936" w14:textId="77777777" w:rsidR="00D43945" w:rsidRPr="00E34869" w:rsidRDefault="00D43945" w:rsidP="002D32CF">
            <w:pPr>
              <w:rPr>
                <w:lang w:eastAsia="zh-CN"/>
              </w:rPr>
            </w:pPr>
          </w:p>
        </w:tc>
        <w:tc>
          <w:tcPr>
            <w:tcW w:w="1116" w:type="dxa"/>
            <w:vMerge/>
            <w:tcBorders>
              <w:left w:val="single" w:sz="4" w:space="0" w:color="auto"/>
            </w:tcBorders>
          </w:tcPr>
          <w:p w14:paraId="4EDA42C7" w14:textId="77777777" w:rsidR="00D43945" w:rsidRPr="00E34869" w:rsidRDefault="00D43945" w:rsidP="002D32CF">
            <w:pPr>
              <w:rPr>
                <w:iCs/>
                <w:sz w:val="20"/>
              </w:rPr>
            </w:pPr>
          </w:p>
        </w:tc>
        <w:tc>
          <w:tcPr>
            <w:tcW w:w="5353" w:type="dxa"/>
            <w:tcBorders>
              <w:right w:val="single" w:sz="4" w:space="0" w:color="auto"/>
            </w:tcBorders>
          </w:tcPr>
          <w:p w14:paraId="2640B74B" w14:textId="77777777" w:rsidR="00D43945" w:rsidRPr="00E34869" w:rsidRDefault="00D43945" w:rsidP="002D32CF">
            <w:pPr>
              <w:rPr>
                <w:rFonts w:cs="Times New Roman"/>
                <w:sz w:val="20"/>
              </w:rPr>
            </w:pPr>
            <w:r w:rsidRPr="00E34869">
              <w:rPr>
                <w:iCs/>
                <w:sz w:val="20"/>
                <w:szCs w:val="20"/>
              </w:rPr>
              <w:t>Draft new Resolution</w:t>
            </w:r>
            <w:r w:rsidRPr="00E34869">
              <w:rPr>
                <w:sz w:val="20"/>
                <w:szCs w:val="20"/>
                <w:lang w:eastAsia="ja-JP"/>
              </w:rPr>
              <w:t xml:space="preserve"> </w:t>
            </w:r>
            <w:r w:rsidRPr="00E34869">
              <w:rPr>
                <w:b/>
                <w:bCs/>
                <w:sz w:val="20"/>
                <w:szCs w:val="20"/>
                <w:lang w:eastAsia="ja-JP"/>
              </w:rPr>
              <w:t>[A14-HIBS 694-960 MHZ]</w:t>
            </w:r>
            <w:r w:rsidRPr="00E34869">
              <w:rPr>
                <w:b/>
                <w:bCs/>
                <w:iCs/>
                <w:sz w:val="20"/>
                <w:szCs w:val="20"/>
              </w:rPr>
              <w:t xml:space="preserve"> (WRC-23)</w:t>
            </w:r>
            <w:r w:rsidRPr="00E34869">
              <w:rPr>
                <w:iCs/>
                <w:sz w:val="20"/>
                <w:szCs w:val="20"/>
              </w:rPr>
              <w:t xml:space="preserve">: </w:t>
            </w:r>
            <w:r w:rsidRPr="00E34869">
              <w:rPr>
                <w:rFonts w:cs="Times New Roman"/>
                <w:sz w:val="20"/>
                <w:lang w:eastAsia="ja-JP"/>
              </w:rPr>
              <w:t xml:space="preserve">Example 3 for </w:t>
            </w:r>
            <w:r w:rsidRPr="00E34869">
              <w:rPr>
                <w:rFonts w:cs="Times New Roman"/>
                <w:sz w:val="20"/>
              </w:rPr>
              <w:t xml:space="preserve">resolves 3; </w:t>
            </w:r>
            <w:r w:rsidRPr="00E34869">
              <w:rPr>
                <w:iCs/>
                <w:sz w:val="20"/>
              </w:rPr>
              <w:t>E</w:t>
            </w:r>
            <w:r w:rsidRPr="00E34869">
              <w:rPr>
                <w:sz w:val="20"/>
                <w:lang w:eastAsia="ja-JP"/>
              </w:rPr>
              <w:t>xample 1 for</w:t>
            </w:r>
            <w:r w:rsidRPr="00E34869">
              <w:rPr>
                <w:i/>
                <w:sz w:val="20"/>
                <w:lang w:eastAsia="ja-JP"/>
              </w:rPr>
              <w:t xml:space="preserve"> </w:t>
            </w:r>
            <w:r w:rsidRPr="00E34869">
              <w:rPr>
                <w:i/>
                <w:sz w:val="20"/>
              </w:rPr>
              <w:t>resolves</w:t>
            </w:r>
            <w:r w:rsidRPr="00E34869">
              <w:rPr>
                <w:iCs/>
                <w:sz w:val="20"/>
              </w:rPr>
              <w:t xml:space="preserve"> 5; Example 2 for resolves 4.4 and 5; </w:t>
            </w:r>
            <w:r w:rsidRPr="00E34869">
              <w:rPr>
                <w:rFonts w:cs="Times New Roman"/>
                <w:sz w:val="20"/>
                <w:lang w:eastAsia="ja-JP"/>
              </w:rPr>
              <w:t xml:space="preserve">Example </w:t>
            </w:r>
            <w:r w:rsidRPr="00E34869">
              <w:rPr>
                <w:rFonts w:cs="Times New Roman"/>
                <w:sz w:val="20"/>
                <w:lang w:eastAsia="ko-KR"/>
              </w:rPr>
              <w:t>1</w:t>
            </w:r>
            <w:r w:rsidRPr="00E34869">
              <w:rPr>
                <w:rFonts w:cs="Times New Roman"/>
                <w:sz w:val="20"/>
                <w:lang w:eastAsia="ja-JP"/>
              </w:rPr>
              <w:t xml:space="preserve"> for </w:t>
            </w:r>
            <w:r w:rsidRPr="00E34869">
              <w:rPr>
                <w:rFonts w:cs="Times New Roman"/>
                <w:sz w:val="20"/>
              </w:rPr>
              <w:t>resolves 6.1; Example 2 for resolves 6.1 and 6.2; Example 3 for resolves 6.1.</w:t>
            </w:r>
          </w:p>
        </w:tc>
        <w:tc>
          <w:tcPr>
            <w:tcW w:w="3330" w:type="dxa"/>
            <w:tcBorders>
              <w:top w:val="single" w:sz="4" w:space="0" w:color="auto"/>
              <w:left w:val="single" w:sz="4" w:space="0" w:color="auto"/>
              <w:bottom w:val="single" w:sz="4" w:space="0" w:color="auto"/>
              <w:right w:val="single" w:sz="4" w:space="0" w:color="auto"/>
            </w:tcBorders>
          </w:tcPr>
          <w:p w14:paraId="1BC47A69" w14:textId="77777777" w:rsidR="00D43945" w:rsidRDefault="00D43945" w:rsidP="002D32CF">
            <w:pPr>
              <w:rPr>
                <w:sz w:val="20"/>
                <w:szCs w:val="20"/>
                <w:lang w:eastAsia="ja-JP"/>
              </w:rPr>
            </w:pPr>
          </w:p>
          <w:p w14:paraId="5B98D088" w14:textId="77777777" w:rsidR="00D43945" w:rsidRDefault="00D43945" w:rsidP="002D32CF">
            <w:pPr>
              <w:rPr>
                <w:sz w:val="20"/>
                <w:szCs w:val="20"/>
                <w:lang w:eastAsia="ja-JP"/>
              </w:rPr>
            </w:pPr>
          </w:p>
          <w:p w14:paraId="1084C8B3" w14:textId="77777777" w:rsidR="00D43945" w:rsidRPr="00E34869" w:rsidRDefault="00D43945" w:rsidP="002D32CF">
            <w:pPr>
              <w:rPr>
                <w:sz w:val="20"/>
                <w:lang w:eastAsia="zh-CN"/>
              </w:rPr>
            </w:pPr>
          </w:p>
        </w:tc>
        <w:tc>
          <w:tcPr>
            <w:tcW w:w="3600" w:type="dxa"/>
            <w:tcBorders>
              <w:top w:val="single" w:sz="4" w:space="0" w:color="auto"/>
              <w:left w:val="single" w:sz="4" w:space="0" w:color="auto"/>
              <w:bottom w:val="single" w:sz="4" w:space="0" w:color="auto"/>
              <w:right w:val="single" w:sz="4" w:space="0" w:color="auto"/>
            </w:tcBorders>
          </w:tcPr>
          <w:p w14:paraId="511445F4" w14:textId="77777777" w:rsidR="00D43945" w:rsidRDefault="00D43945" w:rsidP="002D32CF">
            <w:pPr>
              <w:rPr>
                <w:sz w:val="20"/>
                <w:szCs w:val="20"/>
                <w:lang w:eastAsia="zh-CN"/>
              </w:rPr>
            </w:pPr>
          </w:p>
          <w:p w14:paraId="11CC940F" w14:textId="77777777" w:rsidR="00D43945" w:rsidRPr="00E34869" w:rsidRDefault="00D43945" w:rsidP="002D32CF">
            <w:pPr>
              <w:rPr>
                <w:iCs/>
                <w:sz w:val="20"/>
              </w:rPr>
            </w:pPr>
            <w:r w:rsidRPr="00E34869">
              <w:rPr>
                <w:sz w:val="20"/>
                <w:szCs w:val="20"/>
              </w:rPr>
              <w:t xml:space="preserve"> </w:t>
            </w:r>
          </w:p>
        </w:tc>
      </w:tr>
      <w:tr w:rsidR="00D43945" w:rsidRPr="00E34869" w14:paraId="6C8C8331" w14:textId="77777777" w:rsidTr="002D32CF">
        <w:tc>
          <w:tcPr>
            <w:tcW w:w="636" w:type="dxa"/>
            <w:vMerge/>
            <w:tcBorders>
              <w:top w:val="nil"/>
              <w:left w:val="single" w:sz="4" w:space="0" w:color="auto"/>
              <w:bottom w:val="nil"/>
              <w:right w:val="single" w:sz="4" w:space="0" w:color="auto"/>
            </w:tcBorders>
          </w:tcPr>
          <w:p w14:paraId="1887FB97" w14:textId="77777777" w:rsidR="00D43945" w:rsidRPr="00E34869" w:rsidRDefault="00D43945" w:rsidP="002D32CF">
            <w:pPr>
              <w:rPr>
                <w:lang w:eastAsia="zh-CN"/>
              </w:rPr>
            </w:pPr>
          </w:p>
        </w:tc>
        <w:tc>
          <w:tcPr>
            <w:tcW w:w="1116" w:type="dxa"/>
            <w:tcBorders>
              <w:left w:val="single" w:sz="4" w:space="0" w:color="auto"/>
            </w:tcBorders>
          </w:tcPr>
          <w:p w14:paraId="33CB7F96" w14:textId="77777777" w:rsidR="00D43945" w:rsidRPr="00E34869" w:rsidRDefault="00D43945" w:rsidP="002D32CF">
            <w:pPr>
              <w:rPr>
                <w:iCs/>
                <w:sz w:val="20"/>
                <w:szCs w:val="20"/>
              </w:rPr>
            </w:pPr>
            <w:r w:rsidRPr="00E34869">
              <w:rPr>
                <w:iCs/>
                <w:sz w:val="20"/>
                <w:szCs w:val="20"/>
              </w:rPr>
              <w:t>1/1.4/5.2.5</w:t>
            </w:r>
            <w:r w:rsidRPr="00E34869">
              <w:rPr>
                <w:rFonts w:cs="Times New Roman"/>
                <w:sz w:val="20"/>
                <w:szCs w:val="20"/>
              </w:rPr>
              <w:t xml:space="preserve"> Methods B2, B3 and B4</w:t>
            </w:r>
            <w:r w:rsidRPr="00E34869">
              <w:rPr>
                <w:iCs/>
                <w:sz w:val="20"/>
                <w:szCs w:val="20"/>
              </w:rPr>
              <w:t xml:space="preserve"> </w:t>
            </w:r>
          </w:p>
          <w:p w14:paraId="20EA6C05" w14:textId="77777777" w:rsidR="00D43945" w:rsidRPr="00E34869" w:rsidRDefault="00D43945" w:rsidP="002D32CF">
            <w:pPr>
              <w:rPr>
                <w:iCs/>
                <w:sz w:val="20"/>
                <w:szCs w:val="20"/>
              </w:rPr>
            </w:pPr>
            <w:r w:rsidRPr="00E34869">
              <w:rPr>
                <w:iCs/>
                <w:sz w:val="20"/>
                <w:szCs w:val="20"/>
              </w:rPr>
              <w:t>and</w:t>
            </w:r>
          </w:p>
          <w:p w14:paraId="5C3EBD14" w14:textId="77777777" w:rsidR="00D43945" w:rsidRPr="00E34869" w:rsidRDefault="00D43945" w:rsidP="002D32CF">
            <w:pPr>
              <w:rPr>
                <w:iCs/>
                <w:sz w:val="20"/>
              </w:rPr>
            </w:pPr>
            <w:r w:rsidRPr="00E34869">
              <w:rPr>
                <w:iCs/>
                <w:sz w:val="20"/>
                <w:szCs w:val="20"/>
              </w:rPr>
              <w:t xml:space="preserve">1/1.4/5.3.4 </w:t>
            </w:r>
            <w:r w:rsidRPr="00E34869">
              <w:rPr>
                <w:rFonts w:cs="Times New Roman"/>
                <w:sz w:val="20"/>
                <w:szCs w:val="20"/>
              </w:rPr>
              <w:t>Method C2 and C3</w:t>
            </w:r>
          </w:p>
        </w:tc>
        <w:tc>
          <w:tcPr>
            <w:tcW w:w="5353" w:type="dxa"/>
          </w:tcPr>
          <w:p w14:paraId="6DE88A1F" w14:textId="77777777" w:rsidR="00D43945" w:rsidRPr="00E34869" w:rsidRDefault="00D43945" w:rsidP="002D32CF">
            <w:pPr>
              <w:rPr>
                <w:rFonts w:cs="Times New Roman"/>
                <w:sz w:val="20"/>
                <w:lang w:eastAsia="ko-KR"/>
              </w:rPr>
            </w:pPr>
            <w:r w:rsidRPr="00E34869">
              <w:rPr>
                <w:iCs/>
                <w:sz w:val="20"/>
                <w:szCs w:val="20"/>
              </w:rPr>
              <w:t xml:space="preserve">Resolution </w:t>
            </w:r>
            <w:r w:rsidRPr="00E34869">
              <w:rPr>
                <w:b/>
                <w:bCs/>
                <w:iCs/>
                <w:sz w:val="20"/>
                <w:szCs w:val="20"/>
              </w:rPr>
              <w:t>221 (REV.WRC-23)</w:t>
            </w:r>
            <w:r w:rsidRPr="00E34869">
              <w:rPr>
                <w:iCs/>
                <w:sz w:val="20"/>
                <w:szCs w:val="20"/>
              </w:rPr>
              <w:t xml:space="preserve">: </w:t>
            </w:r>
            <w:r w:rsidRPr="00E34869">
              <w:rPr>
                <w:sz w:val="20"/>
                <w:lang w:eastAsia="ko-KR"/>
              </w:rPr>
              <w:t xml:space="preserve">Example for </w:t>
            </w:r>
            <w:r w:rsidRPr="00E34869">
              <w:rPr>
                <w:i/>
                <w:iCs/>
                <w:sz w:val="20"/>
                <w:lang w:eastAsia="ko-KR"/>
              </w:rPr>
              <w:t xml:space="preserve">resolves </w:t>
            </w:r>
            <w:r w:rsidRPr="00E34869">
              <w:rPr>
                <w:sz w:val="20"/>
                <w:lang w:eastAsia="ko-KR"/>
              </w:rPr>
              <w:t xml:space="preserve">1.1; </w:t>
            </w:r>
            <w:r w:rsidRPr="00E34869">
              <w:rPr>
                <w:rFonts w:cs="Times New Roman"/>
                <w:sz w:val="20"/>
                <w:lang w:eastAsia="ja-JP"/>
              </w:rPr>
              <w:t xml:space="preserve">Examples </w:t>
            </w:r>
            <w:r w:rsidRPr="00E34869">
              <w:rPr>
                <w:rFonts w:cs="Times New Roman"/>
                <w:sz w:val="20"/>
                <w:lang w:eastAsia="ko-KR"/>
              </w:rPr>
              <w:t xml:space="preserve">1 and 3 for: resolves 1.2 and 1.3; </w:t>
            </w:r>
            <w:r w:rsidRPr="00E34869">
              <w:rPr>
                <w:rFonts w:cs="Times New Roman"/>
                <w:sz w:val="20"/>
                <w:lang w:eastAsia="ja-JP"/>
              </w:rPr>
              <w:t xml:space="preserve">Example </w:t>
            </w:r>
            <w:r w:rsidRPr="00E34869">
              <w:rPr>
                <w:rFonts w:cs="Times New Roman"/>
                <w:sz w:val="20"/>
                <w:lang w:eastAsia="ko-KR"/>
              </w:rPr>
              <w:t xml:space="preserve">2 for resolves 1.2; and </w:t>
            </w:r>
            <w:r w:rsidRPr="00E34869">
              <w:rPr>
                <w:rFonts w:cs="Times New Roman"/>
                <w:sz w:val="20"/>
                <w:lang w:eastAsia="ja-JP"/>
              </w:rPr>
              <w:t>Examples</w:t>
            </w:r>
            <w:r w:rsidRPr="00E34869">
              <w:rPr>
                <w:rFonts w:cs="Times New Roman"/>
                <w:sz w:val="20"/>
                <w:lang w:eastAsia="ko-KR"/>
              </w:rPr>
              <w:t xml:space="preserve"> 1, 2 and 3 in resolves 1.6.</w:t>
            </w:r>
          </w:p>
          <w:p w14:paraId="0D07A9A5" w14:textId="77777777" w:rsidR="00D43945" w:rsidRPr="00E34869" w:rsidRDefault="00D43945" w:rsidP="002D32CF">
            <w:pPr>
              <w:rPr>
                <w:i/>
                <w:sz w:val="20"/>
              </w:rPr>
            </w:pPr>
          </w:p>
        </w:tc>
        <w:tc>
          <w:tcPr>
            <w:tcW w:w="3330" w:type="dxa"/>
            <w:tcBorders>
              <w:top w:val="single" w:sz="4" w:space="0" w:color="auto"/>
            </w:tcBorders>
          </w:tcPr>
          <w:p w14:paraId="7A03E572" w14:textId="77777777" w:rsidR="00D43945" w:rsidRPr="00E34869" w:rsidRDefault="00D43945" w:rsidP="002D32CF">
            <w:pPr>
              <w:rPr>
                <w:sz w:val="20"/>
                <w:lang w:eastAsia="zh-CN"/>
              </w:rPr>
            </w:pPr>
            <w:r w:rsidRPr="00E34869">
              <w:rPr>
                <w:sz w:val="20"/>
                <w:szCs w:val="20"/>
                <w:lang w:eastAsia="ja-JP"/>
              </w:rPr>
              <w:t>The proposed examples are invoking a pfd limit but there</w:t>
            </w:r>
            <w:r w:rsidRPr="00E34869">
              <w:rPr>
                <w:sz w:val="20"/>
                <w:szCs w:val="20"/>
              </w:rPr>
              <w:t xml:space="preserve"> are no calculation methods, specifying </w:t>
            </w:r>
            <w:r w:rsidRPr="00E34869">
              <w:rPr>
                <w:sz w:val="20"/>
                <w:szCs w:val="20"/>
                <w:lang w:eastAsia="ja-JP"/>
              </w:rPr>
              <w:t>the propagation model, i.e., percentage of time and locations, etc.,</w:t>
            </w:r>
            <w:r w:rsidRPr="00E34869">
              <w:rPr>
                <w:i/>
                <w:iCs/>
                <w:sz w:val="22"/>
                <w:lang w:eastAsia="ja-JP"/>
              </w:rPr>
              <w:t xml:space="preserve"> </w:t>
            </w:r>
            <w:r w:rsidRPr="00E34869">
              <w:rPr>
                <w:sz w:val="20"/>
                <w:szCs w:val="20"/>
              </w:rPr>
              <w:t>specified in the CPM Report for checking the conditions of these resolves.</w:t>
            </w:r>
          </w:p>
        </w:tc>
        <w:tc>
          <w:tcPr>
            <w:tcW w:w="3600" w:type="dxa"/>
            <w:tcBorders>
              <w:top w:val="single" w:sz="4" w:space="0" w:color="auto"/>
            </w:tcBorders>
          </w:tcPr>
          <w:p w14:paraId="028643B3" w14:textId="77777777" w:rsidR="00D43945" w:rsidRPr="00E34869" w:rsidRDefault="00D43945" w:rsidP="002D32CF">
            <w:pPr>
              <w:rPr>
                <w:sz w:val="20"/>
                <w:szCs w:val="20"/>
              </w:rPr>
            </w:pPr>
            <w:r w:rsidRPr="00E34869">
              <w:rPr>
                <w:sz w:val="20"/>
                <w:szCs w:val="20"/>
                <w:lang w:eastAsia="zh-CN"/>
              </w:rPr>
              <w:t xml:space="preserve">To provide the </w:t>
            </w:r>
            <w:r w:rsidRPr="00E34869">
              <w:rPr>
                <w:sz w:val="20"/>
                <w:szCs w:val="20"/>
              </w:rPr>
              <w:t>calculation methods.</w:t>
            </w:r>
          </w:p>
          <w:p w14:paraId="73DFD21C" w14:textId="77777777" w:rsidR="00D43945" w:rsidRPr="00E34869" w:rsidRDefault="00D43945" w:rsidP="002D32CF">
            <w:pPr>
              <w:rPr>
                <w:iCs/>
                <w:sz w:val="20"/>
              </w:rPr>
            </w:pPr>
            <w:r w:rsidRPr="00E34869">
              <w:rPr>
                <w:sz w:val="20"/>
                <w:szCs w:val="20"/>
              </w:rPr>
              <w:t>Alternatively, a Rule of Procedure needs</w:t>
            </w:r>
            <w:r>
              <w:rPr>
                <w:sz w:val="20"/>
                <w:szCs w:val="20"/>
              </w:rPr>
              <w:t xml:space="preserve"> </w:t>
            </w:r>
            <w:r w:rsidRPr="00E34869">
              <w:rPr>
                <w:sz w:val="20"/>
                <w:szCs w:val="20"/>
              </w:rPr>
              <w:t>to be developed after WRC-23 to specify the methods</w:t>
            </w:r>
          </w:p>
        </w:tc>
      </w:tr>
      <w:tr w:rsidR="00D43945" w:rsidRPr="00E34869" w14:paraId="0BAC78E0" w14:textId="77777777" w:rsidTr="002D32CF">
        <w:trPr>
          <w:trHeight w:val="1500"/>
        </w:trPr>
        <w:tc>
          <w:tcPr>
            <w:tcW w:w="636" w:type="dxa"/>
            <w:vMerge/>
            <w:tcBorders>
              <w:top w:val="nil"/>
              <w:left w:val="single" w:sz="4" w:space="0" w:color="auto"/>
              <w:bottom w:val="nil"/>
              <w:right w:val="single" w:sz="4" w:space="0" w:color="auto"/>
            </w:tcBorders>
          </w:tcPr>
          <w:p w14:paraId="6591EBDB" w14:textId="77777777" w:rsidR="00D43945" w:rsidRPr="00E34869" w:rsidRDefault="00D43945" w:rsidP="002D32CF">
            <w:pPr>
              <w:rPr>
                <w:lang w:eastAsia="zh-CN"/>
              </w:rPr>
            </w:pPr>
          </w:p>
        </w:tc>
        <w:tc>
          <w:tcPr>
            <w:tcW w:w="1116" w:type="dxa"/>
            <w:vMerge w:val="restart"/>
            <w:tcBorders>
              <w:left w:val="single" w:sz="4" w:space="0" w:color="auto"/>
            </w:tcBorders>
          </w:tcPr>
          <w:p w14:paraId="2A12108B" w14:textId="77777777" w:rsidR="00D43945" w:rsidRPr="00E34869" w:rsidRDefault="00D43945" w:rsidP="002D32CF">
            <w:pPr>
              <w:rPr>
                <w:iCs/>
                <w:sz w:val="20"/>
              </w:rPr>
            </w:pPr>
            <w:r w:rsidRPr="00E34869">
              <w:rPr>
                <w:iCs/>
                <w:sz w:val="20"/>
                <w:szCs w:val="20"/>
              </w:rPr>
              <w:t xml:space="preserve">1/1.4/5.4.5 </w:t>
            </w:r>
            <w:r w:rsidRPr="00E34869">
              <w:rPr>
                <w:rFonts w:cs="Times New Roman"/>
                <w:sz w:val="20"/>
                <w:szCs w:val="20"/>
                <w:lang w:eastAsia="ko-KR"/>
              </w:rPr>
              <w:t>Methods D2, D3 and D4</w:t>
            </w:r>
          </w:p>
          <w:p w14:paraId="12117220" w14:textId="77777777" w:rsidR="00D43945" w:rsidRPr="00E34869" w:rsidRDefault="00D43945" w:rsidP="002D32CF">
            <w:pPr>
              <w:rPr>
                <w:iCs/>
                <w:sz w:val="20"/>
              </w:rPr>
            </w:pPr>
          </w:p>
        </w:tc>
        <w:tc>
          <w:tcPr>
            <w:tcW w:w="5353" w:type="dxa"/>
          </w:tcPr>
          <w:p w14:paraId="4253EFFF" w14:textId="77777777" w:rsidR="00D43945" w:rsidRPr="00E34869" w:rsidRDefault="00D43945" w:rsidP="002D32CF">
            <w:pPr>
              <w:rPr>
                <w:rFonts w:cs="Times New Roman"/>
                <w:sz w:val="20"/>
                <w:szCs w:val="20"/>
              </w:rPr>
            </w:pPr>
            <w:r w:rsidRPr="00E34869">
              <w:rPr>
                <w:iCs/>
                <w:sz w:val="20"/>
                <w:szCs w:val="20"/>
              </w:rPr>
              <w:t xml:space="preserve">Draft new Resolution </w:t>
            </w:r>
            <w:r w:rsidRPr="00E34869">
              <w:rPr>
                <w:b/>
                <w:bCs/>
                <w:iCs/>
                <w:sz w:val="20"/>
                <w:szCs w:val="20"/>
              </w:rPr>
              <w:t xml:space="preserve">[B14-HIBS 2 500-2 690 MHz]: </w:t>
            </w:r>
            <w:r w:rsidRPr="00E34869">
              <w:rPr>
                <w:rFonts w:cs="Times New Roman"/>
                <w:sz w:val="20"/>
                <w:lang w:eastAsia="ko-KR"/>
              </w:rPr>
              <w:t>Examples 1 and 3 in resolves 1.1 and 1.2;</w:t>
            </w:r>
            <w:r w:rsidRPr="00E34869">
              <w:rPr>
                <w:sz w:val="20"/>
              </w:rPr>
              <w:t xml:space="preserve"> </w:t>
            </w:r>
            <w:r w:rsidRPr="00E34869">
              <w:rPr>
                <w:rFonts w:cs="Times New Roman"/>
                <w:sz w:val="20"/>
                <w:lang w:eastAsia="ja-JP"/>
              </w:rPr>
              <w:t xml:space="preserve">Example </w:t>
            </w:r>
            <w:r w:rsidRPr="00E34869">
              <w:rPr>
                <w:rFonts w:cs="Times New Roman"/>
                <w:sz w:val="20"/>
                <w:lang w:eastAsia="ko-KR"/>
              </w:rPr>
              <w:t>2 in resolves 1.1;</w:t>
            </w:r>
            <w:r w:rsidRPr="00E34869">
              <w:rPr>
                <w:sz w:val="20"/>
              </w:rPr>
              <w:t xml:space="preserve"> </w:t>
            </w:r>
            <w:r w:rsidRPr="00E34869">
              <w:rPr>
                <w:rFonts w:cs="Times New Roman"/>
                <w:sz w:val="20"/>
                <w:lang w:eastAsia="ja-JP"/>
              </w:rPr>
              <w:t>Examples 1 and 2</w:t>
            </w:r>
            <w:r w:rsidRPr="00E34869">
              <w:rPr>
                <w:rFonts w:cs="Times New Roman"/>
                <w:sz w:val="20"/>
                <w:lang w:eastAsia="ko-KR"/>
              </w:rPr>
              <w:t xml:space="preserve"> in resolves 1.3; and</w:t>
            </w:r>
            <w:r w:rsidRPr="00E34869">
              <w:rPr>
                <w:sz w:val="20"/>
              </w:rPr>
              <w:t xml:space="preserve"> </w:t>
            </w:r>
            <w:r w:rsidRPr="00E34869">
              <w:rPr>
                <w:rFonts w:cs="Times New Roman"/>
                <w:sz w:val="20"/>
                <w:lang w:eastAsia="ko-KR"/>
              </w:rPr>
              <w:t>Examples 1 and 2 for resolves 1.4.</w:t>
            </w:r>
          </w:p>
        </w:tc>
        <w:tc>
          <w:tcPr>
            <w:tcW w:w="3330" w:type="dxa"/>
          </w:tcPr>
          <w:p w14:paraId="292AD039" w14:textId="77777777" w:rsidR="00D43945" w:rsidRPr="00E34869" w:rsidRDefault="00D43945" w:rsidP="002D32CF">
            <w:pPr>
              <w:rPr>
                <w:sz w:val="20"/>
                <w:lang w:eastAsia="ja-JP"/>
              </w:rPr>
            </w:pPr>
            <w:r w:rsidRPr="00E34869">
              <w:rPr>
                <w:sz w:val="20"/>
                <w:szCs w:val="20"/>
                <w:lang w:eastAsia="ja-JP"/>
              </w:rPr>
              <w:t xml:space="preserve">The proposed examples are invoking a pfd limit but there </w:t>
            </w:r>
            <w:r w:rsidRPr="00E34869">
              <w:rPr>
                <w:sz w:val="20"/>
                <w:szCs w:val="20"/>
              </w:rPr>
              <w:t xml:space="preserve">are no calculation methods, specifying </w:t>
            </w:r>
            <w:r w:rsidRPr="00E34869">
              <w:rPr>
                <w:sz w:val="20"/>
                <w:szCs w:val="20"/>
                <w:lang w:eastAsia="ja-JP"/>
              </w:rPr>
              <w:t>the propagation model, i.e., percentage of time and locations, etc.,</w:t>
            </w:r>
            <w:r w:rsidRPr="00E34869">
              <w:rPr>
                <w:i/>
                <w:iCs/>
                <w:sz w:val="22"/>
                <w:lang w:eastAsia="ja-JP"/>
              </w:rPr>
              <w:t xml:space="preserve"> </w:t>
            </w:r>
            <w:r w:rsidRPr="00E34869">
              <w:rPr>
                <w:sz w:val="20"/>
                <w:szCs w:val="20"/>
              </w:rPr>
              <w:t>specified in the CPM Report for checking the conditions of these resolves.</w:t>
            </w:r>
          </w:p>
        </w:tc>
        <w:tc>
          <w:tcPr>
            <w:tcW w:w="3600" w:type="dxa"/>
          </w:tcPr>
          <w:p w14:paraId="6A82D23A" w14:textId="77777777" w:rsidR="00D43945" w:rsidRPr="00E34869" w:rsidRDefault="00D43945" w:rsidP="002D32CF">
            <w:pPr>
              <w:rPr>
                <w:sz w:val="20"/>
                <w:szCs w:val="20"/>
              </w:rPr>
            </w:pPr>
            <w:r w:rsidRPr="00E34869">
              <w:rPr>
                <w:sz w:val="20"/>
                <w:szCs w:val="20"/>
                <w:lang w:eastAsia="zh-CN"/>
              </w:rPr>
              <w:t xml:space="preserve">To provide the </w:t>
            </w:r>
            <w:r w:rsidRPr="00E34869">
              <w:rPr>
                <w:sz w:val="20"/>
                <w:szCs w:val="20"/>
              </w:rPr>
              <w:t>calculation methods.</w:t>
            </w:r>
          </w:p>
          <w:p w14:paraId="37C7EBC3" w14:textId="77777777" w:rsidR="00D43945" w:rsidRPr="00E34869" w:rsidRDefault="00D43945" w:rsidP="002D32CF">
            <w:pPr>
              <w:rPr>
                <w:sz w:val="20"/>
                <w:lang w:eastAsia="zh-CN"/>
              </w:rPr>
            </w:pPr>
            <w:r w:rsidRPr="00E34869">
              <w:rPr>
                <w:sz w:val="20"/>
                <w:szCs w:val="20"/>
              </w:rPr>
              <w:t>Alternatively, a Rule of Procedure needs to be developed after WRC-23 to specify the methods</w:t>
            </w:r>
          </w:p>
        </w:tc>
      </w:tr>
      <w:tr w:rsidR="00D43945" w:rsidRPr="00E34869" w14:paraId="31422E66" w14:textId="77777777" w:rsidTr="002D32CF">
        <w:tc>
          <w:tcPr>
            <w:tcW w:w="636" w:type="dxa"/>
            <w:tcBorders>
              <w:top w:val="nil"/>
              <w:left w:val="single" w:sz="4" w:space="0" w:color="auto"/>
              <w:bottom w:val="single" w:sz="4" w:space="0" w:color="auto"/>
              <w:right w:val="single" w:sz="4" w:space="0" w:color="auto"/>
            </w:tcBorders>
          </w:tcPr>
          <w:p w14:paraId="72A5E577" w14:textId="77777777" w:rsidR="00D43945" w:rsidRPr="00E34869" w:rsidRDefault="00D43945" w:rsidP="002D32CF">
            <w:pPr>
              <w:rPr>
                <w:lang w:eastAsia="zh-CN"/>
              </w:rPr>
            </w:pPr>
          </w:p>
        </w:tc>
        <w:tc>
          <w:tcPr>
            <w:tcW w:w="1116" w:type="dxa"/>
            <w:vMerge/>
            <w:tcBorders>
              <w:left w:val="single" w:sz="4" w:space="0" w:color="auto"/>
            </w:tcBorders>
          </w:tcPr>
          <w:p w14:paraId="6160F9FE" w14:textId="77777777" w:rsidR="00D43945" w:rsidRPr="00E34869" w:rsidRDefault="00D43945" w:rsidP="002D32CF">
            <w:pPr>
              <w:rPr>
                <w:iCs/>
                <w:sz w:val="20"/>
              </w:rPr>
            </w:pPr>
          </w:p>
        </w:tc>
        <w:tc>
          <w:tcPr>
            <w:tcW w:w="5353" w:type="dxa"/>
          </w:tcPr>
          <w:p w14:paraId="6063778A" w14:textId="77777777" w:rsidR="00D43945" w:rsidRPr="00E34869" w:rsidRDefault="00D43945" w:rsidP="002D32CF">
            <w:pPr>
              <w:rPr>
                <w:i/>
                <w:sz w:val="20"/>
                <w:szCs w:val="20"/>
              </w:rPr>
            </w:pPr>
            <w:r w:rsidRPr="00E34869">
              <w:rPr>
                <w:iCs/>
                <w:sz w:val="20"/>
                <w:szCs w:val="20"/>
              </w:rPr>
              <w:t xml:space="preserve">Draft new Resolution </w:t>
            </w:r>
            <w:r w:rsidRPr="00E34869">
              <w:rPr>
                <w:b/>
                <w:bCs/>
                <w:iCs/>
                <w:sz w:val="20"/>
                <w:szCs w:val="20"/>
              </w:rPr>
              <w:t>[B14-HIBS 2 500-2 690 MHz]:</w:t>
            </w:r>
          </w:p>
          <w:p w14:paraId="62EDC30C" w14:textId="77777777" w:rsidR="00D43945" w:rsidRPr="00E34869" w:rsidRDefault="00D43945" w:rsidP="002D32CF">
            <w:pPr>
              <w:pStyle w:val="Default"/>
              <w:rPr>
                <w:sz w:val="20"/>
                <w:szCs w:val="20"/>
              </w:rPr>
            </w:pPr>
            <w:r w:rsidRPr="00E34869">
              <w:rPr>
                <w:rFonts w:cs="Times New Roman"/>
                <w:sz w:val="20"/>
                <w:szCs w:val="20"/>
                <w:lang w:eastAsia="ko-KR"/>
              </w:rPr>
              <w:t xml:space="preserve">Resolves 1.5 </w:t>
            </w:r>
            <w:r w:rsidRPr="00E34869">
              <w:rPr>
                <w:sz w:val="20"/>
                <w:szCs w:val="20"/>
              </w:rPr>
              <w:t xml:space="preserve">for the purpose of protecting aeronautical-radionavigation service systems in the territory of other administrations in the frequency band 2 700-2 900 MHz, the power flux-density (pfd) level from HIBS operating in the frequency band 2 500-2 690 MHz produced at the surface of the Earth in the territory of other administrations shall not exceed the following unwanted emissions limit, unless explicit agreement of the affected administration is provided: </w:t>
            </w:r>
          </w:p>
          <w:p w14:paraId="56607C00" w14:textId="77777777" w:rsidR="00D43945" w:rsidRPr="00E34869" w:rsidRDefault="00D43945" w:rsidP="002D32CF">
            <w:pPr>
              <w:pStyle w:val="Default"/>
              <w:rPr>
                <w:sz w:val="20"/>
                <w:szCs w:val="20"/>
              </w:rPr>
            </w:pPr>
            <w:r w:rsidRPr="00E34869">
              <w:rPr>
                <w:sz w:val="20"/>
                <w:szCs w:val="20"/>
              </w:rPr>
              <w:lastRenderedPageBreak/>
              <w:t xml:space="preserve">−156.2 dB(W/(m2 · MHz)) for θ ≤ 7° </w:t>
            </w:r>
          </w:p>
          <w:p w14:paraId="4E81E145" w14:textId="77777777" w:rsidR="00D43945" w:rsidRPr="00E34869" w:rsidRDefault="00D43945" w:rsidP="002D32CF">
            <w:pPr>
              <w:pStyle w:val="Default"/>
              <w:rPr>
                <w:sz w:val="20"/>
                <w:szCs w:val="20"/>
              </w:rPr>
            </w:pPr>
            <w:r w:rsidRPr="00E34869">
              <w:rPr>
                <w:sz w:val="20"/>
                <w:szCs w:val="20"/>
              </w:rPr>
              <w:t xml:space="preserve">−163 + 15 · </w:t>
            </w:r>
            <w:r w:rsidRPr="00E34869">
              <w:rPr>
                <w:i/>
                <w:iCs/>
                <w:sz w:val="20"/>
                <w:szCs w:val="20"/>
              </w:rPr>
              <w:t xml:space="preserve">log10 </w:t>
            </w:r>
            <w:r w:rsidRPr="00E34869">
              <w:rPr>
                <w:sz w:val="20"/>
                <w:szCs w:val="20"/>
              </w:rPr>
              <w:t xml:space="preserve">(θ − 4) dB(W/(m2 · MHz)) for 7° &lt; θ &lt; 30.5° </w:t>
            </w:r>
          </w:p>
          <w:p w14:paraId="67ABE2AA" w14:textId="77777777" w:rsidR="00D43945" w:rsidRPr="00E34869" w:rsidRDefault="00D43945" w:rsidP="002D32CF">
            <w:pPr>
              <w:pStyle w:val="Default"/>
              <w:rPr>
                <w:sz w:val="20"/>
                <w:szCs w:val="20"/>
              </w:rPr>
            </w:pPr>
            <w:r w:rsidRPr="00E34869">
              <w:rPr>
                <w:sz w:val="20"/>
                <w:szCs w:val="20"/>
              </w:rPr>
              <w:t xml:space="preserve">−141 + 2.7 · </w:t>
            </w:r>
            <w:r w:rsidRPr="00E34869">
              <w:rPr>
                <w:i/>
                <w:iCs/>
                <w:sz w:val="20"/>
                <w:szCs w:val="20"/>
              </w:rPr>
              <w:t xml:space="preserve">log10 </w:t>
            </w:r>
            <w:r w:rsidRPr="00E34869">
              <w:rPr>
                <w:sz w:val="20"/>
                <w:szCs w:val="20"/>
              </w:rPr>
              <w:t xml:space="preserve">(θ − 4) dB(W/(m2 · MHz)) for θ = 30.5° </w:t>
            </w:r>
          </w:p>
          <w:p w14:paraId="4823825A" w14:textId="77777777" w:rsidR="00D43945" w:rsidRPr="00E34869" w:rsidRDefault="00D43945" w:rsidP="002D32CF">
            <w:pPr>
              <w:pStyle w:val="Default"/>
              <w:rPr>
                <w:sz w:val="20"/>
                <w:szCs w:val="20"/>
              </w:rPr>
            </w:pPr>
            <w:r w:rsidRPr="00E34869">
              <w:rPr>
                <w:sz w:val="20"/>
                <w:szCs w:val="20"/>
              </w:rPr>
              <w:t xml:space="preserve">−157 + 14 · </w:t>
            </w:r>
            <w:r w:rsidRPr="00E34869">
              <w:rPr>
                <w:i/>
                <w:iCs/>
                <w:sz w:val="20"/>
                <w:szCs w:val="20"/>
              </w:rPr>
              <w:t xml:space="preserve">log10 </w:t>
            </w:r>
            <w:r w:rsidRPr="00E34869">
              <w:rPr>
                <w:sz w:val="20"/>
                <w:szCs w:val="20"/>
              </w:rPr>
              <w:t xml:space="preserve">(θ − 4) dB(W/(m2 · MHz)) for 30.5° &lt; θ ≤ 40.5° </w:t>
            </w:r>
          </w:p>
          <w:p w14:paraId="154C946F" w14:textId="77777777" w:rsidR="00D43945" w:rsidRPr="00E34869" w:rsidRDefault="00D43945" w:rsidP="002D32CF">
            <w:pPr>
              <w:pStyle w:val="Default"/>
              <w:rPr>
                <w:sz w:val="20"/>
                <w:szCs w:val="20"/>
              </w:rPr>
            </w:pPr>
            <w:r w:rsidRPr="00E34869">
              <w:rPr>
                <w:sz w:val="20"/>
                <w:szCs w:val="20"/>
              </w:rPr>
              <w:t xml:space="preserve">−101.5 dB(W/(m2 · MHz)) for θ &gt; 40.5° </w:t>
            </w:r>
          </w:p>
          <w:p w14:paraId="35E722B8" w14:textId="77777777" w:rsidR="00D43945" w:rsidRPr="00E34869" w:rsidRDefault="00D43945" w:rsidP="002D32CF">
            <w:pPr>
              <w:keepNext/>
              <w:rPr>
                <w:sz w:val="20"/>
                <w:szCs w:val="20"/>
              </w:rPr>
            </w:pPr>
            <w:r w:rsidRPr="00E34869">
              <w:rPr>
                <w:sz w:val="20"/>
                <w:szCs w:val="20"/>
              </w:rPr>
              <w:t xml:space="preserve">where θ is the angle of arrival of the incident wave above the horizontal plane, in degrees </w:t>
            </w:r>
          </w:p>
          <w:p w14:paraId="1C14A848" w14:textId="77777777" w:rsidR="00243C8D" w:rsidRDefault="00243C8D" w:rsidP="002D32CF">
            <w:pPr>
              <w:pStyle w:val="Default"/>
              <w:rPr>
                <w:rFonts w:cs="Times New Roman"/>
                <w:sz w:val="20"/>
                <w:szCs w:val="20"/>
                <w:lang w:eastAsia="ko-KR"/>
              </w:rPr>
            </w:pPr>
          </w:p>
          <w:p w14:paraId="4A0260D2" w14:textId="6A641208" w:rsidR="00D43945" w:rsidRPr="00E34869" w:rsidRDefault="00D43945" w:rsidP="002D32CF">
            <w:pPr>
              <w:pStyle w:val="Default"/>
              <w:rPr>
                <w:sz w:val="20"/>
                <w:szCs w:val="20"/>
              </w:rPr>
            </w:pPr>
            <w:r w:rsidRPr="00E34869">
              <w:rPr>
                <w:rFonts w:cs="Times New Roman"/>
                <w:sz w:val="20"/>
                <w:szCs w:val="20"/>
                <w:lang w:eastAsia="ko-KR"/>
              </w:rPr>
              <w:t>Examples 1 and 2 for resolves 1.6</w:t>
            </w:r>
            <w:r w:rsidRPr="00E34869">
              <w:rPr>
                <w:sz w:val="20"/>
                <w:szCs w:val="20"/>
              </w:rPr>
              <w:t xml:space="preserve"> for the purpose of protecting radiolocation service systems in the territory of other administrations, in particular those systems operating in accordance with No. </w:t>
            </w:r>
            <w:r w:rsidRPr="00E34869">
              <w:rPr>
                <w:b/>
                <w:bCs/>
                <w:sz w:val="20"/>
                <w:szCs w:val="20"/>
              </w:rPr>
              <w:t>5.423</w:t>
            </w:r>
            <w:r w:rsidRPr="00E34869">
              <w:rPr>
                <w:sz w:val="20"/>
                <w:szCs w:val="20"/>
              </w:rPr>
              <w:t xml:space="preserve">, in the frequency band 2 700-2 900 MHz, the [agregate ]power flux-density (pfd) level from HIBS operating in the frequency band 2 500-2 690 MHz produced at the surface of the Earth in the territory of other administrations shall not exceed the following unwanted emissions limit, unless explicit agreement of the affected administration is provided: </w:t>
            </w:r>
          </w:p>
          <w:p w14:paraId="58492CBB" w14:textId="77777777" w:rsidR="00D43945" w:rsidRPr="00E34869" w:rsidRDefault="00D43945" w:rsidP="002D32CF">
            <w:pPr>
              <w:pStyle w:val="Default"/>
              <w:rPr>
                <w:sz w:val="20"/>
                <w:szCs w:val="20"/>
              </w:rPr>
            </w:pPr>
            <w:r w:rsidRPr="00E34869">
              <w:rPr>
                <w:sz w:val="20"/>
                <w:szCs w:val="20"/>
              </w:rPr>
              <w:t xml:space="preserve">−165.6 dB(W/(m2 · MHz)) for θ ≤ 37° </w:t>
            </w:r>
          </w:p>
          <w:p w14:paraId="0A45F6FA" w14:textId="77777777" w:rsidR="00D43945" w:rsidRPr="00E34869" w:rsidRDefault="00D43945" w:rsidP="002D32CF">
            <w:pPr>
              <w:pStyle w:val="Default"/>
              <w:rPr>
                <w:sz w:val="20"/>
                <w:szCs w:val="20"/>
              </w:rPr>
            </w:pPr>
            <w:r w:rsidRPr="00E34869">
              <w:rPr>
                <w:sz w:val="20"/>
                <w:szCs w:val="20"/>
              </w:rPr>
              <w:t xml:space="preserve">−165.6 + 5.5 (θ − 37) dB(W/(m2 · MHz)) for 37° &lt; θ &lt; 45° </w:t>
            </w:r>
          </w:p>
          <w:p w14:paraId="39207DA8" w14:textId="77777777" w:rsidR="00D43945" w:rsidRPr="00E34869" w:rsidRDefault="00D43945" w:rsidP="002D32CF">
            <w:pPr>
              <w:pStyle w:val="Default"/>
              <w:rPr>
                <w:sz w:val="20"/>
                <w:szCs w:val="20"/>
              </w:rPr>
            </w:pPr>
            <w:r w:rsidRPr="00E34869">
              <w:rPr>
                <w:sz w:val="20"/>
                <w:szCs w:val="20"/>
              </w:rPr>
              <w:t xml:space="preserve">−121.6 + (θ − 45) / 3 dB(W/(m2 · MHz)) for 45° &lt; θ ≤ 90° </w:t>
            </w:r>
          </w:p>
          <w:p w14:paraId="2E816FA6" w14:textId="77777777" w:rsidR="00D43945" w:rsidRPr="00E34869" w:rsidRDefault="00D43945" w:rsidP="002D32CF">
            <w:pPr>
              <w:pStyle w:val="Default"/>
              <w:rPr>
                <w:sz w:val="20"/>
                <w:szCs w:val="20"/>
              </w:rPr>
            </w:pPr>
            <w:r w:rsidRPr="00E34869">
              <w:rPr>
                <w:sz w:val="20"/>
                <w:szCs w:val="20"/>
              </w:rPr>
              <w:t xml:space="preserve">where θ is the angle of arrival of the incident wave above the horizontal plane, in degrees, </w:t>
            </w:r>
          </w:p>
          <w:p w14:paraId="36A4F013" w14:textId="77777777" w:rsidR="00D43945" w:rsidRPr="00E34869" w:rsidRDefault="00D43945" w:rsidP="002D32CF">
            <w:pPr>
              <w:keepNext/>
              <w:rPr>
                <w:rFonts w:eastAsia="Batang"/>
                <w:sz w:val="20"/>
                <w:szCs w:val="20"/>
              </w:rPr>
            </w:pPr>
            <w:r w:rsidRPr="00E34869">
              <w:rPr>
                <w:iCs/>
                <w:sz w:val="20"/>
                <w:szCs w:val="20"/>
              </w:rPr>
              <w:t>Example 1 for</w:t>
            </w:r>
            <w:r w:rsidRPr="00E34869">
              <w:rPr>
                <w:i/>
                <w:sz w:val="20"/>
                <w:szCs w:val="20"/>
              </w:rPr>
              <w:t xml:space="preserve"> </w:t>
            </w:r>
            <w:r w:rsidRPr="00E34869">
              <w:rPr>
                <w:rFonts w:eastAsia="Batang"/>
                <w:i/>
                <w:iCs/>
                <w:sz w:val="20"/>
                <w:szCs w:val="20"/>
                <w:lang w:eastAsia="ko-KR"/>
              </w:rPr>
              <w:t xml:space="preserve">Resolves </w:t>
            </w:r>
            <w:r w:rsidRPr="00E34869">
              <w:rPr>
                <w:rFonts w:eastAsia="Batang"/>
                <w:sz w:val="20"/>
                <w:szCs w:val="20"/>
                <w:lang w:eastAsia="ko-KR"/>
              </w:rPr>
              <w:t>1.7</w:t>
            </w:r>
            <w:r w:rsidRPr="00E34869">
              <w:rPr>
                <w:rFonts w:eastAsia="Batang"/>
                <w:sz w:val="20"/>
                <w:szCs w:val="20"/>
                <w:lang w:eastAsia="ko-KR"/>
              </w:rPr>
              <w:tab/>
              <w:t>for the purpose of protecting radio astronomy service stations</w:t>
            </w:r>
            <w:r w:rsidRPr="00E34869">
              <w:rPr>
                <w:sz w:val="20"/>
                <w:szCs w:val="20"/>
              </w:rPr>
              <w:t xml:space="preserve"> in the frequency band 2 690-2 700 MHz, the power flux-density (pfd) </w:t>
            </w:r>
            <w:r w:rsidRPr="00E34869">
              <w:rPr>
                <w:sz w:val="20"/>
                <w:szCs w:val="20"/>
                <w:lang w:eastAsia="ja-JP"/>
              </w:rPr>
              <w:t xml:space="preserve">level of HIBS operating </w:t>
            </w:r>
            <w:r w:rsidRPr="00E34869">
              <w:rPr>
                <w:sz w:val="20"/>
                <w:szCs w:val="20"/>
              </w:rPr>
              <w:t xml:space="preserve">in the frequency band 2 500-2 690 MHz </w:t>
            </w:r>
            <w:r w:rsidRPr="00E34869">
              <w:rPr>
                <w:sz w:val="20"/>
                <w:szCs w:val="20"/>
                <w:lang w:eastAsia="ja-JP"/>
              </w:rPr>
              <w:t>produced at any radio astronomy observatory site shall not exceed the following unwanted emissions limit,</w:t>
            </w:r>
            <w:r w:rsidRPr="00E34869">
              <w:rPr>
                <w:color w:val="FF0000"/>
                <w:sz w:val="20"/>
                <w:szCs w:val="20"/>
                <w:lang w:eastAsia="ja-JP"/>
              </w:rPr>
              <w:t xml:space="preserve"> </w:t>
            </w:r>
            <w:r w:rsidRPr="00E34869">
              <w:rPr>
                <w:rFonts w:eastAsia="Batang"/>
                <w:sz w:val="20"/>
                <w:szCs w:val="20"/>
                <w:lang w:eastAsia="ko-KR"/>
              </w:rPr>
              <w:t xml:space="preserve">unless explicit agreement of the affected administration is provided: </w:t>
            </w:r>
            <w:r w:rsidRPr="00E34869">
              <w:rPr>
                <w:rFonts w:eastAsia="Batang"/>
                <w:sz w:val="20"/>
                <w:szCs w:val="20"/>
              </w:rPr>
              <w:t>−177 dB(W/(m</w:t>
            </w:r>
            <w:r w:rsidRPr="00E34869">
              <w:rPr>
                <w:rFonts w:eastAsia="Batang"/>
                <w:sz w:val="20"/>
                <w:szCs w:val="20"/>
                <w:vertAlign w:val="superscript"/>
              </w:rPr>
              <w:t>2</w:t>
            </w:r>
            <w:r w:rsidRPr="00E34869">
              <w:rPr>
                <w:rFonts w:eastAsia="Batang"/>
                <w:sz w:val="20"/>
                <w:szCs w:val="20"/>
              </w:rPr>
              <w:t> · 10 MHz))</w:t>
            </w:r>
          </w:p>
          <w:p w14:paraId="709AC84A" w14:textId="5F8890CB" w:rsidR="00D43945" w:rsidRPr="00E34869" w:rsidRDefault="00D43945" w:rsidP="002D32CF">
            <w:pPr>
              <w:rPr>
                <w:rFonts w:eastAsia="Batang"/>
                <w:sz w:val="20"/>
                <w:szCs w:val="20"/>
                <w:lang w:eastAsia="ko-KR"/>
              </w:rPr>
            </w:pPr>
            <w:r w:rsidRPr="00E34869">
              <w:rPr>
                <w:iCs/>
                <w:sz w:val="20"/>
                <w:szCs w:val="20"/>
              </w:rPr>
              <w:t>Example 2 for</w:t>
            </w:r>
            <w:r w:rsidRPr="00E34869">
              <w:rPr>
                <w:i/>
                <w:sz w:val="20"/>
                <w:szCs w:val="20"/>
              </w:rPr>
              <w:t xml:space="preserve"> </w:t>
            </w:r>
            <w:r w:rsidRPr="00E34869">
              <w:rPr>
                <w:rFonts w:eastAsia="Batang"/>
                <w:i/>
                <w:iCs/>
                <w:sz w:val="20"/>
                <w:szCs w:val="20"/>
                <w:lang w:eastAsia="ko-KR"/>
              </w:rPr>
              <w:t xml:space="preserve">Resolves </w:t>
            </w:r>
            <w:r w:rsidRPr="00E34869">
              <w:rPr>
                <w:rFonts w:eastAsia="Batang"/>
                <w:sz w:val="20"/>
                <w:szCs w:val="20"/>
                <w:lang w:eastAsia="ko-KR"/>
              </w:rPr>
              <w:t xml:space="preserve">1.7 </w:t>
            </w:r>
            <w:r w:rsidRPr="00E34869">
              <w:rPr>
                <w:sz w:val="20"/>
                <w:szCs w:val="20"/>
              </w:rPr>
              <w:t xml:space="preserve">that, to protect radio astronomy stations operating in the frequency band 2 690-2 700 MHz from unwanted emissions of HIBS operating in the frequency bands 2 500-2 690 MHz, the separation distance between the radio </w:t>
            </w:r>
            <w:r w:rsidRPr="00E34869">
              <w:rPr>
                <w:sz w:val="20"/>
                <w:szCs w:val="20"/>
              </w:rPr>
              <w:lastRenderedPageBreak/>
              <w:t xml:space="preserve">astronomy station and the nadir of a HIBS platform shall exceed the radio horizon for the specific operating altitude of the HIBS platform (see also No. </w:t>
            </w:r>
            <w:r w:rsidRPr="00E34869">
              <w:rPr>
                <w:b/>
                <w:bCs/>
                <w:sz w:val="20"/>
                <w:szCs w:val="20"/>
              </w:rPr>
              <w:t>29.12</w:t>
            </w:r>
            <w:r w:rsidRPr="00E34869">
              <w:rPr>
                <w:sz w:val="20"/>
                <w:szCs w:val="20"/>
              </w:rPr>
              <w:t>);</w:t>
            </w:r>
          </w:p>
          <w:p w14:paraId="7D02B258" w14:textId="77777777" w:rsidR="00D43945" w:rsidRPr="00E34869" w:rsidRDefault="00D43945" w:rsidP="002D32CF">
            <w:pPr>
              <w:rPr>
                <w:iCs/>
                <w:sz w:val="20"/>
                <w:szCs w:val="20"/>
              </w:rPr>
            </w:pPr>
            <w:r w:rsidRPr="00E34869">
              <w:rPr>
                <w:iCs/>
                <w:sz w:val="20"/>
                <w:szCs w:val="20"/>
              </w:rPr>
              <w:t xml:space="preserve">Examples 1 and 2 for </w:t>
            </w:r>
            <w:r w:rsidRPr="00E34869">
              <w:rPr>
                <w:i/>
                <w:sz w:val="20"/>
                <w:szCs w:val="20"/>
              </w:rPr>
              <w:t xml:space="preserve">resolves 1.9: </w:t>
            </w:r>
            <w:r w:rsidRPr="00E34869">
              <w:rPr>
                <w:sz w:val="20"/>
                <w:szCs w:val="20"/>
              </w:rPr>
              <w:t>that for the purpose of protecting MSS (space-to-Earth) and RDSS (space-to-Earth) in the frequency band 2 483.5-2 500 MHz, the use of HIBS platform in the frequency band 2 500-2 690 MHz shall comply with an unwanted emission limit of [−13 / −30] dBm/MHz in the frequency band 2 483.5-2 500 MHz</w:t>
            </w:r>
          </w:p>
        </w:tc>
        <w:tc>
          <w:tcPr>
            <w:tcW w:w="3330" w:type="dxa"/>
          </w:tcPr>
          <w:p w14:paraId="6B80D6B9" w14:textId="77777777" w:rsidR="00D43945" w:rsidRPr="00E34869" w:rsidRDefault="00D43945" w:rsidP="002D32CF">
            <w:pPr>
              <w:rPr>
                <w:sz w:val="20"/>
                <w:lang w:eastAsia="ja-JP"/>
              </w:rPr>
            </w:pPr>
            <w:r w:rsidRPr="00E34869">
              <w:rPr>
                <w:sz w:val="20"/>
                <w:szCs w:val="20"/>
                <w:lang w:eastAsia="zh-CN"/>
              </w:rPr>
              <w:lastRenderedPageBreak/>
              <w:t xml:space="preserve">BR has no means to examine the </w:t>
            </w:r>
            <w:r w:rsidRPr="00E34869">
              <w:rPr>
                <w:sz w:val="20"/>
                <w:szCs w:val="20"/>
              </w:rPr>
              <w:t xml:space="preserve">unwanted emission </w:t>
            </w:r>
            <w:r w:rsidRPr="00E34869">
              <w:rPr>
                <w:sz w:val="20"/>
                <w:szCs w:val="20"/>
                <w:lang w:eastAsia="zh-CN"/>
              </w:rPr>
              <w:t xml:space="preserve">limit since </w:t>
            </w:r>
            <w:r w:rsidRPr="00E34869">
              <w:rPr>
                <w:sz w:val="20"/>
                <w:szCs w:val="20"/>
              </w:rPr>
              <w:t>the emission level outside the main band is not notified</w:t>
            </w:r>
          </w:p>
        </w:tc>
        <w:tc>
          <w:tcPr>
            <w:tcW w:w="3600" w:type="dxa"/>
          </w:tcPr>
          <w:p w14:paraId="48BA61AE" w14:textId="789A8676" w:rsidR="00D43945" w:rsidRPr="00E34869" w:rsidRDefault="00D2212B" w:rsidP="002D32CF">
            <w:pPr>
              <w:rPr>
                <w:sz w:val="20"/>
                <w:lang w:eastAsia="zh-CN"/>
              </w:rPr>
            </w:pPr>
            <w:r>
              <w:rPr>
                <w:rFonts w:cs="Times New Roman"/>
                <w:iCs/>
                <w:sz w:val="20"/>
                <w:szCs w:val="20"/>
              </w:rPr>
              <w:t>A</w:t>
            </w:r>
            <w:r w:rsidR="00D43945" w:rsidRPr="00E34869">
              <w:rPr>
                <w:rFonts w:cs="Times New Roman"/>
                <w:iCs/>
                <w:sz w:val="20"/>
                <w:szCs w:val="20"/>
              </w:rPr>
              <w:t xml:space="preserve"> commitment of the notifying administration to comply with this limit</w:t>
            </w:r>
          </w:p>
        </w:tc>
      </w:tr>
      <w:tr w:rsidR="00D43945" w:rsidRPr="00E34869" w14:paraId="5650A0C6" w14:textId="77777777" w:rsidTr="002D32CF">
        <w:tc>
          <w:tcPr>
            <w:tcW w:w="636" w:type="dxa"/>
            <w:tcBorders>
              <w:top w:val="single" w:sz="4" w:space="0" w:color="auto"/>
            </w:tcBorders>
          </w:tcPr>
          <w:p w14:paraId="52FABEE5" w14:textId="77777777" w:rsidR="00D43945" w:rsidRPr="00E34869" w:rsidRDefault="00D43945" w:rsidP="002D32CF">
            <w:pPr>
              <w:rPr>
                <w:sz w:val="20"/>
                <w:lang w:eastAsia="zh-CN"/>
              </w:rPr>
            </w:pPr>
            <w:r w:rsidRPr="00E34869">
              <w:rPr>
                <w:sz w:val="20"/>
                <w:lang w:eastAsia="zh-CN"/>
              </w:rPr>
              <w:lastRenderedPageBreak/>
              <w:t>1.11</w:t>
            </w:r>
          </w:p>
        </w:tc>
        <w:tc>
          <w:tcPr>
            <w:tcW w:w="1116" w:type="dxa"/>
          </w:tcPr>
          <w:p w14:paraId="787A27BC" w14:textId="77777777" w:rsidR="00D43945" w:rsidRPr="00E34869" w:rsidRDefault="00D43945" w:rsidP="002D32CF">
            <w:pPr>
              <w:rPr>
                <w:sz w:val="20"/>
                <w:lang w:eastAsia="ko-KR"/>
              </w:rPr>
            </w:pPr>
            <w:r w:rsidRPr="00E34869">
              <w:rPr>
                <w:sz w:val="20"/>
                <w:lang w:eastAsia="ko-KR"/>
              </w:rPr>
              <w:t>2/1.11/5.3</w:t>
            </w:r>
          </w:p>
          <w:p w14:paraId="0153619E" w14:textId="77777777" w:rsidR="00D43945" w:rsidRPr="00E34869" w:rsidRDefault="00D43945" w:rsidP="002D32CF">
            <w:pPr>
              <w:rPr>
                <w:sz w:val="20"/>
                <w:lang w:eastAsia="ko-KR"/>
              </w:rPr>
            </w:pPr>
            <w:r w:rsidRPr="00E34869">
              <w:rPr>
                <w:sz w:val="20"/>
                <w:lang w:eastAsia="ko-KR"/>
              </w:rPr>
              <w:t>Methods C2, C3</w:t>
            </w:r>
          </w:p>
        </w:tc>
        <w:tc>
          <w:tcPr>
            <w:tcW w:w="5353" w:type="dxa"/>
          </w:tcPr>
          <w:p w14:paraId="76D4A9DC" w14:textId="77777777" w:rsidR="00D43945" w:rsidRPr="00E34869" w:rsidRDefault="00D43945" w:rsidP="002D32CF">
            <w:pPr>
              <w:rPr>
                <w:iCs/>
                <w:sz w:val="20"/>
                <w:szCs w:val="20"/>
              </w:rPr>
            </w:pPr>
            <w:r w:rsidRPr="0054291C">
              <w:rPr>
                <w:iCs/>
                <w:sz w:val="20"/>
                <w:szCs w:val="20"/>
              </w:rPr>
              <w:t xml:space="preserve">MOD </w:t>
            </w:r>
            <w:r w:rsidRPr="0054291C">
              <w:rPr>
                <w:b/>
                <w:bCs/>
                <w:iCs/>
                <w:sz w:val="20"/>
                <w:szCs w:val="20"/>
              </w:rPr>
              <w:t>5.364</w:t>
            </w:r>
            <w:r w:rsidRPr="0054291C">
              <w:rPr>
                <w:iCs/>
                <w:sz w:val="20"/>
                <w:szCs w:val="20"/>
              </w:rPr>
              <w:t>:</w:t>
            </w:r>
          </w:p>
          <w:p w14:paraId="5785575B" w14:textId="77777777" w:rsidR="00D43945" w:rsidRPr="00E34869" w:rsidRDefault="00D43945" w:rsidP="002D32CF">
            <w:pPr>
              <w:pStyle w:val="Note"/>
              <w:rPr>
                <w:iCs/>
                <w:sz w:val="20"/>
                <w:szCs w:val="20"/>
              </w:rPr>
            </w:pPr>
            <w:r w:rsidRPr="00E34869">
              <w:rPr>
                <w:sz w:val="20"/>
                <w:szCs w:val="20"/>
              </w:rPr>
              <w:t xml:space="preserve">GMDSS stations operating in the maritime mobile-satellite services in the frequency band </w:t>
            </w:r>
            <w:r w:rsidRPr="00E34869">
              <w:rPr>
                <w:rFonts w:eastAsiaTheme="minorEastAsia"/>
                <w:sz w:val="20"/>
                <w:szCs w:val="20"/>
              </w:rPr>
              <w:t>[1 610.00-1 610.5/1 610.18-1 618.34] [</w:t>
            </w:r>
            <w:r w:rsidRPr="00E34869">
              <w:rPr>
                <w:sz w:val="20"/>
                <w:szCs w:val="20"/>
              </w:rPr>
              <w:t>1 610.18-1 621.35] MHz shall not claim protection from stations operating in accordance with the provisions of No. </w:t>
            </w:r>
            <w:r w:rsidRPr="00E34869">
              <w:rPr>
                <w:rStyle w:val="Artref"/>
                <w:b/>
                <w:bCs/>
                <w:sz w:val="20"/>
                <w:szCs w:val="20"/>
              </w:rPr>
              <w:t>5.367</w:t>
            </w:r>
            <w:r w:rsidRPr="00E34869">
              <w:rPr>
                <w:sz w:val="20"/>
                <w:szCs w:val="20"/>
              </w:rPr>
              <w:t xml:space="preserve">. </w:t>
            </w:r>
          </w:p>
        </w:tc>
        <w:tc>
          <w:tcPr>
            <w:tcW w:w="3330" w:type="dxa"/>
          </w:tcPr>
          <w:p w14:paraId="31751BCC" w14:textId="77777777" w:rsidR="00D43945" w:rsidRPr="00E34869" w:rsidRDefault="00D43945" w:rsidP="002D32CF">
            <w:pPr>
              <w:rPr>
                <w:iCs/>
                <w:sz w:val="20"/>
              </w:rPr>
            </w:pPr>
            <w:r w:rsidRPr="00E34869">
              <w:rPr>
                <w:iCs/>
                <w:sz w:val="20"/>
              </w:rPr>
              <w:t>BR has no data item provided in the notice to identify if the notified station is used for GMDSS or not.</w:t>
            </w:r>
          </w:p>
        </w:tc>
        <w:tc>
          <w:tcPr>
            <w:tcW w:w="3600" w:type="dxa"/>
          </w:tcPr>
          <w:p w14:paraId="74B81D80" w14:textId="77777777" w:rsidR="00D43945" w:rsidRPr="00E34869" w:rsidRDefault="00D43945" w:rsidP="002D32CF">
            <w:pPr>
              <w:rPr>
                <w:sz w:val="20"/>
                <w:lang w:eastAsia="zh-CN"/>
              </w:rPr>
            </w:pPr>
            <w:r w:rsidRPr="00E34869">
              <w:rPr>
                <w:rFonts w:cs="Times New Roman"/>
                <w:iCs/>
                <w:sz w:val="20"/>
                <w:szCs w:val="20"/>
              </w:rPr>
              <w:t xml:space="preserve">To add a new data item to Appendix </w:t>
            </w:r>
            <w:r w:rsidRPr="00E34869">
              <w:rPr>
                <w:rFonts w:cs="Times New Roman"/>
                <w:b/>
                <w:bCs/>
                <w:iCs/>
                <w:sz w:val="20"/>
                <w:szCs w:val="20"/>
              </w:rPr>
              <w:t>4</w:t>
            </w:r>
            <w:r w:rsidRPr="00E34869">
              <w:rPr>
                <w:rFonts w:cs="Times New Roman"/>
                <w:iCs/>
                <w:sz w:val="20"/>
                <w:szCs w:val="20"/>
              </w:rPr>
              <w:t xml:space="preserve"> - </w:t>
            </w:r>
            <w:r w:rsidRPr="00E34869">
              <w:rPr>
                <w:sz w:val="20"/>
                <w:lang w:eastAsia="zh-CN"/>
              </w:rPr>
              <w:t xml:space="preserve">an indication that </w:t>
            </w:r>
            <w:r w:rsidRPr="00E34869">
              <w:rPr>
                <w:iCs/>
                <w:sz w:val="20"/>
              </w:rPr>
              <w:t>the station is</w:t>
            </w:r>
            <w:r w:rsidRPr="00E34869">
              <w:rPr>
                <w:sz w:val="20"/>
                <w:lang w:eastAsia="zh-CN"/>
              </w:rPr>
              <w:t xml:space="preserve"> for GMDSS</w:t>
            </w:r>
          </w:p>
        </w:tc>
      </w:tr>
      <w:tr w:rsidR="00D43945" w:rsidRPr="00E34869" w14:paraId="0FFD8E27" w14:textId="77777777" w:rsidTr="002D32CF">
        <w:tc>
          <w:tcPr>
            <w:tcW w:w="636" w:type="dxa"/>
          </w:tcPr>
          <w:p w14:paraId="6E34ADB5" w14:textId="77777777" w:rsidR="00D43945" w:rsidRPr="00E34869" w:rsidRDefault="00D43945" w:rsidP="002D32CF">
            <w:pPr>
              <w:rPr>
                <w:lang w:eastAsia="zh-CN"/>
              </w:rPr>
            </w:pPr>
            <w:r w:rsidRPr="00E34869">
              <w:rPr>
                <w:sz w:val="20"/>
                <w:szCs w:val="20"/>
                <w:lang w:eastAsia="zh-CN"/>
              </w:rPr>
              <w:t>1.16</w:t>
            </w:r>
          </w:p>
        </w:tc>
        <w:tc>
          <w:tcPr>
            <w:tcW w:w="1116" w:type="dxa"/>
          </w:tcPr>
          <w:p w14:paraId="75F8FA87" w14:textId="77777777" w:rsidR="00D43945" w:rsidRPr="00E34869" w:rsidRDefault="00D43945" w:rsidP="002D32CF">
            <w:pPr>
              <w:rPr>
                <w:rFonts w:cs="Times New Roman"/>
                <w:sz w:val="20"/>
                <w:szCs w:val="20"/>
                <w:lang w:eastAsia="ko-KR"/>
              </w:rPr>
            </w:pPr>
            <w:bookmarkStart w:id="17" w:name="_Toc119592851"/>
            <w:r w:rsidRPr="00E34869">
              <w:rPr>
                <w:rFonts w:cs="Times New Roman"/>
                <w:sz w:val="20"/>
                <w:szCs w:val="20"/>
                <w:lang w:eastAsia="ko-KR"/>
              </w:rPr>
              <w:t>4/1.16/5.2  Method B</w:t>
            </w:r>
            <w:bookmarkEnd w:id="17"/>
          </w:p>
          <w:p w14:paraId="6BAFFDF5" w14:textId="77777777" w:rsidR="00D43945" w:rsidRPr="00E34869" w:rsidRDefault="00D43945" w:rsidP="002D32CF">
            <w:pPr>
              <w:rPr>
                <w:rFonts w:cs="Times New Roman"/>
                <w:sz w:val="20"/>
                <w:szCs w:val="20"/>
                <w:lang w:eastAsia="ko-KR"/>
              </w:rPr>
            </w:pPr>
          </w:p>
        </w:tc>
        <w:tc>
          <w:tcPr>
            <w:tcW w:w="5353" w:type="dxa"/>
          </w:tcPr>
          <w:p w14:paraId="59AE9604" w14:textId="77777777" w:rsidR="00D43945" w:rsidRPr="00E34869" w:rsidRDefault="00D43945" w:rsidP="002D32CF">
            <w:pPr>
              <w:rPr>
                <w:b/>
                <w:bCs/>
                <w:iCs/>
                <w:sz w:val="20"/>
              </w:rPr>
            </w:pPr>
            <w:r w:rsidRPr="00E34869">
              <w:rPr>
                <w:iCs/>
                <w:sz w:val="20"/>
              </w:rPr>
              <w:t xml:space="preserve">Annex 1, Part 2 of draft new Resolution </w:t>
            </w:r>
            <w:r w:rsidRPr="00E34869">
              <w:rPr>
                <w:b/>
                <w:bCs/>
                <w:iCs/>
                <w:sz w:val="20"/>
              </w:rPr>
              <w:t>[A116]</w:t>
            </w:r>
          </w:p>
          <w:p w14:paraId="19BDF497" w14:textId="77777777" w:rsidR="00D43945" w:rsidRPr="00E34869" w:rsidRDefault="00D43945" w:rsidP="002D32CF">
            <w:pPr>
              <w:rPr>
                <w:iCs/>
                <w:sz w:val="20"/>
              </w:rPr>
            </w:pPr>
            <w:r w:rsidRPr="00E34869">
              <w:rPr>
                <w:iCs/>
                <w:sz w:val="20"/>
              </w:rPr>
              <w:t xml:space="preserve">Annex 2 of draft new Resolution </w:t>
            </w:r>
            <w:r w:rsidRPr="00E34869">
              <w:rPr>
                <w:b/>
                <w:bCs/>
                <w:iCs/>
                <w:sz w:val="20"/>
              </w:rPr>
              <w:t>[A116]</w:t>
            </w:r>
          </w:p>
        </w:tc>
        <w:tc>
          <w:tcPr>
            <w:tcW w:w="3330" w:type="dxa"/>
          </w:tcPr>
          <w:p w14:paraId="275D163B" w14:textId="77777777" w:rsidR="00D43945" w:rsidRPr="00E34869" w:rsidRDefault="00D43945" w:rsidP="002D32CF">
            <w:pPr>
              <w:rPr>
                <w:iCs/>
                <w:sz w:val="20"/>
              </w:rPr>
            </w:pPr>
            <w:r w:rsidRPr="00E34869">
              <w:rPr>
                <w:iCs/>
                <w:sz w:val="20"/>
              </w:rPr>
              <w:t xml:space="preserve">1) Section 2.1 of Annex 1, Part 2 of draft new Resolution </w:t>
            </w:r>
            <w:r w:rsidRPr="00E34869">
              <w:rPr>
                <w:b/>
                <w:bCs/>
                <w:iCs/>
                <w:sz w:val="20"/>
              </w:rPr>
              <w:t>[A116]</w:t>
            </w:r>
            <w:r w:rsidRPr="00E34869">
              <w:rPr>
                <w:iCs/>
                <w:sz w:val="20"/>
              </w:rPr>
              <w:t xml:space="preserve"> two reference bandwidths (14 MHz an 1 MHz) are provided as two options for altitude at and above 3 km. Since methodology is comparing EIRP at different altitude it would require adjusting PFD-limit reference bandwidth from 14 MHz to 1 MHz which is also used for altitude below 3 km.</w:t>
            </w:r>
          </w:p>
          <w:p w14:paraId="392A92F3" w14:textId="77777777" w:rsidR="00D43945" w:rsidRPr="00E34869" w:rsidRDefault="00D43945" w:rsidP="002D32CF">
            <w:pPr>
              <w:rPr>
                <w:iCs/>
                <w:sz w:val="20"/>
              </w:rPr>
            </w:pPr>
            <w:r w:rsidRPr="00E34869">
              <w:rPr>
                <w:iCs/>
                <w:sz w:val="20"/>
              </w:rPr>
              <w:t xml:space="preserve">2) Section 2.3 of Annex 1, Part 2 of draft new Resolution </w:t>
            </w:r>
            <w:r w:rsidRPr="00E34869">
              <w:rPr>
                <w:b/>
                <w:bCs/>
                <w:iCs/>
                <w:sz w:val="20"/>
              </w:rPr>
              <w:t>[A116]</w:t>
            </w:r>
            <w:r w:rsidRPr="00E34869">
              <w:rPr>
                <w:iCs/>
                <w:sz w:val="20"/>
              </w:rPr>
              <w:t xml:space="preserve"> contain a figure for fuselage loss, whereas the fuselage loss model presented in Annex 2 (Methodology) is defined using formulas. </w:t>
            </w:r>
          </w:p>
          <w:p w14:paraId="315452FD" w14:textId="77777777" w:rsidR="00D43945" w:rsidRPr="00E34869" w:rsidRDefault="00D43945" w:rsidP="002D32CF">
            <w:pPr>
              <w:rPr>
                <w:b/>
                <w:bCs/>
                <w:iCs/>
                <w:sz w:val="20"/>
              </w:rPr>
            </w:pPr>
            <w:r w:rsidRPr="00E34869">
              <w:rPr>
                <w:iCs/>
                <w:sz w:val="20"/>
              </w:rPr>
              <w:lastRenderedPageBreak/>
              <w:t xml:space="preserve">3) Section 2.3 of Annex 1, Part 2 of draft new Resolution </w:t>
            </w:r>
            <w:r w:rsidRPr="00E34869">
              <w:rPr>
                <w:b/>
                <w:bCs/>
                <w:iCs/>
                <w:sz w:val="20"/>
              </w:rPr>
              <w:t>[A116]</w:t>
            </w:r>
            <w:r w:rsidRPr="00E34869">
              <w:rPr>
                <w:iCs/>
                <w:sz w:val="20"/>
              </w:rPr>
              <w:t xml:space="preserve"> refers to the use free-space propagation model while Annex 2 (methodology) contains a procedure to also calculate atmospheric attenuation.</w:t>
            </w:r>
          </w:p>
          <w:p w14:paraId="0B007E2B" w14:textId="77777777" w:rsidR="00D43945" w:rsidRDefault="00D43945" w:rsidP="002D32CF">
            <w:pPr>
              <w:rPr>
                <w:sz w:val="20"/>
              </w:rPr>
            </w:pPr>
            <w:r w:rsidRPr="00E34869">
              <w:rPr>
                <w:sz w:val="20"/>
              </w:rPr>
              <w:t>4) Section 4 Example application of the methodology</w:t>
            </w:r>
            <w:r w:rsidRPr="00E34869">
              <w:rPr>
                <w:iCs/>
                <w:sz w:val="20"/>
              </w:rPr>
              <w:t xml:space="preserve"> in Annex 2, Part 2 of draft new Resolution </w:t>
            </w:r>
            <w:r w:rsidRPr="00E34869">
              <w:rPr>
                <w:b/>
                <w:bCs/>
                <w:iCs/>
                <w:sz w:val="20"/>
              </w:rPr>
              <w:t xml:space="preserve">[A116] </w:t>
            </w:r>
            <w:r w:rsidRPr="00E34869">
              <w:rPr>
                <w:iCs/>
                <w:sz w:val="20"/>
              </w:rPr>
              <w:t>the text below the two Tables A2-10 implies that the Bureau will give favorable finding in case at least one emission will be favourable (and another unfavourable). This is contrary to the current practice of the Bureau where findings are given by frequency assignments (i.e. unfavourable emission(s) is/are removed from the group with favourable finding).</w:t>
            </w:r>
          </w:p>
          <w:p w14:paraId="2CF4EB53" w14:textId="77777777" w:rsidR="00D43945" w:rsidRPr="004E7452" w:rsidRDefault="00D43945" w:rsidP="002D32CF">
            <w:pPr>
              <w:rPr>
                <w:iCs/>
                <w:sz w:val="20"/>
              </w:rPr>
            </w:pPr>
            <w:r>
              <w:rPr>
                <w:iCs/>
                <w:sz w:val="20"/>
              </w:rPr>
              <w:t xml:space="preserve">5) ITU-R Study Group 4 recently developed a </w:t>
            </w:r>
            <w:r w:rsidRPr="004E7452">
              <w:rPr>
                <w:i/>
                <w:sz w:val="20"/>
              </w:rPr>
              <w:t>draft new recommendation ITU-R S.[method]</w:t>
            </w:r>
            <w:r>
              <w:rPr>
                <w:iCs/>
                <w:sz w:val="20"/>
              </w:rPr>
              <w:t xml:space="preserve">, which includes the </w:t>
            </w:r>
            <w:r w:rsidRPr="004E7452">
              <w:rPr>
                <w:iCs/>
                <w:sz w:val="20"/>
              </w:rPr>
              <w:t>methodology for examination of A-ESIM against the pfd limits to protect the terrestrial services.</w:t>
            </w:r>
          </w:p>
          <w:p w14:paraId="4AF48F5E" w14:textId="77777777" w:rsidR="00D43945" w:rsidRPr="00E34869" w:rsidRDefault="00D43945" w:rsidP="002D32CF">
            <w:pPr>
              <w:rPr>
                <w:sz w:val="20"/>
              </w:rPr>
            </w:pPr>
          </w:p>
        </w:tc>
        <w:tc>
          <w:tcPr>
            <w:tcW w:w="3600" w:type="dxa"/>
          </w:tcPr>
          <w:p w14:paraId="232CD62D" w14:textId="77777777" w:rsidR="00D43945" w:rsidRPr="00E34869" w:rsidRDefault="00D43945" w:rsidP="002D32CF">
            <w:pPr>
              <w:rPr>
                <w:sz w:val="20"/>
                <w:lang w:eastAsia="zh-CN"/>
              </w:rPr>
            </w:pPr>
            <w:r w:rsidRPr="00E34869">
              <w:rPr>
                <w:sz w:val="20"/>
                <w:lang w:eastAsia="zh-CN"/>
              </w:rPr>
              <w:lastRenderedPageBreak/>
              <w:t>1) Keep only one reference bandwidth of 1 MHz.</w:t>
            </w:r>
          </w:p>
          <w:p w14:paraId="0A214BB3" w14:textId="77777777" w:rsidR="00D43945" w:rsidRPr="00E34869" w:rsidRDefault="00D43945" w:rsidP="002D32CF">
            <w:pPr>
              <w:rPr>
                <w:sz w:val="20"/>
                <w:lang w:eastAsia="zh-CN"/>
              </w:rPr>
            </w:pPr>
            <w:r w:rsidRPr="00E34869">
              <w:rPr>
                <w:sz w:val="20"/>
                <w:lang w:eastAsia="zh-CN"/>
              </w:rPr>
              <w:t xml:space="preserve">2) Align </w:t>
            </w:r>
            <w:r w:rsidRPr="00E34869">
              <w:rPr>
                <w:iCs/>
                <w:sz w:val="20"/>
              </w:rPr>
              <w:t xml:space="preserve">Section 2.3 of Annex 1, Part 2 of draft new Resolution </w:t>
            </w:r>
            <w:r w:rsidRPr="00E34869">
              <w:rPr>
                <w:b/>
                <w:bCs/>
                <w:iCs/>
                <w:sz w:val="20"/>
              </w:rPr>
              <w:t xml:space="preserve">[A116] </w:t>
            </w:r>
            <w:r w:rsidRPr="00E34869">
              <w:rPr>
                <w:sz w:val="20"/>
                <w:lang w:eastAsia="zh-CN"/>
              </w:rPr>
              <w:t>by replacing figure with the formulas contained in Annex 2, Table A2-6.</w:t>
            </w:r>
          </w:p>
          <w:p w14:paraId="3A61D337" w14:textId="77777777" w:rsidR="00D43945" w:rsidRPr="00E34869" w:rsidRDefault="00D43945" w:rsidP="002D32CF">
            <w:pPr>
              <w:rPr>
                <w:i/>
                <w:iCs/>
                <w:sz w:val="20"/>
                <w:szCs w:val="20"/>
              </w:rPr>
            </w:pPr>
            <w:r w:rsidRPr="00E34869">
              <w:rPr>
                <w:sz w:val="20"/>
                <w:lang w:eastAsia="zh-CN"/>
              </w:rPr>
              <w:t xml:space="preserve">3) Align the wording of </w:t>
            </w:r>
            <w:r w:rsidRPr="00E34869">
              <w:rPr>
                <w:iCs/>
                <w:sz w:val="20"/>
              </w:rPr>
              <w:t xml:space="preserve">Section 2.3 of Annex 1, Part 2 of draft new Resolution </w:t>
            </w:r>
            <w:r w:rsidRPr="00E34869">
              <w:rPr>
                <w:b/>
                <w:bCs/>
                <w:iCs/>
                <w:sz w:val="20"/>
              </w:rPr>
              <w:t xml:space="preserve">[A116] </w:t>
            </w:r>
            <w:r w:rsidRPr="00E34869">
              <w:rPr>
                <w:iCs/>
                <w:sz w:val="20"/>
              </w:rPr>
              <w:t xml:space="preserve">with propagation model used in Annex 2, e.g. </w:t>
            </w:r>
            <w:r w:rsidRPr="00E34869">
              <w:rPr>
                <w:i/>
                <w:iCs/>
                <w:sz w:val="20"/>
                <w:szCs w:val="20"/>
              </w:rPr>
              <w:t xml:space="preserve">shall be obtained using free-space propagation, </w:t>
            </w:r>
            <w:r w:rsidRPr="00E34869">
              <w:rPr>
                <w:i/>
                <w:iCs/>
                <w:sz w:val="20"/>
                <w:szCs w:val="20"/>
                <w:u w:val="single"/>
              </w:rPr>
              <w:t>atmospheric loss</w:t>
            </w:r>
            <w:r w:rsidRPr="00E34869">
              <w:rPr>
                <w:i/>
                <w:iCs/>
                <w:sz w:val="20"/>
                <w:szCs w:val="20"/>
              </w:rPr>
              <w:t xml:space="preserve"> and attenuation due to the aircraft fuselage</w:t>
            </w:r>
          </w:p>
          <w:p w14:paraId="55F0BFDE" w14:textId="77777777" w:rsidR="00D43945" w:rsidRPr="00E34869" w:rsidRDefault="00D43945" w:rsidP="002D32CF">
            <w:pPr>
              <w:rPr>
                <w:iCs/>
                <w:sz w:val="20"/>
                <w:lang w:eastAsia="zh-CN"/>
              </w:rPr>
            </w:pPr>
            <w:r w:rsidRPr="00E34869">
              <w:rPr>
                <w:iCs/>
                <w:sz w:val="20"/>
              </w:rPr>
              <w:t>4) Simplify the mention of the process of establishing findings by the Bureau by removing the text below the Tables A2-10 and removing Attachment to Annex 2.</w:t>
            </w:r>
          </w:p>
        </w:tc>
      </w:tr>
      <w:tr w:rsidR="00D43945" w:rsidRPr="00E34869" w14:paraId="30963724" w14:textId="77777777" w:rsidTr="002D32CF">
        <w:tc>
          <w:tcPr>
            <w:tcW w:w="636" w:type="dxa"/>
          </w:tcPr>
          <w:p w14:paraId="0D43343B" w14:textId="77777777" w:rsidR="00D43945" w:rsidRPr="00E34869" w:rsidRDefault="00D43945" w:rsidP="002D32CF">
            <w:pPr>
              <w:rPr>
                <w:sz w:val="20"/>
                <w:lang w:eastAsia="zh-CN"/>
              </w:rPr>
            </w:pPr>
            <w:r w:rsidRPr="00E34869">
              <w:rPr>
                <w:sz w:val="20"/>
                <w:lang w:eastAsia="zh-CN"/>
              </w:rPr>
              <w:t>1.17</w:t>
            </w:r>
          </w:p>
        </w:tc>
        <w:tc>
          <w:tcPr>
            <w:tcW w:w="1116" w:type="dxa"/>
          </w:tcPr>
          <w:p w14:paraId="6637688A" w14:textId="77777777" w:rsidR="00D43945" w:rsidRPr="00E34869" w:rsidRDefault="00D43945" w:rsidP="002D32CF">
            <w:pPr>
              <w:rPr>
                <w:sz w:val="20"/>
                <w:szCs w:val="20"/>
                <w:lang w:eastAsia="zh-CN"/>
              </w:rPr>
            </w:pPr>
            <w:bookmarkStart w:id="18" w:name="_Toc119592875"/>
            <w:r w:rsidRPr="00E34869">
              <w:rPr>
                <w:sz w:val="20"/>
                <w:szCs w:val="20"/>
                <w:lang w:eastAsia="zh-CN"/>
              </w:rPr>
              <w:t>4/1.17/5.2 Method B1</w:t>
            </w:r>
          </w:p>
          <w:p w14:paraId="76B25D4E" w14:textId="77777777" w:rsidR="00D43945" w:rsidRPr="00E34869" w:rsidRDefault="00D43945" w:rsidP="002D32CF">
            <w:pPr>
              <w:rPr>
                <w:sz w:val="20"/>
                <w:szCs w:val="20"/>
                <w:lang w:eastAsia="zh-CN"/>
              </w:rPr>
            </w:pPr>
            <w:r w:rsidRPr="00E34869">
              <w:rPr>
                <w:sz w:val="20"/>
                <w:szCs w:val="20"/>
                <w:lang w:eastAsia="zh-CN"/>
              </w:rPr>
              <w:t>4/1.17/5.3 Method B2</w:t>
            </w:r>
          </w:p>
          <w:p w14:paraId="33B27E1C" w14:textId="77777777" w:rsidR="00D43945" w:rsidRPr="00E34869" w:rsidRDefault="00D43945" w:rsidP="002D32CF">
            <w:pPr>
              <w:rPr>
                <w:sz w:val="20"/>
                <w:szCs w:val="20"/>
                <w:lang w:eastAsia="zh-CN"/>
              </w:rPr>
            </w:pPr>
            <w:r w:rsidRPr="00E34869">
              <w:rPr>
                <w:sz w:val="20"/>
                <w:szCs w:val="20"/>
                <w:lang w:eastAsia="zh-CN"/>
              </w:rPr>
              <w:lastRenderedPageBreak/>
              <w:t>4/1.17/5.4 Method B3</w:t>
            </w:r>
          </w:p>
          <w:p w14:paraId="619CCCEA" w14:textId="77777777" w:rsidR="00D43945" w:rsidRPr="00E34869" w:rsidRDefault="00D43945" w:rsidP="002D32CF">
            <w:pPr>
              <w:rPr>
                <w:sz w:val="20"/>
                <w:szCs w:val="20"/>
                <w:lang w:eastAsia="zh-CN"/>
              </w:rPr>
            </w:pPr>
            <w:r w:rsidRPr="00E34869">
              <w:rPr>
                <w:sz w:val="20"/>
                <w:szCs w:val="20"/>
                <w:lang w:eastAsia="zh-CN"/>
              </w:rPr>
              <w:t>4/1.17/5.5 Method B4</w:t>
            </w:r>
            <w:bookmarkEnd w:id="18"/>
          </w:p>
          <w:p w14:paraId="576E178E" w14:textId="77777777" w:rsidR="00D43945" w:rsidRPr="00E34869" w:rsidRDefault="00D43945" w:rsidP="002D32CF">
            <w:pPr>
              <w:rPr>
                <w:sz w:val="20"/>
                <w:szCs w:val="20"/>
                <w:lang w:eastAsia="ko-KR"/>
              </w:rPr>
            </w:pPr>
          </w:p>
        </w:tc>
        <w:tc>
          <w:tcPr>
            <w:tcW w:w="5353" w:type="dxa"/>
          </w:tcPr>
          <w:p w14:paraId="358A87AA" w14:textId="77777777" w:rsidR="00D43945" w:rsidRPr="00E34869" w:rsidRDefault="00D43945" w:rsidP="002D32CF">
            <w:pPr>
              <w:rPr>
                <w:iCs/>
                <w:sz w:val="20"/>
                <w:szCs w:val="20"/>
              </w:rPr>
            </w:pPr>
            <w:r w:rsidRPr="00E34869">
              <w:rPr>
                <w:sz w:val="20"/>
                <w:szCs w:val="20"/>
                <w:lang w:eastAsia="zh-CN"/>
              </w:rPr>
              <w:lastRenderedPageBreak/>
              <w:t xml:space="preserve">Draft New Resolutions </w:t>
            </w:r>
            <w:r w:rsidRPr="00E34869">
              <w:rPr>
                <w:b/>
                <w:bCs/>
                <w:sz w:val="20"/>
                <w:szCs w:val="20"/>
                <w:lang w:eastAsia="zh-CN"/>
              </w:rPr>
              <w:t>[A117-B1]</w:t>
            </w:r>
            <w:r w:rsidRPr="00E34869">
              <w:rPr>
                <w:sz w:val="20"/>
                <w:szCs w:val="20"/>
                <w:lang w:eastAsia="zh-CN"/>
              </w:rPr>
              <w:t>,</w:t>
            </w:r>
            <w:r w:rsidRPr="00E34869">
              <w:rPr>
                <w:b/>
                <w:bCs/>
                <w:sz w:val="20"/>
                <w:szCs w:val="20"/>
                <w:lang w:eastAsia="zh-CN"/>
              </w:rPr>
              <w:t xml:space="preserve"> [A117-B2]</w:t>
            </w:r>
            <w:r w:rsidRPr="00E34869">
              <w:rPr>
                <w:sz w:val="20"/>
                <w:szCs w:val="20"/>
                <w:lang w:eastAsia="zh-CN"/>
              </w:rPr>
              <w:t>,</w:t>
            </w:r>
            <w:r w:rsidRPr="00E34869">
              <w:rPr>
                <w:b/>
                <w:bCs/>
                <w:sz w:val="20"/>
                <w:szCs w:val="20"/>
                <w:lang w:eastAsia="zh-CN"/>
              </w:rPr>
              <w:t xml:space="preserve"> [A117-B3]</w:t>
            </w:r>
            <w:r w:rsidRPr="00E34869">
              <w:rPr>
                <w:sz w:val="20"/>
                <w:szCs w:val="20"/>
                <w:lang w:eastAsia="zh-CN"/>
              </w:rPr>
              <w:t>,</w:t>
            </w:r>
            <w:r w:rsidRPr="00E34869">
              <w:rPr>
                <w:b/>
                <w:bCs/>
                <w:sz w:val="20"/>
                <w:szCs w:val="20"/>
                <w:lang w:eastAsia="zh-CN"/>
              </w:rPr>
              <w:t xml:space="preserve"> [A117-B4]</w:t>
            </w:r>
          </w:p>
        </w:tc>
        <w:tc>
          <w:tcPr>
            <w:tcW w:w="3330" w:type="dxa"/>
          </w:tcPr>
          <w:p w14:paraId="1E835FDF" w14:textId="77777777" w:rsidR="00D43945" w:rsidRPr="00E34869" w:rsidRDefault="00D43945" w:rsidP="002D32CF">
            <w:pPr>
              <w:rPr>
                <w:iCs/>
                <w:sz w:val="20"/>
                <w:szCs w:val="20"/>
              </w:rPr>
            </w:pPr>
            <w:r w:rsidRPr="00E34869">
              <w:rPr>
                <w:iCs/>
                <w:sz w:val="20"/>
                <w:szCs w:val="20"/>
              </w:rPr>
              <w:t xml:space="preserve">1) The Bureau expects receiving questions with respect to the application of Nos. </w:t>
            </w:r>
            <w:r w:rsidRPr="00E34869">
              <w:rPr>
                <w:b/>
                <w:bCs/>
                <w:iCs/>
                <w:sz w:val="20"/>
                <w:szCs w:val="20"/>
              </w:rPr>
              <w:t>22.5C, 22.5D, 22.5F</w:t>
            </w:r>
            <w:r w:rsidRPr="00E34869">
              <w:rPr>
                <w:iCs/>
                <w:sz w:val="20"/>
                <w:szCs w:val="20"/>
              </w:rPr>
              <w:t xml:space="preserve"> for non-GSO using space-to-space operations in the frequency bands 11.7-12.7 GHz, 17.8-18.6 GHz, </w:t>
            </w:r>
            <w:r w:rsidRPr="00E34869">
              <w:rPr>
                <w:iCs/>
                <w:sz w:val="20"/>
                <w:szCs w:val="20"/>
              </w:rPr>
              <w:lastRenderedPageBreak/>
              <w:t xml:space="preserve">19.7-20.2 GHz, 27.5-28.6 GHz, 29.5-30 GHz. </w:t>
            </w:r>
          </w:p>
          <w:p w14:paraId="3101C30E" w14:textId="77777777" w:rsidR="00D43945" w:rsidRPr="00E34869" w:rsidRDefault="00D43945" w:rsidP="002D32CF">
            <w:pPr>
              <w:rPr>
                <w:iCs/>
                <w:sz w:val="20"/>
                <w:szCs w:val="20"/>
              </w:rPr>
            </w:pPr>
            <w:r w:rsidRPr="00E34869">
              <w:rPr>
                <w:iCs/>
                <w:sz w:val="20"/>
                <w:szCs w:val="20"/>
              </w:rPr>
              <w:t>These questions may be related both to:</w:t>
            </w:r>
          </w:p>
          <w:p w14:paraId="2BA4D025" w14:textId="77777777" w:rsidR="00D43945" w:rsidRPr="00E34869" w:rsidRDefault="00D43945" w:rsidP="002D32CF">
            <w:pPr>
              <w:rPr>
                <w:iCs/>
                <w:sz w:val="20"/>
                <w:szCs w:val="20"/>
              </w:rPr>
            </w:pPr>
            <w:r w:rsidRPr="00E34869">
              <w:rPr>
                <w:iCs/>
                <w:sz w:val="20"/>
                <w:szCs w:val="20"/>
              </w:rPr>
              <w:t>a) How parameters previously submitted for Article 22 EPFD examination (in particular, A.4.b.6.a, A.4.b.7, A.14) will cover operation in space-to-space direction</w:t>
            </w:r>
          </w:p>
          <w:p w14:paraId="6CD1F008" w14:textId="77777777" w:rsidR="00D43945" w:rsidRPr="00E34869" w:rsidRDefault="00D43945" w:rsidP="002D32CF">
            <w:pPr>
              <w:rPr>
                <w:iCs/>
                <w:sz w:val="20"/>
                <w:szCs w:val="20"/>
              </w:rPr>
            </w:pPr>
            <w:r w:rsidRPr="00E34869">
              <w:rPr>
                <w:iCs/>
                <w:sz w:val="20"/>
                <w:szCs w:val="20"/>
              </w:rPr>
              <w:t>b) How properly define parameters above to make sure that from operational perspective they will cover all types of transmissions including in space-to-space direction.</w:t>
            </w:r>
          </w:p>
          <w:p w14:paraId="4CF265E1" w14:textId="77777777" w:rsidR="00D43945" w:rsidRPr="00E34869" w:rsidRDefault="00D43945" w:rsidP="002D32CF">
            <w:pPr>
              <w:rPr>
                <w:iCs/>
                <w:sz w:val="20"/>
                <w:szCs w:val="20"/>
              </w:rPr>
            </w:pPr>
            <w:r w:rsidRPr="00E34869">
              <w:rPr>
                <w:iCs/>
                <w:sz w:val="20"/>
                <w:szCs w:val="20"/>
              </w:rPr>
              <w:t>Current regulatory solutions in CPM Report does not contain any examples or considerations which help to address these questions.</w:t>
            </w:r>
          </w:p>
          <w:p w14:paraId="0A3B5610" w14:textId="77777777" w:rsidR="00D43945" w:rsidRPr="00E34869" w:rsidRDefault="00D43945" w:rsidP="002D32CF">
            <w:pPr>
              <w:rPr>
                <w:iCs/>
                <w:sz w:val="20"/>
                <w:szCs w:val="20"/>
              </w:rPr>
            </w:pPr>
            <w:r w:rsidRPr="00E34869">
              <w:rPr>
                <w:iCs/>
                <w:sz w:val="20"/>
                <w:szCs w:val="20"/>
              </w:rPr>
              <w:t>Moreover, the Bureau notes that some proposed additional parameters may need to be cross validated with respect to parameters submitted for EPFD validation.</w:t>
            </w:r>
          </w:p>
          <w:p w14:paraId="216157D1" w14:textId="77777777" w:rsidR="00D43945" w:rsidRPr="00E34869" w:rsidRDefault="00D43945" w:rsidP="002D32CF">
            <w:pPr>
              <w:rPr>
                <w:iCs/>
                <w:sz w:val="20"/>
                <w:szCs w:val="20"/>
              </w:rPr>
            </w:pPr>
            <w:r w:rsidRPr="00E34869">
              <w:rPr>
                <w:iCs/>
                <w:sz w:val="20"/>
                <w:szCs w:val="20"/>
              </w:rPr>
              <w:t>For example, the condition that the off-nadir angle between GSO or non-GSO FSS space station and the non-GSO space station it communicates with should be less than or equal to θMax relies on definition of θ</w:t>
            </w:r>
            <w:r w:rsidRPr="00E34869">
              <w:rPr>
                <w:iCs/>
                <w:sz w:val="20"/>
                <w:szCs w:val="20"/>
                <w:vertAlign w:val="subscript"/>
              </w:rPr>
              <w:t>Max</w:t>
            </w:r>
            <w:r w:rsidRPr="00E34869">
              <w:rPr>
                <w:iCs/>
                <w:sz w:val="20"/>
                <w:szCs w:val="20"/>
              </w:rPr>
              <w:t xml:space="preserve"> which is taking into account that non-GSO satellite already communicates with any earth station above 0 degree elevation. This assumption may be in </w:t>
            </w:r>
            <w:r w:rsidRPr="00E34869">
              <w:rPr>
                <w:iCs/>
                <w:sz w:val="20"/>
                <w:szCs w:val="20"/>
              </w:rPr>
              <w:lastRenderedPageBreak/>
              <w:t xml:space="preserve">contradiction with the information provided for Nos. </w:t>
            </w:r>
            <w:r w:rsidRPr="006E2AE9">
              <w:rPr>
                <w:b/>
                <w:bCs/>
                <w:iCs/>
                <w:sz w:val="20"/>
                <w:szCs w:val="20"/>
              </w:rPr>
              <w:t>22.5C</w:t>
            </w:r>
            <w:r w:rsidRPr="00E34869">
              <w:rPr>
                <w:iCs/>
                <w:sz w:val="20"/>
                <w:szCs w:val="20"/>
              </w:rPr>
              <w:t xml:space="preserve">, </w:t>
            </w:r>
            <w:r w:rsidRPr="006E2AE9">
              <w:rPr>
                <w:b/>
                <w:bCs/>
                <w:iCs/>
                <w:sz w:val="20"/>
                <w:szCs w:val="20"/>
              </w:rPr>
              <w:t>22.5D</w:t>
            </w:r>
            <w:r w:rsidRPr="00E34869">
              <w:rPr>
                <w:iCs/>
                <w:sz w:val="20"/>
                <w:szCs w:val="20"/>
              </w:rPr>
              <w:t xml:space="preserve"> in RR Appendix </w:t>
            </w:r>
            <w:r w:rsidRPr="006E2AE9">
              <w:rPr>
                <w:b/>
                <w:bCs/>
                <w:iCs/>
                <w:sz w:val="20"/>
                <w:szCs w:val="20"/>
              </w:rPr>
              <w:t>4 A.4.b.7.cbis</w:t>
            </w:r>
            <w:r w:rsidRPr="00E34869">
              <w:rPr>
                <w:iCs/>
                <w:sz w:val="20"/>
                <w:szCs w:val="20"/>
              </w:rPr>
              <w:t xml:space="preserve"> - the minimum elevation angle at which any associated earth station can transmit to or receive from a non-geostationary satellite for the frequency bands 27.5-28.6 GHz, 29.5-30 GHz and 11.7-12.7 GHz, 17.8-18.6 GHz, 19.7-20.2 GHz.</w:t>
            </w:r>
          </w:p>
          <w:p w14:paraId="2E72A2A7" w14:textId="77777777" w:rsidR="00D43945" w:rsidRPr="00E34869" w:rsidRDefault="00D43945" w:rsidP="002D32CF">
            <w:pPr>
              <w:rPr>
                <w:iCs/>
                <w:sz w:val="20"/>
                <w:szCs w:val="20"/>
              </w:rPr>
            </w:pPr>
            <w:r w:rsidRPr="00E34869">
              <w:rPr>
                <w:iCs/>
                <w:sz w:val="20"/>
                <w:szCs w:val="20"/>
              </w:rPr>
              <w:t xml:space="preserve">If Article 22 examination was previously carried out using </w:t>
            </w:r>
            <w:r w:rsidRPr="006E2AE9">
              <w:rPr>
                <w:b/>
                <w:bCs/>
                <w:iCs/>
                <w:sz w:val="20"/>
                <w:szCs w:val="20"/>
              </w:rPr>
              <w:t>A.4.b.7.cbis</w:t>
            </w:r>
            <w:r w:rsidRPr="00E34869">
              <w:rPr>
                <w:iCs/>
                <w:sz w:val="20"/>
                <w:szCs w:val="20"/>
              </w:rPr>
              <w:t xml:space="preserve"> greater than 0 degrees, enabling space-to-space operation may require changing </w:t>
            </w:r>
            <w:r w:rsidRPr="006E2AE9">
              <w:rPr>
                <w:b/>
                <w:bCs/>
                <w:iCs/>
                <w:sz w:val="20"/>
                <w:szCs w:val="20"/>
              </w:rPr>
              <w:t>A.4.b.7.cbis</w:t>
            </w:r>
            <w:r w:rsidRPr="00E34869">
              <w:rPr>
                <w:iCs/>
                <w:sz w:val="20"/>
                <w:szCs w:val="20"/>
              </w:rPr>
              <w:t xml:space="preserve"> to 0 and re-evaluating the limits. </w:t>
            </w:r>
          </w:p>
          <w:p w14:paraId="7ED69D35" w14:textId="77777777" w:rsidR="00D43945" w:rsidRPr="00E34869" w:rsidRDefault="00D43945" w:rsidP="002D32CF">
            <w:pPr>
              <w:rPr>
                <w:iCs/>
                <w:sz w:val="20"/>
                <w:szCs w:val="20"/>
              </w:rPr>
            </w:pPr>
            <w:r w:rsidRPr="00E34869">
              <w:rPr>
                <w:iCs/>
                <w:sz w:val="20"/>
                <w:szCs w:val="20"/>
              </w:rPr>
              <w:t xml:space="preserve">2) </w:t>
            </w:r>
            <w:r w:rsidRPr="00E34869">
              <w:rPr>
                <w:i/>
                <w:sz w:val="20"/>
                <w:szCs w:val="20"/>
              </w:rPr>
              <w:t>resolves</w:t>
            </w:r>
            <w:r w:rsidRPr="00E34869">
              <w:rPr>
                <w:iCs/>
                <w:sz w:val="20"/>
                <w:szCs w:val="20"/>
              </w:rPr>
              <w:t xml:space="preserve"> 1a) provide condition shall only operate space-to-space links when its apogee altitude is lower than the minimum operational altitude of the GSO or non-GSO FSS space station it communicates with, which may be misleading when refering to GSO satellite networks (for which the minimum operational altitude of should be derived from the definition of GSO or, if not considered appropriate, be submitted under RR Appendix 4).</w:t>
            </w:r>
          </w:p>
        </w:tc>
        <w:tc>
          <w:tcPr>
            <w:tcW w:w="3600" w:type="dxa"/>
          </w:tcPr>
          <w:p w14:paraId="0A59F178" w14:textId="77777777" w:rsidR="00D43945" w:rsidRPr="00E34869" w:rsidRDefault="00D43945" w:rsidP="002D32CF">
            <w:pPr>
              <w:rPr>
                <w:sz w:val="20"/>
                <w:lang w:eastAsia="zh-CN"/>
              </w:rPr>
            </w:pPr>
            <w:r w:rsidRPr="00E34869">
              <w:rPr>
                <w:sz w:val="20"/>
                <w:lang w:eastAsia="zh-CN"/>
              </w:rPr>
              <w:lastRenderedPageBreak/>
              <w:t>1) To consider providing technical examples or guidance for verifying that space-to-space operation will be within submitted parameters for EPFD examination.</w:t>
            </w:r>
          </w:p>
          <w:p w14:paraId="37913BC5" w14:textId="77777777" w:rsidR="00D43945" w:rsidRPr="00E34869" w:rsidRDefault="00D43945" w:rsidP="002D32CF">
            <w:pPr>
              <w:rPr>
                <w:sz w:val="20"/>
                <w:szCs w:val="20"/>
              </w:rPr>
            </w:pPr>
            <w:r w:rsidRPr="00E34869">
              <w:rPr>
                <w:sz w:val="20"/>
                <w:lang w:eastAsia="zh-CN"/>
              </w:rPr>
              <w:lastRenderedPageBreak/>
              <w:t xml:space="preserve">To consider modifying definition of  </w:t>
            </w:r>
            <w:r w:rsidRPr="00E34869">
              <w:rPr>
                <w:sz w:val="20"/>
                <w:szCs w:val="20"/>
              </w:rPr>
              <w:t>θ</w:t>
            </w:r>
            <w:r w:rsidRPr="00E34869">
              <w:rPr>
                <w:sz w:val="20"/>
                <w:szCs w:val="20"/>
                <w:vertAlign w:val="subscript"/>
              </w:rPr>
              <w:t>Max</w:t>
            </w:r>
            <w:r w:rsidRPr="00E34869">
              <w:rPr>
                <w:sz w:val="20"/>
                <w:lang w:eastAsia="zh-CN"/>
              </w:rPr>
              <w:t xml:space="preserve"> for the bands subject to Nos. </w:t>
            </w:r>
            <w:r w:rsidRPr="00E34869">
              <w:rPr>
                <w:b/>
                <w:bCs/>
                <w:sz w:val="20"/>
                <w:lang w:eastAsia="zh-CN"/>
              </w:rPr>
              <w:t>22.5C</w:t>
            </w:r>
            <w:r w:rsidRPr="00E34869">
              <w:rPr>
                <w:sz w:val="20"/>
                <w:lang w:eastAsia="zh-CN"/>
              </w:rPr>
              <w:t xml:space="preserve">, </w:t>
            </w:r>
            <w:r w:rsidRPr="00E34869">
              <w:rPr>
                <w:b/>
                <w:bCs/>
                <w:sz w:val="20"/>
                <w:lang w:eastAsia="zh-CN"/>
              </w:rPr>
              <w:t xml:space="preserve">22.5D </w:t>
            </w:r>
            <w:r w:rsidRPr="00E34869">
              <w:rPr>
                <w:sz w:val="20"/>
                <w:lang w:eastAsia="zh-CN"/>
              </w:rPr>
              <w:t xml:space="preserve">to include previously submitted </w:t>
            </w:r>
            <w:r w:rsidRPr="00E34869">
              <w:rPr>
                <w:sz w:val="20"/>
                <w:szCs w:val="20"/>
              </w:rPr>
              <w:t xml:space="preserve">A.4.b.7.cbis in calculations or restricting non-GSO space station </w:t>
            </w:r>
            <w:r w:rsidRPr="00E34869">
              <w:rPr>
                <w:b/>
                <w:bCs/>
                <w:sz w:val="20"/>
                <w:szCs w:val="20"/>
              </w:rPr>
              <w:t>main-beam</w:t>
            </w:r>
            <w:r w:rsidRPr="00E34869">
              <w:rPr>
                <w:sz w:val="20"/>
                <w:szCs w:val="20"/>
              </w:rPr>
              <w:t xml:space="preserve"> pointing to another non-GSO or GSO at elevation angle (as visible from the point on the Earth which is intersect of the line on which two communicating satellites are operating and Earth surface) below A.4.b.7.cbis.</w:t>
            </w:r>
          </w:p>
          <w:p w14:paraId="59AED0BA" w14:textId="77777777" w:rsidR="00D43945" w:rsidRPr="00E34869" w:rsidRDefault="00D43945" w:rsidP="002D32CF">
            <w:pPr>
              <w:rPr>
                <w:i/>
                <w:sz w:val="20"/>
              </w:rPr>
            </w:pPr>
            <w:r w:rsidRPr="00E34869">
              <w:rPr>
                <w:sz w:val="20"/>
                <w:lang w:eastAsia="zh-CN"/>
              </w:rPr>
              <w:t xml:space="preserve">2) Reword this condition as </w:t>
            </w:r>
            <w:r w:rsidRPr="00E34869">
              <w:rPr>
                <w:i/>
                <w:sz w:val="20"/>
              </w:rPr>
              <w:t>shall only operate space-to-space links when its apogee altitude is lower than GSO satellite orbit height it communicates with or minimum operational altitude of non-GSO FSS space station it communicates with.</w:t>
            </w:r>
          </w:p>
          <w:p w14:paraId="228A5972" w14:textId="77777777" w:rsidR="00D43945" w:rsidRPr="00E34869" w:rsidRDefault="00D43945" w:rsidP="002D32CF">
            <w:pPr>
              <w:rPr>
                <w:sz w:val="20"/>
                <w:lang w:eastAsia="zh-CN"/>
              </w:rPr>
            </w:pPr>
          </w:p>
        </w:tc>
      </w:tr>
      <w:tr w:rsidR="00D43945" w14:paraId="0D906E16" w14:textId="77777777" w:rsidTr="002D32CF">
        <w:tc>
          <w:tcPr>
            <w:tcW w:w="636" w:type="dxa"/>
            <w:tcBorders>
              <w:top w:val="single" w:sz="4" w:space="0" w:color="auto"/>
              <w:left w:val="single" w:sz="4" w:space="0" w:color="auto"/>
              <w:bottom w:val="single" w:sz="4" w:space="0" w:color="auto"/>
              <w:right w:val="single" w:sz="4" w:space="0" w:color="auto"/>
            </w:tcBorders>
            <w:hideMark/>
          </w:tcPr>
          <w:p w14:paraId="0DCE39EC" w14:textId="77777777" w:rsidR="00D43945" w:rsidRPr="00E34869" w:rsidRDefault="00D43945" w:rsidP="002D32CF">
            <w:pPr>
              <w:rPr>
                <w:sz w:val="20"/>
                <w:lang w:eastAsia="zh-CN"/>
              </w:rPr>
            </w:pPr>
            <w:r w:rsidRPr="00E34869">
              <w:rPr>
                <w:sz w:val="20"/>
                <w:lang w:eastAsia="zh-CN"/>
              </w:rPr>
              <w:lastRenderedPageBreak/>
              <w:t>7</w:t>
            </w:r>
          </w:p>
        </w:tc>
        <w:tc>
          <w:tcPr>
            <w:tcW w:w="1116" w:type="dxa"/>
            <w:tcBorders>
              <w:top w:val="single" w:sz="4" w:space="0" w:color="auto"/>
              <w:left w:val="single" w:sz="4" w:space="0" w:color="auto"/>
              <w:bottom w:val="single" w:sz="4" w:space="0" w:color="auto"/>
              <w:right w:val="single" w:sz="4" w:space="0" w:color="auto"/>
            </w:tcBorders>
            <w:hideMark/>
          </w:tcPr>
          <w:p w14:paraId="3B90BE0B" w14:textId="77777777" w:rsidR="00D43945" w:rsidRPr="00E34869" w:rsidRDefault="00D43945" w:rsidP="002D32CF">
            <w:pPr>
              <w:rPr>
                <w:sz w:val="20"/>
                <w:szCs w:val="20"/>
              </w:rPr>
            </w:pPr>
            <w:r w:rsidRPr="00E34869">
              <w:rPr>
                <w:sz w:val="20"/>
                <w:szCs w:val="20"/>
              </w:rPr>
              <w:t>4/7/10.4.2 Method J2</w:t>
            </w:r>
          </w:p>
          <w:p w14:paraId="3AD78563" w14:textId="77777777" w:rsidR="00D43945" w:rsidRPr="00E34869" w:rsidRDefault="00D43945" w:rsidP="002D32CF">
            <w:pPr>
              <w:rPr>
                <w:sz w:val="20"/>
                <w:szCs w:val="20"/>
              </w:rPr>
            </w:pPr>
            <w:r w:rsidRPr="00E34869">
              <w:rPr>
                <w:sz w:val="20"/>
                <w:szCs w:val="20"/>
              </w:rPr>
              <w:t>4/7/10.4.2 Method J3</w:t>
            </w:r>
          </w:p>
          <w:p w14:paraId="7924F530" w14:textId="77777777" w:rsidR="00D43945" w:rsidRPr="00E34869" w:rsidRDefault="00D43945" w:rsidP="002D32CF">
            <w:pPr>
              <w:rPr>
                <w:sz w:val="20"/>
                <w:szCs w:val="20"/>
              </w:rPr>
            </w:pPr>
            <w:r w:rsidRPr="00E34869">
              <w:rPr>
                <w:sz w:val="20"/>
                <w:szCs w:val="20"/>
              </w:rPr>
              <w:lastRenderedPageBreak/>
              <w:t>4/7/10.4.4 Method J4</w:t>
            </w:r>
          </w:p>
          <w:p w14:paraId="19DF248E" w14:textId="77777777" w:rsidR="00D43945" w:rsidRPr="00E34869" w:rsidRDefault="00D43945" w:rsidP="002D32CF">
            <w:pPr>
              <w:rPr>
                <w:b/>
                <w:bCs/>
                <w:sz w:val="20"/>
                <w:lang w:eastAsia="zh-CN"/>
              </w:rPr>
            </w:pPr>
            <w:r w:rsidRPr="00E34869">
              <w:rPr>
                <w:sz w:val="20"/>
                <w:szCs w:val="20"/>
              </w:rPr>
              <w:t>4/7/10.4.5 Method J5</w:t>
            </w:r>
          </w:p>
        </w:tc>
        <w:tc>
          <w:tcPr>
            <w:tcW w:w="5353" w:type="dxa"/>
            <w:tcBorders>
              <w:top w:val="single" w:sz="4" w:space="0" w:color="auto"/>
              <w:left w:val="single" w:sz="4" w:space="0" w:color="auto"/>
              <w:bottom w:val="single" w:sz="4" w:space="0" w:color="auto"/>
              <w:right w:val="single" w:sz="4" w:space="0" w:color="auto"/>
            </w:tcBorders>
          </w:tcPr>
          <w:p w14:paraId="208A27A4" w14:textId="77777777" w:rsidR="00D43945" w:rsidRPr="00E34869" w:rsidRDefault="00D43945" w:rsidP="002D32CF">
            <w:pPr>
              <w:rPr>
                <w:sz w:val="20"/>
                <w:szCs w:val="20"/>
                <w:lang w:eastAsia="zh-CN"/>
              </w:rPr>
            </w:pPr>
            <w:r w:rsidRPr="00E34869">
              <w:rPr>
                <w:sz w:val="20"/>
                <w:szCs w:val="20"/>
                <w:lang w:eastAsia="zh-CN"/>
              </w:rPr>
              <w:lastRenderedPageBreak/>
              <w:t xml:space="preserve">MOD Resolution </w:t>
            </w:r>
            <w:r w:rsidRPr="00E34869">
              <w:rPr>
                <w:b/>
                <w:bCs/>
                <w:sz w:val="20"/>
                <w:szCs w:val="20"/>
                <w:lang w:eastAsia="zh-CN"/>
              </w:rPr>
              <w:t>76</w:t>
            </w:r>
            <w:r w:rsidRPr="00E34869">
              <w:rPr>
                <w:sz w:val="20"/>
                <w:szCs w:val="20"/>
                <w:lang w:eastAsia="zh-CN"/>
              </w:rPr>
              <w:t xml:space="preserve"> (Rev.WRC</w:t>
            </w:r>
            <w:r w:rsidRPr="00E34869">
              <w:rPr>
                <w:sz w:val="20"/>
                <w:szCs w:val="20"/>
                <w:lang w:eastAsia="zh-CN"/>
              </w:rPr>
              <w:noBreakHyphen/>
              <w:t xml:space="preserve">15) </w:t>
            </w:r>
          </w:p>
          <w:p w14:paraId="6F1F8010" w14:textId="77777777" w:rsidR="00D43945" w:rsidRPr="00E34869" w:rsidRDefault="00D43945" w:rsidP="002D32CF">
            <w:pPr>
              <w:rPr>
                <w:sz w:val="20"/>
                <w:lang w:eastAsia="zh-CN"/>
              </w:rPr>
            </w:pPr>
          </w:p>
        </w:tc>
        <w:tc>
          <w:tcPr>
            <w:tcW w:w="3330" w:type="dxa"/>
            <w:tcBorders>
              <w:top w:val="single" w:sz="4" w:space="0" w:color="auto"/>
              <w:left w:val="single" w:sz="4" w:space="0" w:color="auto"/>
              <w:bottom w:val="single" w:sz="4" w:space="0" w:color="auto"/>
              <w:right w:val="single" w:sz="4" w:space="0" w:color="auto"/>
            </w:tcBorders>
            <w:hideMark/>
          </w:tcPr>
          <w:p w14:paraId="2680DC93" w14:textId="77777777" w:rsidR="00D43945" w:rsidRPr="00E34869" w:rsidRDefault="00D43945" w:rsidP="002D32CF">
            <w:pPr>
              <w:rPr>
                <w:sz w:val="20"/>
                <w:szCs w:val="20"/>
                <w:lang w:eastAsia="zh-CN"/>
              </w:rPr>
            </w:pPr>
            <w:r w:rsidRPr="00E34869">
              <w:rPr>
                <w:rFonts w:eastAsia="TimesNewRoman,Italic"/>
                <w:sz w:val="20"/>
                <w:szCs w:val="20"/>
                <w:lang w:eastAsia="zh-CN"/>
              </w:rPr>
              <w:t xml:space="preserve">1) </w:t>
            </w:r>
            <w:r w:rsidRPr="00E34869">
              <w:rPr>
                <w:sz w:val="20"/>
                <w:szCs w:val="20"/>
              </w:rPr>
              <w:t xml:space="preserve">4/7/10.4.2 Method J2 </w:t>
            </w:r>
            <w:r w:rsidRPr="00E34869">
              <w:rPr>
                <w:sz w:val="20"/>
                <w:szCs w:val="20"/>
              </w:rPr>
              <w:br/>
            </w:r>
            <w:r w:rsidRPr="00E34869">
              <w:rPr>
                <w:sz w:val="20"/>
                <w:szCs w:val="20"/>
                <w:lang w:eastAsia="zh-CN"/>
              </w:rPr>
              <w:t xml:space="preserve">MOD Resolution </w:t>
            </w:r>
            <w:r w:rsidRPr="00E34869">
              <w:rPr>
                <w:b/>
                <w:bCs/>
                <w:sz w:val="20"/>
                <w:szCs w:val="20"/>
                <w:lang w:eastAsia="zh-CN"/>
              </w:rPr>
              <w:t>76</w:t>
            </w:r>
            <w:r w:rsidRPr="00E34869">
              <w:rPr>
                <w:sz w:val="20"/>
                <w:szCs w:val="20"/>
                <w:lang w:eastAsia="zh-CN"/>
              </w:rPr>
              <w:t xml:space="preserve"> (Rev.WRC</w:t>
            </w:r>
            <w:r w:rsidRPr="00E34869">
              <w:rPr>
                <w:sz w:val="20"/>
                <w:szCs w:val="20"/>
                <w:lang w:eastAsia="zh-CN"/>
              </w:rPr>
              <w:noBreakHyphen/>
              <w:t xml:space="preserve">15) </w:t>
            </w:r>
          </w:p>
          <w:p w14:paraId="389AC97F" w14:textId="77777777" w:rsidR="00D43945" w:rsidRPr="00E34869" w:rsidRDefault="00D43945" w:rsidP="002D32CF">
            <w:pPr>
              <w:pStyle w:val="Call"/>
              <w:ind w:left="0"/>
              <w:rPr>
                <w:sz w:val="20"/>
                <w:szCs w:val="20"/>
              </w:rPr>
            </w:pPr>
            <w:r w:rsidRPr="00E34869">
              <w:rPr>
                <w:rFonts w:eastAsia="TimesNewRoman,Italic"/>
                <w:sz w:val="20"/>
                <w:szCs w:val="20"/>
                <w:lang w:eastAsia="zh-CN"/>
              </w:rPr>
              <w:lastRenderedPageBreak/>
              <w:t xml:space="preserve">instructs the Radiocommunication Bureau 3 </w:t>
            </w:r>
            <w:r w:rsidRPr="00E34869">
              <w:rPr>
                <w:rFonts w:eastAsia="TimesNewRoman,Italic"/>
                <w:i w:val="0"/>
                <w:iCs/>
                <w:sz w:val="20"/>
                <w:szCs w:val="20"/>
                <w:lang w:eastAsia="zh-CN"/>
              </w:rPr>
              <w:t xml:space="preserve">requires the Bureau </w:t>
            </w:r>
            <w:r w:rsidRPr="00E34869">
              <w:rPr>
                <w:rFonts w:eastAsia="TimesNewRoman,Italic"/>
                <w:sz w:val="20"/>
                <w:szCs w:val="20"/>
                <w:lang w:eastAsia="zh-CN"/>
              </w:rPr>
              <w:t xml:space="preserve">to develop aggregate epfd calculation tools based </w:t>
            </w:r>
            <w:r w:rsidRPr="00E34869">
              <w:rPr>
                <w:sz w:val="20"/>
                <w:szCs w:val="20"/>
              </w:rPr>
              <w:t>on relevant ITU</w:t>
            </w:r>
            <w:r w:rsidRPr="00E34869">
              <w:rPr>
                <w:sz w:val="20"/>
                <w:szCs w:val="20"/>
              </w:rPr>
              <w:noBreakHyphen/>
              <w:t>R Recommendations.</w:t>
            </w:r>
          </w:p>
          <w:p w14:paraId="2530DBAA" w14:textId="77777777" w:rsidR="00D43945" w:rsidRPr="00E34869" w:rsidRDefault="00D43945" w:rsidP="002D32CF">
            <w:pPr>
              <w:rPr>
                <w:rFonts w:eastAsia="TimesNewRoman,Italic"/>
                <w:sz w:val="20"/>
                <w:szCs w:val="20"/>
              </w:rPr>
            </w:pPr>
            <w:r w:rsidRPr="00E34869">
              <w:rPr>
                <w:rFonts w:eastAsia="TimesNewRoman,Italic"/>
                <w:sz w:val="20"/>
                <w:szCs w:val="20"/>
              </w:rPr>
              <w:t>The Bureau understands that this development will be based on complete methodology either developed within ITU-R or agreed by consultation meetings and there will be no need for the Bureau to develop methodology itself using the elements of relevant ITU-R Recommendations. At the same time this methodology may need to be updated frequently taking into account specificity of particular non-GSO system or difficulties encountered by the Bureau. As such consultation meetings may be tasked to provide necessary updates to the methodology.</w:t>
            </w:r>
          </w:p>
          <w:p w14:paraId="5E67CA05" w14:textId="77777777" w:rsidR="00D43945" w:rsidRPr="00E34869" w:rsidRDefault="00D43945" w:rsidP="002D32CF">
            <w:pPr>
              <w:rPr>
                <w:iCs/>
                <w:sz w:val="20"/>
              </w:rPr>
            </w:pPr>
            <w:r w:rsidRPr="00E34869">
              <w:rPr>
                <w:rFonts w:eastAsia="TimesNewRoman,Italic"/>
                <w:sz w:val="20"/>
              </w:rPr>
              <w:t>2) The Bureau</w:t>
            </w:r>
            <w:r w:rsidRPr="00E34869">
              <w:rPr>
                <w:iCs/>
                <w:sz w:val="20"/>
              </w:rPr>
              <w:t xml:space="preserve"> understands that it will participate in the consultation meetings.</w:t>
            </w:r>
          </w:p>
        </w:tc>
        <w:tc>
          <w:tcPr>
            <w:tcW w:w="3600" w:type="dxa"/>
            <w:tcBorders>
              <w:top w:val="single" w:sz="4" w:space="0" w:color="auto"/>
              <w:left w:val="single" w:sz="4" w:space="0" w:color="auto"/>
              <w:bottom w:val="single" w:sz="4" w:space="0" w:color="auto"/>
              <w:right w:val="single" w:sz="4" w:space="0" w:color="auto"/>
            </w:tcBorders>
            <w:hideMark/>
          </w:tcPr>
          <w:p w14:paraId="4EBE03AC" w14:textId="77777777" w:rsidR="00D43945" w:rsidRPr="00E34869" w:rsidRDefault="00D43945" w:rsidP="002D32CF">
            <w:pPr>
              <w:rPr>
                <w:sz w:val="20"/>
                <w:lang w:eastAsia="zh-CN"/>
              </w:rPr>
            </w:pPr>
            <w:r w:rsidRPr="00E34869">
              <w:rPr>
                <w:sz w:val="20"/>
                <w:lang w:eastAsia="zh-CN"/>
              </w:rPr>
              <w:lastRenderedPageBreak/>
              <w:t>1) To clarify that the Bureau will be required to implement only the tool:</w:t>
            </w:r>
          </w:p>
          <w:p w14:paraId="6A9FBFDD" w14:textId="77777777" w:rsidR="00D43945" w:rsidRDefault="00D43945" w:rsidP="002D32CF">
            <w:pPr>
              <w:rPr>
                <w:i/>
                <w:iCs/>
                <w:sz w:val="20"/>
                <w:lang w:eastAsia="zh-CN"/>
              </w:rPr>
            </w:pPr>
            <w:r w:rsidRPr="00E34869">
              <w:rPr>
                <w:rFonts w:eastAsia="TimesNewRoman,Italic"/>
                <w:i/>
                <w:iCs/>
                <w:sz w:val="20"/>
                <w:szCs w:val="20"/>
                <w:lang w:eastAsia="zh-CN"/>
              </w:rPr>
              <w:t xml:space="preserve">implement aggregate epfd calculation tool using the methodology once it is developed under invites the ITU </w:t>
            </w:r>
            <w:r w:rsidRPr="00E34869">
              <w:rPr>
                <w:rFonts w:eastAsia="TimesNewRoman,Italic"/>
                <w:i/>
                <w:iCs/>
                <w:sz w:val="20"/>
                <w:szCs w:val="20"/>
                <w:lang w:eastAsia="zh-CN"/>
              </w:rPr>
              <w:lastRenderedPageBreak/>
              <w:t>Radiocommunication Sector and following the</w:t>
            </w:r>
            <w:r w:rsidRPr="00E34869">
              <w:rPr>
                <w:i/>
                <w:iCs/>
                <w:sz w:val="20"/>
                <w:szCs w:val="20"/>
              </w:rPr>
              <w:t xml:space="preserve"> guidance provided by consultation meetings</w:t>
            </w:r>
          </w:p>
        </w:tc>
      </w:tr>
    </w:tbl>
    <w:p w14:paraId="78DBEB93" w14:textId="77777777" w:rsidR="00D43945" w:rsidRPr="00970EF3" w:rsidRDefault="00D43945" w:rsidP="00D43945">
      <w:pPr>
        <w:rPr>
          <w:lang w:eastAsia="zh-CN"/>
        </w:rPr>
      </w:pPr>
    </w:p>
    <w:p w14:paraId="6D220806" w14:textId="77777777" w:rsidR="008F0839" w:rsidRDefault="008F0839">
      <w:pPr>
        <w:jc w:val="center"/>
      </w:pPr>
      <w:r>
        <w:t>______________</w:t>
      </w:r>
    </w:p>
    <w:p w14:paraId="7AB1193A" w14:textId="77777777" w:rsidR="00DE6CDF" w:rsidRPr="00AC632E" w:rsidRDefault="00DE6CDF" w:rsidP="00DE6CDF"/>
    <w:sectPr w:rsidR="00DE6CDF" w:rsidRPr="00AC632E" w:rsidSect="001828F0">
      <w:headerReference w:type="default" r:id="rId15"/>
      <w:footerReference w:type="even" r:id="rId16"/>
      <w:headerReference w:type="first" r:id="rId17"/>
      <w:pgSz w:w="16840" w:h="11907" w:orient="landscape" w:code="9"/>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E866F" w14:textId="77777777" w:rsidR="00C15AF0" w:rsidRDefault="00C15AF0">
      <w:r>
        <w:separator/>
      </w:r>
    </w:p>
  </w:endnote>
  <w:endnote w:type="continuationSeparator" w:id="0">
    <w:p w14:paraId="2B7B0AF5" w14:textId="77777777" w:rsidR="00C15AF0" w:rsidRDefault="00C1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Italic">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5F57" w14:textId="77777777" w:rsidR="00D43945" w:rsidRDefault="00D43945">
    <w:pPr>
      <w:framePr w:wrap="around" w:vAnchor="text" w:hAnchor="margin" w:xAlign="right" w:y="1"/>
    </w:pPr>
    <w:r>
      <w:fldChar w:fldCharType="begin"/>
    </w:r>
    <w:r>
      <w:instrText xml:space="preserve">PAGE  </w:instrText>
    </w:r>
    <w:r>
      <w:fldChar w:fldCharType="separate"/>
    </w:r>
    <w:r>
      <w:rPr>
        <w:noProof/>
      </w:rPr>
      <w:t>1</w:t>
    </w:r>
    <w:r>
      <w:fldChar w:fldCharType="end"/>
    </w:r>
  </w:p>
  <w:p w14:paraId="3EFB46AD" w14:textId="77777777" w:rsidR="00D43945" w:rsidRPr="0041348E" w:rsidRDefault="00D43945">
    <w:pPr>
      <w:ind w:right="360"/>
      <w:rPr>
        <w:lang w:val="en-US"/>
      </w:rPr>
    </w:pPr>
    <w:r>
      <w:fldChar w:fldCharType="begin"/>
    </w:r>
    <w:r w:rsidRPr="0041348E">
      <w:rPr>
        <w:lang w:val="en-US"/>
      </w:rPr>
      <w:instrText xml:space="preserve"> FILENAME \p  \* MERGEFORMAT </w:instrText>
    </w:r>
    <w:r>
      <w:fldChar w:fldCharType="separate"/>
    </w:r>
    <w:r>
      <w:rPr>
        <w:noProof/>
        <w:lang w:val="en-US"/>
      </w:rPr>
      <w:t>C:\Users\murphy\Dropbox\ProposalSharing\WRC-19\Template\English.docx</w:t>
    </w:r>
    <w:r>
      <w:fldChar w:fldCharType="end"/>
    </w:r>
    <w:r w:rsidRPr="0041348E">
      <w:rPr>
        <w:lang w:val="en-US"/>
      </w:rPr>
      <w:tab/>
    </w:r>
    <w:r>
      <w:fldChar w:fldCharType="begin"/>
    </w:r>
    <w:r>
      <w:instrText xml:space="preserve"> SAVEDATE \@ DD.MM.YY </w:instrText>
    </w:r>
    <w:r>
      <w:fldChar w:fldCharType="separate"/>
    </w:r>
    <w:r>
      <w:rPr>
        <w:noProof/>
      </w:rPr>
      <w:t>10.08.23</w:t>
    </w:r>
    <w:r>
      <w:fldChar w:fldCharType="end"/>
    </w:r>
    <w:r w:rsidRPr="0041348E">
      <w:rPr>
        <w:lang w:val="en-US"/>
      </w:rPr>
      <w:tab/>
    </w:r>
    <w:r>
      <w:fldChar w:fldCharType="begin"/>
    </w:r>
    <w:r>
      <w:instrText xml:space="preserve"> PRINTDATE \@ DD.MM.YY </w:instrText>
    </w:r>
    <w:r>
      <w:fldChar w:fldCharType="separate"/>
    </w:r>
    <w:r>
      <w:rPr>
        <w:noProof/>
      </w:rPr>
      <w:t>10.02.17</w:t>
    </w:r>
    <w:r>
      <w:fldChar w:fldCharType="end"/>
    </w:r>
  </w:p>
  <w:p w14:paraId="48D32BEB" w14:textId="77777777" w:rsidR="00D43945" w:rsidRDefault="00D43945"/>
  <w:p w14:paraId="6848C4BD" w14:textId="77777777" w:rsidR="00D43945" w:rsidRDefault="00D439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15643403"/>
      <w:docPartObj>
        <w:docPartGallery w:val="Page Numbers (Bottom of Page)"/>
        <w:docPartUnique/>
      </w:docPartObj>
    </w:sdtPr>
    <w:sdtEndPr>
      <w:rPr>
        <w:noProof/>
      </w:rPr>
    </w:sdtEndPr>
    <w:sdtContent>
      <w:p w14:paraId="6EA61B50" w14:textId="24078628" w:rsidR="00D43945" w:rsidRDefault="00D43945">
        <w:pPr>
          <w:pStyle w:val="Footer"/>
          <w:jc w:val="right"/>
        </w:pPr>
      </w:p>
    </w:sdtContent>
  </w:sdt>
  <w:p w14:paraId="7572B436" w14:textId="77777777" w:rsidR="00D43945" w:rsidRDefault="00D43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227EE" w14:textId="77777777" w:rsidR="00E45D05" w:rsidRDefault="00E45D05">
    <w:pPr>
      <w:framePr w:wrap="around" w:vAnchor="text" w:hAnchor="margin" w:xAlign="right" w:y="1"/>
    </w:pPr>
    <w:r>
      <w:fldChar w:fldCharType="begin"/>
    </w:r>
    <w:r>
      <w:instrText xml:space="preserve">PAGE  </w:instrText>
    </w:r>
    <w:r>
      <w:fldChar w:fldCharType="end"/>
    </w:r>
  </w:p>
  <w:p w14:paraId="57E2B571" w14:textId="40F60E7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C02572">
      <w:rPr>
        <w:noProof/>
        <w:lang w:val="en-US"/>
      </w:rPr>
      <w:t>Document2</w:t>
    </w:r>
    <w:r>
      <w:fldChar w:fldCharType="end"/>
    </w:r>
    <w:r w:rsidRPr="0041348E">
      <w:rPr>
        <w:lang w:val="en-US"/>
      </w:rPr>
      <w:tab/>
    </w:r>
    <w:r>
      <w:fldChar w:fldCharType="begin"/>
    </w:r>
    <w:r>
      <w:instrText xml:space="preserve"> SAVEDATE \@ DD.MM.YY </w:instrText>
    </w:r>
    <w:r>
      <w:fldChar w:fldCharType="separate"/>
    </w:r>
    <w:r w:rsidR="00F31097">
      <w:rPr>
        <w:noProof/>
      </w:rPr>
      <w:t>12.07.23</w:t>
    </w:r>
    <w:r>
      <w:fldChar w:fldCharType="end"/>
    </w:r>
    <w:r w:rsidRPr="0041348E">
      <w:rPr>
        <w:lang w:val="en-US"/>
      </w:rPr>
      <w:tab/>
    </w:r>
    <w:r>
      <w:fldChar w:fldCharType="begin"/>
    </w:r>
    <w:r>
      <w:instrText xml:space="preserve"> PRINTDATE \@ DD.MM.YY </w:instrText>
    </w:r>
    <w:r>
      <w:fldChar w:fldCharType="separate"/>
    </w:r>
    <w:r w:rsidR="00C02572">
      <w:rPr>
        <w:noProof/>
      </w:rPr>
      <w:t>24.08.11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FCEA3" w14:textId="77777777" w:rsidR="00C15AF0" w:rsidRDefault="00C15AF0">
      <w:r>
        <w:rPr>
          <w:b/>
        </w:rPr>
        <w:t>_______________</w:t>
      </w:r>
    </w:p>
  </w:footnote>
  <w:footnote w:type="continuationSeparator" w:id="0">
    <w:p w14:paraId="1A190B3A" w14:textId="77777777" w:rsidR="00C15AF0" w:rsidRDefault="00C15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C3E0B" w14:textId="77777777" w:rsidR="00E45D05" w:rsidRDefault="00E45D05" w:rsidP="00A30305">
    <w:pPr>
      <w:pStyle w:val="Header"/>
    </w:pPr>
    <w:r>
      <w:fldChar w:fldCharType="begin"/>
    </w:r>
    <w:r>
      <w:instrText xml:space="preserve"> PAGE </w:instrText>
    </w:r>
    <w:r>
      <w:fldChar w:fldCharType="separate"/>
    </w:r>
    <w:r w:rsidR="00EE069E">
      <w:rPr>
        <w:noProof/>
      </w:rPr>
      <w:t>2</w:t>
    </w:r>
    <w:r>
      <w:fldChar w:fldCharType="end"/>
    </w:r>
  </w:p>
  <w:p w14:paraId="2BB52814" w14:textId="4CC79FD5" w:rsidR="00E45D05" w:rsidRPr="00800972" w:rsidRDefault="008A7CB7" w:rsidP="00A30305">
    <w:pPr>
      <w:pStyle w:val="Header"/>
    </w:pPr>
    <w:r>
      <w:t>WRC</w:t>
    </w:r>
    <w:r w:rsidR="00B37A1C">
      <w:t>23</w:t>
    </w:r>
    <w:r w:rsidR="00A2048C">
      <w:t>/</w:t>
    </w:r>
    <w:r w:rsidR="00AC632E">
      <w:t>4(Add.</w:t>
    </w:r>
    <w:r w:rsidR="003E1C82">
      <w:t>6</w:t>
    </w:r>
    <w:r w:rsidR="00AC632E">
      <w:t>)</w:t>
    </w:r>
    <w:r w:rsidR="00A2048C">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600633"/>
      <w:docPartObj>
        <w:docPartGallery w:val="Page Numbers (Top of Page)"/>
        <w:docPartUnique/>
      </w:docPartObj>
    </w:sdtPr>
    <w:sdtEndPr>
      <w:rPr>
        <w:noProof/>
      </w:rPr>
    </w:sdtEndPr>
    <w:sdtContent>
      <w:p w14:paraId="2E3D35D0" w14:textId="35A35D15" w:rsidR="00BE0589" w:rsidRDefault="00BE0589">
        <w:pPr>
          <w:pStyle w:val="Header"/>
        </w:pPr>
        <w:r>
          <w:fldChar w:fldCharType="begin"/>
        </w:r>
        <w:r>
          <w:instrText xml:space="preserve"> PAGE   \* MERGEFORMAT </w:instrText>
        </w:r>
        <w:r>
          <w:fldChar w:fldCharType="separate"/>
        </w:r>
        <w:r>
          <w:rPr>
            <w:noProof/>
          </w:rPr>
          <w:t>2</w:t>
        </w:r>
        <w:r>
          <w:rPr>
            <w:noProof/>
          </w:rPr>
          <w:fldChar w:fldCharType="end"/>
        </w:r>
      </w:p>
    </w:sdtContent>
  </w:sdt>
  <w:p w14:paraId="26BFFC42" w14:textId="2AAC0602" w:rsidR="00BE0589" w:rsidRDefault="0030419E">
    <w:pPr>
      <w:pStyle w:val="Header"/>
    </w:pPr>
    <w:r>
      <w:t>WRC23/4(Add.</w:t>
    </w:r>
    <w:r w:rsidR="003E1C82">
      <w:t>6</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A56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C85E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CA18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F2F0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6262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ACD1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548D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9257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06D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DE72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197198F"/>
    <w:multiLevelType w:val="hybridMultilevel"/>
    <w:tmpl w:val="6486F6C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03836E72"/>
    <w:multiLevelType w:val="hybridMultilevel"/>
    <w:tmpl w:val="B6067B04"/>
    <w:lvl w:ilvl="0" w:tplc="0409001B">
      <w:start w:val="1"/>
      <w:numFmt w:val="lowerRoman"/>
      <w:lvlText w:val="%1."/>
      <w:lvlJc w:val="right"/>
      <w:pPr>
        <w:ind w:left="2148" w:hanging="360"/>
      </w:pPr>
      <w:rPr>
        <w:rFonts w:ascii="Times New Roman" w:hAnsi="Times New Roman" w:cs="Times New Roman" w:hint="default"/>
      </w:rPr>
    </w:lvl>
    <w:lvl w:ilvl="1" w:tplc="08090003">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13" w15:restartNumberingAfterBreak="0">
    <w:nsid w:val="04055524"/>
    <w:multiLevelType w:val="hybridMultilevel"/>
    <w:tmpl w:val="604228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608200F"/>
    <w:multiLevelType w:val="multilevel"/>
    <w:tmpl w:val="ACD4D60C"/>
    <w:lvl w:ilvl="0">
      <w:start w:val="1"/>
      <w:numFmt w:val="decimal"/>
      <w:lvlText w:val="%1."/>
      <w:lvlJc w:val="left"/>
      <w:pPr>
        <w:tabs>
          <w:tab w:val="num" w:pos="720"/>
        </w:tabs>
        <w:ind w:left="720" w:hanging="720"/>
      </w:pPr>
      <w:rPr>
        <w:rFonts w:ascii="Times New Roman" w:hAnsi="Times New Roman" w:cs="Times New Roman" w:hint="default"/>
        <w:b w:val="0"/>
        <w:i w:val="0"/>
        <w:sz w:val="22"/>
      </w:rPr>
    </w:lvl>
    <w:lvl w:ilvl="1">
      <w:start w:val="1"/>
      <w:numFmt w:val="decimal"/>
      <w:lvlText w:val="%1.%2"/>
      <w:lvlJc w:val="left"/>
      <w:pPr>
        <w:tabs>
          <w:tab w:val="num" w:pos="0"/>
        </w:tabs>
        <w:ind w:left="0" w:firstLine="0"/>
      </w:pPr>
      <w:rPr>
        <w:rFonts w:ascii="Times New Roman" w:hAnsi="Times New Roman" w:cs="Times New Roman" w:hint="default"/>
        <w:b w:val="0"/>
        <w:i w:val="0"/>
        <w:iCs w:val="0"/>
        <w:sz w:val="22"/>
      </w:rPr>
    </w:lvl>
    <w:lvl w:ilvl="2">
      <w:start w:val="1"/>
      <w:numFmt w:val="decimal"/>
      <w:lvlText w:val="%1.%2.%3"/>
      <w:lvlJc w:val="left"/>
      <w:pPr>
        <w:tabs>
          <w:tab w:val="num" w:pos="0"/>
        </w:tabs>
        <w:ind w:left="0" w:firstLine="0"/>
      </w:pPr>
      <w:rPr>
        <w:rFonts w:ascii="Times New Roman" w:hAnsi="Times New Roman" w:cs="Times New Roman" w:hint="default"/>
        <w:b w:val="0"/>
        <w:sz w:val="22"/>
      </w:rPr>
    </w:lvl>
    <w:lvl w:ilvl="3">
      <w:start w:val="1"/>
      <w:numFmt w:val="decimal"/>
      <w:lvlText w:val="%1.%2.%3.%4"/>
      <w:lvlJc w:val="left"/>
      <w:pPr>
        <w:tabs>
          <w:tab w:val="num" w:pos="0"/>
        </w:tabs>
        <w:ind w:left="0" w:firstLine="0"/>
      </w:pPr>
      <w:rPr>
        <w:rFonts w:ascii="Times New Roman" w:hAnsi="Times New Roman" w:cs="Times New Roman" w:hint="default"/>
        <w:b w:val="0"/>
        <w:sz w:val="22"/>
      </w:rPr>
    </w:lvl>
    <w:lvl w:ilvl="4">
      <w:start w:val="1"/>
      <w:numFmt w:val="decimal"/>
      <w:lvlText w:val="%1.%2.%3.%4.%5"/>
      <w:lvlJc w:val="left"/>
      <w:pPr>
        <w:tabs>
          <w:tab w:val="num" w:pos="0"/>
        </w:tabs>
        <w:ind w:left="0" w:firstLine="0"/>
      </w:pPr>
      <w:rPr>
        <w:rFonts w:ascii="Times New Roman" w:hAnsi="Times New Roman" w:cs="Times New Roman" w:hint="default"/>
        <w:b w:val="0"/>
        <w:sz w:val="22"/>
      </w:rPr>
    </w:lvl>
    <w:lvl w:ilvl="5">
      <w:start w:val="1"/>
      <w:numFmt w:val="decimal"/>
      <w:lvlText w:val="%1.%2.%3.%4.%5.%6"/>
      <w:lvlJc w:val="left"/>
      <w:pPr>
        <w:tabs>
          <w:tab w:val="num" w:pos="0"/>
        </w:tabs>
        <w:ind w:left="0" w:firstLine="0"/>
      </w:pPr>
      <w:rPr>
        <w:rFonts w:ascii="Times New Roman" w:hAnsi="Times New Roman" w:cs="Times New Roman" w:hint="default"/>
        <w:b w:val="0"/>
        <w:sz w:val="22"/>
      </w:rPr>
    </w:lvl>
    <w:lvl w:ilvl="6">
      <w:start w:val="1"/>
      <w:numFmt w:val="decimal"/>
      <w:lvlText w:val="%1.%2.%3.%4.%5.%6.%7"/>
      <w:lvlJc w:val="left"/>
      <w:pPr>
        <w:tabs>
          <w:tab w:val="num" w:pos="0"/>
        </w:tabs>
        <w:ind w:left="0" w:firstLine="0"/>
      </w:pPr>
      <w:rPr>
        <w:rFonts w:ascii="Times New Roman" w:hAnsi="Times New Roman" w:cs="Times New Roman" w:hint="default"/>
        <w:b w:val="0"/>
        <w:sz w:val="22"/>
      </w:rPr>
    </w:lvl>
    <w:lvl w:ilvl="7">
      <w:start w:val="1"/>
      <w:numFmt w:val="decimal"/>
      <w:lvlText w:val="%1.%2.%3.%4.%5.%6.%7.%8"/>
      <w:lvlJc w:val="left"/>
      <w:pPr>
        <w:tabs>
          <w:tab w:val="num" w:pos="0"/>
        </w:tabs>
        <w:ind w:left="0" w:firstLine="0"/>
      </w:pPr>
      <w:rPr>
        <w:rFonts w:ascii="Times New Roman" w:hAnsi="Times New Roman" w:cs="Times New Roman" w:hint="default"/>
        <w:b w:val="0"/>
        <w:sz w:val="22"/>
      </w:rPr>
    </w:lvl>
    <w:lvl w:ilvl="8">
      <w:start w:val="1"/>
      <w:numFmt w:val="decimal"/>
      <w:lvlText w:val="%1.%2.%3.%4.%5.%6.%7.%8.%9"/>
      <w:lvlJc w:val="left"/>
      <w:pPr>
        <w:tabs>
          <w:tab w:val="num" w:pos="0"/>
        </w:tabs>
        <w:ind w:left="0" w:firstLine="0"/>
      </w:pPr>
      <w:rPr>
        <w:rFonts w:ascii="Times New Roman" w:hAnsi="Times New Roman" w:cs="Times New Roman" w:hint="default"/>
        <w:b w:val="0"/>
        <w:sz w:val="22"/>
      </w:rPr>
    </w:lvl>
  </w:abstractNum>
  <w:abstractNum w:abstractNumId="15" w15:restartNumberingAfterBreak="0">
    <w:nsid w:val="07416DEE"/>
    <w:multiLevelType w:val="hybridMultilevel"/>
    <w:tmpl w:val="0E7AA3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0AA176D6"/>
    <w:multiLevelType w:val="multilevel"/>
    <w:tmpl w:val="7BDE6488"/>
    <w:lvl w:ilvl="0">
      <w:start w:val="1"/>
      <w:numFmt w:val="decimal"/>
      <w:lvlText w:val="%1."/>
      <w:lvlJc w:val="left"/>
      <w:pPr>
        <w:ind w:left="671" w:hanging="152"/>
      </w:pPr>
      <w:rPr>
        <w:rFonts w:ascii="Times New Roman" w:eastAsia="Times New Roman" w:hAnsi="Times New Roman" w:cs="Times New Roman" w:hint="default"/>
        <w:b w:val="0"/>
        <w:bCs w:val="0"/>
        <w:i w:val="0"/>
        <w:iCs w:val="0"/>
        <w:w w:val="100"/>
        <w:sz w:val="18"/>
        <w:szCs w:val="18"/>
        <w:lang w:val="en-US" w:eastAsia="en-US" w:bidi="ar-SA"/>
      </w:rPr>
    </w:lvl>
    <w:lvl w:ilvl="1">
      <w:start w:val="1"/>
      <w:numFmt w:val="decimal"/>
      <w:lvlText w:val="%1.%2"/>
      <w:lvlJc w:val="left"/>
      <w:pPr>
        <w:ind w:left="4931" w:hanging="452"/>
        <w:jc w:val="right"/>
      </w:pPr>
      <w:rPr>
        <w:rFonts w:ascii="Times New Roman" w:eastAsia="Times New Roman" w:hAnsi="Times New Roman" w:cs="Times New Roman" w:hint="default"/>
        <w:b/>
        <w:bCs/>
        <w:i w:val="0"/>
        <w:iCs w:val="0"/>
        <w:spacing w:val="-1"/>
        <w:w w:val="100"/>
        <w:sz w:val="20"/>
        <w:szCs w:val="20"/>
        <w:lang w:val="en-US" w:eastAsia="en-US" w:bidi="ar-SA"/>
      </w:rPr>
    </w:lvl>
    <w:lvl w:ilvl="2">
      <w:start w:val="1"/>
      <w:numFmt w:val="decimal"/>
      <w:lvlText w:val="%1.%2.%3"/>
      <w:lvlJc w:val="left"/>
      <w:pPr>
        <w:ind w:left="159" w:hanging="600"/>
      </w:pPr>
      <w:rPr>
        <w:rFonts w:ascii="Times New Roman" w:eastAsia="Times New Roman" w:hAnsi="Times New Roman" w:cs="Times New Roman" w:hint="default"/>
        <w:b w:val="0"/>
        <w:bCs w:val="0"/>
        <w:i w:val="0"/>
        <w:iCs w:val="0"/>
        <w:spacing w:val="-1"/>
        <w:w w:val="100"/>
        <w:sz w:val="20"/>
        <w:szCs w:val="20"/>
        <w:lang w:val="en-US" w:eastAsia="en-US" w:bidi="ar-SA"/>
      </w:rPr>
    </w:lvl>
    <w:lvl w:ilvl="3">
      <w:start w:val="1"/>
      <w:numFmt w:val="decimal"/>
      <w:lvlText w:val="%1.%2.%3.%4"/>
      <w:lvlJc w:val="left"/>
      <w:pPr>
        <w:ind w:left="1269" w:hanging="751"/>
      </w:pPr>
      <w:rPr>
        <w:rFonts w:hint="default"/>
        <w:spacing w:val="-1"/>
        <w:w w:val="100"/>
        <w:lang w:val="en-US" w:eastAsia="en-US" w:bidi="ar-SA"/>
      </w:rPr>
    </w:lvl>
    <w:lvl w:ilvl="4">
      <w:numFmt w:val="bullet"/>
      <w:lvlText w:val="•"/>
      <w:lvlJc w:val="left"/>
      <w:pPr>
        <w:ind w:left="4940" w:hanging="751"/>
      </w:pPr>
      <w:rPr>
        <w:rFonts w:hint="default"/>
        <w:lang w:val="en-US" w:eastAsia="en-US" w:bidi="ar-SA"/>
      </w:rPr>
    </w:lvl>
    <w:lvl w:ilvl="5">
      <w:numFmt w:val="bullet"/>
      <w:lvlText w:val="•"/>
      <w:lvlJc w:val="left"/>
      <w:pPr>
        <w:ind w:left="5850" w:hanging="751"/>
      </w:pPr>
      <w:rPr>
        <w:rFonts w:hint="default"/>
        <w:lang w:val="en-US" w:eastAsia="en-US" w:bidi="ar-SA"/>
      </w:rPr>
    </w:lvl>
    <w:lvl w:ilvl="6">
      <w:numFmt w:val="bullet"/>
      <w:lvlText w:val="•"/>
      <w:lvlJc w:val="left"/>
      <w:pPr>
        <w:ind w:left="6760" w:hanging="751"/>
      </w:pPr>
      <w:rPr>
        <w:rFonts w:hint="default"/>
        <w:lang w:val="en-US" w:eastAsia="en-US" w:bidi="ar-SA"/>
      </w:rPr>
    </w:lvl>
    <w:lvl w:ilvl="7">
      <w:numFmt w:val="bullet"/>
      <w:lvlText w:val="•"/>
      <w:lvlJc w:val="left"/>
      <w:pPr>
        <w:ind w:left="7670" w:hanging="751"/>
      </w:pPr>
      <w:rPr>
        <w:rFonts w:hint="default"/>
        <w:lang w:val="en-US" w:eastAsia="en-US" w:bidi="ar-SA"/>
      </w:rPr>
    </w:lvl>
    <w:lvl w:ilvl="8">
      <w:numFmt w:val="bullet"/>
      <w:lvlText w:val="•"/>
      <w:lvlJc w:val="left"/>
      <w:pPr>
        <w:ind w:left="8580" w:hanging="751"/>
      </w:pPr>
      <w:rPr>
        <w:rFonts w:hint="default"/>
        <w:lang w:val="en-US" w:eastAsia="en-US" w:bidi="ar-SA"/>
      </w:rPr>
    </w:lvl>
  </w:abstractNum>
  <w:abstractNum w:abstractNumId="17" w15:restartNumberingAfterBreak="0">
    <w:nsid w:val="0D2E6123"/>
    <w:multiLevelType w:val="hybridMultilevel"/>
    <w:tmpl w:val="82F4624C"/>
    <w:lvl w:ilvl="0" w:tplc="8E92044E">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18" w15:restartNumberingAfterBreak="0">
    <w:nsid w:val="0F9A44FB"/>
    <w:multiLevelType w:val="hybridMultilevel"/>
    <w:tmpl w:val="383827C0"/>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7824BE"/>
    <w:multiLevelType w:val="hybridMultilevel"/>
    <w:tmpl w:val="816A3B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5F60FC7"/>
    <w:multiLevelType w:val="multilevel"/>
    <w:tmpl w:val="E4AE929E"/>
    <w:lvl w:ilvl="0">
      <w:start w:val="2"/>
      <w:numFmt w:val="decimal"/>
      <w:lvlText w:val="%1"/>
      <w:lvlJc w:val="left"/>
      <w:pPr>
        <w:ind w:left="4294" w:hanging="451"/>
      </w:pPr>
      <w:rPr>
        <w:rFonts w:hint="default"/>
        <w:lang w:val="en-US" w:eastAsia="en-US" w:bidi="ar-SA"/>
      </w:rPr>
    </w:lvl>
    <w:lvl w:ilvl="1">
      <w:start w:val="1"/>
      <w:numFmt w:val="decimal"/>
      <w:lvlText w:val="%1.%2"/>
      <w:lvlJc w:val="left"/>
      <w:pPr>
        <w:ind w:left="6481" w:hanging="451"/>
        <w:jc w:val="right"/>
      </w:pPr>
      <w:rPr>
        <w:rFonts w:ascii="Times New Roman" w:eastAsia="Times New Roman" w:hAnsi="Times New Roman" w:cs="Times New Roman" w:hint="default"/>
        <w:b/>
        <w:bCs/>
        <w:i w:val="0"/>
        <w:iCs w:val="0"/>
        <w:spacing w:val="-1"/>
        <w:w w:val="100"/>
        <w:sz w:val="20"/>
        <w:szCs w:val="20"/>
        <w:lang w:val="en-US" w:eastAsia="en-US" w:bidi="ar-SA"/>
      </w:rPr>
    </w:lvl>
    <w:lvl w:ilvl="2">
      <w:start w:val="1"/>
      <w:numFmt w:val="decimal"/>
      <w:lvlText w:val="%1.%2.%3"/>
      <w:lvlJc w:val="left"/>
      <w:pPr>
        <w:ind w:left="1121" w:hanging="602"/>
      </w:pPr>
      <w:rPr>
        <w:rFonts w:ascii="Times New Roman" w:eastAsia="Times New Roman" w:hAnsi="Times New Roman" w:cs="Times New Roman" w:hint="default"/>
        <w:b w:val="0"/>
        <w:bCs w:val="0"/>
        <w:i w:val="0"/>
        <w:iCs w:val="0"/>
        <w:spacing w:val="-1"/>
        <w:w w:val="100"/>
        <w:sz w:val="20"/>
        <w:szCs w:val="20"/>
        <w:lang w:val="en-US" w:eastAsia="en-US" w:bidi="ar-SA"/>
      </w:rPr>
    </w:lvl>
    <w:lvl w:ilvl="3">
      <w:start w:val="1"/>
      <w:numFmt w:val="decimal"/>
      <w:lvlText w:val="%1.%2.%3.%4"/>
      <w:lvlJc w:val="left"/>
      <w:pPr>
        <w:ind w:left="160" w:hanging="751"/>
      </w:pPr>
      <w:rPr>
        <w:rFonts w:ascii="Times New Roman" w:eastAsia="Times New Roman" w:hAnsi="Times New Roman" w:cs="Times New Roman" w:hint="default"/>
        <w:b w:val="0"/>
        <w:bCs w:val="0"/>
        <w:i w:val="0"/>
        <w:iCs w:val="0"/>
        <w:spacing w:val="-1"/>
        <w:w w:val="100"/>
        <w:sz w:val="20"/>
        <w:szCs w:val="20"/>
        <w:lang w:val="en-US" w:eastAsia="en-US" w:bidi="ar-SA"/>
      </w:rPr>
    </w:lvl>
    <w:lvl w:ilvl="4">
      <w:numFmt w:val="bullet"/>
      <w:lvlText w:val="•"/>
      <w:lvlJc w:val="left"/>
      <w:pPr>
        <w:ind w:left="5825" w:hanging="751"/>
      </w:pPr>
      <w:rPr>
        <w:rFonts w:hint="default"/>
        <w:lang w:val="en-US" w:eastAsia="en-US" w:bidi="ar-SA"/>
      </w:rPr>
    </w:lvl>
    <w:lvl w:ilvl="5">
      <w:numFmt w:val="bullet"/>
      <w:lvlText w:val="•"/>
      <w:lvlJc w:val="left"/>
      <w:pPr>
        <w:ind w:left="6587" w:hanging="751"/>
      </w:pPr>
      <w:rPr>
        <w:rFonts w:hint="default"/>
        <w:lang w:val="en-US" w:eastAsia="en-US" w:bidi="ar-SA"/>
      </w:rPr>
    </w:lvl>
    <w:lvl w:ilvl="6">
      <w:numFmt w:val="bullet"/>
      <w:lvlText w:val="•"/>
      <w:lvlJc w:val="left"/>
      <w:pPr>
        <w:ind w:left="7350" w:hanging="751"/>
      </w:pPr>
      <w:rPr>
        <w:rFonts w:hint="default"/>
        <w:lang w:val="en-US" w:eastAsia="en-US" w:bidi="ar-SA"/>
      </w:rPr>
    </w:lvl>
    <w:lvl w:ilvl="7">
      <w:numFmt w:val="bullet"/>
      <w:lvlText w:val="•"/>
      <w:lvlJc w:val="left"/>
      <w:pPr>
        <w:ind w:left="8112" w:hanging="751"/>
      </w:pPr>
      <w:rPr>
        <w:rFonts w:hint="default"/>
        <w:lang w:val="en-US" w:eastAsia="en-US" w:bidi="ar-SA"/>
      </w:rPr>
    </w:lvl>
    <w:lvl w:ilvl="8">
      <w:numFmt w:val="bullet"/>
      <w:lvlText w:val="•"/>
      <w:lvlJc w:val="left"/>
      <w:pPr>
        <w:ind w:left="8875" w:hanging="751"/>
      </w:pPr>
      <w:rPr>
        <w:rFonts w:hint="default"/>
        <w:lang w:val="en-US" w:eastAsia="en-US" w:bidi="ar-SA"/>
      </w:rPr>
    </w:lvl>
  </w:abstractNum>
  <w:abstractNum w:abstractNumId="21" w15:restartNumberingAfterBreak="0">
    <w:nsid w:val="2A930D2A"/>
    <w:multiLevelType w:val="hybridMultilevel"/>
    <w:tmpl w:val="59626A18"/>
    <w:lvl w:ilvl="0" w:tplc="393AECF6">
      <w:start w:val="1"/>
      <w:numFmt w:val="lowerLetter"/>
      <w:lvlText w:val="%1)"/>
      <w:lvlJc w:val="left"/>
      <w:pPr>
        <w:ind w:left="1494" w:hanging="360"/>
      </w:pPr>
    </w:lvl>
    <w:lvl w:ilvl="1" w:tplc="10090019">
      <w:start w:val="1"/>
      <w:numFmt w:val="lowerLetter"/>
      <w:lvlText w:val="%2."/>
      <w:lvlJc w:val="left"/>
      <w:pPr>
        <w:ind w:left="2214" w:hanging="360"/>
      </w:pPr>
    </w:lvl>
    <w:lvl w:ilvl="2" w:tplc="1009001B">
      <w:start w:val="1"/>
      <w:numFmt w:val="lowerRoman"/>
      <w:lvlText w:val="%3."/>
      <w:lvlJc w:val="right"/>
      <w:pPr>
        <w:ind w:left="2934" w:hanging="180"/>
      </w:pPr>
    </w:lvl>
    <w:lvl w:ilvl="3" w:tplc="1009000F">
      <w:start w:val="1"/>
      <w:numFmt w:val="decimal"/>
      <w:lvlText w:val="%4."/>
      <w:lvlJc w:val="left"/>
      <w:pPr>
        <w:ind w:left="3654" w:hanging="360"/>
      </w:pPr>
    </w:lvl>
    <w:lvl w:ilvl="4" w:tplc="10090019">
      <w:start w:val="1"/>
      <w:numFmt w:val="lowerLetter"/>
      <w:lvlText w:val="%5."/>
      <w:lvlJc w:val="left"/>
      <w:pPr>
        <w:ind w:left="4374" w:hanging="360"/>
      </w:pPr>
    </w:lvl>
    <w:lvl w:ilvl="5" w:tplc="1009001B">
      <w:start w:val="1"/>
      <w:numFmt w:val="lowerRoman"/>
      <w:lvlText w:val="%6."/>
      <w:lvlJc w:val="right"/>
      <w:pPr>
        <w:ind w:left="5094" w:hanging="180"/>
      </w:pPr>
    </w:lvl>
    <w:lvl w:ilvl="6" w:tplc="1009000F">
      <w:start w:val="1"/>
      <w:numFmt w:val="decimal"/>
      <w:lvlText w:val="%7."/>
      <w:lvlJc w:val="left"/>
      <w:pPr>
        <w:ind w:left="5814" w:hanging="360"/>
      </w:pPr>
    </w:lvl>
    <w:lvl w:ilvl="7" w:tplc="10090019">
      <w:start w:val="1"/>
      <w:numFmt w:val="lowerLetter"/>
      <w:lvlText w:val="%8."/>
      <w:lvlJc w:val="left"/>
      <w:pPr>
        <w:ind w:left="6534" w:hanging="360"/>
      </w:pPr>
    </w:lvl>
    <w:lvl w:ilvl="8" w:tplc="1009001B">
      <w:start w:val="1"/>
      <w:numFmt w:val="lowerRoman"/>
      <w:lvlText w:val="%9."/>
      <w:lvlJc w:val="right"/>
      <w:pPr>
        <w:ind w:left="7254" w:hanging="180"/>
      </w:pPr>
    </w:lvl>
  </w:abstractNum>
  <w:abstractNum w:abstractNumId="22" w15:restartNumberingAfterBreak="0">
    <w:nsid w:val="30BE3906"/>
    <w:multiLevelType w:val="multilevel"/>
    <w:tmpl w:val="BBD693B8"/>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3" w15:restartNumberingAfterBreak="0">
    <w:nsid w:val="34BF38DA"/>
    <w:multiLevelType w:val="hybridMultilevel"/>
    <w:tmpl w:val="C6BCD27C"/>
    <w:lvl w:ilvl="0" w:tplc="F6969E4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AA75FAD"/>
    <w:multiLevelType w:val="hybridMultilevel"/>
    <w:tmpl w:val="1F7C4FA2"/>
    <w:lvl w:ilvl="0" w:tplc="52AE3D0C">
      <w:start w:val="3"/>
      <w:numFmt w:val="bullet"/>
      <w:lvlText w:val="—"/>
      <w:lvlJc w:val="left"/>
      <w:pPr>
        <w:ind w:left="1502" w:hanging="360"/>
      </w:pPr>
      <w:rPr>
        <w:rFonts w:ascii="Times New Roman" w:eastAsiaTheme="minorEastAsia" w:hAnsi="Times New Roman" w:cs="Times New Roman" w:hint="default"/>
      </w:rPr>
    </w:lvl>
    <w:lvl w:ilvl="1" w:tplc="94249436">
      <w:numFmt w:val="bullet"/>
      <w:lvlText w:val="-"/>
      <w:lvlJc w:val="left"/>
      <w:pPr>
        <w:ind w:left="2222" w:hanging="360"/>
      </w:pPr>
      <w:rPr>
        <w:rFonts w:ascii="Times New Roman" w:eastAsiaTheme="minorEastAsia" w:hAnsi="Times New Roman" w:cs="Times New Roman" w:hint="default"/>
      </w:rPr>
    </w:lvl>
    <w:lvl w:ilvl="2" w:tplc="10090005" w:tentative="1">
      <w:start w:val="1"/>
      <w:numFmt w:val="bullet"/>
      <w:lvlText w:val=""/>
      <w:lvlJc w:val="left"/>
      <w:pPr>
        <w:ind w:left="2942" w:hanging="360"/>
      </w:pPr>
      <w:rPr>
        <w:rFonts w:ascii="Wingdings" w:hAnsi="Wingdings" w:hint="default"/>
      </w:rPr>
    </w:lvl>
    <w:lvl w:ilvl="3" w:tplc="10090001" w:tentative="1">
      <w:start w:val="1"/>
      <w:numFmt w:val="bullet"/>
      <w:lvlText w:val=""/>
      <w:lvlJc w:val="left"/>
      <w:pPr>
        <w:ind w:left="3662" w:hanging="360"/>
      </w:pPr>
      <w:rPr>
        <w:rFonts w:ascii="Symbol" w:hAnsi="Symbol" w:hint="default"/>
      </w:rPr>
    </w:lvl>
    <w:lvl w:ilvl="4" w:tplc="10090003" w:tentative="1">
      <w:start w:val="1"/>
      <w:numFmt w:val="bullet"/>
      <w:lvlText w:val="o"/>
      <w:lvlJc w:val="left"/>
      <w:pPr>
        <w:ind w:left="4382" w:hanging="360"/>
      </w:pPr>
      <w:rPr>
        <w:rFonts w:ascii="Courier New" w:hAnsi="Courier New" w:cs="Courier New" w:hint="default"/>
      </w:rPr>
    </w:lvl>
    <w:lvl w:ilvl="5" w:tplc="10090005" w:tentative="1">
      <w:start w:val="1"/>
      <w:numFmt w:val="bullet"/>
      <w:lvlText w:val=""/>
      <w:lvlJc w:val="left"/>
      <w:pPr>
        <w:ind w:left="5102" w:hanging="360"/>
      </w:pPr>
      <w:rPr>
        <w:rFonts w:ascii="Wingdings" w:hAnsi="Wingdings" w:hint="default"/>
      </w:rPr>
    </w:lvl>
    <w:lvl w:ilvl="6" w:tplc="10090001" w:tentative="1">
      <w:start w:val="1"/>
      <w:numFmt w:val="bullet"/>
      <w:lvlText w:val=""/>
      <w:lvlJc w:val="left"/>
      <w:pPr>
        <w:ind w:left="5822" w:hanging="360"/>
      </w:pPr>
      <w:rPr>
        <w:rFonts w:ascii="Symbol" w:hAnsi="Symbol" w:hint="default"/>
      </w:rPr>
    </w:lvl>
    <w:lvl w:ilvl="7" w:tplc="10090003" w:tentative="1">
      <w:start w:val="1"/>
      <w:numFmt w:val="bullet"/>
      <w:lvlText w:val="o"/>
      <w:lvlJc w:val="left"/>
      <w:pPr>
        <w:ind w:left="6542" w:hanging="360"/>
      </w:pPr>
      <w:rPr>
        <w:rFonts w:ascii="Courier New" w:hAnsi="Courier New" w:cs="Courier New" w:hint="default"/>
      </w:rPr>
    </w:lvl>
    <w:lvl w:ilvl="8" w:tplc="10090005" w:tentative="1">
      <w:start w:val="1"/>
      <w:numFmt w:val="bullet"/>
      <w:lvlText w:val=""/>
      <w:lvlJc w:val="left"/>
      <w:pPr>
        <w:ind w:left="7262" w:hanging="360"/>
      </w:pPr>
      <w:rPr>
        <w:rFonts w:ascii="Wingdings" w:hAnsi="Wingdings" w:hint="default"/>
      </w:rPr>
    </w:lvl>
  </w:abstractNum>
  <w:abstractNum w:abstractNumId="25" w15:restartNumberingAfterBreak="0">
    <w:nsid w:val="3AC72439"/>
    <w:multiLevelType w:val="multilevel"/>
    <w:tmpl w:val="70CA9408"/>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26" w15:restartNumberingAfterBreak="0">
    <w:nsid w:val="41A35653"/>
    <w:multiLevelType w:val="hybridMultilevel"/>
    <w:tmpl w:val="F87C3CA0"/>
    <w:lvl w:ilvl="0" w:tplc="9056CEA4">
      <w:start w:val="4"/>
      <w:numFmt w:val="lowerLetter"/>
      <w:lvlText w:val="%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87C7A8D"/>
    <w:multiLevelType w:val="hybridMultilevel"/>
    <w:tmpl w:val="856277F8"/>
    <w:lvl w:ilvl="0" w:tplc="08090001">
      <w:start w:val="1"/>
      <w:numFmt w:val="bullet"/>
      <w:lvlText w:val=""/>
      <w:lvlJc w:val="left"/>
      <w:pPr>
        <w:ind w:left="2148" w:hanging="360"/>
      </w:pPr>
      <w:rPr>
        <w:rFonts w:ascii="Symbol" w:hAnsi="Symbol" w:hint="default"/>
      </w:rPr>
    </w:lvl>
    <w:lvl w:ilvl="1" w:tplc="08090003">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28" w15:restartNumberingAfterBreak="0">
    <w:nsid w:val="4A427985"/>
    <w:multiLevelType w:val="multilevel"/>
    <w:tmpl w:val="4DE6E3BE"/>
    <w:lvl w:ilvl="0">
      <w:start w:val="3"/>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3"/>
      <w:numFmt w:val="decimal"/>
      <w:lvlText w:val="%1.%2.%3"/>
      <w:lvlJc w:val="left"/>
      <w:pPr>
        <w:ind w:left="1200" w:hanging="720"/>
      </w:pPr>
      <w:rPr>
        <w:rFonts w:hint="default"/>
      </w:rPr>
    </w:lvl>
    <w:lvl w:ilvl="3">
      <w:start w:val="9"/>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9" w15:restartNumberingAfterBreak="0">
    <w:nsid w:val="4A572B95"/>
    <w:multiLevelType w:val="hybridMultilevel"/>
    <w:tmpl w:val="B2C83800"/>
    <w:lvl w:ilvl="0" w:tplc="BAE680CC">
      <w:start w:val="3"/>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C95251C"/>
    <w:multiLevelType w:val="hybridMultilevel"/>
    <w:tmpl w:val="88A829A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1" w15:restartNumberingAfterBreak="0">
    <w:nsid w:val="56720C2E"/>
    <w:multiLevelType w:val="hybridMultilevel"/>
    <w:tmpl w:val="B2202942"/>
    <w:lvl w:ilvl="0" w:tplc="D5083BB4">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2" w15:restartNumberingAfterBreak="0">
    <w:nsid w:val="69EB2766"/>
    <w:multiLevelType w:val="hybridMultilevel"/>
    <w:tmpl w:val="C206F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B5869C6"/>
    <w:multiLevelType w:val="hybridMultilevel"/>
    <w:tmpl w:val="CB9239F0"/>
    <w:lvl w:ilvl="0" w:tplc="19F6726A">
      <w:start w:val="5"/>
      <w:numFmt w:val="bullet"/>
      <w:lvlText w:val="-"/>
      <w:lvlJc w:val="left"/>
      <w:pPr>
        <w:ind w:left="1636" w:hanging="360"/>
      </w:pPr>
      <w:rPr>
        <w:rFonts w:ascii="Times New Roman" w:eastAsia="SimSun" w:hAnsi="Times New Roman"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4" w15:restartNumberingAfterBreak="0">
    <w:nsid w:val="6D2E4DC2"/>
    <w:multiLevelType w:val="hybridMultilevel"/>
    <w:tmpl w:val="DEF0532E"/>
    <w:lvl w:ilvl="0" w:tplc="30E66FF8">
      <w:start w:val="1"/>
      <w:numFmt w:val="lowerLetter"/>
      <w:lvlText w:val="%1)"/>
      <w:lvlJc w:val="left"/>
      <w:pPr>
        <w:ind w:left="785" w:hanging="360"/>
      </w:pPr>
      <w:rPr>
        <w:rFonts w:hint="default"/>
      </w:rPr>
    </w:lvl>
    <w:lvl w:ilvl="1" w:tplc="10090019" w:tentative="1">
      <w:start w:val="1"/>
      <w:numFmt w:val="lowerLetter"/>
      <w:lvlText w:val="%2."/>
      <w:lvlJc w:val="left"/>
      <w:pPr>
        <w:ind w:left="1505" w:hanging="360"/>
      </w:pPr>
    </w:lvl>
    <w:lvl w:ilvl="2" w:tplc="1009001B" w:tentative="1">
      <w:start w:val="1"/>
      <w:numFmt w:val="lowerRoman"/>
      <w:lvlText w:val="%3."/>
      <w:lvlJc w:val="right"/>
      <w:pPr>
        <w:ind w:left="2225" w:hanging="180"/>
      </w:pPr>
    </w:lvl>
    <w:lvl w:ilvl="3" w:tplc="1009000F" w:tentative="1">
      <w:start w:val="1"/>
      <w:numFmt w:val="decimal"/>
      <w:lvlText w:val="%4."/>
      <w:lvlJc w:val="left"/>
      <w:pPr>
        <w:ind w:left="2945" w:hanging="360"/>
      </w:pPr>
    </w:lvl>
    <w:lvl w:ilvl="4" w:tplc="10090019" w:tentative="1">
      <w:start w:val="1"/>
      <w:numFmt w:val="lowerLetter"/>
      <w:lvlText w:val="%5."/>
      <w:lvlJc w:val="left"/>
      <w:pPr>
        <w:ind w:left="3665" w:hanging="360"/>
      </w:pPr>
    </w:lvl>
    <w:lvl w:ilvl="5" w:tplc="1009001B" w:tentative="1">
      <w:start w:val="1"/>
      <w:numFmt w:val="lowerRoman"/>
      <w:lvlText w:val="%6."/>
      <w:lvlJc w:val="right"/>
      <w:pPr>
        <w:ind w:left="4385" w:hanging="180"/>
      </w:pPr>
    </w:lvl>
    <w:lvl w:ilvl="6" w:tplc="1009000F" w:tentative="1">
      <w:start w:val="1"/>
      <w:numFmt w:val="decimal"/>
      <w:lvlText w:val="%7."/>
      <w:lvlJc w:val="left"/>
      <w:pPr>
        <w:ind w:left="5105" w:hanging="360"/>
      </w:pPr>
    </w:lvl>
    <w:lvl w:ilvl="7" w:tplc="10090019" w:tentative="1">
      <w:start w:val="1"/>
      <w:numFmt w:val="lowerLetter"/>
      <w:lvlText w:val="%8."/>
      <w:lvlJc w:val="left"/>
      <w:pPr>
        <w:ind w:left="5825" w:hanging="360"/>
      </w:pPr>
    </w:lvl>
    <w:lvl w:ilvl="8" w:tplc="1009001B" w:tentative="1">
      <w:start w:val="1"/>
      <w:numFmt w:val="lowerRoman"/>
      <w:lvlText w:val="%9."/>
      <w:lvlJc w:val="right"/>
      <w:pPr>
        <w:ind w:left="6545" w:hanging="180"/>
      </w:pPr>
    </w:lvl>
  </w:abstractNum>
  <w:num w:numId="1" w16cid:durableId="1828091258">
    <w:abstractNumId w:val="8"/>
  </w:num>
  <w:num w:numId="2" w16cid:durableId="1837843206">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773473818">
    <w:abstractNumId w:val="33"/>
  </w:num>
  <w:num w:numId="4" w16cid:durableId="664089796">
    <w:abstractNumId w:val="23"/>
  </w:num>
  <w:num w:numId="5" w16cid:durableId="300117923">
    <w:abstractNumId w:val="18"/>
  </w:num>
  <w:num w:numId="6" w16cid:durableId="156965558">
    <w:abstractNumId w:val="19"/>
  </w:num>
  <w:num w:numId="7" w16cid:durableId="1818642175">
    <w:abstractNumId w:val="27"/>
  </w:num>
  <w:num w:numId="8" w16cid:durableId="1894998260">
    <w:abstractNumId w:val="12"/>
  </w:num>
  <w:num w:numId="9" w16cid:durableId="1079792281">
    <w:abstractNumId w:val="11"/>
  </w:num>
  <w:num w:numId="10" w16cid:durableId="1993018723">
    <w:abstractNumId w:val="32"/>
  </w:num>
  <w:num w:numId="11" w16cid:durableId="1347100634">
    <w:abstractNumId w:val="25"/>
  </w:num>
  <w:num w:numId="12" w16cid:durableId="531767959">
    <w:abstractNumId w:val="14"/>
  </w:num>
  <w:num w:numId="13" w16cid:durableId="11882503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7766072">
    <w:abstractNumId w:val="29"/>
  </w:num>
  <w:num w:numId="15" w16cid:durableId="130178234">
    <w:abstractNumId w:val="34"/>
  </w:num>
  <w:num w:numId="16" w16cid:durableId="435905879">
    <w:abstractNumId w:val="24"/>
  </w:num>
  <w:num w:numId="17" w16cid:durableId="17380152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9469140">
    <w:abstractNumId w:val="31"/>
  </w:num>
  <w:num w:numId="19" w16cid:durableId="1564487649">
    <w:abstractNumId w:val="28"/>
  </w:num>
  <w:num w:numId="20" w16cid:durableId="7939865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31842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0652779">
    <w:abstractNumId w:val="16"/>
  </w:num>
  <w:num w:numId="23" w16cid:durableId="1310743296">
    <w:abstractNumId w:val="20"/>
  </w:num>
  <w:num w:numId="24" w16cid:durableId="1752309743">
    <w:abstractNumId w:val="17"/>
  </w:num>
  <w:num w:numId="25" w16cid:durableId="1278021822">
    <w:abstractNumId w:val="30"/>
  </w:num>
  <w:num w:numId="26" w16cid:durableId="2124104875">
    <w:abstractNumId w:val="15"/>
  </w:num>
  <w:num w:numId="27" w16cid:durableId="67849706">
    <w:abstractNumId w:val="26"/>
  </w:num>
  <w:num w:numId="28" w16cid:durableId="1964534164">
    <w:abstractNumId w:val="9"/>
  </w:num>
  <w:num w:numId="29" w16cid:durableId="374427707">
    <w:abstractNumId w:val="7"/>
  </w:num>
  <w:num w:numId="30" w16cid:durableId="1095440555">
    <w:abstractNumId w:val="6"/>
  </w:num>
  <w:num w:numId="31" w16cid:durableId="1733849477">
    <w:abstractNumId w:val="5"/>
  </w:num>
  <w:num w:numId="32" w16cid:durableId="1525897312">
    <w:abstractNumId w:val="4"/>
  </w:num>
  <w:num w:numId="33" w16cid:durableId="1698964746">
    <w:abstractNumId w:val="8"/>
  </w:num>
  <w:num w:numId="34" w16cid:durableId="1656564529">
    <w:abstractNumId w:val="3"/>
  </w:num>
  <w:num w:numId="35" w16cid:durableId="1579363774">
    <w:abstractNumId w:val="2"/>
  </w:num>
  <w:num w:numId="36" w16cid:durableId="347222699">
    <w:abstractNumId w:val="1"/>
  </w:num>
  <w:num w:numId="37" w16cid:durableId="536697445">
    <w:abstractNumId w:val="0"/>
  </w:num>
  <w:num w:numId="38" w16cid:durableId="1272398048">
    <w:abstractNumId w:val="9"/>
  </w:num>
  <w:num w:numId="39" w16cid:durableId="1850023152">
    <w:abstractNumId w:val="7"/>
  </w:num>
  <w:num w:numId="40" w16cid:durableId="919602999">
    <w:abstractNumId w:val="6"/>
  </w:num>
  <w:num w:numId="41" w16cid:durableId="1876696784">
    <w:abstractNumId w:val="5"/>
  </w:num>
  <w:num w:numId="42" w16cid:durableId="777481623">
    <w:abstractNumId w:val="4"/>
  </w:num>
  <w:num w:numId="43" w16cid:durableId="1114980167">
    <w:abstractNumId w:val="8"/>
  </w:num>
  <w:num w:numId="44" w16cid:durableId="1390616435">
    <w:abstractNumId w:val="3"/>
  </w:num>
  <w:num w:numId="45" w16cid:durableId="1541431837">
    <w:abstractNumId w:val="2"/>
  </w:num>
  <w:num w:numId="46" w16cid:durableId="1679575937">
    <w:abstractNumId w:val="1"/>
  </w:num>
  <w:num w:numId="47" w16cid:durableId="1736664606">
    <w:abstractNumId w:val="0"/>
  </w:num>
  <w:num w:numId="48" w16cid:durableId="20141393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wMjAxMzAwMbcwMjNW0lEKTi0uzszPAykwrAUAL9HL3CwAAAA="/>
  </w:docVars>
  <w:rsids>
    <w:rsidRoot w:val="00C02572"/>
    <w:rsid w:val="00002A0B"/>
    <w:rsid w:val="000041EA"/>
    <w:rsid w:val="00005876"/>
    <w:rsid w:val="000131B1"/>
    <w:rsid w:val="00022A29"/>
    <w:rsid w:val="000355FD"/>
    <w:rsid w:val="00040FA8"/>
    <w:rsid w:val="0004366F"/>
    <w:rsid w:val="00044DBE"/>
    <w:rsid w:val="00051E39"/>
    <w:rsid w:val="000551E6"/>
    <w:rsid w:val="00061C3A"/>
    <w:rsid w:val="000648C4"/>
    <w:rsid w:val="00067761"/>
    <w:rsid w:val="0007459B"/>
    <w:rsid w:val="000757AD"/>
    <w:rsid w:val="000771E4"/>
    <w:rsid w:val="00077239"/>
    <w:rsid w:val="00077433"/>
    <w:rsid w:val="00085661"/>
    <w:rsid w:val="00086491"/>
    <w:rsid w:val="00091346"/>
    <w:rsid w:val="00096877"/>
    <w:rsid w:val="000A0CE5"/>
    <w:rsid w:val="000A4A0C"/>
    <w:rsid w:val="000A6559"/>
    <w:rsid w:val="000B3F7A"/>
    <w:rsid w:val="000C3392"/>
    <w:rsid w:val="000C4FB5"/>
    <w:rsid w:val="000C6396"/>
    <w:rsid w:val="000D56BB"/>
    <w:rsid w:val="000E42C1"/>
    <w:rsid w:val="000E60CD"/>
    <w:rsid w:val="000E6D95"/>
    <w:rsid w:val="000F23A9"/>
    <w:rsid w:val="000F73FF"/>
    <w:rsid w:val="000F7BD7"/>
    <w:rsid w:val="00103630"/>
    <w:rsid w:val="001128C7"/>
    <w:rsid w:val="00114CF7"/>
    <w:rsid w:val="00114D91"/>
    <w:rsid w:val="00117DF3"/>
    <w:rsid w:val="00123B68"/>
    <w:rsid w:val="00124946"/>
    <w:rsid w:val="00126F2E"/>
    <w:rsid w:val="00132C2E"/>
    <w:rsid w:val="00146F6F"/>
    <w:rsid w:val="001828F0"/>
    <w:rsid w:val="00184417"/>
    <w:rsid w:val="00186A70"/>
    <w:rsid w:val="00190B55"/>
    <w:rsid w:val="001C057C"/>
    <w:rsid w:val="001C3B5F"/>
    <w:rsid w:val="001D058F"/>
    <w:rsid w:val="001D18E3"/>
    <w:rsid w:val="001E67C4"/>
    <w:rsid w:val="001F62DD"/>
    <w:rsid w:val="002009EA"/>
    <w:rsid w:val="00202CA0"/>
    <w:rsid w:val="002067CF"/>
    <w:rsid w:val="002149AA"/>
    <w:rsid w:val="00220569"/>
    <w:rsid w:val="0022060F"/>
    <w:rsid w:val="00223592"/>
    <w:rsid w:val="00243C8D"/>
    <w:rsid w:val="0026035E"/>
    <w:rsid w:val="0026520D"/>
    <w:rsid w:val="00271316"/>
    <w:rsid w:val="0027336E"/>
    <w:rsid w:val="002735EE"/>
    <w:rsid w:val="002774DE"/>
    <w:rsid w:val="00280B6B"/>
    <w:rsid w:val="00293146"/>
    <w:rsid w:val="002A33D2"/>
    <w:rsid w:val="002A70EF"/>
    <w:rsid w:val="002C4F17"/>
    <w:rsid w:val="002D58BE"/>
    <w:rsid w:val="002E0445"/>
    <w:rsid w:val="002E1DAC"/>
    <w:rsid w:val="0030419E"/>
    <w:rsid w:val="00317F55"/>
    <w:rsid w:val="00320634"/>
    <w:rsid w:val="00342273"/>
    <w:rsid w:val="0034295D"/>
    <w:rsid w:val="00342A88"/>
    <w:rsid w:val="003568D6"/>
    <w:rsid w:val="00357638"/>
    <w:rsid w:val="00371B06"/>
    <w:rsid w:val="00377BD3"/>
    <w:rsid w:val="00384088"/>
    <w:rsid w:val="00396E90"/>
    <w:rsid w:val="003A1D1C"/>
    <w:rsid w:val="003A6C98"/>
    <w:rsid w:val="003A7F8C"/>
    <w:rsid w:val="003B35CE"/>
    <w:rsid w:val="003B532E"/>
    <w:rsid w:val="003B562A"/>
    <w:rsid w:val="003B5C4A"/>
    <w:rsid w:val="003C4685"/>
    <w:rsid w:val="003D0F8B"/>
    <w:rsid w:val="003E09E7"/>
    <w:rsid w:val="003E1C82"/>
    <w:rsid w:val="003E24F7"/>
    <w:rsid w:val="003E378F"/>
    <w:rsid w:val="00403878"/>
    <w:rsid w:val="00404E08"/>
    <w:rsid w:val="0041348E"/>
    <w:rsid w:val="0042123E"/>
    <w:rsid w:val="0042694D"/>
    <w:rsid w:val="0043131C"/>
    <w:rsid w:val="0043444A"/>
    <w:rsid w:val="004462E4"/>
    <w:rsid w:val="00461086"/>
    <w:rsid w:val="00461975"/>
    <w:rsid w:val="00473D0C"/>
    <w:rsid w:val="00483FC9"/>
    <w:rsid w:val="004864BB"/>
    <w:rsid w:val="00492075"/>
    <w:rsid w:val="004969AD"/>
    <w:rsid w:val="004A0E1F"/>
    <w:rsid w:val="004B031A"/>
    <w:rsid w:val="004B30D4"/>
    <w:rsid w:val="004B64FA"/>
    <w:rsid w:val="004D1BC9"/>
    <w:rsid w:val="004D5D5C"/>
    <w:rsid w:val="004E782B"/>
    <w:rsid w:val="004F7821"/>
    <w:rsid w:val="004F795A"/>
    <w:rsid w:val="0050139F"/>
    <w:rsid w:val="00522159"/>
    <w:rsid w:val="0053485C"/>
    <w:rsid w:val="00535404"/>
    <w:rsid w:val="005427FE"/>
    <w:rsid w:val="00560BA1"/>
    <w:rsid w:val="0056132B"/>
    <w:rsid w:val="00567CA6"/>
    <w:rsid w:val="005749AE"/>
    <w:rsid w:val="00577C62"/>
    <w:rsid w:val="0058413F"/>
    <w:rsid w:val="005964AB"/>
    <w:rsid w:val="00597B60"/>
    <w:rsid w:val="005B29A4"/>
    <w:rsid w:val="005C099A"/>
    <w:rsid w:val="005C31A5"/>
    <w:rsid w:val="005C410C"/>
    <w:rsid w:val="005D31D6"/>
    <w:rsid w:val="005E61DD"/>
    <w:rsid w:val="006023DF"/>
    <w:rsid w:val="00617884"/>
    <w:rsid w:val="00621502"/>
    <w:rsid w:val="0062420F"/>
    <w:rsid w:val="00633318"/>
    <w:rsid w:val="006347EE"/>
    <w:rsid w:val="00642BA7"/>
    <w:rsid w:val="006473A5"/>
    <w:rsid w:val="00651B52"/>
    <w:rsid w:val="0065772D"/>
    <w:rsid w:val="00657DE0"/>
    <w:rsid w:val="006750E9"/>
    <w:rsid w:val="00680C98"/>
    <w:rsid w:val="00685313"/>
    <w:rsid w:val="00685A7A"/>
    <w:rsid w:val="006916EA"/>
    <w:rsid w:val="006943ED"/>
    <w:rsid w:val="006A2E9A"/>
    <w:rsid w:val="006A6E9B"/>
    <w:rsid w:val="006B0F12"/>
    <w:rsid w:val="006B2846"/>
    <w:rsid w:val="006B3FA6"/>
    <w:rsid w:val="006C38E6"/>
    <w:rsid w:val="006C62F7"/>
    <w:rsid w:val="006D4749"/>
    <w:rsid w:val="006D5099"/>
    <w:rsid w:val="006D7AD7"/>
    <w:rsid w:val="006E541D"/>
    <w:rsid w:val="006F0DDD"/>
    <w:rsid w:val="006F32B7"/>
    <w:rsid w:val="00700F60"/>
    <w:rsid w:val="00704723"/>
    <w:rsid w:val="007146D4"/>
    <w:rsid w:val="007149F9"/>
    <w:rsid w:val="00715118"/>
    <w:rsid w:val="00723A48"/>
    <w:rsid w:val="00727F2C"/>
    <w:rsid w:val="00733A30"/>
    <w:rsid w:val="00737718"/>
    <w:rsid w:val="007449E3"/>
    <w:rsid w:val="00745AEE"/>
    <w:rsid w:val="00747CCC"/>
    <w:rsid w:val="00756F68"/>
    <w:rsid w:val="00767206"/>
    <w:rsid w:val="007742CA"/>
    <w:rsid w:val="00774730"/>
    <w:rsid w:val="00774A2B"/>
    <w:rsid w:val="00775C50"/>
    <w:rsid w:val="00780434"/>
    <w:rsid w:val="00781030"/>
    <w:rsid w:val="007867EA"/>
    <w:rsid w:val="00791430"/>
    <w:rsid w:val="007A05B0"/>
    <w:rsid w:val="007A1D5F"/>
    <w:rsid w:val="007A2B1C"/>
    <w:rsid w:val="007A3906"/>
    <w:rsid w:val="007A3AB3"/>
    <w:rsid w:val="007A6FE6"/>
    <w:rsid w:val="007B0BF7"/>
    <w:rsid w:val="007B1CBD"/>
    <w:rsid w:val="007C66FB"/>
    <w:rsid w:val="007C67B9"/>
    <w:rsid w:val="007D585A"/>
    <w:rsid w:val="007F0B5F"/>
    <w:rsid w:val="00800972"/>
    <w:rsid w:val="008029AD"/>
    <w:rsid w:val="00811633"/>
    <w:rsid w:val="008243B9"/>
    <w:rsid w:val="0082473E"/>
    <w:rsid w:val="00837FCF"/>
    <w:rsid w:val="00853F5A"/>
    <w:rsid w:val="0085420C"/>
    <w:rsid w:val="00872FC8"/>
    <w:rsid w:val="0087439C"/>
    <w:rsid w:val="008845D0"/>
    <w:rsid w:val="008A2F0F"/>
    <w:rsid w:val="008A6359"/>
    <w:rsid w:val="008A6D63"/>
    <w:rsid w:val="008A7B6B"/>
    <w:rsid w:val="008A7CB7"/>
    <w:rsid w:val="008A7E34"/>
    <w:rsid w:val="008B0330"/>
    <w:rsid w:val="008B1320"/>
    <w:rsid w:val="008B3B0E"/>
    <w:rsid w:val="008B43F2"/>
    <w:rsid w:val="008C4CFE"/>
    <w:rsid w:val="008E249C"/>
    <w:rsid w:val="008F0839"/>
    <w:rsid w:val="0090359B"/>
    <w:rsid w:val="0091191D"/>
    <w:rsid w:val="00915398"/>
    <w:rsid w:val="0091784E"/>
    <w:rsid w:val="009260BD"/>
    <w:rsid w:val="009274B4"/>
    <w:rsid w:val="00936198"/>
    <w:rsid w:val="00944A5C"/>
    <w:rsid w:val="00951F3E"/>
    <w:rsid w:val="00952A66"/>
    <w:rsid w:val="00964655"/>
    <w:rsid w:val="009660D8"/>
    <w:rsid w:val="00967A7D"/>
    <w:rsid w:val="00974431"/>
    <w:rsid w:val="00981FF5"/>
    <w:rsid w:val="009835C2"/>
    <w:rsid w:val="009A472F"/>
    <w:rsid w:val="009A69BE"/>
    <w:rsid w:val="009C56E5"/>
    <w:rsid w:val="009E5FC8"/>
    <w:rsid w:val="009E687A"/>
    <w:rsid w:val="009F15BC"/>
    <w:rsid w:val="00A0042C"/>
    <w:rsid w:val="00A112C1"/>
    <w:rsid w:val="00A11440"/>
    <w:rsid w:val="00A11EF9"/>
    <w:rsid w:val="00A141AF"/>
    <w:rsid w:val="00A15F86"/>
    <w:rsid w:val="00A16D29"/>
    <w:rsid w:val="00A17FA2"/>
    <w:rsid w:val="00A2048C"/>
    <w:rsid w:val="00A30305"/>
    <w:rsid w:val="00A31D2D"/>
    <w:rsid w:val="00A37EF0"/>
    <w:rsid w:val="00A4600A"/>
    <w:rsid w:val="00A5188B"/>
    <w:rsid w:val="00A54C25"/>
    <w:rsid w:val="00A710E7"/>
    <w:rsid w:val="00A7372E"/>
    <w:rsid w:val="00A777AB"/>
    <w:rsid w:val="00A81943"/>
    <w:rsid w:val="00A93B85"/>
    <w:rsid w:val="00A97EBA"/>
    <w:rsid w:val="00AA0B18"/>
    <w:rsid w:val="00AB2581"/>
    <w:rsid w:val="00AC632E"/>
    <w:rsid w:val="00AE1682"/>
    <w:rsid w:val="00AE39A6"/>
    <w:rsid w:val="00AF0524"/>
    <w:rsid w:val="00AF3130"/>
    <w:rsid w:val="00AF7309"/>
    <w:rsid w:val="00B0290E"/>
    <w:rsid w:val="00B040DE"/>
    <w:rsid w:val="00B05324"/>
    <w:rsid w:val="00B1546A"/>
    <w:rsid w:val="00B16686"/>
    <w:rsid w:val="00B37A1C"/>
    <w:rsid w:val="00B6334C"/>
    <w:rsid w:val="00B639E9"/>
    <w:rsid w:val="00B74CF9"/>
    <w:rsid w:val="00B75C3C"/>
    <w:rsid w:val="00B817CD"/>
    <w:rsid w:val="00BB3A95"/>
    <w:rsid w:val="00BB6081"/>
    <w:rsid w:val="00BD0024"/>
    <w:rsid w:val="00BE0589"/>
    <w:rsid w:val="00BF02F4"/>
    <w:rsid w:val="00C0018F"/>
    <w:rsid w:val="00C02572"/>
    <w:rsid w:val="00C05DC5"/>
    <w:rsid w:val="00C15AF0"/>
    <w:rsid w:val="00C20466"/>
    <w:rsid w:val="00C214ED"/>
    <w:rsid w:val="00C234E6"/>
    <w:rsid w:val="00C311D2"/>
    <w:rsid w:val="00C324A8"/>
    <w:rsid w:val="00C3319A"/>
    <w:rsid w:val="00C334A3"/>
    <w:rsid w:val="00C43C30"/>
    <w:rsid w:val="00C47D11"/>
    <w:rsid w:val="00C51441"/>
    <w:rsid w:val="00C523A3"/>
    <w:rsid w:val="00C54517"/>
    <w:rsid w:val="00C57A57"/>
    <w:rsid w:val="00C62492"/>
    <w:rsid w:val="00C63535"/>
    <w:rsid w:val="00C6532C"/>
    <w:rsid w:val="00C660B8"/>
    <w:rsid w:val="00C80E6D"/>
    <w:rsid w:val="00C849F5"/>
    <w:rsid w:val="00C93E6C"/>
    <w:rsid w:val="00C97C68"/>
    <w:rsid w:val="00CA1A47"/>
    <w:rsid w:val="00CA515C"/>
    <w:rsid w:val="00CB70DC"/>
    <w:rsid w:val="00CC247A"/>
    <w:rsid w:val="00CD3DBF"/>
    <w:rsid w:val="00CE5E47"/>
    <w:rsid w:val="00CF020F"/>
    <w:rsid w:val="00CF2B5B"/>
    <w:rsid w:val="00D13157"/>
    <w:rsid w:val="00D13F67"/>
    <w:rsid w:val="00D14CE0"/>
    <w:rsid w:val="00D2212B"/>
    <w:rsid w:val="00D30663"/>
    <w:rsid w:val="00D325BF"/>
    <w:rsid w:val="00D350F6"/>
    <w:rsid w:val="00D353FB"/>
    <w:rsid w:val="00D43945"/>
    <w:rsid w:val="00D50252"/>
    <w:rsid w:val="00D52DD4"/>
    <w:rsid w:val="00D5651D"/>
    <w:rsid w:val="00D705E9"/>
    <w:rsid w:val="00D74898"/>
    <w:rsid w:val="00D767C2"/>
    <w:rsid w:val="00D801ED"/>
    <w:rsid w:val="00D91769"/>
    <w:rsid w:val="00D936BC"/>
    <w:rsid w:val="00D962FB"/>
    <w:rsid w:val="00D96530"/>
    <w:rsid w:val="00DA6FA2"/>
    <w:rsid w:val="00DB43F5"/>
    <w:rsid w:val="00DB6192"/>
    <w:rsid w:val="00DB73FD"/>
    <w:rsid w:val="00DD0EDA"/>
    <w:rsid w:val="00DD108B"/>
    <w:rsid w:val="00DD44AF"/>
    <w:rsid w:val="00DD6E62"/>
    <w:rsid w:val="00DE2AC3"/>
    <w:rsid w:val="00DE5692"/>
    <w:rsid w:val="00DE6CDF"/>
    <w:rsid w:val="00DF04B2"/>
    <w:rsid w:val="00E016EC"/>
    <w:rsid w:val="00E03C94"/>
    <w:rsid w:val="00E048E6"/>
    <w:rsid w:val="00E1388D"/>
    <w:rsid w:val="00E15842"/>
    <w:rsid w:val="00E2130C"/>
    <w:rsid w:val="00E2333D"/>
    <w:rsid w:val="00E25A99"/>
    <w:rsid w:val="00E26226"/>
    <w:rsid w:val="00E35C21"/>
    <w:rsid w:val="00E44F2B"/>
    <w:rsid w:val="00E45D05"/>
    <w:rsid w:val="00E50791"/>
    <w:rsid w:val="00E55AEF"/>
    <w:rsid w:val="00E57819"/>
    <w:rsid w:val="00E622D6"/>
    <w:rsid w:val="00E6419D"/>
    <w:rsid w:val="00E84C0B"/>
    <w:rsid w:val="00E90FFC"/>
    <w:rsid w:val="00E91B9E"/>
    <w:rsid w:val="00E9313B"/>
    <w:rsid w:val="00E939F1"/>
    <w:rsid w:val="00E956F6"/>
    <w:rsid w:val="00E976C1"/>
    <w:rsid w:val="00EA12E5"/>
    <w:rsid w:val="00EA2016"/>
    <w:rsid w:val="00EA2471"/>
    <w:rsid w:val="00EA6EC4"/>
    <w:rsid w:val="00EB0791"/>
    <w:rsid w:val="00EC27D1"/>
    <w:rsid w:val="00EC69CA"/>
    <w:rsid w:val="00ED2AC8"/>
    <w:rsid w:val="00ED55FF"/>
    <w:rsid w:val="00ED6165"/>
    <w:rsid w:val="00ED6345"/>
    <w:rsid w:val="00EE069E"/>
    <w:rsid w:val="00EF5260"/>
    <w:rsid w:val="00F02766"/>
    <w:rsid w:val="00F05BD4"/>
    <w:rsid w:val="00F23B9B"/>
    <w:rsid w:val="00F257F3"/>
    <w:rsid w:val="00F25A62"/>
    <w:rsid w:val="00F27113"/>
    <w:rsid w:val="00F31097"/>
    <w:rsid w:val="00F37239"/>
    <w:rsid w:val="00F448F6"/>
    <w:rsid w:val="00F4569E"/>
    <w:rsid w:val="00F46367"/>
    <w:rsid w:val="00F4770D"/>
    <w:rsid w:val="00F51B1F"/>
    <w:rsid w:val="00F64E2F"/>
    <w:rsid w:val="00F65C19"/>
    <w:rsid w:val="00F74365"/>
    <w:rsid w:val="00F75114"/>
    <w:rsid w:val="00F91634"/>
    <w:rsid w:val="00F92F18"/>
    <w:rsid w:val="00F9468E"/>
    <w:rsid w:val="00FA4CBC"/>
    <w:rsid w:val="00FA727A"/>
    <w:rsid w:val="00FB0DAB"/>
    <w:rsid w:val="00FC38DD"/>
    <w:rsid w:val="00FC3FCF"/>
    <w:rsid w:val="00FD122A"/>
    <w:rsid w:val="00FD1803"/>
    <w:rsid w:val="00FD2546"/>
    <w:rsid w:val="00FD772E"/>
    <w:rsid w:val="00FE1D8B"/>
    <w:rsid w:val="00FE2DAD"/>
    <w:rsid w:val="00FE78C7"/>
    <w:rsid w:val="00FF3193"/>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0B436E"/>
  <w15:docId w15:val="{B6FD0A6D-713A-40B9-AF23-1EE29976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67C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D767C2"/>
    <w:pPr>
      <w:keepNext/>
      <w:keepLines/>
      <w:spacing w:before="280"/>
      <w:ind w:left="1134" w:hanging="1134"/>
      <w:outlineLvl w:val="0"/>
    </w:pPr>
    <w:rPr>
      <w:b/>
      <w:sz w:val="28"/>
    </w:rPr>
  </w:style>
  <w:style w:type="paragraph" w:styleId="Heading2">
    <w:name w:val="heading 2"/>
    <w:basedOn w:val="Heading1"/>
    <w:next w:val="Normal"/>
    <w:uiPriority w:val="9"/>
    <w:qFormat/>
    <w:rsid w:val="00D767C2"/>
    <w:pPr>
      <w:spacing w:before="200"/>
      <w:outlineLvl w:val="1"/>
    </w:pPr>
    <w:rPr>
      <w:sz w:val="24"/>
    </w:rPr>
  </w:style>
  <w:style w:type="paragraph" w:styleId="Heading3">
    <w:name w:val="heading 3"/>
    <w:basedOn w:val="Heading1"/>
    <w:next w:val="Normal"/>
    <w:qFormat/>
    <w:rsid w:val="00D767C2"/>
    <w:pPr>
      <w:tabs>
        <w:tab w:val="clear" w:pos="1134"/>
      </w:tabs>
      <w:spacing w:before="200"/>
      <w:outlineLvl w:val="2"/>
    </w:pPr>
    <w:rPr>
      <w:sz w:val="24"/>
    </w:rPr>
  </w:style>
  <w:style w:type="paragraph" w:styleId="Heading4">
    <w:name w:val="heading 4"/>
    <w:basedOn w:val="Heading3"/>
    <w:next w:val="Normal"/>
    <w:qFormat/>
    <w:rsid w:val="00D767C2"/>
    <w:pPr>
      <w:outlineLvl w:val="3"/>
    </w:pPr>
  </w:style>
  <w:style w:type="paragraph" w:styleId="Heading5">
    <w:name w:val="heading 5"/>
    <w:basedOn w:val="Heading4"/>
    <w:next w:val="Normal"/>
    <w:qFormat/>
    <w:rsid w:val="00D767C2"/>
    <w:pPr>
      <w:outlineLvl w:val="4"/>
    </w:pPr>
  </w:style>
  <w:style w:type="paragraph" w:styleId="Heading6">
    <w:name w:val="heading 6"/>
    <w:basedOn w:val="Heading4"/>
    <w:next w:val="Normal"/>
    <w:qFormat/>
    <w:rsid w:val="00D767C2"/>
    <w:pPr>
      <w:outlineLvl w:val="5"/>
    </w:pPr>
  </w:style>
  <w:style w:type="paragraph" w:styleId="Heading7">
    <w:name w:val="heading 7"/>
    <w:basedOn w:val="Heading6"/>
    <w:next w:val="Normal"/>
    <w:qFormat/>
    <w:rsid w:val="00D767C2"/>
    <w:pPr>
      <w:outlineLvl w:val="6"/>
    </w:pPr>
  </w:style>
  <w:style w:type="paragraph" w:styleId="Heading8">
    <w:name w:val="heading 8"/>
    <w:basedOn w:val="Heading6"/>
    <w:next w:val="Normal"/>
    <w:qFormat/>
    <w:rsid w:val="00D767C2"/>
    <w:pPr>
      <w:outlineLvl w:val="7"/>
    </w:pPr>
  </w:style>
  <w:style w:type="paragraph" w:styleId="Heading9">
    <w:name w:val="heading 9"/>
    <w:basedOn w:val="Heading6"/>
    <w:next w:val="Normal"/>
    <w:qFormat/>
    <w:rsid w:val="00D767C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D767C2"/>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767C2"/>
    <w:pPr>
      <w:keepNext/>
      <w:keepLines/>
      <w:spacing w:before="480" w:after="80"/>
      <w:jc w:val="center"/>
    </w:pPr>
    <w:rPr>
      <w:caps/>
      <w:sz w:val="28"/>
    </w:rPr>
  </w:style>
  <w:style w:type="paragraph" w:customStyle="1" w:styleId="Annexref">
    <w:name w:val="Annex_ref"/>
    <w:basedOn w:val="Normal"/>
    <w:next w:val="Normal"/>
    <w:rsid w:val="00D767C2"/>
    <w:pPr>
      <w:keepNext/>
      <w:keepLines/>
      <w:spacing w:after="280"/>
      <w:jc w:val="center"/>
    </w:pPr>
  </w:style>
  <w:style w:type="paragraph" w:customStyle="1" w:styleId="Annextitle">
    <w:name w:val="Annex_title"/>
    <w:basedOn w:val="Normal"/>
    <w:next w:val="Normal"/>
    <w:rsid w:val="00D767C2"/>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D767C2"/>
    <w:rPr>
      <w:rFonts w:ascii="Times New Roman" w:hAnsi="Times New Roman"/>
      <w:b/>
    </w:rPr>
  </w:style>
  <w:style w:type="character" w:customStyle="1" w:styleId="Appref">
    <w:name w:val="App_ref"/>
    <w:basedOn w:val="DefaultParagraphFont"/>
    <w:rsid w:val="00D767C2"/>
  </w:style>
  <w:style w:type="paragraph" w:customStyle="1" w:styleId="AppendixNo">
    <w:name w:val="Appendix_No"/>
    <w:basedOn w:val="AnnexNo"/>
    <w:next w:val="Annexref"/>
    <w:rsid w:val="00D767C2"/>
  </w:style>
  <w:style w:type="paragraph" w:customStyle="1" w:styleId="ApptoAnnex">
    <w:name w:val="App_to_Annex"/>
    <w:basedOn w:val="AppendixNo"/>
    <w:next w:val="Normal"/>
    <w:qFormat/>
    <w:rsid w:val="00D767C2"/>
  </w:style>
  <w:style w:type="paragraph" w:customStyle="1" w:styleId="Appendixref">
    <w:name w:val="Appendix_ref"/>
    <w:basedOn w:val="Annexref"/>
    <w:next w:val="Annextitle"/>
    <w:rsid w:val="00D767C2"/>
  </w:style>
  <w:style w:type="paragraph" w:customStyle="1" w:styleId="Appendixtitle">
    <w:name w:val="Appendix_title"/>
    <w:basedOn w:val="Annextitle"/>
    <w:next w:val="Normal"/>
    <w:rsid w:val="00D767C2"/>
  </w:style>
  <w:style w:type="character" w:customStyle="1" w:styleId="Artdef">
    <w:name w:val="Art_def"/>
    <w:basedOn w:val="DefaultParagraphFont"/>
    <w:rsid w:val="00D767C2"/>
    <w:rPr>
      <w:rFonts w:ascii="Times New Roman" w:hAnsi="Times New Roman"/>
      <w:b/>
    </w:rPr>
  </w:style>
  <w:style w:type="paragraph" w:customStyle="1" w:styleId="Artheading">
    <w:name w:val="Art_heading"/>
    <w:basedOn w:val="Normal"/>
    <w:next w:val="Normal"/>
    <w:rsid w:val="00D767C2"/>
    <w:pPr>
      <w:spacing w:before="480"/>
      <w:jc w:val="center"/>
    </w:pPr>
    <w:rPr>
      <w:rFonts w:ascii="Times New Roman Bold" w:hAnsi="Times New Roman Bold"/>
      <w:b/>
      <w:sz w:val="28"/>
    </w:rPr>
  </w:style>
  <w:style w:type="paragraph" w:customStyle="1" w:styleId="ArtNo">
    <w:name w:val="Art_No"/>
    <w:basedOn w:val="Normal"/>
    <w:next w:val="Normal"/>
    <w:rsid w:val="00D767C2"/>
    <w:pPr>
      <w:keepNext/>
      <w:keepLines/>
      <w:spacing w:before="480"/>
      <w:jc w:val="center"/>
    </w:pPr>
    <w:rPr>
      <w:caps/>
      <w:sz w:val="28"/>
    </w:rPr>
  </w:style>
  <w:style w:type="character" w:customStyle="1" w:styleId="Artref">
    <w:name w:val="Art_ref"/>
    <w:basedOn w:val="DefaultParagraphFont"/>
    <w:qFormat/>
    <w:rsid w:val="00D767C2"/>
  </w:style>
  <w:style w:type="paragraph" w:customStyle="1" w:styleId="Arttitle">
    <w:name w:val="Art_title"/>
    <w:basedOn w:val="Normal"/>
    <w:next w:val="Normal"/>
    <w:rsid w:val="00D767C2"/>
    <w:pPr>
      <w:keepNext/>
      <w:keepLines/>
      <w:spacing w:before="240"/>
      <w:jc w:val="center"/>
    </w:pPr>
    <w:rPr>
      <w:b/>
      <w:sz w:val="28"/>
    </w:rPr>
  </w:style>
  <w:style w:type="paragraph" w:customStyle="1" w:styleId="Border">
    <w:name w:val="Border"/>
    <w:basedOn w:val="Normal"/>
    <w:rsid w:val="00D767C2"/>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qFormat/>
    <w:rsid w:val="00D767C2"/>
    <w:pPr>
      <w:keepNext/>
      <w:keepLines/>
      <w:spacing w:before="160"/>
      <w:ind w:left="1134"/>
    </w:pPr>
    <w:rPr>
      <w:i/>
    </w:rPr>
  </w:style>
  <w:style w:type="paragraph" w:customStyle="1" w:styleId="ChapNo">
    <w:name w:val="Chap_No"/>
    <w:basedOn w:val="ArtNo"/>
    <w:next w:val="Normal"/>
    <w:rsid w:val="00D767C2"/>
    <w:rPr>
      <w:rFonts w:ascii="Times New Roman Bold" w:hAnsi="Times New Roman Bold"/>
      <w:b/>
    </w:rPr>
  </w:style>
  <w:style w:type="paragraph" w:customStyle="1" w:styleId="Chaptitle">
    <w:name w:val="Chap_title"/>
    <w:basedOn w:val="Arttitle"/>
    <w:next w:val="Normal"/>
    <w:rsid w:val="00D767C2"/>
  </w:style>
  <w:style w:type="character" w:styleId="EndnoteReference">
    <w:name w:val="endnote reference"/>
    <w:basedOn w:val="DefaultParagraphFont"/>
    <w:rsid w:val="00D767C2"/>
    <w:rPr>
      <w:vertAlign w:val="superscript"/>
    </w:rPr>
  </w:style>
  <w:style w:type="paragraph" w:customStyle="1" w:styleId="enumlev1">
    <w:name w:val="enumlev1"/>
    <w:basedOn w:val="Normal"/>
    <w:link w:val="enumlev1Char"/>
    <w:qFormat/>
    <w:rsid w:val="00D767C2"/>
    <w:pPr>
      <w:tabs>
        <w:tab w:val="clear" w:pos="2268"/>
        <w:tab w:val="left" w:pos="2608"/>
        <w:tab w:val="left" w:pos="3345"/>
      </w:tabs>
      <w:spacing w:before="80"/>
      <w:ind w:left="1134" w:hanging="1134"/>
    </w:pPr>
  </w:style>
  <w:style w:type="paragraph" w:customStyle="1" w:styleId="enumlev2">
    <w:name w:val="enumlev2"/>
    <w:basedOn w:val="enumlev1"/>
    <w:rsid w:val="00D767C2"/>
    <w:pPr>
      <w:ind w:left="1871" w:hanging="737"/>
    </w:pPr>
  </w:style>
  <w:style w:type="paragraph" w:customStyle="1" w:styleId="enumlev3">
    <w:name w:val="enumlev3"/>
    <w:basedOn w:val="enumlev2"/>
    <w:rsid w:val="00D767C2"/>
    <w:pPr>
      <w:ind w:left="2268" w:hanging="397"/>
    </w:pPr>
  </w:style>
  <w:style w:type="paragraph" w:customStyle="1" w:styleId="Equation">
    <w:name w:val="Equation"/>
    <w:basedOn w:val="Normal"/>
    <w:rsid w:val="00D767C2"/>
    <w:pPr>
      <w:tabs>
        <w:tab w:val="clear" w:pos="1871"/>
        <w:tab w:val="clear" w:pos="2268"/>
        <w:tab w:val="center" w:pos="4820"/>
        <w:tab w:val="right" w:pos="9639"/>
      </w:tabs>
    </w:pPr>
  </w:style>
  <w:style w:type="paragraph" w:customStyle="1" w:styleId="Equationlegend">
    <w:name w:val="Equation_legend"/>
    <w:basedOn w:val="NormalIndent"/>
    <w:rsid w:val="00D767C2"/>
    <w:pPr>
      <w:tabs>
        <w:tab w:val="clear" w:pos="1134"/>
        <w:tab w:val="clear" w:pos="2268"/>
        <w:tab w:val="right" w:pos="1871"/>
        <w:tab w:val="left" w:pos="2041"/>
      </w:tabs>
      <w:spacing w:before="80"/>
      <w:ind w:left="2041" w:hanging="2041"/>
    </w:pPr>
  </w:style>
  <w:style w:type="paragraph" w:styleId="NormalIndent">
    <w:name w:val="Normal Indent"/>
    <w:basedOn w:val="Normal"/>
    <w:rsid w:val="00D767C2"/>
    <w:pPr>
      <w:ind w:left="1134"/>
    </w:pPr>
  </w:style>
  <w:style w:type="paragraph" w:customStyle="1" w:styleId="Figure">
    <w:name w:val="Figure"/>
    <w:basedOn w:val="Normal"/>
    <w:next w:val="Normal"/>
    <w:rsid w:val="00E048E6"/>
    <w:pPr>
      <w:spacing w:after="240"/>
      <w:jc w:val="center"/>
    </w:pPr>
  </w:style>
  <w:style w:type="paragraph" w:customStyle="1" w:styleId="Figurelegend">
    <w:name w:val="Figure_legend"/>
    <w:basedOn w:val="Normal"/>
    <w:rsid w:val="00D767C2"/>
    <w:pPr>
      <w:keepNext/>
      <w:keepLines/>
      <w:spacing w:before="20" w:after="20"/>
    </w:pPr>
    <w:rPr>
      <w:sz w:val="18"/>
    </w:rPr>
  </w:style>
  <w:style w:type="paragraph" w:customStyle="1" w:styleId="FigureNo">
    <w:name w:val="Figure_No"/>
    <w:basedOn w:val="Normal"/>
    <w:next w:val="Normal"/>
    <w:rsid w:val="00D767C2"/>
    <w:pPr>
      <w:keepNext/>
      <w:keepLines/>
      <w:spacing w:before="480" w:after="120"/>
      <w:jc w:val="center"/>
    </w:pPr>
    <w:rPr>
      <w:caps/>
      <w:sz w:val="20"/>
    </w:rPr>
  </w:style>
  <w:style w:type="paragraph" w:customStyle="1" w:styleId="Figuretitle">
    <w:name w:val="Figure_title"/>
    <w:basedOn w:val="Normal"/>
    <w:next w:val="Normal"/>
    <w:rsid w:val="00E048E6"/>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D767C2"/>
    <w:pPr>
      <w:keepNext w:val="0"/>
    </w:pPr>
  </w:style>
  <w:style w:type="paragraph" w:styleId="Footer">
    <w:name w:val="footer"/>
    <w:basedOn w:val="Normal"/>
    <w:link w:val="FooterChar"/>
    <w:uiPriority w:val="99"/>
    <w:rsid w:val="00D767C2"/>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D767C2"/>
    <w:rPr>
      <w:rFonts w:ascii="Times New Roman" w:hAnsi="Times New Roman"/>
      <w:caps/>
      <w:noProof/>
      <w:sz w:val="16"/>
      <w:lang w:val="en-GB" w:eastAsia="en-US"/>
    </w:rPr>
  </w:style>
  <w:style w:type="paragraph" w:customStyle="1" w:styleId="FirstFooter">
    <w:name w:val="FirstFooter"/>
    <w:basedOn w:val="Footer"/>
    <w:rsid w:val="00D767C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rsid w:val="00D767C2"/>
    <w:rPr>
      <w:position w:val="6"/>
      <w:sz w:val="18"/>
    </w:rPr>
  </w:style>
  <w:style w:type="paragraph" w:styleId="FootnoteText">
    <w:name w:val="footnote text"/>
    <w:aliases w:val="ACMA Footnote Text,footnote text,ALTS FOOTNOTE,Footnote Text Char1,Footnote Text Char Char1,Footnote Text Char4 Char Char,Footnote Text Char1 Char1 Char1 Char,Footnote Text Char Char1 Char1 Char Char,DNV,Char,DNV-FT,DNV-"/>
    <w:basedOn w:val="Normal"/>
    <w:link w:val="FootnoteTextChar"/>
    <w:rsid w:val="00D767C2"/>
    <w:pPr>
      <w:keepLines/>
      <w:tabs>
        <w:tab w:val="left" w:pos="255"/>
      </w:tabs>
    </w:pPr>
  </w:style>
  <w:style w:type="character" w:customStyle="1" w:styleId="FootnoteTextChar">
    <w:name w:val="Footnote Text Char"/>
    <w:aliases w:val="ACMA Footnote Text Char,footnote text Char,ALTS FOOTNOTE Char,Footnote Text Char1 Char,Footnote Text Char Char1 Char,Footnote Text Char4 Char Char Char,Footnote Text Char1 Char1 Char1 Char Char,DNV Char,Char Char,DNV-FT Char,DNV- Char"/>
    <w:basedOn w:val="DefaultParagraphFont"/>
    <w:link w:val="FootnoteText"/>
    <w:rsid w:val="00D767C2"/>
    <w:rPr>
      <w:rFonts w:ascii="Times New Roman" w:hAnsi="Times New Roman"/>
      <w:sz w:val="24"/>
      <w:lang w:val="en-GB" w:eastAsia="en-US"/>
    </w:rPr>
  </w:style>
  <w:style w:type="paragraph" w:styleId="Header">
    <w:name w:val="header"/>
    <w:basedOn w:val="Normal"/>
    <w:link w:val="HeaderChar"/>
    <w:uiPriority w:val="99"/>
    <w:rsid w:val="00D767C2"/>
    <w:pPr>
      <w:spacing w:before="0"/>
      <w:jc w:val="center"/>
    </w:pPr>
    <w:rPr>
      <w:sz w:val="18"/>
    </w:rPr>
  </w:style>
  <w:style w:type="character" w:customStyle="1" w:styleId="HeaderChar">
    <w:name w:val="Header Char"/>
    <w:basedOn w:val="DefaultParagraphFont"/>
    <w:link w:val="Header"/>
    <w:uiPriority w:val="99"/>
    <w:rsid w:val="00D767C2"/>
    <w:rPr>
      <w:rFonts w:ascii="Times New Roman" w:hAnsi="Times New Roman"/>
      <w:sz w:val="18"/>
      <w:lang w:val="en-GB" w:eastAsia="en-US"/>
    </w:rPr>
  </w:style>
  <w:style w:type="paragraph" w:customStyle="1" w:styleId="Normalaftertitle">
    <w:name w:val="Normal after title"/>
    <w:basedOn w:val="Normal"/>
    <w:next w:val="Normal"/>
    <w:rsid w:val="00D767C2"/>
    <w:pPr>
      <w:spacing w:before="280"/>
    </w:pPr>
  </w:style>
  <w:style w:type="paragraph" w:customStyle="1" w:styleId="Section1">
    <w:name w:val="Section_1"/>
    <w:basedOn w:val="Normal"/>
    <w:rsid w:val="00D767C2"/>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767C2"/>
    <w:rPr>
      <w:b w:val="0"/>
      <w:i/>
    </w:rPr>
  </w:style>
  <w:style w:type="paragraph" w:customStyle="1" w:styleId="Section3">
    <w:name w:val="Section_3"/>
    <w:basedOn w:val="Section1"/>
    <w:rsid w:val="00D767C2"/>
    <w:rPr>
      <w:b w:val="0"/>
    </w:rPr>
  </w:style>
  <w:style w:type="paragraph" w:customStyle="1" w:styleId="SectionNo">
    <w:name w:val="Section_No"/>
    <w:basedOn w:val="AnnexNo"/>
    <w:next w:val="Normal"/>
    <w:rsid w:val="00D767C2"/>
  </w:style>
  <w:style w:type="paragraph" w:customStyle="1" w:styleId="Sectiontitle">
    <w:name w:val="Section_title"/>
    <w:basedOn w:val="Annextitle"/>
    <w:next w:val="Normalaftertitle"/>
    <w:rsid w:val="00D767C2"/>
  </w:style>
  <w:style w:type="paragraph" w:customStyle="1" w:styleId="Source">
    <w:name w:val="Source"/>
    <w:basedOn w:val="Normal"/>
    <w:next w:val="Normal"/>
    <w:rsid w:val="00D767C2"/>
    <w:pPr>
      <w:spacing w:before="840"/>
      <w:jc w:val="center"/>
    </w:pPr>
    <w:rPr>
      <w:b/>
      <w:sz w:val="28"/>
    </w:rPr>
  </w:style>
  <w:style w:type="paragraph" w:customStyle="1" w:styleId="SpecialFooter">
    <w:name w:val="Special Footer"/>
    <w:basedOn w:val="Footer"/>
    <w:rsid w:val="00D767C2"/>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767C2"/>
  </w:style>
  <w:style w:type="character" w:customStyle="1" w:styleId="Tablefreq">
    <w:name w:val="Table_freq"/>
    <w:basedOn w:val="DefaultParagraphFont"/>
    <w:rsid w:val="00D767C2"/>
    <w:rPr>
      <w:b/>
      <w:color w:val="auto"/>
      <w:sz w:val="20"/>
    </w:rPr>
  </w:style>
  <w:style w:type="paragraph" w:customStyle="1" w:styleId="Tablehead">
    <w:name w:val="Table_head"/>
    <w:basedOn w:val="Normal"/>
    <w:rsid w:val="00D767C2"/>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048E6"/>
    <w:rPr>
      <w:sz w:val="18"/>
    </w:rPr>
  </w:style>
  <w:style w:type="paragraph" w:customStyle="1" w:styleId="TableNo">
    <w:name w:val="Table_No"/>
    <w:basedOn w:val="Normal"/>
    <w:next w:val="Normal"/>
    <w:rsid w:val="00D767C2"/>
    <w:pPr>
      <w:keepNext/>
      <w:spacing w:before="560" w:after="120"/>
      <w:jc w:val="center"/>
    </w:pPr>
    <w:rPr>
      <w:caps/>
      <w:sz w:val="20"/>
    </w:rPr>
  </w:style>
  <w:style w:type="paragraph" w:customStyle="1" w:styleId="Tableref">
    <w:name w:val="Table_ref"/>
    <w:basedOn w:val="Normal"/>
    <w:next w:val="Normal"/>
    <w:rsid w:val="00D767C2"/>
    <w:pPr>
      <w:keepNext/>
      <w:spacing w:before="560"/>
      <w:jc w:val="center"/>
    </w:pPr>
    <w:rPr>
      <w:sz w:val="20"/>
    </w:rPr>
  </w:style>
  <w:style w:type="paragraph" w:customStyle="1" w:styleId="Normalend">
    <w:name w:val="Normal_end"/>
    <w:basedOn w:val="Normal"/>
    <w:next w:val="Normal"/>
    <w:qFormat/>
    <w:rsid w:val="00D767C2"/>
    <w:rPr>
      <w:lang w:val="en-US"/>
    </w:rPr>
  </w:style>
  <w:style w:type="paragraph" w:customStyle="1" w:styleId="Proposal">
    <w:name w:val="Proposal"/>
    <w:basedOn w:val="Normal"/>
    <w:next w:val="Normal"/>
    <w:rsid w:val="00D767C2"/>
    <w:pPr>
      <w:keepNext/>
      <w:spacing w:before="240"/>
    </w:pPr>
    <w:rPr>
      <w:rFonts w:hAnsi="Times New Roman Bold"/>
      <w:b/>
    </w:rPr>
  </w:style>
  <w:style w:type="paragraph" w:customStyle="1" w:styleId="Reasons">
    <w:name w:val="Reasons"/>
    <w:basedOn w:val="Normal"/>
    <w:qFormat/>
    <w:rsid w:val="00D767C2"/>
    <w:pPr>
      <w:tabs>
        <w:tab w:val="clear" w:pos="1871"/>
        <w:tab w:val="clear" w:pos="2268"/>
        <w:tab w:val="left" w:pos="1588"/>
        <w:tab w:val="left" w:pos="1985"/>
      </w:tabs>
    </w:pPr>
  </w:style>
  <w:style w:type="paragraph" w:customStyle="1" w:styleId="Questiondate">
    <w:name w:val="Question_date"/>
    <w:basedOn w:val="Normal"/>
    <w:next w:val="Normalaftertitle"/>
    <w:rsid w:val="00D767C2"/>
    <w:pPr>
      <w:keepNext/>
      <w:keepLines/>
      <w:jc w:val="right"/>
    </w:pPr>
    <w:rPr>
      <w:sz w:val="22"/>
    </w:rPr>
  </w:style>
  <w:style w:type="paragraph" w:customStyle="1" w:styleId="QuestionNo">
    <w:name w:val="Question_No"/>
    <w:basedOn w:val="Normal"/>
    <w:next w:val="Normal"/>
    <w:rsid w:val="00D767C2"/>
    <w:pPr>
      <w:keepNext/>
      <w:keepLines/>
      <w:spacing w:before="480"/>
      <w:jc w:val="center"/>
    </w:pPr>
    <w:rPr>
      <w:caps/>
      <w:sz w:val="28"/>
    </w:rPr>
  </w:style>
  <w:style w:type="paragraph" w:customStyle="1" w:styleId="Questiontitle">
    <w:name w:val="Question_title"/>
    <w:basedOn w:val="Normal"/>
    <w:next w:val="Normal"/>
    <w:rsid w:val="00D767C2"/>
    <w:pPr>
      <w:keepNext/>
      <w:keepLines/>
      <w:spacing w:before="240"/>
      <w:jc w:val="center"/>
    </w:pPr>
    <w:rPr>
      <w:rFonts w:ascii="Times New Roman Bold" w:hAnsi="Times New Roman Bold"/>
      <w:b/>
      <w:sz w:val="28"/>
    </w:rPr>
  </w:style>
  <w:style w:type="paragraph" w:styleId="TOC1">
    <w:name w:val="toc 1"/>
    <w:basedOn w:val="Normal"/>
    <w:rsid w:val="00D767C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767C2"/>
    <w:pPr>
      <w:spacing w:before="120"/>
    </w:pPr>
  </w:style>
  <w:style w:type="paragraph" w:styleId="TOC3">
    <w:name w:val="toc 3"/>
    <w:basedOn w:val="TOC2"/>
    <w:rsid w:val="00D767C2"/>
  </w:style>
  <w:style w:type="paragraph" w:styleId="TOC4">
    <w:name w:val="toc 4"/>
    <w:basedOn w:val="TOC3"/>
    <w:rsid w:val="00D767C2"/>
  </w:style>
  <w:style w:type="paragraph" w:styleId="TOC5">
    <w:name w:val="toc 5"/>
    <w:basedOn w:val="TOC4"/>
    <w:rsid w:val="00D767C2"/>
  </w:style>
  <w:style w:type="paragraph" w:styleId="TOC6">
    <w:name w:val="toc 6"/>
    <w:basedOn w:val="TOC4"/>
    <w:rsid w:val="00D767C2"/>
  </w:style>
  <w:style w:type="paragraph" w:styleId="TOC7">
    <w:name w:val="toc 7"/>
    <w:basedOn w:val="TOC4"/>
    <w:rsid w:val="00D767C2"/>
  </w:style>
  <w:style w:type="paragraph" w:styleId="TOC8">
    <w:name w:val="toc 8"/>
    <w:basedOn w:val="TOC4"/>
    <w:rsid w:val="00D767C2"/>
  </w:style>
  <w:style w:type="paragraph" w:customStyle="1" w:styleId="Title1">
    <w:name w:val="Title 1"/>
    <w:basedOn w:val="Source"/>
    <w:next w:val="Normal"/>
    <w:rsid w:val="00D767C2"/>
    <w:pPr>
      <w:tabs>
        <w:tab w:val="left" w:pos="567"/>
        <w:tab w:val="left" w:pos="1701"/>
        <w:tab w:val="left" w:pos="2835"/>
      </w:tabs>
      <w:spacing w:before="240"/>
    </w:pPr>
    <w:rPr>
      <w:b w:val="0"/>
      <w:caps/>
    </w:rPr>
  </w:style>
  <w:style w:type="paragraph" w:customStyle="1" w:styleId="Title2">
    <w:name w:val="Title 2"/>
    <w:basedOn w:val="Source"/>
    <w:next w:val="Normal"/>
    <w:rsid w:val="00D767C2"/>
    <w:pPr>
      <w:overflowPunct/>
      <w:autoSpaceDE/>
      <w:autoSpaceDN/>
      <w:adjustRightInd/>
      <w:spacing w:before="480"/>
      <w:textAlignment w:val="auto"/>
    </w:pPr>
    <w:rPr>
      <w:b w:val="0"/>
      <w:caps/>
    </w:rPr>
  </w:style>
  <w:style w:type="paragraph" w:customStyle="1" w:styleId="Title3">
    <w:name w:val="Title 3"/>
    <w:basedOn w:val="Title2"/>
    <w:next w:val="Normal"/>
    <w:rsid w:val="00D767C2"/>
    <w:pPr>
      <w:spacing w:before="240"/>
    </w:pPr>
    <w:rPr>
      <w:caps w:val="0"/>
    </w:rPr>
  </w:style>
  <w:style w:type="paragraph" w:customStyle="1" w:styleId="Title4">
    <w:name w:val="Title 4"/>
    <w:basedOn w:val="Title3"/>
    <w:next w:val="Heading1"/>
    <w:rsid w:val="00D767C2"/>
    <w:rPr>
      <w:b/>
    </w:rPr>
  </w:style>
  <w:style w:type="paragraph" w:customStyle="1" w:styleId="Tabletext">
    <w:name w:val="Table_text"/>
    <w:basedOn w:val="Normal"/>
    <w:rsid w:val="00D767C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F9163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767C2"/>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D767C2"/>
    <w:pPr>
      <w:spacing w:before="160"/>
    </w:pPr>
    <w:rPr>
      <w:i/>
    </w:rPr>
  </w:style>
  <w:style w:type="paragraph" w:customStyle="1" w:styleId="Headingb">
    <w:name w:val="Heading_b"/>
    <w:basedOn w:val="Normal"/>
    <w:next w:val="Normal"/>
    <w:qFormat/>
    <w:rsid w:val="00E048E6"/>
    <w:pPr>
      <w:keepNext/>
      <w:spacing w:before="160"/>
    </w:pPr>
    <w:rPr>
      <w:rFonts w:ascii="Times New Roman Bold" w:hAnsi="Times New Roman Bold" w:cs="Times New Roman Bold"/>
      <w:b/>
      <w:lang w:val="fr-CH"/>
    </w:rPr>
  </w:style>
  <w:style w:type="paragraph" w:customStyle="1" w:styleId="Note">
    <w:name w:val="Note"/>
    <w:basedOn w:val="Normal"/>
    <w:next w:val="Normal"/>
    <w:link w:val="NoteChar"/>
    <w:qFormat/>
    <w:rsid w:val="00D767C2"/>
    <w:pPr>
      <w:tabs>
        <w:tab w:val="left" w:pos="284"/>
      </w:tabs>
      <w:spacing w:before="80"/>
    </w:pPr>
  </w:style>
  <w:style w:type="paragraph" w:customStyle="1" w:styleId="Part1">
    <w:name w:val="Part_1"/>
    <w:basedOn w:val="Section1"/>
    <w:next w:val="Section1"/>
    <w:qFormat/>
    <w:rsid w:val="00D767C2"/>
  </w:style>
  <w:style w:type="paragraph" w:customStyle="1" w:styleId="PartNo">
    <w:name w:val="Part_No"/>
    <w:basedOn w:val="AnnexNo"/>
    <w:next w:val="Normal"/>
    <w:rsid w:val="00D767C2"/>
  </w:style>
  <w:style w:type="paragraph" w:customStyle="1" w:styleId="Partref">
    <w:name w:val="Part_ref"/>
    <w:basedOn w:val="Annexref"/>
    <w:next w:val="Normal"/>
    <w:rsid w:val="00D767C2"/>
  </w:style>
  <w:style w:type="paragraph" w:customStyle="1" w:styleId="Parttitle">
    <w:name w:val="Part_title"/>
    <w:basedOn w:val="Annextitle"/>
    <w:next w:val="Normalaftertitle"/>
    <w:rsid w:val="00D767C2"/>
  </w:style>
  <w:style w:type="paragraph" w:customStyle="1" w:styleId="Recdate">
    <w:name w:val="Rec_date"/>
    <w:basedOn w:val="Normal"/>
    <w:next w:val="Normalaftertitle"/>
    <w:rsid w:val="00D767C2"/>
    <w:pPr>
      <w:keepNext/>
      <w:keepLines/>
      <w:jc w:val="right"/>
    </w:pPr>
    <w:rPr>
      <w:sz w:val="22"/>
    </w:rPr>
  </w:style>
  <w:style w:type="paragraph" w:customStyle="1" w:styleId="RecNo">
    <w:name w:val="Rec_No"/>
    <w:basedOn w:val="Normal"/>
    <w:next w:val="Normal"/>
    <w:rsid w:val="00D767C2"/>
    <w:pPr>
      <w:keepNext/>
      <w:keepLines/>
      <w:spacing w:before="480"/>
      <w:jc w:val="center"/>
    </w:pPr>
    <w:rPr>
      <w:caps/>
      <w:sz w:val="28"/>
    </w:rPr>
  </w:style>
  <w:style w:type="paragraph" w:customStyle="1" w:styleId="Rectitle">
    <w:name w:val="Rec_title"/>
    <w:basedOn w:val="RecNo"/>
    <w:next w:val="Normal"/>
    <w:rsid w:val="00D767C2"/>
    <w:pPr>
      <w:spacing w:before="240"/>
    </w:pPr>
    <w:rPr>
      <w:rFonts w:ascii="Times New Roman Bold" w:hAnsi="Times New Roman Bold"/>
      <w:b/>
      <w:caps w:val="0"/>
    </w:rPr>
  </w:style>
  <w:style w:type="paragraph" w:customStyle="1" w:styleId="ResNo">
    <w:name w:val="Res_No"/>
    <w:basedOn w:val="RecNo"/>
    <w:next w:val="Normal"/>
    <w:rsid w:val="00D767C2"/>
  </w:style>
  <w:style w:type="paragraph" w:customStyle="1" w:styleId="Restitle">
    <w:name w:val="Res_title"/>
    <w:basedOn w:val="Rectitle"/>
    <w:next w:val="Normal"/>
    <w:rsid w:val="00D767C2"/>
  </w:style>
  <w:style w:type="paragraph" w:customStyle="1" w:styleId="AppArtNo">
    <w:name w:val="App_Art_No"/>
    <w:basedOn w:val="ArtNo"/>
    <w:qFormat/>
    <w:rsid w:val="00D767C2"/>
  </w:style>
  <w:style w:type="paragraph" w:customStyle="1" w:styleId="AppArttitle">
    <w:name w:val="App_Art_title"/>
    <w:basedOn w:val="Arttitle"/>
    <w:qFormat/>
    <w:rsid w:val="00D767C2"/>
  </w:style>
  <w:style w:type="paragraph" w:customStyle="1" w:styleId="toc0">
    <w:name w:val="toc 0"/>
    <w:basedOn w:val="Normal"/>
    <w:next w:val="TOC1"/>
    <w:rsid w:val="00C63535"/>
    <w:pPr>
      <w:tabs>
        <w:tab w:val="clear" w:pos="1134"/>
        <w:tab w:val="clear" w:pos="1871"/>
        <w:tab w:val="clear" w:pos="2268"/>
        <w:tab w:val="right" w:pos="9781"/>
      </w:tabs>
    </w:pPr>
    <w:rPr>
      <w:b/>
    </w:rPr>
  </w:style>
  <w:style w:type="paragraph" w:customStyle="1" w:styleId="Committee">
    <w:name w:val="Committee"/>
    <w:basedOn w:val="Normal"/>
    <w:qFormat/>
    <w:rsid w:val="00D767C2"/>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D767C2"/>
    <w:pPr>
      <w:jc w:val="center"/>
    </w:pPr>
    <w:rPr>
      <w:b/>
      <w:bCs/>
      <w:sz w:val="28"/>
      <w:szCs w:val="28"/>
    </w:rPr>
  </w:style>
  <w:style w:type="paragraph" w:customStyle="1" w:styleId="Headingsplit">
    <w:name w:val="Heading_split"/>
    <w:basedOn w:val="Headingi"/>
    <w:qFormat/>
    <w:rsid w:val="00D767C2"/>
    <w:rPr>
      <w:lang w:val="en-US"/>
    </w:rPr>
  </w:style>
  <w:style w:type="paragraph" w:customStyle="1" w:styleId="Normalsplit">
    <w:name w:val="Normal_split"/>
    <w:basedOn w:val="Normal"/>
    <w:qFormat/>
    <w:rsid w:val="00D767C2"/>
  </w:style>
  <w:style w:type="character" w:customStyle="1" w:styleId="Provsplit">
    <w:name w:val="Prov_split"/>
    <w:basedOn w:val="DefaultParagraphFont"/>
    <w:qFormat/>
    <w:rsid w:val="00D767C2"/>
    <w:rPr>
      <w:rFonts w:ascii="Times New Roman" w:hAnsi="Times New Roman"/>
      <w:b w:val="0"/>
    </w:rPr>
  </w:style>
  <w:style w:type="paragraph" w:customStyle="1" w:styleId="Tablesplit">
    <w:name w:val="Table_split"/>
    <w:basedOn w:val="Tabletext"/>
    <w:qFormat/>
    <w:rsid w:val="00D767C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styleId="BalloonText">
    <w:name w:val="Balloon Text"/>
    <w:basedOn w:val="Normal"/>
    <w:link w:val="BalloonTextChar"/>
    <w:semiHidden/>
    <w:unhideWhenUsed/>
    <w:rsid w:val="00D767C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767C2"/>
    <w:rPr>
      <w:rFonts w:ascii="Segoe UI" w:hAnsi="Segoe UI" w:cs="Segoe UI"/>
      <w:sz w:val="18"/>
      <w:szCs w:val="18"/>
      <w:lang w:val="en-GB" w:eastAsia="en-US"/>
    </w:rPr>
  </w:style>
  <w:style w:type="paragraph" w:customStyle="1" w:styleId="MethodHeadingb">
    <w:name w:val="Method_Headingb"/>
    <w:basedOn w:val="Headingb"/>
    <w:qFormat/>
    <w:rsid w:val="00E048E6"/>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D767C2"/>
  </w:style>
  <w:style w:type="paragraph" w:customStyle="1" w:styleId="Methodheading2">
    <w:name w:val="Method_heading2"/>
    <w:basedOn w:val="Heading2"/>
    <w:next w:val="Normal"/>
    <w:qFormat/>
    <w:rsid w:val="00D767C2"/>
  </w:style>
  <w:style w:type="paragraph" w:customStyle="1" w:styleId="Methodheading3">
    <w:name w:val="Method_heading3"/>
    <w:basedOn w:val="Heading3"/>
    <w:next w:val="Normal"/>
    <w:qFormat/>
    <w:rsid w:val="00D767C2"/>
  </w:style>
  <w:style w:type="paragraph" w:customStyle="1" w:styleId="Methodheading4">
    <w:name w:val="Method_heading4"/>
    <w:basedOn w:val="Heading4"/>
    <w:next w:val="Normal"/>
    <w:qFormat/>
    <w:rsid w:val="00D767C2"/>
  </w:style>
  <w:style w:type="paragraph" w:customStyle="1" w:styleId="EditorsNote">
    <w:name w:val="EditorsNote"/>
    <w:basedOn w:val="Normal"/>
    <w:qFormat/>
    <w:rsid w:val="00E048E6"/>
    <w:pPr>
      <w:spacing w:before="240" w:after="240"/>
    </w:pPr>
    <w:rPr>
      <w:i/>
    </w:rPr>
  </w:style>
  <w:style w:type="paragraph" w:customStyle="1" w:styleId="Tablefin">
    <w:name w:val="Table_fin"/>
    <w:basedOn w:val="Tabletext"/>
    <w:qFormat/>
    <w:rsid w:val="007B0BF7"/>
    <w:pPr>
      <w:spacing w:before="0" w:after="0"/>
    </w:pPr>
  </w:style>
  <w:style w:type="character" w:customStyle="1" w:styleId="enumlev1Char">
    <w:name w:val="enumlev1 Char"/>
    <w:basedOn w:val="DefaultParagraphFont"/>
    <w:link w:val="enumlev1"/>
    <w:qFormat/>
    <w:rsid w:val="00C02572"/>
    <w:rPr>
      <w:rFonts w:ascii="Times New Roman" w:hAnsi="Times New Roman"/>
      <w:sz w:val="24"/>
      <w:lang w:val="en-GB" w:eastAsia="en-US"/>
    </w:rPr>
  </w:style>
  <w:style w:type="character" w:styleId="Hyperlink">
    <w:name w:val="Hyperlink"/>
    <w:basedOn w:val="DefaultParagraphFont"/>
    <w:unhideWhenUsed/>
    <w:rsid w:val="00C02572"/>
    <w:rPr>
      <w:color w:val="0000FF" w:themeColor="hyperlink"/>
      <w:u w:val="single"/>
    </w:rPr>
  </w:style>
  <w:style w:type="character" w:styleId="UnresolvedMention">
    <w:name w:val="Unresolved Mention"/>
    <w:basedOn w:val="DefaultParagraphFont"/>
    <w:uiPriority w:val="99"/>
    <w:semiHidden/>
    <w:unhideWhenUsed/>
    <w:rsid w:val="00C02572"/>
    <w:rPr>
      <w:color w:val="605E5C"/>
      <w:shd w:val="clear" w:color="auto" w:fill="E1DFDD"/>
    </w:rPr>
  </w:style>
  <w:style w:type="character" w:styleId="FollowedHyperlink">
    <w:name w:val="FollowedHyperlink"/>
    <w:basedOn w:val="DefaultParagraphFont"/>
    <w:semiHidden/>
    <w:unhideWhenUsed/>
    <w:rsid w:val="007867EA"/>
    <w:rPr>
      <w:color w:val="800080" w:themeColor="followedHyperlink"/>
      <w:u w:val="single"/>
    </w:rPr>
  </w:style>
  <w:style w:type="paragraph" w:styleId="Revision">
    <w:name w:val="Revision"/>
    <w:hidden/>
    <w:uiPriority w:val="99"/>
    <w:semiHidden/>
    <w:rsid w:val="00280B6B"/>
    <w:rPr>
      <w:rFonts w:ascii="Times New Roman" w:hAnsi="Times New Roman"/>
      <w:sz w:val="24"/>
      <w:lang w:val="en-GB" w:eastAsia="en-US"/>
    </w:rPr>
  </w:style>
  <w:style w:type="paragraph" w:customStyle="1" w:styleId="Normalaftertitle0">
    <w:name w:val="Normal_after_title"/>
    <w:basedOn w:val="Normal"/>
    <w:next w:val="Normal"/>
    <w:rsid w:val="00293146"/>
    <w:pPr>
      <w:tabs>
        <w:tab w:val="clear" w:pos="1134"/>
        <w:tab w:val="clear" w:pos="1871"/>
        <w:tab w:val="clear" w:pos="2268"/>
        <w:tab w:val="left" w:pos="794"/>
        <w:tab w:val="left" w:pos="1191"/>
        <w:tab w:val="left" w:pos="1588"/>
        <w:tab w:val="left" w:pos="1985"/>
      </w:tabs>
      <w:spacing w:before="400" w:line="280" w:lineRule="exact"/>
      <w:jc w:val="both"/>
    </w:pPr>
    <w:rPr>
      <w:rFonts w:ascii="Calibri" w:eastAsia="MS Mincho" w:hAnsi="Calibri" w:cs="Calibri"/>
      <w:sz w:val="22"/>
      <w:szCs w:val="22"/>
      <w:lang w:val="en-US"/>
    </w:rPr>
  </w:style>
  <w:style w:type="paragraph" w:customStyle="1" w:styleId="call0">
    <w:name w:val="call"/>
    <w:basedOn w:val="Normal"/>
    <w:next w:val="Normal"/>
    <w:rsid w:val="00293146"/>
    <w:pPr>
      <w:keepNext/>
      <w:keepLines/>
      <w:tabs>
        <w:tab w:val="clear" w:pos="1871"/>
        <w:tab w:val="left" w:pos="567"/>
        <w:tab w:val="left" w:pos="1701"/>
        <w:tab w:val="left" w:pos="2835"/>
      </w:tabs>
      <w:spacing w:before="160"/>
      <w:ind w:left="794" w:hanging="357"/>
    </w:pPr>
    <w:rPr>
      <w:rFonts w:ascii="Calibri" w:hAnsi="Calibri"/>
      <w:i/>
    </w:rPr>
  </w:style>
  <w:style w:type="paragraph" w:styleId="ListParagraph">
    <w:name w:val="List Paragraph"/>
    <w:basedOn w:val="Normal"/>
    <w:uiPriority w:val="34"/>
    <w:qFormat/>
    <w:rsid w:val="00AC632E"/>
    <w:pPr>
      <w:tabs>
        <w:tab w:val="clear" w:pos="1134"/>
        <w:tab w:val="clear" w:pos="1871"/>
        <w:tab w:val="clear" w:pos="2268"/>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eastAsia="zh-CN"/>
    </w:rPr>
  </w:style>
  <w:style w:type="paragraph" w:customStyle="1" w:styleId="Indent-a">
    <w:name w:val="Indent-a)"/>
    <w:basedOn w:val="Normal"/>
    <w:rsid w:val="00AC632E"/>
    <w:pPr>
      <w:widowControl w:val="0"/>
      <w:tabs>
        <w:tab w:val="clear" w:pos="1134"/>
        <w:tab w:val="clear" w:pos="1871"/>
        <w:tab w:val="clear" w:pos="2268"/>
        <w:tab w:val="left" w:pos="1080"/>
        <w:tab w:val="left" w:pos="1440"/>
        <w:tab w:val="left" w:pos="1800"/>
        <w:tab w:val="left" w:pos="2160"/>
      </w:tabs>
      <w:overflowPunct/>
      <w:autoSpaceDE/>
      <w:autoSpaceDN/>
      <w:adjustRightInd/>
      <w:spacing w:before="0" w:line="240" w:lineRule="exact"/>
      <w:ind w:left="1440" w:hanging="1440"/>
      <w:jc w:val="both"/>
      <w:textAlignment w:val="auto"/>
    </w:pPr>
    <w:rPr>
      <w:rFonts w:ascii="Arial" w:eastAsia="SimSun" w:hAnsi="Arial"/>
      <w:sz w:val="18"/>
    </w:rPr>
  </w:style>
  <w:style w:type="paragraph" w:customStyle="1" w:styleId="2Para">
    <w:name w:val="2Para"/>
    <w:basedOn w:val="Normal"/>
    <w:link w:val="2ParaChar"/>
    <w:rsid w:val="00AC632E"/>
    <w:pPr>
      <w:numPr>
        <w:ilvl w:val="1"/>
        <w:numId w:val="11"/>
      </w:numPr>
      <w:tabs>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3Para">
    <w:name w:val="3Para"/>
    <w:basedOn w:val="Normal"/>
    <w:rsid w:val="00AC632E"/>
    <w:pPr>
      <w:numPr>
        <w:ilvl w:val="2"/>
        <w:numId w:val="11"/>
      </w:numPr>
      <w:tabs>
        <w:tab w:val="clear" w:pos="0"/>
        <w:tab w:val="clear" w:pos="1134"/>
        <w:tab w:val="clear" w:pos="1871"/>
        <w:tab w:val="clear" w:pos="2268"/>
        <w:tab w:val="left" w:pos="1440"/>
      </w:tabs>
      <w:overflowPunct/>
      <w:spacing w:before="260" w:after="260"/>
      <w:jc w:val="both"/>
      <w:textAlignment w:val="auto"/>
    </w:pPr>
    <w:rPr>
      <w:sz w:val="22"/>
      <w:szCs w:val="24"/>
    </w:rPr>
  </w:style>
  <w:style w:type="paragraph" w:customStyle="1" w:styleId="4Para">
    <w:name w:val="4Para"/>
    <w:basedOn w:val="Normal"/>
    <w:rsid w:val="00AC632E"/>
    <w:pPr>
      <w:numPr>
        <w:ilvl w:val="3"/>
        <w:numId w:val="11"/>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5Para">
    <w:name w:val="5Para"/>
    <w:basedOn w:val="Normal"/>
    <w:rsid w:val="00AC632E"/>
    <w:pPr>
      <w:numPr>
        <w:ilvl w:val="4"/>
        <w:numId w:val="11"/>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6Para">
    <w:name w:val="6Para"/>
    <w:basedOn w:val="Normal"/>
    <w:rsid w:val="00AC632E"/>
    <w:pPr>
      <w:numPr>
        <w:ilvl w:val="5"/>
        <w:numId w:val="11"/>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7Para">
    <w:name w:val="7Para"/>
    <w:basedOn w:val="Normal"/>
    <w:rsid w:val="00AC632E"/>
    <w:pPr>
      <w:numPr>
        <w:ilvl w:val="6"/>
        <w:numId w:val="11"/>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8Para">
    <w:name w:val="8Para"/>
    <w:basedOn w:val="Normal"/>
    <w:rsid w:val="00AC632E"/>
    <w:pPr>
      <w:numPr>
        <w:ilvl w:val="7"/>
        <w:numId w:val="11"/>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1Heading">
    <w:name w:val="1Heading"/>
    <w:basedOn w:val="TOC1"/>
    <w:next w:val="2Para"/>
    <w:rsid w:val="00AC632E"/>
    <w:pPr>
      <w:keepNext/>
      <w:keepLines w:val="0"/>
      <w:numPr>
        <w:numId w:val="11"/>
      </w:numPr>
      <w:tabs>
        <w:tab w:val="clear" w:pos="567"/>
        <w:tab w:val="clear" w:pos="7938"/>
        <w:tab w:val="clear" w:pos="9526"/>
      </w:tabs>
      <w:overflowPunct/>
      <w:autoSpaceDE/>
      <w:autoSpaceDN/>
      <w:adjustRightInd/>
      <w:spacing w:before="520" w:after="260"/>
      <w:ind w:right="2880"/>
      <w:jc w:val="both"/>
      <w:textAlignment w:val="auto"/>
      <w:outlineLvl w:val="0"/>
    </w:pPr>
    <w:rPr>
      <w:b/>
      <w:caps/>
      <w:sz w:val="22"/>
      <w:szCs w:val="22"/>
    </w:rPr>
  </w:style>
  <w:style w:type="character" w:customStyle="1" w:styleId="2ParaChar">
    <w:name w:val="2Para Char"/>
    <w:link w:val="2Para"/>
    <w:rsid w:val="00AC632E"/>
    <w:rPr>
      <w:rFonts w:ascii="Times New Roman" w:hAnsi="Times New Roman"/>
      <w:sz w:val="22"/>
      <w:szCs w:val="22"/>
      <w:lang w:val="en-GB" w:eastAsia="en-US"/>
    </w:rPr>
  </w:style>
  <w:style w:type="character" w:styleId="CommentReference">
    <w:name w:val="annotation reference"/>
    <w:basedOn w:val="DefaultParagraphFont"/>
    <w:semiHidden/>
    <w:unhideWhenUsed/>
    <w:rsid w:val="00AC632E"/>
    <w:rPr>
      <w:sz w:val="16"/>
      <w:szCs w:val="16"/>
    </w:rPr>
  </w:style>
  <w:style w:type="paragraph" w:styleId="CommentText">
    <w:name w:val="annotation text"/>
    <w:basedOn w:val="Normal"/>
    <w:link w:val="CommentTextChar"/>
    <w:unhideWhenUsed/>
    <w:rsid w:val="00AC632E"/>
    <w:rPr>
      <w:sz w:val="20"/>
    </w:rPr>
  </w:style>
  <w:style w:type="character" w:customStyle="1" w:styleId="CommentTextChar">
    <w:name w:val="Comment Text Char"/>
    <w:basedOn w:val="DefaultParagraphFont"/>
    <w:link w:val="CommentText"/>
    <w:rsid w:val="00AC632E"/>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AC632E"/>
    <w:rPr>
      <w:b/>
      <w:bCs/>
    </w:rPr>
  </w:style>
  <w:style w:type="character" w:customStyle="1" w:styleId="CommentSubjectChar">
    <w:name w:val="Comment Subject Char"/>
    <w:basedOn w:val="CommentTextChar"/>
    <w:link w:val="CommentSubject"/>
    <w:semiHidden/>
    <w:rsid w:val="00AC632E"/>
    <w:rPr>
      <w:rFonts w:ascii="Times New Roman" w:hAnsi="Times New Roman"/>
      <w:b/>
      <w:bCs/>
      <w:lang w:val="en-GB" w:eastAsia="en-US"/>
    </w:rPr>
  </w:style>
  <w:style w:type="paragraph" w:customStyle="1" w:styleId="3para0">
    <w:name w:val="3para"/>
    <w:basedOn w:val="Normal"/>
    <w:uiPriority w:val="99"/>
    <w:rsid w:val="00AC632E"/>
    <w:pPr>
      <w:numPr>
        <w:ilvl w:val="2"/>
      </w:numPr>
      <w:tabs>
        <w:tab w:val="clear" w:pos="1134"/>
        <w:tab w:val="clear" w:pos="1871"/>
        <w:tab w:val="clear" w:pos="2268"/>
        <w:tab w:val="num" w:pos="720"/>
      </w:tabs>
      <w:overflowPunct/>
      <w:autoSpaceDE/>
      <w:autoSpaceDN/>
      <w:adjustRightInd/>
      <w:spacing w:before="0" w:after="240"/>
      <w:ind w:left="720" w:hanging="720"/>
      <w:jc w:val="both"/>
      <w:textAlignment w:val="auto"/>
      <w:outlineLvl w:val="2"/>
    </w:pPr>
    <w:rPr>
      <w:rFonts w:eastAsiaTheme="minorEastAsia"/>
      <w:sz w:val="22"/>
    </w:rPr>
  </w:style>
  <w:style w:type="paragraph" w:customStyle="1" w:styleId="4para0">
    <w:name w:val="4para"/>
    <w:basedOn w:val="3para0"/>
    <w:rsid w:val="00AC632E"/>
    <w:pPr>
      <w:numPr>
        <w:ilvl w:val="0"/>
      </w:numPr>
      <w:tabs>
        <w:tab w:val="num" w:pos="720"/>
        <w:tab w:val="num" w:pos="1080"/>
        <w:tab w:val="left" w:pos="1440"/>
      </w:tabs>
      <w:ind w:left="720" w:hanging="720"/>
    </w:pPr>
  </w:style>
  <w:style w:type="paragraph" w:customStyle="1" w:styleId="Default">
    <w:name w:val="Default"/>
    <w:rsid w:val="00AC632E"/>
    <w:pPr>
      <w:autoSpaceDE w:val="0"/>
      <w:autoSpaceDN w:val="0"/>
      <w:adjustRightInd w:val="0"/>
    </w:pPr>
    <w:rPr>
      <w:rFonts w:ascii="Times New Roman" w:hAnsi="Times New Roman"/>
      <w:color w:val="000000"/>
      <w:sz w:val="24"/>
      <w:szCs w:val="24"/>
      <w:lang w:val="en-CA"/>
    </w:rPr>
  </w:style>
  <w:style w:type="paragraph" w:customStyle="1" w:styleId="Chapter">
    <w:name w:val="Chapter"/>
    <w:rsid w:val="00AC632E"/>
    <w:pPr>
      <w:spacing w:line="360" w:lineRule="exact"/>
      <w:jc w:val="center"/>
    </w:pPr>
    <w:rPr>
      <w:rFonts w:ascii="Times New Roman Bold" w:eastAsia="SimSun" w:hAnsi="Times New Roman Bold" w:cs="Times New Roman Bold"/>
      <w:b/>
      <w:bCs/>
      <w:sz w:val="28"/>
      <w:szCs w:val="24"/>
      <w:lang w:val="en-GB" w:eastAsia="en-US"/>
    </w:rPr>
  </w:style>
  <w:style w:type="paragraph" w:customStyle="1" w:styleId="BOLDCAPSCENTERED">
    <w:name w:val="BOLD CAPS CENTERED"/>
    <w:basedOn w:val="Normal"/>
    <w:rsid w:val="00AC632E"/>
    <w:pPr>
      <w:widowControl w:val="0"/>
      <w:tabs>
        <w:tab w:val="clear" w:pos="1134"/>
        <w:tab w:val="clear" w:pos="1871"/>
        <w:tab w:val="clear" w:pos="2268"/>
        <w:tab w:val="left" w:pos="360"/>
        <w:tab w:val="left" w:pos="720"/>
        <w:tab w:val="left" w:pos="1080"/>
        <w:tab w:val="left" w:pos="1440"/>
        <w:tab w:val="left" w:pos="1800"/>
        <w:tab w:val="left" w:pos="2160"/>
      </w:tabs>
      <w:overflowPunct/>
      <w:autoSpaceDE/>
      <w:autoSpaceDN/>
      <w:adjustRightInd/>
      <w:spacing w:before="0" w:line="240" w:lineRule="exact"/>
      <w:jc w:val="center"/>
      <w:textAlignment w:val="auto"/>
    </w:pPr>
    <w:rPr>
      <w:rFonts w:eastAsia="SimSun"/>
      <w:b/>
      <w:caps/>
      <w:sz w:val="20"/>
      <w:lang w:eastAsia="zh-CN"/>
    </w:rPr>
  </w:style>
  <w:style w:type="paragraph" w:customStyle="1" w:styleId="DateR">
    <w:name w:val="Date R"/>
    <w:qFormat/>
    <w:rsid w:val="00AC632E"/>
    <w:pPr>
      <w:pBdr>
        <w:bottom w:val="single" w:sz="4" w:space="2" w:color="auto"/>
      </w:pBdr>
      <w:spacing w:line="200" w:lineRule="exact"/>
      <w:jc w:val="center"/>
    </w:pPr>
    <w:rPr>
      <w:rFonts w:ascii="Times New Roman" w:eastAsia="SimSun" w:hAnsi="Times New Roman"/>
      <w:b/>
      <w:bCs/>
      <w:sz w:val="16"/>
      <w:szCs w:val="16"/>
    </w:rPr>
  </w:style>
  <w:style w:type="character" w:customStyle="1" w:styleId="Heading1Char">
    <w:name w:val="Heading 1 Char"/>
    <w:basedOn w:val="DefaultParagraphFont"/>
    <w:link w:val="Heading1"/>
    <w:rsid w:val="00D43945"/>
    <w:rPr>
      <w:rFonts w:ascii="Times New Roman" w:hAnsi="Times New Roman"/>
      <w:b/>
      <w:sz w:val="28"/>
      <w:lang w:val="en-GB" w:eastAsia="en-US"/>
    </w:rPr>
  </w:style>
  <w:style w:type="table" w:styleId="TableGrid">
    <w:name w:val="Table Grid"/>
    <w:basedOn w:val="TableNormal"/>
    <w:rsid w:val="00D43945"/>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Char">
    <w:name w:val="Note Char"/>
    <w:link w:val="Note"/>
    <w:qFormat/>
    <w:rsid w:val="00D43945"/>
    <w:rPr>
      <w:rFonts w:ascii="Times New Roman" w:hAnsi="Times New Roman"/>
      <w:sz w:val="24"/>
      <w:lang w:val="en-GB" w:eastAsia="en-US"/>
    </w:rPr>
  </w:style>
  <w:style w:type="character" w:customStyle="1" w:styleId="href">
    <w:name w:val="href"/>
    <w:basedOn w:val="DefaultParagraphFont"/>
    <w:rsid w:val="00D43945"/>
  </w:style>
  <w:style w:type="character" w:customStyle="1" w:styleId="CallChar">
    <w:name w:val="Call Char"/>
    <w:basedOn w:val="DefaultParagraphFont"/>
    <w:link w:val="Call"/>
    <w:qFormat/>
    <w:locked/>
    <w:rsid w:val="00D43945"/>
    <w:rPr>
      <w:rFonts w:ascii="Times New Roman" w:hAnsi="Times New Roman"/>
      <w: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BR\PE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8" ma:contentTypeDescription="Create a new document." ma:contentTypeScope="" ma:versionID="0df9f56145be2948a215068d463a9860">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3d1e78e70485bd9fe6a246351da99b69"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Author xmlns="76b7d054-b29f-418b-b414-6b742f999448" xsi:nil="true"/>
    <DPM_x0020_Version xmlns="76b7d054-b29f-418b-b414-6b742f999448" xsi:nil="true"/>
    <DPM_x0020_File_x0020_name xmlns="76b7d054-b29f-418b-b414-6b742f99944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0804F-6044-4920-B731-D701A7FA7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00CE6B-CA1B-4DAC-BDDC-081270121EA4}">
  <ds:schemaRefs>
    <ds:schemaRef ds:uri="http://schemas.microsoft.com/sharepoint/v3/contenttype/forms"/>
  </ds:schemaRefs>
</ds:datastoreItem>
</file>

<file path=customXml/itemProps3.xml><?xml version="1.0" encoding="utf-8"?>
<ds:datastoreItem xmlns:ds="http://schemas.openxmlformats.org/officeDocument/2006/customXml" ds:itemID="{D3C7FB28-767D-4A6B-914E-CCDE79DA8AB1}">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6E853A12-8ACA-48EA-9838-3F3F34BC5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PE_WRC23.dotx</Template>
  <TotalTime>16</TotalTime>
  <Pages>10</Pages>
  <Words>2707</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18101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WRC-23</dc:title>
  <dc:subject>World Radiocommunication Conference - 2023</dc:subject>
  <dc:creator>MJD (ITU-R)</dc:creator>
  <cp:keywords>WRC-23</cp:keywords>
  <cp:lastModifiedBy>Capdessus, Isabelle</cp:lastModifiedBy>
  <cp:revision>24</cp:revision>
  <cp:lastPrinted>2011-08-24T07:41:00Z</cp:lastPrinted>
  <dcterms:created xsi:type="dcterms:W3CDTF">2023-08-11T07:09:00Z</dcterms:created>
  <dcterms:modified xsi:type="dcterms:W3CDTF">2023-08-11T07:27:00Z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ies>
</file>