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2E7C90" w14:paraId="4A069AAF" w14:textId="77777777" w:rsidTr="00B23EDF">
        <w:trPr>
          <w:cantSplit/>
        </w:trPr>
        <w:tc>
          <w:tcPr>
            <w:tcW w:w="1418" w:type="dxa"/>
            <w:vAlign w:val="center"/>
          </w:tcPr>
          <w:p w14:paraId="3BA0630F" w14:textId="77777777" w:rsidR="00B23EDF" w:rsidRPr="002E7C90" w:rsidRDefault="00B23EDF" w:rsidP="007C7095">
            <w:pPr>
              <w:spacing w:before="100" w:beforeAutospacing="1"/>
              <w:rPr>
                <w:rFonts w:ascii="Verdana" w:hAnsi="Verdana"/>
                <w:b/>
                <w:bCs/>
                <w:sz w:val="20"/>
              </w:rPr>
            </w:pPr>
            <w:r w:rsidRPr="002E7C90">
              <w:drawing>
                <wp:inline distT="0" distB="0" distL="0" distR="0" wp14:anchorId="7DED7D5A" wp14:editId="1AEED08C">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13051B75" w14:textId="4D8DB77C" w:rsidR="00B23EDF" w:rsidRPr="002E7C90" w:rsidRDefault="00B23EDF" w:rsidP="007C7095">
            <w:pPr>
              <w:spacing w:before="400" w:after="48"/>
              <w:rPr>
                <w:rFonts w:ascii="Verdana" w:hAnsi="Verdana"/>
                <w:b/>
                <w:bCs/>
                <w:sz w:val="20"/>
              </w:rPr>
            </w:pPr>
            <w:r w:rsidRPr="002E7C90">
              <w:rPr>
                <w:rFonts w:ascii="Verdana" w:hAnsi="Verdana"/>
                <w:b/>
                <w:bCs/>
                <w:sz w:val="20"/>
              </w:rPr>
              <w:t>Conférence mondiale des radiocommunications (CMR-23)</w:t>
            </w:r>
            <w:r w:rsidRPr="002E7C90">
              <w:rPr>
                <w:rFonts w:ascii="Verdana" w:hAnsi="Verdana"/>
                <w:b/>
                <w:bCs/>
                <w:sz w:val="20"/>
              </w:rPr>
              <w:br/>
            </w:r>
            <w:r w:rsidRPr="002E7C90">
              <w:rPr>
                <w:rFonts w:ascii="Verdana" w:hAnsi="Verdana"/>
                <w:b/>
                <w:bCs/>
                <w:sz w:val="18"/>
                <w:szCs w:val="18"/>
              </w:rPr>
              <w:t xml:space="preserve">Dubaï, 20 novembre </w:t>
            </w:r>
            <w:r w:rsidR="005145C1" w:rsidRPr="002E7C90">
              <w:rPr>
                <w:rFonts w:ascii="Verdana" w:hAnsi="Verdana"/>
                <w:b/>
                <w:bCs/>
                <w:sz w:val="18"/>
                <w:szCs w:val="18"/>
              </w:rPr>
              <w:t>–</w:t>
            </w:r>
            <w:r w:rsidRPr="002E7C90">
              <w:rPr>
                <w:rFonts w:ascii="Verdana" w:hAnsi="Verdana"/>
                <w:b/>
                <w:bCs/>
                <w:sz w:val="18"/>
                <w:szCs w:val="18"/>
              </w:rPr>
              <w:t xml:space="preserve"> 15 décembre 2023</w:t>
            </w:r>
          </w:p>
        </w:tc>
        <w:tc>
          <w:tcPr>
            <w:tcW w:w="1667" w:type="dxa"/>
            <w:vAlign w:val="center"/>
          </w:tcPr>
          <w:p w14:paraId="45FB0549" w14:textId="77777777" w:rsidR="00B23EDF" w:rsidRPr="002E7C90" w:rsidRDefault="00B23EDF" w:rsidP="007C7095">
            <w:pPr>
              <w:spacing w:before="0"/>
            </w:pPr>
            <w:bookmarkStart w:id="0" w:name="ditulogo"/>
            <w:bookmarkEnd w:id="0"/>
            <w:r w:rsidRPr="002E7C90">
              <w:drawing>
                <wp:inline distT="0" distB="0" distL="0" distR="0" wp14:anchorId="56C33F3C" wp14:editId="1B5DB95D">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2E7C90" w14:paraId="30D35293" w14:textId="77777777" w:rsidTr="00773113">
        <w:trPr>
          <w:cantSplit/>
        </w:trPr>
        <w:tc>
          <w:tcPr>
            <w:tcW w:w="6911" w:type="dxa"/>
            <w:gridSpan w:val="2"/>
            <w:tcBorders>
              <w:bottom w:val="single" w:sz="12" w:space="0" w:color="auto"/>
            </w:tcBorders>
          </w:tcPr>
          <w:p w14:paraId="7A690B41" w14:textId="77777777" w:rsidR="00587A4E" w:rsidRPr="002E7C90" w:rsidRDefault="00587A4E" w:rsidP="007C7095">
            <w:pPr>
              <w:spacing w:before="0" w:after="48"/>
              <w:rPr>
                <w:b/>
                <w:smallCaps/>
                <w:szCs w:val="24"/>
              </w:rPr>
            </w:pPr>
            <w:bookmarkStart w:id="1" w:name="dhead"/>
          </w:p>
        </w:tc>
        <w:tc>
          <w:tcPr>
            <w:tcW w:w="3120" w:type="dxa"/>
            <w:gridSpan w:val="2"/>
            <w:tcBorders>
              <w:bottom w:val="single" w:sz="12" w:space="0" w:color="auto"/>
            </w:tcBorders>
          </w:tcPr>
          <w:p w14:paraId="2AE1BB18" w14:textId="77777777" w:rsidR="00587A4E" w:rsidRPr="002E7C90" w:rsidRDefault="00587A4E" w:rsidP="007C7095">
            <w:pPr>
              <w:spacing w:before="0"/>
              <w:rPr>
                <w:rFonts w:ascii="Verdana" w:hAnsi="Verdana"/>
                <w:szCs w:val="24"/>
              </w:rPr>
            </w:pPr>
          </w:p>
        </w:tc>
      </w:tr>
      <w:tr w:rsidR="00587A4E" w:rsidRPr="002E7C90" w14:paraId="77C432D6" w14:textId="77777777" w:rsidTr="00773113">
        <w:trPr>
          <w:cantSplit/>
        </w:trPr>
        <w:tc>
          <w:tcPr>
            <w:tcW w:w="6911" w:type="dxa"/>
            <w:gridSpan w:val="2"/>
            <w:tcBorders>
              <w:top w:val="single" w:sz="12" w:space="0" w:color="auto"/>
            </w:tcBorders>
          </w:tcPr>
          <w:p w14:paraId="3613967D" w14:textId="77777777" w:rsidR="00587A4E" w:rsidRPr="002E7C90" w:rsidRDefault="00587A4E" w:rsidP="007C7095">
            <w:pPr>
              <w:spacing w:before="0" w:after="48"/>
              <w:rPr>
                <w:rFonts w:ascii="Verdana" w:hAnsi="Verdana"/>
                <w:b/>
                <w:smallCaps/>
                <w:sz w:val="20"/>
              </w:rPr>
            </w:pPr>
          </w:p>
        </w:tc>
        <w:tc>
          <w:tcPr>
            <w:tcW w:w="3120" w:type="dxa"/>
            <w:gridSpan w:val="2"/>
            <w:tcBorders>
              <w:top w:val="single" w:sz="12" w:space="0" w:color="auto"/>
            </w:tcBorders>
          </w:tcPr>
          <w:p w14:paraId="2880FF05" w14:textId="77777777" w:rsidR="00587A4E" w:rsidRPr="002E7C90" w:rsidRDefault="00587A4E" w:rsidP="007C7095">
            <w:pPr>
              <w:spacing w:before="0"/>
              <w:rPr>
                <w:rFonts w:ascii="Verdana" w:hAnsi="Verdana"/>
                <w:sz w:val="20"/>
              </w:rPr>
            </w:pPr>
          </w:p>
        </w:tc>
      </w:tr>
      <w:bookmarkEnd w:id="1"/>
      <w:tr w:rsidR="003A47EC" w:rsidRPr="002E7C90" w14:paraId="2AD38031" w14:textId="77777777" w:rsidTr="00773113">
        <w:trPr>
          <w:cantSplit/>
        </w:trPr>
        <w:tc>
          <w:tcPr>
            <w:tcW w:w="6911" w:type="dxa"/>
            <w:gridSpan w:val="2"/>
          </w:tcPr>
          <w:p w14:paraId="3CDF3BA5" w14:textId="77777777" w:rsidR="003A47EC" w:rsidRPr="002E7C90" w:rsidRDefault="003A47EC" w:rsidP="007C7095">
            <w:pPr>
              <w:spacing w:before="0"/>
              <w:rPr>
                <w:rFonts w:ascii="Verdana" w:hAnsi="Verdana"/>
                <w:b/>
                <w:sz w:val="20"/>
              </w:rPr>
            </w:pPr>
            <w:r w:rsidRPr="002E7C90">
              <w:rPr>
                <w:rFonts w:ascii="Verdana" w:hAnsi="Verdana"/>
                <w:b/>
                <w:sz w:val="20"/>
              </w:rPr>
              <w:t>SÉANCE PLÉNIÈRE</w:t>
            </w:r>
          </w:p>
        </w:tc>
        <w:tc>
          <w:tcPr>
            <w:tcW w:w="3120" w:type="dxa"/>
            <w:gridSpan w:val="2"/>
          </w:tcPr>
          <w:p w14:paraId="5B00052D" w14:textId="47478977" w:rsidR="003A47EC" w:rsidRPr="002E7C90" w:rsidRDefault="003A47EC" w:rsidP="007C7095">
            <w:pPr>
              <w:spacing w:before="0"/>
              <w:rPr>
                <w:rFonts w:ascii="Verdana" w:hAnsi="Verdana"/>
                <w:sz w:val="20"/>
              </w:rPr>
            </w:pPr>
            <w:r w:rsidRPr="002E7C90">
              <w:rPr>
                <w:rFonts w:ascii="Verdana" w:hAnsi="Verdana"/>
                <w:b/>
                <w:sz w:val="20"/>
              </w:rPr>
              <w:t>Addendum 1 du</w:t>
            </w:r>
            <w:r w:rsidRPr="002E7C90">
              <w:rPr>
                <w:rFonts w:ascii="Verdana" w:hAnsi="Verdana"/>
                <w:b/>
                <w:sz w:val="20"/>
              </w:rPr>
              <w:br/>
              <w:t>Document 4(Add.1)-F</w:t>
            </w:r>
          </w:p>
        </w:tc>
      </w:tr>
      <w:tr w:rsidR="003A47EC" w:rsidRPr="002E7C90" w14:paraId="3D8FF7CA" w14:textId="77777777" w:rsidTr="00773113">
        <w:trPr>
          <w:cantSplit/>
        </w:trPr>
        <w:tc>
          <w:tcPr>
            <w:tcW w:w="6911" w:type="dxa"/>
            <w:gridSpan w:val="2"/>
          </w:tcPr>
          <w:p w14:paraId="0EE9A069" w14:textId="77777777" w:rsidR="003A47EC" w:rsidRPr="002E7C90" w:rsidRDefault="003A47EC" w:rsidP="007C7095">
            <w:pPr>
              <w:spacing w:before="0"/>
              <w:rPr>
                <w:rFonts w:ascii="Verdana" w:hAnsi="Verdana"/>
                <w:b/>
                <w:sz w:val="20"/>
              </w:rPr>
            </w:pPr>
          </w:p>
        </w:tc>
        <w:tc>
          <w:tcPr>
            <w:tcW w:w="3120" w:type="dxa"/>
            <w:gridSpan w:val="2"/>
          </w:tcPr>
          <w:p w14:paraId="33BB8FFF" w14:textId="52537256" w:rsidR="003A47EC" w:rsidRPr="002E7C90" w:rsidRDefault="003A47EC" w:rsidP="007C7095">
            <w:pPr>
              <w:spacing w:before="0"/>
              <w:rPr>
                <w:rFonts w:ascii="Verdana" w:hAnsi="Verdana"/>
                <w:b/>
                <w:sz w:val="20"/>
              </w:rPr>
            </w:pPr>
            <w:r w:rsidRPr="002E7C90">
              <w:rPr>
                <w:rFonts w:ascii="Verdana" w:hAnsi="Verdana"/>
                <w:b/>
                <w:sz w:val="20"/>
              </w:rPr>
              <w:t>15 novembre 2023</w:t>
            </w:r>
          </w:p>
        </w:tc>
      </w:tr>
      <w:tr w:rsidR="003A47EC" w:rsidRPr="002E7C90" w14:paraId="1FC1BD5B" w14:textId="77777777" w:rsidTr="00773113">
        <w:trPr>
          <w:cantSplit/>
        </w:trPr>
        <w:tc>
          <w:tcPr>
            <w:tcW w:w="6911" w:type="dxa"/>
            <w:gridSpan w:val="2"/>
          </w:tcPr>
          <w:p w14:paraId="5721C52A" w14:textId="77777777" w:rsidR="003A47EC" w:rsidRPr="002E7C90" w:rsidRDefault="003A47EC" w:rsidP="007C7095">
            <w:pPr>
              <w:spacing w:before="0" w:after="48"/>
              <w:rPr>
                <w:rFonts w:ascii="Verdana" w:hAnsi="Verdana"/>
                <w:b/>
                <w:smallCaps/>
                <w:sz w:val="20"/>
              </w:rPr>
            </w:pPr>
          </w:p>
        </w:tc>
        <w:tc>
          <w:tcPr>
            <w:tcW w:w="3120" w:type="dxa"/>
            <w:gridSpan w:val="2"/>
          </w:tcPr>
          <w:p w14:paraId="4595D2B8" w14:textId="783ACF41" w:rsidR="003A47EC" w:rsidRPr="002E7C90" w:rsidRDefault="003A47EC" w:rsidP="007C7095">
            <w:pPr>
              <w:spacing w:before="0"/>
              <w:rPr>
                <w:rFonts w:ascii="Verdana" w:hAnsi="Verdana"/>
                <w:b/>
                <w:sz w:val="20"/>
              </w:rPr>
            </w:pPr>
            <w:r w:rsidRPr="002E7C90">
              <w:rPr>
                <w:rFonts w:ascii="Verdana" w:hAnsi="Verdana"/>
                <w:b/>
                <w:sz w:val="20"/>
              </w:rPr>
              <w:t>Original: anglais</w:t>
            </w:r>
          </w:p>
        </w:tc>
      </w:tr>
      <w:tr w:rsidR="00587A4E" w:rsidRPr="002E7C90" w14:paraId="56D7FF8B" w14:textId="77777777" w:rsidTr="00773113">
        <w:trPr>
          <w:cantSplit/>
        </w:trPr>
        <w:tc>
          <w:tcPr>
            <w:tcW w:w="10031" w:type="dxa"/>
            <w:gridSpan w:val="4"/>
          </w:tcPr>
          <w:p w14:paraId="6689FDBC" w14:textId="77777777" w:rsidR="00587A4E" w:rsidRPr="002E7C90" w:rsidRDefault="00587A4E" w:rsidP="007C7095">
            <w:pPr>
              <w:spacing w:before="0"/>
              <w:rPr>
                <w:rFonts w:ascii="Verdana" w:hAnsi="Verdana"/>
                <w:b/>
                <w:sz w:val="20"/>
              </w:rPr>
            </w:pPr>
          </w:p>
        </w:tc>
      </w:tr>
      <w:tr w:rsidR="003A47EC" w:rsidRPr="002E7C90" w14:paraId="6145BC68" w14:textId="77777777" w:rsidTr="00773113">
        <w:trPr>
          <w:cantSplit/>
        </w:trPr>
        <w:tc>
          <w:tcPr>
            <w:tcW w:w="10031" w:type="dxa"/>
            <w:gridSpan w:val="4"/>
          </w:tcPr>
          <w:p w14:paraId="37736711" w14:textId="6D99BDA6" w:rsidR="003A47EC" w:rsidRPr="002E7C90" w:rsidRDefault="003A47EC" w:rsidP="007C7095">
            <w:pPr>
              <w:pStyle w:val="Source"/>
            </w:pPr>
            <w:bookmarkStart w:id="2" w:name="dsource" w:colFirst="0" w:colLast="0"/>
            <w:r w:rsidRPr="002E7C90">
              <w:rPr>
                <w:bCs/>
              </w:rPr>
              <w:t>Directeur du Bureau des radiocommunications</w:t>
            </w:r>
          </w:p>
        </w:tc>
      </w:tr>
      <w:tr w:rsidR="003A47EC" w:rsidRPr="002E7C90" w14:paraId="514DDD15" w14:textId="77777777" w:rsidTr="00773113">
        <w:trPr>
          <w:cantSplit/>
        </w:trPr>
        <w:tc>
          <w:tcPr>
            <w:tcW w:w="10031" w:type="dxa"/>
            <w:gridSpan w:val="4"/>
          </w:tcPr>
          <w:p w14:paraId="4B59DBB0" w14:textId="25087884" w:rsidR="003A47EC" w:rsidRPr="002E7C90" w:rsidRDefault="003A47EC" w:rsidP="007C7095">
            <w:pPr>
              <w:pStyle w:val="Title1"/>
            </w:pPr>
            <w:bookmarkStart w:id="3" w:name="dtitle1" w:colFirst="0" w:colLast="0"/>
            <w:bookmarkEnd w:id="2"/>
            <w:r w:rsidRPr="002E7C90">
              <w:t>RAPPORT DU DIRECTEUR SUR LES ACTIVITÉS DU SECTEUR DES RADIOCOMMUNICATIONS</w:t>
            </w:r>
          </w:p>
        </w:tc>
      </w:tr>
      <w:tr w:rsidR="003A47EC" w:rsidRPr="002E7C90" w14:paraId="0525347E" w14:textId="77777777" w:rsidTr="00773113">
        <w:trPr>
          <w:cantSplit/>
        </w:trPr>
        <w:tc>
          <w:tcPr>
            <w:tcW w:w="10031" w:type="dxa"/>
            <w:gridSpan w:val="4"/>
          </w:tcPr>
          <w:p w14:paraId="332748EB" w14:textId="259422E6" w:rsidR="003A47EC" w:rsidRPr="002E7C90" w:rsidRDefault="003A47EC" w:rsidP="00BE1A57">
            <w:pPr>
              <w:pStyle w:val="Title2"/>
            </w:pPr>
            <w:bookmarkStart w:id="4" w:name="dtitle2" w:colFirst="0" w:colLast="0"/>
            <w:bookmarkEnd w:id="3"/>
            <w:r w:rsidRPr="002E7C90">
              <w:t xml:space="preserve">PARTIE </w:t>
            </w:r>
            <w:r w:rsidR="00EF682E" w:rsidRPr="002E7C90">
              <w:t>1: ACTIVITÉS MENÉES PAR LE SECTEUR DES</w:t>
            </w:r>
            <w:r w:rsidR="005145C1" w:rsidRPr="002E7C90">
              <w:t xml:space="preserve"> </w:t>
            </w:r>
            <w:r w:rsidR="00EF682E" w:rsidRPr="002E7C90">
              <w:t>RADIOCOMMUNICATIONS PENDANT LA PÉRIODE</w:t>
            </w:r>
            <w:r w:rsidR="005145C1" w:rsidRPr="002E7C90">
              <w:br/>
            </w:r>
            <w:r w:rsidR="00EF682E" w:rsidRPr="002E7C90">
              <w:t>ENTRE LA CMR-19 ET LA CMR-23</w:t>
            </w:r>
          </w:p>
        </w:tc>
      </w:tr>
      <w:tr w:rsidR="003A47EC" w:rsidRPr="002E7C90" w14:paraId="75414728" w14:textId="77777777" w:rsidTr="00773113">
        <w:trPr>
          <w:cantSplit/>
        </w:trPr>
        <w:tc>
          <w:tcPr>
            <w:tcW w:w="10031" w:type="dxa"/>
            <w:gridSpan w:val="4"/>
          </w:tcPr>
          <w:p w14:paraId="7F5B866F" w14:textId="307F90B9" w:rsidR="003A47EC" w:rsidRPr="002E7C90" w:rsidRDefault="00EF682E" w:rsidP="007C7095">
            <w:pPr>
              <w:pStyle w:val="Title4"/>
            </w:pPr>
            <w:bookmarkStart w:id="5" w:name="dtitle3" w:colFirst="0" w:colLast="0"/>
            <w:bookmarkEnd w:id="4"/>
            <w:r w:rsidRPr="002E7C90">
              <w:t>Rapport sur l</w:t>
            </w:r>
            <w:r w:rsidR="008F32C2" w:rsidRPr="002E7C90">
              <w:t xml:space="preserve">e traitement </w:t>
            </w:r>
            <w:r w:rsidRPr="002E7C90">
              <w:t>des demandes de nouveaux allotissements dans le Plan</w:t>
            </w:r>
            <w:r w:rsidR="005145C1" w:rsidRPr="002E7C90">
              <w:br/>
            </w:r>
            <w:r w:rsidRPr="002E7C90">
              <w:t>pour le service fixe par satellite figurant dans l'Appendice 30B du Règlement</w:t>
            </w:r>
            <w:r w:rsidR="005145C1" w:rsidRPr="002E7C90">
              <w:br/>
            </w:r>
            <w:r w:rsidRPr="002E7C90">
              <w:t>des radiocommunications et sur les résultats de l'examen de ces demandes</w:t>
            </w:r>
          </w:p>
        </w:tc>
      </w:tr>
    </w:tbl>
    <w:bookmarkEnd w:id="5"/>
    <w:p w14:paraId="6453CD07" w14:textId="4BCB9993" w:rsidR="00F372DE" w:rsidRPr="002E7C90" w:rsidRDefault="00EF682E" w:rsidP="005145C1">
      <w:pPr>
        <w:pStyle w:val="Normalaftertitle"/>
      </w:pPr>
      <w:r w:rsidRPr="002E7C90">
        <w:t>Après la CMR-19, le Bureau a reçu des demandes d</w:t>
      </w:r>
      <w:r w:rsidR="0027579B" w:rsidRPr="002E7C90">
        <w:t>'</w:t>
      </w:r>
      <w:r w:rsidRPr="002E7C90">
        <w:t>allotissements nationaux de la part de sept</w:t>
      </w:r>
      <w:r w:rsidR="005145C1" w:rsidRPr="002E7C90">
        <w:t> É</w:t>
      </w:r>
      <w:r w:rsidRPr="002E7C90">
        <w:t>tats</w:t>
      </w:r>
      <w:r w:rsidR="005145C1" w:rsidRPr="002E7C90">
        <w:t> </w:t>
      </w:r>
      <w:r w:rsidRPr="002E7C90">
        <w:t>Membres conformément à l</w:t>
      </w:r>
      <w:r w:rsidR="0027579B" w:rsidRPr="002E7C90">
        <w:t>'</w:t>
      </w:r>
      <w:r w:rsidRPr="002E7C90">
        <w:t>Article 7 de l</w:t>
      </w:r>
      <w:r w:rsidR="0027579B" w:rsidRPr="002E7C90">
        <w:t>'</w:t>
      </w:r>
      <w:r w:rsidRPr="002E7C90">
        <w:t xml:space="preserve">Appendice </w:t>
      </w:r>
      <w:r w:rsidRPr="002E7C90">
        <w:rPr>
          <w:b/>
          <w:bCs/>
        </w:rPr>
        <w:t>30B</w:t>
      </w:r>
      <w:r w:rsidRPr="002E7C90">
        <w:t>. Dès réception des demandes, le Bureau, conformément à l</w:t>
      </w:r>
      <w:r w:rsidR="0027579B" w:rsidRPr="002E7C90">
        <w:t>'</w:t>
      </w:r>
      <w:r w:rsidRPr="002E7C90">
        <w:t>Article 7, a rapidement aidé ces sept administrations à choisir leurs positions orbitales</w:t>
      </w:r>
      <w:r w:rsidR="008F32C2" w:rsidRPr="002E7C90">
        <w:t>,</w:t>
      </w:r>
      <w:r w:rsidRPr="002E7C90">
        <w:t xml:space="preserve"> ainsi que les paramètres techniques associés. Après réception des choix de ces administrations, le Bureau a traité les demandes au titre du § 7.5 de l</w:t>
      </w:r>
      <w:r w:rsidR="0027579B" w:rsidRPr="002E7C90">
        <w:t>'</w:t>
      </w:r>
      <w:r w:rsidRPr="002E7C90">
        <w:t>Article 7. En raison de la formulation de conclusions défavorables au titre des points b), c) et/ou d) du § 7.5, les allotissements proposés ont été publiés au titre de l</w:t>
      </w:r>
      <w:r w:rsidR="0027579B" w:rsidRPr="002E7C90">
        <w:t>'</w:t>
      </w:r>
      <w:r w:rsidRPr="002E7C90">
        <w:t>Article 6 dans les Sections</w:t>
      </w:r>
      <w:r w:rsidR="005145C1" w:rsidRPr="002E7C90">
        <w:t> </w:t>
      </w:r>
      <w:r w:rsidRPr="002E7C90">
        <w:t>spéciales</w:t>
      </w:r>
      <w:r w:rsidR="005145C1" w:rsidRPr="002E7C90">
        <w:t> </w:t>
      </w:r>
      <w:r w:rsidRPr="002E7C90">
        <w:t>AP30B/A6A, conformément au § 7.7, comme indiqué dans le Tableau 1 ci</w:t>
      </w:r>
      <w:r w:rsidR="005145C1" w:rsidRPr="002E7C90">
        <w:noBreakHyphen/>
      </w:r>
      <w:r w:rsidRPr="002E7C90">
        <w:t>dessous.</w:t>
      </w:r>
    </w:p>
    <w:p w14:paraId="4DF27E75" w14:textId="77777777" w:rsidR="003E3DBF" w:rsidRPr="002E7C90" w:rsidRDefault="003E3DBF" w:rsidP="007C7095">
      <w:pPr>
        <w:pStyle w:val="TableNo"/>
        <w:rPr>
          <w:b/>
        </w:rPr>
      </w:pPr>
      <w:r w:rsidRPr="002E7C90">
        <w:t>Tableau 1</w:t>
      </w:r>
    </w:p>
    <w:tbl>
      <w:tblPr>
        <w:tblStyle w:val="GridTable4-Accent1"/>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95"/>
        <w:gridCol w:w="1485"/>
        <w:gridCol w:w="2200"/>
        <w:gridCol w:w="3940"/>
      </w:tblGrid>
      <w:tr w:rsidR="003E3DBF" w:rsidRPr="002E7C90" w14:paraId="39FA963C" w14:textId="77777777" w:rsidTr="00BE1A57">
        <w:trPr>
          <w:cnfStyle w:val="100000000000" w:firstRow="1" w:lastRow="0" w:firstColumn="0" w:lastColumn="0" w:oddVBand="0" w:evenVBand="0" w:oddHBand="0" w:evenHBand="0" w:firstRowFirstColumn="0" w:firstRowLastColumn="0" w:lastRowFirstColumn="0" w:lastRowLastColumn="0"/>
          <w:tblHeader/>
          <w:jc w:val="center"/>
        </w:trPr>
        <w:tc>
          <w:tcPr>
            <w:tcW w:w="1695" w:type="dxa"/>
            <w:tcBorders>
              <w:top w:val="nil"/>
              <w:left w:val="nil"/>
            </w:tcBorders>
            <w:hideMark/>
          </w:tcPr>
          <w:p w14:paraId="6AEA2B43" w14:textId="303BC4A8" w:rsidR="003E3DBF" w:rsidRPr="002E7C90" w:rsidRDefault="00E53413" w:rsidP="00B04DBD">
            <w:pPr>
              <w:pStyle w:val="Tablehead"/>
              <w:rPr>
                <w:b/>
                <w:bCs w:val="0"/>
              </w:rPr>
            </w:pPr>
            <w:r w:rsidRPr="002E7C90">
              <w:rPr>
                <w:b/>
                <w:bCs w:val="0"/>
              </w:rPr>
              <w:t>Administration notificatrice</w:t>
            </w:r>
          </w:p>
        </w:tc>
        <w:tc>
          <w:tcPr>
            <w:tcW w:w="1485" w:type="dxa"/>
            <w:tcBorders>
              <w:top w:val="nil"/>
            </w:tcBorders>
            <w:hideMark/>
          </w:tcPr>
          <w:p w14:paraId="348AA499" w14:textId="32F85A43" w:rsidR="003E3DBF" w:rsidRPr="002E7C90" w:rsidRDefault="00E53413" w:rsidP="00B04DBD">
            <w:pPr>
              <w:pStyle w:val="Tablehead"/>
              <w:rPr>
                <w:b/>
                <w:bCs w:val="0"/>
              </w:rPr>
            </w:pPr>
            <w:r w:rsidRPr="002E7C90">
              <w:rPr>
                <w:b/>
                <w:bCs w:val="0"/>
              </w:rPr>
              <w:t>Nom du réseau</w:t>
            </w:r>
          </w:p>
        </w:tc>
        <w:tc>
          <w:tcPr>
            <w:tcW w:w="2200" w:type="dxa"/>
            <w:tcBorders>
              <w:top w:val="nil"/>
            </w:tcBorders>
          </w:tcPr>
          <w:p w14:paraId="45D953C7" w14:textId="325590CE" w:rsidR="003E3DBF" w:rsidRPr="002E7C90" w:rsidRDefault="00E53413" w:rsidP="00B04DBD">
            <w:pPr>
              <w:pStyle w:val="Tablehead"/>
              <w:rPr>
                <w:b/>
                <w:bCs w:val="0"/>
              </w:rPr>
            </w:pPr>
            <w:r w:rsidRPr="002E7C90">
              <w:rPr>
                <w:b/>
                <w:bCs w:val="0"/>
              </w:rPr>
              <w:t>Date de r</w:t>
            </w:r>
            <w:r w:rsidR="00B04DBD" w:rsidRPr="002E7C90">
              <w:rPr>
                <w:b/>
                <w:bCs w:val="0"/>
              </w:rPr>
              <w:t>é</w:t>
            </w:r>
            <w:r w:rsidRPr="002E7C90">
              <w:rPr>
                <w:b/>
                <w:bCs w:val="0"/>
              </w:rPr>
              <w:t>ception</w:t>
            </w:r>
          </w:p>
        </w:tc>
        <w:tc>
          <w:tcPr>
            <w:tcW w:w="3940" w:type="dxa"/>
            <w:tcBorders>
              <w:top w:val="nil"/>
              <w:right w:val="nil"/>
            </w:tcBorders>
          </w:tcPr>
          <w:p w14:paraId="7097500B" w14:textId="1410D1FA" w:rsidR="003E3DBF" w:rsidRPr="002E7C90" w:rsidRDefault="00E53413" w:rsidP="00B04DBD">
            <w:pPr>
              <w:pStyle w:val="Tablehead"/>
              <w:rPr>
                <w:b/>
                <w:bCs w:val="0"/>
              </w:rPr>
            </w:pPr>
            <w:r w:rsidRPr="002E7C90">
              <w:rPr>
                <w:b/>
                <w:bCs w:val="0"/>
              </w:rPr>
              <w:t>Sections sp</w:t>
            </w:r>
            <w:r w:rsidR="00B04DBD" w:rsidRPr="002E7C90">
              <w:rPr>
                <w:b/>
                <w:bCs w:val="0"/>
              </w:rPr>
              <w:t>é</w:t>
            </w:r>
            <w:r w:rsidRPr="002E7C90">
              <w:rPr>
                <w:b/>
                <w:bCs w:val="0"/>
              </w:rPr>
              <w:t>ciales publiées</w:t>
            </w:r>
          </w:p>
        </w:tc>
      </w:tr>
      <w:tr w:rsidR="003E3DBF" w:rsidRPr="002E7C90" w14:paraId="48DE3C76" w14:textId="77777777" w:rsidTr="00B04DBD">
        <w:trPr>
          <w:cnfStyle w:val="000000100000" w:firstRow="0" w:lastRow="0" w:firstColumn="0" w:lastColumn="0" w:oddVBand="0" w:evenVBand="0" w:oddHBand="1" w:evenHBand="0" w:firstRowFirstColumn="0" w:firstRowLastColumn="0" w:lastRowFirstColumn="0" w:lastRowLastColumn="0"/>
          <w:jc w:val="center"/>
        </w:trPr>
        <w:tc>
          <w:tcPr>
            <w:tcW w:w="1695" w:type="dxa"/>
            <w:hideMark/>
          </w:tcPr>
          <w:p w14:paraId="5D623F88" w14:textId="77777777" w:rsidR="003E3DBF" w:rsidRPr="002E7C90" w:rsidRDefault="003E3DBF" w:rsidP="00B04DBD">
            <w:pPr>
              <w:pStyle w:val="Tabletext"/>
              <w:jc w:val="center"/>
            </w:pPr>
            <w:r w:rsidRPr="002E7C90">
              <w:t>SRB</w:t>
            </w:r>
          </w:p>
        </w:tc>
        <w:tc>
          <w:tcPr>
            <w:tcW w:w="1485" w:type="dxa"/>
            <w:hideMark/>
          </w:tcPr>
          <w:p w14:paraId="1D2C260A" w14:textId="39C4BC6C" w:rsidR="003E3DBF" w:rsidRPr="002E7C90" w:rsidRDefault="003E3DBF" w:rsidP="00B04DBD">
            <w:pPr>
              <w:pStyle w:val="Tabletext"/>
              <w:jc w:val="center"/>
            </w:pPr>
            <w:r w:rsidRPr="002E7C90">
              <w:t>SRB00000 (26,7°</w:t>
            </w:r>
            <w:r w:rsidR="00BE1A57" w:rsidRPr="002E7C90">
              <w:t xml:space="preserve"> </w:t>
            </w:r>
            <w:r w:rsidRPr="002E7C90">
              <w:t>W)</w:t>
            </w:r>
          </w:p>
        </w:tc>
        <w:tc>
          <w:tcPr>
            <w:tcW w:w="2200" w:type="dxa"/>
            <w:hideMark/>
          </w:tcPr>
          <w:p w14:paraId="6868D3F7" w14:textId="02B34595" w:rsidR="003E3DBF" w:rsidRPr="002E7C90" w:rsidRDefault="003E3DBF" w:rsidP="00B04DBD">
            <w:pPr>
              <w:pStyle w:val="Tabletext"/>
              <w:jc w:val="center"/>
            </w:pPr>
            <w:r w:rsidRPr="002E7C90">
              <w:t>12.03.2020</w:t>
            </w:r>
          </w:p>
        </w:tc>
        <w:tc>
          <w:tcPr>
            <w:tcW w:w="3940" w:type="dxa"/>
          </w:tcPr>
          <w:p w14:paraId="503C0455" w14:textId="77777777" w:rsidR="003E3DBF" w:rsidRPr="002E7C90" w:rsidRDefault="003E3DBF" w:rsidP="00B04DBD">
            <w:pPr>
              <w:pStyle w:val="Tabletext"/>
              <w:jc w:val="center"/>
            </w:pPr>
            <w:r w:rsidRPr="002E7C90">
              <w:t>AP30B/A6A/605</w:t>
            </w:r>
          </w:p>
          <w:p w14:paraId="660E751F" w14:textId="297F0B9E" w:rsidR="003E3DBF" w:rsidRPr="002E7C90" w:rsidRDefault="003E3DBF" w:rsidP="00B04DBD">
            <w:pPr>
              <w:pStyle w:val="Tabletext"/>
              <w:jc w:val="center"/>
            </w:pPr>
            <w:r w:rsidRPr="002E7C90">
              <w:t>(IFIC 2936 du 22.12.2020)</w:t>
            </w:r>
          </w:p>
        </w:tc>
      </w:tr>
      <w:tr w:rsidR="003E3DBF" w:rsidRPr="002E7C90" w14:paraId="187FE342" w14:textId="77777777" w:rsidTr="00B04DBD">
        <w:trPr>
          <w:jc w:val="center"/>
        </w:trPr>
        <w:tc>
          <w:tcPr>
            <w:tcW w:w="1695" w:type="dxa"/>
          </w:tcPr>
          <w:p w14:paraId="10C25994" w14:textId="77777777" w:rsidR="003E3DBF" w:rsidRPr="002E7C90" w:rsidRDefault="003E3DBF" w:rsidP="00B04DBD">
            <w:pPr>
              <w:pStyle w:val="Tabletext"/>
              <w:jc w:val="center"/>
            </w:pPr>
            <w:r w:rsidRPr="002E7C90">
              <w:t>MKD</w:t>
            </w:r>
          </w:p>
        </w:tc>
        <w:tc>
          <w:tcPr>
            <w:tcW w:w="1485" w:type="dxa"/>
          </w:tcPr>
          <w:p w14:paraId="0AF34D06" w14:textId="4B7D518D" w:rsidR="003E3DBF" w:rsidRPr="002E7C90" w:rsidRDefault="003E3DBF" w:rsidP="00B04DBD">
            <w:pPr>
              <w:pStyle w:val="Tabletext"/>
              <w:jc w:val="center"/>
            </w:pPr>
            <w:r w:rsidRPr="002E7C90">
              <w:t>MKD00000 (16,7°</w:t>
            </w:r>
            <w:r w:rsidR="00BE1A57" w:rsidRPr="002E7C90">
              <w:t xml:space="preserve"> </w:t>
            </w:r>
            <w:r w:rsidRPr="002E7C90">
              <w:t>W)</w:t>
            </w:r>
          </w:p>
        </w:tc>
        <w:tc>
          <w:tcPr>
            <w:tcW w:w="2200" w:type="dxa"/>
          </w:tcPr>
          <w:p w14:paraId="1FB5A851" w14:textId="1E013F54" w:rsidR="003E3DBF" w:rsidRPr="002E7C90" w:rsidRDefault="003E3DBF" w:rsidP="00B04DBD">
            <w:pPr>
              <w:pStyle w:val="Tabletext"/>
              <w:jc w:val="center"/>
            </w:pPr>
            <w:r w:rsidRPr="002E7C90">
              <w:t>01.04.2020</w:t>
            </w:r>
          </w:p>
        </w:tc>
        <w:tc>
          <w:tcPr>
            <w:tcW w:w="3940" w:type="dxa"/>
          </w:tcPr>
          <w:p w14:paraId="09ED84F8" w14:textId="77777777" w:rsidR="003E3DBF" w:rsidRPr="002E7C90" w:rsidRDefault="003E3DBF" w:rsidP="00B04DBD">
            <w:pPr>
              <w:pStyle w:val="Tabletext"/>
              <w:jc w:val="center"/>
            </w:pPr>
            <w:r w:rsidRPr="002E7C90">
              <w:t>AP30B/A6A/606</w:t>
            </w:r>
          </w:p>
          <w:p w14:paraId="24A158DB" w14:textId="7812C607" w:rsidR="003E3DBF" w:rsidRPr="002E7C90" w:rsidRDefault="003E3DBF" w:rsidP="00B04DBD">
            <w:pPr>
              <w:pStyle w:val="Tabletext"/>
              <w:jc w:val="center"/>
            </w:pPr>
            <w:r w:rsidRPr="002E7C90">
              <w:t>(IFIC 2938 du 26.01.2021)</w:t>
            </w:r>
          </w:p>
        </w:tc>
      </w:tr>
      <w:tr w:rsidR="003E3DBF" w:rsidRPr="002E7C90" w14:paraId="5055E4FB" w14:textId="77777777" w:rsidTr="00B04DBD">
        <w:trPr>
          <w:cnfStyle w:val="000000100000" w:firstRow="0" w:lastRow="0" w:firstColumn="0" w:lastColumn="0" w:oddVBand="0" w:evenVBand="0" w:oddHBand="1" w:evenHBand="0" w:firstRowFirstColumn="0" w:firstRowLastColumn="0" w:lastRowFirstColumn="0" w:lastRowLastColumn="0"/>
          <w:jc w:val="center"/>
        </w:trPr>
        <w:tc>
          <w:tcPr>
            <w:tcW w:w="1695" w:type="dxa"/>
          </w:tcPr>
          <w:p w14:paraId="7D3E269D" w14:textId="77777777" w:rsidR="003E3DBF" w:rsidRPr="002E7C90" w:rsidRDefault="003E3DBF" w:rsidP="00B04DBD">
            <w:pPr>
              <w:pStyle w:val="Tabletext"/>
              <w:jc w:val="center"/>
            </w:pPr>
            <w:r w:rsidRPr="002E7C90">
              <w:t>BIH</w:t>
            </w:r>
          </w:p>
        </w:tc>
        <w:tc>
          <w:tcPr>
            <w:tcW w:w="1485" w:type="dxa"/>
          </w:tcPr>
          <w:p w14:paraId="545C501B" w14:textId="21AE71A8" w:rsidR="00B04DBD" w:rsidRPr="002E7C90" w:rsidRDefault="003E3DBF" w:rsidP="00B04DBD">
            <w:pPr>
              <w:pStyle w:val="Tabletext"/>
              <w:jc w:val="center"/>
            </w:pPr>
            <w:r w:rsidRPr="002E7C90">
              <w:t>BIH00000 (46,0°</w:t>
            </w:r>
            <w:r w:rsidR="00BE1A57" w:rsidRPr="002E7C90">
              <w:t xml:space="preserve"> </w:t>
            </w:r>
            <w:r w:rsidRPr="002E7C90">
              <w:t>E)</w:t>
            </w:r>
          </w:p>
        </w:tc>
        <w:tc>
          <w:tcPr>
            <w:tcW w:w="2200" w:type="dxa"/>
          </w:tcPr>
          <w:p w14:paraId="04F17D11" w14:textId="33DA8E3A" w:rsidR="003E3DBF" w:rsidRPr="002E7C90" w:rsidRDefault="003E3DBF" w:rsidP="00B04DBD">
            <w:pPr>
              <w:pStyle w:val="Tabletext"/>
              <w:jc w:val="center"/>
            </w:pPr>
            <w:r w:rsidRPr="002E7C90">
              <w:t>03.04.2020</w:t>
            </w:r>
          </w:p>
        </w:tc>
        <w:tc>
          <w:tcPr>
            <w:tcW w:w="3940" w:type="dxa"/>
          </w:tcPr>
          <w:p w14:paraId="0343F3A2" w14:textId="77777777" w:rsidR="003E3DBF" w:rsidRPr="002E7C90" w:rsidRDefault="003E3DBF" w:rsidP="00B04DBD">
            <w:pPr>
              <w:pStyle w:val="Tabletext"/>
              <w:jc w:val="center"/>
            </w:pPr>
            <w:r w:rsidRPr="002E7C90">
              <w:t>AP30B/A6A/607</w:t>
            </w:r>
          </w:p>
          <w:p w14:paraId="49E0DB8E" w14:textId="60E62F58" w:rsidR="003E3DBF" w:rsidRPr="002E7C90" w:rsidRDefault="003E3DBF" w:rsidP="00B04DBD">
            <w:pPr>
              <w:pStyle w:val="Tabletext"/>
              <w:jc w:val="center"/>
            </w:pPr>
            <w:r w:rsidRPr="002E7C90">
              <w:t>(IFIC 2941 du 09.03.2021)</w:t>
            </w:r>
          </w:p>
        </w:tc>
      </w:tr>
      <w:tr w:rsidR="003E3DBF" w:rsidRPr="002E7C90" w14:paraId="2EFA9FE0" w14:textId="77777777" w:rsidTr="00B04DBD">
        <w:trPr>
          <w:jc w:val="center"/>
        </w:trPr>
        <w:tc>
          <w:tcPr>
            <w:tcW w:w="1695" w:type="dxa"/>
          </w:tcPr>
          <w:p w14:paraId="0A3E596A" w14:textId="77777777" w:rsidR="003E3DBF" w:rsidRPr="002E7C90" w:rsidRDefault="003E3DBF" w:rsidP="00B04DBD">
            <w:pPr>
              <w:pStyle w:val="Tabletext"/>
              <w:jc w:val="center"/>
            </w:pPr>
            <w:r w:rsidRPr="002E7C90">
              <w:t>MDA</w:t>
            </w:r>
          </w:p>
        </w:tc>
        <w:tc>
          <w:tcPr>
            <w:tcW w:w="1485" w:type="dxa"/>
          </w:tcPr>
          <w:p w14:paraId="14F8DE06" w14:textId="3C4AEEEE" w:rsidR="003E3DBF" w:rsidRPr="002E7C90" w:rsidRDefault="003E3DBF" w:rsidP="00B04DBD">
            <w:pPr>
              <w:pStyle w:val="Tabletext"/>
              <w:jc w:val="center"/>
            </w:pPr>
            <w:r w:rsidRPr="002E7C90">
              <w:t>MDA00000 (75,1°</w:t>
            </w:r>
            <w:r w:rsidR="00BE1A57" w:rsidRPr="002E7C90">
              <w:t xml:space="preserve"> </w:t>
            </w:r>
            <w:r w:rsidRPr="002E7C90">
              <w:t>E)</w:t>
            </w:r>
          </w:p>
        </w:tc>
        <w:tc>
          <w:tcPr>
            <w:tcW w:w="2200" w:type="dxa"/>
          </w:tcPr>
          <w:p w14:paraId="4B2F89A6" w14:textId="24312762" w:rsidR="003E3DBF" w:rsidRPr="002E7C90" w:rsidRDefault="003E3DBF" w:rsidP="00B04DBD">
            <w:pPr>
              <w:pStyle w:val="Tabletext"/>
              <w:jc w:val="center"/>
            </w:pPr>
            <w:r w:rsidRPr="002E7C90">
              <w:t>15.04.2020</w:t>
            </w:r>
          </w:p>
        </w:tc>
        <w:tc>
          <w:tcPr>
            <w:tcW w:w="3940" w:type="dxa"/>
          </w:tcPr>
          <w:p w14:paraId="79B3243A" w14:textId="77777777" w:rsidR="003E3DBF" w:rsidRPr="002E7C90" w:rsidRDefault="003E3DBF" w:rsidP="00B04DBD">
            <w:pPr>
              <w:pStyle w:val="Tabletext"/>
              <w:jc w:val="center"/>
            </w:pPr>
            <w:r w:rsidRPr="002E7C90">
              <w:t>AP30B/A6A/608</w:t>
            </w:r>
          </w:p>
          <w:p w14:paraId="70844D2E" w14:textId="6881AD12" w:rsidR="003E3DBF" w:rsidRPr="002E7C90" w:rsidRDefault="003E3DBF" w:rsidP="00B04DBD">
            <w:pPr>
              <w:pStyle w:val="Tabletext"/>
              <w:jc w:val="center"/>
            </w:pPr>
            <w:r w:rsidRPr="002E7C90">
              <w:t>(IFIC 2943 du 06.04.2021)</w:t>
            </w:r>
          </w:p>
        </w:tc>
      </w:tr>
      <w:tr w:rsidR="003E3DBF" w:rsidRPr="002E7C90" w14:paraId="2F946B16" w14:textId="77777777" w:rsidTr="00B04DBD">
        <w:trPr>
          <w:cnfStyle w:val="000000100000" w:firstRow="0" w:lastRow="0" w:firstColumn="0" w:lastColumn="0" w:oddVBand="0" w:evenVBand="0" w:oddHBand="1" w:evenHBand="0" w:firstRowFirstColumn="0" w:firstRowLastColumn="0" w:lastRowFirstColumn="0" w:lastRowLastColumn="0"/>
          <w:jc w:val="center"/>
        </w:trPr>
        <w:tc>
          <w:tcPr>
            <w:tcW w:w="1695" w:type="dxa"/>
          </w:tcPr>
          <w:p w14:paraId="5FD43029" w14:textId="77777777" w:rsidR="003E3DBF" w:rsidRPr="002E7C90" w:rsidRDefault="003E3DBF" w:rsidP="00B04DBD">
            <w:pPr>
              <w:pStyle w:val="Tabletext"/>
              <w:jc w:val="center"/>
            </w:pPr>
            <w:r w:rsidRPr="002E7C90">
              <w:lastRenderedPageBreak/>
              <w:t>SSD</w:t>
            </w:r>
          </w:p>
        </w:tc>
        <w:tc>
          <w:tcPr>
            <w:tcW w:w="1485" w:type="dxa"/>
          </w:tcPr>
          <w:p w14:paraId="6A48824A" w14:textId="21BD0372" w:rsidR="003E3DBF" w:rsidRPr="002E7C90" w:rsidRDefault="003E3DBF" w:rsidP="00B04DBD">
            <w:pPr>
              <w:pStyle w:val="Tabletext"/>
              <w:jc w:val="center"/>
            </w:pPr>
            <w:r w:rsidRPr="002E7C90">
              <w:t>SSD00000 (23,9°</w:t>
            </w:r>
            <w:r w:rsidR="00BE1A57" w:rsidRPr="002E7C90">
              <w:t xml:space="preserve"> </w:t>
            </w:r>
            <w:r w:rsidRPr="002E7C90">
              <w:t>W)</w:t>
            </w:r>
          </w:p>
        </w:tc>
        <w:tc>
          <w:tcPr>
            <w:tcW w:w="2200" w:type="dxa"/>
          </w:tcPr>
          <w:p w14:paraId="7A823FF1" w14:textId="567594A1" w:rsidR="003E3DBF" w:rsidRPr="002E7C90" w:rsidRDefault="003E3DBF" w:rsidP="00B04DBD">
            <w:pPr>
              <w:pStyle w:val="Tabletext"/>
              <w:jc w:val="center"/>
            </w:pPr>
            <w:r w:rsidRPr="002E7C90">
              <w:t>28.04.2020</w:t>
            </w:r>
          </w:p>
        </w:tc>
        <w:tc>
          <w:tcPr>
            <w:tcW w:w="3940" w:type="dxa"/>
          </w:tcPr>
          <w:p w14:paraId="51D969DF" w14:textId="77777777" w:rsidR="003E3DBF" w:rsidRPr="002E7C90" w:rsidRDefault="003E3DBF" w:rsidP="00B04DBD">
            <w:pPr>
              <w:pStyle w:val="Tabletext"/>
              <w:jc w:val="center"/>
            </w:pPr>
            <w:r w:rsidRPr="002E7C90">
              <w:t>AP30B/A6A/609</w:t>
            </w:r>
          </w:p>
          <w:p w14:paraId="5ABC459E" w14:textId="1CBF8427" w:rsidR="003E3DBF" w:rsidRPr="002E7C90" w:rsidRDefault="003E3DBF" w:rsidP="00B04DBD">
            <w:pPr>
              <w:pStyle w:val="Tabletext"/>
              <w:jc w:val="center"/>
            </w:pPr>
            <w:r w:rsidRPr="002E7C90">
              <w:t>(IFIC 2944 du 20.04.2021)</w:t>
            </w:r>
          </w:p>
        </w:tc>
      </w:tr>
      <w:tr w:rsidR="003E3DBF" w:rsidRPr="002E7C90" w14:paraId="2E530057" w14:textId="77777777" w:rsidTr="00B04DBD">
        <w:trPr>
          <w:jc w:val="center"/>
        </w:trPr>
        <w:tc>
          <w:tcPr>
            <w:tcW w:w="1695" w:type="dxa"/>
          </w:tcPr>
          <w:p w14:paraId="6BDCFC96" w14:textId="77777777" w:rsidR="003E3DBF" w:rsidRPr="002E7C90" w:rsidRDefault="003E3DBF" w:rsidP="00B04DBD">
            <w:pPr>
              <w:pStyle w:val="Tabletext"/>
              <w:jc w:val="center"/>
            </w:pPr>
            <w:r w:rsidRPr="002E7C90">
              <w:t>GEO</w:t>
            </w:r>
          </w:p>
        </w:tc>
        <w:tc>
          <w:tcPr>
            <w:tcW w:w="1485" w:type="dxa"/>
          </w:tcPr>
          <w:p w14:paraId="17D2FF48" w14:textId="6B39DDDD" w:rsidR="003E3DBF" w:rsidRPr="002E7C90" w:rsidRDefault="003E3DBF" w:rsidP="00B04DBD">
            <w:pPr>
              <w:pStyle w:val="Tabletext"/>
              <w:jc w:val="center"/>
            </w:pPr>
            <w:r w:rsidRPr="002E7C90">
              <w:t>GEO00000 (78,0°</w:t>
            </w:r>
            <w:r w:rsidR="00BE1A57" w:rsidRPr="002E7C90">
              <w:t xml:space="preserve"> </w:t>
            </w:r>
            <w:r w:rsidRPr="002E7C90">
              <w:t>E)</w:t>
            </w:r>
          </w:p>
        </w:tc>
        <w:tc>
          <w:tcPr>
            <w:tcW w:w="2200" w:type="dxa"/>
          </w:tcPr>
          <w:p w14:paraId="2A094575" w14:textId="126180DF" w:rsidR="003E3DBF" w:rsidRPr="002E7C90" w:rsidRDefault="003E3DBF" w:rsidP="00B04DBD">
            <w:pPr>
              <w:pStyle w:val="Tabletext"/>
              <w:jc w:val="center"/>
            </w:pPr>
            <w:r w:rsidRPr="002E7C90">
              <w:t>19.05.2020</w:t>
            </w:r>
          </w:p>
        </w:tc>
        <w:tc>
          <w:tcPr>
            <w:tcW w:w="3940" w:type="dxa"/>
          </w:tcPr>
          <w:p w14:paraId="7A3D9478" w14:textId="77777777" w:rsidR="003E3DBF" w:rsidRPr="002E7C90" w:rsidRDefault="003E3DBF" w:rsidP="00B04DBD">
            <w:pPr>
              <w:pStyle w:val="Tabletext"/>
              <w:jc w:val="center"/>
            </w:pPr>
            <w:r w:rsidRPr="002E7C90">
              <w:t>AP30B/A6A/610</w:t>
            </w:r>
          </w:p>
          <w:p w14:paraId="1EEB2283" w14:textId="2775CAAA" w:rsidR="003E3DBF" w:rsidRPr="002E7C90" w:rsidRDefault="003E3DBF" w:rsidP="00B04DBD">
            <w:pPr>
              <w:pStyle w:val="Tabletext"/>
              <w:jc w:val="center"/>
            </w:pPr>
            <w:r w:rsidRPr="002E7C90">
              <w:t>(IFIC 2946 du 18.05.2021)</w:t>
            </w:r>
          </w:p>
        </w:tc>
      </w:tr>
      <w:tr w:rsidR="003E3DBF" w:rsidRPr="002E7C90" w14:paraId="464F37E0" w14:textId="77777777" w:rsidTr="00B04DBD">
        <w:trPr>
          <w:cnfStyle w:val="000000100000" w:firstRow="0" w:lastRow="0" w:firstColumn="0" w:lastColumn="0" w:oddVBand="0" w:evenVBand="0" w:oddHBand="1" w:evenHBand="0" w:firstRowFirstColumn="0" w:firstRowLastColumn="0" w:lastRowFirstColumn="0" w:lastRowLastColumn="0"/>
          <w:jc w:val="center"/>
        </w:trPr>
        <w:tc>
          <w:tcPr>
            <w:tcW w:w="1695" w:type="dxa"/>
          </w:tcPr>
          <w:p w14:paraId="4140C89F" w14:textId="77777777" w:rsidR="003E3DBF" w:rsidRPr="002E7C90" w:rsidRDefault="003E3DBF" w:rsidP="00B04DBD">
            <w:pPr>
              <w:pStyle w:val="Tabletext"/>
              <w:jc w:val="center"/>
            </w:pPr>
            <w:r w:rsidRPr="002E7C90">
              <w:t>HRV</w:t>
            </w:r>
          </w:p>
        </w:tc>
        <w:tc>
          <w:tcPr>
            <w:tcW w:w="1485" w:type="dxa"/>
          </w:tcPr>
          <w:p w14:paraId="6D5D4C62" w14:textId="260162FE" w:rsidR="003E3DBF" w:rsidRPr="002E7C90" w:rsidRDefault="003E3DBF" w:rsidP="00B04DBD">
            <w:pPr>
              <w:pStyle w:val="Tabletext"/>
              <w:jc w:val="center"/>
            </w:pPr>
            <w:r w:rsidRPr="002E7C90">
              <w:t>HRV00000 (63,0°</w:t>
            </w:r>
            <w:r w:rsidR="00BE1A57" w:rsidRPr="002E7C90">
              <w:t xml:space="preserve"> </w:t>
            </w:r>
            <w:r w:rsidRPr="002E7C90">
              <w:t>E)</w:t>
            </w:r>
          </w:p>
        </w:tc>
        <w:tc>
          <w:tcPr>
            <w:tcW w:w="2200" w:type="dxa"/>
          </w:tcPr>
          <w:p w14:paraId="00609451" w14:textId="3CF4B7FF" w:rsidR="003E3DBF" w:rsidRPr="002E7C90" w:rsidRDefault="003E3DBF" w:rsidP="00B04DBD">
            <w:pPr>
              <w:pStyle w:val="Tabletext"/>
              <w:jc w:val="center"/>
            </w:pPr>
            <w:r w:rsidRPr="002E7C90">
              <w:t>24.06.2020</w:t>
            </w:r>
          </w:p>
        </w:tc>
        <w:tc>
          <w:tcPr>
            <w:tcW w:w="3940" w:type="dxa"/>
          </w:tcPr>
          <w:p w14:paraId="6CEC9407" w14:textId="77777777" w:rsidR="003E3DBF" w:rsidRPr="002E7C90" w:rsidRDefault="003E3DBF" w:rsidP="00B04DBD">
            <w:pPr>
              <w:pStyle w:val="Tabletext"/>
              <w:jc w:val="center"/>
            </w:pPr>
            <w:r w:rsidRPr="002E7C90">
              <w:t>AP30B/A6A/611</w:t>
            </w:r>
          </w:p>
          <w:p w14:paraId="7F26D0B7" w14:textId="4AF7BA31" w:rsidR="003E3DBF" w:rsidRPr="002E7C90" w:rsidRDefault="003E3DBF" w:rsidP="00B04DBD">
            <w:pPr>
              <w:pStyle w:val="Tabletext"/>
              <w:jc w:val="center"/>
            </w:pPr>
            <w:r w:rsidRPr="002E7C90">
              <w:t>(IFIC 2947 du 01.06.2021)</w:t>
            </w:r>
          </w:p>
        </w:tc>
      </w:tr>
    </w:tbl>
    <w:p w14:paraId="3CC943C5" w14:textId="2C92FAA7" w:rsidR="00A70D52" w:rsidRPr="002E7C90" w:rsidRDefault="00B04DBD" w:rsidP="00B04DBD">
      <w:pPr>
        <w:spacing w:before="360"/>
      </w:pPr>
      <w:r w:rsidRPr="002E7C90">
        <w:t>É</w:t>
      </w:r>
      <w:r w:rsidR="00EF682E" w:rsidRPr="002E7C90">
        <w:t>tant donné que de nombreux réseaux à satellite, y compris de nouvelles soumissions concernant des systèmes additionnels, étaient identifiés comme susceptibles d</w:t>
      </w:r>
      <w:r w:rsidR="0027579B" w:rsidRPr="002E7C90">
        <w:t>'</w:t>
      </w:r>
      <w:r w:rsidR="00EF682E" w:rsidRPr="002E7C90">
        <w:t>être affectés, le Comité du Règlement des radiocommunications, à sa 89ème réunion, a chargé le Bureau de mettre en œuvre, à titre de mesure provisoire jusqu</w:t>
      </w:r>
      <w:r w:rsidR="0027579B" w:rsidRPr="002E7C90">
        <w:t>'</w:t>
      </w:r>
      <w:r w:rsidR="00EF682E" w:rsidRPr="002E7C90">
        <w:t>à la CMR-23, des mesures réglementaires additionnelles concernant les soumissions au titre de la Partie B dans le cadre de l</w:t>
      </w:r>
      <w:r w:rsidR="0027579B" w:rsidRPr="002E7C90">
        <w:t>'</w:t>
      </w:r>
      <w:r w:rsidR="00EF682E" w:rsidRPr="002E7C90">
        <w:t xml:space="preserve">Appendice </w:t>
      </w:r>
      <w:r w:rsidR="00EF682E" w:rsidRPr="002E7C90">
        <w:rPr>
          <w:b/>
          <w:bCs/>
        </w:rPr>
        <w:t>30B</w:t>
      </w:r>
      <w:r w:rsidR="00EF682E" w:rsidRPr="002E7C90">
        <w:t xml:space="preserve"> reçues après le 28</w:t>
      </w:r>
      <w:r w:rsidRPr="002E7C90">
        <w:t> </w:t>
      </w:r>
      <w:r w:rsidR="00EF682E" w:rsidRPr="002E7C90">
        <w:t>octobre</w:t>
      </w:r>
      <w:r w:rsidRPr="002E7C90">
        <w:t> </w:t>
      </w:r>
      <w:r w:rsidR="00EF682E" w:rsidRPr="002E7C90">
        <w:t>2021 et associées à des soumissions au titre de la Partie A reçues avant le 12 mars 2020, afin d</w:t>
      </w:r>
      <w:r w:rsidR="0027579B" w:rsidRPr="002E7C90">
        <w:t>'</w:t>
      </w:r>
      <w:r w:rsidR="00EF682E" w:rsidRPr="002E7C90">
        <w:t xml:space="preserve">éviter </w:t>
      </w:r>
      <w:r w:rsidR="00C57F42" w:rsidRPr="002E7C90">
        <w:t>que les</w:t>
      </w:r>
      <w:r w:rsidR="00EF682E" w:rsidRPr="002E7C90">
        <w:t xml:space="preserve"> niveaux </w:t>
      </w:r>
      <w:r w:rsidR="00EF682E" w:rsidRPr="002E7C90">
        <w:rPr>
          <w:i/>
          <w:iCs/>
        </w:rPr>
        <w:t>C</w:t>
      </w:r>
      <w:r w:rsidR="00EF682E" w:rsidRPr="002E7C90">
        <w:t>/</w:t>
      </w:r>
      <w:r w:rsidR="00EF682E" w:rsidRPr="002E7C90">
        <w:rPr>
          <w:i/>
          <w:iCs/>
        </w:rPr>
        <w:t>I</w:t>
      </w:r>
      <w:r w:rsidR="00EF682E" w:rsidRPr="002E7C90">
        <w:t xml:space="preserve"> cumulatifs de ces demandes au titre de l</w:t>
      </w:r>
      <w:r w:rsidR="0027579B" w:rsidRPr="002E7C90">
        <w:t>'</w:t>
      </w:r>
      <w:r w:rsidRPr="002E7C90">
        <w:t>A</w:t>
      </w:r>
      <w:r w:rsidR="00EF682E" w:rsidRPr="002E7C90">
        <w:t>rticle 7</w:t>
      </w:r>
      <w:r w:rsidR="00C57F42" w:rsidRPr="002E7C90">
        <w:t xml:space="preserve"> ne se dégradent davantage.</w:t>
      </w:r>
    </w:p>
    <w:p w14:paraId="5C5CE841" w14:textId="6FF1B5D0" w:rsidR="00C57F42" w:rsidRPr="002E7C90" w:rsidRDefault="00935CE0" w:rsidP="007C7095">
      <w:r w:rsidRPr="002E7C90">
        <w:t>Conformément aux instructions du Comité, le Bureau a étudié de manière approfondie l</w:t>
      </w:r>
      <w:r w:rsidR="00D8656B" w:rsidRPr="002E7C90">
        <w:t xml:space="preserve">es </w:t>
      </w:r>
      <w:r w:rsidRPr="002E7C90">
        <w:t>incidence</w:t>
      </w:r>
      <w:r w:rsidR="00D8656B" w:rsidRPr="002E7C90">
        <w:t>s</w:t>
      </w:r>
      <w:r w:rsidRPr="002E7C90">
        <w:t xml:space="preserve"> des soumissions </w:t>
      </w:r>
      <w:r w:rsidR="00D8656B" w:rsidRPr="002E7C90">
        <w:t xml:space="preserve">au titre de </w:t>
      </w:r>
      <w:r w:rsidRPr="002E7C90">
        <w:t xml:space="preserve">la Partie B qui pourraient entraîner une dégradation des niveaux </w:t>
      </w:r>
      <w:r w:rsidRPr="002E7C90">
        <w:rPr>
          <w:i/>
          <w:iCs/>
        </w:rPr>
        <w:t>C</w:t>
      </w:r>
      <w:r w:rsidRPr="002E7C90">
        <w:t>/</w:t>
      </w:r>
      <w:r w:rsidRPr="002E7C90">
        <w:rPr>
          <w:i/>
          <w:iCs/>
        </w:rPr>
        <w:t>I</w:t>
      </w:r>
      <w:r w:rsidRPr="002E7C90">
        <w:t xml:space="preserve"> cumulatifs des sept allotissements proposés. </w:t>
      </w:r>
      <w:r w:rsidR="008F32C2" w:rsidRPr="002E7C90">
        <w:t>Pour</w:t>
      </w:r>
      <w:r w:rsidR="00D8656B" w:rsidRPr="002E7C90">
        <w:t xml:space="preserve"> les cas où l</w:t>
      </w:r>
      <w:r w:rsidRPr="002E7C90">
        <w:t xml:space="preserve">es valeurs calculées du rapport </w:t>
      </w:r>
      <w:r w:rsidRPr="002E7C90">
        <w:rPr>
          <w:i/>
          <w:iCs/>
        </w:rPr>
        <w:t>C</w:t>
      </w:r>
      <w:r w:rsidRPr="002E7C90">
        <w:t>/</w:t>
      </w:r>
      <w:r w:rsidRPr="002E7C90">
        <w:rPr>
          <w:i/>
          <w:iCs/>
        </w:rPr>
        <w:t>I</w:t>
      </w:r>
      <w:r w:rsidRPr="002E7C90">
        <w:t xml:space="preserve"> cumulatif d</w:t>
      </w:r>
      <w:r w:rsidR="0027579B" w:rsidRPr="002E7C90">
        <w:t>'</w:t>
      </w:r>
      <w:r w:rsidRPr="002E7C90">
        <w:t xml:space="preserve">un allotissement proposé </w:t>
      </w:r>
      <w:r w:rsidR="00D8656B" w:rsidRPr="002E7C90">
        <w:t>étaient</w:t>
      </w:r>
      <w:r w:rsidRPr="002E7C90">
        <w:t xml:space="preserve"> dégradées, le Bureau a contacté les administrations notificatrices des soumissions </w:t>
      </w:r>
      <w:r w:rsidR="00D8656B" w:rsidRPr="002E7C90">
        <w:t>au titre de</w:t>
      </w:r>
      <w:r w:rsidRPr="002E7C90">
        <w:t xml:space="preserve"> la Partie B et a proposé des mesures visant à ramener à moins de 0,25 dB le</w:t>
      </w:r>
      <w:r w:rsidR="00D8656B" w:rsidRPr="002E7C90">
        <w:t>s</w:t>
      </w:r>
      <w:r w:rsidRPr="002E7C90">
        <w:t xml:space="preserve"> brouillage</w:t>
      </w:r>
      <w:r w:rsidR="00D8656B" w:rsidRPr="002E7C90">
        <w:t>s</w:t>
      </w:r>
      <w:r w:rsidRPr="002E7C90">
        <w:t xml:space="preserve"> causé</w:t>
      </w:r>
      <w:r w:rsidR="00D8656B" w:rsidRPr="002E7C90">
        <w:t>s</w:t>
      </w:r>
      <w:r w:rsidRPr="002E7C90">
        <w:t xml:space="preserve"> par leurs réseaux à satellite aux allotissements proposés. Toutes ces administrations notificatrices (énumérées dans le Tableau 2 ci-dessous) ont accepté les propositions.</w:t>
      </w:r>
    </w:p>
    <w:p w14:paraId="1C2C746C" w14:textId="1253B73B" w:rsidR="00A70D52" w:rsidRPr="002E7C90" w:rsidRDefault="00A70D52" w:rsidP="007C7095">
      <w:pPr>
        <w:pStyle w:val="TableNo"/>
        <w:rPr>
          <w:rFonts w:eastAsia="Calibri"/>
          <w:lang w:eastAsia="it-IT"/>
        </w:rPr>
      </w:pPr>
      <w:r w:rsidRPr="002E7C90">
        <w:rPr>
          <w:rFonts w:eastAsia="Calibri"/>
          <w:lang w:eastAsia="it-IT"/>
        </w:rPr>
        <w:t>Tableau 2</w:t>
      </w:r>
    </w:p>
    <w:tbl>
      <w:tblPr>
        <w:tblStyle w:val="GridTable4-Accent11"/>
        <w:tblW w:w="0" w:type="auto"/>
        <w:tblLook w:val="04A0" w:firstRow="1" w:lastRow="0" w:firstColumn="1" w:lastColumn="0" w:noHBand="0" w:noVBand="1"/>
      </w:tblPr>
      <w:tblGrid>
        <w:gridCol w:w="1696"/>
        <w:gridCol w:w="2071"/>
        <w:gridCol w:w="1331"/>
        <w:gridCol w:w="1701"/>
        <w:gridCol w:w="2524"/>
      </w:tblGrid>
      <w:tr w:rsidR="00A70D52" w:rsidRPr="002E7C90" w14:paraId="32436BD6" w14:textId="77777777" w:rsidTr="00EC72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07B176B" w14:textId="59E55F6A" w:rsidR="00A70D52" w:rsidRPr="002E7C90" w:rsidRDefault="00D8656B" w:rsidP="00BE1A57">
            <w:pPr>
              <w:pStyle w:val="Tablehead"/>
              <w:rPr>
                <w:b/>
                <w:bCs w:val="0"/>
                <w:lang w:eastAsia="it-IT"/>
              </w:rPr>
            </w:pPr>
            <w:r w:rsidRPr="002E7C90">
              <w:rPr>
                <w:b/>
                <w:bCs w:val="0"/>
                <w:lang w:eastAsia="it-IT"/>
              </w:rPr>
              <w:t>Administration notificatrice</w:t>
            </w:r>
          </w:p>
        </w:tc>
        <w:tc>
          <w:tcPr>
            <w:tcW w:w="2071" w:type="dxa"/>
          </w:tcPr>
          <w:p w14:paraId="3D3E48F3" w14:textId="2BB1AF51" w:rsidR="00A70D52" w:rsidRPr="002E7C90" w:rsidRDefault="00D8656B" w:rsidP="00BE1A57">
            <w:pPr>
              <w:pStyle w:val="Tablehead"/>
              <w:cnfStyle w:val="100000000000" w:firstRow="1" w:lastRow="0" w:firstColumn="0" w:lastColumn="0" w:oddVBand="0" w:evenVBand="0" w:oddHBand="0" w:evenHBand="0" w:firstRowFirstColumn="0" w:firstRowLastColumn="0" w:lastRowFirstColumn="0" w:lastRowLastColumn="0"/>
              <w:rPr>
                <w:b/>
                <w:bCs w:val="0"/>
                <w:lang w:eastAsia="it-IT"/>
              </w:rPr>
            </w:pPr>
            <w:r w:rsidRPr="002E7C90">
              <w:rPr>
                <w:b/>
                <w:bCs w:val="0"/>
                <w:lang w:eastAsia="it-IT"/>
              </w:rPr>
              <w:t>Nom du satellite (Partie B)</w:t>
            </w:r>
          </w:p>
        </w:tc>
        <w:tc>
          <w:tcPr>
            <w:tcW w:w="1331" w:type="dxa"/>
          </w:tcPr>
          <w:p w14:paraId="19816D78" w14:textId="0BB0CAD6" w:rsidR="00A70D52" w:rsidRPr="002E7C90" w:rsidRDefault="00D8656B" w:rsidP="00BE1A57">
            <w:pPr>
              <w:pStyle w:val="Tablehead"/>
              <w:cnfStyle w:val="100000000000" w:firstRow="1" w:lastRow="0" w:firstColumn="0" w:lastColumn="0" w:oddVBand="0" w:evenVBand="0" w:oddHBand="0" w:evenHBand="0" w:firstRowFirstColumn="0" w:firstRowLastColumn="0" w:lastRowFirstColumn="0" w:lastRowLastColumn="0"/>
              <w:rPr>
                <w:b/>
                <w:bCs w:val="0"/>
                <w:lang w:eastAsia="it-IT"/>
              </w:rPr>
            </w:pPr>
            <w:r w:rsidRPr="002E7C90">
              <w:rPr>
                <w:b/>
                <w:bCs w:val="0"/>
                <w:lang w:eastAsia="it-IT"/>
              </w:rPr>
              <w:t>Position orbitale</w:t>
            </w:r>
          </w:p>
        </w:tc>
        <w:tc>
          <w:tcPr>
            <w:tcW w:w="1701" w:type="dxa"/>
          </w:tcPr>
          <w:p w14:paraId="15514A3F" w14:textId="4FB4AB2E" w:rsidR="00A70D52" w:rsidRPr="002E7C90" w:rsidRDefault="00E53413" w:rsidP="00BE1A57">
            <w:pPr>
              <w:pStyle w:val="Tablehead"/>
              <w:cnfStyle w:val="100000000000" w:firstRow="1" w:lastRow="0" w:firstColumn="0" w:lastColumn="0" w:oddVBand="0" w:evenVBand="0" w:oddHBand="0" w:evenHBand="0" w:firstRowFirstColumn="0" w:firstRowLastColumn="0" w:lastRowFirstColumn="0" w:lastRowLastColumn="0"/>
              <w:rPr>
                <w:b/>
                <w:bCs w:val="0"/>
                <w:lang w:eastAsia="it-IT"/>
              </w:rPr>
            </w:pPr>
            <w:r w:rsidRPr="002E7C90">
              <w:rPr>
                <w:b/>
                <w:bCs w:val="0"/>
                <w:lang w:eastAsia="it-IT"/>
              </w:rPr>
              <w:t>Date de r</w:t>
            </w:r>
            <w:r w:rsidR="00BE1A57" w:rsidRPr="002E7C90">
              <w:rPr>
                <w:b/>
                <w:bCs w:val="0"/>
                <w:lang w:eastAsia="it-IT"/>
              </w:rPr>
              <w:t>é</w:t>
            </w:r>
            <w:r w:rsidRPr="002E7C90">
              <w:rPr>
                <w:b/>
                <w:bCs w:val="0"/>
                <w:lang w:eastAsia="it-IT"/>
              </w:rPr>
              <w:t>ception</w:t>
            </w:r>
          </w:p>
        </w:tc>
        <w:tc>
          <w:tcPr>
            <w:tcW w:w="2524" w:type="dxa"/>
          </w:tcPr>
          <w:p w14:paraId="6A9A0875" w14:textId="17CE696F" w:rsidR="00A70D52" w:rsidRPr="002E7C90" w:rsidRDefault="00D8656B" w:rsidP="00BE1A57">
            <w:pPr>
              <w:pStyle w:val="Tablehead"/>
              <w:cnfStyle w:val="100000000000" w:firstRow="1" w:lastRow="0" w:firstColumn="0" w:lastColumn="0" w:oddVBand="0" w:evenVBand="0" w:oddHBand="0" w:evenHBand="0" w:firstRowFirstColumn="0" w:firstRowLastColumn="0" w:lastRowFirstColumn="0" w:lastRowLastColumn="0"/>
              <w:rPr>
                <w:b/>
                <w:bCs w:val="0"/>
                <w:lang w:eastAsia="it-IT"/>
              </w:rPr>
            </w:pPr>
            <w:r w:rsidRPr="002E7C90">
              <w:rPr>
                <w:b/>
                <w:bCs w:val="0"/>
                <w:lang w:eastAsia="it-IT"/>
              </w:rPr>
              <w:t>Assignations protégées</w:t>
            </w:r>
          </w:p>
        </w:tc>
      </w:tr>
      <w:tr w:rsidR="00D8656B" w:rsidRPr="002E7C90" w14:paraId="69C04FE1" w14:textId="77777777" w:rsidTr="00BE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5F8CC9D5" w14:textId="5FE5F434" w:rsidR="00D8656B" w:rsidRPr="002E7C90" w:rsidRDefault="00D8656B" w:rsidP="00BE1A57">
            <w:pPr>
              <w:pStyle w:val="Tabletext"/>
              <w:jc w:val="center"/>
              <w:rPr>
                <w:lang w:eastAsia="it-IT"/>
              </w:rPr>
            </w:pPr>
            <w:r w:rsidRPr="002E7C90">
              <w:rPr>
                <w:lang w:eastAsia="it-IT"/>
              </w:rPr>
              <w:t>BLR</w:t>
            </w:r>
          </w:p>
        </w:tc>
        <w:tc>
          <w:tcPr>
            <w:tcW w:w="2071" w:type="dxa"/>
            <w:vAlign w:val="center"/>
          </w:tcPr>
          <w:p w14:paraId="3727C918" w14:textId="13D64E0D"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BLR-FSS2-51.5E</w:t>
            </w:r>
          </w:p>
        </w:tc>
        <w:tc>
          <w:tcPr>
            <w:tcW w:w="1331" w:type="dxa"/>
            <w:vAlign w:val="center"/>
          </w:tcPr>
          <w:p w14:paraId="0C5A79F5" w14:textId="588349EE"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51,5° E</w:t>
            </w:r>
          </w:p>
        </w:tc>
        <w:tc>
          <w:tcPr>
            <w:tcW w:w="1701" w:type="dxa"/>
            <w:vAlign w:val="center"/>
          </w:tcPr>
          <w:p w14:paraId="0605767D" w14:textId="5D04A790"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28.10.2021</w:t>
            </w:r>
          </w:p>
        </w:tc>
        <w:tc>
          <w:tcPr>
            <w:tcW w:w="2524" w:type="dxa"/>
            <w:vAlign w:val="center"/>
          </w:tcPr>
          <w:p w14:paraId="1A9F3BA8" w14:textId="169D2C7C"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BIH00000 (46.0E)</w:t>
            </w:r>
          </w:p>
        </w:tc>
      </w:tr>
      <w:tr w:rsidR="00D8656B" w:rsidRPr="002E7C90" w14:paraId="0E262CB7" w14:textId="77777777" w:rsidTr="00BE1A57">
        <w:tc>
          <w:tcPr>
            <w:cnfStyle w:val="001000000000" w:firstRow="0" w:lastRow="0" w:firstColumn="1" w:lastColumn="0" w:oddVBand="0" w:evenVBand="0" w:oddHBand="0" w:evenHBand="0" w:firstRowFirstColumn="0" w:firstRowLastColumn="0" w:lastRowFirstColumn="0" w:lastRowLastColumn="0"/>
            <w:tcW w:w="1696" w:type="dxa"/>
            <w:vAlign w:val="center"/>
          </w:tcPr>
          <w:p w14:paraId="11C55F41" w14:textId="26C05D7A" w:rsidR="00D8656B" w:rsidRPr="002E7C90" w:rsidRDefault="00D8656B" w:rsidP="00BE1A57">
            <w:pPr>
              <w:pStyle w:val="Tabletext"/>
              <w:jc w:val="center"/>
              <w:rPr>
                <w:lang w:eastAsia="it-IT"/>
              </w:rPr>
            </w:pPr>
            <w:r w:rsidRPr="002E7C90">
              <w:rPr>
                <w:lang w:eastAsia="it-IT"/>
              </w:rPr>
              <w:t>PNG</w:t>
            </w:r>
          </w:p>
        </w:tc>
        <w:tc>
          <w:tcPr>
            <w:tcW w:w="2071" w:type="dxa"/>
            <w:vAlign w:val="center"/>
          </w:tcPr>
          <w:p w14:paraId="5BE40565" w14:textId="3CCECF49"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NEW DAWN FSS-3</w:t>
            </w:r>
          </w:p>
        </w:tc>
        <w:tc>
          <w:tcPr>
            <w:tcW w:w="1331" w:type="dxa"/>
            <w:vAlign w:val="center"/>
          </w:tcPr>
          <w:p w14:paraId="55AFEA27" w14:textId="14DEC2E7"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62,0° E</w:t>
            </w:r>
          </w:p>
        </w:tc>
        <w:tc>
          <w:tcPr>
            <w:tcW w:w="1701" w:type="dxa"/>
            <w:vAlign w:val="center"/>
          </w:tcPr>
          <w:p w14:paraId="58B6BAAD" w14:textId="35C6D4E8"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18.03.2022</w:t>
            </w:r>
          </w:p>
        </w:tc>
        <w:tc>
          <w:tcPr>
            <w:tcW w:w="2524" w:type="dxa"/>
            <w:vAlign w:val="center"/>
          </w:tcPr>
          <w:p w14:paraId="752456E3" w14:textId="27E28CC4"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HRV00000 (63.0E)</w:t>
            </w:r>
          </w:p>
        </w:tc>
      </w:tr>
      <w:tr w:rsidR="00D8656B" w:rsidRPr="002E7C90" w14:paraId="3C9E1381" w14:textId="77777777" w:rsidTr="00BE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98E31D5" w14:textId="393F15CB" w:rsidR="00D8656B" w:rsidRPr="002E7C90" w:rsidRDefault="00D8656B" w:rsidP="00BE1A57">
            <w:pPr>
              <w:pStyle w:val="Tabletext"/>
              <w:jc w:val="center"/>
              <w:rPr>
                <w:lang w:eastAsia="it-IT"/>
              </w:rPr>
            </w:pPr>
            <w:r w:rsidRPr="002E7C90">
              <w:rPr>
                <w:lang w:eastAsia="it-IT"/>
              </w:rPr>
              <w:t>IND</w:t>
            </w:r>
          </w:p>
        </w:tc>
        <w:tc>
          <w:tcPr>
            <w:tcW w:w="2071" w:type="dxa"/>
            <w:vAlign w:val="center"/>
          </w:tcPr>
          <w:p w14:paraId="0F1AB1EA" w14:textId="4433D760"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INSAT-PKU63E</w:t>
            </w:r>
          </w:p>
        </w:tc>
        <w:tc>
          <w:tcPr>
            <w:tcW w:w="1331" w:type="dxa"/>
            <w:vAlign w:val="center"/>
          </w:tcPr>
          <w:p w14:paraId="0E282950" w14:textId="1910A0BE"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63,0° E</w:t>
            </w:r>
          </w:p>
        </w:tc>
        <w:tc>
          <w:tcPr>
            <w:tcW w:w="1701" w:type="dxa"/>
            <w:vAlign w:val="center"/>
          </w:tcPr>
          <w:p w14:paraId="35C5AA98" w14:textId="1CAF2141"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27.06.2022</w:t>
            </w:r>
          </w:p>
        </w:tc>
        <w:tc>
          <w:tcPr>
            <w:tcW w:w="2524" w:type="dxa"/>
            <w:vAlign w:val="center"/>
          </w:tcPr>
          <w:p w14:paraId="7B2E5C76" w14:textId="059B87DE"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HRV00000 (63.0E)</w:t>
            </w:r>
          </w:p>
        </w:tc>
      </w:tr>
      <w:tr w:rsidR="00D8656B" w:rsidRPr="002E7C90" w14:paraId="77390337" w14:textId="77777777" w:rsidTr="00BE1A57">
        <w:tc>
          <w:tcPr>
            <w:cnfStyle w:val="001000000000" w:firstRow="0" w:lastRow="0" w:firstColumn="1" w:lastColumn="0" w:oddVBand="0" w:evenVBand="0" w:oddHBand="0" w:evenHBand="0" w:firstRowFirstColumn="0" w:firstRowLastColumn="0" w:lastRowFirstColumn="0" w:lastRowLastColumn="0"/>
            <w:tcW w:w="1696" w:type="dxa"/>
            <w:vAlign w:val="center"/>
          </w:tcPr>
          <w:p w14:paraId="175F006D" w14:textId="3AB80D8A" w:rsidR="00D8656B" w:rsidRPr="002E7C90" w:rsidRDefault="00D8656B" w:rsidP="00BE1A57">
            <w:pPr>
              <w:pStyle w:val="Tabletext"/>
              <w:jc w:val="center"/>
              <w:rPr>
                <w:lang w:eastAsia="it-IT"/>
              </w:rPr>
            </w:pPr>
            <w:r w:rsidRPr="002E7C90">
              <w:rPr>
                <w:lang w:eastAsia="it-IT"/>
              </w:rPr>
              <w:t>G</w:t>
            </w:r>
          </w:p>
        </w:tc>
        <w:tc>
          <w:tcPr>
            <w:tcW w:w="2071" w:type="dxa"/>
            <w:vAlign w:val="center"/>
          </w:tcPr>
          <w:p w14:paraId="32A010CB" w14:textId="41EC4252"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UKFSS-18W-A</w:t>
            </w:r>
          </w:p>
        </w:tc>
        <w:tc>
          <w:tcPr>
            <w:tcW w:w="1331" w:type="dxa"/>
            <w:vAlign w:val="center"/>
          </w:tcPr>
          <w:p w14:paraId="41B10241" w14:textId="6CC739C5"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18,0° W</w:t>
            </w:r>
          </w:p>
        </w:tc>
        <w:tc>
          <w:tcPr>
            <w:tcW w:w="1701" w:type="dxa"/>
            <w:vAlign w:val="center"/>
          </w:tcPr>
          <w:p w14:paraId="3EB04E88" w14:textId="6B48AD9F"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01.08.2022</w:t>
            </w:r>
          </w:p>
        </w:tc>
        <w:tc>
          <w:tcPr>
            <w:tcW w:w="2524" w:type="dxa"/>
            <w:vAlign w:val="center"/>
          </w:tcPr>
          <w:p w14:paraId="0CC185DC" w14:textId="5E39ABD7" w:rsidR="00D8656B" w:rsidRPr="002E7C90" w:rsidRDefault="00D8656B" w:rsidP="00BE1A57">
            <w:pPr>
              <w:pStyle w:val="Tabletext"/>
              <w:jc w:val="center"/>
              <w:cnfStyle w:val="000000000000" w:firstRow="0" w:lastRow="0" w:firstColumn="0" w:lastColumn="0" w:oddVBand="0" w:evenVBand="0" w:oddHBand="0" w:evenHBand="0" w:firstRowFirstColumn="0" w:firstRowLastColumn="0" w:lastRowFirstColumn="0" w:lastRowLastColumn="0"/>
              <w:rPr>
                <w:lang w:eastAsia="it-IT"/>
              </w:rPr>
            </w:pPr>
            <w:r w:rsidRPr="002E7C90">
              <w:rPr>
                <w:lang w:eastAsia="it-IT"/>
              </w:rPr>
              <w:t>MKD00000 (16.7W)</w:t>
            </w:r>
          </w:p>
        </w:tc>
      </w:tr>
      <w:tr w:rsidR="00D8656B" w:rsidRPr="002E7C90" w14:paraId="4D75B3C8" w14:textId="77777777" w:rsidTr="00BE1A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613D3AF5" w14:textId="65823357" w:rsidR="00D8656B" w:rsidRPr="002E7C90" w:rsidRDefault="00D8656B" w:rsidP="00BE1A57">
            <w:pPr>
              <w:pStyle w:val="Tabletext"/>
              <w:jc w:val="center"/>
              <w:rPr>
                <w:lang w:eastAsia="it-IT"/>
              </w:rPr>
            </w:pPr>
            <w:r w:rsidRPr="002E7C90">
              <w:rPr>
                <w:lang w:eastAsia="it-IT"/>
              </w:rPr>
              <w:t>CYP</w:t>
            </w:r>
          </w:p>
        </w:tc>
        <w:tc>
          <w:tcPr>
            <w:tcW w:w="2071" w:type="dxa"/>
            <w:vAlign w:val="center"/>
          </w:tcPr>
          <w:p w14:paraId="050BAB17" w14:textId="4EF88172"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CYP-30B-59.7E-3</w:t>
            </w:r>
          </w:p>
        </w:tc>
        <w:tc>
          <w:tcPr>
            <w:tcW w:w="1331" w:type="dxa"/>
            <w:vAlign w:val="center"/>
          </w:tcPr>
          <w:p w14:paraId="2BAF3BEB" w14:textId="1AD6A80B"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59,7°</w:t>
            </w:r>
            <w:r w:rsidR="00B04DBD" w:rsidRPr="002E7C90">
              <w:rPr>
                <w:lang w:eastAsia="it-IT"/>
              </w:rPr>
              <w:t xml:space="preserve"> </w:t>
            </w:r>
            <w:r w:rsidRPr="002E7C90">
              <w:rPr>
                <w:lang w:eastAsia="it-IT"/>
              </w:rPr>
              <w:t>E</w:t>
            </w:r>
          </w:p>
        </w:tc>
        <w:tc>
          <w:tcPr>
            <w:tcW w:w="1701" w:type="dxa"/>
            <w:vAlign w:val="center"/>
          </w:tcPr>
          <w:p w14:paraId="7C9A6070" w14:textId="36195A0D"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09.12.2022</w:t>
            </w:r>
          </w:p>
        </w:tc>
        <w:tc>
          <w:tcPr>
            <w:tcW w:w="2524" w:type="dxa"/>
            <w:vAlign w:val="center"/>
          </w:tcPr>
          <w:p w14:paraId="4972A01F" w14:textId="05A074FA" w:rsidR="00D8656B" w:rsidRPr="002E7C90" w:rsidRDefault="00D8656B" w:rsidP="00BE1A57">
            <w:pPr>
              <w:pStyle w:val="Tabletext"/>
              <w:jc w:val="center"/>
              <w:cnfStyle w:val="000000100000" w:firstRow="0" w:lastRow="0" w:firstColumn="0" w:lastColumn="0" w:oddVBand="0" w:evenVBand="0" w:oddHBand="1" w:evenHBand="0" w:firstRowFirstColumn="0" w:firstRowLastColumn="0" w:lastRowFirstColumn="0" w:lastRowLastColumn="0"/>
              <w:rPr>
                <w:lang w:eastAsia="it-IT"/>
              </w:rPr>
            </w:pPr>
            <w:r w:rsidRPr="002E7C90">
              <w:rPr>
                <w:lang w:eastAsia="it-IT"/>
              </w:rPr>
              <w:t>HRV00000 (63.0E)</w:t>
            </w:r>
          </w:p>
        </w:tc>
      </w:tr>
    </w:tbl>
    <w:p w14:paraId="5F13DE4F" w14:textId="2F96299A" w:rsidR="00A70D52" w:rsidRPr="002E7C90" w:rsidRDefault="00D8656B" w:rsidP="007C7095">
      <w:r w:rsidRPr="002E7C90">
        <w:t>En août et septembre 2023</w:t>
      </w:r>
      <w:r w:rsidR="00A70D52" w:rsidRPr="002E7C90">
        <w:t xml:space="preserve">, le Bureau a reçu des soumissions au titre du § 6.17 de l'Article 6 de l'Appendice </w:t>
      </w:r>
      <w:r w:rsidR="00A70D52" w:rsidRPr="002E7C90">
        <w:rPr>
          <w:b/>
          <w:bCs/>
        </w:rPr>
        <w:t>30B</w:t>
      </w:r>
      <w:r w:rsidR="00A70D52" w:rsidRPr="002E7C90">
        <w:t xml:space="preserve"> (</w:t>
      </w:r>
      <w:r w:rsidR="008F32C2" w:rsidRPr="002E7C90">
        <w:t>c'est-à-dire d</w:t>
      </w:r>
      <w:r w:rsidR="00A70D52" w:rsidRPr="002E7C90">
        <w:t>es soumissions au titre de la Partie B) pour les sept demandes au titre de l'Article 7 mentionnées ci-dessus (voir le Tableau 2 ci-après).</w:t>
      </w:r>
    </w:p>
    <w:p w14:paraId="7AFC45F4" w14:textId="7650628A" w:rsidR="00A70D52" w:rsidRPr="002E7C90" w:rsidRDefault="00664A65" w:rsidP="007C7095">
      <w:pPr>
        <w:pStyle w:val="TableNo"/>
      </w:pPr>
      <w:r w:rsidRPr="002E7C90">
        <w:rPr>
          <w:rFonts w:eastAsia="Calibri"/>
          <w:lang w:eastAsia="it-IT"/>
        </w:rPr>
        <w:t>Tableau 3</w:t>
      </w:r>
    </w:p>
    <w:tbl>
      <w:tblPr>
        <w:tblStyle w:val="GridTable4-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942"/>
        <w:gridCol w:w="1783"/>
        <w:gridCol w:w="1123"/>
        <w:gridCol w:w="1762"/>
        <w:gridCol w:w="1762"/>
      </w:tblGrid>
      <w:tr w:rsidR="00664A65" w:rsidRPr="002E7C90" w14:paraId="34EA62C6" w14:textId="77777777" w:rsidTr="00AA6DB9">
        <w:trPr>
          <w:cnfStyle w:val="100000000000" w:firstRow="1" w:lastRow="0" w:firstColumn="0" w:lastColumn="0" w:oddVBand="0" w:evenVBand="0" w:oddHBand="0" w:evenHBand="0" w:firstRowFirstColumn="0" w:firstRowLastColumn="0" w:lastRowFirstColumn="0" w:lastRowLastColumn="0"/>
          <w:tblHeader/>
          <w:jc w:val="center"/>
        </w:trPr>
        <w:tc>
          <w:tcPr>
            <w:tcW w:w="2942" w:type="dxa"/>
          </w:tcPr>
          <w:p w14:paraId="06DECAA1" w14:textId="1F998ED7" w:rsidR="00664A65" w:rsidRPr="002E7C90" w:rsidRDefault="00E53413" w:rsidP="00BE1A57">
            <w:pPr>
              <w:pStyle w:val="Tablehead"/>
              <w:rPr>
                <w:b/>
                <w:bCs w:val="0"/>
              </w:rPr>
            </w:pPr>
            <w:r w:rsidRPr="002E7C90">
              <w:rPr>
                <w:b/>
                <w:bCs w:val="0"/>
              </w:rPr>
              <w:t>Administration</w:t>
            </w:r>
          </w:p>
        </w:tc>
        <w:tc>
          <w:tcPr>
            <w:tcW w:w="1783" w:type="dxa"/>
          </w:tcPr>
          <w:p w14:paraId="2C10252E" w14:textId="6F7329C1" w:rsidR="00664A65" w:rsidRPr="002E7C90" w:rsidRDefault="00E53413" w:rsidP="00BE1A57">
            <w:pPr>
              <w:pStyle w:val="Tablehead"/>
              <w:rPr>
                <w:b/>
                <w:bCs w:val="0"/>
              </w:rPr>
            </w:pPr>
            <w:r w:rsidRPr="002E7C90">
              <w:rPr>
                <w:b/>
                <w:bCs w:val="0"/>
              </w:rPr>
              <w:t>Nom du satellite</w:t>
            </w:r>
          </w:p>
        </w:tc>
        <w:tc>
          <w:tcPr>
            <w:tcW w:w="1123" w:type="dxa"/>
          </w:tcPr>
          <w:p w14:paraId="026F3360" w14:textId="1491DC5B" w:rsidR="00664A65" w:rsidRPr="002E7C90" w:rsidRDefault="00E53413" w:rsidP="00BE1A57">
            <w:pPr>
              <w:pStyle w:val="Tablehead"/>
              <w:rPr>
                <w:b/>
                <w:bCs w:val="0"/>
              </w:rPr>
            </w:pPr>
            <w:r w:rsidRPr="002E7C90">
              <w:rPr>
                <w:b/>
                <w:bCs w:val="0"/>
              </w:rPr>
              <w:t>Position</w:t>
            </w:r>
          </w:p>
        </w:tc>
        <w:tc>
          <w:tcPr>
            <w:tcW w:w="1762" w:type="dxa"/>
          </w:tcPr>
          <w:p w14:paraId="7F129F4C" w14:textId="51D94F84" w:rsidR="00664A65" w:rsidRPr="002E7C90" w:rsidRDefault="00E53413" w:rsidP="00BE1A57">
            <w:pPr>
              <w:pStyle w:val="Tablehead"/>
              <w:rPr>
                <w:b/>
                <w:bCs w:val="0"/>
              </w:rPr>
            </w:pPr>
            <w:r w:rsidRPr="002E7C90">
              <w:rPr>
                <w:b/>
                <w:bCs w:val="0"/>
              </w:rPr>
              <w:t>Date de réception</w:t>
            </w:r>
          </w:p>
        </w:tc>
        <w:tc>
          <w:tcPr>
            <w:tcW w:w="1762" w:type="dxa"/>
          </w:tcPr>
          <w:p w14:paraId="08761403" w14:textId="02F1EFF7" w:rsidR="00664A65" w:rsidRPr="002E7C90" w:rsidRDefault="00E53413" w:rsidP="00BE1A57">
            <w:pPr>
              <w:pStyle w:val="Tablehead"/>
              <w:rPr>
                <w:b/>
                <w:bCs w:val="0"/>
                <w:highlight w:val="darkCyan"/>
              </w:rPr>
            </w:pPr>
            <w:r w:rsidRPr="002E7C90">
              <w:rPr>
                <w:b/>
                <w:bCs w:val="0"/>
              </w:rPr>
              <w:t xml:space="preserve">Délai </w:t>
            </w:r>
            <w:r w:rsidR="002E7C90" w:rsidRPr="002E7C90">
              <w:rPr>
                <w:b/>
                <w:bCs w:val="0"/>
              </w:rPr>
              <w:t>réglementaire</w:t>
            </w:r>
          </w:p>
        </w:tc>
      </w:tr>
      <w:tr w:rsidR="00664A65" w:rsidRPr="002E7C90" w14:paraId="36343058" w14:textId="77777777" w:rsidTr="00BE1A57">
        <w:trPr>
          <w:cnfStyle w:val="000000100000" w:firstRow="0" w:lastRow="0" w:firstColumn="0" w:lastColumn="0" w:oddVBand="0" w:evenVBand="0" w:oddHBand="1" w:evenHBand="0" w:firstRowFirstColumn="0" w:firstRowLastColumn="0" w:lastRowFirstColumn="0" w:lastRowLastColumn="0"/>
          <w:jc w:val="center"/>
        </w:trPr>
        <w:tc>
          <w:tcPr>
            <w:tcW w:w="2942" w:type="dxa"/>
          </w:tcPr>
          <w:p w14:paraId="1EDC1BCD" w14:textId="77777777" w:rsidR="00664A65" w:rsidRPr="002E7C90" w:rsidRDefault="00664A65" w:rsidP="00BE1A57">
            <w:pPr>
              <w:pStyle w:val="Tabletext"/>
              <w:jc w:val="center"/>
            </w:pPr>
            <w:r w:rsidRPr="002E7C90">
              <w:t>HRV</w:t>
            </w:r>
          </w:p>
        </w:tc>
        <w:tc>
          <w:tcPr>
            <w:tcW w:w="1783" w:type="dxa"/>
          </w:tcPr>
          <w:p w14:paraId="7D234117" w14:textId="77777777" w:rsidR="00664A65" w:rsidRPr="002E7C90" w:rsidRDefault="00664A65" w:rsidP="00BE1A57">
            <w:pPr>
              <w:pStyle w:val="Tabletext"/>
              <w:jc w:val="center"/>
            </w:pPr>
            <w:r w:rsidRPr="002E7C90">
              <w:t>HRV00000</w:t>
            </w:r>
          </w:p>
        </w:tc>
        <w:tc>
          <w:tcPr>
            <w:tcW w:w="1123" w:type="dxa"/>
          </w:tcPr>
          <w:p w14:paraId="4C850358" w14:textId="77777777" w:rsidR="00664A65" w:rsidRPr="002E7C90" w:rsidRDefault="00664A65" w:rsidP="00BE1A57">
            <w:pPr>
              <w:pStyle w:val="Tabletext"/>
              <w:jc w:val="center"/>
            </w:pPr>
            <w:r w:rsidRPr="002E7C90">
              <w:t>63,0° E</w:t>
            </w:r>
          </w:p>
        </w:tc>
        <w:tc>
          <w:tcPr>
            <w:tcW w:w="1762" w:type="dxa"/>
          </w:tcPr>
          <w:p w14:paraId="25DE27B4" w14:textId="77777777" w:rsidR="00664A65" w:rsidRPr="002E7C90" w:rsidRDefault="00664A65" w:rsidP="00BE1A57">
            <w:pPr>
              <w:pStyle w:val="Tabletext"/>
              <w:jc w:val="center"/>
            </w:pPr>
            <w:r w:rsidRPr="002E7C90">
              <w:t>18.08.2023</w:t>
            </w:r>
          </w:p>
        </w:tc>
        <w:tc>
          <w:tcPr>
            <w:tcW w:w="1762" w:type="dxa"/>
          </w:tcPr>
          <w:p w14:paraId="56A5EAF9" w14:textId="77777777" w:rsidR="00664A65" w:rsidRPr="002E7C90" w:rsidRDefault="00664A65" w:rsidP="00BE1A57">
            <w:pPr>
              <w:pStyle w:val="Tabletext"/>
              <w:jc w:val="center"/>
            </w:pPr>
            <w:r w:rsidRPr="002E7C90">
              <w:t>24.06.2028</w:t>
            </w:r>
          </w:p>
        </w:tc>
      </w:tr>
      <w:tr w:rsidR="00664A65" w:rsidRPr="002E7C90" w14:paraId="64C883E0" w14:textId="77777777" w:rsidTr="00BE1A57">
        <w:trPr>
          <w:jc w:val="center"/>
        </w:trPr>
        <w:tc>
          <w:tcPr>
            <w:tcW w:w="2942" w:type="dxa"/>
          </w:tcPr>
          <w:p w14:paraId="0B2F6A4D" w14:textId="77777777" w:rsidR="00664A65" w:rsidRPr="002E7C90" w:rsidRDefault="00664A65" w:rsidP="00BE1A57">
            <w:pPr>
              <w:pStyle w:val="Tabletext"/>
              <w:jc w:val="center"/>
            </w:pPr>
            <w:r w:rsidRPr="002E7C90">
              <w:t>SRB</w:t>
            </w:r>
          </w:p>
        </w:tc>
        <w:tc>
          <w:tcPr>
            <w:tcW w:w="1783" w:type="dxa"/>
          </w:tcPr>
          <w:p w14:paraId="350DC6A4" w14:textId="77777777" w:rsidR="00664A65" w:rsidRPr="002E7C90" w:rsidRDefault="00664A65" w:rsidP="00BE1A57">
            <w:pPr>
              <w:pStyle w:val="Tabletext"/>
              <w:jc w:val="center"/>
            </w:pPr>
            <w:r w:rsidRPr="002E7C90">
              <w:t>SRB00000</w:t>
            </w:r>
          </w:p>
        </w:tc>
        <w:tc>
          <w:tcPr>
            <w:tcW w:w="1123" w:type="dxa"/>
          </w:tcPr>
          <w:p w14:paraId="6C8A6408" w14:textId="77777777" w:rsidR="00664A65" w:rsidRPr="002E7C90" w:rsidRDefault="00664A65" w:rsidP="00BE1A57">
            <w:pPr>
              <w:pStyle w:val="Tabletext"/>
              <w:jc w:val="center"/>
            </w:pPr>
            <w:r w:rsidRPr="002E7C90">
              <w:t>26,7° W</w:t>
            </w:r>
          </w:p>
        </w:tc>
        <w:tc>
          <w:tcPr>
            <w:tcW w:w="1762" w:type="dxa"/>
          </w:tcPr>
          <w:p w14:paraId="142C7AAC" w14:textId="77777777" w:rsidR="00664A65" w:rsidRPr="002E7C90" w:rsidRDefault="00664A65" w:rsidP="00BE1A57">
            <w:pPr>
              <w:pStyle w:val="Tabletext"/>
              <w:jc w:val="center"/>
            </w:pPr>
            <w:r w:rsidRPr="002E7C90">
              <w:t>22.08.2023</w:t>
            </w:r>
          </w:p>
        </w:tc>
        <w:tc>
          <w:tcPr>
            <w:tcW w:w="1762" w:type="dxa"/>
          </w:tcPr>
          <w:p w14:paraId="096AE464" w14:textId="77777777" w:rsidR="00664A65" w:rsidRPr="002E7C90" w:rsidRDefault="00664A65" w:rsidP="00BE1A57">
            <w:pPr>
              <w:pStyle w:val="Tabletext"/>
              <w:jc w:val="center"/>
            </w:pPr>
            <w:r w:rsidRPr="002E7C90">
              <w:t>12.03.2028</w:t>
            </w:r>
          </w:p>
        </w:tc>
      </w:tr>
      <w:tr w:rsidR="00664A65" w:rsidRPr="002E7C90" w14:paraId="1232A7ED" w14:textId="77777777" w:rsidTr="00BE1A57">
        <w:trPr>
          <w:cnfStyle w:val="000000100000" w:firstRow="0" w:lastRow="0" w:firstColumn="0" w:lastColumn="0" w:oddVBand="0" w:evenVBand="0" w:oddHBand="1" w:evenHBand="0" w:firstRowFirstColumn="0" w:firstRowLastColumn="0" w:lastRowFirstColumn="0" w:lastRowLastColumn="0"/>
          <w:jc w:val="center"/>
        </w:trPr>
        <w:tc>
          <w:tcPr>
            <w:tcW w:w="2942" w:type="dxa"/>
          </w:tcPr>
          <w:p w14:paraId="7B782760" w14:textId="77777777" w:rsidR="00664A65" w:rsidRPr="002E7C90" w:rsidRDefault="00664A65" w:rsidP="00BE1A57">
            <w:pPr>
              <w:pStyle w:val="Tabletext"/>
              <w:jc w:val="center"/>
            </w:pPr>
            <w:r w:rsidRPr="002E7C90">
              <w:t>SSD</w:t>
            </w:r>
          </w:p>
        </w:tc>
        <w:tc>
          <w:tcPr>
            <w:tcW w:w="1783" w:type="dxa"/>
          </w:tcPr>
          <w:p w14:paraId="4B8B8982" w14:textId="77777777" w:rsidR="00664A65" w:rsidRPr="002E7C90" w:rsidRDefault="00664A65" w:rsidP="00BE1A57">
            <w:pPr>
              <w:pStyle w:val="Tabletext"/>
              <w:jc w:val="center"/>
            </w:pPr>
            <w:r w:rsidRPr="002E7C90">
              <w:t>SSD00000</w:t>
            </w:r>
          </w:p>
        </w:tc>
        <w:tc>
          <w:tcPr>
            <w:tcW w:w="1123" w:type="dxa"/>
          </w:tcPr>
          <w:p w14:paraId="43270EFA" w14:textId="77777777" w:rsidR="00664A65" w:rsidRPr="002E7C90" w:rsidRDefault="00664A65" w:rsidP="00BE1A57">
            <w:pPr>
              <w:pStyle w:val="Tabletext"/>
              <w:jc w:val="center"/>
            </w:pPr>
            <w:r w:rsidRPr="002E7C90">
              <w:t>23,9° W</w:t>
            </w:r>
          </w:p>
        </w:tc>
        <w:tc>
          <w:tcPr>
            <w:tcW w:w="1762" w:type="dxa"/>
          </w:tcPr>
          <w:p w14:paraId="4C7662FD" w14:textId="77777777" w:rsidR="00664A65" w:rsidRPr="002E7C90" w:rsidRDefault="00664A65" w:rsidP="00BE1A57">
            <w:pPr>
              <w:pStyle w:val="Tabletext"/>
              <w:jc w:val="center"/>
            </w:pPr>
            <w:r w:rsidRPr="002E7C90">
              <w:t>22.08.2023</w:t>
            </w:r>
          </w:p>
        </w:tc>
        <w:tc>
          <w:tcPr>
            <w:tcW w:w="1762" w:type="dxa"/>
          </w:tcPr>
          <w:p w14:paraId="74C05967" w14:textId="77777777" w:rsidR="00664A65" w:rsidRPr="002E7C90" w:rsidRDefault="00664A65" w:rsidP="00BE1A57">
            <w:pPr>
              <w:pStyle w:val="Tabletext"/>
              <w:jc w:val="center"/>
            </w:pPr>
            <w:r w:rsidRPr="002E7C90">
              <w:t>28.04.2028</w:t>
            </w:r>
          </w:p>
        </w:tc>
      </w:tr>
      <w:tr w:rsidR="00664A65" w:rsidRPr="002E7C90" w14:paraId="57623A60" w14:textId="77777777" w:rsidTr="00BE1A57">
        <w:trPr>
          <w:jc w:val="center"/>
        </w:trPr>
        <w:tc>
          <w:tcPr>
            <w:tcW w:w="2942" w:type="dxa"/>
          </w:tcPr>
          <w:p w14:paraId="3C60EAF7" w14:textId="77777777" w:rsidR="00664A65" w:rsidRPr="002E7C90" w:rsidRDefault="00664A65" w:rsidP="00BE1A57">
            <w:pPr>
              <w:pStyle w:val="Tabletext"/>
              <w:jc w:val="center"/>
            </w:pPr>
            <w:r w:rsidRPr="002E7C90">
              <w:t>MKD</w:t>
            </w:r>
          </w:p>
        </w:tc>
        <w:tc>
          <w:tcPr>
            <w:tcW w:w="1783" w:type="dxa"/>
          </w:tcPr>
          <w:p w14:paraId="6D22E496" w14:textId="77777777" w:rsidR="00664A65" w:rsidRPr="002E7C90" w:rsidRDefault="00664A65" w:rsidP="00BE1A57">
            <w:pPr>
              <w:pStyle w:val="Tabletext"/>
              <w:jc w:val="center"/>
            </w:pPr>
            <w:r w:rsidRPr="002E7C90">
              <w:t>MKD00000</w:t>
            </w:r>
          </w:p>
        </w:tc>
        <w:tc>
          <w:tcPr>
            <w:tcW w:w="1123" w:type="dxa"/>
          </w:tcPr>
          <w:p w14:paraId="6EA84D0B" w14:textId="77777777" w:rsidR="00664A65" w:rsidRPr="002E7C90" w:rsidRDefault="00664A65" w:rsidP="00BE1A57">
            <w:pPr>
              <w:pStyle w:val="Tabletext"/>
              <w:jc w:val="center"/>
            </w:pPr>
            <w:r w:rsidRPr="002E7C90">
              <w:t>16,7° W</w:t>
            </w:r>
          </w:p>
        </w:tc>
        <w:tc>
          <w:tcPr>
            <w:tcW w:w="1762" w:type="dxa"/>
          </w:tcPr>
          <w:p w14:paraId="49A09741" w14:textId="77777777" w:rsidR="00664A65" w:rsidRPr="002E7C90" w:rsidRDefault="00664A65" w:rsidP="00BE1A57">
            <w:pPr>
              <w:pStyle w:val="Tabletext"/>
              <w:jc w:val="center"/>
            </w:pPr>
            <w:r w:rsidRPr="002E7C90">
              <w:t>22.08.2023</w:t>
            </w:r>
          </w:p>
        </w:tc>
        <w:tc>
          <w:tcPr>
            <w:tcW w:w="1762" w:type="dxa"/>
          </w:tcPr>
          <w:p w14:paraId="30D786FC" w14:textId="77777777" w:rsidR="00664A65" w:rsidRPr="002E7C90" w:rsidRDefault="00664A65" w:rsidP="00BE1A57">
            <w:pPr>
              <w:pStyle w:val="Tabletext"/>
              <w:jc w:val="center"/>
            </w:pPr>
            <w:r w:rsidRPr="002E7C90">
              <w:t>01.04.2028</w:t>
            </w:r>
          </w:p>
        </w:tc>
      </w:tr>
      <w:tr w:rsidR="00664A65" w:rsidRPr="002E7C90" w14:paraId="034E1243" w14:textId="77777777" w:rsidTr="00BE1A57">
        <w:trPr>
          <w:cnfStyle w:val="000000100000" w:firstRow="0" w:lastRow="0" w:firstColumn="0" w:lastColumn="0" w:oddVBand="0" w:evenVBand="0" w:oddHBand="1" w:evenHBand="0" w:firstRowFirstColumn="0" w:firstRowLastColumn="0" w:lastRowFirstColumn="0" w:lastRowLastColumn="0"/>
          <w:jc w:val="center"/>
        </w:trPr>
        <w:tc>
          <w:tcPr>
            <w:tcW w:w="2942" w:type="dxa"/>
          </w:tcPr>
          <w:p w14:paraId="6E6663FE" w14:textId="77777777" w:rsidR="00664A65" w:rsidRPr="002E7C90" w:rsidRDefault="00664A65" w:rsidP="00BE1A57">
            <w:pPr>
              <w:pStyle w:val="Tabletext"/>
              <w:jc w:val="center"/>
            </w:pPr>
            <w:r w:rsidRPr="002E7C90">
              <w:lastRenderedPageBreak/>
              <w:t>BIH</w:t>
            </w:r>
          </w:p>
        </w:tc>
        <w:tc>
          <w:tcPr>
            <w:tcW w:w="1783" w:type="dxa"/>
          </w:tcPr>
          <w:p w14:paraId="6916EF6C" w14:textId="77777777" w:rsidR="00664A65" w:rsidRPr="002E7C90" w:rsidRDefault="00664A65" w:rsidP="00BE1A57">
            <w:pPr>
              <w:pStyle w:val="Tabletext"/>
              <w:jc w:val="center"/>
            </w:pPr>
            <w:r w:rsidRPr="002E7C90">
              <w:t>BIH00000</w:t>
            </w:r>
          </w:p>
        </w:tc>
        <w:tc>
          <w:tcPr>
            <w:tcW w:w="1123" w:type="dxa"/>
          </w:tcPr>
          <w:p w14:paraId="2FEBEEA8" w14:textId="77777777" w:rsidR="00664A65" w:rsidRPr="002E7C90" w:rsidRDefault="00664A65" w:rsidP="00BE1A57">
            <w:pPr>
              <w:pStyle w:val="Tabletext"/>
              <w:jc w:val="center"/>
            </w:pPr>
            <w:r w:rsidRPr="002E7C90">
              <w:t>46,0° E</w:t>
            </w:r>
          </w:p>
        </w:tc>
        <w:tc>
          <w:tcPr>
            <w:tcW w:w="1762" w:type="dxa"/>
          </w:tcPr>
          <w:p w14:paraId="092F7681" w14:textId="77777777" w:rsidR="00664A65" w:rsidRPr="002E7C90" w:rsidRDefault="00664A65" w:rsidP="00BE1A57">
            <w:pPr>
              <w:pStyle w:val="Tabletext"/>
              <w:jc w:val="center"/>
            </w:pPr>
            <w:r w:rsidRPr="002E7C90">
              <w:t>25.08.2023</w:t>
            </w:r>
          </w:p>
        </w:tc>
        <w:tc>
          <w:tcPr>
            <w:tcW w:w="1762" w:type="dxa"/>
          </w:tcPr>
          <w:p w14:paraId="7CE1F3AC" w14:textId="77777777" w:rsidR="00664A65" w:rsidRPr="002E7C90" w:rsidRDefault="00664A65" w:rsidP="00BE1A57">
            <w:pPr>
              <w:pStyle w:val="Tabletext"/>
              <w:jc w:val="center"/>
            </w:pPr>
            <w:r w:rsidRPr="002E7C90">
              <w:t>03.04.2028</w:t>
            </w:r>
          </w:p>
        </w:tc>
      </w:tr>
      <w:tr w:rsidR="00664A65" w:rsidRPr="002E7C90" w14:paraId="0E77561C" w14:textId="77777777" w:rsidTr="00BE1A57">
        <w:trPr>
          <w:jc w:val="center"/>
        </w:trPr>
        <w:tc>
          <w:tcPr>
            <w:tcW w:w="2942" w:type="dxa"/>
          </w:tcPr>
          <w:p w14:paraId="651F42B8" w14:textId="77777777" w:rsidR="00664A65" w:rsidRPr="002E7C90" w:rsidRDefault="00664A65" w:rsidP="00BE1A57">
            <w:pPr>
              <w:pStyle w:val="Tabletext"/>
              <w:jc w:val="center"/>
            </w:pPr>
            <w:r w:rsidRPr="002E7C90">
              <w:t>GEO</w:t>
            </w:r>
          </w:p>
        </w:tc>
        <w:tc>
          <w:tcPr>
            <w:tcW w:w="1783" w:type="dxa"/>
          </w:tcPr>
          <w:p w14:paraId="7B4F7764" w14:textId="77777777" w:rsidR="00664A65" w:rsidRPr="002E7C90" w:rsidRDefault="00664A65" w:rsidP="00BE1A57">
            <w:pPr>
              <w:pStyle w:val="Tabletext"/>
              <w:jc w:val="center"/>
            </w:pPr>
            <w:r w:rsidRPr="002E7C90">
              <w:t>GEO00000</w:t>
            </w:r>
          </w:p>
        </w:tc>
        <w:tc>
          <w:tcPr>
            <w:tcW w:w="1123" w:type="dxa"/>
          </w:tcPr>
          <w:p w14:paraId="32A43369" w14:textId="77777777" w:rsidR="00664A65" w:rsidRPr="002E7C90" w:rsidRDefault="00664A65" w:rsidP="00BE1A57">
            <w:pPr>
              <w:pStyle w:val="Tabletext"/>
              <w:jc w:val="center"/>
            </w:pPr>
            <w:r w:rsidRPr="002E7C90">
              <w:t>78,0° E</w:t>
            </w:r>
          </w:p>
        </w:tc>
        <w:tc>
          <w:tcPr>
            <w:tcW w:w="1762" w:type="dxa"/>
          </w:tcPr>
          <w:p w14:paraId="60551530" w14:textId="77777777" w:rsidR="00664A65" w:rsidRPr="002E7C90" w:rsidRDefault="00664A65" w:rsidP="00BE1A57">
            <w:pPr>
              <w:pStyle w:val="Tabletext"/>
              <w:jc w:val="center"/>
            </w:pPr>
            <w:r w:rsidRPr="002E7C90">
              <w:t>02.09.2023</w:t>
            </w:r>
          </w:p>
        </w:tc>
        <w:tc>
          <w:tcPr>
            <w:tcW w:w="1762" w:type="dxa"/>
          </w:tcPr>
          <w:p w14:paraId="3B1ACEAB" w14:textId="77777777" w:rsidR="00664A65" w:rsidRPr="002E7C90" w:rsidRDefault="00664A65" w:rsidP="00BE1A57">
            <w:pPr>
              <w:pStyle w:val="Tabletext"/>
              <w:jc w:val="center"/>
            </w:pPr>
            <w:r w:rsidRPr="002E7C90">
              <w:t>19.05.2028</w:t>
            </w:r>
          </w:p>
        </w:tc>
      </w:tr>
      <w:tr w:rsidR="00664A65" w:rsidRPr="002E7C90" w14:paraId="05E543F0" w14:textId="77777777" w:rsidTr="00BE1A57">
        <w:trPr>
          <w:cnfStyle w:val="000000100000" w:firstRow="0" w:lastRow="0" w:firstColumn="0" w:lastColumn="0" w:oddVBand="0" w:evenVBand="0" w:oddHBand="1" w:evenHBand="0" w:firstRowFirstColumn="0" w:firstRowLastColumn="0" w:lastRowFirstColumn="0" w:lastRowLastColumn="0"/>
          <w:jc w:val="center"/>
        </w:trPr>
        <w:tc>
          <w:tcPr>
            <w:tcW w:w="2942" w:type="dxa"/>
          </w:tcPr>
          <w:p w14:paraId="132F1770" w14:textId="77777777" w:rsidR="00664A65" w:rsidRPr="002E7C90" w:rsidRDefault="00664A65" w:rsidP="00BE1A57">
            <w:pPr>
              <w:pStyle w:val="Tabletext"/>
              <w:jc w:val="center"/>
            </w:pPr>
            <w:r w:rsidRPr="002E7C90">
              <w:t>MDA</w:t>
            </w:r>
          </w:p>
        </w:tc>
        <w:tc>
          <w:tcPr>
            <w:tcW w:w="1783" w:type="dxa"/>
          </w:tcPr>
          <w:p w14:paraId="10A2DE0F" w14:textId="77777777" w:rsidR="00664A65" w:rsidRPr="002E7C90" w:rsidRDefault="00664A65" w:rsidP="00BE1A57">
            <w:pPr>
              <w:pStyle w:val="Tabletext"/>
              <w:jc w:val="center"/>
            </w:pPr>
            <w:r w:rsidRPr="002E7C90">
              <w:t>MDA00000</w:t>
            </w:r>
          </w:p>
        </w:tc>
        <w:tc>
          <w:tcPr>
            <w:tcW w:w="1123" w:type="dxa"/>
          </w:tcPr>
          <w:p w14:paraId="532DAC08" w14:textId="77777777" w:rsidR="00664A65" w:rsidRPr="002E7C90" w:rsidRDefault="00664A65" w:rsidP="00BE1A57">
            <w:pPr>
              <w:pStyle w:val="Tabletext"/>
              <w:jc w:val="center"/>
            </w:pPr>
            <w:r w:rsidRPr="002E7C90">
              <w:t>75,1° E</w:t>
            </w:r>
          </w:p>
        </w:tc>
        <w:tc>
          <w:tcPr>
            <w:tcW w:w="1762" w:type="dxa"/>
          </w:tcPr>
          <w:p w14:paraId="1A2D8CCB" w14:textId="77777777" w:rsidR="00664A65" w:rsidRPr="002E7C90" w:rsidRDefault="00664A65" w:rsidP="00BE1A57">
            <w:pPr>
              <w:pStyle w:val="Tabletext"/>
              <w:jc w:val="center"/>
            </w:pPr>
            <w:r w:rsidRPr="002E7C90">
              <w:t>05.09.2023</w:t>
            </w:r>
          </w:p>
        </w:tc>
        <w:tc>
          <w:tcPr>
            <w:tcW w:w="1762" w:type="dxa"/>
          </w:tcPr>
          <w:p w14:paraId="607F1213" w14:textId="77777777" w:rsidR="00664A65" w:rsidRPr="002E7C90" w:rsidRDefault="00664A65" w:rsidP="00BE1A57">
            <w:pPr>
              <w:pStyle w:val="Tabletext"/>
              <w:jc w:val="center"/>
            </w:pPr>
            <w:r w:rsidRPr="002E7C90">
              <w:t>15.04.2028</w:t>
            </w:r>
          </w:p>
        </w:tc>
      </w:tr>
    </w:tbl>
    <w:p w14:paraId="247A208F" w14:textId="2FDE1F50" w:rsidR="00664A65" w:rsidRPr="002E7C90" w:rsidRDefault="00664A65" w:rsidP="007C7095">
      <w:r w:rsidRPr="002E7C90">
        <w:t xml:space="preserve">Dans les lettres d'accompagnement, il </w:t>
      </w:r>
      <w:r w:rsidR="00D8656B" w:rsidRPr="002E7C90">
        <w:t>a été</w:t>
      </w:r>
      <w:r w:rsidRPr="002E7C90">
        <w:t xml:space="preserve"> demandé au Bureau d'examiner dès que possible ces soumissions au titre de la Partie B, et de publier les Sections spéciales </w:t>
      </w:r>
      <w:r w:rsidR="00D8656B" w:rsidRPr="002E7C90">
        <w:t>AP30B/</w:t>
      </w:r>
      <w:r w:rsidRPr="002E7C90">
        <w:t xml:space="preserve">A6B pertinentes de préférence avant la CMR-23, étant donné que les administrations notificatrices </w:t>
      </w:r>
      <w:r w:rsidR="00B1107B" w:rsidRPr="002E7C90">
        <w:t xml:space="preserve">souhaitent </w:t>
      </w:r>
      <w:r w:rsidRPr="002E7C90">
        <w:t>que l'inclusion dans le Plan des nouveaux allotissements qu'elles ont proposés soit menée à bien lors de la CMR-23. En outre, les sept Administrations concernées ont demandé au Bureau:</w:t>
      </w:r>
    </w:p>
    <w:p w14:paraId="7C3FC0D2" w14:textId="77777777" w:rsidR="00664A65" w:rsidRPr="002E7C90" w:rsidRDefault="00664A65" w:rsidP="007C7095">
      <w:pPr>
        <w:pStyle w:val="enumlev1"/>
      </w:pPr>
      <w:r w:rsidRPr="002E7C90">
        <w:t>1)</w:t>
      </w:r>
      <w:r w:rsidRPr="002E7C90">
        <w:tab/>
        <w:t>de prendre en considération tous les éventuels accords de coordination que lui avaient communiqués les Administrations affectées;</w:t>
      </w:r>
    </w:p>
    <w:p w14:paraId="34D5454E" w14:textId="77777777" w:rsidR="00664A65" w:rsidRPr="002E7C90" w:rsidRDefault="00664A65" w:rsidP="007C7095">
      <w:pPr>
        <w:pStyle w:val="enumlev1"/>
      </w:pPr>
      <w:r w:rsidRPr="002E7C90">
        <w:t>2)</w:t>
      </w:r>
      <w:r w:rsidRPr="002E7C90">
        <w:tab/>
        <w:t>de ne pas mettre à jour la situation de référence des réseaux à satellite affectés pour lesquels un accord de coordination a été fourni;</w:t>
      </w:r>
    </w:p>
    <w:p w14:paraId="74D0957A" w14:textId="77777777" w:rsidR="00664A65" w:rsidRPr="002E7C90" w:rsidRDefault="00664A65" w:rsidP="007C7095">
      <w:pPr>
        <w:pStyle w:val="enumlev1"/>
      </w:pPr>
      <w:r w:rsidRPr="002E7C90">
        <w:t>3)</w:t>
      </w:r>
      <w:r w:rsidRPr="002E7C90">
        <w:tab/>
        <w:t xml:space="preserve">d'appliquer le § 6.25 de l'Article 6 de l'Appendice </w:t>
      </w:r>
      <w:r w:rsidRPr="002E7C90">
        <w:rPr>
          <w:b/>
          <w:bCs/>
        </w:rPr>
        <w:t>30B</w:t>
      </w:r>
      <w:r w:rsidRPr="002E7C90">
        <w:t xml:space="preserve"> à l'égard des assignations affectées restantes;</w:t>
      </w:r>
    </w:p>
    <w:p w14:paraId="010368DA" w14:textId="77777777" w:rsidR="00664A65" w:rsidRPr="002E7C90" w:rsidRDefault="00664A65" w:rsidP="007C7095">
      <w:pPr>
        <w:pStyle w:val="enumlev1"/>
      </w:pPr>
      <w:r w:rsidRPr="002E7C90">
        <w:t>4)</w:t>
      </w:r>
      <w:r w:rsidRPr="002E7C90">
        <w:tab/>
        <w:t>d'inscrire les assignations de fréquence de la soumission en question dans la liste, même si l'allotissement national d'une autre administration devait être identifié comme étant affecté sans que la situation de référence de cet allotissement ne soit mise à jour.</w:t>
      </w:r>
    </w:p>
    <w:p w14:paraId="501BD9E5" w14:textId="0A4116AA" w:rsidR="00A70D52" w:rsidRPr="002E7C90" w:rsidRDefault="00664A65" w:rsidP="007C7095">
      <w:r w:rsidRPr="002E7C90">
        <w:t xml:space="preserve">L'Appendice </w:t>
      </w:r>
      <w:r w:rsidRPr="002E7C90">
        <w:rPr>
          <w:b/>
          <w:bCs/>
        </w:rPr>
        <w:t>30B</w:t>
      </w:r>
      <w:r w:rsidRPr="002E7C90">
        <w:t xml:space="preserve"> ne contient aucune disposition claire permettant au Bureau de donner suite aux demandes 2) et 4) ci-dessus. En conséquence, le Bureau demande au Comité de lui fournir des indications sur la manière dont ces demandes doivent être traitées </w:t>
      </w:r>
      <w:r w:rsidR="00B1107B" w:rsidRPr="002E7C90">
        <w:t>(</w:t>
      </w:r>
      <w:hyperlink r:id="rId10" w:history="1">
        <w:r w:rsidR="00B1107B" w:rsidRPr="002E7C90">
          <w:rPr>
            <w:rStyle w:val="Hyperlink"/>
          </w:rPr>
          <w:t>Addendum 2 au</w:t>
        </w:r>
        <w:r w:rsidRPr="002E7C90">
          <w:rPr>
            <w:rStyle w:val="Hyperlink"/>
          </w:rPr>
          <w:t xml:space="preserve"> Document RRB23-3/12</w:t>
        </w:r>
      </w:hyperlink>
      <w:r w:rsidR="00B1107B" w:rsidRPr="002E7C90">
        <w:t xml:space="preserve">). Après examen de la demande du Bureau et d'une contribution soumise conjointement à la 94ème réunion du RRB (voir le </w:t>
      </w:r>
      <w:hyperlink r:id="rId11" w:history="1">
        <w:r w:rsidR="00B1107B" w:rsidRPr="002E7C90">
          <w:rPr>
            <w:rStyle w:val="Hyperlink"/>
          </w:rPr>
          <w:t>Document RRB23-3/12</w:t>
        </w:r>
      </w:hyperlink>
      <w:r w:rsidR="00B1107B" w:rsidRPr="002E7C90">
        <w:t xml:space="preserve">), le Comité a chargé le Bureau, notamment, </w:t>
      </w:r>
      <w:r w:rsidR="00A70D52" w:rsidRPr="002E7C90">
        <w:rPr>
          <w:i/>
          <w:iCs/>
        </w:rPr>
        <w:t xml:space="preserve">de soumettre un rapport à la CMR-23 pour faciliter la prise de décisions en vue de l'inclusion des nouveaux allotissements proposés dans le Plan de l'Appendice </w:t>
      </w:r>
      <w:r w:rsidR="00A70D52" w:rsidRPr="002E7C90">
        <w:rPr>
          <w:b/>
          <w:bCs/>
          <w:i/>
          <w:iCs/>
        </w:rPr>
        <w:t>30B</w:t>
      </w:r>
      <w:r w:rsidR="00A70D52" w:rsidRPr="002E7C90">
        <w:rPr>
          <w:i/>
          <w:iCs/>
        </w:rPr>
        <w:t>. Le rapport devrait comporter un récapitulatif de l'avancement de la coordination pour chaque demande au titre de l'Article 7 relevant de la Partie B, ainsi que les résultats de l'examen sur la base de l'avancement de la coordination au 30 octobre 2023 et des démarches suivantes</w:t>
      </w:r>
      <w:r w:rsidR="00A70D52" w:rsidRPr="002E7C90">
        <w:t>:</w:t>
      </w:r>
    </w:p>
    <w:p w14:paraId="159E6C96" w14:textId="7B1355F8" w:rsidR="00664A65" w:rsidRPr="002E7C90" w:rsidRDefault="004F553A" w:rsidP="004F553A">
      <w:pPr>
        <w:pStyle w:val="enumlev1"/>
      </w:pPr>
      <w:r w:rsidRPr="002E7C90">
        <w:t>•</w:t>
      </w:r>
      <w:r w:rsidRPr="002E7C90">
        <w:tab/>
      </w:r>
      <w:r w:rsidR="00664A65" w:rsidRPr="002E7C90">
        <w:t>réalisation d'un examen conformément aux dispositions du Règlement des radiocommunications;</w:t>
      </w:r>
    </w:p>
    <w:p w14:paraId="65389A16" w14:textId="41C6F0FE" w:rsidR="00664A65" w:rsidRPr="002E7C90" w:rsidRDefault="004F553A" w:rsidP="004F553A">
      <w:pPr>
        <w:pStyle w:val="enumlev1"/>
      </w:pPr>
      <w:r w:rsidRPr="002E7C90">
        <w:t>•</w:t>
      </w:r>
      <w:r w:rsidRPr="002E7C90">
        <w:tab/>
      </w:r>
      <w:r w:rsidR="00664A65" w:rsidRPr="002E7C90">
        <w:t>réalisation d'un examen conformément aux dispositions du Règlement des radiocommunications, sans mise à jour de la situation de référence;</w:t>
      </w:r>
    </w:p>
    <w:p w14:paraId="56EA3387" w14:textId="2BC14B8B" w:rsidR="00B1107B" w:rsidRPr="002E7C90" w:rsidRDefault="004F553A" w:rsidP="004F553A">
      <w:pPr>
        <w:pStyle w:val="enumlev1"/>
        <w:rPr>
          <w:rFonts w:eastAsia="Calibri"/>
          <w:szCs w:val="24"/>
          <w:lang w:eastAsia="it-IT"/>
        </w:rPr>
      </w:pPr>
      <w:r w:rsidRPr="002E7C90">
        <w:t>•</w:t>
      </w:r>
      <w:r w:rsidRPr="002E7C90">
        <w:tab/>
      </w:r>
      <w:r w:rsidR="00664A65" w:rsidRPr="002E7C90">
        <w:t>réalisation d'un examen sur la base des critères énoncés dans la Résolution </w:t>
      </w:r>
      <w:r w:rsidR="00664A65" w:rsidRPr="002E7C90">
        <w:rPr>
          <w:b/>
          <w:bCs/>
        </w:rPr>
        <w:t>170 (CMR</w:t>
      </w:r>
      <w:r w:rsidRPr="002E7C90">
        <w:rPr>
          <w:b/>
          <w:bCs/>
        </w:rPr>
        <w:noBreakHyphen/>
      </w:r>
      <w:r w:rsidR="00664A65" w:rsidRPr="002E7C90">
        <w:rPr>
          <w:b/>
          <w:bCs/>
        </w:rPr>
        <w:t>19)</w:t>
      </w:r>
      <w:r w:rsidR="00664A65" w:rsidRPr="002E7C90">
        <w:t xml:space="preserve"> (avec ou sans mise à jour de la situation de référence).</w:t>
      </w:r>
    </w:p>
    <w:p w14:paraId="1E772765" w14:textId="0CDB7EE7" w:rsidR="0077055C" w:rsidRPr="002E7C90" w:rsidRDefault="008F32C2" w:rsidP="004F553A">
      <w:pPr>
        <w:spacing w:after="120"/>
        <w:rPr>
          <w:rFonts w:eastAsia="Calibri"/>
          <w:lang w:eastAsia="it-IT"/>
        </w:rPr>
      </w:pPr>
      <w:r w:rsidRPr="002E7C90">
        <w:rPr>
          <w:rFonts w:eastAsia="Calibri"/>
          <w:lang w:eastAsia="it-IT"/>
        </w:rPr>
        <w:t>Dans ce contexte</w:t>
      </w:r>
      <w:r w:rsidR="00B1107B" w:rsidRPr="002E7C90">
        <w:rPr>
          <w:rFonts w:eastAsia="Calibri"/>
          <w:lang w:eastAsia="it-IT"/>
        </w:rPr>
        <w:t xml:space="preserve">, le Bureau a analysé les sept soumissions au titre de la Partie B </w:t>
      </w:r>
      <w:r w:rsidRPr="002E7C90">
        <w:rPr>
          <w:rFonts w:eastAsia="Calibri"/>
          <w:lang w:eastAsia="it-IT"/>
        </w:rPr>
        <w:t>selon l</w:t>
      </w:r>
      <w:r w:rsidR="00B1107B" w:rsidRPr="002E7C90">
        <w:rPr>
          <w:rFonts w:eastAsia="Calibri"/>
          <w:lang w:eastAsia="it-IT"/>
        </w:rPr>
        <w:t>es approches indiquées par le Comité. On trouvera un résumé des résultats de ces examens techniques dans les Annexes 1 à 7, de même que l'état d'avancement de la coordination.</w:t>
      </w:r>
    </w:p>
    <w:p w14:paraId="640229A7" w14:textId="77E5A996" w:rsidR="00B1107B" w:rsidRPr="002E7C90" w:rsidRDefault="00B1107B" w:rsidP="007C7095">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jc w:val="both"/>
        <w:textAlignment w:val="auto"/>
        <w:rPr>
          <w:rFonts w:eastAsia="Calibri"/>
          <w:b/>
          <w:bCs/>
          <w:szCs w:val="24"/>
          <w:lang w:eastAsia="it-IT"/>
        </w:rPr>
      </w:pPr>
      <w:bookmarkStart w:id="6" w:name="_Hlk150761362"/>
      <w:r w:rsidRPr="002E7C90">
        <w:rPr>
          <w:rFonts w:eastAsia="Calibri"/>
          <w:b/>
          <w:bCs/>
          <w:szCs w:val="24"/>
          <w:lang w:eastAsia="it-IT"/>
        </w:rPr>
        <w:t>La Conférence est invitée à décider, dans le cadre du traitement des sept soumissions au titre de la Partie B:</w:t>
      </w:r>
    </w:p>
    <w:p w14:paraId="4D9B0C91" w14:textId="15BE26AC" w:rsidR="00B1107B" w:rsidRPr="002E7C90" w:rsidRDefault="00B1107B" w:rsidP="004F553A">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ind w:left="1134" w:hanging="1134"/>
        <w:jc w:val="both"/>
        <w:textAlignment w:val="auto"/>
        <w:rPr>
          <w:rFonts w:eastAsia="Calibri"/>
          <w:b/>
          <w:bCs/>
          <w:szCs w:val="24"/>
          <w:lang w:eastAsia="it-IT"/>
        </w:rPr>
      </w:pPr>
      <w:r w:rsidRPr="002E7C90">
        <w:rPr>
          <w:rFonts w:eastAsia="Calibri"/>
          <w:b/>
          <w:bCs/>
          <w:szCs w:val="24"/>
          <w:lang w:eastAsia="it-IT"/>
        </w:rPr>
        <w:t>1)</w:t>
      </w:r>
      <w:r w:rsidR="004F553A" w:rsidRPr="002E7C90">
        <w:tab/>
      </w:r>
      <w:r w:rsidRPr="002E7C90">
        <w:rPr>
          <w:rFonts w:eastAsia="Calibri"/>
          <w:b/>
          <w:bCs/>
          <w:szCs w:val="24"/>
          <w:lang w:eastAsia="it-IT"/>
        </w:rPr>
        <w:t>si les assignations de fréquence des sept soumissions au titre de la Partie B peuvent être inscrites dans la Liste, même si un allotissement national d</w:t>
      </w:r>
      <w:r w:rsidR="0027579B" w:rsidRPr="002E7C90">
        <w:rPr>
          <w:rFonts w:eastAsia="Calibri"/>
          <w:b/>
          <w:bCs/>
          <w:szCs w:val="24"/>
          <w:lang w:eastAsia="it-IT"/>
        </w:rPr>
        <w:t>'</w:t>
      </w:r>
      <w:r w:rsidRPr="002E7C90">
        <w:rPr>
          <w:rFonts w:eastAsia="Calibri"/>
          <w:b/>
          <w:bCs/>
          <w:szCs w:val="24"/>
          <w:lang w:eastAsia="it-IT"/>
        </w:rPr>
        <w:t>une autre administration est identifié comme étant affecté; et</w:t>
      </w:r>
    </w:p>
    <w:p w14:paraId="202181B8" w14:textId="31DA10AA" w:rsidR="0077055C" w:rsidRPr="002E7C90" w:rsidRDefault="00B1107B" w:rsidP="004F553A">
      <w:pPr>
        <w:pBdr>
          <w:top w:val="single" w:sz="4" w:space="1" w:color="auto"/>
          <w:left w:val="single" w:sz="4" w:space="4" w:color="auto"/>
          <w:bottom w:val="single" w:sz="4" w:space="0" w:color="auto"/>
          <w:right w:val="single" w:sz="4" w:space="4" w:color="auto"/>
        </w:pBdr>
        <w:tabs>
          <w:tab w:val="clear" w:pos="1134"/>
          <w:tab w:val="clear" w:pos="1871"/>
          <w:tab w:val="clear" w:pos="2268"/>
        </w:tabs>
        <w:overflowPunct/>
        <w:autoSpaceDE/>
        <w:autoSpaceDN/>
        <w:adjustRightInd/>
        <w:spacing w:before="0"/>
        <w:ind w:left="1134" w:hanging="1134"/>
        <w:jc w:val="both"/>
        <w:textAlignment w:val="auto"/>
        <w:rPr>
          <w:rFonts w:eastAsia="Calibri"/>
          <w:b/>
          <w:bCs/>
          <w:szCs w:val="24"/>
          <w:lang w:eastAsia="it-IT"/>
        </w:rPr>
      </w:pPr>
      <w:r w:rsidRPr="002E7C90">
        <w:rPr>
          <w:rFonts w:eastAsia="Calibri"/>
          <w:b/>
          <w:bCs/>
          <w:szCs w:val="24"/>
          <w:lang w:eastAsia="it-IT"/>
        </w:rPr>
        <w:t>2)</w:t>
      </w:r>
      <w:r w:rsidR="004F553A" w:rsidRPr="002E7C90">
        <w:tab/>
      </w:r>
      <w:r w:rsidRPr="002E7C90">
        <w:rPr>
          <w:rFonts w:eastAsia="Calibri"/>
          <w:b/>
          <w:bCs/>
          <w:szCs w:val="24"/>
          <w:lang w:eastAsia="it-IT"/>
        </w:rPr>
        <w:t>si la situation de référence des assignations ou allotissements affectés pour lesquels un accord de coordination a été trouvé peut ne pas être mise à jour.</w:t>
      </w:r>
    </w:p>
    <w:bookmarkEnd w:id="6"/>
    <w:p w14:paraId="2F2D5137" w14:textId="031B02F7" w:rsidR="0077055C" w:rsidRPr="002E7C90" w:rsidRDefault="0077055C" w:rsidP="004F553A">
      <w:pPr>
        <w:tabs>
          <w:tab w:val="clear" w:pos="1134"/>
          <w:tab w:val="clear" w:pos="1871"/>
          <w:tab w:val="clear" w:pos="2268"/>
        </w:tabs>
        <w:overflowPunct/>
        <w:autoSpaceDE/>
        <w:autoSpaceDN/>
        <w:adjustRightInd/>
        <w:spacing w:before="0"/>
        <w:jc w:val="center"/>
        <w:textAlignment w:val="auto"/>
      </w:pPr>
      <w:r w:rsidRPr="002E7C90">
        <w:rPr>
          <w:rFonts w:eastAsia="Calibri"/>
          <w:szCs w:val="24"/>
          <w:lang w:eastAsia="it-IT"/>
        </w:rPr>
        <w:t>_______________</w:t>
      </w:r>
    </w:p>
    <w:p w14:paraId="6D18A7EF" w14:textId="77777777" w:rsidR="0077055C" w:rsidRPr="002E7C90" w:rsidRDefault="0077055C" w:rsidP="007C7095">
      <w:pPr>
        <w:sectPr w:rsidR="0077055C" w:rsidRPr="002E7C90" w:rsidSect="004B68BD">
          <w:headerReference w:type="even" r:id="rId12"/>
          <w:headerReference w:type="default" r:id="rId13"/>
          <w:footerReference w:type="even" r:id="rId14"/>
          <w:footerReference w:type="default" r:id="rId15"/>
          <w:headerReference w:type="first" r:id="rId16"/>
          <w:footerReference w:type="first" r:id="rId17"/>
          <w:pgSz w:w="11907" w:h="16840" w:code="9"/>
          <w:pgMar w:top="1418" w:right="1134" w:bottom="851" w:left="1134" w:header="720" w:footer="720" w:gutter="0"/>
          <w:paperSrc w:first="15" w:other="15"/>
          <w:cols w:space="720"/>
          <w:titlePg/>
          <w:docGrid w:linePitch="326"/>
        </w:sectPr>
      </w:pPr>
    </w:p>
    <w:p w14:paraId="53FAA9D3" w14:textId="40A73F8B" w:rsidR="0077055C" w:rsidRPr="002E7C90" w:rsidRDefault="0077055C" w:rsidP="007C7095">
      <w:pPr>
        <w:pStyle w:val="AnnexNo"/>
        <w:rPr>
          <w:rFonts w:eastAsia="Microsoft YaHei"/>
          <w:lang w:eastAsia="zh-CN"/>
        </w:rPr>
      </w:pPr>
      <w:r w:rsidRPr="002E7C90">
        <w:rPr>
          <w:rFonts w:eastAsia="Microsoft YaHei"/>
          <w:lang w:eastAsia="zh-CN"/>
        </w:rPr>
        <w:lastRenderedPageBreak/>
        <w:t>Annexe 1</w:t>
      </w:r>
    </w:p>
    <w:p w14:paraId="5251E4E9" w14:textId="71F72C8B" w:rsidR="0077055C" w:rsidRPr="002E7C90" w:rsidRDefault="00B1107B" w:rsidP="007C7095">
      <w:pPr>
        <w:pStyle w:val="Annextitle"/>
        <w:rPr>
          <w:rFonts w:eastAsia="Calibri"/>
          <w:lang w:eastAsia="it-IT"/>
        </w:rPr>
      </w:pPr>
      <w:r w:rsidRPr="002E7C90">
        <w:rPr>
          <w:rFonts w:eastAsia="Calibri"/>
          <w:lang w:eastAsia="it-IT"/>
        </w:rPr>
        <w:t>Résultat de l'examen de la soumission 120559032/SRB00000 (26,7</w:t>
      </w:r>
      <w:r w:rsidR="004F553A" w:rsidRPr="002E7C90">
        <w:rPr>
          <w:rFonts w:eastAsia="Calibri"/>
          <w:lang w:eastAsia="it-IT"/>
        </w:rPr>
        <w:t xml:space="preserve">° </w:t>
      </w:r>
      <w:r w:rsidRPr="002E7C90">
        <w:rPr>
          <w:rFonts w:eastAsia="Calibri"/>
          <w:lang w:eastAsia="it-IT"/>
        </w:rPr>
        <w:t>W) au titre de la Partie B</w:t>
      </w:r>
    </w:p>
    <w:p w14:paraId="2AC78FA5" w14:textId="0DA33D42" w:rsidR="0077055C" w:rsidRPr="002E7C90" w:rsidRDefault="00906C92" w:rsidP="004F553A">
      <w:pPr>
        <w:pStyle w:val="Heading1"/>
        <w:rPr>
          <w:rFonts w:eastAsia="Calibri"/>
          <w:lang w:eastAsia="it-IT"/>
        </w:rPr>
      </w:pPr>
      <w:r w:rsidRPr="002E7C90">
        <w:rPr>
          <w:rFonts w:eastAsia="Calibri"/>
          <w:lang w:eastAsia="it-IT"/>
        </w:rPr>
        <w:t>1</w:t>
      </w:r>
      <w:r w:rsidR="004F553A" w:rsidRPr="002E7C90">
        <w:rPr>
          <w:rFonts w:eastAsia="Calibri"/>
          <w:lang w:eastAsia="it-IT"/>
        </w:rPr>
        <w:tab/>
      </w:r>
      <w:r w:rsidRPr="002E7C90">
        <w:rPr>
          <w:rFonts w:eastAsia="Calibri"/>
          <w:lang w:eastAsia="it-IT"/>
        </w:rPr>
        <w:t xml:space="preserve">Liste des réseaux à </w:t>
      </w:r>
      <w:r w:rsidRPr="002E7C90">
        <w:rPr>
          <w:rFonts w:eastAsia="Calibri"/>
        </w:rPr>
        <w:t>satellites</w:t>
      </w:r>
      <w:r w:rsidRPr="002E7C90">
        <w:rPr>
          <w:rFonts w:eastAsia="Calibri"/>
          <w:lang w:eastAsia="it-IT"/>
        </w:rPr>
        <w:t xml:space="preserve"> encore affectés (sur la base des critères fournis dans l'Annexe 4 de l'Appendice</w:t>
      </w:r>
      <w:r w:rsidR="004F553A" w:rsidRPr="002E7C90">
        <w:rPr>
          <w:rFonts w:eastAsia="Calibri"/>
          <w:lang w:eastAsia="it-IT"/>
        </w:rPr>
        <w:t> </w:t>
      </w:r>
      <w:r w:rsidRPr="002E7C90">
        <w:rPr>
          <w:rFonts w:eastAsia="Calibri"/>
          <w:lang w:eastAsia="it-IT"/>
        </w:rPr>
        <w:t>30B et des critères figurant dans la Résolution 170 (CMR-19))</w:t>
      </w:r>
    </w:p>
    <w:p w14:paraId="41B1DD50" w14:textId="5B5B9B3A" w:rsidR="0077055C" w:rsidRPr="002E7C90" w:rsidRDefault="004F553A" w:rsidP="004F553A">
      <w:pPr>
        <w:pStyle w:val="Figure"/>
        <w:rPr>
          <w:rFonts w:eastAsia="Calibri"/>
          <w:szCs w:val="24"/>
          <w:lang w:eastAsia="it-IT"/>
        </w:rPr>
      </w:pPr>
      <w:r w:rsidRPr="002E7C90">
        <w:drawing>
          <wp:inline distT="0" distB="0" distL="0" distR="0" wp14:anchorId="645EF34F" wp14:editId="29A9057A">
            <wp:extent cx="8788911" cy="2707574"/>
            <wp:effectExtent l="0" t="0" r="0" b="0"/>
            <wp:docPr id="1403719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36787" cy="2722323"/>
                    </a:xfrm>
                    <a:prstGeom prst="rect">
                      <a:avLst/>
                    </a:prstGeom>
                    <a:noFill/>
                    <a:ln>
                      <a:noFill/>
                    </a:ln>
                  </pic:spPr>
                </pic:pic>
              </a:graphicData>
            </a:graphic>
          </wp:inline>
        </w:drawing>
      </w:r>
      <w:r w:rsidR="0077055C" w:rsidRPr="002E7C90">
        <w:br w:type="page"/>
      </w:r>
    </w:p>
    <w:p w14:paraId="76F7BD73" w14:textId="3A774BC9" w:rsidR="0077055C" w:rsidRPr="002E7C90" w:rsidRDefault="00423EF7" w:rsidP="004F553A">
      <w:pPr>
        <w:pStyle w:val="Heading1"/>
        <w:spacing w:after="120"/>
      </w:pPr>
      <w:r w:rsidRPr="002E7C90">
        <w:lastRenderedPageBreak/>
        <w:t>2</w:t>
      </w:r>
      <w:r w:rsidR="004F553A" w:rsidRPr="002E7C90">
        <w:tab/>
      </w:r>
      <w:r w:rsidRPr="002E7C90">
        <w:t>Situation de référence (actuelle et mise à jour) des réseaux à satellite encore affectés</w:t>
      </w:r>
    </w:p>
    <w:p w14:paraId="78834D3C" w14:textId="066A82C8" w:rsidR="0077055C" w:rsidRPr="002E7C90" w:rsidRDefault="0077055C" w:rsidP="004F553A">
      <w:pPr>
        <w:pStyle w:val="Figure"/>
      </w:pPr>
      <w:r w:rsidRPr="002E7C90">
        <w:rPr>
          <w:rFonts w:eastAsia="Calibri"/>
          <w:lang w:eastAsia="it-IT"/>
        </w:rPr>
        <w:drawing>
          <wp:inline distT="0" distB="0" distL="0" distR="0" wp14:anchorId="16638AA4" wp14:editId="449FF9FC">
            <wp:extent cx="8562109" cy="2465946"/>
            <wp:effectExtent l="0" t="0" r="0" b="0"/>
            <wp:docPr id="660527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53668" cy="2492316"/>
                    </a:xfrm>
                    <a:prstGeom prst="rect">
                      <a:avLst/>
                    </a:prstGeom>
                    <a:noFill/>
                    <a:ln>
                      <a:noFill/>
                    </a:ln>
                  </pic:spPr>
                </pic:pic>
              </a:graphicData>
            </a:graphic>
          </wp:inline>
        </w:drawing>
      </w:r>
    </w:p>
    <w:p w14:paraId="7821DE9E" w14:textId="77777777" w:rsidR="0077055C" w:rsidRPr="002E7C90" w:rsidRDefault="0077055C" w:rsidP="004F553A">
      <w:pPr>
        <w:pStyle w:val="Note"/>
        <w:spacing w:before="120"/>
        <w:rPr>
          <w:sz w:val="20"/>
          <w:szCs w:val="16"/>
        </w:rPr>
      </w:pPr>
      <w:r w:rsidRPr="002E7C90">
        <w:rPr>
          <w:sz w:val="20"/>
          <w:szCs w:val="16"/>
        </w:rPr>
        <w:t>Notes:</w:t>
      </w:r>
    </w:p>
    <w:p w14:paraId="142BFC09" w14:textId="6587212F" w:rsidR="0077055C" w:rsidRPr="002E7C90" w:rsidRDefault="00906C92" w:rsidP="003B3CBD">
      <w:pPr>
        <w:pStyle w:val="Note"/>
        <w:tabs>
          <w:tab w:val="clear" w:pos="284"/>
          <w:tab w:val="clear" w:pos="1134"/>
          <w:tab w:val="left" w:pos="567"/>
        </w:tabs>
        <w:spacing w:before="0"/>
        <w:ind w:left="567" w:hanging="567"/>
        <w:rPr>
          <w:sz w:val="20"/>
          <w:szCs w:val="16"/>
        </w:rPr>
      </w:pPr>
      <w:r w:rsidRPr="002E7C90">
        <w:rPr>
          <w:sz w:val="20"/>
          <w:szCs w:val="16"/>
        </w:rPr>
        <w:t>1</w:t>
      </w:r>
      <w:r w:rsidR="004F553A" w:rsidRPr="002E7C90">
        <w:rPr>
          <w:sz w:val="20"/>
          <w:szCs w:val="16"/>
        </w:rPr>
        <w:t>)</w:t>
      </w:r>
      <w:r w:rsidR="004F553A" w:rsidRPr="002E7C90">
        <w:rPr>
          <w:sz w:val="20"/>
          <w:szCs w:val="16"/>
        </w:rPr>
        <w:tab/>
      </w:r>
      <w:r w:rsidR="006075BE" w:rsidRPr="002E7C90">
        <w:rPr>
          <w:sz w:val="20"/>
          <w:szCs w:val="16"/>
        </w:rPr>
        <w:t xml:space="preserve">Les valeurs correspondant à la situation de référence actuelle sont incluses dans la base de données de référence de l'Appendice </w:t>
      </w:r>
      <w:r w:rsidR="006075BE" w:rsidRPr="002E7C90">
        <w:rPr>
          <w:b/>
          <w:bCs/>
          <w:sz w:val="20"/>
          <w:szCs w:val="16"/>
        </w:rPr>
        <w:t>30B</w:t>
      </w:r>
      <w:r w:rsidR="006075BE" w:rsidRPr="002E7C90">
        <w:rPr>
          <w:sz w:val="20"/>
          <w:szCs w:val="16"/>
        </w:rPr>
        <w:t xml:space="preserve"> de la BR IFIC 3008 du</w:t>
      </w:r>
      <w:r w:rsidR="004F553A" w:rsidRPr="002E7C90">
        <w:rPr>
          <w:sz w:val="20"/>
          <w:szCs w:val="16"/>
        </w:rPr>
        <w:t> </w:t>
      </w:r>
      <w:r w:rsidR="006075BE" w:rsidRPr="002E7C90">
        <w:rPr>
          <w:sz w:val="20"/>
          <w:szCs w:val="16"/>
        </w:rPr>
        <w:t>31.10.2023</w:t>
      </w:r>
      <w:r w:rsidR="004F553A" w:rsidRPr="002E7C90">
        <w:rPr>
          <w:sz w:val="20"/>
          <w:szCs w:val="16"/>
        </w:rPr>
        <w:t>.</w:t>
      </w:r>
    </w:p>
    <w:p w14:paraId="7BB20F37" w14:textId="027A0E8E" w:rsidR="0077055C" w:rsidRPr="002E7C90" w:rsidRDefault="00423EF7" w:rsidP="003B3CBD">
      <w:pPr>
        <w:pStyle w:val="Note"/>
        <w:tabs>
          <w:tab w:val="clear" w:pos="284"/>
          <w:tab w:val="clear" w:pos="1134"/>
          <w:tab w:val="left" w:pos="567"/>
        </w:tabs>
        <w:spacing w:before="0"/>
        <w:ind w:left="567" w:hanging="567"/>
        <w:rPr>
          <w:sz w:val="20"/>
          <w:szCs w:val="16"/>
        </w:rPr>
      </w:pPr>
      <w:r w:rsidRPr="002E7C90">
        <w:rPr>
          <w:sz w:val="20"/>
          <w:szCs w:val="16"/>
        </w:rPr>
        <w:t>2</w:t>
      </w:r>
      <w:r w:rsidR="004F553A" w:rsidRPr="002E7C90">
        <w:rPr>
          <w:sz w:val="20"/>
          <w:szCs w:val="16"/>
        </w:rPr>
        <w:t>)</w:t>
      </w:r>
      <w:r w:rsidR="004F553A" w:rsidRPr="002E7C90">
        <w:rPr>
          <w:sz w:val="20"/>
          <w:szCs w:val="16"/>
        </w:rPr>
        <w:tab/>
      </w:r>
      <w:r w:rsidR="006F213E" w:rsidRPr="002E7C90">
        <w:rPr>
          <w:sz w:val="20"/>
          <w:szCs w:val="16"/>
        </w:rPr>
        <w:t xml:space="preserve">Les valeurs correspondant à la situation de référence mise à jour sont les valeurs de </w:t>
      </w:r>
      <w:r w:rsidR="006F213E" w:rsidRPr="002E7C90">
        <w:rPr>
          <w:i/>
          <w:iCs/>
          <w:sz w:val="20"/>
          <w:szCs w:val="16"/>
        </w:rPr>
        <w:t>C</w:t>
      </w:r>
      <w:r w:rsidR="006F213E" w:rsidRPr="002E7C90">
        <w:rPr>
          <w:sz w:val="20"/>
          <w:szCs w:val="16"/>
        </w:rPr>
        <w:t>/</w:t>
      </w:r>
      <w:r w:rsidR="006F213E" w:rsidRPr="002E7C90">
        <w:rPr>
          <w:i/>
          <w:iCs/>
          <w:sz w:val="20"/>
          <w:szCs w:val="16"/>
        </w:rPr>
        <w:t>I</w:t>
      </w:r>
      <w:r w:rsidR="006F213E" w:rsidRPr="002E7C90">
        <w:rPr>
          <w:sz w:val="20"/>
          <w:szCs w:val="16"/>
        </w:rPr>
        <w:t xml:space="preserve"> calculées à des points de mesure compte tenu de la contribution de brouillage de l'allotissement ou des allotissements proposés.</w:t>
      </w:r>
    </w:p>
    <w:p w14:paraId="729425E7" w14:textId="3777BC4A" w:rsidR="0077055C" w:rsidRPr="002E7C90" w:rsidRDefault="0077055C" w:rsidP="003B3CBD">
      <w:pPr>
        <w:pStyle w:val="Note"/>
        <w:tabs>
          <w:tab w:val="clear" w:pos="284"/>
          <w:tab w:val="clear" w:pos="1134"/>
          <w:tab w:val="left" w:pos="567"/>
        </w:tabs>
        <w:spacing w:before="0"/>
        <w:ind w:left="567" w:hanging="567"/>
      </w:pPr>
      <w:r w:rsidRPr="002E7C90">
        <w:rPr>
          <w:sz w:val="20"/>
          <w:szCs w:val="16"/>
        </w:rPr>
        <w:t>3</w:t>
      </w:r>
      <w:r w:rsidR="004F553A" w:rsidRPr="002E7C90">
        <w:rPr>
          <w:sz w:val="20"/>
          <w:szCs w:val="16"/>
        </w:rPr>
        <w:t>)</w:t>
      </w:r>
      <w:r w:rsidR="004F553A" w:rsidRPr="002E7C90">
        <w:rPr>
          <w:sz w:val="20"/>
          <w:szCs w:val="16"/>
        </w:rPr>
        <w:tab/>
      </w:r>
      <w:r w:rsidR="00E55D27" w:rsidRPr="002E7C90">
        <w:rPr>
          <w:sz w:val="20"/>
          <w:szCs w:val="16"/>
        </w:rPr>
        <w:t xml:space="preserve">La situation de référence pour </w:t>
      </w:r>
      <w:r w:rsidR="00906C92" w:rsidRPr="002E7C90">
        <w:rPr>
          <w:sz w:val="20"/>
          <w:szCs w:val="16"/>
        </w:rPr>
        <w:t>un brouillage dû à une</w:t>
      </w:r>
      <w:r w:rsidR="00E55D27" w:rsidRPr="002E7C90">
        <w:rPr>
          <w:sz w:val="20"/>
          <w:szCs w:val="16"/>
        </w:rPr>
        <w:t xml:space="preserve"> source unique est utilisée uniquement afin d'identifier les réseaux affectés lorsque le réseau </w:t>
      </w:r>
      <w:r w:rsidR="00906C92" w:rsidRPr="002E7C90">
        <w:rPr>
          <w:sz w:val="20"/>
          <w:szCs w:val="16"/>
        </w:rPr>
        <w:t>notifié</w:t>
      </w:r>
      <w:r w:rsidR="00E55D27" w:rsidRPr="002E7C90">
        <w:rPr>
          <w:sz w:val="20"/>
          <w:szCs w:val="16"/>
        </w:rPr>
        <w:t xml:space="preserve"> est soumis au titre de la Résolution </w:t>
      </w:r>
      <w:r w:rsidR="00E55D27" w:rsidRPr="002E7C90">
        <w:rPr>
          <w:b/>
          <w:bCs/>
          <w:sz w:val="20"/>
          <w:szCs w:val="16"/>
        </w:rPr>
        <w:t>170 (CMR-19)</w:t>
      </w:r>
      <w:r w:rsidR="00E55D27" w:rsidRPr="002E7C90">
        <w:rPr>
          <w:sz w:val="20"/>
          <w:szCs w:val="16"/>
        </w:rPr>
        <w:t>.</w:t>
      </w:r>
    </w:p>
    <w:p w14:paraId="4285A2EC" w14:textId="5D5B6180" w:rsidR="0077055C" w:rsidRPr="002E7C90" w:rsidRDefault="0077055C" w:rsidP="004F553A">
      <w:pPr>
        <w:pStyle w:val="Heading1"/>
      </w:pPr>
      <w:r w:rsidRPr="002E7C90">
        <w:t>3</w:t>
      </w:r>
      <w:r w:rsidR="004F553A" w:rsidRPr="002E7C90">
        <w:tab/>
      </w:r>
      <w:r w:rsidR="00B1107B" w:rsidRPr="002E7C90">
        <w:t>Situation de référence potentielle d'un nouvel allotissement national</w:t>
      </w:r>
    </w:p>
    <w:p w14:paraId="6FEB6375" w14:textId="4CC28281" w:rsidR="0077055C" w:rsidRPr="002E7C90" w:rsidRDefault="0077055C" w:rsidP="004F553A">
      <w:pPr>
        <w:pStyle w:val="Figure"/>
        <w:jc w:val="left"/>
      </w:pPr>
      <w:r w:rsidRPr="002E7C90">
        <w:rPr>
          <w:rFonts w:eastAsia="Calibri"/>
        </w:rPr>
        <w:drawing>
          <wp:inline distT="0" distB="0" distL="0" distR="0" wp14:anchorId="7EFE7B09" wp14:editId="148E7FD7">
            <wp:extent cx="6120765" cy="1475411"/>
            <wp:effectExtent l="0" t="0" r="0" b="0"/>
            <wp:docPr id="163256859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1475411"/>
                    </a:xfrm>
                    <a:prstGeom prst="rect">
                      <a:avLst/>
                    </a:prstGeom>
                    <a:noFill/>
                    <a:ln>
                      <a:noFill/>
                    </a:ln>
                  </pic:spPr>
                </pic:pic>
              </a:graphicData>
            </a:graphic>
          </wp:inline>
        </w:drawing>
      </w:r>
    </w:p>
    <w:p w14:paraId="5D157D62" w14:textId="1C77EF5F" w:rsidR="0077055C" w:rsidRPr="002E7C90" w:rsidRDefault="0077055C" w:rsidP="007C7095">
      <w:pPr>
        <w:tabs>
          <w:tab w:val="clear" w:pos="1134"/>
          <w:tab w:val="clear" w:pos="1871"/>
          <w:tab w:val="clear" w:pos="2268"/>
        </w:tabs>
        <w:overflowPunct/>
        <w:autoSpaceDE/>
        <w:autoSpaceDN/>
        <w:adjustRightInd/>
        <w:spacing w:before="0"/>
        <w:textAlignment w:val="auto"/>
      </w:pPr>
      <w:r w:rsidRPr="002E7C90">
        <w:lastRenderedPageBreak/>
        <w:br w:type="page"/>
      </w:r>
    </w:p>
    <w:p w14:paraId="4026D006" w14:textId="57DB7CAC" w:rsidR="0077055C" w:rsidRPr="002E7C90" w:rsidRDefault="0077055C" w:rsidP="004F553A">
      <w:pPr>
        <w:pStyle w:val="AnnexNo"/>
      </w:pPr>
      <w:r w:rsidRPr="002E7C90">
        <w:lastRenderedPageBreak/>
        <w:t>Annexe 2</w:t>
      </w:r>
    </w:p>
    <w:p w14:paraId="1A4ABE9C" w14:textId="6A8A3970" w:rsidR="0077055C" w:rsidRPr="002E7C90" w:rsidRDefault="00906C92" w:rsidP="007C7095">
      <w:pPr>
        <w:pStyle w:val="Annextitle"/>
      </w:pPr>
      <w:r w:rsidRPr="002E7C90">
        <w:rPr>
          <w:rFonts w:eastAsia="Calibri"/>
          <w:lang w:eastAsia="it-IT"/>
        </w:rPr>
        <w:t>Résultat de l'examen de la soumission 120559035/MKD00000 (16.7</w:t>
      </w:r>
      <w:r w:rsidR="003B3CBD" w:rsidRPr="002E7C90">
        <w:rPr>
          <w:rFonts w:eastAsia="Calibri"/>
          <w:lang w:eastAsia="it-IT"/>
        </w:rPr>
        <w:t xml:space="preserve">° </w:t>
      </w:r>
      <w:r w:rsidRPr="002E7C90">
        <w:rPr>
          <w:rFonts w:eastAsia="Calibri"/>
          <w:lang w:eastAsia="it-IT"/>
        </w:rPr>
        <w:t>W) au titre de la Partie B</w:t>
      </w:r>
    </w:p>
    <w:p w14:paraId="7BB81713" w14:textId="221A1319" w:rsidR="0077055C" w:rsidRPr="002E7C90" w:rsidRDefault="00906C92" w:rsidP="003B3CBD">
      <w:pPr>
        <w:pStyle w:val="Heading1"/>
      </w:pPr>
      <w:r w:rsidRPr="002E7C90">
        <w:t>1</w:t>
      </w:r>
      <w:r w:rsidR="003B3CBD" w:rsidRPr="002E7C90">
        <w:tab/>
      </w:r>
      <w:r w:rsidRPr="002E7C90">
        <w:t>Liste des réseaux à satellites encore affectés (sur la base des critères fournis dans l'Annexe 4 de l'Appendice</w:t>
      </w:r>
      <w:r w:rsidR="003B3CBD" w:rsidRPr="002E7C90">
        <w:t> </w:t>
      </w:r>
      <w:r w:rsidRPr="002E7C90">
        <w:t>30B et des critères figurant dans la Résolution 170 (CMR-19))</w:t>
      </w:r>
    </w:p>
    <w:p w14:paraId="49ACA810" w14:textId="6B69459F" w:rsidR="0077055C" w:rsidRPr="002E7C90" w:rsidRDefault="0077055C" w:rsidP="003B3CBD">
      <w:pPr>
        <w:pStyle w:val="Figure"/>
      </w:pPr>
      <w:r w:rsidRPr="002E7C90">
        <w:rPr>
          <w:rFonts w:eastAsia="Calibri"/>
          <w:lang w:eastAsia="it-IT"/>
        </w:rPr>
        <w:drawing>
          <wp:inline distT="0" distB="0" distL="0" distR="0" wp14:anchorId="5C5F5ACE" wp14:editId="21FDB763">
            <wp:extent cx="8913282" cy="3384467"/>
            <wp:effectExtent l="0" t="0" r="2540" b="6985"/>
            <wp:docPr id="20237086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49476" cy="3398210"/>
                    </a:xfrm>
                    <a:prstGeom prst="rect">
                      <a:avLst/>
                    </a:prstGeom>
                    <a:noFill/>
                    <a:ln>
                      <a:noFill/>
                    </a:ln>
                  </pic:spPr>
                </pic:pic>
              </a:graphicData>
            </a:graphic>
          </wp:inline>
        </w:drawing>
      </w:r>
    </w:p>
    <w:p w14:paraId="40A0E03E" w14:textId="76C7918C" w:rsidR="0077055C" w:rsidRPr="002E7C90" w:rsidRDefault="0077055C" w:rsidP="007C7095">
      <w:pPr>
        <w:tabs>
          <w:tab w:val="clear" w:pos="1134"/>
          <w:tab w:val="clear" w:pos="1871"/>
          <w:tab w:val="clear" w:pos="2268"/>
        </w:tabs>
        <w:overflowPunct/>
        <w:autoSpaceDE/>
        <w:autoSpaceDN/>
        <w:adjustRightInd/>
        <w:spacing w:before="0"/>
        <w:textAlignment w:val="auto"/>
      </w:pPr>
      <w:r w:rsidRPr="002E7C90">
        <w:br w:type="page"/>
      </w:r>
    </w:p>
    <w:p w14:paraId="61279EB2" w14:textId="74454FFA" w:rsidR="0077055C" w:rsidRPr="002E7C90" w:rsidRDefault="0077055C" w:rsidP="003B3CBD">
      <w:pPr>
        <w:pStyle w:val="Heading1"/>
      </w:pPr>
      <w:r w:rsidRPr="002E7C90">
        <w:lastRenderedPageBreak/>
        <w:t>2</w:t>
      </w:r>
      <w:r w:rsidR="003B3CBD" w:rsidRPr="002E7C90">
        <w:tab/>
      </w:r>
      <w:r w:rsidR="00423EF7" w:rsidRPr="002E7C90">
        <w:t>Situation de référence (actuelle et mise à jour) des réseaux à satellite encore affectés</w:t>
      </w:r>
    </w:p>
    <w:p w14:paraId="3E31ECBB" w14:textId="4BADF6BC" w:rsidR="0077055C" w:rsidRPr="002E7C90" w:rsidRDefault="0077055C" w:rsidP="003B3CBD">
      <w:pPr>
        <w:pStyle w:val="Figure"/>
      </w:pPr>
      <w:r w:rsidRPr="002E7C90">
        <w:rPr>
          <w:rFonts w:eastAsia="Calibri"/>
          <w:lang w:eastAsia="it-IT"/>
        </w:rPr>
        <w:drawing>
          <wp:inline distT="0" distB="0" distL="0" distR="0" wp14:anchorId="68739EE9" wp14:editId="2259278D">
            <wp:extent cx="8628763" cy="2945080"/>
            <wp:effectExtent l="0" t="0" r="1270" b="8255"/>
            <wp:docPr id="12310749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78719" cy="2962130"/>
                    </a:xfrm>
                    <a:prstGeom prst="rect">
                      <a:avLst/>
                    </a:prstGeom>
                    <a:noFill/>
                    <a:ln>
                      <a:noFill/>
                    </a:ln>
                  </pic:spPr>
                </pic:pic>
              </a:graphicData>
            </a:graphic>
          </wp:inline>
        </w:drawing>
      </w:r>
    </w:p>
    <w:p w14:paraId="75D4B014" w14:textId="77777777" w:rsidR="0077055C" w:rsidRPr="002E7C90" w:rsidRDefault="0077055C" w:rsidP="003B3CBD">
      <w:pPr>
        <w:pStyle w:val="Note"/>
        <w:spacing w:before="120"/>
        <w:rPr>
          <w:sz w:val="20"/>
          <w:szCs w:val="16"/>
        </w:rPr>
      </w:pPr>
      <w:r w:rsidRPr="002E7C90">
        <w:rPr>
          <w:sz w:val="20"/>
          <w:szCs w:val="16"/>
        </w:rPr>
        <w:t>Notes:</w:t>
      </w:r>
    </w:p>
    <w:p w14:paraId="7B73F443" w14:textId="5EA7C0AA" w:rsidR="0077055C" w:rsidRPr="002E7C90" w:rsidRDefault="00423EF7" w:rsidP="003B3CBD">
      <w:pPr>
        <w:pStyle w:val="Note"/>
        <w:tabs>
          <w:tab w:val="clear" w:pos="284"/>
          <w:tab w:val="clear" w:pos="1134"/>
        </w:tabs>
        <w:spacing w:before="0"/>
        <w:ind w:left="567" w:hanging="567"/>
        <w:rPr>
          <w:sz w:val="20"/>
          <w:szCs w:val="16"/>
        </w:rPr>
      </w:pPr>
      <w:r w:rsidRPr="002E7C90">
        <w:rPr>
          <w:sz w:val="20"/>
          <w:szCs w:val="16"/>
        </w:rPr>
        <w:t>1</w:t>
      </w:r>
      <w:r w:rsidR="003B3CBD" w:rsidRPr="002E7C90">
        <w:rPr>
          <w:sz w:val="20"/>
          <w:szCs w:val="16"/>
        </w:rPr>
        <w:t>)</w:t>
      </w:r>
      <w:r w:rsidR="003B3CBD" w:rsidRPr="002E7C90">
        <w:rPr>
          <w:sz w:val="20"/>
          <w:szCs w:val="16"/>
        </w:rPr>
        <w:tab/>
      </w:r>
      <w:r w:rsidRPr="002E7C90">
        <w:rPr>
          <w:sz w:val="20"/>
          <w:szCs w:val="16"/>
        </w:rPr>
        <w:t>Les valeurs correspondant à la situation de référence actuelle sont incluses dans la base de données de référence de l'Appendice 30B de la BR IFIC 3008 du</w:t>
      </w:r>
      <w:r w:rsidR="003B3CBD" w:rsidRPr="002E7C90">
        <w:rPr>
          <w:sz w:val="20"/>
          <w:szCs w:val="16"/>
        </w:rPr>
        <w:t> </w:t>
      </w:r>
      <w:r w:rsidRPr="002E7C90">
        <w:rPr>
          <w:sz w:val="20"/>
          <w:szCs w:val="16"/>
        </w:rPr>
        <w:t>31.10.2023</w:t>
      </w:r>
      <w:r w:rsidR="003B3CBD" w:rsidRPr="002E7C90">
        <w:rPr>
          <w:sz w:val="20"/>
          <w:szCs w:val="16"/>
        </w:rPr>
        <w:t>.</w:t>
      </w:r>
    </w:p>
    <w:p w14:paraId="2A6E9811" w14:textId="489EFDDF" w:rsidR="0077055C" w:rsidRPr="002E7C90" w:rsidRDefault="00423EF7" w:rsidP="003B3CBD">
      <w:pPr>
        <w:pStyle w:val="Note"/>
        <w:tabs>
          <w:tab w:val="clear" w:pos="284"/>
          <w:tab w:val="clear" w:pos="1134"/>
        </w:tabs>
        <w:spacing w:before="0"/>
        <w:ind w:left="567" w:hanging="567"/>
        <w:rPr>
          <w:sz w:val="20"/>
          <w:szCs w:val="16"/>
        </w:rPr>
      </w:pPr>
      <w:r w:rsidRPr="002E7C90">
        <w:rPr>
          <w:sz w:val="20"/>
          <w:szCs w:val="16"/>
        </w:rPr>
        <w:t>2</w:t>
      </w:r>
      <w:r w:rsidR="003B3CBD" w:rsidRPr="002E7C90">
        <w:rPr>
          <w:sz w:val="20"/>
          <w:szCs w:val="16"/>
        </w:rPr>
        <w:t>)</w:t>
      </w:r>
      <w:r w:rsidR="003B3CBD" w:rsidRPr="002E7C90">
        <w:rPr>
          <w:sz w:val="20"/>
          <w:szCs w:val="16"/>
        </w:rPr>
        <w:tab/>
      </w:r>
      <w:r w:rsidR="006F213E" w:rsidRPr="002E7C90">
        <w:rPr>
          <w:sz w:val="20"/>
          <w:szCs w:val="16"/>
        </w:rPr>
        <w:t xml:space="preserve">Les valeurs correspondant à la situation de référence mise à jour sont les valeurs de </w:t>
      </w:r>
      <w:r w:rsidR="006F213E" w:rsidRPr="002E7C90">
        <w:rPr>
          <w:i/>
          <w:iCs/>
          <w:sz w:val="20"/>
          <w:szCs w:val="16"/>
        </w:rPr>
        <w:t>C</w:t>
      </w:r>
      <w:r w:rsidR="006F213E" w:rsidRPr="002E7C90">
        <w:rPr>
          <w:sz w:val="20"/>
          <w:szCs w:val="16"/>
        </w:rPr>
        <w:t>/</w:t>
      </w:r>
      <w:r w:rsidR="006F213E" w:rsidRPr="002E7C90">
        <w:rPr>
          <w:i/>
          <w:iCs/>
          <w:sz w:val="20"/>
          <w:szCs w:val="16"/>
        </w:rPr>
        <w:t>I</w:t>
      </w:r>
      <w:r w:rsidR="006F213E" w:rsidRPr="002E7C90">
        <w:rPr>
          <w:sz w:val="20"/>
          <w:szCs w:val="16"/>
        </w:rPr>
        <w:t xml:space="preserve"> calculées à des points de mesure compte tenu de la contribution de brouillage de l'allotissement ou des allotissements proposés</w:t>
      </w:r>
      <w:r w:rsidR="003B3CBD" w:rsidRPr="002E7C90">
        <w:rPr>
          <w:sz w:val="20"/>
          <w:szCs w:val="16"/>
        </w:rPr>
        <w:t>.</w:t>
      </w:r>
    </w:p>
    <w:p w14:paraId="6FCC830A" w14:textId="4A6FC6CB" w:rsidR="0077055C" w:rsidRPr="002E7C90" w:rsidRDefault="00423EF7" w:rsidP="003B3CBD">
      <w:pPr>
        <w:pStyle w:val="Note"/>
        <w:tabs>
          <w:tab w:val="clear" w:pos="284"/>
          <w:tab w:val="clear" w:pos="1134"/>
        </w:tabs>
        <w:spacing w:before="0"/>
        <w:ind w:left="567" w:hanging="567"/>
      </w:pPr>
      <w:r w:rsidRPr="002E7C90">
        <w:rPr>
          <w:sz w:val="20"/>
          <w:szCs w:val="16"/>
        </w:rPr>
        <w:t>3</w:t>
      </w:r>
      <w:r w:rsidR="003B3CBD" w:rsidRPr="002E7C90">
        <w:rPr>
          <w:sz w:val="20"/>
          <w:szCs w:val="16"/>
        </w:rPr>
        <w:t>)</w:t>
      </w:r>
      <w:r w:rsidR="003B3CBD" w:rsidRPr="002E7C90">
        <w:rPr>
          <w:sz w:val="20"/>
          <w:szCs w:val="16"/>
        </w:rPr>
        <w:tab/>
      </w:r>
      <w:r w:rsidRPr="002E7C90">
        <w:rPr>
          <w:sz w:val="20"/>
          <w:szCs w:val="16"/>
        </w:rPr>
        <w:t>La situation de référence pour un brouillage dû à une source unique est utilisée uniquement afin d'identifier les réseaux affectés lorsque le réseau notifié est soumis au titre de la Résolution 170 (CMR-19).</w:t>
      </w:r>
    </w:p>
    <w:p w14:paraId="6BDF6FE6" w14:textId="1363BC8E" w:rsidR="0077055C" w:rsidRPr="002E7C90" w:rsidRDefault="0077055C" w:rsidP="003B3CBD">
      <w:pPr>
        <w:pStyle w:val="Heading1"/>
      </w:pPr>
      <w:r w:rsidRPr="002E7C90">
        <w:t>3</w:t>
      </w:r>
      <w:r w:rsidR="003B3CBD" w:rsidRPr="002E7C90">
        <w:tab/>
      </w:r>
      <w:r w:rsidR="00423EF7" w:rsidRPr="002E7C90">
        <w:t>Situation de référence potentielle d'un nouvel allotissement national</w:t>
      </w:r>
    </w:p>
    <w:p w14:paraId="5FD10C09" w14:textId="74A6CA11" w:rsidR="0077055C" w:rsidRPr="002E7C90" w:rsidRDefault="0077055C" w:rsidP="003B3CBD">
      <w:pPr>
        <w:pStyle w:val="Figure"/>
        <w:jc w:val="left"/>
      </w:pPr>
      <w:r w:rsidRPr="002E7C90">
        <w:rPr>
          <w:rFonts w:eastAsia="Calibri"/>
          <w:lang w:eastAsia="it-IT"/>
        </w:rPr>
        <w:drawing>
          <wp:inline distT="0" distB="0" distL="0" distR="0" wp14:anchorId="0203F869" wp14:editId="6D5D830C">
            <wp:extent cx="5854700" cy="1225550"/>
            <wp:effectExtent l="0" t="0" r="0" b="0"/>
            <wp:docPr id="7659960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4700" cy="1225550"/>
                    </a:xfrm>
                    <a:prstGeom prst="rect">
                      <a:avLst/>
                    </a:prstGeom>
                    <a:noFill/>
                    <a:ln>
                      <a:noFill/>
                    </a:ln>
                  </pic:spPr>
                </pic:pic>
              </a:graphicData>
            </a:graphic>
          </wp:inline>
        </w:drawing>
      </w:r>
      <w:r w:rsidRPr="002E7C90">
        <w:br w:type="page"/>
      </w:r>
    </w:p>
    <w:p w14:paraId="1017B463" w14:textId="7756EC58" w:rsidR="0077055C" w:rsidRPr="002E7C90" w:rsidRDefault="0077055C" w:rsidP="007C7095">
      <w:pPr>
        <w:pStyle w:val="AnnexNo"/>
      </w:pPr>
      <w:bookmarkStart w:id="7" w:name="_Hlk150959248"/>
      <w:r w:rsidRPr="002E7C90">
        <w:lastRenderedPageBreak/>
        <w:t>Annexe 3</w:t>
      </w:r>
      <w:bookmarkEnd w:id="7"/>
    </w:p>
    <w:p w14:paraId="6471CEE6" w14:textId="308326B3" w:rsidR="006F213E" w:rsidRPr="002E7C90" w:rsidRDefault="006F213E" w:rsidP="007C7095">
      <w:pPr>
        <w:pStyle w:val="Annextitle"/>
      </w:pPr>
      <w:r w:rsidRPr="002E7C90">
        <w:rPr>
          <w:rFonts w:eastAsia="Calibri"/>
          <w:lang w:eastAsia="it-IT"/>
        </w:rPr>
        <w:t>Résultat de l'examen de la soumission 120559036/BIH00000 (46.0</w:t>
      </w:r>
      <w:r w:rsidR="003B3CBD" w:rsidRPr="002E7C90">
        <w:rPr>
          <w:rFonts w:eastAsia="Calibri"/>
          <w:lang w:eastAsia="it-IT"/>
        </w:rPr>
        <w:t xml:space="preserve">° </w:t>
      </w:r>
      <w:r w:rsidRPr="002E7C90">
        <w:rPr>
          <w:rFonts w:eastAsia="Calibri"/>
          <w:lang w:eastAsia="it-IT"/>
        </w:rPr>
        <w:t>E) au titre de la Partie B</w:t>
      </w:r>
    </w:p>
    <w:p w14:paraId="5FB90FDA" w14:textId="422EAB05" w:rsidR="0077055C" w:rsidRPr="002E7C90" w:rsidRDefault="00906C92" w:rsidP="003B3CBD">
      <w:pPr>
        <w:pStyle w:val="Heading1"/>
        <w:rPr>
          <w:rFonts w:eastAsia="Calibri"/>
          <w:lang w:eastAsia="it-IT"/>
        </w:rPr>
      </w:pPr>
      <w:bookmarkStart w:id="8" w:name="_Hlk150848962"/>
      <w:r w:rsidRPr="002E7C90">
        <w:rPr>
          <w:rFonts w:eastAsia="Calibri"/>
          <w:lang w:eastAsia="it-IT"/>
        </w:rPr>
        <w:t>1</w:t>
      </w:r>
      <w:r w:rsidR="003B3CBD" w:rsidRPr="002E7C90">
        <w:rPr>
          <w:rFonts w:eastAsia="Calibri"/>
          <w:lang w:eastAsia="it-IT"/>
        </w:rPr>
        <w:tab/>
      </w:r>
      <w:r w:rsidRPr="002E7C90">
        <w:rPr>
          <w:rFonts w:eastAsia="Calibri"/>
          <w:lang w:eastAsia="it-IT"/>
        </w:rPr>
        <w:t>Liste des réseaux à satellites encore affectés (sur la base des critères fournis dans l'Annexe 4 de l'Appendice</w:t>
      </w:r>
      <w:r w:rsidR="003B3CBD" w:rsidRPr="002E7C90">
        <w:rPr>
          <w:rFonts w:eastAsia="Calibri"/>
          <w:lang w:eastAsia="it-IT"/>
        </w:rPr>
        <w:t> </w:t>
      </w:r>
      <w:r w:rsidRPr="002E7C90">
        <w:rPr>
          <w:rFonts w:eastAsia="Calibri"/>
          <w:lang w:eastAsia="it-IT"/>
        </w:rPr>
        <w:t>30B et des critères figurant dans la Résolution 170 (CMR-19))</w:t>
      </w:r>
    </w:p>
    <w:bookmarkEnd w:id="8"/>
    <w:p w14:paraId="59A21242" w14:textId="77777777" w:rsidR="0077055C" w:rsidRPr="002E7C90" w:rsidRDefault="0077055C" w:rsidP="003B3CBD">
      <w:pPr>
        <w:pStyle w:val="Figure"/>
        <w:rPr>
          <w:rFonts w:eastAsia="Calibri"/>
          <w:b/>
          <w:bCs/>
          <w:lang w:eastAsia="it-IT"/>
        </w:rPr>
      </w:pPr>
      <w:r w:rsidRPr="002E7C90">
        <w:rPr>
          <w:rFonts w:eastAsia="Calibri"/>
          <w:lang w:eastAsia="it-IT"/>
        </w:rPr>
        <w:drawing>
          <wp:inline distT="0" distB="0" distL="0" distR="0" wp14:anchorId="7DBF720A" wp14:editId="3486F18E">
            <wp:extent cx="8863330" cy="3803650"/>
            <wp:effectExtent l="0" t="0" r="0" b="6350"/>
            <wp:docPr id="16047675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863330" cy="3803650"/>
                    </a:xfrm>
                    <a:prstGeom prst="rect">
                      <a:avLst/>
                    </a:prstGeom>
                    <a:noFill/>
                    <a:ln>
                      <a:noFill/>
                    </a:ln>
                  </pic:spPr>
                </pic:pic>
              </a:graphicData>
            </a:graphic>
          </wp:inline>
        </w:drawing>
      </w:r>
    </w:p>
    <w:p w14:paraId="39A355AE" w14:textId="77777777" w:rsidR="0077055C" w:rsidRPr="002E7C90" w:rsidRDefault="0077055C" w:rsidP="007C7095">
      <w:pPr>
        <w:tabs>
          <w:tab w:val="clear" w:pos="1134"/>
          <w:tab w:val="clear" w:pos="1871"/>
          <w:tab w:val="clear" w:pos="2268"/>
        </w:tabs>
        <w:overflowPunct/>
        <w:autoSpaceDE/>
        <w:autoSpaceDN/>
        <w:adjustRightInd/>
        <w:spacing w:before="0"/>
        <w:textAlignment w:val="auto"/>
        <w:rPr>
          <w:rFonts w:eastAsia="Calibri"/>
          <w:b/>
          <w:bCs/>
          <w:szCs w:val="24"/>
          <w:lang w:eastAsia="it-IT"/>
        </w:rPr>
      </w:pPr>
      <w:r w:rsidRPr="002E7C90">
        <w:rPr>
          <w:rFonts w:eastAsia="Calibri"/>
          <w:b/>
          <w:bCs/>
          <w:szCs w:val="24"/>
          <w:lang w:eastAsia="it-IT"/>
        </w:rPr>
        <w:br w:type="page"/>
      </w:r>
    </w:p>
    <w:p w14:paraId="4A1AB6AC" w14:textId="05C06D53" w:rsidR="0077055C" w:rsidRPr="002E7C90" w:rsidRDefault="00423EF7" w:rsidP="003B3CBD">
      <w:pPr>
        <w:pStyle w:val="Heading1"/>
        <w:rPr>
          <w:rFonts w:eastAsia="Calibri"/>
          <w:lang w:eastAsia="it-IT"/>
        </w:rPr>
      </w:pPr>
      <w:r w:rsidRPr="002E7C90">
        <w:rPr>
          <w:rFonts w:eastAsia="Calibri"/>
          <w:lang w:eastAsia="it-IT"/>
        </w:rPr>
        <w:lastRenderedPageBreak/>
        <w:t>2</w:t>
      </w:r>
      <w:r w:rsidR="003B3CBD" w:rsidRPr="002E7C90">
        <w:rPr>
          <w:rFonts w:eastAsia="Calibri"/>
          <w:lang w:eastAsia="it-IT"/>
        </w:rPr>
        <w:tab/>
      </w:r>
      <w:r w:rsidRPr="002E7C90">
        <w:rPr>
          <w:rFonts w:eastAsia="Calibri"/>
          <w:lang w:eastAsia="it-IT"/>
        </w:rPr>
        <w:t>Situation de référence (actuelle et mise à jour) des réseaux à satellite encore affectés</w:t>
      </w:r>
    </w:p>
    <w:p w14:paraId="7DDEC2BE" w14:textId="77777777" w:rsidR="0077055C" w:rsidRPr="002E7C90" w:rsidRDefault="0077055C" w:rsidP="003B3CBD">
      <w:pPr>
        <w:pStyle w:val="Figure"/>
        <w:rPr>
          <w:rFonts w:eastAsia="Calibri"/>
          <w:b/>
          <w:bCs/>
          <w:lang w:eastAsia="it-IT"/>
        </w:rPr>
      </w:pPr>
      <w:r w:rsidRPr="002E7C90">
        <w:rPr>
          <w:rFonts w:eastAsia="Calibri"/>
          <w:lang w:eastAsia="it-IT"/>
        </w:rPr>
        <w:drawing>
          <wp:inline distT="0" distB="0" distL="0" distR="0" wp14:anchorId="37ED9B3E" wp14:editId="78E7FB7A">
            <wp:extent cx="9004019" cy="3135086"/>
            <wp:effectExtent l="0" t="0" r="0" b="0"/>
            <wp:docPr id="199207680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04019" cy="3135086"/>
                    </a:xfrm>
                    <a:prstGeom prst="rect">
                      <a:avLst/>
                    </a:prstGeom>
                    <a:noFill/>
                    <a:ln>
                      <a:noFill/>
                    </a:ln>
                  </pic:spPr>
                </pic:pic>
              </a:graphicData>
            </a:graphic>
          </wp:inline>
        </w:drawing>
      </w:r>
    </w:p>
    <w:p w14:paraId="7D164906" w14:textId="77777777" w:rsidR="00A11D25" w:rsidRPr="002E7C90" w:rsidRDefault="00A11D25" w:rsidP="003B3CBD">
      <w:pPr>
        <w:pStyle w:val="Note"/>
        <w:spacing w:before="120"/>
        <w:rPr>
          <w:sz w:val="20"/>
        </w:rPr>
      </w:pPr>
      <w:r w:rsidRPr="002E7C90">
        <w:rPr>
          <w:sz w:val="20"/>
        </w:rPr>
        <w:t>Notes:</w:t>
      </w:r>
    </w:p>
    <w:p w14:paraId="5AFC59EC" w14:textId="4E97F703" w:rsidR="00A11D25" w:rsidRPr="002E7C90" w:rsidRDefault="00423EF7" w:rsidP="003B3CBD">
      <w:pPr>
        <w:pStyle w:val="Note"/>
        <w:tabs>
          <w:tab w:val="clear" w:pos="284"/>
          <w:tab w:val="left" w:pos="567"/>
        </w:tabs>
        <w:spacing w:before="0"/>
        <w:ind w:left="567" w:hanging="567"/>
        <w:rPr>
          <w:sz w:val="20"/>
        </w:rPr>
      </w:pPr>
      <w:r w:rsidRPr="002E7C90">
        <w:rPr>
          <w:sz w:val="20"/>
        </w:rPr>
        <w:t>1</w:t>
      </w:r>
      <w:r w:rsidR="003B3CBD" w:rsidRPr="002E7C90">
        <w:rPr>
          <w:sz w:val="20"/>
        </w:rPr>
        <w:t>)</w:t>
      </w:r>
      <w:r w:rsidR="003B3CBD" w:rsidRPr="002E7C90">
        <w:rPr>
          <w:sz w:val="20"/>
        </w:rPr>
        <w:tab/>
      </w:r>
      <w:r w:rsidRPr="002E7C90">
        <w:rPr>
          <w:sz w:val="20"/>
        </w:rPr>
        <w:t>Les valeurs correspondant à la situation de référence actuelle sont incluses dans la base de données de référence de l'Appendice 30B de la BR IFIC 3008 du</w:t>
      </w:r>
      <w:r w:rsidR="003B3CBD" w:rsidRPr="002E7C90">
        <w:rPr>
          <w:sz w:val="20"/>
        </w:rPr>
        <w:t> </w:t>
      </w:r>
      <w:r w:rsidRPr="002E7C90">
        <w:rPr>
          <w:sz w:val="20"/>
        </w:rPr>
        <w:t>31.10.2023</w:t>
      </w:r>
      <w:r w:rsidR="003B3CBD" w:rsidRPr="002E7C90">
        <w:rPr>
          <w:sz w:val="20"/>
        </w:rPr>
        <w:t>.</w:t>
      </w:r>
    </w:p>
    <w:p w14:paraId="1E129E8F" w14:textId="11A85A1D" w:rsidR="00A11D25" w:rsidRPr="002E7C90" w:rsidRDefault="00423EF7" w:rsidP="003B3CBD">
      <w:pPr>
        <w:pStyle w:val="Note"/>
        <w:tabs>
          <w:tab w:val="clear" w:pos="284"/>
          <w:tab w:val="left" w:pos="567"/>
        </w:tabs>
        <w:spacing w:before="0"/>
        <w:ind w:left="567" w:hanging="567"/>
        <w:rPr>
          <w:sz w:val="20"/>
        </w:rPr>
      </w:pPr>
      <w:r w:rsidRPr="002E7C90">
        <w:rPr>
          <w:sz w:val="20"/>
        </w:rPr>
        <w:t>2</w:t>
      </w:r>
      <w:r w:rsidR="003B3CBD" w:rsidRPr="002E7C90">
        <w:rPr>
          <w:sz w:val="20"/>
        </w:rPr>
        <w:t>)</w:t>
      </w:r>
      <w:r w:rsidR="003B3CBD" w:rsidRPr="002E7C90">
        <w:rPr>
          <w:sz w:val="20"/>
        </w:rPr>
        <w:tab/>
      </w:r>
      <w:r w:rsidR="006F213E" w:rsidRPr="002E7C90">
        <w:rPr>
          <w:sz w:val="20"/>
        </w:rPr>
        <w:t xml:space="preserve">Les valeurs correspondant à la situation de référence mise à jour sont les valeurs de </w:t>
      </w:r>
      <w:r w:rsidR="006F213E" w:rsidRPr="002E7C90">
        <w:rPr>
          <w:i/>
          <w:iCs/>
          <w:sz w:val="20"/>
        </w:rPr>
        <w:t>C</w:t>
      </w:r>
      <w:r w:rsidR="006F213E" w:rsidRPr="002E7C90">
        <w:rPr>
          <w:sz w:val="20"/>
        </w:rPr>
        <w:t>/</w:t>
      </w:r>
      <w:r w:rsidR="006F213E" w:rsidRPr="002E7C90">
        <w:rPr>
          <w:i/>
          <w:iCs/>
          <w:sz w:val="20"/>
        </w:rPr>
        <w:t>I</w:t>
      </w:r>
      <w:r w:rsidR="006F213E" w:rsidRPr="002E7C90">
        <w:rPr>
          <w:sz w:val="20"/>
        </w:rPr>
        <w:t xml:space="preserve"> calculées à des points de mesure compte tenu de la contribution de brouillage de l'allotissement ou des allotissements proposés</w:t>
      </w:r>
      <w:r w:rsidR="003B3CBD" w:rsidRPr="002E7C90">
        <w:rPr>
          <w:sz w:val="20"/>
        </w:rPr>
        <w:t>.</w:t>
      </w:r>
    </w:p>
    <w:p w14:paraId="4B599609" w14:textId="7EDF05F8" w:rsidR="00A11D25" w:rsidRPr="002E7C90" w:rsidRDefault="00423EF7" w:rsidP="003B3CBD">
      <w:pPr>
        <w:pStyle w:val="Note"/>
        <w:tabs>
          <w:tab w:val="clear" w:pos="284"/>
          <w:tab w:val="left" w:pos="567"/>
        </w:tabs>
        <w:spacing w:before="0"/>
        <w:ind w:left="567" w:hanging="567"/>
      </w:pPr>
      <w:r w:rsidRPr="002E7C90">
        <w:rPr>
          <w:sz w:val="20"/>
        </w:rPr>
        <w:t>3</w:t>
      </w:r>
      <w:r w:rsidR="003B3CBD" w:rsidRPr="002E7C90">
        <w:rPr>
          <w:sz w:val="20"/>
        </w:rPr>
        <w:t>)</w:t>
      </w:r>
      <w:r w:rsidR="003B3CBD" w:rsidRPr="002E7C90">
        <w:rPr>
          <w:sz w:val="20"/>
        </w:rPr>
        <w:tab/>
      </w:r>
      <w:r w:rsidRPr="002E7C90">
        <w:rPr>
          <w:sz w:val="20"/>
        </w:rPr>
        <w:t>La situation de référence pour un brouillage dû à une source unique est utilisée uniquement afin d'identifier les réseaux affectés lorsque le réseau notifié est soumis au titre de la Résolution 170 (CMR-19).</w:t>
      </w:r>
    </w:p>
    <w:p w14:paraId="43110323" w14:textId="55A3BE17" w:rsidR="00A11D25" w:rsidRPr="002E7C90" w:rsidRDefault="00A11D25" w:rsidP="003B3CBD">
      <w:pPr>
        <w:pStyle w:val="Heading1"/>
      </w:pPr>
      <w:r w:rsidRPr="002E7C90">
        <w:t>3</w:t>
      </w:r>
      <w:r w:rsidR="003B3CBD" w:rsidRPr="002E7C90">
        <w:tab/>
      </w:r>
      <w:r w:rsidR="006F213E" w:rsidRPr="002E7C90">
        <w:t>Situation de référence potentielle d'un nouvel allotissement national</w:t>
      </w:r>
    </w:p>
    <w:p w14:paraId="73748495" w14:textId="6CFBA9F0" w:rsidR="0077055C" w:rsidRPr="002E7C90" w:rsidRDefault="0077055C" w:rsidP="003B3CBD">
      <w:pPr>
        <w:pStyle w:val="Figure"/>
        <w:jc w:val="left"/>
        <w:rPr>
          <w:rFonts w:eastAsia="Calibri"/>
          <w:b/>
          <w:bCs/>
          <w:lang w:eastAsia="it-IT"/>
        </w:rPr>
      </w:pPr>
      <w:r w:rsidRPr="002E7C90">
        <w:rPr>
          <w:rFonts w:eastAsia="Calibri"/>
          <w:lang w:eastAsia="it-IT"/>
        </w:rPr>
        <w:drawing>
          <wp:inline distT="0" distB="0" distL="0" distR="0" wp14:anchorId="37221572" wp14:editId="79CDDCDA">
            <wp:extent cx="5688354" cy="1141953"/>
            <wp:effectExtent l="0" t="0" r="7620" b="1270"/>
            <wp:docPr id="109127509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08960" cy="1146090"/>
                    </a:xfrm>
                    <a:prstGeom prst="rect">
                      <a:avLst/>
                    </a:prstGeom>
                    <a:noFill/>
                    <a:ln>
                      <a:noFill/>
                    </a:ln>
                  </pic:spPr>
                </pic:pic>
              </a:graphicData>
            </a:graphic>
          </wp:inline>
        </w:drawing>
      </w:r>
      <w:r w:rsidRPr="002E7C90">
        <w:rPr>
          <w:rFonts w:eastAsia="Calibri"/>
          <w:b/>
          <w:bCs/>
          <w:lang w:eastAsia="it-IT"/>
        </w:rPr>
        <w:br w:type="page"/>
      </w:r>
    </w:p>
    <w:p w14:paraId="580F34D9" w14:textId="4BBDA34B" w:rsidR="0077055C" w:rsidRPr="002E7C90" w:rsidRDefault="0077055C" w:rsidP="007C7095">
      <w:pPr>
        <w:pStyle w:val="AnnexNo"/>
        <w:rPr>
          <w:rFonts w:eastAsia="Calibri"/>
          <w:lang w:eastAsia="it-IT"/>
        </w:rPr>
      </w:pPr>
      <w:r w:rsidRPr="002E7C90">
        <w:rPr>
          <w:rFonts w:eastAsia="Calibri"/>
          <w:lang w:eastAsia="it-IT"/>
        </w:rPr>
        <w:lastRenderedPageBreak/>
        <w:t xml:space="preserve">Annexe </w:t>
      </w:r>
      <w:r w:rsidR="00A11D25" w:rsidRPr="002E7C90">
        <w:rPr>
          <w:rFonts w:eastAsia="Calibri"/>
          <w:lang w:eastAsia="it-IT"/>
        </w:rPr>
        <w:t>4</w:t>
      </w:r>
    </w:p>
    <w:p w14:paraId="59DA9D82" w14:textId="26813C03" w:rsidR="006F213E" w:rsidRPr="002E7C90" w:rsidRDefault="006F213E" w:rsidP="007C7095">
      <w:pPr>
        <w:pStyle w:val="Annextitle"/>
      </w:pPr>
      <w:r w:rsidRPr="002E7C90">
        <w:rPr>
          <w:rFonts w:eastAsia="Calibri"/>
          <w:lang w:eastAsia="it-IT"/>
        </w:rPr>
        <w:t>Résultat de l'examen de la soumission 120559037/MDA00000 (75.1</w:t>
      </w:r>
      <w:r w:rsidR="003B3CBD" w:rsidRPr="002E7C90">
        <w:rPr>
          <w:rFonts w:eastAsia="Calibri"/>
          <w:lang w:eastAsia="it-IT"/>
        </w:rPr>
        <w:t xml:space="preserve">° </w:t>
      </w:r>
      <w:r w:rsidRPr="002E7C90">
        <w:rPr>
          <w:rFonts w:eastAsia="Calibri"/>
          <w:lang w:eastAsia="it-IT"/>
        </w:rPr>
        <w:t>W) au titre de la Partie B</w:t>
      </w:r>
    </w:p>
    <w:p w14:paraId="2DD0026F" w14:textId="63DDF8EE" w:rsidR="0077055C" w:rsidRPr="002E7C90" w:rsidRDefault="00906C92" w:rsidP="003B3CBD">
      <w:pPr>
        <w:pStyle w:val="Heading1"/>
        <w:rPr>
          <w:rFonts w:eastAsia="Calibri"/>
          <w:lang w:eastAsia="it-IT"/>
        </w:rPr>
      </w:pPr>
      <w:bookmarkStart w:id="9" w:name="_Hlk150849465"/>
      <w:r w:rsidRPr="002E7C90">
        <w:rPr>
          <w:rFonts w:eastAsia="Calibri"/>
          <w:lang w:eastAsia="it-IT"/>
        </w:rPr>
        <w:t>1</w:t>
      </w:r>
      <w:r w:rsidR="003B3CBD" w:rsidRPr="002E7C90">
        <w:rPr>
          <w:rFonts w:eastAsia="Calibri"/>
          <w:lang w:eastAsia="it-IT"/>
        </w:rPr>
        <w:tab/>
      </w:r>
      <w:r w:rsidRPr="002E7C90">
        <w:rPr>
          <w:rFonts w:eastAsia="Calibri"/>
          <w:lang w:eastAsia="it-IT"/>
        </w:rPr>
        <w:t>Liste des réseaux à satellites encore affectés (sur la base des critères fournis dans l'Annexe 4 de l'Appendice</w:t>
      </w:r>
      <w:r w:rsidR="003B3CBD" w:rsidRPr="002E7C90">
        <w:rPr>
          <w:rFonts w:eastAsia="Calibri"/>
          <w:lang w:eastAsia="it-IT"/>
        </w:rPr>
        <w:t> </w:t>
      </w:r>
      <w:r w:rsidRPr="002E7C90">
        <w:rPr>
          <w:rFonts w:eastAsia="Calibri"/>
          <w:lang w:eastAsia="it-IT"/>
        </w:rPr>
        <w:t>30B et des critères figurant dans la Résolution 170 (CMR-19))</w:t>
      </w:r>
    </w:p>
    <w:bookmarkEnd w:id="9"/>
    <w:p w14:paraId="1FFA235C" w14:textId="77777777" w:rsidR="0077055C" w:rsidRPr="002E7C90" w:rsidRDefault="0077055C" w:rsidP="003B3CBD">
      <w:pPr>
        <w:pStyle w:val="Figure"/>
        <w:rPr>
          <w:rFonts w:eastAsia="Calibri"/>
          <w:b/>
          <w:bCs/>
          <w:lang w:eastAsia="it-IT"/>
        </w:rPr>
      </w:pPr>
      <w:r w:rsidRPr="002E7C90">
        <w:rPr>
          <w:rFonts w:eastAsia="Calibri"/>
          <w:lang w:eastAsia="it-IT"/>
        </w:rPr>
        <w:drawing>
          <wp:inline distT="0" distB="0" distL="0" distR="0" wp14:anchorId="05D6323A" wp14:editId="055193DF">
            <wp:extent cx="8863330" cy="2051050"/>
            <wp:effectExtent l="0" t="0" r="0" b="6350"/>
            <wp:docPr id="1112007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63330" cy="2051050"/>
                    </a:xfrm>
                    <a:prstGeom prst="rect">
                      <a:avLst/>
                    </a:prstGeom>
                    <a:noFill/>
                    <a:ln>
                      <a:noFill/>
                    </a:ln>
                  </pic:spPr>
                </pic:pic>
              </a:graphicData>
            </a:graphic>
          </wp:inline>
        </w:drawing>
      </w:r>
    </w:p>
    <w:p w14:paraId="4792434B" w14:textId="77777777" w:rsidR="0077055C" w:rsidRPr="002E7C90" w:rsidRDefault="0077055C" w:rsidP="007C7095">
      <w:pPr>
        <w:tabs>
          <w:tab w:val="clear" w:pos="1134"/>
          <w:tab w:val="clear" w:pos="1871"/>
          <w:tab w:val="clear" w:pos="2268"/>
        </w:tabs>
        <w:overflowPunct/>
        <w:autoSpaceDE/>
        <w:autoSpaceDN/>
        <w:adjustRightInd/>
        <w:spacing w:before="0" w:after="200"/>
        <w:textAlignment w:val="auto"/>
        <w:rPr>
          <w:rFonts w:eastAsia="Calibri"/>
          <w:b/>
          <w:bCs/>
          <w:szCs w:val="24"/>
          <w:lang w:eastAsia="it-IT"/>
        </w:rPr>
      </w:pPr>
      <w:r w:rsidRPr="002E7C90">
        <w:rPr>
          <w:rFonts w:eastAsia="Calibri"/>
          <w:b/>
          <w:bCs/>
          <w:szCs w:val="24"/>
          <w:lang w:eastAsia="it-IT"/>
        </w:rPr>
        <w:br w:type="page"/>
      </w:r>
    </w:p>
    <w:p w14:paraId="512C7786" w14:textId="5A5AAE4F" w:rsidR="0077055C" w:rsidRPr="002E7C90" w:rsidRDefault="00423EF7" w:rsidP="003B3CBD">
      <w:pPr>
        <w:pStyle w:val="Heading1"/>
        <w:rPr>
          <w:rFonts w:eastAsia="Calibri"/>
          <w:lang w:eastAsia="it-IT"/>
        </w:rPr>
      </w:pPr>
      <w:r w:rsidRPr="002E7C90">
        <w:rPr>
          <w:rFonts w:eastAsia="Calibri"/>
          <w:lang w:eastAsia="it-IT"/>
        </w:rPr>
        <w:lastRenderedPageBreak/>
        <w:t>2</w:t>
      </w:r>
      <w:r w:rsidR="003B3CBD" w:rsidRPr="002E7C90">
        <w:rPr>
          <w:rFonts w:eastAsia="Calibri"/>
          <w:lang w:eastAsia="it-IT"/>
        </w:rPr>
        <w:tab/>
      </w:r>
      <w:r w:rsidRPr="002E7C90">
        <w:rPr>
          <w:rFonts w:eastAsia="Calibri"/>
          <w:lang w:eastAsia="it-IT"/>
        </w:rPr>
        <w:t>Situation de référence (actuelle et mise à jour) des réseaux à satellite encore affectés</w:t>
      </w:r>
    </w:p>
    <w:p w14:paraId="31F2435F" w14:textId="77777777" w:rsidR="0077055C" w:rsidRPr="002E7C90" w:rsidRDefault="0077055C" w:rsidP="003B3CBD">
      <w:pPr>
        <w:pStyle w:val="Figure"/>
        <w:rPr>
          <w:rFonts w:eastAsia="Calibri"/>
          <w:b/>
          <w:bCs/>
          <w:lang w:eastAsia="it-IT"/>
        </w:rPr>
      </w:pPr>
      <w:r w:rsidRPr="002E7C90">
        <w:rPr>
          <w:rFonts w:eastAsia="Calibri"/>
          <w:lang w:eastAsia="it-IT"/>
        </w:rPr>
        <w:drawing>
          <wp:inline distT="0" distB="0" distL="0" distR="0" wp14:anchorId="25A2795A" wp14:editId="65163308">
            <wp:extent cx="8863330" cy="2635250"/>
            <wp:effectExtent l="0" t="0" r="0" b="0"/>
            <wp:docPr id="1433590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63330" cy="2635250"/>
                    </a:xfrm>
                    <a:prstGeom prst="rect">
                      <a:avLst/>
                    </a:prstGeom>
                    <a:noFill/>
                    <a:ln>
                      <a:noFill/>
                    </a:ln>
                  </pic:spPr>
                </pic:pic>
              </a:graphicData>
            </a:graphic>
          </wp:inline>
        </w:drawing>
      </w:r>
    </w:p>
    <w:p w14:paraId="7EB22044" w14:textId="77777777" w:rsidR="00A11D25" w:rsidRPr="002E7C90" w:rsidRDefault="00A11D25" w:rsidP="003B3CBD">
      <w:pPr>
        <w:pStyle w:val="Note"/>
        <w:spacing w:before="120"/>
        <w:rPr>
          <w:sz w:val="20"/>
        </w:rPr>
      </w:pPr>
      <w:r w:rsidRPr="002E7C90">
        <w:rPr>
          <w:sz w:val="20"/>
        </w:rPr>
        <w:t>Notes:</w:t>
      </w:r>
    </w:p>
    <w:p w14:paraId="128CC6A5" w14:textId="22DA35F5" w:rsidR="00A11D25" w:rsidRPr="002E7C90" w:rsidRDefault="00423EF7" w:rsidP="003B3CBD">
      <w:pPr>
        <w:pStyle w:val="Note"/>
        <w:tabs>
          <w:tab w:val="clear" w:pos="284"/>
          <w:tab w:val="left" w:pos="567"/>
        </w:tabs>
        <w:spacing w:before="0"/>
        <w:ind w:left="567" w:hanging="567"/>
        <w:rPr>
          <w:sz w:val="20"/>
        </w:rPr>
      </w:pPr>
      <w:r w:rsidRPr="002E7C90">
        <w:rPr>
          <w:sz w:val="20"/>
        </w:rPr>
        <w:t>1</w:t>
      </w:r>
      <w:r w:rsidR="003B3CBD" w:rsidRPr="002E7C90">
        <w:rPr>
          <w:sz w:val="20"/>
        </w:rPr>
        <w:t>)</w:t>
      </w:r>
      <w:r w:rsidR="003B3CBD" w:rsidRPr="002E7C90">
        <w:rPr>
          <w:sz w:val="20"/>
        </w:rPr>
        <w:tab/>
      </w:r>
      <w:r w:rsidRPr="002E7C90">
        <w:rPr>
          <w:sz w:val="20"/>
        </w:rPr>
        <w:t>Les valeurs correspondant à la situation de référence actuelle sont incluses dans la base de données de référence de l'Appendice 30B de la BR IFIC 3008 du</w:t>
      </w:r>
      <w:r w:rsidR="003B3CBD" w:rsidRPr="002E7C90">
        <w:rPr>
          <w:sz w:val="20"/>
        </w:rPr>
        <w:t> </w:t>
      </w:r>
      <w:r w:rsidRPr="002E7C90">
        <w:rPr>
          <w:sz w:val="20"/>
        </w:rPr>
        <w:t>31.10.2023</w:t>
      </w:r>
      <w:r w:rsidR="003B3CBD" w:rsidRPr="002E7C90">
        <w:rPr>
          <w:sz w:val="20"/>
        </w:rPr>
        <w:t>.</w:t>
      </w:r>
    </w:p>
    <w:p w14:paraId="3DAD57D2" w14:textId="0C104654" w:rsidR="00A11D25" w:rsidRPr="002E7C90" w:rsidRDefault="00423EF7" w:rsidP="003B3CBD">
      <w:pPr>
        <w:pStyle w:val="Note"/>
        <w:tabs>
          <w:tab w:val="clear" w:pos="284"/>
          <w:tab w:val="left" w:pos="567"/>
        </w:tabs>
        <w:spacing w:before="0"/>
        <w:ind w:left="567" w:hanging="567"/>
        <w:rPr>
          <w:sz w:val="20"/>
        </w:rPr>
      </w:pPr>
      <w:r w:rsidRPr="002E7C90">
        <w:rPr>
          <w:sz w:val="20"/>
        </w:rPr>
        <w:t>2</w:t>
      </w:r>
      <w:r w:rsidR="003B3CBD" w:rsidRPr="002E7C90">
        <w:rPr>
          <w:sz w:val="20"/>
        </w:rPr>
        <w:t>)</w:t>
      </w:r>
      <w:r w:rsidR="003B3CBD" w:rsidRPr="002E7C90">
        <w:rPr>
          <w:sz w:val="20"/>
        </w:rPr>
        <w:tab/>
      </w:r>
      <w:r w:rsidR="006F213E" w:rsidRPr="002E7C90">
        <w:rPr>
          <w:sz w:val="20"/>
        </w:rPr>
        <w:t xml:space="preserve">Les valeurs correspondant à la situation de référence mise à jour sont les valeurs de </w:t>
      </w:r>
      <w:r w:rsidR="006F213E" w:rsidRPr="002E7C90">
        <w:rPr>
          <w:i/>
          <w:iCs/>
          <w:sz w:val="20"/>
        </w:rPr>
        <w:t>C</w:t>
      </w:r>
      <w:r w:rsidR="006F213E" w:rsidRPr="002E7C90">
        <w:rPr>
          <w:sz w:val="20"/>
        </w:rPr>
        <w:t>/</w:t>
      </w:r>
      <w:r w:rsidR="006F213E" w:rsidRPr="002E7C90">
        <w:rPr>
          <w:i/>
          <w:iCs/>
          <w:sz w:val="20"/>
        </w:rPr>
        <w:t>I</w:t>
      </w:r>
      <w:r w:rsidR="006F213E" w:rsidRPr="002E7C90">
        <w:rPr>
          <w:sz w:val="20"/>
        </w:rPr>
        <w:t xml:space="preserve"> calculées à des points de mesure compte tenu de la contribution de brouillage de l'allotissement ou des allotissements proposés</w:t>
      </w:r>
      <w:r w:rsidR="003B3CBD" w:rsidRPr="002E7C90">
        <w:rPr>
          <w:sz w:val="20"/>
        </w:rPr>
        <w:t>.</w:t>
      </w:r>
    </w:p>
    <w:p w14:paraId="3E0EEFC0" w14:textId="04D498AC" w:rsidR="00A11D25" w:rsidRPr="002E7C90" w:rsidRDefault="00423EF7" w:rsidP="003B3CBD">
      <w:pPr>
        <w:pStyle w:val="Note"/>
        <w:tabs>
          <w:tab w:val="clear" w:pos="284"/>
          <w:tab w:val="left" w:pos="567"/>
        </w:tabs>
        <w:spacing w:before="0"/>
        <w:ind w:left="567" w:hanging="567"/>
      </w:pPr>
      <w:r w:rsidRPr="002E7C90">
        <w:rPr>
          <w:sz w:val="20"/>
        </w:rPr>
        <w:t>3</w:t>
      </w:r>
      <w:r w:rsidR="003B3CBD" w:rsidRPr="002E7C90">
        <w:rPr>
          <w:sz w:val="20"/>
        </w:rPr>
        <w:t>)</w:t>
      </w:r>
      <w:r w:rsidR="003B3CBD" w:rsidRPr="002E7C90">
        <w:rPr>
          <w:sz w:val="20"/>
        </w:rPr>
        <w:tab/>
      </w:r>
      <w:r w:rsidRPr="002E7C90">
        <w:rPr>
          <w:sz w:val="20"/>
        </w:rPr>
        <w:t>La situation de référence pour un brouillage dû à une source unique est utilisée uniquement afin d'identifier les réseaux affectés lorsque le réseau notifié est soumis au titre de la Résolution 170 (CMR-19).</w:t>
      </w:r>
    </w:p>
    <w:p w14:paraId="38DD92F5" w14:textId="3DAD6DC5" w:rsidR="00A11D25" w:rsidRPr="002E7C90" w:rsidRDefault="00A11D25" w:rsidP="003B3CBD">
      <w:pPr>
        <w:pStyle w:val="Heading1"/>
      </w:pPr>
      <w:r w:rsidRPr="002E7C90">
        <w:t>3</w:t>
      </w:r>
      <w:r w:rsidR="003B3CBD" w:rsidRPr="002E7C90">
        <w:tab/>
      </w:r>
      <w:r w:rsidR="00423EF7" w:rsidRPr="002E7C90">
        <w:t>Situation de référence potentielle d'un nouvel allotissement national</w:t>
      </w:r>
    </w:p>
    <w:p w14:paraId="09CDD7B6" w14:textId="77777777" w:rsidR="0077055C" w:rsidRPr="002E7C90" w:rsidRDefault="0077055C" w:rsidP="003B3CBD">
      <w:pPr>
        <w:pStyle w:val="Figure"/>
        <w:jc w:val="left"/>
        <w:rPr>
          <w:rFonts w:eastAsia="Calibri"/>
          <w:b/>
          <w:bCs/>
          <w:lang w:eastAsia="it-IT"/>
        </w:rPr>
      </w:pPr>
      <w:r w:rsidRPr="002E7C90">
        <w:rPr>
          <w:rFonts w:eastAsia="Calibri"/>
          <w:lang w:eastAsia="it-IT"/>
        </w:rPr>
        <w:drawing>
          <wp:inline distT="0" distB="0" distL="0" distR="0" wp14:anchorId="1FB0A2BC" wp14:editId="565FBE31">
            <wp:extent cx="5676900" cy="1318260"/>
            <wp:effectExtent l="0" t="0" r="0" b="0"/>
            <wp:docPr id="98185166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76900" cy="1318260"/>
                    </a:xfrm>
                    <a:prstGeom prst="rect">
                      <a:avLst/>
                    </a:prstGeom>
                    <a:noFill/>
                    <a:ln>
                      <a:noFill/>
                    </a:ln>
                  </pic:spPr>
                </pic:pic>
              </a:graphicData>
            </a:graphic>
          </wp:inline>
        </w:drawing>
      </w:r>
    </w:p>
    <w:p w14:paraId="7959EF83" w14:textId="6CB93017" w:rsidR="0077055C" w:rsidRPr="002E7C90" w:rsidRDefault="0077055C" w:rsidP="007C7095">
      <w:pPr>
        <w:tabs>
          <w:tab w:val="clear" w:pos="1134"/>
          <w:tab w:val="clear" w:pos="1871"/>
          <w:tab w:val="clear" w:pos="2268"/>
        </w:tabs>
        <w:overflowPunct/>
        <w:autoSpaceDE/>
        <w:autoSpaceDN/>
        <w:adjustRightInd/>
        <w:spacing w:before="0"/>
        <w:textAlignment w:val="auto"/>
        <w:rPr>
          <w:rFonts w:eastAsia="Calibri"/>
          <w:b/>
          <w:bCs/>
          <w:szCs w:val="24"/>
          <w:lang w:eastAsia="it-IT"/>
        </w:rPr>
      </w:pPr>
      <w:r w:rsidRPr="002E7C90">
        <w:rPr>
          <w:rFonts w:eastAsia="Calibri"/>
          <w:b/>
          <w:bCs/>
          <w:szCs w:val="24"/>
          <w:lang w:eastAsia="it-IT"/>
        </w:rPr>
        <w:br w:type="page"/>
      </w:r>
    </w:p>
    <w:p w14:paraId="521357D2" w14:textId="2E2F6EC4" w:rsidR="00A11D25" w:rsidRPr="002E7C90" w:rsidRDefault="00A11D25" w:rsidP="007C7095">
      <w:pPr>
        <w:pStyle w:val="AnnexNo"/>
        <w:rPr>
          <w:rFonts w:eastAsia="Calibri"/>
          <w:lang w:eastAsia="it-IT"/>
        </w:rPr>
      </w:pPr>
      <w:r w:rsidRPr="002E7C90">
        <w:rPr>
          <w:rFonts w:eastAsia="Calibri"/>
          <w:lang w:eastAsia="it-IT"/>
        </w:rPr>
        <w:lastRenderedPageBreak/>
        <w:t>Annexe 5</w:t>
      </w:r>
    </w:p>
    <w:p w14:paraId="0C7FEE6C" w14:textId="07DE4231" w:rsidR="006F213E" w:rsidRPr="002E7C90" w:rsidRDefault="006F213E" w:rsidP="007C7095">
      <w:pPr>
        <w:pStyle w:val="Annextitle"/>
      </w:pPr>
      <w:r w:rsidRPr="002E7C90">
        <w:rPr>
          <w:rFonts w:eastAsia="Calibri"/>
          <w:lang w:eastAsia="it-IT"/>
        </w:rPr>
        <w:t>Résultat de l'examen de la soumission 120559038/SSD00000 (23.9</w:t>
      </w:r>
      <w:r w:rsidR="003B3CBD" w:rsidRPr="002E7C90">
        <w:rPr>
          <w:rFonts w:eastAsia="Calibri"/>
          <w:lang w:eastAsia="it-IT"/>
        </w:rPr>
        <w:t xml:space="preserve">° </w:t>
      </w:r>
      <w:r w:rsidRPr="002E7C90">
        <w:rPr>
          <w:rFonts w:eastAsia="Calibri"/>
          <w:lang w:eastAsia="it-IT"/>
        </w:rPr>
        <w:t>W) au titre de la Partie B</w:t>
      </w:r>
    </w:p>
    <w:p w14:paraId="35846D16" w14:textId="5C68DB2E" w:rsidR="0077055C" w:rsidRPr="002E7C90" w:rsidRDefault="00906C92" w:rsidP="003B3CBD">
      <w:pPr>
        <w:pStyle w:val="Heading1"/>
        <w:rPr>
          <w:rFonts w:eastAsia="Calibri"/>
          <w:lang w:eastAsia="it-IT"/>
        </w:rPr>
      </w:pPr>
      <w:r w:rsidRPr="002E7C90">
        <w:rPr>
          <w:rFonts w:eastAsia="Calibri"/>
          <w:lang w:eastAsia="it-IT"/>
        </w:rPr>
        <w:t>1</w:t>
      </w:r>
      <w:r w:rsidR="003B3CBD" w:rsidRPr="002E7C90">
        <w:rPr>
          <w:rFonts w:eastAsia="Calibri"/>
          <w:lang w:eastAsia="it-IT"/>
        </w:rPr>
        <w:tab/>
      </w:r>
      <w:r w:rsidRPr="002E7C90">
        <w:rPr>
          <w:rFonts w:eastAsia="Calibri"/>
          <w:lang w:eastAsia="it-IT"/>
        </w:rPr>
        <w:t>Liste des réseaux à satellites encore affectés (sur la base des critères fournis dans l'Annexe 4 de l'Appendice</w:t>
      </w:r>
      <w:r w:rsidR="003B3CBD" w:rsidRPr="002E7C90">
        <w:rPr>
          <w:rFonts w:eastAsia="Calibri"/>
          <w:lang w:eastAsia="it-IT"/>
        </w:rPr>
        <w:t> </w:t>
      </w:r>
      <w:r w:rsidRPr="002E7C90">
        <w:rPr>
          <w:rFonts w:eastAsia="Calibri"/>
          <w:lang w:eastAsia="it-IT"/>
        </w:rPr>
        <w:t>30B et des critères figurant dans la Résolution 170 (CMR-19))</w:t>
      </w:r>
    </w:p>
    <w:p w14:paraId="3459C50D" w14:textId="77777777" w:rsidR="0077055C" w:rsidRPr="002E7C90" w:rsidRDefault="0077055C" w:rsidP="003B3CBD">
      <w:pPr>
        <w:pStyle w:val="Figure"/>
        <w:rPr>
          <w:rFonts w:eastAsia="Calibri"/>
          <w:b/>
          <w:bCs/>
          <w:lang w:eastAsia="it-IT"/>
        </w:rPr>
      </w:pPr>
      <w:r w:rsidRPr="002E7C90">
        <w:rPr>
          <w:rFonts w:eastAsia="Calibri"/>
          <w:lang w:eastAsia="it-IT"/>
        </w:rPr>
        <w:drawing>
          <wp:inline distT="0" distB="0" distL="0" distR="0" wp14:anchorId="32104AF9" wp14:editId="3618FEE3">
            <wp:extent cx="8863330" cy="2927350"/>
            <wp:effectExtent l="0" t="0" r="0" b="6350"/>
            <wp:docPr id="20702573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863330" cy="2927350"/>
                    </a:xfrm>
                    <a:prstGeom prst="rect">
                      <a:avLst/>
                    </a:prstGeom>
                    <a:noFill/>
                    <a:ln>
                      <a:noFill/>
                    </a:ln>
                  </pic:spPr>
                </pic:pic>
              </a:graphicData>
            </a:graphic>
          </wp:inline>
        </w:drawing>
      </w:r>
    </w:p>
    <w:p w14:paraId="72E95850" w14:textId="77777777" w:rsidR="0077055C" w:rsidRPr="002E7C90" w:rsidRDefault="0077055C" w:rsidP="007C7095">
      <w:pPr>
        <w:tabs>
          <w:tab w:val="clear" w:pos="1134"/>
          <w:tab w:val="clear" w:pos="1871"/>
          <w:tab w:val="clear" w:pos="2268"/>
        </w:tabs>
        <w:overflowPunct/>
        <w:autoSpaceDE/>
        <w:autoSpaceDN/>
        <w:adjustRightInd/>
        <w:spacing w:before="0"/>
        <w:textAlignment w:val="auto"/>
        <w:rPr>
          <w:rFonts w:eastAsia="Calibri"/>
          <w:b/>
          <w:bCs/>
          <w:szCs w:val="24"/>
          <w:lang w:eastAsia="it-IT"/>
        </w:rPr>
      </w:pPr>
      <w:r w:rsidRPr="002E7C90">
        <w:rPr>
          <w:rFonts w:eastAsia="Calibri"/>
          <w:b/>
          <w:bCs/>
          <w:szCs w:val="24"/>
          <w:lang w:eastAsia="it-IT"/>
        </w:rPr>
        <w:br w:type="page"/>
      </w:r>
    </w:p>
    <w:p w14:paraId="7CEDF809" w14:textId="65FAAA6C" w:rsidR="0077055C" w:rsidRPr="002E7C90" w:rsidRDefault="00423EF7" w:rsidP="003B3CBD">
      <w:pPr>
        <w:pStyle w:val="Heading1"/>
        <w:rPr>
          <w:rFonts w:eastAsia="Calibri"/>
          <w:lang w:eastAsia="it-IT"/>
        </w:rPr>
      </w:pPr>
      <w:r w:rsidRPr="002E7C90">
        <w:rPr>
          <w:rFonts w:eastAsia="Calibri"/>
          <w:lang w:eastAsia="it-IT"/>
        </w:rPr>
        <w:lastRenderedPageBreak/>
        <w:t>2</w:t>
      </w:r>
      <w:r w:rsidR="003B3CBD" w:rsidRPr="002E7C90">
        <w:rPr>
          <w:rFonts w:eastAsia="Calibri"/>
          <w:lang w:eastAsia="it-IT"/>
        </w:rPr>
        <w:tab/>
      </w:r>
      <w:r w:rsidRPr="002E7C90">
        <w:rPr>
          <w:rFonts w:eastAsia="Calibri"/>
          <w:lang w:eastAsia="it-IT"/>
        </w:rPr>
        <w:t>Situation de référence (actuelle et mise à jour) des réseaux à satellite encore affectés</w:t>
      </w:r>
    </w:p>
    <w:p w14:paraId="50515E97" w14:textId="77777777" w:rsidR="0077055C" w:rsidRPr="002E7C90" w:rsidRDefault="0077055C" w:rsidP="003B3CBD">
      <w:pPr>
        <w:pStyle w:val="Figure"/>
        <w:rPr>
          <w:rFonts w:eastAsia="Calibri"/>
          <w:b/>
          <w:bCs/>
          <w:lang w:eastAsia="it-IT"/>
        </w:rPr>
      </w:pPr>
      <w:r w:rsidRPr="002E7C90">
        <w:rPr>
          <w:rFonts w:eastAsia="Calibri"/>
          <w:lang w:eastAsia="it-IT"/>
        </w:rPr>
        <w:drawing>
          <wp:inline distT="0" distB="0" distL="0" distR="0" wp14:anchorId="77F7086D" wp14:editId="5B0B461E">
            <wp:extent cx="8863330" cy="3028950"/>
            <wp:effectExtent l="0" t="0" r="0" b="0"/>
            <wp:docPr id="19839410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63330" cy="3028950"/>
                    </a:xfrm>
                    <a:prstGeom prst="rect">
                      <a:avLst/>
                    </a:prstGeom>
                    <a:noFill/>
                    <a:ln>
                      <a:noFill/>
                    </a:ln>
                  </pic:spPr>
                </pic:pic>
              </a:graphicData>
            </a:graphic>
          </wp:inline>
        </w:drawing>
      </w:r>
    </w:p>
    <w:p w14:paraId="00899F8F" w14:textId="77777777" w:rsidR="00A11D25" w:rsidRPr="002E7C90" w:rsidRDefault="00A11D25" w:rsidP="003B3CBD">
      <w:pPr>
        <w:pStyle w:val="Note"/>
        <w:spacing w:before="120"/>
        <w:rPr>
          <w:sz w:val="20"/>
          <w:szCs w:val="16"/>
        </w:rPr>
      </w:pPr>
      <w:r w:rsidRPr="002E7C90">
        <w:rPr>
          <w:sz w:val="20"/>
          <w:szCs w:val="16"/>
        </w:rPr>
        <w:t>Notes:</w:t>
      </w:r>
    </w:p>
    <w:p w14:paraId="3ABADE48" w14:textId="0118EA74" w:rsidR="00A11D25" w:rsidRPr="002E7C90" w:rsidRDefault="00423EF7" w:rsidP="003B3CBD">
      <w:pPr>
        <w:pStyle w:val="Note"/>
        <w:tabs>
          <w:tab w:val="clear" w:pos="284"/>
          <w:tab w:val="left" w:pos="567"/>
        </w:tabs>
        <w:spacing w:before="0"/>
        <w:ind w:left="567" w:hanging="567"/>
        <w:rPr>
          <w:sz w:val="20"/>
          <w:szCs w:val="16"/>
        </w:rPr>
      </w:pPr>
      <w:r w:rsidRPr="002E7C90">
        <w:rPr>
          <w:sz w:val="20"/>
          <w:szCs w:val="16"/>
        </w:rPr>
        <w:t>1</w:t>
      </w:r>
      <w:r w:rsidR="003B3CBD" w:rsidRPr="002E7C90">
        <w:rPr>
          <w:sz w:val="20"/>
          <w:szCs w:val="16"/>
        </w:rPr>
        <w:t>)</w:t>
      </w:r>
      <w:r w:rsidR="003B3CBD" w:rsidRPr="002E7C90">
        <w:rPr>
          <w:sz w:val="20"/>
          <w:szCs w:val="16"/>
        </w:rPr>
        <w:tab/>
      </w:r>
      <w:r w:rsidRPr="002E7C90">
        <w:rPr>
          <w:sz w:val="20"/>
          <w:szCs w:val="16"/>
        </w:rPr>
        <w:t>Les valeurs correspondant à la situation de référence actuelle sont incluses dans la base de données de référence de l'Appendice 30B de la BR IFIC 3008 du</w:t>
      </w:r>
      <w:r w:rsidR="003B3CBD" w:rsidRPr="002E7C90">
        <w:rPr>
          <w:sz w:val="20"/>
          <w:szCs w:val="16"/>
        </w:rPr>
        <w:t> </w:t>
      </w:r>
      <w:r w:rsidRPr="002E7C90">
        <w:rPr>
          <w:sz w:val="20"/>
          <w:szCs w:val="16"/>
        </w:rPr>
        <w:t>31.10.2023</w:t>
      </w:r>
      <w:r w:rsidR="003B3CBD" w:rsidRPr="002E7C90">
        <w:rPr>
          <w:sz w:val="20"/>
          <w:szCs w:val="16"/>
        </w:rPr>
        <w:t>.</w:t>
      </w:r>
    </w:p>
    <w:p w14:paraId="2DEE45E0" w14:textId="29849BA0" w:rsidR="00A11D25" w:rsidRPr="002E7C90" w:rsidRDefault="00423EF7" w:rsidP="003B3CBD">
      <w:pPr>
        <w:pStyle w:val="Note"/>
        <w:tabs>
          <w:tab w:val="clear" w:pos="284"/>
          <w:tab w:val="left" w:pos="567"/>
        </w:tabs>
        <w:spacing w:before="0"/>
        <w:ind w:left="567" w:hanging="567"/>
        <w:rPr>
          <w:sz w:val="20"/>
          <w:szCs w:val="16"/>
        </w:rPr>
      </w:pPr>
      <w:r w:rsidRPr="002E7C90">
        <w:rPr>
          <w:sz w:val="20"/>
          <w:szCs w:val="16"/>
        </w:rPr>
        <w:t>2</w:t>
      </w:r>
      <w:r w:rsidR="003B3CBD" w:rsidRPr="002E7C90">
        <w:rPr>
          <w:sz w:val="20"/>
          <w:szCs w:val="16"/>
        </w:rPr>
        <w:t>)</w:t>
      </w:r>
      <w:r w:rsidR="003B3CBD" w:rsidRPr="002E7C90">
        <w:rPr>
          <w:sz w:val="20"/>
          <w:szCs w:val="16"/>
        </w:rPr>
        <w:tab/>
      </w:r>
      <w:r w:rsidR="006F213E" w:rsidRPr="002E7C90">
        <w:rPr>
          <w:sz w:val="20"/>
          <w:szCs w:val="16"/>
        </w:rPr>
        <w:t xml:space="preserve">Les valeurs correspondant à la situation de référence mise à jour sont les valeurs de </w:t>
      </w:r>
      <w:r w:rsidR="006F213E" w:rsidRPr="002E7C90">
        <w:rPr>
          <w:i/>
          <w:iCs/>
          <w:sz w:val="20"/>
          <w:szCs w:val="16"/>
        </w:rPr>
        <w:t>C</w:t>
      </w:r>
      <w:r w:rsidR="006F213E" w:rsidRPr="002E7C90">
        <w:rPr>
          <w:sz w:val="20"/>
          <w:szCs w:val="16"/>
        </w:rPr>
        <w:t>/</w:t>
      </w:r>
      <w:r w:rsidR="006F213E" w:rsidRPr="002E7C90">
        <w:rPr>
          <w:i/>
          <w:iCs/>
          <w:sz w:val="20"/>
          <w:szCs w:val="16"/>
        </w:rPr>
        <w:t>I</w:t>
      </w:r>
      <w:r w:rsidR="006F213E" w:rsidRPr="002E7C90">
        <w:rPr>
          <w:sz w:val="20"/>
          <w:szCs w:val="16"/>
        </w:rPr>
        <w:t xml:space="preserve"> calculées à des points de mesure compte tenu de la contribution de brouillage de l'allotissement ou des allotissements proposés</w:t>
      </w:r>
      <w:r w:rsidR="003B3CBD" w:rsidRPr="002E7C90">
        <w:rPr>
          <w:sz w:val="20"/>
          <w:szCs w:val="16"/>
        </w:rPr>
        <w:t>.</w:t>
      </w:r>
    </w:p>
    <w:p w14:paraId="5365F551" w14:textId="1EDC8BBC" w:rsidR="00A11D25" w:rsidRPr="002E7C90" w:rsidRDefault="00423EF7" w:rsidP="003B3CBD">
      <w:pPr>
        <w:pStyle w:val="Note"/>
        <w:tabs>
          <w:tab w:val="clear" w:pos="284"/>
          <w:tab w:val="left" w:pos="567"/>
        </w:tabs>
        <w:spacing w:before="0"/>
        <w:ind w:left="567" w:hanging="567"/>
      </w:pPr>
      <w:r w:rsidRPr="002E7C90">
        <w:rPr>
          <w:sz w:val="20"/>
          <w:szCs w:val="16"/>
        </w:rPr>
        <w:t>3</w:t>
      </w:r>
      <w:r w:rsidR="003B3CBD" w:rsidRPr="002E7C90">
        <w:rPr>
          <w:sz w:val="20"/>
          <w:szCs w:val="16"/>
        </w:rPr>
        <w:t>)</w:t>
      </w:r>
      <w:r w:rsidR="003B3CBD" w:rsidRPr="002E7C90">
        <w:rPr>
          <w:sz w:val="20"/>
          <w:szCs w:val="16"/>
        </w:rPr>
        <w:tab/>
      </w:r>
      <w:r w:rsidRPr="002E7C90">
        <w:rPr>
          <w:sz w:val="20"/>
          <w:szCs w:val="16"/>
        </w:rPr>
        <w:t>La situation de référence pour un brouillage dû à une source unique est utilisée uniquement afin d'identifier les réseaux affectés lorsque le réseau notifié est soumis au titre de la Résolution 170 (CMR-19).</w:t>
      </w:r>
    </w:p>
    <w:p w14:paraId="0980F3B4" w14:textId="25B32E0F" w:rsidR="00A11D25" w:rsidRPr="002E7C90" w:rsidRDefault="00A11D25" w:rsidP="003B3CBD">
      <w:pPr>
        <w:pStyle w:val="Heading1"/>
      </w:pPr>
      <w:r w:rsidRPr="002E7C90">
        <w:t>3</w:t>
      </w:r>
      <w:r w:rsidR="003B3CBD" w:rsidRPr="002E7C90">
        <w:tab/>
      </w:r>
      <w:r w:rsidR="00423EF7" w:rsidRPr="002E7C90">
        <w:t>Situation de référence potentielle d'un nouvel allotissement national</w:t>
      </w:r>
    </w:p>
    <w:p w14:paraId="4B15AB11" w14:textId="5B8C004E" w:rsidR="0077055C" w:rsidRPr="002E7C90" w:rsidRDefault="0077055C" w:rsidP="003B3CBD">
      <w:pPr>
        <w:tabs>
          <w:tab w:val="clear" w:pos="1134"/>
          <w:tab w:val="clear" w:pos="1871"/>
          <w:tab w:val="clear" w:pos="2268"/>
        </w:tabs>
        <w:overflowPunct/>
        <w:autoSpaceDE/>
        <w:autoSpaceDN/>
        <w:adjustRightInd/>
        <w:spacing w:before="0" w:after="200"/>
        <w:textAlignment w:val="auto"/>
        <w:rPr>
          <w:rFonts w:eastAsia="Calibri"/>
          <w:b/>
          <w:bCs/>
          <w:szCs w:val="24"/>
          <w:lang w:eastAsia="it-IT"/>
        </w:rPr>
      </w:pPr>
      <w:r w:rsidRPr="002E7C90">
        <w:rPr>
          <w:rFonts w:eastAsia="Calibri"/>
          <w:szCs w:val="24"/>
          <w:lang w:eastAsia="it-IT"/>
        </w:rPr>
        <w:drawing>
          <wp:inline distT="0" distB="0" distL="0" distR="0" wp14:anchorId="5A8DC4F0" wp14:editId="0BC91570">
            <wp:extent cx="6375400" cy="1225550"/>
            <wp:effectExtent l="0" t="0" r="6350" b="0"/>
            <wp:docPr id="160534661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75400" cy="1225550"/>
                    </a:xfrm>
                    <a:prstGeom prst="rect">
                      <a:avLst/>
                    </a:prstGeom>
                    <a:noFill/>
                    <a:ln>
                      <a:noFill/>
                    </a:ln>
                  </pic:spPr>
                </pic:pic>
              </a:graphicData>
            </a:graphic>
          </wp:inline>
        </w:drawing>
      </w:r>
      <w:r w:rsidRPr="002E7C90">
        <w:rPr>
          <w:rFonts w:eastAsia="Calibri"/>
          <w:b/>
          <w:bCs/>
          <w:szCs w:val="24"/>
          <w:lang w:eastAsia="it-IT"/>
        </w:rPr>
        <w:br w:type="page"/>
      </w:r>
    </w:p>
    <w:p w14:paraId="1776C8DC" w14:textId="1AC921A8" w:rsidR="00A11D25" w:rsidRPr="002E7C90" w:rsidRDefault="00A11D25" w:rsidP="007C7095">
      <w:pPr>
        <w:pStyle w:val="AnnexNo"/>
        <w:rPr>
          <w:rFonts w:eastAsia="Calibri"/>
          <w:lang w:eastAsia="it-IT"/>
        </w:rPr>
      </w:pPr>
      <w:r w:rsidRPr="002E7C90">
        <w:rPr>
          <w:rFonts w:eastAsia="Calibri"/>
          <w:lang w:eastAsia="it-IT"/>
        </w:rPr>
        <w:lastRenderedPageBreak/>
        <w:t>Annexe 6</w:t>
      </w:r>
    </w:p>
    <w:p w14:paraId="22EA6620" w14:textId="3F9DFB2A" w:rsidR="006F213E" w:rsidRPr="002E7C90" w:rsidRDefault="006F213E" w:rsidP="007C7095">
      <w:pPr>
        <w:pStyle w:val="Annextitle"/>
      </w:pPr>
      <w:r w:rsidRPr="002E7C90">
        <w:rPr>
          <w:rFonts w:eastAsia="Calibri"/>
          <w:lang w:eastAsia="it-IT"/>
        </w:rPr>
        <w:t>Résultat de l'examen de la soumission 120559039/GEO00000 (78.0</w:t>
      </w:r>
      <w:r w:rsidR="003B3CBD" w:rsidRPr="002E7C90">
        <w:rPr>
          <w:rFonts w:eastAsia="Calibri"/>
          <w:lang w:eastAsia="it-IT"/>
        </w:rPr>
        <w:t xml:space="preserve">° </w:t>
      </w:r>
      <w:r w:rsidRPr="002E7C90">
        <w:rPr>
          <w:rFonts w:eastAsia="Calibri"/>
          <w:lang w:eastAsia="it-IT"/>
        </w:rPr>
        <w:t>E) au titre de la Partie B</w:t>
      </w:r>
    </w:p>
    <w:p w14:paraId="33DE9ED1" w14:textId="595B7C0F" w:rsidR="0077055C" w:rsidRPr="002E7C90" w:rsidRDefault="00906C92" w:rsidP="003B3CBD">
      <w:pPr>
        <w:pStyle w:val="Heading1"/>
        <w:rPr>
          <w:rFonts w:eastAsia="Calibri"/>
          <w:lang w:eastAsia="it-IT"/>
        </w:rPr>
      </w:pPr>
      <w:bookmarkStart w:id="10" w:name="_Hlk150846364"/>
      <w:r w:rsidRPr="002E7C90">
        <w:rPr>
          <w:rFonts w:eastAsia="Calibri"/>
          <w:lang w:eastAsia="it-IT"/>
        </w:rPr>
        <w:t>1</w:t>
      </w:r>
      <w:r w:rsidR="003B3CBD" w:rsidRPr="002E7C90">
        <w:rPr>
          <w:rFonts w:eastAsia="Calibri"/>
          <w:lang w:eastAsia="it-IT"/>
        </w:rPr>
        <w:tab/>
      </w:r>
      <w:r w:rsidRPr="002E7C90">
        <w:rPr>
          <w:rFonts w:eastAsia="Calibri"/>
          <w:lang w:eastAsia="it-IT"/>
        </w:rPr>
        <w:t>Liste des réseaux à satellites encore affectés (sur la base des critères fournis dans l'Annexe 4 de l'Appendice</w:t>
      </w:r>
      <w:r w:rsidR="003B3CBD" w:rsidRPr="002E7C90">
        <w:rPr>
          <w:rFonts w:eastAsia="Calibri"/>
          <w:lang w:eastAsia="it-IT"/>
        </w:rPr>
        <w:t> </w:t>
      </w:r>
      <w:r w:rsidRPr="002E7C90">
        <w:rPr>
          <w:rFonts w:eastAsia="Calibri"/>
          <w:lang w:eastAsia="it-IT"/>
        </w:rPr>
        <w:t>30B et des critères figurant dans la Résolution 170 (CMR-19))</w:t>
      </w:r>
    </w:p>
    <w:bookmarkEnd w:id="10"/>
    <w:p w14:paraId="7E7F9369" w14:textId="77777777" w:rsidR="0077055C" w:rsidRPr="002E7C90" w:rsidRDefault="0077055C" w:rsidP="003B3CBD">
      <w:pPr>
        <w:pStyle w:val="Figure"/>
        <w:rPr>
          <w:rFonts w:eastAsia="Calibri"/>
          <w:lang w:eastAsia="it-IT"/>
        </w:rPr>
      </w:pPr>
      <w:r w:rsidRPr="002E7C90">
        <w:rPr>
          <w:rFonts w:eastAsia="Calibri"/>
          <w:lang w:eastAsia="it-IT"/>
        </w:rPr>
        <w:drawing>
          <wp:inline distT="0" distB="0" distL="0" distR="0" wp14:anchorId="3C4832E5" wp14:editId="38D5406D">
            <wp:extent cx="8863330" cy="2457450"/>
            <wp:effectExtent l="0" t="0" r="0" b="0"/>
            <wp:docPr id="14279354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863330" cy="2457450"/>
                    </a:xfrm>
                    <a:prstGeom prst="rect">
                      <a:avLst/>
                    </a:prstGeom>
                    <a:noFill/>
                    <a:ln>
                      <a:noFill/>
                    </a:ln>
                  </pic:spPr>
                </pic:pic>
              </a:graphicData>
            </a:graphic>
          </wp:inline>
        </w:drawing>
      </w:r>
    </w:p>
    <w:p w14:paraId="7F471B07" w14:textId="77777777" w:rsidR="0077055C" w:rsidRPr="002E7C90" w:rsidRDefault="0077055C" w:rsidP="007C7095">
      <w:pPr>
        <w:tabs>
          <w:tab w:val="clear" w:pos="1134"/>
          <w:tab w:val="clear" w:pos="1871"/>
          <w:tab w:val="clear" w:pos="2268"/>
        </w:tabs>
        <w:overflowPunct/>
        <w:autoSpaceDE/>
        <w:autoSpaceDN/>
        <w:adjustRightInd/>
        <w:spacing w:before="0"/>
        <w:textAlignment w:val="auto"/>
        <w:rPr>
          <w:rFonts w:eastAsia="Calibri"/>
          <w:b/>
          <w:bCs/>
          <w:szCs w:val="24"/>
          <w:lang w:eastAsia="it-IT"/>
        </w:rPr>
      </w:pPr>
      <w:bookmarkStart w:id="11" w:name="_Hlk150850766"/>
      <w:r w:rsidRPr="002E7C90">
        <w:rPr>
          <w:rFonts w:eastAsia="Calibri"/>
          <w:b/>
          <w:bCs/>
          <w:szCs w:val="24"/>
          <w:lang w:eastAsia="it-IT"/>
        </w:rPr>
        <w:br w:type="page"/>
      </w:r>
    </w:p>
    <w:p w14:paraId="42A6D5B3" w14:textId="498A4A91" w:rsidR="00A11D25" w:rsidRPr="002E7C90" w:rsidRDefault="00423EF7" w:rsidP="003B3CBD">
      <w:pPr>
        <w:pStyle w:val="Heading1"/>
        <w:rPr>
          <w:rFonts w:eastAsia="Calibri"/>
          <w:lang w:eastAsia="it-IT"/>
        </w:rPr>
      </w:pPr>
      <w:r w:rsidRPr="002E7C90">
        <w:rPr>
          <w:rFonts w:eastAsia="Calibri"/>
          <w:lang w:eastAsia="it-IT"/>
        </w:rPr>
        <w:lastRenderedPageBreak/>
        <w:t>2</w:t>
      </w:r>
      <w:r w:rsidR="003B3CBD" w:rsidRPr="002E7C90">
        <w:rPr>
          <w:rFonts w:eastAsia="Calibri"/>
          <w:lang w:eastAsia="it-IT"/>
        </w:rPr>
        <w:tab/>
      </w:r>
      <w:r w:rsidRPr="002E7C90">
        <w:rPr>
          <w:rFonts w:eastAsia="Calibri"/>
          <w:lang w:eastAsia="it-IT"/>
        </w:rPr>
        <w:t>Situation de référence (actuelle et mise à jour) des réseaux à satellite encore affectés</w:t>
      </w:r>
    </w:p>
    <w:bookmarkEnd w:id="11"/>
    <w:p w14:paraId="15A718F8" w14:textId="77777777" w:rsidR="0077055C" w:rsidRPr="002E7C90" w:rsidRDefault="0077055C" w:rsidP="003B3CBD">
      <w:pPr>
        <w:pStyle w:val="Figure"/>
        <w:rPr>
          <w:rFonts w:eastAsia="Calibri"/>
          <w:lang w:eastAsia="it-IT"/>
        </w:rPr>
      </w:pPr>
      <w:r w:rsidRPr="002E7C90">
        <w:rPr>
          <w:rFonts w:eastAsia="Calibri"/>
          <w:lang w:eastAsia="it-IT"/>
        </w:rPr>
        <w:drawing>
          <wp:inline distT="0" distB="0" distL="0" distR="0" wp14:anchorId="68156924" wp14:editId="186F783A">
            <wp:extent cx="8863330" cy="2717800"/>
            <wp:effectExtent l="0" t="0" r="0" b="6350"/>
            <wp:docPr id="206341432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3330" cy="2717800"/>
                    </a:xfrm>
                    <a:prstGeom prst="rect">
                      <a:avLst/>
                    </a:prstGeom>
                    <a:noFill/>
                    <a:ln>
                      <a:noFill/>
                    </a:ln>
                  </pic:spPr>
                </pic:pic>
              </a:graphicData>
            </a:graphic>
          </wp:inline>
        </w:drawing>
      </w:r>
    </w:p>
    <w:p w14:paraId="53C811AE" w14:textId="77777777" w:rsidR="00A11D25" w:rsidRPr="002E7C90" w:rsidRDefault="00A11D25" w:rsidP="003B3CBD">
      <w:pPr>
        <w:pStyle w:val="Note"/>
        <w:spacing w:before="120"/>
        <w:rPr>
          <w:sz w:val="20"/>
          <w:szCs w:val="16"/>
        </w:rPr>
      </w:pPr>
      <w:bookmarkStart w:id="12" w:name="_Hlk150761852"/>
      <w:r w:rsidRPr="002E7C90">
        <w:rPr>
          <w:sz w:val="20"/>
          <w:szCs w:val="16"/>
        </w:rPr>
        <w:t>Notes:</w:t>
      </w:r>
    </w:p>
    <w:p w14:paraId="3D5B2657" w14:textId="57EBC7A1" w:rsidR="00A11D25" w:rsidRPr="002E7C90" w:rsidRDefault="00423EF7" w:rsidP="003B3CBD">
      <w:pPr>
        <w:pStyle w:val="Note"/>
        <w:tabs>
          <w:tab w:val="clear" w:pos="284"/>
          <w:tab w:val="left" w:pos="567"/>
        </w:tabs>
        <w:spacing w:before="0"/>
        <w:ind w:left="567" w:hanging="567"/>
        <w:rPr>
          <w:sz w:val="20"/>
          <w:szCs w:val="16"/>
        </w:rPr>
      </w:pPr>
      <w:r w:rsidRPr="002E7C90">
        <w:rPr>
          <w:sz w:val="20"/>
          <w:szCs w:val="16"/>
        </w:rPr>
        <w:t>1</w:t>
      </w:r>
      <w:r w:rsidR="003B3CBD" w:rsidRPr="002E7C90">
        <w:rPr>
          <w:sz w:val="20"/>
          <w:szCs w:val="16"/>
        </w:rPr>
        <w:t>)</w:t>
      </w:r>
      <w:r w:rsidR="003B3CBD" w:rsidRPr="002E7C90">
        <w:rPr>
          <w:sz w:val="20"/>
          <w:szCs w:val="16"/>
        </w:rPr>
        <w:tab/>
      </w:r>
      <w:r w:rsidRPr="002E7C90">
        <w:rPr>
          <w:sz w:val="20"/>
          <w:szCs w:val="16"/>
        </w:rPr>
        <w:t>Les valeurs correspondant à la situation de référence actuelle sont incluses dans la base de données de référence de l'Appendice 30B de la BR IFIC 3008 du</w:t>
      </w:r>
      <w:r w:rsidR="003B3CBD" w:rsidRPr="002E7C90">
        <w:rPr>
          <w:sz w:val="20"/>
          <w:szCs w:val="16"/>
        </w:rPr>
        <w:t> </w:t>
      </w:r>
      <w:r w:rsidRPr="002E7C90">
        <w:rPr>
          <w:sz w:val="20"/>
          <w:szCs w:val="16"/>
        </w:rPr>
        <w:t>31.10.2023</w:t>
      </w:r>
      <w:r w:rsidR="003B3CBD" w:rsidRPr="002E7C90">
        <w:rPr>
          <w:sz w:val="20"/>
          <w:szCs w:val="16"/>
        </w:rPr>
        <w:t>.</w:t>
      </w:r>
    </w:p>
    <w:p w14:paraId="6CDAA12F" w14:textId="27660750" w:rsidR="00A11D25" w:rsidRPr="002E7C90" w:rsidRDefault="00423EF7" w:rsidP="003B3CBD">
      <w:pPr>
        <w:pStyle w:val="Note"/>
        <w:tabs>
          <w:tab w:val="clear" w:pos="284"/>
          <w:tab w:val="left" w:pos="567"/>
        </w:tabs>
        <w:spacing w:before="0"/>
        <w:ind w:left="567" w:hanging="567"/>
        <w:rPr>
          <w:sz w:val="20"/>
          <w:szCs w:val="16"/>
        </w:rPr>
      </w:pPr>
      <w:r w:rsidRPr="002E7C90">
        <w:rPr>
          <w:sz w:val="20"/>
          <w:szCs w:val="16"/>
        </w:rPr>
        <w:t>2</w:t>
      </w:r>
      <w:r w:rsidR="003B3CBD" w:rsidRPr="002E7C90">
        <w:rPr>
          <w:sz w:val="20"/>
          <w:szCs w:val="16"/>
        </w:rPr>
        <w:t>)</w:t>
      </w:r>
      <w:r w:rsidR="003B3CBD" w:rsidRPr="002E7C90">
        <w:rPr>
          <w:sz w:val="20"/>
          <w:szCs w:val="16"/>
        </w:rPr>
        <w:tab/>
      </w:r>
      <w:r w:rsidR="006F213E" w:rsidRPr="002E7C90">
        <w:rPr>
          <w:sz w:val="20"/>
          <w:szCs w:val="16"/>
        </w:rPr>
        <w:t xml:space="preserve">Les valeurs correspondant à la situation de référence mise à jour sont les valeurs de </w:t>
      </w:r>
      <w:r w:rsidR="006F213E" w:rsidRPr="002E7C90">
        <w:rPr>
          <w:i/>
          <w:iCs/>
          <w:sz w:val="20"/>
          <w:szCs w:val="16"/>
        </w:rPr>
        <w:t>C</w:t>
      </w:r>
      <w:r w:rsidR="006F213E" w:rsidRPr="002E7C90">
        <w:rPr>
          <w:sz w:val="20"/>
          <w:szCs w:val="16"/>
        </w:rPr>
        <w:t>/</w:t>
      </w:r>
      <w:r w:rsidR="006F213E" w:rsidRPr="002E7C90">
        <w:rPr>
          <w:i/>
          <w:iCs/>
          <w:sz w:val="20"/>
          <w:szCs w:val="16"/>
        </w:rPr>
        <w:t xml:space="preserve">I </w:t>
      </w:r>
      <w:r w:rsidR="006F213E" w:rsidRPr="002E7C90">
        <w:rPr>
          <w:sz w:val="20"/>
          <w:szCs w:val="16"/>
        </w:rPr>
        <w:t>calculées à des points de mesure compte tenu de la contribution de brouillage de l'allotissement ou des allotissements proposés</w:t>
      </w:r>
      <w:r w:rsidR="003B3CBD" w:rsidRPr="002E7C90">
        <w:rPr>
          <w:sz w:val="20"/>
          <w:szCs w:val="16"/>
        </w:rPr>
        <w:t>.</w:t>
      </w:r>
    </w:p>
    <w:p w14:paraId="1A667027" w14:textId="7A3A40AF" w:rsidR="00A11D25" w:rsidRPr="002E7C90" w:rsidRDefault="00423EF7" w:rsidP="003B3CBD">
      <w:pPr>
        <w:pStyle w:val="Note"/>
        <w:tabs>
          <w:tab w:val="clear" w:pos="284"/>
          <w:tab w:val="left" w:pos="567"/>
        </w:tabs>
        <w:spacing w:before="0"/>
        <w:ind w:left="567" w:hanging="567"/>
      </w:pPr>
      <w:r w:rsidRPr="002E7C90">
        <w:rPr>
          <w:sz w:val="20"/>
          <w:szCs w:val="16"/>
        </w:rPr>
        <w:t>3</w:t>
      </w:r>
      <w:r w:rsidR="003B3CBD" w:rsidRPr="002E7C90">
        <w:rPr>
          <w:sz w:val="20"/>
          <w:szCs w:val="16"/>
        </w:rPr>
        <w:t>)</w:t>
      </w:r>
      <w:r w:rsidR="003B3CBD" w:rsidRPr="002E7C90">
        <w:rPr>
          <w:sz w:val="20"/>
          <w:szCs w:val="16"/>
        </w:rPr>
        <w:tab/>
      </w:r>
      <w:r w:rsidRPr="002E7C90">
        <w:rPr>
          <w:sz w:val="20"/>
          <w:szCs w:val="16"/>
        </w:rPr>
        <w:t>La situation de référence pour un brouillage dû à une source unique est utilisée uniquement afin d'identifier les réseaux affectés lorsque le réseau notifié est soumis au titre de la Résolution 170 (CMR-19).</w:t>
      </w:r>
    </w:p>
    <w:p w14:paraId="1E5CA6B3" w14:textId="4CD2AED7" w:rsidR="00A11D25" w:rsidRPr="002E7C90" w:rsidRDefault="00A11D25" w:rsidP="003B3CBD">
      <w:pPr>
        <w:pStyle w:val="Heading1"/>
      </w:pPr>
      <w:r w:rsidRPr="002E7C90">
        <w:t>3</w:t>
      </w:r>
      <w:r w:rsidR="003B3CBD" w:rsidRPr="002E7C90">
        <w:tab/>
      </w:r>
      <w:r w:rsidR="00423EF7" w:rsidRPr="002E7C90">
        <w:t>Situation de référence potentielle d'un nouvel allotissement national</w:t>
      </w:r>
    </w:p>
    <w:p w14:paraId="4C4F9375" w14:textId="73481C2A" w:rsidR="0077055C" w:rsidRPr="002E7C90" w:rsidRDefault="0077055C" w:rsidP="003B3CBD">
      <w:pPr>
        <w:pStyle w:val="Figure"/>
        <w:jc w:val="left"/>
        <w:rPr>
          <w:rFonts w:eastAsia="Calibri"/>
          <w:b/>
          <w:bCs/>
          <w:sz w:val="28"/>
          <w:szCs w:val="28"/>
          <w:lang w:eastAsia="it-IT"/>
        </w:rPr>
      </w:pPr>
      <w:r w:rsidRPr="002E7C90">
        <w:rPr>
          <w:rFonts w:eastAsia="Calibri"/>
          <w:lang w:eastAsia="it-IT"/>
        </w:rPr>
        <w:drawing>
          <wp:inline distT="0" distB="0" distL="0" distR="0" wp14:anchorId="0763FD00" wp14:editId="21ED97C2">
            <wp:extent cx="6388100" cy="1447800"/>
            <wp:effectExtent l="0" t="0" r="0" b="0"/>
            <wp:docPr id="54904182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88100" cy="1447800"/>
                    </a:xfrm>
                    <a:prstGeom prst="rect">
                      <a:avLst/>
                    </a:prstGeom>
                    <a:noFill/>
                    <a:ln>
                      <a:noFill/>
                    </a:ln>
                  </pic:spPr>
                </pic:pic>
              </a:graphicData>
            </a:graphic>
          </wp:inline>
        </w:drawing>
      </w:r>
      <w:bookmarkEnd w:id="12"/>
      <w:r w:rsidRPr="002E7C90">
        <w:rPr>
          <w:rFonts w:eastAsia="Calibri"/>
          <w:b/>
          <w:bCs/>
          <w:sz w:val="28"/>
          <w:szCs w:val="28"/>
          <w:lang w:eastAsia="it-IT"/>
        </w:rPr>
        <w:br w:type="page"/>
      </w:r>
    </w:p>
    <w:p w14:paraId="311CEAD8" w14:textId="2FFB127C" w:rsidR="00A11D25" w:rsidRPr="002E7C90" w:rsidRDefault="00A11D25" w:rsidP="007C7095">
      <w:pPr>
        <w:pStyle w:val="AnnexNo"/>
        <w:rPr>
          <w:rFonts w:eastAsia="Calibri"/>
          <w:lang w:eastAsia="it-IT"/>
        </w:rPr>
      </w:pPr>
      <w:r w:rsidRPr="002E7C90">
        <w:rPr>
          <w:rFonts w:eastAsia="Calibri"/>
          <w:lang w:eastAsia="it-IT"/>
        </w:rPr>
        <w:lastRenderedPageBreak/>
        <w:t>Annexe 7</w:t>
      </w:r>
    </w:p>
    <w:p w14:paraId="155C98A5" w14:textId="50B9910C" w:rsidR="006F213E" w:rsidRPr="002E7C90" w:rsidRDefault="006F213E" w:rsidP="007C7095">
      <w:pPr>
        <w:pStyle w:val="Annextitle"/>
      </w:pPr>
      <w:r w:rsidRPr="002E7C90">
        <w:rPr>
          <w:rFonts w:eastAsia="Calibri"/>
          <w:lang w:eastAsia="it-IT"/>
        </w:rPr>
        <w:t>Résultat de l'examen de la soumission 120559040/HRV00000 (63.0</w:t>
      </w:r>
      <w:r w:rsidR="003B3CBD" w:rsidRPr="002E7C90">
        <w:rPr>
          <w:rFonts w:eastAsia="Calibri"/>
          <w:lang w:eastAsia="it-IT"/>
        </w:rPr>
        <w:t xml:space="preserve">° </w:t>
      </w:r>
      <w:r w:rsidRPr="002E7C90">
        <w:rPr>
          <w:rFonts w:eastAsia="Calibri"/>
          <w:lang w:eastAsia="it-IT"/>
        </w:rPr>
        <w:t>E) au titre de la Partie B</w:t>
      </w:r>
    </w:p>
    <w:p w14:paraId="23DD8D24" w14:textId="67CD5F6C" w:rsidR="0077055C" w:rsidRPr="002E7C90" w:rsidRDefault="00906C92" w:rsidP="003B3CBD">
      <w:pPr>
        <w:pStyle w:val="Heading1"/>
        <w:rPr>
          <w:rFonts w:eastAsia="Calibri"/>
          <w:lang w:eastAsia="it-IT"/>
        </w:rPr>
      </w:pPr>
      <w:r w:rsidRPr="002E7C90">
        <w:rPr>
          <w:rFonts w:eastAsia="Calibri"/>
          <w:lang w:eastAsia="it-IT"/>
        </w:rPr>
        <w:t>1</w:t>
      </w:r>
      <w:r w:rsidR="003B3CBD" w:rsidRPr="002E7C90">
        <w:rPr>
          <w:rFonts w:eastAsia="Calibri"/>
          <w:lang w:eastAsia="it-IT"/>
        </w:rPr>
        <w:tab/>
      </w:r>
      <w:r w:rsidRPr="002E7C90">
        <w:rPr>
          <w:rFonts w:eastAsia="Calibri"/>
          <w:lang w:eastAsia="it-IT"/>
        </w:rPr>
        <w:t>Liste des réseaux à satellites encore affectés (sur la base des critères fournis dans l'Annexe 4 de l'Appendice</w:t>
      </w:r>
      <w:r w:rsidR="003B3CBD" w:rsidRPr="002E7C90">
        <w:rPr>
          <w:rFonts w:eastAsia="Calibri"/>
          <w:lang w:eastAsia="it-IT"/>
        </w:rPr>
        <w:t> </w:t>
      </w:r>
      <w:r w:rsidRPr="002E7C90">
        <w:rPr>
          <w:rFonts w:eastAsia="Calibri"/>
          <w:lang w:eastAsia="it-IT"/>
        </w:rPr>
        <w:t>30B et des critères figurant dans la Résolution 170 (CMR-19))</w:t>
      </w:r>
    </w:p>
    <w:p w14:paraId="057C68A3" w14:textId="77777777" w:rsidR="0077055C" w:rsidRPr="002E7C90" w:rsidRDefault="0077055C" w:rsidP="003B3CBD">
      <w:pPr>
        <w:pStyle w:val="Figure"/>
        <w:rPr>
          <w:rFonts w:eastAsia="Calibri"/>
          <w:lang w:eastAsia="it-IT"/>
        </w:rPr>
      </w:pPr>
      <w:r w:rsidRPr="002E7C90">
        <w:rPr>
          <w:rFonts w:eastAsia="Calibri"/>
          <w:lang w:eastAsia="it-IT"/>
        </w:rPr>
        <w:drawing>
          <wp:inline distT="0" distB="0" distL="0" distR="0" wp14:anchorId="32E3AE24" wp14:editId="639C6B8D">
            <wp:extent cx="8863330" cy="3492500"/>
            <wp:effectExtent l="0" t="0" r="0" b="0"/>
            <wp:docPr id="7174551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863330" cy="3492500"/>
                    </a:xfrm>
                    <a:prstGeom prst="rect">
                      <a:avLst/>
                    </a:prstGeom>
                    <a:noFill/>
                    <a:ln>
                      <a:noFill/>
                    </a:ln>
                  </pic:spPr>
                </pic:pic>
              </a:graphicData>
            </a:graphic>
          </wp:inline>
        </w:drawing>
      </w:r>
    </w:p>
    <w:p w14:paraId="10C6DE6E" w14:textId="77777777" w:rsidR="0077055C" w:rsidRPr="002E7C90" w:rsidRDefault="0077055C" w:rsidP="007C7095">
      <w:pPr>
        <w:tabs>
          <w:tab w:val="clear" w:pos="1134"/>
          <w:tab w:val="clear" w:pos="1871"/>
          <w:tab w:val="clear" w:pos="2268"/>
        </w:tabs>
        <w:overflowPunct/>
        <w:autoSpaceDE/>
        <w:autoSpaceDN/>
        <w:adjustRightInd/>
        <w:spacing w:before="0"/>
        <w:textAlignment w:val="auto"/>
        <w:rPr>
          <w:rFonts w:eastAsia="Calibri"/>
          <w:szCs w:val="24"/>
          <w:lang w:eastAsia="it-IT"/>
        </w:rPr>
      </w:pPr>
      <w:r w:rsidRPr="002E7C90">
        <w:rPr>
          <w:rFonts w:eastAsia="Calibri"/>
          <w:szCs w:val="24"/>
          <w:lang w:eastAsia="it-IT"/>
        </w:rPr>
        <w:br w:type="page"/>
      </w:r>
    </w:p>
    <w:p w14:paraId="384FD1B1" w14:textId="703CCE90" w:rsidR="0077055C" w:rsidRPr="002E7C90" w:rsidRDefault="00423EF7" w:rsidP="003B3CBD">
      <w:pPr>
        <w:pStyle w:val="Heading1"/>
        <w:rPr>
          <w:rFonts w:eastAsia="Calibri"/>
          <w:lang w:eastAsia="it-IT"/>
        </w:rPr>
      </w:pPr>
      <w:r w:rsidRPr="002E7C90">
        <w:rPr>
          <w:rFonts w:eastAsia="Calibri"/>
          <w:lang w:eastAsia="it-IT"/>
        </w:rPr>
        <w:lastRenderedPageBreak/>
        <w:t>2</w:t>
      </w:r>
      <w:r w:rsidR="003B3CBD" w:rsidRPr="002E7C90">
        <w:rPr>
          <w:rFonts w:eastAsia="Calibri"/>
          <w:lang w:eastAsia="it-IT"/>
        </w:rPr>
        <w:tab/>
      </w:r>
      <w:r w:rsidRPr="002E7C90">
        <w:rPr>
          <w:rFonts w:eastAsia="Calibri"/>
          <w:lang w:eastAsia="it-IT"/>
        </w:rPr>
        <w:t>Situation de référence (actuelle et mise à jour) des réseaux à satellite encore affectés</w:t>
      </w:r>
    </w:p>
    <w:p w14:paraId="692C41D3" w14:textId="77777777" w:rsidR="0077055C" w:rsidRPr="002E7C90" w:rsidRDefault="0077055C" w:rsidP="003B3CBD">
      <w:pPr>
        <w:pStyle w:val="Figure"/>
        <w:jc w:val="left"/>
        <w:rPr>
          <w:rFonts w:eastAsia="Calibri"/>
          <w:lang w:eastAsia="it-IT"/>
        </w:rPr>
      </w:pPr>
      <w:r w:rsidRPr="002E7C90">
        <w:rPr>
          <w:rFonts w:eastAsia="Calibri"/>
          <w:lang w:eastAsia="it-IT"/>
        </w:rPr>
        <w:drawing>
          <wp:inline distT="0" distB="0" distL="0" distR="0" wp14:anchorId="02D6DD36" wp14:editId="6F47AF64">
            <wp:extent cx="8324602" cy="2797133"/>
            <wp:effectExtent l="0" t="0" r="635" b="3810"/>
            <wp:docPr id="133399096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373397" cy="2813528"/>
                    </a:xfrm>
                    <a:prstGeom prst="rect">
                      <a:avLst/>
                    </a:prstGeom>
                    <a:noFill/>
                    <a:ln>
                      <a:noFill/>
                    </a:ln>
                  </pic:spPr>
                </pic:pic>
              </a:graphicData>
            </a:graphic>
          </wp:inline>
        </w:drawing>
      </w:r>
    </w:p>
    <w:p w14:paraId="703B8D0C" w14:textId="77777777" w:rsidR="00A11D25" w:rsidRPr="002E7C90" w:rsidRDefault="00A11D25" w:rsidP="003B3CBD">
      <w:pPr>
        <w:pStyle w:val="Note"/>
        <w:spacing w:before="120"/>
        <w:rPr>
          <w:sz w:val="20"/>
          <w:szCs w:val="16"/>
        </w:rPr>
      </w:pPr>
      <w:r w:rsidRPr="002E7C90">
        <w:rPr>
          <w:sz w:val="20"/>
          <w:szCs w:val="16"/>
        </w:rPr>
        <w:t>Notes:</w:t>
      </w:r>
    </w:p>
    <w:p w14:paraId="379EF23B" w14:textId="6B14E670" w:rsidR="00A11D25" w:rsidRPr="002E7C90" w:rsidRDefault="00423EF7" w:rsidP="003B3CBD">
      <w:pPr>
        <w:pStyle w:val="Note"/>
        <w:tabs>
          <w:tab w:val="clear" w:pos="284"/>
          <w:tab w:val="left" w:pos="567"/>
        </w:tabs>
        <w:spacing w:before="0"/>
        <w:ind w:left="567" w:hanging="567"/>
        <w:rPr>
          <w:sz w:val="20"/>
          <w:szCs w:val="16"/>
        </w:rPr>
      </w:pPr>
      <w:r w:rsidRPr="002E7C90">
        <w:rPr>
          <w:sz w:val="20"/>
          <w:szCs w:val="16"/>
        </w:rPr>
        <w:t>1</w:t>
      </w:r>
      <w:r w:rsidR="003B3CBD" w:rsidRPr="002E7C90">
        <w:rPr>
          <w:sz w:val="20"/>
          <w:szCs w:val="16"/>
        </w:rPr>
        <w:t>)</w:t>
      </w:r>
      <w:r w:rsidR="003B3CBD" w:rsidRPr="002E7C90">
        <w:rPr>
          <w:sz w:val="20"/>
          <w:szCs w:val="16"/>
        </w:rPr>
        <w:tab/>
      </w:r>
      <w:r w:rsidRPr="002E7C90">
        <w:rPr>
          <w:sz w:val="20"/>
          <w:szCs w:val="16"/>
        </w:rPr>
        <w:t>Les valeurs correspondant à la situation de référence actuelle sont incluses dans la base de données de référence de l'Appendice 30B de la BR IFIC 3008 du</w:t>
      </w:r>
      <w:r w:rsidR="003B3CBD" w:rsidRPr="002E7C90">
        <w:rPr>
          <w:sz w:val="20"/>
          <w:szCs w:val="16"/>
        </w:rPr>
        <w:t> </w:t>
      </w:r>
      <w:r w:rsidRPr="002E7C90">
        <w:rPr>
          <w:sz w:val="20"/>
          <w:szCs w:val="16"/>
        </w:rPr>
        <w:t>31.10.2023</w:t>
      </w:r>
      <w:r w:rsidR="003B3CBD" w:rsidRPr="002E7C90">
        <w:rPr>
          <w:sz w:val="20"/>
          <w:szCs w:val="16"/>
        </w:rPr>
        <w:t>.</w:t>
      </w:r>
    </w:p>
    <w:p w14:paraId="67BF986C" w14:textId="2926B864" w:rsidR="00A11D25" w:rsidRPr="002E7C90" w:rsidRDefault="00423EF7" w:rsidP="003B3CBD">
      <w:pPr>
        <w:pStyle w:val="Note"/>
        <w:tabs>
          <w:tab w:val="clear" w:pos="284"/>
          <w:tab w:val="left" w:pos="567"/>
        </w:tabs>
        <w:spacing w:before="0"/>
        <w:ind w:left="567" w:hanging="567"/>
        <w:rPr>
          <w:sz w:val="20"/>
          <w:szCs w:val="16"/>
        </w:rPr>
      </w:pPr>
      <w:r w:rsidRPr="002E7C90">
        <w:rPr>
          <w:sz w:val="20"/>
          <w:szCs w:val="16"/>
        </w:rPr>
        <w:t>2</w:t>
      </w:r>
      <w:r w:rsidR="003B3CBD" w:rsidRPr="002E7C90">
        <w:rPr>
          <w:sz w:val="20"/>
          <w:szCs w:val="16"/>
        </w:rPr>
        <w:t>)</w:t>
      </w:r>
      <w:r w:rsidR="003B3CBD" w:rsidRPr="002E7C90">
        <w:rPr>
          <w:sz w:val="20"/>
          <w:szCs w:val="16"/>
        </w:rPr>
        <w:tab/>
      </w:r>
      <w:r w:rsidR="006F213E" w:rsidRPr="002E7C90">
        <w:rPr>
          <w:sz w:val="20"/>
          <w:szCs w:val="16"/>
        </w:rPr>
        <w:t xml:space="preserve">Les valeurs correspondant à la situation de référence mise à jour sont les valeurs de </w:t>
      </w:r>
      <w:r w:rsidR="006F213E" w:rsidRPr="002E7C90">
        <w:rPr>
          <w:i/>
          <w:iCs/>
          <w:sz w:val="20"/>
          <w:szCs w:val="16"/>
        </w:rPr>
        <w:t>C</w:t>
      </w:r>
      <w:r w:rsidR="006F213E" w:rsidRPr="002E7C90">
        <w:rPr>
          <w:sz w:val="20"/>
          <w:szCs w:val="16"/>
        </w:rPr>
        <w:t>/</w:t>
      </w:r>
      <w:r w:rsidR="006F213E" w:rsidRPr="002E7C90">
        <w:rPr>
          <w:i/>
          <w:iCs/>
          <w:sz w:val="20"/>
          <w:szCs w:val="16"/>
        </w:rPr>
        <w:t>I</w:t>
      </w:r>
      <w:r w:rsidR="006F213E" w:rsidRPr="002E7C90">
        <w:rPr>
          <w:sz w:val="20"/>
          <w:szCs w:val="16"/>
        </w:rPr>
        <w:t xml:space="preserve"> calculées à des points de mesure compte tenu de la contribution de brouillage de l'allotissement ou des allotissements proposés</w:t>
      </w:r>
      <w:r w:rsidR="003B3CBD" w:rsidRPr="002E7C90">
        <w:rPr>
          <w:sz w:val="20"/>
          <w:szCs w:val="16"/>
        </w:rPr>
        <w:t>.</w:t>
      </w:r>
    </w:p>
    <w:p w14:paraId="3C476304" w14:textId="7D7C6B20" w:rsidR="00A11D25" w:rsidRPr="002E7C90" w:rsidRDefault="00423EF7" w:rsidP="003B3CBD">
      <w:pPr>
        <w:pStyle w:val="Note"/>
        <w:tabs>
          <w:tab w:val="clear" w:pos="284"/>
          <w:tab w:val="left" w:pos="567"/>
        </w:tabs>
        <w:spacing w:before="0"/>
        <w:ind w:left="567" w:hanging="567"/>
      </w:pPr>
      <w:r w:rsidRPr="002E7C90">
        <w:rPr>
          <w:sz w:val="20"/>
          <w:szCs w:val="16"/>
        </w:rPr>
        <w:t>3</w:t>
      </w:r>
      <w:r w:rsidR="003B3CBD" w:rsidRPr="002E7C90">
        <w:rPr>
          <w:sz w:val="20"/>
          <w:szCs w:val="16"/>
        </w:rPr>
        <w:t>)</w:t>
      </w:r>
      <w:r w:rsidR="003B3CBD" w:rsidRPr="002E7C90">
        <w:rPr>
          <w:sz w:val="20"/>
          <w:szCs w:val="16"/>
        </w:rPr>
        <w:tab/>
      </w:r>
      <w:r w:rsidRPr="002E7C90">
        <w:rPr>
          <w:sz w:val="20"/>
          <w:szCs w:val="16"/>
        </w:rPr>
        <w:t>La situation de référence pour un brouillage dû à une source unique est utilisée uniquement afin d'identifier les réseaux affectés lorsque le réseau notifié est soumis au titre de la Résolution 170 (CMR-19).</w:t>
      </w:r>
    </w:p>
    <w:p w14:paraId="53980C43" w14:textId="77401399" w:rsidR="00A11D25" w:rsidRPr="002E7C90" w:rsidRDefault="00A11D25" w:rsidP="003B3CBD">
      <w:pPr>
        <w:pStyle w:val="Heading1"/>
      </w:pPr>
      <w:r w:rsidRPr="002E7C90">
        <w:t>3</w:t>
      </w:r>
      <w:r w:rsidR="003B3CBD" w:rsidRPr="002E7C90">
        <w:tab/>
      </w:r>
      <w:r w:rsidR="00423EF7" w:rsidRPr="002E7C90">
        <w:t>Situation de référence potentielle d'un nouvel allotissement national</w:t>
      </w:r>
    </w:p>
    <w:p w14:paraId="30FC867C" w14:textId="77777777" w:rsidR="0077055C" w:rsidRPr="002E7C90" w:rsidRDefault="0077055C" w:rsidP="007C7095">
      <w:pPr>
        <w:tabs>
          <w:tab w:val="clear" w:pos="1134"/>
          <w:tab w:val="clear" w:pos="1871"/>
          <w:tab w:val="clear" w:pos="2268"/>
        </w:tabs>
        <w:overflowPunct/>
        <w:autoSpaceDE/>
        <w:autoSpaceDN/>
        <w:adjustRightInd/>
        <w:spacing w:before="0" w:after="200"/>
        <w:textAlignment w:val="auto"/>
        <w:rPr>
          <w:rFonts w:eastAsia="Calibri"/>
          <w:szCs w:val="24"/>
          <w:lang w:eastAsia="it-IT"/>
        </w:rPr>
      </w:pPr>
      <w:r w:rsidRPr="002E7C90">
        <w:rPr>
          <w:rFonts w:eastAsia="Calibri"/>
          <w:szCs w:val="24"/>
          <w:lang w:eastAsia="it-IT"/>
        </w:rPr>
        <w:drawing>
          <wp:inline distT="0" distB="0" distL="0" distR="0" wp14:anchorId="4900F2D9" wp14:editId="44713D6C">
            <wp:extent cx="6699250" cy="1231900"/>
            <wp:effectExtent l="0" t="0" r="6350" b="6350"/>
            <wp:docPr id="161814088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9250" cy="1231900"/>
                    </a:xfrm>
                    <a:prstGeom prst="rect">
                      <a:avLst/>
                    </a:prstGeom>
                    <a:noFill/>
                    <a:ln>
                      <a:noFill/>
                    </a:ln>
                  </pic:spPr>
                </pic:pic>
              </a:graphicData>
            </a:graphic>
          </wp:inline>
        </w:drawing>
      </w:r>
    </w:p>
    <w:p w14:paraId="62C013AB" w14:textId="77777777" w:rsidR="0077055C" w:rsidRPr="002E7C90" w:rsidRDefault="0077055C" w:rsidP="007C7095">
      <w:pPr>
        <w:jc w:val="center"/>
      </w:pPr>
      <w:r w:rsidRPr="002E7C90">
        <w:t>_______________</w:t>
      </w:r>
    </w:p>
    <w:sectPr w:rsidR="0077055C" w:rsidRPr="002E7C90" w:rsidSect="0013319A">
      <w:headerReference w:type="default" r:id="rId39"/>
      <w:footerReference w:type="even" r:id="rId40"/>
      <w:footerReference w:type="default" r:id="rId41"/>
      <w:footerReference w:type="first" r:id="rId42"/>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EF8A" w14:textId="77777777" w:rsidR="00E35DC0" w:rsidRDefault="00E35DC0">
      <w:r>
        <w:separator/>
      </w:r>
    </w:p>
  </w:endnote>
  <w:endnote w:type="continuationSeparator" w:id="0">
    <w:p w14:paraId="3AF66A60" w14:textId="77777777" w:rsidR="00E35DC0" w:rsidRDefault="00E3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6D33" w14:textId="77777777" w:rsidR="0077055C" w:rsidRPr="00EB695A" w:rsidRDefault="0077055C">
    <w:pPr>
      <w:framePr w:wrap="around" w:vAnchor="text" w:hAnchor="margin" w:xAlign="right" w:y="1"/>
      <w:rPr>
        <w:lang w:val="pt-BR"/>
      </w:rPr>
    </w:pPr>
    <w:r>
      <w:fldChar w:fldCharType="begin"/>
    </w:r>
    <w:r w:rsidRPr="00EB695A">
      <w:rPr>
        <w:lang w:val="pt-BR"/>
      </w:rPr>
      <w:instrText xml:space="preserve">PAGE  </w:instrText>
    </w:r>
    <w:r>
      <w:fldChar w:fldCharType="separate"/>
    </w:r>
    <w:r w:rsidRPr="00EB695A">
      <w:rPr>
        <w:lang w:val="pt-BR"/>
      </w:rPr>
      <w:t>4</w:t>
    </w:r>
    <w:r w:rsidRPr="00EB695A">
      <w:rPr>
        <w:lang w:val="pt-BR"/>
      </w:rPr>
      <w:t>6</w:t>
    </w:r>
    <w:r>
      <w:fldChar w:fldCharType="end"/>
    </w:r>
  </w:p>
  <w:p w14:paraId="71750395" w14:textId="132C1A94" w:rsidR="0077055C" w:rsidRPr="00EB695A" w:rsidRDefault="0077055C">
    <w:pPr>
      <w:ind w:right="360"/>
      <w:rPr>
        <w:lang w:val="pt-BR"/>
      </w:rPr>
    </w:pPr>
    <w:r>
      <w:fldChar w:fldCharType="begin"/>
    </w:r>
    <w:r w:rsidRPr="00EB695A">
      <w:rPr>
        <w:lang w:val="pt-BR"/>
      </w:rPr>
      <w:instrText xml:space="preserve"> FILENAME \p  \* MERGEFORMAT </w:instrText>
    </w:r>
    <w:r>
      <w:fldChar w:fldCharType="separate"/>
    </w:r>
    <w:r>
      <w:rPr>
        <w:noProof/>
        <w:lang w:val="pt-BR"/>
      </w:rPr>
      <w:t>Y:\APP\CONF\RefDocs\CMR\531373\eRef531373.docx</w:t>
    </w:r>
    <w:r>
      <w:fldChar w:fldCharType="end"/>
    </w:r>
    <w:r w:rsidRPr="00EB695A">
      <w:rPr>
        <w:lang w:val="pt-BR"/>
      </w:rPr>
      <w:tab/>
    </w:r>
    <w:r>
      <w:fldChar w:fldCharType="begin"/>
    </w:r>
    <w:r>
      <w:instrText xml:space="preserve"> SAVEDATE \@ DD.MM.YY </w:instrText>
    </w:r>
    <w:r>
      <w:fldChar w:fldCharType="separate"/>
    </w:r>
    <w:r w:rsidR="005145C1">
      <w:rPr>
        <w:noProof/>
      </w:rPr>
      <w:t>16.11.23</w:t>
    </w:r>
    <w:r>
      <w:fldChar w:fldCharType="end"/>
    </w:r>
    <w:r w:rsidRPr="00EB695A">
      <w:rPr>
        <w:lang w:val="pt-BR"/>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37B5" w14:textId="090D6E5D" w:rsidR="0044449B" w:rsidRDefault="0044449B" w:rsidP="0044449B">
    <w:pPr>
      <w:pStyle w:val="Footer"/>
      <w:rPr>
        <w:lang w:val="en-US"/>
      </w:rPr>
    </w:pPr>
    <w:r>
      <w:fldChar w:fldCharType="begin"/>
    </w:r>
    <w:r>
      <w:rPr>
        <w:lang w:val="en-US"/>
      </w:rPr>
      <w:instrText xml:space="preserve"> FILENAME \p  \* MERGEFORMAT </w:instrText>
    </w:r>
    <w:r>
      <w:fldChar w:fldCharType="separate"/>
    </w:r>
    <w:r w:rsidR="004F553A">
      <w:rPr>
        <w:lang w:val="en-US"/>
      </w:rPr>
      <w:t>P:\FRA\ITU-R\CONF-R\CMR23\000\004ADD01ADD01F.docx</w:t>
    </w:r>
    <w:r>
      <w:fldChar w:fldCharType="end"/>
    </w:r>
    <w:r w:rsidRPr="00EF682E">
      <w:rPr>
        <w:lang w:val="en-GB"/>
      </w:rPr>
      <w:t xml:space="preserve"> (531373)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D599" w14:textId="38D116FA" w:rsidR="0044449B" w:rsidRDefault="0044449B" w:rsidP="0044449B">
    <w:pPr>
      <w:pStyle w:val="Footer"/>
      <w:rPr>
        <w:lang w:val="en-US"/>
      </w:rPr>
    </w:pPr>
    <w:r>
      <w:fldChar w:fldCharType="begin"/>
    </w:r>
    <w:r>
      <w:rPr>
        <w:lang w:val="en-US"/>
      </w:rPr>
      <w:instrText xml:space="preserve"> FILENAME \p  \* MERGEFORMAT </w:instrText>
    </w:r>
    <w:r>
      <w:fldChar w:fldCharType="separate"/>
    </w:r>
    <w:r w:rsidR="00B04DBD">
      <w:rPr>
        <w:lang w:val="en-US"/>
      </w:rPr>
      <w:t>P:\FRA\ITU-R\CONF-R\CMR23\000\004ADD01ADD01F.docx</w:t>
    </w:r>
    <w:r>
      <w:fldChar w:fldCharType="end"/>
    </w:r>
    <w:r w:rsidRPr="00EF682E">
      <w:rPr>
        <w:lang w:val="en-GB"/>
      </w:rPr>
      <w:t xml:space="preserve"> (531373)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CEBB" w14:textId="00497664" w:rsidR="00936D25" w:rsidRDefault="00936D25">
    <w:pPr>
      <w:rPr>
        <w:lang w:val="en-US"/>
      </w:rPr>
    </w:pPr>
    <w:r>
      <w:fldChar w:fldCharType="begin"/>
    </w:r>
    <w:r>
      <w:rPr>
        <w:lang w:val="en-US"/>
      </w:rPr>
      <w:instrText xml:space="preserve"> FILENAME \p  \* MERGEFORMAT </w:instrText>
    </w:r>
    <w:r>
      <w:fldChar w:fldCharType="separate"/>
    </w:r>
    <w:r w:rsidR="00E35DC0">
      <w:rPr>
        <w:noProof/>
        <w:lang w:val="en-US"/>
      </w:rPr>
      <w:t>Document1</w:t>
    </w:r>
    <w:r>
      <w:fldChar w:fldCharType="end"/>
    </w:r>
    <w:r>
      <w:rPr>
        <w:lang w:val="en-US"/>
      </w:rPr>
      <w:tab/>
    </w:r>
    <w:r>
      <w:fldChar w:fldCharType="begin"/>
    </w:r>
    <w:r>
      <w:instrText xml:space="preserve"> SAVEDATE \@ DD.MM.YY </w:instrText>
    </w:r>
    <w:r>
      <w:fldChar w:fldCharType="separate"/>
    </w:r>
    <w:r w:rsidR="005145C1">
      <w:rPr>
        <w:noProof/>
      </w:rPr>
      <w:t>16.11.23</w:t>
    </w:r>
    <w:r>
      <w:fldChar w:fldCharType="end"/>
    </w:r>
    <w:r>
      <w:rPr>
        <w:lang w:val="en-US"/>
      </w:rPr>
      <w:tab/>
    </w:r>
    <w:r>
      <w:fldChar w:fldCharType="begin"/>
    </w:r>
    <w:r>
      <w:instrText xml:space="preserve"> PRINTDATE \@ DD.MM.YY </w:instrText>
    </w:r>
    <w:r>
      <w:fldChar w:fldCharType="separate"/>
    </w:r>
    <w:r w:rsidR="00E35DC0">
      <w:rPr>
        <w:noProof/>
      </w:rPr>
      <w:t>05.06.03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2E1A" w14:textId="282DD44C" w:rsidR="00936D25" w:rsidRDefault="00936D25" w:rsidP="003E5E3D">
    <w:pPr>
      <w:pStyle w:val="Footer"/>
      <w:rPr>
        <w:lang w:val="en-US"/>
      </w:rPr>
    </w:pPr>
    <w:r>
      <w:fldChar w:fldCharType="begin"/>
    </w:r>
    <w:r>
      <w:rPr>
        <w:lang w:val="en-US"/>
      </w:rPr>
      <w:instrText xml:space="preserve"> FILENAME \p  \* MERGEFORMAT </w:instrText>
    </w:r>
    <w:r>
      <w:fldChar w:fldCharType="separate"/>
    </w:r>
    <w:r w:rsidR="004F553A">
      <w:rPr>
        <w:lang w:val="en-US"/>
      </w:rPr>
      <w:t>P:\FRA\ITU-R\CONF-R\CMR23\000\004ADD01ADD01F.docx</w:t>
    </w:r>
    <w:r>
      <w:fldChar w:fldCharType="end"/>
    </w:r>
    <w:r w:rsidR="0044449B" w:rsidRPr="00EF682E">
      <w:rPr>
        <w:lang w:val="en-GB"/>
      </w:rPr>
      <w:t xml:space="preserve"> (531373)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F480" w14:textId="28C78EDE" w:rsidR="00936D25" w:rsidRPr="0044449B" w:rsidRDefault="0044449B" w:rsidP="0044449B">
    <w:pPr>
      <w:pStyle w:val="Footer"/>
      <w:rPr>
        <w:lang w:val="en-US"/>
      </w:rPr>
    </w:pPr>
    <w:r>
      <w:fldChar w:fldCharType="begin"/>
    </w:r>
    <w:r>
      <w:rPr>
        <w:lang w:val="en-US"/>
      </w:rPr>
      <w:instrText xml:space="preserve"> FILENAME \p  \* MERGEFORMAT </w:instrText>
    </w:r>
    <w:r>
      <w:fldChar w:fldCharType="separate"/>
    </w:r>
    <w:r w:rsidR="004F553A">
      <w:rPr>
        <w:lang w:val="en-US"/>
      </w:rPr>
      <w:t>P:\FRA\ITU-R\CONF-R\CMR23\000\004ADD01ADD01F.docx</w:t>
    </w:r>
    <w:r>
      <w:fldChar w:fldCharType="end"/>
    </w:r>
    <w:r w:rsidRPr="00EF682E">
      <w:rPr>
        <w:lang w:val="en-GB"/>
      </w:rPr>
      <w:t xml:space="preserve"> (531373)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65B7" w14:textId="77777777" w:rsidR="00E35DC0" w:rsidRDefault="00E35DC0">
      <w:r>
        <w:rPr>
          <w:b/>
        </w:rPr>
        <w:t>_______________</w:t>
      </w:r>
    </w:p>
  </w:footnote>
  <w:footnote w:type="continuationSeparator" w:id="0">
    <w:p w14:paraId="2B22F580" w14:textId="77777777" w:rsidR="00E35DC0" w:rsidRDefault="00E35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0406" w14:textId="77777777" w:rsidR="0077055C" w:rsidRDefault="0077055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CB4343E" w14:textId="77777777" w:rsidR="0077055C" w:rsidRDefault="0077055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45151A" w14:textId="77777777" w:rsidR="0077055C" w:rsidRDefault="007705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155346"/>
      <w:docPartObj>
        <w:docPartGallery w:val="Page Numbers (Top of Page)"/>
        <w:docPartUnique/>
      </w:docPartObj>
    </w:sdtPr>
    <w:sdtEndPr>
      <w:rPr>
        <w:noProof/>
      </w:rPr>
    </w:sdtEndPr>
    <w:sdtContent>
      <w:p w14:paraId="445A184E" w14:textId="77777777" w:rsidR="0077055C" w:rsidRDefault="0077055C">
        <w:pPr>
          <w:pStyle w:val="Header"/>
        </w:pPr>
        <w:r>
          <w:fldChar w:fldCharType="begin"/>
        </w:r>
        <w:r>
          <w:instrText xml:space="preserve"> PAGE   \* MERGEFORMAT </w:instrText>
        </w:r>
        <w:r>
          <w:fldChar w:fldCharType="separate"/>
        </w:r>
        <w:r>
          <w:rPr>
            <w:noProof/>
          </w:rPr>
          <w:t>64</w:t>
        </w:r>
        <w:r>
          <w:rPr>
            <w:noProof/>
          </w:rPr>
          <w:fldChar w:fldCharType="end"/>
        </w:r>
      </w:p>
      <w:p w14:paraId="4F634FE3" w14:textId="5FB56D3E" w:rsidR="0077055C" w:rsidRPr="00800972" w:rsidRDefault="0077055C">
        <w:pPr>
          <w:pStyle w:val="Header"/>
        </w:pPr>
        <w:r>
          <w:t>WRC23/4(Add.1)(Add.1)-</w:t>
        </w:r>
        <w:r w:rsidR="0044449B">
          <w:t>F</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323671"/>
      <w:docPartObj>
        <w:docPartGallery w:val="Page Numbers (Top of Page)"/>
        <w:docPartUnique/>
      </w:docPartObj>
    </w:sdtPr>
    <w:sdtEndPr>
      <w:rPr>
        <w:noProof/>
      </w:rPr>
    </w:sdtEndPr>
    <w:sdtContent>
      <w:p w14:paraId="1B788647" w14:textId="77777777" w:rsidR="004F553A" w:rsidRDefault="004F553A" w:rsidP="004F553A">
        <w:pPr>
          <w:pStyle w:val="Header"/>
        </w:pPr>
        <w:r>
          <w:fldChar w:fldCharType="begin"/>
        </w:r>
        <w:r>
          <w:instrText xml:space="preserve"> PAGE   \* MERGEFORMAT </w:instrText>
        </w:r>
        <w:r>
          <w:fldChar w:fldCharType="separate"/>
        </w:r>
        <w:r>
          <w:t>3</w:t>
        </w:r>
        <w:r>
          <w:rPr>
            <w:noProof/>
          </w:rPr>
          <w:fldChar w:fldCharType="end"/>
        </w:r>
      </w:p>
      <w:p w14:paraId="021315DB" w14:textId="7474A6E9" w:rsidR="004F553A" w:rsidRPr="004F553A" w:rsidRDefault="004F553A">
        <w:pPr>
          <w:pStyle w:val="Header"/>
          <w:rPr>
            <w:noProof/>
            <w:sz w:val="24"/>
          </w:rPr>
        </w:pPr>
        <w:r>
          <w:t>WRC23/4(Add.1)(Add.1)-F</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2047265"/>
      <w:docPartObj>
        <w:docPartGallery w:val="Page Numbers (Top of Page)"/>
        <w:docPartUnique/>
      </w:docPartObj>
    </w:sdtPr>
    <w:sdtEndPr>
      <w:rPr>
        <w:noProof/>
      </w:rPr>
    </w:sdtEndPr>
    <w:sdtContent>
      <w:p w14:paraId="7F37CB97" w14:textId="77777777" w:rsidR="004F553A" w:rsidRDefault="004F553A" w:rsidP="004F553A">
        <w:pPr>
          <w:pStyle w:val="Header"/>
        </w:pPr>
        <w:r>
          <w:fldChar w:fldCharType="begin"/>
        </w:r>
        <w:r>
          <w:instrText xml:space="preserve"> PAGE   \* MERGEFORMAT </w:instrText>
        </w:r>
        <w:r>
          <w:fldChar w:fldCharType="separate"/>
        </w:r>
        <w:r>
          <w:t>4</w:t>
        </w:r>
        <w:r>
          <w:rPr>
            <w:noProof/>
          </w:rPr>
          <w:fldChar w:fldCharType="end"/>
        </w:r>
      </w:p>
      <w:p w14:paraId="7662E34B" w14:textId="482401C0" w:rsidR="004F1F8E" w:rsidRPr="004F553A" w:rsidRDefault="004F553A" w:rsidP="00587A4E">
        <w:pPr>
          <w:pStyle w:val="Header"/>
          <w:rPr>
            <w:noProof/>
            <w:sz w:val="24"/>
          </w:rPr>
        </w:pPr>
        <w:r>
          <w:t>WRC23/4(Add.1)(Add.1)-F</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2FE06F3A"/>
    <w:multiLevelType w:val="hybridMultilevel"/>
    <w:tmpl w:val="9EC8E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47169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C0"/>
    <w:rsid w:val="00016648"/>
    <w:rsid w:val="0003522F"/>
    <w:rsid w:val="00080E2C"/>
    <w:rsid w:val="000A4755"/>
    <w:rsid w:val="000B2E0C"/>
    <w:rsid w:val="000B3D0C"/>
    <w:rsid w:val="001167B9"/>
    <w:rsid w:val="001267A0"/>
    <w:rsid w:val="0013319A"/>
    <w:rsid w:val="00134655"/>
    <w:rsid w:val="00160C64"/>
    <w:rsid w:val="0019352B"/>
    <w:rsid w:val="001960D0"/>
    <w:rsid w:val="001C25ED"/>
    <w:rsid w:val="00232FD2"/>
    <w:rsid w:val="0027579B"/>
    <w:rsid w:val="002A4622"/>
    <w:rsid w:val="002B17E5"/>
    <w:rsid w:val="002C0EBF"/>
    <w:rsid w:val="002C5FCD"/>
    <w:rsid w:val="002E7C90"/>
    <w:rsid w:val="00315AFE"/>
    <w:rsid w:val="003606A6"/>
    <w:rsid w:val="0036650C"/>
    <w:rsid w:val="003A47EC"/>
    <w:rsid w:val="003A583E"/>
    <w:rsid w:val="003B3CBD"/>
    <w:rsid w:val="003E112B"/>
    <w:rsid w:val="003E3DBF"/>
    <w:rsid w:val="003E5E3D"/>
    <w:rsid w:val="00416F68"/>
    <w:rsid w:val="00423EF7"/>
    <w:rsid w:val="0044449B"/>
    <w:rsid w:val="00457428"/>
    <w:rsid w:val="00466211"/>
    <w:rsid w:val="004D01FC"/>
    <w:rsid w:val="004E28C3"/>
    <w:rsid w:val="004F1F8E"/>
    <w:rsid w:val="004F553A"/>
    <w:rsid w:val="005145C1"/>
    <w:rsid w:val="00584FF8"/>
    <w:rsid w:val="00586CF2"/>
    <w:rsid w:val="00587A4E"/>
    <w:rsid w:val="005C3768"/>
    <w:rsid w:val="005C6C3F"/>
    <w:rsid w:val="006075BE"/>
    <w:rsid w:val="00613635"/>
    <w:rsid w:val="0062093D"/>
    <w:rsid w:val="00637ECF"/>
    <w:rsid w:val="00647B59"/>
    <w:rsid w:val="00654E39"/>
    <w:rsid w:val="00664A65"/>
    <w:rsid w:val="006F213E"/>
    <w:rsid w:val="006F7F9D"/>
    <w:rsid w:val="00701BAE"/>
    <w:rsid w:val="00730E95"/>
    <w:rsid w:val="0077055C"/>
    <w:rsid w:val="00774362"/>
    <w:rsid w:val="007A04E8"/>
    <w:rsid w:val="007C7095"/>
    <w:rsid w:val="0082737D"/>
    <w:rsid w:val="0084553F"/>
    <w:rsid w:val="008A3120"/>
    <w:rsid w:val="008C000E"/>
    <w:rsid w:val="008C331C"/>
    <w:rsid w:val="008D41BE"/>
    <w:rsid w:val="008D58D3"/>
    <w:rsid w:val="008D6821"/>
    <w:rsid w:val="008F32C2"/>
    <w:rsid w:val="00906C92"/>
    <w:rsid w:val="00923064"/>
    <w:rsid w:val="00935CE0"/>
    <w:rsid w:val="00936D25"/>
    <w:rsid w:val="00941EA5"/>
    <w:rsid w:val="00966C16"/>
    <w:rsid w:val="009765A8"/>
    <w:rsid w:val="0098732F"/>
    <w:rsid w:val="009C7E7C"/>
    <w:rsid w:val="00A00473"/>
    <w:rsid w:val="00A03C9B"/>
    <w:rsid w:val="00A11D25"/>
    <w:rsid w:val="00A606C3"/>
    <w:rsid w:val="00A70D52"/>
    <w:rsid w:val="00A83B09"/>
    <w:rsid w:val="00A84541"/>
    <w:rsid w:val="00AA6DB9"/>
    <w:rsid w:val="00AE36A0"/>
    <w:rsid w:val="00B00294"/>
    <w:rsid w:val="00B04DBD"/>
    <w:rsid w:val="00B1107B"/>
    <w:rsid w:val="00B23EDF"/>
    <w:rsid w:val="00B64FD0"/>
    <w:rsid w:val="00BE1A57"/>
    <w:rsid w:val="00BF26E7"/>
    <w:rsid w:val="00C01C69"/>
    <w:rsid w:val="00C57F42"/>
    <w:rsid w:val="00C814B9"/>
    <w:rsid w:val="00CD3928"/>
    <w:rsid w:val="00CD516F"/>
    <w:rsid w:val="00CE2C8D"/>
    <w:rsid w:val="00CE6A1C"/>
    <w:rsid w:val="00D119A7"/>
    <w:rsid w:val="00D25FBA"/>
    <w:rsid w:val="00D66EAC"/>
    <w:rsid w:val="00D730DF"/>
    <w:rsid w:val="00D772F0"/>
    <w:rsid w:val="00D77BDC"/>
    <w:rsid w:val="00D8241C"/>
    <w:rsid w:val="00D8656B"/>
    <w:rsid w:val="00DC402B"/>
    <w:rsid w:val="00DE0932"/>
    <w:rsid w:val="00E049F1"/>
    <w:rsid w:val="00E35DC0"/>
    <w:rsid w:val="00E37A25"/>
    <w:rsid w:val="00E53413"/>
    <w:rsid w:val="00E55D27"/>
    <w:rsid w:val="00E70A31"/>
    <w:rsid w:val="00E977A2"/>
    <w:rsid w:val="00EA3F38"/>
    <w:rsid w:val="00EA5AB6"/>
    <w:rsid w:val="00EC7615"/>
    <w:rsid w:val="00ED16AA"/>
    <w:rsid w:val="00EF662E"/>
    <w:rsid w:val="00EF682E"/>
    <w:rsid w:val="00F148F1"/>
    <w:rsid w:val="00F372D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E5298"/>
  <w15:docId w15:val="{9246DB47-8C12-4149-8D9C-C8B40FCC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FC4ADC"/>
    <w:pPr>
      <w:keepNext/>
      <w:keepLines/>
      <w:spacing w:before="280"/>
      <w:ind w:left="1134" w:hanging="1134"/>
      <w:outlineLvl w:val="0"/>
    </w:pPr>
    <w:rPr>
      <w:b/>
      <w:sz w:val="28"/>
    </w:rPr>
  </w:style>
  <w:style w:type="paragraph" w:styleId="Heading2">
    <w:name w:val="heading 2"/>
    <w:basedOn w:val="Heading1"/>
    <w:next w:val="Normal"/>
    <w:qFormat/>
    <w:rsid w:val="00FC4ADC"/>
    <w:pPr>
      <w:spacing w:before="200"/>
      <w:outlineLvl w:val="1"/>
    </w:pPr>
    <w:rPr>
      <w:sz w:val="24"/>
    </w:rPr>
  </w:style>
  <w:style w:type="paragraph" w:styleId="Heading3">
    <w:name w:val="heading 3"/>
    <w:basedOn w:val="Heading1"/>
    <w:next w:val="Normal"/>
    <w:qFormat/>
    <w:rsid w:val="00FC4ADC"/>
    <w:pPr>
      <w:tabs>
        <w:tab w:val="clear" w:pos="1134"/>
      </w:tabs>
      <w:spacing w:before="200"/>
      <w:outlineLvl w:val="2"/>
    </w:pPr>
    <w:rPr>
      <w:sz w:val="24"/>
    </w:rPr>
  </w:style>
  <w:style w:type="paragraph" w:styleId="Heading4">
    <w:name w:val="heading 4"/>
    <w:basedOn w:val="Heading3"/>
    <w:next w:val="Normal"/>
    <w:qFormat/>
    <w:rsid w:val="00FC4ADC"/>
    <w:pPr>
      <w:outlineLvl w:val="3"/>
    </w:pPr>
  </w:style>
  <w:style w:type="paragraph" w:styleId="Heading5">
    <w:name w:val="heading 5"/>
    <w:basedOn w:val="Heading4"/>
    <w:next w:val="Normal"/>
    <w:qFormat/>
    <w:rsid w:val="00FC4ADC"/>
    <w:pPr>
      <w:outlineLvl w:val="4"/>
    </w:pPr>
  </w:style>
  <w:style w:type="paragraph" w:styleId="Heading6">
    <w:name w:val="heading 6"/>
    <w:basedOn w:val="Heading4"/>
    <w:next w:val="Normal"/>
    <w:qFormat/>
    <w:rsid w:val="00FC4ADC"/>
    <w:pPr>
      <w:outlineLvl w:val="5"/>
    </w:pPr>
  </w:style>
  <w:style w:type="paragraph" w:styleId="Heading7">
    <w:name w:val="heading 7"/>
    <w:basedOn w:val="Heading6"/>
    <w:next w:val="Normal"/>
    <w:qFormat/>
    <w:rsid w:val="00FC4ADC"/>
    <w:pPr>
      <w:outlineLvl w:val="6"/>
    </w:pPr>
  </w:style>
  <w:style w:type="paragraph" w:styleId="Heading8">
    <w:name w:val="heading 8"/>
    <w:basedOn w:val="Heading6"/>
    <w:next w:val="Normal"/>
    <w:qFormat/>
    <w:rsid w:val="00FC4ADC"/>
    <w:pPr>
      <w:outlineLvl w:val="7"/>
    </w:pPr>
  </w:style>
  <w:style w:type="paragraph" w:styleId="Heading9">
    <w:name w:val="heading 9"/>
    <w:basedOn w:val="Heading6"/>
    <w:next w:val="Normal"/>
    <w:qFormat/>
    <w:rsid w:val="00FC4ADC"/>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semiHidden/>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FC4ADC"/>
    <w:rPr>
      <w:position w:val="6"/>
      <w:sz w:val="18"/>
    </w:rPr>
  </w:style>
  <w:style w:type="paragraph" w:styleId="FootnoteText">
    <w:name w:val="footnote text"/>
    <w:basedOn w:val="Normal"/>
    <w:rsid w:val="00FC4ADC"/>
    <w:pPr>
      <w:keepLines/>
      <w:tabs>
        <w:tab w:val="left" w:pos="255"/>
      </w:tabs>
    </w:pPr>
  </w:style>
  <w:style w:type="paragraph" w:styleId="Header">
    <w:name w:val="header"/>
    <w:basedOn w:val="Normal"/>
    <w:link w:val="HeaderChar"/>
    <w:uiPriority w:val="99"/>
    <w:rsid w:val="00FC4ADC"/>
    <w:pPr>
      <w:spacing w:before="0"/>
      <w:jc w:val="center"/>
    </w:pPr>
    <w:rPr>
      <w:sz w:val="18"/>
    </w:rPr>
  </w:style>
  <w:style w:type="paragraph" w:customStyle="1" w:styleId="Headingb">
    <w:name w:val="Heading_b"/>
    <w:basedOn w:val="Normal"/>
    <w:next w:val="Normal"/>
    <w:rsid w:val="00FC4ADC"/>
    <w:pPr>
      <w:keepNext/>
      <w:spacing w:before="160"/>
    </w:pPr>
    <w:rPr>
      <w:b/>
    </w:rPr>
  </w:style>
  <w:style w:type="paragraph" w:customStyle="1" w:styleId="Headingi">
    <w:name w:val="Heading_i"/>
    <w:basedOn w:val="Normal"/>
    <w:next w:val="Normal"/>
    <w:rsid w:val="00FC4ADC"/>
    <w:pPr>
      <w:keepNext/>
      <w:spacing w:before="160"/>
    </w:pPr>
    <w:rPr>
      <w:rFonts w:ascii="Times" w:hAnsi="Times"/>
      <w:i/>
    </w:rPr>
  </w:style>
  <w:style w:type="paragraph" w:styleId="Index1">
    <w:name w:val="index 1"/>
    <w:basedOn w:val="Normal"/>
    <w:next w:val="Normal"/>
    <w:semiHidden/>
    <w:rsid w:val="00FC4ADC"/>
  </w:style>
  <w:style w:type="paragraph" w:styleId="Index2">
    <w:name w:val="index 2"/>
    <w:basedOn w:val="Normal"/>
    <w:next w:val="Normal"/>
    <w:semiHidden/>
    <w:rsid w:val="00FC4ADC"/>
    <w:pPr>
      <w:ind w:left="283"/>
    </w:pPr>
  </w:style>
  <w:style w:type="paragraph" w:styleId="Index3">
    <w:name w:val="index 3"/>
    <w:basedOn w:val="Normal"/>
    <w:next w:val="Normal"/>
    <w:semiHidden/>
    <w:rsid w:val="00FC4ADC"/>
    <w:pPr>
      <w:ind w:left="566"/>
    </w:pPr>
  </w:style>
  <w:style w:type="paragraph" w:styleId="Index4">
    <w:name w:val="index 4"/>
    <w:basedOn w:val="Normal"/>
    <w:next w:val="Normal"/>
    <w:semiHidden/>
    <w:rsid w:val="00FC4ADC"/>
    <w:pPr>
      <w:ind w:left="849"/>
    </w:pPr>
  </w:style>
  <w:style w:type="paragraph" w:styleId="Index5">
    <w:name w:val="index 5"/>
    <w:basedOn w:val="Normal"/>
    <w:next w:val="Normal"/>
    <w:semiHidden/>
    <w:rsid w:val="00FC4ADC"/>
    <w:pPr>
      <w:ind w:left="1132"/>
    </w:pPr>
  </w:style>
  <w:style w:type="paragraph" w:styleId="Index6">
    <w:name w:val="index 6"/>
    <w:basedOn w:val="Normal"/>
    <w:next w:val="Normal"/>
    <w:semiHidden/>
    <w:rsid w:val="00FC4ADC"/>
    <w:pPr>
      <w:ind w:left="1415"/>
    </w:pPr>
  </w:style>
  <w:style w:type="paragraph" w:styleId="Index7">
    <w:name w:val="index 7"/>
    <w:basedOn w:val="Normal"/>
    <w:next w:val="Normal"/>
    <w:semiHidden/>
    <w:rsid w:val="00FC4ADC"/>
    <w:pPr>
      <w:ind w:left="1698"/>
    </w:pPr>
  </w:style>
  <w:style w:type="paragraph" w:styleId="IndexHeading">
    <w:name w:val="index heading"/>
    <w:basedOn w:val="Normal"/>
    <w:next w:val="Index1"/>
    <w:semiHidden/>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uiPriority w:val="1"/>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paragraph" w:customStyle="1" w:styleId="TableNotitle">
    <w:name w:val="Table_No &amp; title"/>
    <w:basedOn w:val="Normal"/>
    <w:next w:val="Tablehead"/>
    <w:rsid w:val="003E3DBF"/>
    <w:pPr>
      <w:keepNext/>
      <w:keepLines/>
      <w:tabs>
        <w:tab w:val="clear" w:pos="1134"/>
        <w:tab w:val="clear" w:pos="1871"/>
        <w:tab w:val="clear" w:pos="2268"/>
        <w:tab w:val="left" w:pos="794"/>
        <w:tab w:val="left" w:pos="1191"/>
        <w:tab w:val="left" w:pos="1588"/>
        <w:tab w:val="left" w:pos="1985"/>
      </w:tabs>
      <w:spacing w:before="360" w:after="120"/>
      <w:jc w:val="center"/>
    </w:pPr>
    <w:rPr>
      <w:b/>
    </w:rPr>
  </w:style>
  <w:style w:type="table" w:styleId="GridTable4-Accent1">
    <w:name w:val="Grid Table 4 Accent 1"/>
    <w:basedOn w:val="TableNormal"/>
    <w:uiPriority w:val="49"/>
    <w:rsid w:val="003E3DBF"/>
    <w:rPr>
      <w:rFonts w:asciiTheme="minorHAnsi" w:eastAsiaTheme="minorHAnsi" w:hAnsiTheme="minorHAnsi" w:cstheme="minorBidi"/>
      <w:sz w:val="22"/>
      <w:szCs w:val="22"/>
      <w:lang w:val="it-IT"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next w:val="GridTable4-Accent1"/>
    <w:uiPriority w:val="49"/>
    <w:rsid w:val="00A70D52"/>
    <w:rPr>
      <w:rFonts w:ascii="Calibri" w:eastAsia="SimSun" w:hAnsi="Calibri" w:cs="Arial"/>
      <w:sz w:val="22"/>
      <w:szCs w:val="22"/>
      <w:lang w:val="it-IT"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Paragraph">
    <w:name w:val="List Paragraph"/>
    <w:basedOn w:val="Normal"/>
    <w:uiPriority w:val="34"/>
    <w:qFormat/>
    <w:rsid w:val="00664A65"/>
    <w:pPr>
      <w:ind w:left="720"/>
      <w:contextualSpacing/>
    </w:pPr>
  </w:style>
  <w:style w:type="character" w:styleId="Hyperlink">
    <w:name w:val="Hyperlink"/>
    <w:basedOn w:val="DefaultParagraphFont"/>
    <w:unhideWhenUsed/>
    <w:rsid w:val="00664A65"/>
    <w:rPr>
      <w:color w:val="0000FF" w:themeColor="hyperlink"/>
      <w:u w:val="single"/>
    </w:rPr>
  </w:style>
  <w:style w:type="character" w:customStyle="1" w:styleId="FooterChar">
    <w:name w:val="Footer Char"/>
    <w:basedOn w:val="DefaultParagraphFont"/>
    <w:link w:val="Footer"/>
    <w:rsid w:val="0077055C"/>
    <w:rPr>
      <w:rFonts w:ascii="Times New Roman" w:hAnsi="Times New Roman"/>
      <w:caps/>
      <w:noProof/>
      <w:sz w:val="16"/>
      <w:lang w:val="fr-FR" w:eastAsia="en-US"/>
    </w:rPr>
  </w:style>
  <w:style w:type="paragraph" w:customStyle="1" w:styleId="Table">
    <w:name w:val="Table"/>
    <w:basedOn w:val="Normal"/>
    <w:rsid w:val="0077055C"/>
    <w:rPr>
      <w:rFonts w:eastAsia="Calibri"/>
      <w:noProof/>
      <w:szCs w:val="24"/>
      <w:lang w:val="it-IT" w:eastAsia="it-IT"/>
    </w:rPr>
  </w:style>
  <w:style w:type="paragraph" w:customStyle="1" w:styleId="Notes">
    <w:name w:val="Notes"/>
    <w:basedOn w:val="Normal"/>
    <w:rsid w:val="0077055C"/>
    <w:pPr>
      <w:tabs>
        <w:tab w:val="clear" w:pos="1134"/>
        <w:tab w:val="clear" w:pos="1871"/>
        <w:tab w:val="clear" w:pos="2268"/>
      </w:tabs>
      <w:overflowPunct/>
      <w:autoSpaceDE/>
      <w:autoSpaceDN/>
      <w:adjustRightInd/>
      <w:spacing w:before="0"/>
      <w:textAlignment w:val="auto"/>
    </w:pPr>
    <w:rPr>
      <w:rFonts w:eastAsia="Calibri"/>
      <w:sz w:val="20"/>
      <w:lang w:eastAsia="it-IT"/>
    </w:rPr>
  </w:style>
  <w:style w:type="character" w:styleId="UnresolvedMention">
    <w:name w:val="Unresolved Mention"/>
    <w:basedOn w:val="DefaultParagraphFont"/>
    <w:uiPriority w:val="99"/>
    <w:semiHidden/>
    <w:unhideWhenUsed/>
    <w:rsid w:val="004F553A"/>
    <w:rPr>
      <w:color w:val="605E5C"/>
      <w:shd w:val="clear" w:color="auto" w:fill="E1DFDD"/>
    </w:rPr>
  </w:style>
  <w:style w:type="paragraph" w:customStyle="1" w:styleId="figurel">
    <w:name w:val="figurel"/>
    <w:basedOn w:val="Normal"/>
    <w:rsid w:val="004F553A"/>
    <w:rPr>
      <w:rFonts w:eastAsia="Calibri"/>
      <w:noProof/>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43014">
      <w:bodyDiv w:val="1"/>
      <w:marLeft w:val="0"/>
      <w:marRight w:val="0"/>
      <w:marTop w:val="0"/>
      <w:marBottom w:val="0"/>
      <w:divBdr>
        <w:top w:val="none" w:sz="0" w:space="0" w:color="auto"/>
        <w:left w:val="none" w:sz="0" w:space="0" w:color="auto"/>
        <w:bottom w:val="none" w:sz="0" w:space="0" w:color="auto"/>
        <w:right w:val="none" w:sz="0" w:space="0" w:color="auto"/>
      </w:divBdr>
    </w:div>
    <w:div w:id="12809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emf"/><Relationship Id="rId26" Type="http://schemas.openxmlformats.org/officeDocument/2006/relationships/image" Target="media/image11.emf"/><Relationship Id="rId39" Type="http://schemas.openxmlformats.org/officeDocument/2006/relationships/header" Target="header4.xml"/><Relationship Id="rId21" Type="http://schemas.openxmlformats.org/officeDocument/2006/relationships/image" Target="media/image6.emf"/><Relationship Id="rId34" Type="http://schemas.openxmlformats.org/officeDocument/2006/relationships/image" Target="media/image19.emf"/><Relationship Id="rId42" Type="http://schemas.openxmlformats.org/officeDocument/2006/relationships/footer" Target="foot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emf"/><Relationship Id="rId29" Type="http://schemas.openxmlformats.org/officeDocument/2006/relationships/image" Target="media/image14.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3-C-0012/fr"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image" Target="media/image21.emf"/><Relationship Id="rId10" Type="http://schemas.openxmlformats.org/officeDocument/2006/relationships/hyperlink" Target="https://www.itu.int/md/R23-RRB23.3-C-0011/fr" TargetMode="External"/><Relationship Id="rId19" Type="http://schemas.openxmlformats.org/officeDocument/2006/relationships/image" Target="media/image4.emf"/><Relationship Id="rId31" Type="http://schemas.openxmlformats.org/officeDocument/2006/relationships/image" Target="media/image16.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7C66-3CD1-4B72-920B-5A537AEA0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PF_WRC23.dotx</Template>
  <TotalTime>68</TotalTime>
  <Pages>17</Pages>
  <Words>2355</Words>
  <Characters>12853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15178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7</cp:revision>
  <cp:lastPrinted>2003-06-05T19:34:00Z</cp:lastPrinted>
  <dcterms:created xsi:type="dcterms:W3CDTF">2023-11-16T13:17:00Z</dcterms:created>
  <dcterms:modified xsi:type="dcterms:W3CDTF">2023-11-17T07:31:00Z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