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43444A" w:rsidRPr="00DC6429" w14:paraId="6485443D" w14:textId="77777777" w:rsidTr="007935CE">
        <w:trPr>
          <w:cantSplit/>
        </w:trPr>
        <w:tc>
          <w:tcPr>
            <w:tcW w:w="1418" w:type="dxa"/>
            <w:vAlign w:val="center"/>
          </w:tcPr>
          <w:p w14:paraId="58A11B90" w14:textId="77777777" w:rsidR="0043444A" w:rsidRPr="00DC6429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 w:rsidRPr="00DC6429">
              <w:rPr>
                <w:noProof/>
              </w:rPr>
              <w:drawing>
                <wp:inline distT="0" distB="0" distL="0" distR="0" wp14:anchorId="247E532C" wp14:editId="1D49975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AB3728" w14:textId="77777777" w:rsidR="0043444A" w:rsidRPr="00DC6429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C642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DC642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DC642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2093" w:type="dxa"/>
            <w:vAlign w:val="center"/>
          </w:tcPr>
          <w:p w14:paraId="3E6FDD30" w14:textId="77777777" w:rsidR="0043444A" w:rsidRPr="00DC6429" w:rsidRDefault="00EA505C" w:rsidP="00915398">
            <w:pPr>
              <w:spacing w:before="0" w:line="240" w:lineRule="atLeast"/>
            </w:pPr>
            <w:bookmarkStart w:id="1" w:name="ditulogo"/>
            <w:bookmarkEnd w:id="1"/>
            <w:r w:rsidRPr="00DC6429">
              <w:rPr>
                <w:noProof/>
              </w:rPr>
              <w:drawing>
                <wp:inline distT="0" distB="0" distL="0" distR="0" wp14:anchorId="2B3F2AEA" wp14:editId="315E0BB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DC6429" w14:paraId="7F594D97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97D523" w14:textId="77777777" w:rsidR="0043444A" w:rsidRPr="00DC6429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6D89F05" w14:textId="77777777" w:rsidR="0043444A" w:rsidRPr="00DC6429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DC6429" w14:paraId="4ADF31FF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002A4B3" w14:textId="77777777" w:rsidR="0043444A" w:rsidRPr="00DC6429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07530D5" w14:textId="77777777" w:rsidR="0043444A" w:rsidRPr="00DC6429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DC6429" w14:paraId="1D738D21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6F8DDC93" w14:textId="77777777" w:rsidR="0043444A" w:rsidRPr="00DC6429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C6429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053E48C" w14:textId="02A1AA85" w:rsidR="0043444A" w:rsidRPr="00DC6429" w:rsidRDefault="00DD2CFF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C6429">
              <w:rPr>
                <w:rFonts w:ascii="Verdana" w:hAnsi="Verdana"/>
                <w:b/>
                <w:sz w:val="20"/>
              </w:rPr>
              <w:t>Addendum 1 to</w:t>
            </w:r>
            <w:r w:rsidRPr="00DC6429">
              <w:rPr>
                <w:rFonts w:ascii="Verdana" w:hAnsi="Verdana"/>
                <w:b/>
                <w:sz w:val="20"/>
              </w:rPr>
              <w:br/>
            </w:r>
            <w:r w:rsidR="0043444A" w:rsidRPr="00DC6429">
              <w:rPr>
                <w:rFonts w:ascii="Verdana" w:hAnsi="Verdana"/>
                <w:b/>
                <w:sz w:val="20"/>
              </w:rPr>
              <w:t xml:space="preserve">Document </w:t>
            </w:r>
            <w:r w:rsidRPr="00DC6429">
              <w:rPr>
                <w:rFonts w:ascii="Verdana" w:hAnsi="Verdana"/>
                <w:b/>
                <w:sz w:val="20"/>
              </w:rPr>
              <w:t>4</w:t>
            </w:r>
            <w:r w:rsidR="00B86B05" w:rsidRPr="00DC6429">
              <w:rPr>
                <w:rFonts w:ascii="Verdana" w:hAnsi="Verdana"/>
                <w:b/>
                <w:sz w:val="20"/>
              </w:rPr>
              <w:t>(Add.1)</w:t>
            </w:r>
            <w:r w:rsidR="0043444A" w:rsidRPr="00DC6429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3444A" w:rsidRPr="00DC6429" w14:paraId="7711148D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74F9DC4A" w14:textId="77777777" w:rsidR="0043444A" w:rsidRPr="00DC6429" w:rsidRDefault="0043444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084F0A7" w14:textId="7612026F" w:rsidR="0043444A" w:rsidRPr="00DC6429" w:rsidRDefault="00B86B05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C6429">
              <w:rPr>
                <w:rFonts w:ascii="Verdana" w:hAnsi="Verdana"/>
                <w:b/>
                <w:sz w:val="20"/>
              </w:rPr>
              <w:t>15 November</w:t>
            </w:r>
            <w:r w:rsidR="0043444A" w:rsidRPr="00DC6429">
              <w:rPr>
                <w:rFonts w:ascii="Verdana" w:hAnsi="Verdana"/>
                <w:b/>
                <w:sz w:val="20"/>
              </w:rPr>
              <w:t xml:space="preserve"> </w:t>
            </w:r>
            <w:r w:rsidR="00D731F9" w:rsidRPr="00DC6429">
              <w:rPr>
                <w:rFonts w:ascii="Verdana" w:hAnsi="Verdana"/>
                <w:b/>
                <w:sz w:val="20"/>
              </w:rPr>
              <w:t>2023</w:t>
            </w:r>
          </w:p>
        </w:tc>
      </w:tr>
      <w:tr w:rsidR="0043444A" w:rsidRPr="00DC6429" w14:paraId="63A70916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54E55EA" w14:textId="77777777" w:rsidR="0043444A" w:rsidRPr="00DC6429" w:rsidRDefault="0043444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0942D30B" w14:textId="77777777" w:rsidR="0043444A" w:rsidRPr="00DC6429" w:rsidRDefault="0043444A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DC642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43444A" w:rsidRPr="00DC6429" w14:paraId="2035D24E" w14:textId="77777777" w:rsidTr="0043444A">
        <w:trPr>
          <w:cantSplit/>
        </w:trPr>
        <w:tc>
          <w:tcPr>
            <w:tcW w:w="10031" w:type="dxa"/>
            <w:gridSpan w:val="4"/>
          </w:tcPr>
          <w:p w14:paraId="1A1484C2" w14:textId="5E62FD86" w:rsidR="0043444A" w:rsidRPr="00DC6429" w:rsidRDefault="00DD2CFF">
            <w:pPr>
              <w:pStyle w:val="Source"/>
            </w:pPr>
            <w:bookmarkStart w:id="7" w:name="dsource" w:colFirst="0" w:colLast="0"/>
            <w:bookmarkEnd w:id="6"/>
            <w:r w:rsidRPr="00DC6429">
              <w:t>Director, Radiocommunication Bureau</w:t>
            </w:r>
          </w:p>
        </w:tc>
      </w:tr>
      <w:tr w:rsidR="0043444A" w:rsidRPr="00DC6429" w14:paraId="4ABD1FEB" w14:textId="77777777" w:rsidTr="0043444A">
        <w:trPr>
          <w:cantSplit/>
        </w:trPr>
        <w:tc>
          <w:tcPr>
            <w:tcW w:w="10031" w:type="dxa"/>
            <w:gridSpan w:val="4"/>
          </w:tcPr>
          <w:p w14:paraId="4BD1CD48" w14:textId="597FBDDB" w:rsidR="0043444A" w:rsidRPr="00DC6429" w:rsidRDefault="00DD2CFF" w:rsidP="00710187">
            <w:pPr>
              <w:pStyle w:val="QuestionNo"/>
            </w:pPr>
            <w:bookmarkStart w:id="8" w:name="dtitle1" w:colFirst="0" w:colLast="0"/>
            <w:bookmarkEnd w:id="7"/>
            <w:r w:rsidRPr="00DC6429">
              <w:rPr>
                <w:rStyle w:val="normaltextrun"/>
                <w:caps w:val="0"/>
                <w:color w:val="000000"/>
                <w:szCs w:val="28"/>
                <w:shd w:val="clear" w:color="auto" w:fill="FFFFFF"/>
              </w:rPr>
              <w:t>REPORT OF THE DIRECTOR ON THE ACTIVITIES OF THE RADIOCOMMUNICATION SECTOR</w:t>
            </w:r>
          </w:p>
        </w:tc>
      </w:tr>
      <w:tr w:rsidR="0043444A" w:rsidRPr="00DC6429" w14:paraId="0CB3B5D4" w14:textId="77777777" w:rsidTr="0043444A">
        <w:trPr>
          <w:cantSplit/>
        </w:trPr>
        <w:tc>
          <w:tcPr>
            <w:tcW w:w="10031" w:type="dxa"/>
            <w:gridSpan w:val="4"/>
          </w:tcPr>
          <w:p w14:paraId="547E4F44" w14:textId="14A34EB5" w:rsidR="0043444A" w:rsidRPr="00DC6429" w:rsidRDefault="00DD2CFF" w:rsidP="00710187">
            <w:pPr>
              <w:pStyle w:val="QuestionNo"/>
            </w:pPr>
            <w:bookmarkStart w:id="9" w:name="dtitle2" w:colFirst="0" w:colLast="0"/>
            <w:bookmarkEnd w:id="8"/>
            <w:r w:rsidRPr="00DC6429">
              <w:rPr>
                <w:rStyle w:val="normaltextrun"/>
                <w:caps w:val="0"/>
                <w:color w:val="000000"/>
                <w:szCs w:val="28"/>
                <w:shd w:val="clear" w:color="auto" w:fill="FFFFFF"/>
              </w:rPr>
              <w:t>PART 1: ACTIVITIES OF THE RADIOCOMMUNICATION SECTOR IN THE PERIOD BETWEEN WRC-19 AND WRC-23</w:t>
            </w:r>
          </w:p>
        </w:tc>
      </w:tr>
      <w:tr w:rsidR="0043444A" w:rsidRPr="00DC6429" w14:paraId="45446346" w14:textId="77777777" w:rsidTr="0043444A">
        <w:trPr>
          <w:cantSplit/>
        </w:trPr>
        <w:tc>
          <w:tcPr>
            <w:tcW w:w="10031" w:type="dxa"/>
            <w:gridSpan w:val="4"/>
          </w:tcPr>
          <w:p w14:paraId="65533C7D" w14:textId="17AFBEA6" w:rsidR="00FB76E9" w:rsidRPr="00DC6429" w:rsidRDefault="0033316F" w:rsidP="00710187">
            <w:pPr>
              <w:pStyle w:val="Questiontitle"/>
            </w:pPr>
            <w:bookmarkStart w:id="10" w:name="dtitle3" w:colFirst="0" w:colLast="0"/>
            <w:bookmarkEnd w:id="9"/>
            <w:r w:rsidRPr="00DC6429">
              <w:t>Report on progress of processing the requests for new allotments in the fixed-satellite service Plan contained in Appendix 30B and their examination results</w:t>
            </w:r>
          </w:p>
        </w:tc>
      </w:tr>
    </w:tbl>
    <w:bookmarkEnd w:id="10"/>
    <w:p w14:paraId="0B91FCAD" w14:textId="19EF4409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After WRC</w:t>
      </w:r>
      <w:r w:rsidR="00710187" w:rsidRPr="00DC6429">
        <w:rPr>
          <w:rFonts w:eastAsia="Calibri"/>
          <w:lang w:eastAsia="it-IT"/>
        </w:rPr>
        <w:noBreakHyphen/>
      </w:r>
      <w:r w:rsidRPr="00DC6429">
        <w:rPr>
          <w:rFonts w:eastAsia="Calibri"/>
          <w:lang w:eastAsia="it-IT"/>
        </w:rPr>
        <w:t>19, the Bureau has received requests for national allotments from seven Member States in accordance with Articl</w:t>
      </w:r>
      <w:r w:rsidR="00710187" w:rsidRPr="00DC6429">
        <w:rPr>
          <w:rFonts w:eastAsia="Calibri"/>
          <w:lang w:eastAsia="it-IT"/>
        </w:rPr>
        <w:t>e </w:t>
      </w:r>
      <w:r w:rsidRPr="00DC6429">
        <w:rPr>
          <w:rFonts w:eastAsia="Calibri"/>
          <w:lang w:eastAsia="it-IT"/>
        </w:rPr>
        <w:t>7 of Appendix</w:t>
      </w:r>
      <w:r w:rsidR="00710187" w:rsidRPr="00DC6429">
        <w:rPr>
          <w:rFonts w:eastAsia="Calibri"/>
          <w:lang w:eastAsia="it-IT"/>
        </w:rPr>
        <w:t> </w:t>
      </w:r>
      <w:r w:rsidRPr="00DC6429">
        <w:rPr>
          <w:rFonts w:eastAsia="Calibri"/>
          <w:b/>
          <w:bCs/>
          <w:lang w:eastAsia="it-IT"/>
        </w:rPr>
        <w:t>30B</w:t>
      </w:r>
      <w:r w:rsidRPr="00DC6429">
        <w:rPr>
          <w:rFonts w:eastAsia="Calibri"/>
          <w:lang w:eastAsia="it-IT"/>
        </w:rPr>
        <w:t>. Upon receipt of the requests, the Bureau, in accordance with Article</w:t>
      </w:r>
      <w:r w:rsidR="00710187" w:rsidRPr="00DC6429">
        <w:rPr>
          <w:rFonts w:eastAsia="Calibri"/>
          <w:lang w:eastAsia="it-IT"/>
        </w:rPr>
        <w:t> </w:t>
      </w:r>
      <w:r w:rsidRPr="00DC6429">
        <w:rPr>
          <w:rFonts w:eastAsia="Calibri"/>
          <w:lang w:eastAsia="it-IT"/>
        </w:rPr>
        <w:t>7, expeditiously assisted these seven Administrations in selecting their orbital positions with associated technical parameters. Having received the choices of those Administrations, the Bureau processed the requests under § 7.5 of Article 7. Due to unfavourable findings under § 7.5 b), c) and/or d), the proposed allotments were published under Article</w:t>
      </w:r>
      <w:r w:rsidR="00710187" w:rsidRPr="00DC6429">
        <w:rPr>
          <w:rFonts w:eastAsia="Calibri"/>
          <w:lang w:eastAsia="it-IT"/>
        </w:rPr>
        <w:t> </w:t>
      </w:r>
      <w:r w:rsidRPr="00DC6429">
        <w:rPr>
          <w:rFonts w:eastAsia="Calibri"/>
          <w:lang w:eastAsia="it-IT"/>
        </w:rPr>
        <w:t xml:space="preserve">6 in AP30B/A6A Special Sections in accordance with § 7.7, as </w:t>
      </w:r>
      <w:r w:rsidR="00855B45" w:rsidRPr="00DC6429">
        <w:rPr>
          <w:rFonts w:eastAsia="Calibri"/>
          <w:lang w:eastAsia="it-IT"/>
        </w:rPr>
        <w:t>summarized</w:t>
      </w:r>
      <w:r w:rsidRPr="00DC6429">
        <w:rPr>
          <w:rFonts w:eastAsia="Calibri"/>
          <w:lang w:eastAsia="it-IT"/>
        </w:rPr>
        <w:t xml:space="preserve"> in Table 1 below.</w:t>
      </w:r>
    </w:p>
    <w:p w14:paraId="7A97378F" w14:textId="77777777" w:rsidR="00AD0465" w:rsidRPr="00DC6429" w:rsidRDefault="00AD0465" w:rsidP="00710187">
      <w:pPr>
        <w:pStyle w:val="Table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Table 1</w:t>
      </w:r>
    </w:p>
    <w:tbl>
      <w:tblPr>
        <w:tblStyle w:val="GridTable4-Accent11"/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696"/>
        <w:gridCol w:w="1487"/>
        <w:gridCol w:w="2199"/>
        <w:gridCol w:w="3941"/>
      </w:tblGrid>
      <w:tr w:rsidR="00AD0465" w:rsidRPr="00DC6429" w14:paraId="7F32314F" w14:textId="77777777" w:rsidTr="00AD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96" w:type="dxa"/>
            <w:hideMark/>
          </w:tcPr>
          <w:p w14:paraId="163B6A6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Notifying Administration</w:t>
            </w:r>
          </w:p>
        </w:tc>
        <w:tc>
          <w:tcPr>
            <w:tcW w:w="1487" w:type="dxa"/>
            <w:hideMark/>
          </w:tcPr>
          <w:p w14:paraId="006EACA5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Network Name</w:t>
            </w:r>
          </w:p>
        </w:tc>
        <w:tc>
          <w:tcPr>
            <w:tcW w:w="2199" w:type="dxa"/>
          </w:tcPr>
          <w:p w14:paraId="30E1EFA3" w14:textId="48017A69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 xml:space="preserve">Date of </w:t>
            </w:r>
            <w:r w:rsidR="00855B45" w:rsidRPr="00DC6429">
              <w:rPr>
                <w:rFonts w:eastAsia="Calibri"/>
                <w:sz w:val="20"/>
                <w:szCs w:val="20"/>
                <w:lang w:eastAsia="it-IT"/>
              </w:rPr>
              <w:t>receipt</w:t>
            </w:r>
          </w:p>
        </w:tc>
        <w:tc>
          <w:tcPr>
            <w:tcW w:w="3941" w:type="dxa"/>
          </w:tcPr>
          <w:p w14:paraId="66B314CF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Special Sections Published</w:t>
            </w:r>
          </w:p>
        </w:tc>
      </w:tr>
      <w:tr w:rsidR="00AD0465" w:rsidRPr="00DC6429" w14:paraId="00621EEF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  <w:hideMark/>
          </w:tcPr>
          <w:p w14:paraId="439A9FA1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</w:t>
            </w:r>
          </w:p>
        </w:tc>
        <w:tc>
          <w:tcPr>
            <w:tcW w:w="1487" w:type="dxa"/>
            <w:hideMark/>
          </w:tcPr>
          <w:p w14:paraId="1DEACE1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SRB00000 (26.7°W)</w:t>
            </w:r>
          </w:p>
        </w:tc>
        <w:tc>
          <w:tcPr>
            <w:tcW w:w="2199" w:type="dxa"/>
          </w:tcPr>
          <w:p w14:paraId="53F1F43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12.03.2020</w:t>
            </w:r>
          </w:p>
        </w:tc>
        <w:tc>
          <w:tcPr>
            <w:tcW w:w="3941" w:type="dxa"/>
            <w:hideMark/>
          </w:tcPr>
          <w:p w14:paraId="0432DF57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AP30B/A6A/605</w:t>
            </w:r>
          </w:p>
          <w:p w14:paraId="2EAEBBA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2936 of 22.12.2020)</w:t>
            </w:r>
          </w:p>
        </w:tc>
      </w:tr>
      <w:tr w:rsidR="00AD0465" w:rsidRPr="00DC6429" w14:paraId="2FABB699" w14:textId="77777777" w:rsidTr="00425635">
        <w:trPr>
          <w:jc w:val="center"/>
        </w:trPr>
        <w:tc>
          <w:tcPr>
            <w:tcW w:w="1696" w:type="dxa"/>
          </w:tcPr>
          <w:p w14:paraId="4F4976D0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</w:t>
            </w:r>
          </w:p>
        </w:tc>
        <w:tc>
          <w:tcPr>
            <w:tcW w:w="1487" w:type="dxa"/>
          </w:tcPr>
          <w:p w14:paraId="505FE80C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MKD00000 (16.7°W)</w:t>
            </w:r>
          </w:p>
        </w:tc>
        <w:tc>
          <w:tcPr>
            <w:tcW w:w="2199" w:type="dxa"/>
          </w:tcPr>
          <w:p w14:paraId="0A55FE7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01.04.2020</w:t>
            </w:r>
          </w:p>
        </w:tc>
        <w:tc>
          <w:tcPr>
            <w:tcW w:w="3941" w:type="dxa"/>
          </w:tcPr>
          <w:p w14:paraId="200FB023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AP30B/A6A/606</w:t>
            </w:r>
          </w:p>
          <w:p w14:paraId="14E4FC32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2938 of 26.01.2021)</w:t>
            </w:r>
          </w:p>
        </w:tc>
      </w:tr>
      <w:tr w:rsidR="00AD0465" w:rsidRPr="00DC6429" w14:paraId="62433EBE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6988DA6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</w:t>
            </w:r>
          </w:p>
        </w:tc>
        <w:tc>
          <w:tcPr>
            <w:tcW w:w="1487" w:type="dxa"/>
          </w:tcPr>
          <w:p w14:paraId="422FA4E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BIH00000 (46.0°E)</w:t>
            </w:r>
          </w:p>
        </w:tc>
        <w:tc>
          <w:tcPr>
            <w:tcW w:w="2199" w:type="dxa"/>
          </w:tcPr>
          <w:p w14:paraId="38D69CB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03.04.2020</w:t>
            </w:r>
          </w:p>
        </w:tc>
        <w:tc>
          <w:tcPr>
            <w:tcW w:w="3941" w:type="dxa"/>
          </w:tcPr>
          <w:p w14:paraId="1C4808E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AP30B/A6A/607</w:t>
            </w:r>
          </w:p>
          <w:p w14:paraId="128A64A1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2941 of 09.03.2021)</w:t>
            </w:r>
          </w:p>
        </w:tc>
      </w:tr>
      <w:tr w:rsidR="00AD0465" w:rsidRPr="00DC6429" w14:paraId="14D1CE53" w14:textId="77777777" w:rsidTr="00425635">
        <w:trPr>
          <w:jc w:val="center"/>
        </w:trPr>
        <w:tc>
          <w:tcPr>
            <w:tcW w:w="1696" w:type="dxa"/>
          </w:tcPr>
          <w:p w14:paraId="48CAD91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</w:t>
            </w:r>
          </w:p>
        </w:tc>
        <w:tc>
          <w:tcPr>
            <w:tcW w:w="1487" w:type="dxa"/>
          </w:tcPr>
          <w:p w14:paraId="28F70792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MDA00000 (75.1°E)</w:t>
            </w:r>
          </w:p>
        </w:tc>
        <w:tc>
          <w:tcPr>
            <w:tcW w:w="2199" w:type="dxa"/>
          </w:tcPr>
          <w:p w14:paraId="27EA3911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15.04.2020</w:t>
            </w:r>
          </w:p>
        </w:tc>
        <w:tc>
          <w:tcPr>
            <w:tcW w:w="3941" w:type="dxa"/>
          </w:tcPr>
          <w:p w14:paraId="5F9C108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AP30B/A6A/608</w:t>
            </w:r>
          </w:p>
          <w:p w14:paraId="0132CC3C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2943 of 06.04.2021)</w:t>
            </w:r>
          </w:p>
        </w:tc>
      </w:tr>
      <w:tr w:rsidR="00AD0465" w:rsidRPr="00DC6429" w14:paraId="0EB0C17D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4FE5064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487" w:type="dxa"/>
          </w:tcPr>
          <w:p w14:paraId="202F3CCF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SSD00000 (23.9°W)</w:t>
            </w:r>
          </w:p>
        </w:tc>
        <w:tc>
          <w:tcPr>
            <w:tcW w:w="2199" w:type="dxa"/>
          </w:tcPr>
          <w:p w14:paraId="4F3C8CF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28.04.2020</w:t>
            </w:r>
          </w:p>
        </w:tc>
        <w:tc>
          <w:tcPr>
            <w:tcW w:w="3941" w:type="dxa"/>
          </w:tcPr>
          <w:p w14:paraId="60F9C42A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AP30B/A6A/609</w:t>
            </w:r>
          </w:p>
          <w:p w14:paraId="68E75B91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2944 of 20.04.2021)</w:t>
            </w:r>
          </w:p>
        </w:tc>
      </w:tr>
      <w:tr w:rsidR="00AD0465" w:rsidRPr="00DC6429" w14:paraId="13EE7DEC" w14:textId="77777777" w:rsidTr="00425635">
        <w:trPr>
          <w:jc w:val="center"/>
        </w:trPr>
        <w:tc>
          <w:tcPr>
            <w:tcW w:w="1696" w:type="dxa"/>
          </w:tcPr>
          <w:p w14:paraId="2DFB9CE5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</w:t>
            </w:r>
          </w:p>
        </w:tc>
        <w:tc>
          <w:tcPr>
            <w:tcW w:w="1487" w:type="dxa"/>
          </w:tcPr>
          <w:p w14:paraId="28BED7C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GEO00000 (78.0°E)</w:t>
            </w:r>
          </w:p>
        </w:tc>
        <w:tc>
          <w:tcPr>
            <w:tcW w:w="2199" w:type="dxa"/>
          </w:tcPr>
          <w:p w14:paraId="3C68DE4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19.05.2020</w:t>
            </w:r>
          </w:p>
        </w:tc>
        <w:tc>
          <w:tcPr>
            <w:tcW w:w="3941" w:type="dxa"/>
          </w:tcPr>
          <w:p w14:paraId="1E246D10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AP30B/A6A/610</w:t>
            </w:r>
          </w:p>
          <w:p w14:paraId="7678D0C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2946 of 18.05.2021)</w:t>
            </w:r>
          </w:p>
        </w:tc>
      </w:tr>
      <w:tr w:rsidR="00AD0465" w:rsidRPr="00DC6429" w14:paraId="6E2DD215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3F61848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</w:t>
            </w:r>
          </w:p>
        </w:tc>
        <w:tc>
          <w:tcPr>
            <w:tcW w:w="1487" w:type="dxa"/>
          </w:tcPr>
          <w:p w14:paraId="1B26E972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(63.0°E)</w:t>
            </w:r>
          </w:p>
        </w:tc>
        <w:tc>
          <w:tcPr>
            <w:tcW w:w="2199" w:type="dxa"/>
          </w:tcPr>
          <w:p w14:paraId="3ED6742F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24.06.2020</w:t>
            </w:r>
          </w:p>
        </w:tc>
        <w:tc>
          <w:tcPr>
            <w:tcW w:w="3941" w:type="dxa"/>
          </w:tcPr>
          <w:p w14:paraId="44340AA3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AP30B/A6A/611</w:t>
            </w:r>
          </w:p>
          <w:p w14:paraId="1B88E7B5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2947 of 01.06.2021)</w:t>
            </w:r>
          </w:p>
        </w:tc>
      </w:tr>
    </w:tbl>
    <w:p w14:paraId="6EE16CD5" w14:textId="77777777" w:rsidR="00AD0465" w:rsidRPr="00DC6429" w:rsidRDefault="00AD0465" w:rsidP="00ED4B18">
      <w:pPr>
        <w:rPr>
          <w:rFonts w:eastAsia="Calibri"/>
          <w:lang w:eastAsia="it-IT"/>
        </w:rPr>
      </w:pPr>
    </w:p>
    <w:p w14:paraId="5919154C" w14:textId="0DE5E836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As numerous satellite networks, including new submissions for additional systems, were identified as potentially affected, the Radio Regulations Board, in the decision of its 89</w:t>
      </w:r>
      <w:r w:rsidRPr="00DC6429">
        <w:rPr>
          <w:rFonts w:eastAsia="Calibri"/>
          <w:vertAlign w:val="superscript"/>
          <w:lang w:eastAsia="it-IT"/>
        </w:rPr>
        <w:t>th</w:t>
      </w:r>
      <w:r w:rsidRPr="00DC6429">
        <w:rPr>
          <w:rFonts w:eastAsia="Calibri"/>
          <w:lang w:eastAsia="it-IT"/>
        </w:rPr>
        <w:t xml:space="preserve"> meeting, instructed the Bureau to implement, as an interim measure until WRC-23, some additional regulatory measures to Part</w:t>
      </w:r>
      <w:r w:rsidR="00710187" w:rsidRPr="00DC6429">
        <w:rPr>
          <w:rFonts w:eastAsia="Calibri"/>
          <w:lang w:eastAsia="it-IT"/>
        </w:rPr>
        <w:t> </w:t>
      </w:r>
      <w:r w:rsidRPr="00DC6429">
        <w:rPr>
          <w:rFonts w:eastAsia="Calibri"/>
          <w:lang w:eastAsia="it-IT"/>
        </w:rPr>
        <w:t xml:space="preserve">B submissions under Appendix </w:t>
      </w:r>
      <w:r w:rsidRPr="00DC6429">
        <w:rPr>
          <w:rFonts w:eastAsia="Calibri"/>
          <w:b/>
          <w:bCs/>
          <w:lang w:eastAsia="it-IT"/>
        </w:rPr>
        <w:t>30B</w:t>
      </w:r>
      <w:r w:rsidRPr="00DC6429">
        <w:rPr>
          <w:rFonts w:eastAsia="Calibri"/>
          <w:lang w:eastAsia="it-IT"/>
        </w:rPr>
        <w:t xml:space="preserve"> received after 28 October 2021 associated with Part A submissions received before 12 March 2020 in order to avoid further degradation of the aggregate </w:t>
      </w:r>
      <w:r w:rsidRPr="00DC6429">
        <w:rPr>
          <w:rFonts w:eastAsia="Calibri"/>
          <w:i/>
          <w:iCs/>
          <w:lang w:eastAsia="it-IT"/>
        </w:rPr>
        <w:t>C/I</w:t>
      </w:r>
      <w:r w:rsidRPr="00DC6429">
        <w:rPr>
          <w:rFonts w:eastAsia="Calibri"/>
          <w:lang w:eastAsia="it-IT"/>
        </w:rPr>
        <w:t xml:space="preserve"> levels of those Article 7 requests. </w:t>
      </w:r>
    </w:p>
    <w:p w14:paraId="3252F06F" w14:textId="77777777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 xml:space="preserve">In accordance with the instruction of the Board, the Bureau has carefully investigated the impact of the received Part B submissions that might degrade the aggregate </w:t>
      </w:r>
      <w:r w:rsidRPr="00DC6429">
        <w:rPr>
          <w:rFonts w:eastAsia="Calibri"/>
          <w:i/>
          <w:iCs/>
          <w:lang w:eastAsia="it-IT"/>
        </w:rPr>
        <w:t>C/I</w:t>
      </w:r>
      <w:r w:rsidRPr="00DC6429">
        <w:rPr>
          <w:rFonts w:eastAsia="Calibri"/>
          <w:lang w:eastAsia="it-IT"/>
        </w:rPr>
        <w:t xml:space="preserve"> levels of the seven proposed allotments. In those cases where the calculated aggregate </w:t>
      </w:r>
      <w:r w:rsidRPr="00DC6429">
        <w:rPr>
          <w:rFonts w:eastAsia="Calibri"/>
          <w:i/>
          <w:iCs/>
          <w:lang w:eastAsia="it-IT"/>
        </w:rPr>
        <w:t>C/I</w:t>
      </w:r>
      <w:r w:rsidRPr="00DC6429">
        <w:rPr>
          <w:rFonts w:eastAsia="Calibri"/>
          <w:lang w:eastAsia="it-IT"/>
        </w:rPr>
        <w:t xml:space="preserve"> values of any proposed allotment are degraded, the Bureau reached out to the notifying Administrations of the Part B submissions and proposed measures to reduce the interference from their satellite networks to those proposed allotments to less than 0.25 dB. All these notifying Administrations (listed in Table 2 below) kindly accepted the proposals. </w:t>
      </w:r>
    </w:p>
    <w:p w14:paraId="32DE9469" w14:textId="77777777" w:rsidR="00AD0465" w:rsidRPr="00DC6429" w:rsidRDefault="00AD0465" w:rsidP="00710187">
      <w:pPr>
        <w:pStyle w:val="Table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Table 2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696"/>
        <w:gridCol w:w="2071"/>
        <w:gridCol w:w="1331"/>
        <w:gridCol w:w="1701"/>
        <w:gridCol w:w="2524"/>
      </w:tblGrid>
      <w:tr w:rsidR="00AD0465" w:rsidRPr="00DC6429" w14:paraId="10940763" w14:textId="77777777" w:rsidTr="00AD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FF061EE" w14:textId="77777777" w:rsidR="00AD0465" w:rsidRPr="00DC6429" w:rsidRDefault="00AD0465" w:rsidP="00AD046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Notifying Administration</w:t>
            </w:r>
          </w:p>
        </w:tc>
        <w:tc>
          <w:tcPr>
            <w:tcW w:w="2071" w:type="dxa"/>
          </w:tcPr>
          <w:p w14:paraId="63E99C82" w14:textId="3763C93E" w:rsidR="00AD0465" w:rsidRPr="00DC6429" w:rsidRDefault="00AD0465" w:rsidP="00AD046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Satellite name (Part B)</w:t>
            </w:r>
          </w:p>
        </w:tc>
        <w:tc>
          <w:tcPr>
            <w:tcW w:w="1331" w:type="dxa"/>
          </w:tcPr>
          <w:p w14:paraId="14261826" w14:textId="77777777" w:rsidR="00AD0465" w:rsidRPr="00DC6429" w:rsidRDefault="00AD0465" w:rsidP="00AD046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Orbital position</w:t>
            </w:r>
          </w:p>
        </w:tc>
        <w:tc>
          <w:tcPr>
            <w:tcW w:w="1701" w:type="dxa"/>
          </w:tcPr>
          <w:p w14:paraId="14791305" w14:textId="77777777" w:rsidR="00AD0465" w:rsidRPr="00DC6429" w:rsidRDefault="00AD0465" w:rsidP="00AD046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Date of receipt (Part B)</w:t>
            </w:r>
          </w:p>
        </w:tc>
        <w:tc>
          <w:tcPr>
            <w:tcW w:w="2524" w:type="dxa"/>
          </w:tcPr>
          <w:p w14:paraId="03DB568D" w14:textId="77777777" w:rsidR="00AD0465" w:rsidRPr="00DC6429" w:rsidRDefault="00AD0465" w:rsidP="00AD046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Protected assignments</w:t>
            </w:r>
          </w:p>
        </w:tc>
      </w:tr>
      <w:tr w:rsidR="00AD0465" w:rsidRPr="00DC6429" w14:paraId="5B3BF467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EC223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BLR</w:t>
            </w:r>
          </w:p>
        </w:tc>
        <w:tc>
          <w:tcPr>
            <w:tcW w:w="2071" w:type="dxa"/>
          </w:tcPr>
          <w:p w14:paraId="12E9ECE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BLR-FSS2-51.5E</w:t>
            </w:r>
          </w:p>
        </w:tc>
        <w:tc>
          <w:tcPr>
            <w:tcW w:w="1331" w:type="dxa"/>
          </w:tcPr>
          <w:p w14:paraId="3333227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51.5° E</w:t>
            </w:r>
          </w:p>
        </w:tc>
        <w:tc>
          <w:tcPr>
            <w:tcW w:w="1701" w:type="dxa"/>
          </w:tcPr>
          <w:p w14:paraId="4BBE8F1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28.10.2021</w:t>
            </w:r>
          </w:p>
        </w:tc>
        <w:tc>
          <w:tcPr>
            <w:tcW w:w="2524" w:type="dxa"/>
          </w:tcPr>
          <w:p w14:paraId="688541D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BIH00000 (46.0E)</w:t>
            </w:r>
          </w:p>
        </w:tc>
      </w:tr>
      <w:tr w:rsidR="00AD0465" w:rsidRPr="00DC6429" w14:paraId="7EA98D0E" w14:textId="77777777" w:rsidTr="0042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61BF3B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PNG</w:t>
            </w:r>
          </w:p>
        </w:tc>
        <w:tc>
          <w:tcPr>
            <w:tcW w:w="2071" w:type="dxa"/>
          </w:tcPr>
          <w:p w14:paraId="19610387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NEW DAWN FSS-3</w:t>
            </w:r>
          </w:p>
        </w:tc>
        <w:tc>
          <w:tcPr>
            <w:tcW w:w="1331" w:type="dxa"/>
          </w:tcPr>
          <w:p w14:paraId="39D1224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62.0° E</w:t>
            </w:r>
          </w:p>
        </w:tc>
        <w:tc>
          <w:tcPr>
            <w:tcW w:w="1701" w:type="dxa"/>
          </w:tcPr>
          <w:p w14:paraId="271D5F5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18.03.2022</w:t>
            </w:r>
          </w:p>
        </w:tc>
        <w:tc>
          <w:tcPr>
            <w:tcW w:w="2524" w:type="dxa"/>
          </w:tcPr>
          <w:p w14:paraId="2CDEE951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(63.0E)</w:t>
            </w:r>
          </w:p>
        </w:tc>
      </w:tr>
      <w:tr w:rsidR="00AD0465" w:rsidRPr="00DC6429" w14:paraId="55B204D7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9560F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IND</w:t>
            </w:r>
          </w:p>
        </w:tc>
        <w:tc>
          <w:tcPr>
            <w:tcW w:w="2071" w:type="dxa"/>
          </w:tcPr>
          <w:p w14:paraId="02B6194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INSAT-PKU63E</w:t>
            </w:r>
          </w:p>
        </w:tc>
        <w:tc>
          <w:tcPr>
            <w:tcW w:w="1331" w:type="dxa"/>
          </w:tcPr>
          <w:p w14:paraId="1EF4BD6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63.0° E</w:t>
            </w:r>
          </w:p>
        </w:tc>
        <w:tc>
          <w:tcPr>
            <w:tcW w:w="1701" w:type="dxa"/>
          </w:tcPr>
          <w:p w14:paraId="2E1378AF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27.06.2022</w:t>
            </w:r>
          </w:p>
        </w:tc>
        <w:tc>
          <w:tcPr>
            <w:tcW w:w="2524" w:type="dxa"/>
          </w:tcPr>
          <w:p w14:paraId="3C098EA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(63.0E)</w:t>
            </w:r>
          </w:p>
        </w:tc>
      </w:tr>
      <w:tr w:rsidR="00AD0465" w:rsidRPr="00DC6429" w14:paraId="5A1D90A1" w14:textId="77777777" w:rsidTr="0042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708F1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71" w:type="dxa"/>
          </w:tcPr>
          <w:p w14:paraId="5E2E16C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UKFSS-18W-A</w:t>
            </w:r>
          </w:p>
        </w:tc>
        <w:tc>
          <w:tcPr>
            <w:tcW w:w="1331" w:type="dxa"/>
          </w:tcPr>
          <w:p w14:paraId="292DD88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18.0° W</w:t>
            </w:r>
          </w:p>
        </w:tc>
        <w:tc>
          <w:tcPr>
            <w:tcW w:w="1701" w:type="dxa"/>
          </w:tcPr>
          <w:p w14:paraId="5ED92210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01.08.2022</w:t>
            </w:r>
          </w:p>
        </w:tc>
        <w:tc>
          <w:tcPr>
            <w:tcW w:w="2524" w:type="dxa"/>
          </w:tcPr>
          <w:p w14:paraId="4AFCAA4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MKD00000 (16.7W)</w:t>
            </w:r>
          </w:p>
        </w:tc>
      </w:tr>
      <w:tr w:rsidR="00AD0465" w:rsidRPr="00DC6429" w14:paraId="0C71AFEE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424FB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CYP</w:t>
            </w:r>
          </w:p>
        </w:tc>
        <w:tc>
          <w:tcPr>
            <w:tcW w:w="2071" w:type="dxa"/>
          </w:tcPr>
          <w:p w14:paraId="79F940DF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CYP-30B-59.7E-3</w:t>
            </w:r>
          </w:p>
        </w:tc>
        <w:tc>
          <w:tcPr>
            <w:tcW w:w="1331" w:type="dxa"/>
          </w:tcPr>
          <w:p w14:paraId="6A3AB4F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59.7°E</w:t>
            </w:r>
          </w:p>
        </w:tc>
        <w:tc>
          <w:tcPr>
            <w:tcW w:w="1701" w:type="dxa"/>
          </w:tcPr>
          <w:p w14:paraId="693CDDEA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09.12.2022</w:t>
            </w:r>
          </w:p>
        </w:tc>
        <w:tc>
          <w:tcPr>
            <w:tcW w:w="2524" w:type="dxa"/>
          </w:tcPr>
          <w:p w14:paraId="5F1A3BB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(63.0E)</w:t>
            </w:r>
          </w:p>
        </w:tc>
      </w:tr>
    </w:tbl>
    <w:p w14:paraId="0076E5C7" w14:textId="223BA9AA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During the August-September period of 2023, the Bureau has received submissions under § 6.17 of Article</w:t>
      </w:r>
      <w:r w:rsidR="00710187" w:rsidRPr="00DC6429">
        <w:rPr>
          <w:rFonts w:eastAsia="Calibri"/>
          <w:lang w:eastAsia="it-IT"/>
        </w:rPr>
        <w:t> </w:t>
      </w:r>
      <w:r w:rsidRPr="00DC6429">
        <w:rPr>
          <w:rFonts w:eastAsia="Calibri"/>
          <w:lang w:eastAsia="it-IT"/>
        </w:rPr>
        <w:t xml:space="preserve">6 of Appendix </w:t>
      </w:r>
      <w:r w:rsidRPr="00DC6429">
        <w:rPr>
          <w:rFonts w:eastAsia="Calibri"/>
          <w:b/>
          <w:bCs/>
          <w:lang w:eastAsia="it-IT"/>
        </w:rPr>
        <w:t>30B</w:t>
      </w:r>
      <w:r w:rsidRPr="00DC6429">
        <w:rPr>
          <w:rFonts w:eastAsia="Calibri"/>
          <w:lang w:eastAsia="it-IT"/>
        </w:rPr>
        <w:t xml:space="preserve"> (i.e. Part B) for all the seven above-mentioned Article 7 requests (See Table</w:t>
      </w:r>
      <w:r w:rsidR="00710187" w:rsidRPr="00DC6429">
        <w:rPr>
          <w:rFonts w:eastAsia="Calibri"/>
          <w:lang w:eastAsia="it-IT"/>
        </w:rPr>
        <w:t> </w:t>
      </w:r>
      <w:r w:rsidRPr="00DC6429">
        <w:rPr>
          <w:rFonts w:eastAsia="Calibri"/>
          <w:lang w:eastAsia="it-IT"/>
        </w:rPr>
        <w:t>3 below).</w:t>
      </w:r>
    </w:p>
    <w:p w14:paraId="6C59AC20" w14:textId="77777777" w:rsidR="00AD0465" w:rsidRPr="00DC6429" w:rsidRDefault="00AD0465" w:rsidP="00710187">
      <w:pPr>
        <w:pStyle w:val="Table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Table 3</w:t>
      </w:r>
    </w:p>
    <w:tbl>
      <w:tblPr>
        <w:tblStyle w:val="GridTable4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40"/>
        <w:gridCol w:w="1783"/>
        <w:gridCol w:w="1123"/>
        <w:gridCol w:w="1762"/>
        <w:gridCol w:w="1762"/>
      </w:tblGrid>
      <w:tr w:rsidR="00AD0465" w:rsidRPr="00DC6429" w14:paraId="4CADEA60" w14:textId="77777777" w:rsidTr="00AD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472D479B" w14:textId="77777777" w:rsidR="00AD0465" w:rsidRPr="00DC6429" w:rsidRDefault="00AD0465" w:rsidP="00AD046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Administration</w:t>
            </w:r>
          </w:p>
        </w:tc>
        <w:tc>
          <w:tcPr>
            <w:tcW w:w="1783" w:type="dxa"/>
          </w:tcPr>
          <w:p w14:paraId="2F20CD9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Satellite name</w:t>
            </w:r>
          </w:p>
        </w:tc>
        <w:tc>
          <w:tcPr>
            <w:tcW w:w="1123" w:type="dxa"/>
          </w:tcPr>
          <w:p w14:paraId="187CE4B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Position</w:t>
            </w:r>
          </w:p>
        </w:tc>
        <w:tc>
          <w:tcPr>
            <w:tcW w:w="1762" w:type="dxa"/>
          </w:tcPr>
          <w:p w14:paraId="0A60054C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Date of receipt</w:t>
            </w:r>
          </w:p>
        </w:tc>
        <w:tc>
          <w:tcPr>
            <w:tcW w:w="1762" w:type="dxa"/>
          </w:tcPr>
          <w:p w14:paraId="20B7F7E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highlight w:val="darkCyan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 xml:space="preserve">Regulatory </w:t>
            </w:r>
            <w:r w:rsidRPr="00DC6429">
              <w:rPr>
                <w:rFonts w:eastAsia="Calibri"/>
                <w:sz w:val="20"/>
                <w:szCs w:val="20"/>
                <w:lang w:eastAsia="it-IT"/>
              </w:rPr>
              <w:br/>
              <w:t>Time Limit</w:t>
            </w:r>
          </w:p>
        </w:tc>
      </w:tr>
      <w:tr w:rsidR="00AD0465" w:rsidRPr="00DC6429" w14:paraId="389087FC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47054B1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</w:t>
            </w:r>
          </w:p>
        </w:tc>
        <w:tc>
          <w:tcPr>
            <w:tcW w:w="1783" w:type="dxa"/>
          </w:tcPr>
          <w:p w14:paraId="311E0ED1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</w:t>
            </w:r>
          </w:p>
        </w:tc>
        <w:tc>
          <w:tcPr>
            <w:tcW w:w="1123" w:type="dxa"/>
          </w:tcPr>
          <w:p w14:paraId="692B258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63.0°E</w:t>
            </w:r>
          </w:p>
        </w:tc>
        <w:tc>
          <w:tcPr>
            <w:tcW w:w="1762" w:type="dxa"/>
          </w:tcPr>
          <w:p w14:paraId="374B1EA2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18.08.2023</w:t>
            </w:r>
          </w:p>
        </w:tc>
        <w:tc>
          <w:tcPr>
            <w:tcW w:w="1762" w:type="dxa"/>
          </w:tcPr>
          <w:p w14:paraId="57E2F2FC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24.06.2028</w:t>
            </w:r>
          </w:p>
        </w:tc>
      </w:tr>
      <w:tr w:rsidR="00AD0465" w:rsidRPr="00DC6429" w14:paraId="3305B226" w14:textId="77777777" w:rsidTr="00425635">
        <w:trPr>
          <w:jc w:val="center"/>
        </w:trPr>
        <w:tc>
          <w:tcPr>
            <w:tcW w:w="2940" w:type="dxa"/>
          </w:tcPr>
          <w:p w14:paraId="1BBDB19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</w:t>
            </w:r>
          </w:p>
        </w:tc>
        <w:tc>
          <w:tcPr>
            <w:tcW w:w="1783" w:type="dxa"/>
          </w:tcPr>
          <w:p w14:paraId="57533FBA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SRB00000</w:t>
            </w:r>
          </w:p>
        </w:tc>
        <w:tc>
          <w:tcPr>
            <w:tcW w:w="1123" w:type="dxa"/>
          </w:tcPr>
          <w:p w14:paraId="2FC0BA2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26.7°W</w:t>
            </w:r>
          </w:p>
        </w:tc>
        <w:tc>
          <w:tcPr>
            <w:tcW w:w="1762" w:type="dxa"/>
          </w:tcPr>
          <w:p w14:paraId="0FB2667A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22.08.2023</w:t>
            </w:r>
          </w:p>
        </w:tc>
        <w:tc>
          <w:tcPr>
            <w:tcW w:w="1762" w:type="dxa"/>
          </w:tcPr>
          <w:p w14:paraId="4A1216E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12.03.2028</w:t>
            </w:r>
          </w:p>
        </w:tc>
      </w:tr>
      <w:tr w:rsidR="00AD0465" w:rsidRPr="00DC6429" w14:paraId="637474E2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7C903CE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783" w:type="dxa"/>
          </w:tcPr>
          <w:p w14:paraId="447DA012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SSD00000</w:t>
            </w:r>
          </w:p>
        </w:tc>
        <w:tc>
          <w:tcPr>
            <w:tcW w:w="1123" w:type="dxa"/>
          </w:tcPr>
          <w:p w14:paraId="22729BE5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23.9°W</w:t>
            </w:r>
          </w:p>
        </w:tc>
        <w:tc>
          <w:tcPr>
            <w:tcW w:w="1762" w:type="dxa"/>
          </w:tcPr>
          <w:p w14:paraId="21D3735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22.08.2023</w:t>
            </w:r>
          </w:p>
        </w:tc>
        <w:tc>
          <w:tcPr>
            <w:tcW w:w="1762" w:type="dxa"/>
          </w:tcPr>
          <w:p w14:paraId="47FD8217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28.04.2028</w:t>
            </w:r>
          </w:p>
        </w:tc>
      </w:tr>
      <w:tr w:rsidR="00AD0465" w:rsidRPr="00DC6429" w14:paraId="0F7D5F74" w14:textId="77777777" w:rsidTr="00425635">
        <w:trPr>
          <w:jc w:val="center"/>
        </w:trPr>
        <w:tc>
          <w:tcPr>
            <w:tcW w:w="2940" w:type="dxa"/>
          </w:tcPr>
          <w:p w14:paraId="05B4FBB7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</w:t>
            </w:r>
          </w:p>
        </w:tc>
        <w:tc>
          <w:tcPr>
            <w:tcW w:w="1783" w:type="dxa"/>
          </w:tcPr>
          <w:p w14:paraId="0B294764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MKD00000</w:t>
            </w:r>
          </w:p>
        </w:tc>
        <w:tc>
          <w:tcPr>
            <w:tcW w:w="1123" w:type="dxa"/>
          </w:tcPr>
          <w:p w14:paraId="49A48BB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16.7°W</w:t>
            </w:r>
          </w:p>
        </w:tc>
        <w:tc>
          <w:tcPr>
            <w:tcW w:w="1762" w:type="dxa"/>
          </w:tcPr>
          <w:p w14:paraId="4891A54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22.08.2023</w:t>
            </w:r>
          </w:p>
        </w:tc>
        <w:tc>
          <w:tcPr>
            <w:tcW w:w="1762" w:type="dxa"/>
          </w:tcPr>
          <w:p w14:paraId="167E89E9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01.04.2028</w:t>
            </w:r>
          </w:p>
        </w:tc>
      </w:tr>
      <w:tr w:rsidR="00AD0465" w:rsidRPr="00DC6429" w14:paraId="33BD1EB5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57C39445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</w:t>
            </w:r>
          </w:p>
        </w:tc>
        <w:tc>
          <w:tcPr>
            <w:tcW w:w="1783" w:type="dxa"/>
          </w:tcPr>
          <w:p w14:paraId="051BFE93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BIH00000</w:t>
            </w:r>
          </w:p>
        </w:tc>
        <w:tc>
          <w:tcPr>
            <w:tcW w:w="1123" w:type="dxa"/>
          </w:tcPr>
          <w:p w14:paraId="1E020946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46.0°E</w:t>
            </w:r>
          </w:p>
        </w:tc>
        <w:tc>
          <w:tcPr>
            <w:tcW w:w="1762" w:type="dxa"/>
          </w:tcPr>
          <w:p w14:paraId="4F2A7AE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25.08.2023</w:t>
            </w:r>
          </w:p>
        </w:tc>
        <w:tc>
          <w:tcPr>
            <w:tcW w:w="1762" w:type="dxa"/>
          </w:tcPr>
          <w:p w14:paraId="2BBAAE4A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03.04.2028</w:t>
            </w:r>
          </w:p>
        </w:tc>
      </w:tr>
      <w:tr w:rsidR="00AD0465" w:rsidRPr="00DC6429" w14:paraId="07CB7032" w14:textId="77777777" w:rsidTr="00425635">
        <w:trPr>
          <w:jc w:val="center"/>
        </w:trPr>
        <w:tc>
          <w:tcPr>
            <w:tcW w:w="2940" w:type="dxa"/>
          </w:tcPr>
          <w:p w14:paraId="794FC6B7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</w:t>
            </w:r>
          </w:p>
        </w:tc>
        <w:tc>
          <w:tcPr>
            <w:tcW w:w="1783" w:type="dxa"/>
          </w:tcPr>
          <w:p w14:paraId="048746D5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GEO00000</w:t>
            </w:r>
          </w:p>
        </w:tc>
        <w:tc>
          <w:tcPr>
            <w:tcW w:w="1123" w:type="dxa"/>
          </w:tcPr>
          <w:p w14:paraId="54B4FFAB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78.0°E</w:t>
            </w:r>
          </w:p>
        </w:tc>
        <w:tc>
          <w:tcPr>
            <w:tcW w:w="1762" w:type="dxa"/>
          </w:tcPr>
          <w:p w14:paraId="3EC115FE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02.09.2023</w:t>
            </w:r>
          </w:p>
        </w:tc>
        <w:tc>
          <w:tcPr>
            <w:tcW w:w="1762" w:type="dxa"/>
          </w:tcPr>
          <w:p w14:paraId="10758712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19.05.2028</w:t>
            </w:r>
          </w:p>
        </w:tc>
      </w:tr>
      <w:tr w:rsidR="00AD0465" w:rsidRPr="00DC6429" w14:paraId="57B40FF0" w14:textId="77777777" w:rsidTr="00AD0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229BD98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</w:t>
            </w:r>
          </w:p>
        </w:tc>
        <w:tc>
          <w:tcPr>
            <w:tcW w:w="1783" w:type="dxa"/>
          </w:tcPr>
          <w:p w14:paraId="4FF5B037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MDA00000</w:t>
            </w:r>
          </w:p>
        </w:tc>
        <w:tc>
          <w:tcPr>
            <w:tcW w:w="1123" w:type="dxa"/>
          </w:tcPr>
          <w:p w14:paraId="1F761E73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75.1°E</w:t>
            </w:r>
          </w:p>
        </w:tc>
        <w:tc>
          <w:tcPr>
            <w:tcW w:w="1762" w:type="dxa"/>
          </w:tcPr>
          <w:p w14:paraId="117AEDE8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05.09.2023</w:t>
            </w:r>
          </w:p>
        </w:tc>
        <w:tc>
          <w:tcPr>
            <w:tcW w:w="1762" w:type="dxa"/>
          </w:tcPr>
          <w:p w14:paraId="3405A5BD" w14:textId="77777777" w:rsidR="00AD0465" w:rsidRPr="00DC6429" w:rsidRDefault="00AD0465" w:rsidP="00AD04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15.04.2028</w:t>
            </w:r>
          </w:p>
        </w:tc>
      </w:tr>
    </w:tbl>
    <w:p w14:paraId="31D44095" w14:textId="77777777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In the accompanying letters, the Bureau was requested to consider and process those Part B submissions as soon as possible and to publish the relevant AP30B/A6B Special Sections preferably before WRC-23, as the notifying administrations wish to conclude the inclusion in the Plan of their proposed new allotments during WRC-23. In addition, the seven Administrations have requested the Bureau:</w:t>
      </w:r>
    </w:p>
    <w:p w14:paraId="36BE582A" w14:textId="3C8C1C33" w:rsidR="00AD0465" w:rsidRPr="00DC6429" w:rsidRDefault="00710187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1)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 xml:space="preserve">to </w:t>
      </w:r>
      <w:proofErr w:type="gramStart"/>
      <w:r w:rsidR="00AD0465" w:rsidRPr="00DC6429">
        <w:rPr>
          <w:rFonts w:eastAsia="Calibri"/>
          <w:lang w:eastAsia="it-IT"/>
        </w:rPr>
        <w:t>take into account</w:t>
      </w:r>
      <w:proofErr w:type="gramEnd"/>
      <w:r w:rsidR="00AD0465" w:rsidRPr="00DC6429">
        <w:rPr>
          <w:rFonts w:eastAsia="Calibri"/>
          <w:lang w:eastAsia="it-IT"/>
        </w:rPr>
        <w:t xml:space="preserve"> any coordination agreement, which had been communicated to the Bureau by affected Administrations,</w:t>
      </w:r>
    </w:p>
    <w:p w14:paraId="3F491A66" w14:textId="47957B8D" w:rsidR="00AD0465" w:rsidRPr="00DC6429" w:rsidRDefault="00710187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2)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>not to update the reference situation of the affected satellite networks for which a coordination agreement was given,</w:t>
      </w:r>
    </w:p>
    <w:p w14:paraId="72869E68" w14:textId="4CB1A51E" w:rsidR="00AD0465" w:rsidRPr="00DC6429" w:rsidRDefault="00710187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3)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 xml:space="preserve">to apply § 6.25 of Article 6 of Appendix </w:t>
      </w:r>
      <w:r w:rsidR="00AD0465" w:rsidRPr="00DC6429">
        <w:rPr>
          <w:rFonts w:eastAsia="Calibri"/>
          <w:b/>
          <w:bCs/>
          <w:lang w:eastAsia="it-IT"/>
        </w:rPr>
        <w:t>30B</w:t>
      </w:r>
      <w:r w:rsidR="00AD0465" w:rsidRPr="00DC6429">
        <w:rPr>
          <w:rFonts w:eastAsia="Calibri"/>
          <w:lang w:eastAsia="it-IT"/>
        </w:rPr>
        <w:t xml:space="preserve"> in respect of the remaining affected assignments,</w:t>
      </w:r>
    </w:p>
    <w:p w14:paraId="5AA9ACEC" w14:textId="3A5BC94E" w:rsidR="00710187" w:rsidRPr="00DC6429" w:rsidRDefault="00710187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4)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>to include the frequency assignments of the subject submission into the List even if a national allotment of another Administration was to be identified as affected without updating the reference situation of such allotment.</w:t>
      </w:r>
    </w:p>
    <w:p w14:paraId="62360DDD" w14:textId="77777777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 xml:space="preserve">As there was no clear provision in Appendix </w:t>
      </w:r>
      <w:r w:rsidRPr="00DC6429">
        <w:rPr>
          <w:rFonts w:eastAsia="Calibri"/>
          <w:b/>
          <w:bCs/>
          <w:lang w:eastAsia="it-IT"/>
        </w:rPr>
        <w:t>30B</w:t>
      </w:r>
      <w:r w:rsidRPr="00DC6429">
        <w:rPr>
          <w:rFonts w:eastAsia="Calibri"/>
          <w:lang w:eastAsia="it-IT"/>
        </w:rPr>
        <w:t xml:space="preserve"> which allowed the Bureau to implement the requests 2) and 4) above, the Bureau sought guidance from the Board on how to treat these requests (</w:t>
      </w:r>
      <w:hyperlink r:id="rId13" w:history="1">
        <w:r w:rsidRPr="00DC6429">
          <w:rPr>
            <w:rFonts w:eastAsia="Calibri"/>
            <w:color w:val="0000FF"/>
            <w:u w:val="single"/>
            <w:lang w:eastAsia="it-IT"/>
          </w:rPr>
          <w:t>Addendum 2 to Document RRB23-3/11</w:t>
        </w:r>
      </w:hyperlink>
      <w:r w:rsidRPr="00DC6429">
        <w:rPr>
          <w:rFonts w:eastAsia="Calibri"/>
          <w:lang w:eastAsia="it-IT"/>
        </w:rPr>
        <w:t>). Having considered the Bureau’s request, together with a joint contribution to the 94</w:t>
      </w:r>
      <w:r w:rsidRPr="00DC6429">
        <w:rPr>
          <w:rFonts w:eastAsia="Calibri"/>
          <w:vertAlign w:val="superscript"/>
          <w:lang w:eastAsia="it-IT"/>
        </w:rPr>
        <w:t>th</w:t>
      </w:r>
      <w:r w:rsidRPr="00DC6429">
        <w:rPr>
          <w:rFonts w:eastAsia="Calibri"/>
          <w:lang w:eastAsia="it-IT"/>
        </w:rPr>
        <w:t xml:space="preserve"> RRB meeting (see </w:t>
      </w:r>
      <w:hyperlink r:id="rId14" w:history="1">
        <w:r w:rsidRPr="00DC6429">
          <w:rPr>
            <w:rFonts w:eastAsia="Calibri"/>
            <w:color w:val="0000FF"/>
            <w:u w:val="single"/>
            <w:lang w:eastAsia="it-IT"/>
          </w:rPr>
          <w:t>Document RRB23-3/12</w:t>
        </w:r>
      </w:hyperlink>
      <w:r w:rsidRPr="00DC6429">
        <w:rPr>
          <w:rFonts w:eastAsia="Calibri"/>
          <w:color w:val="0000FF"/>
          <w:u w:val="single"/>
          <w:lang w:eastAsia="it-IT"/>
        </w:rPr>
        <w:t>)</w:t>
      </w:r>
      <w:r w:rsidRPr="00DC6429">
        <w:rPr>
          <w:rFonts w:eastAsia="Calibri"/>
          <w:lang w:eastAsia="it-IT"/>
        </w:rPr>
        <w:t xml:space="preserve">, the Board instructed the Bureau, </w:t>
      </w:r>
      <w:r w:rsidRPr="00DC6429">
        <w:rPr>
          <w:rFonts w:eastAsia="Calibri"/>
          <w:i/>
          <w:iCs/>
          <w:lang w:eastAsia="it-IT"/>
        </w:rPr>
        <w:t>inter alia</w:t>
      </w:r>
      <w:r w:rsidRPr="00DC6429">
        <w:rPr>
          <w:rFonts w:eastAsia="Calibri"/>
          <w:lang w:eastAsia="it-IT"/>
        </w:rPr>
        <w:t>, to</w:t>
      </w:r>
      <w:r w:rsidRPr="00DC6429">
        <w:rPr>
          <w:rFonts w:eastAsia="Calibri"/>
          <w:i/>
          <w:iCs/>
          <w:lang w:eastAsia="it-IT"/>
        </w:rPr>
        <w:t xml:space="preserve"> submit a report to WRC-23 to facilitate the decision process with the objective of including the proposed new allotments in the Appendix </w:t>
      </w:r>
      <w:r w:rsidRPr="00DC6429">
        <w:rPr>
          <w:rFonts w:eastAsia="Calibri"/>
          <w:b/>
          <w:bCs/>
          <w:i/>
          <w:iCs/>
          <w:lang w:eastAsia="it-IT"/>
        </w:rPr>
        <w:t>30B</w:t>
      </w:r>
      <w:r w:rsidRPr="00DC6429">
        <w:rPr>
          <w:rFonts w:eastAsia="Calibri"/>
          <w:i/>
          <w:iCs/>
          <w:lang w:eastAsia="it-IT"/>
        </w:rPr>
        <w:t xml:space="preserve"> Plan. The report would include the coordination status summaries for each Part B of the Article 7 requests and examination results based on the coordination status on 30 October 2023 and the following approaches:</w:t>
      </w:r>
    </w:p>
    <w:p w14:paraId="4EBEB5B2" w14:textId="5EBD7575" w:rsidR="00AD0465" w:rsidRPr="00DC6429" w:rsidRDefault="00ED4B18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•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 xml:space="preserve">examination in accordance with the provisions of the Radio Regulations; </w:t>
      </w:r>
    </w:p>
    <w:p w14:paraId="054D4269" w14:textId="08CB0ADD" w:rsidR="00AD0465" w:rsidRPr="00DC6429" w:rsidRDefault="00ED4B18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•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>examination in accordance with the provisions of the Radio Regulations without updating the reference situation;</w:t>
      </w:r>
    </w:p>
    <w:p w14:paraId="7FF97A53" w14:textId="706C7242" w:rsidR="00AD0465" w:rsidRPr="00DC6429" w:rsidRDefault="00ED4B18" w:rsidP="00ED4B18">
      <w:pPr>
        <w:pStyle w:val="enumlev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•</w:t>
      </w:r>
      <w:r w:rsidRPr="00DC6429">
        <w:rPr>
          <w:rFonts w:eastAsia="Calibri"/>
          <w:lang w:eastAsia="it-IT"/>
        </w:rPr>
        <w:tab/>
      </w:r>
      <w:r w:rsidR="00AD0465" w:rsidRPr="00DC6429">
        <w:rPr>
          <w:rFonts w:eastAsia="Calibri"/>
          <w:lang w:eastAsia="it-IT"/>
        </w:rPr>
        <w:t xml:space="preserve">examination in accordance with the criteria provided in Resolution </w:t>
      </w:r>
      <w:r w:rsidR="00AD0465" w:rsidRPr="00DC6429">
        <w:rPr>
          <w:rFonts w:eastAsia="Calibri"/>
          <w:b/>
          <w:bCs/>
          <w:lang w:eastAsia="it-IT"/>
        </w:rPr>
        <w:t>170 (WRC-19)</w:t>
      </w:r>
      <w:r w:rsidR="00AD0465" w:rsidRPr="00DC6429">
        <w:rPr>
          <w:rFonts w:eastAsia="Calibri"/>
          <w:lang w:eastAsia="it-IT"/>
        </w:rPr>
        <w:t xml:space="preserve"> (with and without updating the reference situation).</w:t>
      </w:r>
    </w:p>
    <w:p w14:paraId="20D6CD99" w14:textId="5A888DB9" w:rsidR="00AD0465" w:rsidRPr="00DC6429" w:rsidRDefault="00AD0465" w:rsidP="00710187">
      <w:pPr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In response, the Bureau has analy</w:t>
      </w:r>
      <w:r w:rsidR="00855B45" w:rsidRPr="00DC6429">
        <w:rPr>
          <w:rFonts w:eastAsia="Calibri"/>
          <w:lang w:eastAsia="it-IT"/>
        </w:rPr>
        <w:t>s</w:t>
      </w:r>
      <w:r w:rsidRPr="00DC6429">
        <w:rPr>
          <w:rFonts w:eastAsia="Calibri"/>
          <w:lang w:eastAsia="it-IT"/>
        </w:rPr>
        <w:t xml:space="preserve">ed the seven Part B submissions in the approaches instructed by the Board and the summary of the results of these technical examinations are contained in the Annexes 1 to 7 with relevant coordination status. </w:t>
      </w:r>
    </w:p>
    <w:p w14:paraId="3C6A71F0" w14:textId="77777777" w:rsidR="0084054E" w:rsidRPr="00DC6429" w:rsidRDefault="0084054E" w:rsidP="00710187">
      <w:pPr>
        <w:rPr>
          <w:rFonts w:eastAsia="Calibri"/>
          <w:lang w:eastAsia="it-IT"/>
        </w:rPr>
      </w:pPr>
    </w:p>
    <w:p w14:paraId="6B9A1B67" w14:textId="77777777" w:rsidR="00AD0465" w:rsidRPr="00DC6429" w:rsidRDefault="00AD0465" w:rsidP="00AD0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  <w:bookmarkStart w:id="11" w:name="_Hlk150761362"/>
      <w:r w:rsidRPr="00DC6429">
        <w:rPr>
          <w:rFonts w:eastAsia="Calibri"/>
          <w:b/>
          <w:bCs/>
          <w:szCs w:val="24"/>
          <w:lang w:eastAsia="it-IT"/>
        </w:rPr>
        <w:t>The Conference is invited to decide whether, in</w:t>
      </w:r>
      <w:r w:rsidRPr="00DC6429">
        <w:rPr>
          <w:rFonts w:ascii="Microsoft YaHei" w:eastAsia="Microsoft YaHei" w:hAnsi="Microsoft YaHei" w:cs="Microsoft YaHei"/>
          <w:b/>
          <w:bCs/>
          <w:szCs w:val="24"/>
          <w:lang w:eastAsia="zh-CN"/>
        </w:rPr>
        <w:t xml:space="preserve"> </w:t>
      </w:r>
      <w:r w:rsidRPr="00DC6429">
        <w:rPr>
          <w:rFonts w:eastAsia="Calibri"/>
          <w:b/>
          <w:bCs/>
          <w:szCs w:val="24"/>
          <w:lang w:eastAsia="it-IT"/>
        </w:rPr>
        <w:t xml:space="preserve">the treatment of the seven Part B submissions: </w:t>
      </w:r>
    </w:p>
    <w:p w14:paraId="121A40CC" w14:textId="77777777" w:rsidR="00AD0465" w:rsidRPr="00DC6429" w:rsidRDefault="00AD0465" w:rsidP="00AD0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</w:p>
    <w:p w14:paraId="143487B0" w14:textId="77777777" w:rsidR="00AD0465" w:rsidRPr="00DC6429" w:rsidRDefault="00AD0465" w:rsidP="00AD0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t>1) the frequency assignments of the seven Part B submissions can be included into the List even if a national allotment of another Administration is identified as affected; and</w:t>
      </w:r>
    </w:p>
    <w:p w14:paraId="3E46198B" w14:textId="77777777" w:rsidR="00AD0465" w:rsidRPr="00DC6429" w:rsidRDefault="00AD0465" w:rsidP="00AD0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</w:p>
    <w:p w14:paraId="224EC297" w14:textId="77777777" w:rsidR="00AD0465" w:rsidRPr="00DC6429" w:rsidRDefault="00AD0465" w:rsidP="00AD0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t>2) the reference situation of the affected assignments or allotments for which a coordination agreement has been given can remain not updated.</w:t>
      </w:r>
    </w:p>
    <w:bookmarkEnd w:id="11"/>
    <w:p w14:paraId="71391A40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/>
          <w:szCs w:val="24"/>
          <w:lang w:eastAsia="it-IT"/>
        </w:rPr>
      </w:pPr>
    </w:p>
    <w:p w14:paraId="0EA37816" w14:textId="7CDDC49B" w:rsidR="00C74DA0" w:rsidRPr="00DC6429" w:rsidRDefault="00AD0465" w:rsidP="0071018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szCs w:val="24"/>
          <w:lang w:eastAsia="it-IT"/>
        </w:rPr>
        <w:t>_______________</w:t>
      </w:r>
    </w:p>
    <w:p w14:paraId="740F8C71" w14:textId="77777777" w:rsidR="00AD0465" w:rsidRPr="00DC6429" w:rsidRDefault="00AD0465" w:rsidP="00C74DA0"/>
    <w:p w14:paraId="640EC4CB" w14:textId="77777777" w:rsidR="00AD0465" w:rsidRPr="00DC6429" w:rsidRDefault="00AD0465" w:rsidP="00C74DA0">
      <w:pPr>
        <w:sectPr w:rsidR="00AD0465" w:rsidRPr="00DC6429" w:rsidSect="004B68B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418" w:right="1134" w:bottom="851" w:left="1134" w:header="720" w:footer="720" w:gutter="0"/>
          <w:paperSrc w:first="15" w:other="15"/>
          <w:cols w:space="720"/>
          <w:titlePg/>
          <w:docGrid w:linePitch="326"/>
        </w:sectPr>
      </w:pPr>
    </w:p>
    <w:p w14:paraId="3F2F3132" w14:textId="77777777" w:rsidR="00AD0465" w:rsidRPr="00DC6429" w:rsidRDefault="00AD0465" w:rsidP="00710187">
      <w:pPr>
        <w:pStyle w:val="AnnexNo"/>
        <w:rPr>
          <w:rFonts w:ascii="Microsoft YaHei" w:eastAsia="Microsoft YaHei" w:hAnsi="Microsoft YaHei" w:cs="Microsoft YaHei"/>
          <w:lang w:eastAsia="zh-CN"/>
        </w:rPr>
      </w:pPr>
      <w:r w:rsidRPr="00DC6429">
        <w:rPr>
          <w:rFonts w:eastAsia="Calibri"/>
          <w:lang w:eastAsia="it-IT"/>
        </w:rPr>
        <w:lastRenderedPageBreak/>
        <w:t xml:space="preserve">Annex 1 </w:t>
      </w:r>
    </w:p>
    <w:p w14:paraId="107F17AB" w14:textId="77777777" w:rsidR="00AD0465" w:rsidRPr="00DC6429" w:rsidRDefault="00AD0465" w:rsidP="00710187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Result of examinations Part B submission of 120559032 / SRB00000 (26.7 W)</w:t>
      </w:r>
    </w:p>
    <w:p w14:paraId="76BBC00D" w14:textId="37D9BC91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p w14:paraId="1BC3B720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5E52878" wp14:editId="634E4E72">
            <wp:extent cx="8863330" cy="2730500"/>
            <wp:effectExtent l="0" t="0" r="0" b="0"/>
            <wp:docPr id="1403719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F89A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5CD20BB4" w14:textId="7552262B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p w14:paraId="0117D77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4E2456DC" wp14:editId="632521E4">
            <wp:extent cx="8863330" cy="2552700"/>
            <wp:effectExtent l="0" t="0" r="0" b="0"/>
            <wp:docPr id="660527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2A0E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12" w:name="_Hlk150847938"/>
      <w:r w:rsidRPr="00DC6429">
        <w:rPr>
          <w:rFonts w:eastAsia="Calibri"/>
          <w:sz w:val="20"/>
          <w:lang w:eastAsia="it-IT"/>
        </w:rPr>
        <w:t>Notes:</w:t>
      </w:r>
    </w:p>
    <w:p w14:paraId="7004208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69616872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58F0CDE1" w14:textId="23929D51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3. The </w:t>
      </w:r>
      <w:r w:rsidR="0084054E" w:rsidRPr="00DC6429">
        <w:rPr>
          <w:rFonts w:eastAsia="Calibri"/>
          <w:sz w:val="20"/>
          <w:lang w:eastAsia="it-IT"/>
        </w:rPr>
        <w:t>single-entry</w:t>
      </w:r>
      <w:r w:rsidRPr="00DC6429">
        <w:rPr>
          <w:rFonts w:eastAsia="Calibri"/>
          <w:sz w:val="20"/>
          <w:lang w:eastAsia="it-IT"/>
        </w:rPr>
        <w:t xml:space="preserve">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77AF56E3" w14:textId="1D4D09F0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bookmarkEnd w:id="12"/>
    <w:p w14:paraId="08F3235B" w14:textId="77777777" w:rsidR="00AD0465" w:rsidRPr="00DC6429" w:rsidRDefault="00AD0465" w:rsidP="008405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2921E38" wp14:editId="5A9DFD85">
            <wp:extent cx="6385560" cy="1539240"/>
            <wp:effectExtent l="0" t="0" r="0" b="3810"/>
            <wp:docPr id="16325685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EE191" w14:textId="032047C7" w:rsidR="00AD0465" w:rsidRPr="00DC6429" w:rsidRDefault="00AD0465" w:rsidP="008405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72A005AA" w14:textId="77777777" w:rsidR="00AD0465" w:rsidRPr="00DC6429" w:rsidRDefault="00AD0465" w:rsidP="00710187">
      <w:pPr>
        <w:pStyle w:val="Annex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Annex 2</w:t>
      </w:r>
    </w:p>
    <w:p w14:paraId="00064006" w14:textId="3F35A4DF" w:rsidR="00AD0465" w:rsidRPr="00DC6429" w:rsidRDefault="00AD0465" w:rsidP="00710187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Result of examinations Part B submission of 120559035 / MKD00000 (16.7 W)</w:t>
      </w:r>
    </w:p>
    <w:p w14:paraId="0AD2E400" w14:textId="472133CE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p w14:paraId="578181D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7A13B37A" wp14:editId="60D93931">
            <wp:extent cx="8863330" cy="3365500"/>
            <wp:effectExtent l="0" t="0" r="0" b="6350"/>
            <wp:docPr id="2023708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DC62" w14:textId="1868A43B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3739651B" w14:textId="6D7FF4CF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p w14:paraId="2FE89DE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0873FFF8" wp14:editId="652F8789">
            <wp:extent cx="8863330" cy="3025140"/>
            <wp:effectExtent l="0" t="0" r="0" b="3810"/>
            <wp:docPr id="12310749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036F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13" w:name="_Hlk150848668"/>
      <w:r w:rsidRPr="00DC6429">
        <w:rPr>
          <w:rFonts w:eastAsia="Calibri"/>
          <w:sz w:val="20"/>
          <w:lang w:eastAsia="it-IT"/>
        </w:rPr>
        <w:t>Notes:</w:t>
      </w:r>
    </w:p>
    <w:p w14:paraId="1733829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2E264083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0C85B104" w14:textId="749494D8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3. The </w:t>
      </w:r>
      <w:r w:rsidR="0084054E" w:rsidRPr="00DC6429">
        <w:rPr>
          <w:rFonts w:eastAsia="Calibri"/>
          <w:sz w:val="20"/>
          <w:lang w:eastAsia="it-IT"/>
        </w:rPr>
        <w:t>single-entry</w:t>
      </w:r>
      <w:r w:rsidRPr="00DC6429">
        <w:rPr>
          <w:rFonts w:eastAsia="Calibri"/>
          <w:sz w:val="20"/>
          <w:lang w:eastAsia="it-IT"/>
        </w:rPr>
        <w:t xml:space="preserve">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030B6D71" w14:textId="73A54627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bookmarkEnd w:id="13"/>
    <w:p w14:paraId="687248B6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6B6F86AE" wp14:editId="308EC157">
            <wp:extent cx="5854700" cy="1225550"/>
            <wp:effectExtent l="0" t="0" r="0" b="0"/>
            <wp:docPr id="76599605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64F6" w14:textId="77777777" w:rsidR="00AD0465" w:rsidRPr="00DC6429" w:rsidRDefault="00AD0465" w:rsidP="00855B45">
      <w:pPr>
        <w:pStyle w:val="Annex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br w:type="page"/>
      </w:r>
      <w:r w:rsidRPr="00DC6429">
        <w:rPr>
          <w:rFonts w:eastAsia="Calibri"/>
          <w:lang w:eastAsia="it-IT"/>
        </w:rPr>
        <w:lastRenderedPageBreak/>
        <w:t>Annex 3</w:t>
      </w:r>
    </w:p>
    <w:p w14:paraId="0A99D8A2" w14:textId="77777777" w:rsidR="00AD0465" w:rsidRPr="00DC6429" w:rsidRDefault="00AD0465" w:rsidP="00855B45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Result of examinations Part B submission of 120559036 / BIH00000 (46.0 E)</w:t>
      </w:r>
    </w:p>
    <w:p w14:paraId="04EF464B" w14:textId="0AE5226D" w:rsidR="00AD0465" w:rsidRPr="00DC6429" w:rsidRDefault="00AD0465" w:rsidP="0084054E">
      <w:pPr>
        <w:pStyle w:val="Heading1"/>
        <w:rPr>
          <w:rFonts w:eastAsia="Calibri"/>
          <w:lang w:eastAsia="it-IT"/>
        </w:rPr>
      </w:pPr>
      <w:bookmarkStart w:id="14" w:name="_Hlk150848962"/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bookmarkEnd w:id="14"/>
    <w:p w14:paraId="6A6862C4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6F9BF175" wp14:editId="4C8B00F3">
            <wp:extent cx="8863330" cy="3803650"/>
            <wp:effectExtent l="0" t="0" r="0" b="6350"/>
            <wp:docPr id="1604767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94FD0" w14:textId="77777777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7B96D738" w14:textId="3373024B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p w14:paraId="64CB8829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0BB05667" wp14:editId="06EF6505">
            <wp:extent cx="8863330" cy="3086100"/>
            <wp:effectExtent l="0" t="0" r="0" b="0"/>
            <wp:docPr id="199207680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80CE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>Notes:</w:t>
      </w:r>
    </w:p>
    <w:p w14:paraId="25E15EF7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5204F495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600BE530" w14:textId="586021D2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3. The </w:t>
      </w:r>
      <w:r w:rsidR="0084054E" w:rsidRPr="00DC6429">
        <w:rPr>
          <w:rFonts w:eastAsia="Calibri"/>
          <w:sz w:val="20"/>
          <w:lang w:eastAsia="it-IT"/>
        </w:rPr>
        <w:t>single-entry</w:t>
      </w:r>
      <w:r w:rsidRPr="00DC6429">
        <w:rPr>
          <w:rFonts w:eastAsia="Calibri"/>
          <w:sz w:val="20"/>
          <w:lang w:eastAsia="it-IT"/>
        </w:rPr>
        <w:t xml:space="preserve">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10C7B4E7" w14:textId="21B174CC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p w14:paraId="5873B518" w14:textId="77777777" w:rsidR="00AD0465" w:rsidRPr="00DC6429" w:rsidRDefault="00AD0465" w:rsidP="00BF12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9031BC1" wp14:editId="774C71A8">
            <wp:extent cx="6073140" cy="1219200"/>
            <wp:effectExtent l="0" t="0" r="3810" b="0"/>
            <wp:docPr id="109127509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35E1" w14:textId="5BF47975" w:rsidR="00AD0465" w:rsidRPr="00DC6429" w:rsidRDefault="00AD0465" w:rsidP="00BF1298">
      <w:pPr>
        <w:pStyle w:val="AnnexNo"/>
        <w:rPr>
          <w:rFonts w:eastAsia="Calibri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  <w:r w:rsidRPr="00DC6429">
        <w:rPr>
          <w:rFonts w:eastAsia="Calibri"/>
          <w:lang w:eastAsia="it-IT"/>
        </w:rPr>
        <w:lastRenderedPageBreak/>
        <w:t>Annex 4</w:t>
      </w:r>
    </w:p>
    <w:p w14:paraId="4BDAE29D" w14:textId="420AE76C" w:rsidR="00AD0465" w:rsidRPr="00DC6429" w:rsidRDefault="00AD0465" w:rsidP="00855B45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Result of examinations Part B submission of 120559037 / MDA00000 (75.1 W)</w:t>
      </w:r>
    </w:p>
    <w:p w14:paraId="2163ABAE" w14:textId="6C36A4F0" w:rsidR="00AD0465" w:rsidRPr="00DC6429" w:rsidRDefault="00AD0465" w:rsidP="0084054E">
      <w:pPr>
        <w:pStyle w:val="Heading1"/>
        <w:rPr>
          <w:rFonts w:eastAsia="Calibri"/>
          <w:lang w:eastAsia="it-IT"/>
        </w:rPr>
      </w:pPr>
      <w:bookmarkStart w:id="15" w:name="_Hlk150849465"/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bookmarkEnd w:id="15"/>
    <w:p w14:paraId="1FA7CE7E" w14:textId="71FA55D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4AB1433A" wp14:editId="0D6CD207">
            <wp:extent cx="8863330" cy="2051050"/>
            <wp:effectExtent l="0" t="0" r="0" b="6350"/>
            <wp:docPr id="11120077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98601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198679C1" w14:textId="37EC7917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p w14:paraId="56F9AD17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2C214BC" wp14:editId="0AA24100">
            <wp:extent cx="8863330" cy="2635250"/>
            <wp:effectExtent l="0" t="0" r="0" b="0"/>
            <wp:docPr id="1433590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2C3D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16" w:name="_Hlk150850015"/>
      <w:r w:rsidRPr="00DC6429">
        <w:rPr>
          <w:rFonts w:eastAsia="Calibri"/>
          <w:sz w:val="20"/>
          <w:lang w:eastAsia="it-IT"/>
        </w:rPr>
        <w:t>Notes:</w:t>
      </w:r>
    </w:p>
    <w:p w14:paraId="0E17F4AF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48128CD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0AB278A4" w14:textId="0D367F3D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3 The </w:t>
      </w:r>
      <w:r w:rsidR="0084054E" w:rsidRPr="00DC6429">
        <w:rPr>
          <w:rFonts w:eastAsia="Calibri"/>
          <w:sz w:val="20"/>
          <w:lang w:eastAsia="it-IT"/>
        </w:rPr>
        <w:t>single-entry</w:t>
      </w:r>
      <w:r w:rsidRPr="00DC6429">
        <w:rPr>
          <w:rFonts w:eastAsia="Calibri"/>
          <w:sz w:val="20"/>
          <w:lang w:eastAsia="it-IT"/>
        </w:rPr>
        <w:t xml:space="preserve">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7BCADF33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</w:p>
    <w:p w14:paraId="5CC9D8A5" w14:textId="5DEC5907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bookmarkEnd w:id="16"/>
    <w:p w14:paraId="46892747" w14:textId="464F84C9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0DA4422B" wp14:editId="718B22B1">
            <wp:extent cx="5676900" cy="1318260"/>
            <wp:effectExtent l="0" t="0" r="0" b="0"/>
            <wp:docPr id="9818516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F2DA" w14:textId="77777777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16B4B9DE" w14:textId="2BD41C04" w:rsidR="00AD0465" w:rsidRPr="00DC6429" w:rsidRDefault="00AD0465" w:rsidP="0084054E">
      <w:pPr>
        <w:pStyle w:val="Annex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Annex 5</w:t>
      </w:r>
    </w:p>
    <w:p w14:paraId="2E4B42C8" w14:textId="77777777" w:rsidR="00AD0465" w:rsidRPr="00DC6429" w:rsidRDefault="00AD0465" w:rsidP="00855B45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Result of examinations Part B submission of 120559038 / SSD00000 (23.9 W)</w:t>
      </w:r>
    </w:p>
    <w:p w14:paraId="77892566" w14:textId="0EF0BEAC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p w14:paraId="636CA7D3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01BECD8D" wp14:editId="0FE04768">
            <wp:extent cx="8863330" cy="2927350"/>
            <wp:effectExtent l="0" t="0" r="0" b="6350"/>
            <wp:docPr id="2070257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4816" w14:textId="40627B3F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1108485D" w14:textId="408D8481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p w14:paraId="05CCDF7F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A202891" wp14:editId="2EC10D9B">
            <wp:extent cx="8863330" cy="3028950"/>
            <wp:effectExtent l="0" t="0" r="0" b="0"/>
            <wp:docPr id="198394108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B819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>Notes:</w:t>
      </w:r>
    </w:p>
    <w:p w14:paraId="59F149F5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18AF22A9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11D15B07" w14:textId="0D9F047A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3.  The </w:t>
      </w:r>
      <w:r w:rsidR="0084054E" w:rsidRPr="00DC6429">
        <w:rPr>
          <w:rFonts w:eastAsia="Calibri"/>
          <w:sz w:val="20"/>
          <w:lang w:eastAsia="it-IT"/>
        </w:rPr>
        <w:t>single-entry</w:t>
      </w:r>
      <w:r w:rsidRPr="00DC6429">
        <w:rPr>
          <w:rFonts w:eastAsia="Calibri"/>
          <w:sz w:val="20"/>
          <w:lang w:eastAsia="it-IT"/>
        </w:rPr>
        <w:t xml:space="preserve">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6FAAFB7D" w14:textId="0BF69C74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p w14:paraId="0D7EE825" w14:textId="47FF5599" w:rsidR="00AD0465" w:rsidRPr="00DC6429" w:rsidRDefault="00AD0465" w:rsidP="00BF12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76" w:lineRule="auto"/>
        <w:textAlignment w:val="auto"/>
        <w:rPr>
          <w:rFonts w:eastAsia="Calibri"/>
          <w:b/>
          <w:bCs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F33BF5C" wp14:editId="3F411446">
            <wp:extent cx="6375400" cy="1225550"/>
            <wp:effectExtent l="0" t="0" r="6350" b="0"/>
            <wp:docPr id="160534661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C7F20" w14:textId="6AC942A6" w:rsidR="00AD0465" w:rsidRPr="00DC6429" w:rsidRDefault="00AD0465" w:rsidP="00BF1298">
      <w:pPr>
        <w:pStyle w:val="AnnexNo"/>
        <w:rPr>
          <w:rFonts w:eastAsia="Calibri"/>
          <w:lang w:eastAsia="it-IT"/>
        </w:rPr>
      </w:pPr>
      <w:r w:rsidRPr="00DC6429">
        <w:rPr>
          <w:rFonts w:eastAsia="Calibri"/>
          <w:b/>
          <w:bCs/>
          <w:szCs w:val="24"/>
          <w:lang w:eastAsia="it-IT"/>
        </w:rPr>
        <w:br w:type="page"/>
      </w:r>
      <w:r w:rsidRPr="00DC6429">
        <w:rPr>
          <w:rFonts w:eastAsia="Calibri"/>
          <w:lang w:eastAsia="it-IT"/>
        </w:rPr>
        <w:lastRenderedPageBreak/>
        <w:t>Annex 6</w:t>
      </w:r>
    </w:p>
    <w:p w14:paraId="06C5C47F" w14:textId="77777777" w:rsidR="00AD0465" w:rsidRPr="00DC6429" w:rsidRDefault="00AD0465" w:rsidP="00855B45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 xml:space="preserve"> Result of examinations Part B submission of 120559039 / GEO00000 (78.0 E)</w:t>
      </w:r>
    </w:p>
    <w:p w14:paraId="3B53E11A" w14:textId="248B0A80" w:rsidR="00AD0465" w:rsidRPr="00DC6429" w:rsidRDefault="00AD0465" w:rsidP="0084054E">
      <w:pPr>
        <w:pStyle w:val="Heading1"/>
        <w:rPr>
          <w:rFonts w:eastAsia="Calibri"/>
          <w:lang w:eastAsia="it-IT"/>
        </w:rPr>
      </w:pPr>
      <w:bookmarkStart w:id="17" w:name="_Hlk150846364"/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bookmarkEnd w:id="17"/>
    <w:p w14:paraId="1BEF832E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EB391D4" wp14:editId="09EE4809">
            <wp:extent cx="8863330" cy="2457450"/>
            <wp:effectExtent l="0" t="0" r="0" b="0"/>
            <wp:docPr id="14279354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AAEB" w14:textId="77777777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eastAsia="it-IT"/>
        </w:rPr>
      </w:pPr>
      <w:bookmarkStart w:id="18" w:name="_Hlk150850766"/>
      <w:r w:rsidRPr="00DC6429">
        <w:rPr>
          <w:rFonts w:eastAsia="Calibri"/>
          <w:b/>
          <w:bCs/>
          <w:szCs w:val="24"/>
          <w:lang w:eastAsia="it-IT"/>
        </w:rPr>
        <w:br w:type="page"/>
      </w:r>
    </w:p>
    <w:p w14:paraId="74938995" w14:textId="24A1CE7D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bookmarkEnd w:id="18"/>
    <w:p w14:paraId="5B120B51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154E48D4" wp14:editId="774CB265">
            <wp:extent cx="8863330" cy="2717800"/>
            <wp:effectExtent l="0" t="0" r="0" b="6350"/>
            <wp:docPr id="206341432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1BBC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19" w:name="_Hlk150761852"/>
      <w:r w:rsidRPr="00DC6429">
        <w:rPr>
          <w:rFonts w:eastAsia="Calibri"/>
          <w:sz w:val="20"/>
          <w:lang w:eastAsia="it-IT"/>
        </w:rPr>
        <w:t>Notes:</w:t>
      </w:r>
    </w:p>
    <w:p w14:paraId="35B9D80F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35A28C58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37EEDE17" w14:textId="20A54BFE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3. The </w:t>
      </w:r>
      <w:r w:rsidR="0084054E" w:rsidRPr="00DC6429">
        <w:rPr>
          <w:rFonts w:eastAsia="Calibri"/>
          <w:sz w:val="20"/>
          <w:lang w:eastAsia="it-IT"/>
        </w:rPr>
        <w:t>single-entry</w:t>
      </w:r>
      <w:r w:rsidRPr="00DC6429">
        <w:rPr>
          <w:rFonts w:eastAsia="Calibri"/>
          <w:sz w:val="20"/>
          <w:lang w:eastAsia="it-IT"/>
        </w:rPr>
        <w:t xml:space="preserve">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5B4A2BC2" w14:textId="7A0F98B4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p w14:paraId="477D8EB0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5464D489" wp14:editId="3B3A71BF">
            <wp:extent cx="6388100" cy="1447800"/>
            <wp:effectExtent l="0" t="0" r="0" b="0"/>
            <wp:docPr id="54904182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9"/>
    <w:p w14:paraId="22EBE129" w14:textId="77777777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 w:val="28"/>
          <w:szCs w:val="28"/>
          <w:lang w:eastAsia="it-IT"/>
        </w:rPr>
      </w:pPr>
      <w:r w:rsidRPr="00DC6429">
        <w:rPr>
          <w:rFonts w:eastAsia="Calibri"/>
          <w:b/>
          <w:bCs/>
          <w:sz w:val="28"/>
          <w:szCs w:val="28"/>
          <w:lang w:eastAsia="it-IT"/>
        </w:rPr>
        <w:br w:type="page"/>
      </w:r>
    </w:p>
    <w:p w14:paraId="36D7CE47" w14:textId="4408DBFA" w:rsidR="00AD0465" w:rsidRPr="00DC6429" w:rsidRDefault="00AD0465" w:rsidP="00855B45">
      <w:pPr>
        <w:pStyle w:val="AnnexNo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Annex 7</w:t>
      </w:r>
    </w:p>
    <w:p w14:paraId="1011598E" w14:textId="77777777" w:rsidR="00AD0465" w:rsidRPr="00DC6429" w:rsidRDefault="00AD0465" w:rsidP="00855B45">
      <w:pPr>
        <w:pStyle w:val="Annextitle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Result of examinations Part B submission of 120559040 / HRV00000 (63.0 E)</w:t>
      </w:r>
    </w:p>
    <w:p w14:paraId="55C67E6E" w14:textId="026009F5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1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Listing of still affected satellite networks (based on the criteria provided in Annex 4 to Appendix 30B and based on the criteria provided in Resolution 170 (WRC-19))</w:t>
      </w:r>
    </w:p>
    <w:p w14:paraId="3AED2DC9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4C2A8E64" wp14:editId="17A582A6">
            <wp:extent cx="8863330" cy="3492500"/>
            <wp:effectExtent l="0" t="0" r="0" b="0"/>
            <wp:docPr id="7174551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3361" w14:textId="77777777" w:rsidR="00AD0465" w:rsidRPr="00DC6429" w:rsidRDefault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szCs w:val="24"/>
          <w:lang w:eastAsia="it-IT"/>
        </w:rPr>
        <w:br w:type="page"/>
      </w:r>
    </w:p>
    <w:p w14:paraId="5D7DF756" w14:textId="3C4F3AD0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lastRenderedPageBreak/>
        <w:t>2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Reference situation (current and updated) of still affected satellite networks</w:t>
      </w:r>
    </w:p>
    <w:p w14:paraId="4486747C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4391D87F" wp14:editId="4D2B50D6">
            <wp:extent cx="8863330" cy="2978150"/>
            <wp:effectExtent l="0" t="0" r="0" b="0"/>
            <wp:docPr id="133399096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9581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18"/>
          <w:szCs w:val="18"/>
          <w:lang w:eastAsia="it-IT"/>
        </w:rPr>
      </w:pPr>
    </w:p>
    <w:p w14:paraId="3D877B9C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>Notes:</w:t>
      </w:r>
    </w:p>
    <w:p w14:paraId="119DF25B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1. The current reference situation values are included in the Appendix </w:t>
      </w:r>
      <w:r w:rsidRPr="00DC6429">
        <w:rPr>
          <w:rFonts w:eastAsia="Calibri"/>
          <w:b/>
          <w:bCs/>
          <w:sz w:val="20"/>
          <w:lang w:eastAsia="it-IT"/>
        </w:rPr>
        <w:t>30B</w:t>
      </w:r>
      <w:r w:rsidRPr="00DC6429">
        <w:rPr>
          <w:rFonts w:eastAsia="Calibri"/>
          <w:sz w:val="20"/>
          <w:lang w:eastAsia="it-IT"/>
        </w:rPr>
        <w:t xml:space="preserve"> master database in the BR IFIC 3008 of 31.10.2023. </w:t>
      </w:r>
    </w:p>
    <w:p w14:paraId="73674900" w14:textId="77777777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 xml:space="preserve">2. The updated reference situation values are those calculated </w:t>
      </w:r>
      <w:r w:rsidRPr="00DC6429">
        <w:rPr>
          <w:rFonts w:eastAsia="Calibri"/>
          <w:i/>
          <w:iCs/>
          <w:sz w:val="20"/>
          <w:lang w:eastAsia="it-IT"/>
        </w:rPr>
        <w:t>C/I</w:t>
      </w:r>
      <w:r w:rsidRPr="00DC6429">
        <w:rPr>
          <w:rFonts w:eastAsia="Calibri"/>
          <w:sz w:val="20"/>
          <w:lang w:eastAsia="it-IT"/>
        </w:rPr>
        <w:t xml:space="preserve"> values at test points </w:t>
      </w:r>
      <w:proofErr w:type="gramStart"/>
      <w:r w:rsidRPr="00DC6429">
        <w:rPr>
          <w:rFonts w:eastAsia="Calibri"/>
          <w:sz w:val="20"/>
          <w:lang w:eastAsia="it-IT"/>
        </w:rPr>
        <w:t>taking into account</w:t>
      </w:r>
      <w:proofErr w:type="gramEnd"/>
      <w:r w:rsidRPr="00DC6429">
        <w:rPr>
          <w:rFonts w:eastAsia="Calibri"/>
          <w:sz w:val="20"/>
          <w:lang w:eastAsia="it-IT"/>
        </w:rPr>
        <w:t xml:space="preserve"> the interference contribution from the proposed allotment(s).</w:t>
      </w:r>
    </w:p>
    <w:p w14:paraId="5C686AD3" w14:textId="3CA7EAFD" w:rsidR="00AD0465" w:rsidRPr="00DC6429" w:rsidRDefault="00AD0465" w:rsidP="00AD0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DC6429">
        <w:rPr>
          <w:rFonts w:eastAsia="Calibri"/>
          <w:sz w:val="20"/>
          <w:lang w:eastAsia="it-IT"/>
        </w:rPr>
        <w:t>3. The single</w:t>
      </w:r>
      <w:r w:rsidR="0084054E" w:rsidRPr="00DC6429">
        <w:rPr>
          <w:rFonts w:eastAsia="Calibri"/>
          <w:sz w:val="20"/>
          <w:lang w:eastAsia="it-IT"/>
        </w:rPr>
        <w:t>-</w:t>
      </w:r>
      <w:r w:rsidRPr="00DC6429">
        <w:rPr>
          <w:rFonts w:eastAsia="Calibri"/>
          <w:sz w:val="20"/>
          <w:lang w:eastAsia="it-IT"/>
        </w:rPr>
        <w:t xml:space="preserve">entry reference situation is used only for identification of affected networks when the incoming network is submitted under Resolution </w:t>
      </w:r>
      <w:r w:rsidRPr="00DC6429">
        <w:rPr>
          <w:rFonts w:eastAsia="Calibri"/>
          <w:b/>
          <w:bCs/>
          <w:sz w:val="20"/>
          <w:lang w:eastAsia="it-IT"/>
        </w:rPr>
        <w:t>170 (WRC-19)</w:t>
      </w:r>
      <w:r w:rsidRPr="00DC6429">
        <w:rPr>
          <w:rFonts w:eastAsia="Calibri"/>
          <w:sz w:val="20"/>
          <w:lang w:eastAsia="it-IT"/>
        </w:rPr>
        <w:t>.</w:t>
      </w:r>
    </w:p>
    <w:p w14:paraId="5339CD0F" w14:textId="6395B2C4" w:rsidR="00AD0465" w:rsidRPr="00DC6429" w:rsidRDefault="00AD0465" w:rsidP="0084054E">
      <w:pPr>
        <w:pStyle w:val="Heading1"/>
        <w:rPr>
          <w:rFonts w:eastAsia="Calibri"/>
          <w:lang w:eastAsia="it-IT"/>
        </w:rPr>
      </w:pPr>
      <w:r w:rsidRPr="00DC6429">
        <w:rPr>
          <w:rFonts w:eastAsia="Calibri"/>
          <w:lang w:eastAsia="it-IT"/>
        </w:rPr>
        <w:t>3</w:t>
      </w:r>
      <w:r w:rsidR="0084054E" w:rsidRPr="00DC6429">
        <w:rPr>
          <w:rFonts w:eastAsia="Calibri"/>
          <w:lang w:eastAsia="it-IT"/>
        </w:rPr>
        <w:tab/>
      </w:r>
      <w:r w:rsidRPr="00DC6429">
        <w:rPr>
          <w:rFonts w:eastAsia="Calibri"/>
          <w:lang w:eastAsia="it-IT"/>
        </w:rPr>
        <w:t>Potential reference situation of a new national allotment</w:t>
      </w:r>
    </w:p>
    <w:p w14:paraId="6B7C9821" w14:textId="77777777" w:rsidR="00AD0465" w:rsidRPr="00DC6429" w:rsidRDefault="00AD0465" w:rsidP="008405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76" w:lineRule="auto"/>
        <w:textAlignment w:val="auto"/>
        <w:rPr>
          <w:rFonts w:eastAsia="Calibri"/>
          <w:szCs w:val="24"/>
          <w:lang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11C8ED46" wp14:editId="64434D80">
            <wp:extent cx="6699250" cy="1231900"/>
            <wp:effectExtent l="0" t="0" r="6350" b="6350"/>
            <wp:docPr id="161814088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2926" w14:textId="0A2C3115" w:rsidR="00C74DA0" w:rsidRPr="00DC6429" w:rsidRDefault="00C74DA0" w:rsidP="0084054E">
      <w:pPr>
        <w:spacing w:before="0"/>
        <w:jc w:val="center"/>
      </w:pPr>
      <w:r w:rsidRPr="00DC6429">
        <w:t>_______________</w:t>
      </w:r>
    </w:p>
    <w:sectPr w:rsidR="00C74DA0" w:rsidRPr="00DC6429" w:rsidSect="0084054E">
      <w:headerReference w:type="first" r:id="rId41"/>
      <w:pgSz w:w="16840" w:h="11907" w:orient="landscape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F802" w14:textId="77777777" w:rsidR="008E2E1A" w:rsidRDefault="008E2E1A">
      <w:r>
        <w:separator/>
      </w:r>
    </w:p>
  </w:endnote>
  <w:endnote w:type="continuationSeparator" w:id="0">
    <w:p w14:paraId="143155B7" w14:textId="77777777" w:rsidR="008E2E1A" w:rsidRDefault="008E2E1A">
      <w:r>
        <w:continuationSeparator/>
      </w:r>
    </w:p>
  </w:endnote>
  <w:endnote w:type="continuationNotice" w:id="1">
    <w:p w14:paraId="1D99972A" w14:textId="77777777" w:rsidR="008E2E1A" w:rsidRDefault="008E2E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A08C" w14:textId="77777777" w:rsidR="00C74DA0" w:rsidRPr="00EB695A" w:rsidRDefault="00C74DA0">
    <w:pPr>
      <w:framePr w:wrap="around" w:vAnchor="text" w:hAnchor="margin" w:xAlign="right" w:y="1"/>
      <w:rPr>
        <w:lang w:val="pt-BR"/>
      </w:rPr>
    </w:pPr>
    <w:r>
      <w:fldChar w:fldCharType="begin"/>
    </w:r>
    <w:r w:rsidRPr="00EB695A">
      <w:rPr>
        <w:lang w:val="pt-BR"/>
      </w:rPr>
      <w:instrText xml:space="preserve">PAGE  </w:instrText>
    </w:r>
    <w:r>
      <w:fldChar w:fldCharType="separate"/>
    </w:r>
    <w:r w:rsidRPr="00EB695A">
      <w:rPr>
        <w:lang w:val="pt-BR"/>
      </w:rPr>
      <w:t>4</w:t>
    </w:r>
    <w:r w:rsidRPr="00EB695A">
      <w:rPr>
        <w:lang w:val="pt-BR"/>
      </w:rPr>
      <w:t>6</w:t>
    </w:r>
    <w:r>
      <w:fldChar w:fldCharType="end"/>
    </w:r>
  </w:p>
  <w:p w14:paraId="6AD4C4D1" w14:textId="061FE0CE" w:rsidR="00C74DA0" w:rsidRPr="00EB695A" w:rsidRDefault="00C74DA0">
    <w:pPr>
      <w:ind w:right="360"/>
      <w:rPr>
        <w:lang w:val="pt-BR"/>
      </w:rPr>
    </w:pPr>
    <w:r>
      <w:fldChar w:fldCharType="begin"/>
    </w:r>
    <w:r w:rsidRPr="00EB695A">
      <w:rPr>
        <w:lang w:val="pt-BR"/>
      </w:rPr>
      <w:instrText xml:space="preserve"> FILENAME \p  \* MERGEFORMAT </w:instrText>
    </w:r>
    <w:r>
      <w:fldChar w:fldCharType="separate"/>
    </w:r>
    <w:r w:rsidRPr="00EB695A">
      <w:rPr>
        <w:lang w:val="pt-BR"/>
      </w:rPr>
      <w:t>P:\ENG\ITU-R\CONF-R\CMR19\000\004ADD01E.docx</w:t>
    </w:r>
    <w:r>
      <w:fldChar w:fldCharType="end"/>
    </w:r>
    <w:r w:rsidRPr="00EB695A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B18">
      <w:rPr>
        <w:noProof/>
      </w:rPr>
      <w:t>15.11.23</w:t>
    </w:r>
    <w:r>
      <w:fldChar w:fldCharType="end"/>
    </w:r>
    <w:r w:rsidRPr="00EB695A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91F3" w14:textId="6870CFB3" w:rsidR="00710187" w:rsidRDefault="00710187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761F4F">
      <w:rPr>
        <w:lang w:val="en-US"/>
      </w:rPr>
      <w:t>P:\ENG\ITU-R\CONF-R\CMR23\000\004ADD01ADD01E.docx</w:t>
    </w:r>
    <w:r>
      <w:fldChar w:fldCharType="end"/>
    </w:r>
    <w:r>
      <w:rPr>
        <w:lang w:val="en-US"/>
      </w:rPr>
      <w:t xml:space="preserve"> (531373)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2E83" w14:textId="74BFB312" w:rsidR="00710187" w:rsidRDefault="00710187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ED4B18">
      <w:rPr>
        <w:lang w:val="en-US"/>
      </w:rPr>
      <w:t>P:\ENG\ITU-R\CONF-R\CMR23\000\004ADD01ADD01E.docx</w:t>
    </w:r>
    <w:r>
      <w:fldChar w:fldCharType="end"/>
    </w:r>
    <w:r>
      <w:rPr>
        <w:lang w:val="en-US"/>
      </w:rPr>
      <w:t xml:space="preserve"> (531373)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608C" w14:textId="77777777" w:rsidR="008E2E1A" w:rsidRDefault="008E2E1A">
      <w:r>
        <w:rPr>
          <w:b/>
        </w:rPr>
        <w:t>_______________</w:t>
      </w:r>
    </w:p>
  </w:footnote>
  <w:footnote w:type="continuationSeparator" w:id="0">
    <w:p w14:paraId="558FEED5" w14:textId="77777777" w:rsidR="008E2E1A" w:rsidRDefault="008E2E1A">
      <w:r>
        <w:continuationSeparator/>
      </w:r>
    </w:p>
  </w:footnote>
  <w:footnote w:type="continuationNotice" w:id="1">
    <w:p w14:paraId="253443A7" w14:textId="77777777" w:rsidR="008E2E1A" w:rsidRDefault="008E2E1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AE4C" w14:textId="77777777" w:rsidR="00C74DA0" w:rsidRDefault="00C74D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35E51" w14:textId="77777777" w:rsidR="00C74DA0" w:rsidRDefault="00C74D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638EC" w14:textId="77777777" w:rsidR="00C74DA0" w:rsidRDefault="00C74D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412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88FBAB" w14:textId="77777777" w:rsidR="00C74DA0" w:rsidRDefault="00C74DA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  <w:p w14:paraId="1F2BA207" w14:textId="5B071478" w:rsidR="00C74DA0" w:rsidRPr="00800972" w:rsidRDefault="00C74DA0">
        <w:pPr>
          <w:pStyle w:val="Header"/>
        </w:pPr>
        <w:r>
          <w:t>WRC23/4(Add.1)</w:t>
        </w:r>
        <w:r w:rsidR="00AD0465">
          <w:t>(Add.1)</w:t>
        </w:r>
        <w:r>
          <w:t>-E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F717" w14:textId="77777777" w:rsidR="004B68BD" w:rsidRDefault="004B68BD" w:rsidP="00A25A8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40D6E122" w14:textId="76A91A0F" w:rsidR="004B68BD" w:rsidRDefault="004B68BD" w:rsidP="00A25A8C">
    <w:pPr>
      <w:pStyle w:val="Header"/>
    </w:pPr>
    <w:r>
      <w:t>WRC23/4(Add.1)</w:t>
    </w:r>
    <w:r w:rsidR="00AD0465">
      <w:t>(Add.1)</w:t>
    </w:r>
    <w:r>
      <w:t>-E</w:t>
    </w:r>
  </w:p>
  <w:p w14:paraId="174E3AE2" w14:textId="77777777" w:rsidR="003812ED" w:rsidRDefault="00381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C02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697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A4D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FCE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E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88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9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6E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FC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84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5C60"/>
    <w:multiLevelType w:val="hybridMultilevel"/>
    <w:tmpl w:val="005C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F3A"/>
    <w:multiLevelType w:val="hybridMultilevel"/>
    <w:tmpl w:val="9EC8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49D6"/>
    <w:multiLevelType w:val="hybridMultilevel"/>
    <w:tmpl w:val="A84AAAD0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25EA3"/>
    <w:multiLevelType w:val="hybridMultilevel"/>
    <w:tmpl w:val="2BEEBE04"/>
    <w:lvl w:ilvl="0" w:tplc="269223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C129C"/>
    <w:multiLevelType w:val="multilevel"/>
    <w:tmpl w:val="1F2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820320">
    <w:abstractNumId w:val="14"/>
  </w:num>
  <w:num w:numId="2" w16cid:durableId="1842499209">
    <w:abstractNumId w:val="13"/>
  </w:num>
  <w:num w:numId="3" w16cid:durableId="662775899">
    <w:abstractNumId w:val="9"/>
  </w:num>
  <w:num w:numId="4" w16cid:durableId="1227492444">
    <w:abstractNumId w:val="7"/>
  </w:num>
  <w:num w:numId="5" w16cid:durableId="889196330">
    <w:abstractNumId w:val="6"/>
  </w:num>
  <w:num w:numId="6" w16cid:durableId="1306591583">
    <w:abstractNumId w:val="5"/>
  </w:num>
  <w:num w:numId="7" w16cid:durableId="1619799196">
    <w:abstractNumId w:val="4"/>
  </w:num>
  <w:num w:numId="8" w16cid:durableId="1210873224">
    <w:abstractNumId w:val="8"/>
  </w:num>
  <w:num w:numId="9" w16cid:durableId="943850349">
    <w:abstractNumId w:val="3"/>
  </w:num>
  <w:num w:numId="10" w16cid:durableId="1634210211">
    <w:abstractNumId w:val="2"/>
  </w:num>
  <w:num w:numId="11" w16cid:durableId="1118720968">
    <w:abstractNumId w:val="1"/>
  </w:num>
  <w:num w:numId="12" w16cid:durableId="1574003720">
    <w:abstractNumId w:val="0"/>
  </w:num>
  <w:num w:numId="13" w16cid:durableId="2099714370">
    <w:abstractNumId w:val="9"/>
  </w:num>
  <w:num w:numId="14" w16cid:durableId="1229606550">
    <w:abstractNumId w:val="7"/>
  </w:num>
  <w:num w:numId="15" w16cid:durableId="1364212177">
    <w:abstractNumId w:val="6"/>
  </w:num>
  <w:num w:numId="16" w16cid:durableId="1927298029">
    <w:abstractNumId w:val="5"/>
  </w:num>
  <w:num w:numId="17" w16cid:durableId="900864859">
    <w:abstractNumId w:val="4"/>
  </w:num>
  <w:num w:numId="18" w16cid:durableId="1482162778">
    <w:abstractNumId w:val="8"/>
  </w:num>
  <w:num w:numId="19" w16cid:durableId="1419591941">
    <w:abstractNumId w:val="3"/>
  </w:num>
  <w:num w:numId="20" w16cid:durableId="1026828595">
    <w:abstractNumId w:val="2"/>
  </w:num>
  <w:num w:numId="21" w16cid:durableId="1125470212">
    <w:abstractNumId w:val="1"/>
  </w:num>
  <w:num w:numId="22" w16cid:durableId="1053309749">
    <w:abstractNumId w:val="0"/>
  </w:num>
  <w:num w:numId="23" w16cid:durableId="1269236090">
    <w:abstractNumId w:val="12"/>
  </w:num>
  <w:num w:numId="24" w16cid:durableId="1538466049">
    <w:abstractNumId w:val="11"/>
  </w:num>
  <w:num w:numId="25" w16cid:durableId="15123377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FF"/>
    <w:rsid w:val="00000BD5"/>
    <w:rsid w:val="000041EA"/>
    <w:rsid w:val="0000520D"/>
    <w:rsid w:val="00012F1B"/>
    <w:rsid w:val="0001467E"/>
    <w:rsid w:val="00014DF2"/>
    <w:rsid w:val="00022A29"/>
    <w:rsid w:val="000268FF"/>
    <w:rsid w:val="0003162D"/>
    <w:rsid w:val="00031ABC"/>
    <w:rsid w:val="00034DA9"/>
    <w:rsid w:val="000355FD"/>
    <w:rsid w:val="0003637F"/>
    <w:rsid w:val="00036EB4"/>
    <w:rsid w:val="00040B10"/>
    <w:rsid w:val="00041411"/>
    <w:rsid w:val="0004226C"/>
    <w:rsid w:val="00050F96"/>
    <w:rsid w:val="00051A64"/>
    <w:rsid w:val="00051E39"/>
    <w:rsid w:val="00051F00"/>
    <w:rsid w:val="0005265F"/>
    <w:rsid w:val="000533DC"/>
    <w:rsid w:val="00053C76"/>
    <w:rsid w:val="00060AFF"/>
    <w:rsid w:val="00061C3A"/>
    <w:rsid w:val="000633B6"/>
    <w:rsid w:val="0007405A"/>
    <w:rsid w:val="0007459B"/>
    <w:rsid w:val="0007677F"/>
    <w:rsid w:val="00077239"/>
    <w:rsid w:val="0007757C"/>
    <w:rsid w:val="00080E3E"/>
    <w:rsid w:val="00082948"/>
    <w:rsid w:val="000856E6"/>
    <w:rsid w:val="00085E10"/>
    <w:rsid w:val="000862BF"/>
    <w:rsid w:val="00086491"/>
    <w:rsid w:val="00091346"/>
    <w:rsid w:val="00091886"/>
    <w:rsid w:val="00091AB4"/>
    <w:rsid w:val="0009661C"/>
    <w:rsid w:val="000A4417"/>
    <w:rsid w:val="000B27EA"/>
    <w:rsid w:val="000B33A8"/>
    <w:rsid w:val="000B68E3"/>
    <w:rsid w:val="000B7933"/>
    <w:rsid w:val="000C0005"/>
    <w:rsid w:val="000C19A8"/>
    <w:rsid w:val="000C2F70"/>
    <w:rsid w:val="000C4616"/>
    <w:rsid w:val="000C7898"/>
    <w:rsid w:val="000D171A"/>
    <w:rsid w:val="000E4EFB"/>
    <w:rsid w:val="000E716A"/>
    <w:rsid w:val="000F0CFF"/>
    <w:rsid w:val="000F1649"/>
    <w:rsid w:val="000F56E2"/>
    <w:rsid w:val="000F73FF"/>
    <w:rsid w:val="00100BB6"/>
    <w:rsid w:val="001027B7"/>
    <w:rsid w:val="00103C10"/>
    <w:rsid w:val="0010557E"/>
    <w:rsid w:val="00114CF7"/>
    <w:rsid w:val="00121015"/>
    <w:rsid w:val="00123B68"/>
    <w:rsid w:val="0012556A"/>
    <w:rsid w:val="00126F2E"/>
    <w:rsid w:val="00127267"/>
    <w:rsid w:val="00130B21"/>
    <w:rsid w:val="00131A9F"/>
    <w:rsid w:val="00132F3E"/>
    <w:rsid w:val="00140A81"/>
    <w:rsid w:val="00142173"/>
    <w:rsid w:val="00143CF0"/>
    <w:rsid w:val="0014540F"/>
    <w:rsid w:val="00146F6F"/>
    <w:rsid w:val="00150947"/>
    <w:rsid w:val="001559C6"/>
    <w:rsid w:val="00156849"/>
    <w:rsid w:val="00161878"/>
    <w:rsid w:val="00162D93"/>
    <w:rsid w:val="001666B0"/>
    <w:rsid w:val="001721A5"/>
    <w:rsid w:val="0017462B"/>
    <w:rsid w:val="00176D96"/>
    <w:rsid w:val="00183A1A"/>
    <w:rsid w:val="00190B55"/>
    <w:rsid w:val="00194F8B"/>
    <w:rsid w:val="00197B95"/>
    <w:rsid w:val="001A1AEF"/>
    <w:rsid w:val="001A5531"/>
    <w:rsid w:val="001A5BB2"/>
    <w:rsid w:val="001B2CE0"/>
    <w:rsid w:val="001C3B5F"/>
    <w:rsid w:val="001C4B33"/>
    <w:rsid w:val="001D01D2"/>
    <w:rsid w:val="001D058F"/>
    <w:rsid w:val="001E019F"/>
    <w:rsid w:val="001E1CF0"/>
    <w:rsid w:val="001E209D"/>
    <w:rsid w:val="001E4882"/>
    <w:rsid w:val="001F23E5"/>
    <w:rsid w:val="001F43C1"/>
    <w:rsid w:val="001F7160"/>
    <w:rsid w:val="00200485"/>
    <w:rsid w:val="002009EA"/>
    <w:rsid w:val="00202CA0"/>
    <w:rsid w:val="00203BE1"/>
    <w:rsid w:val="00206863"/>
    <w:rsid w:val="00207084"/>
    <w:rsid w:val="002071D0"/>
    <w:rsid w:val="00211D54"/>
    <w:rsid w:val="00213C1B"/>
    <w:rsid w:val="002162DD"/>
    <w:rsid w:val="00221BA5"/>
    <w:rsid w:val="00237EE3"/>
    <w:rsid w:val="002417DD"/>
    <w:rsid w:val="00242455"/>
    <w:rsid w:val="00252168"/>
    <w:rsid w:val="00256407"/>
    <w:rsid w:val="00257EF4"/>
    <w:rsid w:val="002642D2"/>
    <w:rsid w:val="00266829"/>
    <w:rsid w:val="00271316"/>
    <w:rsid w:val="00273E69"/>
    <w:rsid w:val="00275AED"/>
    <w:rsid w:val="002805AC"/>
    <w:rsid w:val="00281B2E"/>
    <w:rsid w:val="002820E6"/>
    <w:rsid w:val="0028247A"/>
    <w:rsid w:val="00285BF6"/>
    <w:rsid w:val="002912AB"/>
    <w:rsid w:val="00293550"/>
    <w:rsid w:val="002950FD"/>
    <w:rsid w:val="00295CFE"/>
    <w:rsid w:val="002A2089"/>
    <w:rsid w:val="002A28E4"/>
    <w:rsid w:val="002B0372"/>
    <w:rsid w:val="002B3138"/>
    <w:rsid w:val="002B74C2"/>
    <w:rsid w:val="002B78BA"/>
    <w:rsid w:val="002C1533"/>
    <w:rsid w:val="002C27FF"/>
    <w:rsid w:val="002C350D"/>
    <w:rsid w:val="002C436B"/>
    <w:rsid w:val="002D2F64"/>
    <w:rsid w:val="002D4177"/>
    <w:rsid w:val="002D4786"/>
    <w:rsid w:val="002D4EE1"/>
    <w:rsid w:val="002D58BE"/>
    <w:rsid w:val="002D63D2"/>
    <w:rsid w:val="002D7452"/>
    <w:rsid w:val="002D79C2"/>
    <w:rsid w:val="002E1660"/>
    <w:rsid w:val="002E65B7"/>
    <w:rsid w:val="002E6D48"/>
    <w:rsid w:val="002F1329"/>
    <w:rsid w:val="002F14D1"/>
    <w:rsid w:val="002F295B"/>
    <w:rsid w:val="002F3B3C"/>
    <w:rsid w:val="002F46F1"/>
    <w:rsid w:val="002F6A29"/>
    <w:rsid w:val="003022B6"/>
    <w:rsid w:val="003024D9"/>
    <w:rsid w:val="00304A44"/>
    <w:rsid w:val="00305594"/>
    <w:rsid w:val="00306DAC"/>
    <w:rsid w:val="00315FAA"/>
    <w:rsid w:val="00316C0D"/>
    <w:rsid w:val="0032079F"/>
    <w:rsid w:val="00322626"/>
    <w:rsid w:val="003243C6"/>
    <w:rsid w:val="00325CB9"/>
    <w:rsid w:val="0033316F"/>
    <w:rsid w:val="003333FE"/>
    <w:rsid w:val="00335150"/>
    <w:rsid w:val="00340146"/>
    <w:rsid w:val="00340334"/>
    <w:rsid w:val="00341F6F"/>
    <w:rsid w:val="00342A88"/>
    <w:rsid w:val="0034499E"/>
    <w:rsid w:val="00346DF4"/>
    <w:rsid w:val="00352E24"/>
    <w:rsid w:val="0035542F"/>
    <w:rsid w:val="003561C6"/>
    <w:rsid w:val="0036340C"/>
    <w:rsid w:val="003651EF"/>
    <w:rsid w:val="0036598C"/>
    <w:rsid w:val="0037526C"/>
    <w:rsid w:val="00375270"/>
    <w:rsid w:val="0037607F"/>
    <w:rsid w:val="0037648D"/>
    <w:rsid w:val="00377BD3"/>
    <w:rsid w:val="003812ED"/>
    <w:rsid w:val="00383AF2"/>
    <w:rsid w:val="00384088"/>
    <w:rsid w:val="00386283"/>
    <w:rsid w:val="00386477"/>
    <w:rsid w:val="00387346"/>
    <w:rsid w:val="00395011"/>
    <w:rsid w:val="00396AEF"/>
    <w:rsid w:val="00397B75"/>
    <w:rsid w:val="003A2C0F"/>
    <w:rsid w:val="003A3F0C"/>
    <w:rsid w:val="003A447F"/>
    <w:rsid w:val="003A6C98"/>
    <w:rsid w:val="003A761D"/>
    <w:rsid w:val="003A7F8C"/>
    <w:rsid w:val="003B532E"/>
    <w:rsid w:val="003C4DE3"/>
    <w:rsid w:val="003C639B"/>
    <w:rsid w:val="003D0F8B"/>
    <w:rsid w:val="003D1E00"/>
    <w:rsid w:val="003D75A7"/>
    <w:rsid w:val="003E0107"/>
    <w:rsid w:val="003E0126"/>
    <w:rsid w:val="003E2CA1"/>
    <w:rsid w:val="003E55DE"/>
    <w:rsid w:val="003F0E39"/>
    <w:rsid w:val="003F390C"/>
    <w:rsid w:val="003F488D"/>
    <w:rsid w:val="00402D38"/>
    <w:rsid w:val="0040794F"/>
    <w:rsid w:val="0041348E"/>
    <w:rsid w:val="004155B9"/>
    <w:rsid w:val="00415AD3"/>
    <w:rsid w:val="00424EBE"/>
    <w:rsid w:val="00426AED"/>
    <w:rsid w:val="00427307"/>
    <w:rsid w:val="004279FE"/>
    <w:rsid w:val="0043253B"/>
    <w:rsid w:val="0043444A"/>
    <w:rsid w:val="0043457E"/>
    <w:rsid w:val="004409DA"/>
    <w:rsid w:val="00443866"/>
    <w:rsid w:val="00445F8F"/>
    <w:rsid w:val="00457B52"/>
    <w:rsid w:val="00461086"/>
    <w:rsid w:val="004631D2"/>
    <w:rsid w:val="00463515"/>
    <w:rsid w:val="00464346"/>
    <w:rsid w:val="00464E94"/>
    <w:rsid w:val="00467ED4"/>
    <w:rsid w:val="00470EAB"/>
    <w:rsid w:val="00472EB7"/>
    <w:rsid w:val="0047400F"/>
    <w:rsid w:val="00476469"/>
    <w:rsid w:val="00481465"/>
    <w:rsid w:val="00485F11"/>
    <w:rsid w:val="00486574"/>
    <w:rsid w:val="00486E17"/>
    <w:rsid w:val="00487055"/>
    <w:rsid w:val="00492075"/>
    <w:rsid w:val="0049526C"/>
    <w:rsid w:val="00495896"/>
    <w:rsid w:val="004969AD"/>
    <w:rsid w:val="00496BF6"/>
    <w:rsid w:val="00496DFC"/>
    <w:rsid w:val="004A04A7"/>
    <w:rsid w:val="004A0ACE"/>
    <w:rsid w:val="004A1062"/>
    <w:rsid w:val="004A1742"/>
    <w:rsid w:val="004A27C9"/>
    <w:rsid w:val="004A49E8"/>
    <w:rsid w:val="004A7411"/>
    <w:rsid w:val="004B4823"/>
    <w:rsid w:val="004B68BD"/>
    <w:rsid w:val="004B700C"/>
    <w:rsid w:val="004B7493"/>
    <w:rsid w:val="004B7D32"/>
    <w:rsid w:val="004C14ED"/>
    <w:rsid w:val="004C48C7"/>
    <w:rsid w:val="004C7B1D"/>
    <w:rsid w:val="004D0673"/>
    <w:rsid w:val="004D0861"/>
    <w:rsid w:val="004D1BC9"/>
    <w:rsid w:val="004D20C8"/>
    <w:rsid w:val="004D5D5C"/>
    <w:rsid w:val="004E046F"/>
    <w:rsid w:val="004E15CD"/>
    <w:rsid w:val="004E3748"/>
    <w:rsid w:val="004E6670"/>
    <w:rsid w:val="004F3679"/>
    <w:rsid w:val="004F37DC"/>
    <w:rsid w:val="0050139F"/>
    <w:rsid w:val="00513ADD"/>
    <w:rsid w:val="005161EF"/>
    <w:rsid w:val="005177C9"/>
    <w:rsid w:val="00522AB7"/>
    <w:rsid w:val="00523153"/>
    <w:rsid w:val="00532202"/>
    <w:rsid w:val="00541A3C"/>
    <w:rsid w:val="00542733"/>
    <w:rsid w:val="005427DF"/>
    <w:rsid w:val="005511F1"/>
    <w:rsid w:val="005514B3"/>
    <w:rsid w:val="00552866"/>
    <w:rsid w:val="00557821"/>
    <w:rsid w:val="00560BA1"/>
    <w:rsid w:val="0056577E"/>
    <w:rsid w:val="005812BD"/>
    <w:rsid w:val="005864C3"/>
    <w:rsid w:val="00587061"/>
    <w:rsid w:val="005944B4"/>
    <w:rsid w:val="005964AB"/>
    <w:rsid w:val="005976E1"/>
    <w:rsid w:val="005978DC"/>
    <w:rsid w:val="005A299A"/>
    <w:rsid w:val="005A3C5A"/>
    <w:rsid w:val="005A3D6D"/>
    <w:rsid w:val="005A462B"/>
    <w:rsid w:val="005A66C9"/>
    <w:rsid w:val="005A7EF9"/>
    <w:rsid w:val="005B0784"/>
    <w:rsid w:val="005B3042"/>
    <w:rsid w:val="005B3EEA"/>
    <w:rsid w:val="005B432E"/>
    <w:rsid w:val="005C090D"/>
    <w:rsid w:val="005C099A"/>
    <w:rsid w:val="005C1A0F"/>
    <w:rsid w:val="005C211D"/>
    <w:rsid w:val="005C24D4"/>
    <w:rsid w:val="005C31A5"/>
    <w:rsid w:val="005D1F78"/>
    <w:rsid w:val="005D6BCA"/>
    <w:rsid w:val="005E0703"/>
    <w:rsid w:val="005E4466"/>
    <w:rsid w:val="005E61DD"/>
    <w:rsid w:val="006022D4"/>
    <w:rsid w:val="006023DF"/>
    <w:rsid w:val="00605FAF"/>
    <w:rsid w:val="00607900"/>
    <w:rsid w:val="00612153"/>
    <w:rsid w:val="006123E4"/>
    <w:rsid w:val="00621502"/>
    <w:rsid w:val="006243E7"/>
    <w:rsid w:val="0063200A"/>
    <w:rsid w:val="0063211F"/>
    <w:rsid w:val="00635C38"/>
    <w:rsid w:val="00636247"/>
    <w:rsid w:val="006373BE"/>
    <w:rsid w:val="0065275D"/>
    <w:rsid w:val="006569A4"/>
    <w:rsid w:val="006571FA"/>
    <w:rsid w:val="00657DE0"/>
    <w:rsid w:val="00662DF2"/>
    <w:rsid w:val="0066340F"/>
    <w:rsid w:val="00667E4B"/>
    <w:rsid w:val="006743DB"/>
    <w:rsid w:val="006828D1"/>
    <w:rsid w:val="00685313"/>
    <w:rsid w:val="006868A4"/>
    <w:rsid w:val="00687510"/>
    <w:rsid w:val="006924DE"/>
    <w:rsid w:val="006A01B5"/>
    <w:rsid w:val="006A1037"/>
    <w:rsid w:val="006A1587"/>
    <w:rsid w:val="006A2E9A"/>
    <w:rsid w:val="006A33D5"/>
    <w:rsid w:val="006A4039"/>
    <w:rsid w:val="006A64B2"/>
    <w:rsid w:val="006A65AE"/>
    <w:rsid w:val="006A6E9B"/>
    <w:rsid w:val="006B0465"/>
    <w:rsid w:val="006B0688"/>
    <w:rsid w:val="006B1C7B"/>
    <w:rsid w:val="006B2649"/>
    <w:rsid w:val="006B3961"/>
    <w:rsid w:val="006B7FF0"/>
    <w:rsid w:val="006C0445"/>
    <w:rsid w:val="006D1855"/>
    <w:rsid w:val="006D4B89"/>
    <w:rsid w:val="006D50F0"/>
    <w:rsid w:val="006D6A11"/>
    <w:rsid w:val="006D7B02"/>
    <w:rsid w:val="006D7CEE"/>
    <w:rsid w:val="006E25E0"/>
    <w:rsid w:val="006E39B2"/>
    <w:rsid w:val="006E5640"/>
    <w:rsid w:val="006E6B89"/>
    <w:rsid w:val="006E749B"/>
    <w:rsid w:val="006F020A"/>
    <w:rsid w:val="006F449C"/>
    <w:rsid w:val="006F60B9"/>
    <w:rsid w:val="006F73BC"/>
    <w:rsid w:val="006F7DB1"/>
    <w:rsid w:val="007001B3"/>
    <w:rsid w:val="007007AF"/>
    <w:rsid w:val="00701C9F"/>
    <w:rsid w:val="00702944"/>
    <w:rsid w:val="00703F4C"/>
    <w:rsid w:val="00704E88"/>
    <w:rsid w:val="00710187"/>
    <w:rsid w:val="0071143D"/>
    <w:rsid w:val="007114E8"/>
    <w:rsid w:val="007149F9"/>
    <w:rsid w:val="00716D6B"/>
    <w:rsid w:val="00720CCF"/>
    <w:rsid w:val="0072550E"/>
    <w:rsid w:val="00727F0D"/>
    <w:rsid w:val="00727FBC"/>
    <w:rsid w:val="00733435"/>
    <w:rsid w:val="00733A30"/>
    <w:rsid w:val="00734026"/>
    <w:rsid w:val="00743723"/>
    <w:rsid w:val="00745349"/>
    <w:rsid w:val="00745AEE"/>
    <w:rsid w:val="00747995"/>
    <w:rsid w:val="00752CE3"/>
    <w:rsid w:val="00753864"/>
    <w:rsid w:val="00756EC8"/>
    <w:rsid w:val="00761F4F"/>
    <w:rsid w:val="007742CA"/>
    <w:rsid w:val="00782401"/>
    <w:rsid w:val="007841C0"/>
    <w:rsid w:val="00786679"/>
    <w:rsid w:val="0079144C"/>
    <w:rsid w:val="007935CE"/>
    <w:rsid w:val="0079681E"/>
    <w:rsid w:val="00796DC1"/>
    <w:rsid w:val="00796FB4"/>
    <w:rsid w:val="007A4C42"/>
    <w:rsid w:val="007B0BF7"/>
    <w:rsid w:val="007B6371"/>
    <w:rsid w:val="007B665F"/>
    <w:rsid w:val="007B7E09"/>
    <w:rsid w:val="007C515F"/>
    <w:rsid w:val="007D4AD6"/>
    <w:rsid w:val="007D54EF"/>
    <w:rsid w:val="007E34DC"/>
    <w:rsid w:val="007E3A63"/>
    <w:rsid w:val="007E43D5"/>
    <w:rsid w:val="007E6B75"/>
    <w:rsid w:val="007F35E2"/>
    <w:rsid w:val="007F6FA6"/>
    <w:rsid w:val="00800972"/>
    <w:rsid w:val="00802BB6"/>
    <w:rsid w:val="00803CA2"/>
    <w:rsid w:val="00804DB6"/>
    <w:rsid w:val="008072DD"/>
    <w:rsid w:val="00807C0B"/>
    <w:rsid w:val="00811068"/>
    <w:rsid w:val="00811633"/>
    <w:rsid w:val="00814B2B"/>
    <w:rsid w:val="00815D9C"/>
    <w:rsid w:val="00816567"/>
    <w:rsid w:val="008262FA"/>
    <w:rsid w:val="008271AE"/>
    <w:rsid w:val="00827242"/>
    <w:rsid w:val="00830115"/>
    <w:rsid w:val="00832295"/>
    <w:rsid w:val="00833587"/>
    <w:rsid w:val="00837996"/>
    <w:rsid w:val="0084054E"/>
    <w:rsid w:val="00844E02"/>
    <w:rsid w:val="0085046A"/>
    <w:rsid w:val="008526BD"/>
    <w:rsid w:val="008554FD"/>
    <w:rsid w:val="00855B45"/>
    <w:rsid w:val="00860105"/>
    <w:rsid w:val="008630C2"/>
    <w:rsid w:val="00863DD0"/>
    <w:rsid w:val="00866832"/>
    <w:rsid w:val="008668D0"/>
    <w:rsid w:val="008670D9"/>
    <w:rsid w:val="0086718A"/>
    <w:rsid w:val="00872FC8"/>
    <w:rsid w:val="00874BD4"/>
    <w:rsid w:val="0087678F"/>
    <w:rsid w:val="00876DB8"/>
    <w:rsid w:val="00882CA3"/>
    <w:rsid w:val="00882D90"/>
    <w:rsid w:val="00883F7B"/>
    <w:rsid w:val="008845D0"/>
    <w:rsid w:val="00887CE8"/>
    <w:rsid w:val="00891D62"/>
    <w:rsid w:val="0089264A"/>
    <w:rsid w:val="008948FC"/>
    <w:rsid w:val="008A3A88"/>
    <w:rsid w:val="008A3BC7"/>
    <w:rsid w:val="008A7265"/>
    <w:rsid w:val="008A7985"/>
    <w:rsid w:val="008A7CB7"/>
    <w:rsid w:val="008B02B0"/>
    <w:rsid w:val="008B0330"/>
    <w:rsid w:val="008B1541"/>
    <w:rsid w:val="008B21D6"/>
    <w:rsid w:val="008B2586"/>
    <w:rsid w:val="008B3569"/>
    <w:rsid w:val="008B43F2"/>
    <w:rsid w:val="008C04DB"/>
    <w:rsid w:val="008C2981"/>
    <w:rsid w:val="008C4CFE"/>
    <w:rsid w:val="008C5CD9"/>
    <w:rsid w:val="008D063A"/>
    <w:rsid w:val="008D216E"/>
    <w:rsid w:val="008D5D74"/>
    <w:rsid w:val="008D69F4"/>
    <w:rsid w:val="008E147A"/>
    <w:rsid w:val="008E2CB3"/>
    <w:rsid w:val="008E2E1A"/>
    <w:rsid w:val="008E3665"/>
    <w:rsid w:val="008E374B"/>
    <w:rsid w:val="008F3BB5"/>
    <w:rsid w:val="008F4E74"/>
    <w:rsid w:val="008F5BFA"/>
    <w:rsid w:val="00911DC8"/>
    <w:rsid w:val="0091225A"/>
    <w:rsid w:val="00912DAB"/>
    <w:rsid w:val="00915398"/>
    <w:rsid w:val="00916401"/>
    <w:rsid w:val="00926883"/>
    <w:rsid w:val="009274B4"/>
    <w:rsid w:val="00934DEE"/>
    <w:rsid w:val="009359CE"/>
    <w:rsid w:val="00944A5C"/>
    <w:rsid w:val="009510C1"/>
    <w:rsid w:val="00951F3E"/>
    <w:rsid w:val="00952A66"/>
    <w:rsid w:val="00953746"/>
    <w:rsid w:val="009624B0"/>
    <w:rsid w:val="00963FDD"/>
    <w:rsid w:val="00966F2C"/>
    <w:rsid w:val="00970C5B"/>
    <w:rsid w:val="00971D0D"/>
    <w:rsid w:val="00973979"/>
    <w:rsid w:val="00974431"/>
    <w:rsid w:val="00975919"/>
    <w:rsid w:val="0098143D"/>
    <w:rsid w:val="00981915"/>
    <w:rsid w:val="009829C2"/>
    <w:rsid w:val="009829F6"/>
    <w:rsid w:val="009903D2"/>
    <w:rsid w:val="009968F5"/>
    <w:rsid w:val="00997F2B"/>
    <w:rsid w:val="009A3F8F"/>
    <w:rsid w:val="009B3E3C"/>
    <w:rsid w:val="009B4A18"/>
    <w:rsid w:val="009B6530"/>
    <w:rsid w:val="009B7C35"/>
    <w:rsid w:val="009C0906"/>
    <w:rsid w:val="009C0B35"/>
    <w:rsid w:val="009C56E5"/>
    <w:rsid w:val="009C7990"/>
    <w:rsid w:val="009D04A7"/>
    <w:rsid w:val="009D13CF"/>
    <w:rsid w:val="009D5DD7"/>
    <w:rsid w:val="009D6771"/>
    <w:rsid w:val="009D7FBF"/>
    <w:rsid w:val="009E35D5"/>
    <w:rsid w:val="009E44E6"/>
    <w:rsid w:val="009E5FC8"/>
    <w:rsid w:val="009E6863"/>
    <w:rsid w:val="009E687A"/>
    <w:rsid w:val="009EC7E9"/>
    <w:rsid w:val="009F0754"/>
    <w:rsid w:val="009F4009"/>
    <w:rsid w:val="009F40BD"/>
    <w:rsid w:val="009F6D76"/>
    <w:rsid w:val="009F7599"/>
    <w:rsid w:val="00A01483"/>
    <w:rsid w:val="00A0353A"/>
    <w:rsid w:val="00A04297"/>
    <w:rsid w:val="00A141AF"/>
    <w:rsid w:val="00A15AFD"/>
    <w:rsid w:val="00A15B98"/>
    <w:rsid w:val="00A16D29"/>
    <w:rsid w:val="00A20116"/>
    <w:rsid w:val="00A2048C"/>
    <w:rsid w:val="00A2231A"/>
    <w:rsid w:val="00A23FD3"/>
    <w:rsid w:val="00A2426A"/>
    <w:rsid w:val="00A25A8C"/>
    <w:rsid w:val="00A3008E"/>
    <w:rsid w:val="00A300CB"/>
    <w:rsid w:val="00A30305"/>
    <w:rsid w:val="00A31D2D"/>
    <w:rsid w:val="00A33D40"/>
    <w:rsid w:val="00A3622E"/>
    <w:rsid w:val="00A37EF0"/>
    <w:rsid w:val="00A44C8A"/>
    <w:rsid w:val="00A4600A"/>
    <w:rsid w:val="00A463B4"/>
    <w:rsid w:val="00A476D4"/>
    <w:rsid w:val="00A50BDA"/>
    <w:rsid w:val="00A5319A"/>
    <w:rsid w:val="00A54C25"/>
    <w:rsid w:val="00A56B96"/>
    <w:rsid w:val="00A57CBC"/>
    <w:rsid w:val="00A627DA"/>
    <w:rsid w:val="00A677C2"/>
    <w:rsid w:val="00A710E7"/>
    <w:rsid w:val="00A730A3"/>
    <w:rsid w:val="00A7372E"/>
    <w:rsid w:val="00A73FF0"/>
    <w:rsid w:val="00A74E92"/>
    <w:rsid w:val="00A774DF"/>
    <w:rsid w:val="00A77634"/>
    <w:rsid w:val="00A777AB"/>
    <w:rsid w:val="00A80D73"/>
    <w:rsid w:val="00A85B17"/>
    <w:rsid w:val="00A86717"/>
    <w:rsid w:val="00A908FE"/>
    <w:rsid w:val="00A91E29"/>
    <w:rsid w:val="00A93B85"/>
    <w:rsid w:val="00A95ED3"/>
    <w:rsid w:val="00A963F7"/>
    <w:rsid w:val="00AA0B18"/>
    <w:rsid w:val="00AB1793"/>
    <w:rsid w:val="00AB5271"/>
    <w:rsid w:val="00AB66C2"/>
    <w:rsid w:val="00AC219E"/>
    <w:rsid w:val="00AC69B0"/>
    <w:rsid w:val="00AC7C32"/>
    <w:rsid w:val="00AD0465"/>
    <w:rsid w:val="00AD083C"/>
    <w:rsid w:val="00AD1C64"/>
    <w:rsid w:val="00AD3CA9"/>
    <w:rsid w:val="00AD409C"/>
    <w:rsid w:val="00AD45C5"/>
    <w:rsid w:val="00AD5A45"/>
    <w:rsid w:val="00AE3E54"/>
    <w:rsid w:val="00AE45CA"/>
    <w:rsid w:val="00B010D5"/>
    <w:rsid w:val="00B03F6F"/>
    <w:rsid w:val="00B04321"/>
    <w:rsid w:val="00B052CD"/>
    <w:rsid w:val="00B10446"/>
    <w:rsid w:val="00B11532"/>
    <w:rsid w:val="00B14B84"/>
    <w:rsid w:val="00B255DE"/>
    <w:rsid w:val="00B26F1A"/>
    <w:rsid w:val="00B270B5"/>
    <w:rsid w:val="00B30D2A"/>
    <w:rsid w:val="00B3333B"/>
    <w:rsid w:val="00B33365"/>
    <w:rsid w:val="00B35D7C"/>
    <w:rsid w:val="00B37A1C"/>
    <w:rsid w:val="00B45845"/>
    <w:rsid w:val="00B459BB"/>
    <w:rsid w:val="00B5300D"/>
    <w:rsid w:val="00B5313A"/>
    <w:rsid w:val="00B547F1"/>
    <w:rsid w:val="00B60361"/>
    <w:rsid w:val="00B60926"/>
    <w:rsid w:val="00B639E9"/>
    <w:rsid w:val="00B66F59"/>
    <w:rsid w:val="00B73C53"/>
    <w:rsid w:val="00B817CD"/>
    <w:rsid w:val="00B8429A"/>
    <w:rsid w:val="00B85207"/>
    <w:rsid w:val="00B86B05"/>
    <w:rsid w:val="00B90E2E"/>
    <w:rsid w:val="00B95DFE"/>
    <w:rsid w:val="00BA095D"/>
    <w:rsid w:val="00BA2231"/>
    <w:rsid w:val="00BA59A8"/>
    <w:rsid w:val="00BB08B3"/>
    <w:rsid w:val="00BB18BC"/>
    <w:rsid w:val="00BB3A95"/>
    <w:rsid w:val="00BC00AC"/>
    <w:rsid w:val="00BC33ED"/>
    <w:rsid w:val="00BC6378"/>
    <w:rsid w:val="00BC7FB9"/>
    <w:rsid w:val="00BD01EC"/>
    <w:rsid w:val="00BD0ADF"/>
    <w:rsid w:val="00BD0C13"/>
    <w:rsid w:val="00BD6051"/>
    <w:rsid w:val="00BE6428"/>
    <w:rsid w:val="00BE6F12"/>
    <w:rsid w:val="00BE71C5"/>
    <w:rsid w:val="00BF0888"/>
    <w:rsid w:val="00BF1298"/>
    <w:rsid w:val="00BF48C1"/>
    <w:rsid w:val="00C0018F"/>
    <w:rsid w:val="00C00693"/>
    <w:rsid w:val="00C03BA3"/>
    <w:rsid w:val="00C107BA"/>
    <w:rsid w:val="00C1446B"/>
    <w:rsid w:val="00C155FA"/>
    <w:rsid w:val="00C16C32"/>
    <w:rsid w:val="00C16D6E"/>
    <w:rsid w:val="00C20466"/>
    <w:rsid w:val="00C20DCE"/>
    <w:rsid w:val="00C21309"/>
    <w:rsid w:val="00C214ED"/>
    <w:rsid w:val="00C234E6"/>
    <w:rsid w:val="00C324A8"/>
    <w:rsid w:val="00C35FB4"/>
    <w:rsid w:val="00C51B88"/>
    <w:rsid w:val="00C54517"/>
    <w:rsid w:val="00C545A4"/>
    <w:rsid w:val="00C55B65"/>
    <w:rsid w:val="00C61C88"/>
    <w:rsid w:val="00C62492"/>
    <w:rsid w:val="00C63443"/>
    <w:rsid w:val="00C63535"/>
    <w:rsid w:val="00C6532C"/>
    <w:rsid w:val="00C67266"/>
    <w:rsid w:val="00C720E4"/>
    <w:rsid w:val="00C73D7B"/>
    <w:rsid w:val="00C74DA0"/>
    <w:rsid w:val="00C76942"/>
    <w:rsid w:val="00C82A62"/>
    <w:rsid w:val="00C831CC"/>
    <w:rsid w:val="00C86EFF"/>
    <w:rsid w:val="00C87EBD"/>
    <w:rsid w:val="00C91D15"/>
    <w:rsid w:val="00C92B39"/>
    <w:rsid w:val="00C93526"/>
    <w:rsid w:val="00C96262"/>
    <w:rsid w:val="00C96538"/>
    <w:rsid w:val="00C97C68"/>
    <w:rsid w:val="00CA1A47"/>
    <w:rsid w:val="00CA49F8"/>
    <w:rsid w:val="00CB0F2D"/>
    <w:rsid w:val="00CB3491"/>
    <w:rsid w:val="00CB658B"/>
    <w:rsid w:val="00CC247A"/>
    <w:rsid w:val="00CC2985"/>
    <w:rsid w:val="00CC3773"/>
    <w:rsid w:val="00CC6D46"/>
    <w:rsid w:val="00CD2541"/>
    <w:rsid w:val="00CD488E"/>
    <w:rsid w:val="00CE10A6"/>
    <w:rsid w:val="00CE27DF"/>
    <w:rsid w:val="00CE33A3"/>
    <w:rsid w:val="00CE4344"/>
    <w:rsid w:val="00CE5E47"/>
    <w:rsid w:val="00CF020F"/>
    <w:rsid w:val="00CF0DD4"/>
    <w:rsid w:val="00CF2B5B"/>
    <w:rsid w:val="00CF3917"/>
    <w:rsid w:val="00CF7DAE"/>
    <w:rsid w:val="00D0107C"/>
    <w:rsid w:val="00D0142F"/>
    <w:rsid w:val="00D0334D"/>
    <w:rsid w:val="00D060DE"/>
    <w:rsid w:val="00D069CA"/>
    <w:rsid w:val="00D07226"/>
    <w:rsid w:val="00D12F0F"/>
    <w:rsid w:val="00D13F67"/>
    <w:rsid w:val="00D14CE0"/>
    <w:rsid w:val="00D1519F"/>
    <w:rsid w:val="00D157C1"/>
    <w:rsid w:val="00D164ED"/>
    <w:rsid w:val="00D16FF4"/>
    <w:rsid w:val="00D31F85"/>
    <w:rsid w:val="00D3217F"/>
    <w:rsid w:val="00D3776B"/>
    <w:rsid w:val="00D401A0"/>
    <w:rsid w:val="00D47A43"/>
    <w:rsid w:val="00D50FE4"/>
    <w:rsid w:val="00D51D29"/>
    <w:rsid w:val="00D5470C"/>
    <w:rsid w:val="00D5651D"/>
    <w:rsid w:val="00D57983"/>
    <w:rsid w:val="00D66BE5"/>
    <w:rsid w:val="00D67EE9"/>
    <w:rsid w:val="00D70953"/>
    <w:rsid w:val="00D71B89"/>
    <w:rsid w:val="00D72981"/>
    <w:rsid w:val="00D731F9"/>
    <w:rsid w:val="00D73CA6"/>
    <w:rsid w:val="00D74898"/>
    <w:rsid w:val="00D767C2"/>
    <w:rsid w:val="00D801ED"/>
    <w:rsid w:val="00D835BB"/>
    <w:rsid w:val="00D8479E"/>
    <w:rsid w:val="00D91769"/>
    <w:rsid w:val="00D936BC"/>
    <w:rsid w:val="00D93B2C"/>
    <w:rsid w:val="00D9403B"/>
    <w:rsid w:val="00D962FB"/>
    <w:rsid w:val="00D9652E"/>
    <w:rsid w:val="00D96530"/>
    <w:rsid w:val="00D96E07"/>
    <w:rsid w:val="00D97AA0"/>
    <w:rsid w:val="00DB1E69"/>
    <w:rsid w:val="00DB2A91"/>
    <w:rsid w:val="00DB5DC1"/>
    <w:rsid w:val="00DB74FF"/>
    <w:rsid w:val="00DC3B0A"/>
    <w:rsid w:val="00DC4121"/>
    <w:rsid w:val="00DC6429"/>
    <w:rsid w:val="00DD108B"/>
    <w:rsid w:val="00DD1B7D"/>
    <w:rsid w:val="00DD2CFF"/>
    <w:rsid w:val="00DD44AF"/>
    <w:rsid w:val="00DD69BF"/>
    <w:rsid w:val="00DD6A89"/>
    <w:rsid w:val="00DD738D"/>
    <w:rsid w:val="00DE1B1C"/>
    <w:rsid w:val="00DE2AC3"/>
    <w:rsid w:val="00DE5692"/>
    <w:rsid w:val="00DE6699"/>
    <w:rsid w:val="00DE76A4"/>
    <w:rsid w:val="00DF0C8C"/>
    <w:rsid w:val="00DF51F2"/>
    <w:rsid w:val="00E0203B"/>
    <w:rsid w:val="00E02B69"/>
    <w:rsid w:val="00E03C94"/>
    <w:rsid w:val="00E048E6"/>
    <w:rsid w:val="00E04E49"/>
    <w:rsid w:val="00E06DC4"/>
    <w:rsid w:val="00E075D8"/>
    <w:rsid w:val="00E10C3C"/>
    <w:rsid w:val="00E10E8A"/>
    <w:rsid w:val="00E14F43"/>
    <w:rsid w:val="00E22A48"/>
    <w:rsid w:val="00E26226"/>
    <w:rsid w:val="00E262F0"/>
    <w:rsid w:val="00E35D38"/>
    <w:rsid w:val="00E365BE"/>
    <w:rsid w:val="00E37915"/>
    <w:rsid w:val="00E37EBB"/>
    <w:rsid w:val="00E40A57"/>
    <w:rsid w:val="00E45D05"/>
    <w:rsid w:val="00E52975"/>
    <w:rsid w:val="00E546CF"/>
    <w:rsid w:val="00E55AEF"/>
    <w:rsid w:val="00E55E7F"/>
    <w:rsid w:val="00E56095"/>
    <w:rsid w:val="00E6419D"/>
    <w:rsid w:val="00E6717A"/>
    <w:rsid w:val="00E70875"/>
    <w:rsid w:val="00E73497"/>
    <w:rsid w:val="00E74B32"/>
    <w:rsid w:val="00E77F71"/>
    <w:rsid w:val="00E84CB7"/>
    <w:rsid w:val="00E84D67"/>
    <w:rsid w:val="00E84E5B"/>
    <w:rsid w:val="00E92D00"/>
    <w:rsid w:val="00E956DC"/>
    <w:rsid w:val="00E976C1"/>
    <w:rsid w:val="00EA12E5"/>
    <w:rsid w:val="00EA43B9"/>
    <w:rsid w:val="00EA4853"/>
    <w:rsid w:val="00EA505C"/>
    <w:rsid w:val="00EA6274"/>
    <w:rsid w:val="00EA72A2"/>
    <w:rsid w:val="00EB31C0"/>
    <w:rsid w:val="00EB57F2"/>
    <w:rsid w:val="00EB695A"/>
    <w:rsid w:val="00EC1900"/>
    <w:rsid w:val="00EC6FBC"/>
    <w:rsid w:val="00EC75F3"/>
    <w:rsid w:val="00ED45D1"/>
    <w:rsid w:val="00ED4B18"/>
    <w:rsid w:val="00ED6045"/>
    <w:rsid w:val="00EE069E"/>
    <w:rsid w:val="00EE13B4"/>
    <w:rsid w:val="00EE4625"/>
    <w:rsid w:val="00EE4AE1"/>
    <w:rsid w:val="00EE6391"/>
    <w:rsid w:val="00EF0EB3"/>
    <w:rsid w:val="00EF39C6"/>
    <w:rsid w:val="00F00F55"/>
    <w:rsid w:val="00F02766"/>
    <w:rsid w:val="00F05BD4"/>
    <w:rsid w:val="00F103FE"/>
    <w:rsid w:val="00F1082A"/>
    <w:rsid w:val="00F11E55"/>
    <w:rsid w:val="00F20208"/>
    <w:rsid w:val="00F202A8"/>
    <w:rsid w:val="00F23199"/>
    <w:rsid w:val="00F27516"/>
    <w:rsid w:val="00F27B62"/>
    <w:rsid w:val="00F27C09"/>
    <w:rsid w:val="00F31BB4"/>
    <w:rsid w:val="00F33679"/>
    <w:rsid w:val="00F43E48"/>
    <w:rsid w:val="00F45286"/>
    <w:rsid w:val="00F46CAA"/>
    <w:rsid w:val="00F50503"/>
    <w:rsid w:val="00F50B68"/>
    <w:rsid w:val="00F513B7"/>
    <w:rsid w:val="00F54078"/>
    <w:rsid w:val="00F5740F"/>
    <w:rsid w:val="00F6065D"/>
    <w:rsid w:val="00F620A8"/>
    <w:rsid w:val="00F62908"/>
    <w:rsid w:val="00F63F8C"/>
    <w:rsid w:val="00F65C19"/>
    <w:rsid w:val="00F662D5"/>
    <w:rsid w:val="00F67BA0"/>
    <w:rsid w:val="00F708C4"/>
    <w:rsid w:val="00F729B7"/>
    <w:rsid w:val="00F737BD"/>
    <w:rsid w:val="00F80D90"/>
    <w:rsid w:val="00F86FB0"/>
    <w:rsid w:val="00F9006B"/>
    <w:rsid w:val="00F91634"/>
    <w:rsid w:val="00F94BA0"/>
    <w:rsid w:val="00F959E7"/>
    <w:rsid w:val="00FA23B7"/>
    <w:rsid w:val="00FB2C44"/>
    <w:rsid w:val="00FB4BEA"/>
    <w:rsid w:val="00FB76E9"/>
    <w:rsid w:val="00FC1ADC"/>
    <w:rsid w:val="00FD2546"/>
    <w:rsid w:val="00FD3E70"/>
    <w:rsid w:val="00FD4992"/>
    <w:rsid w:val="00FD4BA1"/>
    <w:rsid w:val="00FD58E8"/>
    <w:rsid w:val="00FD772E"/>
    <w:rsid w:val="00FE1CB0"/>
    <w:rsid w:val="00FE5038"/>
    <w:rsid w:val="00FE78C7"/>
    <w:rsid w:val="00FF16E6"/>
    <w:rsid w:val="00FF180A"/>
    <w:rsid w:val="00FF1E85"/>
    <w:rsid w:val="00FF43AC"/>
    <w:rsid w:val="00FF7E07"/>
    <w:rsid w:val="01BDE138"/>
    <w:rsid w:val="024CA260"/>
    <w:rsid w:val="025C1BE7"/>
    <w:rsid w:val="02800D24"/>
    <w:rsid w:val="02CEAA35"/>
    <w:rsid w:val="031C3DD6"/>
    <w:rsid w:val="03851ED9"/>
    <w:rsid w:val="03B97FE2"/>
    <w:rsid w:val="03ECD794"/>
    <w:rsid w:val="047CEFBA"/>
    <w:rsid w:val="04B80E37"/>
    <w:rsid w:val="04E06375"/>
    <w:rsid w:val="05197C86"/>
    <w:rsid w:val="0587B9F4"/>
    <w:rsid w:val="0593BCA9"/>
    <w:rsid w:val="059572CD"/>
    <w:rsid w:val="05D2CA0E"/>
    <w:rsid w:val="061216E4"/>
    <w:rsid w:val="06511085"/>
    <w:rsid w:val="07DC053B"/>
    <w:rsid w:val="08BC4343"/>
    <w:rsid w:val="0A20C673"/>
    <w:rsid w:val="0A4BCE36"/>
    <w:rsid w:val="0A874F82"/>
    <w:rsid w:val="0B07DE74"/>
    <w:rsid w:val="0B282116"/>
    <w:rsid w:val="0B8C1400"/>
    <w:rsid w:val="0BF9FCCB"/>
    <w:rsid w:val="0C207CAE"/>
    <w:rsid w:val="0C2373A6"/>
    <w:rsid w:val="0C73958E"/>
    <w:rsid w:val="0C7976CC"/>
    <w:rsid w:val="0CBB1558"/>
    <w:rsid w:val="0CBB467D"/>
    <w:rsid w:val="0CD5A9D6"/>
    <w:rsid w:val="0D507521"/>
    <w:rsid w:val="0DBA76F1"/>
    <w:rsid w:val="0DEC2F65"/>
    <w:rsid w:val="0E2E42A8"/>
    <w:rsid w:val="0E51B8C7"/>
    <w:rsid w:val="0E79AC8F"/>
    <w:rsid w:val="0EA1364E"/>
    <w:rsid w:val="0EBB7B37"/>
    <w:rsid w:val="0FA62ABC"/>
    <w:rsid w:val="0FCA515E"/>
    <w:rsid w:val="103FD861"/>
    <w:rsid w:val="104EB2FC"/>
    <w:rsid w:val="10892287"/>
    <w:rsid w:val="10BFC3EB"/>
    <w:rsid w:val="10F07641"/>
    <w:rsid w:val="1151CE7A"/>
    <w:rsid w:val="119D2DC0"/>
    <w:rsid w:val="11CA5344"/>
    <w:rsid w:val="11E1DEC4"/>
    <w:rsid w:val="11E2DD41"/>
    <w:rsid w:val="1239FFFB"/>
    <w:rsid w:val="124CC3BF"/>
    <w:rsid w:val="12553099"/>
    <w:rsid w:val="1288DAF8"/>
    <w:rsid w:val="1311A1C3"/>
    <w:rsid w:val="13397766"/>
    <w:rsid w:val="1363E88B"/>
    <w:rsid w:val="13976EE1"/>
    <w:rsid w:val="13C8C90E"/>
    <w:rsid w:val="13F85881"/>
    <w:rsid w:val="146D6606"/>
    <w:rsid w:val="14C05A54"/>
    <w:rsid w:val="14CE5F5E"/>
    <w:rsid w:val="14DE2CBC"/>
    <w:rsid w:val="15369733"/>
    <w:rsid w:val="153E92DB"/>
    <w:rsid w:val="15C3F9BC"/>
    <w:rsid w:val="15DF20E6"/>
    <w:rsid w:val="15EA8D47"/>
    <w:rsid w:val="162CF990"/>
    <w:rsid w:val="163D1649"/>
    <w:rsid w:val="16847B09"/>
    <w:rsid w:val="171D4941"/>
    <w:rsid w:val="1784AD22"/>
    <w:rsid w:val="17981444"/>
    <w:rsid w:val="17A8FBFD"/>
    <w:rsid w:val="18512048"/>
    <w:rsid w:val="18F10366"/>
    <w:rsid w:val="19308949"/>
    <w:rsid w:val="19E0314E"/>
    <w:rsid w:val="1A456ECB"/>
    <w:rsid w:val="1A65F5C0"/>
    <w:rsid w:val="1A7C3DBA"/>
    <w:rsid w:val="1AD98A61"/>
    <w:rsid w:val="1AE51EBD"/>
    <w:rsid w:val="1C0A92A7"/>
    <w:rsid w:val="1CB1AE84"/>
    <w:rsid w:val="1CBF104A"/>
    <w:rsid w:val="1CE202C7"/>
    <w:rsid w:val="1D818C32"/>
    <w:rsid w:val="1E02779E"/>
    <w:rsid w:val="1E0655FB"/>
    <w:rsid w:val="1E4E59E4"/>
    <w:rsid w:val="1E766491"/>
    <w:rsid w:val="1E7693D9"/>
    <w:rsid w:val="202B5D4F"/>
    <w:rsid w:val="20FE91E6"/>
    <w:rsid w:val="2195B94D"/>
    <w:rsid w:val="21A6729A"/>
    <w:rsid w:val="2208BE76"/>
    <w:rsid w:val="22428009"/>
    <w:rsid w:val="22D9D6CF"/>
    <w:rsid w:val="23743BBC"/>
    <w:rsid w:val="23A92002"/>
    <w:rsid w:val="23EEC7F7"/>
    <w:rsid w:val="24655F0F"/>
    <w:rsid w:val="24D000D5"/>
    <w:rsid w:val="24DF0B9B"/>
    <w:rsid w:val="2530DCAB"/>
    <w:rsid w:val="253F726D"/>
    <w:rsid w:val="25EC96C4"/>
    <w:rsid w:val="26057870"/>
    <w:rsid w:val="2648322E"/>
    <w:rsid w:val="276D33A9"/>
    <w:rsid w:val="283266FF"/>
    <w:rsid w:val="285808D6"/>
    <w:rsid w:val="287DB313"/>
    <w:rsid w:val="28F9A725"/>
    <w:rsid w:val="29B93A59"/>
    <w:rsid w:val="2A6C79ED"/>
    <w:rsid w:val="2A78F2B8"/>
    <w:rsid w:val="2AD4A755"/>
    <w:rsid w:val="2B02C25E"/>
    <w:rsid w:val="2B3B3A4F"/>
    <w:rsid w:val="2B5E531B"/>
    <w:rsid w:val="2BC24B78"/>
    <w:rsid w:val="2C88FB36"/>
    <w:rsid w:val="2D64C03F"/>
    <w:rsid w:val="2D6C8E82"/>
    <w:rsid w:val="2DD3FCFA"/>
    <w:rsid w:val="2E256718"/>
    <w:rsid w:val="2E2F4258"/>
    <w:rsid w:val="2E521953"/>
    <w:rsid w:val="2F085EE3"/>
    <w:rsid w:val="2FFF61CB"/>
    <w:rsid w:val="3025DE81"/>
    <w:rsid w:val="304D238D"/>
    <w:rsid w:val="30F41894"/>
    <w:rsid w:val="31060DE9"/>
    <w:rsid w:val="3130C824"/>
    <w:rsid w:val="31789E09"/>
    <w:rsid w:val="31FDA153"/>
    <w:rsid w:val="3258891D"/>
    <w:rsid w:val="328AB7A0"/>
    <w:rsid w:val="32AFEC54"/>
    <w:rsid w:val="32FB8E57"/>
    <w:rsid w:val="332C88ED"/>
    <w:rsid w:val="34B4C8D5"/>
    <w:rsid w:val="3528FF6D"/>
    <w:rsid w:val="3572CBF9"/>
    <w:rsid w:val="368B9497"/>
    <w:rsid w:val="36D72E7F"/>
    <w:rsid w:val="3758C58F"/>
    <w:rsid w:val="37596655"/>
    <w:rsid w:val="37668F87"/>
    <w:rsid w:val="37703FC2"/>
    <w:rsid w:val="37A59575"/>
    <w:rsid w:val="37F3480F"/>
    <w:rsid w:val="38F585C9"/>
    <w:rsid w:val="3913E72E"/>
    <w:rsid w:val="3940E033"/>
    <w:rsid w:val="3959CAFD"/>
    <w:rsid w:val="3A97E5F3"/>
    <w:rsid w:val="3B047EEA"/>
    <w:rsid w:val="3B1EE50D"/>
    <w:rsid w:val="3B257E2D"/>
    <w:rsid w:val="3B585270"/>
    <w:rsid w:val="3B7C12F8"/>
    <w:rsid w:val="3B864596"/>
    <w:rsid w:val="3BB0C647"/>
    <w:rsid w:val="3BC8E520"/>
    <w:rsid w:val="3BCEC0D0"/>
    <w:rsid w:val="3C794F90"/>
    <w:rsid w:val="3C7AD1BC"/>
    <w:rsid w:val="3D87227A"/>
    <w:rsid w:val="3E2A5967"/>
    <w:rsid w:val="3E875B24"/>
    <w:rsid w:val="3E8BDFD5"/>
    <w:rsid w:val="3E9386CD"/>
    <w:rsid w:val="3F30F69C"/>
    <w:rsid w:val="3FE8A2CB"/>
    <w:rsid w:val="3FF2A5EF"/>
    <w:rsid w:val="401F5C1C"/>
    <w:rsid w:val="40698DCD"/>
    <w:rsid w:val="407B026E"/>
    <w:rsid w:val="408A320B"/>
    <w:rsid w:val="409E83A4"/>
    <w:rsid w:val="40CCC6FD"/>
    <w:rsid w:val="412FAF13"/>
    <w:rsid w:val="42808285"/>
    <w:rsid w:val="42FDEC89"/>
    <w:rsid w:val="43B63C1C"/>
    <w:rsid w:val="43D71133"/>
    <w:rsid w:val="43D9F1E6"/>
    <w:rsid w:val="43F1FE3B"/>
    <w:rsid w:val="44049859"/>
    <w:rsid w:val="44414233"/>
    <w:rsid w:val="44DA28AB"/>
    <w:rsid w:val="45777788"/>
    <w:rsid w:val="459BE79F"/>
    <w:rsid w:val="460E8026"/>
    <w:rsid w:val="4638F85D"/>
    <w:rsid w:val="467C5B7C"/>
    <w:rsid w:val="46C0C8A5"/>
    <w:rsid w:val="46FEEDE1"/>
    <w:rsid w:val="473061DD"/>
    <w:rsid w:val="477AD716"/>
    <w:rsid w:val="47A6735E"/>
    <w:rsid w:val="47C08C31"/>
    <w:rsid w:val="48BCE080"/>
    <w:rsid w:val="48C7C4EE"/>
    <w:rsid w:val="48EA4620"/>
    <w:rsid w:val="48F526B0"/>
    <w:rsid w:val="49262DBC"/>
    <w:rsid w:val="49901D47"/>
    <w:rsid w:val="4A201390"/>
    <w:rsid w:val="4A9A3552"/>
    <w:rsid w:val="4AFB3CCE"/>
    <w:rsid w:val="4B01605F"/>
    <w:rsid w:val="4B364785"/>
    <w:rsid w:val="4BB44518"/>
    <w:rsid w:val="4BF4F7C8"/>
    <w:rsid w:val="4C3C9AE3"/>
    <w:rsid w:val="4C514562"/>
    <w:rsid w:val="4CAAAD80"/>
    <w:rsid w:val="4CAE7EB4"/>
    <w:rsid w:val="4DFF87AA"/>
    <w:rsid w:val="4E1E600B"/>
    <w:rsid w:val="4E251440"/>
    <w:rsid w:val="4ED03FA6"/>
    <w:rsid w:val="4EFD18DC"/>
    <w:rsid w:val="4FB18626"/>
    <w:rsid w:val="4FCC2CE9"/>
    <w:rsid w:val="504B46AA"/>
    <w:rsid w:val="5137286C"/>
    <w:rsid w:val="5198E342"/>
    <w:rsid w:val="51DFF471"/>
    <w:rsid w:val="520D8929"/>
    <w:rsid w:val="523E191B"/>
    <w:rsid w:val="5303CDAB"/>
    <w:rsid w:val="5314D588"/>
    <w:rsid w:val="5372AEB5"/>
    <w:rsid w:val="539F9237"/>
    <w:rsid w:val="53BECE3A"/>
    <w:rsid w:val="53EE88EA"/>
    <w:rsid w:val="54AB8904"/>
    <w:rsid w:val="5532A7D5"/>
    <w:rsid w:val="5542345D"/>
    <w:rsid w:val="560A998F"/>
    <w:rsid w:val="564C6C7A"/>
    <w:rsid w:val="5690F680"/>
    <w:rsid w:val="56A0F693"/>
    <w:rsid w:val="584D9E60"/>
    <w:rsid w:val="587079B0"/>
    <w:rsid w:val="593C67E3"/>
    <w:rsid w:val="59EC7FA2"/>
    <w:rsid w:val="5A8FBB33"/>
    <w:rsid w:val="5AA6F596"/>
    <w:rsid w:val="5AB0AE04"/>
    <w:rsid w:val="5AC35B7C"/>
    <w:rsid w:val="5B8FD5FE"/>
    <w:rsid w:val="5BAA1D48"/>
    <w:rsid w:val="5BE07272"/>
    <w:rsid w:val="5BF50884"/>
    <w:rsid w:val="5C1B55E4"/>
    <w:rsid w:val="5CBA7F0E"/>
    <w:rsid w:val="5D4D2018"/>
    <w:rsid w:val="5D7C42D3"/>
    <w:rsid w:val="5DC3C99B"/>
    <w:rsid w:val="5E6A3132"/>
    <w:rsid w:val="5F3C6036"/>
    <w:rsid w:val="5F4AA9DA"/>
    <w:rsid w:val="601BC22A"/>
    <w:rsid w:val="601CE064"/>
    <w:rsid w:val="61527AAF"/>
    <w:rsid w:val="6223BF62"/>
    <w:rsid w:val="6241402E"/>
    <w:rsid w:val="6259BA27"/>
    <w:rsid w:val="62857C62"/>
    <w:rsid w:val="62B5AC06"/>
    <w:rsid w:val="62EEEB10"/>
    <w:rsid w:val="62FF262E"/>
    <w:rsid w:val="634C4E85"/>
    <w:rsid w:val="640E7E98"/>
    <w:rsid w:val="64735FB6"/>
    <w:rsid w:val="64970D07"/>
    <w:rsid w:val="64A264FC"/>
    <w:rsid w:val="64FC901D"/>
    <w:rsid w:val="650A4552"/>
    <w:rsid w:val="65230CF3"/>
    <w:rsid w:val="652F514F"/>
    <w:rsid w:val="6540708B"/>
    <w:rsid w:val="6575FCD6"/>
    <w:rsid w:val="65E43B50"/>
    <w:rsid w:val="65F842AB"/>
    <w:rsid w:val="66357FE8"/>
    <w:rsid w:val="664EFB46"/>
    <w:rsid w:val="6792DA87"/>
    <w:rsid w:val="683CD6AA"/>
    <w:rsid w:val="6843A314"/>
    <w:rsid w:val="697BC5F7"/>
    <w:rsid w:val="6A7E7A29"/>
    <w:rsid w:val="6AA144B9"/>
    <w:rsid w:val="6AC05944"/>
    <w:rsid w:val="6B0C42FD"/>
    <w:rsid w:val="6B256BF1"/>
    <w:rsid w:val="6BE8DDDE"/>
    <w:rsid w:val="6C8CFADF"/>
    <w:rsid w:val="6CED9473"/>
    <w:rsid w:val="6D0E3C72"/>
    <w:rsid w:val="6D205001"/>
    <w:rsid w:val="6D6257AF"/>
    <w:rsid w:val="6D9B09AA"/>
    <w:rsid w:val="6DE1B738"/>
    <w:rsid w:val="6DF39351"/>
    <w:rsid w:val="6DF86918"/>
    <w:rsid w:val="6E2E829D"/>
    <w:rsid w:val="6F0C58D6"/>
    <w:rsid w:val="6F7B91EA"/>
    <w:rsid w:val="7043CCC0"/>
    <w:rsid w:val="70767AC2"/>
    <w:rsid w:val="70869E2E"/>
    <w:rsid w:val="709E84EF"/>
    <w:rsid w:val="70D4D96B"/>
    <w:rsid w:val="70E2A9A0"/>
    <w:rsid w:val="71625C24"/>
    <w:rsid w:val="71B6B50C"/>
    <w:rsid w:val="71E1AD95"/>
    <w:rsid w:val="727A0BB6"/>
    <w:rsid w:val="728CBAF3"/>
    <w:rsid w:val="729C2E59"/>
    <w:rsid w:val="72A71772"/>
    <w:rsid w:val="72B98D89"/>
    <w:rsid w:val="72EBCE51"/>
    <w:rsid w:val="72F593E9"/>
    <w:rsid w:val="731E75C1"/>
    <w:rsid w:val="737178AD"/>
    <w:rsid w:val="738168B4"/>
    <w:rsid w:val="73DE8D23"/>
    <w:rsid w:val="73DED469"/>
    <w:rsid w:val="73E078CA"/>
    <w:rsid w:val="74385D07"/>
    <w:rsid w:val="7499FCE6"/>
    <w:rsid w:val="74B378BE"/>
    <w:rsid w:val="7521DCAF"/>
    <w:rsid w:val="75689CE8"/>
    <w:rsid w:val="7575AB58"/>
    <w:rsid w:val="75BCA562"/>
    <w:rsid w:val="76CBC4F0"/>
    <w:rsid w:val="775B7B52"/>
    <w:rsid w:val="78531427"/>
    <w:rsid w:val="78B539A0"/>
    <w:rsid w:val="78C88021"/>
    <w:rsid w:val="799A28B7"/>
    <w:rsid w:val="79C10D13"/>
    <w:rsid w:val="79EC595D"/>
    <w:rsid w:val="7A044884"/>
    <w:rsid w:val="7A16FDBA"/>
    <w:rsid w:val="7A9552FD"/>
    <w:rsid w:val="7AFA03DE"/>
    <w:rsid w:val="7B0833B5"/>
    <w:rsid w:val="7BC770CA"/>
    <w:rsid w:val="7C66F9D4"/>
    <w:rsid w:val="7CD554A8"/>
    <w:rsid w:val="7DAF3957"/>
    <w:rsid w:val="7DDBDD4D"/>
    <w:rsid w:val="7E3769A2"/>
    <w:rsid w:val="7EB14006"/>
    <w:rsid w:val="7EC55549"/>
    <w:rsid w:val="7EF7B074"/>
    <w:rsid w:val="7F1D3DCC"/>
    <w:rsid w:val="7FF7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BEA29"/>
  <w15:docId w15:val="{7FD5A56A-272F-4743-9E7C-A3C15BA4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767C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67C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67C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67C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67C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link w:val="enumlev1Char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basedOn w:val="Normal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767C2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rmal"/>
    <w:link w:val="FootnoteTextChar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048E6"/>
    <w:rPr>
      <w:sz w:val="18"/>
    </w:rPr>
  </w:style>
  <w:style w:type="paragraph" w:customStyle="1" w:styleId="TableNo">
    <w:name w:val="Table_No"/>
    <w:basedOn w:val="Normal"/>
    <w:next w:val="Normal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D767C2"/>
    <w:pPr>
      <w:spacing w:before="120"/>
    </w:pPr>
  </w:style>
  <w:style w:type="paragraph" w:styleId="TOC3">
    <w:name w:val="toc 3"/>
    <w:basedOn w:val="TOC2"/>
    <w:uiPriority w:val="39"/>
    <w:rsid w:val="00D767C2"/>
  </w:style>
  <w:style w:type="paragraph" w:styleId="TOC4">
    <w:name w:val="toc 4"/>
    <w:basedOn w:val="TOC3"/>
    <w:uiPriority w:val="39"/>
    <w:rsid w:val="00D767C2"/>
  </w:style>
  <w:style w:type="paragraph" w:styleId="TOC5">
    <w:name w:val="toc 5"/>
    <w:basedOn w:val="TOC4"/>
    <w:uiPriority w:val="39"/>
    <w:rsid w:val="00D767C2"/>
  </w:style>
  <w:style w:type="paragraph" w:styleId="TOC6">
    <w:name w:val="toc 6"/>
    <w:basedOn w:val="TOC4"/>
    <w:uiPriority w:val="39"/>
    <w:rsid w:val="00D767C2"/>
  </w:style>
  <w:style w:type="paragraph" w:styleId="TOC7">
    <w:name w:val="toc 7"/>
    <w:basedOn w:val="TOC4"/>
    <w:uiPriority w:val="39"/>
    <w:rsid w:val="00D767C2"/>
  </w:style>
  <w:style w:type="paragraph" w:styleId="TOC8">
    <w:name w:val="toc 8"/>
    <w:basedOn w:val="TOC4"/>
    <w:uiPriority w:val="39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link w:val="TabletextChar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  <w:style w:type="character" w:customStyle="1" w:styleId="normaltextrun">
    <w:name w:val="normaltextrun"/>
    <w:basedOn w:val="DefaultParagraphFont"/>
    <w:rsid w:val="00DD2CFF"/>
  </w:style>
  <w:style w:type="character" w:customStyle="1" w:styleId="eop">
    <w:name w:val="eop"/>
    <w:basedOn w:val="DefaultParagraphFont"/>
    <w:rsid w:val="00DD2CFF"/>
  </w:style>
  <w:style w:type="character" w:customStyle="1" w:styleId="Heading1Char">
    <w:name w:val="Heading 1 Char"/>
    <w:basedOn w:val="DefaultParagraphFont"/>
    <w:link w:val="Heading1"/>
    <w:rsid w:val="00C74DA0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74DA0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C74DA0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C74DA0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rsid w:val="00C74DA0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74DA0"/>
    <w:rPr>
      <w:rFonts w:ascii="Times New Roman" w:hAnsi="Times New Roman"/>
      <w:lang w:val="en-GB" w:eastAsia="en-US"/>
    </w:rPr>
  </w:style>
  <w:style w:type="paragraph" w:styleId="Index1">
    <w:name w:val="index 1"/>
    <w:basedOn w:val="Normal"/>
    <w:next w:val="Normal"/>
    <w:rsid w:val="00C74DA0"/>
  </w:style>
  <w:style w:type="paragraph" w:styleId="Index2">
    <w:name w:val="index 2"/>
    <w:basedOn w:val="Normal"/>
    <w:next w:val="Normal"/>
    <w:rsid w:val="00C74DA0"/>
    <w:pPr>
      <w:ind w:left="283"/>
    </w:pPr>
  </w:style>
  <w:style w:type="paragraph" w:styleId="Index3">
    <w:name w:val="index 3"/>
    <w:basedOn w:val="Normal"/>
    <w:next w:val="Normal"/>
    <w:rsid w:val="00C74DA0"/>
    <w:pPr>
      <w:ind w:left="566"/>
    </w:pPr>
  </w:style>
  <w:style w:type="paragraph" w:styleId="Index4">
    <w:name w:val="index 4"/>
    <w:basedOn w:val="Normal"/>
    <w:next w:val="Normal"/>
    <w:rsid w:val="00C74DA0"/>
    <w:pPr>
      <w:ind w:left="849"/>
    </w:pPr>
  </w:style>
  <w:style w:type="paragraph" w:styleId="Index5">
    <w:name w:val="index 5"/>
    <w:basedOn w:val="Normal"/>
    <w:next w:val="Normal"/>
    <w:rsid w:val="00C74DA0"/>
    <w:pPr>
      <w:ind w:left="1132"/>
    </w:pPr>
  </w:style>
  <w:style w:type="paragraph" w:styleId="Index6">
    <w:name w:val="index 6"/>
    <w:basedOn w:val="Normal"/>
    <w:next w:val="Normal"/>
    <w:rsid w:val="00C74DA0"/>
    <w:pPr>
      <w:ind w:left="1415"/>
    </w:pPr>
  </w:style>
  <w:style w:type="paragraph" w:styleId="Index7">
    <w:name w:val="index 7"/>
    <w:basedOn w:val="Normal"/>
    <w:next w:val="Normal"/>
    <w:rsid w:val="00C74DA0"/>
    <w:pPr>
      <w:ind w:left="1698"/>
    </w:pPr>
  </w:style>
  <w:style w:type="paragraph" w:styleId="IndexHeading">
    <w:name w:val="index heading"/>
    <w:basedOn w:val="Normal"/>
    <w:next w:val="Index1"/>
    <w:rsid w:val="00C74DA0"/>
  </w:style>
  <w:style w:type="character" w:styleId="LineNumber">
    <w:name w:val="line number"/>
    <w:basedOn w:val="DefaultParagraphFont"/>
    <w:rsid w:val="00C74DA0"/>
  </w:style>
  <w:style w:type="character" w:styleId="PageNumber">
    <w:name w:val="page number"/>
    <w:basedOn w:val="DefaultParagraphFont"/>
    <w:rsid w:val="00C74DA0"/>
  </w:style>
  <w:style w:type="character" w:styleId="Hyperlink">
    <w:name w:val="Hyperlink"/>
    <w:basedOn w:val="DefaultParagraphFont"/>
    <w:uiPriority w:val="99"/>
    <w:rsid w:val="00C74DA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74DA0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C74DA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D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74DA0"/>
    <w:pPr>
      <w:spacing w:after="200" w:line="276" w:lineRule="auto"/>
      <w:ind w:left="720"/>
      <w:contextualSpacing/>
    </w:pPr>
    <w:rPr>
      <w:rFonts w:ascii="Calibri" w:eastAsia="SimSun" w:hAnsi="Calibri" w:cs="Arial"/>
      <w:lang w:val="en-US" w:eastAsia="zh-CN"/>
    </w:rPr>
  </w:style>
  <w:style w:type="paragraph" w:styleId="NormalWeb">
    <w:name w:val="Normal (Web)"/>
    <w:basedOn w:val="Normal"/>
    <w:uiPriority w:val="99"/>
    <w:unhideWhenUsed/>
    <w:rsid w:val="00C74DA0"/>
    <w:pPr>
      <w:spacing w:before="100" w:beforeAutospacing="1" w:after="100" w:afterAutospacing="1"/>
    </w:pPr>
    <w:rPr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C74DA0"/>
    <w:pP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C74DA0"/>
    <w:pPr>
      <w:tabs>
        <w:tab w:val="left" w:pos="900"/>
        <w:tab w:val="left" w:pos="1191"/>
        <w:tab w:val="left" w:pos="1588"/>
        <w:tab w:val="left" w:pos="1985"/>
      </w:tabs>
    </w:pPr>
  </w:style>
  <w:style w:type="character" w:customStyle="1" w:styleId="BodyText2Char">
    <w:name w:val="Body Text 2 Char"/>
    <w:basedOn w:val="DefaultParagraphFont"/>
    <w:link w:val="BodyText2"/>
    <w:rsid w:val="00C74DA0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74DA0"/>
    <w:rPr>
      <w:b/>
      <w:bCs/>
    </w:rPr>
  </w:style>
  <w:style w:type="paragraph" w:customStyle="1" w:styleId="Normalaftertitle0">
    <w:name w:val="Normal_after_title"/>
    <w:basedOn w:val="Normal"/>
    <w:next w:val="Normal"/>
    <w:rsid w:val="00C74DA0"/>
    <w:pPr>
      <w:spacing w:before="360"/>
    </w:pPr>
  </w:style>
  <w:style w:type="paragraph" w:styleId="TOC9">
    <w:name w:val="toc 9"/>
    <w:basedOn w:val="Normal"/>
    <w:next w:val="Normal"/>
    <w:autoRedefine/>
    <w:uiPriority w:val="39"/>
    <w:unhideWhenUsed/>
    <w:rsid w:val="00C74DA0"/>
    <w:pPr>
      <w:spacing w:after="100"/>
      <w:ind w:left="1760"/>
    </w:pPr>
    <w:rPr>
      <w:rFonts w:eastAsiaTheme="minorEastAsia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4DA0"/>
    <w:rPr>
      <w:rFonts w:ascii="Calibri" w:eastAsia="SimSun" w:hAnsi="Calibri" w:cs="Arial"/>
      <w:sz w:val="24"/>
    </w:rPr>
  </w:style>
  <w:style w:type="character" w:styleId="Emphasis">
    <w:name w:val="Emphasis"/>
    <w:basedOn w:val="DefaultParagraphFont"/>
    <w:uiPriority w:val="20"/>
    <w:qFormat/>
    <w:rsid w:val="00C74DA0"/>
    <w:rPr>
      <w:i/>
      <w:iCs/>
    </w:rPr>
  </w:style>
  <w:style w:type="character" w:customStyle="1" w:styleId="ms-rtefontsize-1">
    <w:name w:val="ms-rtefontsize-1"/>
    <w:basedOn w:val="DefaultParagraphFont"/>
    <w:rsid w:val="00C74DA0"/>
  </w:style>
  <w:style w:type="paragraph" w:customStyle="1" w:styleId="paragraph">
    <w:name w:val="paragraph"/>
    <w:basedOn w:val="Normal"/>
    <w:rsid w:val="00C74DA0"/>
    <w:pPr>
      <w:spacing w:before="100" w:beforeAutospacing="1" w:after="100" w:afterAutospacing="1"/>
    </w:pPr>
    <w:rPr>
      <w:rFonts w:ascii="Calibri" w:eastAsiaTheme="minorEastAsia" w:hAnsi="Calibri" w:cs="Calibri"/>
      <w:szCs w:val="24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C74DA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4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4DA0"/>
    <w:rPr>
      <w:rFonts w:ascii="Calibri" w:eastAsiaTheme="minorEastAsia" w:hAnsi="Calibri" w:cs="Calibri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DA0"/>
    <w:rPr>
      <w:rFonts w:ascii="Calibri" w:eastAsiaTheme="minorEastAsia" w:hAnsi="Calibri" w:cs="Calibri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C74D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4D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4DA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74DA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table" w:styleId="GridTable4-Accent1">
    <w:name w:val="Grid Table 4 Accent 1"/>
    <w:basedOn w:val="TableNormal"/>
    <w:uiPriority w:val="49"/>
    <w:rsid w:val="00C74DA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4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4DA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4DA0"/>
    <w:rPr>
      <w:color w:val="605E5C"/>
      <w:shd w:val="clear" w:color="auto" w:fill="E1DFDD"/>
    </w:rPr>
  </w:style>
  <w:style w:type="paragraph" w:customStyle="1" w:styleId="ASN1">
    <w:name w:val="ASN.1"/>
    <w:basedOn w:val="Normal"/>
    <w:rsid w:val="00C74DA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Formal">
    <w:name w:val="Formal"/>
    <w:basedOn w:val="ASN1"/>
    <w:rsid w:val="00C74DA0"/>
    <w:rPr>
      <w:b w:val="0"/>
    </w:rPr>
  </w:style>
  <w:style w:type="paragraph" w:customStyle="1" w:styleId="Recref">
    <w:name w:val="Rec_ref"/>
    <w:basedOn w:val="Rectitle"/>
    <w:next w:val="Normal"/>
    <w:rsid w:val="00C74D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C74DA0"/>
  </w:style>
  <w:style w:type="character" w:customStyle="1" w:styleId="Recdef">
    <w:name w:val="Rec_def"/>
    <w:basedOn w:val="DefaultParagraphFont"/>
    <w:rsid w:val="00C74DA0"/>
    <w:rPr>
      <w:b/>
    </w:rPr>
  </w:style>
  <w:style w:type="paragraph" w:customStyle="1" w:styleId="Reftext">
    <w:name w:val="Ref_text"/>
    <w:basedOn w:val="Normal"/>
    <w:rsid w:val="00C74DA0"/>
    <w:pPr>
      <w:ind w:left="1134" w:hanging="1134"/>
    </w:pPr>
  </w:style>
  <w:style w:type="paragraph" w:customStyle="1" w:styleId="Reftitle">
    <w:name w:val="Ref_title"/>
    <w:basedOn w:val="Normal"/>
    <w:next w:val="Reftext"/>
    <w:rsid w:val="00C74DA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74DA0"/>
  </w:style>
  <w:style w:type="paragraph" w:customStyle="1" w:styleId="RepNo">
    <w:name w:val="Rep_No"/>
    <w:basedOn w:val="RecNo"/>
    <w:next w:val="Normal"/>
    <w:rsid w:val="00C74DA0"/>
  </w:style>
  <w:style w:type="paragraph" w:customStyle="1" w:styleId="Repref">
    <w:name w:val="Rep_ref"/>
    <w:basedOn w:val="Recref"/>
    <w:next w:val="Repdate"/>
    <w:rsid w:val="00C74DA0"/>
  </w:style>
  <w:style w:type="paragraph" w:customStyle="1" w:styleId="Reptitle">
    <w:name w:val="Rep_title"/>
    <w:basedOn w:val="Rectitle"/>
    <w:next w:val="Repref"/>
    <w:rsid w:val="00C74DA0"/>
  </w:style>
  <w:style w:type="paragraph" w:customStyle="1" w:styleId="Resdate">
    <w:name w:val="Res_date"/>
    <w:basedOn w:val="Recdate"/>
    <w:next w:val="Normalaftertitle"/>
    <w:rsid w:val="00C74DA0"/>
  </w:style>
  <w:style w:type="character" w:customStyle="1" w:styleId="Resdef">
    <w:name w:val="Res_def"/>
    <w:basedOn w:val="DefaultParagraphFont"/>
    <w:rsid w:val="00C74DA0"/>
    <w:rPr>
      <w:rFonts w:ascii="Times New Roman" w:hAnsi="Times New Roman"/>
      <w:b/>
    </w:rPr>
  </w:style>
  <w:style w:type="paragraph" w:customStyle="1" w:styleId="Resref">
    <w:name w:val="Res_ref"/>
    <w:basedOn w:val="Recref"/>
    <w:next w:val="Resdate"/>
    <w:rsid w:val="00C74DA0"/>
  </w:style>
  <w:style w:type="paragraph" w:customStyle="1" w:styleId="Footnote">
    <w:name w:val="Footnote"/>
    <w:basedOn w:val="Normal"/>
    <w:rsid w:val="00091AB4"/>
    <w:pPr>
      <w:jc w:val="both"/>
    </w:pPr>
    <w:rPr>
      <w:rFonts w:cstheme="minorHAnsi"/>
      <w:sz w:val="20"/>
    </w:rPr>
  </w:style>
  <w:style w:type="table" w:styleId="PlainTable1">
    <w:name w:val="Plain Table 1"/>
    <w:basedOn w:val="TableNormal"/>
    <w:uiPriority w:val="41"/>
    <w:rsid w:val="005A66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DefaultParagraphFont"/>
    <w:rsid w:val="0056577E"/>
  </w:style>
  <w:style w:type="paragraph" w:styleId="BodyText3">
    <w:name w:val="Body Text 3"/>
    <w:basedOn w:val="Normal"/>
    <w:link w:val="BodyText3Char"/>
    <w:semiHidden/>
    <w:unhideWhenUsed/>
    <w:rsid w:val="00AD04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D0465"/>
    <w:rPr>
      <w:rFonts w:ascii="Times New Roman" w:hAnsi="Times New Roman"/>
      <w:sz w:val="16"/>
      <w:szCs w:val="16"/>
      <w:lang w:val="en-GB"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AD0465"/>
    <w:rPr>
      <w:rFonts w:ascii="Calibri" w:eastAsia="SimSun" w:hAnsi="Calibri" w:cs="Arial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3-RRB23.3-C-0011/en" TargetMode="External"/><Relationship Id="rId18" Type="http://schemas.openxmlformats.org/officeDocument/2006/relationships/footer" Target="footer2.xml"/><Relationship Id="rId26" Type="http://schemas.openxmlformats.org/officeDocument/2006/relationships/image" Target="media/image9.emf"/><Relationship Id="rId39" Type="http://schemas.openxmlformats.org/officeDocument/2006/relationships/image" Target="media/image22.emf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image" Target="media/image20.emf"/><Relationship Id="rId40" Type="http://schemas.openxmlformats.org/officeDocument/2006/relationships/image" Target="media/image23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9.emf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RRB23.3-C-0012/en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image" Target="media/image2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Downloads\PE_WRC2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f87034-1e33-420b-8ff9-da24a529006f">
      <UserInfo>
        <DisplayName/>
        <AccountId xsi:nil="true"/>
        <AccountType/>
      </UserInfo>
    </SharedWithUsers>
    <DPM_x0020_Author xmlns="76b7d054-b29f-418b-b414-6b742f999448" xsi:nil="true"/>
    <DPM_x0020_Version xmlns="76b7d054-b29f-418b-b414-6b742f999448" xsi:nil="true"/>
    <DPM_x0020_File_x0020_name xmlns="76b7d054-b29f-418b-b414-6b742f999448" xsi:nil="true"/>
    <MediaLengthInSeconds xmlns="76b7d054-b29f-418b-b414-6b742f999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BF582-3C7C-45B0-B6B6-7B6D95CF6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47C2-4305-48EA-A306-896527DA9E64}">
  <ds:schemaRefs>
    <ds:schemaRef ds:uri="http://schemas.microsoft.com/office/2006/metadata/properties"/>
    <ds:schemaRef ds:uri="http://schemas.microsoft.com/office/infopath/2007/PartnerControls"/>
    <ds:schemaRef ds:uri="b9f87034-1e33-420b-8ff9-da24a529006f"/>
    <ds:schemaRef ds:uri="76b7d054-b29f-418b-b414-6b742f999448"/>
  </ds:schemaRefs>
</ds:datastoreItem>
</file>

<file path=customXml/itemProps3.xml><?xml version="1.0" encoding="utf-8"?>
<ds:datastoreItem xmlns:ds="http://schemas.openxmlformats.org/officeDocument/2006/customXml" ds:itemID="{6E853A12-8ACA-48EA-9838-3F3F34BC5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D65BB-F32C-4FAD-B1AF-0B1B2FE7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PE_WRC23 (2).dotx</Template>
  <TotalTime>46</TotalTime>
  <Pages>17</Pages>
  <Words>1897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12874</CharactersWithSpaces>
  <SharedDoc>false</SharedDoc>
  <HyperlinkBase/>
  <HLinks>
    <vt:vector size="1110" baseType="variant">
      <vt:variant>
        <vt:i4>5308521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https://www.itu.int/dms_pub/itu-r/oth/0a/0e/R0A0E0000E80001PDFE.pdf</vt:lpwstr>
      </vt:variant>
      <vt:variant>
        <vt:lpwstr/>
      </vt:variant>
      <vt:variant>
        <vt:i4>4325457</vt:i4>
      </vt:variant>
      <vt:variant>
        <vt:i4>828</vt:i4>
      </vt:variant>
      <vt:variant>
        <vt:i4>0</vt:i4>
      </vt:variant>
      <vt:variant>
        <vt:i4>5</vt:i4>
      </vt:variant>
      <vt:variant>
        <vt:lpwstr>http://www.itu.int/md/R11-MMHI-SP/en</vt:lpwstr>
      </vt:variant>
      <vt:variant>
        <vt:lpwstr/>
      </vt:variant>
      <vt:variant>
        <vt:i4>1769553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https://www.itu.int/md/R00-CR-CIR-0435/en</vt:lpwstr>
      </vt:variant>
      <vt:variant>
        <vt:lpwstr/>
      </vt:variant>
      <vt:variant>
        <vt:i4>2097252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https://www.itu.int/rec/R-REC-SM.2149-0-202209-I/en</vt:lpwstr>
      </vt:variant>
      <vt:variant>
        <vt:lpwstr/>
      </vt:variant>
      <vt:variant>
        <vt:i4>5111901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https://www.itu.int/en/ITU-R/space/workshops/ISRMM/Pages/default.aspx</vt:lpwstr>
      </vt:variant>
      <vt:variant>
        <vt:lpwstr/>
      </vt:variant>
      <vt:variant>
        <vt:i4>589910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https://www.itu.int/en/ITU-R/space/workshops/sat-webinars/Pages/default.aspx</vt:lpwstr>
      </vt:variant>
      <vt:variant>
        <vt:lpwstr/>
      </vt:variant>
      <vt:variant>
        <vt:i4>2359347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https://www.itu.int/en/ITU-R/space/Pages/ITU-Space-RadioMonitoring.aspx</vt:lpwstr>
      </vt:variant>
      <vt:variant>
        <vt:lpwstr/>
      </vt:variant>
      <vt:variant>
        <vt:i4>8061046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https://www.itu.int/en/mediacentre/backgrounders/Pages/non-GSO-satellite-systems-with-short-duration-missions.aspx</vt:lpwstr>
      </vt:variant>
      <vt:variant>
        <vt:lpwstr/>
      </vt:variant>
      <vt:variant>
        <vt:i4>2818089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https://www.itu.int/en/mediacentre/backgrounders/Pages/Non-geostationary-satellite-systems.aspx</vt:lpwstr>
      </vt:variant>
      <vt:variant>
        <vt:lpwstr/>
      </vt:variant>
      <vt:variant>
        <vt:i4>1245189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https://www.itu.int/en/mediacentre/backgrounders/Pages/Earth-stations-in-motion-satellite-issues.aspx</vt:lpwstr>
      </vt:variant>
      <vt:variant>
        <vt:lpwstr/>
      </vt:variant>
      <vt:variant>
        <vt:i4>4980824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https://www.itu.int/en/mediacentre/backgrounders/Pages/itu-r-managing-the-radio-frequency-spectrum-for-the-world.aspx</vt:lpwstr>
      </vt:variant>
      <vt:variant>
        <vt:lpwstr/>
      </vt:variant>
      <vt:variant>
        <vt:i4>655433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https://www.itu.int/en/mediacentre/backgrounders/Pages/itu-study-groups.aspx</vt:lpwstr>
      </vt:variant>
      <vt:variant>
        <vt:lpwstr/>
      </vt:variant>
      <vt:variant>
        <vt:i4>7209084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https://www.itu.int/en/mediacentre/backgrounders/Pages/High-altitude-platform-systems.aspx</vt:lpwstr>
      </vt:variant>
      <vt:variant>
        <vt:lpwstr/>
      </vt:variant>
      <vt:variant>
        <vt:i4>6881316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https://www.itu.int/en/mediacentre/backgrounders/Pages/5G-fifth-generation-of-mobile-technologies.aspx</vt:lpwstr>
      </vt:variant>
      <vt:variant>
        <vt:lpwstr/>
      </vt:variant>
      <vt:variant>
        <vt:i4>7340093</vt:i4>
      </vt:variant>
      <vt:variant>
        <vt:i4>789</vt:i4>
      </vt:variant>
      <vt:variant>
        <vt:i4>0</vt:i4>
      </vt:variant>
      <vt:variant>
        <vt:i4>5</vt:i4>
      </vt:variant>
      <vt:variant>
        <vt:lpwstr>http://www.itu.int/en/ITU-R/Pages/default.aspx</vt:lpwstr>
      </vt:variant>
      <vt:variant>
        <vt:lpwstr/>
      </vt:variant>
      <vt:variant>
        <vt:i4>3473442</vt:i4>
      </vt:variant>
      <vt:variant>
        <vt:i4>786</vt:i4>
      </vt:variant>
      <vt:variant>
        <vt:i4>0</vt:i4>
      </vt:variant>
      <vt:variant>
        <vt:i4>5</vt:i4>
      </vt:variant>
      <vt:variant>
        <vt:lpwstr>https://twitter.com/hashtag/ITUWRC?src=hash</vt:lpwstr>
      </vt:variant>
      <vt:variant>
        <vt:lpwstr/>
      </vt:variant>
      <vt:variant>
        <vt:i4>4128871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https://www.itu.int/wrc-23/</vt:lpwstr>
      </vt:variant>
      <vt:variant>
        <vt:lpwstr/>
      </vt:variant>
      <vt:variant>
        <vt:i4>6094929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https://www.itu.int/wrc-23/newsroom/wrc-news/</vt:lpwstr>
      </vt:variant>
      <vt:variant>
        <vt:lpwstr/>
      </vt:variant>
      <vt:variant>
        <vt:i4>1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https://www.itu.int/en/ITU-R/Director/Pages/default.aspx</vt:lpwstr>
      </vt:variant>
      <vt:variant>
        <vt:lpwstr/>
      </vt:variant>
      <vt:variant>
        <vt:i4>1441871</vt:i4>
      </vt:variant>
      <vt:variant>
        <vt:i4>774</vt:i4>
      </vt:variant>
      <vt:variant>
        <vt:i4>0</vt:i4>
      </vt:variant>
      <vt:variant>
        <vt:i4>5</vt:i4>
      </vt:variant>
      <vt:variant>
        <vt:lpwstr>https://twitter.com/ITUradiocomms</vt:lpwstr>
      </vt:variant>
      <vt:variant>
        <vt:lpwstr/>
      </vt:variant>
      <vt:variant>
        <vt:i4>2031698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https://www.itu.int/hub/news/</vt:lpwstr>
      </vt:variant>
      <vt:variant>
        <vt:lpwstr/>
      </vt:variant>
      <vt:variant>
        <vt:i4>4063328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https://www.itu.int/wrd-22/</vt:lpwstr>
      </vt:variant>
      <vt:variant>
        <vt:lpwstr/>
      </vt:variant>
      <vt:variant>
        <vt:i4>4063351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https://www.itu.int/wrs-22/</vt:lpwstr>
      </vt:variant>
      <vt:variant>
        <vt:lpwstr/>
      </vt:variant>
      <vt:variant>
        <vt:i4>2555959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https://www.itu.int/futureradionow/</vt:lpwstr>
      </vt:variant>
      <vt:variant>
        <vt:lpwstr/>
      </vt:variant>
      <vt:variant>
        <vt:i4>6750335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https://www.itu.int/now4wrc23/</vt:lpwstr>
      </vt:variant>
      <vt:variant>
        <vt:lpwstr/>
      </vt:variant>
      <vt:variant>
        <vt:i4>3080237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https://www.itu.int/ra-23/</vt:lpwstr>
      </vt:variant>
      <vt:variant>
        <vt:lpwstr/>
      </vt:variant>
      <vt:variant>
        <vt:i4>4128871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https://www.itu.int/wrc-23/</vt:lpwstr>
      </vt:variant>
      <vt:variant>
        <vt:lpwstr/>
      </vt:variant>
      <vt:variant>
        <vt:i4>7929915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https://www.itu.int/bestofwrs/</vt:lpwstr>
      </vt:variant>
      <vt:variant>
        <vt:lpwstr/>
      </vt:variant>
      <vt:variant>
        <vt:i4>2555959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https://www.itu.int/futureradionow/</vt:lpwstr>
      </vt:variant>
      <vt:variant>
        <vt:lpwstr/>
      </vt:variant>
      <vt:variant>
        <vt:i4>3538984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https://www.itu.int/hub/publication/s-gen-news-2023-3/</vt:lpwstr>
      </vt:variant>
      <vt:variant>
        <vt:lpwstr/>
      </vt:variant>
      <vt:variant>
        <vt:i4>3538985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https://www.itu.int/hub/publication/s-gen-news-2023-2/</vt:lpwstr>
      </vt:variant>
      <vt:variant>
        <vt:lpwstr/>
      </vt:variant>
      <vt:variant>
        <vt:i4>3538986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https://www.itu.int/hub/publication/s-gen-news-2023-1/</vt:lpwstr>
      </vt:variant>
      <vt:variant>
        <vt:lpwstr/>
      </vt:variant>
      <vt:variant>
        <vt:i4>589899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https://www.itu.int/hub/</vt:lpwstr>
      </vt:variant>
      <vt:variant>
        <vt:lpwstr/>
      </vt:variant>
      <vt:variant>
        <vt:i4>1179728</vt:i4>
      </vt:variant>
      <vt:variant>
        <vt:i4>732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3866741</vt:i4>
      </vt:variant>
      <vt:variant>
        <vt:i4>729</vt:i4>
      </vt:variant>
      <vt:variant>
        <vt:i4>0</vt:i4>
      </vt:variant>
      <vt:variant>
        <vt:i4>5</vt:i4>
      </vt:variant>
      <vt:variant>
        <vt:lpwstr>https://atuuat.africa/</vt:lpwstr>
      </vt:variant>
      <vt:variant>
        <vt:lpwstr/>
      </vt:variant>
      <vt:variant>
        <vt:i4>4653128</vt:i4>
      </vt:variant>
      <vt:variant>
        <vt:i4>726</vt:i4>
      </vt:variant>
      <vt:variant>
        <vt:i4>0</vt:i4>
      </vt:variant>
      <vt:variant>
        <vt:i4>5</vt:i4>
      </vt:variant>
      <vt:variant>
        <vt:lpwstr>https://prida.africa/</vt:lpwstr>
      </vt:variant>
      <vt:variant>
        <vt:lpwstr/>
      </vt:variant>
      <vt:variant>
        <vt:i4>1048663</vt:i4>
      </vt:variant>
      <vt:variant>
        <vt:i4>723</vt:i4>
      </vt:variant>
      <vt:variant>
        <vt:i4>0</vt:i4>
      </vt:variant>
      <vt:variant>
        <vt:i4>5</vt:i4>
      </vt:variant>
      <vt:variant>
        <vt:lpwstr>https://www.arpce.cg/</vt:lpwstr>
      </vt:variant>
      <vt:variant>
        <vt:lpwstr/>
      </vt:variant>
      <vt:variant>
        <vt:i4>1572928</vt:i4>
      </vt:variant>
      <vt:variant>
        <vt:i4>720</vt:i4>
      </vt:variant>
      <vt:variant>
        <vt:i4>0</vt:i4>
      </vt:variant>
      <vt:variant>
        <vt:i4>5</vt:i4>
      </vt:variant>
      <vt:variant>
        <vt:lpwstr>https://www.sica.int/comtelca/inicio</vt:lpwstr>
      </vt:variant>
      <vt:variant>
        <vt:lpwstr/>
      </vt:variant>
      <vt:variant>
        <vt:i4>1376339</vt:i4>
      </vt:variant>
      <vt:variant>
        <vt:i4>717</vt:i4>
      </vt:variant>
      <vt:variant>
        <vt:i4>0</vt:i4>
      </vt:variant>
      <vt:variant>
        <vt:i4>5</vt:i4>
      </vt:variant>
      <vt:variant>
        <vt:lpwstr>https://www.mincom.gob.cu/es</vt:lpwstr>
      </vt:variant>
      <vt:variant>
        <vt:lpwstr/>
      </vt:variant>
      <vt:variant>
        <vt:i4>7929907</vt:i4>
      </vt:variant>
      <vt:variant>
        <vt:i4>714</vt:i4>
      </vt:variant>
      <vt:variant>
        <vt:i4>0</vt:i4>
      </vt:variant>
      <vt:variant>
        <vt:i4>5</vt:i4>
      </vt:variant>
      <vt:variant>
        <vt:lpwstr>https://www.infrastructure.gov.au/</vt:lpwstr>
      </vt:variant>
      <vt:variant>
        <vt:lpwstr/>
      </vt:variant>
      <vt:variant>
        <vt:i4>65628</vt:i4>
      </vt:variant>
      <vt:variant>
        <vt:i4>711</vt:i4>
      </vt:variant>
      <vt:variant>
        <vt:i4>0</vt:i4>
      </vt:variant>
      <vt:variant>
        <vt:i4>5</vt:i4>
      </vt:variant>
      <vt:variant>
        <vt:lpwstr>https://www.pita.org.fj/</vt:lpwstr>
      </vt:variant>
      <vt:variant>
        <vt:lpwstr/>
      </vt:variant>
      <vt:variant>
        <vt:i4>2228263</vt:i4>
      </vt:variant>
      <vt:variant>
        <vt:i4>708</vt:i4>
      </vt:variant>
      <vt:variant>
        <vt:i4>0</vt:i4>
      </vt:variant>
      <vt:variant>
        <vt:i4>5</vt:i4>
      </vt:variant>
      <vt:variant>
        <vt:lpwstr>http://www.fiji.gov.fj/</vt:lpwstr>
      </vt:variant>
      <vt:variant>
        <vt:lpwstr/>
      </vt:variant>
      <vt:variant>
        <vt:i4>5570562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https://www.itu.int/md/R23-RA23-C-0006/en</vt:lpwstr>
      </vt:variant>
      <vt:variant>
        <vt:lpwstr/>
      </vt:variant>
      <vt:variant>
        <vt:i4>6225989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https://www.itu.int/md/R19-WP7A-C-0076/en</vt:lpwstr>
      </vt:variant>
      <vt:variant>
        <vt:lpwstr/>
      </vt:variant>
      <vt:variant>
        <vt:i4>5898288</vt:i4>
      </vt:variant>
      <vt:variant>
        <vt:i4>699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https://view.officeapps.live.com/op/view.aspx?src=https%3A%2F%2Fwww.itu.int%2Fdms_pub%2Fitu-r%2Fmd%2F22%2Frrb22.2%2Fc%2FR22-RRB22.2-C-0015!!MSW-E.docx&amp;wdOrigin=BROWSELINK</vt:lpwstr>
      </vt:variant>
      <vt:variant>
        <vt:lpwstr/>
      </vt:variant>
      <vt:variant>
        <vt:i4>5898305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https://www.itu.int/md/R19-WP5D-C-1776/en</vt:lpwstr>
      </vt:variant>
      <vt:variant>
        <vt:lpwstr/>
      </vt:variant>
      <vt:variant>
        <vt:i4>5963877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https://www.itu.int/dms_ties/itu-r/md/19/wp5d/c/R19-WP5D-C-1555!H4-N4.05!MSW-E.docx</vt:lpwstr>
      </vt:variant>
      <vt:variant>
        <vt:lpwstr/>
      </vt:variant>
      <vt:variant>
        <vt:i4>3080269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https://www.itu.int/dms_ties/itu-r/md/19/wp5d/c/R19-WP5D-C-1776!H7!MSW-E.docx</vt:lpwstr>
      </vt:variant>
      <vt:variant>
        <vt:lpwstr/>
      </vt:variant>
      <vt:variant>
        <vt:i4>7929916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https://www.itu.int/md/R16-WRC19-C-0550/en</vt:lpwstr>
      </vt:variant>
      <vt:variant>
        <vt:lpwstr/>
      </vt:variant>
      <vt:variant>
        <vt:i4>4194327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https://www.itu.int/md/R19-CPM23.2-R-0001/en</vt:lpwstr>
      </vt:variant>
      <vt:variant>
        <vt:lpwstr/>
      </vt:variant>
      <vt:variant>
        <vt:i4>1638468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https://www.itu.int/md/R00-CA-CIR-0251/en</vt:lpwstr>
      </vt:variant>
      <vt:variant>
        <vt:lpwstr/>
      </vt:variant>
      <vt:variant>
        <vt:i4>6094914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https://www.itu.int/md/R19-WP5B-C-0731/en</vt:lpwstr>
      </vt:variant>
      <vt:variant>
        <vt:lpwstr/>
      </vt:variant>
      <vt:variant>
        <vt:i4>1310772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https://www.itu.int/dms_ties/itu-r/md/19/wp5b/c/R19-WP5B-C-0731!N18!MSW-E.docx</vt:lpwstr>
      </vt:variant>
      <vt:variant>
        <vt:lpwstr/>
      </vt:variant>
      <vt:variant>
        <vt:i4>5439558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https://www.itu.int/md/R19-WP4A-C-0841/en</vt:lpwstr>
      </vt:variant>
      <vt:variant>
        <vt:lpwstr/>
      </vt:variant>
      <vt:variant>
        <vt:i4>5439558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https://www.itu.int/md/R19-WP4A-C-0841/en</vt:lpwstr>
      </vt:variant>
      <vt:variant>
        <vt:lpwstr/>
      </vt:variant>
      <vt:variant>
        <vt:i4>6225986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https://www.itu.int/md/R15-WP4A-C-0108/en</vt:lpwstr>
      </vt:variant>
      <vt:variant>
        <vt:lpwstr/>
      </vt:variant>
      <vt:variant>
        <vt:i4>6094916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https://www.itu.int/md/R15-WP7B-C-0058/en</vt:lpwstr>
      </vt:variant>
      <vt:variant>
        <vt:lpwstr/>
      </vt:variant>
      <vt:variant>
        <vt:i4>5374025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https://www.itu.int/md/R15-WP4C-C-0094/en</vt:lpwstr>
      </vt:variant>
      <vt:variant>
        <vt:lpwstr/>
      </vt:variant>
      <vt:variant>
        <vt:i4>5701703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https://www.itu.int/md/R15-WP4A-C-0051/en</vt:lpwstr>
      </vt:variant>
      <vt:variant>
        <vt:lpwstr/>
      </vt:variant>
      <vt:variant>
        <vt:i4>7536701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https://www.itu.int/md/R15-WRC15-C-0004/en</vt:lpwstr>
      </vt:variant>
      <vt:variant>
        <vt:lpwstr/>
      </vt:variant>
      <vt:variant>
        <vt:i4>5832795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https://www.itu.int/itu-r/go/space-submission</vt:lpwstr>
      </vt:variant>
      <vt:variant>
        <vt:lpwstr/>
      </vt:variant>
      <vt:variant>
        <vt:i4>4784205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https://www.itu.int/ITU-R/go/space-communications</vt:lpwstr>
      </vt:variant>
      <vt:variant>
        <vt:lpwstr/>
      </vt:variant>
      <vt:variant>
        <vt:i4>2359365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https://www.itu.int/net/ITU-R/space/snl/sat_relocation/index.asp</vt:lpwstr>
      </vt:variant>
      <vt:variant>
        <vt:lpwstr/>
      </vt:variant>
      <vt:variant>
        <vt:i4>4784155</vt:i4>
      </vt:variant>
      <vt:variant>
        <vt:i4>642</vt:i4>
      </vt:variant>
      <vt:variant>
        <vt:i4>0</vt:i4>
      </vt:variant>
      <vt:variant>
        <vt:i4>5</vt:i4>
      </vt:variant>
      <vt:variant>
        <vt:lpwstr>http://www.itu.int/en/ITU-R/space/plans/Pages/AP30B.aspx</vt:lpwstr>
      </vt:variant>
      <vt:variant>
        <vt:lpwstr/>
      </vt:variant>
      <vt:variant>
        <vt:i4>7929961</vt:i4>
      </vt:variant>
      <vt:variant>
        <vt:i4>639</vt:i4>
      </vt:variant>
      <vt:variant>
        <vt:i4>0</vt:i4>
      </vt:variant>
      <vt:variant>
        <vt:i4>5</vt:i4>
      </vt:variant>
      <vt:variant>
        <vt:lpwstr>http://www.itu.int/en/ITU-R/space/Pages/Statistics.aspx</vt:lpwstr>
      </vt:variant>
      <vt:variant>
        <vt:lpwstr/>
      </vt:variant>
      <vt:variant>
        <vt:i4>1966149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https://www.itu.int/md/R00-CA-CIR-0246/en</vt:lpwstr>
      </vt:variant>
      <vt:variant>
        <vt:lpwstr/>
      </vt:variant>
      <vt:variant>
        <vt:i4>3080232</vt:i4>
      </vt:variant>
      <vt:variant>
        <vt:i4>633</vt:i4>
      </vt:variant>
      <vt:variant>
        <vt:i4>0</vt:i4>
      </vt:variant>
      <vt:variant>
        <vt:i4>5</vt:i4>
      </vt:variant>
      <vt:variant>
        <vt:lpwstr>http://www.itu.int/en/ITU-R/space/plans/Pages/AP30-30A.aspx</vt:lpwstr>
      </vt:variant>
      <vt:variant>
        <vt:lpwstr/>
      </vt:variant>
      <vt:variant>
        <vt:i4>5505095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https://www.itu.int/md/R19-WP4A-C-0856/en</vt:lpwstr>
      </vt:variant>
      <vt:variant>
        <vt:lpwstr/>
      </vt:variant>
      <vt:variant>
        <vt:i4>1376310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https://www.itu.int/dms_ties/itu-r/md/19/wp4a/c/R19-WP4A-C-0856!N40!MSW-E.docx</vt:lpwstr>
      </vt:variant>
      <vt:variant>
        <vt:lpwstr/>
      </vt:variant>
      <vt:variant>
        <vt:i4>5636166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https://www.itu.int/md/R19-WP4A-C-0844/en</vt:lpwstr>
      </vt:variant>
      <vt:variant>
        <vt:lpwstr/>
      </vt:variant>
      <vt:variant>
        <vt:i4>6094912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https://www.itu.int/md/R19-WP4A-C-0522/en</vt:lpwstr>
      </vt:variant>
      <vt:variant>
        <vt:lpwstr/>
      </vt:variant>
      <vt:variant>
        <vt:i4>1179708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https://www.itu.int/dms_ties/itu-r/md/19/wp4a/c/R19-WP4A-C-0522!N43!MSW-E.docx</vt:lpwstr>
      </vt:variant>
      <vt:variant>
        <vt:lpwstr/>
      </vt:variant>
      <vt:variant>
        <vt:i4>5898306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https://www.itu.int/md/R19-WP4A-C-0404/en</vt:lpwstr>
      </vt:variant>
      <vt:variant>
        <vt:lpwstr/>
      </vt:variant>
      <vt:variant>
        <vt:i4>7929961</vt:i4>
      </vt:variant>
      <vt:variant>
        <vt:i4>612</vt:i4>
      </vt:variant>
      <vt:variant>
        <vt:i4>0</vt:i4>
      </vt:variant>
      <vt:variant>
        <vt:i4>5</vt:i4>
      </vt:variant>
      <vt:variant>
        <vt:lpwstr>http://www.itu.int/en/ITU-R/space/Pages/Statistics.aspx</vt:lpwstr>
      </vt:variant>
      <vt:variant>
        <vt:lpwstr/>
      </vt:variant>
      <vt:variant>
        <vt:i4>131079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https://www.itu.int/md/meetingdoc.asp?lang=en&amp;parent=R19-WP4A-C-0033</vt:lpwstr>
      </vt:variant>
      <vt:variant>
        <vt:lpwstr/>
      </vt:variant>
      <vt:variant>
        <vt:i4>7733359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https://www.itu.int/en/ITU-R/space/Pages/epfdData.aspx</vt:lpwstr>
      </vt:variant>
      <vt:variant>
        <vt:lpwstr/>
      </vt:variant>
      <vt:variant>
        <vt:i4>5505041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https://www.itu.int/en/ITU-R/space/Pages/res609.aspx</vt:lpwstr>
      </vt:variant>
      <vt:variant>
        <vt:lpwstr/>
      </vt:variant>
      <vt:variant>
        <vt:i4>4718618</vt:i4>
      </vt:variant>
      <vt:variant>
        <vt:i4>600</vt:i4>
      </vt:variant>
      <vt:variant>
        <vt:i4>0</vt:i4>
      </vt:variant>
      <vt:variant>
        <vt:i4>5</vt:i4>
      </vt:variant>
      <vt:variant>
        <vt:lpwstr>http://www.itu.int/ITU-R/go/space-software/en</vt:lpwstr>
      </vt:variant>
      <vt:variant>
        <vt:lpwstr/>
      </vt:variant>
      <vt:variant>
        <vt:i4>5374023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https://www.itu.int/md/R19-WP4A-C-0850/en</vt:lpwstr>
      </vt:variant>
      <vt:variant>
        <vt:lpwstr/>
      </vt:variant>
      <vt:variant>
        <vt:i4>4718615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https://www.itu.int/en/ITU-R/space/snl/Pages/UAS.aspx</vt:lpwstr>
      </vt:variant>
      <vt:variant>
        <vt:lpwstr/>
      </vt:variant>
      <vt:variant>
        <vt:i4>1704019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https://www.itu.int/md/R00-CR-CIR-0414/en</vt:lpwstr>
      </vt:variant>
      <vt:variant>
        <vt:lpwstr/>
      </vt:variant>
      <vt:variant>
        <vt:i4>7536697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https://www.itu.int/md/R15-WRC15-C-0505/en</vt:lpwstr>
      </vt:variant>
      <vt:variant>
        <vt:lpwstr/>
      </vt:variant>
      <vt:variant>
        <vt:i4>7471163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https://www.itu.int/md/R15-WRC15-C-0416/en</vt:lpwstr>
      </vt:variant>
      <vt:variant>
        <vt:lpwstr/>
      </vt:variant>
      <vt:variant>
        <vt:i4>2949182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https://www.itu.int/epfdsupport/resources/</vt:lpwstr>
      </vt:variant>
      <vt:variant>
        <vt:lpwstr/>
      </vt:variant>
      <vt:variant>
        <vt:i4>8192036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https://www.itu.int/md/R00-CACE-CIR-1014/en</vt:lpwstr>
      </vt:variant>
      <vt:variant>
        <vt:lpwstr/>
      </vt:variant>
      <vt:variant>
        <vt:i4>1769554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https://www.itu.int/md/R00-CR-CIR-0405/en</vt:lpwstr>
      </vt:variant>
      <vt:variant>
        <vt:lpwstr/>
      </vt:variant>
      <vt:variant>
        <vt:i4>4390921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http://www.itu.int/ITU-R/go/space-epfd/en</vt:lpwstr>
      </vt:variant>
      <vt:variant>
        <vt:lpwstr/>
      </vt:variant>
      <vt:variant>
        <vt:i4>6946917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https://www.itu.int/en/ITU-R/space/Pages/res35main.aspx</vt:lpwstr>
      </vt:variant>
      <vt:variant>
        <vt:lpwstr/>
      </vt:variant>
      <vt:variant>
        <vt:i4>7929961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http://www.itu.int/en/ITU-R/space/Pages/Statistics.aspx</vt:lpwstr>
      </vt:variant>
      <vt:variant>
        <vt:lpwstr/>
      </vt:variant>
      <vt:variant>
        <vt:i4>7929961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http://www.itu.int/en/ITU-R/space/Pages/Statistics.aspx</vt:lpwstr>
      </vt:variant>
      <vt:variant>
        <vt:lpwstr/>
      </vt:variant>
      <vt:variant>
        <vt:i4>7929961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http://www.itu.int/en/ITU-R/space/Pages/Statistics.aspx</vt:lpwstr>
      </vt:variant>
      <vt:variant>
        <vt:lpwstr/>
      </vt:variant>
      <vt:variant>
        <vt:i4>7929961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http://www.itu.int/en/ITU-R/space/Pages/Statistics.aspx</vt:lpwstr>
      </vt:variant>
      <vt:variant>
        <vt:lpwstr/>
      </vt:variant>
      <vt:variant>
        <vt:i4>3997796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https://www.itu.int/en/ITU-R/conferences/wrc/2023/irwsp/Pages/default.aspx</vt:lpwstr>
      </vt:variant>
      <vt:variant>
        <vt:lpwstr/>
      </vt:variant>
      <vt:variant>
        <vt:i4>1703994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_Toc142985155</vt:lpwstr>
      </vt:variant>
      <vt:variant>
        <vt:i4>1703994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_Toc142985154</vt:lpwstr>
      </vt:variant>
      <vt:variant>
        <vt:i4>1703994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_Toc142985153</vt:lpwstr>
      </vt:variant>
      <vt:variant>
        <vt:i4>1703994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_Toc142985152</vt:lpwstr>
      </vt:variant>
      <vt:variant>
        <vt:i4>1703994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_Toc142985151</vt:lpwstr>
      </vt:variant>
      <vt:variant>
        <vt:i4>1703994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_Toc142985150</vt:lpwstr>
      </vt:variant>
      <vt:variant>
        <vt:i4>1769530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_Toc142985149</vt:lpwstr>
      </vt:variant>
      <vt:variant>
        <vt:i4>1769530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_Toc142985148</vt:lpwstr>
      </vt:variant>
      <vt:variant>
        <vt:i4>1769530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_Toc142985147</vt:lpwstr>
      </vt:variant>
      <vt:variant>
        <vt:i4>1769530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_Toc142985146</vt:lpwstr>
      </vt:variant>
      <vt:variant>
        <vt:i4>1769530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_Toc142985145</vt:lpwstr>
      </vt:variant>
      <vt:variant>
        <vt:i4>1769530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_Toc142985144</vt:lpwstr>
      </vt:variant>
      <vt:variant>
        <vt:i4>1769530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_Toc142985143</vt:lpwstr>
      </vt:variant>
      <vt:variant>
        <vt:i4>1769530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_Toc142985142</vt:lpwstr>
      </vt:variant>
      <vt:variant>
        <vt:i4>1769530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_Toc142985141</vt:lpwstr>
      </vt:variant>
      <vt:variant>
        <vt:i4>1769530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_Toc142985140</vt:lpwstr>
      </vt:variant>
      <vt:variant>
        <vt:i4>1835066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_Toc142985139</vt:lpwstr>
      </vt:variant>
      <vt:variant>
        <vt:i4>1835066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_Toc142985138</vt:lpwstr>
      </vt:variant>
      <vt:variant>
        <vt:i4>1835066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_Toc142985137</vt:lpwstr>
      </vt:variant>
      <vt:variant>
        <vt:i4>1835066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_Toc142985136</vt:lpwstr>
      </vt:variant>
      <vt:variant>
        <vt:i4>1835066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_Toc142985135</vt:lpwstr>
      </vt:variant>
      <vt:variant>
        <vt:i4>1835066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_Toc142985134</vt:lpwstr>
      </vt:variant>
      <vt:variant>
        <vt:i4>1835066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_Toc142985133</vt:lpwstr>
      </vt:variant>
      <vt:variant>
        <vt:i4>1835066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_Toc142985132</vt:lpwstr>
      </vt:variant>
      <vt:variant>
        <vt:i4>1835066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_Toc142985131</vt:lpwstr>
      </vt:variant>
      <vt:variant>
        <vt:i4>1835066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_Toc142985130</vt:lpwstr>
      </vt:variant>
      <vt:variant>
        <vt:i4>1900602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_Toc142985129</vt:lpwstr>
      </vt:variant>
      <vt:variant>
        <vt:i4>1900602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_Toc142985128</vt:lpwstr>
      </vt:variant>
      <vt:variant>
        <vt:i4>1900602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_Toc142985127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_Toc142985126</vt:lpwstr>
      </vt:variant>
      <vt:variant>
        <vt:i4>1900602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_Toc142985125</vt:lpwstr>
      </vt:variant>
      <vt:variant>
        <vt:i4>1900602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_Toc142985124</vt:lpwstr>
      </vt:variant>
      <vt:variant>
        <vt:i4>1900602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_Toc142985123</vt:lpwstr>
      </vt:variant>
      <vt:variant>
        <vt:i4>1900602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_Toc142985122</vt:lpwstr>
      </vt:variant>
      <vt:variant>
        <vt:i4>1900602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_Toc142985121</vt:lpwstr>
      </vt:variant>
      <vt:variant>
        <vt:i4>1900602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_Toc142985120</vt:lpwstr>
      </vt:variant>
      <vt:variant>
        <vt:i4>1966138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_Toc142985119</vt:lpwstr>
      </vt:variant>
      <vt:variant>
        <vt:i4>1966138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_Toc142985118</vt:lpwstr>
      </vt:variant>
      <vt:variant>
        <vt:i4>1966138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_Toc142985117</vt:lpwstr>
      </vt:variant>
      <vt:variant>
        <vt:i4>1966138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_Toc142985116</vt:lpwstr>
      </vt:variant>
      <vt:variant>
        <vt:i4>1966138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_Toc142985115</vt:lpwstr>
      </vt:variant>
      <vt:variant>
        <vt:i4>1966138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_Toc142985114</vt:lpwstr>
      </vt:variant>
      <vt:variant>
        <vt:i4>1966138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_Toc142985113</vt:lpwstr>
      </vt:variant>
      <vt:variant>
        <vt:i4>1966138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_Toc142985112</vt:lpwstr>
      </vt:variant>
      <vt:variant>
        <vt:i4>1966138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_Toc142985111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_Toc142985110</vt:lpwstr>
      </vt:variant>
      <vt:variant>
        <vt:i4>2031674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_Toc142985109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_Toc142985108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_Toc142985107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_Toc142985106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_Toc142985105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_Toc142985104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_Toc142985103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_Toc142985102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_Toc142985101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_Toc142985100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_Toc142985099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_Toc142985098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_Toc142985097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_Toc142985096</vt:lpwstr>
      </vt:variant>
      <vt:variant>
        <vt:i4>1441851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_Toc142985095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_Toc142985094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_Toc142985093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_Toc142985092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_Toc142985091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_Toc142985090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_Toc142985089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_Toc142985088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_Toc142985087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_Toc142985086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_Toc142985085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_Toc142985084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_Toc142985083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_Toc142985082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_Toc142985081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_Toc142985080</vt:lpwstr>
      </vt:variant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_Toc142985079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_Toc142985078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_Toc142985077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_Toc142985076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_Toc142985075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_Toc142985074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_Toc142985073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_Toc142985072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_Toc142985071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_Toc142985070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_Toc142985069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_Toc142985068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_Toc142985067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_Toc142985066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_Toc142985065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_Toc142985064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- 2023</dc:subject>
  <dc:creator>ITU - BR SGD</dc:creator>
  <cp:keywords>WRC-23</cp:keywords>
  <cp:lastModifiedBy>TPU E kt</cp:lastModifiedBy>
  <cp:revision>9</cp:revision>
  <cp:lastPrinted>2011-08-24T16:41:00Z</cp:lastPrinted>
  <dcterms:created xsi:type="dcterms:W3CDTF">2023-11-15T15:14:00Z</dcterms:created>
  <dcterms:modified xsi:type="dcterms:W3CDTF">2023-11-15T16:17:00Z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