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7E130D" w14:paraId="03FBFEDA" w14:textId="77777777" w:rsidTr="00B23EDF">
        <w:trPr>
          <w:cantSplit/>
        </w:trPr>
        <w:tc>
          <w:tcPr>
            <w:tcW w:w="1418" w:type="dxa"/>
            <w:vAlign w:val="center"/>
          </w:tcPr>
          <w:p w14:paraId="2FAB91A9" w14:textId="77777777" w:rsidR="00B23EDF" w:rsidRPr="007E130D" w:rsidRDefault="00B23EDF" w:rsidP="00B20AC9">
            <w:pPr>
              <w:spacing w:before="100" w:beforeAutospacing="1"/>
              <w:rPr>
                <w:rFonts w:ascii="Verdana" w:hAnsi="Verdana"/>
                <w:b/>
                <w:bCs/>
                <w:sz w:val="20"/>
              </w:rPr>
            </w:pPr>
            <w:r w:rsidRPr="007E130D">
              <w:drawing>
                <wp:inline distT="0" distB="0" distL="0" distR="0" wp14:anchorId="08DE6DED" wp14:editId="582BCE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63FFC673" w14:textId="210C65DD" w:rsidR="00B23EDF" w:rsidRPr="007E130D" w:rsidRDefault="00B23EDF" w:rsidP="00B20AC9">
            <w:pPr>
              <w:spacing w:before="400" w:after="48"/>
              <w:rPr>
                <w:rFonts w:ascii="Verdana" w:hAnsi="Verdana"/>
                <w:b/>
                <w:bCs/>
                <w:sz w:val="20"/>
              </w:rPr>
            </w:pPr>
            <w:r w:rsidRPr="007E130D">
              <w:rPr>
                <w:rFonts w:ascii="Verdana" w:hAnsi="Verdana"/>
                <w:b/>
                <w:bCs/>
                <w:sz w:val="20"/>
              </w:rPr>
              <w:t>Conférence mondiale des radiocommunications (CMR-23)</w:t>
            </w:r>
            <w:r w:rsidRPr="007E130D">
              <w:rPr>
                <w:rFonts w:ascii="Verdana" w:hAnsi="Verdana"/>
                <w:b/>
                <w:bCs/>
                <w:sz w:val="20"/>
              </w:rPr>
              <w:br/>
            </w:r>
            <w:r w:rsidRPr="007E130D">
              <w:rPr>
                <w:rFonts w:ascii="Verdana" w:hAnsi="Verdana"/>
                <w:b/>
                <w:bCs/>
                <w:sz w:val="18"/>
                <w:szCs w:val="18"/>
              </w:rPr>
              <w:t xml:space="preserve">Dubaï, 20 novembre </w:t>
            </w:r>
            <w:r w:rsidR="00B20AC9" w:rsidRPr="007E130D">
              <w:rPr>
                <w:rFonts w:ascii="Verdana" w:hAnsi="Verdana"/>
                <w:b/>
                <w:bCs/>
                <w:sz w:val="18"/>
                <w:szCs w:val="18"/>
              </w:rPr>
              <w:t>–</w:t>
            </w:r>
            <w:r w:rsidRPr="007E130D">
              <w:rPr>
                <w:rFonts w:ascii="Verdana" w:hAnsi="Verdana"/>
                <w:b/>
                <w:bCs/>
                <w:sz w:val="18"/>
                <w:szCs w:val="18"/>
              </w:rPr>
              <w:t xml:space="preserve"> 15 décembre 2023</w:t>
            </w:r>
          </w:p>
        </w:tc>
        <w:tc>
          <w:tcPr>
            <w:tcW w:w="1667" w:type="dxa"/>
            <w:vAlign w:val="center"/>
          </w:tcPr>
          <w:p w14:paraId="666D239C" w14:textId="77777777" w:rsidR="00B23EDF" w:rsidRPr="007E130D" w:rsidRDefault="00B23EDF" w:rsidP="00B20AC9">
            <w:pPr>
              <w:spacing w:before="0"/>
            </w:pPr>
            <w:bookmarkStart w:id="0" w:name="ditulogo"/>
            <w:bookmarkEnd w:id="0"/>
            <w:r w:rsidRPr="007E130D">
              <w:drawing>
                <wp:inline distT="0" distB="0" distL="0" distR="0" wp14:anchorId="239FCC91" wp14:editId="4477AC3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7E130D" w14:paraId="3CD00F54" w14:textId="77777777" w:rsidTr="00960B1C">
        <w:trPr>
          <w:cantSplit/>
        </w:trPr>
        <w:tc>
          <w:tcPr>
            <w:tcW w:w="6911" w:type="dxa"/>
            <w:gridSpan w:val="2"/>
            <w:tcBorders>
              <w:bottom w:val="single" w:sz="12" w:space="0" w:color="auto"/>
            </w:tcBorders>
          </w:tcPr>
          <w:p w14:paraId="756CA93D" w14:textId="77777777" w:rsidR="00587A4E" w:rsidRPr="007E130D" w:rsidRDefault="00587A4E" w:rsidP="00B20AC9">
            <w:pPr>
              <w:spacing w:before="0" w:after="48"/>
              <w:rPr>
                <w:b/>
                <w:smallCaps/>
                <w:szCs w:val="24"/>
              </w:rPr>
            </w:pPr>
            <w:bookmarkStart w:id="1" w:name="dhead"/>
          </w:p>
        </w:tc>
        <w:tc>
          <w:tcPr>
            <w:tcW w:w="3120" w:type="dxa"/>
            <w:gridSpan w:val="2"/>
            <w:tcBorders>
              <w:bottom w:val="single" w:sz="12" w:space="0" w:color="auto"/>
            </w:tcBorders>
          </w:tcPr>
          <w:p w14:paraId="64A58444" w14:textId="77777777" w:rsidR="00587A4E" w:rsidRPr="007E130D" w:rsidRDefault="00587A4E" w:rsidP="00B20AC9">
            <w:pPr>
              <w:spacing w:before="0"/>
              <w:rPr>
                <w:rFonts w:ascii="Verdana" w:hAnsi="Verdana"/>
                <w:szCs w:val="24"/>
              </w:rPr>
            </w:pPr>
          </w:p>
        </w:tc>
      </w:tr>
      <w:tr w:rsidR="00587A4E" w:rsidRPr="007E130D" w14:paraId="3870F9BC" w14:textId="77777777" w:rsidTr="00960B1C">
        <w:trPr>
          <w:cantSplit/>
        </w:trPr>
        <w:tc>
          <w:tcPr>
            <w:tcW w:w="6911" w:type="dxa"/>
            <w:gridSpan w:val="2"/>
            <w:tcBorders>
              <w:top w:val="single" w:sz="12" w:space="0" w:color="auto"/>
            </w:tcBorders>
          </w:tcPr>
          <w:p w14:paraId="14E8CF34" w14:textId="77777777" w:rsidR="00587A4E" w:rsidRPr="007E130D" w:rsidRDefault="00587A4E" w:rsidP="00B20AC9">
            <w:pPr>
              <w:spacing w:before="0" w:after="48"/>
              <w:rPr>
                <w:rFonts w:ascii="Verdana" w:hAnsi="Verdana"/>
                <w:b/>
                <w:smallCaps/>
                <w:sz w:val="20"/>
              </w:rPr>
            </w:pPr>
          </w:p>
        </w:tc>
        <w:tc>
          <w:tcPr>
            <w:tcW w:w="3120" w:type="dxa"/>
            <w:gridSpan w:val="2"/>
            <w:tcBorders>
              <w:top w:val="single" w:sz="12" w:space="0" w:color="auto"/>
            </w:tcBorders>
          </w:tcPr>
          <w:p w14:paraId="4261AE85" w14:textId="77777777" w:rsidR="00587A4E" w:rsidRPr="007E130D" w:rsidRDefault="00587A4E" w:rsidP="00B20AC9">
            <w:pPr>
              <w:spacing w:before="0"/>
              <w:rPr>
                <w:rFonts w:ascii="Verdana" w:hAnsi="Verdana"/>
                <w:sz w:val="20"/>
              </w:rPr>
            </w:pPr>
          </w:p>
        </w:tc>
      </w:tr>
      <w:tr w:rsidR="00587A4E" w:rsidRPr="007E130D" w14:paraId="4F52F66B" w14:textId="77777777" w:rsidTr="00960B1C">
        <w:trPr>
          <w:cantSplit/>
        </w:trPr>
        <w:tc>
          <w:tcPr>
            <w:tcW w:w="6911" w:type="dxa"/>
            <w:gridSpan w:val="2"/>
          </w:tcPr>
          <w:p w14:paraId="61297DD5" w14:textId="77777777" w:rsidR="00587A4E" w:rsidRPr="007E130D" w:rsidRDefault="008D6821" w:rsidP="00B20AC9">
            <w:pPr>
              <w:spacing w:before="0"/>
              <w:rPr>
                <w:rFonts w:ascii="Verdana" w:hAnsi="Verdana"/>
                <w:b/>
                <w:sz w:val="20"/>
              </w:rPr>
            </w:pPr>
            <w:r w:rsidRPr="007E130D">
              <w:rPr>
                <w:rFonts w:ascii="Verdana" w:hAnsi="Verdana"/>
                <w:b/>
                <w:sz w:val="20"/>
              </w:rPr>
              <w:t>SÉANCE PLÉNIÈRE</w:t>
            </w:r>
          </w:p>
        </w:tc>
        <w:tc>
          <w:tcPr>
            <w:tcW w:w="3120" w:type="dxa"/>
            <w:gridSpan w:val="2"/>
          </w:tcPr>
          <w:p w14:paraId="0FCD3ABC" w14:textId="77777777" w:rsidR="00587A4E" w:rsidRPr="007E130D" w:rsidRDefault="003E6FC1" w:rsidP="00B20AC9">
            <w:pPr>
              <w:spacing w:before="0"/>
              <w:rPr>
                <w:rFonts w:ascii="Verdana" w:hAnsi="Verdana"/>
                <w:sz w:val="20"/>
              </w:rPr>
            </w:pPr>
            <w:r w:rsidRPr="007E130D">
              <w:rPr>
                <w:rFonts w:ascii="Verdana" w:hAnsi="Verdana"/>
                <w:b/>
                <w:sz w:val="20"/>
              </w:rPr>
              <w:t>Addendum 1 au</w:t>
            </w:r>
            <w:r w:rsidRPr="007E130D">
              <w:rPr>
                <w:rFonts w:ascii="Verdana" w:hAnsi="Verdana"/>
                <w:b/>
                <w:sz w:val="20"/>
              </w:rPr>
              <w:br/>
            </w:r>
            <w:r w:rsidR="00587A4E" w:rsidRPr="007E130D">
              <w:rPr>
                <w:rFonts w:ascii="Verdana" w:hAnsi="Verdana"/>
                <w:b/>
                <w:sz w:val="20"/>
              </w:rPr>
              <w:t xml:space="preserve">Document </w:t>
            </w:r>
            <w:r w:rsidRPr="007E130D">
              <w:rPr>
                <w:rFonts w:ascii="Verdana" w:hAnsi="Verdana"/>
                <w:b/>
                <w:sz w:val="20"/>
              </w:rPr>
              <w:t>4</w:t>
            </w:r>
            <w:r w:rsidR="00587A4E" w:rsidRPr="007E130D">
              <w:rPr>
                <w:rFonts w:ascii="Verdana" w:hAnsi="Verdana"/>
                <w:b/>
                <w:sz w:val="20"/>
              </w:rPr>
              <w:t>-F</w:t>
            </w:r>
          </w:p>
        </w:tc>
      </w:tr>
      <w:bookmarkEnd w:id="1"/>
      <w:tr w:rsidR="00587A4E" w:rsidRPr="007E130D" w14:paraId="0A5C110B" w14:textId="77777777" w:rsidTr="00960B1C">
        <w:trPr>
          <w:cantSplit/>
        </w:trPr>
        <w:tc>
          <w:tcPr>
            <w:tcW w:w="6911" w:type="dxa"/>
            <w:gridSpan w:val="2"/>
          </w:tcPr>
          <w:p w14:paraId="3CC44295" w14:textId="77777777" w:rsidR="00587A4E" w:rsidRPr="007E130D" w:rsidRDefault="00587A4E" w:rsidP="00B20AC9">
            <w:pPr>
              <w:spacing w:before="0"/>
              <w:rPr>
                <w:rFonts w:ascii="Verdana" w:hAnsi="Verdana"/>
                <w:b/>
                <w:sz w:val="20"/>
              </w:rPr>
            </w:pPr>
          </w:p>
        </w:tc>
        <w:tc>
          <w:tcPr>
            <w:tcW w:w="3120" w:type="dxa"/>
            <w:gridSpan w:val="2"/>
          </w:tcPr>
          <w:p w14:paraId="503B348E" w14:textId="77777777" w:rsidR="00587A4E" w:rsidRPr="007E130D" w:rsidRDefault="003E6FC1" w:rsidP="00B20AC9">
            <w:pPr>
              <w:spacing w:before="0"/>
              <w:rPr>
                <w:rFonts w:ascii="Verdana" w:hAnsi="Verdana"/>
                <w:b/>
                <w:sz w:val="20"/>
              </w:rPr>
            </w:pPr>
            <w:r w:rsidRPr="007E130D">
              <w:rPr>
                <w:rFonts w:ascii="Verdana" w:hAnsi="Verdana"/>
                <w:b/>
                <w:sz w:val="20"/>
              </w:rPr>
              <w:t>16 août</w:t>
            </w:r>
            <w:r w:rsidR="00587A4E" w:rsidRPr="007E130D">
              <w:rPr>
                <w:rFonts w:ascii="Verdana" w:hAnsi="Verdana"/>
                <w:b/>
                <w:sz w:val="20"/>
              </w:rPr>
              <w:t xml:space="preserve"> 20</w:t>
            </w:r>
            <w:r w:rsidR="00CD3928" w:rsidRPr="007E130D">
              <w:rPr>
                <w:rFonts w:ascii="Verdana" w:hAnsi="Verdana"/>
                <w:b/>
                <w:sz w:val="20"/>
              </w:rPr>
              <w:t>23</w:t>
            </w:r>
          </w:p>
        </w:tc>
      </w:tr>
      <w:tr w:rsidR="00587A4E" w:rsidRPr="007E130D" w14:paraId="02420E29" w14:textId="77777777" w:rsidTr="00960B1C">
        <w:trPr>
          <w:cantSplit/>
        </w:trPr>
        <w:tc>
          <w:tcPr>
            <w:tcW w:w="6911" w:type="dxa"/>
            <w:gridSpan w:val="2"/>
          </w:tcPr>
          <w:p w14:paraId="0906843A" w14:textId="77777777" w:rsidR="00587A4E" w:rsidRPr="007E130D" w:rsidRDefault="00587A4E" w:rsidP="00B20AC9">
            <w:pPr>
              <w:spacing w:before="0" w:after="48"/>
              <w:rPr>
                <w:rFonts w:ascii="Verdana" w:hAnsi="Verdana"/>
                <w:b/>
                <w:smallCaps/>
                <w:sz w:val="20"/>
              </w:rPr>
            </w:pPr>
          </w:p>
        </w:tc>
        <w:tc>
          <w:tcPr>
            <w:tcW w:w="3120" w:type="dxa"/>
            <w:gridSpan w:val="2"/>
          </w:tcPr>
          <w:p w14:paraId="5A0B6582" w14:textId="77777777" w:rsidR="00587A4E" w:rsidRPr="007E130D" w:rsidRDefault="00587A4E" w:rsidP="00B20AC9">
            <w:pPr>
              <w:spacing w:before="0"/>
              <w:rPr>
                <w:rFonts w:ascii="Verdana" w:hAnsi="Verdana"/>
                <w:b/>
                <w:sz w:val="20"/>
              </w:rPr>
            </w:pPr>
            <w:r w:rsidRPr="007E130D">
              <w:rPr>
                <w:rFonts w:ascii="Verdana" w:hAnsi="Verdana"/>
                <w:b/>
                <w:sz w:val="20"/>
              </w:rPr>
              <w:t>Original: anglais</w:t>
            </w:r>
          </w:p>
        </w:tc>
      </w:tr>
      <w:tr w:rsidR="00587A4E" w:rsidRPr="007E130D" w14:paraId="3B89896B" w14:textId="77777777" w:rsidTr="00960B1C">
        <w:trPr>
          <w:cantSplit/>
        </w:trPr>
        <w:tc>
          <w:tcPr>
            <w:tcW w:w="10031" w:type="dxa"/>
            <w:gridSpan w:val="4"/>
          </w:tcPr>
          <w:p w14:paraId="3B25FDE2" w14:textId="77777777" w:rsidR="00587A4E" w:rsidRPr="007E130D" w:rsidRDefault="00587A4E" w:rsidP="00B20AC9">
            <w:pPr>
              <w:spacing w:before="0"/>
              <w:rPr>
                <w:rFonts w:ascii="Verdana" w:hAnsi="Verdana"/>
                <w:b/>
                <w:sz w:val="20"/>
              </w:rPr>
            </w:pPr>
          </w:p>
        </w:tc>
      </w:tr>
      <w:tr w:rsidR="00587A4E" w:rsidRPr="007E130D" w14:paraId="3A996DBA" w14:textId="77777777" w:rsidTr="00960B1C">
        <w:trPr>
          <w:cantSplit/>
        </w:trPr>
        <w:tc>
          <w:tcPr>
            <w:tcW w:w="10031" w:type="dxa"/>
            <w:gridSpan w:val="4"/>
          </w:tcPr>
          <w:p w14:paraId="26698ED6" w14:textId="77777777" w:rsidR="00587A4E" w:rsidRPr="007E130D" w:rsidRDefault="003E6FC1" w:rsidP="00B20AC9">
            <w:pPr>
              <w:pStyle w:val="Source"/>
            </w:pPr>
            <w:bookmarkStart w:id="2" w:name="dsource" w:colFirst="0" w:colLast="0"/>
            <w:r w:rsidRPr="007E130D">
              <w:t>Directeur du Bureau des radiocommunications</w:t>
            </w:r>
          </w:p>
        </w:tc>
      </w:tr>
      <w:tr w:rsidR="00587A4E" w:rsidRPr="007E130D" w14:paraId="1D4DAED7" w14:textId="77777777" w:rsidTr="00960B1C">
        <w:trPr>
          <w:cantSplit/>
        </w:trPr>
        <w:tc>
          <w:tcPr>
            <w:tcW w:w="10031" w:type="dxa"/>
            <w:gridSpan w:val="4"/>
          </w:tcPr>
          <w:p w14:paraId="2B134513" w14:textId="3E82A1F0" w:rsidR="00587A4E" w:rsidRPr="007E130D" w:rsidRDefault="003E6FC1" w:rsidP="00B20AC9">
            <w:pPr>
              <w:pStyle w:val="Title1"/>
            </w:pPr>
            <w:bookmarkStart w:id="3" w:name="dtitle1" w:colFirst="0" w:colLast="0"/>
            <w:bookmarkEnd w:id="2"/>
            <w:r w:rsidRPr="007E130D">
              <w:t>RAPPORT DU DIRECTEUR SUR LES ACTIVITÉS</w:t>
            </w:r>
            <w:r w:rsidR="00B20AC9" w:rsidRPr="007E130D">
              <w:t xml:space="preserve"> </w:t>
            </w:r>
            <w:r w:rsidRPr="007E130D">
              <w:t>DU</w:t>
            </w:r>
            <w:r w:rsidR="00B20AC9" w:rsidRPr="007E130D">
              <w:br/>
            </w:r>
            <w:r w:rsidRPr="007E130D">
              <w:t>SECTEUR DES RADIOCOMMUNICATIONS</w:t>
            </w:r>
          </w:p>
        </w:tc>
      </w:tr>
      <w:tr w:rsidR="00587A4E" w:rsidRPr="007E130D" w14:paraId="536B1B8F" w14:textId="77777777" w:rsidTr="00960B1C">
        <w:trPr>
          <w:cantSplit/>
        </w:trPr>
        <w:tc>
          <w:tcPr>
            <w:tcW w:w="10031" w:type="dxa"/>
            <w:gridSpan w:val="4"/>
          </w:tcPr>
          <w:p w14:paraId="483925C7" w14:textId="149B3FAF" w:rsidR="00587A4E" w:rsidRPr="007E130D" w:rsidRDefault="00070D47" w:rsidP="00B20AC9">
            <w:pPr>
              <w:pStyle w:val="Title2"/>
            </w:pPr>
            <w:bookmarkStart w:id="4" w:name="dtitle2" w:colFirst="0" w:colLast="0"/>
            <w:bookmarkEnd w:id="3"/>
            <w:r w:rsidRPr="007E130D">
              <w:t>PARTIE 1: ACTIVITÉS MENÉES PAR LE SECTEUR DES</w:t>
            </w:r>
            <w:r w:rsidR="00B20AC9" w:rsidRPr="007E130D">
              <w:br/>
            </w:r>
            <w:r w:rsidRPr="007E130D">
              <w:t>RADIOCOMMUNICATIONS PENDANT LA PÉRIODE</w:t>
            </w:r>
            <w:r w:rsidRPr="007E130D">
              <w:br/>
              <w:t>ENTRE LA CMR-19 ET LA CMR-23</w:t>
            </w:r>
          </w:p>
        </w:tc>
      </w:tr>
      <w:tr w:rsidR="00587A4E" w:rsidRPr="007E130D" w14:paraId="4407D6DE" w14:textId="77777777" w:rsidTr="00960B1C">
        <w:trPr>
          <w:cantSplit/>
        </w:trPr>
        <w:tc>
          <w:tcPr>
            <w:tcW w:w="10031" w:type="dxa"/>
            <w:gridSpan w:val="4"/>
          </w:tcPr>
          <w:p w14:paraId="4F0D15BD" w14:textId="77777777" w:rsidR="00587A4E" w:rsidRPr="007E130D" w:rsidRDefault="00587A4E" w:rsidP="00B20AC9">
            <w:pPr>
              <w:pStyle w:val="Agendaitem"/>
              <w:rPr>
                <w:lang w:val="fr-FR"/>
              </w:rPr>
            </w:pPr>
            <w:bookmarkStart w:id="5" w:name="dtitle3" w:colFirst="0" w:colLast="0"/>
            <w:bookmarkEnd w:id="4"/>
          </w:p>
        </w:tc>
      </w:tr>
    </w:tbl>
    <w:bookmarkEnd w:id="5"/>
    <w:p w14:paraId="7BCAC901" w14:textId="77777777" w:rsidR="00F372DE" w:rsidRPr="004168B4" w:rsidRDefault="003E6FC1" w:rsidP="00647B07">
      <w:pPr>
        <w:pStyle w:val="Title4"/>
        <w:spacing w:before="360"/>
        <w:rPr>
          <w:b/>
          <w:bCs/>
          <w:szCs w:val="24"/>
        </w:rPr>
      </w:pPr>
      <w:r w:rsidRPr="004168B4">
        <w:rPr>
          <w:b/>
          <w:bCs/>
          <w:szCs w:val="24"/>
        </w:rPr>
        <w:t xml:space="preserve">Table </w:t>
      </w:r>
      <w:r w:rsidR="00070D47" w:rsidRPr="004168B4">
        <w:rPr>
          <w:b/>
          <w:bCs/>
          <w:szCs w:val="24"/>
        </w:rPr>
        <w:t>des matières</w:t>
      </w:r>
    </w:p>
    <w:p w14:paraId="2D8E1AB5" w14:textId="77777777" w:rsidR="003E6FC1" w:rsidRPr="007E130D" w:rsidRDefault="009E648F" w:rsidP="00B20AC9">
      <w:pPr>
        <w:pStyle w:val="toc0"/>
        <w:jc w:val="right"/>
        <w:rPr>
          <w:i/>
          <w:iCs/>
          <w:lang w:eastAsia="ja-JP"/>
        </w:rPr>
      </w:pPr>
      <w:r w:rsidRPr="007E130D">
        <w:rPr>
          <w:i/>
          <w:iCs/>
          <w:lang w:eastAsia="ja-JP"/>
        </w:rPr>
        <w:t>Page</w:t>
      </w:r>
    </w:p>
    <w:p w14:paraId="11453890" w14:textId="02800D34" w:rsidR="00BE4215" w:rsidRPr="007E130D" w:rsidRDefault="00BE4215">
      <w:pPr>
        <w:pStyle w:val="TOC1"/>
        <w:rPr>
          <w:rFonts w:asciiTheme="minorHAnsi" w:eastAsiaTheme="minorEastAsia" w:hAnsiTheme="minorHAnsi" w:cstheme="minorBidi"/>
          <w:noProof/>
          <w:kern w:val="2"/>
          <w:sz w:val="22"/>
          <w:szCs w:val="22"/>
          <w14:ligatures w14:val="standardContextual"/>
        </w:rPr>
      </w:pPr>
      <w:r w:rsidRPr="007E130D">
        <w:rPr>
          <w:highlight w:val="yellow"/>
          <w:lang w:eastAsia="ja-JP"/>
        </w:rPr>
        <w:fldChar w:fldCharType="begin"/>
      </w:r>
      <w:r w:rsidRPr="007E130D">
        <w:rPr>
          <w:highlight w:val="yellow"/>
          <w:lang w:eastAsia="ja-JP"/>
        </w:rPr>
        <w:instrText xml:space="preserve"> TOC \o "1-3" \h \z \u </w:instrText>
      </w:r>
      <w:r w:rsidRPr="007E130D">
        <w:rPr>
          <w:highlight w:val="yellow"/>
          <w:lang w:eastAsia="ja-JP"/>
        </w:rPr>
        <w:fldChar w:fldCharType="separate"/>
      </w:r>
      <w:hyperlink w:anchor="_Toc147328766" w:history="1">
        <w:r w:rsidRPr="007E130D">
          <w:rPr>
            <w:rStyle w:val="Hyperlink"/>
            <w:noProof/>
            <w:lang w:eastAsia="ja-JP"/>
          </w:rPr>
          <w:t>Introduction</w:t>
        </w:r>
        <w:r w:rsidRPr="007E130D">
          <w:rPr>
            <w:noProof/>
            <w:webHidden/>
          </w:rPr>
          <w:tab/>
        </w:r>
        <w:r w:rsidRPr="007E130D">
          <w:rPr>
            <w:noProof/>
            <w:webHidden/>
          </w:rPr>
          <w:tab/>
        </w:r>
        <w:r w:rsidRPr="007E130D">
          <w:rPr>
            <w:noProof/>
            <w:webHidden/>
          </w:rPr>
          <w:fldChar w:fldCharType="begin"/>
        </w:r>
        <w:r w:rsidRPr="007E130D">
          <w:rPr>
            <w:noProof/>
            <w:webHidden/>
          </w:rPr>
          <w:instrText xml:space="preserve"> PAGEREF _Toc147328766 \h </w:instrText>
        </w:r>
        <w:r w:rsidRPr="007E130D">
          <w:rPr>
            <w:noProof/>
            <w:webHidden/>
          </w:rPr>
        </w:r>
        <w:r w:rsidRPr="007E130D">
          <w:rPr>
            <w:noProof/>
            <w:webHidden/>
          </w:rPr>
          <w:fldChar w:fldCharType="separate"/>
        </w:r>
        <w:r w:rsidR="004168B4">
          <w:rPr>
            <w:noProof/>
            <w:webHidden/>
          </w:rPr>
          <w:t>5</w:t>
        </w:r>
        <w:r w:rsidRPr="007E130D">
          <w:rPr>
            <w:noProof/>
            <w:webHidden/>
          </w:rPr>
          <w:fldChar w:fldCharType="end"/>
        </w:r>
      </w:hyperlink>
    </w:p>
    <w:p w14:paraId="27979DD8" w14:textId="71FB28F5" w:rsidR="00BE4215" w:rsidRPr="007E130D" w:rsidRDefault="00414F7A">
      <w:pPr>
        <w:pStyle w:val="TOC1"/>
        <w:rPr>
          <w:rFonts w:asciiTheme="minorHAnsi" w:eastAsiaTheme="minorEastAsia" w:hAnsiTheme="minorHAnsi" w:cstheme="minorBidi"/>
          <w:noProof/>
          <w:kern w:val="2"/>
          <w:sz w:val="22"/>
          <w:szCs w:val="22"/>
          <w14:ligatures w14:val="standardContextual"/>
        </w:rPr>
      </w:pPr>
      <w:hyperlink w:anchor="_Toc147328767" w:history="1">
        <w:r w:rsidR="00BE4215" w:rsidRPr="007E130D">
          <w:rPr>
            <w:rStyle w:val="Hyperlink"/>
            <w:noProof/>
          </w:rPr>
          <w:t>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Travaux préparatoires en vue de la CMR-23</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_Toc147328767 \h </w:instrText>
        </w:r>
        <w:r w:rsidR="00BE4215" w:rsidRPr="007E130D">
          <w:rPr>
            <w:noProof/>
            <w:webHidden/>
          </w:rPr>
        </w:r>
        <w:r w:rsidR="00BE4215" w:rsidRPr="007E130D">
          <w:rPr>
            <w:noProof/>
            <w:webHidden/>
          </w:rPr>
          <w:fldChar w:fldCharType="separate"/>
        </w:r>
        <w:r w:rsidR="004168B4">
          <w:rPr>
            <w:noProof/>
            <w:webHidden/>
          </w:rPr>
          <w:t>5</w:t>
        </w:r>
        <w:r w:rsidR="00BE4215" w:rsidRPr="007E130D">
          <w:rPr>
            <w:noProof/>
            <w:webHidden/>
          </w:rPr>
          <w:fldChar w:fldCharType="end"/>
        </w:r>
      </w:hyperlink>
    </w:p>
    <w:p w14:paraId="7E8F1D6A" w14:textId="604A2906" w:rsidR="00BE4215" w:rsidRPr="007E130D" w:rsidRDefault="00414F7A" w:rsidP="005D54CC">
      <w:pPr>
        <w:pStyle w:val="TOC2"/>
        <w:tabs>
          <w:tab w:val="clear" w:pos="567"/>
          <w:tab w:val="left" w:pos="1134"/>
        </w:tabs>
        <w:ind w:left="1134"/>
        <w:rPr>
          <w:rFonts w:asciiTheme="minorHAnsi" w:eastAsiaTheme="minorEastAsia" w:hAnsiTheme="minorHAnsi" w:cstheme="minorBidi"/>
          <w:noProof/>
          <w:kern w:val="2"/>
          <w:sz w:val="22"/>
          <w:szCs w:val="22"/>
          <w14:ligatures w14:val="standardContextual"/>
        </w:rPr>
      </w:pPr>
      <w:hyperlink w:anchor="_Toc147328768" w:history="1">
        <w:r w:rsidR="00BE4215" w:rsidRPr="007E130D">
          <w:rPr>
            <w:rStyle w:val="Hyperlink"/>
            <w:noProof/>
          </w:rPr>
          <w:t>1.1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Travaux préparatoires du BR en vue de la CMR</w:t>
        </w:r>
        <w:r w:rsidR="00BE4215" w:rsidRPr="007E130D">
          <w:rPr>
            <w:rStyle w:val="Hyperlink"/>
            <w:noProof/>
          </w:rPr>
          <w:noBreakHyphen/>
          <w:t>23</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_Toc147328768 \h </w:instrText>
        </w:r>
        <w:r w:rsidR="00BE4215" w:rsidRPr="007E130D">
          <w:rPr>
            <w:noProof/>
            <w:webHidden/>
          </w:rPr>
        </w:r>
        <w:r w:rsidR="00BE4215" w:rsidRPr="007E130D">
          <w:rPr>
            <w:noProof/>
            <w:webHidden/>
          </w:rPr>
          <w:fldChar w:fldCharType="separate"/>
        </w:r>
        <w:r w:rsidR="004168B4">
          <w:rPr>
            <w:noProof/>
            <w:webHidden/>
          </w:rPr>
          <w:t>5</w:t>
        </w:r>
        <w:r w:rsidR="00BE4215" w:rsidRPr="007E130D">
          <w:rPr>
            <w:noProof/>
            <w:webHidden/>
          </w:rPr>
          <w:fldChar w:fldCharType="end"/>
        </w:r>
      </w:hyperlink>
    </w:p>
    <w:p w14:paraId="53686351" w14:textId="54C776BA" w:rsidR="00BE4215" w:rsidRPr="007E130D" w:rsidRDefault="00414F7A" w:rsidP="005D54CC">
      <w:pPr>
        <w:pStyle w:val="TOC2"/>
        <w:tabs>
          <w:tab w:val="clear" w:pos="567"/>
          <w:tab w:val="left" w:pos="1134"/>
        </w:tabs>
        <w:ind w:left="1134"/>
        <w:rPr>
          <w:rFonts w:asciiTheme="minorHAnsi" w:eastAsiaTheme="minorEastAsia" w:hAnsiTheme="minorHAnsi" w:cstheme="minorBidi"/>
          <w:noProof/>
          <w:kern w:val="2"/>
          <w:sz w:val="22"/>
          <w:szCs w:val="22"/>
          <w14:ligatures w14:val="standardContextual"/>
        </w:rPr>
      </w:pPr>
      <w:hyperlink w:anchor="_Toc147328769" w:history="1">
        <w:r w:rsidR="00BE4215" w:rsidRPr="007E130D">
          <w:rPr>
            <w:rStyle w:val="Hyperlink"/>
            <w:noProof/>
          </w:rPr>
          <w:t>1.2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Travaux préparatoires au niveau régional en application de la Résolution 72 (Rév.CMR</w:t>
        </w:r>
        <w:r w:rsidR="00BE4215" w:rsidRPr="007E130D">
          <w:rPr>
            <w:rStyle w:val="Hyperlink"/>
            <w:noProof/>
          </w:rPr>
          <w:noBreakHyphen/>
          <w:t>19)</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_Toc147328769 \h </w:instrText>
        </w:r>
        <w:r w:rsidR="00BE4215" w:rsidRPr="007E130D">
          <w:rPr>
            <w:noProof/>
            <w:webHidden/>
          </w:rPr>
        </w:r>
        <w:r w:rsidR="00BE4215" w:rsidRPr="007E130D">
          <w:rPr>
            <w:noProof/>
            <w:webHidden/>
          </w:rPr>
          <w:fldChar w:fldCharType="separate"/>
        </w:r>
        <w:r w:rsidR="004168B4">
          <w:rPr>
            <w:noProof/>
            <w:webHidden/>
          </w:rPr>
          <w:t>5</w:t>
        </w:r>
        <w:r w:rsidR="00BE4215" w:rsidRPr="007E130D">
          <w:rPr>
            <w:noProof/>
            <w:webHidden/>
          </w:rPr>
          <w:fldChar w:fldCharType="end"/>
        </w:r>
      </w:hyperlink>
    </w:p>
    <w:p w14:paraId="66B70559" w14:textId="1085A659" w:rsidR="00BE4215" w:rsidRPr="007E130D" w:rsidRDefault="00414F7A" w:rsidP="005D54CC">
      <w:pPr>
        <w:pStyle w:val="TOC2"/>
        <w:tabs>
          <w:tab w:val="clear" w:pos="567"/>
          <w:tab w:val="left" w:pos="1134"/>
        </w:tabs>
        <w:ind w:left="1134"/>
        <w:rPr>
          <w:rFonts w:asciiTheme="minorHAnsi" w:eastAsiaTheme="minorEastAsia" w:hAnsiTheme="minorHAnsi" w:cstheme="minorBidi"/>
          <w:noProof/>
          <w:kern w:val="2"/>
          <w:sz w:val="22"/>
          <w:szCs w:val="22"/>
          <w14:ligatures w14:val="standardContextual"/>
        </w:rPr>
      </w:pPr>
      <w:hyperlink w:anchor="_Toc147328770" w:history="1">
        <w:r w:rsidR="00BE4215" w:rsidRPr="007E130D">
          <w:rPr>
            <w:rStyle w:val="Hyperlink"/>
            <w:noProof/>
          </w:rPr>
          <w:t>1.3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Travaux menés par les Commissions d'études de l'UIT-R en vue de la CMR-23</w:t>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_Toc147328770 \h </w:instrText>
        </w:r>
        <w:r w:rsidR="00BE4215" w:rsidRPr="007E130D">
          <w:rPr>
            <w:noProof/>
            <w:webHidden/>
          </w:rPr>
        </w:r>
        <w:r w:rsidR="00BE4215" w:rsidRPr="007E130D">
          <w:rPr>
            <w:noProof/>
            <w:webHidden/>
          </w:rPr>
          <w:fldChar w:fldCharType="separate"/>
        </w:r>
        <w:r w:rsidR="004168B4">
          <w:rPr>
            <w:noProof/>
            <w:webHidden/>
          </w:rPr>
          <w:t>5</w:t>
        </w:r>
        <w:r w:rsidR="00BE4215" w:rsidRPr="007E130D">
          <w:rPr>
            <w:noProof/>
            <w:webHidden/>
          </w:rPr>
          <w:fldChar w:fldCharType="end"/>
        </w:r>
      </w:hyperlink>
    </w:p>
    <w:p w14:paraId="165508E4" w14:textId="6DED5081" w:rsidR="00BE4215" w:rsidRPr="007E130D" w:rsidRDefault="00414F7A">
      <w:pPr>
        <w:pStyle w:val="TOC1"/>
        <w:rPr>
          <w:rFonts w:asciiTheme="minorHAnsi" w:eastAsiaTheme="minorEastAsia" w:hAnsiTheme="minorHAnsi" w:cstheme="minorBidi"/>
          <w:noProof/>
          <w:kern w:val="2"/>
          <w:sz w:val="22"/>
          <w:szCs w:val="22"/>
          <w14:ligatures w14:val="standardContextual"/>
        </w:rPr>
      </w:pPr>
      <w:hyperlink w:anchor="_Toc147328771" w:history="1">
        <w:r w:rsidR="00BE4215" w:rsidRPr="007E130D">
          <w:rPr>
            <w:rStyle w:val="Hyperlink"/>
            <w:noProof/>
          </w:rPr>
          <w:t>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Application du Règlement des radiocommunications concernant les services spatiaux</w:t>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_Toc147328771 \h </w:instrText>
        </w:r>
        <w:r w:rsidR="00BE4215" w:rsidRPr="007E130D">
          <w:rPr>
            <w:noProof/>
            <w:webHidden/>
          </w:rPr>
        </w:r>
        <w:r w:rsidR="00BE4215" w:rsidRPr="007E130D">
          <w:rPr>
            <w:noProof/>
            <w:webHidden/>
          </w:rPr>
          <w:fldChar w:fldCharType="separate"/>
        </w:r>
        <w:r w:rsidR="004168B4">
          <w:rPr>
            <w:noProof/>
            <w:webHidden/>
          </w:rPr>
          <w:t>5</w:t>
        </w:r>
        <w:r w:rsidR="00BE4215" w:rsidRPr="007E130D">
          <w:rPr>
            <w:noProof/>
            <w:webHidden/>
          </w:rPr>
          <w:fldChar w:fldCharType="end"/>
        </w:r>
      </w:hyperlink>
    </w:p>
    <w:p w14:paraId="5742D956" w14:textId="274D2FA3" w:rsidR="00BE4215" w:rsidRPr="007E130D" w:rsidRDefault="00414F7A" w:rsidP="00BE4215">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772" w:history="1">
        <w:r w:rsidR="00BE4215" w:rsidRPr="007E130D">
          <w:rPr>
            <w:rStyle w:val="Hyperlink"/>
            <w:noProof/>
          </w:rPr>
          <w:t>2.1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Introduction</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_Toc147328772 \h </w:instrText>
        </w:r>
        <w:r w:rsidR="00BE4215" w:rsidRPr="007E130D">
          <w:rPr>
            <w:noProof/>
            <w:webHidden/>
          </w:rPr>
        </w:r>
        <w:r w:rsidR="00BE4215" w:rsidRPr="007E130D">
          <w:rPr>
            <w:noProof/>
            <w:webHidden/>
          </w:rPr>
          <w:fldChar w:fldCharType="separate"/>
        </w:r>
        <w:r w:rsidR="004168B4">
          <w:rPr>
            <w:noProof/>
            <w:webHidden/>
          </w:rPr>
          <w:t>5</w:t>
        </w:r>
        <w:r w:rsidR="00BE4215" w:rsidRPr="007E130D">
          <w:rPr>
            <w:noProof/>
            <w:webHidden/>
          </w:rPr>
          <w:fldChar w:fldCharType="end"/>
        </w:r>
      </w:hyperlink>
    </w:p>
    <w:p w14:paraId="3A988F29" w14:textId="63D70205" w:rsidR="00BE4215" w:rsidRPr="007E130D" w:rsidRDefault="00414F7A" w:rsidP="00BE4215">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773" w:history="1">
        <w:r w:rsidR="00BE4215" w:rsidRPr="007E130D">
          <w:rPr>
            <w:rStyle w:val="Hyperlink"/>
            <w:noProof/>
          </w:rPr>
          <w:t>2.2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Traitement des fiches de notification: services non planifiés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_Toc147328773 \h </w:instrText>
        </w:r>
        <w:r w:rsidR="00BE4215" w:rsidRPr="007E130D">
          <w:rPr>
            <w:noProof/>
            <w:webHidden/>
          </w:rPr>
        </w:r>
        <w:r w:rsidR="00BE4215" w:rsidRPr="007E130D">
          <w:rPr>
            <w:noProof/>
            <w:webHidden/>
          </w:rPr>
          <w:fldChar w:fldCharType="separate"/>
        </w:r>
        <w:r w:rsidR="004168B4">
          <w:rPr>
            <w:noProof/>
            <w:webHidden/>
          </w:rPr>
          <w:t>6</w:t>
        </w:r>
        <w:r w:rsidR="00BE4215" w:rsidRPr="007E130D">
          <w:rPr>
            <w:noProof/>
            <w:webHidden/>
          </w:rPr>
          <w:fldChar w:fldCharType="end"/>
        </w:r>
      </w:hyperlink>
    </w:p>
    <w:p w14:paraId="09B8E659" w14:textId="3561E464"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74" w:history="1">
        <w:r w:rsidR="00BE4215" w:rsidRPr="007E130D">
          <w:rPr>
            <w:rStyle w:val="Hyperlink"/>
            <w:noProof/>
          </w:rPr>
          <w:t>2.2.1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Renseignements pour la publication anticipée (API)</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_Toc147328774 \h </w:instrText>
        </w:r>
        <w:r w:rsidR="00BE4215" w:rsidRPr="007E130D">
          <w:rPr>
            <w:noProof/>
            <w:webHidden/>
          </w:rPr>
        </w:r>
        <w:r w:rsidR="00BE4215" w:rsidRPr="007E130D">
          <w:rPr>
            <w:noProof/>
            <w:webHidden/>
          </w:rPr>
          <w:fldChar w:fldCharType="separate"/>
        </w:r>
        <w:r w:rsidR="004168B4">
          <w:rPr>
            <w:noProof/>
            <w:webHidden/>
          </w:rPr>
          <w:t>8</w:t>
        </w:r>
        <w:r w:rsidR="00BE4215" w:rsidRPr="007E130D">
          <w:rPr>
            <w:noProof/>
            <w:webHidden/>
          </w:rPr>
          <w:fldChar w:fldCharType="end"/>
        </w:r>
      </w:hyperlink>
    </w:p>
    <w:p w14:paraId="15699EA1" w14:textId="75792CDA"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75" w:history="1">
        <w:r w:rsidR="00BE4215" w:rsidRPr="007E130D">
          <w:rPr>
            <w:rStyle w:val="Hyperlink"/>
            <w:noProof/>
          </w:rPr>
          <w:t>2.2.2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Demandes de coordination (CR)</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_Toc147328775 \h </w:instrText>
        </w:r>
        <w:r w:rsidR="00BE4215" w:rsidRPr="007E130D">
          <w:rPr>
            <w:noProof/>
            <w:webHidden/>
          </w:rPr>
        </w:r>
        <w:r w:rsidR="00BE4215" w:rsidRPr="007E130D">
          <w:rPr>
            <w:noProof/>
            <w:webHidden/>
          </w:rPr>
          <w:fldChar w:fldCharType="separate"/>
        </w:r>
        <w:r w:rsidR="004168B4">
          <w:rPr>
            <w:noProof/>
            <w:webHidden/>
          </w:rPr>
          <w:t>9</w:t>
        </w:r>
        <w:r w:rsidR="00BE4215" w:rsidRPr="007E130D">
          <w:rPr>
            <w:noProof/>
            <w:webHidden/>
          </w:rPr>
          <w:fldChar w:fldCharType="end"/>
        </w:r>
      </w:hyperlink>
    </w:p>
    <w:p w14:paraId="0FF7461B" w14:textId="3AA2FBAA"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76" w:history="1">
        <w:r w:rsidR="00BE4215" w:rsidRPr="007E130D">
          <w:rPr>
            <w:rStyle w:val="Hyperlink"/>
            <w:noProof/>
          </w:rPr>
          <w:t>2.2.3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Notification en vue d'une inscription dans le Fichier de référence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_Toc147328776 \h </w:instrText>
        </w:r>
        <w:r w:rsidR="00BE4215" w:rsidRPr="007E130D">
          <w:rPr>
            <w:noProof/>
            <w:webHidden/>
          </w:rPr>
        </w:r>
        <w:r w:rsidR="00BE4215" w:rsidRPr="007E130D">
          <w:rPr>
            <w:noProof/>
            <w:webHidden/>
          </w:rPr>
          <w:fldChar w:fldCharType="separate"/>
        </w:r>
        <w:r w:rsidR="004168B4">
          <w:rPr>
            <w:noProof/>
            <w:webHidden/>
          </w:rPr>
          <w:t>10</w:t>
        </w:r>
        <w:r w:rsidR="00BE4215" w:rsidRPr="007E130D">
          <w:rPr>
            <w:noProof/>
            <w:webHidden/>
          </w:rPr>
          <w:fldChar w:fldCharType="end"/>
        </w:r>
      </w:hyperlink>
    </w:p>
    <w:p w14:paraId="1C493574" w14:textId="481F730D" w:rsidR="00BE4215" w:rsidRPr="007E130D" w:rsidRDefault="00414F7A" w:rsidP="00BE4215">
      <w:pPr>
        <w:pStyle w:val="TOC3"/>
        <w:tabs>
          <w:tab w:val="clear" w:pos="567"/>
          <w:tab w:val="clear" w:pos="7938"/>
          <w:tab w:val="clear" w:pos="9526"/>
          <w:tab w:val="left" w:leader="dot" w:pos="7797"/>
          <w:tab w:val="center" w:pos="9639"/>
        </w:tabs>
        <w:ind w:left="1701"/>
        <w:rPr>
          <w:rFonts w:asciiTheme="minorHAnsi" w:eastAsiaTheme="minorEastAsia" w:hAnsiTheme="minorHAnsi" w:cstheme="minorBidi"/>
          <w:noProof/>
          <w:kern w:val="2"/>
          <w:sz w:val="22"/>
          <w:szCs w:val="22"/>
          <w14:ligatures w14:val="standardContextual"/>
        </w:rPr>
      </w:pPr>
      <w:hyperlink w:anchor="_Toc147328777" w:history="1">
        <w:r w:rsidR="00BE4215" w:rsidRPr="007E130D">
          <w:rPr>
            <w:rStyle w:val="Hyperlink"/>
            <w:noProof/>
          </w:rPr>
          <w:t>2.2.4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Autres Résolutions associées au traitement des fiches de notification</w:t>
        </w:r>
        <w:r w:rsidR="00BE4215" w:rsidRPr="007E130D">
          <w:rPr>
            <w:rStyle w:val="Hyperlink"/>
            <w:noProof/>
          </w:rPr>
          <w:br/>
          <w:t>relatives aux services non planifiés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_Toc147328777 \h </w:instrText>
        </w:r>
        <w:r w:rsidR="00BE4215" w:rsidRPr="007E130D">
          <w:rPr>
            <w:noProof/>
            <w:webHidden/>
          </w:rPr>
        </w:r>
        <w:r w:rsidR="00BE4215" w:rsidRPr="007E130D">
          <w:rPr>
            <w:noProof/>
            <w:webHidden/>
          </w:rPr>
          <w:fldChar w:fldCharType="separate"/>
        </w:r>
        <w:r w:rsidR="004168B4">
          <w:rPr>
            <w:noProof/>
            <w:webHidden/>
          </w:rPr>
          <w:t>13</w:t>
        </w:r>
        <w:r w:rsidR="00BE4215" w:rsidRPr="007E130D">
          <w:rPr>
            <w:noProof/>
            <w:webHidden/>
          </w:rPr>
          <w:fldChar w:fldCharType="end"/>
        </w:r>
      </w:hyperlink>
    </w:p>
    <w:p w14:paraId="3F946D18" w14:textId="2CF6E070" w:rsidR="00BE4215" w:rsidRPr="007E130D" w:rsidRDefault="00414F7A" w:rsidP="00BE4215">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778" w:history="1">
        <w:r w:rsidR="00BE4215" w:rsidRPr="007E130D">
          <w:rPr>
            <w:rStyle w:val="Hyperlink"/>
            <w:noProof/>
          </w:rPr>
          <w:t>2.3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Traitement des fiches de notification: services planifiés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_Toc147328778 \h </w:instrText>
        </w:r>
        <w:r w:rsidR="00BE4215" w:rsidRPr="007E130D">
          <w:rPr>
            <w:noProof/>
            <w:webHidden/>
          </w:rPr>
        </w:r>
        <w:r w:rsidR="00BE4215" w:rsidRPr="007E130D">
          <w:rPr>
            <w:noProof/>
            <w:webHidden/>
          </w:rPr>
          <w:fldChar w:fldCharType="separate"/>
        </w:r>
        <w:r w:rsidR="004168B4">
          <w:rPr>
            <w:noProof/>
            <w:webHidden/>
          </w:rPr>
          <w:t>22</w:t>
        </w:r>
        <w:r w:rsidR="00BE4215" w:rsidRPr="007E130D">
          <w:rPr>
            <w:noProof/>
            <w:webHidden/>
          </w:rPr>
          <w:fldChar w:fldCharType="end"/>
        </w:r>
      </w:hyperlink>
    </w:p>
    <w:p w14:paraId="3C2A1646" w14:textId="1360D537"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79" w:history="1">
        <w:r w:rsidR="00BE4215" w:rsidRPr="007E130D">
          <w:rPr>
            <w:rStyle w:val="Hyperlink"/>
            <w:noProof/>
          </w:rPr>
          <w:t>2.3.1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Appendices 30 et 30A</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_Toc147328779 \h </w:instrText>
        </w:r>
        <w:r w:rsidR="00BE4215" w:rsidRPr="007E130D">
          <w:rPr>
            <w:noProof/>
            <w:webHidden/>
          </w:rPr>
        </w:r>
        <w:r w:rsidR="00BE4215" w:rsidRPr="007E130D">
          <w:rPr>
            <w:noProof/>
            <w:webHidden/>
          </w:rPr>
          <w:fldChar w:fldCharType="separate"/>
        </w:r>
        <w:r w:rsidR="004168B4">
          <w:rPr>
            <w:noProof/>
            <w:webHidden/>
          </w:rPr>
          <w:t>22</w:t>
        </w:r>
        <w:r w:rsidR="00BE4215" w:rsidRPr="007E130D">
          <w:rPr>
            <w:noProof/>
            <w:webHidden/>
          </w:rPr>
          <w:fldChar w:fldCharType="end"/>
        </w:r>
      </w:hyperlink>
    </w:p>
    <w:p w14:paraId="35A54C21" w14:textId="12A11DEF"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80" w:history="1">
        <w:r w:rsidR="00BE4215" w:rsidRPr="007E130D">
          <w:rPr>
            <w:rStyle w:val="Hyperlink"/>
            <w:noProof/>
          </w:rPr>
          <w:t>2.3.2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Appendice 30B</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_Toc147328780 \h </w:instrText>
        </w:r>
        <w:r w:rsidR="00BE4215" w:rsidRPr="007E130D">
          <w:rPr>
            <w:noProof/>
            <w:webHidden/>
          </w:rPr>
        </w:r>
        <w:r w:rsidR="00BE4215" w:rsidRPr="007E130D">
          <w:rPr>
            <w:noProof/>
            <w:webHidden/>
          </w:rPr>
          <w:fldChar w:fldCharType="separate"/>
        </w:r>
        <w:r w:rsidR="004168B4">
          <w:rPr>
            <w:noProof/>
            <w:webHidden/>
          </w:rPr>
          <w:t>29</w:t>
        </w:r>
        <w:r w:rsidR="00BE4215" w:rsidRPr="007E130D">
          <w:rPr>
            <w:noProof/>
            <w:webHidden/>
          </w:rPr>
          <w:fldChar w:fldCharType="end"/>
        </w:r>
      </w:hyperlink>
    </w:p>
    <w:p w14:paraId="21665985" w14:textId="2A05BE7A" w:rsidR="00BE4215" w:rsidRPr="007E130D" w:rsidRDefault="00414F7A" w:rsidP="00BE4215">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781" w:history="1">
        <w:r w:rsidR="00BE4215" w:rsidRPr="007E130D">
          <w:rPr>
            <w:rStyle w:val="Hyperlink"/>
            <w:noProof/>
          </w:rPr>
          <w:t>2.4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Autres résolutions applicables aux services planifiés et non planifiés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_Toc147328781 \h </w:instrText>
        </w:r>
        <w:r w:rsidR="00BE4215" w:rsidRPr="007E130D">
          <w:rPr>
            <w:noProof/>
            <w:webHidden/>
          </w:rPr>
        </w:r>
        <w:r w:rsidR="00BE4215" w:rsidRPr="007E130D">
          <w:rPr>
            <w:noProof/>
            <w:webHidden/>
          </w:rPr>
          <w:fldChar w:fldCharType="separate"/>
        </w:r>
        <w:r w:rsidR="004168B4">
          <w:rPr>
            <w:noProof/>
            <w:webHidden/>
          </w:rPr>
          <w:t>34</w:t>
        </w:r>
        <w:r w:rsidR="00BE4215" w:rsidRPr="007E130D">
          <w:rPr>
            <w:noProof/>
            <w:webHidden/>
          </w:rPr>
          <w:fldChar w:fldCharType="end"/>
        </w:r>
      </w:hyperlink>
    </w:p>
    <w:p w14:paraId="6E84FA63" w14:textId="490FD058"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82" w:history="1">
        <w:r w:rsidR="00BE4215" w:rsidRPr="007E130D">
          <w:rPr>
            <w:rStyle w:val="Hyperlink"/>
            <w:noProof/>
          </w:rPr>
          <w:t>2.4.1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Résolution 40 (Rév.CMR-19)</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_Toc147328782 \h </w:instrText>
        </w:r>
        <w:r w:rsidR="00BE4215" w:rsidRPr="007E130D">
          <w:rPr>
            <w:noProof/>
            <w:webHidden/>
          </w:rPr>
        </w:r>
        <w:r w:rsidR="00BE4215" w:rsidRPr="007E130D">
          <w:rPr>
            <w:noProof/>
            <w:webHidden/>
          </w:rPr>
          <w:fldChar w:fldCharType="separate"/>
        </w:r>
        <w:r w:rsidR="004168B4">
          <w:rPr>
            <w:noProof/>
            <w:webHidden/>
          </w:rPr>
          <w:t>34</w:t>
        </w:r>
        <w:r w:rsidR="00BE4215" w:rsidRPr="007E130D">
          <w:rPr>
            <w:noProof/>
            <w:webHidden/>
          </w:rPr>
          <w:fldChar w:fldCharType="end"/>
        </w:r>
      </w:hyperlink>
    </w:p>
    <w:p w14:paraId="7E869535" w14:textId="0AA874AF"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83" w:history="1">
        <w:r w:rsidR="00BE4215" w:rsidRPr="007E130D">
          <w:rPr>
            <w:rStyle w:val="Hyperlink"/>
            <w:noProof/>
          </w:rPr>
          <w:t>2.4.2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Résolution 49 (Rév.CMR</w:t>
        </w:r>
        <w:r w:rsidR="00BE4215" w:rsidRPr="007E130D">
          <w:rPr>
            <w:rStyle w:val="Hyperlink"/>
            <w:noProof/>
          </w:rPr>
          <w:noBreakHyphen/>
          <w:t>19) – Diligence due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_Toc147328783 \h </w:instrText>
        </w:r>
        <w:r w:rsidR="00BE4215" w:rsidRPr="007E130D">
          <w:rPr>
            <w:noProof/>
            <w:webHidden/>
          </w:rPr>
        </w:r>
        <w:r w:rsidR="00BE4215" w:rsidRPr="007E130D">
          <w:rPr>
            <w:noProof/>
            <w:webHidden/>
          </w:rPr>
          <w:fldChar w:fldCharType="separate"/>
        </w:r>
        <w:r w:rsidR="004168B4">
          <w:rPr>
            <w:noProof/>
            <w:webHidden/>
          </w:rPr>
          <w:t>35</w:t>
        </w:r>
        <w:r w:rsidR="00BE4215" w:rsidRPr="007E130D">
          <w:rPr>
            <w:noProof/>
            <w:webHidden/>
          </w:rPr>
          <w:fldChar w:fldCharType="end"/>
        </w:r>
      </w:hyperlink>
    </w:p>
    <w:p w14:paraId="0C170C2A" w14:textId="1F56C663"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84" w:history="1">
        <w:r w:rsidR="00BE4215" w:rsidRPr="007E130D">
          <w:rPr>
            <w:rStyle w:val="Hyperlink"/>
            <w:noProof/>
          </w:rPr>
          <w:t>2.4.3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Résolution 55 (Rév.CMR</w:t>
        </w:r>
        <w:r w:rsidR="00BE4215" w:rsidRPr="007E130D">
          <w:rPr>
            <w:rStyle w:val="Hyperlink"/>
            <w:noProof/>
          </w:rPr>
          <w:noBreakHyphen/>
          <w:t>19)</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_Toc147328784 \h </w:instrText>
        </w:r>
        <w:r w:rsidR="00BE4215" w:rsidRPr="007E130D">
          <w:rPr>
            <w:noProof/>
            <w:webHidden/>
          </w:rPr>
        </w:r>
        <w:r w:rsidR="00BE4215" w:rsidRPr="007E130D">
          <w:rPr>
            <w:noProof/>
            <w:webHidden/>
          </w:rPr>
          <w:fldChar w:fldCharType="separate"/>
        </w:r>
        <w:r w:rsidR="004168B4">
          <w:rPr>
            <w:noProof/>
            <w:webHidden/>
          </w:rPr>
          <w:t>35</w:t>
        </w:r>
        <w:r w:rsidR="00BE4215" w:rsidRPr="007E130D">
          <w:rPr>
            <w:noProof/>
            <w:webHidden/>
          </w:rPr>
          <w:fldChar w:fldCharType="end"/>
        </w:r>
      </w:hyperlink>
    </w:p>
    <w:p w14:paraId="6B3A6F1D" w14:textId="5D900B21" w:rsidR="00BE4215" w:rsidRPr="007E130D" w:rsidRDefault="00414F7A" w:rsidP="00BE4215">
      <w:pPr>
        <w:pStyle w:val="TOC2"/>
        <w:tabs>
          <w:tab w:val="clear" w:pos="567"/>
        </w:tabs>
        <w:ind w:left="1701"/>
        <w:rPr>
          <w:rFonts w:asciiTheme="minorHAnsi" w:eastAsiaTheme="minorEastAsia" w:hAnsiTheme="minorHAnsi" w:cstheme="minorBidi"/>
          <w:noProof/>
          <w:kern w:val="2"/>
          <w:sz w:val="22"/>
          <w:szCs w:val="22"/>
          <w14:ligatures w14:val="standardContextual"/>
        </w:rPr>
      </w:pPr>
      <w:hyperlink w:anchor="_Toc147328785" w:history="1">
        <w:r w:rsidR="00BE4215" w:rsidRPr="007E130D">
          <w:rPr>
            <w:rStyle w:val="Hyperlink"/>
            <w:noProof/>
          </w:rPr>
          <w:t>2.4.4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Résolution 907 (Rév.CMR</w:t>
        </w:r>
        <w:r w:rsidR="00BE4215" w:rsidRPr="007E130D">
          <w:rPr>
            <w:rStyle w:val="Hyperlink"/>
            <w:noProof/>
          </w:rPr>
          <w:noBreakHyphen/>
          <w:t>15)</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_Toc147328785 \h </w:instrText>
        </w:r>
        <w:r w:rsidR="00BE4215" w:rsidRPr="007E130D">
          <w:rPr>
            <w:noProof/>
            <w:webHidden/>
          </w:rPr>
        </w:r>
        <w:r w:rsidR="00BE4215" w:rsidRPr="007E130D">
          <w:rPr>
            <w:noProof/>
            <w:webHidden/>
          </w:rPr>
          <w:fldChar w:fldCharType="separate"/>
        </w:r>
        <w:r w:rsidR="004168B4">
          <w:rPr>
            <w:noProof/>
            <w:webHidden/>
          </w:rPr>
          <w:t>35</w:t>
        </w:r>
        <w:r w:rsidR="00BE4215" w:rsidRPr="007E130D">
          <w:rPr>
            <w:noProof/>
            <w:webHidden/>
          </w:rPr>
          <w:fldChar w:fldCharType="end"/>
        </w:r>
      </w:hyperlink>
    </w:p>
    <w:p w14:paraId="3BC58CCB" w14:textId="10E55AFF" w:rsidR="00BE4215" w:rsidRPr="007E130D" w:rsidRDefault="00414F7A" w:rsidP="00BE4215">
      <w:pPr>
        <w:pStyle w:val="TOC2"/>
        <w:tabs>
          <w:tab w:val="clear" w:pos="567"/>
        </w:tabs>
        <w:ind w:left="1701"/>
        <w:rPr>
          <w:rFonts w:asciiTheme="minorHAnsi" w:eastAsiaTheme="minorEastAsia" w:hAnsiTheme="minorHAnsi" w:cstheme="minorBidi"/>
          <w:noProof/>
          <w:kern w:val="2"/>
          <w:sz w:val="22"/>
          <w:szCs w:val="22"/>
          <w14:ligatures w14:val="standardContextual"/>
        </w:rPr>
      </w:pPr>
      <w:hyperlink w:anchor="_Toc147328786" w:history="1">
        <w:r w:rsidR="00BE4215" w:rsidRPr="007E130D">
          <w:rPr>
            <w:rStyle w:val="Hyperlink"/>
            <w:noProof/>
          </w:rPr>
          <w:t>2.4.5</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Résolution 908 (Rév.CMR-15)</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_Toc147328786 \h </w:instrText>
        </w:r>
        <w:r w:rsidR="00BE4215" w:rsidRPr="007E130D">
          <w:rPr>
            <w:noProof/>
            <w:webHidden/>
          </w:rPr>
        </w:r>
        <w:r w:rsidR="00BE4215" w:rsidRPr="007E130D">
          <w:rPr>
            <w:noProof/>
            <w:webHidden/>
          </w:rPr>
          <w:fldChar w:fldCharType="separate"/>
        </w:r>
        <w:r w:rsidR="004168B4">
          <w:rPr>
            <w:noProof/>
            <w:webHidden/>
          </w:rPr>
          <w:t>37</w:t>
        </w:r>
        <w:r w:rsidR="00BE4215" w:rsidRPr="007E130D">
          <w:rPr>
            <w:noProof/>
            <w:webHidden/>
          </w:rPr>
          <w:fldChar w:fldCharType="end"/>
        </w:r>
      </w:hyperlink>
    </w:p>
    <w:p w14:paraId="24B718E5" w14:textId="64E5A8F0" w:rsidR="00BE4215" w:rsidRPr="007E130D" w:rsidRDefault="00414F7A" w:rsidP="00BE4215">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787" w:history="1">
        <w:r w:rsidR="00BE4215" w:rsidRPr="007E130D">
          <w:rPr>
            <w:rStyle w:val="Hyperlink"/>
            <w:noProof/>
          </w:rPr>
          <w:t>2.5</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Traitement d'assignations de fréquence dont la largeur de bande est inférieure à la largeur de bande moyenne indiquée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_Toc147328787 \h </w:instrText>
        </w:r>
        <w:r w:rsidR="00BE4215" w:rsidRPr="007E130D">
          <w:rPr>
            <w:noProof/>
            <w:webHidden/>
          </w:rPr>
        </w:r>
        <w:r w:rsidR="00BE4215" w:rsidRPr="007E130D">
          <w:rPr>
            <w:noProof/>
            <w:webHidden/>
          </w:rPr>
          <w:fldChar w:fldCharType="separate"/>
        </w:r>
        <w:r w:rsidR="004168B4">
          <w:rPr>
            <w:noProof/>
            <w:webHidden/>
          </w:rPr>
          <w:t>38</w:t>
        </w:r>
        <w:r w:rsidR="00BE4215" w:rsidRPr="007E130D">
          <w:rPr>
            <w:noProof/>
            <w:webHidden/>
          </w:rPr>
          <w:fldChar w:fldCharType="end"/>
        </w:r>
      </w:hyperlink>
    </w:p>
    <w:p w14:paraId="1F42D82B" w14:textId="062F1142"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88" w:history="1">
        <w:r w:rsidR="00BE4215" w:rsidRPr="007E130D">
          <w:rPr>
            <w:rStyle w:val="Hyperlink"/>
            <w:noProof/>
          </w:rPr>
          <w:t>2.5.1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Mise en œuvre des règles relatives à la validation spatiale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_Toc147328788 \h </w:instrText>
        </w:r>
        <w:r w:rsidR="00BE4215" w:rsidRPr="007E130D">
          <w:rPr>
            <w:noProof/>
            <w:webHidden/>
          </w:rPr>
        </w:r>
        <w:r w:rsidR="00BE4215" w:rsidRPr="007E130D">
          <w:rPr>
            <w:noProof/>
            <w:webHidden/>
          </w:rPr>
          <w:fldChar w:fldCharType="separate"/>
        </w:r>
        <w:r w:rsidR="004168B4">
          <w:rPr>
            <w:noProof/>
            <w:webHidden/>
          </w:rPr>
          <w:t>38</w:t>
        </w:r>
        <w:r w:rsidR="00BE4215" w:rsidRPr="007E130D">
          <w:rPr>
            <w:noProof/>
            <w:webHidden/>
          </w:rPr>
          <w:fldChar w:fldCharType="end"/>
        </w:r>
      </w:hyperlink>
    </w:p>
    <w:p w14:paraId="626BAE54" w14:textId="7B46AB60"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89" w:history="1">
        <w:r w:rsidR="00BE4215" w:rsidRPr="007E130D">
          <w:rPr>
            <w:rStyle w:val="Hyperlink"/>
            <w:noProof/>
          </w:rPr>
          <w:t>2.5.2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Nouvelle version du logiciel GIBC</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_Toc147328789 \h </w:instrText>
        </w:r>
        <w:r w:rsidR="00BE4215" w:rsidRPr="007E130D">
          <w:rPr>
            <w:noProof/>
            <w:webHidden/>
          </w:rPr>
        </w:r>
        <w:r w:rsidR="00BE4215" w:rsidRPr="007E130D">
          <w:rPr>
            <w:noProof/>
            <w:webHidden/>
          </w:rPr>
          <w:fldChar w:fldCharType="separate"/>
        </w:r>
        <w:r w:rsidR="004168B4">
          <w:rPr>
            <w:noProof/>
            <w:webHidden/>
          </w:rPr>
          <w:t>39</w:t>
        </w:r>
        <w:r w:rsidR="00BE4215" w:rsidRPr="007E130D">
          <w:rPr>
            <w:noProof/>
            <w:webHidden/>
          </w:rPr>
          <w:fldChar w:fldCharType="end"/>
        </w:r>
      </w:hyperlink>
    </w:p>
    <w:p w14:paraId="580BBC02" w14:textId="68C9E345"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90" w:history="1">
        <w:r w:rsidR="00BE4215" w:rsidRPr="007E130D">
          <w:rPr>
            <w:rStyle w:val="Hyperlink"/>
            <w:noProof/>
          </w:rPr>
          <w:t>2.5.3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Mise en œuvre d'un programme de vérification en ligne de la puissance</w:t>
        </w:r>
        <w:r w:rsidR="00BE4215" w:rsidRPr="007E130D">
          <w:rPr>
            <w:rStyle w:val="Hyperlink"/>
            <w:noProof/>
          </w:rPr>
          <w:br/>
          <w:t>surfacique (OSG et non</w:t>
        </w:r>
        <w:r w:rsidR="00DD40D4" w:rsidRPr="007E130D">
          <w:rPr>
            <w:rStyle w:val="Hyperlink"/>
            <w:noProof/>
          </w:rPr>
          <w:t xml:space="preserve"> </w:t>
        </w:r>
        <w:r w:rsidR="00BE4215" w:rsidRPr="007E130D">
          <w:rPr>
            <w:rStyle w:val="Hyperlink"/>
            <w:noProof/>
          </w:rPr>
          <w:t>OSG)</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_Toc147328790 \h </w:instrText>
        </w:r>
        <w:r w:rsidR="00BE4215" w:rsidRPr="007E130D">
          <w:rPr>
            <w:noProof/>
            <w:webHidden/>
          </w:rPr>
        </w:r>
        <w:r w:rsidR="00BE4215" w:rsidRPr="007E130D">
          <w:rPr>
            <w:noProof/>
            <w:webHidden/>
          </w:rPr>
          <w:fldChar w:fldCharType="separate"/>
        </w:r>
        <w:r w:rsidR="004168B4">
          <w:rPr>
            <w:noProof/>
            <w:webHidden/>
          </w:rPr>
          <w:t>39</w:t>
        </w:r>
        <w:r w:rsidR="00BE4215" w:rsidRPr="007E130D">
          <w:rPr>
            <w:noProof/>
            <w:webHidden/>
          </w:rPr>
          <w:fldChar w:fldCharType="end"/>
        </w:r>
      </w:hyperlink>
    </w:p>
    <w:p w14:paraId="55387D5B" w14:textId="5C647A52" w:rsidR="00BE4215" w:rsidRPr="007E130D" w:rsidRDefault="00414F7A" w:rsidP="00BE4215">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791" w:history="1">
        <w:r w:rsidR="00BE4215" w:rsidRPr="007E130D">
          <w:rPr>
            <w:rStyle w:val="Hyperlink"/>
            <w:noProof/>
          </w:rPr>
          <w:t>2.6</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Assistance spéciale fournie en ce qui concerne la coordination, la notification et les Plans</w:t>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_Toc147328791 \h </w:instrText>
        </w:r>
        <w:r w:rsidR="00BE4215" w:rsidRPr="007E130D">
          <w:rPr>
            <w:noProof/>
            <w:webHidden/>
          </w:rPr>
        </w:r>
        <w:r w:rsidR="00BE4215" w:rsidRPr="007E130D">
          <w:rPr>
            <w:noProof/>
            <w:webHidden/>
          </w:rPr>
          <w:fldChar w:fldCharType="separate"/>
        </w:r>
        <w:r w:rsidR="004168B4">
          <w:rPr>
            <w:noProof/>
            <w:webHidden/>
          </w:rPr>
          <w:t>40</w:t>
        </w:r>
        <w:r w:rsidR="00BE4215" w:rsidRPr="007E130D">
          <w:rPr>
            <w:noProof/>
            <w:webHidden/>
          </w:rPr>
          <w:fldChar w:fldCharType="end"/>
        </w:r>
      </w:hyperlink>
    </w:p>
    <w:p w14:paraId="732DE3B9" w14:textId="14C30073"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92" w:history="1">
        <w:r w:rsidR="00BE4215" w:rsidRPr="007E130D">
          <w:rPr>
            <w:rStyle w:val="Hyperlink"/>
            <w:noProof/>
          </w:rPr>
          <w:t>2.6.1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Assistance fournie pour les services non planifiés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_Toc147328792 \h </w:instrText>
        </w:r>
        <w:r w:rsidR="00BE4215" w:rsidRPr="007E130D">
          <w:rPr>
            <w:noProof/>
            <w:webHidden/>
          </w:rPr>
        </w:r>
        <w:r w:rsidR="00BE4215" w:rsidRPr="007E130D">
          <w:rPr>
            <w:noProof/>
            <w:webHidden/>
          </w:rPr>
          <w:fldChar w:fldCharType="separate"/>
        </w:r>
        <w:r w:rsidR="004168B4">
          <w:rPr>
            <w:noProof/>
            <w:webHidden/>
          </w:rPr>
          <w:t>40</w:t>
        </w:r>
        <w:r w:rsidR="00BE4215" w:rsidRPr="007E130D">
          <w:rPr>
            <w:noProof/>
            <w:webHidden/>
          </w:rPr>
          <w:fldChar w:fldCharType="end"/>
        </w:r>
      </w:hyperlink>
    </w:p>
    <w:p w14:paraId="42861DFA" w14:textId="4C45BDAD"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93" w:history="1">
        <w:r w:rsidR="00BE4215" w:rsidRPr="007E130D">
          <w:rPr>
            <w:rStyle w:val="Hyperlink"/>
            <w:noProof/>
          </w:rPr>
          <w:t>2.6.2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Assistance fournie pour les Appendices 30, 30A et 30B</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_Toc147328793 \h </w:instrText>
        </w:r>
        <w:r w:rsidR="00BE4215" w:rsidRPr="007E130D">
          <w:rPr>
            <w:noProof/>
            <w:webHidden/>
          </w:rPr>
        </w:r>
        <w:r w:rsidR="00BE4215" w:rsidRPr="007E130D">
          <w:rPr>
            <w:noProof/>
            <w:webHidden/>
          </w:rPr>
          <w:fldChar w:fldCharType="separate"/>
        </w:r>
        <w:r w:rsidR="004168B4">
          <w:rPr>
            <w:noProof/>
            <w:webHidden/>
          </w:rPr>
          <w:t>40</w:t>
        </w:r>
        <w:r w:rsidR="00BE4215" w:rsidRPr="007E130D">
          <w:rPr>
            <w:noProof/>
            <w:webHidden/>
          </w:rPr>
          <w:fldChar w:fldCharType="end"/>
        </w:r>
      </w:hyperlink>
    </w:p>
    <w:p w14:paraId="2E38DDB5" w14:textId="0A5D2870"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94" w:history="1">
        <w:r w:rsidR="00BE4215" w:rsidRPr="007E130D">
          <w:rPr>
            <w:rStyle w:val="Hyperlink"/>
            <w:noProof/>
          </w:rPr>
          <w:t>2.6.3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Demandes d'assistance au titre du § 4.1.10 de l'Article 4</w:t>
        </w:r>
        <w:r w:rsidR="005D54CC" w:rsidRPr="007E130D">
          <w:rPr>
            <w:rStyle w:val="Hyperlink"/>
            <w:noProof/>
          </w:rPr>
          <w:br/>
        </w:r>
        <w:r w:rsidR="00BE4215" w:rsidRPr="007E130D">
          <w:rPr>
            <w:rStyle w:val="Hyperlink"/>
            <w:noProof/>
          </w:rPr>
          <w:t>des Appendices 30/30A</w:t>
        </w:r>
        <w:r w:rsidR="00BE4215" w:rsidRPr="007E130D">
          <w:rPr>
            <w:noProof/>
            <w:webHidden/>
          </w:rPr>
          <w:tab/>
        </w:r>
        <w:r w:rsidR="005D54CC" w:rsidRPr="007E130D">
          <w:rPr>
            <w:noProof/>
            <w:webHidden/>
          </w:rPr>
          <w:tab/>
        </w:r>
        <w:r w:rsidR="00BE4215" w:rsidRPr="007E130D">
          <w:rPr>
            <w:noProof/>
            <w:webHidden/>
          </w:rPr>
          <w:fldChar w:fldCharType="begin"/>
        </w:r>
        <w:r w:rsidR="00BE4215" w:rsidRPr="007E130D">
          <w:rPr>
            <w:noProof/>
            <w:webHidden/>
          </w:rPr>
          <w:instrText xml:space="preserve"> PAGEREF _Toc147328794 \h </w:instrText>
        </w:r>
        <w:r w:rsidR="00BE4215" w:rsidRPr="007E130D">
          <w:rPr>
            <w:noProof/>
            <w:webHidden/>
          </w:rPr>
        </w:r>
        <w:r w:rsidR="00BE4215" w:rsidRPr="007E130D">
          <w:rPr>
            <w:noProof/>
            <w:webHidden/>
          </w:rPr>
          <w:fldChar w:fldCharType="separate"/>
        </w:r>
        <w:r w:rsidR="004168B4">
          <w:rPr>
            <w:noProof/>
            <w:webHidden/>
          </w:rPr>
          <w:t>40</w:t>
        </w:r>
        <w:r w:rsidR="00BE4215" w:rsidRPr="007E130D">
          <w:rPr>
            <w:noProof/>
            <w:webHidden/>
          </w:rPr>
          <w:fldChar w:fldCharType="end"/>
        </w:r>
      </w:hyperlink>
    </w:p>
    <w:p w14:paraId="569E3315" w14:textId="691B9C62" w:rsidR="00BE4215" w:rsidRPr="007E130D" w:rsidRDefault="00414F7A" w:rsidP="00BE4215">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795" w:history="1">
        <w:r w:rsidR="00BE4215" w:rsidRPr="007E130D">
          <w:rPr>
            <w:rStyle w:val="Hyperlink"/>
            <w:noProof/>
          </w:rPr>
          <w:t>2.6.4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Demandes d'assistance au titre du § 6.13 de l'Article 6 de l'Appendice 30B</w:t>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_Toc147328795 \h </w:instrText>
        </w:r>
        <w:r w:rsidR="00BE4215" w:rsidRPr="007E130D">
          <w:rPr>
            <w:noProof/>
            <w:webHidden/>
          </w:rPr>
        </w:r>
        <w:r w:rsidR="00BE4215" w:rsidRPr="007E130D">
          <w:rPr>
            <w:noProof/>
            <w:webHidden/>
          </w:rPr>
          <w:fldChar w:fldCharType="separate"/>
        </w:r>
        <w:r w:rsidR="004168B4">
          <w:rPr>
            <w:noProof/>
            <w:webHidden/>
          </w:rPr>
          <w:t>41</w:t>
        </w:r>
        <w:r w:rsidR="00BE4215" w:rsidRPr="007E130D">
          <w:rPr>
            <w:noProof/>
            <w:webHidden/>
          </w:rPr>
          <w:fldChar w:fldCharType="end"/>
        </w:r>
      </w:hyperlink>
    </w:p>
    <w:p w14:paraId="0E1A8DAA" w14:textId="4E9F5550" w:rsidR="00BE4215" w:rsidRPr="007E130D" w:rsidRDefault="00414F7A" w:rsidP="00BE4215">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796" w:history="1">
        <w:r w:rsidR="00BE4215" w:rsidRPr="007E130D">
          <w:rPr>
            <w:rStyle w:val="Hyperlink"/>
            <w:noProof/>
          </w:rPr>
          <w:t>2.7</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Recouvrement des coûts pour le traitement des fiches de notification des réseaux à satellite (Décision 482 du Conseil)</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_Toc147328796 \h </w:instrText>
        </w:r>
        <w:r w:rsidR="00BE4215" w:rsidRPr="007E130D">
          <w:rPr>
            <w:noProof/>
            <w:webHidden/>
          </w:rPr>
        </w:r>
        <w:r w:rsidR="00BE4215" w:rsidRPr="007E130D">
          <w:rPr>
            <w:noProof/>
            <w:webHidden/>
          </w:rPr>
          <w:fldChar w:fldCharType="separate"/>
        </w:r>
        <w:r w:rsidR="004168B4">
          <w:rPr>
            <w:noProof/>
            <w:webHidden/>
          </w:rPr>
          <w:t>41</w:t>
        </w:r>
        <w:r w:rsidR="00BE4215" w:rsidRPr="007E130D">
          <w:rPr>
            <w:noProof/>
            <w:webHidden/>
          </w:rPr>
          <w:fldChar w:fldCharType="end"/>
        </w:r>
      </w:hyperlink>
    </w:p>
    <w:p w14:paraId="2BB96EDA" w14:textId="11E56925" w:rsidR="00BE4215" w:rsidRPr="007E130D" w:rsidRDefault="00414F7A">
      <w:pPr>
        <w:pStyle w:val="TOC1"/>
        <w:rPr>
          <w:rFonts w:asciiTheme="minorHAnsi" w:eastAsiaTheme="minorEastAsia" w:hAnsiTheme="minorHAnsi" w:cstheme="minorBidi"/>
          <w:noProof/>
          <w:kern w:val="2"/>
          <w:sz w:val="22"/>
          <w:szCs w:val="22"/>
          <w14:ligatures w14:val="standardContextual"/>
        </w:rPr>
      </w:pPr>
      <w:hyperlink w:anchor="_Toc147328797" w:history="1">
        <w:r w:rsidR="00BE4215" w:rsidRPr="007E130D">
          <w:rPr>
            <w:rStyle w:val="Hyperlink"/>
            <w:noProof/>
          </w:rPr>
          <w:t>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Application du Règlement des radiocommunications aux services de Terre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_Toc147328797 \h </w:instrText>
        </w:r>
        <w:r w:rsidR="00BE4215" w:rsidRPr="007E130D">
          <w:rPr>
            <w:noProof/>
            <w:webHidden/>
          </w:rPr>
        </w:r>
        <w:r w:rsidR="00BE4215" w:rsidRPr="007E130D">
          <w:rPr>
            <w:noProof/>
            <w:webHidden/>
          </w:rPr>
          <w:fldChar w:fldCharType="separate"/>
        </w:r>
        <w:r w:rsidR="004168B4">
          <w:rPr>
            <w:noProof/>
            <w:webHidden/>
          </w:rPr>
          <w:t>43</w:t>
        </w:r>
        <w:r w:rsidR="00BE4215" w:rsidRPr="007E130D">
          <w:rPr>
            <w:noProof/>
            <w:webHidden/>
          </w:rPr>
          <w:fldChar w:fldCharType="end"/>
        </w:r>
      </w:hyperlink>
    </w:p>
    <w:p w14:paraId="03DE6E9A" w14:textId="2D9DE1E7"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798" w:history="1">
        <w:r w:rsidR="00BE4215" w:rsidRPr="007E130D">
          <w:rPr>
            <w:rStyle w:val="Hyperlink"/>
            <w:noProof/>
          </w:rPr>
          <w:t>3.1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Observations générales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_Toc147328798 \h </w:instrText>
        </w:r>
        <w:r w:rsidR="00BE4215" w:rsidRPr="007E130D">
          <w:rPr>
            <w:noProof/>
            <w:webHidden/>
          </w:rPr>
        </w:r>
        <w:r w:rsidR="00BE4215" w:rsidRPr="007E130D">
          <w:rPr>
            <w:noProof/>
            <w:webHidden/>
          </w:rPr>
          <w:fldChar w:fldCharType="separate"/>
        </w:r>
        <w:r w:rsidR="004168B4">
          <w:rPr>
            <w:noProof/>
            <w:webHidden/>
          </w:rPr>
          <w:t>43</w:t>
        </w:r>
        <w:r w:rsidR="00BE4215" w:rsidRPr="007E130D">
          <w:rPr>
            <w:noProof/>
            <w:webHidden/>
          </w:rPr>
          <w:fldChar w:fldCharType="end"/>
        </w:r>
      </w:hyperlink>
    </w:p>
    <w:p w14:paraId="0745AF6A" w14:textId="591747F5"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799" w:history="1">
        <w:r w:rsidR="00BE4215" w:rsidRPr="007E130D">
          <w:rPr>
            <w:rStyle w:val="Hyperlink"/>
            <w:noProof/>
          </w:rPr>
          <w:t>3.2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Demandes de coordination concernant les services de Terre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_Toc147328799 \h </w:instrText>
        </w:r>
        <w:r w:rsidR="00BE4215" w:rsidRPr="007E130D">
          <w:rPr>
            <w:noProof/>
            <w:webHidden/>
          </w:rPr>
        </w:r>
        <w:r w:rsidR="00BE4215" w:rsidRPr="007E130D">
          <w:rPr>
            <w:noProof/>
            <w:webHidden/>
          </w:rPr>
          <w:fldChar w:fldCharType="separate"/>
        </w:r>
        <w:r w:rsidR="004168B4">
          <w:rPr>
            <w:noProof/>
            <w:webHidden/>
          </w:rPr>
          <w:t>44</w:t>
        </w:r>
        <w:r w:rsidR="00BE4215" w:rsidRPr="007E130D">
          <w:rPr>
            <w:noProof/>
            <w:webHidden/>
          </w:rPr>
          <w:fldChar w:fldCharType="end"/>
        </w:r>
      </w:hyperlink>
    </w:p>
    <w:p w14:paraId="17672218" w14:textId="3A2AD7BE"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00" w:history="1">
        <w:r w:rsidR="00BE4215" w:rsidRPr="007E130D">
          <w:rPr>
            <w:rStyle w:val="Hyperlink"/>
            <w:noProof/>
          </w:rPr>
          <w:t>3.3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Procédures de modification des Plans pour les services de Terre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_Toc147328800 \h </w:instrText>
        </w:r>
        <w:r w:rsidR="00BE4215" w:rsidRPr="007E130D">
          <w:rPr>
            <w:noProof/>
            <w:webHidden/>
          </w:rPr>
        </w:r>
        <w:r w:rsidR="00BE4215" w:rsidRPr="007E130D">
          <w:rPr>
            <w:noProof/>
            <w:webHidden/>
          </w:rPr>
          <w:fldChar w:fldCharType="separate"/>
        </w:r>
        <w:r w:rsidR="004168B4">
          <w:rPr>
            <w:noProof/>
            <w:webHidden/>
          </w:rPr>
          <w:t>44</w:t>
        </w:r>
        <w:r w:rsidR="00BE4215" w:rsidRPr="007E130D">
          <w:rPr>
            <w:noProof/>
            <w:webHidden/>
          </w:rPr>
          <w:fldChar w:fldCharType="end"/>
        </w:r>
      </w:hyperlink>
    </w:p>
    <w:p w14:paraId="6A93A91D" w14:textId="1F2AEC8D"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01" w:history="1">
        <w:r w:rsidR="00BE4215" w:rsidRPr="007E130D">
          <w:rPr>
            <w:rStyle w:val="Hyperlink"/>
            <w:noProof/>
          </w:rPr>
          <w:t>3.4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Notification, examen, inscription et autres procédures réglementaires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_Toc147328801 \h </w:instrText>
        </w:r>
        <w:r w:rsidR="00BE4215" w:rsidRPr="007E130D">
          <w:rPr>
            <w:noProof/>
            <w:webHidden/>
          </w:rPr>
        </w:r>
        <w:r w:rsidR="00BE4215" w:rsidRPr="007E130D">
          <w:rPr>
            <w:noProof/>
            <w:webHidden/>
          </w:rPr>
          <w:fldChar w:fldCharType="separate"/>
        </w:r>
        <w:r w:rsidR="004168B4">
          <w:rPr>
            <w:noProof/>
            <w:webHidden/>
          </w:rPr>
          <w:t>45</w:t>
        </w:r>
        <w:r w:rsidR="00BE4215" w:rsidRPr="007E130D">
          <w:rPr>
            <w:noProof/>
            <w:webHidden/>
          </w:rPr>
          <w:fldChar w:fldCharType="end"/>
        </w:r>
      </w:hyperlink>
    </w:p>
    <w:p w14:paraId="3DCBB8CB" w14:textId="3F032F3A"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02" w:history="1">
        <w:r w:rsidR="00BE4215" w:rsidRPr="007E130D">
          <w:rPr>
            <w:rStyle w:val="Hyperlink"/>
            <w:noProof/>
          </w:rPr>
          <w:t>3.4.1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Procédure de notification (Article 11 du Règlement des radiocommunications)</w:t>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_Toc147328802 \h </w:instrText>
        </w:r>
        <w:r w:rsidR="00BE4215" w:rsidRPr="007E130D">
          <w:rPr>
            <w:noProof/>
            <w:webHidden/>
          </w:rPr>
        </w:r>
        <w:r w:rsidR="00BE4215" w:rsidRPr="007E130D">
          <w:rPr>
            <w:noProof/>
            <w:webHidden/>
          </w:rPr>
          <w:fldChar w:fldCharType="separate"/>
        </w:r>
        <w:r w:rsidR="004168B4">
          <w:rPr>
            <w:noProof/>
            <w:webHidden/>
          </w:rPr>
          <w:t>45</w:t>
        </w:r>
        <w:r w:rsidR="00BE4215" w:rsidRPr="007E130D">
          <w:rPr>
            <w:noProof/>
            <w:webHidden/>
          </w:rPr>
          <w:fldChar w:fldCharType="end"/>
        </w:r>
      </w:hyperlink>
    </w:p>
    <w:p w14:paraId="4B7D15DE" w14:textId="4A448ACF"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03" w:history="1">
        <w:r w:rsidR="00BE4215" w:rsidRPr="007E130D">
          <w:rPr>
            <w:rStyle w:val="Hyperlink"/>
            <w:noProof/>
          </w:rPr>
          <w:t>3.4.2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Traitement des fiches de notification concernant les horaires de</w:t>
        </w:r>
        <w:r w:rsidR="005D54CC" w:rsidRPr="007E130D">
          <w:rPr>
            <w:rStyle w:val="Hyperlink"/>
            <w:noProof/>
          </w:rPr>
          <w:br/>
        </w:r>
        <w:r w:rsidR="00BE4215" w:rsidRPr="007E130D">
          <w:rPr>
            <w:rStyle w:val="Hyperlink"/>
            <w:noProof/>
          </w:rPr>
          <w:t>radiodiffusion à ondes décamétriques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_Toc147328803 \h </w:instrText>
        </w:r>
        <w:r w:rsidR="00BE4215" w:rsidRPr="007E130D">
          <w:rPr>
            <w:noProof/>
            <w:webHidden/>
          </w:rPr>
        </w:r>
        <w:r w:rsidR="00BE4215" w:rsidRPr="007E130D">
          <w:rPr>
            <w:noProof/>
            <w:webHidden/>
          </w:rPr>
          <w:fldChar w:fldCharType="separate"/>
        </w:r>
        <w:r w:rsidR="004168B4">
          <w:rPr>
            <w:noProof/>
            <w:webHidden/>
          </w:rPr>
          <w:t>47</w:t>
        </w:r>
        <w:r w:rsidR="00BE4215" w:rsidRPr="007E130D">
          <w:rPr>
            <w:noProof/>
            <w:webHidden/>
          </w:rPr>
          <w:fldChar w:fldCharType="end"/>
        </w:r>
      </w:hyperlink>
    </w:p>
    <w:p w14:paraId="18BCC27D" w14:textId="3E01A5E2"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04" w:history="1">
        <w:r w:rsidR="00BE4215" w:rsidRPr="007E130D">
          <w:rPr>
            <w:rStyle w:val="Hyperlink"/>
            <w:noProof/>
          </w:rPr>
          <w:t>3.5</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Autres procédures réglementaires concernant les services de Terre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_Toc147328804 \h </w:instrText>
        </w:r>
        <w:r w:rsidR="00BE4215" w:rsidRPr="007E130D">
          <w:rPr>
            <w:noProof/>
            <w:webHidden/>
          </w:rPr>
        </w:r>
        <w:r w:rsidR="00BE4215" w:rsidRPr="007E130D">
          <w:rPr>
            <w:noProof/>
            <w:webHidden/>
          </w:rPr>
          <w:fldChar w:fldCharType="separate"/>
        </w:r>
        <w:r w:rsidR="004168B4">
          <w:rPr>
            <w:noProof/>
            <w:webHidden/>
          </w:rPr>
          <w:t>47</w:t>
        </w:r>
        <w:r w:rsidR="00BE4215" w:rsidRPr="007E130D">
          <w:rPr>
            <w:noProof/>
            <w:webHidden/>
          </w:rPr>
          <w:fldChar w:fldCharType="end"/>
        </w:r>
      </w:hyperlink>
    </w:p>
    <w:p w14:paraId="1C7DEAE9" w14:textId="3F46994E"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05" w:history="1">
        <w:r w:rsidR="00BE4215" w:rsidRPr="007E130D">
          <w:rPr>
            <w:rStyle w:val="Hyperlink"/>
            <w:noProof/>
          </w:rPr>
          <w:t>3.5.1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Résolution 12 (CMR-12)</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_Toc147328805 \h </w:instrText>
        </w:r>
        <w:r w:rsidR="00BE4215" w:rsidRPr="007E130D">
          <w:rPr>
            <w:noProof/>
            <w:webHidden/>
          </w:rPr>
        </w:r>
        <w:r w:rsidR="00BE4215" w:rsidRPr="007E130D">
          <w:rPr>
            <w:noProof/>
            <w:webHidden/>
          </w:rPr>
          <w:fldChar w:fldCharType="separate"/>
        </w:r>
        <w:r w:rsidR="004168B4">
          <w:rPr>
            <w:noProof/>
            <w:webHidden/>
          </w:rPr>
          <w:t>47</w:t>
        </w:r>
        <w:r w:rsidR="00BE4215" w:rsidRPr="007E130D">
          <w:rPr>
            <w:noProof/>
            <w:webHidden/>
          </w:rPr>
          <w:fldChar w:fldCharType="end"/>
        </w:r>
      </w:hyperlink>
    </w:p>
    <w:p w14:paraId="25A9BAA6" w14:textId="3D9BF829"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06" w:history="1">
        <w:r w:rsidR="00BE4215" w:rsidRPr="007E130D">
          <w:rPr>
            <w:rStyle w:val="Hyperlink"/>
            <w:noProof/>
          </w:rPr>
          <w:t>3.5.2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Résolution 205 (Rév.CMR-19)</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_Toc147328806 \h </w:instrText>
        </w:r>
        <w:r w:rsidR="00BE4215" w:rsidRPr="007E130D">
          <w:rPr>
            <w:noProof/>
            <w:webHidden/>
          </w:rPr>
        </w:r>
        <w:r w:rsidR="00BE4215" w:rsidRPr="007E130D">
          <w:rPr>
            <w:noProof/>
            <w:webHidden/>
          </w:rPr>
          <w:fldChar w:fldCharType="separate"/>
        </w:r>
        <w:r w:rsidR="004168B4">
          <w:rPr>
            <w:noProof/>
            <w:webHidden/>
          </w:rPr>
          <w:t>47</w:t>
        </w:r>
        <w:r w:rsidR="00BE4215" w:rsidRPr="007E130D">
          <w:rPr>
            <w:noProof/>
            <w:webHidden/>
          </w:rPr>
          <w:fldChar w:fldCharType="end"/>
        </w:r>
      </w:hyperlink>
    </w:p>
    <w:p w14:paraId="7B6A2926" w14:textId="468AF0F1"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07" w:history="1">
        <w:r w:rsidR="00BE4215" w:rsidRPr="007E130D">
          <w:rPr>
            <w:rStyle w:val="Hyperlink"/>
            <w:noProof/>
          </w:rPr>
          <w:t>3.5.3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État d'avancement des études menées par l'UIT-R sur la</w:t>
        </w:r>
        <w:r w:rsidR="005D54CC" w:rsidRPr="007E130D">
          <w:rPr>
            <w:rStyle w:val="Hyperlink"/>
            <w:noProof/>
          </w:rPr>
          <w:br/>
        </w:r>
        <w:r w:rsidR="00BE4215" w:rsidRPr="007E130D">
          <w:rPr>
            <w:rStyle w:val="Hyperlink"/>
            <w:noProof/>
          </w:rPr>
          <w:t>Résolution 427 (CMR-19)</w:t>
        </w:r>
        <w:r w:rsidR="00BE4215" w:rsidRPr="007E130D">
          <w:rPr>
            <w:noProof/>
            <w:webHidden/>
          </w:rPr>
          <w:tab/>
        </w:r>
        <w:r w:rsidR="005D54CC" w:rsidRPr="007E130D">
          <w:rPr>
            <w:noProof/>
            <w:webHidden/>
          </w:rPr>
          <w:tab/>
        </w:r>
        <w:r w:rsidR="00BE4215" w:rsidRPr="007E130D">
          <w:rPr>
            <w:noProof/>
            <w:webHidden/>
          </w:rPr>
          <w:fldChar w:fldCharType="begin"/>
        </w:r>
        <w:r w:rsidR="00BE4215" w:rsidRPr="007E130D">
          <w:rPr>
            <w:noProof/>
            <w:webHidden/>
          </w:rPr>
          <w:instrText xml:space="preserve"> PAGEREF _Toc147328807 \h </w:instrText>
        </w:r>
        <w:r w:rsidR="00BE4215" w:rsidRPr="007E130D">
          <w:rPr>
            <w:noProof/>
            <w:webHidden/>
          </w:rPr>
        </w:r>
        <w:r w:rsidR="00BE4215" w:rsidRPr="007E130D">
          <w:rPr>
            <w:noProof/>
            <w:webHidden/>
          </w:rPr>
          <w:fldChar w:fldCharType="separate"/>
        </w:r>
        <w:r w:rsidR="004168B4">
          <w:rPr>
            <w:noProof/>
            <w:webHidden/>
          </w:rPr>
          <w:t>48</w:t>
        </w:r>
        <w:r w:rsidR="00BE4215" w:rsidRPr="007E130D">
          <w:rPr>
            <w:noProof/>
            <w:webHidden/>
          </w:rPr>
          <w:fldChar w:fldCharType="end"/>
        </w:r>
      </w:hyperlink>
    </w:p>
    <w:p w14:paraId="32B99582" w14:textId="6A62945E"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08" w:history="1">
        <w:r w:rsidR="00BE4215" w:rsidRPr="007E130D">
          <w:rPr>
            <w:rStyle w:val="Hyperlink"/>
            <w:noProof/>
          </w:rPr>
          <w:t>3.5.4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Mise en œuvre de la Résolution 535 (Rév.CMR-19)</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_Toc147328808 \h </w:instrText>
        </w:r>
        <w:r w:rsidR="00BE4215" w:rsidRPr="007E130D">
          <w:rPr>
            <w:noProof/>
            <w:webHidden/>
          </w:rPr>
        </w:r>
        <w:r w:rsidR="00BE4215" w:rsidRPr="007E130D">
          <w:rPr>
            <w:noProof/>
            <w:webHidden/>
          </w:rPr>
          <w:fldChar w:fldCharType="separate"/>
        </w:r>
        <w:r w:rsidR="004168B4">
          <w:rPr>
            <w:noProof/>
            <w:webHidden/>
          </w:rPr>
          <w:t>49</w:t>
        </w:r>
        <w:r w:rsidR="00BE4215" w:rsidRPr="007E130D">
          <w:rPr>
            <w:noProof/>
            <w:webHidden/>
          </w:rPr>
          <w:fldChar w:fldCharType="end"/>
        </w:r>
      </w:hyperlink>
    </w:p>
    <w:p w14:paraId="14A97C10" w14:textId="2DAA604D"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09" w:history="1">
        <w:r w:rsidR="00BE4215" w:rsidRPr="007E130D">
          <w:rPr>
            <w:rStyle w:val="Hyperlink"/>
            <w:noProof/>
          </w:rPr>
          <w:t>3.5.5</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Mise en œuvre de la Résolution 647 (Rév.CMR-19)</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_Toc147328809 \h </w:instrText>
        </w:r>
        <w:r w:rsidR="00BE4215" w:rsidRPr="007E130D">
          <w:rPr>
            <w:noProof/>
            <w:webHidden/>
          </w:rPr>
        </w:r>
        <w:r w:rsidR="00BE4215" w:rsidRPr="007E130D">
          <w:rPr>
            <w:noProof/>
            <w:webHidden/>
          </w:rPr>
          <w:fldChar w:fldCharType="separate"/>
        </w:r>
        <w:r w:rsidR="004168B4">
          <w:rPr>
            <w:noProof/>
            <w:webHidden/>
          </w:rPr>
          <w:t>49</w:t>
        </w:r>
        <w:r w:rsidR="00BE4215" w:rsidRPr="007E130D">
          <w:rPr>
            <w:noProof/>
            <w:webHidden/>
          </w:rPr>
          <w:fldChar w:fldCharType="end"/>
        </w:r>
      </w:hyperlink>
    </w:p>
    <w:p w14:paraId="45093180" w14:textId="5EE5A993"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10" w:history="1">
        <w:r w:rsidR="00BE4215" w:rsidRPr="007E130D">
          <w:rPr>
            <w:rStyle w:val="Hyperlink"/>
            <w:noProof/>
          </w:rPr>
          <w:t>3.5.6</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Études menées sur la Résolution 223 (Rév.CMR-19) relatives à la bande</w:t>
        </w:r>
        <w:r w:rsidR="005D54CC" w:rsidRPr="007E130D">
          <w:rPr>
            <w:rStyle w:val="Hyperlink"/>
            <w:noProof/>
          </w:rPr>
          <w:br/>
        </w:r>
        <w:r w:rsidR="00BE4215" w:rsidRPr="007E130D">
          <w:rPr>
            <w:rStyle w:val="Hyperlink"/>
            <w:noProof/>
          </w:rPr>
          <w:t>de fréquences 4 800-4 990 MHz</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_Toc147328810 \h </w:instrText>
        </w:r>
        <w:r w:rsidR="00BE4215" w:rsidRPr="007E130D">
          <w:rPr>
            <w:noProof/>
            <w:webHidden/>
          </w:rPr>
        </w:r>
        <w:r w:rsidR="00BE4215" w:rsidRPr="007E130D">
          <w:rPr>
            <w:noProof/>
            <w:webHidden/>
          </w:rPr>
          <w:fldChar w:fldCharType="separate"/>
        </w:r>
        <w:r w:rsidR="004168B4">
          <w:rPr>
            <w:noProof/>
            <w:webHidden/>
          </w:rPr>
          <w:t>49</w:t>
        </w:r>
        <w:r w:rsidR="00BE4215" w:rsidRPr="007E130D">
          <w:rPr>
            <w:noProof/>
            <w:webHidden/>
          </w:rPr>
          <w:fldChar w:fldCharType="end"/>
        </w:r>
      </w:hyperlink>
    </w:p>
    <w:p w14:paraId="0CBCE47A" w14:textId="18A22999"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11" w:history="1">
        <w:r w:rsidR="00BE4215" w:rsidRPr="007E130D">
          <w:rPr>
            <w:rStyle w:val="Hyperlink"/>
            <w:noProof/>
          </w:rPr>
          <w:t>3.6</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Élaboration de logiciels relatifs aux services de Terre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_Toc147328811 \h </w:instrText>
        </w:r>
        <w:r w:rsidR="00BE4215" w:rsidRPr="007E130D">
          <w:rPr>
            <w:noProof/>
            <w:webHidden/>
          </w:rPr>
        </w:r>
        <w:r w:rsidR="00BE4215" w:rsidRPr="007E130D">
          <w:rPr>
            <w:noProof/>
            <w:webHidden/>
          </w:rPr>
          <w:fldChar w:fldCharType="separate"/>
        </w:r>
        <w:r w:rsidR="004168B4">
          <w:rPr>
            <w:noProof/>
            <w:webHidden/>
          </w:rPr>
          <w:t>49</w:t>
        </w:r>
        <w:r w:rsidR="00BE4215" w:rsidRPr="007E130D">
          <w:rPr>
            <w:noProof/>
            <w:webHidden/>
          </w:rPr>
          <w:fldChar w:fldCharType="end"/>
        </w:r>
      </w:hyperlink>
    </w:p>
    <w:p w14:paraId="4595E227" w14:textId="57F804F4"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12" w:history="1">
        <w:r w:rsidR="00BE4215" w:rsidRPr="007E130D">
          <w:rPr>
            <w:rStyle w:val="Hyperlink"/>
            <w:noProof/>
          </w:rPr>
          <w:t>3.6.1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Activités relatives à la mise au point de logiciels pour le traitement des notifications de services de Terre dans le cadre du système TerRaSys</w:t>
        </w:r>
        <w:r w:rsidR="00BE4215" w:rsidRPr="007E130D">
          <w:rPr>
            <w:noProof/>
            <w:webHidden/>
          </w:rPr>
          <w:tab/>
        </w:r>
        <w:r w:rsidR="00BE4215" w:rsidRPr="007E130D">
          <w:rPr>
            <w:noProof/>
            <w:webHidden/>
          </w:rPr>
          <w:tab/>
        </w:r>
        <w:r w:rsidR="005D54CC" w:rsidRPr="007E130D">
          <w:rPr>
            <w:noProof/>
            <w:webHidden/>
          </w:rPr>
          <w:tab/>
        </w:r>
        <w:r w:rsidR="00BE4215" w:rsidRPr="007E130D">
          <w:rPr>
            <w:noProof/>
            <w:webHidden/>
          </w:rPr>
          <w:fldChar w:fldCharType="begin"/>
        </w:r>
        <w:r w:rsidR="00BE4215" w:rsidRPr="007E130D">
          <w:rPr>
            <w:noProof/>
            <w:webHidden/>
          </w:rPr>
          <w:instrText xml:space="preserve"> PAGEREF _Toc147328812 \h </w:instrText>
        </w:r>
        <w:r w:rsidR="00BE4215" w:rsidRPr="007E130D">
          <w:rPr>
            <w:noProof/>
            <w:webHidden/>
          </w:rPr>
        </w:r>
        <w:r w:rsidR="00BE4215" w:rsidRPr="007E130D">
          <w:rPr>
            <w:noProof/>
            <w:webHidden/>
          </w:rPr>
          <w:fldChar w:fldCharType="separate"/>
        </w:r>
        <w:r w:rsidR="004168B4">
          <w:rPr>
            <w:noProof/>
            <w:webHidden/>
          </w:rPr>
          <w:t>50</w:t>
        </w:r>
        <w:r w:rsidR="00BE4215" w:rsidRPr="007E130D">
          <w:rPr>
            <w:noProof/>
            <w:webHidden/>
          </w:rPr>
          <w:fldChar w:fldCharType="end"/>
        </w:r>
      </w:hyperlink>
    </w:p>
    <w:p w14:paraId="2211D719" w14:textId="22654C7C"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13" w:history="1">
        <w:r w:rsidR="00BE4215" w:rsidRPr="007E130D">
          <w:rPr>
            <w:rStyle w:val="Hyperlink"/>
            <w:noProof/>
          </w:rPr>
          <w:t>3.6.2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Activités relatives à la mise au point d'autres logiciels pour le traitement des notifications de services de Terre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_Toc147328813 \h </w:instrText>
        </w:r>
        <w:r w:rsidR="00BE4215" w:rsidRPr="007E130D">
          <w:rPr>
            <w:noProof/>
            <w:webHidden/>
          </w:rPr>
        </w:r>
        <w:r w:rsidR="00BE4215" w:rsidRPr="007E130D">
          <w:rPr>
            <w:noProof/>
            <w:webHidden/>
          </w:rPr>
          <w:fldChar w:fldCharType="separate"/>
        </w:r>
        <w:r w:rsidR="004168B4">
          <w:rPr>
            <w:noProof/>
            <w:webHidden/>
          </w:rPr>
          <w:t>50</w:t>
        </w:r>
        <w:r w:rsidR="00BE4215" w:rsidRPr="007E130D">
          <w:rPr>
            <w:noProof/>
            <w:webHidden/>
          </w:rPr>
          <w:fldChar w:fldCharType="end"/>
        </w:r>
      </w:hyperlink>
    </w:p>
    <w:p w14:paraId="2175A743" w14:textId="5C7493B6"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14" w:history="1">
        <w:r w:rsidR="00BE4215" w:rsidRPr="007E130D">
          <w:rPr>
            <w:rStyle w:val="Hyperlink"/>
            <w:noProof/>
          </w:rPr>
          <w:t>3.6.3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Autres activités relatives aux logiciels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_Toc147328814 \h </w:instrText>
        </w:r>
        <w:r w:rsidR="00BE4215" w:rsidRPr="007E130D">
          <w:rPr>
            <w:noProof/>
            <w:webHidden/>
          </w:rPr>
        </w:r>
        <w:r w:rsidR="00BE4215" w:rsidRPr="007E130D">
          <w:rPr>
            <w:noProof/>
            <w:webHidden/>
          </w:rPr>
          <w:fldChar w:fldCharType="separate"/>
        </w:r>
        <w:r w:rsidR="004168B4">
          <w:rPr>
            <w:noProof/>
            <w:webHidden/>
          </w:rPr>
          <w:t>51</w:t>
        </w:r>
        <w:r w:rsidR="00BE4215" w:rsidRPr="007E130D">
          <w:rPr>
            <w:noProof/>
            <w:webHidden/>
          </w:rPr>
          <w:fldChar w:fldCharType="end"/>
        </w:r>
      </w:hyperlink>
    </w:p>
    <w:p w14:paraId="399E6C43" w14:textId="2E81546F" w:rsidR="00BE4215" w:rsidRPr="007E130D" w:rsidRDefault="00414F7A">
      <w:pPr>
        <w:pStyle w:val="TOC1"/>
        <w:rPr>
          <w:rFonts w:asciiTheme="minorHAnsi" w:eastAsiaTheme="minorEastAsia" w:hAnsiTheme="minorHAnsi" w:cstheme="minorBidi"/>
          <w:noProof/>
          <w:kern w:val="2"/>
          <w:sz w:val="22"/>
          <w:szCs w:val="22"/>
          <w14:ligatures w14:val="standardContextual"/>
        </w:rPr>
      </w:pPr>
      <w:hyperlink w:anchor="_Toc147328815" w:history="1">
        <w:r w:rsidR="00BE4215" w:rsidRPr="007E130D">
          <w:rPr>
            <w:rStyle w:val="Hyperlink"/>
            <w:noProof/>
          </w:rPr>
          <w:t>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Commissions d'études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_Toc147328815 \h </w:instrText>
        </w:r>
        <w:r w:rsidR="00BE4215" w:rsidRPr="007E130D">
          <w:rPr>
            <w:noProof/>
            <w:webHidden/>
          </w:rPr>
        </w:r>
        <w:r w:rsidR="00BE4215" w:rsidRPr="007E130D">
          <w:rPr>
            <w:noProof/>
            <w:webHidden/>
          </w:rPr>
          <w:fldChar w:fldCharType="separate"/>
        </w:r>
        <w:r w:rsidR="004168B4">
          <w:rPr>
            <w:noProof/>
            <w:webHidden/>
          </w:rPr>
          <w:t>51</w:t>
        </w:r>
        <w:r w:rsidR="00BE4215" w:rsidRPr="007E130D">
          <w:rPr>
            <w:noProof/>
            <w:webHidden/>
          </w:rPr>
          <w:fldChar w:fldCharType="end"/>
        </w:r>
      </w:hyperlink>
    </w:p>
    <w:p w14:paraId="0DAC25A7" w14:textId="6EC9092D"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16" w:history="1">
        <w:r w:rsidR="00BE4215" w:rsidRPr="007E130D">
          <w:rPr>
            <w:rStyle w:val="Hyperlink"/>
            <w:noProof/>
          </w:rPr>
          <w:t>4.1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Appui apporté par le BR aux activités des commissions d'études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_Toc147328816 \h </w:instrText>
        </w:r>
        <w:r w:rsidR="00BE4215" w:rsidRPr="007E130D">
          <w:rPr>
            <w:noProof/>
            <w:webHidden/>
          </w:rPr>
        </w:r>
        <w:r w:rsidR="00BE4215" w:rsidRPr="007E130D">
          <w:rPr>
            <w:noProof/>
            <w:webHidden/>
          </w:rPr>
          <w:fldChar w:fldCharType="separate"/>
        </w:r>
        <w:r w:rsidR="004168B4">
          <w:rPr>
            <w:noProof/>
            <w:webHidden/>
          </w:rPr>
          <w:t>51</w:t>
        </w:r>
        <w:r w:rsidR="00BE4215" w:rsidRPr="007E130D">
          <w:rPr>
            <w:noProof/>
            <w:webHidden/>
          </w:rPr>
          <w:fldChar w:fldCharType="end"/>
        </w:r>
      </w:hyperlink>
    </w:p>
    <w:p w14:paraId="202D2CF2" w14:textId="3C2EBBE6"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17" w:history="1">
        <w:r w:rsidR="00BE4215" w:rsidRPr="007E130D">
          <w:rPr>
            <w:rStyle w:val="Hyperlink"/>
            <w:noProof/>
          </w:rPr>
          <w:t>4.2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Suite donnée aux résultats de l'AR-19</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_Toc147328817 \h </w:instrText>
        </w:r>
        <w:r w:rsidR="00BE4215" w:rsidRPr="007E130D">
          <w:rPr>
            <w:noProof/>
            <w:webHidden/>
          </w:rPr>
        </w:r>
        <w:r w:rsidR="00BE4215" w:rsidRPr="007E130D">
          <w:rPr>
            <w:noProof/>
            <w:webHidden/>
          </w:rPr>
          <w:fldChar w:fldCharType="separate"/>
        </w:r>
        <w:r w:rsidR="004168B4">
          <w:rPr>
            <w:noProof/>
            <w:webHidden/>
          </w:rPr>
          <w:t>51</w:t>
        </w:r>
        <w:r w:rsidR="00BE4215" w:rsidRPr="007E130D">
          <w:rPr>
            <w:noProof/>
            <w:webHidden/>
          </w:rPr>
          <w:fldChar w:fldCharType="end"/>
        </w:r>
      </w:hyperlink>
    </w:p>
    <w:p w14:paraId="0021F903" w14:textId="10EA76A0"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18" w:history="1">
        <w:r w:rsidR="00BE4215" w:rsidRPr="007E130D">
          <w:rPr>
            <w:rStyle w:val="Hyperlink"/>
            <w:noProof/>
          </w:rPr>
          <w:t>4.3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Travaux préparatoires en vue de la CMR</w:t>
        </w:r>
        <w:r w:rsidR="00BE4215" w:rsidRPr="007E130D">
          <w:rPr>
            <w:rStyle w:val="Hyperlink"/>
            <w:noProof/>
          </w:rPr>
          <w:noBreakHyphen/>
          <w:t>23</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_Toc147328818 \h </w:instrText>
        </w:r>
        <w:r w:rsidR="00BE4215" w:rsidRPr="007E130D">
          <w:rPr>
            <w:noProof/>
            <w:webHidden/>
          </w:rPr>
        </w:r>
        <w:r w:rsidR="00BE4215" w:rsidRPr="007E130D">
          <w:rPr>
            <w:noProof/>
            <w:webHidden/>
          </w:rPr>
          <w:fldChar w:fldCharType="separate"/>
        </w:r>
        <w:r w:rsidR="004168B4">
          <w:rPr>
            <w:noProof/>
            <w:webHidden/>
          </w:rPr>
          <w:t>52</w:t>
        </w:r>
        <w:r w:rsidR="00BE4215" w:rsidRPr="007E130D">
          <w:rPr>
            <w:noProof/>
            <w:webHidden/>
          </w:rPr>
          <w:fldChar w:fldCharType="end"/>
        </w:r>
      </w:hyperlink>
    </w:p>
    <w:p w14:paraId="325AAB4D" w14:textId="2396BB29"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19" w:history="1">
        <w:r w:rsidR="00BE4215" w:rsidRPr="007E130D">
          <w:rPr>
            <w:rStyle w:val="Hyperlink"/>
            <w:noProof/>
          </w:rPr>
          <w:t>4.3.1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Informations générales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_Toc147328819 \h </w:instrText>
        </w:r>
        <w:r w:rsidR="00BE4215" w:rsidRPr="007E130D">
          <w:rPr>
            <w:noProof/>
            <w:webHidden/>
          </w:rPr>
        </w:r>
        <w:r w:rsidR="00BE4215" w:rsidRPr="007E130D">
          <w:rPr>
            <w:noProof/>
            <w:webHidden/>
          </w:rPr>
          <w:fldChar w:fldCharType="separate"/>
        </w:r>
        <w:r w:rsidR="004168B4">
          <w:rPr>
            <w:noProof/>
            <w:webHidden/>
          </w:rPr>
          <w:t>52</w:t>
        </w:r>
        <w:r w:rsidR="00BE4215" w:rsidRPr="007E130D">
          <w:rPr>
            <w:noProof/>
            <w:webHidden/>
          </w:rPr>
          <w:fldChar w:fldCharType="end"/>
        </w:r>
      </w:hyperlink>
    </w:p>
    <w:p w14:paraId="5B6A8030" w14:textId="6B89D7A9"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20" w:history="1">
        <w:r w:rsidR="00BE4215" w:rsidRPr="007E130D">
          <w:rPr>
            <w:rStyle w:val="Hyperlink"/>
            <w:noProof/>
          </w:rPr>
          <w:t>4.3.2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Études de la question relative au numéro 21.5 du RR</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_Toc147328820 \h </w:instrText>
        </w:r>
        <w:r w:rsidR="00BE4215" w:rsidRPr="007E130D">
          <w:rPr>
            <w:noProof/>
            <w:webHidden/>
          </w:rPr>
        </w:r>
        <w:r w:rsidR="00BE4215" w:rsidRPr="007E130D">
          <w:rPr>
            <w:noProof/>
            <w:webHidden/>
          </w:rPr>
          <w:fldChar w:fldCharType="separate"/>
        </w:r>
        <w:r w:rsidR="004168B4">
          <w:rPr>
            <w:noProof/>
            <w:webHidden/>
          </w:rPr>
          <w:t>53</w:t>
        </w:r>
        <w:r w:rsidR="00BE4215" w:rsidRPr="007E130D">
          <w:rPr>
            <w:noProof/>
            <w:webHidden/>
          </w:rPr>
          <w:fldChar w:fldCharType="end"/>
        </w:r>
      </w:hyperlink>
    </w:p>
    <w:p w14:paraId="1FC4AA26" w14:textId="36795637"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21" w:history="1">
        <w:r w:rsidR="00BE4215" w:rsidRPr="007E130D">
          <w:rPr>
            <w:rStyle w:val="Hyperlink"/>
            <w:noProof/>
          </w:rPr>
          <w:t>4.3.3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Résolution 655 (CMR-15)</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_Toc147328821 \h </w:instrText>
        </w:r>
        <w:r w:rsidR="00BE4215" w:rsidRPr="007E130D">
          <w:rPr>
            <w:noProof/>
            <w:webHidden/>
          </w:rPr>
        </w:r>
        <w:r w:rsidR="00BE4215" w:rsidRPr="007E130D">
          <w:rPr>
            <w:noProof/>
            <w:webHidden/>
          </w:rPr>
          <w:fldChar w:fldCharType="separate"/>
        </w:r>
        <w:r w:rsidR="004168B4">
          <w:rPr>
            <w:noProof/>
            <w:webHidden/>
          </w:rPr>
          <w:t>54</w:t>
        </w:r>
        <w:r w:rsidR="00BE4215" w:rsidRPr="007E130D">
          <w:rPr>
            <w:noProof/>
            <w:webHidden/>
          </w:rPr>
          <w:fldChar w:fldCharType="end"/>
        </w:r>
      </w:hyperlink>
    </w:p>
    <w:p w14:paraId="56C03F2E" w14:textId="06BCD430"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22" w:history="1">
        <w:r w:rsidR="00BE4215" w:rsidRPr="007E130D">
          <w:rPr>
            <w:rStyle w:val="Hyperlink"/>
            <w:noProof/>
          </w:rPr>
          <w:t>4.4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Recommandations, Manuels et Rapports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_Toc147328822 \h </w:instrText>
        </w:r>
        <w:r w:rsidR="00BE4215" w:rsidRPr="007E130D">
          <w:rPr>
            <w:noProof/>
            <w:webHidden/>
          </w:rPr>
        </w:r>
        <w:r w:rsidR="00BE4215" w:rsidRPr="007E130D">
          <w:rPr>
            <w:noProof/>
            <w:webHidden/>
          </w:rPr>
          <w:fldChar w:fldCharType="separate"/>
        </w:r>
        <w:r w:rsidR="004168B4">
          <w:rPr>
            <w:noProof/>
            <w:webHidden/>
          </w:rPr>
          <w:t>54</w:t>
        </w:r>
        <w:r w:rsidR="00BE4215" w:rsidRPr="007E130D">
          <w:rPr>
            <w:noProof/>
            <w:webHidden/>
          </w:rPr>
          <w:fldChar w:fldCharType="end"/>
        </w:r>
      </w:hyperlink>
    </w:p>
    <w:p w14:paraId="2844BD93" w14:textId="3808128D"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23" w:history="1">
        <w:r w:rsidR="00BE4215" w:rsidRPr="007E130D">
          <w:rPr>
            <w:rStyle w:val="Hyperlink"/>
            <w:noProof/>
          </w:rPr>
          <w:t>4.5</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Liaison avec l'UIT-T et l'UIT-D</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_Toc147328823 \h </w:instrText>
        </w:r>
        <w:r w:rsidR="00BE4215" w:rsidRPr="007E130D">
          <w:rPr>
            <w:noProof/>
            <w:webHidden/>
          </w:rPr>
        </w:r>
        <w:r w:rsidR="00BE4215" w:rsidRPr="007E130D">
          <w:rPr>
            <w:noProof/>
            <w:webHidden/>
          </w:rPr>
          <w:fldChar w:fldCharType="separate"/>
        </w:r>
        <w:r w:rsidR="004168B4">
          <w:rPr>
            <w:noProof/>
            <w:webHidden/>
          </w:rPr>
          <w:t>55</w:t>
        </w:r>
        <w:r w:rsidR="00BE4215" w:rsidRPr="007E130D">
          <w:rPr>
            <w:noProof/>
            <w:webHidden/>
          </w:rPr>
          <w:fldChar w:fldCharType="end"/>
        </w:r>
      </w:hyperlink>
    </w:p>
    <w:p w14:paraId="70297F86" w14:textId="30A3AB88"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24" w:history="1">
        <w:r w:rsidR="00BE4215" w:rsidRPr="007E130D">
          <w:rPr>
            <w:rStyle w:val="Hyperlink"/>
            <w:noProof/>
          </w:rPr>
          <w:t>4.6</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Liaison et collaboration avec d'autres organisations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_Toc147328824 \h </w:instrText>
        </w:r>
        <w:r w:rsidR="00BE4215" w:rsidRPr="007E130D">
          <w:rPr>
            <w:noProof/>
            <w:webHidden/>
          </w:rPr>
        </w:r>
        <w:r w:rsidR="00BE4215" w:rsidRPr="007E130D">
          <w:rPr>
            <w:noProof/>
            <w:webHidden/>
          </w:rPr>
          <w:fldChar w:fldCharType="separate"/>
        </w:r>
        <w:r w:rsidR="004168B4">
          <w:rPr>
            <w:noProof/>
            <w:webHidden/>
          </w:rPr>
          <w:t>55</w:t>
        </w:r>
        <w:r w:rsidR="00BE4215" w:rsidRPr="007E130D">
          <w:rPr>
            <w:noProof/>
            <w:webHidden/>
          </w:rPr>
          <w:fldChar w:fldCharType="end"/>
        </w:r>
      </w:hyperlink>
    </w:p>
    <w:p w14:paraId="030E30B1" w14:textId="7C22DEA0"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25" w:history="1">
        <w:r w:rsidR="00BE4215" w:rsidRPr="007E130D">
          <w:rPr>
            <w:rStyle w:val="Hyperlink"/>
            <w:noProof/>
          </w:rPr>
          <w:t>4.7</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Appui apporté aux membres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_Toc147328825 \h </w:instrText>
        </w:r>
        <w:r w:rsidR="00BE4215" w:rsidRPr="007E130D">
          <w:rPr>
            <w:noProof/>
            <w:webHidden/>
          </w:rPr>
        </w:r>
        <w:r w:rsidR="00BE4215" w:rsidRPr="007E130D">
          <w:rPr>
            <w:noProof/>
            <w:webHidden/>
          </w:rPr>
          <w:fldChar w:fldCharType="separate"/>
        </w:r>
        <w:r w:rsidR="004168B4">
          <w:rPr>
            <w:noProof/>
            <w:webHidden/>
          </w:rPr>
          <w:t>55</w:t>
        </w:r>
        <w:r w:rsidR="00BE4215" w:rsidRPr="007E130D">
          <w:rPr>
            <w:noProof/>
            <w:webHidden/>
          </w:rPr>
          <w:fldChar w:fldCharType="end"/>
        </w:r>
      </w:hyperlink>
    </w:p>
    <w:p w14:paraId="526EB743" w14:textId="3E481C65"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26" w:history="1">
        <w:r w:rsidR="00BE4215" w:rsidRPr="007E130D">
          <w:rPr>
            <w:rStyle w:val="Hyperlink"/>
            <w:noProof/>
          </w:rPr>
          <w:t>4.8</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Statistiques concernant les réunions, la documentation et les textes établis sous leur forme finale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_Toc147328826 \h </w:instrText>
        </w:r>
        <w:r w:rsidR="00BE4215" w:rsidRPr="007E130D">
          <w:rPr>
            <w:noProof/>
            <w:webHidden/>
          </w:rPr>
        </w:r>
        <w:r w:rsidR="00BE4215" w:rsidRPr="007E130D">
          <w:rPr>
            <w:noProof/>
            <w:webHidden/>
          </w:rPr>
          <w:fldChar w:fldCharType="separate"/>
        </w:r>
        <w:r w:rsidR="004168B4">
          <w:rPr>
            <w:noProof/>
            <w:webHidden/>
          </w:rPr>
          <w:t>55</w:t>
        </w:r>
        <w:r w:rsidR="00BE4215" w:rsidRPr="007E130D">
          <w:rPr>
            <w:noProof/>
            <w:webHidden/>
          </w:rPr>
          <w:fldChar w:fldCharType="end"/>
        </w:r>
      </w:hyperlink>
    </w:p>
    <w:p w14:paraId="7C7971AF" w14:textId="51E6D118" w:rsidR="00BE4215" w:rsidRPr="007E130D" w:rsidRDefault="00414F7A">
      <w:pPr>
        <w:pStyle w:val="TOC1"/>
        <w:rPr>
          <w:rFonts w:asciiTheme="minorHAnsi" w:eastAsiaTheme="minorEastAsia" w:hAnsiTheme="minorHAnsi" w:cstheme="minorBidi"/>
          <w:noProof/>
          <w:kern w:val="2"/>
          <w:sz w:val="22"/>
          <w:szCs w:val="22"/>
          <w14:ligatures w14:val="standardContextual"/>
        </w:rPr>
      </w:pPr>
      <w:hyperlink w:anchor="_Toc147328827" w:history="1">
        <w:r w:rsidR="00BE4215" w:rsidRPr="007E130D">
          <w:rPr>
            <w:rStyle w:val="Hyperlink"/>
            <w:noProof/>
          </w:rPr>
          <w:t>5</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Groupe consultatif des radiocommunications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_Toc147328827 \h </w:instrText>
        </w:r>
        <w:r w:rsidR="00BE4215" w:rsidRPr="007E130D">
          <w:rPr>
            <w:noProof/>
            <w:webHidden/>
          </w:rPr>
        </w:r>
        <w:r w:rsidR="00BE4215" w:rsidRPr="007E130D">
          <w:rPr>
            <w:noProof/>
            <w:webHidden/>
          </w:rPr>
          <w:fldChar w:fldCharType="separate"/>
        </w:r>
        <w:r w:rsidR="004168B4">
          <w:rPr>
            <w:noProof/>
            <w:webHidden/>
          </w:rPr>
          <w:t>55</w:t>
        </w:r>
        <w:r w:rsidR="00BE4215" w:rsidRPr="007E130D">
          <w:rPr>
            <w:noProof/>
            <w:webHidden/>
          </w:rPr>
          <w:fldChar w:fldCharType="end"/>
        </w:r>
      </w:hyperlink>
    </w:p>
    <w:p w14:paraId="5A0B5071" w14:textId="48AE923E" w:rsidR="00BE4215" w:rsidRPr="007E130D" w:rsidRDefault="00414F7A">
      <w:pPr>
        <w:pStyle w:val="TOC1"/>
        <w:rPr>
          <w:rFonts w:asciiTheme="minorHAnsi" w:eastAsiaTheme="minorEastAsia" w:hAnsiTheme="minorHAnsi" w:cstheme="minorBidi"/>
          <w:noProof/>
          <w:kern w:val="2"/>
          <w:sz w:val="22"/>
          <w:szCs w:val="22"/>
          <w14:ligatures w14:val="standardContextual"/>
        </w:rPr>
      </w:pPr>
      <w:hyperlink w:anchor="_Toc147328828" w:history="1">
        <w:r w:rsidR="00BE4215" w:rsidRPr="007E130D">
          <w:rPr>
            <w:rStyle w:val="Hyperlink"/>
            <w:noProof/>
          </w:rPr>
          <w:t>6</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Publications, séminaires/ateliers, communication et sensibilisation</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_Toc147328828 \h </w:instrText>
        </w:r>
        <w:r w:rsidR="00BE4215" w:rsidRPr="007E130D">
          <w:rPr>
            <w:noProof/>
            <w:webHidden/>
          </w:rPr>
        </w:r>
        <w:r w:rsidR="00BE4215" w:rsidRPr="007E130D">
          <w:rPr>
            <w:noProof/>
            <w:webHidden/>
          </w:rPr>
          <w:fldChar w:fldCharType="separate"/>
        </w:r>
        <w:r w:rsidR="004168B4">
          <w:rPr>
            <w:noProof/>
            <w:webHidden/>
          </w:rPr>
          <w:t>55</w:t>
        </w:r>
        <w:r w:rsidR="00BE4215" w:rsidRPr="007E130D">
          <w:rPr>
            <w:noProof/>
            <w:webHidden/>
          </w:rPr>
          <w:fldChar w:fldCharType="end"/>
        </w:r>
      </w:hyperlink>
    </w:p>
    <w:p w14:paraId="7F19E147" w14:textId="462EF2D3"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29" w:history="1">
        <w:r w:rsidR="00BE4215" w:rsidRPr="007E130D">
          <w:rPr>
            <w:rStyle w:val="Hyperlink"/>
            <w:noProof/>
          </w:rPr>
          <w:t>6.1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Publications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_Toc147328829 \h </w:instrText>
        </w:r>
        <w:r w:rsidR="00BE4215" w:rsidRPr="007E130D">
          <w:rPr>
            <w:noProof/>
            <w:webHidden/>
          </w:rPr>
        </w:r>
        <w:r w:rsidR="00BE4215" w:rsidRPr="007E130D">
          <w:rPr>
            <w:noProof/>
            <w:webHidden/>
          </w:rPr>
          <w:fldChar w:fldCharType="separate"/>
        </w:r>
        <w:r w:rsidR="004168B4">
          <w:rPr>
            <w:noProof/>
            <w:webHidden/>
          </w:rPr>
          <w:t>56</w:t>
        </w:r>
        <w:r w:rsidR="00BE4215" w:rsidRPr="007E130D">
          <w:rPr>
            <w:noProof/>
            <w:webHidden/>
          </w:rPr>
          <w:fldChar w:fldCharType="end"/>
        </w:r>
      </w:hyperlink>
    </w:p>
    <w:p w14:paraId="1EE46605" w14:textId="1FE72514"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30" w:history="1">
        <w:r w:rsidR="00BE4215" w:rsidRPr="007E130D">
          <w:rPr>
            <w:rStyle w:val="Hyperlink"/>
            <w:noProof/>
          </w:rPr>
          <w:t>6.1.1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Publications réglementaires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_Toc147328830 \h </w:instrText>
        </w:r>
        <w:r w:rsidR="00BE4215" w:rsidRPr="007E130D">
          <w:rPr>
            <w:noProof/>
            <w:webHidden/>
          </w:rPr>
        </w:r>
        <w:r w:rsidR="00BE4215" w:rsidRPr="007E130D">
          <w:rPr>
            <w:noProof/>
            <w:webHidden/>
          </w:rPr>
          <w:fldChar w:fldCharType="separate"/>
        </w:r>
        <w:r w:rsidR="004168B4">
          <w:rPr>
            <w:noProof/>
            <w:webHidden/>
          </w:rPr>
          <w:t>56</w:t>
        </w:r>
        <w:r w:rsidR="00BE4215" w:rsidRPr="007E130D">
          <w:rPr>
            <w:noProof/>
            <w:webHidden/>
          </w:rPr>
          <w:fldChar w:fldCharType="end"/>
        </w:r>
      </w:hyperlink>
    </w:p>
    <w:p w14:paraId="3B2A7FCB" w14:textId="3AABC494"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31" w:history="1">
        <w:r w:rsidR="00BE4215" w:rsidRPr="007E130D">
          <w:rPr>
            <w:rStyle w:val="Hyperlink"/>
            <w:noProof/>
          </w:rPr>
          <w:t>6.1.2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Publications de service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_Toc147328831 \h </w:instrText>
        </w:r>
        <w:r w:rsidR="00BE4215" w:rsidRPr="007E130D">
          <w:rPr>
            <w:noProof/>
            <w:webHidden/>
          </w:rPr>
        </w:r>
        <w:r w:rsidR="00BE4215" w:rsidRPr="007E130D">
          <w:rPr>
            <w:noProof/>
            <w:webHidden/>
          </w:rPr>
          <w:fldChar w:fldCharType="separate"/>
        </w:r>
        <w:r w:rsidR="004168B4">
          <w:rPr>
            <w:noProof/>
            <w:webHidden/>
          </w:rPr>
          <w:t>56</w:t>
        </w:r>
        <w:r w:rsidR="00BE4215" w:rsidRPr="007E130D">
          <w:rPr>
            <w:noProof/>
            <w:webHidden/>
          </w:rPr>
          <w:fldChar w:fldCharType="end"/>
        </w:r>
      </w:hyperlink>
    </w:p>
    <w:p w14:paraId="68756E81" w14:textId="17D8E2E2"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32" w:history="1">
        <w:r w:rsidR="00BE4215" w:rsidRPr="007E130D">
          <w:rPr>
            <w:rStyle w:val="Hyperlink"/>
            <w:noProof/>
          </w:rPr>
          <w:t>6.1.3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Publications des commissions d'études et autres publications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_Toc147328832 \h </w:instrText>
        </w:r>
        <w:r w:rsidR="00BE4215" w:rsidRPr="007E130D">
          <w:rPr>
            <w:noProof/>
            <w:webHidden/>
          </w:rPr>
        </w:r>
        <w:r w:rsidR="00BE4215" w:rsidRPr="007E130D">
          <w:rPr>
            <w:noProof/>
            <w:webHidden/>
          </w:rPr>
          <w:fldChar w:fldCharType="separate"/>
        </w:r>
        <w:r w:rsidR="004168B4">
          <w:rPr>
            <w:noProof/>
            <w:webHidden/>
          </w:rPr>
          <w:t>58</w:t>
        </w:r>
        <w:r w:rsidR="00BE4215" w:rsidRPr="007E130D">
          <w:rPr>
            <w:noProof/>
            <w:webHidden/>
          </w:rPr>
          <w:fldChar w:fldCharType="end"/>
        </w:r>
      </w:hyperlink>
    </w:p>
    <w:p w14:paraId="7C1D29F2" w14:textId="70D2F910"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33" w:history="1">
        <w:r w:rsidR="00BE4215" w:rsidRPr="007E130D">
          <w:rPr>
            <w:rStyle w:val="Hyperlink"/>
            <w:noProof/>
          </w:rPr>
          <w:t>6.1.4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Téléchargement des publications de l'UIT-R</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_Toc147328833 \h </w:instrText>
        </w:r>
        <w:r w:rsidR="00BE4215" w:rsidRPr="007E130D">
          <w:rPr>
            <w:noProof/>
            <w:webHidden/>
          </w:rPr>
        </w:r>
        <w:r w:rsidR="00BE4215" w:rsidRPr="007E130D">
          <w:rPr>
            <w:noProof/>
            <w:webHidden/>
          </w:rPr>
          <w:fldChar w:fldCharType="separate"/>
        </w:r>
        <w:r w:rsidR="004168B4">
          <w:rPr>
            <w:noProof/>
            <w:webHidden/>
          </w:rPr>
          <w:t>59</w:t>
        </w:r>
        <w:r w:rsidR="00BE4215" w:rsidRPr="007E130D">
          <w:rPr>
            <w:noProof/>
            <w:webHidden/>
          </w:rPr>
          <w:fldChar w:fldCharType="end"/>
        </w:r>
      </w:hyperlink>
    </w:p>
    <w:p w14:paraId="05DF1603" w14:textId="7D0ED8BB"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34" w:history="1">
        <w:r w:rsidR="00BE4215" w:rsidRPr="007E130D">
          <w:rPr>
            <w:rStyle w:val="Hyperlink"/>
            <w:noProof/>
          </w:rPr>
          <w:t>6.1.5</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Outils de navigation et d'analyse pour les publications électroniques de l'UIT-R</w:t>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_Toc147328834 \h </w:instrText>
        </w:r>
        <w:r w:rsidR="00BE4215" w:rsidRPr="007E130D">
          <w:rPr>
            <w:noProof/>
            <w:webHidden/>
          </w:rPr>
        </w:r>
        <w:r w:rsidR="00BE4215" w:rsidRPr="007E130D">
          <w:rPr>
            <w:noProof/>
            <w:webHidden/>
          </w:rPr>
          <w:fldChar w:fldCharType="separate"/>
        </w:r>
        <w:r w:rsidR="004168B4">
          <w:rPr>
            <w:noProof/>
            <w:webHidden/>
          </w:rPr>
          <w:t>62</w:t>
        </w:r>
        <w:r w:rsidR="00BE4215" w:rsidRPr="007E130D">
          <w:rPr>
            <w:noProof/>
            <w:webHidden/>
          </w:rPr>
          <w:fldChar w:fldCharType="end"/>
        </w:r>
      </w:hyperlink>
    </w:p>
    <w:p w14:paraId="5A5C368C" w14:textId="1336A847"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35" w:history="1">
        <w:r w:rsidR="00BE4215" w:rsidRPr="007E130D">
          <w:rPr>
            <w:rStyle w:val="Hyperlink"/>
            <w:noProof/>
          </w:rPr>
          <w:t>6.2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Séminaires et ateliers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_Toc147328835 \h </w:instrText>
        </w:r>
        <w:r w:rsidR="00BE4215" w:rsidRPr="007E130D">
          <w:rPr>
            <w:noProof/>
            <w:webHidden/>
          </w:rPr>
        </w:r>
        <w:r w:rsidR="00BE4215" w:rsidRPr="007E130D">
          <w:rPr>
            <w:noProof/>
            <w:webHidden/>
          </w:rPr>
          <w:fldChar w:fldCharType="separate"/>
        </w:r>
        <w:r w:rsidR="004168B4">
          <w:rPr>
            <w:noProof/>
            <w:webHidden/>
          </w:rPr>
          <w:t>63</w:t>
        </w:r>
        <w:r w:rsidR="00BE4215" w:rsidRPr="007E130D">
          <w:rPr>
            <w:noProof/>
            <w:webHidden/>
          </w:rPr>
          <w:fldChar w:fldCharType="end"/>
        </w:r>
      </w:hyperlink>
    </w:p>
    <w:p w14:paraId="1EA58150" w14:textId="08BA6D31"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36" w:history="1">
        <w:r w:rsidR="00BE4215" w:rsidRPr="007E130D">
          <w:rPr>
            <w:rStyle w:val="Hyperlink"/>
            <w:noProof/>
          </w:rPr>
          <w:t>6.2.1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Séminaires mondiaux et régionaux des radiocommunications (WRS, RRS)</w:t>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_Toc147328836 \h </w:instrText>
        </w:r>
        <w:r w:rsidR="00BE4215" w:rsidRPr="007E130D">
          <w:rPr>
            <w:noProof/>
            <w:webHidden/>
          </w:rPr>
        </w:r>
        <w:r w:rsidR="00BE4215" w:rsidRPr="007E130D">
          <w:rPr>
            <w:noProof/>
            <w:webHidden/>
          </w:rPr>
          <w:fldChar w:fldCharType="separate"/>
        </w:r>
        <w:r w:rsidR="004168B4">
          <w:rPr>
            <w:noProof/>
            <w:webHidden/>
          </w:rPr>
          <w:t>63</w:t>
        </w:r>
        <w:r w:rsidR="00BE4215" w:rsidRPr="007E130D">
          <w:rPr>
            <w:noProof/>
            <w:webHidden/>
          </w:rPr>
          <w:fldChar w:fldCharType="end"/>
        </w:r>
      </w:hyperlink>
    </w:p>
    <w:p w14:paraId="4E5E957B" w14:textId="7C60E1FB"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37" w:history="1">
        <w:r w:rsidR="00BE4215" w:rsidRPr="007E130D">
          <w:rPr>
            <w:rStyle w:val="Hyperlink"/>
            <w:noProof/>
          </w:rPr>
          <w:t>6.2.2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Autres manifestations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_Toc147328837 \h </w:instrText>
        </w:r>
        <w:r w:rsidR="00BE4215" w:rsidRPr="007E130D">
          <w:rPr>
            <w:noProof/>
            <w:webHidden/>
          </w:rPr>
        </w:r>
        <w:r w:rsidR="00BE4215" w:rsidRPr="007E130D">
          <w:rPr>
            <w:noProof/>
            <w:webHidden/>
          </w:rPr>
          <w:fldChar w:fldCharType="separate"/>
        </w:r>
        <w:r w:rsidR="004168B4">
          <w:rPr>
            <w:noProof/>
            <w:webHidden/>
          </w:rPr>
          <w:t>67</w:t>
        </w:r>
        <w:r w:rsidR="00BE4215" w:rsidRPr="007E130D">
          <w:rPr>
            <w:noProof/>
            <w:webHidden/>
          </w:rPr>
          <w:fldChar w:fldCharType="end"/>
        </w:r>
      </w:hyperlink>
    </w:p>
    <w:p w14:paraId="1D996B19" w14:textId="5B34A291"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38" w:history="1">
        <w:r w:rsidR="00BE4215" w:rsidRPr="007E130D">
          <w:rPr>
            <w:rStyle w:val="Hyperlink"/>
            <w:noProof/>
          </w:rPr>
          <w:t>6.3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Communication et sensibilisation</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_Toc147328838 \h </w:instrText>
        </w:r>
        <w:r w:rsidR="00BE4215" w:rsidRPr="007E130D">
          <w:rPr>
            <w:noProof/>
            <w:webHidden/>
          </w:rPr>
        </w:r>
        <w:r w:rsidR="00BE4215" w:rsidRPr="007E130D">
          <w:rPr>
            <w:noProof/>
            <w:webHidden/>
          </w:rPr>
          <w:fldChar w:fldCharType="separate"/>
        </w:r>
        <w:r w:rsidR="004168B4">
          <w:rPr>
            <w:noProof/>
            <w:webHidden/>
          </w:rPr>
          <w:t>67</w:t>
        </w:r>
        <w:r w:rsidR="00BE4215" w:rsidRPr="007E130D">
          <w:rPr>
            <w:noProof/>
            <w:webHidden/>
          </w:rPr>
          <w:fldChar w:fldCharType="end"/>
        </w:r>
      </w:hyperlink>
    </w:p>
    <w:p w14:paraId="21AE68A3" w14:textId="0953CECD"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39" w:history="1">
        <w:r w:rsidR="00BE4215" w:rsidRPr="007E130D">
          <w:rPr>
            <w:rStyle w:val="Hyperlink"/>
            <w:noProof/>
          </w:rPr>
          <w:t>6.3.1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Membres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_Toc147328839 \h </w:instrText>
        </w:r>
        <w:r w:rsidR="00BE4215" w:rsidRPr="007E130D">
          <w:rPr>
            <w:noProof/>
            <w:webHidden/>
          </w:rPr>
        </w:r>
        <w:r w:rsidR="00BE4215" w:rsidRPr="007E130D">
          <w:rPr>
            <w:noProof/>
            <w:webHidden/>
          </w:rPr>
          <w:fldChar w:fldCharType="separate"/>
        </w:r>
        <w:r w:rsidR="004168B4">
          <w:rPr>
            <w:noProof/>
            <w:webHidden/>
          </w:rPr>
          <w:t>67</w:t>
        </w:r>
        <w:r w:rsidR="00BE4215" w:rsidRPr="007E130D">
          <w:rPr>
            <w:noProof/>
            <w:webHidden/>
          </w:rPr>
          <w:fldChar w:fldCharType="end"/>
        </w:r>
      </w:hyperlink>
    </w:p>
    <w:p w14:paraId="3AF104CA" w14:textId="0237D17B"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40" w:history="1">
        <w:r w:rsidR="00BE4215" w:rsidRPr="007E130D">
          <w:rPr>
            <w:rStyle w:val="Hyperlink"/>
            <w:noProof/>
          </w:rPr>
          <w:t>6.3.2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Communication et promotion</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_Toc147328840 \h </w:instrText>
        </w:r>
        <w:r w:rsidR="00BE4215" w:rsidRPr="007E130D">
          <w:rPr>
            <w:noProof/>
            <w:webHidden/>
          </w:rPr>
        </w:r>
        <w:r w:rsidR="00BE4215" w:rsidRPr="007E130D">
          <w:rPr>
            <w:noProof/>
            <w:webHidden/>
          </w:rPr>
          <w:fldChar w:fldCharType="separate"/>
        </w:r>
        <w:r w:rsidR="004168B4">
          <w:rPr>
            <w:noProof/>
            <w:webHidden/>
          </w:rPr>
          <w:t>67</w:t>
        </w:r>
        <w:r w:rsidR="00BE4215" w:rsidRPr="007E130D">
          <w:rPr>
            <w:noProof/>
            <w:webHidden/>
          </w:rPr>
          <w:fldChar w:fldCharType="end"/>
        </w:r>
      </w:hyperlink>
    </w:p>
    <w:p w14:paraId="4B518F7A" w14:textId="25188734"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41" w:history="1">
        <w:r w:rsidR="00BE4215" w:rsidRPr="007E130D">
          <w:rPr>
            <w:rStyle w:val="Hyperlink"/>
            <w:noProof/>
          </w:rPr>
          <w:t>6.3.3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Gestion du web</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_Toc147328841 \h </w:instrText>
        </w:r>
        <w:r w:rsidR="00BE4215" w:rsidRPr="007E130D">
          <w:rPr>
            <w:noProof/>
            <w:webHidden/>
          </w:rPr>
        </w:r>
        <w:r w:rsidR="00BE4215" w:rsidRPr="007E130D">
          <w:rPr>
            <w:noProof/>
            <w:webHidden/>
          </w:rPr>
          <w:fldChar w:fldCharType="separate"/>
        </w:r>
        <w:r w:rsidR="004168B4">
          <w:rPr>
            <w:noProof/>
            <w:webHidden/>
          </w:rPr>
          <w:t>68</w:t>
        </w:r>
        <w:r w:rsidR="00BE4215" w:rsidRPr="007E130D">
          <w:rPr>
            <w:noProof/>
            <w:webHidden/>
          </w:rPr>
          <w:fldChar w:fldCharType="end"/>
        </w:r>
      </w:hyperlink>
    </w:p>
    <w:p w14:paraId="12FA09D9" w14:textId="74E74162"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42" w:history="1">
        <w:r w:rsidR="00BE4215" w:rsidRPr="007E130D">
          <w:rPr>
            <w:rStyle w:val="Hyperlink"/>
            <w:noProof/>
          </w:rPr>
          <w:t>6.3.4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Questions les plus fréquemment posées (FAQ) et documents d'information</w:t>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_Toc147328842 \h </w:instrText>
        </w:r>
        <w:r w:rsidR="00BE4215" w:rsidRPr="007E130D">
          <w:rPr>
            <w:noProof/>
            <w:webHidden/>
          </w:rPr>
        </w:r>
        <w:r w:rsidR="00BE4215" w:rsidRPr="007E130D">
          <w:rPr>
            <w:noProof/>
            <w:webHidden/>
          </w:rPr>
          <w:fldChar w:fldCharType="separate"/>
        </w:r>
        <w:r w:rsidR="004168B4">
          <w:rPr>
            <w:noProof/>
            <w:webHidden/>
          </w:rPr>
          <w:t>69</w:t>
        </w:r>
        <w:r w:rsidR="00BE4215" w:rsidRPr="007E130D">
          <w:rPr>
            <w:noProof/>
            <w:webHidden/>
          </w:rPr>
          <w:fldChar w:fldCharType="end"/>
        </w:r>
      </w:hyperlink>
    </w:p>
    <w:p w14:paraId="1D588B19" w14:textId="6A17560F" w:rsidR="00BE4215" w:rsidRPr="007E130D" w:rsidRDefault="00414F7A">
      <w:pPr>
        <w:pStyle w:val="TOC1"/>
        <w:rPr>
          <w:rFonts w:asciiTheme="minorHAnsi" w:eastAsiaTheme="minorEastAsia" w:hAnsiTheme="minorHAnsi" w:cstheme="minorBidi"/>
          <w:noProof/>
          <w:kern w:val="2"/>
          <w:sz w:val="22"/>
          <w:szCs w:val="22"/>
          <w14:ligatures w14:val="standardContextual"/>
        </w:rPr>
      </w:pPr>
      <w:hyperlink w:anchor="_Toc147328843" w:history="1">
        <w:r w:rsidR="00BE4215" w:rsidRPr="007E130D">
          <w:rPr>
            <w:rStyle w:val="Hyperlink"/>
            <w:noProof/>
          </w:rPr>
          <w:t>7</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Assistance fournie aux États Membres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_Toc147328843 \h </w:instrText>
        </w:r>
        <w:r w:rsidR="00BE4215" w:rsidRPr="007E130D">
          <w:rPr>
            <w:noProof/>
            <w:webHidden/>
          </w:rPr>
        </w:r>
        <w:r w:rsidR="00BE4215" w:rsidRPr="007E130D">
          <w:rPr>
            <w:noProof/>
            <w:webHidden/>
          </w:rPr>
          <w:fldChar w:fldCharType="separate"/>
        </w:r>
        <w:r w:rsidR="004168B4">
          <w:rPr>
            <w:noProof/>
            <w:webHidden/>
          </w:rPr>
          <w:t>70</w:t>
        </w:r>
        <w:r w:rsidR="00BE4215" w:rsidRPr="007E130D">
          <w:rPr>
            <w:noProof/>
            <w:webHidden/>
          </w:rPr>
          <w:fldChar w:fldCharType="end"/>
        </w:r>
      </w:hyperlink>
    </w:p>
    <w:p w14:paraId="68DCF993" w14:textId="138C6D6E"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44" w:history="1">
        <w:r w:rsidR="00BE4215" w:rsidRPr="007E130D">
          <w:rPr>
            <w:rStyle w:val="Hyperlink"/>
            <w:noProof/>
          </w:rPr>
          <w:t>7.1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Assistance fournie aux administrations des pays en développement</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_Toc147328844 \h </w:instrText>
        </w:r>
        <w:r w:rsidR="00BE4215" w:rsidRPr="007E130D">
          <w:rPr>
            <w:noProof/>
            <w:webHidden/>
          </w:rPr>
        </w:r>
        <w:r w:rsidR="00BE4215" w:rsidRPr="007E130D">
          <w:rPr>
            <w:noProof/>
            <w:webHidden/>
          </w:rPr>
          <w:fldChar w:fldCharType="separate"/>
        </w:r>
        <w:r w:rsidR="004168B4">
          <w:rPr>
            <w:noProof/>
            <w:webHidden/>
          </w:rPr>
          <w:t>70</w:t>
        </w:r>
        <w:r w:rsidR="00BE4215" w:rsidRPr="007E130D">
          <w:rPr>
            <w:noProof/>
            <w:webHidden/>
          </w:rPr>
          <w:fldChar w:fldCharType="end"/>
        </w:r>
      </w:hyperlink>
    </w:p>
    <w:p w14:paraId="005F5ECA" w14:textId="6342C166"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45" w:history="1">
        <w:r w:rsidR="00BE4215" w:rsidRPr="007E130D">
          <w:rPr>
            <w:rStyle w:val="Hyperlink"/>
            <w:bCs/>
            <w:noProof/>
          </w:rPr>
          <w:t>7.2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Assistance aux groupes régionaux</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_Toc147328845 \h </w:instrText>
        </w:r>
        <w:r w:rsidR="00BE4215" w:rsidRPr="007E130D">
          <w:rPr>
            <w:noProof/>
            <w:webHidden/>
          </w:rPr>
        </w:r>
        <w:r w:rsidR="00BE4215" w:rsidRPr="007E130D">
          <w:rPr>
            <w:noProof/>
            <w:webHidden/>
          </w:rPr>
          <w:fldChar w:fldCharType="separate"/>
        </w:r>
        <w:r w:rsidR="004168B4">
          <w:rPr>
            <w:noProof/>
            <w:webHidden/>
          </w:rPr>
          <w:t>70</w:t>
        </w:r>
        <w:r w:rsidR="00BE4215" w:rsidRPr="007E130D">
          <w:rPr>
            <w:noProof/>
            <w:webHidden/>
          </w:rPr>
          <w:fldChar w:fldCharType="end"/>
        </w:r>
      </w:hyperlink>
    </w:p>
    <w:p w14:paraId="65C40B73" w14:textId="1D41C5FD"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46" w:history="1">
        <w:r w:rsidR="00BE4215" w:rsidRPr="007E130D">
          <w:rPr>
            <w:rStyle w:val="Hyperlink"/>
            <w:noProof/>
          </w:rPr>
          <w:t>7.3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Assistance fournie à d'autres groupes de pays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_Toc147328846 \h </w:instrText>
        </w:r>
        <w:r w:rsidR="00BE4215" w:rsidRPr="007E130D">
          <w:rPr>
            <w:noProof/>
            <w:webHidden/>
          </w:rPr>
        </w:r>
        <w:r w:rsidR="00BE4215" w:rsidRPr="007E130D">
          <w:rPr>
            <w:noProof/>
            <w:webHidden/>
          </w:rPr>
          <w:fldChar w:fldCharType="separate"/>
        </w:r>
        <w:r w:rsidR="004168B4">
          <w:rPr>
            <w:noProof/>
            <w:webHidden/>
          </w:rPr>
          <w:t>71</w:t>
        </w:r>
        <w:r w:rsidR="00BE4215" w:rsidRPr="007E130D">
          <w:rPr>
            <w:noProof/>
            <w:webHidden/>
          </w:rPr>
          <w:fldChar w:fldCharType="end"/>
        </w:r>
      </w:hyperlink>
    </w:p>
    <w:p w14:paraId="2CF83118" w14:textId="7C8BFED0"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47" w:history="1">
        <w:r w:rsidR="00BE4215" w:rsidRPr="007E130D">
          <w:rPr>
            <w:rStyle w:val="Hyperlink"/>
            <w:noProof/>
          </w:rPr>
          <w:t>7.3.1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Assistance fournie aux administrations de la région Afrique</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_Toc147328847 \h </w:instrText>
        </w:r>
        <w:r w:rsidR="00BE4215" w:rsidRPr="007E130D">
          <w:rPr>
            <w:noProof/>
            <w:webHidden/>
          </w:rPr>
        </w:r>
        <w:r w:rsidR="00BE4215" w:rsidRPr="007E130D">
          <w:rPr>
            <w:noProof/>
            <w:webHidden/>
          </w:rPr>
          <w:fldChar w:fldCharType="separate"/>
        </w:r>
        <w:r w:rsidR="004168B4">
          <w:rPr>
            <w:noProof/>
            <w:webHidden/>
          </w:rPr>
          <w:t>71</w:t>
        </w:r>
        <w:r w:rsidR="00BE4215" w:rsidRPr="007E130D">
          <w:rPr>
            <w:noProof/>
            <w:webHidden/>
          </w:rPr>
          <w:fldChar w:fldCharType="end"/>
        </w:r>
      </w:hyperlink>
    </w:p>
    <w:p w14:paraId="48802050" w14:textId="14AB7B0A"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48" w:history="1">
        <w:r w:rsidR="00BE4215" w:rsidRPr="007E130D">
          <w:rPr>
            <w:rStyle w:val="Hyperlink"/>
            <w:noProof/>
          </w:rPr>
          <w:t>7.4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Traitement des cas de brouillages préjudiciables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_Toc147328848 \h </w:instrText>
        </w:r>
        <w:r w:rsidR="00BE4215" w:rsidRPr="007E130D">
          <w:rPr>
            <w:noProof/>
            <w:webHidden/>
          </w:rPr>
        </w:r>
        <w:r w:rsidR="00BE4215" w:rsidRPr="007E130D">
          <w:rPr>
            <w:noProof/>
            <w:webHidden/>
          </w:rPr>
          <w:fldChar w:fldCharType="separate"/>
        </w:r>
        <w:r w:rsidR="004168B4">
          <w:rPr>
            <w:noProof/>
            <w:webHidden/>
          </w:rPr>
          <w:t>71</w:t>
        </w:r>
        <w:r w:rsidR="00BE4215" w:rsidRPr="007E130D">
          <w:rPr>
            <w:noProof/>
            <w:webHidden/>
          </w:rPr>
          <w:fldChar w:fldCharType="end"/>
        </w:r>
      </w:hyperlink>
    </w:p>
    <w:p w14:paraId="7664788C" w14:textId="36258639"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49" w:history="1">
        <w:r w:rsidR="00BE4215" w:rsidRPr="007E130D">
          <w:rPr>
            <w:rStyle w:val="Hyperlink"/>
            <w:bCs/>
            <w:noProof/>
          </w:rPr>
          <w:t>7.4.1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Aperçu général</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_Toc147328849 \h </w:instrText>
        </w:r>
        <w:r w:rsidR="00BE4215" w:rsidRPr="007E130D">
          <w:rPr>
            <w:noProof/>
            <w:webHidden/>
          </w:rPr>
        </w:r>
        <w:r w:rsidR="00BE4215" w:rsidRPr="007E130D">
          <w:rPr>
            <w:noProof/>
            <w:webHidden/>
          </w:rPr>
          <w:fldChar w:fldCharType="separate"/>
        </w:r>
        <w:r w:rsidR="004168B4">
          <w:rPr>
            <w:noProof/>
            <w:webHidden/>
          </w:rPr>
          <w:t>71</w:t>
        </w:r>
        <w:r w:rsidR="00BE4215" w:rsidRPr="007E130D">
          <w:rPr>
            <w:noProof/>
            <w:webHidden/>
          </w:rPr>
          <w:fldChar w:fldCharType="end"/>
        </w:r>
      </w:hyperlink>
    </w:p>
    <w:p w14:paraId="07718AC0" w14:textId="17D9D168"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50" w:history="1">
        <w:r w:rsidR="00BE4215" w:rsidRPr="007E130D">
          <w:rPr>
            <w:rStyle w:val="Hyperlink"/>
            <w:noProof/>
          </w:rPr>
          <w:t>7.4.2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Activités à caractère général visant à prévenir et à atténuer les brouillages affectant les services spatiaux</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_Toc147328850 \h </w:instrText>
        </w:r>
        <w:r w:rsidR="00BE4215" w:rsidRPr="007E130D">
          <w:rPr>
            <w:noProof/>
            <w:webHidden/>
          </w:rPr>
        </w:r>
        <w:r w:rsidR="00BE4215" w:rsidRPr="007E130D">
          <w:rPr>
            <w:noProof/>
            <w:webHidden/>
          </w:rPr>
          <w:fldChar w:fldCharType="separate"/>
        </w:r>
        <w:r w:rsidR="004168B4">
          <w:rPr>
            <w:noProof/>
            <w:webHidden/>
          </w:rPr>
          <w:t>72</w:t>
        </w:r>
        <w:r w:rsidR="00BE4215" w:rsidRPr="007E130D">
          <w:rPr>
            <w:noProof/>
            <w:webHidden/>
          </w:rPr>
          <w:fldChar w:fldCharType="end"/>
        </w:r>
      </w:hyperlink>
    </w:p>
    <w:p w14:paraId="29E48CD7" w14:textId="5FA035A7"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51" w:history="1">
        <w:r w:rsidR="00BE4215" w:rsidRPr="007E130D">
          <w:rPr>
            <w:rStyle w:val="Hyperlink"/>
            <w:rFonts w:asciiTheme="majorBidi" w:hAnsiTheme="majorBidi" w:cstheme="majorBidi"/>
            <w:noProof/>
          </w:rPr>
          <w:t>7.4.3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Évolution de la situation concernant des cas particuliers de brouillages pr</w:t>
        </w:r>
        <w:r w:rsidR="00BE4215" w:rsidRPr="007E130D">
          <w:rPr>
            <w:rStyle w:val="Hyperlink"/>
            <w:noProof/>
            <w:lang w:bidi="ar-EG"/>
          </w:rPr>
          <w:t>éjudiciables</w:t>
        </w:r>
        <w:r w:rsidR="00BE4215" w:rsidRPr="007E130D">
          <w:rPr>
            <w:noProof/>
            <w:webHidden/>
          </w:rPr>
          <w:tab/>
        </w:r>
        <w:r w:rsidR="005D54CC" w:rsidRPr="007E130D">
          <w:rPr>
            <w:noProof/>
            <w:webHidden/>
          </w:rPr>
          <w:tab/>
        </w:r>
        <w:r w:rsidR="00BE4215" w:rsidRPr="007E130D">
          <w:rPr>
            <w:noProof/>
            <w:webHidden/>
          </w:rPr>
          <w:fldChar w:fldCharType="begin"/>
        </w:r>
        <w:r w:rsidR="00BE4215" w:rsidRPr="007E130D">
          <w:rPr>
            <w:noProof/>
            <w:webHidden/>
          </w:rPr>
          <w:instrText xml:space="preserve"> PAGEREF _Toc147328851 \h </w:instrText>
        </w:r>
        <w:r w:rsidR="00BE4215" w:rsidRPr="007E130D">
          <w:rPr>
            <w:noProof/>
            <w:webHidden/>
          </w:rPr>
        </w:r>
        <w:r w:rsidR="00BE4215" w:rsidRPr="007E130D">
          <w:rPr>
            <w:noProof/>
            <w:webHidden/>
          </w:rPr>
          <w:fldChar w:fldCharType="separate"/>
        </w:r>
        <w:r w:rsidR="004168B4">
          <w:rPr>
            <w:noProof/>
            <w:webHidden/>
          </w:rPr>
          <w:t>73</w:t>
        </w:r>
        <w:r w:rsidR="00BE4215" w:rsidRPr="007E130D">
          <w:rPr>
            <w:noProof/>
            <w:webHidden/>
          </w:rPr>
          <w:fldChar w:fldCharType="end"/>
        </w:r>
      </w:hyperlink>
    </w:p>
    <w:p w14:paraId="3FFBEA93" w14:textId="264728AC" w:rsidR="00BE4215" w:rsidRPr="007E130D" w:rsidRDefault="00414F7A">
      <w:pPr>
        <w:pStyle w:val="TOC1"/>
        <w:rPr>
          <w:rFonts w:asciiTheme="minorHAnsi" w:eastAsiaTheme="minorEastAsia" w:hAnsiTheme="minorHAnsi" w:cstheme="minorBidi"/>
          <w:noProof/>
          <w:kern w:val="2"/>
          <w:sz w:val="22"/>
          <w:szCs w:val="22"/>
          <w14:ligatures w14:val="standardContextual"/>
        </w:rPr>
      </w:pPr>
      <w:hyperlink w:anchor="_Toc147328852" w:history="1">
        <w:r w:rsidR="00BE4215" w:rsidRPr="007E130D">
          <w:rPr>
            <w:rStyle w:val="Hyperlink"/>
            <w:noProof/>
          </w:rPr>
          <w:t>8</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Coopération</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_Toc147328852 \h </w:instrText>
        </w:r>
        <w:r w:rsidR="00BE4215" w:rsidRPr="007E130D">
          <w:rPr>
            <w:noProof/>
            <w:webHidden/>
          </w:rPr>
        </w:r>
        <w:r w:rsidR="00BE4215" w:rsidRPr="007E130D">
          <w:rPr>
            <w:noProof/>
            <w:webHidden/>
          </w:rPr>
          <w:fldChar w:fldCharType="separate"/>
        </w:r>
        <w:r w:rsidR="004168B4">
          <w:rPr>
            <w:noProof/>
            <w:webHidden/>
          </w:rPr>
          <w:t>74</w:t>
        </w:r>
        <w:r w:rsidR="00BE4215" w:rsidRPr="007E130D">
          <w:rPr>
            <w:noProof/>
            <w:webHidden/>
          </w:rPr>
          <w:fldChar w:fldCharType="end"/>
        </w:r>
      </w:hyperlink>
    </w:p>
    <w:p w14:paraId="3E62D468" w14:textId="373975E5"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53" w:history="1">
        <w:r w:rsidR="00BE4215" w:rsidRPr="007E130D">
          <w:rPr>
            <w:rStyle w:val="Hyperlink"/>
            <w:noProof/>
          </w:rPr>
          <w:t>8.1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Coopération avec l'UIT</w:t>
        </w:r>
        <w:r w:rsidR="00BE4215" w:rsidRPr="007E130D">
          <w:rPr>
            <w:rStyle w:val="Hyperlink"/>
            <w:noProof/>
          </w:rPr>
          <w:noBreakHyphen/>
          <w:t>D</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_Toc147328853 \h </w:instrText>
        </w:r>
        <w:r w:rsidR="00BE4215" w:rsidRPr="007E130D">
          <w:rPr>
            <w:noProof/>
            <w:webHidden/>
          </w:rPr>
        </w:r>
        <w:r w:rsidR="00BE4215" w:rsidRPr="007E130D">
          <w:rPr>
            <w:noProof/>
            <w:webHidden/>
          </w:rPr>
          <w:fldChar w:fldCharType="separate"/>
        </w:r>
        <w:r w:rsidR="004168B4">
          <w:rPr>
            <w:noProof/>
            <w:webHidden/>
          </w:rPr>
          <w:t>74</w:t>
        </w:r>
        <w:r w:rsidR="00BE4215" w:rsidRPr="007E130D">
          <w:rPr>
            <w:noProof/>
            <w:webHidden/>
          </w:rPr>
          <w:fldChar w:fldCharType="end"/>
        </w:r>
      </w:hyperlink>
    </w:p>
    <w:p w14:paraId="707B6CCD" w14:textId="22C2718B"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54" w:history="1">
        <w:r w:rsidR="00BE4215" w:rsidRPr="007E130D">
          <w:rPr>
            <w:rStyle w:val="Hyperlink"/>
            <w:noProof/>
          </w:rPr>
          <w:t>8.1.1</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GSR</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_Toc147328854 \h </w:instrText>
        </w:r>
        <w:r w:rsidR="00BE4215" w:rsidRPr="007E130D">
          <w:rPr>
            <w:noProof/>
            <w:webHidden/>
          </w:rPr>
        </w:r>
        <w:r w:rsidR="00BE4215" w:rsidRPr="007E130D">
          <w:rPr>
            <w:noProof/>
            <w:webHidden/>
          </w:rPr>
          <w:fldChar w:fldCharType="separate"/>
        </w:r>
        <w:r w:rsidR="004168B4">
          <w:rPr>
            <w:noProof/>
            <w:webHidden/>
          </w:rPr>
          <w:t>75</w:t>
        </w:r>
        <w:r w:rsidR="00BE4215" w:rsidRPr="007E130D">
          <w:rPr>
            <w:noProof/>
            <w:webHidden/>
          </w:rPr>
          <w:fldChar w:fldCharType="end"/>
        </w:r>
      </w:hyperlink>
    </w:p>
    <w:p w14:paraId="4A09D834" w14:textId="1A31CCE9"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55" w:history="1">
        <w:r w:rsidR="00BE4215" w:rsidRPr="007E130D">
          <w:rPr>
            <w:rStyle w:val="Hyperlink"/>
            <w:noProof/>
          </w:rPr>
          <w:t>8.1.2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Enquête sur les TIC et portail «L'œil sur les TIC»</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_Toc147328855 \h </w:instrText>
        </w:r>
        <w:r w:rsidR="00BE4215" w:rsidRPr="007E130D">
          <w:rPr>
            <w:noProof/>
            <w:webHidden/>
          </w:rPr>
        </w:r>
        <w:r w:rsidR="00BE4215" w:rsidRPr="007E130D">
          <w:rPr>
            <w:noProof/>
            <w:webHidden/>
          </w:rPr>
          <w:fldChar w:fldCharType="separate"/>
        </w:r>
        <w:r w:rsidR="004168B4">
          <w:rPr>
            <w:noProof/>
            <w:webHidden/>
          </w:rPr>
          <w:t>75</w:t>
        </w:r>
        <w:r w:rsidR="00BE4215" w:rsidRPr="007E130D">
          <w:rPr>
            <w:noProof/>
            <w:webHidden/>
          </w:rPr>
          <w:fldChar w:fldCharType="end"/>
        </w:r>
      </w:hyperlink>
    </w:p>
    <w:p w14:paraId="76B813BC" w14:textId="68935087"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56" w:history="1">
        <w:r w:rsidR="00BE4215" w:rsidRPr="007E130D">
          <w:rPr>
            <w:rStyle w:val="Hyperlink"/>
            <w:noProof/>
          </w:rPr>
          <w:t>8.1.3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Colloque sur les indicateurs des télécommunications/TIC dans</w:t>
        </w:r>
        <w:r w:rsidR="005D54CC" w:rsidRPr="007E130D">
          <w:rPr>
            <w:rStyle w:val="Hyperlink"/>
            <w:noProof/>
          </w:rPr>
          <w:br/>
        </w:r>
        <w:r w:rsidR="00BE4215" w:rsidRPr="007E130D">
          <w:rPr>
            <w:rStyle w:val="Hyperlink"/>
            <w:noProof/>
          </w:rPr>
          <w:t>le monde (WTIS)</w:t>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_Toc147328856 \h </w:instrText>
        </w:r>
        <w:r w:rsidR="00BE4215" w:rsidRPr="007E130D">
          <w:rPr>
            <w:noProof/>
            <w:webHidden/>
          </w:rPr>
        </w:r>
        <w:r w:rsidR="00BE4215" w:rsidRPr="007E130D">
          <w:rPr>
            <w:noProof/>
            <w:webHidden/>
          </w:rPr>
          <w:fldChar w:fldCharType="separate"/>
        </w:r>
        <w:r w:rsidR="004168B4">
          <w:rPr>
            <w:noProof/>
            <w:webHidden/>
          </w:rPr>
          <w:t>75</w:t>
        </w:r>
        <w:r w:rsidR="00BE4215" w:rsidRPr="007E130D">
          <w:rPr>
            <w:noProof/>
            <w:webHidden/>
          </w:rPr>
          <w:fldChar w:fldCharType="end"/>
        </w:r>
      </w:hyperlink>
    </w:p>
    <w:p w14:paraId="0EDA1321" w14:textId="00E3D8EC" w:rsidR="00BE4215" w:rsidRPr="007E130D" w:rsidRDefault="00414F7A" w:rsidP="005D54CC">
      <w:pPr>
        <w:pStyle w:val="TOC3"/>
        <w:tabs>
          <w:tab w:val="clear" w:pos="567"/>
        </w:tabs>
        <w:ind w:left="1701"/>
        <w:rPr>
          <w:rFonts w:asciiTheme="minorHAnsi" w:eastAsiaTheme="minorEastAsia" w:hAnsiTheme="minorHAnsi" w:cstheme="minorBidi"/>
          <w:noProof/>
          <w:kern w:val="2"/>
          <w:sz w:val="22"/>
          <w:szCs w:val="22"/>
          <w14:ligatures w14:val="standardContextual"/>
        </w:rPr>
      </w:pPr>
      <w:hyperlink w:anchor="_Toc147328857" w:history="1">
        <w:r w:rsidR="00BE4215" w:rsidRPr="007E130D">
          <w:rPr>
            <w:rStyle w:val="Hyperlink"/>
            <w:noProof/>
          </w:rPr>
          <w:t>8.1.4</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Programme de formation à la gestion du spectre (SMTP)</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_Toc147328857 \h </w:instrText>
        </w:r>
        <w:r w:rsidR="00BE4215" w:rsidRPr="007E130D">
          <w:rPr>
            <w:noProof/>
            <w:webHidden/>
          </w:rPr>
        </w:r>
        <w:r w:rsidR="00BE4215" w:rsidRPr="007E130D">
          <w:rPr>
            <w:noProof/>
            <w:webHidden/>
          </w:rPr>
          <w:fldChar w:fldCharType="separate"/>
        </w:r>
        <w:r w:rsidR="004168B4">
          <w:rPr>
            <w:noProof/>
            <w:webHidden/>
          </w:rPr>
          <w:t>75</w:t>
        </w:r>
        <w:r w:rsidR="00BE4215" w:rsidRPr="007E130D">
          <w:rPr>
            <w:noProof/>
            <w:webHidden/>
          </w:rPr>
          <w:fldChar w:fldCharType="end"/>
        </w:r>
      </w:hyperlink>
    </w:p>
    <w:p w14:paraId="5F1C87F7" w14:textId="670DAB8B"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58" w:history="1">
        <w:r w:rsidR="00BE4215" w:rsidRPr="007E130D">
          <w:rPr>
            <w:rStyle w:val="Hyperlink"/>
            <w:noProof/>
          </w:rPr>
          <w:t>8.2</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Coopération avec l'UIT-T</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_Toc147328858 \h </w:instrText>
        </w:r>
        <w:r w:rsidR="00BE4215" w:rsidRPr="007E130D">
          <w:rPr>
            <w:noProof/>
            <w:webHidden/>
          </w:rPr>
        </w:r>
        <w:r w:rsidR="00BE4215" w:rsidRPr="007E130D">
          <w:rPr>
            <w:noProof/>
            <w:webHidden/>
          </w:rPr>
          <w:fldChar w:fldCharType="separate"/>
        </w:r>
        <w:r w:rsidR="004168B4">
          <w:rPr>
            <w:noProof/>
            <w:webHidden/>
          </w:rPr>
          <w:t>76</w:t>
        </w:r>
        <w:r w:rsidR="00BE4215" w:rsidRPr="007E130D">
          <w:rPr>
            <w:noProof/>
            <w:webHidden/>
          </w:rPr>
          <w:fldChar w:fldCharType="end"/>
        </w:r>
      </w:hyperlink>
    </w:p>
    <w:p w14:paraId="64990AA9" w14:textId="0B90FF5F" w:rsidR="00BE4215" w:rsidRPr="007E130D" w:rsidRDefault="00414F7A" w:rsidP="005D54CC">
      <w:pPr>
        <w:pStyle w:val="TOC2"/>
        <w:tabs>
          <w:tab w:val="clear" w:pos="567"/>
        </w:tabs>
        <w:ind w:left="1134"/>
        <w:rPr>
          <w:rFonts w:asciiTheme="minorHAnsi" w:eastAsiaTheme="minorEastAsia" w:hAnsiTheme="minorHAnsi" w:cstheme="minorBidi"/>
          <w:noProof/>
          <w:kern w:val="2"/>
          <w:sz w:val="22"/>
          <w:szCs w:val="22"/>
          <w14:ligatures w14:val="standardContextual"/>
        </w:rPr>
      </w:pPr>
      <w:hyperlink w:anchor="_Toc147328859" w:history="1">
        <w:r w:rsidR="00BE4215" w:rsidRPr="007E130D">
          <w:rPr>
            <w:rStyle w:val="Hyperlink"/>
            <w:noProof/>
          </w:rPr>
          <w:t>8.3</w:t>
        </w:r>
        <w:r w:rsidR="00BE4215" w:rsidRPr="007E130D">
          <w:rPr>
            <w:rFonts w:asciiTheme="minorHAnsi" w:eastAsiaTheme="minorEastAsia" w:hAnsiTheme="minorHAnsi" w:cstheme="minorBidi"/>
            <w:noProof/>
            <w:kern w:val="2"/>
            <w:sz w:val="22"/>
            <w:szCs w:val="22"/>
            <w14:ligatures w14:val="standardContextual"/>
          </w:rPr>
          <w:tab/>
        </w:r>
        <w:r w:rsidR="00BE4215" w:rsidRPr="007E130D">
          <w:rPr>
            <w:rStyle w:val="Hyperlink"/>
            <w:noProof/>
          </w:rPr>
          <w:t>Coopération avec les organisations internationales et régionales</w:t>
        </w:r>
        <w:r w:rsidR="00BE4215" w:rsidRPr="007E130D">
          <w:rPr>
            <w:noProof/>
            <w:webHidden/>
          </w:rPr>
          <w:tab/>
        </w:r>
        <w:r w:rsidR="00BE4215" w:rsidRPr="007E130D">
          <w:rPr>
            <w:noProof/>
            <w:webHidden/>
          </w:rPr>
          <w:tab/>
        </w:r>
        <w:r w:rsidR="00BE4215" w:rsidRPr="007E130D">
          <w:rPr>
            <w:noProof/>
            <w:webHidden/>
          </w:rPr>
          <w:fldChar w:fldCharType="begin"/>
        </w:r>
        <w:r w:rsidR="00BE4215" w:rsidRPr="007E130D">
          <w:rPr>
            <w:noProof/>
            <w:webHidden/>
          </w:rPr>
          <w:instrText xml:space="preserve"> PAGEREF _Toc147328859 \h </w:instrText>
        </w:r>
        <w:r w:rsidR="00BE4215" w:rsidRPr="007E130D">
          <w:rPr>
            <w:noProof/>
            <w:webHidden/>
          </w:rPr>
        </w:r>
        <w:r w:rsidR="00BE4215" w:rsidRPr="007E130D">
          <w:rPr>
            <w:noProof/>
            <w:webHidden/>
          </w:rPr>
          <w:fldChar w:fldCharType="separate"/>
        </w:r>
        <w:r w:rsidR="004168B4">
          <w:rPr>
            <w:noProof/>
            <w:webHidden/>
          </w:rPr>
          <w:t>76</w:t>
        </w:r>
        <w:r w:rsidR="00BE4215" w:rsidRPr="007E130D">
          <w:rPr>
            <w:noProof/>
            <w:webHidden/>
          </w:rPr>
          <w:fldChar w:fldCharType="end"/>
        </w:r>
      </w:hyperlink>
    </w:p>
    <w:p w14:paraId="7AF07D0F" w14:textId="14CFDF89" w:rsidR="003E6FC1" w:rsidRPr="007E130D" w:rsidRDefault="00BE4215" w:rsidP="005D54CC">
      <w:pPr>
        <w:rPr>
          <w:lang w:eastAsia="ja-JP"/>
        </w:rPr>
      </w:pPr>
      <w:r w:rsidRPr="007E130D">
        <w:rPr>
          <w:highlight w:val="yellow"/>
          <w:lang w:eastAsia="ja-JP"/>
        </w:rPr>
        <w:fldChar w:fldCharType="end"/>
      </w:r>
      <w:r w:rsidR="003E6FC1" w:rsidRPr="007E130D">
        <w:rPr>
          <w:lang w:eastAsia="ja-JP"/>
        </w:rPr>
        <w:br w:type="page"/>
      </w:r>
    </w:p>
    <w:p w14:paraId="76FAB397" w14:textId="77777777" w:rsidR="003E6FC1" w:rsidRPr="007E130D" w:rsidRDefault="003E6FC1" w:rsidP="00B20AC9">
      <w:pPr>
        <w:pStyle w:val="Heading1"/>
        <w:rPr>
          <w:lang w:eastAsia="ja-JP"/>
        </w:rPr>
      </w:pPr>
      <w:bookmarkStart w:id="6" w:name="_Toc147328766"/>
      <w:r w:rsidRPr="007E130D">
        <w:rPr>
          <w:lang w:eastAsia="ja-JP"/>
        </w:rPr>
        <w:lastRenderedPageBreak/>
        <w:t>Introduction</w:t>
      </w:r>
      <w:bookmarkEnd w:id="6"/>
    </w:p>
    <w:p w14:paraId="0AC88D89" w14:textId="77777777" w:rsidR="00070D47" w:rsidRPr="007E130D" w:rsidRDefault="00070D47" w:rsidP="00B20AC9">
      <w:bookmarkStart w:id="7" w:name="_Toc143072385"/>
      <w:r w:rsidRPr="007E130D">
        <w:t>Le présent rapport décrit en détail les activités menées par le Secteur des radiocommunications depuis la dernière Conférence mondiale des radiocommunications. Il prend en compte les informations fournies dans des rapports précédemment soumis au Groupe consultatif des radiocommunications et au Conseil, par exemple les plans opérationnels pour la période considérée.</w:t>
      </w:r>
    </w:p>
    <w:p w14:paraId="4AEA86FA" w14:textId="0E7EC407" w:rsidR="00070D47" w:rsidRPr="007E130D" w:rsidRDefault="00070D47" w:rsidP="00B20AC9">
      <w:pPr>
        <w:pStyle w:val="Heading1"/>
      </w:pPr>
      <w:bookmarkStart w:id="8" w:name="_Toc424047536"/>
      <w:bookmarkStart w:id="9" w:name="_Toc426463194"/>
      <w:bookmarkStart w:id="10" w:name="_Toc19880011"/>
      <w:bookmarkStart w:id="11" w:name="_Toc147328767"/>
      <w:bookmarkEnd w:id="7"/>
      <w:r w:rsidRPr="007E130D">
        <w:t>1</w:t>
      </w:r>
      <w:r w:rsidRPr="007E130D">
        <w:tab/>
        <w:t>Travaux préparatoires en vue de la CMR-</w:t>
      </w:r>
      <w:bookmarkEnd w:id="8"/>
      <w:bookmarkEnd w:id="9"/>
      <w:bookmarkEnd w:id="10"/>
      <w:r w:rsidR="00641AD3" w:rsidRPr="007E130D">
        <w:t>23</w:t>
      </w:r>
      <w:bookmarkEnd w:id="11"/>
    </w:p>
    <w:p w14:paraId="2249063B" w14:textId="30330361" w:rsidR="00070D47" w:rsidRPr="007E130D" w:rsidRDefault="00070D47" w:rsidP="00B20AC9">
      <w:pPr>
        <w:pStyle w:val="Heading2"/>
      </w:pPr>
      <w:bookmarkStart w:id="12" w:name="_Toc424047537"/>
      <w:bookmarkStart w:id="13" w:name="_Toc426463195"/>
      <w:bookmarkStart w:id="14" w:name="_Toc19880012"/>
      <w:bookmarkStart w:id="15" w:name="_Toc147328768"/>
      <w:r w:rsidRPr="007E130D">
        <w:t>1.1</w:t>
      </w:r>
      <w:r w:rsidRPr="007E130D">
        <w:tab/>
        <w:t>Travaux préparatoires du BR en vue de la CMR</w:t>
      </w:r>
      <w:r w:rsidRPr="007E130D">
        <w:noBreakHyphen/>
      </w:r>
      <w:bookmarkEnd w:id="12"/>
      <w:bookmarkEnd w:id="13"/>
      <w:bookmarkEnd w:id="14"/>
      <w:r w:rsidR="00641AD3" w:rsidRPr="007E130D">
        <w:t>23</w:t>
      </w:r>
      <w:bookmarkEnd w:id="15"/>
    </w:p>
    <w:p w14:paraId="6680BE01" w14:textId="02051D75" w:rsidR="00070D47" w:rsidRPr="007E130D" w:rsidRDefault="00070D47" w:rsidP="00B20AC9">
      <w:r w:rsidRPr="007E130D">
        <w:t>Les travaux préparatoires du Bureau en vue de la CMR-</w:t>
      </w:r>
      <w:r w:rsidR="00641AD3" w:rsidRPr="007E130D">
        <w:t>23</w:t>
      </w:r>
      <w:r w:rsidRPr="007E130D">
        <w:t xml:space="preserve"> se déroulent selon la procédure habituelle. Le Bureau a élaboré son rapport à la Conférence en application du numéro 180 de la Convention et conformément au point 9 de l'ordre du jour. Les contributions des États Membres sont traitées selon les modalités habituelles et postées dans les meilleurs délais sur le web. Les documents nécessaires ont été élaborés à l'intention des États Membres (par exemple la Circulaire administrative CA/</w:t>
      </w:r>
      <w:r w:rsidR="00641AD3" w:rsidRPr="007E130D">
        <w:t>265</w:t>
      </w:r>
      <w:r w:rsidRPr="007E130D">
        <w:t>, qui traitent des lignes directrices et des outils pour la soumission des propositions, l'inscription des délégués, la publication et la consultation des documents, etc.).</w:t>
      </w:r>
    </w:p>
    <w:p w14:paraId="74060B85" w14:textId="1947CC66" w:rsidR="00070D47" w:rsidRPr="007E130D" w:rsidRDefault="00070D47" w:rsidP="00B20AC9">
      <w:r w:rsidRPr="007E130D">
        <w:t>Les activités de préparation des commissions d'études en vue de la CMR-</w:t>
      </w:r>
      <w:r w:rsidR="00641AD3" w:rsidRPr="007E130D">
        <w:t>23</w:t>
      </w:r>
      <w:r w:rsidRPr="007E130D">
        <w:t xml:space="preserve"> sont décrites au § 4.3.</w:t>
      </w:r>
    </w:p>
    <w:p w14:paraId="26F4E162" w14:textId="17B44274" w:rsidR="00070D47" w:rsidRPr="007E130D" w:rsidRDefault="00070D47" w:rsidP="00B20AC9">
      <w:r w:rsidRPr="007E130D">
        <w:t xml:space="preserve">Conformément à la Décision 5 (Rév. </w:t>
      </w:r>
      <w:r w:rsidR="00641AD3" w:rsidRPr="007E130D">
        <w:t>Bucarest, 2022</w:t>
      </w:r>
      <w:r w:rsidRPr="007E130D">
        <w:t>) de la Conférence de plénipotentiaires, il a été décidé que la CMR-</w:t>
      </w:r>
      <w:r w:rsidR="00641AD3" w:rsidRPr="007E130D">
        <w:t>23</w:t>
      </w:r>
      <w:r w:rsidRPr="007E130D">
        <w:t xml:space="preserve"> se déroulerait sans document papier. Tous les documents seront diffusés sous forme électronique sur le site web de la CMR-</w:t>
      </w:r>
      <w:r w:rsidR="00641AD3" w:rsidRPr="007E130D">
        <w:t>23</w:t>
      </w:r>
      <w:r w:rsidRPr="007E130D">
        <w:t>. De plus, une application «UIT Sync Application» permettra de télécharger et de synchroniser rapidement les documents de la CMR-</w:t>
      </w:r>
      <w:r w:rsidR="00641AD3" w:rsidRPr="007E130D">
        <w:t>23</w:t>
      </w:r>
      <w:r w:rsidRPr="007E130D">
        <w:t xml:space="preserve"> depuis les serveurs de l'UIT.</w:t>
      </w:r>
    </w:p>
    <w:p w14:paraId="1B772E04" w14:textId="79661D40" w:rsidR="00070D47" w:rsidRPr="007E130D" w:rsidRDefault="00070D47" w:rsidP="00B20AC9">
      <w:pPr>
        <w:pStyle w:val="Heading2"/>
      </w:pPr>
      <w:bookmarkStart w:id="16" w:name="_Toc426463196"/>
      <w:bookmarkStart w:id="17" w:name="_Toc19880013"/>
      <w:bookmarkStart w:id="18" w:name="_Toc147328769"/>
      <w:r w:rsidRPr="007E130D">
        <w:t>1.2</w:t>
      </w:r>
      <w:r w:rsidRPr="007E130D">
        <w:tab/>
        <w:t>Travaux préparatoires au niveau régional en application de la Résolution 72 (Rév.CMR</w:t>
      </w:r>
      <w:r w:rsidRPr="007E130D">
        <w:noBreakHyphen/>
      </w:r>
      <w:r w:rsidR="00641AD3" w:rsidRPr="007E130D">
        <w:t>19</w:t>
      </w:r>
      <w:r w:rsidRPr="007E130D">
        <w:t>)</w:t>
      </w:r>
      <w:bookmarkEnd w:id="16"/>
      <w:bookmarkEnd w:id="17"/>
      <w:bookmarkEnd w:id="18"/>
    </w:p>
    <w:p w14:paraId="462D18E2" w14:textId="718421E7" w:rsidR="00070D47" w:rsidRPr="007E130D" w:rsidRDefault="00070D47" w:rsidP="00B20AC9">
      <w:r w:rsidRPr="007E130D">
        <w:t>Le Bureau a organisé à Genève trois ateliers interrégionaux de l'UIT sur la préparation de la CMR</w:t>
      </w:r>
      <w:r w:rsidRPr="007E130D">
        <w:noBreakHyphen/>
      </w:r>
      <w:r w:rsidR="00641AD3" w:rsidRPr="007E130D">
        <w:t>23</w:t>
      </w:r>
      <w:r w:rsidRPr="007E130D">
        <w:t xml:space="preserve">: le premier a eu lieu </w:t>
      </w:r>
      <w:r w:rsidR="00641AD3" w:rsidRPr="007E130D">
        <w:t>du 13 au 15 décembre 2021</w:t>
      </w:r>
      <w:r w:rsidRPr="007E130D">
        <w:t xml:space="preserve">, le deuxième </w:t>
      </w:r>
      <w:r w:rsidR="00641AD3" w:rsidRPr="007E130D">
        <w:t>du 29 novembre au</w:t>
      </w:r>
      <w:r w:rsidR="00B20AC9" w:rsidRPr="007E130D">
        <w:t> </w:t>
      </w:r>
      <w:r w:rsidR="00641AD3" w:rsidRPr="007E130D">
        <w:t>1er</w:t>
      </w:r>
      <w:r w:rsidR="00B20AC9" w:rsidRPr="007E130D">
        <w:t> </w:t>
      </w:r>
      <w:r w:rsidR="00641AD3" w:rsidRPr="007E130D">
        <w:t>décembre 2022</w:t>
      </w:r>
      <w:r w:rsidRPr="007E130D">
        <w:t xml:space="preserve"> et le troisième </w:t>
      </w:r>
      <w:r w:rsidR="00641AD3" w:rsidRPr="007E130D">
        <w:t>du 27 au 29 septembre 2023</w:t>
      </w:r>
      <w:r w:rsidRPr="007E130D">
        <w:t>.</w:t>
      </w:r>
    </w:p>
    <w:p w14:paraId="4B20703D" w14:textId="04269295" w:rsidR="00067582" w:rsidRPr="007E130D" w:rsidRDefault="00070D47" w:rsidP="00B20AC9">
      <w:pPr>
        <w:rPr>
          <w:lang w:eastAsia="ja-JP"/>
        </w:rPr>
      </w:pPr>
      <w:r w:rsidRPr="007E130D">
        <w:t>On trouvera de plus amples informations à l'adresse:</w:t>
      </w:r>
      <w:r w:rsidR="00B20AC9" w:rsidRPr="007E130D">
        <w:br/>
      </w:r>
      <w:hyperlink r:id="rId10" w:history="1">
        <w:r w:rsidR="00B20AC9" w:rsidRPr="007E130D">
          <w:rPr>
            <w:rStyle w:val="Hyperlink"/>
            <w:lang w:eastAsia="ja-JP"/>
          </w:rPr>
          <w:t>https://www.itu.int/en/ITU-R/conferences/wrc/2023/irwsp/Pages/default.aspx</w:t>
        </w:r>
      </w:hyperlink>
      <w:r w:rsidR="00067582" w:rsidRPr="007E130D">
        <w:rPr>
          <w:lang w:eastAsia="ja-JP"/>
        </w:rPr>
        <w:t>.</w:t>
      </w:r>
    </w:p>
    <w:p w14:paraId="367EC1B5" w14:textId="7B30C789" w:rsidR="00070D47" w:rsidRPr="007E130D" w:rsidRDefault="00070D47" w:rsidP="00B20AC9">
      <w:bookmarkStart w:id="19" w:name="_Toc143072388"/>
      <w:bookmarkStart w:id="20" w:name="_Toc418163353"/>
      <w:bookmarkStart w:id="21" w:name="_Toc418232257"/>
      <w:r w:rsidRPr="007E130D">
        <w:t>Des fonctionnaires du Bureau ont également participé régulièrement aux réunions de préparation de la CMR-</w:t>
      </w:r>
      <w:r w:rsidR="00641AD3" w:rsidRPr="007E130D">
        <w:t>23</w:t>
      </w:r>
      <w:r w:rsidRPr="007E130D">
        <w:t xml:space="preserve"> tenues par les organisations régionales, en fournissant des informations et une assistance en cas de besoin.</w:t>
      </w:r>
    </w:p>
    <w:p w14:paraId="37DA05A9" w14:textId="1963DF56" w:rsidR="00641AD3" w:rsidRPr="007E130D" w:rsidRDefault="00641AD3" w:rsidP="00B20AC9">
      <w:pPr>
        <w:pStyle w:val="Heading2"/>
      </w:pPr>
      <w:bookmarkStart w:id="22" w:name="_Toc424047539"/>
      <w:bookmarkStart w:id="23" w:name="_Toc426463197"/>
      <w:bookmarkStart w:id="24" w:name="_Toc19880014"/>
      <w:bookmarkStart w:id="25" w:name="_Toc147328770"/>
      <w:r w:rsidRPr="007E130D">
        <w:t>1.3</w:t>
      </w:r>
      <w:r w:rsidRPr="007E130D">
        <w:tab/>
        <w:t>Travaux menés par les Commissions d'études de l'UIT-R en vue de la CMR-</w:t>
      </w:r>
      <w:bookmarkEnd w:id="22"/>
      <w:bookmarkEnd w:id="23"/>
      <w:bookmarkEnd w:id="24"/>
      <w:r w:rsidRPr="007E130D">
        <w:t>23</w:t>
      </w:r>
      <w:bookmarkEnd w:id="25"/>
    </w:p>
    <w:p w14:paraId="4217F41E" w14:textId="77777777" w:rsidR="00641AD3" w:rsidRPr="007E130D" w:rsidRDefault="00641AD3" w:rsidP="00B20AC9">
      <w:r w:rsidRPr="007E130D">
        <w:t>Cette activité est décrite au § 4.3 ci-dessous.</w:t>
      </w:r>
    </w:p>
    <w:p w14:paraId="2BFD06EE" w14:textId="77777777" w:rsidR="00641AD3" w:rsidRPr="007E130D" w:rsidRDefault="00641AD3" w:rsidP="00EB14E3">
      <w:pPr>
        <w:pStyle w:val="Heading1"/>
      </w:pPr>
      <w:bookmarkStart w:id="26" w:name="_Toc424047540"/>
      <w:bookmarkStart w:id="27" w:name="_Toc426463198"/>
      <w:bookmarkStart w:id="28" w:name="_Toc19880015"/>
      <w:bookmarkStart w:id="29" w:name="_Toc147328771"/>
      <w:r w:rsidRPr="007E130D">
        <w:t>2</w:t>
      </w:r>
      <w:r w:rsidRPr="007E130D">
        <w:tab/>
        <w:t>Application du Règlement des radiocommunications concernant les services spatiaux</w:t>
      </w:r>
      <w:bookmarkEnd w:id="26"/>
      <w:bookmarkEnd w:id="27"/>
      <w:bookmarkEnd w:id="28"/>
      <w:bookmarkEnd w:id="29"/>
    </w:p>
    <w:p w14:paraId="24FF9EBF" w14:textId="77777777" w:rsidR="00641AD3" w:rsidRPr="007E130D" w:rsidRDefault="00641AD3" w:rsidP="00090762">
      <w:pPr>
        <w:pStyle w:val="Heading2"/>
        <w:keepNext w:val="0"/>
        <w:keepLines w:val="0"/>
      </w:pPr>
      <w:bookmarkStart w:id="30" w:name="_Toc426463199"/>
      <w:bookmarkStart w:id="31" w:name="_Toc19880016"/>
      <w:bookmarkStart w:id="32" w:name="_Toc147328772"/>
      <w:r w:rsidRPr="007E130D">
        <w:t>2.1</w:t>
      </w:r>
      <w:r w:rsidRPr="007E130D">
        <w:tab/>
        <w:t>Introduction</w:t>
      </w:r>
      <w:bookmarkEnd w:id="30"/>
      <w:bookmarkEnd w:id="31"/>
      <w:bookmarkEnd w:id="32"/>
    </w:p>
    <w:p w14:paraId="1BE6873A" w14:textId="77777777" w:rsidR="00576043" w:rsidRPr="007E130D" w:rsidRDefault="00641AD3" w:rsidP="00090762">
      <w:r w:rsidRPr="007E130D">
        <w:t xml:space="preserve">Pendant la période qui s'est écoulée depuis la CMR-19, le traitement des fiches de notification pour les services non planifiés (publication anticipée, demandes de coordination et notification en vue de l'inscription dans le Fichier de référence) ainsi que l'application des décisions de cette Conférence (en particulier </w:t>
      </w:r>
      <w:r w:rsidR="00DE42D5" w:rsidRPr="007E130D">
        <w:t xml:space="preserve">la Résolution </w:t>
      </w:r>
      <w:r w:rsidR="00DE42D5" w:rsidRPr="007E130D">
        <w:rPr>
          <w:b/>
        </w:rPr>
        <w:t>32 (CMR-19)</w:t>
      </w:r>
      <w:r w:rsidR="00DE42D5" w:rsidRPr="007E130D">
        <w:rPr>
          <w:bCs/>
        </w:rPr>
        <w:t xml:space="preserve">, la </w:t>
      </w:r>
      <w:r w:rsidR="00DE42D5" w:rsidRPr="007E130D">
        <w:t xml:space="preserve">Résolution </w:t>
      </w:r>
      <w:r w:rsidR="00DE42D5" w:rsidRPr="007E130D">
        <w:rPr>
          <w:b/>
        </w:rPr>
        <w:t>35 (CMR-19)</w:t>
      </w:r>
      <w:r w:rsidR="00DE42D5" w:rsidRPr="007E130D">
        <w:t xml:space="preserve">, la Résolution </w:t>
      </w:r>
      <w:r w:rsidR="00DE42D5" w:rsidRPr="007E130D">
        <w:rPr>
          <w:b/>
        </w:rPr>
        <w:t>40 (Rév.CMR-19)</w:t>
      </w:r>
      <w:r w:rsidR="00DE42D5" w:rsidRPr="007E130D">
        <w:t xml:space="preserve">, la Résolution </w:t>
      </w:r>
      <w:r w:rsidR="00DE42D5" w:rsidRPr="007E130D">
        <w:rPr>
          <w:b/>
        </w:rPr>
        <w:t>169 (CMR-19)</w:t>
      </w:r>
      <w:r w:rsidR="00DE42D5" w:rsidRPr="007E130D">
        <w:t xml:space="preserve">, la Résolution </w:t>
      </w:r>
      <w:r w:rsidR="00DE42D5" w:rsidRPr="007E130D">
        <w:rPr>
          <w:b/>
        </w:rPr>
        <w:t>770 (Rév.CMR</w:t>
      </w:r>
      <w:r w:rsidR="00DE42D5" w:rsidRPr="007E130D">
        <w:rPr>
          <w:b/>
        </w:rPr>
        <w:noBreakHyphen/>
        <w:t>19)</w:t>
      </w:r>
      <w:r w:rsidR="00DE42D5" w:rsidRPr="007E130D">
        <w:t xml:space="preserve"> et la </w:t>
      </w:r>
      <w:r w:rsidR="00576043" w:rsidRPr="007E130D">
        <w:br w:type="page"/>
      </w:r>
    </w:p>
    <w:p w14:paraId="7D79C765" w14:textId="55F10F58" w:rsidR="00641AD3" w:rsidRPr="007E130D" w:rsidRDefault="00DE42D5" w:rsidP="00090762">
      <w:r w:rsidRPr="007E130D">
        <w:lastRenderedPageBreak/>
        <w:t>Résolution</w:t>
      </w:r>
      <w:r w:rsidR="00B20AC9" w:rsidRPr="007E130D">
        <w:t> </w:t>
      </w:r>
      <w:r w:rsidRPr="007E130D">
        <w:rPr>
          <w:b/>
        </w:rPr>
        <w:t>771 (Rév.CMR</w:t>
      </w:r>
      <w:r w:rsidRPr="007E130D">
        <w:rPr>
          <w:b/>
        </w:rPr>
        <w:noBreakHyphen/>
        <w:t>19</w:t>
      </w:r>
      <w:r w:rsidRPr="007E130D">
        <w:rPr>
          <w:b/>
          <w:bCs/>
        </w:rPr>
        <w:t>)</w:t>
      </w:r>
      <w:r w:rsidR="00EB14E3" w:rsidRPr="007E130D">
        <w:t>)</w:t>
      </w:r>
      <w:r w:rsidR="00641AD3" w:rsidRPr="007E130D">
        <w:t xml:space="preserve"> ont représenté, en permanence, une lourde charge de travail pour le Département des services spatiaux. De même, pour ce qui est des services assujettis à des Plans, le Bureau des radiocommunications a accompli un travail considérable depuis la CMR-</w:t>
      </w:r>
      <w:r w:rsidRPr="007E130D">
        <w:t>19</w:t>
      </w:r>
      <w:r w:rsidR="00641AD3" w:rsidRPr="007E130D">
        <w:t>.</w:t>
      </w:r>
    </w:p>
    <w:p w14:paraId="43E36EDE" w14:textId="77777777" w:rsidR="00641AD3" w:rsidRPr="007E130D" w:rsidRDefault="00641AD3" w:rsidP="00B20AC9">
      <w:r w:rsidRPr="007E130D">
        <w:t>Au cours de cette période, le Bureau a respecté, d'une manière générale, les délais réglementaires fixés dans le Règlement des radiocommunications en ce qui concerne le traitement des fiches de notification des réseaux à satellite, pour toutes les procédures, à savoir: renseignements pour la publication anticipée, demandes de coordination, notification et inscription dans le Fichier de référence pour les services assurés par des réseaux à satellite spatiaux non planifiés, utilisation de bandes de garde, modifications ou utilisations additionnelles, notification et inscription d'assignations de fréquence du service de radiodiffusion par satellite et des liaisons de connexion associées assujetties à un Plan (</w:t>
      </w:r>
      <w:r w:rsidRPr="007E130D">
        <w:rPr>
          <w:b/>
          <w:bCs/>
        </w:rPr>
        <w:t>AP30/30A</w:t>
      </w:r>
      <w:r w:rsidRPr="007E130D">
        <w:t>), conversion d'allotissements, mise en œuvre de systèmes additionnels, modification et inscription d'assignations de fréquence du service fixe par satellite assujetti à un Plan (</w:t>
      </w:r>
      <w:r w:rsidRPr="007E130D">
        <w:rPr>
          <w:b/>
          <w:bCs/>
        </w:rPr>
        <w:t>AP30B</w:t>
      </w:r>
      <w:r w:rsidRPr="007E130D">
        <w:t>).</w:t>
      </w:r>
    </w:p>
    <w:p w14:paraId="07211A30" w14:textId="77777777" w:rsidR="00641AD3" w:rsidRPr="007E130D" w:rsidRDefault="00641AD3" w:rsidP="00B20AC9">
      <w:r w:rsidRPr="007E130D">
        <w:t>Afin de s'assurer que les délais réglementaires fixés dans le Règlement des radiocommunications pour le traitement des fiches de notification des réseaux à satellite continuent d'être respectés et de veiller à ce qu'il n'y ait plus d'arriérés dans le traitement des fiches de notification, les ressources humaines et les travaux ont été adaptés en permanence aux besoins.</w:t>
      </w:r>
    </w:p>
    <w:p w14:paraId="1BF64741" w14:textId="77777777" w:rsidR="00641AD3" w:rsidRPr="007E130D" w:rsidRDefault="00641AD3" w:rsidP="00B20AC9">
      <w:r w:rsidRPr="007E130D">
        <w:t>Des précisions sur tous ces sujets sont données dans les paragraphes qui suivent.</w:t>
      </w:r>
    </w:p>
    <w:p w14:paraId="52185BB5" w14:textId="77777777" w:rsidR="00641AD3" w:rsidRPr="007E130D" w:rsidRDefault="00641AD3" w:rsidP="00B20AC9">
      <w:pPr>
        <w:pStyle w:val="Heading2"/>
      </w:pPr>
      <w:bookmarkStart w:id="33" w:name="_Toc426463200"/>
      <w:bookmarkStart w:id="34" w:name="_Toc19880017"/>
      <w:bookmarkStart w:id="35" w:name="_Toc147328773"/>
      <w:r w:rsidRPr="007E130D">
        <w:t>2.2</w:t>
      </w:r>
      <w:r w:rsidRPr="007E130D">
        <w:tab/>
        <w:t>Traitement des fiches de notification: services non planifiés</w:t>
      </w:r>
      <w:bookmarkEnd w:id="33"/>
      <w:bookmarkEnd w:id="34"/>
      <w:bookmarkEnd w:id="35"/>
    </w:p>
    <w:p w14:paraId="0B831975" w14:textId="77777777" w:rsidR="00641AD3" w:rsidRPr="007E130D" w:rsidRDefault="00641AD3" w:rsidP="00B20AC9">
      <w:r w:rsidRPr="007E130D">
        <w:t xml:space="preserve">L'accès aux ressources spectre/orbites qui ne sont pas assujetties à un Plan est régi par les procédures énoncées dans les Articles </w:t>
      </w:r>
      <w:r w:rsidRPr="007E130D">
        <w:rPr>
          <w:b/>
        </w:rPr>
        <w:t>9</w:t>
      </w:r>
      <w:r w:rsidRPr="007E130D">
        <w:t xml:space="preserve"> et </w:t>
      </w:r>
      <w:r w:rsidRPr="007E130D">
        <w:rPr>
          <w:b/>
        </w:rPr>
        <w:t>11</w:t>
      </w:r>
      <w:r w:rsidRPr="007E130D">
        <w:t xml:space="preserve"> du Règlement des radiocommunications. Ces Articles renferment deux procédures principales, à savoir:</w:t>
      </w:r>
    </w:p>
    <w:p w14:paraId="3F7443CB" w14:textId="77777777" w:rsidR="00641AD3" w:rsidRPr="007E130D" w:rsidRDefault="00DE42D5" w:rsidP="00B20AC9">
      <w:pPr>
        <w:pStyle w:val="enumlev1"/>
      </w:pPr>
      <w:r w:rsidRPr="007E130D">
        <w:t>–</w:t>
      </w:r>
      <w:r w:rsidR="00641AD3" w:rsidRPr="007E130D">
        <w:tab/>
        <w:t>les systèmes à satellites qui ne sont pas assujettis à la coordination soumettent les renseignements pour la publication anticipée (API) et les renseignements de notification;</w:t>
      </w:r>
    </w:p>
    <w:p w14:paraId="6A59959D" w14:textId="77777777" w:rsidR="00641AD3" w:rsidRPr="007E130D" w:rsidRDefault="00DE42D5" w:rsidP="00B20AC9">
      <w:pPr>
        <w:pStyle w:val="enumlev1"/>
      </w:pPr>
      <w:r w:rsidRPr="007E130D">
        <w:t>–</w:t>
      </w:r>
      <w:r w:rsidR="00641AD3" w:rsidRPr="007E130D">
        <w:tab/>
        <w:t>les systèmes à satellites qui sont assujettis à la coordination soumettent une demande de coordination (CR) et les renseignements de notification.</w:t>
      </w:r>
    </w:p>
    <w:p w14:paraId="09CDA432" w14:textId="77777777" w:rsidR="00641AD3" w:rsidRPr="007E130D" w:rsidRDefault="00641AD3" w:rsidP="00B20AC9">
      <w:r w:rsidRPr="007E130D">
        <w:t>Ces procédures constituent un système fondé sur la coopération, dans lequel les États Membres de l'UIT collaborent pour que les systèmes à satellites puissent être exploités dans l'espace dans des conditions exemptes de brouillages radioélectriques. D'une façon générale, ce système reposant sur la coopération comprend trois grandes étapes:</w:t>
      </w:r>
    </w:p>
    <w:p w14:paraId="3120C4D1" w14:textId="77777777" w:rsidR="00641AD3" w:rsidRPr="007E130D" w:rsidRDefault="00641AD3" w:rsidP="00B20AC9">
      <w:pPr>
        <w:pStyle w:val="enumlev1"/>
      </w:pPr>
      <w:r w:rsidRPr="007E130D">
        <w:t>1)</w:t>
      </w:r>
      <w:r w:rsidRPr="007E130D">
        <w:tab/>
        <w:t xml:space="preserve">Un État Membre de l'UIT envoie une description (figurant dans une </w:t>
      </w:r>
      <w:r w:rsidRPr="007E130D">
        <w:rPr>
          <w:color w:val="000000"/>
        </w:rPr>
        <w:t>notification API ou une demande CR/C</w:t>
      </w:r>
      <w:r w:rsidRPr="007E130D">
        <w:t>) des fréquences radioélectriques qu'il prévoit d'utiliser dans un projet de système à satellites. Le Bureau examine ensuite la conformité de cette description au Règlement des radiocommunications et publie la description ainsi que ses conclusions dans des Sections spéciales contenues dans la BR IFIC, afin que tous les autres États Membres de l'UIT puissent examiner ce projet.</w:t>
      </w:r>
    </w:p>
    <w:p w14:paraId="503BEFD4" w14:textId="77777777" w:rsidR="00576043" w:rsidRPr="007E130D" w:rsidRDefault="00641AD3" w:rsidP="00B20AC9">
      <w:pPr>
        <w:pStyle w:val="enumlev1"/>
      </w:pPr>
      <w:r w:rsidRPr="007E130D">
        <w:t>2)</w:t>
      </w:r>
      <w:r w:rsidRPr="007E130D">
        <w:tab/>
        <w:t xml:space="preserve">Les autres États Membres qui considèrent que ce projet risque d'avoir des incidences sur leurs systèmes existants, ou sur les systèmes en projet qui ont déjà été soumis au Bureau, se mettent en rapport avec l'État Membre de l'UIT ayant engagé la procédure, afin d'entamer des discussions bilatérales sur les solutions techniques propres à garantir que les deux systèmes pourront coexister sans causer de brouillages mutuels. Pendant ces discussions bilatérales, «l'administration requérante et l'administration qui répond font de concert tous les efforts possibles pour surmonter les difficultés, d'une manière </w:t>
      </w:r>
      <w:r w:rsidR="00576043" w:rsidRPr="007E130D">
        <w:br w:type="page"/>
      </w:r>
    </w:p>
    <w:p w14:paraId="512B57AC" w14:textId="266C6D10" w:rsidR="00641AD3" w:rsidRPr="007E130D" w:rsidRDefault="00576043" w:rsidP="00B20AC9">
      <w:pPr>
        <w:pStyle w:val="enumlev1"/>
      </w:pPr>
      <w:r w:rsidRPr="007E130D">
        <w:lastRenderedPageBreak/>
        <w:tab/>
      </w:r>
      <w:r w:rsidR="00641AD3" w:rsidRPr="007E130D">
        <w:t xml:space="preserve">qui soit acceptable par les parties concernées» (voir le numéro </w:t>
      </w:r>
      <w:r w:rsidR="00641AD3" w:rsidRPr="007E130D">
        <w:rPr>
          <w:b/>
          <w:bCs/>
        </w:rPr>
        <w:t>9.53</w:t>
      </w:r>
      <w:r w:rsidR="00AF51A3" w:rsidRPr="007E130D">
        <w:t xml:space="preserve"> </w:t>
      </w:r>
      <w:r w:rsidR="00AF51A3" w:rsidRPr="007E130D">
        <w:rPr>
          <w:bCs/>
        </w:rPr>
        <w:t>du RR</w:t>
      </w:r>
      <w:r w:rsidR="00641AD3" w:rsidRPr="007E130D">
        <w:t xml:space="preserve">). Les Règles de procédure relatives au numéro </w:t>
      </w:r>
      <w:r w:rsidR="00641AD3" w:rsidRPr="007E130D">
        <w:rPr>
          <w:b/>
          <w:bCs/>
        </w:rPr>
        <w:t>9.6</w:t>
      </w:r>
      <w:r w:rsidR="00641AD3" w:rsidRPr="007E130D">
        <w:t xml:space="preserve"> </w:t>
      </w:r>
      <w:r w:rsidR="00AF51A3" w:rsidRPr="007E130D">
        <w:t xml:space="preserve">du RR </w:t>
      </w:r>
      <w:r w:rsidR="00641AD3" w:rsidRPr="007E130D">
        <w:t xml:space="preserve">fournissent des précisions complémentaires sur la signification et l'objet du numéro </w:t>
      </w:r>
      <w:r w:rsidR="00641AD3" w:rsidRPr="007E130D">
        <w:rPr>
          <w:b/>
          <w:bCs/>
        </w:rPr>
        <w:t>9.53</w:t>
      </w:r>
      <w:r w:rsidR="00AF51A3" w:rsidRPr="007E130D">
        <w:t xml:space="preserve"> </w:t>
      </w:r>
      <w:r w:rsidR="00AF51A3" w:rsidRPr="007E130D">
        <w:rPr>
          <w:bCs/>
        </w:rPr>
        <w:t>du RR</w:t>
      </w:r>
      <w:r w:rsidR="00641AD3" w:rsidRPr="007E130D">
        <w:t>:</w:t>
      </w:r>
    </w:p>
    <w:p w14:paraId="06CF41D9" w14:textId="77777777" w:rsidR="00641AD3" w:rsidRPr="007E130D" w:rsidRDefault="00641AD3" w:rsidP="00BE141B">
      <w:pPr>
        <w:pStyle w:val="enumlev2"/>
      </w:pPr>
      <w:r w:rsidRPr="007E130D">
        <w:t>a)</w:t>
      </w:r>
      <w:r w:rsidRPr="007E130D">
        <w:tab/>
        <w:t xml:space="preserve">«les dispositions des numéros </w:t>
      </w:r>
      <w:r w:rsidRPr="007E130D">
        <w:rPr>
          <w:rStyle w:val="Artref"/>
          <w:b/>
          <w:color w:val="000000"/>
        </w:rPr>
        <w:t>9.6</w:t>
      </w:r>
      <w:r w:rsidRPr="007E130D">
        <w:t xml:space="preserve"> (</w:t>
      </w:r>
      <w:r w:rsidRPr="007E130D">
        <w:rPr>
          <w:rStyle w:val="Artref"/>
          <w:b/>
          <w:color w:val="000000"/>
        </w:rPr>
        <w:t>9.7</w:t>
      </w:r>
      <w:r w:rsidRPr="007E130D">
        <w:t xml:space="preserve"> à </w:t>
      </w:r>
      <w:r w:rsidRPr="007E130D">
        <w:rPr>
          <w:rStyle w:val="Artref"/>
          <w:b/>
          <w:color w:val="000000"/>
        </w:rPr>
        <w:t>9.21</w:t>
      </w:r>
      <w:r w:rsidRPr="007E130D">
        <w:t xml:space="preserve">) et </w:t>
      </w:r>
      <w:r w:rsidRPr="007E130D">
        <w:rPr>
          <w:rStyle w:val="Artref"/>
          <w:b/>
          <w:color w:val="000000"/>
        </w:rPr>
        <w:t>9.27</w:t>
      </w:r>
      <w:r w:rsidRPr="007E130D">
        <w:t xml:space="preserve"> et de l'Appendice </w:t>
      </w:r>
      <w:r w:rsidRPr="007E130D">
        <w:rPr>
          <w:rStyle w:val="Appref"/>
          <w:b/>
          <w:bCs/>
          <w:color w:val="000000"/>
        </w:rPr>
        <w:t>5</w:t>
      </w:r>
      <w:r w:rsidRPr="007E130D">
        <w:t xml:space="preserve"> visent à identifier les administrations auxquelles une demande de coordination doit être adressée, et non à établir un ordre de priorité pour le droit à une position orbitale donnée»;</w:t>
      </w:r>
    </w:p>
    <w:p w14:paraId="581DC592" w14:textId="34B0B050" w:rsidR="00641AD3" w:rsidRPr="007E130D" w:rsidRDefault="00641AD3" w:rsidP="00B20AC9">
      <w:pPr>
        <w:pStyle w:val="enumlev2"/>
      </w:pPr>
      <w:r w:rsidRPr="007E130D">
        <w:t>b)</w:t>
      </w:r>
      <w:r w:rsidRPr="007E130D">
        <w:tab/>
        <w:t>«le processus de coordination est un processus bilatéral»;</w:t>
      </w:r>
      <w:r w:rsidR="008464B6" w:rsidRPr="007E130D">
        <w:t xml:space="preserve"> et</w:t>
      </w:r>
    </w:p>
    <w:p w14:paraId="09316488" w14:textId="77777777" w:rsidR="00641AD3" w:rsidRPr="007E130D" w:rsidRDefault="00641AD3" w:rsidP="00BE141B">
      <w:pPr>
        <w:pStyle w:val="enumlev2"/>
      </w:pPr>
      <w:r w:rsidRPr="007E130D">
        <w:t>c)</w:t>
      </w:r>
      <w:r w:rsidRPr="007E130D">
        <w:tab/>
        <w:t>«</w:t>
      </w:r>
      <w:r w:rsidRPr="007E130D">
        <w:rPr>
          <w:color w:val="000000"/>
        </w:rPr>
        <w:t xml:space="preserve">lors de l'application de l'Article </w:t>
      </w:r>
      <w:r w:rsidRPr="007E130D">
        <w:rPr>
          <w:rStyle w:val="Artref"/>
          <w:b/>
          <w:color w:val="000000"/>
        </w:rPr>
        <w:t>9</w:t>
      </w:r>
      <w:r w:rsidRPr="007E130D">
        <w:rPr>
          <w:color w:val="000000"/>
        </w:rPr>
        <w:t xml:space="preserve">, le fait d'avoir été la première à engager la </w:t>
      </w:r>
      <w:r w:rsidRPr="007E130D">
        <w:t xml:space="preserve">procédure de publication anticipée (Section I de l'Article </w:t>
      </w:r>
      <w:r w:rsidRPr="007E130D">
        <w:rPr>
          <w:b/>
          <w:bCs/>
        </w:rPr>
        <w:t>9</w:t>
      </w:r>
      <w:r w:rsidRPr="007E130D">
        <w:t xml:space="preserve">), ou à formuler la demande de procédure de coordination (Section II de l'Article </w:t>
      </w:r>
      <w:r w:rsidRPr="007E130D">
        <w:rPr>
          <w:b/>
          <w:bCs/>
        </w:rPr>
        <w:t>9</w:t>
      </w:r>
      <w:r w:rsidRPr="007E130D">
        <w:t>), ne confère</w:t>
      </w:r>
      <w:r w:rsidRPr="007E130D">
        <w:rPr>
          <w:color w:val="000000"/>
        </w:rPr>
        <w:t xml:space="preserve"> aucune priorité particulière à une administration</w:t>
      </w:r>
      <w:r w:rsidRPr="007E130D">
        <w:t>».</w:t>
      </w:r>
    </w:p>
    <w:p w14:paraId="46EA7DDD" w14:textId="000AA096" w:rsidR="00641AD3" w:rsidRPr="007E130D" w:rsidRDefault="00641AD3" w:rsidP="00B20AC9">
      <w:pPr>
        <w:pStyle w:val="enumlev1"/>
      </w:pPr>
      <w:r w:rsidRPr="007E130D">
        <w:t>3)</w:t>
      </w:r>
      <w:r w:rsidRPr="007E130D">
        <w:tab/>
        <w:t xml:space="preserve">Les droits établis par les textes découlent de la notification des assignations de fréquence et de leur inscription dans le Fichier de référence international des fréquences, compte tenu des résultats des discussions bilatérales susmentionnées (voir le numéro </w:t>
      </w:r>
      <w:r w:rsidRPr="007E130D">
        <w:rPr>
          <w:b/>
          <w:bCs/>
        </w:rPr>
        <w:t>8.1</w:t>
      </w:r>
      <w:r w:rsidR="00AF51A3" w:rsidRPr="007E130D">
        <w:t xml:space="preserve"> </w:t>
      </w:r>
      <w:r w:rsidR="00AF51A3" w:rsidRPr="007E130D">
        <w:rPr>
          <w:bCs/>
        </w:rPr>
        <w:t>du RR</w:t>
      </w:r>
      <w:r w:rsidRPr="007E130D">
        <w:t xml:space="preserve">, libellé comme suit: «Au niveau international, les droits et les obligations des administrations vis-à-vis de leurs propres assignations de fréquence et de celles des autres administrations dépendent de l'inscription desdites assignations dans le Fichier de référence international des fréquences (Fichier de référence) ou de leur conformité, selon le cas, avec un plan. Ces droits sont assujettis aux dispositions du Règlement et aux dispositions de tout plan d'assignation ou d'allotissement de fréquence correspondant.» et le numéro </w:t>
      </w:r>
      <w:r w:rsidRPr="007E130D">
        <w:rPr>
          <w:b/>
          <w:bCs/>
        </w:rPr>
        <w:t>8.3</w:t>
      </w:r>
      <w:r w:rsidR="00AF51A3" w:rsidRPr="007E130D">
        <w:t xml:space="preserve"> </w:t>
      </w:r>
      <w:r w:rsidR="00AF51A3" w:rsidRPr="007E130D">
        <w:rPr>
          <w:bCs/>
        </w:rPr>
        <w:t>du RR</w:t>
      </w:r>
      <w:r w:rsidRPr="007E130D">
        <w:t>, selon lequel «Toute assignation de fréquence inscrite dans le Fichier de référence avec une conclusion favorable relativement au numéro </w:t>
      </w:r>
      <w:r w:rsidRPr="007E130D">
        <w:rPr>
          <w:b/>
          <w:bCs/>
        </w:rPr>
        <w:t>11.31</w:t>
      </w:r>
      <w:r w:rsidRPr="007E130D">
        <w:t xml:space="preserve"> </w:t>
      </w:r>
      <w:r w:rsidR="00AF51A3" w:rsidRPr="007E130D">
        <w:t xml:space="preserve">du RR </w:t>
      </w:r>
      <w:r w:rsidRPr="007E130D">
        <w:t>a droit à une reconnaissance internationale. Dans le cas d'une assignation de ce type, ce droit signifie que les autres administrations doivent en tenir compte lorsqu'elles font leurs propres assignations afin d'éviter les brouillages préjudiciables. En outre, le statut des assignations de fréquence faites dans des bandes de fréquences assujetties à une coordination ou visées par un plan doit être établi sur la base de l'application des procédures relatives à la coordination ou associées au plan</w:t>
      </w:r>
      <w:r w:rsidR="00BE141B" w:rsidRPr="007E130D">
        <w:t>.</w:t>
      </w:r>
      <w:r w:rsidRPr="007E130D">
        <w:t>»). Afin d'</w:t>
      </w:r>
      <w:r w:rsidRPr="007E130D">
        <w:rPr>
          <w:color w:val="000000"/>
        </w:rPr>
        <w:t>éviter la mise en réserve de fréquences</w:t>
      </w:r>
      <w:r w:rsidRPr="007E130D">
        <w:t>, la notification et la mise en service des assignations de fréquence aux services spatiaux sont assujetties à un délai de 7 ans.</w:t>
      </w:r>
    </w:p>
    <w:p w14:paraId="2CEB5390" w14:textId="77777777" w:rsidR="00641AD3" w:rsidRPr="007E130D" w:rsidRDefault="00641AD3" w:rsidP="00B20AC9">
      <w:r w:rsidRPr="007E130D">
        <w:t xml:space="preserve">On désigne souvent ce système fondé sur la coopération par l'expression «premier arrivé, premier servi», mais il y a lieu de noter que cette expression simplifie exagérément le système proprement dit, puisque celui-ci ne s'appuie sur le principe «premier arrivé, premier servi» que pour l'identification des réseaux à satellite avec lesquels un nouveau venu doit engager des discussions/une coordination. Les procédures énoncées dans les Articles </w:t>
      </w:r>
      <w:r w:rsidRPr="007E130D">
        <w:rPr>
          <w:b/>
          <w:bCs/>
        </w:rPr>
        <w:t>9</w:t>
      </w:r>
      <w:r w:rsidRPr="007E130D">
        <w:t xml:space="preserve"> et </w:t>
      </w:r>
      <w:r w:rsidRPr="007E130D">
        <w:rPr>
          <w:b/>
          <w:bCs/>
        </w:rPr>
        <w:t>11</w:t>
      </w:r>
      <w:r w:rsidRPr="007E130D">
        <w:t xml:space="preserve"> du Règlement des radiocommunications pour les systèmes à satellites, lorsqu'elles sont envisagées comme un ensemble complet, assurent un équilibre entre les droits et obligations des administrations disposant d'assignations et des nouveaux venus.</w:t>
      </w:r>
    </w:p>
    <w:p w14:paraId="5AF191B4" w14:textId="77777777" w:rsidR="00641AD3" w:rsidRPr="007E130D" w:rsidRDefault="00641AD3" w:rsidP="00090762">
      <w:r w:rsidRPr="007E130D">
        <w:t xml:space="preserve">L'Article </w:t>
      </w:r>
      <w:r w:rsidRPr="007E130D">
        <w:rPr>
          <w:b/>
          <w:bCs/>
        </w:rPr>
        <w:t>11</w:t>
      </w:r>
      <w:r w:rsidRPr="007E130D">
        <w:t xml:space="preserve"> renferme également des dispositions relatives aux cas dans lesquels les discussions engagées suite à l'application de l'Article </w:t>
      </w:r>
      <w:r w:rsidRPr="007E130D">
        <w:rPr>
          <w:b/>
          <w:bCs/>
        </w:rPr>
        <w:t>9</w:t>
      </w:r>
      <w:r w:rsidRPr="007E130D">
        <w:t xml:space="preserve"> n'étaient pas encore achevées au moment de la notification (voir les numéros </w:t>
      </w:r>
      <w:r w:rsidRPr="007E130D">
        <w:rPr>
          <w:b/>
          <w:bCs/>
        </w:rPr>
        <w:t>11.32A</w:t>
      </w:r>
      <w:r w:rsidRPr="007E130D">
        <w:t xml:space="preserve"> et </w:t>
      </w:r>
      <w:r w:rsidRPr="007E130D">
        <w:rPr>
          <w:b/>
          <w:bCs/>
        </w:rPr>
        <w:t>11.41</w:t>
      </w:r>
      <w:r w:rsidR="00AF51A3" w:rsidRPr="007E130D">
        <w:t xml:space="preserve"> </w:t>
      </w:r>
      <w:r w:rsidR="00AF51A3" w:rsidRPr="007E130D">
        <w:rPr>
          <w:bCs/>
        </w:rPr>
        <w:t>du RR</w:t>
      </w:r>
      <w:r w:rsidRPr="007E130D">
        <w:t xml:space="preserve">). </w:t>
      </w:r>
      <w:r w:rsidRPr="007E130D">
        <w:rPr>
          <w:color w:val="000000"/>
        </w:rPr>
        <w:t>Là encore, ces dispositions reposent sur un équilibre entre les droits et obligations de l'administration disposant d'assignations et de la nouvelle administration</w:t>
      </w:r>
      <w:r w:rsidRPr="007E130D">
        <w:t xml:space="preserve">. Ainsi, l'exploitation d'un satellite inscrit conformément au numéro </w:t>
      </w:r>
      <w:r w:rsidRPr="007E130D">
        <w:rPr>
          <w:b/>
          <w:bCs/>
        </w:rPr>
        <w:t>11.41</w:t>
      </w:r>
      <w:r w:rsidRPr="007E130D">
        <w:t xml:space="preserve"> </w:t>
      </w:r>
      <w:r w:rsidR="00AF51A3" w:rsidRPr="007E130D">
        <w:t xml:space="preserve">du RR </w:t>
      </w:r>
      <w:r w:rsidRPr="007E130D">
        <w:t xml:space="preserve">est assujettie aux conditions réglementaires fixées au numéro </w:t>
      </w:r>
      <w:r w:rsidRPr="007E130D">
        <w:rPr>
          <w:b/>
          <w:bCs/>
        </w:rPr>
        <w:t>11.42</w:t>
      </w:r>
      <w:r w:rsidRPr="007E130D">
        <w:t xml:space="preserve"> </w:t>
      </w:r>
      <w:r w:rsidR="00AF51A3" w:rsidRPr="007E130D">
        <w:t>du RR</w:t>
      </w:r>
      <w:r w:rsidRPr="007E130D">
        <w:t>(en d'autres termes, la nouvelle administration doit mettre fin immédiatement aux brouillages préjudiciables éventuels causés par son système), mais en contrepartie, l'administration disposant d'assignations est dans l'obligation de fournir</w:t>
      </w:r>
      <w:r w:rsidRPr="007E130D">
        <w:rPr>
          <w:color w:val="000000"/>
        </w:rPr>
        <w:t xml:space="preserve"> des renseignements détaillés sur les brouillages préjudiciables</w:t>
      </w:r>
      <w:r w:rsidRPr="007E130D">
        <w:t xml:space="preserve"> (c'est-à-dire </w:t>
      </w:r>
      <w:r w:rsidRPr="007E130D">
        <w:lastRenderedPageBreak/>
        <w:t>qu'elle doit réunir des éléments de preuve à l'appui de l'allégation de brouillages préjudiciables qu'elle a formulée). Il convient de noter que si ce cadre réglementaire s'applique à la fois aux systèmes à satellites géostationnaires et aux systèmes à satellites non géostationnaires, il arrive que les techniques de contrôle des émissions radioélectriques soient plus complexes dans les cas concernant des systèmes à satellites non géostationnaires.</w:t>
      </w:r>
    </w:p>
    <w:p w14:paraId="006F90CB" w14:textId="77777777" w:rsidR="00641AD3" w:rsidRPr="007E130D" w:rsidRDefault="00641AD3" w:rsidP="00B20AC9">
      <w:r w:rsidRPr="007E130D">
        <w:t>On trouvera dans les lignes qui suivent des renseignements sur la mise en œuvre de ces procédures par le Bureau.</w:t>
      </w:r>
    </w:p>
    <w:p w14:paraId="53126C86" w14:textId="77777777" w:rsidR="00DE42D5" w:rsidRPr="007E130D" w:rsidRDefault="00DE42D5" w:rsidP="00B20AC9">
      <w:pPr>
        <w:pStyle w:val="Heading3"/>
      </w:pPr>
      <w:bookmarkStart w:id="36" w:name="_Toc426463201"/>
      <w:bookmarkStart w:id="37" w:name="_Toc19880018"/>
      <w:bookmarkStart w:id="38" w:name="_Toc147328774"/>
      <w:r w:rsidRPr="007E130D">
        <w:t>2.2.1</w:t>
      </w:r>
      <w:r w:rsidRPr="007E130D">
        <w:tab/>
        <w:t>Renseignements pour la publication anticipée (API)</w:t>
      </w:r>
      <w:bookmarkEnd w:id="36"/>
      <w:bookmarkEnd w:id="37"/>
      <w:bookmarkEnd w:id="38"/>
    </w:p>
    <w:p w14:paraId="04DA340A" w14:textId="56F84098" w:rsidR="00DE42D5" w:rsidRPr="007E130D" w:rsidRDefault="00DE42D5" w:rsidP="00B20AC9">
      <w:r w:rsidRPr="007E130D">
        <w:t xml:space="preserve">Le traitement des renseignements API englobe pour l'essentiel </w:t>
      </w:r>
      <w:r w:rsidR="004E2E6E" w:rsidRPr="007E130D">
        <w:t>la publication telle que reçue sur le site web de l</w:t>
      </w:r>
      <w:r w:rsidR="008464B6" w:rsidRPr="007E130D">
        <w:t>'</w:t>
      </w:r>
      <w:r w:rsidR="004E2E6E" w:rsidRPr="007E130D">
        <w:t xml:space="preserve">UIT, </w:t>
      </w:r>
      <w:r w:rsidRPr="007E130D">
        <w:t>l'examen</w:t>
      </w:r>
      <w:r w:rsidR="004E2E6E" w:rsidRPr="007E130D">
        <w:t xml:space="preserve"> de la question de savoir si le réseau fait ou non l</w:t>
      </w:r>
      <w:r w:rsidR="008464B6" w:rsidRPr="007E130D">
        <w:t>'</w:t>
      </w:r>
      <w:r w:rsidR="004E2E6E" w:rsidRPr="007E130D">
        <w:t>objet d</w:t>
      </w:r>
      <w:r w:rsidR="008464B6" w:rsidRPr="007E130D">
        <w:t>'</w:t>
      </w:r>
      <w:r w:rsidR="004E2E6E" w:rsidRPr="007E130D">
        <w:t>une coordination</w:t>
      </w:r>
      <w:r w:rsidRPr="007E130D">
        <w:t xml:space="preserve">, </w:t>
      </w:r>
      <w:r w:rsidR="004E2E6E" w:rsidRPr="007E130D">
        <w:t>la vérification que l</w:t>
      </w:r>
      <w:r w:rsidR="000C4CDD" w:rsidRPr="007E130D">
        <w:t>'</w:t>
      </w:r>
      <w:r w:rsidR="004E2E6E" w:rsidRPr="007E130D">
        <w:t>utilisation des fréquences est conforme au tableau d</w:t>
      </w:r>
      <w:r w:rsidR="000C4CDD" w:rsidRPr="007E130D">
        <w:t>'</w:t>
      </w:r>
      <w:r w:rsidR="004E2E6E" w:rsidRPr="007E130D">
        <w:t>attribution des bandes de fréquences et la fourniture de conseils aux administrations si ce n</w:t>
      </w:r>
      <w:r w:rsidR="008464B6" w:rsidRPr="007E130D">
        <w:t>'</w:t>
      </w:r>
      <w:r w:rsidR="004E2E6E" w:rsidRPr="007E130D">
        <w:t xml:space="preserve">est pas le cas, </w:t>
      </w:r>
      <w:r w:rsidRPr="007E130D">
        <w:t>la validation</w:t>
      </w:r>
      <w:r w:rsidR="004E2E6E" w:rsidRPr="007E130D">
        <w:t xml:space="preserve"> de l</w:t>
      </w:r>
      <w:r w:rsidR="008464B6" w:rsidRPr="007E130D">
        <w:t>'</w:t>
      </w:r>
      <w:r w:rsidR="004E2E6E" w:rsidRPr="007E130D">
        <w:t>exhaustivité et de l</w:t>
      </w:r>
      <w:r w:rsidR="008464B6" w:rsidRPr="007E130D">
        <w:t>'</w:t>
      </w:r>
      <w:r w:rsidR="004E2E6E" w:rsidRPr="007E130D">
        <w:t>exactitude des données</w:t>
      </w:r>
      <w:r w:rsidRPr="007E130D">
        <w:t>, la préparation des données et la publication, dans les sections spéciales correspondantes (API/A) de la BR IFIC, des renseignements reçus concernant les réseaux à satellite au titre de la Sous</w:t>
      </w:r>
      <w:r w:rsidRPr="007E130D">
        <w:noBreakHyphen/>
        <w:t xml:space="preserve">Section IA de l'Article </w:t>
      </w:r>
      <w:r w:rsidRPr="007E130D">
        <w:rPr>
          <w:b/>
          <w:bCs/>
        </w:rPr>
        <w:t>9</w:t>
      </w:r>
      <w:r w:rsidRPr="007E130D">
        <w:t xml:space="preserve">, et la suppression (SUP) ou la modification (MOD) des Sections spéciales API/A à la suite de l'application des numéros </w:t>
      </w:r>
      <w:r w:rsidRPr="007E130D">
        <w:rPr>
          <w:b/>
          <w:bCs/>
        </w:rPr>
        <w:t>11.44</w:t>
      </w:r>
      <w:r w:rsidRPr="007E130D">
        <w:t xml:space="preserve">, </w:t>
      </w:r>
      <w:r w:rsidRPr="007E130D">
        <w:rPr>
          <w:b/>
          <w:bCs/>
        </w:rPr>
        <w:t>11.44.1</w:t>
      </w:r>
      <w:r w:rsidRPr="007E130D">
        <w:t xml:space="preserve">, </w:t>
      </w:r>
      <w:r w:rsidRPr="007E130D">
        <w:rPr>
          <w:b/>
          <w:bCs/>
        </w:rPr>
        <w:t>9.2B.1</w:t>
      </w:r>
      <w:r w:rsidRPr="007E130D">
        <w:t xml:space="preserve">, </w:t>
      </w:r>
      <w:r w:rsidRPr="007E130D">
        <w:rPr>
          <w:b/>
          <w:bCs/>
        </w:rPr>
        <w:t>9.38.1</w:t>
      </w:r>
      <w:r w:rsidRPr="007E130D">
        <w:rPr>
          <w:bCs/>
        </w:rPr>
        <w:t xml:space="preserve"> et </w:t>
      </w:r>
      <w:r w:rsidRPr="007E130D">
        <w:rPr>
          <w:b/>
        </w:rPr>
        <w:t>13.6</w:t>
      </w:r>
      <w:r w:rsidRPr="007E130D">
        <w:t xml:space="preserve"> du RR.</w:t>
      </w:r>
    </w:p>
    <w:p w14:paraId="420B1D07" w14:textId="77777777" w:rsidR="00DE42D5" w:rsidRPr="007E130D" w:rsidRDefault="00DE42D5" w:rsidP="00B20AC9">
      <w:r w:rsidRPr="007E130D">
        <w:t xml:space="preserve">Après la publication des Sections spéciales API/A, les observations soumises conformément au numéro </w:t>
      </w:r>
      <w:r w:rsidRPr="007E130D">
        <w:rPr>
          <w:b/>
        </w:rPr>
        <w:t>9.3</w:t>
      </w:r>
      <w:r w:rsidRPr="007E130D">
        <w:t xml:space="preserve"> </w:t>
      </w:r>
      <w:r w:rsidR="004E2E6E" w:rsidRPr="007E130D">
        <w:t xml:space="preserve">du RR </w:t>
      </w:r>
      <w:r w:rsidRPr="007E130D">
        <w:t>font l'objet d'un traitement et sont publiées par la suite dans des Sections spéciales API/B.</w:t>
      </w:r>
    </w:p>
    <w:p w14:paraId="3F6574A1" w14:textId="524CCCD9" w:rsidR="00DE42D5" w:rsidRPr="007E130D" w:rsidRDefault="004E2E6E" w:rsidP="00B20AC9">
      <w:r w:rsidRPr="007E130D">
        <w:t>Cela comprend également la publication des fiches de notification assujetti</w:t>
      </w:r>
      <w:r w:rsidR="00B57853" w:rsidRPr="007E130D">
        <w:t>e</w:t>
      </w:r>
      <w:r w:rsidRPr="007E130D">
        <w:t>s à la Résolution</w:t>
      </w:r>
      <w:r w:rsidR="008464B6" w:rsidRPr="007E130D">
        <w:t> </w:t>
      </w:r>
      <w:r w:rsidRPr="007E130D">
        <w:rPr>
          <w:b/>
          <w:bCs/>
        </w:rPr>
        <w:t>32</w:t>
      </w:r>
      <w:r w:rsidR="008464B6" w:rsidRPr="007E130D">
        <w:rPr>
          <w:b/>
          <w:bCs/>
        </w:rPr>
        <w:t> </w:t>
      </w:r>
      <w:r w:rsidRPr="007E130D">
        <w:rPr>
          <w:b/>
          <w:bCs/>
        </w:rPr>
        <w:t>(CMR-19)</w:t>
      </w:r>
      <w:r w:rsidRPr="007E130D">
        <w:t>.</w:t>
      </w:r>
    </w:p>
    <w:p w14:paraId="32380B39" w14:textId="627E9D0C" w:rsidR="00DE42D5" w:rsidRPr="007E130D" w:rsidRDefault="00DE42D5" w:rsidP="00B20AC9">
      <w:pPr>
        <w:pStyle w:val="Heading4"/>
      </w:pPr>
      <w:r w:rsidRPr="007E130D">
        <w:t>2.2.1.1</w:t>
      </w:r>
      <w:r w:rsidRPr="007E130D">
        <w:tab/>
        <w:t>Temps de traitement des demandes de publication API</w:t>
      </w:r>
    </w:p>
    <w:p w14:paraId="2B134F2B" w14:textId="3A80BB0C" w:rsidR="0059634F" w:rsidRPr="007E130D" w:rsidRDefault="001059C7" w:rsidP="00B20AC9">
      <w:pPr>
        <w:pStyle w:val="Figure"/>
      </w:pPr>
      <w:r w:rsidRPr="007E130D">
        <w:drawing>
          <wp:inline distT="0" distB="0" distL="0" distR="0" wp14:anchorId="0B3D599E" wp14:editId="690450D9">
            <wp:extent cx="6120765" cy="3152775"/>
            <wp:effectExtent l="0" t="0" r="0" b="9525"/>
            <wp:docPr id="163582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152775"/>
                    </a:xfrm>
                    <a:prstGeom prst="rect">
                      <a:avLst/>
                    </a:prstGeom>
                    <a:noFill/>
                    <a:ln>
                      <a:noFill/>
                    </a:ln>
                  </pic:spPr>
                </pic:pic>
              </a:graphicData>
            </a:graphic>
          </wp:inline>
        </w:drawing>
      </w:r>
    </w:p>
    <w:p w14:paraId="1ED0E6B6" w14:textId="28C7A65C" w:rsidR="00DE42D5" w:rsidRPr="007E130D" w:rsidRDefault="00DE42D5" w:rsidP="00BE141B">
      <w:pPr>
        <w:pStyle w:val="Normalaftertitle"/>
      </w:pPr>
      <w:r w:rsidRPr="007E130D">
        <w:rPr>
          <w:lang w:eastAsia="zh-CN"/>
        </w:rPr>
        <w:t xml:space="preserve">La figure ci-dessus donne les </w:t>
      </w:r>
      <w:r w:rsidRPr="007E130D">
        <w:t>statistiques sur le temps de traitement des demandes de publication</w:t>
      </w:r>
      <w:r w:rsidR="008464B6" w:rsidRPr="007E130D">
        <w:t> </w:t>
      </w:r>
      <w:r w:rsidRPr="007E130D">
        <w:t>API pendant la période 2019</w:t>
      </w:r>
      <w:r w:rsidR="00136EF7" w:rsidRPr="007E130D">
        <w:t>-2023</w:t>
      </w:r>
      <w:r w:rsidRPr="007E130D">
        <w:t xml:space="preserve">. Ces statistiques sont régulièrement actualisées et la dernière version est accessible à l'adresse: </w:t>
      </w:r>
      <w:hyperlink r:id="rId12" w:history="1">
        <w:r w:rsidR="00136EF7" w:rsidRPr="007E130D">
          <w:rPr>
            <w:rStyle w:val="Hyperlink"/>
          </w:rPr>
          <w:t>http://www.itu.int/en/ITU-R/space/Pages/Statistics.aspx</w:t>
        </w:r>
      </w:hyperlink>
      <w:r w:rsidRPr="007E130D">
        <w:t>.</w:t>
      </w:r>
    </w:p>
    <w:p w14:paraId="4F2F8F89" w14:textId="11FD7F6E" w:rsidR="00DE42D5" w:rsidRPr="007E130D" w:rsidRDefault="00DE42D5" w:rsidP="00B20AC9">
      <w:pPr>
        <w:pStyle w:val="Heading4"/>
      </w:pPr>
      <w:r w:rsidRPr="007E130D">
        <w:lastRenderedPageBreak/>
        <w:t>2.2.1.</w:t>
      </w:r>
      <w:r w:rsidR="00136EF7" w:rsidRPr="007E130D">
        <w:t>2</w:t>
      </w:r>
      <w:r w:rsidRPr="007E130D">
        <w:tab/>
        <w:t>Traitement des sections spéciales API/C</w:t>
      </w:r>
    </w:p>
    <w:p w14:paraId="6EA2562E" w14:textId="5329B117" w:rsidR="00DE42D5" w:rsidRPr="007E130D" w:rsidRDefault="00DE42D5" w:rsidP="00B20AC9">
      <w:r w:rsidRPr="007E130D">
        <w:t xml:space="preserve">Conformément au numéro </w:t>
      </w:r>
      <w:r w:rsidRPr="007E130D">
        <w:rPr>
          <w:b/>
          <w:bCs/>
        </w:rPr>
        <w:t>9.1A</w:t>
      </w:r>
      <w:r w:rsidRPr="007E130D">
        <w:t xml:space="preserve"> du RR, le Bureau publie, à partir des renseignements envoyés au titre du numéro </w:t>
      </w:r>
      <w:r w:rsidRPr="007E130D">
        <w:rPr>
          <w:b/>
          <w:bCs/>
        </w:rPr>
        <w:t>9.30</w:t>
      </w:r>
      <w:r w:rsidRPr="007E130D">
        <w:t xml:space="preserve"> du RR, une description générale du réseau à satellite ou du système à satellites en vue de sa publication anticipée dans une section spéciale de la BR IFIC. Le Bureau publie actuellement ces renseignements pour le réseau à satellite ou le système à satellites </w:t>
      </w:r>
      <w:r w:rsidR="00607788" w:rsidRPr="007E130D">
        <w:t>dans une section spéciale API/C, dans le cadre d'une procédure distincte du traitement de la demande de coordination.</w:t>
      </w:r>
    </w:p>
    <w:p w14:paraId="64D113A0" w14:textId="77777777" w:rsidR="00DE42D5" w:rsidRPr="007E130D" w:rsidRDefault="00DE42D5" w:rsidP="00B20AC9">
      <w:pPr>
        <w:pStyle w:val="Heading3"/>
      </w:pPr>
      <w:bookmarkStart w:id="39" w:name="_Toc426463202"/>
      <w:bookmarkStart w:id="40" w:name="_Toc19880019"/>
      <w:bookmarkStart w:id="41" w:name="_Toc147328775"/>
      <w:r w:rsidRPr="007E130D">
        <w:t>2.2.2</w:t>
      </w:r>
      <w:r w:rsidRPr="007E130D">
        <w:tab/>
        <w:t>Demandes de coordination (CR)</w:t>
      </w:r>
      <w:bookmarkEnd w:id="39"/>
      <w:bookmarkEnd w:id="40"/>
      <w:bookmarkEnd w:id="41"/>
    </w:p>
    <w:p w14:paraId="43EAD723" w14:textId="7D9705FF" w:rsidR="00DE42D5" w:rsidRPr="007E130D" w:rsidRDefault="00DE42D5" w:rsidP="00B20AC9">
      <w:r w:rsidRPr="007E130D">
        <w:t xml:space="preserve">Le traitement des demandes de coordination englobe le traitement des renseignements soumis au Bureau au titre de l'Article </w:t>
      </w:r>
      <w:r w:rsidRPr="007E130D">
        <w:rPr>
          <w:b/>
          <w:bCs/>
        </w:rPr>
        <w:t>9</w:t>
      </w:r>
      <w:r w:rsidRPr="007E130D">
        <w:t xml:space="preserve"> ainsi qu'en application des Résolutions et Appendices pertinents du Règlement des radiocommunications, à savoir: </w:t>
      </w:r>
      <w:r w:rsidR="00182CF9" w:rsidRPr="007E130D">
        <w:t>publication telle que reçue sur le site web de l'UIT, examen pour s'assurer que le réseau fait l'objet d'une coordination, préparation des données, validation, communication avec l'administration lorsque des éclaircissements sont nécessaires</w:t>
      </w:r>
      <w:r w:rsidR="00082D7D" w:rsidRPr="007E130D">
        <w:t xml:space="preserve">, </w:t>
      </w:r>
      <w:r w:rsidRPr="007E130D">
        <w:t xml:space="preserve">examen (formulation des conclusions concernant la conformité aux dispositions du Règlement des radiocommunications, formes de coordination applicables et besoins de coordination), publication des Sections spéciales CR/C, actualisation des bases de données mises à la disposition des administrations sur le site web de l'UIT, correspondance avec les administrations et assistance fournie à celles-ci. Après la publication des Sections spéciales CR/C, ce traitement englobe aussi le traitement des demandes soumises au titre du numéro </w:t>
      </w:r>
      <w:r w:rsidRPr="007E130D">
        <w:rPr>
          <w:b/>
          <w:bCs/>
        </w:rPr>
        <w:t>9.41</w:t>
      </w:r>
      <w:r w:rsidR="00082D7D" w:rsidRPr="007E130D">
        <w:t xml:space="preserve"> du RR</w:t>
      </w:r>
      <w:r w:rsidRPr="007E130D">
        <w:t xml:space="preserve">, qui sont publiées par la suite dans des Sections spéciales CR/E et, conformément au numéro </w:t>
      </w:r>
      <w:r w:rsidRPr="007E130D">
        <w:rPr>
          <w:b/>
          <w:bCs/>
        </w:rPr>
        <w:t>9.53A</w:t>
      </w:r>
      <w:r w:rsidR="00082D7D" w:rsidRPr="007E130D">
        <w:t xml:space="preserve"> </w:t>
      </w:r>
      <w:r w:rsidR="00082D7D" w:rsidRPr="007E130D">
        <w:rPr>
          <w:bCs/>
        </w:rPr>
        <w:t>du RR</w:t>
      </w:r>
      <w:r w:rsidRPr="007E130D">
        <w:t xml:space="preserve">, le traitement des observations formulées au titre du numéro </w:t>
      </w:r>
      <w:r w:rsidRPr="007E130D">
        <w:rPr>
          <w:b/>
          <w:bCs/>
        </w:rPr>
        <w:t>9.52</w:t>
      </w:r>
      <w:r w:rsidRPr="007E130D">
        <w:t xml:space="preserve"> </w:t>
      </w:r>
      <w:r w:rsidR="00082D7D" w:rsidRPr="007E130D">
        <w:t xml:space="preserve">du RR </w:t>
      </w:r>
      <w:r w:rsidRPr="007E130D">
        <w:t xml:space="preserve">concernant les demandes de coordination soumises relativement aux numéros </w:t>
      </w:r>
      <w:r w:rsidRPr="007E130D">
        <w:rPr>
          <w:b/>
          <w:bCs/>
        </w:rPr>
        <w:t>9.11</w:t>
      </w:r>
      <w:r w:rsidRPr="007E130D">
        <w:t xml:space="preserve"> à </w:t>
      </w:r>
      <w:r w:rsidRPr="007E130D">
        <w:rPr>
          <w:b/>
          <w:bCs/>
        </w:rPr>
        <w:t>9.14</w:t>
      </w:r>
      <w:r w:rsidRPr="007E130D">
        <w:t xml:space="preserve"> et </w:t>
      </w:r>
      <w:r w:rsidRPr="007E130D">
        <w:rPr>
          <w:b/>
          <w:bCs/>
        </w:rPr>
        <w:t>9.21</w:t>
      </w:r>
      <w:r w:rsidRPr="007E130D">
        <w:t xml:space="preserve"> </w:t>
      </w:r>
      <w:r w:rsidR="00082D7D" w:rsidRPr="007E130D">
        <w:t xml:space="preserve">du RR </w:t>
      </w:r>
      <w:r w:rsidRPr="007E130D">
        <w:t>(Section spéciale CR/D).</w:t>
      </w:r>
    </w:p>
    <w:p w14:paraId="234C36C7" w14:textId="25CE061E" w:rsidR="00DE42D5" w:rsidRPr="007E130D" w:rsidRDefault="00DE42D5" w:rsidP="00B20AC9">
      <w:pPr>
        <w:pStyle w:val="Heading4"/>
      </w:pPr>
      <w:r w:rsidRPr="007E130D">
        <w:t>2.2.2.</w:t>
      </w:r>
      <w:r w:rsidR="00136EF7" w:rsidRPr="007E130D">
        <w:t>1</w:t>
      </w:r>
      <w:r w:rsidRPr="007E130D">
        <w:tab/>
        <w:t>Temps de traitement des demandes de coordination</w:t>
      </w:r>
    </w:p>
    <w:p w14:paraId="3DDE3AB2" w14:textId="22419A6D" w:rsidR="00976EAC" w:rsidRPr="007E130D" w:rsidRDefault="00EF2E7A" w:rsidP="00B20AC9">
      <w:pPr>
        <w:pStyle w:val="Figure"/>
      </w:pPr>
      <w:r w:rsidRPr="007E130D">
        <w:drawing>
          <wp:inline distT="0" distB="0" distL="0" distR="0" wp14:anchorId="3366124A" wp14:editId="63B2A32A">
            <wp:extent cx="6120765" cy="3152775"/>
            <wp:effectExtent l="0" t="0" r="0" b="9525"/>
            <wp:docPr id="305982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152775"/>
                    </a:xfrm>
                    <a:prstGeom prst="rect">
                      <a:avLst/>
                    </a:prstGeom>
                    <a:noFill/>
                    <a:ln>
                      <a:noFill/>
                    </a:ln>
                  </pic:spPr>
                </pic:pic>
              </a:graphicData>
            </a:graphic>
          </wp:inline>
        </w:drawing>
      </w:r>
    </w:p>
    <w:p w14:paraId="117EA6AB" w14:textId="6BCD834A" w:rsidR="00136EF7" w:rsidRPr="007E130D" w:rsidRDefault="00136EF7" w:rsidP="00BE141B">
      <w:pPr>
        <w:pStyle w:val="Normalaftertitle"/>
      </w:pPr>
      <w:r w:rsidRPr="007E130D">
        <w:t xml:space="preserve">La figure ci-dessus présente les statistiques sur le temps de traitement des demandes de coordination pendant la période 2019-2023. Ces statistiques sont régulièrement mises à jour et la dernière version est accessible à l'adresse: </w:t>
      </w:r>
      <w:hyperlink r:id="rId14" w:history="1">
        <w:r w:rsidRPr="007E130D">
          <w:rPr>
            <w:rStyle w:val="Hyperlink"/>
          </w:rPr>
          <w:t>http://www.itu.int/en/ITU-R/space/Pages/Statistics.aspx</w:t>
        </w:r>
      </w:hyperlink>
      <w:r w:rsidRPr="007E130D">
        <w:t>.</w:t>
      </w:r>
    </w:p>
    <w:p w14:paraId="42CCA618" w14:textId="46329848" w:rsidR="00136EF7" w:rsidRPr="007E130D" w:rsidRDefault="00136EF7" w:rsidP="00B20AC9">
      <w:pPr>
        <w:pStyle w:val="Heading4"/>
      </w:pPr>
      <w:r w:rsidRPr="007E130D">
        <w:lastRenderedPageBreak/>
        <w:t>2.2.2.2</w:t>
      </w:r>
      <w:r w:rsidRPr="007E130D">
        <w:tab/>
        <w:t>Résolution 553 (Rév.CMR-15)</w:t>
      </w:r>
    </w:p>
    <w:p w14:paraId="400CB47F" w14:textId="6943FE08" w:rsidR="00136EF7" w:rsidRPr="007E130D" w:rsidRDefault="00136EF7" w:rsidP="00BE141B">
      <w:r w:rsidRPr="007E130D">
        <w:t xml:space="preserve">Conformément à la Résolution </w:t>
      </w:r>
      <w:r w:rsidRPr="007E130D">
        <w:rPr>
          <w:b/>
          <w:bCs/>
        </w:rPr>
        <w:t>553 (Rév.CMR-15)</w:t>
      </w:r>
      <w:r w:rsidRPr="007E130D">
        <w:t>, à compter du 18 février 2012, la procédure spéciale décrite dans la Pièce jointe à cette Résolution pour le traitement des demandes de coordination concernant les assignations de fréquence du SRS dans les Régions 1 et 3 dans la bande</w:t>
      </w:r>
      <w:r w:rsidR="00252AA9" w:rsidRPr="007E130D">
        <w:t> </w:t>
      </w:r>
      <w:r w:rsidRPr="007E130D">
        <w:t>21,4-22 GHz doit être appliquée aux soumissions des administrations conformes aux prescriptions indiquées dans la Pièce jointe.</w:t>
      </w:r>
    </w:p>
    <w:p w14:paraId="42753471" w14:textId="1E08D94D" w:rsidR="00136EF7" w:rsidRPr="007E130D" w:rsidRDefault="00136EF7" w:rsidP="00B20AC9">
      <w:r w:rsidRPr="007E130D">
        <w:t>Le Bureau n'a reçu aucune demande d'application de la procédure spéciale au titre de la Résolution </w:t>
      </w:r>
      <w:r w:rsidRPr="007E130D">
        <w:rPr>
          <w:rFonts w:asciiTheme="majorBidi" w:hAnsiTheme="majorBidi" w:cstheme="majorBidi"/>
          <w:b/>
          <w:bCs/>
          <w:szCs w:val="24"/>
        </w:rPr>
        <w:t>553 (Rév.CMR-15)</w:t>
      </w:r>
      <w:r w:rsidRPr="007E130D">
        <w:rPr>
          <w:rFonts w:asciiTheme="majorBidi" w:hAnsiTheme="majorBidi" w:cstheme="majorBidi"/>
          <w:szCs w:val="24"/>
        </w:rPr>
        <w:t xml:space="preserve"> après la CMR-19.</w:t>
      </w:r>
    </w:p>
    <w:p w14:paraId="2569B7C2" w14:textId="77777777" w:rsidR="00136EF7" w:rsidRPr="007E130D" w:rsidRDefault="00136EF7" w:rsidP="00B20AC9">
      <w:pPr>
        <w:pStyle w:val="Heading3"/>
      </w:pPr>
      <w:bookmarkStart w:id="42" w:name="_Toc426463203"/>
      <w:bookmarkStart w:id="43" w:name="_Toc19880020"/>
      <w:bookmarkStart w:id="44" w:name="_Toc147328776"/>
      <w:r w:rsidRPr="007E130D">
        <w:t>2.2.3</w:t>
      </w:r>
      <w:r w:rsidRPr="007E130D">
        <w:tab/>
        <w:t>Notification en vue d'une inscription dans le Fichier de référence</w:t>
      </w:r>
      <w:bookmarkEnd w:id="42"/>
      <w:bookmarkEnd w:id="43"/>
      <w:bookmarkEnd w:id="44"/>
    </w:p>
    <w:p w14:paraId="63BB45BF" w14:textId="1E78BEC2" w:rsidR="00136EF7" w:rsidRPr="007E130D" w:rsidRDefault="00136EF7" w:rsidP="00B20AC9">
      <w:r w:rsidRPr="007E130D">
        <w:t xml:space="preserve">Les tâches liées au traitement des renseignements de notification soumis au Bureau au titre de l'Article </w:t>
      </w:r>
      <w:r w:rsidRPr="007E130D">
        <w:rPr>
          <w:b/>
          <w:bCs/>
        </w:rPr>
        <w:t>11</w:t>
      </w:r>
      <w:r w:rsidRPr="007E130D">
        <w:t xml:space="preserve"> ainsi qu'en application des Résolutions et Appendices pertinents du Règlement des radiocommunications comprennent </w:t>
      </w:r>
      <w:r w:rsidR="00082D7D" w:rsidRPr="007E130D">
        <w:t xml:space="preserve">la publication telle que reçue sur le site web de l'UIT, la vérification que toutes les assignations sont couvertes par une API ou une CR selon que les assignations font l'objet d'une coordination ou non, la validation de l'exhaustivité et de l'exactitude des données, </w:t>
      </w:r>
      <w:r w:rsidRPr="007E130D">
        <w:t>la publication des renseignements dans la Partie IS de la BR IFIC, l'examen (comparaison des données, analyses et formulation des conclusions), l'inscription dans le Fichier de référence international des fréquences et la publication dans la Partie IIS ou IIIS de la BR IFIC, y compris l'actualisation des bases de données mises à la disposition des administrations sur le site web de l'UIT, la correspondance avec les administrations et l'assistance fournie à celles-ci. Entrent également dans le cadre de cette activité l'application des délais réglementaires qui ont été fixés et la mise en œuvre d'autres mesures pour que le Bureau et les administrations ne tiennent pas compte</w:t>
      </w:r>
      <w:r w:rsidR="00982F53" w:rsidRPr="007E130D">
        <w:t xml:space="preserve"> </w:t>
      </w:r>
      <w:r w:rsidRPr="007E130D">
        <w:t xml:space="preserve">des assignations pour lesquelles les renseignements de notification à fournir au titre de l'Article </w:t>
      </w:r>
      <w:r w:rsidRPr="007E130D">
        <w:rPr>
          <w:b/>
          <w:bCs/>
        </w:rPr>
        <w:t>11</w:t>
      </w:r>
      <w:r w:rsidRPr="007E130D">
        <w:t xml:space="preserve"> n'ont pas été reçus, ou qui n'ont pas été mises en service dans le délai réglementaire fixé dans la Résolution</w:t>
      </w:r>
      <w:r w:rsidRPr="007E130D">
        <w:rPr>
          <w:b/>
          <w:bCs/>
        </w:rPr>
        <w:t xml:space="preserve"> 49</w:t>
      </w:r>
      <w:r w:rsidRPr="007E130D">
        <w:t xml:space="preserve"> ainsi qu'aux numéros </w:t>
      </w:r>
      <w:r w:rsidRPr="007E130D">
        <w:rPr>
          <w:b/>
          <w:bCs/>
        </w:rPr>
        <w:t>11.44/11.44.1</w:t>
      </w:r>
      <w:r w:rsidRPr="007E130D">
        <w:t xml:space="preserve"> </w:t>
      </w:r>
      <w:r w:rsidR="00082D7D" w:rsidRPr="007E130D">
        <w:t xml:space="preserve">du RR </w:t>
      </w:r>
      <w:r w:rsidRPr="007E130D">
        <w:t>et dans les Règles de procédure correspondantes.</w:t>
      </w:r>
    </w:p>
    <w:p w14:paraId="226F9A0A" w14:textId="118EA707" w:rsidR="00136EF7" w:rsidRPr="007E130D" w:rsidRDefault="00136EF7" w:rsidP="00B20AC9">
      <w:pPr>
        <w:pStyle w:val="Heading4"/>
      </w:pPr>
      <w:r w:rsidRPr="007E130D">
        <w:t>2.2.3.1</w:t>
      </w:r>
      <w:r w:rsidRPr="007E130D">
        <w:tab/>
        <w:t>Temps de traitement des notifications relatives à des stations spatiales</w:t>
      </w:r>
    </w:p>
    <w:p w14:paraId="2E752975" w14:textId="2317E584" w:rsidR="00136EF7" w:rsidRPr="007E130D" w:rsidRDefault="00982F53" w:rsidP="00982F53">
      <w:pPr>
        <w:pStyle w:val="Figure"/>
        <w:keepNext w:val="0"/>
      </w:pPr>
      <w:r w:rsidRPr="007E130D">
        <w:drawing>
          <wp:inline distT="0" distB="0" distL="0" distR="0" wp14:anchorId="172E153B" wp14:editId="2060515B">
            <wp:extent cx="6120765" cy="3083560"/>
            <wp:effectExtent l="0" t="0" r="0" b="2540"/>
            <wp:docPr id="17543950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3083560"/>
                    </a:xfrm>
                    <a:prstGeom prst="rect">
                      <a:avLst/>
                    </a:prstGeom>
                    <a:noFill/>
                    <a:ln>
                      <a:noFill/>
                    </a:ln>
                  </pic:spPr>
                </pic:pic>
              </a:graphicData>
            </a:graphic>
          </wp:inline>
        </w:drawing>
      </w:r>
    </w:p>
    <w:p w14:paraId="5FC42D57" w14:textId="3DC6B851" w:rsidR="00136EF7" w:rsidRPr="007E130D" w:rsidRDefault="00136EF7" w:rsidP="00982F53">
      <w:pPr>
        <w:pStyle w:val="Normalaftertitle"/>
        <w:keepLines/>
      </w:pPr>
      <w:r w:rsidRPr="007E130D">
        <w:lastRenderedPageBreak/>
        <w:t>La figure ci-dessus présente les statistiques relatives au temps de traitement des demandes de notification de réseaux à satellite pendant la période 2019-2023. Ces statistiques sont régulièrement mises à jour et la dernière version est accessible à l'adresse:</w:t>
      </w:r>
      <w:r w:rsidR="00252AA9" w:rsidRPr="007E130D">
        <w:br/>
      </w:r>
      <w:hyperlink r:id="rId16" w:history="1">
        <w:r w:rsidRPr="007E130D">
          <w:rPr>
            <w:rStyle w:val="Hyperlink"/>
          </w:rPr>
          <w:t>http://www.itu.int/en/ITU-R/space/Pages/Statistics.aspx</w:t>
        </w:r>
      </w:hyperlink>
      <w:r w:rsidRPr="007E130D">
        <w:t>.</w:t>
      </w:r>
    </w:p>
    <w:p w14:paraId="040C5985" w14:textId="2ED53999" w:rsidR="00136EF7" w:rsidRPr="007E130D" w:rsidRDefault="00136EF7" w:rsidP="00B20AC9">
      <w:pPr>
        <w:pStyle w:val="Heading5"/>
      </w:pPr>
      <w:r w:rsidRPr="007E130D">
        <w:t>2.2.3.1.1</w:t>
      </w:r>
      <w:r w:rsidRPr="007E130D">
        <w:tab/>
        <w:t>Application des numéros 11.41A et 11.41B</w:t>
      </w:r>
      <w:r w:rsidR="001B0BA7" w:rsidRPr="007E130D">
        <w:t xml:space="preserve"> du RR</w:t>
      </w:r>
    </w:p>
    <w:p w14:paraId="68D300E8" w14:textId="24D72310" w:rsidR="00136EF7" w:rsidRPr="007E130D" w:rsidRDefault="00136EF7" w:rsidP="00B20AC9">
      <w:r w:rsidRPr="007E130D">
        <w:t xml:space="preserve">Les numéros </w:t>
      </w:r>
      <w:r w:rsidRPr="007E130D">
        <w:rPr>
          <w:b/>
          <w:bCs/>
        </w:rPr>
        <w:t>11.41A</w:t>
      </w:r>
      <w:r w:rsidRPr="007E130D">
        <w:t xml:space="preserve"> et </w:t>
      </w:r>
      <w:r w:rsidRPr="007E130D">
        <w:rPr>
          <w:b/>
          <w:bCs/>
        </w:rPr>
        <w:t>11.41B</w:t>
      </w:r>
      <w:r w:rsidRPr="007E130D">
        <w:t xml:space="preserve"> </w:t>
      </w:r>
      <w:r w:rsidR="001B0BA7" w:rsidRPr="007E130D">
        <w:t xml:space="preserve">du RR </w:t>
      </w:r>
      <w:r w:rsidRPr="007E130D">
        <w:t xml:space="preserve">énoncent les conditions applicables au réexamen des conclusions relatives à une assignation inscrite conformément au numéro </w:t>
      </w:r>
      <w:r w:rsidRPr="007E130D">
        <w:rPr>
          <w:b/>
          <w:bCs/>
        </w:rPr>
        <w:t>11.41</w:t>
      </w:r>
      <w:r w:rsidR="001B0BA7" w:rsidRPr="007E130D">
        <w:t xml:space="preserve"> </w:t>
      </w:r>
      <w:r w:rsidR="001B0BA7" w:rsidRPr="007E130D">
        <w:rPr>
          <w:bCs/>
        </w:rPr>
        <w:t>du RR,</w:t>
      </w:r>
      <w:r w:rsidRPr="007E130D">
        <w:t xml:space="preserve"> en raison d'un changement du statut de la coordination.</w:t>
      </w:r>
      <w:bookmarkStart w:id="45" w:name="lt_pId026"/>
      <w:r w:rsidRPr="007E130D">
        <w:t xml:space="preserve"> Comme indiqué dans la Lettre circulaire CR/397 en date du 8 avril 2016,</w:t>
      </w:r>
      <w:bookmarkEnd w:id="45"/>
      <w:r w:rsidRPr="007E130D">
        <w:t xml:space="preserve"> </w:t>
      </w:r>
      <w:bookmarkStart w:id="46" w:name="lt_pId029"/>
      <w:r w:rsidRPr="007E130D">
        <w:t xml:space="preserve">le Bureau a pleinement mis en œuvre le numéro </w:t>
      </w:r>
      <w:r w:rsidRPr="007E130D">
        <w:rPr>
          <w:b/>
          <w:bCs/>
        </w:rPr>
        <w:t>11.41A</w:t>
      </w:r>
      <w:r w:rsidRPr="007E130D">
        <w:t xml:space="preserve"> </w:t>
      </w:r>
      <w:r w:rsidR="001B0BA7" w:rsidRPr="007E130D">
        <w:t xml:space="preserve">du RR </w:t>
      </w:r>
      <w:r w:rsidRPr="007E130D">
        <w:t>pour toutes les premières fiches de notification reçues au 1er janvier 2015.</w:t>
      </w:r>
      <w:bookmarkEnd w:id="46"/>
      <w:r w:rsidRPr="007E130D">
        <w:t xml:space="preserve"> </w:t>
      </w:r>
      <w:bookmarkStart w:id="47" w:name="lt_pId030"/>
      <w:r w:rsidRPr="007E130D">
        <w:t>La liste des assignations de fréquence des réseaux à satellite qui ont constitué la base de la conclusion défavorable relativement au numéro</w:t>
      </w:r>
      <w:r w:rsidR="00252AA9" w:rsidRPr="007E130D">
        <w:t> </w:t>
      </w:r>
      <w:r w:rsidRPr="007E130D">
        <w:rPr>
          <w:b/>
          <w:bCs/>
        </w:rPr>
        <w:t>11.32A</w:t>
      </w:r>
      <w:r w:rsidRPr="007E130D">
        <w:t xml:space="preserve"> </w:t>
      </w:r>
      <w:r w:rsidR="001B0BA7" w:rsidRPr="007E130D">
        <w:t xml:space="preserve">du RR </w:t>
      </w:r>
      <w:r w:rsidRPr="007E130D">
        <w:t xml:space="preserve">pour une assignation inscrite conformément au numéro </w:t>
      </w:r>
      <w:r w:rsidRPr="007E130D">
        <w:rPr>
          <w:b/>
          <w:bCs/>
        </w:rPr>
        <w:t>11.41</w:t>
      </w:r>
      <w:r w:rsidRPr="007E130D">
        <w:t xml:space="preserve"> </w:t>
      </w:r>
      <w:r w:rsidR="001B0BA7" w:rsidRPr="007E130D">
        <w:t xml:space="preserve">du RR </w:t>
      </w:r>
      <w:r w:rsidRPr="007E130D">
        <w:t>est tenue à jour avec la fiche de notification de l'assignation inscrite et sera actualisée chaque fois que ces assignations de fréquence sont supprimées</w:t>
      </w:r>
      <w:bookmarkEnd w:id="47"/>
      <w:r w:rsidRPr="007E130D">
        <w:t>.</w:t>
      </w:r>
    </w:p>
    <w:p w14:paraId="01D6A9F7" w14:textId="450F7B72" w:rsidR="00136EF7" w:rsidRPr="007E130D" w:rsidRDefault="00136EF7" w:rsidP="00BE141B">
      <w:pPr>
        <w:pStyle w:val="Heading4"/>
      </w:pPr>
      <w:r w:rsidRPr="007E130D">
        <w:t>2.2.3.2</w:t>
      </w:r>
      <w:r w:rsidRPr="007E130D">
        <w:tab/>
        <w:t>Temps de traitement des notifications relatives à des stations terriennes</w:t>
      </w:r>
    </w:p>
    <w:p w14:paraId="23430881" w14:textId="77777777" w:rsidR="00136EF7" w:rsidRPr="007E130D" w:rsidRDefault="00FC3C22" w:rsidP="00B20AC9">
      <w:r w:rsidRPr="007E130D">
        <w:drawing>
          <wp:inline distT="0" distB="0" distL="0" distR="0" wp14:anchorId="4A3A57BA" wp14:editId="52F57999">
            <wp:extent cx="6120346" cy="2996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520" b="1423"/>
                    <a:stretch/>
                  </pic:blipFill>
                  <pic:spPr bwMode="auto">
                    <a:xfrm>
                      <a:off x="0" y="0"/>
                      <a:ext cx="6120765" cy="2996899"/>
                    </a:xfrm>
                    <a:prstGeom prst="rect">
                      <a:avLst/>
                    </a:prstGeom>
                    <a:noFill/>
                    <a:ln>
                      <a:noFill/>
                    </a:ln>
                    <a:extLst>
                      <a:ext uri="{53640926-AAD7-44D8-BBD7-CCE9431645EC}">
                        <a14:shadowObscured xmlns:a14="http://schemas.microsoft.com/office/drawing/2010/main"/>
                      </a:ext>
                    </a:extLst>
                  </pic:spPr>
                </pic:pic>
              </a:graphicData>
            </a:graphic>
          </wp:inline>
        </w:drawing>
      </w:r>
    </w:p>
    <w:p w14:paraId="5DA9F0F0" w14:textId="0415C9E4" w:rsidR="00136EF7" w:rsidRPr="007E130D" w:rsidRDefault="00136EF7" w:rsidP="00BE141B">
      <w:pPr>
        <w:pStyle w:val="Normalaftertitle"/>
      </w:pPr>
      <w:r w:rsidRPr="007E130D">
        <w:t>La figure ci-dessus présente les statistiques relatives au temps de traitement des demandes de notification de stations terriennes pendant la période 2019-2023. Ces statistiques sont régulièrement mises à jour et la dernière version est accessible à l'adresse:</w:t>
      </w:r>
      <w:r w:rsidR="00336C74" w:rsidRPr="007E130D">
        <w:t xml:space="preserve"> </w:t>
      </w:r>
      <w:hyperlink r:id="rId18" w:history="1">
        <w:r w:rsidR="00336C74" w:rsidRPr="007E130D">
          <w:rPr>
            <w:rStyle w:val="Hyperlink"/>
          </w:rPr>
          <w:t>http://www.itu.int/en/ITU</w:t>
        </w:r>
        <w:r w:rsidR="00336C74" w:rsidRPr="007E130D">
          <w:rPr>
            <w:rStyle w:val="Hyperlink"/>
          </w:rPr>
          <w:noBreakHyphen/>
          <w:t>R/space/Pages/Statistics.aspx</w:t>
        </w:r>
      </w:hyperlink>
      <w:r w:rsidRPr="007E130D">
        <w:t>.</w:t>
      </w:r>
    </w:p>
    <w:p w14:paraId="5B8D213F" w14:textId="54D99917" w:rsidR="00136EF7" w:rsidRPr="007E130D" w:rsidRDefault="00136EF7" w:rsidP="000F3420">
      <w:pPr>
        <w:pStyle w:val="Heading4"/>
      </w:pPr>
      <w:r w:rsidRPr="007E130D">
        <w:t>2.2.3.3</w:t>
      </w:r>
      <w:r w:rsidRPr="007E130D">
        <w:tab/>
        <w:t>Résolution 4 (Rév.CMR-03)</w:t>
      </w:r>
    </w:p>
    <w:p w14:paraId="5041439B" w14:textId="2380ACE1" w:rsidR="00136EF7" w:rsidRPr="007E130D" w:rsidRDefault="00136EF7" w:rsidP="00B20AC9">
      <w:r w:rsidRPr="007E130D">
        <w:t xml:space="preserve">Conformément à la Résolution </w:t>
      </w:r>
      <w:r w:rsidRPr="007E130D">
        <w:rPr>
          <w:b/>
          <w:bCs/>
        </w:rPr>
        <w:t>4 (Rév.CMR-03)</w:t>
      </w:r>
      <w:r w:rsidRPr="007E130D">
        <w:t>, la durée de validité d'une assignation de fréquence peut être prolongée, auquel cas la durée de validité révisée est publiée dans une Section spéciale</w:t>
      </w:r>
      <w:r w:rsidR="000F3420" w:rsidRPr="007E130D">
        <w:t> </w:t>
      </w:r>
      <w:r w:rsidRPr="007E130D">
        <w:t>RES</w:t>
      </w:r>
      <w:r w:rsidRPr="007E130D">
        <w:rPr>
          <w:b/>
          <w:bCs/>
        </w:rPr>
        <w:t>4</w:t>
      </w:r>
      <w:r w:rsidRPr="007E130D">
        <w:t xml:space="preserve"> de la Circulaire internationale d'information sur les fréquences du Bureau (BR IFIC).</w:t>
      </w:r>
    </w:p>
    <w:p w14:paraId="72CB635A" w14:textId="15E1CC19" w:rsidR="00136EF7" w:rsidRPr="007E130D" w:rsidRDefault="00136EF7" w:rsidP="00336C74">
      <w:pPr>
        <w:keepLines/>
      </w:pPr>
      <w:r w:rsidRPr="007E130D">
        <w:lastRenderedPageBreak/>
        <w:t>Après la fin de la durée de validité d'une assignation de fréquence, conformément au point 1.1 du</w:t>
      </w:r>
      <w:r w:rsidR="000F3420" w:rsidRPr="007E130D">
        <w:t> </w:t>
      </w:r>
      <w:r w:rsidRPr="007E130D">
        <w:rPr>
          <w:i/>
          <w:iCs/>
        </w:rPr>
        <w:t xml:space="preserve">décide </w:t>
      </w:r>
      <w:r w:rsidRPr="007E130D">
        <w:t xml:space="preserve">de la Résolution </w:t>
      </w:r>
      <w:r w:rsidRPr="007E130D">
        <w:rPr>
          <w:b/>
          <w:bCs/>
        </w:rPr>
        <w:t>4</w:t>
      </w:r>
      <w:r w:rsidRPr="007E130D">
        <w:t xml:space="preserve">, le Bureau invite l'administration notificatrice à annuler l'assignation de fréquence correspondante, si l'administration n'a pas informé le Bureau de son intention de prolonger la durée de fonctionnement initiale au titre du point 1.2 du </w:t>
      </w:r>
      <w:r w:rsidRPr="007E130D">
        <w:rPr>
          <w:i/>
          <w:iCs/>
        </w:rPr>
        <w:t>décide</w:t>
      </w:r>
      <w:r w:rsidRPr="007E130D">
        <w:t xml:space="preserve"> de ladite Résolution. Si le Bureau ne reçoit pas de réponse dans un délai de trois mois, il insère un symbole dans la colonne «Observations» du Fichier de référence, indiquant que les assignations ne sont pas conformes à cette Résolution.</w:t>
      </w:r>
    </w:p>
    <w:bookmarkEnd w:id="19"/>
    <w:bookmarkEnd w:id="20"/>
    <w:bookmarkEnd w:id="21"/>
    <w:p w14:paraId="7FAF6FEC" w14:textId="737C2CC8" w:rsidR="008E400E" w:rsidRPr="007E130D" w:rsidRDefault="008E400E" w:rsidP="000F3420">
      <w:pPr>
        <w:pStyle w:val="TableNo"/>
        <w:keepNext w:val="0"/>
      </w:pPr>
      <w:r w:rsidRPr="007E130D">
        <w:t xml:space="preserve">Tableau </w:t>
      </w:r>
      <w:r w:rsidR="00136EF7" w:rsidRPr="007E130D">
        <w:t>2.2.3.3-1</w:t>
      </w:r>
    </w:p>
    <w:p w14:paraId="0865B73C" w14:textId="77777777" w:rsidR="008E400E" w:rsidRPr="007E130D" w:rsidRDefault="00136EF7" w:rsidP="000F3420">
      <w:pPr>
        <w:pStyle w:val="Tabletitle"/>
        <w:keepNext w:val="0"/>
        <w:keepLines w:val="0"/>
      </w:pPr>
      <w:r w:rsidRPr="007E130D">
        <w:t>Statistiques relatives à la Résolution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28"/>
        <w:gridCol w:w="2775"/>
      </w:tblGrid>
      <w:tr w:rsidR="00136EF7" w:rsidRPr="007E130D" w14:paraId="637B47FF" w14:textId="77777777" w:rsidTr="00BE141B">
        <w:trPr>
          <w:tblHeader/>
          <w:jc w:val="center"/>
        </w:trPr>
        <w:tc>
          <w:tcPr>
            <w:tcW w:w="8103" w:type="dxa"/>
            <w:gridSpan w:val="2"/>
            <w:tcMar>
              <w:top w:w="0" w:type="dxa"/>
              <w:left w:w="108" w:type="dxa"/>
              <w:bottom w:w="0" w:type="dxa"/>
              <w:right w:w="108" w:type="dxa"/>
            </w:tcMar>
            <w:vAlign w:val="center"/>
          </w:tcPr>
          <w:p w14:paraId="41332E12" w14:textId="77777777" w:rsidR="00136EF7" w:rsidRPr="007E130D" w:rsidRDefault="00136EF7" w:rsidP="000F3420">
            <w:pPr>
              <w:pStyle w:val="Tablehead"/>
              <w:keepNext w:val="0"/>
            </w:pPr>
            <w:r w:rsidRPr="007E130D">
              <w:t>Nombre de publications par an au titre de la Résolution 4</w:t>
            </w:r>
          </w:p>
        </w:tc>
      </w:tr>
      <w:tr w:rsidR="00136EF7" w:rsidRPr="007E130D" w14:paraId="4CBFCEB4" w14:textId="77777777" w:rsidTr="00960B1C">
        <w:trPr>
          <w:jc w:val="center"/>
        </w:trPr>
        <w:tc>
          <w:tcPr>
            <w:tcW w:w="5328" w:type="dxa"/>
            <w:tcMar>
              <w:top w:w="0" w:type="dxa"/>
              <w:left w:w="108" w:type="dxa"/>
              <w:bottom w:w="0" w:type="dxa"/>
              <w:right w:w="108" w:type="dxa"/>
            </w:tcMar>
          </w:tcPr>
          <w:p w14:paraId="0B85EB37" w14:textId="77777777" w:rsidR="00136EF7" w:rsidRPr="007E130D" w:rsidRDefault="00136EF7" w:rsidP="000F3420">
            <w:pPr>
              <w:pStyle w:val="Tabletext"/>
            </w:pPr>
            <w:r w:rsidRPr="007E130D">
              <w:t>2010</w:t>
            </w:r>
          </w:p>
        </w:tc>
        <w:tc>
          <w:tcPr>
            <w:tcW w:w="2775" w:type="dxa"/>
            <w:tcMar>
              <w:top w:w="0" w:type="dxa"/>
              <w:left w:w="108" w:type="dxa"/>
              <w:bottom w:w="0" w:type="dxa"/>
              <w:right w:w="108" w:type="dxa"/>
            </w:tcMar>
          </w:tcPr>
          <w:p w14:paraId="2B9D4DD6" w14:textId="77777777" w:rsidR="00136EF7" w:rsidRPr="007E130D" w:rsidRDefault="00136EF7" w:rsidP="000F3420">
            <w:pPr>
              <w:pStyle w:val="Tabletext"/>
              <w:jc w:val="center"/>
            </w:pPr>
            <w:r w:rsidRPr="007E130D">
              <w:t>33</w:t>
            </w:r>
          </w:p>
        </w:tc>
      </w:tr>
      <w:tr w:rsidR="00136EF7" w:rsidRPr="007E130D" w14:paraId="60449F60" w14:textId="77777777" w:rsidTr="00960B1C">
        <w:trPr>
          <w:jc w:val="center"/>
        </w:trPr>
        <w:tc>
          <w:tcPr>
            <w:tcW w:w="5328" w:type="dxa"/>
            <w:tcMar>
              <w:top w:w="0" w:type="dxa"/>
              <w:left w:w="108" w:type="dxa"/>
              <w:bottom w:w="0" w:type="dxa"/>
              <w:right w:w="108" w:type="dxa"/>
            </w:tcMar>
          </w:tcPr>
          <w:p w14:paraId="75699F90" w14:textId="77777777" w:rsidR="00136EF7" w:rsidRPr="007E130D" w:rsidRDefault="00136EF7" w:rsidP="000F3420">
            <w:pPr>
              <w:pStyle w:val="Tabletext"/>
            </w:pPr>
            <w:r w:rsidRPr="007E130D">
              <w:t>2011</w:t>
            </w:r>
          </w:p>
        </w:tc>
        <w:tc>
          <w:tcPr>
            <w:tcW w:w="2775" w:type="dxa"/>
            <w:tcMar>
              <w:top w:w="0" w:type="dxa"/>
              <w:left w:w="108" w:type="dxa"/>
              <w:bottom w:w="0" w:type="dxa"/>
              <w:right w:w="108" w:type="dxa"/>
            </w:tcMar>
          </w:tcPr>
          <w:p w14:paraId="701B3EC9" w14:textId="77777777" w:rsidR="00136EF7" w:rsidRPr="007E130D" w:rsidRDefault="00136EF7" w:rsidP="000F3420">
            <w:pPr>
              <w:pStyle w:val="Tabletext"/>
              <w:jc w:val="center"/>
            </w:pPr>
            <w:r w:rsidRPr="007E130D">
              <w:t>51</w:t>
            </w:r>
          </w:p>
        </w:tc>
      </w:tr>
      <w:tr w:rsidR="00136EF7" w:rsidRPr="007E130D" w14:paraId="1F99F7CA" w14:textId="77777777" w:rsidTr="00960B1C">
        <w:trPr>
          <w:jc w:val="center"/>
        </w:trPr>
        <w:tc>
          <w:tcPr>
            <w:tcW w:w="5328" w:type="dxa"/>
            <w:tcMar>
              <w:top w:w="0" w:type="dxa"/>
              <w:left w:w="108" w:type="dxa"/>
              <w:bottom w:w="0" w:type="dxa"/>
              <w:right w:w="108" w:type="dxa"/>
            </w:tcMar>
          </w:tcPr>
          <w:p w14:paraId="43A3178B" w14:textId="77777777" w:rsidR="00136EF7" w:rsidRPr="007E130D" w:rsidRDefault="00136EF7" w:rsidP="000F3420">
            <w:pPr>
              <w:pStyle w:val="Tabletext"/>
            </w:pPr>
            <w:r w:rsidRPr="007E130D">
              <w:t>2012</w:t>
            </w:r>
          </w:p>
        </w:tc>
        <w:tc>
          <w:tcPr>
            <w:tcW w:w="2775" w:type="dxa"/>
            <w:tcMar>
              <w:top w:w="0" w:type="dxa"/>
              <w:left w:w="108" w:type="dxa"/>
              <w:bottom w:w="0" w:type="dxa"/>
              <w:right w:w="108" w:type="dxa"/>
            </w:tcMar>
          </w:tcPr>
          <w:p w14:paraId="62CAF806" w14:textId="77777777" w:rsidR="00136EF7" w:rsidRPr="007E130D" w:rsidRDefault="00136EF7" w:rsidP="000F3420">
            <w:pPr>
              <w:pStyle w:val="Tabletext"/>
              <w:jc w:val="center"/>
            </w:pPr>
            <w:r w:rsidRPr="007E130D">
              <w:t>66</w:t>
            </w:r>
          </w:p>
        </w:tc>
      </w:tr>
      <w:tr w:rsidR="00136EF7" w:rsidRPr="007E130D" w14:paraId="637631BE" w14:textId="77777777" w:rsidTr="00960B1C">
        <w:trPr>
          <w:jc w:val="center"/>
        </w:trPr>
        <w:tc>
          <w:tcPr>
            <w:tcW w:w="5328" w:type="dxa"/>
            <w:tcMar>
              <w:top w:w="0" w:type="dxa"/>
              <w:left w:w="108" w:type="dxa"/>
              <w:bottom w:w="0" w:type="dxa"/>
              <w:right w:w="108" w:type="dxa"/>
            </w:tcMar>
          </w:tcPr>
          <w:p w14:paraId="70C3D2A7" w14:textId="77777777" w:rsidR="00136EF7" w:rsidRPr="007E130D" w:rsidRDefault="00136EF7" w:rsidP="000F3420">
            <w:pPr>
              <w:pStyle w:val="Tabletext"/>
            </w:pPr>
            <w:r w:rsidRPr="007E130D">
              <w:t>2013</w:t>
            </w:r>
          </w:p>
        </w:tc>
        <w:tc>
          <w:tcPr>
            <w:tcW w:w="2775" w:type="dxa"/>
            <w:tcMar>
              <w:top w:w="0" w:type="dxa"/>
              <w:left w:w="108" w:type="dxa"/>
              <w:bottom w:w="0" w:type="dxa"/>
              <w:right w:w="108" w:type="dxa"/>
            </w:tcMar>
          </w:tcPr>
          <w:p w14:paraId="23753B71" w14:textId="77777777" w:rsidR="00136EF7" w:rsidRPr="007E130D" w:rsidRDefault="00136EF7" w:rsidP="000F3420">
            <w:pPr>
              <w:pStyle w:val="Tabletext"/>
              <w:jc w:val="center"/>
            </w:pPr>
            <w:r w:rsidRPr="007E130D">
              <w:t>67</w:t>
            </w:r>
          </w:p>
        </w:tc>
      </w:tr>
      <w:tr w:rsidR="00136EF7" w:rsidRPr="007E130D" w14:paraId="55A0C26D" w14:textId="77777777" w:rsidTr="00960B1C">
        <w:trPr>
          <w:jc w:val="center"/>
        </w:trPr>
        <w:tc>
          <w:tcPr>
            <w:tcW w:w="5328" w:type="dxa"/>
            <w:tcMar>
              <w:top w:w="0" w:type="dxa"/>
              <w:left w:w="108" w:type="dxa"/>
              <w:bottom w:w="0" w:type="dxa"/>
              <w:right w:w="108" w:type="dxa"/>
            </w:tcMar>
          </w:tcPr>
          <w:p w14:paraId="485F421B" w14:textId="77777777" w:rsidR="00136EF7" w:rsidRPr="007E130D" w:rsidRDefault="00136EF7" w:rsidP="000F3420">
            <w:pPr>
              <w:pStyle w:val="Tabletext"/>
            </w:pPr>
            <w:r w:rsidRPr="007E130D">
              <w:t>2014</w:t>
            </w:r>
          </w:p>
        </w:tc>
        <w:tc>
          <w:tcPr>
            <w:tcW w:w="2775" w:type="dxa"/>
            <w:tcMar>
              <w:top w:w="0" w:type="dxa"/>
              <w:left w:w="108" w:type="dxa"/>
              <w:bottom w:w="0" w:type="dxa"/>
              <w:right w:w="108" w:type="dxa"/>
            </w:tcMar>
          </w:tcPr>
          <w:p w14:paraId="0977D7DC" w14:textId="77777777" w:rsidR="00136EF7" w:rsidRPr="007E130D" w:rsidRDefault="00136EF7" w:rsidP="000F3420">
            <w:pPr>
              <w:pStyle w:val="Tabletext"/>
              <w:jc w:val="center"/>
            </w:pPr>
            <w:r w:rsidRPr="007E130D">
              <w:t>57</w:t>
            </w:r>
          </w:p>
        </w:tc>
      </w:tr>
      <w:tr w:rsidR="00136EF7" w:rsidRPr="007E130D" w14:paraId="3C9630D9" w14:textId="77777777" w:rsidTr="00960B1C">
        <w:trPr>
          <w:jc w:val="center"/>
        </w:trPr>
        <w:tc>
          <w:tcPr>
            <w:tcW w:w="5328" w:type="dxa"/>
            <w:tcMar>
              <w:top w:w="0" w:type="dxa"/>
              <w:left w:w="108" w:type="dxa"/>
              <w:bottom w:w="0" w:type="dxa"/>
              <w:right w:w="108" w:type="dxa"/>
            </w:tcMar>
          </w:tcPr>
          <w:p w14:paraId="134FAF95" w14:textId="77777777" w:rsidR="00136EF7" w:rsidRPr="007E130D" w:rsidRDefault="00136EF7" w:rsidP="000F3420">
            <w:pPr>
              <w:pStyle w:val="Tabletext"/>
            </w:pPr>
            <w:r w:rsidRPr="007E130D">
              <w:t>2015</w:t>
            </w:r>
          </w:p>
        </w:tc>
        <w:tc>
          <w:tcPr>
            <w:tcW w:w="2775" w:type="dxa"/>
            <w:tcMar>
              <w:top w:w="0" w:type="dxa"/>
              <w:left w:w="108" w:type="dxa"/>
              <w:bottom w:w="0" w:type="dxa"/>
              <w:right w:w="108" w:type="dxa"/>
            </w:tcMar>
          </w:tcPr>
          <w:p w14:paraId="730FB4C0" w14:textId="77777777" w:rsidR="00136EF7" w:rsidRPr="007E130D" w:rsidRDefault="00136EF7" w:rsidP="000F3420">
            <w:pPr>
              <w:pStyle w:val="Tabletext"/>
              <w:jc w:val="center"/>
            </w:pPr>
            <w:r w:rsidRPr="007E130D">
              <w:t>37</w:t>
            </w:r>
          </w:p>
        </w:tc>
      </w:tr>
      <w:tr w:rsidR="00136EF7" w:rsidRPr="007E130D" w14:paraId="77B1E9E8" w14:textId="77777777" w:rsidTr="00960B1C">
        <w:trPr>
          <w:jc w:val="center"/>
        </w:trPr>
        <w:tc>
          <w:tcPr>
            <w:tcW w:w="5328" w:type="dxa"/>
            <w:tcMar>
              <w:top w:w="0" w:type="dxa"/>
              <w:left w:w="108" w:type="dxa"/>
              <w:bottom w:w="0" w:type="dxa"/>
              <w:right w:w="108" w:type="dxa"/>
            </w:tcMar>
          </w:tcPr>
          <w:p w14:paraId="68DCBB7D" w14:textId="77777777" w:rsidR="00136EF7" w:rsidRPr="007E130D" w:rsidRDefault="00136EF7" w:rsidP="000F3420">
            <w:pPr>
              <w:pStyle w:val="Tabletext"/>
            </w:pPr>
            <w:r w:rsidRPr="007E130D">
              <w:t>2016</w:t>
            </w:r>
          </w:p>
        </w:tc>
        <w:tc>
          <w:tcPr>
            <w:tcW w:w="2775" w:type="dxa"/>
            <w:tcMar>
              <w:top w:w="0" w:type="dxa"/>
              <w:left w:w="108" w:type="dxa"/>
              <w:bottom w:w="0" w:type="dxa"/>
              <w:right w:w="108" w:type="dxa"/>
            </w:tcMar>
          </w:tcPr>
          <w:p w14:paraId="77118F43" w14:textId="77777777" w:rsidR="00136EF7" w:rsidRPr="007E130D" w:rsidRDefault="00136EF7" w:rsidP="000F3420">
            <w:pPr>
              <w:pStyle w:val="Tabletext"/>
              <w:jc w:val="center"/>
            </w:pPr>
            <w:r w:rsidRPr="007E130D">
              <w:t>34</w:t>
            </w:r>
          </w:p>
        </w:tc>
      </w:tr>
      <w:tr w:rsidR="00136EF7" w:rsidRPr="007E130D" w14:paraId="467BFC07" w14:textId="77777777" w:rsidTr="00960B1C">
        <w:trPr>
          <w:jc w:val="center"/>
        </w:trPr>
        <w:tc>
          <w:tcPr>
            <w:tcW w:w="5328" w:type="dxa"/>
            <w:tcMar>
              <w:top w:w="0" w:type="dxa"/>
              <w:left w:w="108" w:type="dxa"/>
              <w:bottom w:w="0" w:type="dxa"/>
              <w:right w:w="108" w:type="dxa"/>
            </w:tcMar>
          </w:tcPr>
          <w:p w14:paraId="7F67711F" w14:textId="77777777" w:rsidR="00136EF7" w:rsidRPr="007E130D" w:rsidRDefault="00136EF7" w:rsidP="00B20AC9">
            <w:pPr>
              <w:pStyle w:val="Tabletext"/>
            </w:pPr>
            <w:r w:rsidRPr="007E130D">
              <w:t>2017</w:t>
            </w:r>
          </w:p>
        </w:tc>
        <w:tc>
          <w:tcPr>
            <w:tcW w:w="2775" w:type="dxa"/>
            <w:tcMar>
              <w:top w:w="0" w:type="dxa"/>
              <w:left w:w="108" w:type="dxa"/>
              <w:bottom w:w="0" w:type="dxa"/>
              <w:right w:w="108" w:type="dxa"/>
            </w:tcMar>
          </w:tcPr>
          <w:p w14:paraId="3E6BBE9A" w14:textId="77777777" w:rsidR="00136EF7" w:rsidRPr="007E130D" w:rsidRDefault="00136EF7" w:rsidP="00B20AC9">
            <w:pPr>
              <w:pStyle w:val="Tabletext"/>
              <w:jc w:val="center"/>
            </w:pPr>
            <w:r w:rsidRPr="007E130D">
              <w:t>37</w:t>
            </w:r>
          </w:p>
        </w:tc>
      </w:tr>
      <w:tr w:rsidR="00136EF7" w:rsidRPr="007E130D" w14:paraId="52837CD4" w14:textId="77777777" w:rsidTr="00960B1C">
        <w:trPr>
          <w:jc w:val="center"/>
        </w:trPr>
        <w:tc>
          <w:tcPr>
            <w:tcW w:w="5328" w:type="dxa"/>
            <w:tcMar>
              <w:top w:w="0" w:type="dxa"/>
              <w:left w:w="108" w:type="dxa"/>
              <w:bottom w:w="0" w:type="dxa"/>
              <w:right w:w="108" w:type="dxa"/>
            </w:tcMar>
          </w:tcPr>
          <w:p w14:paraId="1D806978" w14:textId="77777777" w:rsidR="00136EF7" w:rsidRPr="007E130D" w:rsidRDefault="00136EF7" w:rsidP="00B20AC9">
            <w:pPr>
              <w:pStyle w:val="Tabletext"/>
            </w:pPr>
            <w:r w:rsidRPr="007E130D">
              <w:t>2018</w:t>
            </w:r>
          </w:p>
        </w:tc>
        <w:tc>
          <w:tcPr>
            <w:tcW w:w="2775" w:type="dxa"/>
            <w:tcMar>
              <w:top w:w="0" w:type="dxa"/>
              <w:left w:w="108" w:type="dxa"/>
              <w:bottom w:w="0" w:type="dxa"/>
              <w:right w:w="108" w:type="dxa"/>
            </w:tcMar>
          </w:tcPr>
          <w:p w14:paraId="625ADAA9" w14:textId="77777777" w:rsidR="00136EF7" w:rsidRPr="007E130D" w:rsidRDefault="00136EF7" w:rsidP="00B20AC9">
            <w:pPr>
              <w:pStyle w:val="Tabletext"/>
              <w:jc w:val="center"/>
            </w:pPr>
            <w:r w:rsidRPr="007E130D">
              <w:t>43</w:t>
            </w:r>
          </w:p>
        </w:tc>
      </w:tr>
      <w:tr w:rsidR="00136EF7" w:rsidRPr="007E130D" w14:paraId="7A58B7DD" w14:textId="77777777" w:rsidTr="00960B1C">
        <w:trPr>
          <w:jc w:val="center"/>
        </w:trPr>
        <w:tc>
          <w:tcPr>
            <w:tcW w:w="5328" w:type="dxa"/>
            <w:tcMar>
              <w:top w:w="0" w:type="dxa"/>
              <w:left w:w="108" w:type="dxa"/>
              <w:bottom w:w="0" w:type="dxa"/>
              <w:right w:w="108" w:type="dxa"/>
            </w:tcMar>
          </w:tcPr>
          <w:p w14:paraId="1958BF63" w14:textId="7DCEEE43" w:rsidR="00136EF7" w:rsidRPr="007E130D" w:rsidRDefault="00136EF7" w:rsidP="00B20AC9">
            <w:pPr>
              <w:pStyle w:val="Tabletext"/>
            </w:pPr>
            <w:r w:rsidRPr="007E130D">
              <w:t>2019</w:t>
            </w:r>
          </w:p>
        </w:tc>
        <w:tc>
          <w:tcPr>
            <w:tcW w:w="2775" w:type="dxa"/>
            <w:tcMar>
              <w:top w:w="0" w:type="dxa"/>
              <w:left w:w="108" w:type="dxa"/>
              <w:bottom w:w="0" w:type="dxa"/>
              <w:right w:w="108" w:type="dxa"/>
            </w:tcMar>
          </w:tcPr>
          <w:p w14:paraId="7CB301CB" w14:textId="0697790E" w:rsidR="00136EF7" w:rsidRPr="007E130D" w:rsidRDefault="00136EF7" w:rsidP="00B20AC9">
            <w:pPr>
              <w:pStyle w:val="Tabletext"/>
              <w:jc w:val="center"/>
            </w:pPr>
            <w:r w:rsidRPr="007E130D">
              <w:t>56</w:t>
            </w:r>
          </w:p>
        </w:tc>
      </w:tr>
      <w:tr w:rsidR="00CB5A66" w:rsidRPr="007E130D" w14:paraId="1981DBE1" w14:textId="77777777" w:rsidTr="00960B1C">
        <w:trPr>
          <w:jc w:val="center"/>
        </w:trPr>
        <w:tc>
          <w:tcPr>
            <w:tcW w:w="5328" w:type="dxa"/>
            <w:tcMar>
              <w:top w:w="0" w:type="dxa"/>
              <w:left w:w="108" w:type="dxa"/>
              <w:bottom w:w="0" w:type="dxa"/>
              <w:right w:w="108" w:type="dxa"/>
            </w:tcMar>
          </w:tcPr>
          <w:p w14:paraId="38928183" w14:textId="77777777" w:rsidR="00CB5A66" w:rsidRPr="007E130D" w:rsidDel="00136EF7" w:rsidRDefault="00CB5A66" w:rsidP="00B20AC9">
            <w:pPr>
              <w:pStyle w:val="Tabletext"/>
            </w:pPr>
            <w:r w:rsidRPr="007E130D">
              <w:t>2020</w:t>
            </w:r>
          </w:p>
        </w:tc>
        <w:tc>
          <w:tcPr>
            <w:tcW w:w="2775" w:type="dxa"/>
            <w:tcMar>
              <w:top w:w="0" w:type="dxa"/>
              <w:left w:w="108" w:type="dxa"/>
              <w:bottom w:w="0" w:type="dxa"/>
              <w:right w:w="108" w:type="dxa"/>
            </w:tcMar>
          </w:tcPr>
          <w:p w14:paraId="677F4B8A" w14:textId="77777777" w:rsidR="00CB5A66" w:rsidRPr="007E130D" w:rsidDel="00136EF7" w:rsidRDefault="00CB5A66" w:rsidP="00B20AC9">
            <w:pPr>
              <w:pStyle w:val="Tabletext"/>
              <w:jc w:val="center"/>
            </w:pPr>
            <w:r w:rsidRPr="007E130D">
              <w:t>75</w:t>
            </w:r>
          </w:p>
        </w:tc>
      </w:tr>
      <w:tr w:rsidR="00CB5A66" w:rsidRPr="007E130D" w14:paraId="7C8F0F08" w14:textId="77777777" w:rsidTr="00960B1C">
        <w:trPr>
          <w:jc w:val="center"/>
        </w:trPr>
        <w:tc>
          <w:tcPr>
            <w:tcW w:w="5328" w:type="dxa"/>
            <w:tcMar>
              <w:top w:w="0" w:type="dxa"/>
              <w:left w:w="108" w:type="dxa"/>
              <w:bottom w:w="0" w:type="dxa"/>
              <w:right w:w="108" w:type="dxa"/>
            </w:tcMar>
          </w:tcPr>
          <w:p w14:paraId="25DD0C0D" w14:textId="77777777" w:rsidR="00CB5A66" w:rsidRPr="007E130D" w:rsidDel="00136EF7" w:rsidRDefault="00CB5A66" w:rsidP="00B20AC9">
            <w:pPr>
              <w:pStyle w:val="Tabletext"/>
            </w:pPr>
            <w:r w:rsidRPr="007E130D">
              <w:t>2021</w:t>
            </w:r>
          </w:p>
        </w:tc>
        <w:tc>
          <w:tcPr>
            <w:tcW w:w="2775" w:type="dxa"/>
            <w:tcMar>
              <w:top w:w="0" w:type="dxa"/>
              <w:left w:w="108" w:type="dxa"/>
              <w:bottom w:w="0" w:type="dxa"/>
              <w:right w:w="108" w:type="dxa"/>
            </w:tcMar>
          </w:tcPr>
          <w:p w14:paraId="2C2402E0" w14:textId="77777777" w:rsidR="00CB5A66" w:rsidRPr="007E130D" w:rsidDel="00136EF7" w:rsidRDefault="00CB5A66" w:rsidP="00B20AC9">
            <w:pPr>
              <w:pStyle w:val="Tabletext"/>
              <w:jc w:val="center"/>
            </w:pPr>
            <w:r w:rsidRPr="007E130D">
              <w:t>42</w:t>
            </w:r>
          </w:p>
        </w:tc>
      </w:tr>
      <w:tr w:rsidR="00CB5A66" w:rsidRPr="007E130D" w14:paraId="0A29F167" w14:textId="77777777" w:rsidTr="00960B1C">
        <w:trPr>
          <w:jc w:val="center"/>
        </w:trPr>
        <w:tc>
          <w:tcPr>
            <w:tcW w:w="5328" w:type="dxa"/>
            <w:tcMar>
              <w:top w:w="0" w:type="dxa"/>
              <w:left w:w="108" w:type="dxa"/>
              <w:bottom w:w="0" w:type="dxa"/>
              <w:right w:w="108" w:type="dxa"/>
            </w:tcMar>
          </w:tcPr>
          <w:p w14:paraId="1740A6F0" w14:textId="77777777" w:rsidR="00CB5A66" w:rsidRPr="007E130D" w:rsidDel="00136EF7" w:rsidRDefault="00CB5A66" w:rsidP="00B20AC9">
            <w:pPr>
              <w:pStyle w:val="Tabletext"/>
            </w:pPr>
            <w:r w:rsidRPr="007E130D">
              <w:t>2022</w:t>
            </w:r>
          </w:p>
        </w:tc>
        <w:tc>
          <w:tcPr>
            <w:tcW w:w="2775" w:type="dxa"/>
            <w:tcMar>
              <w:top w:w="0" w:type="dxa"/>
              <w:left w:w="108" w:type="dxa"/>
              <w:bottom w:w="0" w:type="dxa"/>
              <w:right w:w="108" w:type="dxa"/>
            </w:tcMar>
          </w:tcPr>
          <w:p w14:paraId="2650F093" w14:textId="77777777" w:rsidR="00CB5A66" w:rsidRPr="007E130D" w:rsidDel="00136EF7" w:rsidRDefault="00CB5A66" w:rsidP="00B20AC9">
            <w:pPr>
              <w:pStyle w:val="Tabletext"/>
              <w:jc w:val="center"/>
            </w:pPr>
            <w:r w:rsidRPr="007E130D">
              <w:t>80</w:t>
            </w:r>
          </w:p>
        </w:tc>
      </w:tr>
      <w:tr w:rsidR="00CB5A66" w:rsidRPr="007E130D" w14:paraId="0AE0DBA4" w14:textId="77777777" w:rsidTr="00960B1C">
        <w:trPr>
          <w:jc w:val="center"/>
        </w:trPr>
        <w:tc>
          <w:tcPr>
            <w:tcW w:w="5328" w:type="dxa"/>
            <w:tcMar>
              <w:top w:w="0" w:type="dxa"/>
              <w:left w:w="108" w:type="dxa"/>
              <w:bottom w:w="0" w:type="dxa"/>
              <w:right w:w="108" w:type="dxa"/>
            </w:tcMar>
          </w:tcPr>
          <w:p w14:paraId="061EA02A" w14:textId="77777777" w:rsidR="00CB5A66" w:rsidRPr="007E130D" w:rsidDel="00136EF7" w:rsidRDefault="00CB5A66" w:rsidP="00B20AC9">
            <w:pPr>
              <w:pStyle w:val="Tabletext"/>
            </w:pPr>
            <w:r w:rsidRPr="007E130D">
              <w:t>2023 (</w:t>
            </w:r>
            <w:r w:rsidR="001B0BA7" w:rsidRPr="007E130D">
              <w:t>fin mai</w:t>
            </w:r>
            <w:r w:rsidRPr="007E130D">
              <w:t>)</w:t>
            </w:r>
          </w:p>
        </w:tc>
        <w:tc>
          <w:tcPr>
            <w:tcW w:w="2775" w:type="dxa"/>
            <w:tcMar>
              <w:top w:w="0" w:type="dxa"/>
              <w:left w:w="108" w:type="dxa"/>
              <w:bottom w:w="0" w:type="dxa"/>
              <w:right w:w="108" w:type="dxa"/>
            </w:tcMar>
          </w:tcPr>
          <w:p w14:paraId="5FF31105" w14:textId="77777777" w:rsidR="00CB5A66" w:rsidRPr="007E130D" w:rsidDel="00136EF7" w:rsidRDefault="00CB5A66" w:rsidP="00B20AC9">
            <w:pPr>
              <w:pStyle w:val="Tabletext"/>
              <w:jc w:val="center"/>
            </w:pPr>
            <w:r w:rsidRPr="007E130D">
              <w:t>45</w:t>
            </w:r>
          </w:p>
        </w:tc>
      </w:tr>
      <w:tr w:rsidR="00CB5A66" w:rsidRPr="007E130D" w14:paraId="6F56602A" w14:textId="77777777" w:rsidTr="00960B1C">
        <w:trPr>
          <w:jc w:val="center"/>
        </w:trPr>
        <w:tc>
          <w:tcPr>
            <w:tcW w:w="8103" w:type="dxa"/>
            <w:gridSpan w:val="2"/>
            <w:tcMar>
              <w:top w:w="0" w:type="dxa"/>
              <w:left w:w="108" w:type="dxa"/>
              <w:bottom w:w="0" w:type="dxa"/>
              <w:right w:w="108" w:type="dxa"/>
            </w:tcMar>
            <w:vAlign w:val="center"/>
          </w:tcPr>
          <w:p w14:paraId="6F56C87D" w14:textId="77777777" w:rsidR="00CB5A66" w:rsidRPr="007E130D" w:rsidRDefault="00CB5A66" w:rsidP="00B20AC9">
            <w:pPr>
              <w:pStyle w:val="Tablehead"/>
            </w:pPr>
            <w:r w:rsidRPr="007E130D">
              <w:t>Nombre total de réseaux inscrits comme n'étant pas conformes à la Résolution 4</w:t>
            </w:r>
          </w:p>
        </w:tc>
      </w:tr>
      <w:tr w:rsidR="00CB5A66" w:rsidRPr="007E130D" w14:paraId="4DA9B61A" w14:textId="77777777" w:rsidTr="00960B1C">
        <w:trPr>
          <w:jc w:val="center"/>
        </w:trPr>
        <w:tc>
          <w:tcPr>
            <w:tcW w:w="5328" w:type="dxa"/>
            <w:tcMar>
              <w:top w:w="0" w:type="dxa"/>
              <w:left w:w="108" w:type="dxa"/>
              <w:bottom w:w="0" w:type="dxa"/>
              <w:right w:w="108" w:type="dxa"/>
            </w:tcMar>
            <w:vAlign w:val="center"/>
          </w:tcPr>
          <w:p w14:paraId="5FB415BB" w14:textId="77777777" w:rsidR="00CB5A66" w:rsidRPr="007E130D" w:rsidRDefault="00CB5A66" w:rsidP="00B20AC9">
            <w:pPr>
              <w:pStyle w:val="Tabletext"/>
              <w:rPr>
                <w:rFonts w:ascii="Calibri" w:hAnsi="Calibri"/>
              </w:rPr>
            </w:pPr>
            <w:r w:rsidRPr="007E130D">
              <w:t>Au 1er août 2019</w:t>
            </w:r>
          </w:p>
        </w:tc>
        <w:tc>
          <w:tcPr>
            <w:tcW w:w="2775" w:type="dxa"/>
            <w:tcMar>
              <w:top w:w="0" w:type="dxa"/>
              <w:left w:w="108" w:type="dxa"/>
              <w:bottom w:w="0" w:type="dxa"/>
              <w:right w:w="108" w:type="dxa"/>
            </w:tcMar>
            <w:vAlign w:val="center"/>
          </w:tcPr>
          <w:p w14:paraId="1AB2851F" w14:textId="77777777" w:rsidR="00CB5A66" w:rsidRPr="007E130D" w:rsidRDefault="00CB5A66" w:rsidP="00B20AC9">
            <w:pPr>
              <w:pStyle w:val="Tabletext"/>
              <w:jc w:val="center"/>
            </w:pPr>
            <w:r w:rsidRPr="007E130D">
              <w:t>8</w:t>
            </w:r>
          </w:p>
        </w:tc>
      </w:tr>
      <w:tr w:rsidR="00CB5A66" w:rsidRPr="007E130D" w14:paraId="7AC09B39" w14:textId="77777777" w:rsidTr="00960B1C">
        <w:trPr>
          <w:jc w:val="center"/>
        </w:trPr>
        <w:tc>
          <w:tcPr>
            <w:tcW w:w="8103" w:type="dxa"/>
            <w:gridSpan w:val="2"/>
            <w:tcMar>
              <w:top w:w="0" w:type="dxa"/>
              <w:left w:w="108" w:type="dxa"/>
              <w:bottom w:w="0" w:type="dxa"/>
              <w:right w:w="108" w:type="dxa"/>
            </w:tcMar>
            <w:vAlign w:val="center"/>
          </w:tcPr>
          <w:p w14:paraId="02BBD3FF" w14:textId="77777777" w:rsidR="00CB5A66" w:rsidRPr="007E130D" w:rsidRDefault="00CB5A66" w:rsidP="00B20AC9">
            <w:pPr>
              <w:pStyle w:val="Tablehead"/>
            </w:pPr>
            <w:r w:rsidRPr="007E130D">
              <w:t>Durée de validité inscrite dans le Fichier de référence</w:t>
            </w:r>
          </w:p>
        </w:tc>
      </w:tr>
      <w:tr w:rsidR="00CB5A66" w:rsidRPr="007E130D" w14:paraId="64E67CD6" w14:textId="77777777" w:rsidTr="00960B1C">
        <w:trPr>
          <w:jc w:val="center"/>
        </w:trPr>
        <w:tc>
          <w:tcPr>
            <w:tcW w:w="5328" w:type="dxa"/>
            <w:tcMar>
              <w:top w:w="0" w:type="dxa"/>
              <w:left w:w="108" w:type="dxa"/>
              <w:bottom w:w="0" w:type="dxa"/>
              <w:right w:w="108" w:type="dxa"/>
            </w:tcMar>
          </w:tcPr>
          <w:p w14:paraId="4A0FE5C0" w14:textId="57727FFE" w:rsidR="00CB5A66" w:rsidRPr="007E130D" w:rsidRDefault="00CB5A66" w:rsidP="00B20AC9">
            <w:pPr>
              <w:pStyle w:val="Tabletext"/>
            </w:pPr>
            <w:r w:rsidRPr="007E130D">
              <w:t>Minimale</w:t>
            </w:r>
          </w:p>
        </w:tc>
        <w:tc>
          <w:tcPr>
            <w:tcW w:w="2775" w:type="dxa"/>
            <w:tcMar>
              <w:top w:w="0" w:type="dxa"/>
              <w:left w:w="108" w:type="dxa"/>
              <w:bottom w:w="0" w:type="dxa"/>
              <w:right w:w="108" w:type="dxa"/>
            </w:tcMar>
            <w:vAlign w:val="center"/>
          </w:tcPr>
          <w:p w14:paraId="5EEDD3E2" w14:textId="77777777" w:rsidR="00CB5A66" w:rsidRPr="007E130D" w:rsidRDefault="00CB5A66" w:rsidP="00B20AC9">
            <w:pPr>
              <w:pStyle w:val="Tabletext"/>
              <w:jc w:val="center"/>
            </w:pPr>
            <w:r w:rsidRPr="007E130D">
              <w:t>1 an</w:t>
            </w:r>
          </w:p>
        </w:tc>
      </w:tr>
      <w:tr w:rsidR="00CB5A66" w:rsidRPr="007E130D" w14:paraId="796D5F35" w14:textId="77777777" w:rsidTr="00960B1C">
        <w:trPr>
          <w:jc w:val="center"/>
        </w:trPr>
        <w:tc>
          <w:tcPr>
            <w:tcW w:w="5328" w:type="dxa"/>
            <w:tcMar>
              <w:top w:w="0" w:type="dxa"/>
              <w:left w:w="108" w:type="dxa"/>
              <w:bottom w:w="0" w:type="dxa"/>
              <w:right w:w="108" w:type="dxa"/>
            </w:tcMar>
          </w:tcPr>
          <w:p w14:paraId="7950019E" w14:textId="5EA5149B" w:rsidR="00CB5A66" w:rsidRPr="007E130D" w:rsidRDefault="00CB5A66" w:rsidP="00B20AC9">
            <w:pPr>
              <w:pStyle w:val="Tabletext"/>
            </w:pPr>
            <w:r w:rsidRPr="007E130D">
              <w:t>Maximale</w:t>
            </w:r>
          </w:p>
        </w:tc>
        <w:tc>
          <w:tcPr>
            <w:tcW w:w="2775" w:type="dxa"/>
            <w:tcMar>
              <w:top w:w="0" w:type="dxa"/>
              <w:left w:w="108" w:type="dxa"/>
              <w:bottom w:w="0" w:type="dxa"/>
              <w:right w:w="108" w:type="dxa"/>
            </w:tcMar>
            <w:vAlign w:val="center"/>
          </w:tcPr>
          <w:p w14:paraId="0D5B0F79" w14:textId="77777777" w:rsidR="00CB5A66" w:rsidRPr="007E130D" w:rsidRDefault="00CB5A66" w:rsidP="00B20AC9">
            <w:pPr>
              <w:pStyle w:val="Tabletext"/>
              <w:jc w:val="center"/>
            </w:pPr>
            <w:r w:rsidRPr="007E130D">
              <w:t>99 ans</w:t>
            </w:r>
          </w:p>
        </w:tc>
      </w:tr>
      <w:tr w:rsidR="00CB5A66" w:rsidRPr="007E130D" w14:paraId="68085B39" w14:textId="77777777" w:rsidTr="00960B1C">
        <w:trPr>
          <w:jc w:val="center"/>
        </w:trPr>
        <w:tc>
          <w:tcPr>
            <w:tcW w:w="5328" w:type="dxa"/>
            <w:tcMar>
              <w:top w:w="0" w:type="dxa"/>
              <w:left w:w="108" w:type="dxa"/>
              <w:bottom w:w="0" w:type="dxa"/>
              <w:right w:w="108" w:type="dxa"/>
            </w:tcMar>
          </w:tcPr>
          <w:p w14:paraId="73EA74AE" w14:textId="77777777" w:rsidR="00CB5A66" w:rsidRPr="007E130D" w:rsidRDefault="00CB5A66" w:rsidP="00B20AC9">
            <w:pPr>
              <w:pStyle w:val="Tabletext"/>
            </w:pPr>
            <w:r w:rsidRPr="007E130D">
              <w:t>Moyenne</w:t>
            </w:r>
          </w:p>
        </w:tc>
        <w:tc>
          <w:tcPr>
            <w:tcW w:w="2775" w:type="dxa"/>
            <w:tcMar>
              <w:top w:w="0" w:type="dxa"/>
              <w:left w:w="108" w:type="dxa"/>
              <w:bottom w:w="0" w:type="dxa"/>
              <w:right w:w="108" w:type="dxa"/>
            </w:tcMar>
            <w:vAlign w:val="center"/>
          </w:tcPr>
          <w:p w14:paraId="048B1DF1" w14:textId="7C0BB32C" w:rsidR="00CB5A66" w:rsidRPr="007E130D" w:rsidRDefault="00CB5A66" w:rsidP="00B20AC9">
            <w:pPr>
              <w:pStyle w:val="Tabletext"/>
              <w:jc w:val="center"/>
            </w:pPr>
            <w:r w:rsidRPr="007E130D">
              <w:t>47 ans</w:t>
            </w:r>
          </w:p>
        </w:tc>
      </w:tr>
      <w:tr w:rsidR="00CB5A66" w:rsidRPr="007E130D" w14:paraId="617A059E" w14:textId="77777777" w:rsidTr="00960B1C">
        <w:trPr>
          <w:jc w:val="center"/>
        </w:trPr>
        <w:tc>
          <w:tcPr>
            <w:tcW w:w="8103" w:type="dxa"/>
            <w:gridSpan w:val="2"/>
            <w:tcMar>
              <w:top w:w="0" w:type="dxa"/>
              <w:left w:w="108" w:type="dxa"/>
              <w:bottom w:w="0" w:type="dxa"/>
              <w:right w:w="108" w:type="dxa"/>
            </w:tcMar>
            <w:vAlign w:val="center"/>
          </w:tcPr>
          <w:p w14:paraId="23A08E26" w14:textId="77777777" w:rsidR="00CB5A66" w:rsidRPr="007E130D" w:rsidRDefault="00CB5A66" w:rsidP="00B20AC9">
            <w:pPr>
              <w:pStyle w:val="Tablehead"/>
            </w:pPr>
            <w:r w:rsidRPr="007E130D">
              <w:t>Prolongation demandée par les administrations</w:t>
            </w:r>
          </w:p>
        </w:tc>
      </w:tr>
      <w:tr w:rsidR="00CB5A66" w:rsidRPr="007E130D" w14:paraId="4D5A9FFD" w14:textId="77777777" w:rsidTr="00960B1C">
        <w:trPr>
          <w:jc w:val="center"/>
        </w:trPr>
        <w:tc>
          <w:tcPr>
            <w:tcW w:w="5328" w:type="dxa"/>
            <w:tcMar>
              <w:top w:w="0" w:type="dxa"/>
              <w:left w:w="108" w:type="dxa"/>
              <w:bottom w:w="0" w:type="dxa"/>
              <w:right w:w="108" w:type="dxa"/>
            </w:tcMar>
          </w:tcPr>
          <w:p w14:paraId="213678FC" w14:textId="77777777" w:rsidR="00CB5A66" w:rsidRPr="007E130D" w:rsidRDefault="00CB5A66" w:rsidP="00B20AC9">
            <w:pPr>
              <w:pStyle w:val="Tabletext"/>
            </w:pPr>
            <w:r w:rsidRPr="007E130D">
              <w:t>Minimale</w:t>
            </w:r>
          </w:p>
        </w:tc>
        <w:tc>
          <w:tcPr>
            <w:tcW w:w="2775" w:type="dxa"/>
            <w:tcMar>
              <w:top w:w="0" w:type="dxa"/>
              <w:left w:w="108" w:type="dxa"/>
              <w:bottom w:w="0" w:type="dxa"/>
              <w:right w:w="108" w:type="dxa"/>
            </w:tcMar>
            <w:vAlign w:val="center"/>
          </w:tcPr>
          <w:p w14:paraId="41CC1551" w14:textId="77777777" w:rsidR="00CB5A66" w:rsidRPr="007E130D" w:rsidRDefault="00CB5A66" w:rsidP="00B20AC9">
            <w:pPr>
              <w:pStyle w:val="Tabletext"/>
              <w:jc w:val="center"/>
            </w:pPr>
            <w:r w:rsidRPr="007E130D">
              <w:t>1 an</w:t>
            </w:r>
          </w:p>
        </w:tc>
      </w:tr>
      <w:tr w:rsidR="00CB5A66" w:rsidRPr="007E130D" w14:paraId="127EA798" w14:textId="77777777" w:rsidTr="00960B1C">
        <w:trPr>
          <w:jc w:val="center"/>
        </w:trPr>
        <w:tc>
          <w:tcPr>
            <w:tcW w:w="5328" w:type="dxa"/>
            <w:tcMar>
              <w:top w:w="0" w:type="dxa"/>
              <w:left w:w="108" w:type="dxa"/>
              <w:bottom w:w="0" w:type="dxa"/>
              <w:right w:w="108" w:type="dxa"/>
            </w:tcMar>
          </w:tcPr>
          <w:p w14:paraId="28B88567" w14:textId="77777777" w:rsidR="00CB5A66" w:rsidRPr="007E130D" w:rsidRDefault="00CB5A66" w:rsidP="00B20AC9">
            <w:pPr>
              <w:pStyle w:val="Tabletext"/>
            </w:pPr>
            <w:r w:rsidRPr="007E130D">
              <w:t>Maximale</w:t>
            </w:r>
          </w:p>
        </w:tc>
        <w:tc>
          <w:tcPr>
            <w:tcW w:w="2775" w:type="dxa"/>
            <w:tcMar>
              <w:top w:w="0" w:type="dxa"/>
              <w:left w:w="108" w:type="dxa"/>
              <w:bottom w:w="0" w:type="dxa"/>
              <w:right w:w="108" w:type="dxa"/>
            </w:tcMar>
            <w:vAlign w:val="center"/>
          </w:tcPr>
          <w:p w14:paraId="49E287C0" w14:textId="77777777" w:rsidR="00CB5A66" w:rsidRPr="007E130D" w:rsidRDefault="00CB5A66" w:rsidP="00B20AC9">
            <w:pPr>
              <w:pStyle w:val="Tabletext"/>
              <w:jc w:val="center"/>
            </w:pPr>
            <w:r w:rsidRPr="007E130D">
              <w:t>79 ans</w:t>
            </w:r>
          </w:p>
        </w:tc>
      </w:tr>
    </w:tbl>
    <w:p w14:paraId="156A5540" w14:textId="77777777" w:rsidR="00336C74" w:rsidRPr="007E130D" w:rsidRDefault="00136EF7" w:rsidP="009C0CB2">
      <w:pPr>
        <w:spacing w:before="240"/>
        <w:rPr>
          <w:color w:val="000000"/>
        </w:rPr>
      </w:pPr>
      <w:r w:rsidRPr="007E130D">
        <w:t>Conformément à la Lettre circulaire CR/301 datée du 1er mai 2009, concernant la suppression, dans le Fichier de référence international des fréquences, des assignations de fréquence inutilisées relatives aux réseaux à satellite, le Bureau envoie, depuis le 23 juin 2011, des télécopies à toutes les administrations qui n'ont pas répondu après la fin de la durée de validité, leur demandant de fournir, au titre des dispositions du numéro </w:t>
      </w:r>
      <w:r w:rsidRPr="007E130D">
        <w:rPr>
          <w:b/>
          <w:bCs/>
        </w:rPr>
        <w:t>13.6</w:t>
      </w:r>
      <w:r w:rsidR="001B0BA7" w:rsidRPr="007E130D">
        <w:t xml:space="preserve"> du RR</w:t>
      </w:r>
      <w:r w:rsidRPr="007E130D">
        <w:t xml:space="preserve">, la preuve que les assignations de fréquence relatives au réseau à satellite continuent d'être exploitées, ou de supprimer ces assignations du Fichier de référence si certaines d'entre elles ont cessé d'être utilisées. Si l'administration notificatrice ne fournit pas de renseignements concrets attestant de </w:t>
      </w:r>
      <w:r w:rsidRPr="007E130D">
        <w:rPr>
          <w:color w:val="000000"/>
        </w:rPr>
        <w:t xml:space="preserve">l'utilisation continue des </w:t>
      </w:r>
      <w:r w:rsidR="00336C74" w:rsidRPr="007E130D">
        <w:rPr>
          <w:color w:val="000000"/>
        </w:rPr>
        <w:br w:type="page"/>
      </w:r>
    </w:p>
    <w:p w14:paraId="1FF039B4" w14:textId="33D1DF25" w:rsidR="00136EF7" w:rsidRPr="007E130D" w:rsidRDefault="00136EF7" w:rsidP="009C0CB2">
      <w:pPr>
        <w:spacing w:before="240"/>
      </w:pPr>
      <w:r w:rsidRPr="007E130D">
        <w:rPr>
          <w:color w:val="000000"/>
        </w:rPr>
        <w:lastRenderedPageBreak/>
        <w:t>assignations de fréquence au-delà de la durée de validité inscrite,</w:t>
      </w:r>
      <w:r w:rsidRPr="007E130D">
        <w:t xml:space="preserve"> le Bureau procède à la suppression des inscriptions correspondantes figurant dans le Fichier de référence international des fréquences, conformément aux dispositions du numéro </w:t>
      </w:r>
      <w:r w:rsidRPr="007E130D">
        <w:rPr>
          <w:b/>
          <w:bCs/>
        </w:rPr>
        <w:t>13.6</w:t>
      </w:r>
      <w:r w:rsidRPr="007E130D">
        <w:t xml:space="preserve"> </w:t>
      </w:r>
      <w:r w:rsidR="001B0BA7" w:rsidRPr="007E130D">
        <w:t xml:space="preserve">du RR </w:t>
      </w:r>
      <w:r w:rsidRPr="007E130D">
        <w:t>et à la Règle de procédure associée.</w:t>
      </w:r>
    </w:p>
    <w:p w14:paraId="5DE26CCE" w14:textId="77777777" w:rsidR="00136EF7" w:rsidRPr="007E130D" w:rsidRDefault="00136EF7" w:rsidP="00B20AC9">
      <w:pPr>
        <w:pStyle w:val="Heading3"/>
      </w:pPr>
      <w:bookmarkStart w:id="48" w:name="_Toc19090080"/>
      <w:bookmarkStart w:id="49" w:name="_Toc19880021"/>
      <w:bookmarkStart w:id="50" w:name="_Toc147328777"/>
      <w:r w:rsidRPr="007E130D">
        <w:t>2.2.4</w:t>
      </w:r>
      <w:r w:rsidRPr="007E130D">
        <w:tab/>
        <w:t>Autres Résolutions associées au traitement des fiches de notification relatives aux services non planifiés</w:t>
      </w:r>
      <w:bookmarkEnd w:id="48"/>
      <w:bookmarkEnd w:id="49"/>
      <w:bookmarkEnd w:id="50"/>
    </w:p>
    <w:p w14:paraId="52750070" w14:textId="77777777" w:rsidR="00A41D0F" w:rsidRPr="007E130D" w:rsidRDefault="00A41D0F" w:rsidP="00B20AC9">
      <w:pPr>
        <w:pStyle w:val="Heading4"/>
      </w:pPr>
      <w:r w:rsidRPr="007E130D">
        <w:t>2.2.4.1</w:t>
      </w:r>
      <w:r w:rsidRPr="007E130D">
        <w:tab/>
        <w:t>Résolution 35 (CMR-19)</w:t>
      </w:r>
    </w:p>
    <w:p w14:paraId="6D9EAE36" w14:textId="77777777" w:rsidR="00A41D0F" w:rsidRPr="007E130D" w:rsidRDefault="00A41D0F" w:rsidP="00B20AC9">
      <w:r w:rsidRPr="007E130D">
        <w:t xml:space="preserve">La Résolution </w:t>
      </w:r>
      <w:r w:rsidRPr="007E130D">
        <w:rPr>
          <w:b/>
          <w:bCs/>
        </w:rPr>
        <w:t>35 (CMR-19)</w:t>
      </w:r>
      <w:r w:rsidRPr="007E130D">
        <w:t xml:space="preserve">, </w:t>
      </w:r>
      <w:bookmarkStart w:id="51" w:name="_Toc35933738"/>
      <w:bookmarkStart w:id="52" w:name="_Toc39829096"/>
      <w:r w:rsidRPr="007E130D">
        <w:t>«Méthode par étape relative à la mise en œuvre des assignations de fréquence à des stations spatiales d'un système à satellites non géostationnaires dans certaines bandes de fréquences et certains services</w:t>
      </w:r>
      <w:bookmarkEnd w:id="51"/>
      <w:bookmarkEnd w:id="52"/>
      <w:r w:rsidRPr="007E130D">
        <w:t xml:space="preserve">», </w:t>
      </w:r>
      <w:r w:rsidR="001B0BA7" w:rsidRPr="007E130D">
        <w:t xml:space="preserve">demande aux administrations de soumettre les renseignements sur le déploiement conformément à l'Annexe 1, en quatre étapes et pour les systèmes à satellites non géostationnaires dans les bandes de fréquences et les services énumérés dans le tableau du point 1 du </w:t>
      </w:r>
      <w:r w:rsidR="001B0BA7" w:rsidRPr="007E130D">
        <w:rPr>
          <w:i/>
        </w:rPr>
        <w:t>décide</w:t>
      </w:r>
      <w:r w:rsidR="001B0BA7" w:rsidRPr="007E130D">
        <w:t xml:space="preserve"> de la présente Résolution.</w:t>
      </w:r>
    </w:p>
    <w:p w14:paraId="7B8E5289" w14:textId="7E145645" w:rsidR="00A41D0F" w:rsidRPr="007E130D" w:rsidRDefault="00AD1404" w:rsidP="00336C74">
      <w:r w:rsidRPr="007E130D">
        <w:t>Le Bureau a mis au point, dans le cadre du système de soumission électronique, un outil en ligne permettant à l'administration notificatrice de saisir ou de télécharger les renseignement requis relatifs au déploiement.</w:t>
      </w:r>
    </w:p>
    <w:p w14:paraId="1E015AF7" w14:textId="77777777" w:rsidR="00A41D0F" w:rsidRPr="007E130D" w:rsidRDefault="00A41D0F" w:rsidP="00336C74">
      <w:r w:rsidRPr="007E130D">
        <w:t>Conformément aux points 5</w:t>
      </w:r>
      <w:r w:rsidRPr="007E130D">
        <w:rPr>
          <w:i/>
          <w:iCs/>
        </w:rPr>
        <w:t>a)</w:t>
      </w:r>
      <w:r w:rsidRPr="007E130D">
        <w:t xml:space="preserve"> et 10</w:t>
      </w:r>
      <w:r w:rsidRPr="007E130D">
        <w:rPr>
          <w:i/>
          <w:iCs/>
        </w:rPr>
        <w:t>a)</w:t>
      </w:r>
      <w:r w:rsidRPr="007E130D">
        <w:t xml:space="preserve"> du </w:t>
      </w:r>
      <w:r w:rsidRPr="007E130D">
        <w:rPr>
          <w:i/>
          <w:iCs/>
        </w:rPr>
        <w:t>décide</w:t>
      </w:r>
      <w:r w:rsidRPr="007E130D">
        <w:t xml:space="preserve"> de la Résolution </w:t>
      </w:r>
      <w:r w:rsidRPr="007E130D">
        <w:rPr>
          <w:b/>
          <w:bCs/>
        </w:rPr>
        <w:t>35 (CMR-19)</w:t>
      </w:r>
      <w:r w:rsidRPr="007E130D">
        <w:t xml:space="preserve">, le Bureau, lorsqu'il reçoit les renseignements requis relatifs au déploiement, met rapidement ces renseignements à disposition «tels qu'ils ont été reçus» </w:t>
      </w:r>
      <w:r w:rsidR="00296B86" w:rsidRPr="007E130D">
        <w:t>dans le système de soumission électronique.</w:t>
      </w:r>
      <w:r w:rsidR="00492C07" w:rsidRPr="007E130D">
        <w:t xml:space="preserve"> Les renseignements mis à disposition </w:t>
      </w:r>
      <w:r w:rsidR="00296B86" w:rsidRPr="007E130D">
        <w:t>dans ce système</w:t>
      </w:r>
      <w:r w:rsidR="00492C07" w:rsidRPr="007E130D">
        <w:t xml:space="preserve"> comprennent le format XML, MDB de la soumission, un rapport au format PDF, ainsi que toute lettre d'accompagnement de la soumission.</w:t>
      </w:r>
    </w:p>
    <w:p w14:paraId="350B7FB0" w14:textId="591348FB" w:rsidR="00492C07" w:rsidRPr="007E130D" w:rsidRDefault="00E21D45" w:rsidP="00B20AC9">
      <w:r w:rsidRPr="007E130D">
        <w:t>Les S</w:t>
      </w:r>
      <w:r w:rsidR="00296B86" w:rsidRPr="007E130D">
        <w:t>ections spéciales RES</w:t>
      </w:r>
      <w:r w:rsidR="00296B86" w:rsidRPr="007E130D">
        <w:rPr>
          <w:b/>
          <w:bCs/>
        </w:rPr>
        <w:t>35</w:t>
      </w:r>
      <w:r w:rsidR="00296B86" w:rsidRPr="007E130D">
        <w:t xml:space="preserve"> et la base de données contenant les informations RES</w:t>
      </w:r>
      <w:r w:rsidR="00296B86" w:rsidRPr="007E130D">
        <w:rPr>
          <w:b/>
          <w:bCs/>
        </w:rPr>
        <w:t>35</w:t>
      </w:r>
      <w:r w:rsidR="00296B86" w:rsidRPr="007E130D">
        <w:t xml:space="preserve"> sont publiées sur la BR IFIC (Services spatiaux) et sur le site web du Bureau:</w:t>
      </w:r>
      <w:r w:rsidR="00A51CF4" w:rsidRPr="007E130D">
        <w:t xml:space="preserve"> </w:t>
      </w:r>
      <w:hyperlink r:id="rId19" w:history="1">
        <w:r w:rsidR="00492C07" w:rsidRPr="007E130D">
          <w:rPr>
            <w:rStyle w:val="Hyperlink"/>
          </w:rPr>
          <w:t>https://www.itu.int/en/ITU</w:t>
        </w:r>
        <w:r w:rsidR="00A51CF4" w:rsidRPr="007E130D">
          <w:rPr>
            <w:rStyle w:val="Hyperlink"/>
          </w:rPr>
          <w:noBreakHyphen/>
        </w:r>
        <w:r w:rsidR="00492C07" w:rsidRPr="007E130D">
          <w:rPr>
            <w:rStyle w:val="Hyperlink"/>
          </w:rPr>
          <w:t>R/space/Pages/res35main.aspx</w:t>
        </w:r>
      </w:hyperlink>
      <w:r w:rsidR="00492C07" w:rsidRPr="007E130D">
        <w:t>.</w:t>
      </w:r>
    </w:p>
    <w:p w14:paraId="152E4122" w14:textId="0BA702F2" w:rsidR="00492C07" w:rsidRPr="007E130D" w:rsidRDefault="00E21D45" w:rsidP="00B20AC9">
      <w:r w:rsidRPr="007E130D">
        <w:t xml:space="preserve">Au 1er mai 2023, le Bureau a reçu 27 soumissions et publié 17 Sections spéciales. </w:t>
      </w:r>
      <w:r w:rsidR="00A51CF4" w:rsidRPr="007E130D">
        <w:t>Quatre</w:t>
      </w:r>
      <w:r w:rsidRPr="007E130D">
        <w:t xml:space="preserve"> systèmes à satellites ont achevé leur déploiement.</w:t>
      </w:r>
    </w:p>
    <w:p w14:paraId="2A855FB0" w14:textId="7D4685ED" w:rsidR="00492C07" w:rsidRPr="007E130D" w:rsidRDefault="00E21D45" w:rsidP="00B20AC9">
      <w:r w:rsidRPr="007E130D">
        <w:t xml:space="preserve">Le Bureau a publié deux sections spéciales au titre de la Résolution </w:t>
      </w:r>
      <w:r w:rsidRPr="007E130D">
        <w:rPr>
          <w:b/>
          <w:bCs/>
        </w:rPr>
        <w:t>35</w:t>
      </w:r>
      <w:r w:rsidRPr="007E130D">
        <w:t xml:space="preserve"> pour lesquelles le nombre de stations spatiales déclarées comme déployées au titre des </w:t>
      </w:r>
      <w:r w:rsidR="00B90B62" w:rsidRPr="007E130D">
        <w:rPr>
          <w:i/>
        </w:rPr>
        <w:t>décide</w:t>
      </w:r>
      <w:r w:rsidRPr="007E130D">
        <w:t xml:space="preserve"> 7</w:t>
      </w:r>
      <w:r w:rsidRPr="007E130D">
        <w:rPr>
          <w:i/>
          <w:iCs/>
        </w:rPr>
        <w:t>a)</w:t>
      </w:r>
      <w:r w:rsidRPr="007E130D">
        <w:t xml:space="preserve"> ou 8</w:t>
      </w:r>
      <w:r w:rsidRPr="007E130D">
        <w:rPr>
          <w:i/>
          <w:iCs/>
        </w:rPr>
        <w:t>a)</w:t>
      </w:r>
      <w:r w:rsidRPr="007E130D">
        <w:t xml:space="preserve"> était inférieur à 10% du nombre total de satellites indiqué dans les dernières informations de notification. </w:t>
      </w:r>
      <w:r w:rsidR="00B90B62" w:rsidRPr="007E130D">
        <w:t>En conséquence</w:t>
      </w:r>
      <w:r w:rsidRPr="007E130D">
        <w:t>, l'administration notificatrice a soumis au titre du point 11</w:t>
      </w:r>
      <w:r w:rsidRPr="007E130D">
        <w:rPr>
          <w:i/>
          <w:iCs/>
        </w:rPr>
        <w:t>a)</w:t>
      </w:r>
      <w:r w:rsidRPr="007E130D">
        <w:t xml:space="preserve"> du </w:t>
      </w:r>
      <w:r w:rsidRPr="007E130D">
        <w:rPr>
          <w:i/>
        </w:rPr>
        <w:t>décide</w:t>
      </w:r>
      <w:r w:rsidRPr="007E130D">
        <w:t xml:space="preserve"> les modifications des caractéristiques des assignations de fréquence enregistrées notifiées de telle sorte que le nombre total modifié de satellites ne soit pas supérieur à 10 fois le nombre de stations spatiales déclarées comme étant déployées au titre des points 7</w:t>
      </w:r>
      <w:r w:rsidRPr="007E130D">
        <w:rPr>
          <w:i/>
          <w:iCs/>
        </w:rPr>
        <w:t>a)</w:t>
      </w:r>
      <w:r w:rsidRPr="007E130D">
        <w:t xml:space="preserve"> ou 8</w:t>
      </w:r>
      <w:r w:rsidRPr="007E130D">
        <w:rPr>
          <w:i/>
          <w:iCs/>
        </w:rPr>
        <w:t>a)</w:t>
      </w:r>
      <w:r w:rsidRPr="007E130D">
        <w:t xml:space="preserve"> du </w:t>
      </w:r>
      <w:r w:rsidRPr="007E130D">
        <w:rPr>
          <w:i/>
        </w:rPr>
        <w:t>décide</w:t>
      </w:r>
      <w:r w:rsidRPr="007E130D">
        <w:t>.</w:t>
      </w:r>
    </w:p>
    <w:p w14:paraId="59B4AE77" w14:textId="75548D47" w:rsidR="00492C07" w:rsidRPr="007E130D" w:rsidRDefault="00B90B62" w:rsidP="00B20AC9">
      <w:r w:rsidRPr="007E130D">
        <w:t xml:space="preserve">Le Comité du Règlement des radiocommunications est régulièrement informé de l'état d'avancement des soumissions présentées au titre de la Résolution </w:t>
      </w:r>
      <w:r w:rsidRPr="007E130D">
        <w:rPr>
          <w:b/>
          <w:bCs/>
        </w:rPr>
        <w:t>35</w:t>
      </w:r>
      <w:r w:rsidRPr="007E130D">
        <w:t>.</w:t>
      </w:r>
    </w:p>
    <w:p w14:paraId="0395E8AC" w14:textId="7EB99257" w:rsidR="00136EF7" w:rsidRPr="007E130D" w:rsidRDefault="00136EF7" w:rsidP="00B20AC9">
      <w:pPr>
        <w:pStyle w:val="Heading4"/>
      </w:pPr>
      <w:r w:rsidRPr="007E130D">
        <w:t>2.2.4.</w:t>
      </w:r>
      <w:r w:rsidR="00492C07" w:rsidRPr="007E130D">
        <w:t>2</w:t>
      </w:r>
      <w:r w:rsidRPr="007E130D">
        <w:tab/>
        <w:t>Résolution 85 (CMR</w:t>
      </w:r>
      <w:r w:rsidRPr="007E130D">
        <w:noBreakHyphen/>
        <w:t>03)</w:t>
      </w:r>
    </w:p>
    <w:p w14:paraId="290BAF01" w14:textId="77777777" w:rsidR="00136EF7" w:rsidRPr="007E130D" w:rsidRDefault="00136EF7" w:rsidP="00B20AC9">
      <w:pPr>
        <w:rPr>
          <w:sz w:val="22"/>
          <w:lang w:eastAsia="ja-JP"/>
        </w:rPr>
      </w:pPr>
      <w:r w:rsidRPr="007E130D">
        <w:rPr>
          <w:lang w:eastAsia="zh-CN"/>
        </w:rPr>
        <w:t xml:space="preserve">En vertu de la Résolution </w:t>
      </w:r>
      <w:r w:rsidRPr="007E130D">
        <w:rPr>
          <w:b/>
          <w:bCs/>
          <w:lang w:eastAsia="zh-CN"/>
        </w:rPr>
        <w:t>85 (CMR-03)</w:t>
      </w:r>
      <w:r w:rsidRPr="007E130D">
        <w:rPr>
          <w:lang w:eastAsia="zh-CN"/>
        </w:rPr>
        <w:t>, le Bureau des radiocommunications doit revoir, une fois que le logiciel de validation de la puissance surfacique équivalente (epfd</w:t>
      </w:r>
      <w:r w:rsidRPr="007E130D">
        <w:rPr>
          <w:rStyle w:val="FootnoteReference"/>
          <w:lang w:eastAsia="zh-CN"/>
        </w:rPr>
        <w:footnoteReference w:id="1"/>
      </w:r>
      <w:r w:rsidRPr="007E130D">
        <w:rPr>
          <w:lang w:eastAsia="zh-CN"/>
        </w:rPr>
        <w:t xml:space="preserve">) sera disponible, les conclusions qu'il a formulées conformément aux numéros </w:t>
      </w:r>
      <w:r w:rsidRPr="007E130D">
        <w:rPr>
          <w:b/>
          <w:bCs/>
          <w:lang w:eastAsia="zh-CN"/>
        </w:rPr>
        <w:t>9.35</w:t>
      </w:r>
      <w:r w:rsidRPr="007E130D">
        <w:rPr>
          <w:lang w:eastAsia="zh-CN"/>
        </w:rPr>
        <w:t xml:space="preserve"> et </w:t>
      </w:r>
      <w:r w:rsidRPr="007E130D">
        <w:rPr>
          <w:b/>
          <w:bCs/>
          <w:lang w:eastAsia="zh-CN"/>
        </w:rPr>
        <w:t>11.31</w:t>
      </w:r>
      <w:r w:rsidRPr="007E130D">
        <w:rPr>
          <w:lang w:eastAsia="zh-CN"/>
        </w:rPr>
        <w:t xml:space="preserve"> </w:t>
      </w:r>
      <w:r w:rsidR="00B90B62" w:rsidRPr="007E130D">
        <w:rPr>
          <w:lang w:eastAsia="zh-CN"/>
        </w:rPr>
        <w:t xml:space="preserve">du RR </w:t>
      </w:r>
      <w:r w:rsidRPr="007E130D">
        <w:rPr>
          <w:lang w:eastAsia="zh-CN"/>
        </w:rPr>
        <w:t xml:space="preserve">quant à la question </w:t>
      </w:r>
      <w:r w:rsidRPr="007E130D">
        <w:rPr>
          <w:lang w:eastAsia="zh-CN"/>
        </w:rPr>
        <w:lastRenderedPageBreak/>
        <w:t xml:space="preserve">de savoir si les assignations de fréquence des systèmes à satellites non OSG du SFS respectent les limites d'epfd pour une seule source de brouillage figurant dans les Tableaux </w:t>
      </w:r>
      <w:r w:rsidRPr="007E130D">
        <w:rPr>
          <w:b/>
          <w:bCs/>
          <w:lang w:eastAsia="zh-CN"/>
        </w:rPr>
        <w:t>22-1A</w:t>
      </w:r>
      <w:r w:rsidRPr="007E130D">
        <w:rPr>
          <w:lang w:eastAsia="zh-CN"/>
        </w:rPr>
        <w:t xml:space="preserve">, </w:t>
      </w:r>
      <w:r w:rsidRPr="007E130D">
        <w:rPr>
          <w:b/>
          <w:bCs/>
          <w:lang w:eastAsia="zh-CN"/>
        </w:rPr>
        <w:t>22-1B</w:t>
      </w:r>
      <w:r w:rsidRPr="007E130D">
        <w:rPr>
          <w:lang w:eastAsia="zh-CN"/>
        </w:rPr>
        <w:t xml:space="preserve">, </w:t>
      </w:r>
      <w:r w:rsidRPr="007E130D">
        <w:rPr>
          <w:b/>
          <w:bCs/>
          <w:lang w:eastAsia="zh-CN"/>
        </w:rPr>
        <w:t>22-1C</w:t>
      </w:r>
      <w:r w:rsidRPr="007E130D">
        <w:rPr>
          <w:lang w:eastAsia="zh-CN"/>
        </w:rPr>
        <w:t xml:space="preserve">, </w:t>
      </w:r>
      <w:r w:rsidRPr="007E130D">
        <w:rPr>
          <w:b/>
          <w:bCs/>
          <w:lang w:eastAsia="zh-CN"/>
        </w:rPr>
        <w:t>22-1D</w:t>
      </w:r>
      <w:r w:rsidRPr="007E130D">
        <w:rPr>
          <w:lang w:eastAsia="zh-CN"/>
        </w:rPr>
        <w:t xml:space="preserve">, </w:t>
      </w:r>
      <w:r w:rsidRPr="007E130D">
        <w:rPr>
          <w:b/>
          <w:bCs/>
          <w:lang w:eastAsia="zh-CN"/>
        </w:rPr>
        <w:t>22-1E</w:t>
      </w:r>
      <w:r w:rsidRPr="007E130D">
        <w:rPr>
          <w:lang w:eastAsia="zh-CN"/>
        </w:rPr>
        <w:t xml:space="preserve">, </w:t>
      </w:r>
      <w:r w:rsidRPr="007E130D">
        <w:rPr>
          <w:b/>
          <w:bCs/>
          <w:lang w:eastAsia="zh-CN"/>
        </w:rPr>
        <w:t>22-2</w:t>
      </w:r>
      <w:r w:rsidRPr="007E130D">
        <w:rPr>
          <w:lang w:eastAsia="zh-CN"/>
        </w:rPr>
        <w:t xml:space="preserve"> et </w:t>
      </w:r>
      <w:r w:rsidRPr="007E130D">
        <w:rPr>
          <w:b/>
          <w:bCs/>
          <w:lang w:eastAsia="zh-CN"/>
        </w:rPr>
        <w:t>22-3</w:t>
      </w:r>
      <w:r w:rsidRPr="007E130D">
        <w:rPr>
          <w:lang w:eastAsia="zh-CN"/>
        </w:rPr>
        <w:t xml:space="preserve"> de l'Article </w:t>
      </w:r>
      <w:r w:rsidRPr="007E130D">
        <w:rPr>
          <w:b/>
          <w:bCs/>
          <w:lang w:eastAsia="zh-CN"/>
        </w:rPr>
        <w:t>22</w:t>
      </w:r>
      <w:r w:rsidRPr="007E130D">
        <w:rPr>
          <w:lang w:eastAsia="zh-CN"/>
        </w:rPr>
        <w:t xml:space="preserve"> du Règlement des radiocommunications, et déterminer les besoins de coordination au titre des numéros </w:t>
      </w:r>
      <w:r w:rsidRPr="007E130D">
        <w:rPr>
          <w:b/>
          <w:bCs/>
          <w:lang w:eastAsia="zh-CN"/>
        </w:rPr>
        <w:t>9.7A</w:t>
      </w:r>
      <w:r w:rsidRPr="007E130D">
        <w:rPr>
          <w:lang w:eastAsia="zh-CN"/>
        </w:rPr>
        <w:t xml:space="preserve"> et </w:t>
      </w:r>
      <w:r w:rsidRPr="007E130D">
        <w:rPr>
          <w:b/>
          <w:bCs/>
          <w:lang w:eastAsia="zh-CN"/>
        </w:rPr>
        <w:t>9.7B</w:t>
      </w:r>
      <w:r w:rsidR="00B90B62" w:rsidRPr="007E130D">
        <w:rPr>
          <w:lang w:eastAsia="zh-CN"/>
        </w:rPr>
        <w:t xml:space="preserve"> du RR.</w:t>
      </w:r>
    </w:p>
    <w:p w14:paraId="40458CC2" w14:textId="28069173" w:rsidR="00136EF7" w:rsidRPr="007E130D" w:rsidRDefault="00136EF7" w:rsidP="00B20AC9">
      <w:r w:rsidRPr="007E130D">
        <w:t>Dans sa Lettre circulaire CR/414 (6 décembre 2016), le Bureau a informé les administrations que la version finale du logiciel relatif à la mise en œuvre de la Recommandation UIT-R S.1503-2 était disponible sur le site web de l'UIT (</w:t>
      </w:r>
      <w:hyperlink r:id="rId20" w:history="1">
        <w:r w:rsidRPr="007E130D">
          <w:rPr>
            <w:rStyle w:val="Hyperlink"/>
          </w:rPr>
          <w:t>www.itu.int/ITU-R/go/space-epfd/en</w:t>
        </w:r>
      </w:hyperlink>
      <w:r w:rsidRPr="007E130D">
        <w:t>) et dans la version de la BR IFIC (</w:t>
      </w:r>
      <w:r w:rsidR="004B71D4">
        <w:t>S</w:t>
      </w:r>
      <w:r w:rsidRPr="007E130D">
        <w:t xml:space="preserve">ervices spatiaux) sur DVD. Cette Lettre circulaire avait également pour objet de communiquer aux administrations et aux autres utilisateurs des renseignements et des orientations concernant le logiciel de validation de l'epfd et la mise en œuvre du </w:t>
      </w:r>
      <w:r w:rsidRPr="007E130D">
        <w:rPr>
          <w:i/>
          <w:iCs/>
        </w:rPr>
        <w:t>charge le Directeur du Bureau des radiocommunications</w:t>
      </w:r>
      <w:r w:rsidRPr="007E130D">
        <w:t xml:space="preserve"> de la Résolution </w:t>
      </w:r>
      <w:r w:rsidRPr="007E130D">
        <w:rPr>
          <w:b/>
          <w:bCs/>
        </w:rPr>
        <w:t>85 (CMR-03)</w:t>
      </w:r>
      <w:r w:rsidRPr="007E130D">
        <w:t>.</w:t>
      </w:r>
    </w:p>
    <w:p w14:paraId="4735CEAF" w14:textId="617F970A" w:rsidR="00136EF7" w:rsidRPr="007E130D" w:rsidRDefault="009C0CB2" w:rsidP="009C0CB2">
      <w:r w:rsidRPr="007E130D">
        <w:t>À</w:t>
      </w:r>
      <w:r w:rsidR="00593C08" w:rsidRPr="007E130D">
        <w:t xml:space="preserve"> titre de suivi, depuis avril 2017, le Bureau, c</w:t>
      </w:r>
      <w:r w:rsidR="00136EF7" w:rsidRPr="007E130D">
        <w:t xml:space="preserve">onformément aux points 2 et 3 du </w:t>
      </w:r>
      <w:r w:rsidR="00136EF7" w:rsidRPr="007E130D">
        <w:rPr>
          <w:i/>
          <w:iCs/>
        </w:rPr>
        <w:t>charge le Directeur du Bureau des radiocommunications</w:t>
      </w:r>
      <w:r w:rsidR="00136EF7" w:rsidRPr="007E130D">
        <w:t xml:space="preserve"> de la Résolution </w:t>
      </w:r>
      <w:r w:rsidR="00136EF7" w:rsidRPr="007E130D">
        <w:rPr>
          <w:b/>
          <w:bCs/>
        </w:rPr>
        <w:t>85 (CMR-03)</w:t>
      </w:r>
      <w:r w:rsidR="00136EF7" w:rsidRPr="007E130D">
        <w:t>, le Bureau a commencé à revoir les conclusions qu'il avait formulées conformément aux dispositions pertinentes du Règlement des radiocommunications ainsi que de la Règle de procédure du Comité du Règlement des radiocommunications.</w:t>
      </w:r>
    </w:p>
    <w:p w14:paraId="7646F21A" w14:textId="604F9328" w:rsidR="00136EF7" w:rsidRPr="007E130D" w:rsidRDefault="00492C07" w:rsidP="00B20AC9">
      <w:pPr>
        <w:pStyle w:val="Heading5"/>
      </w:pPr>
      <w:r w:rsidRPr="007E130D">
        <w:t>2.2.4.2.1</w:t>
      </w:r>
      <w:r w:rsidRPr="007E130D">
        <w:tab/>
      </w:r>
      <w:r w:rsidR="00912F7E" w:rsidRPr="007E130D">
        <w:t>Examen au titre du numéro 9.7B du RR</w:t>
      </w:r>
    </w:p>
    <w:p w14:paraId="1AC2CA2E" w14:textId="6D1D0C7F" w:rsidR="00492C07" w:rsidRPr="007E130D" w:rsidRDefault="004128D3" w:rsidP="00B20AC9">
      <w:r w:rsidRPr="007E130D">
        <w:t>Suite à la disponibilité du logiciel d'examen de l</w:t>
      </w:r>
      <w:r w:rsidR="00912F7E" w:rsidRPr="007E130D">
        <w:t>'</w:t>
      </w:r>
      <w:r w:rsidRPr="007E130D">
        <w:t xml:space="preserve">epfd du Bureau et à la publication de la Lettre circulaire </w:t>
      </w:r>
      <w:hyperlink r:id="rId21" w:history="1">
        <w:r w:rsidRPr="007E130D">
          <w:rPr>
            <w:rStyle w:val="Hyperlink"/>
          </w:rPr>
          <w:t>CR/405</w:t>
        </w:r>
      </w:hyperlink>
      <w:r w:rsidRPr="007E130D">
        <w:t xml:space="preserve"> le 3 juin 2016, le Bureau a commencé à examiner les besoins de coordination au titre du numéro </w:t>
      </w:r>
      <w:r w:rsidRPr="007E130D">
        <w:rPr>
          <w:b/>
          <w:bCs/>
        </w:rPr>
        <w:t>9.7B</w:t>
      </w:r>
      <w:r w:rsidRPr="007E130D">
        <w:t xml:space="preserve"> du RR pour les systèmes à satellites non OSG.</w:t>
      </w:r>
    </w:p>
    <w:p w14:paraId="3DD30E91" w14:textId="0E754985" w:rsidR="00492C07" w:rsidRPr="007E130D" w:rsidRDefault="0030030C" w:rsidP="00B20AC9">
      <w:pPr>
        <w:rPr>
          <w:rFonts w:cstheme="minorHAnsi"/>
        </w:rPr>
      </w:pPr>
      <w:r w:rsidRPr="007E130D">
        <w:rPr>
          <w:rFonts w:cstheme="minorHAnsi"/>
        </w:rPr>
        <w:t xml:space="preserve">Sur la base du numéro </w:t>
      </w:r>
      <w:r w:rsidRPr="007E130D">
        <w:rPr>
          <w:rFonts w:cstheme="minorHAnsi"/>
          <w:b/>
          <w:bCs/>
        </w:rPr>
        <w:t>9.41</w:t>
      </w:r>
      <w:r w:rsidRPr="007E130D">
        <w:rPr>
          <w:rFonts w:cstheme="minorHAnsi"/>
        </w:rPr>
        <w:t xml:space="preserve"> du RR, le Bureau a reçu des observations d'administrations notificatrices de très grandes stations terriennes (VLES), qui ont été exclues à la suite de l'examen par le Bureau des besoins de coordination au titre du numéro </w:t>
      </w:r>
      <w:r w:rsidRPr="007E130D">
        <w:rPr>
          <w:rFonts w:cstheme="minorHAnsi"/>
          <w:b/>
          <w:bCs/>
        </w:rPr>
        <w:t>9.7B</w:t>
      </w:r>
      <w:r w:rsidRPr="007E130D">
        <w:rPr>
          <w:rFonts w:cstheme="minorHAnsi"/>
        </w:rPr>
        <w:t xml:space="preserve"> du RR pour des </w:t>
      </w:r>
      <w:r w:rsidR="005C1D7F" w:rsidRPr="007E130D">
        <w:rPr>
          <w:rFonts w:cstheme="minorHAnsi"/>
        </w:rPr>
        <w:t xml:space="preserve">systèmes du </w:t>
      </w:r>
      <w:r w:rsidRPr="007E130D">
        <w:rPr>
          <w:rFonts w:cstheme="minorHAnsi"/>
        </w:rPr>
        <w:t xml:space="preserve">SFS non OSG </w:t>
      </w:r>
      <w:r w:rsidR="005C1D7F" w:rsidRPr="007E130D">
        <w:rPr>
          <w:rFonts w:cstheme="minorHAnsi"/>
        </w:rPr>
        <w:t>particuliers</w:t>
      </w:r>
      <w:r w:rsidRPr="007E130D">
        <w:rPr>
          <w:rFonts w:cstheme="minorHAnsi"/>
        </w:rPr>
        <w:t xml:space="preserve">, en utilisant l'outil fondé sur la Recommandation UIT-R S.1503. Comme cette Recommandation </w:t>
      </w:r>
      <w:r w:rsidR="000202E1" w:rsidRPr="007E130D">
        <w:rPr>
          <w:rFonts w:cstheme="minorHAnsi"/>
        </w:rPr>
        <w:t xml:space="preserve">permet de </w:t>
      </w:r>
      <w:r w:rsidRPr="007E130D">
        <w:rPr>
          <w:rFonts w:cstheme="minorHAnsi"/>
        </w:rPr>
        <w:t>calcule</w:t>
      </w:r>
      <w:r w:rsidR="000202E1" w:rsidRPr="007E130D">
        <w:rPr>
          <w:rFonts w:cstheme="minorHAnsi"/>
        </w:rPr>
        <w:t>r</w:t>
      </w:r>
      <w:r w:rsidRPr="007E130D">
        <w:rPr>
          <w:rFonts w:cstheme="minorHAnsi"/>
        </w:rPr>
        <w:t xml:space="preserve"> les brouillages causés aux liaisons OSG fonctionnant avec des stations spatiales OSG ayant une inclinaison de 0 degré, ces commentaires indiquent qu'il existe toujours un risque de brouillage des liaisons OSG fonctionnant avec une station spatiale OSG ayant une inclinaison de 5 ou 8 degrés et que, par conséquent, ces stations exclues devraient rester identifiées au titre du numéro </w:t>
      </w:r>
      <w:r w:rsidRPr="007E130D">
        <w:rPr>
          <w:rFonts w:cstheme="minorHAnsi"/>
          <w:b/>
          <w:bCs/>
        </w:rPr>
        <w:t>9.7B</w:t>
      </w:r>
      <w:r w:rsidRPr="007E130D">
        <w:rPr>
          <w:rFonts w:cstheme="minorHAnsi"/>
        </w:rPr>
        <w:t xml:space="preserve"> du RR.</w:t>
      </w:r>
    </w:p>
    <w:p w14:paraId="64E2B1EE" w14:textId="44921DA7" w:rsidR="00492C07" w:rsidRPr="007E130D" w:rsidRDefault="005C1D7F" w:rsidP="00B20AC9">
      <w:pPr>
        <w:rPr>
          <w:rFonts w:cstheme="minorHAnsi"/>
        </w:rPr>
      </w:pPr>
      <w:r w:rsidRPr="007E130D">
        <w:rPr>
          <w:rFonts w:cstheme="minorHAnsi"/>
        </w:rPr>
        <w:t>Il convient de noter que la méthode statique de la Recommandation UIT-R S.1714 considère l'angle d'inclinaison de la station spatiale OSG comme un paramètre d'entrée. On a donc supposé que son application devrait couvrir les cas de liaisons associées à une station spatiale OSG ayant un angle d'inclinaison non nul.</w:t>
      </w:r>
    </w:p>
    <w:p w14:paraId="67D0EED2" w14:textId="34885B32" w:rsidR="00492C07" w:rsidRPr="007E130D" w:rsidRDefault="000202E1" w:rsidP="005F6C72">
      <w:pPr>
        <w:rPr>
          <w:rFonts w:cstheme="minorHAnsi"/>
        </w:rPr>
      </w:pPr>
      <w:r w:rsidRPr="007E130D">
        <w:rPr>
          <w:rFonts w:cstheme="minorHAnsi"/>
        </w:rPr>
        <w:t>Toutefois, il a été porté à l'attention du Bureau que cette Recommandation comportait une hypothèse incorrecte pour tous les systèmes non OSG utilisant des gabarits présentés sous forme de longitude alpha/delta.</w:t>
      </w:r>
    </w:p>
    <w:p w14:paraId="5566D5B0" w14:textId="77777777" w:rsidR="00492C07" w:rsidRPr="007E130D" w:rsidRDefault="000202E1" w:rsidP="005F6C72">
      <w:pPr>
        <w:rPr>
          <w:rFonts w:cstheme="minorHAnsi"/>
        </w:rPr>
      </w:pPr>
      <w:r w:rsidRPr="007E130D">
        <w:rPr>
          <w:rFonts w:cstheme="minorHAnsi"/>
        </w:rPr>
        <w:t>Le Bureau a fa</w:t>
      </w:r>
      <w:r w:rsidR="00AC7D7F" w:rsidRPr="007E130D">
        <w:rPr>
          <w:rFonts w:cstheme="minorHAnsi"/>
        </w:rPr>
        <w:t>it part de cette difficulté au G</w:t>
      </w:r>
      <w:r w:rsidRPr="007E130D">
        <w:rPr>
          <w:rFonts w:cstheme="minorHAnsi"/>
        </w:rPr>
        <w:t>roupe de travail 4A en février 2021 en suggérant des améliorations de la méthodologie.</w:t>
      </w:r>
    </w:p>
    <w:p w14:paraId="6520B440" w14:textId="152F75B8" w:rsidR="00492C07" w:rsidRPr="007E130D" w:rsidRDefault="000202E1" w:rsidP="005F6C72">
      <w:pPr>
        <w:rPr>
          <w:rFonts w:cstheme="minorHAnsi"/>
        </w:rPr>
      </w:pPr>
      <w:r w:rsidRPr="007E130D">
        <w:rPr>
          <w:rFonts w:cstheme="minorHAnsi"/>
        </w:rPr>
        <w:t>Pour résoudre cette incohérence potentielle, la Commission d'études 4, lors de sa réunion de</w:t>
      </w:r>
      <w:r w:rsidR="008618E6" w:rsidRPr="007E130D">
        <w:rPr>
          <w:rFonts w:cstheme="minorHAnsi"/>
        </w:rPr>
        <w:t> </w:t>
      </w:r>
      <w:r w:rsidRPr="007E130D">
        <w:rPr>
          <w:rFonts w:cstheme="minorHAnsi"/>
        </w:rPr>
        <w:t>novembre 2021, a décidé de soumettre une révision de cette Recommandation pour adoption simultanée et approbation par correspondance (PAAS). Suite à l'application réussie de la procédure</w:t>
      </w:r>
      <w:r w:rsidR="00912F7E" w:rsidRPr="007E130D">
        <w:rPr>
          <w:rFonts w:cstheme="minorHAnsi"/>
        </w:rPr>
        <w:t> </w:t>
      </w:r>
      <w:r w:rsidRPr="007E130D">
        <w:rPr>
          <w:rFonts w:cstheme="minorHAnsi"/>
        </w:rPr>
        <w:t xml:space="preserve">PSAA, cette révision a été approuvée le 26 janvier 2022 (voir la </w:t>
      </w:r>
      <w:hyperlink r:id="rId22" w:history="1">
        <w:r w:rsidRPr="007E130D">
          <w:rPr>
            <w:rStyle w:val="Hyperlink"/>
            <w:rFonts w:cstheme="minorHAnsi"/>
          </w:rPr>
          <w:t>Circulaire administrative</w:t>
        </w:r>
        <w:r w:rsidR="00912F7E" w:rsidRPr="007E130D">
          <w:rPr>
            <w:rStyle w:val="Hyperlink"/>
            <w:rFonts w:cstheme="minorHAnsi"/>
          </w:rPr>
          <w:t> </w:t>
        </w:r>
        <w:r w:rsidRPr="007E130D">
          <w:rPr>
            <w:rStyle w:val="Hyperlink"/>
            <w:rFonts w:cstheme="minorHAnsi"/>
          </w:rPr>
          <w:t>CACE/1014</w:t>
        </w:r>
      </w:hyperlink>
      <w:r w:rsidRPr="007E130D">
        <w:rPr>
          <w:rFonts w:cstheme="minorHAnsi"/>
        </w:rPr>
        <w:t>).</w:t>
      </w:r>
    </w:p>
    <w:p w14:paraId="32AFE9FF" w14:textId="156AD019" w:rsidR="000202E1" w:rsidRPr="007E130D" w:rsidRDefault="000202E1" w:rsidP="00EC2A1E">
      <w:pPr>
        <w:keepLines/>
        <w:rPr>
          <w:rFonts w:cstheme="minorHAnsi"/>
        </w:rPr>
      </w:pPr>
      <w:r w:rsidRPr="007E130D">
        <w:rPr>
          <w:rFonts w:cstheme="minorHAnsi"/>
        </w:rPr>
        <w:lastRenderedPageBreak/>
        <w:t xml:space="preserve">Depuis son approbation, le Bureau a commencé à procéder à l'examen des exigences de coordination au titre du numéro </w:t>
      </w:r>
      <w:r w:rsidRPr="007E130D">
        <w:rPr>
          <w:rFonts w:cstheme="minorHAnsi"/>
          <w:b/>
          <w:bCs/>
        </w:rPr>
        <w:t>9.7B</w:t>
      </w:r>
      <w:r w:rsidRPr="007E130D">
        <w:rPr>
          <w:rFonts w:cstheme="minorHAnsi"/>
        </w:rPr>
        <w:t xml:space="preserve"> en utilisant la méthodologie contenue dans la Recommandation UIT-R S.1714-1. Ce plan d'action a été présenté à la 89ème réunion du RRB (14</w:t>
      </w:r>
      <w:r w:rsidR="00912F7E" w:rsidRPr="007E130D">
        <w:rPr>
          <w:rFonts w:cstheme="minorHAnsi"/>
        </w:rPr>
        <w:noBreakHyphen/>
      </w:r>
      <w:r w:rsidRPr="007E130D">
        <w:rPr>
          <w:rFonts w:cstheme="minorHAnsi"/>
        </w:rPr>
        <w:t>18 mars 2022).</w:t>
      </w:r>
    </w:p>
    <w:p w14:paraId="21B0A0F3" w14:textId="7C3E5AFA" w:rsidR="00492C07" w:rsidRPr="007E130D" w:rsidRDefault="000202E1" w:rsidP="005F6C72">
      <w:pPr>
        <w:rPr>
          <w:rFonts w:eastAsia="SimSun"/>
        </w:rPr>
      </w:pPr>
      <w:r w:rsidRPr="007E130D">
        <w:rPr>
          <w:rFonts w:cstheme="minorHAnsi"/>
        </w:rPr>
        <w:t xml:space="preserve">Un nouvel outil logiciel appelé EPFD Static a été mis au point pour fournir une analyse à l'aide de cette recommandation. Cet outil est proposé séparément du logiciel GIBC et peut être téléchargé à l'adresse suivante: </w:t>
      </w:r>
      <w:hyperlink r:id="rId23" w:history="1">
        <w:r w:rsidRPr="007E130D">
          <w:rPr>
            <w:rStyle w:val="Hyperlink"/>
            <w:rFonts w:cstheme="minorHAnsi"/>
          </w:rPr>
          <w:t>https://www.itu.int/epfdsupport/resources/</w:t>
        </w:r>
      </w:hyperlink>
      <w:r w:rsidR="00912F7E" w:rsidRPr="007E130D">
        <w:rPr>
          <w:rFonts w:cstheme="minorHAnsi"/>
        </w:rPr>
        <w:t>.</w:t>
      </w:r>
    </w:p>
    <w:p w14:paraId="101B3E6E" w14:textId="77777777" w:rsidR="00136EF7" w:rsidRPr="007E130D" w:rsidRDefault="00492C07" w:rsidP="00912F7E">
      <w:pPr>
        <w:pStyle w:val="Heading5"/>
        <w:rPr>
          <w:rFonts w:eastAsia="SimSun"/>
        </w:rPr>
      </w:pPr>
      <w:r w:rsidRPr="007E130D">
        <w:rPr>
          <w:rFonts w:eastAsia="SimSun"/>
        </w:rPr>
        <w:t>2.2.4.2.2</w:t>
      </w:r>
      <w:r w:rsidRPr="007E130D">
        <w:rPr>
          <w:rFonts w:eastAsia="SimSun"/>
        </w:rPr>
        <w:tab/>
      </w:r>
      <w:r w:rsidR="00136EF7" w:rsidRPr="007E130D">
        <w:rPr>
          <w:rFonts w:eastAsia="SimSun"/>
        </w:rPr>
        <w:t>Mise en œuvre d'une décision de la CMR-15</w:t>
      </w:r>
      <w:r w:rsidRPr="007E130D">
        <w:rPr>
          <w:rFonts w:eastAsia="SimSun"/>
        </w:rPr>
        <w:t xml:space="preserve"> </w:t>
      </w:r>
      <w:r w:rsidR="006E7948" w:rsidRPr="007E130D">
        <w:rPr>
          <w:rFonts w:eastAsia="SimSun"/>
        </w:rPr>
        <w:t xml:space="preserve">et nouvelles révisions de la </w:t>
      </w:r>
      <w:r w:rsidRPr="007E130D">
        <w:rPr>
          <w:rFonts w:eastAsia="SimSun"/>
        </w:rPr>
        <w:t>Recommandation UIT</w:t>
      </w:r>
      <w:r w:rsidRPr="007E130D">
        <w:rPr>
          <w:rFonts w:eastAsia="SimSun"/>
        </w:rPr>
        <w:noBreakHyphen/>
        <w:t>R S.1503</w:t>
      </w:r>
    </w:p>
    <w:p w14:paraId="0036C5A0" w14:textId="404C5452" w:rsidR="00136EF7" w:rsidRPr="007E130D" w:rsidRDefault="00136EF7" w:rsidP="00EC2A1E">
      <w:r w:rsidRPr="007E130D">
        <w:t xml:space="preserve">La Conférence mondiale des radiocommunications de 2015 (CMR-15) a examiné les progrès dont avait rendu compte le Directeur du BR concernant l'élaboration du logiciel de validation de l'epfd et a approuvé, à sa huitième séance plénière, le deuxième rapport de la Commission 5 à la plénière (voir les Documents </w:t>
      </w:r>
      <w:hyperlink r:id="rId24" w:history="1">
        <w:r w:rsidR="00492C07" w:rsidRPr="007E130D">
          <w:rPr>
            <w:rStyle w:val="Hyperlink"/>
          </w:rPr>
          <w:t>CMR15/416</w:t>
        </w:r>
      </w:hyperlink>
      <w:r w:rsidRPr="007E130D">
        <w:t xml:space="preserve"> et </w:t>
      </w:r>
      <w:hyperlink r:id="rId25" w:history="1">
        <w:r w:rsidR="00492C07" w:rsidRPr="007E130D">
          <w:rPr>
            <w:rStyle w:val="Hyperlink"/>
          </w:rPr>
          <w:t>CMR15/505</w:t>
        </w:r>
      </w:hyperlink>
      <w:r w:rsidRPr="007E130D">
        <w:t>), qui indique ce qui suit:</w:t>
      </w:r>
    </w:p>
    <w:p w14:paraId="50483F6D" w14:textId="4398B34F" w:rsidR="00136EF7" w:rsidRPr="007E130D" w:rsidRDefault="00136EF7" w:rsidP="00EC2A1E">
      <w:pPr>
        <w:pStyle w:val="enumlev1"/>
      </w:pPr>
      <w:r w:rsidRPr="007E130D">
        <w:t>–</w:t>
      </w:r>
      <w:r w:rsidRPr="007E130D">
        <w:tab/>
        <w:t>«</w:t>
      </w:r>
      <w:r w:rsidRPr="007E130D">
        <w:rPr>
          <w:i/>
          <w:iCs/>
        </w:rPr>
        <w:t xml:space="preserve">Dans les cas où ce logiciel ne permettrait pas de modéliser comme il se doit certains systèmes à satellites non géostationnaires du SFS, la Résolution </w:t>
      </w:r>
      <w:r w:rsidRPr="007E130D">
        <w:rPr>
          <w:b/>
          <w:bCs/>
          <w:i/>
          <w:iCs/>
        </w:rPr>
        <w:t>85 (CMR-03)</w:t>
      </w:r>
      <w:r w:rsidRPr="007E130D">
        <w:rPr>
          <w:i/>
          <w:iCs/>
        </w:rPr>
        <w:t xml:space="preserve"> continuera d'être appliquée jusqu'à ce qu'une mise à jour de la Recommandation</w:t>
      </w:r>
      <w:r w:rsidR="00912F7E" w:rsidRPr="007E130D">
        <w:rPr>
          <w:i/>
          <w:iCs/>
        </w:rPr>
        <w:t> </w:t>
      </w:r>
      <w:r w:rsidRPr="007E130D">
        <w:rPr>
          <w:i/>
          <w:iCs/>
        </w:rPr>
        <w:t>UIT</w:t>
      </w:r>
      <w:r w:rsidR="00912F7E" w:rsidRPr="007E130D">
        <w:rPr>
          <w:i/>
          <w:iCs/>
        </w:rPr>
        <w:noBreakHyphen/>
      </w:r>
      <w:r w:rsidRPr="007E130D">
        <w:rPr>
          <w:i/>
          <w:iCs/>
        </w:rPr>
        <w:t>R</w:t>
      </w:r>
      <w:r w:rsidR="00912F7E" w:rsidRPr="007E130D">
        <w:rPr>
          <w:i/>
          <w:iCs/>
        </w:rPr>
        <w:t> </w:t>
      </w:r>
      <w:r w:rsidRPr="007E130D">
        <w:rPr>
          <w:i/>
          <w:iCs/>
        </w:rPr>
        <w:t>S.1503 destinée à améliorer la modélisation de ces systèmes non OSG ait été approuvée au sein de l'UIT-R et soit mise en œuvre dans le logiciel de validation de l'EPFD. Une telle mesure n'empêcherait pas le Bureau de procéder à une vérification des systèmes non OSG du SFS pouvant être modélisés avec la version actuelle du logiciel.</w:t>
      </w:r>
      <w:r w:rsidRPr="007E130D">
        <w:t>»</w:t>
      </w:r>
    </w:p>
    <w:p w14:paraId="7EB60A31" w14:textId="77777777" w:rsidR="00136EF7" w:rsidRPr="007E130D" w:rsidRDefault="00136EF7" w:rsidP="00B20AC9">
      <w:r w:rsidRPr="007E130D">
        <w:t>Conformément à la décision ci-dessus, le Bureau, lorsqu'il reçoit une indication selon laquelle le logiciel ne permet pas de modéliser comme il se doit un système à satellites non géostationnaires donné du SFS, soumet le cas à la Commission d'études 4/au Groupe de travail 4A de l'UIT-R, afin que celle-ci/celui-ci détermine s'il est nécessaire d'apporter des améliorations supplémentaires à la méthode décrite dans la Recommandation UIT-R S.1503-2, de façon à pouvoir modéliser convenablement ce système. Pour faciliter l'examen mené par le Bureau et la Commission d'études 4/le Groupe de travail 4A, une description technique plus détaillée devra être fournie, comprenant entre autres:</w:t>
      </w:r>
    </w:p>
    <w:p w14:paraId="28B200F9" w14:textId="77777777" w:rsidR="00136EF7" w:rsidRPr="007E130D" w:rsidRDefault="00136EF7" w:rsidP="00B20AC9">
      <w:pPr>
        <w:pStyle w:val="enumlev1"/>
      </w:pPr>
      <w:r w:rsidRPr="007E130D">
        <w:t>1)</w:t>
      </w:r>
      <w:r w:rsidRPr="007E130D">
        <w:tab/>
        <w:t xml:space="preserve">les résultats des calculs effectués au moyen du logiciel de validation </w:t>
      </w:r>
      <w:r w:rsidRPr="007E130D">
        <w:rPr>
          <w:szCs w:val="24"/>
        </w:rPr>
        <w:t xml:space="preserve">de l'epfd </w:t>
      </w:r>
      <w:r w:rsidRPr="007E130D">
        <w:t>existant;</w:t>
      </w:r>
    </w:p>
    <w:p w14:paraId="4FDC1E02" w14:textId="77777777" w:rsidR="00136EF7" w:rsidRPr="007E130D" w:rsidRDefault="00136EF7" w:rsidP="00B20AC9">
      <w:pPr>
        <w:pStyle w:val="enumlev1"/>
      </w:pPr>
      <w:r w:rsidRPr="007E130D">
        <w:t>2)</w:t>
      </w:r>
      <w:r w:rsidRPr="007E130D">
        <w:tab/>
        <w:t>les résultats des calculs de l'epfd effectués au moyen d'un logiciel de simulation permettant de modéliser convenablement le système à satellites non géostationnaires;</w:t>
      </w:r>
    </w:p>
    <w:p w14:paraId="4A780C7E" w14:textId="77777777" w:rsidR="00136EF7" w:rsidRPr="007E130D" w:rsidRDefault="00136EF7" w:rsidP="00B20AC9">
      <w:pPr>
        <w:pStyle w:val="enumlev1"/>
      </w:pPr>
      <w:r w:rsidRPr="007E130D">
        <w:t>3)</w:t>
      </w:r>
      <w:r w:rsidRPr="007E130D">
        <w:tab/>
        <w:t>l'identification de certains passages de la Recommandation UIT-R S.1503-2 appelant un examen et des améliorations.</w:t>
      </w:r>
    </w:p>
    <w:p w14:paraId="7A840879" w14:textId="77777777" w:rsidR="00136EF7" w:rsidRPr="007E130D" w:rsidRDefault="00136EF7" w:rsidP="00B20AC9">
      <w:pPr>
        <w:rPr>
          <w:rFonts w:eastAsia="SimSun"/>
        </w:rPr>
      </w:pPr>
      <w:r w:rsidRPr="007E130D">
        <w:t xml:space="preserve">La Commission d'études </w:t>
      </w:r>
      <w:r w:rsidRPr="007E130D">
        <w:rPr>
          <w:rFonts w:eastAsia="SimSun"/>
        </w:rPr>
        <w:t>4 a examiné plusieurs cas, qui concernaient principalement le fait que la Recommandation UIT-R S.1503-2 ne permet pas de modéliser avec précision les systèmes dotés de faisceaux orientables et a étudié une nouvelle révision de cette Recommandation, qui a débouché sur l'adoption de la Recommandation UIT-R S.1503-3.</w:t>
      </w:r>
    </w:p>
    <w:p w14:paraId="36460DD5" w14:textId="1044B74E" w:rsidR="00492C07" w:rsidRPr="007E130D" w:rsidRDefault="00AC7D7F" w:rsidP="00B20AC9">
      <w:pPr>
        <w:rPr>
          <w:rFonts w:eastAsia="SimSun"/>
        </w:rPr>
      </w:pPr>
      <w:r w:rsidRPr="007E130D">
        <w:rPr>
          <w:rFonts w:eastAsia="SimSun"/>
        </w:rPr>
        <w:t>Le Bureau a relevé que le Groupe de travail 4A avait entamé l</w:t>
      </w:r>
      <w:r w:rsidR="000C4CDD" w:rsidRPr="007E130D">
        <w:rPr>
          <w:rFonts w:eastAsia="SimSun"/>
        </w:rPr>
        <w:t>'</w:t>
      </w:r>
      <w:r w:rsidRPr="007E130D">
        <w:rPr>
          <w:rFonts w:eastAsia="SimSun"/>
        </w:rPr>
        <w:t>élaboration d'une nouvelle révision de la Recommandation UIT-R S.1503. Sachant qu'une telle révision prend normalement deux ans et qu'un nombre assez élevé de cas sont en attente d'examen avec les données soumises conformément à la Recommandation UIT-R S.1503-2, le Bureau a envisagé une mise en œuvre prématurée de la Recommandation UIT.R S.1503-4.</w:t>
      </w:r>
    </w:p>
    <w:p w14:paraId="388D723B" w14:textId="3D1D6579" w:rsidR="00492C07" w:rsidRPr="007E130D" w:rsidRDefault="00D5601F" w:rsidP="00B20AC9">
      <w:pPr>
        <w:rPr>
          <w:rFonts w:eastAsia="SimSun"/>
        </w:rPr>
      </w:pPr>
      <w:r w:rsidRPr="007E130D">
        <w:rPr>
          <w:rFonts w:eastAsia="SimSun"/>
        </w:rPr>
        <w:t>À</w:t>
      </w:r>
      <w:r w:rsidR="00AC7D7F" w:rsidRPr="007E130D">
        <w:rPr>
          <w:rFonts w:eastAsia="SimSun"/>
        </w:rPr>
        <w:t xml:space="preserve"> la mi-2023, la révision 4 de la Recommandation UIT-R S.1503 est toujours à l'étude au sein du</w:t>
      </w:r>
      <w:r w:rsidR="00D6056C" w:rsidRPr="007E130D">
        <w:rPr>
          <w:rFonts w:eastAsia="SimSun"/>
        </w:rPr>
        <w:t> </w:t>
      </w:r>
      <w:r w:rsidR="00AC7D7F" w:rsidRPr="007E130D">
        <w:rPr>
          <w:rFonts w:eastAsia="SimSun"/>
        </w:rPr>
        <w:t>Groupe de travail 4A.</w:t>
      </w:r>
    </w:p>
    <w:p w14:paraId="256410B6" w14:textId="77777777" w:rsidR="00C9156C" w:rsidRPr="007E130D" w:rsidRDefault="00C9156C" w:rsidP="00B20AC9">
      <w:pPr>
        <w:jc w:val="both"/>
        <w:rPr>
          <w:rFonts w:eastAsia="SimSun"/>
        </w:rPr>
      </w:pPr>
      <w:r w:rsidRPr="007E130D">
        <w:rPr>
          <w:rFonts w:eastAsia="SimSun"/>
        </w:rPr>
        <w:lastRenderedPageBreak/>
        <w:t>Une fois la nouvelle révision adoptée, le Bureau sera en mesure d'envisager la mise en œuvre de la nouvelle révision 4 de la Recommandation UIT-R S.1503.</w:t>
      </w:r>
    </w:p>
    <w:p w14:paraId="0AE1D057" w14:textId="57B2B501" w:rsidR="00C9156C" w:rsidRPr="007E130D" w:rsidRDefault="00C9156C" w:rsidP="00B20AC9">
      <w:pPr>
        <w:rPr>
          <w:rFonts w:eastAsia="SimSun" w:cstheme="minorHAnsi"/>
        </w:rPr>
      </w:pPr>
      <w:r w:rsidRPr="007E130D">
        <w:rPr>
          <w:rFonts w:eastAsia="SimSun" w:cstheme="minorHAnsi"/>
        </w:rPr>
        <w:t xml:space="preserve">La CMR-23 examinera également les modifications supplémentaires à apporter à l'Appendice </w:t>
      </w:r>
      <w:r w:rsidRPr="007E130D">
        <w:rPr>
          <w:rFonts w:eastAsia="SimSun" w:cstheme="minorHAnsi"/>
          <w:b/>
          <w:bCs/>
        </w:rPr>
        <w:t>4</w:t>
      </w:r>
      <w:r w:rsidRPr="007E130D">
        <w:rPr>
          <w:rFonts w:eastAsia="SimSun" w:cstheme="minorHAnsi"/>
        </w:rPr>
        <w:t xml:space="preserve"> du</w:t>
      </w:r>
      <w:r w:rsidR="00D5601F" w:rsidRPr="007E130D">
        <w:rPr>
          <w:rFonts w:eastAsia="SimSun" w:cstheme="minorHAnsi"/>
        </w:rPr>
        <w:t> </w:t>
      </w:r>
      <w:r w:rsidRPr="007E130D">
        <w:rPr>
          <w:rFonts w:eastAsia="SimSun" w:cstheme="minorHAnsi"/>
        </w:rPr>
        <w:t>RR en ce qui concerne les nouveaux éléments de données requis pour cette nouvelle version de la Recommandation UIT-R S.1503.</w:t>
      </w:r>
    </w:p>
    <w:p w14:paraId="14025241" w14:textId="3A7A78FA" w:rsidR="00492C07" w:rsidRPr="007E130D" w:rsidRDefault="00C9156C" w:rsidP="00B20AC9">
      <w:r w:rsidRPr="007E130D">
        <w:rPr>
          <w:rFonts w:eastAsia="SimSun" w:cstheme="minorHAnsi"/>
        </w:rPr>
        <w:t>Il convient de noter que la version remplacée de la Recommandation UIT-R S.1503-2 continue d'être utilisée par les administrations pour soumettre les données relatives à leurs systèmes non</w:t>
      </w:r>
      <w:r w:rsidR="00D5601F" w:rsidRPr="007E130D">
        <w:rPr>
          <w:rFonts w:eastAsia="SimSun" w:cstheme="minorHAnsi"/>
        </w:rPr>
        <w:t> </w:t>
      </w:r>
      <w:r w:rsidRPr="007E130D">
        <w:rPr>
          <w:rFonts w:eastAsia="SimSun" w:cstheme="minorHAnsi"/>
        </w:rPr>
        <w:t>OSG du SFS. Par conséquent, le Bureau continuera à examiner les conclusions favorables conditionnelles précédemment établies en utilisant le logiciel existant mis au point conformément à la version 2 de la présente Recommandation pour tous les cas utilisant les données préparées conformément à la présente Recommandation.</w:t>
      </w:r>
    </w:p>
    <w:p w14:paraId="381A4761" w14:textId="77777777" w:rsidR="00136EF7" w:rsidRPr="007E130D" w:rsidRDefault="00492C07" w:rsidP="00B20AC9">
      <w:pPr>
        <w:pStyle w:val="Heading5"/>
        <w:rPr>
          <w:rFonts w:eastAsia="SimSun"/>
        </w:rPr>
      </w:pPr>
      <w:r w:rsidRPr="007E130D">
        <w:t>2.2.4.2.3</w:t>
      </w:r>
      <w:r w:rsidRPr="007E130D">
        <w:tab/>
      </w:r>
      <w:r w:rsidR="00136EF7" w:rsidRPr="007E130D">
        <w:t>Résumé du processus d'examen des conclusions</w:t>
      </w:r>
    </w:p>
    <w:p w14:paraId="63311DD1" w14:textId="77777777" w:rsidR="00136EF7" w:rsidRPr="007E130D" w:rsidRDefault="00136EF7" w:rsidP="00B20AC9">
      <w:r w:rsidRPr="007E130D">
        <w:t xml:space="preserve">Les résultats de l'examen des conclusions relatives aux réseaux à satellite conformément à la Résolution </w:t>
      </w:r>
      <w:r w:rsidRPr="007E130D">
        <w:rPr>
          <w:b/>
          <w:bCs/>
        </w:rPr>
        <w:t>85 (CMR</w:t>
      </w:r>
      <w:r w:rsidR="00492C07" w:rsidRPr="007E130D">
        <w:rPr>
          <w:b/>
          <w:bCs/>
        </w:rPr>
        <w:noBreakHyphen/>
      </w:r>
      <w:r w:rsidRPr="007E130D">
        <w:rPr>
          <w:b/>
          <w:bCs/>
        </w:rPr>
        <w:t>03)</w:t>
      </w:r>
      <w:r w:rsidRPr="007E130D">
        <w:t xml:space="preserve"> ont commencé à être publiés dans la BR IFIC 2862 du 23 janvier 2018.</w:t>
      </w:r>
    </w:p>
    <w:p w14:paraId="6E51C300" w14:textId="16995F36" w:rsidR="00136EF7" w:rsidRPr="007E130D" w:rsidRDefault="00136EF7" w:rsidP="00B20AC9">
      <w:r w:rsidRPr="007E130D">
        <w:t>À la mi-20</w:t>
      </w:r>
      <w:r w:rsidR="00492C07" w:rsidRPr="007E130D">
        <w:t>23</w:t>
      </w:r>
      <w:r w:rsidRPr="007E130D">
        <w:t>, des examens des conclusions avaient été effectués en ce qui concerne</w:t>
      </w:r>
      <w:r w:rsidR="00D6056C" w:rsidRPr="007E130D">
        <w:t> </w:t>
      </w:r>
      <w:r w:rsidR="00492C07" w:rsidRPr="007E130D">
        <w:t>122 </w:t>
      </w:r>
      <w:r w:rsidRPr="007E130D">
        <w:t>réseaux/systèmes non OSG, avec les résultats suivants:</w:t>
      </w:r>
    </w:p>
    <w:p w14:paraId="51B2BC4D" w14:textId="10A47CC7" w:rsidR="00136EF7" w:rsidRPr="007E130D" w:rsidRDefault="00D47B49" w:rsidP="00B20AC9">
      <w:pPr>
        <w:pStyle w:val="enumlev1"/>
      </w:pPr>
      <w:r w:rsidRPr="007E130D">
        <w:t>–</w:t>
      </w:r>
      <w:r w:rsidR="00136EF7" w:rsidRPr="007E130D">
        <w:tab/>
      </w:r>
      <w:r w:rsidR="00492C07" w:rsidRPr="007E130D">
        <w:t>quatre-vingt-dix-neuf</w:t>
      </w:r>
      <w:r w:rsidR="00136EF7" w:rsidRPr="007E130D">
        <w:t xml:space="preserve"> systèmes ont fait l'objet de conclusions favorables complètes;</w:t>
      </w:r>
    </w:p>
    <w:p w14:paraId="50EEC5FD" w14:textId="4F08F8DB" w:rsidR="00136EF7" w:rsidRPr="007E130D" w:rsidRDefault="00D47B49" w:rsidP="00B20AC9">
      <w:pPr>
        <w:pStyle w:val="enumlev1"/>
      </w:pPr>
      <w:r w:rsidRPr="007E130D">
        <w:t>–</w:t>
      </w:r>
      <w:r w:rsidR="00136EF7" w:rsidRPr="007E130D">
        <w:tab/>
      </w:r>
      <w:r w:rsidR="00492C07" w:rsidRPr="007E130D">
        <w:t xml:space="preserve">trois </w:t>
      </w:r>
      <w:r w:rsidR="00136EF7" w:rsidRPr="007E130D">
        <w:t>système</w:t>
      </w:r>
      <w:r w:rsidR="00492C07" w:rsidRPr="007E130D">
        <w:t>s</w:t>
      </w:r>
      <w:r w:rsidR="00136EF7" w:rsidRPr="007E130D">
        <w:t xml:space="preserve"> </w:t>
      </w:r>
      <w:r w:rsidR="00492C07" w:rsidRPr="007E130D">
        <w:t>ont</w:t>
      </w:r>
      <w:r w:rsidR="00136EF7" w:rsidRPr="007E130D">
        <w:t xml:space="preserve"> fait l'objet de conclusions défavorables;</w:t>
      </w:r>
    </w:p>
    <w:p w14:paraId="732E69F3" w14:textId="263FD7EE" w:rsidR="00136EF7" w:rsidRPr="007E130D" w:rsidRDefault="00D47B49" w:rsidP="00B20AC9">
      <w:pPr>
        <w:pStyle w:val="enumlev1"/>
      </w:pPr>
      <w:r w:rsidRPr="007E130D">
        <w:t>–</w:t>
      </w:r>
      <w:r w:rsidR="00136EF7" w:rsidRPr="007E130D">
        <w:tab/>
      </w:r>
      <w:r w:rsidR="00492C07" w:rsidRPr="007E130D">
        <w:t xml:space="preserve">seize </w:t>
      </w:r>
      <w:r w:rsidR="00136EF7" w:rsidRPr="007E130D">
        <w:t>systèmes ont donné lieu à des conclusions favorables, sauf pour plusieurs assignations de fréquence qui ont fait l'objet de conclusions défavorables;</w:t>
      </w:r>
    </w:p>
    <w:p w14:paraId="56A396D2" w14:textId="7A4B8E4A" w:rsidR="00136EF7" w:rsidRPr="007E130D" w:rsidRDefault="00D47B49" w:rsidP="00B20AC9">
      <w:pPr>
        <w:pStyle w:val="enumlev1"/>
      </w:pPr>
      <w:r w:rsidRPr="007E130D">
        <w:t>–</w:t>
      </w:r>
      <w:r w:rsidR="00136EF7" w:rsidRPr="007E130D">
        <w:tab/>
      </w:r>
      <w:r w:rsidR="00492C07" w:rsidRPr="007E130D">
        <w:t xml:space="preserve">quatre </w:t>
      </w:r>
      <w:r w:rsidR="00136EF7" w:rsidRPr="007E130D">
        <w:t xml:space="preserve">systèmes ont fait l'objet de conclusions favorables pour certains groupes d'assignations de fréquence et de conclusions favorables conditionnelles pour d'autres groupes et/ou configurations orbitales, en raison de la poursuite de l'application de la Résolution </w:t>
      </w:r>
      <w:r w:rsidR="00136EF7" w:rsidRPr="007E130D">
        <w:rPr>
          <w:b/>
          <w:bCs/>
        </w:rPr>
        <w:t>85 (CMR</w:t>
      </w:r>
      <w:r w:rsidR="00136EF7" w:rsidRPr="007E130D">
        <w:rPr>
          <w:b/>
          <w:bCs/>
        </w:rPr>
        <w:noBreakHyphen/>
        <w:t>03)</w:t>
      </w:r>
      <w:r w:rsidR="00136EF7" w:rsidRPr="007E130D">
        <w:t xml:space="preserve"> à la demande de l'administration notificatrice, comme l'a décidé la CMR-15 (voir la Lettre circulaire </w:t>
      </w:r>
      <w:hyperlink r:id="rId26" w:history="1">
        <w:r w:rsidR="00136EF7" w:rsidRPr="007E130D">
          <w:rPr>
            <w:rStyle w:val="Hyperlink"/>
          </w:rPr>
          <w:t>CR/414</w:t>
        </w:r>
      </w:hyperlink>
      <w:r w:rsidR="00136EF7" w:rsidRPr="007E130D">
        <w:t>).</w:t>
      </w:r>
    </w:p>
    <w:p w14:paraId="5CDDE6C1" w14:textId="77777777" w:rsidR="00136EF7" w:rsidRPr="007E130D" w:rsidRDefault="00136EF7" w:rsidP="00B20AC9">
      <w:r w:rsidRPr="007E130D">
        <w:t>Le Comité du Règlement des radiocommunications est régulièrement tenu informé des progrès accomplis dans le processus d'examen de ces conclusions.</w:t>
      </w:r>
    </w:p>
    <w:p w14:paraId="47EA6C9B" w14:textId="77777777" w:rsidR="00D47B49" w:rsidRPr="007E130D" w:rsidRDefault="00D47B49" w:rsidP="00D5601F">
      <w:pPr>
        <w:pStyle w:val="Heading4"/>
      </w:pPr>
      <w:r w:rsidRPr="007E130D">
        <w:t>2.2.4.3</w:t>
      </w:r>
      <w:r w:rsidRPr="007E130D">
        <w:tab/>
        <w:t>Résolution 155 (CMR</w:t>
      </w:r>
      <w:r w:rsidRPr="007E130D">
        <w:noBreakHyphen/>
        <w:t>15)</w:t>
      </w:r>
    </w:p>
    <w:p w14:paraId="07553EC5" w14:textId="5154C5E6" w:rsidR="00D47B49" w:rsidRPr="007E130D" w:rsidRDefault="00D47B49" w:rsidP="00B20AC9">
      <w:r w:rsidRPr="007E130D">
        <w:t xml:space="preserve">La Résolution </w:t>
      </w:r>
      <w:r w:rsidRPr="007E130D">
        <w:rPr>
          <w:b/>
          <w:bCs/>
        </w:rPr>
        <w:t>155 (CMR-15)</w:t>
      </w:r>
      <w:r w:rsidRPr="007E130D">
        <w:t xml:space="preserve"> concerne les dispositions réglementaires relatives aux stations terriennes à bord d'un aéronef sans pilote (UA), qui fonctionnent avec des réseaux à satellite géostationnaire du service fixe par satellite dans certaines bandes de fréquences ne relevant pas d'un Plan des Appendices </w:t>
      </w:r>
      <w:r w:rsidRPr="007E130D">
        <w:rPr>
          <w:b/>
          <w:bCs/>
        </w:rPr>
        <w:t>30</w:t>
      </w:r>
      <w:r w:rsidRPr="007E130D">
        <w:t xml:space="preserve">, </w:t>
      </w:r>
      <w:r w:rsidRPr="007E130D">
        <w:rPr>
          <w:b/>
          <w:bCs/>
        </w:rPr>
        <w:t>30A</w:t>
      </w:r>
      <w:r w:rsidRPr="007E130D">
        <w:t xml:space="preserve"> et </w:t>
      </w:r>
      <w:r w:rsidRPr="007E130D">
        <w:rPr>
          <w:b/>
          <w:bCs/>
        </w:rPr>
        <w:t>30B</w:t>
      </w:r>
      <w:r w:rsidRPr="007E130D">
        <w:t xml:space="preserve"> pour les communications de contrôle et non associées à la charge utile (CNPC) des systèmes d'aéronef sans pilote (UAS) dans des espaces aériens non réservés. </w:t>
      </w:r>
      <w:r w:rsidR="00A37E71" w:rsidRPr="007E130D">
        <w:t xml:space="preserve">Conformément point 3 du </w:t>
      </w:r>
      <w:r w:rsidR="00A37E71" w:rsidRPr="007E130D">
        <w:rPr>
          <w:i/>
        </w:rPr>
        <w:t>charge le Directeur du Bureau des radiocommunications</w:t>
      </w:r>
      <w:r w:rsidR="00A37E71" w:rsidRPr="007E130D">
        <w:t xml:space="preserve">, une nouvelle classe de code de station UG a été créée pour les stations terriennes fournissant des liaisons CNPC </w:t>
      </w:r>
      <w:r w:rsidR="0041052C" w:rsidRPr="007E130D">
        <w:t>de système UAS et incluse dans la P</w:t>
      </w:r>
      <w:r w:rsidR="00A37E71" w:rsidRPr="007E130D">
        <w:t>réface.</w:t>
      </w:r>
    </w:p>
    <w:p w14:paraId="6C55B17A" w14:textId="04B393C5" w:rsidR="00D47B49" w:rsidRPr="007E130D" w:rsidRDefault="009D3C83" w:rsidP="00B20AC9">
      <w:r w:rsidRPr="007E130D">
        <w:t xml:space="preserve">Comme indiqué à la CMR-19, afin de contribuer aux études pertinentes de l'UIT-R et conformément point 1 du </w:t>
      </w:r>
      <w:r w:rsidRPr="007E130D">
        <w:rPr>
          <w:i/>
        </w:rPr>
        <w:t>décide d'encourager les administrations</w:t>
      </w:r>
      <w:r w:rsidRPr="007E130D">
        <w:t>, le Bureau a établi une plate</w:t>
      </w:r>
      <w:r w:rsidR="00D5601F" w:rsidRPr="007E130D">
        <w:noBreakHyphen/>
      </w:r>
      <w:r w:rsidRPr="007E130D">
        <w:t xml:space="preserve">forme web pour l'affichage, à titre d'information uniquement, de la partie des fiches de notification </w:t>
      </w:r>
      <w:r w:rsidR="00D5601F" w:rsidRPr="007E130D">
        <w:t>«</w:t>
      </w:r>
      <w:r w:rsidRPr="007E130D">
        <w:t>telles qu</w:t>
      </w:r>
      <w:r w:rsidR="00D5601F" w:rsidRPr="007E130D">
        <w:t>'</w:t>
      </w:r>
      <w:r w:rsidRPr="007E130D">
        <w:t>elles ont été reçues</w:t>
      </w:r>
      <w:r w:rsidR="00D5601F" w:rsidRPr="007E130D">
        <w:t>»</w:t>
      </w:r>
      <w:r w:rsidRPr="007E130D">
        <w:t xml:space="preserve"> au titre des Articles </w:t>
      </w:r>
      <w:r w:rsidRPr="007E130D">
        <w:rPr>
          <w:b/>
          <w:bCs/>
        </w:rPr>
        <w:t xml:space="preserve">9 </w:t>
      </w:r>
      <w:r w:rsidRPr="007E130D">
        <w:t xml:space="preserve">ou </w:t>
      </w:r>
      <w:r w:rsidRPr="007E130D">
        <w:rPr>
          <w:b/>
          <w:bCs/>
        </w:rPr>
        <w:t>11</w:t>
      </w:r>
      <w:r w:rsidRPr="007E130D">
        <w:t xml:space="preserve"> du RR pour les réseaux du</w:t>
      </w:r>
      <w:r w:rsidR="00D5601F" w:rsidRPr="007E130D">
        <w:t> </w:t>
      </w:r>
      <w:r w:rsidRPr="007E130D">
        <w:t xml:space="preserve">SFS pour les liaisons CNPC du système UAS ou une station terrienne à bord d'un aéronef UA communiquant avec une station spatiale du SFS de l'OSG à l'adresse: </w:t>
      </w:r>
      <w:hyperlink r:id="rId27" w:history="1">
        <w:r w:rsidR="00D5601F" w:rsidRPr="007E130D">
          <w:rPr>
            <w:rStyle w:val="Hyperlink"/>
          </w:rPr>
          <w:t>https://www.itu.int/en/ITU</w:t>
        </w:r>
        <w:r w:rsidR="00D5601F" w:rsidRPr="007E130D">
          <w:rPr>
            <w:rStyle w:val="Hyperlink"/>
          </w:rPr>
          <w:noBreakHyphen/>
          <w:t>R/space/snl/Pages/UAS.aspx</w:t>
        </w:r>
      </w:hyperlink>
      <w:r w:rsidRPr="007E130D">
        <w:t>. Au 1er juin 2023, il y a 65 réseaux à satellite reçus de 8 administrations qui contiennent des stations de classe UG et pour lesquels le Bureau a extrait les renseignements concernant ces stations sur la page web ci-dessus</w:t>
      </w:r>
      <w:r w:rsidR="00D47B49" w:rsidRPr="007E130D">
        <w:t>.</w:t>
      </w:r>
    </w:p>
    <w:p w14:paraId="2E869214" w14:textId="77777777" w:rsidR="00DC2CBF" w:rsidRPr="007E130D" w:rsidRDefault="00D47B49" w:rsidP="00B20AC9">
      <w:pPr>
        <w:pStyle w:val="Heading4"/>
      </w:pPr>
      <w:r w:rsidRPr="007E130D">
        <w:lastRenderedPageBreak/>
        <w:t>2.2.4.4</w:t>
      </w:r>
      <w:r w:rsidRPr="007E130D">
        <w:tab/>
      </w:r>
      <w:r w:rsidR="00376F56" w:rsidRPr="007E130D">
        <w:t>Mise en œuvre de la</w:t>
      </w:r>
      <w:r w:rsidRPr="007E130D">
        <w:t xml:space="preserve"> Résolution 169 (CMR</w:t>
      </w:r>
      <w:r w:rsidRPr="007E130D">
        <w:noBreakHyphen/>
        <w:t>19)</w:t>
      </w:r>
    </w:p>
    <w:p w14:paraId="7B9ECD5F" w14:textId="1580E9E9" w:rsidR="00DC2CBF" w:rsidRPr="007E130D" w:rsidRDefault="00D47B49" w:rsidP="00B20AC9">
      <w:r w:rsidRPr="007E130D">
        <w:t xml:space="preserve">La Résolution </w:t>
      </w:r>
      <w:r w:rsidRPr="007E130D">
        <w:rPr>
          <w:b/>
          <w:bCs/>
        </w:rPr>
        <w:t>169 (CMR</w:t>
      </w:r>
      <w:r w:rsidRPr="007E130D">
        <w:rPr>
          <w:b/>
          <w:bCs/>
        </w:rPr>
        <w:noBreakHyphen/>
        <w:t>19)</w:t>
      </w:r>
      <w:r w:rsidRPr="007E130D">
        <w:t xml:space="preserve"> </w:t>
      </w:r>
      <w:r w:rsidR="00376F56" w:rsidRPr="007E130D">
        <w:t>traite de l</w:t>
      </w:r>
      <w:r w:rsidR="000C4CDD" w:rsidRPr="007E130D">
        <w:t>'</w:t>
      </w:r>
      <w:r w:rsidR="00376F56" w:rsidRPr="007E130D">
        <w:t>u</w:t>
      </w:r>
      <w:r w:rsidRPr="007E130D">
        <w:t>tilisation des bandes de fréquences 17,7-19,7 GHz et</w:t>
      </w:r>
      <w:r w:rsidR="00D5601F" w:rsidRPr="007E130D">
        <w:t> </w:t>
      </w:r>
      <w:r w:rsidRPr="007E130D">
        <w:t>27,5</w:t>
      </w:r>
      <w:r w:rsidRPr="007E130D">
        <w:noBreakHyphen/>
        <w:t>29,5 GHz par les stations terriennes en mouvement communiquant avec des stations spatiales géostationnaires du service fixe par satellite</w:t>
      </w:r>
      <w:r w:rsidR="00155F3B" w:rsidRPr="007E130D">
        <w:t>.</w:t>
      </w:r>
    </w:p>
    <w:p w14:paraId="1639B9FD" w14:textId="280A94D5" w:rsidR="00B84CB9" w:rsidRPr="007E130D" w:rsidRDefault="00982AF7" w:rsidP="00B20AC9">
      <w:r w:rsidRPr="007E130D">
        <w:t xml:space="preserve">Le Bureau a publié </w:t>
      </w:r>
      <w:r w:rsidR="0052706F" w:rsidRPr="007E130D">
        <w:t xml:space="preserve">la </w:t>
      </w:r>
      <w:r w:rsidR="00B93347" w:rsidRPr="007E130D">
        <w:t xml:space="preserve">Lettre circulaire </w:t>
      </w:r>
      <w:r w:rsidR="0052706F" w:rsidRPr="007E130D">
        <w:t xml:space="preserve">CR/461 le 17 juin 2020 pour </w:t>
      </w:r>
      <w:r w:rsidR="00B93347" w:rsidRPr="007E130D">
        <w:t>fournir des informations et des orientations aux administrations concernant la soumission et l'examen des caractéristiques des stations ESIM associées à des stations spatiales géostationnaires du SFS dans les bandes de fréquences 17,7</w:t>
      </w:r>
      <w:r w:rsidR="00B93347" w:rsidRPr="007E130D">
        <w:noBreakHyphen/>
        <w:t>19,7 GHz (espace vers Terre) et 27,5-29,5 GHz (Terre vers espace) à compter du</w:t>
      </w:r>
      <w:r w:rsidR="00D5601F" w:rsidRPr="007E130D">
        <w:t> </w:t>
      </w:r>
      <w:r w:rsidR="00B93347" w:rsidRPr="007E130D">
        <w:rPr>
          <w:bCs/>
        </w:rPr>
        <w:t>1er juillet 2020</w:t>
      </w:r>
      <w:r w:rsidR="00B93347" w:rsidRPr="007E130D">
        <w:t>.</w:t>
      </w:r>
      <w:r w:rsidR="00B84CB9" w:rsidRPr="007E130D">
        <w:t xml:space="preserve"> </w:t>
      </w:r>
      <w:r w:rsidR="0052706F" w:rsidRPr="007E130D">
        <w:t xml:space="preserve">Il s'agit notamment de l'introduction de trois nouvelles classes de stations dans le </w:t>
      </w:r>
      <w:r w:rsidR="00CF5E48" w:rsidRPr="007E130D">
        <w:t>T</w:t>
      </w:r>
      <w:r w:rsidR="0052706F" w:rsidRPr="007E130D">
        <w:t>ableau 3 de la Préface de la BR IFIC (</w:t>
      </w:r>
      <w:r w:rsidR="000510FB" w:rsidRPr="0000234B">
        <w:t xml:space="preserve">Services </w:t>
      </w:r>
      <w:r w:rsidR="0052706F" w:rsidRPr="0000234B">
        <w:t>spatiaux): UU (stations ESIM terrestres), UO (stations ESIM aéronautiques) et US (stations ESIM maritimes</w:t>
      </w:r>
      <w:r w:rsidR="0052706F" w:rsidRPr="007E130D">
        <w:t>).</w:t>
      </w:r>
    </w:p>
    <w:p w14:paraId="3FA0D7C8" w14:textId="62D5DA4F" w:rsidR="00B84CB9" w:rsidRPr="007E130D" w:rsidRDefault="0052706F" w:rsidP="00B20AC9">
      <w:r w:rsidRPr="007E130D">
        <w:t xml:space="preserve">Le Bureau a participé activement aux réunions du GT 4A et a apporté une contribution à la réunion du GT 4A en septembre 2022 (voir </w:t>
      </w:r>
      <w:r w:rsidR="00D6056C" w:rsidRPr="007E130D">
        <w:t>D</w:t>
      </w:r>
      <w:r w:rsidRPr="007E130D">
        <w:t xml:space="preserve">ocument </w:t>
      </w:r>
      <w:hyperlink r:id="rId28" w:history="1">
        <w:r w:rsidRPr="007E130D">
          <w:rPr>
            <w:rStyle w:val="Hyperlink"/>
          </w:rPr>
          <w:t>4A/850</w:t>
        </w:r>
      </w:hyperlink>
      <w:r w:rsidRPr="007E130D">
        <w:t>) afin d'aider les membres à travailler sur la méthodologie d'évaluation de la conformité des stations A-ESIM avec les limites de puissance surfacique dans la partie II de l'Annexe 3 de la Résolution.</w:t>
      </w:r>
    </w:p>
    <w:p w14:paraId="1882E854" w14:textId="4579CB94" w:rsidR="00B84CB9" w:rsidRPr="007E130D" w:rsidRDefault="0052706F" w:rsidP="00B20AC9">
      <w:r w:rsidRPr="007E130D">
        <w:t xml:space="preserve">Le Bureau a apporté les modifications nécessaires à son logiciel et à sa base de données pour tenir compte des modifications apportées à cette résolution par la CMR-19, qui pouvaient être téléchargées à l'adresse </w:t>
      </w:r>
      <w:hyperlink r:id="rId29" w:history="1">
        <w:r w:rsidR="00D5601F" w:rsidRPr="007E130D">
          <w:rPr>
            <w:rStyle w:val="Hyperlink"/>
          </w:rPr>
          <w:t>http://www.itu.int/ITU-R/go/space-software/en</w:t>
        </w:r>
      </w:hyperlink>
      <w:r w:rsidRPr="007E130D">
        <w:t xml:space="preserve"> ainsi que sur le site de la</w:t>
      </w:r>
      <w:r w:rsidR="00D5601F" w:rsidRPr="007E130D">
        <w:t> </w:t>
      </w:r>
      <w:r w:rsidRPr="007E130D">
        <w:t>BR</w:t>
      </w:r>
      <w:r w:rsidR="00D5601F" w:rsidRPr="007E130D">
        <w:t> </w:t>
      </w:r>
      <w:r w:rsidRPr="007E130D">
        <w:t>IFIC (</w:t>
      </w:r>
      <w:r w:rsidRPr="0000234B">
        <w:t>Services spatiaux</w:t>
      </w:r>
      <w:r w:rsidRPr="007E130D">
        <w:t>) 2923/23.06.2020 et dans les publications ultérieures.</w:t>
      </w:r>
    </w:p>
    <w:p w14:paraId="71179BBB" w14:textId="6C83B8D1" w:rsidR="00B84CB9" w:rsidRPr="007E130D" w:rsidRDefault="0052706F" w:rsidP="00B20AC9">
      <w:r w:rsidRPr="007E130D">
        <w:t xml:space="preserve">Le Bureau a également rappelé aux administrations que les caractéristiques des stations ESIM dans les bandes de fréquences 17,7-19,7 GHz et 27,5-29,5 GHz n'étaient considérées comme recevables par le Bureau que si elles étaient soumises dans le cadre d'une modification d'une fiche de notification soumise précédemment et contenant les caractéristiques des stations terriennes types associées au réseau </w:t>
      </w:r>
      <w:r w:rsidR="00224BBD" w:rsidRPr="007E130D">
        <w:t>à satellite</w:t>
      </w:r>
      <w:r w:rsidRPr="007E130D">
        <w:t xml:space="preserve"> avec lequel ces stations ESIM communiquent.</w:t>
      </w:r>
    </w:p>
    <w:p w14:paraId="31BE3E22" w14:textId="145611C8" w:rsidR="00B84CB9" w:rsidRPr="007E130D" w:rsidRDefault="0052706F" w:rsidP="00B20AC9">
      <w:bookmarkStart w:id="54" w:name="OLE_LINK1"/>
      <w:bookmarkStart w:id="55" w:name="OLE_LINK2"/>
      <w:r w:rsidRPr="007E130D">
        <w:t xml:space="preserve">Dès réception des renseignements de notification contenant des stations ESIM, le Bureau a examiné ces assignations pour s'assurer que les caractéristiques des stations ESIM se situaient dans l'enveloppe des caractéristiques des stations terriennes types associées au réseau </w:t>
      </w:r>
      <w:r w:rsidR="00224BBD" w:rsidRPr="007E130D">
        <w:t>à satellite</w:t>
      </w:r>
      <w:r w:rsidRPr="007E130D">
        <w:t xml:space="preserve"> avec lequel ces stations ESIM communiquent. Dans le cas où des </w:t>
      </w:r>
      <w:r w:rsidR="00224BBD" w:rsidRPr="007E130D">
        <w:t xml:space="preserve">stations </w:t>
      </w:r>
      <w:r w:rsidRPr="007E130D">
        <w:t xml:space="preserve">ESIM et des stations terriennes types sont soumises ensemble dans la même fiche de notification, les assignations de fréquence des </w:t>
      </w:r>
      <w:r w:rsidR="00224BBD" w:rsidRPr="007E130D">
        <w:t xml:space="preserve">stations </w:t>
      </w:r>
      <w:r w:rsidRPr="007E130D">
        <w:t xml:space="preserve">ESIM seront séparées et les stations terriennes types seront traitées en premier. Conformément aux points 1.1.4 et 1.1.1 </w:t>
      </w:r>
      <w:r w:rsidR="00224BBD" w:rsidRPr="007E130D">
        <w:t xml:space="preserve">du </w:t>
      </w:r>
      <w:r w:rsidR="00224BBD" w:rsidRPr="007E130D">
        <w:rPr>
          <w:i/>
        </w:rPr>
        <w:t>décide</w:t>
      </w:r>
      <w:r w:rsidR="00224BBD" w:rsidRPr="007E130D">
        <w:t xml:space="preserve"> </w:t>
      </w:r>
      <w:r w:rsidRPr="007E130D">
        <w:t xml:space="preserve">de la Résolution </w:t>
      </w:r>
      <w:r w:rsidRPr="007E130D">
        <w:rPr>
          <w:b/>
          <w:bCs/>
        </w:rPr>
        <w:t>169 (CMR-19)</w:t>
      </w:r>
      <w:r w:rsidRPr="007E130D">
        <w:t xml:space="preserve">, les assignations de fréquence des </w:t>
      </w:r>
      <w:r w:rsidR="00224BBD" w:rsidRPr="007E130D">
        <w:t xml:space="preserve">stations </w:t>
      </w:r>
      <w:r w:rsidRPr="007E130D">
        <w:t>ESIM seront traitées ultérieurement comme une modification avec la date de réception initiale plus un jour.</w:t>
      </w:r>
    </w:p>
    <w:bookmarkEnd w:id="54"/>
    <w:bookmarkEnd w:id="55"/>
    <w:p w14:paraId="6A627916" w14:textId="7C6ECA7D" w:rsidR="00B84CB9" w:rsidRPr="007E130D" w:rsidRDefault="00224BBD" w:rsidP="00B20AC9">
      <w:r w:rsidRPr="007E130D">
        <w:t xml:space="preserve">Conformément aux points 1.1.5 et 1.2.5 du </w:t>
      </w:r>
      <w:r w:rsidRPr="007E130D">
        <w:rPr>
          <w:i/>
        </w:rPr>
        <w:t>décide</w:t>
      </w:r>
      <w:r w:rsidRPr="007E130D">
        <w:t xml:space="preserve">, le Bureau n'examine les assignations aux stations ESIM qu'au regard de leur conformité avec le point 1.1.1 du </w:t>
      </w:r>
      <w:r w:rsidRPr="007E130D">
        <w:rPr>
          <w:i/>
        </w:rPr>
        <w:t>décide</w:t>
      </w:r>
      <w:r w:rsidRPr="007E130D">
        <w:t xml:space="preserve"> et la </w:t>
      </w:r>
      <w:r w:rsidR="000510FB" w:rsidRPr="007E130D">
        <w:t>P</w:t>
      </w:r>
      <w:r w:rsidRPr="007E130D">
        <w:t xml:space="preserve">artie II de l'Annexe 3 de la Résolution </w:t>
      </w:r>
      <w:r w:rsidRPr="007E130D">
        <w:rPr>
          <w:b/>
          <w:bCs/>
        </w:rPr>
        <w:t>169 (CMR-19)</w:t>
      </w:r>
      <w:r w:rsidRPr="007E130D">
        <w:t xml:space="preserve">. </w:t>
      </w:r>
      <w:r w:rsidR="00D5601F" w:rsidRPr="007E130D">
        <w:t>Étant</w:t>
      </w:r>
      <w:r w:rsidRPr="007E130D">
        <w:t xml:space="preserve"> donné que le Bureau n'est pas en mesure d'examiner la conformité contenue dans la Partie II de l'Annexe 3 en raison de l'absence de méthodologie, le Bureau a formulé des conclusions favorables conditionnelles sur la base de l'engagement A.22.a de l'administration. Une fois que les études visant à déterminer la méthodologie de mise en œuvre de la Partie II de l'Annexe 3 seront achevées et que le logiciel sera disponible, le Bureau réexaminera ses conclusions relatives au numéro </w:t>
      </w:r>
      <w:r w:rsidRPr="007E130D">
        <w:rPr>
          <w:b/>
          <w:bCs/>
        </w:rPr>
        <w:t>11.31</w:t>
      </w:r>
      <w:r w:rsidRPr="007E130D">
        <w:t>.</w:t>
      </w:r>
    </w:p>
    <w:p w14:paraId="5ECC3FEB" w14:textId="41250694" w:rsidR="00B84CB9" w:rsidRPr="007E130D" w:rsidRDefault="006301F9" w:rsidP="00B20AC9">
      <w:r w:rsidRPr="007E130D">
        <w:t xml:space="preserve">En ce qui concerne les limites de densité de p.i.r.e. de l'Annexe 1 et de la Partie I de l'Annexe 3 de la Résolution </w:t>
      </w:r>
      <w:r w:rsidRPr="007E130D">
        <w:rPr>
          <w:b/>
          <w:bCs/>
        </w:rPr>
        <w:t>169 (CMR</w:t>
      </w:r>
      <w:r w:rsidR="00FC05C7" w:rsidRPr="007E130D">
        <w:rPr>
          <w:b/>
          <w:bCs/>
        </w:rPr>
        <w:t>-</w:t>
      </w:r>
      <w:r w:rsidRPr="007E130D">
        <w:rPr>
          <w:b/>
          <w:bCs/>
        </w:rPr>
        <w:t>19)</w:t>
      </w:r>
      <w:r w:rsidRPr="007E130D">
        <w:t>, il est considéré que la conformité avec ces limites de densité de</w:t>
      </w:r>
      <w:r w:rsidR="003A53A1" w:rsidRPr="007E130D">
        <w:t> </w:t>
      </w:r>
      <w:r w:rsidRPr="007E130D">
        <w:t>p.i.r.e. est assurée par un engagement de l'administration soumis conformément au A.20.a de l'Appendice</w:t>
      </w:r>
      <w:r w:rsidR="00D5601F" w:rsidRPr="007E130D">
        <w:t> </w:t>
      </w:r>
      <w:r w:rsidRPr="007E130D">
        <w:rPr>
          <w:b/>
          <w:bCs/>
        </w:rPr>
        <w:t>4</w:t>
      </w:r>
      <w:r w:rsidRPr="007E130D">
        <w:t>.</w:t>
      </w:r>
    </w:p>
    <w:p w14:paraId="5CBD0F08" w14:textId="1B5B6E64" w:rsidR="00B84CB9" w:rsidRPr="007E130D" w:rsidRDefault="006301F9" w:rsidP="00B20AC9">
      <w:r w:rsidRPr="007E130D">
        <w:lastRenderedPageBreak/>
        <w:t xml:space="preserve">Conformément aux points 1.1.4, 1.1.5, 1.2.5 du </w:t>
      </w:r>
      <w:r w:rsidRPr="007E130D">
        <w:rPr>
          <w:i/>
        </w:rPr>
        <w:t>décide</w:t>
      </w:r>
      <w:r w:rsidRPr="007E130D">
        <w:t xml:space="preserve"> de la Résolution </w:t>
      </w:r>
      <w:r w:rsidRPr="007E130D">
        <w:rPr>
          <w:b/>
          <w:bCs/>
        </w:rPr>
        <w:t>169 (CMR-19)</w:t>
      </w:r>
      <w:r w:rsidRPr="007E130D">
        <w:t>, le Bureau a préparé de nouvelles pages de couverture</w:t>
      </w:r>
      <w:r w:rsidR="00FB67D9" w:rsidRPr="007E130D">
        <w:t xml:space="preserve"> ou gabarits</w:t>
      </w:r>
      <w:r w:rsidRPr="007E130D">
        <w:t xml:space="preserve"> pour les publications des Parties I/II/III-S qui font spécifiquement référence à la Résolution </w:t>
      </w:r>
      <w:r w:rsidRPr="007E130D">
        <w:rPr>
          <w:b/>
          <w:bCs/>
        </w:rPr>
        <w:t>169</w:t>
      </w:r>
      <w:r w:rsidRPr="007E130D">
        <w:t xml:space="preserve"> afin de faciliter la réception et l'examen des </w:t>
      </w:r>
      <w:r w:rsidR="00FB67D9" w:rsidRPr="007E130D">
        <w:t xml:space="preserve">stations </w:t>
      </w:r>
      <w:r w:rsidRPr="007E130D">
        <w:t xml:space="preserve">ESIM reçues dans le cadre de cette Résolution (voir la Section II de la Préface </w:t>
      </w:r>
      <w:r w:rsidR="00FB67D9" w:rsidRPr="007E130D">
        <w:t>de la</w:t>
      </w:r>
      <w:r w:rsidR="003A53A1" w:rsidRPr="007E130D">
        <w:t> </w:t>
      </w:r>
      <w:r w:rsidRPr="007E130D">
        <w:t>BR</w:t>
      </w:r>
      <w:r w:rsidR="003A53A1" w:rsidRPr="007E130D">
        <w:t> </w:t>
      </w:r>
      <w:r w:rsidRPr="007E130D">
        <w:t>IFIC (Services spatiaux)).</w:t>
      </w:r>
    </w:p>
    <w:p w14:paraId="5BF69EFD" w14:textId="77777777" w:rsidR="00B84CB9" w:rsidRPr="007E130D" w:rsidRDefault="00FB67D9" w:rsidP="000839A1">
      <w:pPr>
        <w:spacing w:after="120"/>
      </w:pPr>
      <w:r w:rsidRPr="007E130D">
        <w:t xml:space="preserve">Au 5 mai 2023, le Bureau a reçu 10 fiches de notification contenant des stations ESIM liées à la Résolution </w:t>
      </w:r>
      <w:r w:rsidRPr="007E130D">
        <w:rPr>
          <w:b/>
          <w:bCs/>
        </w:rPr>
        <w:t xml:space="preserve">169 (CMR-19) </w:t>
      </w:r>
      <w:r w:rsidRPr="007E130D">
        <w:t>de la part de 5 administrations (AUS, NOR, G, J et TUR) et les a publiées en utilisant les nouvelles pages de couverture ou gabarits</w:t>
      </w:r>
      <w:r w:rsidR="00B84CB9" w:rsidRPr="007E130D">
        <w:t>.</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6"/>
        <w:gridCol w:w="726"/>
        <w:gridCol w:w="1000"/>
        <w:gridCol w:w="2007"/>
        <w:gridCol w:w="794"/>
        <w:gridCol w:w="683"/>
        <w:gridCol w:w="905"/>
        <w:gridCol w:w="594"/>
      </w:tblGrid>
      <w:tr w:rsidR="003A53A1" w:rsidRPr="007E130D" w14:paraId="31233F21" w14:textId="77777777" w:rsidTr="00496438">
        <w:trPr>
          <w:tblHeader/>
          <w:tblCellSpacing w:w="0" w:type="dxa"/>
          <w:jc w:val="center"/>
        </w:trPr>
        <w:tc>
          <w:tcPr>
            <w:tcW w:w="112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3E3E22" w14:textId="77777777" w:rsidR="00B84CB9" w:rsidRPr="007E130D" w:rsidRDefault="00B84CB9" w:rsidP="00B20AC9">
            <w:pPr>
              <w:pStyle w:val="Tablehead"/>
              <w:rPr>
                <w:szCs w:val="24"/>
              </w:rPr>
            </w:pPr>
            <w:r w:rsidRPr="007E130D">
              <w:t>ntc_id</w:t>
            </w:r>
          </w:p>
        </w:tc>
        <w:tc>
          <w:tcPr>
            <w:tcW w:w="72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E2593F" w14:textId="77777777" w:rsidR="00B84CB9" w:rsidRPr="007E130D" w:rsidRDefault="00B84CB9" w:rsidP="00B20AC9">
            <w:pPr>
              <w:pStyle w:val="Tablehead"/>
              <w:rPr>
                <w:szCs w:val="24"/>
              </w:rPr>
            </w:pPr>
            <w:r w:rsidRPr="007E130D">
              <w:t>adm</w:t>
            </w:r>
          </w:p>
        </w:tc>
        <w:tc>
          <w:tcPr>
            <w:tcW w:w="10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38696E2" w14:textId="77777777" w:rsidR="00B84CB9" w:rsidRPr="007E130D" w:rsidRDefault="00B84CB9" w:rsidP="00B20AC9">
            <w:pPr>
              <w:pStyle w:val="Tablehead"/>
              <w:rPr>
                <w:szCs w:val="24"/>
              </w:rPr>
            </w:pPr>
            <w:r w:rsidRPr="007E130D">
              <w:t>ntwk_org</w:t>
            </w:r>
          </w:p>
        </w:tc>
        <w:tc>
          <w:tcPr>
            <w:tcW w:w="200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574380" w14:textId="77777777" w:rsidR="00B84CB9" w:rsidRPr="007E130D" w:rsidRDefault="00B84CB9" w:rsidP="00B20AC9">
            <w:pPr>
              <w:pStyle w:val="Tablehead"/>
              <w:rPr>
                <w:szCs w:val="24"/>
              </w:rPr>
            </w:pPr>
            <w:r w:rsidRPr="007E130D">
              <w:t>sat_name</w:t>
            </w:r>
          </w:p>
        </w:tc>
        <w:tc>
          <w:tcPr>
            <w:tcW w:w="79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7C578D1" w14:textId="77777777" w:rsidR="00B84CB9" w:rsidRPr="007E130D" w:rsidRDefault="00B84CB9" w:rsidP="00B20AC9">
            <w:pPr>
              <w:pStyle w:val="Tablehead"/>
              <w:rPr>
                <w:szCs w:val="24"/>
              </w:rPr>
            </w:pPr>
            <w:r w:rsidRPr="007E130D">
              <w:t>ntc_type</w:t>
            </w:r>
          </w:p>
        </w:tc>
        <w:tc>
          <w:tcPr>
            <w:tcW w:w="6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B8B261" w14:textId="77777777" w:rsidR="00B84CB9" w:rsidRPr="007E130D" w:rsidRDefault="00B84CB9" w:rsidP="00B20AC9">
            <w:pPr>
              <w:pStyle w:val="Tablehead"/>
              <w:rPr>
                <w:szCs w:val="24"/>
              </w:rPr>
            </w:pPr>
            <w:r w:rsidRPr="007E130D">
              <w:t>ntf_rsn</w:t>
            </w:r>
          </w:p>
        </w:tc>
        <w:tc>
          <w:tcPr>
            <w:tcW w:w="9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A025E1" w14:textId="77777777" w:rsidR="00B84CB9" w:rsidRPr="007E130D" w:rsidRDefault="00B84CB9" w:rsidP="00B20AC9">
            <w:pPr>
              <w:pStyle w:val="Tablehead"/>
              <w:rPr>
                <w:szCs w:val="24"/>
              </w:rPr>
            </w:pPr>
            <w:r w:rsidRPr="007E130D">
              <w:t>long_nom</w:t>
            </w:r>
          </w:p>
        </w:tc>
        <w:tc>
          <w:tcPr>
            <w:tcW w:w="59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D9FF47" w14:textId="77777777" w:rsidR="00B84CB9" w:rsidRPr="007E130D" w:rsidRDefault="00B84CB9" w:rsidP="00B20AC9">
            <w:pPr>
              <w:pStyle w:val="Tablehead"/>
              <w:rPr>
                <w:szCs w:val="24"/>
              </w:rPr>
            </w:pPr>
            <w:r w:rsidRPr="007E130D">
              <w:t>st_cur</w:t>
            </w:r>
          </w:p>
        </w:tc>
      </w:tr>
      <w:tr w:rsidR="003A53A1" w:rsidRPr="007E130D" w14:paraId="0D1B8837" w14:textId="77777777" w:rsidTr="00496438">
        <w:trPr>
          <w:tblCellSpacing w:w="0" w:type="dxa"/>
          <w:jc w:val="center"/>
        </w:trPr>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3039A3E4" w14:textId="77777777" w:rsidR="00B84CB9" w:rsidRPr="007E130D" w:rsidRDefault="00B84CB9" w:rsidP="00496438">
            <w:pPr>
              <w:pStyle w:val="Tabletext"/>
              <w:ind w:left="57"/>
              <w:rPr>
                <w:szCs w:val="24"/>
              </w:rPr>
            </w:pPr>
            <w:r w:rsidRPr="007E130D">
              <w:t>321500197</w:t>
            </w:r>
          </w:p>
        </w:tc>
        <w:tc>
          <w:tcPr>
            <w:tcW w:w="726" w:type="dxa"/>
            <w:tcBorders>
              <w:top w:val="outset" w:sz="6" w:space="0" w:color="D0D7E5"/>
              <w:left w:val="outset" w:sz="6" w:space="0" w:color="D0D7E5"/>
              <w:bottom w:val="outset" w:sz="6" w:space="0" w:color="D0D7E5"/>
              <w:right w:val="outset" w:sz="6" w:space="0" w:color="D0D7E5"/>
            </w:tcBorders>
            <w:shd w:val="clear" w:color="auto" w:fill="FFFFFF"/>
            <w:hideMark/>
          </w:tcPr>
          <w:p w14:paraId="2E511F92" w14:textId="77777777" w:rsidR="00B84CB9" w:rsidRPr="007E130D" w:rsidRDefault="00B84CB9" w:rsidP="00496438">
            <w:pPr>
              <w:pStyle w:val="Tabletext"/>
              <w:ind w:left="57"/>
              <w:rPr>
                <w:szCs w:val="24"/>
              </w:rPr>
            </w:pPr>
            <w:r w:rsidRPr="007E130D">
              <w:t>AUS</w:t>
            </w:r>
          </w:p>
        </w:tc>
        <w:tc>
          <w:tcPr>
            <w:tcW w:w="1000" w:type="dxa"/>
            <w:tcBorders>
              <w:top w:val="outset" w:sz="6" w:space="0" w:color="D0D7E5"/>
              <w:left w:val="outset" w:sz="6" w:space="0" w:color="D0D7E5"/>
              <w:bottom w:val="outset" w:sz="6" w:space="0" w:color="D0D7E5"/>
              <w:right w:val="outset" w:sz="6" w:space="0" w:color="D0D7E5"/>
            </w:tcBorders>
            <w:shd w:val="clear" w:color="auto" w:fill="FFFFFF"/>
            <w:hideMark/>
          </w:tcPr>
          <w:p w14:paraId="7934F149" w14:textId="77777777" w:rsidR="00B84CB9" w:rsidRPr="007E130D" w:rsidRDefault="00B84CB9" w:rsidP="00B20AC9">
            <w:pPr>
              <w:pStyle w:val="Tabletext"/>
              <w:rPr>
                <w:szCs w:val="24"/>
              </w:rPr>
            </w:pPr>
          </w:p>
        </w:tc>
        <w:tc>
          <w:tcPr>
            <w:tcW w:w="2007" w:type="dxa"/>
            <w:tcBorders>
              <w:top w:val="outset" w:sz="6" w:space="0" w:color="D0D7E5"/>
              <w:left w:val="outset" w:sz="6" w:space="0" w:color="D0D7E5"/>
              <w:bottom w:val="outset" w:sz="6" w:space="0" w:color="D0D7E5"/>
              <w:right w:val="outset" w:sz="6" w:space="0" w:color="D0D7E5"/>
            </w:tcBorders>
            <w:shd w:val="clear" w:color="auto" w:fill="FFFFFF"/>
            <w:hideMark/>
          </w:tcPr>
          <w:p w14:paraId="7F198822" w14:textId="77777777" w:rsidR="00B84CB9" w:rsidRPr="007E130D" w:rsidRDefault="00B84CB9" w:rsidP="00496438">
            <w:pPr>
              <w:pStyle w:val="Tabletext"/>
              <w:ind w:left="57"/>
              <w:rPr>
                <w:szCs w:val="24"/>
              </w:rPr>
            </w:pPr>
            <w:r w:rsidRPr="007E130D">
              <w:t>AUS-NBN-3</w:t>
            </w:r>
          </w:p>
        </w:tc>
        <w:tc>
          <w:tcPr>
            <w:tcW w:w="794" w:type="dxa"/>
            <w:tcBorders>
              <w:top w:val="outset" w:sz="6" w:space="0" w:color="D0D7E5"/>
              <w:left w:val="outset" w:sz="6" w:space="0" w:color="D0D7E5"/>
              <w:bottom w:val="outset" w:sz="6" w:space="0" w:color="D0D7E5"/>
              <w:right w:val="outset" w:sz="6" w:space="0" w:color="D0D7E5"/>
            </w:tcBorders>
            <w:shd w:val="clear" w:color="auto" w:fill="FFFFFF"/>
            <w:hideMark/>
          </w:tcPr>
          <w:p w14:paraId="1188820E" w14:textId="77777777" w:rsidR="00B84CB9" w:rsidRPr="007E130D" w:rsidRDefault="00B84CB9" w:rsidP="00496438">
            <w:pPr>
              <w:pStyle w:val="Tabletext"/>
              <w:ind w:left="57"/>
              <w:rPr>
                <w:szCs w:val="24"/>
              </w:rPr>
            </w:pPr>
            <w:r w:rsidRPr="007E130D">
              <w:t>G</w:t>
            </w:r>
          </w:p>
        </w:tc>
        <w:tc>
          <w:tcPr>
            <w:tcW w:w="683" w:type="dxa"/>
            <w:tcBorders>
              <w:top w:val="outset" w:sz="6" w:space="0" w:color="D0D7E5"/>
              <w:left w:val="outset" w:sz="6" w:space="0" w:color="D0D7E5"/>
              <w:bottom w:val="outset" w:sz="6" w:space="0" w:color="D0D7E5"/>
              <w:right w:val="outset" w:sz="6" w:space="0" w:color="D0D7E5"/>
            </w:tcBorders>
            <w:shd w:val="clear" w:color="auto" w:fill="FFFFFF"/>
            <w:hideMark/>
          </w:tcPr>
          <w:p w14:paraId="3CF216BF" w14:textId="77777777" w:rsidR="00B84CB9" w:rsidRPr="007E130D" w:rsidRDefault="00B84CB9" w:rsidP="00496438">
            <w:pPr>
              <w:pStyle w:val="Tabletext"/>
              <w:ind w:left="57"/>
              <w:rPr>
                <w:szCs w:val="24"/>
              </w:rPr>
            </w:pPr>
            <w:r w:rsidRPr="007E130D">
              <w:t>N</w:t>
            </w:r>
          </w:p>
        </w:tc>
        <w:tc>
          <w:tcPr>
            <w:tcW w:w="905" w:type="dxa"/>
            <w:tcBorders>
              <w:top w:val="outset" w:sz="6" w:space="0" w:color="D0D7E5"/>
              <w:left w:val="outset" w:sz="6" w:space="0" w:color="D0D7E5"/>
              <w:bottom w:val="outset" w:sz="6" w:space="0" w:color="D0D7E5"/>
              <w:right w:val="outset" w:sz="6" w:space="0" w:color="D0D7E5"/>
            </w:tcBorders>
            <w:shd w:val="clear" w:color="auto" w:fill="FFFFFF"/>
            <w:hideMark/>
          </w:tcPr>
          <w:p w14:paraId="2E5F780D" w14:textId="77777777" w:rsidR="00B84CB9" w:rsidRPr="007E130D" w:rsidRDefault="00B84CB9" w:rsidP="00496438">
            <w:pPr>
              <w:pStyle w:val="Tabletext"/>
              <w:jc w:val="right"/>
              <w:rPr>
                <w:szCs w:val="24"/>
              </w:rPr>
            </w:pPr>
            <w:r w:rsidRPr="007E130D">
              <w:t>140</w:t>
            </w:r>
          </w:p>
        </w:tc>
        <w:tc>
          <w:tcPr>
            <w:tcW w:w="594" w:type="dxa"/>
            <w:tcBorders>
              <w:top w:val="outset" w:sz="6" w:space="0" w:color="D0D7E5"/>
              <w:left w:val="outset" w:sz="6" w:space="0" w:color="D0D7E5"/>
              <w:bottom w:val="outset" w:sz="6" w:space="0" w:color="D0D7E5"/>
              <w:right w:val="outset" w:sz="6" w:space="0" w:color="D0D7E5"/>
            </w:tcBorders>
            <w:shd w:val="clear" w:color="auto" w:fill="FFFFFF"/>
            <w:hideMark/>
          </w:tcPr>
          <w:p w14:paraId="1F8D5C52" w14:textId="77777777" w:rsidR="00B84CB9" w:rsidRPr="007E130D" w:rsidRDefault="00B84CB9" w:rsidP="00496438">
            <w:pPr>
              <w:pStyle w:val="Tabletext"/>
              <w:ind w:left="57"/>
              <w:rPr>
                <w:szCs w:val="24"/>
              </w:rPr>
            </w:pPr>
            <w:r w:rsidRPr="007E130D">
              <w:t>20</w:t>
            </w:r>
          </w:p>
        </w:tc>
      </w:tr>
      <w:tr w:rsidR="003A53A1" w:rsidRPr="007E130D" w14:paraId="47AF7B88" w14:textId="77777777" w:rsidTr="00496438">
        <w:trPr>
          <w:tblCellSpacing w:w="0" w:type="dxa"/>
          <w:jc w:val="center"/>
        </w:trPr>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744551F6" w14:textId="77777777" w:rsidR="00B84CB9" w:rsidRPr="007E130D" w:rsidRDefault="00B84CB9" w:rsidP="00496438">
            <w:pPr>
              <w:pStyle w:val="Tabletext"/>
              <w:ind w:left="57"/>
              <w:rPr>
                <w:szCs w:val="24"/>
              </w:rPr>
            </w:pPr>
            <w:r w:rsidRPr="007E130D">
              <w:t>321500198</w:t>
            </w:r>
          </w:p>
        </w:tc>
        <w:tc>
          <w:tcPr>
            <w:tcW w:w="726" w:type="dxa"/>
            <w:tcBorders>
              <w:top w:val="outset" w:sz="6" w:space="0" w:color="D0D7E5"/>
              <w:left w:val="outset" w:sz="6" w:space="0" w:color="D0D7E5"/>
              <w:bottom w:val="outset" w:sz="6" w:space="0" w:color="D0D7E5"/>
              <w:right w:val="outset" w:sz="6" w:space="0" w:color="D0D7E5"/>
            </w:tcBorders>
            <w:shd w:val="clear" w:color="auto" w:fill="FFFFFF"/>
            <w:hideMark/>
          </w:tcPr>
          <w:p w14:paraId="22663C1C" w14:textId="77777777" w:rsidR="00B84CB9" w:rsidRPr="007E130D" w:rsidRDefault="00B84CB9" w:rsidP="00496438">
            <w:pPr>
              <w:pStyle w:val="Tabletext"/>
              <w:ind w:left="57"/>
              <w:rPr>
                <w:szCs w:val="24"/>
              </w:rPr>
            </w:pPr>
            <w:r w:rsidRPr="007E130D">
              <w:t>AUS</w:t>
            </w:r>
          </w:p>
        </w:tc>
        <w:tc>
          <w:tcPr>
            <w:tcW w:w="1000" w:type="dxa"/>
            <w:tcBorders>
              <w:top w:val="outset" w:sz="6" w:space="0" w:color="D0D7E5"/>
              <w:left w:val="outset" w:sz="6" w:space="0" w:color="D0D7E5"/>
              <w:bottom w:val="outset" w:sz="6" w:space="0" w:color="D0D7E5"/>
              <w:right w:val="outset" w:sz="6" w:space="0" w:color="D0D7E5"/>
            </w:tcBorders>
            <w:shd w:val="clear" w:color="auto" w:fill="FFFFFF"/>
            <w:hideMark/>
          </w:tcPr>
          <w:p w14:paraId="471CCDD2" w14:textId="77777777" w:rsidR="00B84CB9" w:rsidRPr="007E130D" w:rsidRDefault="00B84CB9" w:rsidP="00B20AC9">
            <w:pPr>
              <w:pStyle w:val="Tabletext"/>
              <w:rPr>
                <w:szCs w:val="24"/>
              </w:rPr>
            </w:pPr>
          </w:p>
        </w:tc>
        <w:tc>
          <w:tcPr>
            <w:tcW w:w="2007" w:type="dxa"/>
            <w:tcBorders>
              <w:top w:val="outset" w:sz="6" w:space="0" w:color="D0D7E5"/>
              <w:left w:val="outset" w:sz="6" w:space="0" w:color="D0D7E5"/>
              <w:bottom w:val="outset" w:sz="6" w:space="0" w:color="D0D7E5"/>
              <w:right w:val="outset" w:sz="6" w:space="0" w:color="D0D7E5"/>
            </w:tcBorders>
            <w:shd w:val="clear" w:color="auto" w:fill="FFFFFF"/>
            <w:hideMark/>
          </w:tcPr>
          <w:p w14:paraId="3710CE5A" w14:textId="77777777" w:rsidR="00B84CB9" w:rsidRPr="007E130D" w:rsidRDefault="00B84CB9" w:rsidP="00496438">
            <w:pPr>
              <w:pStyle w:val="Tabletext"/>
              <w:ind w:left="57"/>
              <w:rPr>
                <w:szCs w:val="24"/>
              </w:rPr>
            </w:pPr>
            <w:r w:rsidRPr="007E130D">
              <w:t>AUS-NBN-4</w:t>
            </w:r>
          </w:p>
        </w:tc>
        <w:tc>
          <w:tcPr>
            <w:tcW w:w="794" w:type="dxa"/>
            <w:tcBorders>
              <w:top w:val="outset" w:sz="6" w:space="0" w:color="D0D7E5"/>
              <w:left w:val="outset" w:sz="6" w:space="0" w:color="D0D7E5"/>
              <w:bottom w:val="outset" w:sz="6" w:space="0" w:color="D0D7E5"/>
              <w:right w:val="outset" w:sz="6" w:space="0" w:color="D0D7E5"/>
            </w:tcBorders>
            <w:shd w:val="clear" w:color="auto" w:fill="FFFFFF"/>
            <w:hideMark/>
          </w:tcPr>
          <w:p w14:paraId="1AC91D1A" w14:textId="77777777" w:rsidR="00B84CB9" w:rsidRPr="007E130D" w:rsidRDefault="00B84CB9" w:rsidP="00496438">
            <w:pPr>
              <w:pStyle w:val="Tabletext"/>
              <w:ind w:left="57"/>
              <w:rPr>
                <w:szCs w:val="24"/>
              </w:rPr>
            </w:pPr>
            <w:r w:rsidRPr="007E130D">
              <w:t>G</w:t>
            </w:r>
          </w:p>
        </w:tc>
        <w:tc>
          <w:tcPr>
            <w:tcW w:w="683" w:type="dxa"/>
            <w:tcBorders>
              <w:top w:val="outset" w:sz="6" w:space="0" w:color="D0D7E5"/>
              <w:left w:val="outset" w:sz="6" w:space="0" w:color="D0D7E5"/>
              <w:bottom w:val="outset" w:sz="6" w:space="0" w:color="D0D7E5"/>
              <w:right w:val="outset" w:sz="6" w:space="0" w:color="D0D7E5"/>
            </w:tcBorders>
            <w:shd w:val="clear" w:color="auto" w:fill="FFFFFF"/>
            <w:hideMark/>
          </w:tcPr>
          <w:p w14:paraId="306E3015" w14:textId="77777777" w:rsidR="00B84CB9" w:rsidRPr="007E130D" w:rsidRDefault="00B84CB9" w:rsidP="00496438">
            <w:pPr>
              <w:pStyle w:val="Tabletext"/>
              <w:ind w:left="57"/>
              <w:rPr>
                <w:szCs w:val="24"/>
              </w:rPr>
            </w:pPr>
            <w:r w:rsidRPr="007E130D">
              <w:t>N</w:t>
            </w:r>
          </w:p>
        </w:tc>
        <w:tc>
          <w:tcPr>
            <w:tcW w:w="905" w:type="dxa"/>
            <w:tcBorders>
              <w:top w:val="outset" w:sz="6" w:space="0" w:color="D0D7E5"/>
              <w:left w:val="outset" w:sz="6" w:space="0" w:color="D0D7E5"/>
              <w:bottom w:val="outset" w:sz="6" w:space="0" w:color="D0D7E5"/>
              <w:right w:val="outset" w:sz="6" w:space="0" w:color="D0D7E5"/>
            </w:tcBorders>
            <w:shd w:val="clear" w:color="auto" w:fill="FFFFFF"/>
            <w:hideMark/>
          </w:tcPr>
          <w:p w14:paraId="0E3773F8" w14:textId="77777777" w:rsidR="00B84CB9" w:rsidRPr="007E130D" w:rsidRDefault="00B84CB9" w:rsidP="00496438">
            <w:pPr>
              <w:pStyle w:val="Tabletext"/>
              <w:jc w:val="right"/>
              <w:rPr>
                <w:szCs w:val="24"/>
              </w:rPr>
            </w:pPr>
            <w:r w:rsidRPr="007E130D">
              <w:t>145</w:t>
            </w:r>
          </w:p>
        </w:tc>
        <w:tc>
          <w:tcPr>
            <w:tcW w:w="594" w:type="dxa"/>
            <w:tcBorders>
              <w:top w:val="outset" w:sz="6" w:space="0" w:color="D0D7E5"/>
              <w:left w:val="outset" w:sz="6" w:space="0" w:color="D0D7E5"/>
              <w:bottom w:val="outset" w:sz="6" w:space="0" w:color="D0D7E5"/>
              <w:right w:val="outset" w:sz="6" w:space="0" w:color="D0D7E5"/>
            </w:tcBorders>
            <w:shd w:val="clear" w:color="auto" w:fill="FFFFFF"/>
            <w:hideMark/>
          </w:tcPr>
          <w:p w14:paraId="00689883" w14:textId="77777777" w:rsidR="00B84CB9" w:rsidRPr="007E130D" w:rsidRDefault="00B84CB9" w:rsidP="00496438">
            <w:pPr>
              <w:pStyle w:val="Tabletext"/>
              <w:ind w:left="57"/>
              <w:rPr>
                <w:szCs w:val="24"/>
              </w:rPr>
            </w:pPr>
            <w:r w:rsidRPr="007E130D">
              <w:t>20</w:t>
            </w:r>
          </w:p>
        </w:tc>
      </w:tr>
      <w:tr w:rsidR="003A53A1" w:rsidRPr="007E130D" w14:paraId="07CE5E40" w14:textId="77777777" w:rsidTr="00496438">
        <w:trPr>
          <w:tblCellSpacing w:w="0" w:type="dxa"/>
          <w:jc w:val="center"/>
        </w:trPr>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3222F51D" w14:textId="77777777" w:rsidR="00B84CB9" w:rsidRPr="007E130D" w:rsidRDefault="00B84CB9" w:rsidP="00496438">
            <w:pPr>
              <w:pStyle w:val="Tabletext"/>
              <w:ind w:left="57"/>
              <w:rPr>
                <w:szCs w:val="24"/>
              </w:rPr>
            </w:pPr>
            <w:r w:rsidRPr="007E130D">
              <w:t>321500251</w:t>
            </w:r>
          </w:p>
        </w:tc>
        <w:tc>
          <w:tcPr>
            <w:tcW w:w="726" w:type="dxa"/>
            <w:tcBorders>
              <w:top w:val="outset" w:sz="6" w:space="0" w:color="D0D7E5"/>
              <w:left w:val="outset" w:sz="6" w:space="0" w:color="D0D7E5"/>
              <w:bottom w:val="outset" w:sz="6" w:space="0" w:color="D0D7E5"/>
              <w:right w:val="outset" w:sz="6" w:space="0" w:color="D0D7E5"/>
            </w:tcBorders>
            <w:shd w:val="clear" w:color="auto" w:fill="FFFFFF"/>
            <w:hideMark/>
          </w:tcPr>
          <w:p w14:paraId="02222032" w14:textId="77777777" w:rsidR="00B84CB9" w:rsidRPr="007E130D" w:rsidRDefault="00B84CB9" w:rsidP="00496438">
            <w:pPr>
              <w:pStyle w:val="Tabletext"/>
              <w:ind w:left="57"/>
              <w:rPr>
                <w:szCs w:val="24"/>
              </w:rPr>
            </w:pPr>
            <w:r w:rsidRPr="007E130D">
              <w:t>NOR</w:t>
            </w:r>
          </w:p>
        </w:tc>
        <w:tc>
          <w:tcPr>
            <w:tcW w:w="1000" w:type="dxa"/>
            <w:tcBorders>
              <w:top w:val="outset" w:sz="6" w:space="0" w:color="D0D7E5"/>
              <w:left w:val="outset" w:sz="6" w:space="0" w:color="D0D7E5"/>
              <w:bottom w:val="outset" w:sz="6" w:space="0" w:color="D0D7E5"/>
              <w:right w:val="outset" w:sz="6" w:space="0" w:color="D0D7E5"/>
            </w:tcBorders>
            <w:shd w:val="clear" w:color="auto" w:fill="FFFFFF"/>
            <w:hideMark/>
          </w:tcPr>
          <w:p w14:paraId="7239DCA7" w14:textId="77777777" w:rsidR="00B84CB9" w:rsidRPr="007E130D" w:rsidRDefault="00B84CB9" w:rsidP="00B20AC9">
            <w:pPr>
              <w:pStyle w:val="Tabletext"/>
              <w:rPr>
                <w:szCs w:val="24"/>
              </w:rPr>
            </w:pPr>
          </w:p>
        </w:tc>
        <w:tc>
          <w:tcPr>
            <w:tcW w:w="2007" w:type="dxa"/>
            <w:tcBorders>
              <w:top w:val="outset" w:sz="6" w:space="0" w:color="D0D7E5"/>
              <w:left w:val="outset" w:sz="6" w:space="0" w:color="D0D7E5"/>
              <w:bottom w:val="outset" w:sz="6" w:space="0" w:color="D0D7E5"/>
              <w:right w:val="outset" w:sz="6" w:space="0" w:color="D0D7E5"/>
            </w:tcBorders>
            <w:shd w:val="clear" w:color="auto" w:fill="FFFFFF"/>
            <w:hideMark/>
          </w:tcPr>
          <w:p w14:paraId="30D2DF3E" w14:textId="77777777" w:rsidR="00B84CB9" w:rsidRPr="007E130D" w:rsidRDefault="00B84CB9" w:rsidP="00496438">
            <w:pPr>
              <w:pStyle w:val="Tabletext"/>
              <w:ind w:left="57"/>
              <w:rPr>
                <w:szCs w:val="24"/>
              </w:rPr>
            </w:pPr>
            <w:r w:rsidRPr="007E130D">
              <w:t>SE-KA-56.5E</w:t>
            </w:r>
          </w:p>
        </w:tc>
        <w:tc>
          <w:tcPr>
            <w:tcW w:w="794" w:type="dxa"/>
            <w:tcBorders>
              <w:top w:val="outset" w:sz="6" w:space="0" w:color="D0D7E5"/>
              <w:left w:val="outset" w:sz="6" w:space="0" w:color="D0D7E5"/>
              <w:bottom w:val="outset" w:sz="6" w:space="0" w:color="D0D7E5"/>
              <w:right w:val="outset" w:sz="6" w:space="0" w:color="D0D7E5"/>
            </w:tcBorders>
            <w:shd w:val="clear" w:color="auto" w:fill="FFFFFF"/>
            <w:hideMark/>
          </w:tcPr>
          <w:p w14:paraId="24CB1F92" w14:textId="77777777" w:rsidR="00B84CB9" w:rsidRPr="007E130D" w:rsidRDefault="00B84CB9" w:rsidP="00496438">
            <w:pPr>
              <w:pStyle w:val="Tabletext"/>
              <w:ind w:left="57"/>
              <w:rPr>
                <w:szCs w:val="24"/>
              </w:rPr>
            </w:pPr>
            <w:r w:rsidRPr="007E130D">
              <w:t>G</w:t>
            </w:r>
          </w:p>
        </w:tc>
        <w:tc>
          <w:tcPr>
            <w:tcW w:w="683" w:type="dxa"/>
            <w:tcBorders>
              <w:top w:val="outset" w:sz="6" w:space="0" w:color="D0D7E5"/>
              <w:left w:val="outset" w:sz="6" w:space="0" w:color="D0D7E5"/>
              <w:bottom w:val="outset" w:sz="6" w:space="0" w:color="D0D7E5"/>
              <w:right w:val="outset" w:sz="6" w:space="0" w:color="D0D7E5"/>
            </w:tcBorders>
            <w:shd w:val="clear" w:color="auto" w:fill="FFFFFF"/>
            <w:hideMark/>
          </w:tcPr>
          <w:p w14:paraId="1F86F9E9" w14:textId="77777777" w:rsidR="00B84CB9" w:rsidRPr="007E130D" w:rsidRDefault="00B84CB9" w:rsidP="00496438">
            <w:pPr>
              <w:pStyle w:val="Tabletext"/>
              <w:ind w:left="57"/>
              <w:rPr>
                <w:szCs w:val="24"/>
              </w:rPr>
            </w:pPr>
            <w:r w:rsidRPr="007E130D">
              <w:t>N</w:t>
            </w:r>
          </w:p>
        </w:tc>
        <w:tc>
          <w:tcPr>
            <w:tcW w:w="905" w:type="dxa"/>
            <w:tcBorders>
              <w:top w:val="outset" w:sz="6" w:space="0" w:color="D0D7E5"/>
              <w:left w:val="outset" w:sz="6" w:space="0" w:color="D0D7E5"/>
              <w:bottom w:val="outset" w:sz="6" w:space="0" w:color="D0D7E5"/>
              <w:right w:val="outset" w:sz="6" w:space="0" w:color="D0D7E5"/>
            </w:tcBorders>
            <w:shd w:val="clear" w:color="auto" w:fill="FFFFFF"/>
            <w:hideMark/>
          </w:tcPr>
          <w:p w14:paraId="182E1944" w14:textId="77777777" w:rsidR="00B84CB9" w:rsidRPr="007E130D" w:rsidRDefault="00B84CB9" w:rsidP="00496438">
            <w:pPr>
              <w:pStyle w:val="Tabletext"/>
              <w:jc w:val="right"/>
              <w:rPr>
                <w:szCs w:val="24"/>
              </w:rPr>
            </w:pPr>
            <w:r w:rsidRPr="007E130D">
              <w:t>56,5</w:t>
            </w:r>
          </w:p>
        </w:tc>
        <w:tc>
          <w:tcPr>
            <w:tcW w:w="594" w:type="dxa"/>
            <w:tcBorders>
              <w:top w:val="outset" w:sz="6" w:space="0" w:color="D0D7E5"/>
              <w:left w:val="outset" w:sz="6" w:space="0" w:color="D0D7E5"/>
              <w:bottom w:val="outset" w:sz="6" w:space="0" w:color="D0D7E5"/>
              <w:right w:val="outset" w:sz="6" w:space="0" w:color="D0D7E5"/>
            </w:tcBorders>
            <w:shd w:val="clear" w:color="auto" w:fill="FFFFFF"/>
            <w:hideMark/>
          </w:tcPr>
          <w:p w14:paraId="3B8C1354" w14:textId="77777777" w:rsidR="00B84CB9" w:rsidRPr="007E130D" w:rsidRDefault="00B84CB9" w:rsidP="00496438">
            <w:pPr>
              <w:pStyle w:val="Tabletext"/>
              <w:ind w:left="57"/>
              <w:rPr>
                <w:szCs w:val="24"/>
              </w:rPr>
            </w:pPr>
            <w:r w:rsidRPr="007E130D">
              <w:t>20</w:t>
            </w:r>
          </w:p>
        </w:tc>
      </w:tr>
      <w:tr w:rsidR="003A53A1" w:rsidRPr="007E130D" w14:paraId="6CE37FD8" w14:textId="77777777" w:rsidTr="00496438">
        <w:trPr>
          <w:tblCellSpacing w:w="0" w:type="dxa"/>
          <w:jc w:val="center"/>
        </w:trPr>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130283D6" w14:textId="77777777" w:rsidR="00B84CB9" w:rsidRPr="007E130D" w:rsidRDefault="00B84CB9" w:rsidP="00496438">
            <w:pPr>
              <w:pStyle w:val="Tabletext"/>
              <w:ind w:left="57"/>
              <w:rPr>
                <w:szCs w:val="24"/>
              </w:rPr>
            </w:pPr>
            <w:r w:rsidRPr="007E130D">
              <w:t>322500018</w:t>
            </w:r>
          </w:p>
        </w:tc>
        <w:tc>
          <w:tcPr>
            <w:tcW w:w="726" w:type="dxa"/>
            <w:tcBorders>
              <w:top w:val="outset" w:sz="6" w:space="0" w:color="D0D7E5"/>
              <w:left w:val="outset" w:sz="6" w:space="0" w:color="D0D7E5"/>
              <w:bottom w:val="outset" w:sz="6" w:space="0" w:color="D0D7E5"/>
              <w:right w:val="outset" w:sz="6" w:space="0" w:color="D0D7E5"/>
            </w:tcBorders>
            <w:shd w:val="clear" w:color="auto" w:fill="FFFFFF"/>
            <w:hideMark/>
          </w:tcPr>
          <w:p w14:paraId="62886043" w14:textId="77777777" w:rsidR="00B84CB9" w:rsidRPr="007E130D" w:rsidRDefault="00B84CB9" w:rsidP="00496438">
            <w:pPr>
              <w:pStyle w:val="Tabletext"/>
              <w:ind w:left="57"/>
              <w:rPr>
                <w:szCs w:val="24"/>
              </w:rPr>
            </w:pPr>
            <w:r w:rsidRPr="007E130D">
              <w:t>G</w:t>
            </w:r>
          </w:p>
        </w:tc>
        <w:tc>
          <w:tcPr>
            <w:tcW w:w="1000" w:type="dxa"/>
            <w:tcBorders>
              <w:top w:val="outset" w:sz="6" w:space="0" w:color="D0D7E5"/>
              <w:left w:val="outset" w:sz="6" w:space="0" w:color="D0D7E5"/>
              <w:bottom w:val="outset" w:sz="6" w:space="0" w:color="D0D7E5"/>
              <w:right w:val="outset" w:sz="6" w:space="0" w:color="D0D7E5"/>
            </w:tcBorders>
            <w:shd w:val="clear" w:color="auto" w:fill="FFFFFF"/>
            <w:hideMark/>
          </w:tcPr>
          <w:p w14:paraId="24E1DB09" w14:textId="77777777" w:rsidR="00B84CB9" w:rsidRPr="007E130D" w:rsidRDefault="00B84CB9" w:rsidP="00B20AC9">
            <w:pPr>
              <w:pStyle w:val="Tabletext"/>
              <w:rPr>
                <w:szCs w:val="24"/>
              </w:rPr>
            </w:pPr>
          </w:p>
        </w:tc>
        <w:tc>
          <w:tcPr>
            <w:tcW w:w="2007" w:type="dxa"/>
            <w:tcBorders>
              <w:top w:val="outset" w:sz="6" w:space="0" w:color="D0D7E5"/>
              <w:left w:val="outset" w:sz="6" w:space="0" w:color="D0D7E5"/>
              <w:bottom w:val="outset" w:sz="6" w:space="0" w:color="D0D7E5"/>
              <w:right w:val="outset" w:sz="6" w:space="0" w:color="D0D7E5"/>
            </w:tcBorders>
            <w:shd w:val="clear" w:color="auto" w:fill="FFFFFF"/>
            <w:hideMark/>
          </w:tcPr>
          <w:p w14:paraId="079CA2F1" w14:textId="77777777" w:rsidR="00B84CB9" w:rsidRPr="007E130D" w:rsidRDefault="00B84CB9" w:rsidP="00496438">
            <w:pPr>
              <w:pStyle w:val="Tabletext"/>
              <w:ind w:left="57"/>
              <w:rPr>
                <w:szCs w:val="24"/>
              </w:rPr>
            </w:pPr>
            <w:r w:rsidRPr="007E130D">
              <w:t>INMARSAT-KA 55W</w:t>
            </w:r>
          </w:p>
        </w:tc>
        <w:tc>
          <w:tcPr>
            <w:tcW w:w="794" w:type="dxa"/>
            <w:tcBorders>
              <w:top w:val="outset" w:sz="6" w:space="0" w:color="D0D7E5"/>
              <w:left w:val="outset" w:sz="6" w:space="0" w:color="D0D7E5"/>
              <w:bottom w:val="outset" w:sz="6" w:space="0" w:color="D0D7E5"/>
              <w:right w:val="outset" w:sz="6" w:space="0" w:color="D0D7E5"/>
            </w:tcBorders>
            <w:shd w:val="clear" w:color="auto" w:fill="FFFFFF"/>
            <w:hideMark/>
          </w:tcPr>
          <w:p w14:paraId="1F23B3A5" w14:textId="77777777" w:rsidR="00B84CB9" w:rsidRPr="007E130D" w:rsidRDefault="00B84CB9" w:rsidP="00496438">
            <w:pPr>
              <w:pStyle w:val="Tabletext"/>
              <w:ind w:left="57"/>
              <w:rPr>
                <w:szCs w:val="24"/>
              </w:rPr>
            </w:pPr>
            <w:r w:rsidRPr="007E130D">
              <w:t>G</w:t>
            </w:r>
          </w:p>
        </w:tc>
        <w:tc>
          <w:tcPr>
            <w:tcW w:w="683" w:type="dxa"/>
            <w:tcBorders>
              <w:top w:val="outset" w:sz="6" w:space="0" w:color="D0D7E5"/>
              <w:left w:val="outset" w:sz="6" w:space="0" w:color="D0D7E5"/>
              <w:bottom w:val="outset" w:sz="6" w:space="0" w:color="D0D7E5"/>
              <w:right w:val="outset" w:sz="6" w:space="0" w:color="D0D7E5"/>
            </w:tcBorders>
            <w:shd w:val="clear" w:color="auto" w:fill="FFFFFF"/>
            <w:hideMark/>
          </w:tcPr>
          <w:p w14:paraId="37AF8E58" w14:textId="77777777" w:rsidR="00B84CB9" w:rsidRPr="007E130D" w:rsidRDefault="00B84CB9" w:rsidP="00496438">
            <w:pPr>
              <w:pStyle w:val="Tabletext"/>
              <w:ind w:left="57"/>
              <w:rPr>
                <w:szCs w:val="24"/>
              </w:rPr>
            </w:pPr>
            <w:r w:rsidRPr="007E130D">
              <w:t>N</w:t>
            </w:r>
          </w:p>
        </w:tc>
        <w:tc>
          <w:tcPr>
            <w:tcW w:w="905" w:type="dxa"/>
            <w:tcBorders>
              <w:top w:val="outset" w:sz="6" w:space="0" w:color="D0D7E5"/>
              <w:left w:val="outset" w:sz="6" w:space="0" w:color="D0D7E5"/>
              <w:bottom w:val="outset" w:sz="6" w:space="0" w:color="D0D7E5"/>
              <w:right w:val="outset" w:sz="6" w:space="0" w:color="D0D7E5"/>
            </w:tcBorders>
            <w:shd w:val="clear" w:color="auto" w:fill="FFFFFF"/>
            <w:hideMark/>
          </w:tcPr>
          <w:p w14:paraId="64F491CB" w14:textId="77777777" w:rsidR="00B84CB9" w:rsidRPr="007E130D" w:rsidRDefault="00B84CB9" w:rsidP="00496438">
            <w:pPr>
              <w:pStyle w:val="Tabletext"/>
              <w:jc w:val="right"/>
              <w:rPr>
                <w:szCs w:val="24"/>
              </w:rPr>
            </w:pPr>
            <w:r w:rsidRPr="007E130D">
              <w:t>–55</w:t>
            </w:r>
          </w:p>
        </w:tc>
        <w:tc>
          <w:tcPr>
            <w:tcW w:w="594" w:type="dxa"/>
            <w:tcBorders>
              <w:top w:val="outset" w:sz="6" w:space="0" w:color="D0D7E5"/>
              <w:left w:val="outset" w:sz="6" w:space="0" w:color="D0D7E5"/>
              <w:bottom w:val="outset" w:sz="6" w:space="0" w:color="D0D7E5"/>
              <w:right w:val="outset" w:sz="6" w:space="0" w:color="D0D7E5"/>
            </w:tcBorders>
            <w:shd w:val="clear" w:color="auto" w:fill="FFFFFF"/>
            <w:hideMark/>
          </w:tcPr>
          <w:p w14:paraId="158A120F" w14:textId="77777777" w:rsidR="00B84CB9" w:rsidRPr="007E130D" w:rsidRDefault="00B84CB9" w:rsidP="00496438">
            <w:pPr>
              <w:pStyle w:val="Tabletext"/>
              <w:ind w:left="57"/>
              <w:rPr>
                <w:szCs w:val="24"/>
              </w:rPr>
            </w:pPr>
            <w:r w:rsidRPr="007E130D">
              <w:t>20</w:t>
            </w:r>
          </w:p>
        </w:tc>
      </w:tr>
      <w:tr w:rsidR="003A53A1" w:rsidRPr="007E130D" w14:paraId="7CEEA003" w14:textId="77777777" w:rsidTr="00496438">
        <w:trPr>
          <w:tblCellSpacing w:w="0" w:type="dxa"/>
          <w:jc w:val="center"/>
        </w:trPr>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6EAC7CB9" w14:textId="77777777" w:rsidR="00B84CB9" w:rsidRPr="007E130D" w:rsidRDefault="00B84CB9" w:rsidP="00496438">
            <w:pPr>
              <w:pStyle w:val="Tabletext"/>
              <w:ind w:left="57"/>
              <w:rPr>
                <w:szCs w:val="24"/>
              </w:rPr>
            </w:pPr>
            <w:r w:rsidRPr="007E130D">
              <w:t>322500019</w:t>
            </w:r>
          </w:p>
        </w:tc>
        <w:tc>
          <w:tcPr>
            <w:tcW w:w="726" w:type="dxa"/>
            <w:tcBorders>
              <w:top w:val="outset" w:sz="6" w:space="0" w:color="D0D7E5"/>
              <w:left w:val="outset" w:sz="6" w:space="0" w:color="D0D7E5"/>
              <w:bottom w:val="outset" w:sz="6" w:space="0" w:color="D0D7E5"/>
              <w:right w:val="outset" w:sz="6" w:space="0" w:color="D0D7E5"/>
            </w:tcBorders>
            <w:shd w:val="clear" w:color="auto" w:fill="FFFFFF"/>
            <w:hideMark/>
          </w:tcPr>
          <w:p w14:paraId="6A39BDC4" w14:textId="77777777" w:rsidR="00B84CB9" w:rsidRPr="007E130D" w:rsidRDefault="00B84CB9" w:rsidP="00496438">
            <w:pPr>
              <w:pStyle w:val="Tabletext"/>
              <w:ind w:left="57"/>
              <w:rPr>
                <w:szCs w:val="24"/>
              </w:rPr>
            </w:pPr>
            <w:r w:rsidRPr="007E130D">
              <w:t>G</w:t>
            </w:r>
          </w:p>
        </w:tc>
        <w:tc>
          <w:tcPr>
            <w:tcW w:w="1000" w:type="dxa"/>
            <w:tcBorders>
              <w:top w:val="outset" w:sz="6" w:space="0" w:color="D0D7E5"/>
              <w:left w:val="outset" w:sz="6" w:space="0" w:color="D0D7E5"/>
              <w:bottom w:val="outset" w:sz="6" w:space="0" w:color="D0D7E5"/>
              <w:right w:val="outset" w:sz="6" w:space="0" w:color="D0D7E5"/>
            </w:tcBorders>
            <w:shd w:val="clear" w:color="auto" w:fill="FFFFFF"/>
            <w:hideMark/>
          </w:tcPr>
          <w:p w14:paraId="4431EC15" w14:textId="77777777" w:rsidR="00B84CB9" w:rsidRPr="007E130D" w:rsidRDefault="00B84CB9" w:rsidP="00B20AC9">
            <w:pPr>
              <w:pStyle w:val="Tabletext"/>
              <w:rPr>
                <w:szCs w:val="24"/>
              </w:rPr>
            </w:pPr>
          </w:p>
        </w:tc>
        <w:tc>
          <w:tcPr>
            <w:tcW w:w="2007" w:type="dxa"/>
            <w:tcBorders>
              <w:top w:val="outset" w:sz="6" w:space="0" w:color="D0D7E5"/>
              <w:left w:val="outset" w:sz="6" w:space="0" w:color="D0D7E5"/>
              <w:bottom w:val="outset" w:sz="6" w:space="0" w:color="D0D7E5"/>
              <w:right w:val="outset" w:sz="6" w:space="0" w:color="D0D7E5"/>
            </w:tcBorders>
            <w:shd w:val="clear" w:color="auto" w:fill="FFFFFF"/>
            <w:hideMark/>
          </w:tcPr>
          <w:p w14:paraId="4A3AC057" w14:textId="77777777" w:rsidR="00B84CB9" w:rsidRPr="007E130D" w:rsidRDefault="00B84CB9" w:rsidP="00496438">
            <w:pPr>
              <w:pStyle w:val="Tabletext"/>
              <w:ind w:left="57"/>
              <w:rPr>
                <w:szCs w:val="24"/>
              </w:rPr>
            </w:pPr>
            <w:r w:rsidRPr="007E130D">
              <w:t>INMARSAT-KA 180E</w:t>
            </w:r>
          </w:p>
        </w:tc>
        <w:tc>
          <w:tcPr>
            <w:tcW w:w="794" w:type="dxa"/>
            <w:tcBorders>
              <w:top w:val="outset" w:sz="6" w:space="0" w:color="D0D7E5"/>
              <w:left w:val="outset" w:sz="6" w:space="0" w:color="D0D7E5"/>
              <w:bottom w:val="outset" w:sz="6" w:space="0" w:color="D0D7E5"/>
              <w:right w:val="outset" w:sz="6" w:space="0" w:color="D0D7E5"/>
            </w:tcBorders>
            <w:shd w:val="clear" w:color="auto" w:fill="FFFFFF"/>
            <w:hideMark/>
          </w:tcPr>
          <w:p w14:paraId="4AF193DC" w14:textId="77777777" w:rsidR="00B84CB9" w:rsidRPr="007E130D" w:rsidRDefault="00B84CB9" w:rsidP="00496438">
            <w:pPr>
              <w:pStyle w:val="Tabletext"/>
              <w:ind w:left="57"/>
              <w:rPr>
                <w:szCs w:val="24"/>
              </w:rPr>
            </w:pPr>
            <w:r w:rsidRPr="007E130D">
              <w:t>G</w:t>
            </w:r>
          </w:p>
        </w:tc>
        <w:tc>
          <w:tcPr>
            <w:tcW w:w="683" w:type="dxa"/>
            <w:tcBorders>
              <w:top w:val="outset" w:sz="6" w:space="0" w:color="D0D7E5"/>
              <w:left w:val="outset" w:sz="6" w:space="0" w:color="D0D7E5"/>
              <w:bottom w:val="outset" w:sz="6" w:space="0" w:color="D0D7E5"/>
              <w:right w:val="outset" w:sz="6" w:space="0" w:color="D0D7E5"/>
            </w:tcBorders>
            <w:shd w:val="clear" w:color="auto" w:fill="FFFFFF"/>
            <w:hideMark/>
          </w:tcPr>
          <w:p w14:paraId="30C238FD" w14:textId="77777777" w:rsidR="00B84CB9" w:rsidRPr="007E130D" w:rsidRDefault="00B84CB9" w:rsidP="00496438">
            <w:pPr>
              <w:pStyle w:val="Tabletext"/>
              <w:ind w:left="57"/>
              <w:rPr>
                <w:szCs w:val="24"/>
              </w:rPr>
            </w:pPr>
            <w:r w:rsidRPr="007E130D">
              <w:t>N</w:t>
            </w:r>
          </w:p>
        </w:tc>
        <w:tc>
          <w:tcPr>
            <w:tcW w:w="905" w:type="dxa"/>
            <w:tcBorders>
              <w:top w:val="outset" w:sz="6" w:space="0" w:color="D0D7E5"/>
              <w:left w:val="outset" w:sz="6" w:space="0" w:color="D0D7E5"/>
              <w:bottom w:val="outset" w:sz="6" w:space="0" w:color="D0D7E5"/>
              <w:right w:val="outset" w:sz="6" w:space="0" w:color="D0D7E5"/>
            </w:tcBorders>
            <w:shd w:val="clear" w:color="auto" w:fill="FFFFFF"/>
            <w:hideMark/>
          </w:tcPr>
          <w:p w14:paraId="26110220" w14:textId="77777777" w:rsidR="00B84CB9" w:rsidRPr="007E130D" w:rsidRDefault="00B84CB9" w:rsidP="00496438">
            <w:pPr>
              <w:pStyle w:val="Tabletext"/>
              <w:jc w:val="right"/>
              <w:rPr>
                <w:szCs w:val="24"/>
              </w:rPr>
            </w:pPr>
            <w:r w:rsidRPr="007E130D">
              <w:t>180</w:t>
            </w:r>
          </w:p>
        </w:tc>
        <w:tc>
          <w:tcPr>
            <w:tcW w:w="594" w:type="dxa"/>
            <w:tcBorders>
              <w:top w:val="outset" w:sz="6" w:space="0" w:color="D0D7E5"/>
              <w:left w:val="outset" w:sz="6" w:space="0" w:color="D0D7E5"/>
              <w:bottom w:val="outset" w:sz="6" w:space="0" w:color="D0D7E5"/>
              <w:right w:val="outset" w:sz="6" w:space="0" w:color="D0D7E5"/>
            </w:tcBorders>
            <w:shd w:val="clear" w:color="auto" w:fill="FFFFFF"/>
            <w:hideMark/>
          </w:tcPr>
          <w:p w14:paraId="758B52A6" w14:textId="77777777" w:rsidR="00B84CB9" w:rsidRPr="007E130D" w:rsidRDefault="00B84CB9" w:rsidP="00496438">
            <w:pPr>
              <w:pStyle w:val="Tabletext"/>
              <w:ind w:left="57"/>
              <w:rPr>
                <w:szCs w:val="24"/>
              </w:rPr>
            </w:pPr>
            <w:r w:rsidRPr="007E130D">
              <w:t>20</w:t>
            </w:r>
          </w:p>
        </w:tc>
      </w:tr>
      <w:tr w:rsidR="003A53A1" w:rsidRPr="007E130D" w14:paraId="58D73DA1" w14:textId="77777777" w:rsidTr="00496438">
        <w:trPr>
          <w:tblCellSpacing w:w="0" w:type="dxa"/>
          <w:jc w:val="center"/>
        </w:trPr>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697DA114" w14:textId="77777777" w:rsidR="00B84CB9" w:rsidRPr="007E130D" w:rsidRDefault="00B84CB9" w:rsidP="00496438">
            <w:pPr>
              <w:pStyle w:val="Tabletext"/>
              <w:ind w:left="57"/>
              <w:rPr>
                <w:szCs w:val="24"/>
              </w:rPr>
            </w:pPr>
            <w:r w:rsidRPr="007E130D">
              <w:t>322500020</w:t>
            </w:r>
          </w:p>
        </w:tc>
        <w:tc>
          <w:tcPr>
            <w:tcW w:w="726" w:type="dxa"/>
            <w:tcBorders>
              <w:top w:val="outset" w:sz="6" w:space="0" w:color="D0D7E5"/>
              <w:left w:val="outset" w:sz="6" w:space="0" w:color="D0D7E5"/>
              <w:bottom w:val="outset" w:sz="6" w:space="0" w:color="D0D7E5"/>
              <w:right w:val="outset" w:sz="6" w:space="0" w:color="D0D7E5"/>
            </w:tcBorders>
            <w:shd w:val="clear" w:color="auto" w:fill="FFFFFF"/>
            <w:hideMark/>
          </w:tcPr>
          <w:p w14:paraId="13995E33" w14:textId="77777777" w:rsidR="00B84CB9" w:rsidRPr="007E130D" w:rsidRDefault="00B84CB9" w:rsidP="00496438">
            <w:pPr>
              <w:pStyle w:val="Tabletext"/>
              <w:ind w:left="57"/>
              <w:rPr>
                <w:szCs w:val="24"/>
              </w:rPr>
            </w:pPr>
            <w:r w:rsidRPr="007E130D">
              <w:t>G</w:t>
            </w:r>
          </w:p>
        </w:tc>
        <w:tc>
          <w:tcPr>
            <w:tcW w:w="1000" w:type="dxa"/>
            <w:tcBorders>
              <w:top w:val="outset" w:sz="6" w:space="0" w:color="D0D7E5"/>
              <w:left w:val="outset" w:sz="6" w:space="0" w:color="D0D7E5"/>
              <w:bottom w:val="outset" w:sz="6" w:space="0" w:color="D0D7E5"/>
              <w:right w:val="outset" w:sz="6" w:space="0" w:color="D0D7E5"/>
            </w:tcBorders>
            <w:shd w:val="clear" w:color="auto" w:fill="FFFFFF"/>
            <w:hideMark/>
          </w:tcPr>
          <w:p w14:paraId="7DBF8D83" w14:textId="77777777" w:rsidR="00B84CB9" w:rsidRPr="007E130D" w:rsidRDefault="00B84CB9" w:rsidP="00B20AC9">
            <w:pPr>
              <w:pStyle w:val="Tabletext"/>
              <w:rPr>
                <w:szCs w:val="24"/>
              </w:rPr>
            </w:pPr>
          </w:p>
        </w:tc>
        <w:tc>
          <w:tcPr>
            <w:tcW w:w="2007" w:type="dxa"/>
            <w:tcBorders>
              <w:top w:val="outset" w:sz="6" w:space="0" w:color="D0D7E5"/>
              <w:left w:val="outset" w:sz="6" w:space="0" w:color="D0D7E5"/>
              <w:bottom w:val="outset" w:sz="6" w:space="0" w:color="D0D7E5"/>
              <w:right w:val="outset" w:sz="6" w:space="0" w:color="D0D7E5"/>
            </w:tcBorders>
            <w:shd w:val="clear" w:color="auto" w:fill="FFFFFF"/>
            <w:hideMark/>
          </w:tcPr>
          <w:p w14:paraId="38A4C344" w14:textId="77777777" w:rsidR="00B84CB9" w:rsidRPr="007E130D" w:rsidRDefault="00B84CB9" w:rsidP="00496438">
            <w:pPr>
              <w:pStyle w:val="Tabletext"/>
              <w:ind w:left="57"/>
              <w:rPr>
                <w:szCs w:val="24"/>
              </w:rPr>
            </w:pPr>
            <w:r w:rsidRPr="007E130D">
              <w:t>INMARSAT-KA 63E</w:t>
            </w:r>
          </w:p>
        </w:tc>
        <w:tc>
          <w:tcPr>
            <w:tcW w:w="794" w:type="dxa"/>
            <w:tcBorders>
              <w:top w:val="outset" w:sz="6" w:space="0" w:color="D0D7E5"/>
              <w:left w:val="outset" w:sz="6" w:space="0" w:color="D0D7E5"/>
              <w:bottom w:val="outset" w:sz="6" w:space="0" w:color="D0D7E5"/>
              <w:right w:val="outset" w:sz="6" w:space="0" w:color="D0D7E5"/>
            </w:tcBorders>
            <w:shd w:val="clear" w:color="auto" w:fill="FFFFFF"/>
            <w:hideMark/>
          </w:tcPr>
          <w:p w14:paraId="23E3D81A" w14:textId="77777777" w:rsidR="00B84CB9" w:rsidRPr="007E130D" w:rsidRDefault="00B84CB9" w:rsidP="00496438">
            <w:pPr>
              <w:pStyle w:val="Tabletext"/>
              <w:ind w:left="57"/>
              <w:rPr>
                <w:szCs w:val="24"/>
              </w:rPr>
            </w:pPr>
            <w:r w:rsidRPr="007E130D">
              <w:t>G</w:t>
            </w:r>
          </w:p>
        </w:tc>
        <w:tc>
          <w:tcPr>
            <w:tcW w:w="683" w:type="dxa"/>
            <w:tcBorders>
              <w:top w:val="outset" w:sz="6" w:space="0" w:color="D0D7E5"/>
              <w:left w:val="outset" w:sz="6" w:space="0" w:color="D0D7E5"/>
              <w:bottom w:val="outset" w:sz="6" w:space="0" w:color="D0D7E5"/>
              <w:right w:val="outset" w:sz="6" w:space="0" w:color="D0D7E5"/>
            </w:tcBorders>
            <w:shd w:val="clear" w:color="auto" w:fill="FFFFFF"/>
            <w:hideMark/>
          </w:tcPr>
          <w:p w14:paraId="76E63376" w14:textId="77777777" w:rsidR="00B84CB9" w:rsidRPr="007E130D" w:rsidRDefault="00B84CB9" w:rsidP="00496438">
            <w:pPr>
              <w:pStyle w:val="Tabletext"/>
              <w:ind w:left="57"/>
              <w:rPr>
                <w:szCs w:val="24"/>
              </w:rPr>
            </w:pPr>
            <w:r w:rsidRPr="007E130D">
              <w:t>N</w:t>
            </w:r>
          </w:p>
        </w:tc>
        <w:tc>
          <w:tcPr>
            <w:tcW w:w="905" w:type="dxa"/>
            <w:tcBorders>
              <w:top w:val="outset" w:sz="6" w:space="0" w:color="D0D7E5"/>
              <w:left w:val="outset" w:sz="6" w:space="0" w:color="D0D7E5"/>
              <w:bottom w:val="outset" w:sz="6" w:space="0" w:color="D0D7E5"/>
              <w:right w:val="outset" w:sz="6" w:space="0" w:color="D0D7E5"/>
            </w:tcBorders>
            <w:shd w:val="clear" w:color="auto" w:fill="FFFFFF"/>
            <w:hideMark/>
          </w:tcPr>
          <w:p w14:paraId="785123C9" w14:textId="77777777" w:rsidR="00B84CB9" w:rsidRPr="007E130D" w:rsidRDefault="00B84CB9" w:rsidP="00496438">
            <w:pPr>
              <w:pStyle w:val="Tabletext"/>
              <w:jc w:val="right"/>
              <w:rPr>
                <w:szCs w:val="24"/>
              </w:rPr>
            </w:pPr>
            <w:r w:rsidRPr="007E130D">
              <w:t>63</w:t>
            </w:r>
          </w:p>
        </w:tc>
        <w:tc>
          <w:tcPr>
            <w:tcW w:w="594" w:type="dxa"/>
            <w:tcBorders>
              <w:top w:val="outset" w:sz="6" w:space="0" w:color="D0D7E5"/>
              <w:left w:val="outset" w:sz="6" w:space="0" w:color="D0D7E5"/>
              <w:bottom w:val="outset" w:sz="6" w:space="0" w:color="D0D7E5"/>
              <w:right w:val="outset" w:sz="6" w:space="0" w:color="D0D7E5"/>
            </w:tcBorders>
            <w:shd w:val="clear" w:color="auto" w:fill="FFFFFF"/>
            <w:hideMark/>
          </w:tcPr>
          <w:p w14:paraId="5BD6C1D7" w14:textId="77777777" w:rsidR="00B84CB9" w:rsidRPr="007E130D" w:rsidRDefault="00B84CB9" w:rsidP="00496438">
            <w:pPr>
              <w:pStyle w:val="Tabletext"/>
              <w:ind w:left="57"/>
              <w:rPr>
                <w:szCs w:val="24"/>
              </w:rPr>
            </w:pPr>
            <w:r w:rsidRPr="007E130D">
              <w:t>20</w:t>
            </w:r>
          </w:p>
        </w:tc>
      </w:tr>
      <w:tr w:rsidR="003A53A1" w:rsidRPr="007E130D" w14:paraId="5184E7E9" w14:textId="77777777" w:rsidTr="00496438">
        <w:trPr>
          <w:tblCellSpacing w:w="0" w:type="dxa"/>
          <w:jc w:val="center"/>
        </w:trPr>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5464323D" w14:textId="77777777" w:rsidR="00B84CB9" w:rsidRPr="007E130D" w:rsidRDefault="00B84CB9" w:rsidP="00496438">
            <w:pPr>
              <w:pStyle w:val="Tabletext"/>
              <w:ind w:left="57"/>
              <w:rPr>
                <w:szCs w:val="24"/>
              </w:rPr>
            </w:pPr>
            <w:r w:rsidRPr="007E130D">
              <w:t>322500090</w:t>
            </w:r>
          </w:p>
        </w:tc>
        <w:tc>
          <w:tcPr>
            <w:tcW w:w="726" w:type="dxa"/>
            <w:tcBorders>
              <w:top w:val="outset" w:sz="6" w:space="0" w:color="D0D7E5"/>
              <w:left w:val="outset" w:sz="6" w:space="0" w:color="D0D7E5"/>
              <w:bottom w:val="outset" w:sz="6" w:space="0" w:color="D0D7E5"/>
              <w:right w:val="outset" w:sz="6" w:space="0" w:color="D0D7E5"/>
            </w:tcBorders>
            <w:shd w:val="clear" w:color="auto" w:fill="FFFFFF"/>
            <w:hideMark/>
          </w:tcPr>
          <w:p w14:paraId="22E82574" w14:textId="77777777" w:rsidR="00B84CB9" w:rsidRPr="007E130D" w:rsidRDefault="00B84CB9" w:rsidP="00496438">
            <w:pPr>
              <w:pStyle w:val="Tabletext"/>
              <w:ind w:left="57"/>
              <w:rPr>
                <w:szCs w:val="24"/>
              </w:rPr>
            </w:pPr>
            <w:r w:rsidRPr="007E130D">
              <w:t>J</w:t>
            </w:r>
          </w:p>
        </w:tc>
        <w:tc>
          <w:tcPr>
            <w:tcW w:w="1000" w:type="dxa"/>
            <w:tcBorders>
              <w:top w:val="outset" w:sz="6" w:space="0" w:color="D0D7E5"/>
              <w:left w:val="outset" w:sz="6" w:space="0" w:color="D0D7E5"/>
              <w:bottom w:val="outset" w:sz="6" w:space="0" w:color="D0D7E5"/>
              <w:right w:val="outset" w:sz="6" w:space="0" w:color="D0D7E5"/>
            </w:tcBorders>
            <w:shd w:val="clear" w:color="auto" w:fill="FFFFFF"/>
            <w:hideMark/>
          </w:tcPr>
          <w:p w14:paraId="3EF19E12" w14:textId="77777777" w:rsidR="00B84CB9" w:rsidRPr="007E130D" w:rsidRDefault="00B84CB9" w:rsidP="00B20AC9">
            <w:pPr>
              <w:pStyle w:val="Tabletext"/>
              <w:rPr>
                <w:szCs w:val="24"/>
              </w:rPr>
            </w:pPr>
          </w:p>
        </w:tc>
        <w:tc>
          <w:tcPr>
            <w:tcW w:w="2007" w:type="dxa"/>
            <w:tcBorders>
              <w:top w:val="outset" w:sz="6" w:space="0" w:color="D0D7E5"/>
              <w:left w:val="outset" w:sz="6" w:space="0" w:color="D0D7E5"/>
              <w:bottom w:val="outset" w:sz="6" w:space="0" w:color="D0D7E5"/>
              <w:right w:val="outset" w:sz="6" w:space="0" w:color="D0D7E5"/>
            </w:tcBorders>
            <w:shd w:val="clear" w:color="auto" w:fill="FFFFFF"/>
            <w:hideMark/>
          </w:tcPr>
          <w:p w14:paraId="5649E497" w14:textId="77777777" w:rsidR="00B84CB9" w:rsidRPr="007E130D" w:rsidRDefault="00B84CB9" w:rsidP="00496438">
            <w:pPr>
              <w:pStyle w:val="Tabletext"/>
              <w:ind w:left="57"/>
              <w:rPr>
                <w:szCs w:val="24"/>
              </w:rPr>
            </w:pPr>
            <w:r w:rsidRPr="007E130D">
              <w:t>N-SAT-Y12-144E</w:t>
            </w:r>
          </w:p>
        </w:tc>
        <w:tc>
          <w:tcPr>
            <w:tcW w:w="794" w:type="dxa"/>
            <w:tcBorders>
              <w:top w:val="outset" w:sz="6" w:space="0" w:color="D0D7E5"/>
              <w:left w:val="outset" w:sz="6" w:space="0" w:color="D0D7E5"/>
              <w:bottom w:val="outset" w:sz="6" w:space="0" w:color="D0D7E5"/>
              <w:right w:val="outset" w:sz="6" w:space="0" w:color="D0D7E5"/>
            </w:tcBorders>
            <w:shd w:val="clear" w:color="auto" w:fill="FFFFFF"/>
            <w:hideMark/>
          </w:tcPr>
          <w:p w14:paraId="6BD35CB4" w14:textId="77777777" w:rsidR="00B84CB9" w:rsidRPr="007E130D" w:rsidRDefault="00B84CB9" w:rsidP="00496438">
            <w:pPr>
              <w:pStyle w:val="Tabletext"/>
              <w:ind w:left="57"/>
              <w:rPr>
                <w:szCs w:val="24"/>
              </w:rPr>
            </w:pPr>
            <w:r w:rsidRPr="007E130D">
              <w:t>G</w:t>
            </w:r>
          </w:p>
        </w:tc>
        <w:tc>
          <w:tcPr>
            <w:tcW w:w="683" w:type="dxa"/>
            <w:tcBorders>
              <w:top w:val="outset" w:sz="6" w:space="0" w:color="D0D7E5"/>
              <w:left w:val="outset" w:sz="6" w:space="0" w:color="D0D7E5"/>
              <w:bottom w:val="outset" w:sz="6" w:space="0" w:color="D0D7E5"/>
              <w:right w:val="outset" w:sz="6" w:space="0" w:color="D0D7E5"/>
            </w:tcBorders>
            <w:shd w:val="clear" w:color="auto" w:fill="FFFFFF"/>
            <w:hideMark/>
          </w:tcPr>
          <w:p w14:paraId="26985C27" w14:textId="77777777" w:rsidR="00B84CB9" w:rsidRPr="007E130D" w:rsidRDefault="00B84CB9" w:rsidP="00496438">
            <w:pPr>
              <w:pStyle w:val="Tabletext"/>
              <w:ind w:left="57"/>
              <w:rPr>
                <w:szCs w:val="24"/>
              </w:rPr>
            </w:pPr>
            <w:r w:rsidRPr="007E130D">
              <w:t>N</w:t>
            </w:r>
          </w:p>
        </w:tc>
        <w:tc>
          <w:tcPr>
            <w:tcW w:w="905" w:type="dxa"/>
            <w:tcBorders>
              <w:top w:val="outset" w:sz="6" w:space="0" w:color="D0D7E5"/>
              <w:left w:val="outset" w:sz="6" w:space="0" w:color="D0D7E5"/>
              <w:bottom w:val="outset" w:sz="6" w:space="0" w:color="D0D7E5"/>
              <w:right w:val="outset" w:sz="6" w:space="0" w:color="D0D7E5"/>
            </w:tcBorders>
            <w:shd w:val="clear" w:color="auto" w:fill="FFFFFF"/>
            <w:hideMark/>
          </w:tcPr>
          <w:p w14:paraId="3E141A43" w14:textId="77777777" w:rsidR="00B84CB9" w:rsidRPr="007E130D" w:rsidRDefault="00B84CB9" w:rsidP="00496438">
            <w:pPr>
              <w:pStyle w:val="Tabletext"/>
              <w:jc w:val="right"/>
              <w:rPr>
                <w:szCs w:val="24"/>
              </w:rPr>
            </w:pPr>
            <w:r w:rsidRPr="007E130D">
              <w:t>144</w:t>
            </w:r>
          </w:p>
        </w:tc>
        <w:tc>
          <w:tcPr>
            <w:tcW w:w="594" w:type="dxa"/>
            <w:tcBorders>
              <w:top w:val="outset" w:sz="6" w:space="0" w:color="D0D7E5"/>
              <w:left w:val="outset" w:sz="6" w:space="0" w:color="D0D7E5"/>
              <w:bottom w:val="outset" w:sz="6" w:space="0" w:color="D0D7E5"/>
              <w:right w:val="outset" w:sz="6" w:space="0" w:color="D0D7E5"/>
            </w:tcBorders>
            <w:shd w:val="clear" w:color="auto" w:fill="FFFFFF"/>
            <w:hideMark/>
          </w:tcPr>
          <w:p w14:paraId="24404ADE" w14:textId="77777777" w:rsidR="00B84CB9" w:rsidRPr="007E130D" w:rsidRDefault="00B84CB9" w:rsidP="00496438">
            <w:pPr>
              <w:pStyle w:val="Tabletext"/>
              <w:ind w:left="57"/>
              <w:rPr>
                <w:szCs w:val="24"/>
              </w:rPr>
            </w:pPr>
            <w:r w:rsidRPr="007E130D">
              <w:t>20</w:t>
            </w:r>
          </w:p>
        </w:tc>
      </w:tr>
      <w:tr w:rsidR="003A53A1" w:rsidRPr="007E130D" w14:paraId="35EF8DEF" w14:textId="77777777" w:rsidTr="00496438">
        <w:trPr>
          <w:tblCellSpacing w:w="0" w:type="dxa"/>
          <w:jc w:val="center"/>
        </w:trPr>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72C1B780" w14:textId="77777777" w:rsidR="00B84CB9" w:rsidRPr="007E130D" w:rsidRDefault="00B84CB9" w:rsidP="00496438">
            <w:pPr>
              <w:pStyle w:val="Tabletext"/>
              <w:ind w:left="57"/>
              <w:rPr>
                <w:szCs w:val="24"/>
              </w:rPr>
            </w:pPr>
            <w:r w:rsidRPr="007E130D">
              <w:t>322500091</w:t>
            </w:r>
          </w:p>
        </w:tc>
        <w:tc>
          <w:tcPr>
            <w:tcW w:w="726" w:type="dxa"/>
            <w:tcBorders>
              <w:top w:val="outset" w:sz="6" w:space="0" w:color="D0D7E5"/>
              <w:left w:val="outset" w:sz="6" w:space="0" w:color="D0D7E5"/>
              <w:bottom w:val="outset" w:sz="6" w:space="0" w:color="D0D7E5"/>
              <w:right w:val="outset" w:sz="6" w:space="0" w:color="D0D7E5"/>
            </w:tcBorders>
            <w:shd w:val="clear" w:color="auto" w:fill="FFFFFF"/>
            <w:hideMark/>
          </w:tcPr>
          <w:p w14:paraId="0CA98BE2" w14:textId="77777777" w:rsidR="00B84CB9" w:rsidRPr="007E130D" w:rsidRDefault="00B84CB9" w:rsidP="00496438">
            <w:pPr>
              <w:pStyle w:val="Tabletext"/>
              <w:ind w:left="57"/>
              <w:rPr>
                <w:szCs w:val="24"/>
              </w:rPr>
            </w:pPr>
            <w:r w:rsidRPr="007E130D">
              <w:t>J</w:t>
            </w:r>
          </w:p>
        </w:tc>
        <w:tc>
          <w:tcPr>
            <w:tcW w:w="1000" w:type="dxa"/>
            <w:tcBorders>
              <w:top w:val="outset" w:sz="6" w:space="0" w:color="D0D7E5"/>
              <w:left w:val="outset" w:sz="6" w:space="0" w:color="D0D7E5"/>
              <w:bottom w:val="outset" w:sz="6" w:space="0" w:color="D0D7E5"/>
              <w:right w:val="outset" w:sz="6" w:space="0" w:color="D0D7E5"/>
            </w:tcBorders>
            <w:shd w:val="clear" w:color="auto" w:fill="FFFFFF"/>
            <w:hideMark/>
          </w:tcPr>
          <w:p w14:paraId="5F68239C" w14:textId="77777777" w:rsidR="00B84CB9" w:rsidRPr="007E130D" w:rsidRDefault="00B84CB9" w:rsidP="00B20AC9">
            <w:pPr>
              <w:pStyle w:val="Tabletext"/>
              <w:rPr>
                <w:szCs w:val="24"/>
              </w:rPr>
            </w:pPr>
          </w:p>
        </w:tc>
        <w:tc>
          <w:tcPr>
            <w:tcW w:w="2007" w:type="dxa"/>
            <w:tcBorders>
              <w:top w:val="outset" w:sz="6" w:space="0" w:color="D0D7E5"/>
              <w:left w:val="outset" w:sz="6" w:space="0" w:color="D0D7E5"/>
              <w:bottom w:val="outset" w:sz="6" w:space="0" w:color="D0D7E5"/>
              <w:right w:val="outset" w:sz="6" w:space="0" w:color="D0D7E5"/>
            </w:tcBorders>
            <w:shd w:val="clear" w:color="auto" w:fill="FFFFFF"/>
            <w:hideMark/>
          </w:tcPr>
          <w:p w14:paraId="392AEE97" w14:textId="77777777" w:rsidR="00B84CB9" w:rsidRPr="007E130D" w:rsidRDefault="00B84CB9" w:rsidP="00496438">
            <w:pPr>
              <w:pStyle w:val="Tabletext"/>
              <w:ind w:left="57"/>
              <w:rPr>
                <w:szCs w:val="24"/>
              </w:rPr>
            </w:pPr>
            <w:r w:rsidRPr="007E130D">
              <w:t>N-SAT-Y12-150E</w:t>
            </w:r>
          </w:p>
        </w:tc>
        <w:tc>
          <w:tcPr>
            <w:tcW w:w="794" w:type="dxa"/>
            <w:tcBorders>
              <w:top w:val="outset" w:sz="6" w:space="0" w:color="D0D7E5"/>
              <w:left w:val="outset" w:sz="6" w:space="0" w:color="D0D7E5"/>
              <w:bottom w:val="outset" w:sz="6" w:space="0" w:color="D0D7E5"/>
              <w:right w:val="outset" w:sz="6" w:space="0" w:color="D0D7E5"/>
            </w:tcBorders>
            <w:shd w:val="clear" w:color="auto" w:fill="FFFFFF"/>
            <w:hideMark/>
          </w:tcPr>
          <w:p w14:paraId="3F0FE54E" w14:textId="77777777" w:rsidR="00B84CB9" w:rsidRPr="007E130D" w:rsidRDefault="00B84CB9" w:rsidP="00496438">
            <w:pPr>
              <w:pStyle w:val="Tabletext"/>
              <w:ind w:left="57"/>
              <w:rPr>
                <w:szCs w:val="24"/>
              </w:rPr>
            </w:pPr>
            <w:r w:rsidRPr="007E130D">
              <w:t>G</w:t>
            </w:r>
          </w:p>
        </w:tc>
        <w:tc>
          <w:tcPr>
            <w:tcW w:w="683" w:type="dxa"/>
            <w:tcBorders>
              <w:top w:val="outset" w:sz="6" w:space="0" w:color="D0D7E5"/>
              <w:left w:val="outset" w:sz="6" w:space="0" w:color="D0D7E5"/>
              <w:bottom w:val="outset" w:sz="6" w:space="0" w:color="D0D7E5"/>
              <w:right w:val="outset" w:sz="6" w:space="0" w:color="D0D7E5"/>
            </w:tcBorders>
            <w:shd w:val="clear" w:color="auto" w:fill="FFFFFF"/>
            <w:hideMark/>
          </w:tcPr>
          <w:p w14:paraId="5FDCC1FE" w14:textId="77777777" w:rsidR="00B84CB9" w:rsidRPr="007E130D" w:rsidRDefault="00B84CB9" w:rsidP="00496438">
            <w:pPr>
              <w:pStyle w:val="Tabletext"/>
              <w:ind w:left="57"/>
              <w:rPr>
                <w:szCs w:val="24"/>
              </w:rPr>
            </w:pPr>
            <w:r w:rsidRPr="007E130D">
              <w:t>N</w:t>
            </w:r>
          </w:p>
        </w:tc>
        <w:tc>
          <w:tcPr>
            <w:tcW w:w="905" w:type="dxa"/>
            <w:tcBorders>
              <w:top w:val="outset" w:sz="6" w:space="0" w:color="D0D7E5"/>
              <w:left w:val="outset" w:sz="6" w:space="0" w:color="D0D7E5"/>
              <w:bottom w:val="outset" w:sz="6" w:space="0" w:color="D0D7E5"/>
              <w:right w:val="outset" w:sz="6" w:space="0" w:color="D0D7E5"/>
            </w:tcBorders>
            <w:shd w:val="clear" w:color="auto" w:fill="FFFFFF"/>
            <w:hideMark/>
          </w:tcPr>
          <w:p w14:paraId="330B1341" w14:textId="77777777" w:rsidR="00B84CB9" w:rsidRPr="007E130D" w:rsidRDefault="00B84CB9" w:rsidP="00496438">
            <w:pPr>
              <w:pStyle w:val="Tabletext"/>
              <w:jc w:val="right"/>
              <w:rPr>
                <w:szCs w:val="24"/>
              </w:rPr>
            </w:pPr>
            <w:r w:rsidRPr="007E130D">
              <w:t>150</w:t>
            </w:r>
          </w:p>
        </w:tc>
        <w:tc>
          <w:tcPr>
            <w:tcW w:w="594" w:type="dxa"/>
            <w:tcBorders>
              <w:top w:val="outset" w:sz="6" w:space="0" w:color="D0D7E5"/>
              <w:left w:val="outset" w:sz="6" w:space="0" w:color="D0D7E5"/>
              <w:bottom w:val="outset" w:sz="6" w:space="0" w:color="D0D7E5"/>
              <w:right w:val="outset" w:sz="6" w:space="0" w:color="D0D7E5"/>
            </w:tcBorders>
            <w:shd w:val="clear" w:color="auto" w:fill="FFFFFF"/>
            <w:hideMark/>
          </w:tcPr>
          <w:p w14:paraId="4AEE6042" w14:textId="77777777" w:rsidR="00B84CB9" w:rsidRPr="007E130D" w:rsidRDefault="00B84CB9" w:rsidP="00496438">
            <w:pPr>
              <w:pStyle w:val="Tabletext"/>
              <w:ind w:left="57"/>
              <w:rPr>
                <w:szCs w:val="24"/>
              </w:rPr>
            </w:pPr>
            <w:r w:rsidRPr="007E130D">
              <w:t>20</w:t>
            </w:r>
          </w:p>
        </w:tc>
      </w:tr>
      <w:tr w:rsidR="003A53A1" w:rsidRPr="007E130D" w14:paraId="45882704" w14:textId="77777777" w:rsidTr="00496438">
        <w:trPr>
          <w:tblCellSpacing w:w="0" w:type="dxa"/>
          <w:jc w:val="center"/>
        </w:trPr>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4224C804" w14:textId="77777777" w:rsidR="00B84CB9" w:rsidRPr="007E130D" w:rsidRDefault="00B84CB9" w:rsidP="00496438">
            <w:pPr>
              <w:pStyle w:val="Tabletext"/>
              <w:ind w:left="57"/>
              <w:rPr>
                <w:szCs w:val="24"/>
              </w:rPr>
            </w:pPr>
            <w:r w:rsidRPr="007E130D">
              <w:t>322500092</w:t>
            </w:r>
          </w:p>
        </w:tc>
        <w:tc>
          <w:tcPr>
            <w:tcW w:w="726" w:type="dxa"/>
            <w:tcBorders>
              <w:top w:val="outset" w:sz="6" w:space="0" w:color="D0D7E5"/>
              <w:left w:val="outset" w:sz="6" w:space="0" w:color="D0D7E5"/>
              <w:bottom w:val="outset" w:sz="6" w:space="0" w:color="D0D7E5"/>
              <w:right w:val="outset" w:sz="6" w:space="0" w:color="D0D7E5"/>
            </w:tcBorders>
            <w:shd w:val="clear" w:color="auto" w:fill="FFFFFF"/>
            <w:hideMark/>
          </w:tcPr>
          <w:p w14:paraId="181A1227" w14:textId="77777777" w:rsidR="00B84CB9" w:rsidRPr="007E130D" w:rsidRDefault="00B84CB9" w:rsidP="00496438">
            <w:pPr>
              <w:pStyle w:val="Tabletext"/>
              <w:ind w:left="57"/>
              <w:rPr>
                <w:szCs w:val="24"/>
              </w:rPr>
            </w:pPr>
            <w:r w:rsidRPr="007E130D">
              <w:t>J</w:t>
            </w:r>
          </w:p>
        </w:tc>
        <w:tc>
          <w:tcPr>
            <w:tcW w:w="1000" w:type="dxa"/>
            <w:tcBorders>
              <w:top w:val="outset" w:sz="6" w:space="0" w:color="D0D7E5"/>
              <w:left w:val="outset" w:sz="6" w:space="0" w:color="D0D7E5"/>
              <w:bottom w:val="outset" w:sz="6" w:space="0" w:color="D0D7E5"/>
              <w:right w:val="outset" w:sz="6" w:space="0" w:color="D0D7E5"/>
            </w:tcBorders>
            <w:shd w:val="clear" w:color="auto" w:fill="FFFFFF"/>
            <w:hideMark/>
          </w:tcPr>
          <w:p w14:paraId="3B372DB2" w14:textId="77777777" w:rsidR="00B84CB9" w:rsidRPr="007E130D" w:rsidRDefault="00B84CB9" w:rsidP="00B20AC9">
            <w:pPr>
              <w:pStyle w:val="Tabletext"/>
              <w:rPr>
                <w:szCs w:val="24"/>
              </w:rPr>
            </w:pPr>
          </w:p>
        </w:tc>
        <w:tc>
          <w:tcPr>
            <w:tcW w:w="2007" w:type="dxa"/>
            <w:tcBorders>
              <w:top w:val="outset" w:sz="6" w:space="0" w:color="D0D7E5"/>
              <w:left w:val="outset" w:sz="6" w:space="0" w:color="D0D7E5"/>
              <w:bottom w:val="outset" w:sz="6" w:space="0" w:color="D0D7E5"/>
              <w:right w:val="outset" w:sz="6" w:space="0" w:color="D0D7E5"/>
            </w:tcBorders>
            <w:shd w:val="clear" w:color="auto" w:fill="FFFFFF"/>
            <w:hideMark/>
          </w:tcPr>
          <w:p w14:paraId="4EE0E319" w14:textId="77777777" w:rsidR="00B84CB9" w:rsidRPr="007E130D" w:rsidRDefault="00B84CB9" w:rsidP="00496438">
            <w:pPr>
              <w:pStyle w:val="Tabletext"/>
              <w:ind w:left="57"/>
              <w:rPr>
                <w:szCs w:val="24"/>
              </w:rPr>
            </w:pPr>
            <w:r w:rsidRPr="007E130D">
              <w:t>SUPERBIRD-B2-R</w:t>
            </w:r>
          </w:p>
        </w:tc>
        <w:tc>
          <w:tcPr>
            <w:tcW w:w="794" w:type="dxa"/>
            <w:tcBorders>
              <w:top w:val="outset" w:sz="6" w:space="0" w:color="D0D7E5"/>
              <w:left w:val="outset" w:sz="6" w:space="0" w:color="D0D7E5"/>
              <w:bottom w:val="outset" w:sz="6" w:space="0" w:color="D0D7E5"/>
              <w:right w:val="outset" w:sz="6" w:space="0" w:color="D0D7E5"/>
            </w:tcBorders>
            <w:shd w:val="clear" w:color="auto" w:fill="FFFFFF"/>
            <w:hideMark/>
          </w:tcPr>
          <w:p w14:paraId="24752354" w14:textId="77777777" w:rsidR="00B84CB9" w:rsidRPr="007E130D" w:rsidRDefault="00B84CB9" w:rsidP="00496438">
            <w:pPr>
              <w:pStyle w:val="Tabletext"/>
              <w:ind w:left="57"/>
              <w:rPr>
                <w:szCs w:val="24"/>
              </w:rPr>
            </w:pPr>
            <w:r w:rsidRPr="007E130D">
              <w:t>G</w:t>
            </w:r>
          </w:p>
        </w:tc>
        <w:tc>
          <w:tcPr>
            <w:tcW w:w="683" w:type="dxa"/>
            <w:tcBorders>
              <w:top w:val="outset" w:sz="6" w:space="0" w:color="D0D7E5"/>
              <w:left w:val="outset" w:sz="6" w:space="0" w:color="D0D7E5"/>
              <w:bottom w:val="outset" w:sz="6" w:space="0" w:color="D0D7E5"/>
              <w:right w:val="outset" w:sz="6" w:space="0" w:color="D0D7E5"/>
            </w:tcBorders>
            <w:shd w:val="clear" w:color="auto" w:fill="FFFFFF"/>
            <w:hideMark/>
          </w:tcPr>
          <w:p w14:paraId="3CD920E9" w14:textId="77777777" w:rsidR="00B84CB9" w:rsidRPr="007E130D" w:rsidRDefault="00B84CB9" w:rsidP="00496438">
            <w:pPr>
              <w:pStyle w:val="Tabletext"/>
              <w:ind w:left="57"/>
              <w:rPr>
                <w:szCs w:val="24"/>
              </w:rPr>
            </w:pPr>
            <w:r w:rsidRPr="007E130D">
              <w:t>N</w:t>
            </w:r>
          </w:p>
        </w:tc>
        <w:tc>
          <w:tcPr>
            <w:tcW w:w="905" w:type="dxa"/>
            <w:tcBorders>
              <w:top w:val="outset" w:sz="6" w:space="0" w:color="D0D7E5"/>
              <w:left w:val="outset" w:sz="6" w:space="0" w:color="D0D7E5"/>
              <w:bottom w:val="outset" w:sz="6" w:space="0" w:color="D0D7E5"/>
              <w:right w:val="outset" w:sz="6" w:space="0" w:color="D0D7E5"/>
            </w:tcBorders>
            <w:shd w:val="clear" w:color="auto" w:fill="FFFFFF"/>
            <w:hideMark/>
          </w:tcPr>
          <w:p w14:paraId="70D06ADA" w14:textId="77777777" w:rsidR="00B84CB9" w:rsidRPr="007E130D" w:rsidRDefault="00B84CB9" w:rsidP="00496438">
            <w:pPr>
              <w:pStyle w:val="Tabletext"/>
              <w:jc w:val="right"/>
              <w:rPr>
                <w:szCs w:val="24"/>
              </w:rPr>
            </w:pPr>
            <w:r w:rsidRPr="007E130D">
              <w:t>162</w:t>
            </w:r>
          </w:p>
        </w:tc>
        <w:tc>
          <w:tcPr>
            <w:tcW w:w="594" w:type="dxa"/>
            <w:tcBorders>
              <w:top w:val="outset" w:sz="6" w:space="0" w:color="D0D7E5"/>
              <w:left w:val="outset" w:sz="6" w:space="0" w:color="D0D7E5"/>
              <w:bottom w:val="outset" w:sz="6" w:space="0" w:color="D0D7E5"/>
              <w:right w:val="outset" w:sz="6" w:space="0" w:color="D0D7E5"/>
            </w:tcBorders>
            <w:shd w:val="clear" w:color="auto" w:fill="FFFFFF"/>
            <w:hideMark/>
          </w:tcPr>
          <w:p w14:paraId="06A00FBB" w14:textId="77777777" w:rsidR="00B84CB9" w:rsidRPr="007E130D" w:rsidRDefault="00B84CB9" w:rsidP="00496438">
            <w:pPr>
              <w:pStyle w:val="Tabletext"/>
              <w:ind w:left="57"/>
              <w:rPr>
                <w:szCs w:val="24"/>
              </w:rPr>
            </w:pPr>
            <w:r w:rsidRPr="007E130D">
              <w:t>20</w:t>
            </w:r>
          </w:p>
        </w:tc>
      </w:tr>
      <w:tr w:rsidR="003A53A1" w:rsidRPr="007E130D" w14:paraId="7E6BD9CA" w14:textId="77777777" w:rsidTr="00496438">
        <w:trPr>
          <w:tblCellSpacing w:w="0" w:type="dxa"/>
          <w:jc w:val="center"/>
        </w:trPr>
        <w:tc>
          <w:tcPr>
            <w:tcW w:w="1126" w:type="dxa"/>
            <w:tcBorders>
              <w:top w:val="outset" w:sz="6" w:space="0" w:color="D0D7E5"/>
              <w:left w:val="outset" w:sz="6" w:space="0" w:color="D0D7E5"/>
              <w:bottom w:val="outset" w:sz="6" w:space="0" w:color="D0D7E5"/>
              <w:right w:val="outset" w:sz="6" w:space="0" w:color="D0D7E5"/>
            </w:tcBorders>
            <w:shd w:val="clear" w:color="auto" w:fill="FFFFFF"/>
            <w:hideMark/>
          </w:tcPr>
          <w:p w14:paraId="134D9322" w14:textId="77777777" w:rsidR="00B84CB9" w:rsidRPr="007E130D" w:rsidRDefault="00B84CB9" w:rsidP="00496438">
            <w:pPr>
              <w:pStyle w:val="Tabletext"/>
              <w:ind w:left="57"/>
              <w:rPr>
                <w:szCs w:val="24"/>
              </w:rPr>
            </w:pPr>
            <w:r w:rsidRPr="007E130D">
              <w:t>323500057</w:t>
            </w:r>
          </w:p>
        </w:tc>
        <w:tc>
          <w:tcPr>
            <w:tcW w:w="726" w:type="dxa"/>
            <w:tcBorders>
              <w:top w:val="outset" w:sz="6" w:space="0" w:color="D0D7E5"/>
              <w:left w:val="outset" w:sz="6" w:space="0" w:color="D0D7E5"/>
              <w:bottom w:val="outset" w:sz="6" w:space="0" w:color="D0D7E5"/>
              <w:right w:val="outset" w:sz="6" w:space="0" w:color="D0D7E5"/>
            </w:tcBorders>
            <w:shd w:val="clear" w:color="auto" w:fill="FFFFFF"/>
            <w:hideMark/>
          </w:tcPr>
          <w:p w14:paraId="22122831" w14:textId="77777777" w:rsidR="00B84CB9" w:rsidRPr="007E130D" w:rsidRDefault="00B84CB9" w:rsidP="00496438">
            <w:pPr>
              <w:pStyle w:val="Tabletext"/>
              <w:ind w:left="57"/>
              <w:rPr>
                <w:szCs w:val="24"/>
              </w:rPr>
            </w:pPr>
            <w:r w:rsidRPr="007E130D">
              <w:t>TUR</w:t>
            </w:r>
          </w:p>
        </w:tc>
        <w:tc>
          <w:tcPr>
            <w:tcW w:w="1000" w:type="dxa"/>
            <w:tcBorders>
              <w:top w:val="outset" w:sz="6" w:space="0" w:color="D0D7E5"/>
              <w:left w:val="outset" w:sz="6" w:space="0" w:color="D0D7E5"/>
              <w:bottom w:val="outset" w:sz="6" w:space="0" w:color="D0D7E5"/>
              <w:right w:val="outset" w:sz="6" w:space="0" w:color="D0D7E5"/>
            </w:tcBorders>
            <w:shd w:val="clear" w:color="auto" w:fill="FFFFFF"/>
            <w:hideMark/>
          </w:tcPr>
          <w:p w14:paraId="2D9C930E" w14:textId="77777777" w:rsidR="00B84CB9" w:rsidRPr="007E130D" w:rsidRDefault="00B84CB9" w:rsidP="00B20AC9">
            <w:pPr>
              <w:pStyle w:val="Tabletext"/>
              <w:rPr>
                <w:szCs w:val="24"/>
              </w:rPr>
            </w:pPr>
          </w:p>
        </w:tc>
        <w:tc>
          <w:tcPr>
            <w:tcW w:w="2007" w:type="dxa"/>
            <w:tcBorders>
              <w:top w:val="outset" w:sz="6" w:space="0" w:color="D0D7E5"/>
              <w:left w:val="outset" w:sz="6" w:space="0" w:color="D0D7E5"/>
              <w:bottom w:val="outset" w:sz="6" w:space="0" w:color="D0D7E5"/>
              <w:right w:val="outset" w:sz="6" w:space="0" w:color="D0D7E5"/>
            </w:tcBorders>
            <w:shd w:val="clear" w:color="auto" w:fill="FFFFFF"/>
            <w:hideMark/>
          </w:tcPr>
          <w:p w14:paraId="6AC23CDA" w14:textId="77777777" w:rsidR="00B84CB9" w:rsidRPr="007E130D" w:rsidRDefault="00B84CB9" w:rsidP="00496438">
            <w:pPr>
              <w:pStyle w:val="Tabletext"/>
              <w:ind w:left="57"/>
              <w:rPr>
                <w:szCs w:val="24"/>
              </w:rPr>
            </w:pPr>
            <w:r w:rsidRPr="007E130D">
              <w:t>TURKSAT-42E-B</w:t>
            </w:r>
          </w:p>
        </w:tc>
        <w:tc>
          <w:tcPr>
            <w:tcW w:w="794" w:type="dxa"/>
            <w:tcBorders>
              <w:top w:val="outset" w:sz="6" w:space="0" w:color="D0D7E5"/>
              <w:left w:val="outset" w:sz="6" w:space="0" w:color="D0D7E5"/>
              <w:bottom w:val="outset" w:sz="6" w:space="0" w:color="D0D7E5"/>
              <w:right w:val="outset" w:sz="6" w:space="0" w:color="D0D7E5"/>
            </w:tcBorders>
            <w:shd w:val="clear" w:color="auto" w:fill="FFFFFF"/>
            <w:hideMark/>
          </w:tcPr>
          <w:p w14:paraId="38A55CF3" w14:textId="77777777" w:rsidR="00B84CB9" w:rsidRPr="007E130D" w:rsidRDefault="00B84CB9" w:rsidP="00496438">
            <w:pPr>
              <w:pStyle w:val="Tabletext"/>
              <w:ind w:left="57"/>
              <w:rPr>
                <w:szCs w:val="24"/>
              </w:rPr>
            </w:pPr>
            <w:r w:rsidRPr="007E130D">
              <w:t>G</w:t>
            </w:r>
          </w:p>
        </w:tc>
        <w:tc>
          <w:tcPr>
            <w:tcW w:w="683" w:type="dxa"/>
            <w:tcBorders>
              <w:top w:val="outset" w:sz="6" w:space="0" w:color="D0D7E5"/>
              <w:left w:val="outset" w:sz="6" w:space="0" w:color="D0D7E5"/>
              <w:bottom w:val="outset" w:sz="6" w:space="0" w:color="D0D7E5"/>
              <w:right w:val="outset" w:sz="6" w:space="0" w:color="D0D7E5"/>
            </w:tcBorders>
            <w:shd w:val="clear" w:color="auto" w:fill="FFFFFF"/>
            <w:hideMark/>
          </w:tcPr>
          <w:p w14:paraId="3AEBA361" w14:textId="77777777" w:rsidR="00B84CB9" w:rsidRPr="007E130D" w:rsidRDefault="00B84CB9" w:rsidP="00496438">
            <w:pPr>
              <w:pStyle w:val="Tabletext"/>
              <w:ind w:left="57"/>
              <w:rPr>
                <w:szCs w:val="24"/>
              </w:rPr>
            </w:pPr>
            <w:r w:rsidRPr="007E130D">
              <w:t>N</w:t>
            </w:r>
          </w:p>
        </w:tc>
        <w:tc>
          <w:tcPr>
            <w:tcW w:w="905" w:type="dxa"/>
            <w:tcBorders>
              <w:top w:val="outset" w:sz="6" w:space="0" w:color="D0D7E5"/>
              <w:left w:val="outset" w:sz="6" w:space="0" w:color="D0D7E5"/>
              <w:bottom w:val="outset" w:sz="6" w:space="0" w:color="D0D7E5"/>
              <w:right w:val="outset" w:sz="6" w:space="0" w:color="D0D7E5"/>
            </w:tcBorders>
            <w:shd w:val="clear" w:color="auto" w:fill="FFFFFF"/>
            <w:hideMark/>
          </w:tcPr>
          <w:p w14:paraId="7CE7968D" w14:textId="77777777" w:rsidR="00B84CB9" w:rsidRPr="007E130D" w:rsidRDefault="00B84CB9" w:rsidP="00496438">
            <w:pPr>
              <w:pStyle w:val="Tabletext"/>
              <w:jc w:val="right"/>
              <w:rPr>
                <w:szCs w:val="24"/>
              </w:rPr>
            </w:pPr>
            <w:r w:rsidRPr="007E130D">
              <w:t>42</w:t>
            </w:r>
          </w:p>
        </w:tc>
        <w:tc>
          <w:tcPr>
            <w:tcW w:w="594" w:type="dxa"/>
            <w:tcBorders>
              <w:top w:val="outset" w:sz="6" w:space="0" w:color="D0D7E5"/>
              <w:left w:val="outset" w:sz="6" w:space="0" w:color="D0D7E5"/>
              <w:bottom w:val="outset" w:sz="6" w:space="0" w:color="D0D7E5"/>
              <w:right w:val="outset" w:sz="6" w:space="0" w:color="D0D7E5"/>
            </w:tcBorders>
            <w:shd w:val="clear" w:color="auto" w:fill="FFFFFF"/>
            <w:hideMark/>
          </w:tcPr>
          <w:p w14:paraId="5B87A904" w14:textId="77777777" w:rsidR="00B84CB9" w:rsidRPr="007E130D" w:rsidRDefault="00B84CB9" w:rsidP="00496438">
            <w:pPr>
              <w:pStyle w:val="Tabletext"/>
              <w:ind w:left="57"/>
              <w:rPr>
                <w:szCs w:val="24"/>
              </w:rPr>
            </w:pPr>
            <w:r w:rsidRPr="007E130D">
              <w:t>20</w:t>
            </w:r>
          </w:p>
        </w:tc>
      </w:tr>
    </w:tbl>
    <w:p w14:paraId="0A8F0456" w14:textId="735936AB" w:rsidR="00501C96" w:rsidRPr="007E130D" w:rsidRDefault="00203628" w:rsidP="008618E6">
      <w:pPr>
        <w:pStyle w:val="Normalaftertitle"/>
      </w:pPr>
      <w:r w:rsidRPr="007E130D">
        <w:t>Ces fiches de notification contiennent des groupes d'assignations de fréquence avec les 3 classes de stations UU, UO et US. Pour les faisceaux de réception, le Bureau a dû diviser les groupes d'assignations de fréquence en deux groupes (un groupe avec la classe de station UO et un autre groupe avec les classes de station UU et US) afin de formuler les conclusions appropriées en fonction des types d</w:t>
      </w:r>
      <w:r w:rsidR="00501C96" w:rsidRPr="007E130D">
        <w:t xml:space="preserve">e stations </w:t>
      </w:r>
      <w:r w:rsidRPr="007E130D">
        <w:t xml:space="preserve">ESIM. Les groupes d'assignation de fréquence avec la classe de station UO font l'objet d'une conclusion favorable </w:t>
      </w:r>
      <w:r w:rsidR="00501C96" w:rsidRPr="007E130D">
        <w:t>conditionnelle</w:t>
      </w:r>
      <w:r w:rsidRPr="007E130D">
        <w:t xml:space="preserve"> au titre du numéro </w:t>
      </w:r>
      <w:r w:rsidRPr="007E130D">
        <w:rPr>
          <w:b/>
          <w:bCs/>
        </w:rPr>
        <w:t>11.31</w:t>
      </w:r>
      <w:r w:rsidRPr="007E130D">
        <w:t xml:space="preserve">, conformément aux points </w:t>
      </w:r>
      <w:r w:rsidRPr="007E130D">
        <w:rPr>
          <w:b/>
          <w:bCs/>
        </w:rPr>
        <w:t>7</w:t>
      </w:r>
      <w:r w:rsidRPr="007E130D">
        <w:t xml:space="preserve"> et </w:t>
      </w:r>
      <w:r w:rsidRPr="007E130D">
        <w:rPr>
          <w:b/>
          <w:bCs/>
        </w:rPr>
        <w:t>8</w:t>
      </w:r>
      <w:r w:rsidRPr="007E130D">
        <w:t xml:space="preserve"> </w:t>
      </w:r>
      <w:r w:rsidR="00501C96" w:rsidRPr="007E130D">
        <w:t xml:space="preserve">du </w:t>
      </w:r>
      <w:r w:rsidR="00501C96" w:rsidRPr="007E130D">
        <w:rPr>
          <w:i/>
        </w:rPr>
        <w:t>décide</w:t>
      </w:r>
      <w:r w:rsidR="00501C96" w:rsidRPr="007E130D">
        <w:t xml:space="preserve"> </w:t>
      </w:r>
      <w:r w:rsidRPr="007E130D">
        <w:t xml:space="preserve">de la Résolution </w:t>
      </w:r>
      <w:r w:rsidRPr="007E130D">
        <w:rPr>
          <w:b/>
          <w:bCs/>
        </w:rPr>
        <w:t>169 (CMR-19)</w:t>
      </w:r>
      <w:r w:rsidRPr="007E130D">
        <w:t>.</w:t>
      </w:r>
    </w:p>
    <w:p w14:paraId="2BA604BA" w14:textId="6C2C5203" w:rsidR="00B84CB9" w:rsidRPr="007E130D" w:rsidRDefault="00501C96" w:rsidP="00B20AC9">
      <w:r w:rsidRPr="007E130D">
        <w:t>Tous les groupes d'assignations de fréquence ont reçu des conclusions favorables dans</w:t>
      </w:r>
      <w:r w:rsidR="00D6056C" w:rsidRPr="007E130D">
        <w:t> </w:t>
      </w:r>
      <w:r w:rsidRPr="007E130D">
        <w:t>8</w:t>
      </w:r>
      <w:r w:rsidR="00D6056C" w:rsidRPr="007E130D">
        <w:t> </w:t>
      </w:r>
      <w:r w:rsidRPr="007E130D">
        <w:t>des</w:t>
      </w:r>
      <w:r w:rsidR="003A53A1" w:rsidRPr="007E130D">
        <w:t> </w:t>
      </w:r>
      <w:r w:rsidRPr="007E130D">
        <w:t>10</w:t>
      </w:r>
      <w:r w:rsidR="003A53A1" w:rsidRPr="007E130D">
        <w:t> </w:t>
      </w:r>
      <w:r w:rsidRPr="007E130D">
        <w:t>fiches de notification. Pour 2 fiches de notification (d</w:t>
      </w:r>
      <w:r w:rsidR="003A53A1" w:rsidRPr="007E130D">
        <w:t>'</w:t>
      </w:r>
      <w:r w:rsidRPr="007E130D">
        <w:t>Australie), certains groupes d'assignations de fréquence ont reçu des conclusions défavorables conformément au point 1.1.1 du</w:t>
      </w:r>
      <w:r w:rsidR="003A53A1" w:rsidRPr="007E130D">
        <w:t> </w:t>
      </w:r>
      <w:r w:rsidRPr="007E130D">
        <w:rPr>
          <w:i/>
        </w:rPr>
        <w:t>décide</w:t>
      </w:r>
      <w:r w:rsidRPr="007E130D">
        <w:t xml:space="preserve"> de la Résolution </w:t>
      </w:r>
      <w:r w:rsidRPr="007E130D">
        <w:rPr>
          <w:b/>
          <w:bCs/>
        </w:rPr>
        <w:t>169 (CMR-19)</w:t>
      </w:r>
      <w:r w:rsidRPr="007E130D">
        <w:t xml:space="preserve"> car les caractéristiques de la station ESIM ne correspondent pas aux caractéristiques de l'enveloppe des stations terriennes types associées.</w:t>
      </w:r>
    </w:p>
    <w:p w14:paraId="1B1010DD" w14:textId="120DB07A" w:rsidR="00136EF7" w:rsidRPr="007E130D" w:rsidRDefault="00136EF7" w:rsidP="00B20AC9">
      <w:pPr>
        <w:pStyle w:val="Heading4"/>
      </w:pPr>
      <w:r w:rsidRPr="007E130D">
        <w:t>2.2.4.</w:t>
      </w:r>
      <w:r w:rsidR="00B84CB9" w:rsidRPr="007E130D">
        <w:t>5</w:t>
      </w:r>
      <w:r w:rsidRPr="007E130D">
        <w:tab/>
        <w:t>Résolution 552 (Rév.CMR-15)</w:t>
      </w:r>
    </w:p>
    <w:p w14:paraId="5263B817" w14:textId="77777777" w:rsidR="00136EF7" w:rsidRPr="007E130D" w:rsidRDefault="00136EF7" w:rsidP="00B20AC9">
      <w:r w:rsidRPr="007E130D">
        <w:t>La CMR</w:t>
      </w:r>
      <w:r w:rsidRPr="007E130D">
        <w:noBreakHyphen/>
        <w:t xml:space="preserve">15 a révisé la Résolution </w:t>
      </w:r>
      <w:r w:rsidRPr="007E130D">
        <w:rPr>
          <w:b/>
          <w:bCs/>
        </w:rPr>
        <w:t>552 (Rév.CMR-15)</w:t>
      </w:r>
      <w:r w:rsidRPr="007E130D">
        <w:t xml:space="preserve"> intitulée «Accès à long terme à la bande 21,4</w:t>
      </w:r>
      <w:r w:rsidRPr="007E130D">
        <w:noBreakHyphen/>
        <w:t>22 GHz dans les Régions 1 et 3 et développement à long terme dans cette bande», en vertu de laquelle il est demandé aux administrations de fournir des renseignements bien précis concernant les réseaux à satellite géostationnaire du SRS exploités dans la bande 21,4-22 GHz et au Bureau de faire figurer dans son rapport à de futures conférences mondiales des radiocommunications compétentes les résultats de l'application de cette Résolution.</w:t>
      </w:r>
    </w:p>
    <w:p w14:paraId="569A20F9" w14:textId="77777777" w:rsidR="00136EF7" w:rsidRPr="007E130D" w:rsidRDefault="00136EF7" w:rsidP="00B20AC9">
      <w:pPr>
        <w:spacing w:after="240"/>
        <w:rPr>
          <w:lang w:eastAsia="zh-CN"/>
        </w:rPr>
      </w:pPr>
      <w:r w:rsidRPr="007E130D">
        <w:rPr>
          <w:lang w:eastAsia="zh-CN"/>
        </w:rPr>
        <w:t>On trouvera dans le tableau ci-dessous le nombre de soumissions reçues par le Bureau conforméme</w:t>
      </w:r>
      <w:r w:rsidR="009629E0" w:rsidRPr="007E130D">
        <w:rPr>
          <w:lang w:eastAsia="zh-CN"/>
        </w:rPr>
        <w:t>nt à cette Résolution entre 2019 et 2023</w:t>
      </w:r>
      <w:r w:rsidRPr="007E130D">
        <w:rPr>
          <w:lang w:eastAsia="zh-CN"/>
        </w:rPr>
        <w:t>:</w:t>
      </w:r>
    </w:p>
    <w:tbl>
      <w:tblPr>
        <w:tblW w:w="3392" w:type="dxa"/>
        <w:jc w:val="center"/>
        <w:tblCellMar>
          <w:left w:w="0" w:type="dxa"/>
          <w:right w:w="0" w:type="dxa"/>
        </w:tblCellMar>
        <w:tblLook w:val="04A0" w:firstRow="1" w:lastRow="0" w:firstColumn="1" w:lastColumn="0" w:noHBand="0" w:noVBand="1"/>
      </w:tblPr>
      <w:tblGrid>
        <w:gridCol w:w="1140"/>
        <w:gridCol w:w="2252"/>
      </w:tblGrid>
      <w:tr w:rsidR="00136EF7" w:rsidRPr="007E130D" w14:paraId="12DB8803" w14:textId="77777777" w:rsidTr="000839A1">
        <w:trPr>
          <w:cantSplit/>
          <w:trHeight w:val="315"/>
          <w:jc w:val="center"/>
        </w:trPr>
        <w:tc>
          <w:tcPr>
            <w:tcW w:w="114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71EFC965" w14:textId="77777777" w:rsidR="00136EF7" w:rsidRPr="007E130D" w:rsidRDefault="00136EF7" w:rsidP="000839A1">
            <w:pPr>
              <w:pStyle w:val="Tablehead"/>
              <w:rPr>
                <w:lang w:eastAsia="zh-CN"/>
              </w:rPr>
            </w:pPr>
            <w:r w:rsidRPr="007E130D">
              <w:rPr>
                <w:lang w:eastAsia="zh-CN"/>
              </w:rPr>
              <w:lastRenderedPageBreak/>
              <w:t>Année</w:t>
            </w:r>
          </w:p>
        </w:tc>
        <w:tc>
          <w:tcPr>
            <w:tcW w:w="2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E18D6" w14:textId="48B4A416" w:rsidR="00136EF7" w:rsidRPr="007E130D" w:rsidRDefault="00136EF7" w:rsidP="003A53A1">
            <w:pPr>
              <w:pStyle w:val="Tablehead"/>
              <w:keepNext w:val="0"/>
              <w:rPr>
                <w:lang w:eastAsia="zh-CN"/>
              </w:rPr>
            </w:pPr>
            <w:r w:rsidRPr="007E130D">
              <w:rPr>
                <w:lang w:eastAsia="zh-CN"/>
              </w:rPr>
              <w:t>Nombre de soumissions</w:t>
            </w:r>
          </w:p>
        </w:tc>
      </w:tr>
      <w:tr w:rsidR="00B84CB9" w:rsidRPr="007E130D" w14:paraId="5E5F8AE4" w14:textId="77777777" w:rsidTr="000839A1">
        <w:trPr>
          <w:cantSplit/>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0AFD8C65" w14:textId="77777777" w:rsidR="00B84CB9" w:rsidRPr="007E130D" w:rsidRDefault="00B84CB9" w:rsidP="000839A1">
            <w:pPr>
              <w:pStyle w:val="Tabletext"/>
              <w:keepNext/>
              <w:jc w:val="center"/>
              <w:rPr>
                <w:lang w:eastAsia="zh-CN"/>
              </w:rPr>
            </w:pPr>
            <w:r w:rsidRPr="007E130D">
              <w:t>2019</w:t>
            </w:r>
          </w:p>
        </w:tc>
        <w:tc>
          <w:tcPr>
            <w:tcW w:w="2252"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BFFC619" w14:textId="77777777" w:rsidR="00B84CB9" w:rsidRPr="007E130D" w:rsidRDefault="00B84CB9" w:rsidP="003A53A1">
            <w:pPr>
              <w:pStyle w:val="Tabletext"/>
              <w:jc w:val="center"/>
              <w:rPr>
                <w:lang w:eastAsia="zh-CN"/>
              </w:rPr>
            </w:pPr>
            <w:r w:rsidRPr="007E130D">
              <w:t>6</w:t>
            </w:r>
          </w:p>
        </w:tc>
      </w:tr>
      <w:tr w:rsidR="00B84CB9" w:rsidRPr="007E130D" w14:paraId="42C3D8F5" w14:textId="77777777" w:rsidTr="003A53A1">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1260368E" w14:textId="77777777" w:rsidR="00B84CB9" w:rsidRPr="007E130D" w:rsidRDefault="00B84CB9" w:rsidP="003A53A1">
            <w:pPr>
              <w:pStyle w:val="Tabletext"/>
              <w:jc w:val="center"/>
              <w:rPr>
                <w:lang w:eastAsia="zh-CN"/>
              </w:rPr>
            </w:pPr>
            <w:r w:rsidRPr="007E130D">
              <w:t>2020</w:t>
            </w:r>
          </w:p>
        </w:tc>
        <w:tc>
          <w:tcPr>
            <w:tcW w:w="2252"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019A461" w14:textId="77777777" w:rsidR="00B84CB9" w:rsidRPr="007E130D" w:rsidRDefault="00B84CB9" w:rsidP="003A53A1">
            <w:pPr>
              <w:pStyle w:val="Tabletext"/>
              <w:jc w:val="center"/>
              <w:rPr>
                <w:lang w:eastAsia="zh-CN"/>
              </w:rPr>
            </w:pPr>
            <w:r w:rsidRPr="007E130D">
              <w:t>2</w:t>
            </w:r>
          </w:p>
        </w:tc>
      </w:tr>
      <w:tr w:rsidR="00B84CB9" w:rsidRPr="007E130D" w14:paraId="24AEBD8E" w14:textId="77777777" w:rsidTr="003A53A1">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6E66FFED" w14:textId="77777777" w:rsidR="00B84CB9" w:rsidRPr="007E130D" w:rsidRDefault="00B84CB9" w:rsidP="003A53A1">
            <w:pPr>
              <w:pStyle w:val="Tabletext"/>
              <w:jc w:val="center"/>
              <w:rPr>
                <w:lang w:eastAsia="zh-CN"/>
              </w:rPr>
            </w:pPr>
            <w:r w:rsidRPr="007E130D">
              <w:t>2021</w:t>
            </w:r>
          </w:p>
        </w:tc>
        <w:tc>
          <w:tcPr>
            <w:tcW w:w="2252"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0750789" w14:textId="77777777" w:rsidR="00B84CB9" w:rsidRPr="007E130D" w:rsidRDefault="00B84CB9" w:rsidP="003A53A1">
            <w:pPr>
              <w:pStyle w:val="Tabletext"/>
              <w:jc w:val="center"/>
              <w:rPr>
                <w:lang w:eastAsia="zh-CN"/>
              </w:rPr>
            </w:pPr>
            <w:r w:rsidRPr="007E130D">
              <w:t>6</w:t>
            </w:r>
          </w:p>
        </w:tc>
      </w:tr>
      <w:tr w:rsidR="00B84CB9" w:rsidRPr="007E130D" w14:paraId="758A377E" w14:textId="77777777" w:rsidTr="003A53A1">
        <w:trPr>
          <w:trHeight w:val="300"/>
          <w:jc w:val="center"/>
        </w:trPr>
        <w:tc>
          <w:tcPr>
            <w:tcW w:w="1140" w:type="dxa"/>
            <w:tcBorders>
              <w:top w:val="nil"/>
              <w:left w:val="single" w:sz="8" w:space="0" w:color="auto"/>
              <w:bottom w:val="nil"/>
              <w:right w:val="nil"/>
            </w:tcBorders>
            <w:noWrap/>
            <w:tcMar>
              <w:top w:w="0" w:type="dxa"/>
              <w:left w:w="108" w:type="dxa"/>
              <w:bottom w:w="0" w:type="dxa"/>
              <w:right w:w="108" w:type="dxa"/>
            </w:tcMar>
            <w:vAlign w:val="bottom"/>
            <w:hideMark/>
          </w:tcPr>
          <w:p w14:paraId="5EAABF8F" w14:textId="77777777" w:rsidR="00B84CB9" w:rsidRPr="007E130D" w:rsidRDefault="00B84CB9" w:rsidP="003A53A1">
            <w:pPr>
              <w:pStyle w:val="Tabletext"/>
              <w:jc w:val="center"/>
              <w:rPr>
                <w:lang w:eastAsia="zh-CN"/>
              </w:rPr>
            </w:pPr>
            <w:r w:rsidRPr="007E130D">
              <w:t>2022</w:t>
            </w:r>
          </w:p>
        </w:tc>
        <w:tc>
          <w:tcPr>
            <w:tcW w:w="2252"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783C786" w14:textId="77777777" w:rsidR="00B84CB9" w:rsidRPr="007E130D" w:rsidRDefault="00B84CB9" w:rsidP="003A53A1">
            <w:pPr>
              <w:pStyle w:val="Tabletext"/>
              <w:jc w:val="center"/>
              <w:rPr>
                <w:lang w:eastAsia="zh-CN"/>
              </w:rPr>
            </w:pPr>
            <w:r w:rsidRPr="007E130D">
              <w:t>4</w:t>
            </w:r>
          </w:p>
        </w:tc>
      </w:tr>
      <w:tr w:rsidR="00B84CB9" w:rsidRPr="007E130D" w14:paraId="6A65AD97" w14:textId="77777777" w:rsidTr="003A53A1">
        <w:trPr>
          <w:trHeight w:val="315"/>
          <w:jc w:val="center"/>
        </w:trPr>
        <w:tc>
          <w:tcPr>
            <w:tcW w:w="114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527FD87B" w14:textId="77777777" w:rsidR="00B84CB9" w:rsidRPr="007E130D" w:rsidRDefault="00B84CB9" w:rsidP="003A53A1">
            <w:pPr>
              <w:pStyle w:val="Tabletext"/>
              <w:jc w:val="center"/>
              <w:rPr>
                <w:lang w:eastAsia="zh-CN"/>
              </w:rPr>
            </w:pPr>
            <w:r w:rsidRPr="007E130D">
              <w:t>2023</w:t>
            </w:r>
          </w:p>
        </w:tc>
        <w:tc>
          <w:tcPr>
            <w:tcW w:w="2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A0BC54" w14:textId="77777777" w:rsidR="00B84CB9" w:rsidRPr="007E130D" w:rsidRDefault="00B84CB9" w:rsidP="003A53A1">
            <w:pPr>
              <w:pStyle w:val="Tabletext"/>
              <w:jc w:val="center"/>
              <w:rPr>
                <w:lang w:eastAsia="zh-CN"/>
              </w:rPr>
            </w:pPr>
            <w:r w:rsidRPr="007E130D">
              <w:t>1</w:t>
            </w:r>
          </w:p>
        </w:tc>
      </w:tr>
    </w:tbl>
    <w:p w14:paraId="6E7A22DC" w14:textId="77777777" w:rsidR="00B84CB9" w:rsidRPr="007E130D" w:rsidRDefault="00B84CB9" w:rsidP="000839A1">
      <w:pPr>
        <w:pStyle w:val="Heading4"/>
        <w:keepNext w:val="0"/>
        <w:spacing w:before="240"/>
      </w:pPr>
      <w:bookmarkStart w:id="56" w:name="_Toc426463204"/>
      <w:bookmarkStart w:id="57" w:name="_Toc19880022"/>
      <w:r w:rsidRPr="007E130D">
        <w:t>2.2.4.6</w:t>
      </w:r>
      <w:r w:rsidRPr="007E130D">
        <w:tab/>
        <w:t>Résolution 609 (Rév.CMR</w:t>
      </w:r>
      <w:r w:rsidRPr="007E130D">
        <w:noBreakHyphen/>
        <w:t>07)</w:t>
      </w:r>
    </w:p>
    <w:p w14:paraId="5E98496E" w14:textId="77777777" w:rsidR="00B84CB9" w:rsidRPr="007E130D" w:rsidRDefault="00A82EF2" w:rsidP="000839A1">
      <w:r w:rsidRPr="007E130D">
        <w:t xml:space="preserve">La </w:t>
      </w:r>
      <w:r w:rsidR="00B84CB9" w:rsidRPr="007E130D">
        <w:t>R</w:t>
      </w:r>
      <w:r w:rsidRPr="007E130D">
        <w:t>é</w:t>
      </w:r>
      <w:r w:rsidR="00B84CB9" w:rsidRPr="007E130D">
        <w:t xml:space="preserve">solution </w:t>
      </w:r>
      <w:r w:rsidR="00B84CB9" w:rsidRPr="007E130D">
        <w:rPr>
          <w:b/>
          <w:bCs/>
        </w:rPr>
        <w:t>609</w:t>
      </w:r>
      <w:r w:rsidR="00B84CB9" w:rsidRPr="007E130D">
        <w:t xml:space="preserve"> </w:t>
      </w:r>
      <w:r w:rsidR="00B84CB9" w:rsidRPr="007E130D">
        <w:rPr>
          <w:b/>
          <w:bCs/>
        </w:rPr>
        <w:t>(R</w:t>
      </w:r>
      <w:r w:rsidRPr="007E130D">
        <w:rPr>
          <w:b/>
          <w:bCs/>
        </w:rPr>
        <w:t>é</w:t>
      </w:r>
      <w:r w:rsidR="00B84CB9" w:rsidRPr="007E130D">
        <w:rPr>
          <w:b/>
          <w:bCs/>
        </w:rPr>
        <w:t>v.C</w:t>
      </w:r>
      <w:r w:rsidRPr="007E130D">
        <w:rPr>
          <w:b/>
          <w:bCs/>
        </w:rPr>
        <w:t>MR</w:t>
      </w:r>
      <w:r w:rsidR="00B84CB9" w:rsidRPr="007E130D">
        <w:rPr>
          <w:b/>
          <w:bCs/>
        </w:rPr>
        <w:noBreakHyphen/>
        <w:t>07)</w:t>
      </w:r>
      <w:r w:rsidR="00B84CB9" w:rsidRPr="007E130D">
        <w:t xml:space="preserve"> charge le Bureau des radiocommunications de participer aux réunions de consultation mentionnées au point 6 du </w:t>
      </w:r>
      <w:r w:rsidR="00B84CB9" w:rsidRPr="007E130D">
        <w:rPr>
          <w:i/>
          <w:iCs/>
        </w:rPr>
        <w:t>décide</w:t>
      </w:r>
      <w:r w:rsidR="00BA1A3E" w:rsidRPr="007E130D">
        <w:rPr>
          <w:i/>
          <w:iCs/>
        </w:rPr>
        <w:t>,</w:t>
      </w:r>
      <w:r w:rsidR="00B84CB9" w:rsidRPr="007E130D">
        <w:t xml:space="preserve"> de déterminer si le niveau de puissance surfacique visé au point 1 du </w:t>
      </w:r>
      <w:r w:rsidR="00B84CB9" w:rsidRPr="007E130D">
        <w:rPr>
          <w:i/>
          <w:iCs/>
        </w:rPr>
        <w:t>recommande</w:t>
      </w:r>
      <w:r w:rsidR="00B84CB9" w:rsidRPr="007E130D">
        <w:t xml:space="preserve"> de la Recommandation </w:t>
      </w:r>
      <w:r w:rsidR="00B84CB9" w:rsidRPr="007E130D">
        <w:rPr>
          <w:b/>
          <w:bCs/>
        </w:rPr>
        <w:t>608 (Rév.CMR-07)</w:t>
      </w:r>
      <w:r w:rsidR="00B84CB9" w:rsidRPr="007E130D">
        <w:t xml:space="preserve"> est dépassé par une station spatiale considérée</w:t>
      </w:r>
      <w:r w:rsidR="00BA1A3E" w:rsidRPr="007E130D">
        <w:t>,</w:t>
      </w:r>
      <w:r w:rsidR="00B84CB9" w:rsidRPr="007E130D">
        <w:t xml:space="preserve"> de faire rapport des constatations aux participants à </w:t>
      </w:r>
      <w:r w:rsidR="00BA1A3E" w:rsidRPr="007E130D">
        <w:t>ces</w:t>
      </w:r>
      <w:r w:rsidR="00B84CB9" w:rsidRPr="007E130D">
        <w:t xml:space="preserve"> réunion</w:t>
      </w:r>
      <w:r w:rsidR="00BA1A3E" w:rsidRPr="007E130D">
        <w:t>s</w:t>
      </w:r>
      <w:r w:rsidR="00B84CB9" w:rsidRPr="007E130D">
        <w:t xml:space="preserve"> de consultation</w:t>
      </w:r>
      <w:r w:rsidR="00BA1A3E" w:rsidRPr="007E130D">
        <w:t xml:space="preserve"> et d'observer soigneusement les résultats des calculs de l'epfd mentionnés au point 1 du </w:t>
      </w:r>
      <w:r w:rsidR="00BA1A3E" w:rsidRPr="007E130D">
        <w:rPr>
          <w:i/>
          <w:iCs/>
        </w:rPr>
        <w:t>décide</w:t>
      </w:r>
      <w:r w:rsidR="00BA1A3E" w:rsidRPr="007E130D">
        <w:t>.</w:t>
      </w:r>
    </w:p>
    <w:p w14:paraId="1345F660" w14:textId="55DD7F79" w:rsidR="00B84CB9" w:rsidRPr="007E130D" w:rsidRDefault="00CF5F04" w:rsidP="00B20AC9">
      <w:pPr>
        <w:rPr>
          <w:szCs w:val="24"/>
        </w:rPr>
      </w:pPr>
      <w:r w:rsidRPr="007E130D">
        <w:rPr>
          <w:szCs w:val="24"/>
        </w:rPr>
        <w:t xml:space="preserve">Afin d'aider les administrations et d'assurer le respect des tâches mentionnées, le Bureau tient activement à jour une liste des fiches de notification de réseaux à satellite soumises au titre des Articles </w:t>
      </w:r>
      <w:r w:rsidRPr="007E130D">
        <w:rPr>
          <w:b/>
          <w:bCs/>
          <w:szCs w:val="24"/>
        </w:rPr>
        <w:t>9</w:t>
      </w:r>
      <w:r w:rsidRPr="007E130D">
        <w:rPr>
          <w:szCs w:val="24"/>
        </w:rPr>
        <w:t xml:space="preserve"> et </w:t>
      </w:r>
      <w:r w:rsidRPr="007E130D">
        <w:rPr>
          <w:b/>
          <w:bCs/>
          <w:szCs w:val="24"/>
        </w:rPr>
        <w:t>11</w:t>
      </w:r>
      <w:r w:rsidRPr="007E130D">
        <w:rPr>
          <w:szCs w:val="24"/>
        </w:rPr>
        <w:t xml:space="preserve"> qui contiennent des assignations de fréquence au SRNS dans la bande</w:t>
      </w:r>
      <w:r w:rsidR="00DE4BB2" w:rsidRPr="007E130D">
        <w:rPr>
          <w:szCs w:val="24"/>
        </w:rPr>
        <w:t> </w:t>
      </w:r>
      <w:r w:rsidRPr="007E130D">
        <w:rPr>
          <w:szCs w:val="24"/>
        </w:rPr>
        <w:t>1</w:t>
      </w:r>
      <w:r w:rsidR="00DE4BB2" w:rsidRPr="007E130D">
        <w:rPr>
          <w:szCs w:val="24"/>
        </w:rPr>
        <w:t> </w:t>
      </w:r>
      <w:r w:rsidRPr="007E130D">
        <w:rPr>
          <w:szCs w:val="24"/>
        </w:rPr>
        <w:t>164</w:t>
      </w:r>
      <w:r w:rsidR="00DE4BB2" w:rsidRPr="007E130D">
        <w:rPr>
          <w:szCs w:val="24"/>
        </w:rPr>
        <w:noBreakHyphen/>
      </w:r>
      <w:r w:rsidRPr="007E130D">
        <w:rPr>
          <w:szCs w:val="24"/>
        </w:rPr>
        <w:t>1</w:t>
      </w:r>
      <w:r w:rsidR="00DE4BB2" w:rsidRPr="007E130D">
        <w:rPr>
          <w:szCs w:val="24"/>
        </w:rPr>
        <w:t> </w:t>
      </w:r>
      <w:r w:rsidRPr="007E130D">
        <w:rPr>
          <w:szCs w:val="24"/>
        </w:rPr>
        <w:t>215</w:t>
      </w:r>
      <w:r w:rsidR="00DE4BB2" w:rsidRPr="007E130D">
        <w:rPr>
          <w:szCs w:val="24"/>
        </w:rPr>
        <w:t> </w:t>
      </w:r>
      <w:r w:rsidRPr="007E130D">
        <w:rPr>
          <w:szCs w:val="24"/>
        </w:rPr>
        <w:t>MHz. Au 8 avril 2023, cette liste contient 182 fiches de notification de réseaux à satellite (y</w:t>
      </w:r>
      <w:r w:rsidR="00DE4BB2" w:rsidRPr="007E130D">
        <w:rPr>
          <w:szCs w:val="24"/>
        </w:rPr>
        <w:t> </w:t>
      </w:r>
      <w:r w:rsidRPr="007E130D">
        <w:rPr>
          <w:szCs w:val="24"/>
        </w:rPr>
        <w:t>compris CR/C et Partie-I/II-S), publiées dans la BR IFIC, représentant un total de</w:t>
      </w:r>
      <w:r w:rsidR="00DE4BB2" w:rsidRPr="007E130D">
        <w:rPr>
          <w:szCs w:val="24"/>
        </w:rPr>
        <w:t> </w:t>
      </w:r>
      <w:r w:rsidRPr="007E130D">
        <w:rPr>
          <w:szCs w:val="24"/>
        </w:rPr>
        <w:t>176</w:t>
      </w:r>
      <w:r w:rsidR="00DE4BB2" w:rsidRPr="007E130D">
        <w:rPr>
          <w:szCs w:val="24"/>
        </w:rPr>
        <w:t> </w:t>
      </w:r>
      <w:r w:rsidRPr="007E130D">
        <w:rPr>
          <w:szCs w:val="24"/>
        </w:rPr>
        <w:t>réseaux ou systèmes à satellite de 30 administrations (y compris des organisations intergouvernementales). Parmi ces fiches de notification, on compte 128 réseaux à satellite OSG et</w:t>
      </w:r>
      <w:r w:rsidR="00DE4BB2" w:rsidRPr="007E130D">
        <w:rPr>
          <w:szCs w:val="24"/>
        </w:rPr>
        <w:t> </w:t>
      </w:r>
      <w:r w:rsidRPr="007E130D">
        <w:rPr>
          <w:szCs w:val="24"/>
        </w:rPr>
        <w:t>48 réseaux à satellite non OSG. Le Bureau a également tenu à jour une page web de la Résolution</w:t>
      </w:r>
      <w:r w:rsidR="00DE4BB2" w:rsidRPr="007E130D">
        <w:rPr>
          <w:szCs w:val="24"/>
        </w:rPr>
        <w:t> </w:t>
      </w:r>
      <w:r w:rsidRPr="007E130D">
        <w:rPr>
          <w:b/>
          <w:bCs/>
          <w:szCs w:val="24"/>
        </w:rPr>
        <w:t>609 (Rév.CMR</w:t>
      </w:r>
      <w:r w:rsidR="00DE4BB2" w:rsidRPr="007E130D">
        <w:rPr>
          <w:b/>
          <w:bCs/>
          <w:szCs w:val="24"/>
        </w:rPr>
        <w:t>-</w:t>
      </w:r>
      <w:r w:rsidRPr="007E130D">
        <w:rPr>
          <w:b/>
          <w:bCs/>
          <w:szCs w:val="24"/>
        </w:rPr>
        <w:t>07)</w:t>
      </w:r>
      <w:r w:rsidRPr="007E130D">
        <w:rPr>
          <w:szCs w:val="24"/>
        </w:rPr>
        <w:t xml:space="preserve"> et un site sharepoint, à l'adresse </w:t>
      </w:r>
      <w:hyperlink r:id="rId30" w:history="1">
        <w:r w:rsidR="00DE4BB2" w:rsidRPr="007E130D">
          <w:rPr>
            <w:rStyle w:val="Hyperlink"/>
            <w:szCs w:val="24"/>
          </w:rPr>
          <w:t>https://www.itu.int/en/ITU</w:t>
        </w:r>
        <w:r w:rsidR="00DE4BB2" w:rsidRPr="007E130D">
          <w:rPr>
            <w:rStyle w:val="Hyperlink"/>
            <w:szCs w:val="24"/>
          </w:rPr>
          <w:noBreakHyphen/>
          <w:t>R/space/Pages/res609.aspx</w:t>
        </w:r>
      </w:hyperlink>
      <w:r w:rsidRPr="007E130D">
        <w:rPr>
          <w:szCs w:val="24"/>
        </w:rPr>
        <w:t>, pour la soumission et l'échange d'informations entre les participants aux réunions de consultation ainsi que pour toute administration intéressée par ces réunions.</w:t>
      </w:r>
    </w:p>
    <w:p w14:paraId="7E098C8D" w14:textId="71076530" w:rsidR="00B84CB9" w:rsidRPr="007E130D" w:rsidRDefault="002C10E7" w:rsidP="00B20AC9">
      <w:r w:rsidRPr="007E130D">
        <w:t xml:space="preserve">Dix-neuf (19) réunions de consultation </w:t>
      </w:r>
      <w:r w:rsidR="003D4E09" w:rsidRPr="007E130D">
        <w:t>au titre de</w:t>
      </w:r>
      <w:r w:rsidR="00880215" w:rsidRPr="007E130D">
        <w:t xml:space="preserve"> la Résolution </w:t>
      </w:r>
      <w:r w:rsidR="00880215" w:rsidRPr="007E130D">
        <w:rPr>
          <w:b/>
          <w:bCs/>
        </w:rPr>
        <w:t>609 (Rév.</w:t>
      </w:r>
      <w:r w:rsidRPr="007E130D">
        <w:rPr>
          <w:b/>
          <w:bCs/>
        </w:rPr>
        <w:t>CMR</w:t>
      </w:r>
      <w:r w:rsidR="00DE4BB2" w:rsidRPr="007E130D">
        <w:rPr>
          <w:b/>
          <w:bCs/>
        </w:rPr>
        <w:t>-</w:t>
      </w:r>
      <w:r w:rsidRPr="007E130D">
        <w:rPr>
          <w:b/>
          <w:bCs/>
        </w:rPr>
        <w:t>07)</w:t>
      </w:r>
      <w:r w:rsidRPr="007E130D">
        <w:t xml:space="preserve"> se sont tenues jusqu'à présent (Genève-2003, Ottawa-2004, Munich-2005, Bangalore-2006, Xi'an-2007, Réunion par correspondance-2009, Toulouse-2010, Genève-2011, Tokyo-2012, Los Angeles-2013, Shenzhen-2014, Réunion par correspondance-2015, Auckland-2016, Réunion par correspondance</w:t>
      </w:r>
      <w:r w:rsidR="00DE4BB2" w:rsidRPr="007E130D">
        <w:noBreakHyphen/>
      </w:r>
      <w:r w:rsidRPr="007E130D">
        <w:t>2017, Abuja-2018, Cyberjaya-2019, Réunion virtuelle-2020, Réunion virtuelle</w:t>
      </w:r>
      <w:r w:rsidR="00DE4BB2" w:rsidRPr="007E130D">
        <w:noBreakHyphen/>
      </w:r>
      <w:r w:rsidRPr="007E130D">
        <w:t>2021, Réunion virtuelle-2022) pour lesquelles le Bureau a achevé les actions requises et publié les résultats dans sa BR IFIC (la date provisoire de la 20ème réunion de consultat</w:t>
      </w:r>
      <w:r w:rsidR="00880215" w:rsidRPr="007E130D">
        <w:t xml:space="preserve">ion sur la Résolution </w:t>
      </w:r>
      <w:r w:rsidR="00880215" w:rsidRPr="007E130D">
        <w:rPr>
          <w:b/>
          <w:bCs/>
        </w:rPr>
        <w:t>609 (Rév.</w:t>
      </w:r>
      <w:r w:rsidRPr="007E130D">
        <w:rPr>
          <w:b/>
          <w:bCs/>
        </w:rPr>
        <w:t>CMR</w:t>
      </w:r>
      <w:r w:rsidR="00DE4BB2" w:rsidRPr="007E130D">
        <w:rPr>
          <w:b/>
          <w:bCs/>
        </w:rPr>
        <w:noBreakHyphen/>
      </w:r>
      <w:r w:rsidRPr="007E130D">
        <w:rPr>
          <w:b/>
          <w:bCs/>
        </w:rPr>
        <w:t>07)</w:t>
      </w:r>
      <w:r w:rsidRPr="007E130D">
        <w:t xml:space="preserve"> est fixée au 8 septembre 2023).</w:t>
      </w:r>
    </w:p>
    <w:p w14:paraId="4F61E898" w14:textId="366BE8DA" w:rsidR="00B84CB9" w:rsidRPr="007E130D" w:rsidRDefault="00BA7572" w:rsidP="00B20AC9">
      <w:r w:rsidRPr="007E130D">
        <w:t>Sur la base des conclusions de la 19</w:t>
      </w:r>
      <w:r w:rsidR="00FC05C7" w:rsidRPr="007E130D">
        <w:t>ème</w:t>
      </w:r>
      <w:r w:rsidRPr="007E130D">
        <w:t xml:space="preserve"> réunion de consultation </w:t>
      </w:r>
      <w:r w:rsidR="003D4E09" w:rsidRPr="007E130D">
        <w:t>au titre de</w:t>
      </w:r>
      <w:r w:rsidRPr="007E130D">
        <w:t xml:space="preserve"> la Résolution </w:t>
      </w:r>
      <w:r w:rsidRPr="007E130D">
        <w:rPr>
          <w:b/>
          <w:bCs/>
        </w:rPr>
        <w:t>609 (Rév.CMR</w:t>
      </w:r>
      <w:r w:rsidR="00DE4BB2" w:rsidRPr="007E130D">
        <w:rPr>
          <w:b/>
          <w:bCs/>
        </w:rPr>
        <w:t>-</w:t>
      </w:r>
      <w:r w:rsidRPr="007E130D">
        <w:rPr>
          <w:b/>
          <w:bCs/>
        </w:rPr>
        <w:t>07)</w:t>
      </w:r>
      <w:r w:rsidRPr="007E130D">
        <w:t xml:space="preserve"> en 2022, l'epfd maximale cumulative des réseaux et systèmes SRNS est déterminée comme n'étant pas supérieure à </w:t>
      </w:r>
      <w:r w:rsidR="00DE4BB2" w:rsidRPr="007E130D">
        <w:rPr>
          <w:b/>
          <w:bCs/>
        </w:rPr>
        <w:t>–</w:t>
      </w:r>
      <w:r w:rsidRPr="007E130D">
        <w:rPr>
          <w:b/>
          <w:bCs/>
        </w:rPr>
        <w:t>121,52</w:t>
      </w:r>
      <w:r w:rsidRPr="007E130D">
        <w:t xml:space="preserve"> dB(W/(m2∙MHz)), c'est-à-dire 0,02 dB en dessous de la limite de la Résolution </w:t>
      </w:r>
      <w:r w:rsidRPr="007E130D">
        <w:rPr>
          <w:b/>
          <w:bCs/>
        </w:rPr>
        <w:t>609 (Rév.CMR</w:t>
      </w:r>
      <w:r w:rsidR="00DE4BB2" w:rsidRPr="007E130D">
        <w:rPr>
          <w:b/>
          <w:bCs/>
        </w:rPr>
        <w:t>-</w:t>
      </w:r>
      <w:r w:rsidRPr="007E130D">
        <w:rPr>
          <w:b/>
          <w:bCs/>
        </w:rPr>
        <w:t>07)</w:t>
      </w:r>
      <w:r w:rsidRPr="007E130D">
        <w:t xml:space="preserve"> de </w:t>
      </w:r>
      <w:r w:rsidR="00DE4BB2" w:rsidRPr="007E130D">
        <w:rPr>
          <w:b/>
          <w:bCs/>
        </w:rPr>
        <w:t>–</w:t>
      </w:r>
      <w:r w:rsidRPr="007E130D">
        <w:rPr>
          <w:b/>
          <w:bCs/>
        </w:rPr>
        <w:t>121,5</w:t>
      </w:r>
      <w:r w:rsidRPr="007E130D">
        <w:t xml:space="preserve"> dB(W/(m2∙MHz)). </w:t>
      </w:r>
      <w:r w:rsidR="00A82EF2" w:rsidRPr="007E130D">
        <w:t>Ce résultat est fondé sur l'utilisation d'hypothèses correspondant au cas le plus défavorable du point de vue des brouillages causés par le SRNS au SRNA</w:t>
      </w:r>
      <w:r w:rsidR="00A82EF2" w:rsidRPr="007E130D">
        <w:rPr>
          <w:color w:val="000000"/>
        </w:rPr>
        <w:t>.</w:t>
      </w:r>
    </w:p>
    <w:p w14:paraId="7A24F44B" w14:textId="51DCC351" w:rsidR="00B84CB9" w:rsidRPr="007E130D" w:rsidRDefault="003D4E09" w:rsidP="00B20AC9">
      <w:r w:rsidRPr="007E130D">
        <w:t>Les 19</w:t>
      </w:r>
      <w:r w:rsidR="00DE4BB2" w:rsidRPr="007E130D">
        <w:t>èmes</w:t>
      </w:r>
      <w:r w:rsidRPr="007E130D">
        <w:t xml:space="preserve"> réunions de consultation au titre de la Résolution </w:t>
      </w:r>
      <w:r w:rsidRPr="007E130D">
        <w:rPr>
          <w:b/>
          <w:bCs/>
        </w:rPr>
        <w:t>609 (Rév.CMR</w:t>
      </w:r>
      <w:r w:rsidR="00DE4BB2" w:rsidRPr="007E130D">
        <w:rPr>
          <w:b/>
          <w:bCs/>
        </w:rPr>
        <w:t>-</w:t>
      </w:r>
      <w:r w:rsidRPr="007E130D">
        <w:rPr>
          <w:b/>
          <w:bCs/>
        </w:rPr>
        <w:t>07)</w:t>
      </w:r>
      <w:r w:rsidRPr="007E130D">
        <w:t xml:space="preserve"> ont encouragé le Bureau à continuer de contacter les administrations ayant </w:t>
      </w:r>
      <w:r w:rsidR="00E62855" w:rsidRPr="007E130D">
        <w:t>notifié</w:t>
      </w:r>
      <w:r w:rsidRPr="007E130D">
        <w:t xml:space="preserve"> des </w:t>
      </w:r>
      <w:r w:rsidR="00E62855" w:rsidRPr="007E130D">
        <w:t>systèmes du</w:t>
      </w:r>
      <w:r w:rsidRPr="007E130D">
        <w:t xml:space="preserve"> SRNS dans la bande 1 164-1 215 MHz qui n'ont pas jusqu'à présent participé pleinement ou de façon continue au processus de consultation au titre de la Résolution </w:t>
      </w:r>
      <w:r w:rsidRPr="007E130D">
        <w:rPr>
          <w:b/>
          <w:bCs/>
        </w:rPr>
        <w:t>609 (Rév.CMR</w:t>
      </w:r>
      <w:r w:rsidR="00DE4BB2" w:rsidRPr="007E130D">
        <w:rPr>
          <w:b/>
          <w:bCs/>
        </w:rPr>
        <w:t>-</w:t>
      </w:r>
      <w:r w:rsidRPr="007E130D">
        <w:rPr>
          <w:b/>
          <w:bCs/>
        </w:rPr>
        <w:t>07)</w:t>
      </w:r>
      <w:r w:rsidRPr="007E130D">
        <w:t xml:space="preserve">, afin que ces administrations assistent, le cas échéant, à la réunion de consultation, en soulignant la nature obligatoire de </w:t>
      </w:r>
      <w:r w:rsidR="00A82EF2" w:rsidRPr="007E130D">
        <w:t>ces réunions au titre de la Résolution </w:t>
      </w:r>
      <w:r w:rsidR="00A82EF2" w:rsidRPr="007E130D">
        <w:rPr>
          <w:b/>
          <w:bCs/>
        </w:rPr>
        <w:t>609 (Rév.CMR-07)</w:t>
      </w:r>
      <w:r w:rsidR="00A82EF2" w:rsidRPr="007E130D">
        <w:t xml:space="preserve"> pour les systèmes/administrations ayant des projets concrets d'exploitation de systèmes du SRNS dans la bande 1 164-1 215 MHz.</w:t>
      </w:r>
    </w:p>
    <w:p w14:paraId="76BCE2B8" w14:textId="77777777" w:rsidR="00A82EF2" w:rsidRPr="007E130D" w:rsidRDefault="00A82EF2" w:rsidP="00B20AC9">
      <w:pPr>
        <w:pStyle w:val="Heading4"/>
      </w:pPr>
      <w:r w:rsidRPr="007E130D">
        <w:lastRenderedPageBreak/>
        <w:t>2.2.4.7</w:t>
      </w:r>
      <w:r w:rsidRPr="007E130D">
        <w:tab/>
        <w:t>Résolution 770 (CMR</w:t>
      </w:r>
      <w:r w:rsidRPr="007E130D">
        <w:noBreakHyphen/>
        <w:t>19)</w:t>
      </w:r>
    </w:p>
    <w:p w14:paraId="4752A840" w14:textId="67EC436B" w:rsidR="00A82EF2" w:rsidRPr="007E130D" w:rsidRDefault="00E77172" w:rsidP="00B20AC9">
      <w:r w:rsidRPr="007E130D">
        <w:t xml:space="preserve">Au titre du point 1.6 de son ordre du jour, la CMR-19 a adopté </w:t>
      </w:r>
      <w:bookmarkStart w:id="58" w:name="_Hlk147301818"/>
      <w:r w:rsidRPr="007E130D">
        <w:t xml:space="preserve">la disposition </w:t>
      </w:r>
      <w:r w:rsidR="00D10F06" w:rsidRPr="007E130D">
        <w:t>du numéro</w:t>
      </w:r>
      <w:r w:rsidR="002B74A6" w:rsidRPr="007E130D">
        <w:t> </w:t>
      </w:r>
      <w:r w:rsidRPr="007E130D">
        <w:rPr>
          <w:b/>
          <w:bCs/>
        </w:rPr>
        <w:t>22.5L</w:t>
      </w:r>
      <w:r w:rsidRPr="007E130D">
        <w:t xml:space="preserve"> </w:t>
      </w:r>
      <w:bookmarkEnd w:id="58"/>
      <w:r w:rsidR="00D10F06" w:rsidRPr="007E130D">
        <w:t xml:space="preserve">du RR </w:t>
      </w:r>
      <w:r w:rsidRPr="007E130D">
        <w:t>établissant des limites pour une seule source de brouillage pour les systèmes à satellites non géostationnaires du service fixe par satellite dans les bandes de fréquences 37,5-39,5 GHz (espace vers Terre), 39,5-42,5 GHz (espace vers Terre), 47,2-50,2 GHz (Terre vers espace) et</w:t>
      </w:r>
      <w:r w:rsidR="002B74A6" w:rsidRPr="007E130D">
        <w:t> </w:t>
      </w:r>
      <w:r w:rsidRPr="007E130D">
        <w:t>50,4</w:t>
      </w:r>
      <w:r w:rsidR="002B74A6" w:rsidRPr="007E130D">
        <w:noBreakHyphen/>
      </w:r>
      <w:r w:rsidRPr="007E130D">
        <w:t>51,4</w:t>
      </w:r>
      <w:r w:rsidR="002B74A6" w:rsidRPr="007E130D">
        <w:t> </w:t>
      </w:r>
      <w:r w:rsidRPr="007E130D">
        <w:t xml:space="preserve">GHz (Terre vers espace) et la Résolution </w:t>
      </w:r>
      <w:r w:rsidRPr="007E130D">
        <w:rPr>
          <w:b/>
          <w:bCs/>
        </w:rPr>
        <w:t>770 (CMR-19)</w:t>
      </w:r>
      <w:r w:rsidRPr="007E130D">
        <w:t xml:space="preserve"> </w:t>
      </w:r>
      <w:r w:rsidR="00A82EF2" w:rsidRPr="007E130D">
        <w:t>«</w:t>
      </w:r>
      <w:bookmarkStart w:id="59" w:name="_Toc35933908"/>
      <w:bookmarkStart w:id="60" w:name="_Toc39829392"/>
      <w:r w:rsidR="00A82EF2" w:rsidRPr="007E130D">
        <w:rPr>
          <w:iCs/>
        </w:rPr>
        <w:t xml:space="preserve">Application de l'Article </w:t>
      </w:r>
      <w:r w:rsidR="00A82EF2" w:rsidRPr="007E130D">
        <w:rPr>
          <w:b/>
          <w:bCs/>
          <w:iCs/>
        </w:rPr>
        <w:t xml:space="preserve">22 </w:t>
      </w:r>
      <w:r w:rsidR="00A82EF2" w:rsidRPr="007E130D">
        <w:rPr>
          <w:iCs/>
        </w:rPr>
        <w:t>du Règlement des radiocommunications à la protection des réseaux à satellite géostationnaire du service fixe par satellite et du service de radiodiffusion par satellite vis-à-vis des systèmes à satellites non géostationnaires du service fixe par satellite dans les bandes de fréquences</w:t>
      </w:r>
      <w:r w:rsidR="002B74A6" w:rsidRPr="007E130D">
        <w:rPr>
          <w:iCs/>
        </w:rPr>
        <w:t> </w:t>
      </w:r>
      <w:r w:rsidR="00A82EF2" w:rsidRPr="007E130D">
        <w:rPr>
          <w:iCs/>
        </w:rPr>
        <w:t>37,5</w:t>
      </w:r>
      <w:r w:rsidR="00A82EF2" w:rsidRPr="007E130D">
        <w:rPr>
          <w:iCs/>
        </w:rPr>
        <w:noBreakHyphen/>
        <w:t>39,5</w:t>
      </w:r>
      <w:r w:rsidR="002B74A6" w:rsidRPr="007E130D">
        <w:rPr>
          <w:iCs/>
        </w:rPr>
        <w:t> </w:t>
      </w:r>
      <w:r w:rsidR="00A82EF2" w:rsidRPr="007E130D">
        <w:rPr>
          <w:iCs/>
        </w:rPr>
        <w:t>GHz, 39,5-42,5 GHz, 47,2-50,2 GHz, et 50,4-51,4 GHz</w:t>
      </w:r>
      <w:bookmarkEnd w:id="59"/>
      <w:bookmarkEnd w:id="60"/>
      <w:r w:rsidR="00741DC1" w:rsidRPr="007E130D">
        <w:t>»</w:t>
      </w:r>
      <w:r w:rsidR="00A82EF2" w:rsidRPr="007E130D">
        <w:t>.</w:t>
      </w:r>
    </w:p>
    <w:p w14:paraId="490D7F62" w14:textId="77777777" w:rsidR="00741DC1" w:rsidRPr="007E130D" w:rsidRDefault="00741DC1" w:rsidP="00B20AC9">
      <w:bookmarkStart w:id="61" w:name="lt_pId024"/>
      <w:r w:rsidRPr="007E130D">
        <w:t xml:space="preserve">Cette Résolution contient les caractéristiques techniques des liaisons de référence génériques sur l'orbite des satellites géostationnaires (voir l'Annexe 1 de la Résolution) ainsi qu'une méthode (voir l'Annexe 2 de la Résolution) permettant de </w:t>
      </w:r>
      <w:bookmarkEnd w:id="61"/>
      <w:r w:rsidRPr="007E130D">
        <w:t xml:space="preserve">déterminer la conformité au numéro </w:t>
      </w:r>
      <w:r w:rsidRPr="007E130D">
        <w:rPr>
          <w:b/>
          <w:bCs/>
        </w:rPr>
        <w:t>22.5L</w:t>
      </w:r>
      <w:r w:rsidR="00F7314C" w:rsidRPr="007E130D">
        <w:t xml:space="preserve"> </w:t>
      </w:r>
      <w:r w:rsidR="00F7314C" w:rsidRPr="007E130D">
        <w:rPr>
          <w:bCs/>
        </w:rPr>
        <w:t>du RR</w:t>
      </w:r>
      <w:r w:rsidRPr="007E130D">
        <w:t>.</w:t>
      </w:r>
    </w:p>
    <w:p w14:paraId="25DCAE2A" w14:textId="42988A9A" w:rsidR="00741DC1" w:rsidRPr="007E130D" w:rsidRDefault="002B74A6" w:rsidP="00B20AC9">
      <w:r w:rsidRPr="007E130D">
        <w:t>À</w:t>
      </w:r>
      <w:r w:rsidR="00C44DBE" w:rsidRPr="007E130D">
        <w:t xml:space="preserve"> la mi-2023, le Bureau a reçu 68 demandes de coordination de systèmes non OSG du SFS relevant des numéros </w:t>
      </w:r>
      <w:r w:rsidR="00C44DBE" w:rsidRPr="007E130D">
        <w:rPr>
          <w:b/>
          <w:bCs/>
        </w:rPr>
        <w:t>9.12</w:t>
      </w:r>
      <w:r w:rsidR="00C44DBE" w:rsidRPr="007E130D">
        <w:t xml:space="preserve"> et </w:t>
      </w:r>
      <w:r w:rsidR="00C44DBE" w:rsidRPr="007E130D">
        <w:rPr>
          <w:b/>
          <w:bCs/>
        </w:rPr>
        <w:t>22.5L</w:t>
      </w:r>
      <w:r w:rsidR="00C44DBE" w:rsidRPr="007E130D">
        <w:t xml:space="preserve"> du RR et 18 demandes de coordination de systèmes non OSG du SMS relevant uniquement du numéro </w:t>
      </w:r>
      <w:r w:rsidR="00C44DBE" w:rsidRPr="007E130D">
        <w:rPr>
          <w:b/>
          <w:bCs/>
        </w:rPr>
        <w:t>9.12</w:t>
      </w:r>
      <w:r w:rsidR="00C44DBE" w:rsidRPr="007E130D">
        <w:t xml:space="preserve"> du RR.</w:t>
      </w:r>
    </w:p>
    <w:p w14:paraId="1E1259C0" w14:textId="79C5C10B" w:rsidR="00741DC1" w:rsidRPr="007E130D" w:rsidRDefault="00741DC1" w:rsidP="00D10F06">
      <w:r w:rsidRPr="007E130D">
        <w:rPr>
          <w:color w:val="000000"/>
        </w:rPr>
        <w:t xml:space="preserve">Dans le cas où le Bureau n'est pas en mesure de procéder à l'examen des systèmes non OSG du SFS assujettis aux dispositions prévues pour une seule source de brouillage dans le numéro </w:t>
      </w:r>
      <w:r w:rsidRPr="007E130D">
        <w:rPr>
          <w:b/>
          <w:bCs/>
          <w:color w:val="000000"/>
        </w:rPr>
        <w:t>22.5L</w:t>
      </w:r>
      <w:r w:rsidRPr="007E130D">
        <w:rPr>
          <w:color w:val="000000"/>
        </w:rPr>
        <w:t>, en raison de la non disponibilité d'un logiciel adéquat</w:t>
      </w:r>
      <w:r w:rsidRPr="007E130D">
        <w:t xml:space="preserve"> (ce qui est le cas actuellement), le point 3 du </w:t>
      </w:r>
      <w:r w:rsidRPr="007E130D">
        <w:rPr>
          <w:i/>
          <w:iCs/>
        </w:rPr>
        <w:t>décide</w:t>
      </w:r>
      <w:r w:rsidRPr="007E130D">
        <w:t xml:space="preserve"> de la Résolution </w:t>
      </w:r>
      <w:r w:rsidR="00E1189A" w:rsidRPr="007E130D">
        <w:rPr>
          <w:b/>
        </w:rPr>
        <w:t>777 (CMR-19)</w:t>
      </w:r>
      <w:r w:rsidRPr="007E130D">
        <w:t xml:space="preserve"> </w:t>
      </w:r>
      <w:r w:rsidRPr="007E130D">
        <w:rPr>
          <w:i/>
          <w:iCs/>
        </w:rPr>
        <w:t xml:space="preserve">dispose </w:t>
      </w:r>
      <w:r w:rsidRPr="007E130D">
        <w:t xml:space="preserve">que «l'administration notificatrice doit communiquer tous les renseignements nécessaires permettant de démontrer la conformité au numéro </w:t>
      </w:r>
      <w:r w:rsidRPr="007E130D">
        <w:rPr>
          <w:b/>
          <w:bCs/>
        </w:rPr>
        <w:t>22.5L</w:t>
      </w:r>
      <w:r w:rsidRPr="007E130D">
        <w:t>, et transmettre au B</w:t>
      </w:r>
      <w:r w:rsidR="00E1189A" w:rsidRPr="007E130D">
        <w:t>ureau</w:t>
      </w:r>
      <w:r w:rsidRPr="007E130D">
        <w:t xml:space="preserve"> un engagement selon lequel le système du SFS non OSG est conforme aux limites fixées au numéro </w:t>
      </w:r>
      <w:r w:rsidRPr="007E130D">
        <w:rPr>
          <w:b/>
          <w:bCs/>
        </w:rPr>
        <w:t>22.5L</w:t>
      </w:r>
      <w:r w:rsidRPr="007E130D">
        <w:t xml:space="preserve">», et le point 4 du </w:t>
      </w:r>
      <w:r w:rsidRPr="007E130D">
        <w:rPr>
          <w:i/>
          <w:iCs/>
        </w:rPr>
        <w:t>décide</w:t>
      </w:r>
      <w:r w:rsidRPr="007E130D">
        <w:t xml:space="preserve"> stipule que «les assignations de fréquence des systèmes du SFS non OSG qui ne peuvent être examinées au titre du point 1 du </w:t>
      </w:r>
      <w:r w:rsidRPr="007E130D">
        <w:rPr>
          <w:i/>
          <w:iCs/>
        </w:rPr>
        <w:t>décide</w:t>
      </w:r>
      <w:r w:rsidRPr="007E130D">
        <w:t xml:space="preserve"> doivent faire l'objet d'une conclusion favorable conditionnelle au titre du numéro </w:t>
      </w:r>
      <w:r w:rsidRPr="007E130D">
        <w:rPr>
          <w:b/>
          <w:bCs/>
        </w:rPr>
        <w:t>9.35</w:t>
      </w:r>
      <w:r w:rsidRPr="007E130D">
        <w:t xml:space="preserve"> relativement au numéro</w:t>
      </w:r>
      <w:r w:rsidR="002B74A6" w:rsidRPr="007E130D">
        <w:t> </w:t>
      </w:r>
      <w:r w:rsidRPr="007E130D">
        <w:rPr>
          <w:b/>
          <w:bCs/>
        </w:rPr>
        <w:t>22.5L</w:t>
      </w:r>
      <w:r w:rsidRPr="007E130D">
        <w:t xml:space="preserve">, si le point 3 du </w:t>
      </w:r>
      <w:r w:rsidRPr="007E130D">
        <w:rPr>
          <w:i/>
          <w:iCs/>
        </w:rPr>
        <w:t>décide</w:t>
      </w:r>
      <w:r w:rsidRPr="007E130D">
        <w:t xml:space="preserve"> est respecté, faute de quoi les assignations devront donner lieu à une conclusion défavorable».</w:t>
      </w:r>
    </w:p>
    <w:p w14:paraId="4109E215" w14:textId="40E5C110" w:rsidR="00741DC1" w:rsidRPr="007E130D" w:rsidRDefault="00DB59D0" w:rsidP="00B20AC9">
      <w:r w:rsidRPr="007E130D">
        <w:t>Le Bureau a demandé au Comité du Règlement des radiocommunications, à sa 84</w:t>
      </w:r>
      <w:r w:rsidR="002B74A6" w:rsidRPr="007E130D">
        <w:t>ème</w:t>
      </w:r>
      <w:r w:rsidRPr="007E130D">
        <w:t xml:space="preserve"> réunion (6</w:t>
      </w:r>
      <w:r w:rsidR="002B74A6" w:rsidRPr="007E130D">
        <w:noBreakHyphen/>
      </w:r>
      <w:r w:rsidRPr="007E130D">
        <w:t>15</w:t>
      </w:r>
      <w:r w:rsidR="002B74A6" w:rsidRPr="007E130D">
        <w:t> </w:t>
      </w:r>
      <w:r w:rsidRPr="007E130D">
        <w:t>juillet 2020), de lui indiquer quel type de renseignement est suffisant pour démontrer la conformité avec le numéro</w:t>
      </w:r>
      <w:r w:rsidRPr="007E130D">
        <w:rPr>
          <w:b/>
          <w:bCs/>
        </w:rPr>
        <w:t xml:space="preserve"> 22.5L</w:t>
      </w:r>
      <w:r w:rsidRPr="007E130D">
        <w:t xml:space="preserve"> du RR afin de satisfaire au point 3 </w:t>
      </w:r>
      <w:r w:rsidR="00A77EF9" w:rsidRPr="007E130D">
        <w:t xml:space="preserve">du </w:t>
      </w:r>
      <w:r w:rsidR="00A77EF9" w:rsidRPr="007E130D">
        <w:rPr>
          <w:i/>
        </w:rPr>
        <w:t>décide</w:t>
      </w:r>
      <w:r w:rsidR="00A77EF9" w:rsidRPr="007E130D">
        <w:t xml:space="preserve"> </w:t>
      </w:r>
      <w:r w:rsidRPr="007E130D">
        <w:t>de la Résolution</w:t>
      </w:r>
      <w:r w:rsidR="00D10F06" w:rsidRPr="007E130D">
        <w:t> </w:t>
      </w:r>
      <w:r w:rsidRPr="007E130D">
        <w:rPr>
          <w:b/>
          <w:bCs/>
        </w:rPr>
        <w:t>770 (CMR-19)</w:t>
      </w:r>
      <w:r w:rsidRPr="007E130D">
        <w:t>. Le Bureau a également inclus des informations sur les incohérences pot</w:t>
      </w:r>
      <w:r w:rsidR="00A77EF9" w:rsidRPr="007E130D">
        <w:t>entielles dans cette Résolution</w:t>
      </w:r>
      <w:r w:rsidR="00741DC1" w:rsidRPr="007E130D">
        <w:t>.</w:t>
      </w:r>
    </w:p>
    <w:p w14:paraId="33331679" w14:textId="762D30F2" w:rsidR="00741DC1" w:rsidRPr="007E130D" w:rsidRDefault="002B74A6" w:rsidP="00B20AC9">
      <w:r w:rsidRPr="007E130D">
        <w:t>À</w:t>
      </w:r>
      <w:r w:rsidR="00A77EF9" w:rsidRPr="007E130D">
        <w:t xml:space="preserve"> sa</w:t>
      </w:r>
      <w:r w:rsidR="00741DC1" w:rsidRPr="007E130D">
        <w:t xml:space="preserve"> 8</w:t>
      </w:r>
      <w:r w:rsidR="00A77EF9" w:rsidRPr="007E130D">
        <w:t>4</w:t>
      </w:r>
      <w:r w:rsidRPr="007E130D">
        <w:t>ème</w:t>
      </w:r>
      <w:r w:rsidR="00741DC1" w:rsidRPr="007E130D">
        <w:t xml:space="preserve"> </w:t>
      </w:r>
      <w:r w:rsidR="00A77EF9" w:rsidRPr="007E130D">
        <w:t>réunion</w:t>
      </w:r>
      <w:r w:rsidR="00741DC1" w:rsidRPr="007E130D">
        <w:t xml:space="preserve">, </w:t>
      </w:r>
      <w:r w:rsidR="00A77EF9" w:rsidRPr="007E130D">
        <w:t>le Comité du Règlement des radiocommunications a pris note de ce qui suit:</w:t>
      </w:r>
    </w:p>
    <w:p w14:paraId="49F1E770" w14:textId="77777777" w:rsidR="00741DC1" w:rsidRPr="007E130D" w:rsidRDefault="00741DC1" w:rsidP="00B20AC9">
      <w:pPr>
        <w:pStyle w:val="enumlev1"/>
        <w:jc w:val="both"/>
        <w:rPr>
          <w:lang w:eastAsia="zh-CN"/>
        </w:rPr>
      </w:pPr>
      <w:r w:rsidRPr="007E130D">
        <w:rPr>
          <w:lang w:eastAsia="zh-CN"/>
        </w:rPr>
        <w:t>–</w:t>
      </w:r>
      <w:r w:rsidRPr="007E130D">
        <w:rPr>
          <w:lang w:eastAsia="zh-CN"/>
        </w:rPr>
        <w:tab/>
        <w:t xml:space="preserve">le logiciel requis pour procéder à l'examen des systèmes non OSG du SFS assujettis aux dispositions prévues pour une seule source de brouillage dans le numéro </w:t>
      </w:r>
      <w:r w:rsidRPr="007E130D">
        <w:rPr>
          <w:b/>
          <w:bCs/>
          <w:lang w:eastAsia="zh-CN"/>
        </w:rPr>
        <w:t>22.5L</w:t>
      </w:r>
      <w:r w:rsidRPr="007E130D">
        <w:rPr>
          <w:lang w:eastAsia="zh-CN"/>
        </w:rPr>
        <w:t xml:space="preserve"> n'est pas disponible;</w:t>
      </w:r>
    </w:p>
    <w:p w14:paraId="60489877" w14:textId="77777777" w:rsidR="00741DC1" w:rsidRPr="007E130D" w:rsidRDefault="00741DC1" w:rsidP="00B20AC9">
      <w:pPr>
        <w:pStyle w:val="enumlev1"/>
      </w:pPr>
      <w:r w:rsidRPr="007E130D">
        <w:rPr>
          <w:lang w:eastAsia="zh-CN"/>
        </w:rPr>
        <w:t>–</w:t>
      </w:r>
      <w:r w:rsidRPr="007E130D">
        <w:rPr>
          <w:lang w:eastAsia="zh-CN"/>
        </w:rPr>
        <w:tab/>
        <w:t>il risque d'y avoir une incohérence dans la définition du paramètre N</w:t>
      </w:r>
      <w:r w:rsidRPr="007E130D">
        <w:rPr>
          <w:vertAlign w:val="subscript"/>
          <w:lang w:eastAsia="zh-CN"/>
        </w:rPr>
        <w:t>T</w:t>
      </w:r>
      <w:r w:rsidRPr="007E130D">
        <w:rPr>
          <w:lang w:eastAsia="zh-CN"/>
        </w:rPr>
        <w:t xml:space="preserve"> utilisé dans les méthodes décrites dans l'Annexe 2 de cette Résolution.</w:t>
      </w:r>
    </w:p>
    <w:p w14:paraId="5C0DF2D5" w14:textId="77777777" w:rsidR="00741DC1" w:rsidRPr="007E130D" w:rsidRDefault="00741DC1" w:rsidP="00D10F06">
      <w:pPr>
        <w:rPr>
          <w:lang w:eastAsia="zh-CN"/>
        </w:rPr>
      </w:pPr>
      <w:r w:rsidRPr="007E130D">
        <w:rPr>
          <w:lang w:eastAsia="zh-CN"/>
        </w:rPr>
        <w:t xml:space="preserve">Compte tenu de ces circonstances, le Comité a décidé de charger le Bureau de formuler des conclusions favorables conditionnelles pour les fiches de notification des systèmes à satellites du SFS non OSG dans la gamme de fréquences 40-50 GHz qui sont assujetties aux dispositions de la Résolution </w:t>
      </w:r>
      <w:r w:rsidRPr="007E130D">
        <w:rPr>
          <w:b/>
          <w:bCs/>
          <w:lang w:eastAsia="zh-CN"/>
        </w:rPr>
        <w:t>770 (CMR-19)</w:t>
      </w:r>
      <w:r w:rsidRPr="007E130D">
        <w:rPr>
          <w:lang w:eastAsia="zh-CN"/>
        </w:rPr>
        <w:t xml:space="preserve"> jusqu'à ce que les problèmes évoqués ci-dessus aient été résolus, à condition que l'administration notificatrice fournisse:</w:t>
      </w:r>
    </w:p>
    <w:p w14:paraId="1E29BAE9" w14:textId="77777777" w:rsidR="00741DC1" w:rsidRPr="007E130D" w:rsidRDefault="00741DC1" w:rsidP="00B20AC9">
      <w:pPr>
        <w:pStyle w:val="enumlev1"/>
      </w:pPr>
      <w:r w:rsidRPr="007E130D">
        <w:t>–</w:t>
      </w:r>
      <w:r w:rsidRPr="007E130D">
        <w:tab/>
        <w:t>tous les paramètres d'entrée requis;</w:t>
      </w:r>
    </w:p>
    <w:p w14:paraId="41F434D7" w14:textId="77777777" w:rsidR="00741DC1" w:rsidRPr="007E130D" w:rsidRDefault="00741DC1" w:rsidP="00B20AC9">
      <w:pPr>
        <w:pStyle w:val="enumlev1"/>
      </w:pPr>
      <w:r w:rsidRPr="007E130D">
        <w:t>–</w:t>
      </w:r>
      <w:r w:rsidRPr="007E130D">
        <w:tab/>
        <w:t xml:space="preserve">un engagement selon lequel les systèmes à satellites du SFS non OSG sont conformes au numéro </w:t>
      </w:r>
      <w:r w:rsidRPr="007E130D">
        <w:rPr>
          <w:b/>
          <w:bCs/>
        </w:rPr>
        <w:t>22.5L</w:t>
      </w:r>
      <w:r w:rsidRPr="007E130D">
        <w:t xml:space="preserve"> du RR.</w:t>
      </w:r>
    </w:p>
    <w:p w14:paraId="509BFEC9" w14:textId="6D5980F8" w:rsidR="00741DC1" w:rsidRPr="007E130D" w:rsidRDefault="003673ED" w:rsidP="00B20AC9">
      <w:r w:rsidRPr="007E130D">
        <w:lastRenderedPageBreak/>
        <w:t>Suite à cette décision, le Bureau a demandé que toute</w:t>
      </w:r>
      <w:r w:rsidR="00DB4B83" w:rsidRPr="007E130D">
        <w:t>s les soumissions au titre du numéro</w:t>
      </w:r>
      <w:r w:rsidRPr="007E130D">
        <w:t xml:space="preserve"> </w:t>
      </w:r>
      <w:r w:rsidRPr="007E130D">
        <w:rPr>
          <w:b/>
          <w:bCs/>
        </w:rPr>
        <w:t>22.5L</w:t>
      </w:r>
      <w:r w:rsidRPr="007E130D">
        <w:t xml:space="preserve"> du</w:t>
      </w:r>
      <w:r w:rsidR="00D10F06" w:rsidRPr="007E130D">
        <w:t> </w:t>
      </w:r>
      <w:r w:rsidRPr="007E130D">
        <w:t>RR fournissent toutes les données requi</w:t>
      </w:r>
      <w:r w:rsidR="00DB4B83" w:rsidRPr="007E130D">
        <w:t>ses pour l'examen au titre du numéro</w:t>
      </w:r>
      <w:r w:rsidRPr="007E130D">
        <w:t xml:space="preserve"> </w:t>
      </w:r>
      <w:r w:rsidRPr="007E130D">
        <w:rPr>
          <w:b/>
          <w:bCs/>
        </w:rPr>
        <w:t>22.5L</w:t>
      </w:r>
      <w:r w:rsidRPr="007E130D">
        <w:t xml:space="preserve"> du RR (</w:t>
      </w:r>
      <w:bookmarkStart w:id="62" w:name="_Hlk147327725"/>
      <w:r w:rsidRPr="007E130D">
        <w:t xml:space="preserve">telles que les </w:t>
      </w:r>
      <w:bookmarkStart w:id="63" w:name="_Hlk147302300"/>
      <w:r w:rsidR="00301E8E" w:rsidRPr="007E130D">
        <w:t>points A.14, A.4.b.7, etc. de l'</w:t>
      </w:r>
      <w:r w:rsidRPr="007E130D">
        <w:t xml:space="preserve">Appendice </w:t>
      </w:r>
      <w:r w:rsidRPr="007E130D">
        <w:rPr>
          <w:b/>
          <w:bCs/>
        </w:rPr>
        <w:t>4</w:t>
      </w:r>
      <w:bookmarkEnd w:id="62"/>
      <w:r w:rsidRPr="007E130D">
        <w:t>).</w:t>
      </w:r>
      <w:bookmarkEnd w:id="63"/>
    </w:p>
    <w:p w14:paraId="0B8A4754" w14:textId="34137D21" w:rsidR="00741DC1" w:rsidRPr="007E130D" w:rsidRDefault="003673ED" w:rsidP="00B20AC9">
      <w:r w:rsidRPr="007E130D">
        <w:t>Les données soumises conformément à cette décision sont publiées dans la BR IFIC et sur la page web epfd-data (</w:t>
      </w:r>
      <w:hyperlink r:id="rId31" w:history="1">
        <w:r w:rsidRPr="007E130D">
          <w:rPr>
            <w:rStyle w:val="Hyperlink"/>
          </w:rPr>
          <w:t>https://www.itu.int/en/ITU-R/space/Pages/epfdData.aspx</w:t>
        </w:r>
      </w:hyperlink>
      <w:r w:rsidRPr="007E130D">
        <w:t>).</w:t>
      </w:r>
    </w:p>
    <w:p w14:paraId="52DF20FB" w14:textId="2E81F70F" w:rsidR="003673ED" w:rsidRPr="007E130D" w:rsidRDefault="003673ED" w:rsidP="00B20AC9">
      <w:r w:rsidRPr="007E130D">
        <w:t xml:space="preserve">Le Bureau a également signalé les incohérences relevées dans la Résolution </w:t>
      </w:r>
      <w:r w:rsidRPr="007E130D">
        <w:rPr>
          <w:b/>
          <w:bCs/>
        </w:rPr>
        <w:t>770 (CMR-19)</w:t>
      </w:r>
      <w:r w:rsidRPr="007E130D">
        <w:t xml:space="preserve"> au Groupe de travail 4A (Doc</w:t>
      </w:r>
      <w:r w:rsidR="00487108" w:rsidRPr="007E130D">
        <w:t>ument</w:t>
      </w:r>
      <w:r w:rsidRPr="007E130D">
        <w:t xml:space="preserve"> </w:t>
      </w:r>
      <w:hyperlink r:id="rId32" w:history="1">
        <w:r w:rsidRPr="007E130D">
          <w:rPr>
            <w:rStyle w:val="Hyperlink"/>
          </w:rPr>
          <w:t>4A/33</w:t>
        </w:r>
      </w:hyperlink>
      <w:r w:rsidRPr="007E130D">
        <w:t>).</w:t>
      </w:r>
    </w:p>
    <w:p w14:paraId="55011141" w14:textId="376AFD0F" w:rsidR="00741DC1" w:rsidRPr="007E130D" w:rsidRDefault="003673ED" w:rsidP="00B20AC9">
      <w:r w:rsidRPr="007E130D">
        <w:t xml:space="preserve">Les modifications apportées à cette résolution seront examinées par la CMR-23 au titre du point 7 de l'ordre du jour. Si ces incohérences dans la Résolution </w:t>
      </w:r>
      <w:r w:rsidRPr="007E130D">
        <w:rPr>
          <w:b/>
          <w:bCs/>
        </w:rPr>
        <w:t>770 (CMR-19)</w:t>
      </w:r>
      <w:r w:rsidRPr="007E130D">
        <w:t xml:space="preserve"> sont résolues par la conférence, le Bureau sera en mesure de commencer à mettre en œuvre les outils logiciels requis pour l'examen au titre de la </w:t>
      </w:r>
      <w:r w:rsidR="00487108" w:rsidRPr="007E130D">
        <w:t>R</w:t>
      </w:r>
      <w:r w:rsidRPr="007E130D">
        <w:t xml:space="preserve">ésolution </w:t>
      </w:r>
      <w:r w:rsidRPr="007E130D">
        <w:rPr>
          <w:b/>
          <w:bCs/>
        </w:rPr>
        <w:t>770 (CMR-19)</w:t>
      </w:r>
      <w:r w:rsidRPr="007E130D">
        <w:t>.</w:t>
      </w:r>
    </w:p>
    <w:p w14:paraId="24FFBCD0" w14:textId="4CB2C589" w:rsidR="00741DC1" w:rsidRPr="007E130D" w:rsidRDefault="003673ED" w:rsidP="00B20AC9">
      <w:r w:rsidRPr="007E130D">
        <w:t>Le Bureau prend note d</w:t>
      </w:r>
      <w:r w:rsidR="000C4CDD" w:rsidRPr="007E130D">
        <w:t>'</w:t>
      </w:r>
      <w:r w:rsidRPr="007E130D">
        <w:t xml:space="preserve">une préoccupation commune des administrations notificatrices concernant l'utilisation, pour l'examen des conclusions favorables conditionnelles, des données soumises antérieurement et requises pour l'examen au titre du numéro </w:t>
      </w:r>
      <w:r w:rsidRPr="007E130D">
        <w:rPr>
          <w:b/>
          <w:bCs/>
        </w:rPr>
        <w:t>22.5L</w:t>
      </w:r>
      <w:r w:rsidRPr="007E130D">
        <w:t xml:space="preserve"> du RR, une fois que le logiciel requis sera mis en œuvre.</w:t>
      </w:r>
    </w:p>
    <w:p w14:paraId="01FB3502" w14:textId="1FEF3903" w:rsidR="00741DC1" w:rsidRPr="007E130D" w:rsidRDefault="00487108" w:rsidP="00B20AC9">
      <w:r w:rsidRPr="007E130D">
        <w:t>À</w:t>
      </w:r>
      <w:r w:rsidR="003673ED" w:rsidRPr="007E130D">
        <w:t xml:space="preserve"> cet égard, le Bureau envisage de mettre en œuvre une approche similaire à celle expliquée dans la Lettre circulaire CR/414 (6 décembre 2016). Conformément à cette approche, le Bureau contactera individuellement chaque administration ayant soumis des systèmes à satellites non géostationnaires dans le service fixe par satellite assujettis au numéro </w:t>
      </w:r>
      <w:r w:rsidR="003673ED" w:rsidRPr="007E130D">
        <w:rPr>
          <w:b/>
          <w:bCs/>
        </w:rPr>
        <w:t>22.5L</w:t>
      </w:r>
      <w:r w:rsidR="003673ED" w:rsidRPr="007E130D">
        <w:t xml:space="preserve"> du RR et demandera à l'administration de mettre à jour, si nécessaire, dans un délai de trois mois les renseignements requis pour l'examen du numéro </w:t>
      </w:r>
      <w:r w:rsidR="003673ED" w:rsidRPr="007E130D">
        <w:rPr>
          <w:b/>
          <w:bCs/>
        </w:rPr>
        <w:t>22.5L</w:t>
      </w:r>
      <w:r w:rsidR="003673ED" w:rsidRPr="007E130D">
        <w:t xml:space="preserve"> du RR.</w:t>
      </w:r>
    </w:p>
    <w:p w14:paraId="1D2D3F1B" w14:textId="77777777" w:rsidR="00741DC1" w:rsidRPr="007E130D" w:rsidRDefault="00741DC1" w:rsidP="00B20AC9">
      <w:pPr>
        <w:pStyle w:val="Heading4"/>
      </w:pPr>
      <w:r w:rsidRPr="007E130D">
        <w:t>2.2.4.8</w:t>
      </w:r>
      <w:r w:rsidRPr="007E130D">
        <w:tab/>
        <w:t>Résolution 771 (CMR</w:t>
      </w:r>
      <w:r w:rsidRPr="007E130D">
        <w:noBreakHyphen/>
        <w:t>19)</w:t>
      </w:r>
    </w:p>
    <w:p w14:paraId="6BDABD2F" w14:textId="3321EDAE" w:rsidR="00741DC1" w:rsidRPr="007E130D" w:rsidRDefault="00741DC1" w:rsidP="00B20AC9">
      <w:r w:rsidRPr="007E130D">
        <w:t xml:space="preserve">La Résolution </w:t>
      </w:r>
      <w:r w:rsidRPr="007E130D">
        <w:rPr>
          <w:b/>
          <w:bCs/>
        </w:rPr>
        <w:t>771 (CMR-19)</w:t>
      </w:r>
      <w:r w:rsidRPr="007E130D">
        <w:t xml:space="preserve"> «Utilisation des bandes de fréquences 37,5-42,5 GHz (espace vers Terre) et 47,2</w:t>
      </w:r>
      <w:r w:rsidR="00A83115" w:rsidRPr="007E130D">
        <w:t>-</w:t>
      </w:r>
      <w:r w:rsidRPr="007E130D">
        <w:t>48,9 GHz, 48,9-50,2 GHz et 50,4-51,4 GHz (Terre vers espace) par des systèmes à satellites non géostationnaires du service fixe par satellite et de la bande de fréquences</w:t>
      </w:r>
      <w:r w:rsidR="00487108" w:rsidRPr="007E130D">
        <w:t> </w:t>
      </w:r>
      <w:r w:rsidRPr="007E130D">
        <w:t>39,5</w:t>
      </w:r>
      <w:r w:rsidR="00487108" w:rsidRPr="007E130D">
        <w:noBreakHyphen/>
      </w:r>
      <w:r w:rsidRPr="007E130D">
        <w:t>40,5</w:t>
      </w:r>
      <w:r w:rsidR="00487108" w:rsidRPr="007E130D">
        <w:t> </w:t>
      </w:r>
      <w:r w:rsidRPr="007E130D">
        <w:t xml:space="preserve">GHz (espace vers Terre) par des systèmes à satellites non géostationnaires du service mobile par satellite» </w:t>
      </w:r>
      <w:r w:rsidR="00F7450B" w:rsidRPr="007E130D">
        <w:t>établit des dispositions transitoires pour les systèmes non OSG du S</w:t>
      </w:r>
      <w:r w:rsidR="0093761B" w:rsidRPr="007E130D">
        <w:t>F</w:t>
      </w:r>
      <w:r w:rsidR="00F7450B" w:rsidRPr="007E130D">
        <w:t xml:space="preserve">S et du </w:t>
      </w:r>
      <w:r w:rsidR="0093761B" w:rsidRPr="007E130D">
        <w:t>S</w:t>
      </w:r>
      <w:r w:rsidR="00F7450B" w:rsidRPr="007E130D">
        <w:t>MS pour lesquels les informations de notification complètes ont été reçues par le Bureau avant le 23 novembre 2019.</w:t>
      </w:r>
    </w:p>
    <w:p w14:paraId="4198A4C4" w14:textId="7F637A69" w:rsidR="00741DC1" w:rsidRPr="007E130D" w:rsidRDefault="00741DC1" w:rsidP="0035723C">
      <w:pPr>
        <w:rPr>
          <w:rFonts w:asciiTheme="majorBidi" w:hAnsiTheme="majorBidi" w:cstheme="majorBidi"/>
          <w:szCs w:val="24"/>
        </w:rPr>
      </w:pPr>
      <w:r w:rsidRPr="007E130D">
        <w:rPr>
          <w:rFonts w:asciiTheme="majorBidi" w:hAnsiTheme="majorBidi" w:cstheme="majorBidi"/>
          <w:szCs w:val="24"/>
        </w:rPr>
        <w:t xml:space="preserve">Lors de l'adoption des dispositions des numéros </w:t>
      </w:r>
      <w:r w:rsidRPr="007E130D">
        <w:rPr>
          <w:rFonts w:asciiTheme="majorBidi" w:hAnsiTheme="majorBidi" w:cstheme="majorBidi"/>
          <w:b/>
          <w:bCs/>
          <w:szCs w:val="24"/>
        </w:rPr>
        <w:t>22.5L</w:t>
      </w:r>
      <w:r w:rsidRPr="007E130D">
        <w:rPr>
          <w:rFonts w:asciiTheme="majorBidi" w:hAnsiTheme="majorBidi" w:cstheme="majorBidi"/>
          <w:szCs w:val="24"/>
        </w:rPr>
        <w:t xml:space="preserve"> et </w:t>
      </w:r>
      <w:r w:rsidRPr="007E130D">
        <w:rPr>
          <w:rFonts w:asciiTheme="majorBidi" w:hAnsiTheme="majorBidi" w:cstheme="majorBidi"/>
          <w:b/>
          <w:bCs/>
          <w:szCs w:val="24"/>
        </w:rPr>
        <w:t>22.5M</w:t>
      </w:r>
      <w:r w:rsidR="00F7450B" w:rsidRPr="007E130D">
        <w:rPr>
          <w:rFonts w:asciiTheme="majorBidi" w:hAnsiTheme="majorBidi" w:cstheme="majorBidi"/>
          <w:szCs w:val="24"/>
        </w:rPr>
        <w:t xml:space="preserve"> </w:t>
      </w:r>
      <w:r w:rsidR="00F7450B" w:rsidRPr="007E130D">
        <w:rPr>
          <w:rFonts w:asciiTheme="majorBidi" w:hAnsiTheme="majorBidi" w:cstheme="majorBidi"/>
          <w:bCs/>
          <w:szCs w:val="24"/>
        </w:rPr>
        <w:t>du RR</w:t>
      </w:r>
      <w:r w:rsidRPr="007E130D">
        <w:rPr>
          <w:rFonts w:asciiTheme="majorBidi" w:hAnsiTheme="majorBidi" w:cstheme="majorBidi"/>
          <w:szCs w:val="24"/>
        </w:rPr>
        <w:t>, la CMR-19 n'a pas adopté de disposition spécifique indiquant que ces deux dispositions ne s'appliquent pas aux systèmes à satellites non géostationnaires notifiés avant la fin de la CMR-19</w:t>
      </w:r>
      <w:r w:rsidRPr="007E130D">
        <w:rPr>
          <w:rStyle w:val="FootnoteReference"/>
          <w:rFonts w:asciiTheme="majorBidi" w:hAnsiTheme="majorBidi" w:cstheme="majorBidi"/>
          <w:szCs w:val="24"/>
        </w:rPr>
        <w:footnoteReference w:id="2"/>
      </w:r>
      <w:r w:rsidRPr="007E130D">
        <w:rPr>
          <w:rFonts w:asciiTheme="majorBidi" w:hAnsiTheme="majorBidi" w:cstheme="majorBidi"/>
          <w:szCs w:val="24"/>
        </w:rPr>
        <w:t xml:space="preserve">. Conformément au numéro </w:t>
      </w:r>
      <w:r w:rsidRPr="007E130D">
        <w:rPr>
          <w:rFonts w:asciiTheme="majorBidi" w:hAnsiTheme="majorBidi" w:cstheme="majorBidi"/>
          <w:b/>
          <w:bCs/>
          <w:szCs w:val="24"/>
        </w:rPr>
        <w:t>11.50</w:t>
      </w:r>
      <w:r w:rsidR="00F7450B" w:rsidRPr="007E130D">
        <w:rPr>
          <w:rFonts w:asciiTheme="majorBidi" w:hAnsiTheme="majorBidi" w:cstheme="majorBidi"/>
          <w:szCs w:val="24"/>
        </w:rPr>
        <w:t xml:space="preserve"> </w:t>
      </w:r>
      <w:r w:rsidR="00F7450B" w:rsidRPr="007E130D">
        <w:rPr>
          <w:rFonts w:asciiTheme="majorBidi" w:hAnsiTheme="majorBidi" w:cstheme="majorBidi"/>
          <w:bCs/>
          <w:szCs w:val="24"/>
        </w:rPr>
        <w:t>du RR</w:t>
      </w:r>
      <w:r w:rsidRPr="007E130D">
        <w:rPr>
          <w:rFonts w:asciiTheme="majorBidi" w:hAnsiTheme="majorBidi" w:cstheme="majorBidi"/>
          <w:szCs w:val="24"/>
        </w:rPr>
        <w:t xml:space="preserve">, le Bureau doit réexaminer les conclusions concernant ces systèmes afin de vérifier leur conformité au numéro </w:t>
      </w:r>
      <w:r w:rsidRPr="007E130D">
        <w:rPr>
          <w:rFonts w:asciiTheme="majorBidi" w:hAnsiTheme="majorBidi" w:cstheme="majorBidi"/>
          <w:b/>
          <w:bCs/>
          <w:szCs w:val="24"/>
        </w:rPr>
        <w:t>22.5L</w:t>
      </w:r>
      <w:r w:rsidR="00F7450B" w:rsidRPr="007E130D">
        <w:rPr>
          <w:rFonts w:asciiTheme="majorBidi" w:hAnsiTheme="majorBidi" w:cstheme="majorBidi"/>
          <w:szCs w:val="24"/>
        </w:rPr>
        <w:t xml:space="preserve"> </w:t>
      </w:r>
      <w:r w:rsidR="00F7450B" w:rsidRPr="007E130D">
        <w:rPr>
          <w:rFonts w:asciiTheme="majorBidi" w:hAnsiTheme="majorBidi" w:cstheme="majorBidi"/>
          <w:bCs/>
          <w:szCs w:val="24"/>
        </w:rPr>
        <w:t>du RR</w:t>
      </w:r>
      <w:r w:rsidRPr="007E130D">
        <w:rPr>
          <w:rFonts w:asciiTheme="majorBidi" w:hAnsiTheme="majorBidi" w:cstheme="majorBidi"/>
          <w:szCs w:val="24"/>
        </w:rPr>
        <w:t xml:space="preserve">. Cela va également dans le sens du </w:t>
      </w:r>
      <w:r w:rsidRPr="007E130D">
        <w:rPr>
          <w:rFonts w:asciiTheme="majorBidi" w:hAnsiTheme="majorBidi" w:cstheme="majorBidi"/>
          <w:i/>
          <w:iCs/>
          <w:szCs w:val="24"/>
        </w:rPr>
        <w:t>charge le Directeur du Bureau des radiocommunications</w:t>
      </w:r>
      <w:r w:rsidRPr="007E130D">
        <w:rPr>
          <w:rFonts w:asciiTheme="majorBidi" w:hAnsiTheme="majorBidi" w:cstheme="majorBidi"/>
          <w:szCs w:val="24"/>
        </w:rPr>
        <w:t xml:space="preserve"> de la Résolution </w:t>
      </w:r>
      <w:r w:rsidRPr="007E130D">
        <w:rPr>
          <w:rFonts w:asciiTheme="majorBidi" w:hAnsiTheme="majorBidi" w:cstheme="majorBidi"/>
          <w:b/>
          <w:bCs/>
          <w:szCs w:val="24"/>
        </w:rPr>
        <w:t>770 (CMR-19)</w:t>
      </w:r>
      <w:r w:rsidRPr="007E130D">
        <w:rPr>
          <w:rFonts w:asciiTheme="majorBidi" w:hAnsiTheme="majorBidi" w:cstheme="majorBidi"/>
          <w:szCs w:val="24"/>
        </w:rPr>
        <w:t>:</w:t>
      </w:r>
    </w:p>
    <w:p w14:paraId="17F5D43D" w14:textId="41D4D7A8" w:rsidR="00741DC1" w:rsidRPr="007E130D" w:rsidRDefault="00741DC1" w:rsidP="0035723C">
      <w:pPr>
        <w:ind w:left="720"/>
        <w:rPr>
          <w:rFonts w:asciiTheme="majorBidi" w:hAnsiTheme="majorBidi" w:cstheme="majorBidi"/>
          <w:szCs w:val="24"/>
        </w:rPr>
      </w:pPr>
      <w:r w:rsidRPr="007E130D">
        <w:rPr>
          <w:rFonts w:asciiTheme="majorBidi" w:hAnsiTheme="majorBidi" w:cstheme="majorBidi"/>
          <w:szCs w:val="24"/>
        </w:rPr>
        <w:t>«</w:t>
      </w:r>
      <w:r w:rsidRPr="007E130D">
        <w:rPr>
          <w:rFonts w:asciiTheme="majorBidi" w:hAnsiTheme="majorBidi" w:cstheme="majorBidi"/>
          <w:i/>
          <w:iCs/>
          <w:szCs w:val="24"/>
        </w:rPr>
        <w:t xml:space="preserve">de revoir, une fois que le logiciel de validation décrit au point 3 du décide sera disponible, les conclusions formulées par le BR conformément aux numéros </w:t>
      </w:r>
      <w:r w:rsidRPr="007E130D">
        <w:rPr>
          <w:rFonts w:asciiTheme="majorBidi" w:hAnsiTheme="majorBidi" w:cstheme="majorBidi"/>
          <w:b/>
          <w:bCs/>
          <w:i/>
          <w:iCs/>
          <w:szCs w:val="24"/>
        </w:rPr>
        <w:t>9.35</w:t>
      </w:r>
      <w:r w:rsidRPr="007E130D">
        <w:rPr>
          <w:rFonts w:asciiTheme="majorBidi" w:hAnsiTheme="majorBidi" w:cstheme="majorBidi"/>
          <w:i/>
          <w:iCs/>
          <w:szCs w:val="24"/>
        </w:rPr>
        <w:t xml:space="preserve"> et </w:t>
      </w:r>
      <w:r w:rsidRPr="007E130D">
        <w:rPr>
          <w:rFonts w:asciiTheme="majorBidi" w:hAnsiTheme="majorBidi" w:cstheme="majorBidi"/>
          <w:b/>
          <w:bCs/>
          <w:i/>
          <w:iCs/>
          <w:szCs w:val="24"/>
        </w:rPr>
        <w:t>11.31</w:t>
      </w:r>
      <w:r w:rsidRPr="007E130D">
        <w:rPr>
          <w:rFonts w:asciiTheme="majorBidi" w:hAnsiTheme="majorBidi" w:cstheme="majorBidi"/>
          <w:szCs w:val="24"/>
        </w:rPr>
        <w:t>.»</w:t>
      </w:r>
    </w:p>
    <w:p w14:paraId="4CDBE441" w14:textId="1D620D1E" w:rsidR="00741DC1" w:rsidRPr="007E130D" w:rsidRDefault="00741DC1" w:rsidP="0035723C">
      <w:pPr>
        <w:rPr>
          <w:rFonts w:asciiTheme="majorBidi" w:hAnsiTheme="majorBidi" w:cstheme="majorBidi"/>
          <w:szCs w:val="24"/>
        </w:rPr>
      </w:pPr>
      <w:r w:rsidRPr="007E130D">
        <w:rPr>
          <w:rFonts w:asciiTheme="majorBidi" w:hAnsiTheme="majorBidi" w:cstheme="majorBidi"/>
          <w:szCs w:val="24"/>
        </w:rPr>
        <w:lastRenderedPageBreak/>
        <w:t xml:space="preserve">Étant donné que le point 1 du </w:t>
      </w:r>
      <w:r w:rsidRPr="007E130D">
        <w:rPr>
          <w:rFonts w:asciiTheme="majorBidi" w:hAnsiTheme="majorBidi" w:cstheme="majorBidi"/>
          <w:i/>
          <w:iCs/>
          <w:szCs w:val="24"/>
        </w:rPr>
        <w:t>décide</w:t>
      </w:r>
      <w:r w:rsidRPr="007E130D">
        <w:rPr>
          <w:rFonts w:asciiTheme="majorBidi" w:hAnsiTheme="majorBidi" w:cstheme="majorBidi"/>
          <w:szCs w:val="24"/>
        </w:rPr>
        <w:t xml:space="preserve"> de la Résolution </w:t>
      </w:r>
      <w:r w:rsidRPr="007E130D">
        <w:rPr>
          <w:rFonts w:asciiTheme="majorBidi" w:hAnsiTheme="majorBidi" w:cstheme="majorBidi"/>
          <w:b/>
          <w:bCs/>
          <w:szCs w:val="24"/>
        </w:rPr>
        <w:t>771 (CMR-19)</w:t>
      </w:r>
      <w:r w:rsidRPr="007E130D">
        <w:rPr>
          <w:rFonts w:asciiTheme="majorBidi" w:hAnsiTheme="majorBidi" w:cstheme="majorBidi"/>
          <w:szCs w:val="24"/>
        </w:rPr>
        <w:t xml:space="preserve"> stipule que «les assignations de fréquence aux réseaux ou aux systèmes non OSG pour lesquels les renseignements complets de notification ont été reçus par le Bureau des radiocommunications avant le 23 novembre 2019 doivent être mises en service avant le 23 novembre 2022 ou la fin du délai réglementaire prescrit au numéro</w:t>
      </w:r>
      <w:r w:rsidR="00487108" w:rsidRPr="007E130D">
        <w:rPr>
          <w:rFonts w:asciiTheme="majorBidi" w:hAnsiTheme="majorBidi" w:cstheme="majorBidi"/>
          <w:szCs w:val="24"/>
        </w:rPr>
        <w:t> </w:t>
      </w:r>
      <w:r w:rsidRPr="007E130D">
        <w:rPr>
          <w:rFonts w:asciiTheme="majorBidi" w:hAnsiTheme="majorBidi" w:cstheme="majorBidi"/>
          <w:b/>
          <w:bCs/>
          <w:szCs w:val="24"/>
        </w:rPr>
        <w:t>11.44</w:t>
      </w:r>
      <w:r w:rsidRPr="007E130D">
        <w:rPr>
          <w:rFonts w:asciiTheme="majorBidi" w:hAnsiTheme="majorBidi" w:cstheme="majorBidi"/>
          <w:szCs w:val="24"/>
        </w:rPr>
        <w:t xml:space="preserve">, la date la plus rapprochée étant retenue», le Bureau procédera au réexamen susmentionné conformément au numéro </w:t>
      </w:r>
      <w:r w:rsidRPr="007E130D">
        <w:rPr>
          <w:rFonts w:asciiTheme="majorBidi" w:hAnsiTheme="majorBidi" w:cstheme="majorBidi"/>
          <w:b/>
          <w:bCs/>
          <w:szCs w:val="24"/>
        </w:rPr>
        <w:t>11.50</w:t>
      </w:r>
      <w:r w:rsidRPr="007E130D">
        <w:rPr>
          <w:rFonts w:asciiTheme="majorBidi" w:hAnsiTheme="majorBidi" w:cstheme="majorBidi"/>
          <w:szCs w:val="24"/>
        </w:rPr>
        <w:t xml:space="preserve"> </w:t>
      </w:r>
      <w:r w:rsidR="00E72AEC" w:rsidRPr="007E130D">
        <w:rPr>
          <w:rFonts w:asciiTheme="majorBidi" w:hAnsiTheme="majorBidi" w:cstheme="majorBidi"/>
          <w:szCs w:val="24"/>
        </w:rPr>
        <w:t>du RR</w:t>
      </w:r>
      <w:r w:rsidR="00787255" w:rsidRPr="007E130D">
        <w:rPr>
          <w:rFonts w:asciiTheme="majorBidi" w:hAnsiTheme="majorBidi" w:cstheme="majorBidi"/>
          <w:szCs w:val="24"/>
        </w:rPr>
        <w:t xml:space="preserve"> </w:t>
      </w:r>
      <w:r w:rsidRPr="007E130D">
        <w:rPr>
          <w:rFonts w:asciiTheme="majorBidi" w:hAnsiTheme="majorBidi" w:cstheme="majorBidi"/>
          <w:szCs w:val="24"/>
        </w:rPr>
        <w:t>comme suit:</w:t>
      </w:r>
    </w:p>
    <w:p w14:paraId="2AD05F04" w14:textId="77777777" w:rsidR="00741DC1" w:rsidRPr="007E130D" w:rsidRDefault="00741DC1" w:rsidP="009D07AE">
      <w:pPr>
        <w:pStyle w:val="enumlev1"/>
      </w:pPr>
      <w:r w:rsidRPr="007E130D">
        <w:t>–</w:t>
      </w:r>
      <w:r w:rsidRPr="007E130D">
        <w:tab/>
        <w:t xml:space="preserve">Lorsqu'une administration notificatrice informe le Bureau de la mise en service d'assignations de fréquence de ce type, le Bureau demandera à l'administration notificatrice de soumettre les données de l'Appendice </w:t>
      </w:r>
      <w:r w:rsidRPr="007E130D">
        <w:rPr>
          <w:b/>
          <w:bCs/>
        </w:rPr>
        <w:t>4</w:t>
      </w:r>
      <w:r w:rsidRPr="007E130D">
        <w:t xml:space="preserve"> qui sont nécessaires pour l'examen relativement au numéro </w:t>
      </w:r>
      <w:r w:rsidRPr="007E130D">
        <w:rPr>
          <w:b/>
          <w:bCs/>
        </w:rPr>
        <w:t>22.5L</w:t>
      </w:r>
      <w:r w:rsidRPr="007E130D">
        <w:t xml:space="preserve"> </w:t>
      </w:r>
      <w:r w:rsidR="00E72AEC" w:rsidRPr="007E130D">
        <w:t xml:space="preserve">du RR </w:t>
      </w:r>
      <w:r w:rsidRPr="007E130D">
        <w:t>(comme il le fait pour les demandes de coordination soumises après la CMR-19).</w:t>
      </w:r>
    </w:p>
    <w:p w14:paraId="16D9E849" w14:textId="17D74F19" w:rsidR="00741DC1" w:rsidRPr="007E130D" w:rsidRDefault="00741DC1" w:rsidP="009D07AE">
      <w:pPr>
        <w:pStyle w:val="enumlev1"/>
      </w:pPr>
      <w:r w:rsidRPr="007E130D">
        <w:t>–</w:t>
      </w:r>
      <w:r w:rsidRPr="007E130D">
        <w:tab/>
        <w:t>Si l'administration notificatrice soumet ces renseignements, le Bureau formulera une conclusion favorable conditionnelle car le logiciel d'examen relativement au numéro</w:t>
      </w:r>
      <w:r w:rsidR="009D07AE" w:rsidRPr="007E130D">
        <w:t> </w:t>
      </w:r>
      <w:r w:rsidRPr="007E130D">
        <w:rPr>
          <w:b/>
          <w:bCs/>
        </w:rPr>
        <w:t>22.5L</w:t>
      </w:r>
      <w:r w:rsidRPr="007E130D">
        <w:t xml:space="preserve"> </w:t>
      </w:r>
      <w:r w:rsidR="00E72AEC" w:rsidRPr="007E130D">
        <w:t>du RR n</w:t>
      </w:r>
      <w:r w:rsidR="000C4CDD" w:rsidRPr="007E130D">
        <w:t>'</w:t>
      </w:r>
      <w:r w:rsidR="00E72AEC" w:rsidRPr="007E130D">
        <w:t>est pas encore disponible</w:t>
      </w:r>
      <w:r w:rsidRPr="007E130D">
        <w:t>.</w:t>
      </w:r>
    </w:p>
    <w:p w14:paraId="40B0E51A" w14:textId="77777777" w:rsidR="00741DC1" w:rsidRPr="007E130D" w:rsidRDefault="00741DC1" w:rsidP="009D07AE">
      <w:pPr>
        <w:pStyle w:val="enumlev1"/>
      </w:pPr>
      <w:r w:rsidRPr="007E130D">
        <w:t>–</w:t>
      </w:r>
      <w:r w:rsidRPr="007E130D">
        <w:tab/>
        <w:t>Si l'administration notificatrice ne soumet pas les renseignements demandés, le Bureau formulera une conclusion défavorable.</w:t>
      </w:r>
    </w:p>
    <w:p w14:paraId="5D51F334" w14:textId="77777777" w:rsidR="00741DC1" w:rsidRPr="007E130D" w:rsidRDefault="00741DC1" w:rsidP="00B20AC9">
      <w:pPr>
        <w:rPr>
          <w:rFonts w:asciiTheme="majorBidi" w:hAnsiTheme="majorBidi" w:cstheme="majorBidi"/>
          <w:szCs w:val="24"/>
        </w:rPr>
      </w:pPr>
      <w:r w:rsidRPr="007E130D">
        <w:rPr>
          <w:rFonts w:asciiTheme="majorBidi" w:hAnsiTheme="majorBidi" w:cstheme="majorBidi"/>
          <w:szCs w:val="24"/>
        </w:rPr>
        <w:t>Lorsque le logiciel d'examen sera disponible, un réexamen des conclusions favorables conditionnelles sera mené.</w:t>
      </w:r>
    </w:p>
    <w:p w14:paraId="2BEC0D26" w14:textId="22807AD8" w:rsidR="00741DC1" w:rsidRPr="007E130D" w:rsidRDefault="00E72AEC" w:rsidP="00B20AC9">
      <w:pPr>
        <w:rPr>
          <w:rFonts w:asciiTheme="majorBidi" w:hAnsiTheme="majorBidi" w:cstheme="majorBidi"/>
          <w:szCs w:val="24"/>
        </w:rPr>
      </w:pPr>
      <w:r w:rsidRPr="007E130D">
        <w:rPr>
          <w:rFonts w:asciiTheme="majorBidi" w:hAnsiTheme="majorBidi" w:cstheme="majorBidi"/>
          <w:bCs/>
          <w:szCs w:val="24"/>
        </w:rPr>
        <w:t xml:space="preserve">Le 23 novembre 2019, il y avait 27 systèmes à satellites ayant des assignations de fréquence assujetties au point 1 du </w:t>
      </w:r>
      <w:r w:rsidRPr="007E130D">
        <w:rPr>
          <w:rFonts w:asciiTheme="majorBidi" w:hAnsiTheme="majorBidi" w:cstheme="majorBidi"/>
          <w:bCs/>
          <w:i/>
          <w:szCs w:val="24"/>
        </w:rPr>
        <w:t>décide</w:t>
      </w:r>
      <w:r w:rsidRPr="007E130D">
        <w:rPr>
          <w:rFonts w:asciiTheme="majorBidi" w:hAnsiTheme="majorBidi" w:cstheme="majorBidi"/>
          <w:bCs/>
          <w:szCs w:val="24"/>
        </w:rPr>
        <w:t xml:space="preserve"> de la Résolution </w:t>
      </w:r>
      <w:r w:rsidRPr="007E130D">
        <w:rPr>
          <w:rFonts w:asciiTheme="majorBidi" w:hAnsiTheme="majorBidi" w:cstheme="majorBidi"/>
          <w:b/>
          <w:szCs w:val="24"/>
        </w:rPr>
        <w:t>771 (CMR-19)</w:t>
      </w:r>
      <w:r w:rsidR="009D07AE" w:rsidRPr="007E130D">
        <w:rPr>
          <w:rFonts w:asciiTheme="majorBidi" w:hAnsiTheme="majorBidi" w:cstheme="majorBidi"/>
          <w:bCs/>
          <w:szCs w:val="24"/>
        </w:rPr>
        <w:t>.</w:t>
      </w:r>
    </w:p>
    <w:p w14:paraId="19C13CEE" w14:textId="6E3F6EA3" w:rsidR="00741DC1" w:rsidRPr="007E130D" w:rsidRDefault="009D07AE" w:rsidP="00B20AC9">
      <w:pPr>
        <w:rPr>
          <w:rFonts w:asciiTheme="majorBidi" w:hAnsiTheme="majorBidi" w:cstheme="majorBidi"/>
          <w:szCs w:val="24"/>
        </w:rPr>
      </w:pPr>
      <w:r w:rsidRPr="007E130D">
        <w:rPr>
          <w:rFonts w:asciiTheme="majorBidi" w:hAnsiTheme="majorBidi" w:cstheme="majorBidi"/>
          <w:szCs w:val="24"/>
        </w:rPr>
        <w:t>À</w:t>
      </w:r>
      <w:r w:rsidR="00E72AEC" w:rsidRPr="007E130D">
        <w:rPr>
          <w:rFonts w:asciiTheme="majorBidi" w:hAnsiTheme="majorBidi" w:cstheme="majorBidi"/>
          <w:szCs w:val="24"/>
        </w:rPr>
        <w:t xml:space="preserve"> la mi-2023, le Bureau a reçu des renseignements d'administrations notificatrices indiquant que</w:t>
      </w:r>
      <w:r w:rsidRPr="007E130D">
        <w:rPr>
          <w:rFonts w:asciiTheme="majorBidi" w:hAnsiTheme="majorBidi" w:cstheme="majorBidi"/>
          <w:szCs w:val="24"/>
        </w:rPr>
        <w:t> </w:t>
      </w:r>
      <w:r w:rsidR="00E72AEC" w:rsidRPr="007E130D">
        <w:rPr>
          <w:rFonts w:asciiTheme="majorBidi" w:hAnsiTheme="majorBidi" w:cstheme="majorBidi"/>
          <w:szCs w:val="24"/>
        </w:rPr>
        <w:t>3</w:t>
      </w:r>
      <w:r w:rsidRPr="007E130D">
        <w:rPr>
          <w:rFonts w:asciiTheme="majorBidi" w:hAnsiTheme="majorBidi" w:cstheme="majorBidi"/>
          <w:szCs w:val="24"/>
        </w:rPr>
        <w:t> </w:t>
      </w:r>
      <w:r w:rsidR="00E72AEC" w:rsidRPr="007E130D">
        <w:rPr>
          <w:rFonts w:asciiTheme="majorBidi" w:hAnsiTheme="majorBidi" w:cstheme="majorBidi"/>
          <w:szCs w:val="24"/>
        </w:rPr>
        <w:t>systèmes à satellites ont été mis en service et il procède actuellement à la vérification de ces renseignements. L'administration notificatrice d'un autre système a demandé au RRB de prolonger la limite réglementaire de mise en service.</w:t>
      </w:r>
    </w:p>
    <w:p w14:paraId="254B2CF0" w14:textId="12845675" w:rsidR="00741DC1" w:rsidRPr="007E130D" w:rsidRDefault="00E72AEC" w:rsidP="00B20AC9">
      <w:pPr>
        <w:rPr>
          <w:rFonts w:asciiTheme="majorBidi" w:hAnsiTheme="majorBidi" w:cstheme="majorBidi"/>
          <w:b/>
          <w:bCs/>
          <w:szCs w:val="24"/>
        </w:rPr>
      </w:pPr>
      <w:r w:rsidRPr="007E130D">
        <w:rPr>
          <w:rFonts w:asciiTheme="majorBidi" w:hAnsiTheme="majorBidi" w:cstheme="majorBidi"/>
          <w:szCs w:val="24"/>
        </w:rPr>
        <w:t xml:space="preserve">Les autres systèmes à satellites seront supprimés par le Bureau conformément au point 2 du </w:t>
      </w:r>
      <w:r w:rsidRPr="007E130D">
        <w:rPr>
          <w:rFonts w:asciiTheme="majorBidi" w:hAnsiTheme="majorBidi" w:cstheme="majorBidi"/>
          <w:i/>
          <w:szCs w:val="24"/>
        </w:rPr>
        <w:t xml:space="preserve">décide </w:t>
      </w:r>
      <w:r w:rsidRPr="007E130D">
        <w:rPr>
          <w:rFonts w:asciiTheme="majorBidi" w:hAnsiTheme="majorBidi" w:cstheme="majorBidi"/>
          <w:szCs w:val="24"/>
        </w:rPr>
        <w:t xml:space="preserve">de la Résolution </w:t>
      </w:r>
      <w:r w:rsidRPr="007E130D">
        <w:rPr>
          <w:rFonts w:asciiTheme="majorBidi" w:hAnsiTheme="majorBidi" w:cstheme="majorBidi"/>
          <w:b/>
          <w:bCs/>
          <w:szCs w:val="24"/>
        </w:rPr>
        <w:t>771 (CMR-19)</w:t>
      </w:r>
      <w:r w:rsidRPr="007E130D">
        <w:rPr>
          <w:rFonts w:asciiTheme="majorBidi" w:hAnsiTheme="majorBidi" w:cstheme="majorBidi"/>
          <w:szCs w:val="24"/>
        </w:rPr>
        <w:t>.</w:t>
      </w:r>
    </w:p>
    <w:p w14:paraId="5007A8B0" w14:textId="77777777" w:rsidR="00A82EF2" w:rsidRPr="007E130D" w:rsidRDefault="00A82EF2" w:rsidP="00B20AC9">
      <w:pPr>
        <w:pStyle w:val="Heading2"/>
      </w:pPr>
      <w:bookmarkStart w:id="64" w:name="_Toc147328778"/>
      <w:bookmarkEnd w:id="56"/>
      <w:bookmarkEnd w:id="57"/>
      <w:r w:rsidRPr="007E130D">
        <w:t>2.3</w:t>
      </w:r>
      <w:r w:rsidRPr="007E130D">
        <w:tab/>
        <w:t>Traitement des fiches de notification: services planifiés</w:t>
      </w:r>
      <w:bookmarkEnd w:id="64"/>
    </w:p>
    <w:p w14:paraId="50DF35F0" w14:textId="77777777" w:rsidR="00A82EF2" w:rsidRPr="007E130D" w:rsidRDefault="00A82EF2" w:rsidP="00B20AC9">
      <w:pPr>
        <w:pStyle w:val="Heading3"/>
      </w:pPr>
      <w:bookmarkStart w:id="65" w:name="_Toc426463205"/>
      <w:bookmarkStart w:id="66" w:name="_Toc19880023"/>
      <w:bookmarkStart w:id="67" w:name="_Toc147328779"/>
      <w:r w:rsidRPr="007E130D">
        <w:t>2.3.1</w:t>
      </w:r>
      <w:r w:rsidRPr="007E130D">
        <w:tab/>
        <w:t>Appendices 30 et 30A</w:t>
      </w:r>
      <w:bookmarkEnd w:id="65"/>
      <w:bookmarkEnd w:id="66"/>
      <w:bookmarkEnd w:id="67"/>
    </w:p>
    <w:p w14:paraId="1E251567" w14:textId="0FC9B095" w:rsidR="0021237E" w:rsidRPr="007E130D" w:rsidRDefault="00A82EF2" w:rsidP="00B20AC9">
      <w:r w:rsidRPr="007E130D">
        <w:t xml:space="preserve">Les tâches dont le Bureau doit s'acquitter au titre de ces deux Appendices comprennent l'examen et la publication des notifications soumises au titre des Articles </w:t>
      </w:r>
      <w:r w:rsidRPr="007E130D">
        <w:rPr>
          <w:b/>
          <w:bCs/>
        </w:rPr>
        <w:t>2A</w:t>
      </w:r>
      <w:r w:rsidRPr="007E130D">
        <w:t xml:space="preserve">, </w:t>
      </w:r>
      <w:r w:rsidRPr="007E130D">
        <w:rPr>
          <w:b/>
          <w:bCs/>
        </w:rPr>
        <w:t>4</w:t>
      </w:r>
      <w:r w:rsidRPr="007E130D">
        <w:t xml:space="preserve"> et </w:t>
      </w:r>
      <w:r w:rsidRPr="007E130D">
        <w:rPr>
          <w:b/>
          <w:bCs/>
        </w:rPr>
        <w:t>5</w:t>
      </w:r>
      <w:r w:rsidRPr="007E130D">
        <w:t xml:space="preserve"> des Appendices </w:t>
      </w:r>
      <w:r w:rsidRPr="007E130D">
        <w:rPr>
          <w:b/>
          <w:bCs/>
        </w:rPr>
        <w:t>30</w:t>
      </w:r>
      <w:r w:rsidRPr="007E130D">
        <w:t xml:space="preserve"> et </w:t>
      </w:r>
      <w:r w:rsidRPr="007E130D">
        <w:rPr>
          <w:b/>
          <w:bCs/>
        </w:rPr>
        <w:t>30A</w:t>
      </w:r>
      <w:r w:rsidRPr="007E130D">
        <w:t xml:space="preserve"> (Plan du SRS et Plan pour les liaisons de connexion associées), compte dûment tenu des Résolutions </w:t>
      </w:r>
      <w:r w:rsidRPr="007E130D">
        <w:rPr>
          <w:b/>
          <w:bCs/>
        </w:rPr>
        <w:t>49 (Rév.CMR-</w:t>
      </w:r>
      <w:r w:rsidR="0021237E" w:rsidRPr="007E130D">
        <w:rPr>
          <w:b/>
          <w:bCs/>
        </w:rPr>
        <w:t>19</w:t>
      </w:r>
      <w:r w:rsidRPr="007E130D">
        <w:rPr>
          <w:b/>
          <w:bCs/>
        </w:rPr>
        <w:t>)</w:t>
      </w:r>
      <w:r w:rsidR="0021237E" w:rsidRPr="007E130D">
        <w:t>,</w:t>
      </w:r>
      <w:r w:rsidRPr="007E130D">
        <w:t xml:space="preserve"> </w:t>
      </w:r>
      <w:r w:rsidRPr="007E130D">
        <w:rPr>
          <w:b/>
          <w:bCs/>
        </w:rPr>
        <w:t>548 (CMR-12)</w:t>
      </w:r>
      <w:r w:rsidR="0021237E" w:rsidRPr="007E130D">
        <w:t xml:space="preserve">, </w:t>
      </w:r>
      <w:r w:rsidR="0021237E" w:rsidRPr="007E130D">
        <w:rPr>
          <w:b/>
          <w:bCs/>
        </w:rPr>
        <w:t>558 (CMR-19)</w:t>
      </w:r>
      <w:r w:rsidR="0021237E" w:rsidRPr="007E130D">
        <w:t xml:space="preserve"> et </w:t>
      </w:r>
      <w:r w:rsidR="0021237E" w:rsidRPr="007E130D">
        <w:rPr>
          <w:b/>
          <w:bCs/>
        </w:rPr>
        <w:t>559 (CMR-19)</w:t>
      </w:r>
      <w:r w:rsidRPr="007E130D">
        <w:t>.</w:t>
      </w:r>
    </w:p>
    <w:p w14:paraId="0FB2C266" w14:textId="77777777" w:rsidR="0021237E" w:rsidRPr="007E130D" w:rsidRDefault="00A82EF2" w:rsidP="00B20AC9">
      <w:r w:rsidRPr="007E130D">
        <w:t xml:space="preserve">Au titre de l'Article </w:t>
      </w:r>
      <w:r w:rsidRPr="007E130D">
        <w:rPr>
          <w:b/>
          <w:bCs/>
        </w:rPr>
        <w:t>4</w:t>
      </w:r>
      <w:r w:rsidRPr="007E130D">
        <w:t>, le Bureau traite les demandes de modification du Plan pour la Région 2, ainsi que les assignations proposées, nouvelles ou modifiées, figurant dans les Listes pour les Régions 1 et 3, qui ont été soumises par les administrations. Les caractéristiques ainsi que la liste des administrations dont les assignations de fréquence sont considérées comme affectées sont publiées dans la Partie A d'une Section spéciale de la BR IFIC.</w:t>
      </w:r>
    </w:p>
    <w:p w14:paraId="0A46F6D1" w14:textId="77777777" w:rsidR="008C3FC2" w:rsidRPr="007E130D" w:rsidRDefault="00A82EF2" w:rsidP="00B20AC9">
      <w:r w:rsidRPr="007E130D">
        <w:t xml:space="preserve">Les assignations, nouvelles ou modifiées, inscrites dans la Liste pour les Régions 1 et 3 ou le Plan pour la Région 2 à la suite de l'application réussie des dispositions de l'Article </w:t>
      </w:r>
      <w:r w:rsidRPr="007E130D">
        <w:rPr>
          <w:b/>
          <w:bCs/>
        </w:rPr>
        <w:t>4</w:t>
      </w:r>
      <w:r w:rsidRPr="007E130D">
        <w:t xml:space="preserve"> sont alors publiées dans la Partie B d'une Section spéciale. Le traitement décrit ci-dessus englobe l'accusé de réception des renseignements reçus, la validation, l'examen et la publication des Sections spéciales correspondantes, y compris l'application des dispositions de la Résolution </w:t>
      </w:r>
      <w:r w:rsidRPr="007E130D">
        <w:rPr>
          <w:b/>
          <w:bCs/>
        </w:rPr>
        <w:t>49</w:t>
      </w:r>
      <w:r w:rsidRPr="007E130D">
        <w:t>, la facturation conformément à la Décision 482</w:t>
      </w:r>
      <w:r w:rsidR="0021237E" w:rsidRPr="007E130D">
        <w:t xml:space="preserve"> du Conseil</w:t>
      </w:r>
      <w:r w:rsidRPr="007E130D">
        <w:t>, la correspondance avec les administrations et l'assistance fournie à celles</w:t>
      </w:r>
      <w:r w:rsidRPr="007E130D">
        <w:noBreakHyphen/>
        <w:t xml:space="preserve">ci, le traitement des observations (publication dans la Partie D d'une </w:t>
      </w:r>
      <w:r w:rsidR="008C3FC2" w:rsidRPr="007E130D">
        <w:br w:type="page"/>
      </w:r>
    </w:p>
    <w:p w14:paraId="57D87C73" w14:textId="0373BDDA" w:rsidR="0021237E" w:rsidRPr="007E130D" w:rsidRDefault="00A82EF2" w:rsidP="00B20AC9">
      <w:r w:rsidRPr="007E130D">
        <w:lastRenderedPageBreak/>
        <w:t>Section spéciale d'une liste des administrations auprès desquelles l'accord doit être obtenu) et l'actualisation des bases de données mises à la disposition des administrations sur le site web de l'UIT et dans la BR IFIC.</w:t>
      </w:r>
    </w:p>
    <w:p w14:paraId="272B26DD" w14:textId="77777777" w:rsidR="0021237E" w:rsidRPr="007E130D" w:rsidRDefault="00A82EF2" w:rsidP="00B20AC9">
      <w:r w:rsidRPr="007E130D">
        <w:t>Le traitement par le Bureau des notifications soumises au titre de l'Article </w:t>
      </w:r>
      <w:r w:rsidRPr="007E130D">
        <w:rPr>
          <w:b/>
          <w:bCs/>
        </w:rPr>
        <w:t>5</w:t>
      </w:r>
      <w:r w:rsidRPr="007E130D">
        <w:t xml:space="preserve"> de ces Appendices en vue de leur inscription dans le Fichier de référence international des fréquences comporte les opérations suivantes: accusé de réception des données, validation, publication des renseignements dans la Partie I-S de la BR IFIC, examen technique (formulation des conclusions) et publication dans la Partie II-S ou III-S de la BR IFIC, inscription dans le Fichier de référence international des fréquences et actualisation des bases de données mises à la disposition de toutes les administrations sur le site web de l'UIT et dans la BR IFIC.</w:t>
      </w:r>
    </w:p>
    <w:p w14:paraId="3D7EB305" w14:textId="5B71CB8A" w:rsidR="00A82EF2" w:rsidRPr="007E130D" w:rsidRDefault="00A82EF2" w:rsidP="00B20AC9">
      <w:r w:rsidRPr="007E130D">
        <w:t xml:space="preserve">Le Bureau traite également les demandes de coordination des assignations pour les fonctions d'exploitation spatiale dans les bandes de garde soumises au titre de l'Article </w:t>
      </w:r>
      <w:r w:rsidRPr="007E130D">
        <w:rPr>
          <w:b/>
          <w:bCs/>
        </w:rPr>
        <w:t>2A</w:t>
      </w:r>
      <w:r w:rsidRPr="007E130D">
        <w:t xml:space="preserve"> de ces Appendices, à savoir: saisie des données, validation, examen et publication d'une Section spéciale dans la</w:t>
      </w:r>
      <w:r w:rsidR="009D07AE" w:rsidRPr="007E130D">
        <w:t> </w:t>
      </w:r>
      <w:r w:rsidRPr="007E130D">
        <w:t>BR</w:t>
      </w:r>
      <w:r w:rsidR="0021237E" w:rsidRPr="007E130D">
        <w:t> </w:t>
      </w:r>
      <w:r w:rsidRPr="007E130D">
        <w:t>IFIC.</w:t>
      </w:r>
    </w:p>
    <w:p w14:paraId="40A68C46" w14:textId="67FD8594" w:rsidR="00A82EF2" w:rsidRPr="007E130D" w:rsidRDefault="00A82EF2" w:rsidP="00B20AC9">
      <w:pPr>
        <w:pStyle w:val="Heading4"/>
      </w:pPr>
      <w:r w:rsidRPr="007E130D">
        <w:t>2.3.1.</w:t>
      </w:r>
      <w:r w:rsidR="0021237E" w:rsidRPr="007E130D">
        <w:t>1</w:t>
      </w:r>
      <w:r w:rsidRPr="007E130D">
        <w:tab/>
        <w:t>Temps de traitement des demandes au titre des Appendices 30 et 30A</w:t>
      </w:r>
      <w:r w:rsidR="009D07AE" w:rsidRPr="007E130D">
        <w:br/>
        <w:t>(</w:t>
      </w:r>
      <w:r w:rsidRPr="007E130D">
        <w:t>Article 4, Partie A)</w:t>
      </w:r>
    </w:p>
    <w:p w14:paraId="506041E1" w14:textId="77777777" w:rsidR="00A82EF2" w:rsidRPr="007E130D" w:rsidRDefault="00B473A2" w:rsidP="008C3FC2">
      <w:pPr>
        <w:pStyle w:val="Figure"/>
      </w:pPr>
      <w:r w:rsidRPr="007E130D">
        <w:t xml:space="preserve"> </w:t>
      </w:r>
      <w:r w:rsidRPr="007E130D">
        <w:drawing>
          <wp:inline distT="0" distB="0" distL="0" distR="0" wp14:anchorId="4602A1DA" wp14:editId="6E080DDF">
            <wp:extent cx="6120765" cy="31584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3158490"/>
                    </a:xfrm>
                    <a:prstGeom prst="rect">
                      <a:avLst/>
                    </a:prstGeom>
                    <a:noFill/>
                    <a:ln>
                      <a:noFill/>
                    </a:ln>
                  </pic:spPr>
                </pic:pic>
              </a:graphicData>
            </a:graphic>
          </wp:inline>
        </w:drawing>
      </w:r>
    </w:p>
    <w:p w14:paraId="17CC3686" w14:textId="37C82C51" w:rsidR="00A82EF2" w:rsidRPr="007E130D" w:rsidRDefault="00A82EF2" w:rsidP="00B20AC9">
      <w:pPr>
        <w:tabs>
          <w:tab w:val="center" w:pos="851"/>
        </w:tabs>
        <w:spacing w:before="144"/>
      </w:pPr>
      <w:r w:rsidRPr="007E130D">
        <w:t xml:space="preserve">La figure ci-dessus présente les statistiques relatives au temps de traitement des demandes d'application de l'Article </w:t>
      </w:r>
      <w:r w:rsidRPr="007E130D">
        <w:rPr>
          <w:b/>
          <w:bCs/>
        </w:rPr>
        <w:t>4</w:t>
      </w:r>
      <w:r w:rsidRPr="007E130D">
        <w:t xml:space="preserve"> des Appendices </w:t>
      </w:r>
      <w:r w:rsidRPr="007E130D">
        <w:rPr>
          <w:b/>
          <w:bCs/>
        </w:rPr>
        <w:t>30/30A</w:t>
      </w:r>
      <w:r w:rsidRPr="007E130D">
        <w:t xml:space="preserve"> au cours de la période 2019</w:t>
      </w:r>
      <w:r w:rsidR="00C12E35" w:rsidRPr="007E130D">
        <w:t>-2023</w:t>
      </w:r>
      <w:r w:rsidRPr="007E130D">
        <w:t>. Ces statistiques sont régulièrement mises à jour et la dernière version est accessible à l'adresse:</w:t>
      </w:r>
      <w:r w:rsidR="004A4237" w:rsidRPr="007E130D">
        <w:t xml:space="preserve"> </w:t>
      </w:r>
      <w:hyperlink r:id="rId34" w:history="1">
        <w:r w:rsidR="008C3FC2" w:rsidRPr="007E130D">
          <w:rPr>
            <w:rStyle w:val="Hyperlink"/>
          </w:rPr>
          <w:t>https://www.itu.int/fr/ITU-R/space/Pages/Statistics.aspx</w:t>
        </w:r>
      </w:hyperlink>
      <w:r w:rsidRPr="007E130D">
        <w:t>.</w:t>
      </w:r>
    </w:p>
    <w:p w14:paraId="105467BB" w14:textId="71B70F97" w:rsidR="00A82EF2" w:rsidRPr="007E130D" w:rsidRDefault="00A82EF2" w:rsidP="00B20AC9">
      <w:pPr>
        <w:pStyle w:val="Heading4"/>
        <w:rPr>
          <w:i/>
          <w:iCs/>
        </w:rPr>
      </w:pPr>
      <w:r w:rsidRPr="007E130D">
        <w:t>2.3.1.</w:t>
      </w:r>
      <w:r w:rsidR="00F60257" w:rsidRPr="007E130D">
        <w:t>2</w:t>
      </w:r>
      <w:r w:rsidRPr="007E130D">
        <w:tab/>
      </w:r>
      <w:r w:rsidR="00740316" w:rsidRPr="007E130D">
        <w:t xml:space="preserve">Mise en œuvre de la </w:t>
      </w:r>
      <w:r w:rsidRPr="007E130D">
        <w:t xml:space="preserve">Résolution </w:t>
      </w:r>
      <w:r w:rsidR="00F60257" w:rsidRPr="007E130D">
        <w:t>559</w:t>
      </w:r>
      <w:r w:rsidRPr="007E130D">
        <w:t xml:space="preserve"> (CMR-</w:t>
      </w:r>
      <w:r w:rsidR="00F60257" w:rsidRPr="007E130D">
        <w:t>19</w:t>
      </w:r>
      <w:r w:rsidRPr="007E130D">
        <w:t>)</w:t>
      </w:r>
    </w:p>
    <w:p w14:paraId="111C3B7E" w14:textId="77777777" w:rsidR="00A82EF2" w:rsidRPr="007E130D" w:rsidRDefault="00F60257" w:rsidP="00B20AC9">
      <w:r w:rsidRPr="007E130D">
        <w:t xml:space="preserve">La CMR-19 a adopté la Résolution </w:t>
      </w:r>
      <w:r w:rsidRPr="007E130D">
        <w:rPr>
          <w:b/>
        </w:rPr>
        <w:t>559</w:t>
      </w:r>
      <w:r w:rsidRPr="007E130D">
        <w:t xml:space="preserve"> pour offrir aux Administrations des Régions 1 et 3 qui peuvent bénéficier de la procédure spéciale décrite dans cette Résolution la possibilité de soumettre de nouvelles assignations de fréquence en lieu et place de leurs assignations nationales figurant dans les Plans des Appendices </w:t>
      </w:r>
      <w:r w:rsidRPr="007E130D">
        <w:rPr>
          <w:b/>
        </w:rPr>
        <w:t>30</w:t>
      </w:r>
      <w:r w:rsidRPr="007E130D">
        <w:t xml:space="preserve"> et </w:t>
      </w:r>
      <w:r w:rsidRPr="007E130D">
        <w:rPr>
          <w:b/>
        </w:rPr>
        <w:t>30A</w:t>
      </w:r>
      <w:r w:rsidRPr="007E130D">
        <w:t xml:space="preserve">, en tirant parti de la suppression de certaines restrictions figurant dans l'Annexe 7 de l'Appendice </w:t>
      </w:r>
      <w:r w:rsidRPr="007E130D">
        <w:rPr>
          <w:b/>
        </w:rPr>
        <w:t>30 (CMR-15)</w:t>
      </w:r>
      <w:r w:rsidRPr="007E130D">
        <w:t>.</w:t>
      </w:r>
    </w:p>
    <w:p w14:paraId="0322F9FD" w14:textId="610EBCF3" w:rsidR="00F60257" w:rsidRPr="007E130D" w:rsidRDefault="00CC4381" w:rsidP="00B20AC9">
      <w:r w:rsidRPr="007E130D">
        <w:lastRenderedPageBreak/>
        <w:t xml:space="preserve">Conformément </w:t>
      </w:r>
      <w:r w:rsidR="0038575D" w:rsidRPr="007E130D">
        <w:t xml:space="preserve">au point </w:t>
      </w:r>
      <w:r w:rsidRPr="007E130D">
        <w:t xml:space="preserve">1 du </w:t>
      </w:r>
      <w:r w:rsidR="0038575D" w:rsidRPr="007E130D">
        <w:rPr>
          <w:i/>
        </w:rPr>
        <w:t>charge</w:t>
      </w:r>
      <w:r w:rsidR="0038575D" w:rsidRPr="007E130D">
        <w:rPr>
          <w:i/>
          <w:iCs/>
        </w:rPr>
        <w:t xml:space="preserve"> le </w:t>
      </w:r>
      <w:r w:rsidRPr="007E130D">
        <w:rPr>
          <w:i/>
          <w:iCs/>
        </w:rPr>
        <w:t>Directeur du Bureau des radiocommunications</w:t>
      </w:r>
      <w:r w:rsidRPr="007E130D">
        <w:t xml:space="preserve"> de la Résolution </w:t>
      </w:r>
      <w:r w:rsidRPr="007E130D">
        <w:rPr>
          <w:b/>
          <w:bCs/>
        </w:rPr>
        <w:t>559 (CMR-19)</w:t>
      </w:r>
      <w:r w:rsidRPr="007E130D">
        <w:t xml:space="preserve"> et aux </w:t>
      </w:r>
      <w:r w:rsidR="009D07AE" w:rsidRPr="007E130D">
        <w:t>«</w:t>
      </w:r>
      <w:r w:rsidRPr="007E130D">
        <w:t>Instructions</w:t>
      </w:r>
      <w:r w:rsidR="0038575D" w:rsidRPr="007E130D">
        <w:t xml:space="preserve"> données</w:t>
      </w:r>
      <w:r w:rsidRPr="007E130D">
        <w:t xml:space="preserve"> au Bureau des radiocommunications </w:t>
      </w:r>
      <w:r w:rsidR="0038575D" w:rsidRPr="007E130D">
        <w:t>concernant</w:t>
      </w:r>
      <w:r w:rsidRPr="007E130D">
        <w:t xml:space="preserve"> l'application de l'Annexe 7 révisée de l'Appendice </w:t>
      </w:r>
      <w:r w:rsidRPr="007E130D">
        <w:rPr>
          <w:b/>
          <w:bCs/>
        </w:rPr>
        <w:t>30</w:t>
      </w:r>
      <w:r w:rsidRPr="007E130D">
        <w:t xml:space="preserve"> du RR et des Résolutions associées</w:t>
      </w:r>
      <w:r w:rsidR="009D07AE" w:rsidRPr="007E130D">
        <w:t>»</w:t>
      </w:r>
      <w:r w:rsidRPr="007E130D">
        <w:t xml:space="preserve">, le Bureau a </w:t>
      </w:r>
      <w:r w:rsidR="0038575D" w:rsidRPr="007E130D">
        <w:t>déterminé que 55 a</w:t>
      </w:r>
      <w:r w:rsidRPr="007E130D">
        <w:t xml:space="preserve">dministrations </w:t>
      </w:r>
      <w:r w:rsidR="0038575D" w:rsidRPr="007E130D">
        <w:t>remplissaient les conditions requises</w:t>
      </w:r>
      <w:r w:rsidRPr="007E130D">
        <w:t xml:space="preserve"> </w:t>
      </w:r>
      <w:r w:rsidR="0038575D" w:rsidRPr="007E130D">
        <w:t xml:space="preserve">à partir </w:t>
      </w:r>
      <w:r w:rsidRPr="007E130D">
        <w:t xml:space="preserve">de la base de données </w:t>
      </w:r>
      <w:r w:rsidR="0038575D" w:rsidRPr="007E130D">
        <w:t>de référence</w:t>
      </w:r>
      <w:r w:rsidRPr="007E130D">
        <w:t xml:space="preserve"> des Appendices </w:t>
      </w:r>
      <w:r w:rsidRPr="007E130D">
        <w:rPr>
          <w:b/>
          <w:bCs/>
        </w:rPr>
        <w:t>30</w:t>
      </w:r>
      <w:r w:rsidRPr="007E130D">
        <w:t xml:space="preserve"> et </w:t>
      </w:r>
      <w:r w:rsidRPr="007E130D">
        <w:rPr>
          <w:b/>
          <w:bCs/>
        </w:rPr>
        <w:t>30A</w:t>
      </w:r>
      <w:r w:rsidRPr="007E130D">
        <w:t xml:space="preserve"> (SPS_A</w:t>
      </w:r>
      <w:r w:rsidR="0038575D" w:rsidRPr="007E130D">
        <w:t>LL_IFIC2909.mdb) publiée dans la</w:t>
      </w:r>
      <w:r w:rsidRPr="007E130D">
        <w:t xml:space="preserve"> BR IFIC (</w:t>
      </w:r>
      <w:r w:rsidR="004B71D4">
        <w:t>S</w:t>
      </w:r>
      <w:r w:rsidRPr="007E130D">
        <w:t xml:space="preserve">ervices spatiaux) 2909 du 26 novembre 2019. </w:t>
      </w:r>
      <w:r w:rsidR="00F60257" w:rsidRPr="007E130D">
        <w:t>Par la Lettre circulaire</w:t>
      </w:r>
      <w:r w:rsidR="009D07AE" w:rsidRPr="007E130D">
        <w:t> </w:t>
      </w:r>
      <w:r w:rsidR="00F60257" w:rsidRPr="007E130D">
        <w:t xml:space="preserve">CR/455 en date du 21 février 2020, le Bureau a informé toutes ces administrations qu'elles remplissaient les conditions requises et leur a fourni des orientations concernant l'application de </w:t>
      </w:r>
      <w:r w:rsidR="00B14F4B" w:rsidRPr="007E130D">
        <w:t>la</w:t>
      </w:r>
      <w:r w:rsidR="00F60257" w:rsidRPr="007E130D">
        <w:t xml:space="preserve"> Résolution</w:t>
      </w:r>
      <w:r w:rsidR="00B14F4B" w:rsidRPr="007E130D">
        <w:t xml:space="preserve"> </w:t>
      </w:r>
      <w:r w:rsidR="00B14F4B" w:rsidRPr="007E130D">
        <w:rPr>
          <w:b/>
          <w:bCs/>
        </w:rPr>
        <w:t>559</w:t>
      </w:r>
      <w:r w:rsidR="00F60257" w:rsidRPr="007E130D">
        <w:t xml:space="preserve">. De plus, une page web spéciale a été créée sur le site web du Bureau, afin de mettre à disposition les exposés pertinents d'ateliers précédents (ces exposés portaient plus particulièrement sur l'application étape par étape de la Résolution </w:t>
      </w:r>
      <w:r w:rsidR="00F60257" w:rsidRPr="007E130D">
        <w:rPr>
          <w:b/>
          <w:bCs/>
        </w:rPr>
        <w:t>559</w:t>
      </w:r>
      <w:r w:rsidR="00F60257" w:rsidRPr="007E130D">
        <w:t xml:space="preserve">, sur la manière d'utiliser le logiciel du BR et sur la marche à suivre pour créer une soumission) ainsi que la liste des soumissions reçues conformément à la Résolution </w:t>
      </w:r>
      <w:r w:rsidR="00F60257" w:rsidRPr="007E130D">
        <w:rPr>
          <w:b/>
          <w:bCs/>
        </w:rPr>
        <w:t>559</w:t>
      </w:r>
      <w:r w:rsidR="00F60257" w:rsidRPr="007E130D">
        <w:t>.</w:t>
      </w:r>
    </w:p>
    <w:p w14:paraId="6FDD0EA3" w14:textId="74FF9392" w:rsidR="00F60257" w:rsidRPr="007E130D" w:rsidRDefault="007951E5" w:rsidP="00B20AC9">
      <w:r w:rsidRPr="007E130D">
        <w:t xml:space="preserve">Conformément au point 2 du </w:t>
      </w:r>
      <w:r w:rsidRPr="007E130D">
        <w:rPr>
          <w:i/>
        </w:rPr>
        <w:t>charge le Directeur du Bureau des radiocommunications</w:t>
      </w:r>
      <w:r w:rsidRPr="007E130D">
        <w:t xml:space="preserve"> de la Résolution </w:t>
      </w:r>
      <w:r w:rsidRPr="007E130D">
        <w:rPr>
          <w:b/>
          <w:bCs/>
        </w:rPr>
        <w:t>559 (CMR-19)</w:t>
      </w:r>
      <w:r w:rsidRPr="007E130D">
        <w:t>, la Communauté de développement de l'Afrique australe (SADC) et l'Union africaine des télécommunications (UAT) ont invité le Bureau à participer à leurs ateliers spéciaux du 13 au 17 janvier 2020 à Luanda (Angola) et du 17 au 21 février 2020 à Nairobi (Kenya), respectivement. Le personnel du BR a participé activement à ces de</w:t>
      </w:r>
      <w:r w:rsidR="009870E9" w:rsidRPr="007E130D">
        <w:t>ux ateliers et a aidé</w:t>
      </w:r>
      <w:r w:rsidR="009D07AE" w:rsidRPr="007E130D">
        <w:t> </w:t>
      </w:r>
      <w:r w:rsidR="009870E9" w:rsidRPr="007E130D">
        <w:t>31</w:t>
      </w:r>
      <w:r w:rsidR="009D07AE" w:rsidRPr="007E130D">
        <w:t> </w:t>
      </w:r>
      <w:r w:rsidR="009870E9" w:rsidRPr="007E130D">
        <w:t>États m</w:t>
      </w:r>
      <w:r w:rsidRPr="007E130D">
        <w:t>embres de l'UAT à recenser de nouvelles positions orbitales/canaux de fréquence appropriés et à préparer leurs demandes conformément aux exigences de la procédure spéciale.</w:t>
      </w:r>
    </w:p>
    <w:p w14:paraId="0E87781C" w14:textId="5D752FF2" w:rsidR="00F60257" w:rsidRPr="007E130D" w:rsidRDefault="009870E9" w:rsidP="00B20AC9">
      <w:r w:rsidRPr="007E130D">
        <w:t>Après avoir fourni une assistance aux deux ateliers spéciaux susmentionnés, le Bureau a rendu compte à la 83</w:t>
      </w:r>
      <w:r w:rsidR="009D07AE" w:rsidRPr="007E130D">
        <w:t>ème</w:t>
      </w:r>
      <w:r w:rsidRPr="007E130D">
        <w:t xml:space="preserve"> réunion du Comité du Règlement des radiocommunications (RRB) (25</w:t>
      </w:r>
      <w:r w:rsidR="009D07AE" w:rsidRPr="007E130D">
        <w:t> </w:t>
      </w:r>
      <w:r w:rsidRPr="007E130D">
        <w:t>mars</w:t>
      </w:r>
      <w:r w:rsidR="009D07AE" w:rsidRPr="007E130D">
        <w:t> </w:t>
      </w:r>
      <w:r w:rsidRPr="007E130D">
        <w:t xml:space="preserve">2020) de l'état d'avancement de la mise en œuvre de la Résolution </w:t>
      </w:r>
      <w:r w:rsidRPr="007E130D">
        <w:rPr>
          <w:b/>
          <w:bCs/>
        </w:rPr>
        <w:t>559 (CMR-19)</w:t>
      </w:r>
      <w:r w:rsidRPr="007E130D">
        <w:t xml:space="preserve">, en appelant l'attention des membres du Comité sur la possibilité pour les administrations </w:t>
      </w:r>
      <w:r w:rsidR="00BE027E" w:rsidRPr="007E130D">
        <w:t>remplissant les conditions requises</w:t>
      </w:r>
      <w:r w:rsidRPr="007E130D">
        <w:t xml:space="preserve"> de retirer et de soumettre à nouveau une fiche de notification, à condition que la nouvelle soumission ait été reçue avant le 21 mai 2020 et sur l'incidence éventuelle des soumissions au titre du § 4.1.3 des Appendices </w:t>
      </w:r>
      <w:r w:rsidRPr="007E130D">
        <w:rPr>
          <w:b/>
          <w:bCs/>
        </w:rPr>
        <w:t>30</w:t>
      </w:r>
      <w:r w:rsidRPr="007E130D">
        <w:t xml:space="preserve"> et </w:t>
      </w:r>
      <w:r w:rsidRPr="007E130D">
        <w:rPr>
          <w:b/>
          <w:bCs/>
        </w:rPr>
        <w:t>30A</w:t>
      </w:r>
      <w:r w:rsidRPr="007E130D">
        <w:t xml:space="preserve"> reçues avant le 23 novembre 2019 (c'est</w:t>
      </w:r>
      <w:r w:rsidR="009D07AE" w:rsidRPr="007E130D">
        <w:noBreakHyphen/>
      </w:r>
      <w:r w:rsidRPr="007E130D">
        <w:t>à-dire la date d'entrée en vigueur de la présente Résolution) et des soumissions correspondantes au titre du</w:t>
      </w:r>
      <w:r w:rsidR="009D07AE" w:rsidRPr="007E130D">
        <w:t> </w:t>
      </w:r>
      <w:r w:rsidRPr="007E130D">
        <w:t>§</w:t>
      </w:r>
      <w:r w:rsidR="009D07AE" w:rsidRPr="007E130D">
        <w:t> </w:t>
      </w:r>
      <w:r w:rsidRPr="007E130D">
        <w:t>4.1.12 non reçues avant la fin de la CMR-19.</w:t>
      </w:r>
    </w:p>
    <w:p w14:paraId="7E177C25" w14:textId="135F58CF" w:rsidR="00F60257" w:rsidRPr="007E130D" w:rsidRDefault="00F60257" w:rsidP="00B20AC9">
      <w:r w:rsidRPr="007E130D">
        <w:t xml:space="preserve">Un mois avant l'expiration du délai applicable </w:t>
      </w:r>
      <w:r w:rsidR="009870E9" w:rsidRPr="007E130D">
        <w:t xml:space="preserve">(21 mai 2020) </w:t>
      </w:r>
      <w:r w:rsidRPr="007E130D">
        <w:t xml:space="preserve">aux soumissions au titre de la Résolution </w:t>
      </w:r>
      <w:r w:rsidRPr="007E130D">
        <w:rPr>
          <w:b/>
          <w:bCs/>
        </w:rPr>
        <w:t>559 (CMR</w:t>
      </w:r>
      <w:r w:rsidRPr="007E130D">
        <w:rPr>
          <w:b/>
          <w:bCs/>
        </w:rPr>
        <w:noBreakHyphen/>
        <w:t>19)</w:t>
      </w:r>
      <w:r w:rsidRPr="007E130D">
        <w:t xml:space="preserve">, le Bureau a envoyé un rappel à 28 administrations qui n'avaient pas encore soumis leurs demandes. </w:t>
      </w:r>
      <w:r w:rsidR="009870E9" w:rsidRPr="007E130D">
        <w:t>Outre les 31 États membres de l'UAT pour lesquels le Bureau a suggéré des positions orbitales/canaux de fréquence lors de l'atelier spécial pour l'UAT susmentionné, 15 autres administrations ont officiellement demandé l'assistance du Bureau pour trouver des créneaux orbitaux/canaux de fréquence appropriés et pour préparer leurs demandes.</w:t>
      </w:r>
    </w:p>
    <w:p w14:paraId="66029D90" w14:textId="0B22E638" w:rsidR="00F60257" w:rsidRPr="007E130D" w:rsidRDefault="009870E9" w:rsidP="00B20AC9">
      <w:r w:rsidRPr="007E130D">
        <w:t>Le 21 mai 2020, 42 administrations sur les 55 administrations remplissant les conditions requises avaient finalement soumis au Bureau leurs demandes ainsi que les fiches de notification des liaisons descendantes et des liaisons de connex</w:t>
      </w:r>
      <w:r w:rsidR="00BE027E" w:rsidRPr="007E130D">
        <w:t>ion. Parmi ces demandes, trois a</w:t>
      </w:r>
      <w:r w:rsidRPr="007E130D">
        <w:t xml:space="preserve">dministrations, à savoir Madagascar, les Seychelles et Maurice, présentaient un cas particulier: elles souhaitaient appliquer la Résolution </w:t>
      </w:r>
      <w:r w:rsidRPr="007E130D">
        <w:rPr>
          <w:b/>
          <w:bCs/>
        </w:rPr>
        <w:t>559 (CMR-19)</w:t>
      </w:r>
      <w:r w:rsidRPr="007E130D">
        <w:t xml:space="preserve">, mais les calculs techniques montrent qu'il n'y a pas de solution appropriée pour elles dans les parties de l'orbite des satellites géostationnaires (OSG) </w:t>
      </w:r>
      <w:r w:rsidR="00BE027E" w:rsidRPr="007E130D">
        <w:t>assujetties</w:t>
      </w:r>
      <w:r w:rsidRPr="007E130D">
        <w:t xml:space="preserve"> à la Résolution </w:t>
      </w:r>
      <w:r w:rsidRPr="007E130D">
        <w:rPr>
          <w:b/>
          <w:bCs/>
        </w:rPr>
        <w:t>559</w:t>
      </w:r>
      <w:r w:rsidRPr="007E130D">
        <w:t xml:space="preserve">. </w:t>
      </w:r>
      <w:r w:rsidR="00F60257" w:rsidRPr="007E130D">
        <w:t>Lorsqu'il a pris acte des soumissions de ces administrations, le Bureau les a informées qu'il ne pouvait considérer leurs soumissions comme étant conformes à la Résolution</w:t>
      </w:r>
      <w:r w:rsidR="001F27A4" w:rsidRPr="007E130D">
        <w:t> </w:t>
      </w:r>
      <w:r w:rsidR="00F60257" w:rsidRPr="007E130D">
        <w:rPr>
          <w:b/>
          <w:bCs/>
        </w:rPr>
        <w:t>559</w:t>
      </w:r>
      <w:r w:rsidR="00F60257" w:rsidRPr="007E130D">
        <w:t xml:space="preserve">, étant donné que les positions orbitales ne se trouvent pas à l'intérieur des arcs orbitaux pour lesquels les limites indiquées dans l'Annexe 7 de l'Appendice </w:t>
      </w:r>
      <w:r w:rsidR="00F60257" w:rsidRPr="007E130D">
        <w:rPr>
          <w:b/>
          <w:bCs/>
        </w:rPr>
        <w:t>30 (Rév.CMR</w:t>
      </w:r>
      <w:r w:rsidR="009D07AE" w:rsidRPr="007E130D">
        <w:rPr>
          <w:b/>
          <w:bCs/>
        </w:rPr>
        <w:noBreakHyphen/>
      </w:r>
      <w:r w:rsidR="00F60257" w:rsidRPr="007E130D">
        <w:rPr>
          <w:b/>
          <w:bCs/>
        </w:rPr>
        <w:t>15)</w:t>
      </w:r>
      <w:r w:rsidR="00F60257" w:rsidRPr="007E130D">
        <w:t xml:space="preserve"> ont été supprimées par la CMR-19. En revanche, le Bureau </w:t>
      </w:r>
      <w:r w:rsidR="00BE027E" w:rsidRPr="007E130D">
        <w:t xml:space="preserve">a </w:t>
      </w:r>
      <w:r w:rsidR="00F60257" w:rsidRPr="007E130D">
        <w:t>consid</w:t>
      </w:r>
      <w:r w:rsidR="00BE027E" w:rsidRPr="007E130D">
        <w:t>é</w:t>
      </w:r>
      <w:r w:rsidR="00F60257" w:rsidRPr="007E130D">
        <w:t>r</w:t>
      </w:r>
      <w:r w:rsidR="00BE027E" w:rsidRPr="007E130D">
        <w:t>é</w:t>
      </w:r>
      <w:r w:rsidR="00F60257" w:rsidRPr="007E130D">
        <w:t xml:space="preserve"> ces soumissions comme des demandes normales d'application de la procédure prévue dans l'Article </w:t>
      </w:r>
      <w:r w:rsidR="00F60257" w:rsidRPr="007E130D">
        <w:rPr>
          <w:b/>
          <w:bCs/>
        </w:rPr>
        <w:t>4</w:t>
      </w:r>
      <w:r w:rsidR="00F60257" w:rsidRPr="007E130D">
        <w:t xml:space="preserve"> des Appendices </w:t>
      </w:r>
      <w:r w:rsidR="00F60257" w:rsidRPr="007E130D">
        <w:rPr>
          <w:b/>
          <w:bCs/>
        </w:rPr>
        <w:t>30</w:t>
      </w:r>
      <w:r w:rsidR="00F60257" w:rsidRPr="007E130D">
        <w:t xml:space="preserve"> et </w:t>
      </w:r>
      <w:r w:rsidR="00F60257" w:rsidRPr="007E130D">
        <w:rPr>
          <w:b/>
          <w:bCs/>
        </w:rPr>
        <w:t>30A</w:t>
      </w:r>
      <w:r w:rsidR="00F60257" w:rsidRPr="007E130D">
        <w:t>, en vue de remplacer leurs assignations actuelles figurant dans le Plan du</w:t>
      </w:r>
      <w:r w:rsidR="00CF5E48" w:rsidRPr="007E130D">
        <w:t> </w:t>
      </w:r>
      <w:r w:rsidR="00F60257" w:rsidRPr="007E130D">
        <w:t>SRS qui ont subi une dégradation.</w:t>
      </w:r>
    </w:p>
    <w:p w14:paraId="0D637C8D" w14:textId="647D63B9" w:rsidR="00F60257" w:rsidRPr="007E130D" w:rsidRDefault="009D07AE" w:rsidP="00B20AC9">
      <w:r w:rsidRPr="007E130D">
        <w:lastRenderedPageBreak/>
        <w:t>À</w:t>
      </w:r>
      <w:r w:rsidR="00F93FCE" w:rsidRPr="007E130D">
        <w:t xml:space="preserve"> la 84ème réunion </w:t>
      </w:r>
      <w:r w:rsidR="00F60257" w:rsidRPr="007E130D">
        <w:t xml:space="preserve">du Comité </w:t>
      </w:r>
      <w:r w:rsidR="00F93FCE" w:rsidRPr="007E130D">
        <w:t xml:space="preserve">(6-15 juillet 2020), le Bureau a présenté un rapport </w:t>
      </w:r>
      <w:r w:rsidR="00F60257" w:rsidRPr="007E130D">
        <w:t xml:space="preserve">sur les soumissions reçues conformément à la Résolution </w:t>
      </w:r>
      <w:r w:rsidR="00F60257" w:rsidRPr="007E130D">
        <w:rPr>
          <w:b/>
          <w:bCs/>
        </w:rPr>
        <w:t>559 (CMR-19)</w:t>
      </w:r>
      <w:r w:rsidR="00F60257" w:rsidRPr="007E130D">
        <w:t xml:space="preserve"> et sur l'analyse des incidences que pourraient avoir les soumissions relatives au SRS au titre de la Partie A reçues par le Bureau avant le 22 mai 2020 dans les Régions 1 et 3 sur la situation de référence des soumissions au titre de la Résolution </w:t>
      </w:r>
      <w:r w:rsidR="00F60257" w:rsidRPr="007E130D">
        <w:rPr>
          <w:b/>
          <w:bCs/>
        </w:rPr>
        <w:t>559</w:t>
      </w:r>
      <w:r w:rsidR="00F60257" w:rsidRPr="007E130D">
        <w:t xml:space="preserve">. </w:t>
      </w:r>
      <w:r w:rsidR="002A74B7" w:rsidRPr="007E130D">
        <w:t xml:space="preserve">Le Bureau a également soumis un rapport sur la compatibilité entre les soumissions </w:t>
      </w:r>
      <w:r w:rsidR="00141017" w:rsidRPr="007E130D">
        <w:t xml:space="preserve">au titre </w:t>
      </w:r>
      <w:r w:rsidR="002A74B7" w:rsidRPr="007E130D">
        <w:t xml:space="preserve">de la Résolution </w:t>
      </w:r>
      <w:r w:rsidR="002A74B7" w:rsidRPr="007E130D">
        <w:rPr>
          <w:b/>
          <w:bCs/>
        </w:rPr>
        <w:t>559</w:t>
      </w:r>
      <w:r w:rsidR="002A74B7" w:rsidRPr="007E130D">
        <w:t xml:space="preserve"> et les soumissions </w:t>
      </w:r>
      <w:r w:rsidR="00141017" w:rsidRPr="007E130D">
        <w:t>au titre de l</w:t>
      </w:r>
      <w:r w:rsidRPr="007E130D">
        <w:t>'</w:t>
      </w:r>
      <w:r w:rsidR="00141017" w:rsidRPr="007E130D">
        <w:t>A</w:t>
      </w:r>
      <w:r w:rsidR="002A74B7" w:rsidRPr="007E130D">
        <w:t xml:space="preserve">rticle </w:t>
      </w:r>
      <w:r w:rsidR="002A74B7" w:rsidRPr="007E130D">
        <w:rPr>
          <w:b/>
          <w:bCs/>
        </w:rPr>
        <w:t>4</w:t>
      </w:r>
      <w:r w:rsidR="002A74B7" w:rsidRPr="007E130D">
        <w:t xml:space="preserve"> des administrations de Maurice, des Seychelles et de Madagascar.</w:t>
      </w:r>
      <w:r w:rsidR="00F60257" w:rsidRPr="007E130D">
        <w:t xml:space="preserve"> </w:t>
      </w:r>
      <w:r w:rsidR="002A74B7" w:rsidRPr="007E130D">
        <w:t xml:space="preserve">Le Bureau a également informé le Comité que 13 administrations </w:t>
      </w:r>
      <w:r w:rsidR="00141017" w:rsidRPr="007E130D">
        <w:t xml:space="preserve">remplissant les conditions </w:t>
      </w:r>
      <w:r w:rsidR="00E43F9C" w:rsidRPr="007E130D">
        <w:t>requises</w:t>
      </w:r>
      <w:r w:rsidR="002A74B7" w:rsidRPr="007E130D">
        <w:t xml:space="preserve"> n'ont pas demandé l'application de la Résolution </w:t>
      </w:r>
      <w:r w:rsidR="002A74B7" w:rsidRPr="007E130D">
        <w:rPr>
          <w:b/>
          <w:bCs/>
        </w:rPr>
        <w:t>559</w:t>
      </w:r>
      <w:r w:rsidR="002A74B7" w:rsidRPr="007E130D">
        <w:t xml:space="preserve"> avant l'expiration du délai (21 mai 2020), à savoir l'</w:t>
      </w:r>
      <w:r w:rsidR="002A74B7" w:rsidRPr="007E130D">
        <w:rPr>
          <w:i/>
        </w:rPr>
        <w:t xml:space="preserve">Arménie, </w:t>
      </w:r>
      <w:r w:rsidR="00141017" w:rsidRPr="007E130D">
        <w:rPr>
          <w:i/>
        </w:rPr>
        <w:t>l'Autriche</w:t>
      </w:r>
      <w:r w:rsidR="00F60257" w:rsidRPr="007E130D">
        <w:rPr>
          <w:i/>
          <w:iCs/>
          <w:vertAlign w:val="superscript"/>
        </w:rPr>
        <w:footnoteReference w:id="3"/>
      </w:r>
      <w:r w:rsidR="00F60257" w:rsidRPr="007E130D">
        <w:rPr>
          <w:i/>
          <w:iCs/>
        </w:rPr>
        <w:t>,</w:t>
      </w:r>
      <w:r w:rsidR="00141017" w:rsidRPr="007E130D">
        <w:rPr>
          <w:i/>
          <w:iCs/>
        </w:rPr>
        <w:t xml:space="preserve"> la Belgique, le Sri Lanka, les Comores, l</w:t>
      </w:r>
      <w:r w:rsidR="000C4CDD" w:rsidRPr="007E130D">
        <w:rPr>
          <w:i/>
          <w:iCs/>
        </w:rPr>
        <w:t>'</w:t>
      </w:r>
      <w:r w:rsidR="00141017" w:rsidRPr="007E130D">
        <w:rPr>
          <w:i/>
          <w:iCs/>
        </w:rPr>
        <w:t>État de la Cité du Vatican, le Danemark</w:t>
      </w:r>
      <w:r w:rsidR="00141017" w:rsidRPr="007E130D">
        <w:rPr>
          <w:i/>
          <w:iCs/>
          <w:vertAlign w:val="superscript"/>
        </w:rPr>
        <w:footnoteReference w:id="4"/>
      </w:r>
      <w:r w:rsidR="00141017" w:rsidRPr="007E130D">
        <w:rPr>
          <w:i/>
          <w:iCs/>
        </w:rPr>
        <w:t xml:space="preserve">, la Guinée équatoriale, le Liechtenstein, les Maldives, le Népal, le Turkménistan, le Yémen. </w:t>
      </w:r>
      <w:r w:rsidR="00141017" w:rsidRPr="007E130D">
        <w:rPr>
          <w:iCs/>
        </w:rPr>
        <w:t>En prévision d'éventuelles demandes tardives, le Bureau a également évalué les positions orbitales, les canaux et les polarisations qui pourraient être utilisés par ces 13 administrations remplissant les conditions requises. Les administrations des Comores, de la Guinée équatoriale et de l'État de la Cité du Vatican ont soumis leurs demandes après la date limite du 21 mai 2020 (entre le</w:t>
      </w:r>
      <w:r w:rsidR="00FF7385" w:rsidRPr="007E130D">
        <w:rPr>
          <w:iCs/>
        </w:rPr>
        <w:t> </w:t>
      </w:r>
      <w:r w:rsidR="00141017" w:rsidRPr="007E130D">
        <w:rPr>
          <w:iCs/>
        </w:rPr>
        <w:t>22</w:t>
      </w:r>
      <w:r w:rsidR="00FF7385" w:rsidRPr="007E130D">
        <w:rPr>
          <w:iCs/>
        </w:rPr>
        <w:t> </w:t>
      </w:r>
      <w:r w:rsidR="00141017" w:rsidRPr="007E130D">
        <w:rPr>
          <w:iCs/>
        </w:rPr>
        <w:t>mai</w:t>
      </w:r>
      <w:r w:rsidR="00FF7385" w:rsidRPr="007E130D">
        <w:rPr>
          <w:iCs/>
        </w:rPr>
        <w:t> </w:t>
      </w:r>
      <w:r w:rsidR="00141017" w:rsidRPr="007E130D">
        <w:rPr>
          <w:iCs/>
        </w:rPr>
        <w:t>2020 et le 6 juillet 2020). Toutefois, ces demandes tardives ont été considérées comme reçues par le Bureau le 21 mai 2020, conformément à la décision prise par le Comité lors de sa</w:t>
      </w:r>
      <w:r w:rsidR="00FF7385" w:rsidRPr="007E130D">
        <w:rPr>
          <w:iCs/>
        </w:rPr>
        <w:t> </w:t>
      </w:r>
      <w:r w:rsidR="00141017" w:rsidRPr="007E130D">
        <w:rPr>
          <w:iCs/>
        </w:rPr>
        <w:t>84</w:t>
      </w:r>
      <w:r w:rsidR="00FF7385" w:rsidRPr="007E130D">
        <w:rPr>
          <w:iCs/>
        </w:rPr>
        <w:t>ème</w:t>
      </w:r>
      <w:r w:rsidR="00141017" w:rsidRPr="007E130D">
        <w:rPr>
          <w:iCs/>
        </w:rPr>
        <w:t xml:space="preserve"> réunion</w:t>
      </w:r>
      <w:r w:rsidR="00F60257" w:rsidRPr="007E130D">
        <w:t xml:space="preserve">. </w:t>
      </w:r>
      <w:r w:rsidR="00A46E90" w:rsidRPr="007E130D">
        <w:t>S</w:t>
      </w:r>
      <w:r w:rsidR="00FF7385" w:rsidRPr="007E130D">
        <w:t>'</w:t>
      </w:r>
      <w:r w:rsidR="00A46E90" w:rsidRPr="007E130D">
        <w:t xml:space="preserve">agissant des soumissions des administrations de Maurice, des Seychelles et de Madagascar, </w:t>
      </w:r>
      <w:r w:rsidR="00F60257" w:rsidRPr="007E130D">
        <w:t xml:space="preserve">le Comité a chargé le Bureau de tenir compte des soumissions présentées par ces trois administrations et de les traiter en tant que soumissions reçues au titre de la procédure de l'Article </w:t>
      </w:r>
      <w:r w:rsidR="00F60257" w:rsidRPr="007E130D">
        <w:rPr>
          <w:b/>
          <w:bCs/>
        </w:rPr>
        <w:t>4</w:t>
      </w:r>
      <w:r w:rsidR="00F60257" w:rsidRPr="007E130D">
        <w:t xml:space="preserve"> des Appendices </w:t>
      </w:r>
      <w:r w:rsidR="00F60257" w:rsidRPr="007E130D">
        <w:rPr>
          <w:b/>
          <w:bCs/>
        </w:rPr>
        <w:t>30</w:t>
      </w:r>
      <w:r w:rsidR="00F60257" w:rsidRPr="007E130D">
        <w:t xml:space="preserve"> et</w:t>
      </w:r>
      <w:r w:rsidR="001F27A4" w:rsidRPr="007E130D">
        <w:t> </w:t>
      </w:r>
      <w:r w:rsidR="00F60257" w:rsidRPr="007E130D">
        <w:rPr>
          <w:b/>
          <w:bCs/>
        </w:rPr>
        <w:t>30A</w:t>
      </w:r>
      <w:r w:rsidR="00F60257" w:rsidRPr="007E130D">
        <w:t>, tout en mettant également en œuvre les mêmes mesures que celles que</w:t>
      </w:r>
      <w:r w:rsidR="00F60257" w:rsidRPr="007E130D" w:rsidDel="008C2725">
        <w:t xml:space="preserve"> </w:t>
      </w:r>
      <w:r w:rsidR="00F60257" w:rsidRPr="007E130D">
        <w:t xml:space="preserve">le Comité a adoptées pour le traitement des soumissions au titre de la Résolution </w:t>
      </w:r>
      <w:r w:rsidR="00F60257" w:rsidRPr="007E130D">
        <w:rPr>
          <w:b/>
          <w:bCs/>
        </w:rPr>
        <w:t>559</w:t>
      </w:r>
      <w:r w:rsidR="00F60257" w:rsidRPr="007E130D">
        <w:t>.</w:t>
      </w:r>
    </w:p>
    <w:p w14:paraId="3CADDB87" w14:textId="440CBD5F" w:rsidR="00F60257" w:rsidRPr="007E130D" w:rsidRDefault="001B6C66" w:rsidP="00B20AC9">
      <w:r w:rsidRPr="007E130D">
        <w:t>Sur la base de l'assistance fournie par le Bureau et des décisions pertinentes du</w:t>
      </w:r>
      <w:r w:rsidR="00FF7385" w:rsidRPr="007E130D">
        <w:t> </w:t>
      </w:r>
      <w:r w:rsidRPr="007E130D">
        <w:t>Comité,</w:t>
      </w:r>
      <w:r w:rsidR="00FF7385" w:rsidRPr="007E130D">
        <w:t> </w:t>
      </w:r>
      <w:r w:rsidRPr="007E130D">
        <w:t>45</w:t>
      </w:r>
      <w:r w:rsidR="00FF7385" w:rsidRPr="007E130D">
        <w:t> </w:t>
      </w:r>
      <w:r w:rsidRPr="007E130D">
        <w:t>des</w:t>
      </w:r>
      <w:r w:rsidR="00FF7385" w:rsidRPr="007E130D">
        <w:t> </w:t>
      </w:r>
      <w:r w:rsidRPr="007E130D">
        <w:t>55</w:t>
      </w:r>
      <w:r w:rsidR="00FF7385" w:rsidRPr="007E130D">
        <w:t> </w:t>
      </w:r>
      <w:r w:rsidRPr="007E130D">
        <w:t xml:space="preserve">administrations remplissant les conditions requises ont soumis avec succès leurs demandes (chaque demande consistait en une fiche de notification pour la liaison descendante et une autre fiche de notification pour la liaison de connexion) en application de la procédure spéciale. Ci-après, les demandes présentées au titre de la Résolution </w:t>
      </w:r>
      <w:r w:rsidRPr="007E130D">
        <w:rPr>
          <w:b/>
          <w:bCs/>
        </w:rPr>
        <w:t>559 (CMR-19)</w:t>
      </w:r>
      <w:r w:rsidRPr="007E130D">
        <w:t xml:space="preserve"> et de l'Article </w:t>
      </w:r>
      <w:r w:rsidRPr="007E130D">
        <w:rPr>
          <w:b/>
          <w:bCs/>
        </w:rPr>
        <w:t>4</w:t>
      </w:r>
      <w:r w:rsidRPr="007E130D">
        <w:t xml:space="preserve"> des Appendices</w:t>
      </w:r>
      <w:r w:rsidR="00FF7385" w:rsidRPr="007E130D">
        <w:t> </w:t>
      </w:r>
      <w:r w:rsidRPr="007E130D">
        <w:rPr>
          <w:b/>
          <w:bCs/>
        </w:rPr>
        <w:t>30</w:t>
      </w:r>
      <w:r w:rsidRPr="007E130D">
        <w:t xml:space="preserve"> et </w:t>
      </w:r>
      <w:r w:rsidRPr="007E130D">
        <w:rPr>
          <w:b/>
          <w:bCs/>
        </w:rPr>
        <w:t xml:space="preserve">30A </w:t>
      </w:r>
      <w:r w:rsidRPr="007E130D">
        <w:t xml:space="preserve">par les Administrations de Madagascar, de Maurice et des Seychelles sont dénommées </w:t>
      </w:r>
      <w:r w:rsidR="00FF7385" w:rsidRPr="007E130D">
        <w:t>«</w:t>
      </w:r>
      <w:r w:rsidRPr="007E130D">
        <w:t xml:space="preserve">demandes au titre de la Résolution </w:t>
      </w:r>
      <w:r w:rsidRPr="007E130D">
        <w:rPr>
          <w:b/>
          <w:bCs/>
        </w:rPr>
        <w:t>559</w:t>
      </w:r>
      <w:r w:rsidR="00FF7385" w:rsidRPr="007E130D">
        <w:t>»</w:t>
      </w:r>
      <w:r w:rsidRPr="007E130D">
        <w:t>.</w:t>
      </w:r>
    </w:p>
    <w:p w14:paraId="74CBAD9F" w14:textId="0DED9FFB" w:rsidR="00F60257" w:rsidRPr="007E130D" w:rsidRDefault="001B6C66" w:rsidP="00B20AC9">
      <w:pPr>
        <w:spacing w:after="240"/>
      </w:pPr>
      <w:r w:rsidRPr="007E130D">
        <w:t xml:space="preserve">Le Bureau a validé toutes ces soumissions au titre de la Résolution </w:t>
      </w:r>
      <w:r w:rsidRPr="007E130D">
        <w:rPr>
          <w:b/>
          <w:bCs/>
        </w:rPr>
        <w:t>559</w:t>
      </w:r>
      <w:r w:rsidRPr="007E130D">
        <w:t xml:space="preserve">, les a examinées et les a publiées dans 90 sections spéciales de la Partie A dans la BR IFIC 2932 du 27 octobre 2020. La période de commentaires de 4 mois sur ces sections spéciales de la </w:t>
      </w:r>
      <w:r w:rsidR="00CF5E48" w:rsidRPr="007E130D">
        <w:t>P</w:t>
      </w:r>
      <w:r w:rsidRPr="007E130D">
        <w:t>artie A s'est terminée le</w:t>
      </w:r>
      <w:r w:rsidR="00FF7385" w:rsidRPr="007E130D">
        <w:t> </w:t>
      </w:r>
      <w:r w:rsidRPr="007E130D">
        <w:t>27</w:t>
      </w:r>
      <w:r w:rsidR="00FF7385" w:rsidRPr="007E130D">
        <w:t> </w:t>
      </w:r>
      <w:r w:rsidRPr="007E130D">
        <w:t>février 2021. On trouvera ci-dessous un résumé des statistiques sur les besoins de coordination des</w:t>
      </w:r>
      <w:r w:rsidR="00FF7385" w:rsidRPr="007E130D">
        <w:t> </w:t>
      </w:r>
      <w:r w:rsidRPr="007E130D">
        <w:t xml:space="preserve">45 soumissions au titre de la Résolution </w:t>
      </w:r>
      <w:r w:rsidRPr="007E130D">
        <w:rPr>
          <w:b/>
          <w:bCs/>
        </w:rPr>
        <w:t>559</w:t>
      </w:r>
      <w:r w:rsidRPr="007E130D">
        <w:t xml:space="preserve"> sur la base de la publication de ces 90 sections spéciales.</w:t>
      </w:r>
    </w:p>
    <w:tbl>
      <w:tblPr>
        <w:tblStyle w:val="TableGrid"/>
        <w:tblW w:w="9747" w:type="dxa"/>
        <w:tblInd w:w="-5" w:type="dxa"/>
        <w:tblLook w:val="04A0" w:firstRow="1" w:lastRow="0" w:firstColumn="1" w:lastColumn="0" w:noHBand="0" w:noVBand="1"/>
      </w:tblPr>
      <w:tblGrid>
        <w:gridCol w:w="714"/>
        <w:gridCol w:w="4153"/>
        <w:gridCol w:w="2363"/>
        <w:gridCol w:w="2517"/>
      </w:tblGrid>
      <w:tr w:rsidR="00F60257" w:rsidRPr="007E130D" w14:paraId="13C69F12" w14:textId="77777777" w:rsidTr="003C72E5">
        <w:tc>
          <w:tcPr>
            <w:tcW w:w="714" w:type="dxa"/>
            <w:vAlign w:val="center"/>
          </w:tcPr>
          <w:p w14:paraId="44D095F6" w14:textId="77777777" w:rsidR="00F60257" w:rsidRPr="007E130D" w:rsidRDefault="00F60257" w:rsidP="007A0EB2">
            <w:pPr>
              <w:pStyle w:val="Tablehead"/>
            </w:pPr>
          </w:p>
        </w:tc>
        <w:tc>
          <w:tcPr>
            <w:tcW w:w="4153" w:type="dxa"/>
            <w:vAlign w:val="center"/>
          </w:tcPr>
          <w:p w14:paraId="1115D91C" w14:textId="77777777" w:rsidR="00F60257" w:rsidRPr="007E130D" w:rsidRDefault="00F60257" w:rsidP="007A0EB2">
            <w:pPr>
              <w:pStyle w:val="Tablehead"/>
              <w:keepLines/>
            </w:pPr>
            <w:r w:rsidRPr="007E130D">
              <w:t xml:space="preserve">Coordination </w:t>
            </w:r>
            <w:r w:rsidR="001B6C66" w:rsidRPr="007E130D">
              <w:t>avec les</w:t>
            </w:r>
            <w:r w:rsidRPr="007E130D">
              <w:t xml:space="preserve"> administrations </w:t>
            </w:r>
            <w:r w:rsidR="001B6C66" w:rsidRPr="007E130D">
              <w:t>avec</w:t>
            </w:r>
          </w:p>
        </w:tc>
        <w:tc>
          <w:tcPr>
            <w:tcW w:w="2363" w:type="dxa"/>
            <w:vAlign w:val="center"/>
          </w:tcPr>
          <w:p w14:paraId="0E36B961" w14:textId="77777777" w:rsidR="00F60257" w:rsidRPr="007E130D" w:rsidRDefault="00F60257" w:rsidP="007A0EB2">
            <w:pPr>
              <w:pStyle w:val="Tablehead"/>
            </w:pPr>
            <w:r w:rsidRPr="007E130D">
              <w:t>No</w:t>
            </w:r>
            <w:r w:rsidR="005810A5" w:rsidRPr="007E130D">
              <w:t>mbre</w:t>
            </w:r>
            <w:r w:rsidRPr="007E130D">
              <w:t xml:space="preserve"> </w:t>
            </w:r>
            <w:r w:rsidR="005810A5" w:rsidRPr="007E130D">
              <w:t>de</w:t>
            </w:r>
            <w:r w:rsidRPr="007E130D">
              <w:t xml:space="preserve"> </w:t>
            </w:r>
            <w:r w:rsidR="005810A5" w:rsidRPr="007E130D">
              <w:t xml:space="preserve">faisceaux dans le </w:t>
            </w:r>
            <w:r w:rsidRPr="007E130D">
              <w:t>Plan/</w:t>
            </w:r>
            <w:r w:rsidR="005810A5" w:rsidRPr="007E130D">
              <w:t>réseaux à satellite affectés</w:t>
            </w:r>
          </w:p>
        </w:tc>
        <w:tc>
          <w:tcPr>
            <w:tcW w:w="2517" w:type="dxa"/>
            <w:vAlign w:val="center"/>
          </w:tcPr>
          <w:p w14:paraId="6472662C" w14:textId="5030E13B" w:rsidR="00F60257" w:rsidRPr="007E130D" w:rsidRDefault="00F60257" w:rsidP="007A0EB2">
            <w:pPr>
              <w:pStyle w:val="Tablehead"/>
            </w:pPr>
            <w:r w:rsidRPr="007E130D">
              <w:t>No</w:t>
            </w:r>
            <w:r w:rsidR="005810A5" w:rsidRPr="007E130D">
              <w:t>mbre</w:t>
            </w:r>
            <w:r w:rsidRPr="007E130D">
              <w:t xml:space="preserve"> </w:t>
            </w:r>
            <w:r w:rsidR="005810A5" w:rsidRPr="007E130D">
              <w:t>d</w:t>
            </w:r>
            <w:r w:rsidR="00FF7385" w:rsidRPr="007E130D">
              <w:t>'</w:t>
            </w:r>
            <w:r w:rsidR="005810A5" w:rsidRPr="007E130D">
              <w:t>administrations affectées</w:t>
            </w:r>
          </w:p>
        </w:tc>
      </w:tr>
      <w:tr w:rsidR="00F60257" w:rsidRPr="007E130D" w14:paraId="54FC3B54" w14:textId="77777777" w:rsidTr="003C72E5">
        <w:tc>
          <w:tcPr>
            <w:tcW w:w="714" w:type="dxa"/>
          </w:tcPr>
          <w:p w14:paraId="45D13D65" w14:textId="77777777" w:rsidR="00F60257" w:rsidRPr="007E130D" w:rsidRDefault="00F60257" w:rsidP="007A0EB2">
            <w:pPr>
              <w:pStyle w:val="Tabletext"/>
              <w:keepNext/>
            </w:pPr>
            <w:r w:rsidRPr="007E130D">
              <w:t>1</w:t>
            </w:r>
          </w:p>
        </w:tc>
        <w:tc>
          <w:tcPr>
            <w:tcW w:w="4153" w:type="dxa"/>
          </w:tcPr>
          <w:p w14:paraId="072D2CF4" w14:textId="04F88EC3" w:rsidR="00F60257" w:rsidRPr="007E130D" w:rsidRDefault="0046787D" w:rsidP="007A0EB2">
            <w:pPr>
              <w:pStyle w:val="Tabletext"/>
              <w:keepNext/>
              <w:keepLines/>
            </w:pPr>
            <w:r w:rsidRPr="007E130D">
              <w:t>A</w:t>
            </w:r>
            <w:r w:rsidR="001B6C66" w:rsidRPr="007E130D">
              <w:t xml:space="preserve">ssignations </w:t>
            </w:r>
            <w:r w:rsidR="00164335" w:rsidRPr="007E130D">
              <w:t xml:space="preserve">figurant </w:t>
            </w:r>
            <w:r w:rsidR="001B6C66" w:rsidRPr="007E130D">
              <w:t xml:space="preserve">dans le Plan pour les </w:t>
            </w:r>
            <w:r w:rsidR="00600E5F" w:rsidRPr="007E130D">
              <w:t>R</w:t>
            </w:r>
            <w:r w:rsidR="001B6C66" w:rsidRPr="007E130D">
              <w:t>égions 1 et 3</w:t>
            </w:r>
          </w:p>
        </w:tc>
        <w:tc>
          <w:tcPr>
            <w:tcW w:w="2363" w:type="dxa"/>
          </w:tcPr>
          <w:p w14:paraId="6B223746" w14:textId="77777777" w:rsidR="00F60257" w:rsidRPr="007E130D" w:rsidRDefault="00F60257" w:rsidP="007A0EB2">
            <w:pPr>
              <w:pStyle w:val="Tabletext"/>
              <w:keepNext/>
              <w:jc w:val="center"/>
            </w:pPr>
            <w:r w:rsidRPr="007E130D">
              <w:t>44</w:t>
            </w:r>
          </w:p>
        </w:tc>
        <w:tc>
          <w:tcPr>
            <w:tcW w:w="2517" w:type="dxa"/>
          </w:tcPr>
          <w:p w14:paraId="1AAF5FD5" w14:textId="77777777" w:rsidR="00F60257" w:rsidRPr="007E130D" w:rsidRDefault="00F60257" w:rsidP="007A0EB2">
            <w:pPr>
              <w:pStyle w:val="Tabletext"/>
              <w:keepNext/>
              <w:jc w:val="center"/>
            </w:pPr>
            <w:r w:rsidRPr="007E130D">
              <w:t>31</w:t>
            </w:r>
          </w:p>
        </w:tc>
      </w:tr>
      <w:tr w:rsidR="00F60257" w:rsidRPr="007E130D" w14:paraId="679566D4" w14:textId="77777777" w:rsidTr="003C72E5">
        <w:tc>
          <w:tcPr>
            <w:tcW w:w="714" w:type="dxa"/>
          </w:tcPr>
          <w:p w14:paraId="6B7CF442" w14:textId="77777777" w:rsidR="00F60257" w:rsidRPr="007E130D" w:rsidRDefault="00F60257" w:rsidP="007A0EB2">
            <w:pPr>
              <w:pStyle w:val="Tabletext"/>
              <w:keepNext/>
            </w:pPr>
            <w:r w:rsidRPr="007E130D">
              <w:t>2</w:t>
            </w:r>
          </w:p>
        </w:tc>
        <w:tc>
          <w:tcPr>
            <w:tcW w:w="4153" w:type="dxa"/>
          </w:tcPr>
          <w:p w14:paraId="33B373A6" w14:textId="536DE502" w:rsidR="00F60257" w:rsidRPr="007E130D" w:rsidRDefault="0046787D" w:rsidP="007A0EB2">
            <w:pPr>
              <w:pStyle w:val="Tabletext"/>
              <w:keepNext/>
              <w:keepLines/>
            </w:pPr>
            <w:r w:rsidRPr="007E130D">
              <w:t>A</w:t>
            </w:r>
            <w:r w:rsidR="000860CE" w:rsidRPr="007E130D">
              <w:t xml:space="preserve">ssignations </w:t>
            </w:r>
            <w:r w:rsidR="00164335" w:rsidRPr="007E130D">
              <w:t xml:space="preserve">figurant </w:t>
            </w:r>
            <w:r w:rsidR="000860CE" w:rsidRPr="007E130D">
              <w:t>dans le Plan initial pour la Région 2 ou en instance au titre de l</w:t>
            </w:r>
            <w:r w:rsidR="00FF7385" w:rsidRPr="007E130D">
              <w:t>'</w:t>
            </w:r>
            <w:r w:rsidR="000860CE" w:rsidRPr="007E130D">
              <w:t xml:space="preserve">Article </w:t>
            </w:r>
            <w:r w:rsidR="000860CE" w:rsidRPr="007E130D">
              <w:rPr>
                <w:b/>
                <w:bCs/>
              </w:rPr>
              <w:t>4</w:t>
            </w:r>
            <w:r w:rsidR="000860CE" w:rsidRPr="007E130D">
              <w:t xml:space="preserve"> dans la Région 2</w:t>
            </w:r>
          </w:p>
        </w:tc>
        <w:tc>
          <w:tcPr>
            <w:tcW w:w="2363" w:type="dxa"/>
          </w:tcPr>
          <w:p w14:paraId="066881E6" w14:textId="77777777" w:rsidR="00F60257" w:rsidRPr="007E130D" w:rsidRDefault="00F60257" w:rsidP="007A0EB2">
            <w:pPr>
              <w:pStyle w:val="Tabletext"/>
              <w:keepNext/>
              <w:jc w:val="center"/>
            </w:pPr>
            <w:r w:rsidRPr="007E130D">
              <w:t>5 (Plan) + 5 (</w:t>
            </w:r>
            <w:r w:rsidR="005810A5" w:rsidRPr="007E130D">
              <w:t xml:space="preserve">en </w:t>
            </w:r>
            <w:r w:rsidR="00787255" w:rsidRPr="007E130D">
              <w:t>instance</w:t>
            </w:r>
            <w:r w:rsidRPr="007E130D">
              <w:t>)</w:t>
            </w:r>
          </w:p>
        </w:tc>
        <w:tc>
          <w:tcPr>
            <w:tcW w:w="2517" w:type="dxa"/>
          </w:tcPr>
          <w:p w14:paraId="724BF8D1" w14:textId="77777777" w:rsidR="00F60257" w:rsidRPr="007E130D" w:rsidRDefault="00F60257" w:rsidP="007A0EB2">
            <w:pPr>
              <w:pStyle w:val="Tabletext"/>
              <w:keepNext/>
              <w:jc w:val="center"/>
            </w:pPr>
            <w:r w:rsidRPr="007E130D">
              <w:t>6</w:t>
            </w:r>
          </w:p>
        </w:tc>
      </w:tr>
      <w:tr w:rsidR="00F60257" w:rsidRPr="007E130D" w14:paraId="151AC90B" w14:textId="77777777" w:rsidTr="003C72E5">
        <w:tc>
          <w:tcPr>
            <w:tcW w:w="714" w:type="dxa"/>
          </w:tcPr>
          <w:p w14:paraId="6996CB6C" w14:textId="77777777" w:rsidR="00F60257" w:rsidRPr="007E130D" w:rsidRDefault="00F60257" w:rsidP="000960FB">
            <w:pPr>
              <w:pStyle w:val="Tabletext"/>
            </w:pPr>
            <w:r w:rsidRPr="007E130D">
              <w:t>3</w:t>
            </w:r>
          </w:p>
        </w:tc>
        <w:tc>
          <w:tcPr>
            <w:tcW w:w="4153" w:type="dxa"/>
          </w:tcPr>
          <w:p w14:paraId="5906EA77" w14:textId="5F54B974" w:rsidR="00F60257" w:rsidRPr="007E130D" w:rsidRDefault="0046787D" w:rsidP="000960FB">
            <w:pPr>
              <w:pStyle w:val="Tabletext"/>
            </w:pPr>
            <w:bookmarkStart w:id="68" w:name="_Hlk82971280"/>
            <w:r w:rsidRPr="007E130D">
              <w:t>A</w:t>
            </w:r>
            <w:r w:rsidR="00F60257" w:rsidRPr="007E130D">
              <w:t>ssign</w:t>
            </w:r>
            <w:r w:rsidR="00AF1B78" w:rsidRPr="007E130D">
              <w:t xml:space="preserve">ations </w:t>
            </w:r>
            <w:r w:rsidR="005810A5" w:rsidRPr="007E130D">
              <w:t>figurant dans la L</w:t>
            </w:r>
            <w:r w:rsidR="00AF1B78" w:rsidRPr="007E130D">
              <w:t xml:space="preserve">iste ou </w:t>
            </w:r>
            <w:r w:rsidR="005810A5" w:rsidRPr="007E130D">
              <w:t>instance au titre de l</w:t>
            </w:r>
            <w:r w:rsidR="000C4CDD" w:rsidRPr="007E130D">
              <w:t>'</w:t>
            </w:r>
            <w:r w:rsidR="005810A5" w:rsidRPr="007E130D">
              <w:t xml:space="preserve">Article </w:t>
            </w:r>
            <w:r w:rsidR="005810A5" w:rsidRPr="007E130D">
              <w:rPr>
                <w:b/>
                <w:bCs/>
              </w:rPr>
              <w:t>4</w:t>
            </w:r>
            <w:r w:rsidR="005810A5" w:rsidRPr="007E130D">
              <w:t xml:space="preserve"> (utilisations additionnelles) dans les Régions 1 et 3</w:t>
            </w:r>
            <w:bookmarkEnd w:id="68"/>
          </w:p>
        </w:tc>
        <w:tc>
          <w:tcPr>
            <w:tcW w:w="2363" w:type="dxa"/>
          </w:tcPr>
          <w:p w14:paraId="795DB736" w14:textId="707079C7" w:rsidR="00F60257" w:rsidRPr="007E130D" w:rsidRDefault="00F60257" w:rsidP="000960FB">
            <w:pPr>
              <w:pStyle w:val="Tabletext"/>
              <w:jc w:val="center"/>
            </w:pPr>
            <w:r w:rsidRPr="007E130D">
              <w:t>39 (List</w:t>
            </w:r>
            <w:r w:rsidR="005810A5" w:rsidRPr="007E130D">
              <w:t>e</w:t>
            </w:r>
            <w:r w:rsidRPr="007E130D">
              <w:t>) + 46</w:t>
            </w:r>
            <w:r w:rsidR="00FF7385" w:rsidRPr="007E130D">
              <w:br/>
            </w:r>
            <w:r w:rsidRPr="007E130D">
              <w:t>(</w:t>
            </w:r>
            <w:r w:rsidR="005810A5" w:rsidRPr="007E130D">
              <w:t>en instance</w:t>
            </w:r>
            <w:r w:rsidRPr="007E130D">
              <w:t>)</w:t>
            </w:r>
          </w:p>
        </w:tc>
        <w:tc>
          <w:tcPr>
            <w:tcW w:w="2517" w:type="dxa"/>
          </w:tcPr>
          <w:p w14:paraId="1B4A869C" w14:textId="77777777" w:rsidR="00F60257" w:rsidRPr="007E130D" w:rsidRDefault="00F60257" w:rsidP="000960FB">
            <w:pPr>
              <w:pStyle w:val="Tabletext"/>
              <w:jc w:val="center"/>
            </w:pPr>
            <w:r w:rsidRPr="007E130D">
              <w:t>21</w:t>
            </w:r>
          </w:p>
        </w:tc>
      </w:tr>
      <w:tr w:rsidR="00F60257" w:rsidRPr="007E130D" w14:paraId="2E49A594" w14:textId="77777777" w:rsidTr="003C72E5">
        <w:tc>
          <w:tcPr>
            <w:tcW w:w="714" w:type="dxa"/>
          </w:tcPr>
          <w:p w14:paraId="3F9F7194" w14:textId="77777777" w:rsidR="00F60257" w:rsidRPr="007E130D" w:rsidRDefault="00F60257" w:rsidP="000960FB">
            <w:pPr>
              <w:pStyle w:val="Tabletext"/>
            </w:pPr>
            <w:r w:rsidRPr="007E130D">
              <w:t>4</w:t>
            </w:r>
          </w:p>
        </w:tc>
        <w:tc>
          <w:tcPr>
            <w:tcW w:w="4153" w:type="dxa"/>
          </w:tcPr>
          <w:p w14:paraId="62D518A6" w14:textId="5F325D0B" w:rsidR="00F60257" w:rsidRPr="007E130D" w:rsidRDefault="0046787D" w:rsidP="000960FB">
            <w:pPr>
              <w:pStyle w:val="Tabletext"/>
            </w:pPr>
            <w:r w:rsidRPr="007E130D">
              <w:t>A</w:t>
            </w:r>
            <w:r w:rsidR="00F60257" w:rsidRPr="007E130D">
              <w:t>ssign</w:t>
            </w:r>
            <w:r w:rsidR="005810A5" w:rsidRPr="007E130D">
              <w:t>ations dans les services de Terre</w:t>
            </w:r>
          </w:p>
        </w:tc>
        <w:tc>
          <w:tcPr>
            <w:tcW w:w="2363" w:type="dxa"/>
          </w:tcPr>
          <w:p w14:paraId="241F8900" w14:textId="77777777" w:rsidR="00F60257" w:rsidRPr="007E130D" w:rsidRDefault="00F60257" w:rsidP="000960FB">
            <w:pPr>
              <w:pStyle w:val="Tabletext"/>
              <w:jc w:val="center"/>
            </w:pPr>
            <w:r w:rsidRPr="007E130D">
              <w:t>–</w:t>
            </w:r>
          </w:p>
        </w:tc>
        <w:tc>
          <w:tcPr>
            <w:tcW w:w="2517" w:type="dxa"/>
          </w:tcPr>
          <w:p w14:paraId="68D77FAB" w14:textId="77777777" w:rsidR="00F60257" w:rsidRPr="007E130D" w:rsidRDefault="00F60257" w:rsidP="000960FB">
            <w:pPr>
              <w:pStyle w:val="Tabletext"/>
              <w:jc w:val="center"/>
            </w:pPr>
            <w:r w:rsidRPr="007E130D">
              <w:t>9</w:t>
            </w:r>
          </w:p>
        </w:tc>
      </w:tr>
      <w:tr w:rsidR="00F60257" w:rsidRPr="007E130D" w14:paraId="71EDDADB" w14:textId="77777777" w:rsidTr="003C72E5">
        <w:tc>
          <w:tcPr>
            <w:tcW w:w="714" w:type="dxa"/>
          </w:tcPr>
          <w:p w14:paraId="5A61EC2A" w14:textId="77777777" w:rsidR="00F60257" w:rsidRPr="007E130D" w:rsidRDefault="00F60257" w:rsidP="000960FB">
            <w:pPr>
              <w:pStyle w:val="Tabletext"/>
            </w:pPr>
            <w:r w:rsidRPr="007E130D">
              <w:t>5</w:t>
            </w:r>
          </w:p>
        </w:tc>
        <w:tc>
          <w:tcPr>
            <w:tcW w:w="4153" w:type="dxa"/>
          </w:tcPr>
          <w:p w14:paraId="79ADF972" w14:textId="6947EB57" w:rsidR="00F60257" w:rsidRPr="007E130D" w:rsidRDefault="0046787D" w:rsidP="000960FB">
            <w:pPr>
              <w:pStyle w:val="Tabletext"/>
            </w:pPr>
            <w:r w:rsidRPr="007E130D">
              <w:t>A</w:t>
            </w:r>
            <w:r w:rsidR="00F60257" w:rsidRPr="007E130D">
              <w:t>ssign</w:t>
            </w:r>
            <w:r w:rsidR="005810A5" w:rsidRPr="007E130D">
              <w:t>ations relevant de l</w:t>
            </w:r>
            <w:r w:rsidR="000C4CDD" w:rsidRPr="007E130D">
              <w:t>'</w:t>
            </w:r>
            <w:r w:rsidR="00F60257" w:rsidRPr="007E130D">
              <w:t xml:space="preserve">Article </w:t>
            </w:r>
            <w:r w:rsidR="00F60257" w:rsidRPr="007E130D">
              <w:rPr>
                <w:b/>
                <w:bCs/>
              </w:rPr>
              <w:t>2A</w:t>
            </w:r>
          </w:p>
        </w:tc>
        <w:tc>
          <w:tcPr>
            <w:tcW w:w="2363" w:type="dxa"/>
          </w:tcPr>
          <w:p w14:paraId="224783BA" w14:textId="77777777" w:rsidR="00F60257" w:rsidRPr="007E130D" w:rsidRDefault="00F60257" w:rsidP="000960FB">
            <w:pPr>
              <w:pStyle w:val="Tabletext"/>
              <w:jc w:val="center"/>
            </w:pPr>
            <w:r w:rsidRPr="007E130D">
              <w:t>4</w:t>
            </w:r>
          </w:p>
        </w:tc>
        <w:tc>
          <w:tcPr>
            <w:tcW w:w="2517" w:type="dxa"/>
          </w:tcPr>
          <w:p w14:paraId="2C952D0B" w14:textId="77777777" w:rsidR="00F60257" w:rsidRPr="007E130D" w:rsidRDefault="00F60257" w:rsidP="000960FB">
            <w:pPr>
              <w:pStyle w:val="Tabletext"/>
              <w:jc w:val="center"/>
            </w:pPr>
            <w:r w:rsidRPr="007E130D">
              <w:t>4</w:t>
            </w:r>
          </w:p>
        </w:tc>
      </w:tr>
      <w:tr w:rsidR="00F60257" w:rsidRPr="007E130D" w14:paraId="5F5439DF" w14:textId="77777777" w:rsidTr="003C72E5">
        <w:tc>
          <w:tcPr>
            <w:tcW w:w="714" w:type="dxa"/>
          </w:tcPr>
          <w:p w14:paraId="4CF1F7EC" w14:textId="77777777" w:rsidR="00F60257" w:rsidRPr="007E130D" w:rsidRDefault="00F60257" w:rsidP="000960FB">
            <w:pPr>
              <w:pStyle w:val="Tabletext"/>
            </w:pPr>
            <w:r w:rsidRPr="007E130D">
              <w:t>6</w:t>
            </w:r>
          </w:p>
        </w:tc>
        <w:tc>
          <w:tcPr>
            <w:tcW w:w="4153" w:type="dxa"/>
          </w:tcPr>
          <w:p w14:paraId="79C0F604" w14:textId="642D8A10" w:rsidR="00F60257" w:rsidRPr="007E130D" w:rsidRDefault="0046787D" w:rsidP="000960FB">
            <w:pPr>
              <w:pStyle w:val="Tabletext"/>
            </w:pPr>
            <w:r w:rsidRPr="007E130D">
              <w:t>A</w:t>
            </w:r>
            <w:r w:rsidR="00F60257" w:rsidRPr="007E130D">
              <w:t>ssig</w:t>
            </w:r>
            <w:r w:rsidR="005810A5" w:rsidRPr="007E130D">
              <w:t>nations</w:t>
            </w:r>
            <w:r w:rsidR="00F60257" w:rsidRPr="007E130D">
              <w:t xml:space="preserve"> </w:t>
            </w:r>
            <w:r w:rsidR="005810A5" w:rsidRPr="007E130D">
              <w:t>des services non planifiés</w:t>
            </w:r>
          </w:p>
        </w:tc>
        <w:tc>
          <w:tcPr>
            <w:tcW w:w="2363" w:type="dxa"/>
          </w:tcPr>
          <w:p w14:paraId="7AAAFD1F" w14:textId="6BAC79D5" w:rsidR="00F60257" w:rsidRPr="007E130D" w:rsidRDefault="00F60257" w:rsidP="000960FB">
            <w:pPr>
              <w:pStyle w:val="Tabletext"/>
              <w:jc w:val="center"/>
            </w:pPr>
            <w:r w:rsidRPr="007E130D">
              <w:t xml:space="preserve">413 (359 </w:t>
            </w:r>
            <w:r w:rsidR="005810A5" w:rsidRPr="007E130D">
              <w:t>e</w:t>
            </w:r>
            <w:r w:rsidRPr="007E130D">
              <w:t>n CR/C</w:t>
            </w:r>
            <w:r w:rsidR="00FF7385" w:rsidRPr="007E130D">
              <w:br/>
            </w:r>
            <w:r w:rsidR="005810A5" w:rsidRPr="007E130D">
              <w:t>et</w:t>
            </w:r>
            <w:r w:rsidRPr="007E130D">
              <w:t xml:space="preserve"> 54 </w:t>
            </w:r>
            <w:r w:rsidR="005810A5" w:rsidRPr="007E130D">
              <w:t>e</w:t>
            </w:r>
            <w:r w:rsidRPr="007E130D">
              <w:t>n Notification)</w:t>
            </w:r>
          </w:p>
        </w:tc>
        <w:tc>
          <w:tcPr>
            <w:tcW w:w="2517" w:type="dxa"/>
          </w:tcPr>
          <w:p w14:paraId="0CBD9044" w14:textId="77777777" w:rsidR="00F60257" w:rsidRPr="007E130D" w:rsidRDefault="00F60257" w:rsidP="000960FB">
            <w:pPr>
              <w:pStyle w:val="Tabletext"/>
              <w:jc w:val="center"/>
            </w:pPr>
            <w:r w:rsidRPr="007E130D">
              <w:t>35</w:t>
            </w:r>
          </w:p>
        </w:tc>
      </w:tr>
    </w:tbl>
    <w:p w14:paraId="3D3D108E" w14:textId="73BD4A27" w:rsidR="00F60257" w:rsidRPr="007E130D" w:rsidRDefault="00577404" w:rsidP="003C72E5">
      <w:pPr>
        <w:spacing w:before="240"/>
      </w:pPr>
      <w:r w:rsidRPr="007E130D">
        <w:t>En résumé, 100 administrations susceptibles d</w:t>
      </w:r>
      <w:r w:rsidR="000C4CDD" w:rsidRPr="007E130D">
        <w:t>'</w:t>
      </w:r>
      <w:r w:rsidRPr="007E130D">
        <w:t xml:space="preserve">être affectées ont été identifiées, avec </w:t>
      </w:r>
      <w:r w:rsidR="00F60257" w:rsidRPr="007E130D">
        <w:t>1</w:t>
      </w:r>
      <w:r w:rsidR="00301850" w:rsidRPr="007E130D">
        <w:t xml:space="preserve"> </w:t>
      </w:r>
      <w:r w:rsidR="00F60257" w:rsidRPr="007E130D">
        <w:t xml:space="preserve">459 </w:t>
      </w:r>
      <w:r w:rsidRPr="007E130D">
        <w:t xml:space="preserve">cas de </w:t>
      </w:r>
      <w:r w:rsidR="00F60257" w:rsidRPr="007E130D">
        <w:t>coordination.</w:t>
      </w:r>
    </w:p>
    <w:p w14:paraId="6AB0EAAE" w14:textId="40DB4CCF" w:rsidR="00F60257" w:rsidRPr="007E130D" w:rsidRDefault="00B701BB" w:rsidP="00B20AC9">
      <w:r w:rsidRPr="007E130D">
        <w:t>Afin d'aider leurs membres à préparer la coordination des fréquences avec les administrations concernées, la SADC et l'UAT ont organisé des ateliers spéciaux en ligne du 27 au 29 janvier 2021 et du 9 au 12 mars 2021, respectivement. L'atelier organisé par l'ATU a été étendu à l'ensemble des</w:t>
      </w:r>
      <w:r w:rsidR="00FF7385" w:rsidRPr="007E130D">
        <w:t> </w:t>
      </w:r>
      <w:r w:rsidRPr="007E130D">
        <w:t xml:space="preserve">45 administrations relevant de la Résolution </w:t>
      </w:r>
      <w:r w:rsidRPr="007E130D">
        <w:rPr>
          <w:b/>
          <w:bCs/>
        </w:rPr>
        <w:t>559</w:t>
      </w:r>
      <w:r w:rsidRPr="007E130D">
        <w:t xml:space="preserve">. Le personnel du BR a participé activement à ces ateliers spéciaux et a présenté des exposés sur la coordination des fréquences consacrée aux soumissions au titre de la Résolution </w:t>
      </w:r>
      <w:r w:rsidRPr="007E130D">
        <w:rPr>
          <w:b/>
          <w:bCs/>
        </w:rPr>
        <w:t>559</w:t>
      </w:r>
      <w:r w:rsidRPr="007E130D">
        <w:t>.</w:t>
      </w:r>
    </w:p>
    <w:p w14:paraId="2027FFE9" w14:textId="0AE60E70" w:rsidR="00F60257" w:rsidRPr="007E130D" w:rsidRDefault="004663A4" w:rsidP="00B20AC9">
      <w:r w:rsidRPr="007E130D">
        <w:t xml:space="preserve">Après la fin de la période de commentaires de quatre mois, le 27 février 2021, toutes les administrations visées par la Résolution </w:t>
      </w:r>
      <w:r w:rsidRPr="007E130D">
        <w:rPr>
          <w:b/>
          <w:bCs/>
        </w:rPr>
        <w:t>559</w:t>
      </w:r>
      <w:r w:rsidRPr="007E130D">
        <w:t xml:space="preserve">, à l'exception des administrations de l'Afghanistan, de Malte, des Seychelles et de la Guinée équatoriale en raison d'un manque de ressources, se sont activement engagées dans la coordination des fréquences avec les administrations potentiellement affectées en soumettant des propositions de coordination. Dans le cadre de ces activités de coordination, le Bureau a continué à fournir une assistance aux Administrations relevant de la Résolution </w:t>
      </w:r>
      <w:r w:rsidRPr="007E130D">
        <w:rPr>
          <w:b/>
          <w:bCs/>
        </w:rPr>
        <w:t>559</w:t>
      </w:r>
      <w:r w:rsidRPr="007E130D">
        <w:t xml:space="preserve"> et aux Administrations affectées afin de trouver une solution de coordination équitable.</w:t>
      </w:r>
    </w:p>
    <w:p w14:paraId="1841E87C" w14:textId="32222517" w:rsidR="00F60257" w:rsidRPr="007E130D" w:rsidRDefault="003A051E" w:rsidP="00B20AC9">
      <w:r w:rsidRPr="007E130D">
        <w:t xml:space="preserve">En réponse aux demandes spécifiques formulées par le Groupe de travail 4A (GT 4A) de l'UIT-R à sa réunion de juillet 2021, le Bureau a soumis au GT 4A, à sa réunion d'octobre-novembre 2021, un rapport sur la coordination des soumissions présentées conformément à la Résolution </w:t>
      </w:r>
      <w:r w:rsidRPr="007E130D">
        <w:rPr>
          <w:b/>
          <w:bCs/>
        </w:rPr>
        <w:t>559 (CMR</w:t>
      </w:r>
      <w:r w:rsidR="00FF7385" w:rsidRPr="007E130D">
        <w:rPr>
          <w:b/>
          <w:bCs/>
        </w:rPr>
        <w:noBreakHyphen/>
      </w:r>
      <w:r w:rsidRPr="007E130D">
        <w:rPr>
          <w:b/>
          <w:bCs/>
        </w:rPr>
        <w:t>19)</w:t>
      </w:r>
      <w:r w:rsidRPr="007E130D">
        <w:t xml:space="preserve"> (Document </w:t>
      </w:r>
      <w:hyperlink r:id="rId35" w:history="1">
        <w:r w:rsidRPr="007E130D">
          <w:rPr>
            <w:rStyle w:val="Hyperlink"/>
          </w:rPr>
          <w:t>4A/404</w:t>
        </w:r>
      </w:hyperlink>
      <w:r w:rsidRPr="007E130D">
        <w:t xml:space="preserve">). La section 4 du rapport contient des suggestions du Bureau à l'intention du GT 4A en vue de faciliter davantage la coordination des demandes présentées au titre de la Résolution </w:t>
      </w:r>
      <w:r w:rsidRPr="007E130D">
        <w:rPr>
          <w:b/>
          <w:bCs/>
        </w:rPr>
        <w:t>559</w:t>
      </w:r>
      <w:r w:rsidR="00F60257" w:rsidRPr="007E130D">
        <w:t>.</w:t>
      </w:r>
      <w:r w:rsidR="00FF7385" w:rsidRPr="007E130D">
        <w:t xml:space="preserve"> </w:t>
      </w:r>
      <w:r w:rsidR="0099534D" w:rsidRPr="007E130D">
        <w:t>Dans une note adressée au Directeur du Bureau (voir l'</w:t>
      </w:r>
      <w:hyperlink r:id="rId36" w:history="1">
        <w:r w:rsidR="0099534D" w:rsidRPr="007E130D">
          <w:rPr>
            <w:rStyle w:val="Hyperlink"/>
          </w:rPr>
          <w:t>Annexe 43</w:t>
        </w:r>
      </w:hyperlink>
      <w:r w:rsidR="0099534D" w:rsidRPr="007E130D">
        <w:t xml:space="preserve"> du Document </w:t>
      </w:r>
      <w:hyperlink r:id="rId37" w:history="1">
        <w:r w:rsidR="0099534D" w:rsidRPr="007E130D">
          <w:rPr>
            <w:rStyle w:val="Hyperlink"/>
          </w:rPr>
          <w:t>4A/552</w:t>
        </w:r>
      </w:hyperlink>
      <w:r w:rsidR="0099534D" w:rsidRPr="007E130D">
        <w:t xml:space="preserve">), le GT 4A a indiqué qu'il souscrivait à toutes ces suggestions et a également proposé que le Directeur du Bureau en informe le Comité pour qu'il formule des avis et garantisse l'adoption d'une approche transparente d'ici à la CMR-23, dans le cadre de laquelle un rapport complet sur la Résolution </w:t>
      </w:r>
      <w:r w:rsidR="0099534D" w:rsidRPr="007E130D">
        <w:rPr>
          <w:b/>
        </w:rPr>
        <w:t>559 (CMR-19)</w:t>
      </w:r>
      <w:r w:rsidR="0099534D" w:rsidRPr="007E130D">
        <w:t xml:space="preserve"> pourrait être soumis par le Comité, au titre de son rapport sur la Résolution </w:t>
      </w:r>
      <w:r w:rsidR="0099534D" w:rsidRPr="007E130D">
        <w:rPr>
          <w:b/>
        </w:rPr>
        <w:t>80 (Rév.CMR-07)</w:t>
      </w:r>
      <w:r w:rsidR="0099534D" w:rsidRPr="007E130D">
        <w:t>.</w:t>
      </w:r>
    </w:p>
    <w:p w14:paraId="33808C7A" w14:textId="3F6668FA" w:rsidR="0099534D" w:rsidRPr="007E130D" w:rsidRDefault="003E1035" w:rsidP="000960FB">
      <w:pPr>
        <w:spacing w:after="120"/>
      </w:pPr>
      <w:r w:rsidRPr="007E130D">
        <w:t>Par la suite, le Bureau a fait part à la 89</w:t>
      </w:r>
      <w:r w:rsidR="00FF7385" w:rsidRPr="007E130D">
        <w:t>ème</w:t>
      </w:r>
      <w:r w:rsidRPr="007E130D">
        <w:t xml:space="preserve"> réunion du Comité (14-18 mars 2022) de l'approbation du</w:t>
      </w:r>
      <w:r w:rsidR="00FF7385" w:rsidRPr="007E130D">
        <w:t> </w:t>
      </w:r>
      <w:r w:rsidRPr="007E130D">
        <w:t>GT 4A ainsi que des 8 cas de coordination suivants qui ont été considérés comme achevés sur la base de cette approbation.</w:t>
      </w:r>
    </w:p>
    <w:tbl>
      <w:tblPr>
        <w:tblStyle w:val="GridTable4-Accent1"/>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36"/>
        <w:gridCol w:w="1586"/>
        <w:gridCol w:w="1850"/>
        <w:gridCol w:w="1462"/>
        <w:gridCol w:w="1952"/>
      </w:tblGrid>
      <w:tr w:rsidR="00304686" w:rsidRPr="007E130D" w14:paraId="58C378B5" w14:textId="77777777" w:rsidTr="00304686">
        <w:trPr>
          <w:cnfStyle w:val="100000000000" w:firstRow="1" w:lastRow="0" w:firstColumn="0" w:lastColumn="0" w:oddVBand="0" w:evenVBand="0" w:oddHBand="0" w:evenHBand="0" w:firstRowFirstColumn="0" w:firstRowLastColumn="0" w:lastRowFirstColumn="0" w:lastRowLastColumn="0"/>
          <w:trHeight w:val="282"/>
          <w:jc w:val="center"/>
        </w:trPr>
        <w:tc>
          <w:tcPr>
            <w:tcW w:w="536" w:type="dxa"/>
            <w:shd w:val="clear" w:color="auto" w:fill="auto"/>
            <w:vAlign w:val="center"/>
          </w:tcPr>
          <w:p w14:paraId="120D5272" w14:textId="6F5C63BA" w:rsidR="00304686" w:rsidRPr="007E130D" w:rsidRDefault="00304686" w:rsidP="00304686">
            <w:pPr>
              <w:pStyle w:val="Tablehead"/>
              <w:rPr>
                <w:b/>
                <w:bCs w:val="0"/>
                <w:color w:val="auto"/>
              </w:rPr>
            </w:pPr>
            <w:r w:rsidRPr="007E130D">
              <w:rPr>
                <w:b/>
                <w:bCs w:val="0"/>
                <w:color w:val="auto"/>
              </w:rPr>
              <w:lastRenderedPageBreak/>
              <w:t>N°</w:t>
            </w:r>
          </w:p>
        </w:tc>
        <w:tc>
          <w:tcPr>
            <w:tcW w:w="1586" w:type="dxa"/>
            <w:shd w:val="clear" w:color="auto" w:fill="auto"/>
            <w:vAlign w:val="center"/>
          </w:tcPr>
          <w:p w14:paraId="24208FD2" w14:textId="3470E283" w:rsidR="00304686" w:rsidRPr="007E130D" w:rsidRDefault="00304686" w:rsidP="00304686">
            <w:pPr>
              <w:pStyle w:val="Tablehead"/>
              <w:rPr>
                <w:b/>
                <w:bCs w:val="0"/>
                <w:color w:val="auto"/>
              </w:rPr>
            </w:pPr>
            <w:r w:rsidRPr="007E130D">
              <w:rPr>
                <w:b/>
                <w:bCs w:val="0"/>
                <w:color w:val="auto"/>
              </w:rPr>
              <w:t>Adm. relevant de la Rés. 559</w:t>
            </w:r>
          </w:p>
        </w:tc>
        <w:tc>
          <w:tcPr>
            <w:tcW w:w="1850" w:type="dxa"/>
            <w:shd w:val="clear" w:color="auto" w:fill="auto"/>
            <w:vAlign w:val="center"/>
          </w:tcPr>
          <w:p w14:paraId="103A2BCE" w14:textId="34DCE796" w:rsidR="00304686" w:rsidRPr="007E130D" w:rsidRDefault="00304686" w:rsidP="00304686">
            <w:pPr>
              <w:pStyle w:val="Tablehead"/>
              <w:rPr>
                <w:b/>
                <w:bCs w:val="0"/>
                <w:color w:val="auto"/>
              </w:rPr>
            </w:pPr>
            <w:r w:rsidRPr="007E130D">
              <w:rPr>
                <w:b/>
                <w:bCs w:val="0"/>
                <w:color w:val="auto"/>
              </w:rPr>
              <w:t>Soumission au titre de la Rés.</w:t>
            </w:r>
            <w:r w:rsidR="00550FDD" w:rsidRPr="007E130D">
              <w:rPr>
                <w:b/>
                <w:bCs w:val="0"/>
                <w:color w:val="auto"/>
              </w:rPr>
              <w:t xml:space="preserve"> </w:t>
            </w:r>
            <w:r w:rsidRPr="007E130D">
              <w:rPr>
                <w:b/>
                <w:bCs w:val="0"/>
                <w:color w:val="auto"/>
              </w:rPr>
              <w:t>559</w:t>
            </w:r>
          </w:p>
        </w:tc>
        <w:tc>
          <w:tcPr>
            <w:tcW w:w="1462" w:type="dxa"/>
            <w:shd w:val="clear" w:color="auto" w:fill="auto"/>
            <w:vAlign w:val="center"/>
          </w:tcPr>
          <w:p w14:paraId="22AF4060" w14:textId="508245F3" w:rsidR="00304686" w:rsidRPr="007E130D" w:rsidRDefault="00304686" w:rsidP="00304686">
            <w:pPr>
              <w:pStyle w:val="Tablehead"/>
              <w:rPr>
                <w:b/>
                <w:bCs w:val="0"/>
                <w:color w:val="auto"/>
              </w:rPr>
            </w:pPr>
            <w:r w:rsidRPr="007E130D">
              <w:rPr>
                <w:b/>
                <w:bCs w:val="0"/>
                <w:color w:val="auto"/>
              </w:rPr>
              <w:t>Adm. affectée</w:t>
            </w:r>
          </w:p>
        </w:tc>
        <w:tc>
          <w:tcPr>
            <w:tcW w:w="1952" w:type="dxa"/>
            <w:shd w:val="clear" w:color="auto" w:fill="auto"/>
            <w:vAlign w:val="center"/>
          </w:tcPr>
          <w:p w14:paraId="384561BE" w14:textId="3A1BFBD9" w:rsidR="00304686" w:rsidRPr="007E130D" w:rsidRDefault="00304686" w:rsidP="00304686">
            <w:pPr>
              <w:pStyle w:val="Tablehead"/>
              <w:rPr>
                <w:b/>
                <w:bCs w:val="0"/>
                <w:color w:val="auto"/>
              </w:rPr>
            </w:pPr>
            <w:r w:rsidRPr="007E130D">
              <w:rPr>
                <w:b/>
                <w:bCs w:val="0"/>
                <w:color w:val="auto"/>
              </w:rPr>
              <w:t>Faisceau du Plan affecté</w:t>
            </w:r>
          </w:p>
        </w:tc>
      </w:tr>
      <w:tr w:rsidR="00FF7385" w:rsidRPr="007E130D" w14:paraId="55BEAAA0" w14:textId="77777777" w:rsidTr="00FF7385">
        <w:trPr>
          <w:cnfStyle w:val="000000100000" w:firstRow="0" w:lastRow="0" w:firstColumn="0" w:lastColumn="0" w:oddVBand="0" w:evenVBand="0" w:oddHBand="1" w:evenHBand="0" w:firstRowFirstColumn="0" w:firstRowLastColumn="0" w:lastRowFirstColumn="0" w:lastRowLastColumn="0"/>
          <w:trHeight w:val="385"/>
          <w:jc w:val="center"/>
        </w:trPr>
        <w:tc>
          <w:tcPr>
            <w:tcW w:w="536" w:type="dxa"/>
            <w:shd w:val="clear" w:color="auto" w:fill="auto"/>
            <w:vAlign w:val="center"/>
          </w:tcPr>
          <w:p w14:paraId="4FBFA89C" w14:textId="1D1073D7" w:rsidR="00FF7385" w:rsidRPr="007E130D" w:rsidRDefault="00FF7385" w:rsidP="00304686">
            <w:pPr>
              <w:pStyle w:val="Tabletext"/>
              <w:keepNext/>
              <w:keepLines/>
              <w:jc w:val="center"/>
            </w:pPr>
            <w:r w:rsidRPr="007E130D">
              <w:t>1</w:t>
            </w:r>
          </w:p>
        </w:tc>
        <w:tc>
          <w:tcPr>
            <w:tcW w:w="1586" w:type="dxa"/>
            <w:shd w:val="clear" w:color="auto" w:fill="auto"/>
            <w:vAlign w:val="center"/>
          </w:tcPr>
          <w:p w14:paraId="06B44DAE" w14:textId="1B38BEA6" w:rsidR="00FF7385" w:rsidRPr="007E130D" w:rsidRDefault="00FF7385" w:rsidP="00304686">
            <w:pPr>
              <w:pStyle w:val="Tabletext"/>
              <w:keepNext/>
              <w:keepLines/>
              <w:jc w:val="center"/>
            </w:pPr>
            <w:r w:rsidRPr="007E130D">
              <w:t>BIH</w:t>
            </w:r>
          </w:p>
        </w:tc>
        <w:tc>
          <w:tcPr>
            <w:tcW w:w="1850" w:type="dxa"/>
            <w:shd w:val="clear" w:color="auto" w:fill="auto"/>
            <w:vAlign w:val="center"/>
          </w:tcPr>
          <w:p w14:paraId="4E14B9FE" w14:textId="6AF69AFA" w:rsidR="00FF7385" w:rsidRPr="007E130D" w:rsidRDefault="00FF7385" w:rsidP="00304686">
            <w:pPr>
              <w:pStyle w:val="Tabletext"/>
              <w:keepNext/>
              <w:keepLines/>
              <w:jc w:val="center"/>
            </w:pPr>
            <w:r w:rsidRPr="007E130D">
              <w:t>BIH_SAT</w:t>
            </w:r>
          </w:p>
        </w:tc>
        <w:tc>
          <w:tcPr>
            <w:tcW w:w="1462" w:type="dxa"/>
            <w:shd w:val="clear" w:color="auto" w:fill="auto"/>
            <w:vAlign w:val="center"/>
          </w:tcPr>
          <w:p w14:paraId="0C301E71" w14:textId="11A45D43" w:rsidR="00FF7385" w:rsidRPr="007E130D" w:rsidRDefault="00FF7385" w:rsidP="00304686">
            <w:pPr>
              <w:pStyle w:val="Tabletext"/>
              <w:keepNext/>
              <w:keepLines/>
              <w:jc w:val="center"/>
            </w:pPr>
            <w:r w:rsidRPr="007E130D">
              <w:t>LBY</w:t>
            </w:r>
          </w:p>
        </w:tc>
        <w:tc>
          <w:tcPr>
            <w:tcW w:w="1952" w:type="dxa"/>
            <w:shd w:val="clear" w:color="auto" w:fill="auto"/>
            <w:vAlign w:val="center"/>
          </w:tcPr>
          <w:p w14:paraId="2D0C8E5F" w14:textId="23CB6F6D" w:rsidR="00FF7385" w:rsidRPr="007E130D" w:rsidRDefault="00FF7385" w:rsidP="00304686">
            <w:pPr>
              <w:pStyle w:val="Tabletext"/>
              <w:keepNext/>
              <w:keepLines/>
              <w:jc w:val="center"/>
            </w:pPr>
            <w:r w:rsidRPr="007E130D">
              <w:t>LBY__100</w:t>
            </w:r>
          </w:p>
        </w:tc>
      </w:tr>
      <w:tr w:rsidR="00FF7385" w:rsidRPr="007E130D" w14:paraId="73DB1EFD" w14:textId="77777777" w:rsidTr="00FF7385">
        <w:trPr>
          <w:trHeight w:val="376"/>
          <w:jc w:val="center"/>
        </w:trPr>
        <w:tc>
          <w:tcPr>
            <w:tcW w:w="536" w:type="dxa"/>
            <w:shd w:val="clear" w:color="auto" w:fill="auto"/>
            <w:vAlign w:val="center"/>
            <w:hideMark/>
          </w:tcPr>
          <w:p w14:paraId="5DFAAAEB" w14:textId="77777777" w:rsidR="00FF7385" w:rsidRPr="007E130D" w:rsidRDefault="00FF7385" w:rsidP="00304686">
            <w:pPr>
              <w:pStyle w:val="Tabletext"/>
              <w:keepNext/>
              <w:keepLines/>
              <w:jc w:val="center"/>
            </w:pPr>
            <w:r w:rsidRPr="007E130D">
              <w:t>2</w:t>
            </w:r>
          </w:p>
        </w:tc>
        <w:tc>
          <w:tcPr>
            <w:tcW w:w="1586" w:type="dxa"/>
            <w:shd w:val="clear" w:color="auto" w:fill="auto"/>
            <w:vAlign w:val="center"/>
          </w:tcPr>
          <w:p w14:paraId="747BDA2D" w14:textId="77777777" w:rsidR="00FF7385" w:rsidRPr="007E130D" w:rsidRDefault="00FF7385" w:rsidP="00304686">
            <w:pPr>
              <w:pStyle w:val="Tabletext"/>
              <w:keepNext/>
              <w:keepLines/>
              <w:jc w:val="center"/>
            </w:pPr>
            <w:r w:rsidRPr="007E130D">
              <w:t>MDA</w:t>
            </w:r>
          </w:p>
        </w:tc>
        <w:tc>
          <w:tcPr>
            <w:tcW w:w="1850" w:type="dxa"/>
            <w:shd w:val="clear" w:color="auto" w:fill="auto"/>
            <w:vAlign w:val="center"/>
            <w:hideMark/>
          </w:tcPr>
          <w:p w14:paraId="4E6DE443" w14:textId="77777777" w:rsidR="00FF7385" w:rsidRPr="007E130D" w:rsidRDefault="00FF7385" w:rsidP="00304686">
            <w:pPr>
              <w:pStyle w:val="Tabletext"/>
              <w:keepNext/>
              <w:keepLines/>
              <w:jc w:val="center"/>
            </w:pPr>
            <w:r w:rsidRPr="007E130D">
              <w:t>MDA_SAT</w:t>
            </w:r>
          </w:p>
        </w:tc>
        <w:tc>
          <w:tcPr>
            <w:tcW w:w="1462" w:type="dxa"/>
            <w:shd w:val="clear" w:color="auto" w:fill="auto"/>
            <w:vAlign w:val="center"/>
            <w:hideMark/>
          </w:tcPr>
          <w:p w14:paraId="68DAB82D" w14:textId="77777777" w:rsidR="00FF7385" w:rsidRPr="007E130D" w:rsidRDefault="00FF7385" w:rsidP="00304686">
            <w:pPr>
              <w:pStyle w:val="Tabletext"/>
              <w:keepNext/>
              <w:keepLines/>
              <w:jc w:val="center"/>
            </w:pPr>
            <w:r w:rsidRPr="007E130D">
              <w:t>HNG</w:t>
            </w:r>
          </w:p>
        </w:tc>
        <w:tc>
          <w:tcPr>
            <w:tcW w:w="1952" w:type="dxa"/>
            <w:shd w:val="clear" w:color="auto" w:fill="auto"/>
            <w:vAlign w:val="center"/>
          </w:tcPr>
          <w:p w14:paraId="29D88E62" w14:textId="77777777" w:rsidR="00FF7385" w:rsidRPr="007E130D" w:rsidRDefault="00FF7385" w:rsidP="00304686">
            <w:pPr>
              <w:pStyle w:val="Tabletext"/>
              <w:keepNext/>
              <w:keepLines/>
              <w:jc w:val="center"/>
            </w:pPr>
            <w:r w:rsidRPr="007E130D">
              <w:t>HNG10601</w:t>
            </w:r>
          </w:p>
        </w:tc>
      </w:tr>
      <w:tr w:rsidR="00FF7385" w:rsidRPr="007E130D" w14:paraId="0500494E" w14:textId="77777777" w:rsidTr="00FF7385">
        <w:trPr>
          <w:cnfStyle w:val="000000100000" w:firstRow="0" w:lastRow="0" w:firstColumn="0" w:lastColumn="0" w:oddVBand="0" w:evenVBand="0" w:oddHBand="1" w:evenHBand="0" w:firstRowFirstColumn="0" w:firstRowLastColumn="0" w:lastRowFirstColumn="0" w:lastRowLastColumn="0"/>
          <w:trHeight w:val="376"/>
          <w:jc w:val="center"/>
        </w:trPr>
        <w:tc>
          <w:tcPr>
            <w:tcW w:w="536" w:type="dxa"/>
            <w:shd w:val="clear" w:color="auto" w:fill="auto"/>
            <w:vAlign w:val="center"/>
            <w:hideMark/>
          </w:tcPr>
          <w:p w14:paraId="3840C480" w14:textId="77777777" w:rsidR="00FF7385" w:rsidRPr="007E130D" w:rsidRDefault="00FF7385" w:rsidP="00304686">
            <w:pPr>
              <w:pStyle w:val="Tabletext"/>
              <w:keepNext/>
              <w:keepLines/>
              <w:jc w:val="center"/>
            </w:pPr>
            <w:r w:rsidRPr="007E130D">
              <w:t>3</w:t>
            </w:r>
          </w:p>
        </w:tc>
        <w:tc>
          <w:tcPr>
            <w:tcW w:w="1586" w:type="dxa"/>
            <w:shd w:val="clear" w:color="auto" w:fill="auto"/>
            <w:vAlign w:val="center"/>
          </w:tcPr>
          <w:p w14:paraId="27BF2E41" w14:textId="77777777" w:rsidR="00FF7385" w:rsidRPr="007E130D" w:rsidRDefault="00FF7385" w:rsidP="00304686">
            <w:pPr>
              <w:pStyle w:val="Tabletext"/>
              <w:keepNext/>
              <w:keepLines/>
              <w:jc w:val="center"/>
            </w:pPr>
            <w:r w:rsidRPr="007E130D">
              <w:t>MDA</w:t>
            </w:r>
          </w:p>
        </w:tc>
        <w:tc>
          <w:tcPr>
            <w:tcW w:w="1850" w:type="dxa"/>
            <w:shd w:val="clear" w:color="auto" w:fill="auto"/>
            <w:vAlign w:val="center"/>
            <w:hideMark/>
          </w:tcPr>
          <w:p w14:paraId="6C5E3F97" w14:textId="77777777" w:rsidR="00FF7385" w:rsidRPr="007E130D" w:rsidRDefault="00FF7385" w:rsidP="00304686">
            <w:pPr>
              <w:pStyle w:val="Tabletext"/>
              <w:keepNext/>
              <w:keepLines/>
              <w:jc w:val="center"/>
            </w:pPr>
            <w:r w:rsidRPr="007E130D">
              <w:t>MDA_SAT</w:t>
            </w:r>
          </w:p>
        </w:tc>
        <w:tc>
          <w:tcPr>
            <w:tcW w:w="1462" w:type="dxa"/>
            <w:shd w:val="clear" w:color="auto" w:fill="auto"/>
            <w:vAlign w:val="center"/>
            <w:hideMark/>
          </w:tcPr>
          <w:p w14:paraId="76BA64BC" w14:textId="77777777" w:rsidR="00FF7385" w:rsidRPr="007E130D" w:rsidRDefault="00FF7385" w:rsidP="00304686">
            <w:pPr>
              <w:pStyle w:val="Tabletext"/>
              <w:keepNext/>
              <w:keepLines/>
              <w:jc w:val="center"/>
            </w:pPr>
            <w:r w:rsidRPr="007E130D">
              <w:t>HRV</w:t>
            </w:r>
          </w:p>
        </w:tc>
        <w:tc>
          <w:tcPr>
            <w:tcW w:w="1952" w:type="dxa"/>
            <w:shd w:val="clear" w:color="auto" w:fill="auto"/>
            <w:vAlign w:val="center"/>
          </w:tcPr>
          <w:p w14:paraId="67B77B41" w14:textId="77777777" w:rsidR="00FF7385" w:rsidRPr="007E130D" w:rsidRDefault="00FF7385" w:rsidP="00304686">
            <w:pPr>
              <w:pStyle w:val="Tabletext"/>
              <w:keepNext/>
              <w:keepLines/>
              <w:jc w:val="center"/>
            </w:pPr>
            <w:r w:rsidRPr="007E130D">
              <w:t>HRV14801</w:t>
            </w:r>
          </w:p>
        </w:tc>
      </w:tr>
      <w:tr w:rsidR="00FF7385" w:rsidRPr="007E130D" w14:paraId="34BCFFA6" w14:textId="77777777" w:rsidTr="00FF7385">
        <w:trPr>
          <w:trHeight w:val="376"/>
          <w:jc w:val="center"/>
        </w:trPr>
        <w:tc>
          <w:tcPr>
            <w:tcW w:w="536" w:type="dxa"/>
            <w:shd w:val="clear" w:color="auto" w:fill="auto"/>
            <w:vAlign w:val="center"/>
            <w:hideMark/>
          </w:tcPr>
          <w:p w14:paraId="7708DCE5" w14:textId="77777777" w:rsidR="00FF7385" w:rsidRPr="007E130D" w:rsidRDefault="00FF7385" w:rsidP="00FF7385">
            <w:pPr>
              <w:pStyle w:val="Tabletext"/>
              <w:jc w:val="center"/>
            </w:pPr>
            <w:r w:rsidRPr="007E130D">
              <w:t>4</w:t>
            </w:r>
          </w:p>
        </w:tc>
        <w:tc>
          <w:tcPr>
            <w:tcW w:w="1586" w:type="dxa"/>
            <w:shd w:val="clear" w:color="auto" w:fill="auto"/>
            <w:vAlign w:val="center"/>
          </w:tcPr>
          <w:p w14:paraId="2A0F39CC" w14:textId="77777777" w:rsidR="00FF7385" w:rsidRPr="007E130D" w:rsidRDefault="00FF7385" w:rsidP="00FF7385">
            <w:pPr>
              <w:pStyle w:val="Tabletext"/>
              <w:jc w:val="center"/>
            </w:pPr>
            <w:r w:rsidRPr="007E130D">
              <w:t>MDA</w:t>
            </w:r>
          </w:p>
        </w:tc>
        <w:tc>
          <w:tcPr>
            <w:tcW w:w="1850" w:type="dxa"/>
            <w:shd w:val="clear" w:color="auto" w:fill="auto"/>
            <w:vAlign w:val="center"/>
            <w:hideMark/>
          </w:tcPr>
          <w:p w14:paraId="252923A6" w14:textId="77777777" w:rsidR="00FF7385" w:rsidRPr="007E130D" w:rsidRDefault="00FF7385" w:rsidP="00FF7385">
            <w:pPr>
              <w:pStyle w:val="Tabletext"/>
              <w:jc w:val="center"/>
            </w:pPr>
            <w:r w:rsidRPr="007E130D">
              <w:t>MDA_SAT</w:t>
            </w:r>
          </w:p>
        </w:tc>
        <w:tc>
          <w:tcPr>
            <w:tcW w:w="1462" w:type="dxa"/>
            <w:shd w:val="clear" w:color="auto" w:fill="auto"/>
            <w:vAlign w:val="center"/>
            <w:hideMark/>
          </w:tcPr>
          <w:p w14:paraId="3649574B" w14:textId="77777777" w:rsidR="00FF7385" w:rsidRPr="007E130D" w:rsidRDefault="00FF7385" w:rsidP="00FF7385">
            <w:pPr>
              <w:pStyle w:val="Tabletext"/>
              <w:jc w:val="center"/>
            </w:pPr>
            <w:r w:rsidRPr="007E130D">
              <w:t>SVK</w:t>
            </w:r>
          </w:p>
        </w:tc>
        <w:tc>
          <w:tcPr>
            <w:tcW w:w="1952" w:type="dxa"/>
            <w:shd w:val="clear" w:color="auto" w:fill="auto"/>
            <w:vAlign w:val="center"/>
          </w:tcPr>
          <w:p w14:paraId="36A6B6BB" w14:textId="77777777" w:rsidR="00FF7385" w:rsidRPr="007E130D" w:rsidRDefault="00FF7385" w:rsidP="00FF7385">
            <w:pPr>
              <w:pStyle w:val="Tabletext"/>
              <w:jc w:val="center"/>
            </w:pPr>
            <w:r w:rsidRPr="007E130D">
              <w:t>SVK14401</w:t>
            </w:r>
          </w:p>
        </w:tc>
      </w:tr>
      <w:tr w:rsidR="00FF7385" w:rsidRPr="007E130D" w14:paraId="055D7472" w14:textId="77777777" w:rsidTr="00FF7385">
        <w:trPr>
          <w:cnfStyle w:val="000000100000" w:firstRow="0" w:lastRow="0" w:firstColumn="0" w:lastColumn="0" w:oddVBand="0" w:evenVBand="0" w:oddHBand="1" w:evenHBand="0" w:firstRowFirstColumn="0" w:firstRowLastColumn="0" w:lastRowFirstColumn="0" w:lastRowLastColumn="0"/>
          <w:trHeight w:val="385"/>
          <w:jc w:val="center"/>
        </w:trPr>
        <w:tc>
          <w:tcPr>
            <w:tcW w:w="536" w:type="dxa"/>
            <w:shd w:val="clear" w:color="auto" w:fill="auto"/>
            <w:vAlign w:val="center"/>
            <w:hideMark/>
          </w:tcPr>
          <w:p w14:paraId="51A8435E" w14:textId="77777777" w:rsidR="00FF7385" w:rsidRPr="007E130D" w:rsidRDefault="00FF7385" w:rsidP="00FF7385">
            <w:pPr>
              <w:pStyle w:val="Tabletext"/>
              <w:jc w:val="center"/>
            </w:pPr>
            <w:r w:rsidRPr="007E130D">
              <w:t>5</w:t>
            </w:r>
          </w:p>
        </w:tc>
        <w:tc>
          <w:tcPr>
            <w:tcW w:w="1586" w:type="dxa"/>
            <w:shd w:val="clear" w:color="auto" w:fill="auto"/>
            <w:vAlign w:val="center"/>
          </w:tcPr>
          <w:p w14:paraId="3F2D529A" w14:textId="77777777" w:rsidR="00FF7385" w:rsidRPr="007E130D" w:rsidRDefault="00FF7385" w:rsidP="00FF7385">
            <w:pPr>
              <w:pStyle w:val="Tabletext"/>
              <w:jc w:val="center"/>
            </w:pPr>
            <w:r w:rsidRPr="007E130D">
              <w:t>MKD</w:t>
            </w:r>
          </w:p>
        </w:tc>
        <w:tc>
          <w:tcPr>
            <w:tcW w:w="1850" w:type="dxa"/>
            <w:shd w:val="clear" w:color="auto" w:fill="auto"/>
            <w:vAlign w:val="center"/>
            <w:hideMark/>
          </w:tcPr>
          <w:p w14:paraId="48C6B589" w14:textId="77777777" w:rsidR="00FF7385" w:rsidRPr="007E130D" w:rsidRDefault="00FF7385" w:rsidP="00FF7385">
            <w:pPr>
              <w:pStyle w:val="Tabletext"/>
              <w:jc w:val="center"/>
            </w:pPr>
            <w:r w:rsidRPr="007E130D">
              <w:t>MKD_BSS</w:t>
            </w:r>
          </w:p>
        </w:tc>
        <w:tc>
          <w:tcPr>
            <w:tcW w:w="1462" w:type="dxa"/>
            <w:shd w:val="clear" w:color="auto" w:fill="auto"/>
            <w:vAlign w:val="center"/>
            <w:hideMark/>
          </w:tcPr>
          <w:p w14:paraId="0A2F2F93" w14:textId="77777777" w:rsidR="00FF7385" w:rsidRPr="007E130D" w:rsidRDefault="00FF7385" w:rsidP="00FF7385">
            <w:pPr>
              <w:pStyle w:val="Tabletext"/>
              <w:jc w:val="center"/>
            </w:pPr>
            <w:r w:rsidRPr="007E130D">
              <w:t>HRV</w:t>
            </w:r>
          </w:p>
        </w:tc>
        <w:tc>
          <w:tcPr>
            <w:tcW w:w="1952" w:type="dxa"/>
            <w:shd w:val="clear" w:color="auto" w:fill="auto"/>
            <w:vAlign w:val="center"/>
          </w:tcPr>
          <w:p w14:paraId="4F40D5F8" w14:textId="77777777" w:rsidR="00FF7385" w:rsidRPr="007E130D" w:rsidRDefault="00FF7385" w:rsidP="00FF7385">
            <w:pPr>
              <w:pStyle w:val="Tabletext"/>
              <w:jc w:val="center"/>
            </w:pPr>
            <w:r w:rsidRPr="007E130D">
              <w:t>HRV14801</w:t>
            </w:r>
          </w:p>
        </w:tc>
      </w:tr>
      <w:tr w:rsidR="00FF7385" w:rsidRPr="007E130D" w14:paraId="7DEC335F" w14:textId="77777777" w:rsidTr="00FF7385">
        <w:trPr>
          <w:trHeight w:val="277"/>
          <w:jc w:val="center"/>
        </w:trPr>
        <w:tc>
          <w:tcPr>
            <w:tcW w:w="536" w:type="dxa"/>
            <w:shd w:val="clear" w:color="auto" w:fill="auto"/>
            <w:vAlign w:val="center"/>
            <w:hideMark/>
          </w:tcPr>
          <w:p w14:paraId="6D48FBB9" w14:textId="77777777" w:rsidR="00FF7385" w:rsidRPr="007E130D" w:rsidRDefault="00FF7385" w:rsidP="00301850">
            <w:pPr>
              <w:pStyle w:val="Tabletext"/>
              <w:jc w:val="center"/>
            </w:pPr>
            <w:r w:rsidRPr="007E130D">
              <w:t>6</w:t>
            </w:r>
          </w:p>
        </w:tc>
        <w:tc>
          <w:tcPr>
            <w:tcW w:w="1586" w:type="dxa"/>
            <w:shd w:val="clear" w:color="auto" w:fill="auto"/>
            <w:vAlign w:val="center"/>
          </w:tcPr>
          <w:p w14:paraId="23EDDEE5" w14:textId="77777777" w:rsidR="00FF7385" w:rsidRPr="007E130D" w:rsidRDefault="00FF7385" w:rsidP="00301850">
            <w:pPr>
              <w:pStyle w:val="Tabletext"/>
              <w:jc w:val="center"/>
            </w:pPr>
            <w:r w:rsidRPr="007E130D">
              <w:t>MKD</w:t>
            </w:r>
          </w:p>
        </w:tc>
        <w:tc>
          <w:tcPr>
            <w:tcW w:w="1850" w:type="dxa"/>
            <w:shd w:val="clear" w:color="auto" w:fill="auto"/>
            <w:vAlign w:val="center"/>
            <w:hideMark/>
          </w:tcPr>
          <w:p w14:paraId="778CC63D" w14:textId="77777777" w:rsidR="00FF7385" w:rsidRPr="007E130D" w:rsidRDefault="00FF7385" w:rsidP="00301850">
            <w:pPr>
              <w:pStyle w:val="Tabletext"/>
              <w:jc w:val="center"/>
            </w:pPr>
            <w:r w:rsidRPr="007E130D">
              <w:t>MKD_BSS</w:t>
            </w:r>
          </w:p>
        </w:tc>
        <w:tc>
          <w:tcPr>
            <w:tcW w:w="1462" w:type="dxa"/>
            <w:shd w:val="clear" w:color="auto" w:fill="auto"/>
            <w:vAlign w:val="center"/>
            <w:hideMark/>
          </w:tcPr>
          <w:p w14:paraId="6E9E0433" w14:textId="77777777" w:rsidR="00FF7385" w:rsidRPr="007E130D" w:rsidRDefault="00FF7385" w:rsidP="00301850">
            <w:pPr>
              <w:pStyle w:val="Tabletext"/>
              <w:jc w:val="center"/>
            </w:pPr>
            <w:r w:rsidRPr="007E130D">
              <w:t>CZE</w:t>
            </w:r>
          </w:p>
        </w:tc>
        <w:tc>
          <w:tcPr>
            <w:tcW w:w="1952" w:type="dxa"/>
            <w:shd w:val="clear" w:color="auto" w:fill="auto"/>
            <w:vAlign w:val="center"/>
          </w:tcPr>
          <w:p w14:paraId="3F14040D" w14:textId="77777777" w:rsidR="00FF7385" w:rsidRPr="007E130D" w:rsidRDefault="00FF7385" w:rsidP="00301850">
            <w:pPr>
              <w:pStyle w:val="Tabletext"/>
              <w:jc w:val="center"/>
            </w:pPr>
            <w:r w:rsidRPr="007E130D">
              <w:t>CZE14401</w:t>
            </w:r>
          </w:p>
        </w:tc>
      </w:tr>
      <w:tr w:rsidR="00FF7385" w:rsidRPr="007E130D" w14:paraId="2627E9DD" w14:textId="77777777" w:rsidTr="00FF7385">
        <w:trPr>
          <w:cnfStyle w:val="000000100000" w:firstRow="0" w:lastRow="0" w:firstColumn="0" w:lastColumn="0" w:oddVBand="0" w:evenVBand="0" w:oddHBand="1" w:evenHBand="0" w:firstRowFirstColumn="0" w:firstRowLastColumn="0" w:lastRowFirstColumn="0" w:lastRowLastColumn="0"/>
          <w:trHeight w:val="277"/>
          <w:jc w:val="center"/>
        </w:trPr>
        <w:tc>
          <w:tcPr>
            <w:tcW w:w="536" w:type="dxa"/>
            <w:shd w:val="clear" w:color="auto" w:fill="auto"/>
            <w:vAlign w:val="center"/>
            <w:hideMark/>
          </w:tcPr>
          <w:p w14:paraId="697BBCBE" w14:textId="77777777" w:rsidR="00FF7385" w:rsidRPr="007E130D" w:rsidRDefault="00FF7385" w:rsidP="00301850">
            <w:pPr>
              <w:pStyle w:val="Tabletext"/>
              <w:jc w:val="center"/>
            </w:pPr>
            <w:r w:rsidRPr="007E130D">
              <w:t>7</w:t>
            </w:r>
          </w:p>
        </w:tc>
        <w:tc>
          <w:tcPr>
            <w:tcW w:w="1586" w:type="dxa"/>
            <w:shd w:val="clear" w:color="auto" w:fill="auto"/>
            <w:vAlign w:val="center"/>
          </w:tcPr>
          <w:p w14:paraId="4B04C154" w14:textId="77777777" w:rsidR="00FF7385" w:rsidRPr="007E130D" w:rsidRDefault="00FF7385" w:rsidP="00301850">
            <w:pPr>
              <w:pStyle w:val="Tabletext"/>
              <w:jc w:val="center"/>
            </w:pPr>
            <w:r w:rsidRPr="007E130D">
              <w:t>ROU</w:t>
            </w:r>
          </w:p>
        </w:tc>
        <w:tc>
          <w:tcPr>
            <w:tcW w:w="1850" w:type="dxa"/>
            <w:shd w:val="clear" w:color="auto" w:fill="auto"/>
            <w:vAlign w:val="center"/>
            <w:hideMark/>
          </w:tcPr>
          <w:p w14:paraId="10799A78" w14:textId="77777777" w:rsidR="00FF7385" w:rsidRPr="007E130D" w:rsidRDefault="00FF7385" w:rsidP="00301850">
            <w:pPr>
              <w:pStyle w:val="Tabletext"/>
              <w:jc w:val="center"/>
            </w:pPr>
            <w:r w:rsidRPr="007E130D">
              <w:t>ROU_SAT</w:t>
            </w:r>
          </w:p>
        </w:tc>
        <w:tc>
          <w:tcPr>
            <w:tcW w:w="1462" w:type="dxa"/>
            <w:shd w:val="clear" w:color="auto" w:fill="auto"/>
            <w:vAlign w:val="center"/>
            <w:hideMark/>
          </w:tcPr>
          <w:p w14:paraId="2427B71A" w14:textId="77777777" w:rsidR="00FF7385" w:rsidRPr="007E130D" w:rsidRDefault="00FF7385" w:rsidP="00301850">
            <w:pPr>
              <w:pStyle w:val="Tabletext"/>
              <w:jc w:val="center"/>
            </w:pPr>
            <w:r w:rsidRPr="007E130D">
              <w:t>LBY</w:t>
            </w:r>
          </w:p>
        </w:tc>
        <w:tc>
          <w:tcPr>
            <w:tcW w:w="1952" w:type="dxa"/>
            <w:shd w:val="clear" w:color="auto" w:fill="auto"/>
            <w:vAlign w:val="center"/>
          </w:tcPr>
          <w:p w14:paraId="22A81B31" w14:textId="77777777" w:rsidR="00FF7385" w:rsidRPr="007E130D" w:rsidRDefault="00FF7385" w:rsidP="00301850">
            <w:pPr>
              <w:pStyle w:val="Tabletext"/>
              <w:jc w:val="center"/>
            </w:pPr>
            <w:r w:rsidRPr="007E130D">
              <w:t>LBY__100</w:t>
            </w:r>
          </w:p>
        </w:tc>
      </w:tr>
      <w:tr w:rsidR="00FF7385" w:rsidRPr="007E130D" w14:paraId="42D0294E" w14:textId="77777777" w:rsidTr="00FF7385">
        <w:trPr>
          <w:trHeight w:val="277"/>
          <w:jc w:val="center"/>
        </w:trPr>
        <w:tc>
          <w:tcPr>
            <w:tcW w:w="536" w:type="dxa"/>
            <w:shd w:val="clear" w:color="auto" w:fill="auto"/>
            <w:vAlign w:val="center"/>
            <w:hideMark/>
          </w:tcPr>
          <w:p w14:paraId="64438C90" w14:textId="77777777" w:rsidR="00FF7385" w:rsidRPr="007E130D" w:rsidRDefault="00FF7385" w:rsidP="00301850">
            <w:pPr>
              <w:pStyle w:val="Tabletext"/>
              <w:jc w:val="center"/>
            </w:pPr>
            <w:r w:rsidRPr="007E130D">
              <w:t>8</w:t>
            </w:r>
          </w:p>
        </w:tc>
        <w:tc>
          <w:tcPr>
            <w:tcW w:w="1586" w:type="dxa"/>
            <w:shd w:val="clear" w:color="auto" w:fill="auto"/>
            <w:vAlign w:val="center"/>
          </w:tcPr>
          <w:p w14:paraId="0E7462E2" w14:textId="77777777" w:rsidR="00FF7385" w:rsidRPr="007E130D" w:rsidRDefault="00FF7385" w:rsidP="00301850">
            <w:pPr>
              <w:pStyle w:val="Tabletext"/>
              <w:jc w:val="center"/>
            </w:pPr>
            <w:r w:rsidRPr="007E130D">
              <w:t>ZMB</w:t>
            </w:r>
          </w:p>
        </w:tc>
        <w:tc>
          <w:tcPr>
            <w:tcW w:w="1850" w:type="dxa"/>
            <w:shd w:val="clear" w:color="auto" w:fill="auto"/>
            <w:vAlign w:val="center"/>
            <w:hideMark/>
          </w:tcPr>
          <w:p w14:paraId="2202212A" w14:textId="77777777" w:rsidR="00FF7385" w:rsidRPr="007E130D" w:rsidRDefault="00FF7385" w:rsidP="00301850">
            <w:pPr>
              <w:pStyle w:val="Tabletext"/>
              <w:jc w:val="center"/>
            </w:pPr>
            <w:r w:rsidRPr="007E130D">
              <w:t>ZMB_2020</w:t>
            </w:r>
          </w:p>
        </w:tc>
        <w:tc>
          <w:tcPr>
            <w:tcW w:w="1462" w:type="dxa"/>
            <w:shd w:val="clear" w:color="auto" w:fill="auto"/>
            <w:vAlign w:val="center"/>
            <w:hideMark/>
          </w:tcPr>
          <w:p w14:paraId="46BF106A" w14:textId="77777777" w:rsidR="00FF7385" w:rsidRPr="007E130D" w:rsidRDefault="00FF7385" w:rsidP="00301850">
            <w:pPr>
              <w:pStyle w:val="Tabletext"/>
              <w:jc w:val="center"/>
            </w:pPr>
            <w:r w:rsidRPr="007E130D">
              <w:t>LBY</w:t>
            </w:r>
          </w:p>
        </w:tc>
        <w:tc>
          <w:tcPr>
            <w:tcW w:w="1952" w:type="dxa"/>
            <w:shd w:val="clear" w:color="auto" w:fill="auto"/>
            <w:vAlign w:val="center"/>
          </w:tcPr>
          <w:p w14:paraId="2AE58947" w14:textId="77777777" w:rsidR="00FF7385" w:rsidRPr="007E130D" w:rsidRDefault="00FF7385" w:rsidP="00301850">
            <w:pPr>
              <w:pStyle w:val="Tabletext"/>
              <w:jc w:val="center"/>
            </w:pPr>
            <w:r w:rsidRPr="007E130D">
              <w:t>LBY__100</w:t>
            </w:r>
          </w:p>
        </w:tc>
      </w:tr>
    </w:tbl>
    <w:p w14:paraId="46CD7E3C" w14:textId="1325008D" w:rsidR="0099534D" w:rsidRPr="007E130D" w:rsidRDefault="00512050" w:rsidP="001F27A4">
      <w:pPr>
        <w:spacing w:before="240"/>
      </w:pPr>
      <w:r w:rsidRPr="007E130D">
        <w:t xml:space="preserve">Suite à l'approbation par le GT 4A, lors de sa réunion d'octobre/novembre 2021, de toutes les mesures suggérées par le Bureau pour faciliter la coordination des soumissions au titre de la Résolution </w:t>
      </w:r>
      <w:r w:rsidRPr="007E130D">
        <w:rPr>
          <w:b/>
          <w:bCs/>
        </w:rPr>
        <w:t>559 (CMR</w:t>
      </w:r>
      <w:r w:rsidR="00FC05C7" w:rsidRPr="007E130D">
        <w:rPr>
          <w:b/>
          <w:bCs/>
        </w:rPr>
        <w:t>-</w:t>
      </w:r>
      <w:r w:rsidRPr="007E130D">
        <w:rPr>
          <w:b/>
          <w:bCs/>
        </w:rPr>
        <w:t>19)</w:t>
      </w:r>
      <w:r w:rsidRPr="007E130D">
        <w:t>, le Bureau a continué à informer le GT 4A de l'avancement des activités</w:t>
      </w:r>
      <w:r w:rsidR="001F27A4" w:rsidRPr="007E130D">
        <w:t xml:space="preserve"> </w:t>
      </w:r>
      <w:r w:rsidRPr="007E130D">
        <w:t xml:space="preserve">de coordination des soumissions au titre de la Résolution </w:t>
      </w:r>
      <w:r w:rsidRPr="007E130D">
        <w:rPr>
          <w:b/>
          <w:bCs/>
        </w:rPr>
        <w:t>559</w:t>
      </w:r>
      <w:r w:rsidRPr="007E130D">
        <w:t xml:space="preserve"> et a invité les administrations concernées à répondre rapidement et positivement aux propositions de coordination reçues de la part des administrations</w:t>
      </w:r>
      <w:r w:rsidR="000C7D2E" w:rsidRPr="007E130D">
        <w:t xml:space="preserve"> relevant</w:t>
      </w:r>
      <w:r w:rsidRPr="007E130D">
        <w:t xml:space="preserve"> de la Résolution </w:t>
      </w:r>
      <w:r w:rsidRPr="007E130D">
        <w:rPr>
          <w:b/>
          <w:bCs/>
        </w:rPr>
        <w:t>559</w:t>
      </w:r>
      <w:r w:rsidRPr="007E130D">
        <w:t>.</w:t>
      </w:r>
    </w:p>
    <w:p w14:paraId="5470A906" w14:textId="3550347A" w:rsidR="0099534D" w:rsidRPr="007E130D" w:rsidRDefault="000C7D2E" w:rsidP="00B20AC9">
      <w:r w:rsidRPr="007E130D">
        <w:t>Sur la base des accords de coordination entre les administrations relevant de la Rés</w:t>
      </w:r>
      <w:r w:rsidR="0083433F" w:rsidRPr="007E130D">
        <w:t xml:space="preserve">olution </w:t>
      </w:r>
      <w:r w:rsidRPr="007E130D">
        <w:rPr>
          <w:b/>
          <w:bCs/>
        </w:rPr>
        <w:t>559</w:t>
      </w:r>
      <w:r w:rsidRPr="007E130D">
        <w:t xml:space="preserve"> et les administrations affectées, notamment en vertu des dispositions des § 4.1.1 a) et § 4.1.1 b), ainsi que des décisions pertinentes prises par le Comité lors de sa 89</w:t>
      </w:r>
      <w:r w:rsidR="00FF7385" w:rsidRPr="007E130D">
        <w:t>ème</w:t>
      </w:r>
      <w:r w:rsidRPr="007E130D">
        <w:t xml:space="preserve"> réunion, le Bureau a présenté à la</w:t>
      </w:r>
      <w:r w:rsidR="00FF7385" w:rsidRPr="007E130D">
        <w:t> </w:t>
      </w:r>
      <w:r w:rsidRPr="007E130D">
        <w:t>90</w:t>
      </w:r>
      <w:r w:rsidR="00FF7385" w:rsidRPr="007E130D">
        <w:t xml:space="preserve">ème </w:t>
      </w:r>
      <w:r w:rsidRPr="007E130D">
        <w:t>réunion du Comité les statistiques relatives aux activités de coordination et a soumis des propositions supplémentaires au Comité afin de faciliter davantage la coordination des soumissions au titre de la Rés</w:t>
      </w:r>
      <w:r w:rsidR="0083433F" w:rsidRPr="007E130D">
        <w:t xml:space="preserve">olution </w:t>
      </w:r>
      <w:r w:rsidRPr="007E130D">
        <w:rPr>
          <w:b/>
          <w:bCs/>
        </w:rPr>
        <w:t>559</w:t>
      </w:r>
      <w:r w:rsidRPr="007E130D">
        <w:t>.</w:t>
      </w:r>
    </w:p>
    <w:p w14:paraId="0111343C" w14:textId="5BF460A0" w:rsidR="0099534D" w:rsidRPr="007E130D" w:rsidRDefault="0099534D" w:rsidP="00B20AC9">
      <w:r w:rsidRPr="007E130D">
        <w:t>Notant le pourcentage plus faible de réponses relatives au Plan pour les Régions 1 et 3, par rapport aux réponses concernant les utilisations additionnelles, dans les statistiques actualisées qu'il a présentées au Groupe de travail 4A</w:t>
      </w:r>
      <w:r w:rsidR="000C7D2E" w:rsidRPr="007E130D">
        <w:t xml:space="preserve"> lors de sa réunion de septembre 2022</w:t>
      </w:r>
      <w:r w:rsidRPr="007E130D">
        <w:t xml:space="preserve">, le Bureau a aussi rendu compte d'informations détaillées concernant la compatibilité entre les soumissions au titre de la Résolution </w:t>
      </w:r>
      <w:r w:rsidRPr="007E130D">
        <w:rPr>
          <w:b/>
          <w:bCs/>
        </w:rPr>
        <w:t>559</w:t>
      </w:r>
      <w:r w:rsidRPr="007E130D">
        <w:t xml:space="preserve"> et les Plans pour les </w:t>
      </w:r>
      <w:r w:rsidR="00301850" w:rsidRPr="007E130D">
        <w:t>R</w:t>
      </w:r>
      <w:r w:rsidRPr="007E130D">
        <w:t xml:space="preserve">égions 1 et 3 (voir Annexe 2 du Document </w:t>
      </w:r>
      <w:hyperlink r:id="rId38" w:history="1">
        <w:r w:rsidRPr="007E130D">
          <w:rPr>
            <w:rStyle w:val="Hyperlink"/>
          </w:rPr>
          <w:t>4A/844(Rév.1)</w:t>
        </w:r>
      </w:hyperlink>
      <w:r w:rsidRPr="007E130D">
        <w:t xml:space="preserve">). En outre, le Bureau a demandé l'avis technique du Groupe de travail 4A pour déterminer dans quels cas l'adoption de ces assignations au titre de la Résolution </w:t>
      </w:r>
      <w:r w:rsidRPr="007E130D">
        <w:rPr>
          <w:b/>
          <w:bCs/>
        </w:rPr>
        <w:t>559</w:t>
      </w:r>
      <w:r w:rsidRPr="007E130D">
        <w:t xml:space="preserve"> dans les Plans des </w:t>
      </w:r>
      <w:r w:rsidR="00FF7385" w:rsidRPr="007E130D">
        <w:t>R</w:t>
      </w:r>
      <w:r w:rsidRPr="007E130D">
        <w:t xml:space="preserve">égions 1 et 3 pourrait être acceptée sans qu'il soit nécessaire de modifier les paramètres techniques de ces assignations au titre de la Résolution </w:t>
      </w:r>
      <w:r w:rsidRPr="007E130D">
        <w:rPr>
          <w:b/>
          <w:bCs/>
        </w:rPr>
        <w:t>559</w:t>
      </w:r>
      <w:r w:rsidRPr="007E130D">
        <w:t>.</w:t>
      </w:r>
    </w:p>
    <w:p w14:paraId="0C0D883D" w14:textId="45D7F886" w:rsidR="0099534D" w:rsidRPr="007E130D" w:rsidRDefault="0099534D" w:rsidP="00B20AC9">
      <w:r w:rsidRPr="007E130D">
        <w:t>Sur la base de la note adressée au Directeur du Bureau par le Groupe de travail 4A (voir l'</w:t>
      </w:r>
      <w:hyperlink r:id="rId39" w:history="1">
        <w:r w:rsidRPr="007E130D">
          <w:rPr>
            <w:rStyle w:val="Hyperlink"/>
          </w:rPr>
          <w:t>Annexe 40</w:t>
        </w:r>
      </w:hyperlink>
      <w:r w:rsidRPr="007E130D">
        <w:t xml:space="preserve"> du</w:t>
      </w:r>
      <w:r w:rsidR="00FF7385" w:rsidRPr="007E130D">
        <w:t xml:space="preserve"> Document</w:t>
      </w:r>
      <w:r w:rsidRPr="007E130D">
        <w:t xml:space="preserve"> </w:t>
      </w:r>
      <w:hyperlink r:id="rId40" w:history="1">
        <w:r w:rsidR="00FF7385" w:rsidRPr="007E130D">
          <w:rPr>
            <w:rStyle w:val="Hyperlink"/>
          </w:rPr>
          <w:t>4A/856</w:t>
        </w:r>
      </w:hyperlink>
      <w:r w:rsidRPr="007E130D">
        <w:t xml:space="preserve">), le Bureau </w:t>
      </w:r>
      <w:r w:rsidR="000C7D2E" w:rsidRPr="007E130D">
        <w:t>a fait rapport à la 91</w:t>
      </w:r>
      <w:r w:rsidR="00FF7385" w:rsidRPr="007E130D">
        <w:t>ème</w:t>
      </w:r>
      <w:r w:rsidR="000C7D2E" w:rsidRPr="007E130D">
        <w:t xml:space="preserve"> réunion du Comité et lui a </w:t>
      </w:r>
      <w:r w:rsidRPr="007E130D">
        <w:t>propos</w:t>
      </w:r>
      <w:r w:rsidR="000C7D2E" w:rsidRPr="007E130D">
        <w:t>é</w:t>
      </w:r>
      <w:r w:rsidRPr="007E130D">
        <w:t xml:space="preserve"> d'étudier la possibilité d'inscrire dans le rapport sur la Résolution </w:t>
      </w:r>
      <w:r w:rsidRPr="007E130D">
        <w:rPr>
          <w:b/>
        </w:rPr>
        <w:t>559</w:t>
      </w:r>
      <w:r w:rsidRPr="007E130D">
        <w:t xml:space="preserve"> (</w:t>
      </w:r>
      <w:r w:rsidRPr="007E130D">
        <w:rPr>
          <w:b/>
        </w:rPr>
        <w:t>CMR-19</w:t>
      </w:r>
      <w:r w:rsidRPr="007E130D">
        <w:t xml:space="preserve">) qu'il présentera pour examen à la CMR-23 le fait que, pour les cas où le rapport porteuse/brouillage pour un brouillage dû à une source unique dans le sens espace vers Terre est supérieur à 21 dB, et où le rapport porteuse/brouillage pour un brouillage dû à une source unique dans le sens Terre vers espace est supérieur à 30 dB, les soumissions au titre de la Résolution </w:t>
      </w:r>
      <w:r w:rsidRPr="007E130D">
        <w:rPr>
          <w:b/>
          <w:bCs/>
        </w:rPr>
        <w:t>559</w:t>
      </w:r>
      <w:r w:rsidRPr="007E130D">
        <w:t xml:space="preserve"> et les assignations de fréquence correspondantes du Plan pour les Régions 1 et 3 seraient considérées comme compatibles. Compte tenu des décisions adoptées par le Comité à sa 90ème réunion, pour ces cas compatibles, en vue de préserver le même niveau de protection aux assignations de fréquence des Plans pour les Régions 1 et 3 liées à des soumissions au titre de l'Article </w:t>
      </w:r>
      <w:r w:rsidRPr="007E130D">
        <w:rPr>
          <w:b/>
          <w:bCs/>
        </w:rPr>
        <w:t>4</w:t>
      </w:r>
      <w:r w:rsidRPr="007E130D">
        <w:t xml:space="preserve">, il est aussi proposé que la situation de référence de ces assignations de fréquence des Plans pour les </w:t>
      </w:r>
      <w:r w:rsidR="00FF7385" w:rsidRPr="007E130D">
        <w:t>R</w:t>
      </w:r>
      <w:r w:rsidRPr="007E130D">
        <w:t xml:space="preserve">égions 1 et 3 ne soit pas mise à jour lorsque les assignations de fréquence de la Liste au titre de la Résolution </w:t>
      </w:r>
      <w:r w:rsidRPr="007E130D">
        <w:rPr>
          <w:b/>
          <w:bCs/>
        </w:rPr>
        <w:t xml:space="preserve">559 </w:t>
      </w:r>
      <w:r w:rsidRPr="007E130D">
        <w:t>figureront dans les Plans.</w:t>
      </w:r>
    </w:p>
    <w:p w14:paraId="7E30469A" w14:textId="559357AE" w:rsidR="00B84CA5" w:rsidRPr="007E130D" w:rsidRDefault="00B84CA5" w:rsidP="00B20AC9">
      <w:r w:rsidRPr="007E130D">
        <w:lastRenderedPageBreak/>
        <w:t>Afin d'aider leurs membres à préparer la partie B des soumissions au titre de la Rés</w:t>
      </w:r>
      <w:r w:rsidR="0083433F" w:rsidRPr="007E130D">
        <w:t xml:space="preserve">olution </w:t>
      </w:r>
      <w:r w:rsidRPr="007E130D">
        <w:rPr>
          <w:b/>
          <w:bCs/>
        </w:rPr>
        <w:t>559</w:t>
      </w:r>
      <w:r w:rsidRPr="007E130D">
        <w:t xml:space="preserve"> et les demandes correspondantes à la CMR-23, la SADC et l'UAT ont organisé des ateliers spéciaux du</w:t>
      </w:r>
      <w:r w:rsidR="0083433F" w:rsidRPr="007E130D">
        <w:t> </w:t>
      </w:r>
      <w:r w:rsidRPr="007E130D">
        <w:t>6</w:t>
      </w:r>
      <w:r w:rsidR="0083433F" w:rsidRPr="007E130D">
        <w:t> </w:t>
      </w:r>
      <w:r w:rsidRPr="007E130D">
        <w:t>au 9 décembre 2022 à Gaborone (Botswana) et le 13 décembre 2022, respectivement. L'atelier en ligne organisé par l'UAT a été étendu à l'ensemble des 45 administrations relevant de la Rés</w:t>
      </w:r>
      <w:r w:rsidR="0083433F" w:rsidRPr="007E130D">
        <w:t xml:space="preserve">olution </w:t>
      </w:r>
      <w:r w:rsidRPr="007E130D">
        <w:rPr>
          <w:b/>
          <w:bCs/>
        </w:rPr>
        <w:t>559</w:t>
      </w:r>
      <w:r w:rsidRPr="007E130D">
        <w:t>. Le personnel du BR a participé activement à ces ateliers spéciaux et a fourni l'assistance demandée.</w:t>
      </w:r>
    </w:p>
    <w:p w14:paraId="1D11815D" w14:textId="77777777" w:rsidR="0099534D" w:rsidRPr="007E130D" w:rsidRDefault="0099534D" w:rsidP="00B20AC9">
      <w:r w:rsidRPr="007E130D">
        <w:t xml:space="preserve">À la suite de ces deux manifestations, 41 des 45 administrations relevant de la Résolution </w:t>
      </w:r>
      <w:r w:rsidRPr="007E130D">
        <w:rPr>
          <w:b/>
          <w:bCs/>
        </w:rPr>
        <w:t>559</w:t>
      </w:r>
      <w:r w:rsidRPr="007E130D">
        <w:t xml:space="preserve"> ont soumis avec succès leur Partie B au Bureau en janvier 2023. En raison de ressources insuffisantes, les Administrations de l'Afghanistan, de la Guinée équatoriale, de Malte et des Seychelles n'ont pas encore entamé la procédure de coordination avec les administrations concernées. Le Bureau continuera d'aider ces administrations à appliquer avec succès la Résolution </w:t>
      </w:r>
      <w:r w:rsidRPr="007E130D">
        <w:rPr>
          <w:b/>
          <w:bCs/>
        </w:rPr>
        <w:t>559 (CMR-19)</w:t>
      </w:r>
      <w:r w:rsidRPr="007E130D">
        <w:t xml:space="preserve"> d'ici à la CMR-27.</w:t>
      </w:r>
    </w:p>
    <w:p w14:paraId="439C8EF2" w14:textId="3A885467" w:rsidR="00BD32FF" w:rsidRPr="007E130D" w:rsidRDefault="00BB175B" w:rsidP="00B20AC9">
      <w:r w:rsidRPr="007E130D">
        <w:t>En ce qui concerne les 41 soumissions au titre de la Partie B de la Rés</w:t>
      </w:r>
      <w:r w:rsidR="0083433F" w:rsidRPr="007E130D">
        <w:t xml:space="preserve">olution </w:t>
      </w:r>
      <w:r w:rsidRPr="007E130D">
        <w:rPr>
          <w:b/>
          <w:bCs/>
        </w:rPr>
        <w:t>559</w:t>
      </w:r>
      <w:r w:rsidRPr="007E130D">
        <w:t xml:space="preserve"> susmentionnées, le Bureau les a validées, examinées et publiées dans les 82 sections spéciales correspondantes de la Partie B de la BR IFIC 2993 du 4 avril 2023 en vue de l'inclusion des assignations de fréquence de ces 41 soumissions </w:t>
      </w:r>
      <w:r w:rsidR="00BD32FF" w:rsidRPr="007E130D">
        <w:t xml:space="preserve">au titre </w:t>
      </w:r>
      <w:r w:rsidRPr="007E130D">
        <w:t>de la Rés</w:t>
      </w:r>
      <w:r w:rsidR="0083433F" w:rsidRPr="007E130D">
        <w:t xml:space="preserve">olution </w:t>
      </w:r>
      <w:r w:rsidRPr="007E130D">
        <w:rPr>
          <w:b/>
          <w:bCs/>
        </w:rPr>
        <w:t>559</w:t>
      </w:r>
      <w:r w:rsidRPr="007E130D">
        <w:t xml:space="preserve"> dans la Liste des utilisations additionnelles des Appendices </w:t>
      </w:r>
      <w:r w:rsidRPr="007E130D">
        <w:rPr>
          <w:b/>
          <w:bCs/>
        </w:rPr>
        <w:t>30</w:t>
      </w:r>
      <w:r w:rsidRPr="007E130D">
        <w:t xml:space="preserve"> et </w:t>
      </w:r>
      <w:r w:rsidRPr="007E130D">
        <w:rPr>
          <w:b/>
          <w:bCs/>
        </w:rPr>
        <w:t>30A</w:t>
      </w:r>
      <w:r w:rsidRPr="007E130D">
        <w:t xml:space="preserve">. Par la suite, le Bureau a informé les </w:t>
      </w:r>
      <w:r w:rsidR="00BD32FF" w:rsidRPr="007E130D">
        <w:t xml:space="preserve">41 </w:t>
      </w:r>
      <w:r w:rsidRPr="007E130D">
        <w:t xml:space="preserve">administrations </w:t>
      </w:r>
      <w:r w:rsidR="00BD32FF" w:rsidRPr="007E130D">
        <w:t>relevant de la</w:t>
      </w:r>
      <w:r w:rsidRPr="007E130D">
        <w:t xml:space="preserve"> Rés</w:t>
      </w:r>
      <w:r w:rsidR="0083433F" w:rsidRPr="007E130D">
        <w:t xml:space="preserve">olution </w:t>
      </w:r>
      <w:r w:rsidRPr="007E130D">
        <w:rPr>
          <w:b/>
          <w:bCs/>
        </w:rPr>
        <w:t>559</w:t>
      </w:r>
      <w:r w:rsidRPr="007E130D">
        <w:t xml:space="preserve"> de</w:t>
      </w:r>
      <w:r w:rsidR="00BD32FF" w:rsidRPr="007E130D">
        <w:t xml:space="preserve"> la publication de leurs S</w:t>
      </w:r>
      <w:r w:rsidRPr="007E130D">
        <w:t xml:space="preserve">ections spéciales pertinentes de la Partie B et les a toutes aidées à préparer une demande correspondante conformément à la Résolution </w:t>
      </w:r>
      <w:r w:rsidRPr="007E130D">
        <w:rPr>
          <w:b/>
          <w:bCs/>
        </w:rPr>
        <w:t>559 (CMR-19)</w:t>
      </w:r>
      <w:r w:rsidRPr="007E130D">
        <w:t xml:space="preserve"> pour soumission à la CMR-23.</w:t>
      </w:r>
    </w:p>
    <w:p w14:paraId="6824C2A9" w14:textId="22A2BB7D" w:rsidR="0099534D" w:rsidRPr="007E130D" w:rsidRDefault="00BD32FF" w:rsidP="006A7A00">
      <w:pPr>
        <w:spacing w:after="240"/>
      </w:pPr>
      <w:r w:rsidRPr="007E130D">
        <w:t>L'examen technique des 41 soumissions au titre de la Partie B porte sur un total de 1 393 cas de coordination des fréquences. Grâce aux décisions du RRB, aux conseils techniques du GT</w:t>
      </w:r>
      <w:r w:rsidR="006A7A00" w:rsidRPr="007E130D">
        <w:t xml:space="preserve"> </w:t>
      </w:r>
      <w:r w:rsidRPr="007E130D">
        <w:t>4A de l'UIT-R, au rôle actif des administrations relevant de la Rés</w:t>
      </w:r>
      <w:r w:rsidR="0083433F" w:rsidRPr="007E130D">
        <w:t xml:space="preserve">olution </w:t>
      </w:r>
      <w:r w:rsidRPr="007E130D">
        <w:rPr>
          <w:b/>
          <w:bCs/>
        </w:rPr>
        <w:t>559</w:t>
      </w:r>
      <w:r w:rsidRPr="007E130D">
        <w:t>, à l'esprit de coopération des administrations susceptibles d</w:t>
      </w:r>
      <w:r w:rsidR="000C4CDD" w:rsidRPr="007E130D">
        <w:t>'</w:t>
      </w:r>
      <w:r w:rsidRPr="007E130D">
        <w:t xml:space="preserve">être concernées et à l'assistance du Bureau, 87,08% de ces cas de coordination des fréquences ont été résolus au moment de la rédaction du présent rapport. </w:t>
      </w:r>
      <w:r w:rsidR="0099534D" w:rsidRPr="007E130D">
        <w:t>Cent quatre-vingts (180) cas de coordination des fréquences doivent encore être traités. Les statistiques concernant les cas de coordination restants sont les suivantes:</w:t>
      </w:r>
    </w:p>
    <w:tbl>
      <w:tblPr>
        <w:tblStyle w:val="TableGrid"/>
        <w:tblW w:w="0" w:type="auto"/>
        <w:jc w:val="center"/>
        <w:tblLayout w:type="fixed"/>
        <w:tblLook w:val="04A0" w:firstRow="1" w:lastRow="0" w:firstColumn="1" w:lastColumn="0" w:noHBand="0" w:noVBand="1"/>
      </w:tblPr>
      <w:tblGrid>
        <w:gridCol w:w="1269"/>
        <w:gridCol w:w="2393"/>
        <w:gridCol w:w="2393"/>
        <w:gridCol w:w="2393"/>
      </w:tblGrid>
      <w:tr w:rsidR="0099534D" w:rsidRPr="007E130D" w14:paraId="05DBC4D6" w14:textId="77777777" w:rsidTr="0099534D">
        <w:trPr>
          <w:jc w:val="center"/>
        </w:trPr>
        <w:tc>
          <w:tcPr>
            <w:tcW w:w="1269" w:type="dxa"/>
            <w:vAlign w:val="center"/>
          </w:tcPr>
          <w:p w14:paraId="654CCB0C" w14:textId="77777777" w:rsidR="0099534D" w:rsidRPr="007E130D" w:rsidRDefault="0099534D" w:rsidP="00B20AC9">
            <w:pPr>
              <w:pStyle w:val="Tablehead"/>
              <w:rPr>
                <w:rFonts w:eastAsiaTheme="minorEastAsia"/>
              </w:rPr>
            </w:pPr>
            <w:r w:rsidRPr="007E130D">
              <w:rPr>
                <w:rFonts w:eastAsiaTheme="minorEastAsia"/>
              </w:rPr>
              <w:t>Total</w:t>
            </w:r>
          </w:p>
        </w:tc>
        <w:tc>
          <w:tcPr>
            <w:tcW w:w="2393" w:type="dxa"/>
            <w:vAlign w:val="center"/>
          </w:tcPr>
          <w:p w14:paraId="4E167CA7" w14:textId="7BA4B4EB" w:rsidR="0099534D" w:rsidRPr="007E130D" w:rsidRDefault="0099534D" w:rsidP="006A7A00">
            <w:pPr>
              <w:pStyle w:val="Tablehead"/>
              <w:rPr>
                <w:rFonts w:eastAsiaTheme="minorEastAsia"/>
              </w:rPr>
            </w:pPr>
            <w:r w:rsidRPr="007E130D">
              <w:rPr>
                <w:rFonts w:eastAsiaTheme="minorEastAsia"/>
              </w:rPr>
              <w:t>Coordination au titre du</w:t>
            </w:r>
            <w:r w:rsidR="006A7A00" w:rsidRPr="007E130D">
              <w:rPr>
                <w:rFonts w:eastAsiaTheme="minorEastAsia"/>
              </w:rPr>
              <w:t xml:space="preserve"> </w:t>
            </w:r>
            <w:r w:rsidRPr="007E130D">
              <w:rPr>
                <w:rFonts w:eastAsiaTheme="minorEastAsia"/>
              </w:rPr>
              <w:t>A30#4.1.1b</w:t>
            </w:r>
            <w:r w:rsidR="0083433F" w:rsidRPr="007E130D">
              <w:rPr>
                <w:rFonts w:eastAsiaTheme="minorEastAsia"/>
              </w:rPr>
              <w:t>)</w:t>
            </w:r>
          </w:p>
        </w:tc>
        <w:tc>
          <w:tcPr>
            <w:tcW w:w="2393" w:type="dxa"/>
            <w:vAlign w:val="center"/>
          </w:tcPr>
          <w:p w14:paraId="4FB8DEB8" w14:textId="1A29290E" w:rsidR="0099534D" w:rsidRPr="007E130D" w:rsidRDefault="0099534D" w:rsidP="006A7A00">
            <w:pPr>
              <w:pStyle w:val="Tablehead"/>
              <w:rPr>
                <w:rFonts w:eastAsiaTheme="minorEastAsia"/>
              </w:rPr>
            </w:pPr>
            <w:r w:rsidRPr="007E130D">
              <w:rPr>
                <w:rFonts w:eastAsiaTheme="minorEastAsia"/>
              </w:rPr>
              <w:t>Coordination au titre du</w:t>
            </w:r>
            <w:r w:rsidR="006A7A00" w:rsidRPr="007E130D">
              <w:rPr>
                <w:rFonts w:eastAsiaTheme="minorEastAsia"/>
              </w:rPr>
              <w:t xml:space="preserve"> </w:t>
            </w:r>
            <w:r w:rsidRPr="007E130D">
              <w:rPr>
                <w:rFonts w:eastAsiaTheme="minorEastAsia"/>
              </w:rPr>
              <w:t>A30#4.1.1e</w:t>
            </w:r>
            <w:r w:rsidR="0083433F" w:rsidRPr="007E130D">
              <w:rPr>
                <w:rFonts w:eastAsiaTheme="minorEastAsia"/>
              </w:rPr>
              <w:t>)</w:t>
            </w:r>
          </w:p>
        </w:tc>
        <w:tc>
          <w:tcPr>
            <w:tcW w:w="2393" w:type="dxa"/>
            <w:vAlign w:val="center"/>
          </w:tcPr>
          <w:p w14:paraId="31041D10" w14:textId="289419A3" w:rsidR="0099534D" w:rsidRPr="007E130D" w:rsidRDefault="0099534D" w:rsidP="006A7A00">
            <w:pPr>
              <w:pStyle w:val="Tablehead"/>
              <w:rPr>
                <w:rFonts w:eastAsiaTheme="minorEastAsia"/>
              </w:rPr>
            </w:pPr>
            <w:r w:rsidRPr="007E130D">
              <w:rPr>
                <w:rFonts w:eastAsiaTheme="minorEastAsia"/>
              </w:rPr>
              <w:t>Coordination au titre du</w:t>
            </w:r>
            <w:r w:rsidR="006A7A00" w:rsidRPr="007E130D">
              <w:rPr>
                <w:rFonts w:eastAsiaTheme="minorEastAsia"/>
              </w:rPr>
              <w:t xml:space="preserve"> </w:t>
            </w:r>
            <w:r w:rsidRPr="007E130D">
              <w:rPr>
                <w:rFonts w:eastAsiaTheme="minorEastAsia"/>
              </w:rPr>
              <w:t>A30A#4.1.1b</w:t>
            </w:r>
            <w:r w:rsidR="0083433F" w:rsidRPr="007E130D">
              <w:rPr>
                <w:rFonts w:eastAsiaTheme="minorEastAsia"/>
              </w:rPr>
              <w:t>)</w:t>
            </w:r>
          </w:p>
        </w:tc>
      </w:tr>
      <w:tr w:rsidR="0099534D" w:rsidRPr="007E130D" w14:paraId="00344DBE" w14:textId="77777777" w:rsidTr="0083433F">
        <w:trPr>
          <w:jc w:val="center"/>
        </w:trPr>
        <w:tc>
          <w:tcPr>
            <w:tcW w:w="1269" w:type="dxa"/>
            <w:vAlign w:val="center"/>
          </w:tcPr>
          <w:p w14:paraId="5B1AFDF0" w14:textId="77777777" w:rsidR="0099534D" w:rsidRPr="007E130D" w:rsidRDefault="0099534D" w:rsidP="0083433F">
            <w:pPr>
              <w:pStyle w:val="Tabletext"/>
              <w:jc w:val="center"/>
              <w:rPr>
                <w:rFonts w:eastAsiaTheme="minorEastAsia"/>
              </w:rPr>
            </w:pPr>
            <w:r w:rsidRPr="007E130D">
              <w:rPr>
                <w:rFonts w:eastAsiaTheme="minorEastAsia"/>
              </w:rPr>
              <w:t>180</w:t>
            </w:r>
          </w:p>
        </w:tc>
        <w:tc>
          <w:tcPr>
            <w:tcW w:w="2393" w:type="dxa"/>
            <w:vAlign w:val="center"/>
          </w:tcPr>
          <w:p w14:paraId="358CC2DE" w14:textId="77777777" w:rsidR="0099534D" w:rsidRPr="007E130D" w:rsidRDefault="0099534D" w:rsidP="0083433F">
            <w:pPr>
              <w:pStyle w:val="Tabletext"/>
              <w:jc w:val="center"/>
              <w:rPr>
                <w:rFonts w:eastAsiaTheme="minorEastAsia"/>
              </w:rPr>
            </w:pPr>
            <w:r w:rsidRPr="007E130D">
              <w:rPr>
                <w:rFonts w:eastAsiaTheme="minorEastAsia"/>
              </w:rPr>
              <w:t>87</w:t>
            </w:r>
          </w:p>
        </w:tc>
        <w:tc>
          <w:tcPr>
            <w:tcW w:w="2393" w:type="dxa"/>
            <w:vAlign w:val="center"/>
          </w:tcPr>
          <w:p w14:paraId="741CA0F4" w14:textId="77777777" w:rsidR="0099534D" w:rsidRPr="007E130D" w:rsidRDefault="0099534D" w:rsidP="0083433F">
            <w:pPr>
              <w:pStyle w:val="Tabletext"/>
              <w:jc w:val="center"/>
              <w:rPr>
                <w:rFonts w:eastAsiaTheme="minorEastAsia"/>
              </w:rPr>
            </w:pPr>
            <w:r w:rsidRPr="007E130D">
              <w:rPr>
                <w:rFonts w:eastAsiaTheme="minorEastAsia"/>
              </w:rPr>
              <w:t>60</w:t>
            </w:r>
          </w:p>
        </w:tc>
        <w:tc>
          <w:tcPr>
            <w:tcW w:w="2393" w:type="dxa"/>
            <w:vAlign w:val="center"/>
          </w:tcPr>
          <w:p w14:paraId="09579679" w14:textId="77777777" w:rsidR="0099534D" w:rsidRPr="007E130D" w:rsidRDefault="0099534D" w:rsidP="0083433F">
            <w:pPr>
              <w:pStyle w:val="Tabletext"/>
              <w:jc w:val="center"/>
              <w:rPr>
                <w:rFonts w:eastAsiaTheme="minorEastAsia"/>
              </w:rPr>
            </w:pPr>
            <w:r w:rsidRPr="007E130D">
              <w:rPr>
                <w:rFonts w:eastAsiaTheme="minorEastAsia"/>
              </w:rPr>
              <w:t>26</w:t>
            </w:r>
          </w:p>
        </w:tc>
      </w:tr>
      <w:tr w:rsidR="0099534D" w:rsidRPr="007E130D" w14:paraId="043EAEC7" w14:textId="77777777" w:rsidTr="0083433F">
        <w:trPr>
          <w:jc w:val="center"/>
        </w:trPr>
        <w:tc>
          <w:tcPr>
            <w:tcW w:w="1269" w:type="dxa"/>
            <w:vAlign w:val="center"/>
          </w:tcPr>
          <w:p w14:paraId="719724D2" w14:textId="77777777" w:rsidR="0099534D" w:rsidRPr="007E130D" w:rsidRDefault="0099534D" w:rsidP="0083433F">
            <w:pPr>
              <w:pStyle w:val="Tabletext"/>
              <w:jc w:val="center"/>
              <w:rPr>
                <w:rFonts w:eastAsiaTheme="minorEastAsia"/>
              </w:rPr>
            </w:pPr>
            <w:r w:rsidRPr="007E130D">
              <w:rPr>
                <w:rFonts w:eastAsiaTheme="minorEastAsia"/>
              </w:rPr>
              <w:t>Pourcentage</w:t>
            </w:r>
          </w:p>
        </w:tc>
        <w:tc>
          <w:tcPr>
            <w:tcW w:w="2393" w:type="dxa"/>
            <w:vAlign w:val="center"/>
          </w:tcPr>
          <w:p w14:paraId="4E6C9256" w14:textId="77777777" w:rsidR="0099534D" w:rsidRPr="007E130D" w:rsidRDefault="0099534D" w:rsidP="0083433F">
            <w:pPr>
              <w:pStyle w:val="Tabletext"/>
              <w:jc w:val="center"/>
              <w:rPr>
                <w:rFonts w:eastAsiaTheme="minorEastAsia"/>
              </w:rPr>
            </w:pPr>
            <w:r w:rsidRPr="007E130D">
              <w:rPr>
                <w:rFonts w:eastAsiaTheme="minorEastAsia"/>
              </w:rPr>
              <w:t>48,3%</w:t>
            </w:r>
          </w:p>
        </w:tc>
        <w:tc>
          <w:tcPr>
            <w:tcW w:w="2393" w:type="dxa"/>
            <w:vAlign w:val="center"/>
          </w:tcPr>
          <w:p w14:paraId="3636D3D2" w14:textId="77777777" w:rsidR="0099534D" w:rsidRPr="007E130D" w:rsidRDefault="0099534D" w:rsidP="0083433F">
            <w:pPr>
              <w:pStyle w:val="Tabletext"/>
              <w:jc w:val="center"/>
              <w:rPr>
                <w:rFonts w:eastAsiaTheme="minorEastAsia"/>
              </w:rPr>
            </w:pPr>
            <w:r w:rsidRPr="007E130D">
              <w:rPr>
                <w:rFonts w:eastAsiaTheme="minorEastAsia"/>
              </w:rPr>
              <w:t>33,3%</w:t>
            </w:r>
          </w:p>
        </w:tc>
        <w:tc>
          <w:tcPr>
            <w:tcW w:w="2393" w:type="dxa"/>
            <w:vAlign w:val="center"/>
          </w:tcPr>
          <w:p w14:paraId="7068EC50" w14:textId="77777777" w:rsidR="0099534D" w:rsidRPr="007E130D" w:rsidRDefault="0099534D" w:rsidP="0083433F">
            <w:pPr>
              <w:pStyle w:val="Tabletext"/>
              <w:jc w:val="center"/>
              <w:rPr>
                <w:rFonts w:eastAsiaTheme="minorEastAsia"/>
              </w:rPr>
            </w:pPr>
            <w:r w:rsidRPr="007E130D">
              <w:rPr>
                <w:rFonts w:eastAsiaTheme="minorEastAsia"/>
              </w:rPr>
              <w:t>14,4%</w:t>
            </w:r>
          </w:p>
        </w:tc>
      </w:tr>
    </w:tbl>
    <w:p w14:paraId="73C3C98D" w14:textId="77777777" w:rsidR="00F60257" w:rsidRPr="007E130D" w:rsidRDefault="0099534D" w:rsidP="006A7A00">
      <w:pPr>
        <w:spacing w:before="240"/>
      </w:pPr>
      <w:r w:rsidRPr="007E130D">
        <w:t xml:space="preserve">S'agissant des autres cas de coordination relevant du § A30A#4.1.1b), la question tient au fait que les soumissions au titre de l'Article </w:t>
      </w:r>
      <w:r w:rsidRPr="007E130D">
        <w:rPr>
          <w:b/>
          <w:bCs/>
        </w:rPr>
        <w:t>4</w:t>
      </w:r>
      <w:r w:rsidRPr="007E130D">
        <w:t xml:space="preserve"> de l'Appendice </w:t>
      </w:r>
      <w:r w:rsidRPr="007E130D">
        <w:rPr>
          <w:b/>
          <w:bCs/>
        </w:rPr>
        <w:t>30A</w:t>
      </w:r>
      <w:r w:rsidRPr="007E130D">
        <w:t xml:space="preserve"> susceptibles d'être affectées ont une couverture </w:t>
      </w:r>
      <w:r w:rsidR="00DA4125" w:rsidRPr="007E130D">
        <w:t xml:space="preserve">très étendue ou presque </w:t>
      </w:r>
      <w:r w:rsidRPr="007E130D">
        <w:t>mondiale. La question est actuellement traitée au titre du point 7 de l'ordre du jour de la CMR-23 (Question F).</w:t>
      </w:r>
    </w:p>
    <w:p w14:paraId="39182E71" w14:textId="51ACDA70" w:rsidR="0099534D" w:rsidRPr="007E130D" w:rsidRDefault="00E40B3F" w:rsidP="00B20AC9">
      <w:r w:rsidRPr="007E130D">
        <w:t>En ce qui concerne les cas de coordination restants sous A30#4.1.1b) et A30#4.1.e), le principal problème est lié à deux administrations qui représentent 64,4% du nombre total de cas de coordination des fréquences.</w:t>
      </w:r>
    </w:p>
    <w:p w14:paraId="6FBA8794" w14:textId="77777777" w:rsidR="00E40B3F" w:rsidRPr="007E130D" w:rsidRDefault="00E40B3F" w:rsidP="00B20AC9">
      <w:r w:rsidRPr="007E130D">
        <w:t>Le Bureau continue d'aider les administrations concernées à trouver des solutions aux cas de coordination restants.</w:t>
      </w:r>
    </w:p>
    <w:p w14:paraId="69131995" w14:textId="77777777" w:rsidR="006A7A00" w:rsidRPr="007E130D" w:rsidRDefault="00E40B3F" w:rsidP="00B20AC9">
      <w:r w:rsidRPr="007E130D">
        <w:t xml:space="preserve">Au cours de la mise en œuvre de la Résolution </w:t>
      </w:r>
      <w:r w:rsidRPr="007E130D">
        <w:rPr>
          <w:b/>
          <w:bCs/>
        </w:rPr>
        <w:t>559 (CMR-19)</w:t>
      </w:r>
      <w:r w:rsidRPr="007E130D">
        <w:t xml:space="preserve">, le Bureau a soumis à chaque réunion du Comité un rapport sur l'état d'avancement de la mise en œuvre et a sollicité les conseils nécessaires du Comité. Il convient d'indiquer que les administrations concernées ont pleinement collaboré à la mise en œuvre des décisions pertinentes du Comité, notamment les décisions prises </w:t>
      </w:r>
      <w:r w:rsidR="006A7A00" w:rsidRPr="007E130D">
        <w:br w:type="page"/>
      </w:r>
    </w:p>
    <w:p w14:paraId="61F0337F" w14:textId="597E9B27" w:rsidR="0099534D" w:rsidRPr="007E130D" w:rsidRDefault="00E40B3F" w:rsidP="00B20AC9">
      <w:r w:rsidRPr="007E130D">
        <w:lastRenderedPageBreak/>
        <w:t>par le Comité lors de sa 84</w:t>
      </w:r>
      <w:r w:rsidR="0083433F" w:rsidRPr="007E130D">
        <w:t>ème</w:t>
      </w:r>
      <w:r w:rsidRPr="007E130D">
        <w:t xml:space="preserve"> réunion afin de protéger la situation de référence des soumissions au titre de la Rés</w:t>
      </w:r>
      <w:r w:rsidR="0083433F" w:rsidRPr="007E130D">
        <w:t xml:space="preserve">olution </w:t>
      </w:r>
      <w:r w:rsidRPr="007E130D">
        <w:rPr>
          <w:b/>
          <w:bCs/>
        </w:rPr>
        <w:t>559</w:t>
      </w:r>
      <w:r w:rsidRPr="007E130D">
        <w:t xml:space="preserve"> </w:t>
      </w:r>
      <w:r w:rsidR="00C66827" w:rsidRPr="007E130D">
        <w:t xml:space="preserve">par rapport aux </w:t>
      </w:r>
      <w:r w:rsidRPr="007E130D">
        <w:t xml:space="preserve">soumissions </w:t>
      </w:r>
      <w:r w:rsidR="00C66827" w:rsidRPr="007E130D">
        <w:t xml:space="preserve">sur la base des </w:t>
      </w:r>
      <w:r w:rsidRPr="007E130D">
        <w:rPr>
          <w:b/>
          <w:bCs/>
        </w:rPr>
        <w:t>AP30/30A</w:t>
      </w:r>
      <w:r w:rsidRPr="007E130D">
        <w:t xml:space="preserve"> dont la date de réception est antérieure à celle des soumissions </w:t>
      </w:r>
      <w:r w:rsidR="00C66827" w:rsidRPr="007E130D">
        <w:t>au titre de la Ré</w:t>
      </w:r>
      <w:r w:rsidRPr="007E130D">
        <w:t>s</w:t>
      </w:r>
      <w:r w:rsidR="0083433F" w:rsidRPr="007E130D">
        <w:t xml:space="preserve">olution </w:t>
      </w:r>
      <w:r w:rsidRPr="007E130D">
        <w:rPr>
          <w:b/>
          <w:bCs/>
        </w:rPr>
        <w:t>559</w:t>
      </w:r>
      <w:r w:rsidRPr="007E130D">
        <w:t>.</w:t>
      </w:r>
    </w:p>
    <w:p w14:paraId="56F47D5B" w14:textId="2011767B" w:rsidR="0099534D" w:rsidRPr="007E130D" w:rsidRDefault="00C66827" w:rsidP="00B20AC9">
      <w:r w:rsidRPr="007E130D">
        <w:t>Enfin, le Bureau souhaite remercier le Comité de ses orientations, le GT</w:t>
      </w:r>
      <w:r w:rsidR="00155F3B" w:rsidRPr="007E130D">
        <w:t xml:space="preserve"> </w:t>
      </w:r>
      <w:r w:rsidRPr="007E130D">
        <w:t>4A de l'UIT-R de ses conseils techniques et toutes les administrations concernées, y compris les coordinateurs de la</w:t>
      </w:r>
      <w:r w:rsidR="00355C26" w:rsidRPr="007E130D">
        <w:t> </w:t>
      </w:r>
      <w:r w:rsidRPr="007E130D">
        <w:t xml:space="preserve">CEPT et de l'UAT, de leur collaboration pendant la mise en œuvre de la Résolution </w:t>
      </w:r>
      <w:r w:rsidRPr="007E130D">
        <w:rPr>
          <w:b/>
          <w:bCs/>
        </w:rPr>
        <w:t>559 (CMR</w:t>
      </w:r>
      <w:r w:rsidR="00355C26" w:rsidRPr="007E130D">
        <w:rPr>
          <w:b/>
          <w:bCs/>
        </w:rPr>
        <w:noBreakHyphen/>
      </w:r>
      <w:r w:rsidRPr="007E130D">
        <w:rPr>
          <w:b/>
          <w:bCs/>
        </w:rPr>
        <w:t>19)</w:t>
      </w:r>
      <w:r w:rsidRPr="007E130D">
        <w:t>.</w:t>
      </w:r>
    </w:p>
    <w:p w14:paraId="7C79ED50" w14:textId="77777777" w:rsidR="00A82EF2" w:rsidRPr="007E130D" w:rsidRDefault="0099534D" w:rsidP="00B20AC9">
      <w:pPr>
        <w:pStyle w:val="Heading4"/>
      </w:pPr>
      <w:r w:rsidRPr="007E130D">
        <w:t>2.3.1.3</w:t>
      </w:r>
      <w:r w:rsidRPr="007E130D">
        <w:tab/>
      </w:r>
      <w:r w:rsidR="00A82EF2" w:rsidRPr="007E130D">
        <w:t>Valeurs de la marge de protection équivalente (EPM) ou de la marge de protection globale équivalente (OEPM) pour les assignations figurant dans le Plan des Appendices 30 et 30A</w:t>
      </w:r>
    </w:p>
    <w:p w14:paraId="6C920D6C" w14:textId="0842CC95" w:rsidR="00A82EF2" w:rsidRPr="007E130D" w:rsidRDefault="00C66827" w:rsidP="00B20AC9">
      <w:pPr>
        <w:rPr>
          <w:rFonts w:asciiTheme="majorBidi" w:hAnsiTheme="majorBidi" w:cstheme="majorBidi"/>
          <w:szCs w:val="24"/>
        </w:rPr>
      </w:pPr>
      <w:r w:rsidRPr="007E130D">
        <w:t>L</w:t>
      </w:r>
      <w:r w:rsidR="00A82EF2" w:rsidRPr="007E130D">
        <w:t xml:space="preserve">a situation de référence (MPE) </w:t>
      </w:r>
      <w:r w:rsidRPr="007E130D">
        <w:t xml:space="preserve">actuelle </w:t>
      </w:r>
      <w:r w:rsidR="00A82EF2" w:rsidRPr="007E130D">
        <w:t>pour les faisceaux du Plan pour les Régions 1 et 3</w:t>
      </w:r>
      <w:r w:rsidRPr="007E130D">
        <w:t xml:space="preserve"> et la</w:t>
      </w:r>
      <w:r w:rsidR="00355C26" w:rsidRPr="007E130D">
        <w:t> </w:t>
      </w:r>
      <w:r w:rsidRPr="007E130D">
        <w:t>MPGE pour les assignations de Plan pour la Région 2</w:t>
      </w:r>
      <w:r w:rsidR="00A82EF2" w:rsidRPr="007E130D">
        <w:t xml:space="preserve"> figurant dans les Appendices </w:t>
      </w:r>
      <w:r w:rsidR="00A82EF2" w:rsidRPr="007E130D">
        <w:rPr>
          <w:b/>
          <w:bCs/>
        </w:rPr>
        <w:t>30</w:t>
      </w:r>
      <w:r w:rsidR="00A82EF2" w:rsidRPr="007E130D">
        <w:t xml:space="preserve"> et </w:t>
      </w:r>
      <w:r w:rsidR="00A82EF2" w:rsidRPr="007E130D">
        <w:rPr>
          <w:b/>
          <w:bCs/>
        </w:rPr>
        <w:t>30A</w:t>
      </w:r>
      <w:r w:rsidR="00A82EF2" w:rsidRPr="007E130D">
        <w:t xml:space="preserve"> du</w:t>
      </w:r>
      <w:r w:rsidR="00355C26" w:rsidRPr="007E130D">
        <w:t> </w:t>
      </w:r>
      <w:r w:rsidR="00A82EF2" w:rsidRPr="007E130D">
        <w:t>RR est accessible à l'adresse:</w:t>
      </w:r>
      <w:r w:rsidR="00A82EF2" w:rsidRPr="007E130D">
        <w:rPr>
          <w:color w:val="000000"/>
        </w:rPr>
        <w:t xml:space="preserve"> </w:t>
      </w:r>
      <w:hyperlink r:id="rId41" w:history="1">
        <w:r w:rsidR="00A82EF2" w:rsidRPr="007E130D">
          <w:rPr>
            <w:rStyle w:val="Hyperlink"/>
          </w:rPr>
          <w:t>http://www.itu.int/fr/ITU-R/space/plans/Pages/AP30-30A.aspx</w:t>
        </w:r>
      </w:hyperlink>
      <w:r w:rsidR="00A82EF2" w:rsidRPr="007E130D">
        <w:rPr>
          <w:rFonts w:asciiTheme="majorBidi" w:hAnsiTheme="majorBidi" w:cstheme="majorBidi"/>
          <w:szCs w:val="24"/>
        </w:rPr>
        <w:t>.</w:t>
      </w:r>
    </w:p>
    <w:p w14:paraId="3A19CFB6" w14:textId="77777777" w:rsidR="00A82EF2" w:rsidRPr="007E130D" w:rsidRDefault="00A82EF2" w:rsidP="00B20AC9">
      <w:pPr>
        <w:pStyle w:val="Heading3"/>
      </w:pPr>
      <w:bookmarkStart w:id="69" w:name="_Toc426463206"/>
      <w:bookmarkStart w:id="70" w:name="_Toc19880024"/>
      <w:bookmarkStart w:id="71" w:name="_Toc147328780"/>
      <w:r w:rsidRPr="007E130D">
        <w:t>2.3.2</w:t>
      </w:r>
      <w:r w:rsidRPr="007E130D">
        <w:tab/>
        <w:t>Appendice 30B</w:t>
      </w:r>
      <w:bookmarkEnd w:id="69"/>
      <w:bookmarkEnd w:id="70"/>
      <w:bookmarkEnd w:id="71"/>
    </w:p>
    <w:p w14:paraId="0B424D1E" w14:textId="77777777" w:rsidR="0099534D" w:rsidRPr="007E130D" w:rsidRDefault="00A82EF2" w:rsidP="00B20AC9">
      <w:r w:rsidRPr="007E130D">
        <w:t xml:space="preserve">Les tâches liées au traitement au titre de cet Appendice englobent l'examen et la publication des notifications soumises au titre des Articles </w:t>
      </w:r>
      <w:r w:rsidRPr="007E130D">
        <w:rPr>
          <w:b/>
          <w:bCs/>
        </w:rPr>
        <w:t>6</w:t>
      </w:r>
      <w:r w:rsidRPr="007E130D">
        <w:t xml:space="preserve">, </w:t>
      </w:r>
      <w:r w:rsidRPr="007E130D">
        <w:rPr>
          <w:b/>
          <w:bCs/>
        </w:rPr>
        <w:t>7</w:t>
      </w:r>
      <w:r w:rsidRPr="007E130D">
        <w:t xml:space="preserve"> et </w:t>
      </w:r>
      <w:r w:rsidRPr="007E130D">
        <w:rPr>
          <w:b/>
          <w:bCs/>
        </w:rPr>
        <w:t>8</w:t>
      </w:r>
      <w:r w:rsidRPr="007E130D">
        <w:t xml:space="preserve"> de l'Appendice </w:t>
      </w:r>
      <w:r w:rsidRPr="007E130D">
        <w:rPr>
          <w:b/>
          <w:bCs/>
        </w:rPr>
        <w:t>30B</w:t>
      </w:r>
      <w:r w:rsidRPr="007E130D">
        <w:t>.</w:t>
      </w:r>
    </w:p>
    <w:p w14:paraId="09951CC4" w14:textId="77777777" w:rsidR="0099534D" w:rsidRPr="007E130D" w:rsidRDefault="00A82EF2" w:rsidP="00B20AC9">
      <w:r w:rsidRPr="007E130D">
        <w:t>L'Article </w:t>
      </w:r>
      <w:r w:rsidRPr="007E130D">
        <w:rPr>
          <w:b/>
          <w:bCs/>
        </w:rPr>
        <w:t>6</w:t>
      </w:r>
      <w:r w:rsidRPr="007E130D">
        <w:t xml:space="preserve"> de l'Appendice </w:t>
      </w:r>
      <w:r w:rsidRPr="007E130D">
        <w:rPr>
          <w:b/>
          <w:bCs/>
        </w:rPr>
        <w:t>30B</w:t>
      </w:r>
      <w:r w:rsidRPr="007E130D">
        <w:t xml:space="preserve"> et les Règles de procédure y relatives prévoient des procédures pour la conversion d'un allotissement en assignation, pour la mise en œuvre d'un système additionnel et pour la modification d'une assignation dans la liste. Les caractéristiques des réseaux à satellite ainsi que la liste des administrations dont les assignations de fréquence sont estimées être affectées sont publiées dans une Section spéciale AP30B/A6A dans la BR IFIC. Les assignations nouvelles ou modifiées portées dans la Liste à la suite de l'application réussie des dispositions de l'Article </w:t>
      </w:r>
      <w:r w:rsidRPr="007E130D">
        <w:rPr>
          <w:b/>
          <w:bCs/>
        </w:rPr>
        <w:t>6</w:t>
      </w:r>
      <w:r w:rsidRPr="007E130D">
        <w:t xml:space="preserve"> sont alors publiées dans une Section spéciale AP30B/A6B. Le traitement décrit ci-dessus englobe la saisie des données figurant dans les renseignements reçus, la validation, l'examen et la publication des Sections spéciales correspondantes, y compris l'application des dispositions de la Résolution </w:t>
      </w:r>
      <w:r w:rsidRPr="007E130D">
        <w:rPr>
          <w:b/>
          <w:bCs/>
        </w:rPr>
        <w:t>49</w:t>
      </w:r>
      <w:r w:rsidRPr="007E130D">
        <w:t>, la facturation conformément à la Décision 482 du Conseil, la correspondance avec les administrations et l'assistance fournie à celles-ci, le traitement des observations et l'actualisation des bases de données mises à la disposition des administrations sur le site web de l'UIT et dans la BR IFIC.</w:t>
      </w:r>
    </w:p>
    <w:p w14:paraId="387D4CC4" w14:textId="77777777" w:rsidR="0099534D" w:rsidRPr="007E130D" w:rsidRDefault="00A82EF2" w:rsidP="00B20AC9">
      <w:r w:rsidRPr="007E130D">
        <w:t xml:space="preserve">L'Article </w:t>
      </w:r>
      <w:r w:rsidRPr="007E130D">
        <w:rPr>
          <w:b/>
          <w:bCs/>
        </w:rPr>
        <w:t>7</w:t>
      </w:r>
      <w:r w:rsidRPr="007E130D">
        <w:t xml:space="preserve"> de l'Appendice </w:t>
      </w:r>
      <w:r w:rsidRPr="007E130D">
        <w:rPr>
          <w:b/>
          <w:bCs/>
        </w:rPr>
        <w:t>30B</w:t>
      </w:r>
      <w:r w:rsidRPr="007E130D">
        <w:t xml:space="preserve"> et les Règles de procédure afférentes régissent les modalités d'adjonction d'un nouvel allotissement dans le Plan pour un nouvel État Membre de l'Union</w:t>
      </w:r>
      <w:r w:rsidR="00845CC7" w:rsidRPr="007E130D">
        <w:t>, le cas échéant</w:t>
      </w:r>
      <w:r w:rsidRPr="007E130D">
        <w:t>.</w:t>
      </w:r>
    </w:p>
    <w:p w14:paraId="39F6D292" w14:textId="77777777" w:rsidR="00A82EF2" w:rsidRPr="007E130D" w:rsidRDefault="00A82EF2" w:rsidP="00B20AC9">
      <w:r w:rsidRPr="007E130D">
        <w:t xml:space="preserve">L'Article </w:t>
      </w:r>
      <w:r w:rsidRPr="007E130D">
        <w:rPr>
          <w:b/>
          <w:bCs/>
        </w:rPr>
        <w:t>8</w:t>
      </w:r>
      <w:r w:rsidRPr="007E130D">
        <w:t xml:space="preserve"> et les Règles de procédure afférentes traitent de la procédure de notification. Le traitement par le Bureau des notifications soumises au titre de l'Article </w:t>
      </w:r>
      <w:r w:rsidRPr="007E130D">
        <w:rPr>
          <w:b/>
          <w:bCs/>
        </w:rPr>
        <w:t>8</w:t>
      </w:r>
      <w:r w:rsidRPr="007E130D">
        <w:t xml:space="preserve"> en vue de leur inscription dans le Fichier de référence international des fréquences comporte les opérations suivantes: saisie des données, validation, publication des renseignements dans la Partie I-S de la BR IFIC, examen technique (formulation des conclusions) et publication dans la Partie II-S ou III-S de la BR IFIC, inscription dans le Fichier de référence international des fréquences et actualisation des bases de données mises à la disposition de toutes les administrations sur le site web de l'UIT et dans la BR IFIC.</w:t>
      </w:r>
    </w:p>
    <w:p w14:paraId="4CF8FCEF" w14:textId="5A61C024" w:rsidR="00A82EF2" w:rsidRPr="007E130D" w:rsidRDefault="00A82EF2" w:rsidP="00B20AC9">
      <w:r w:rsidRPr="007E130D">
        <w:t>Suite à une demande du Groupe consultatif des radiocommunications</w:t>
      </w:r>
      <w:r w:rsidR="004C68D6" w:rsidRPr="007E130D">
        <w:t xml:space="preserve"> (voir point 4 du </w:t>
      </w:r>
      <w:hyperlink r:id="rId42" w:history="1">
        <w:r w:rsidR="004C68D6" w:rsidRPr="007E130D">
          <w:rPr>
            <w:rStyle w:val="Hyperlink"/>
          </w:rPr>
          <w:t>résumé des conclusions</w:t>
        </w:r>
      </w:hyperlink>
      <w:r w:rsidR="004C68D6" w:rsidRPr="007E130D">
        <w:t xml:space="preserve"> de la 26</w:t>
      </w:r>
      <w:r w:rsidR="00355C26" w:rsidRPr="007E130D">
        <w:t>ème</w:t>
      </w:r>
      <w:r w:rsidR="004C68D6" w:rsidRPr="007E130D">
        <w:t xml:space="preserve"> réunion du GCR (15-17 avril 2019))</w:t>
      </w:r>
      <w:r w:rsidRPr="007E130D">
        <w:t xml:space="preserve">, les statistiques relatives aux fiches de notification des réseaux à satellite soumis au titre du § 6.1 de l'Article </w:t>
      </w:r>
      <w:r w:rsidRPr="007E130D">
        <w:rPr>
          <w:b/>
          <w:bCs/>
        </w:rPr>
        <w:t>6</w:t>
      </w:r>
      <w:r w:rsidRPr="007E130D">
        <w:t xml:space="preserve"> de l'Appendice </w:t>
      </w:r>
      <w:r w:rsidRPr="007E130D">
        <w:rPr>
          <w:b/>
          <w:bCs/>
        </w:rPr>
        <w:t>30B</w:t>
      </w:r>
      <w:r w:rsidRPr="007E130D">
        <w:t xml:space="preserve"> du</w:t>
      </w:r>
      <w:r w:rsidR="00845CC7" w:rsidRPr="007E130D">
        <w:t xml:space="preserve"> RR au cours de la période </w:t>
      </w:r>
      <w:r w:rsidRPr="007E130D">
        <w:t>2019</w:t>
      </w:r>
      <w:r w:rsidR="00845CC7" w:rsidRPr="007E130D">
        <w:t>-2023</w:t>
      </w:r>
      <w:r w:rsidRPr="007E130D">
        <w:t xml:space="preserve"> sont présentées </w:t>
      </w:r>
      <w:r w:rsidR="00845CC7" w:rsidRPr="007E130D">
        <w:t>ci-dessous</w:t>
      </w:r>
      <w:r w:rsidRPr="007E130D">
        <w:t>.</w:t>
      </w:r>
    </w:p>
    <w:p w14:paraId="070C4B1F" w14:textId="1F1425A3" w:rsidR="008671A6" w:rsidRPr="007E130D" w:rsidRDefault="00251607" w:rsidP="00CF5E48">
      <w:pPr>
        <w:pStyle w:val="Tabletitle"/>
        <w:spacing w:before="120"/>
      </w:pPr>
      <w:r w:rsidRPr="007E130D">
        <w:lastRenderedPageBreak/>
        <w:t>Statistiques des fiches de notification au titre de l</w:t>
      </w:r>
      <w:r w:rsidR="00355C26" w:rsidRPr="007E130D">
        <w:t>'</w:t>
      </w:r>
      <w:r w:rsidR="008671A6" w:rsidRPr="007E130D">
        <w:t>Appendi</w:t>
      </w:r>
      <w:r w:rsidRPr="007E130D">
        <w:t>ce</w:t>
      </w:r>
      <w:r w:rsidR="008671A6" w:rsidRPr="007E130D">
        <w:t xml:space="preserve"> 30B </w:t>
      </w:r>
      <w:r w:rsidRPr="007E130D">
        <w:t xml:space="preserve">du RR reçues par le </w:t>
      </w:r>
      <w:r w:rsidR="008671A6" w:rsidRPr="007E130D">
        <w:t>Bureau</w:t>
      </w:r>
      <w:r w:rsidR="008671A6" w:rsidRPr="007E130D">
        <w:br/>
        <w:t>(</w:t>
      </w:r>
      <w:r w:rsidRPr="007E130D">
        <w:t>de</w:t>
      </w:r>
      <w:r w:rsidR="008671A6" w:rsidRPr="007E130D">
        <w:t xml:space="preserve"> </w:t>
      </w:r>
      <w:r w:rsidRPr="007E130D">
        <w:t>j</w:t>
      </w:r>
      <w:r w:rsidR="008671A6" w:rsidRPr="007E130D">
        <w:t>an</w:t>
      </w:r>
      <w:r w:rsidRPr="007E130D">
        <w:t>vier</w:t>
      </w:r>
      <w:r w:rsidR="008671A6" w:rsidRPr="007E130D">
        <w:t xml:space="preserve"> 2019 </w:t>
      </w:r>
      <w:r w:rsidRPr="007E130D">
        <w:t>à</w:t>
      </w:r>
      <w:r w:rsidR="008671A6" w:rsidRPr="007E130D">
        <w:t xml:space="preserve"> </w:t>
      </w:r>
      <w:r w:rsidRPr="007E130D">
        <w:t>mai</w:t>
      </w:r>
      <w:r w:rsidR="008671A6" w:rsidRPr="007E130D">
        <w:t xml:space="preserve"> 2023 </w:t>
      </w:r>
      <w:r w:rsidRPr="007E130D">
        <w:t>sur une base trimestrielle</w:t>
      </w:r>
      <w:r w:rsidR="008671A6" w:rsidRPr="007E130D">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346"/>
        <w:gridCol w:w="1347"/>
        <w:gridCol w:w="1346"/>
        <w:gridCol w:w="1347"/>
        <w:gridCol w:w="1346"/>
        <w:gridCol w:w="1347"/>
      </w:tblGrid>
      <w:tr w:rsidR="008671A6" w:rsidRPr="007E130D" w14:paraId="3C1693DA" w14:textId="77777777" w:rsidTr="00923703">
        <w:trPr>
          <w:cantSplit/>
          <w:tblHeader/>
          <w:jc w:val="center"/>
        </w:trPr>
        <w:tc>
          <w:tcPr>
            <w:tcW w:w="1555" w:type="dxa"/>
            <w:tcBorders>
              <w:top w:val="single" w:sz="4" w:space="0" w:color="auto"/>
              <w:left w:val="single" w:sz="4" w:space="0" w:color="auto"/>
              <w:bottom w:val="single" w:sz="4" w:space="0" w:color="auto"/>
              <w:right w:val="single" w:sz="4" w:space="0" w:color="auto"/>
            </w:tcBorders>
          </w:tcPr>
          <w:p w14:paraId="7DAAA61F" w14:textId="77777777" w:rsidR="008671A6" w:rsidRPr="007E130D" w:rsidRDefault="008671A6" w:rsidP="00B20AC9">
            <w:pPr>
              <w:pStyle w:val="Tablehead"/>
              <w:rPr>
                <w:rFonts w:eastAsia="MS Mincho"/>
                <w:sz w:val="18"/>
                <w:szCs w:val="18"/>
              </w:rPr>
            </w:pPr>
          </w:p>
        </w:tc>
        <w:tc>
          <w:tcPr>
            <w:tcW w:w="1346" w:type="dxa"/>
            <w:tcBorders>
              <w:top w:val="single" w:sz="4" w:space="0" w:color="auto"/>
              <w:left w:val="single" w:sz="4" w:space="0" w:color="auto"/>
              <w:bottom w:val="single" w:sz="4" w:space="0" w:color="auto"/>
              <w:right w:val="single" w:sz="4" w:space="0" w:color="auto"/>
            </w:tcBorders>
            <w:hideMark/>
          </w:tcPr>
          <w:p w14:paraId="16B3E681" w14:textId="77D7602C" w:rsidR="008671A6" w:rsidRPr="007E130D" w:rsidRDefault="009D479E" w:rsidP="00923703">
            <w:pPr>
              <w:pStyle w:val="Tablehead"/>
              <w:tabs>
                <w:tab w:val="clear" w:pos="1134"/>
              </w:tabs>
              <w:ind w:left="-85" w:right="-85"/>
              <w:rPr>
                <w:rFonts w:eastAsia="MS Mincho"/>
                <w:sz w:val="18"/>
                <w:szCs w:val="18"/>
              </w:rPr>
            </w:pPr>
            <w:r w:rsidRPr="007E130D">
              <w:rPr>
                <w:rFonts w:eastAsia="MS Mincho"/>
                <w:sz w:val="18"/>
                <w:szCs w:val="18"/>
              </w:rPr>
              <w:t xml:space="preserve">Demande de conversion sans modification de l'allotissement initial </w:t>
            </w:r>
            <w:r w:rsidR="00C549F7" w:rsidRPr="007E130D">
              <w:rPr>
                <w:rFonts w:eastAsia="MS Mincho"/>
                <w:sz w:val="18"/>
                <w:szCs w:val="18"/>
              </w:rPr>
              <w:br/>
            </w:r>
            <w:r w:rsidRPr="007E130D">
              <w:rPr>
                <w:rFonts w:eastAsia="MS Mincho"/>
                <w:sz w:val="18"/>
                <w:szCs w:val="18"/>
              </w:rPr>
              <w:t>(zone de service nationale)</w:t>
            </w:r>
          </w:p>
        </w:tc>
        <w:tc>
          <w:tcPr>
            <w:tcW w:w="1347" w:type="dxa"/>
            <w:tcBorders>
              <w:top w:val="single" w:sz="4" w:space="0" w:color="auto"/>
              <w:left w:val="single" w:sz="4" w:space="0" w:color="auto"/>
              <w:bottom w:val="single" w:sz="4" w:space="0" w:color="auto"/>
              <w:right w:val="single" w:sz="4" w:space="0" w:color="auto"/>
            </w:tcBorders>
          </w:tcPr>
          <w:p w14:paraId="0E9EA46E" w14:textId="1C9165FB" w:rsidR="008671A6" w:rsidRPr="007E130D" w:rsidRDefault="009D479E" w:rsidP="00923703">
            <w:pPr>
              <w:pStyle w:val="Tablehead"/>
              <w:tabs>
                <w:tab w:val="clear" w:pos="1134"/>
              </w:tabs>
              <w:ind w:left="-85" w:right="-85"/>
              <w:rPr>
                <w:rFonts w:eastAsia="MS Mincho"/>
                <w:sz w:val="18"/>
                <w:szCs w:val="18"/>
              </w:rPr>
            </w:pPr>
            <w:r w:rsidRPr="007E130D">
              <w:rPr>
                <w:rFonts w:eastAsia="MS Mincho"/>
                <w:sz w:val="18"/>
                <w:szCs w:val="18"/>
              </w:rPr>
              <w:t xml:space="preserve">Demande de conversion avec modification dans les limites de l'enveloppe de l'allotissement initial </w:t>
            </w:r>
            <w:r w:rsidR="00C549F7" w:rsidRPr="007E130D">
              <w:rPr>
                <w:rFonts w:eastAsia="MS Mincho"/>
                <w:sz w:val="18"/>
                <w:szCs w:val="18"/>
              </w:rPr>
              <w:br/>
            </w:r>
            <w:r w:rsidRPr="007E130D">
              <w:rPr>
                <w:rFonts w:eastAsia="MS Mincho"/>
                <w:sz w:val="18"/>
                <w:szCs w:val="18"/>
              </w:rPr>
              <w:t>(zone de service nationale)</w:t>
            </w:r>
          </w:p>
        </w:tc>
        <w:tc>
          <w:tcPr>
            <w:tcW w:w="1346" w:type="dxa"/>
            <w:tcBorders>
              <w:top w:val="single" w:sz="4" w:space="0" w:color="auto"/>
              <w:left w:val="single" w:sz="4" w:space="0" w:color="auto"/>
              <w:bottom w:val="single" w:sz="4" w:space="0" w:color="auto"/>
              <w:right w:val="single" w:sz="4" w:space="0" w:color="auto"/>
            </w:tcBorders>
            <w:hideMark/>
          </w:tcPr>
          <w:p w14:paraId="7716C0F6" w14:textId="11021A8A" w:rsidR="008671A6" w:rsidRPr="007E130D" w:rsidRDefault="009D479E" w:rsidP="00923703">
            <w:pPr>
              <w:pStyle w:val="Tablehead"/>
              <w:ind w:left="-85" w:right="-85"/>
              <w:rPr>
                <w:rFonts w:eastAsia="MS Mincho"/>
                <w:sz w:val="18"/>
                <w:szCs w:val="18"/>
              </w:rPr>
            </w:pPr>
            <w:r w:rsidRPr="007E130D">
              <w:rPr>
                <w:rFonts w:eastAsia="MS Mincho"/>
                <w:sz w:val="18"/>
                <w:szCs w:val="18"/>
              </w:rPr>
              <w:t xml:space="preserve">Demande de conversion avec modification en dehors des limites de l'enveloppe de l'allotissement initial </w:t>
            </w:r>
            <w:r w:rsidR="00C549F7" w:rsidRPr="007E130D">
              <w:rPr>
                <w:rFonts w:eastAsia="MS Mincho"/>
                <w:sz w:val="18"/>
                <w:szCs w:val="18"/>
              </w:rPr>
              <w:br/>
            </w:r>
            <w:r w:rsidRPr="007E130D">
              <w:rPr>
                <w:rFonts w:eastAsia="MS Mincho"/>
                <w:sz w:val="18"/>
                <w:szCs w:val="18"/>
              </w:rPr>
              <w:t>(zone de service nationale)</w:t>
            </w:r>
          </w:p>
        </w:tc>
        <w:tc>
          <w:tcPr>
            <w:tcW w:w="1347" w:type="dxa"/>
            <w:tcBorders>
              <w:top w:val="single" w:sz="4" w:space="0" w:color="auto"/>
              <w:left w:val="single" w:sz="4" w:space="0" w:color="auto"/>
              <w:bottom w:val="single" w:sz="4" w:space="0" w:color="auto"/>
              <w:right w:val="single" w:sz="4" w:space="0" w:color="auto"/>
            </w:tcBorders>
            <w:hideMark/>
          </w:tcPr>
          <w:p w14:paraId="3EF595A1" w14:textId="18C0D722" w:rsidR="008671A6" w:rsidRPr="007E130D" w:rsidRDefault="009D479E" w:rsidP="00923703">
            <w:pPr>
              <w:pStyle w:val="Tablehead"/>
              <w:ind w:left="-85" w:right="-85"/>
              <w:rPr>
                <w:rFonts w:eastAsia="MS Mincho"/>
                <w:sz w:val="18"/>
                <w:szCs w:val="18"/>
              </w:rPr>
            </w:pPr>
            <w:r w:rsidRPr="007E130D">
              <w:rPr>
                <w:rFonts w:eastAsia="MS Mincho"/>
                <w:sz w:val="18"/>
                <w:szCs w:val="18"/>
              </w:rPr>
              <w:t xml:space="preserve">Demande de conversion avec modification en dehors des limites de l'enveloppe de l'allotissement initial </w:t>
            </w:r>
            <w:r w:rsidR="00C549F7" w:rsidRPr="007E130D">
              <w:rPr>
                <w:rFonts w:eastAsia="MS Mincho"/>
                <w:sz w:val="18"/>
                <w:szCs w:val="18"/>
              </w:rPr>
              <w:br/>
            </w:r>
            <w:r w:rsidRPr="007E130D">
              <w:rPr>
                <w:rFonts w:eastAsia="MS Mincho"/>
                <w:sz w:val="18"/>
                <w:szCs w:val="18"/>
              </w:rPr>
              <w:t>(zone de service s</w:t>
            </w:r>
            <w:r w:rsidRPr="007E130D">
              <w:rPr>
                <w:rFonts w:ascii="Times New Roman Bold" w:eastAsia="MS Mincho" w:hAnsi="Times New Roman Bold"/>
                <w:sz w:val="18"/>
                <w:szCs w:val="18"/>
              </w:rPr>
              <w:t>upranationale</w:t>
            </w:r>
          </w:p>
        </w:tc>
        <w:tc>
          <w:tcPr>
            <w:tcW w:w="13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7A097E" w14:textId="77777777" w:rsidR="008671A6" w:rsidRPr="007E130D" w:rsidRDefault="009D479E" w:rsidP="00C549F7">
            <w:pPr>
              <w:pStyle w:val="Tablehead"/>
              <w:tabs>
                <w:tab w:val="clear" w:pos="1418"/>
              </w:tabs>
              <w:ind w:left="-28"/>
              <w:rPr>
                <w:rFonts w:eastAsia="MS Mincho"/>
                <w:sz w:val="18"/>
                <w:szCs w:val="18"/>
              </w:rPr>
            </w:pPr>
            <w:r w:rsidRPr="007E130D">
              <w:rPr>
                <w:rFonts w:eastAsia="MS Mincho"/>
                <w:sz w:val="18"/>
                <w:szCs w:val="18"/>
              </w:rPr>
              <w:t>Demande d'utilisation additionnelle (zone de service nationale)</w:t>
            </w:r>
          </w:p>
        </w:tc>
        <w:tc>
          <w:tcPr>
            <w:tcW w:w="1347" w:type="dxa"/>
            <w:tcBorders>
              <w:top w:val="single" w:sz="4" w:space="0" w:color="auto"/>
              <w:left w:val="single" w:sz="4" w:space="0" w:color="auto"/>
              <w:bottom w:val="single" w:sz="4" w:space="0" w:color="auto"/>
              <w:right w:val="single" w:sz="4" w:space="0" w:color="auto"/>
            </w:tcBorders>
            <w:hideMark/>
          </w:tcPr>
          <w:p w14:paraId="5ACB15F7" w14:textId="77777777" w:rsidR="008671A6" w:rsidRPr="007E130D" w:rsidRDefault="009D479E" w:rsidP="00C549F7">
            <w:pPr>
              <w:pStyle w:val="Tablehead"/>
              <w:ind w:left="-85" w:right="-85"/>
              <w:rPr>
                <w:rFonts w:eastAsia="MS Mincho"/>
                <w:sz w:val="18"/>
                <w:szCs w:val="18"/>
              </w:rPr>
            </w:pPr>
            <w:r w:rsidRPr="007E130D">
              <w:rPr>
                <w:rFonts w:eastAsia="MS Mincho"/>
                <w:sz w:val="18"/>
                <w:szCs w:val="18"/>
              </w:rPr>
              <w:t>Demande d'utilisation additionnelle (zone de service supranationale et couverture mondiale*)</w:t>
            </w:r>
          </w:p>
        </w:tc>
      </w:tr>
      <w:tr w:rsidR="008671A6" w:rsidRPr="007E130D" w14:paraId="2F753234"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932D3FB"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1er trimestre</w:t>
            </w:r>
          </w:p>
          <w:p w14:paraId="3DFB3075"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(janvier-mars) 2019</w:t>
            </w:r>
          </w:p>
        </w:tc>
        <w:tc>
          <w:tcPr>
            <w:tcW w:w="1346" w:type="dxa"/>
            <w:tcBorders>
              <w:top w:val="single" w:sz="4" w:space="0" w:color="auto"/>
              <w:left w:val="single" w:sz="4" w:space="0" w:color="auto"/>
              <w:bottom w:val="single" w:sz="4" w:space="0" w:color="auto"/>
              <w:right w:val="single" w:sz="4" w:space="0" w:color="auto"/>
            </w:tcBorders>
            <w:vAlign w:val="center"/>
          </w:tcPr>
          <w:p w14:paraId="687EBE09"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614D4EB0" w14:textId="77777777" w:rsidR="008671A6" w:rsidRPr="007E130D" w:rsidRDefault="008671A6" w:rsidP="00B20AC9">
            <w:pPr>
              <w:pStyle w:val="Tabletext"/>
              <w:jc w:val="center"/>
              <w:rPr>
                <w:rFonts w:eastAsia="MS Mincho"/>
                <w:sz w:val="18"/>
                <w:szCs w:val="18"/>
              </w:rPr>
            </w:pPr>
            <w:r w:rsidRPr="007E130D">
              <w:rPr>
                <w:rFonts w:eastAsia="MS Mincho"/>
                <w:sz w:val="18"/>
                <w:szCs w:val="18"/>
              </w:rPr>
              <w:t>(ROU)</w:t>
            </w:r>
          </w:p>
        </w:tc>
        <w:tc>
          <w:tcPr>
            <w:tcW w:w="1347" w:type="dxa"/>
            <w:tcBorders>
              <w:top w:val="single" w:sz="4" w:space="0" w:color="auto"/>
              <w:left w:val="single" w:sz="4" w:space="0" w:color="auto"/>
              <w:bottom w:val="single" w:sz="4" w:space="0" w:color="auto"/>
              <w:right w:val="single" w:sz="4" w:space="0" w:color="auto"/>
            </w:tcBorders>
            <w:vAlign w:val="center"/>
          </w:tcPr>
          <w:p w14:paraId="6DD0939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75BB305E"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293B739F"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68CF5CC5"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7626F2BD"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2</w:t>
            </w:r>
          </w:p>
          <w:p w14:paraId="4F3B428E"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 (E); 1 (F))</w:t>
            </w:r>
          </w:p>
        </w:tc>
      </w:tr>
      <w:tr w:rsidR="008671A6" w:rsidRPr="007E130D" w14:paraId="01A0A1A2"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3E13CEF4"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2ème trimestre</w:t>
            </w:r>
          </w:p>
          <w:p w14:paraId="18F74D38"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(avril-juin) 2019</w:t>
            </w:r>
          </w:p>
        </w:tc>
        <w:tc>
          <w:tcPr>
            <w:tcW w:w="1346" w:type="dxa"/>
            <w:tcBorders>
              <w:top w:val="single" w:sz="4" w:space="0" w:color="auto"/>
              <w:left w:val="single" w:sz="4" w:space="0" w:color="auto"/>
              <w:bottom w:val="single" w:sz="4" w:space="0" w:color="auto"/>
              <w:right w:val="single" w:sz="4" w:space="0" w:color="auto"/>
            </w:tcBorders>
            <w:vAlign w:val="center"/>
          </w:tcPr>
          <w:p w14:paraId="625A2A5E"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38184DDD"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176FD87A" w14:textId="77777777" w:rsidR="008671A6" w:rsidRPr="007E130D" w:rsidRDefault="008671A6" w:rsidP="00B20AC9">
            <w:pPr>
              <w:pStyle w:val="Tabletext"/>
              <w:jc w:val="center"/>
              <w:rPr>
                <w:rFonts w:eastAsia="MS Mincho"/>
                <w:sz w:val="18"/>
                <w:szCs w:val="18"/>
              </w:rPr>
            </w:pPr>
            <w:r w:rsidRPr="007E130D">
              <w:rPr>
                <w:rFonts w:eastAsia="MS Mincho"/>
                <w:sz w:val="18"/>
                <w:szCs w:val="18"/>
              </w:rPr>
              <w:t>(NPL)</w:t>
            </w:r>
          </w:p>
        </w:tc>
        <w:tc>
          <w:tcPr>
            <w:tcW w:w="1346" w:type="dxa"/>
            <w:tcBorders>
              <w:top w:val="single" w:sz="4" w:space="0" w:color="auto"/>
              <w:left w:val="single" w:sz="4" w:space="0" w:color="auto"/>
              <w:bottom w:val="single" w:sz="4" w:space="0" w:color="auto"/>
              <w:right w:val="single" w:sz="4" w:space="0" w:color="auto"/>
            </w:tcBorders>
            <w:vAlign w:val="center"/>
          </w:tcPr>
          <w:p w14:paraId="38D074D9"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301F68F9"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400ADE84"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7C07416B"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2</w:t>
            </w:r>
          </w:p>
          <w:p w14:paraId="618E3FD7"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(F);</w:t>
            </w:r>
          </w:p>
          <w:p w14:paraId="3D65B369" w14:textId="3030F75C" w:rsidR="008671A6" w:rsidRPr="007E130D" w:rsidRDefault="008671A6" w:rsidP="00B20AC9">
            <w:pPr>
              <w:pStyle w:val="Tabletext"/>
              <w:jc w:val="center"/>
              <w:rPr>
                <w:rFonts w:eastAsia="MS Mincho"/>
                <w:sz w:val="18"/>
                <w:szCs w:val="18"/>
              </w:rPr>
            </w:pPr>
            <w:r w:rsidRPr="007E130D">
              <w:rPr>
                <w:rFonts w:eastAsia="MS Mincho"/>
                <w:sz w:val="18"/>
                <w:szCs w:val="18"/>
              </w:rPr>
              <w:t>1 (TUR))</w:t>
            </w:r>
          </w:p>
        </w:tc>
      </w:tr>
      <w:tr w:rsidR="008671A6" w:rsidRPr="007E130D" w14:paraId="0C517C0A"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0A657934"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3ème trimestre</w:t>
            </w:r>
          </w:p>
          <w:p w14:paraId="71E77FF4" w14:textId="6AA871F0"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(juillet</w:t>
            </w:r>
            <w:r w:rsidR="00265CB8" w:rsidRPr="007E130D">
              <w:rPr>
                <w:rFonts w:eastAsia="MS Mincho"/>
                <w:sz w:val="18"/>
                <w:szCs w:val="18"/>
              </w:rPr>
              <w:t>-</w:t>
            </w:r>
            <w:r w:rsidRPr="007E130D">
              <w:rPr>
                <w:rFonts w:eastAsia="MS Mincho"/>
                <w:sz w:val="18"/>
                <w:szCs w:val="18"/>
              </w:rPr>
              <w:t>septembre) 2019</w:t>
            </w:r>
          </w:p>
        </w:tc>
        <w:tc>
          <w:tcPr>
            <w:tcW w:w="1346" w:type="dxa"/>
            <w:tcBorders>
              <w:top w:val="single" w:sz="4" w:space="0" w:color="auto"/>
              <w:left w:val="single" w:sz="4" w:space="0" w:color="auto"/>
              <w:bottom w:val="single" w:sz="4" w:space="0" w:color="auto"/>
              <w:right w:val="single" w:sz="4" w:space="0" w:color="auto"/>
            </w:tcBorders>
            <w:vAlign w:val="center"/>
          </w:tcPr>
          <w:p w14:paraId="5924A49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6DCB417E"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299C7CA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7366F280"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4F71FE8D"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633F505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(NPL)</w:t>
            </w:r>
          </w:p>
        </w:tc>
        <w:tc>
          <w:tcPr>
            <w:tcW w:w="1347" w:type="dxa"/>
            <w:tcBorders>
              <w:top w:val="single" w:sz="4" w:space="0" w:color="auto"/>
              <w:left w:val="single" w:sz="4" w:space="0" w:color="auto"/>
              <w:bottom w:val="single" w:sz="4" w:space="0" w:color="auto"/>
              <w:right w:val="single" w:sz="4" w:space="0" w:color="auto"/>
            </w:tcBorders>
            <w:vAlign w:val="center"/>
          </w:tcPr>
          <w:p w14:paraId="0EFA3A1B"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3</w:t>
            </w:r>
          </w:p>
          <w:p w14:paraId="11CB3897" w14:textId="77777777" w:rsidR="00C549F7" w:rsidRPr="007E130D" w:rsidRDefault="008671A6" w:rsidP="00C73ADB">
            <w:pPr>
              <w:pStyle w:val="Tabletext"/>
              <w:jc w:val="center"/>
              <w:rPr>
                <w:rFonts w:eastAsia="MS Mincho"/>
                <w:sz w:val="18"/>
                <w:szCs w:val="18"/>
              </w:rPr>
            </w:pPr>
            <w:r w:rsidRPr="007E130D">
              <w:rPr>
                <w:rFonts w:eastAsia="MS Mincho"/>
                <w:sz w:val="18"/>
                <w:szCs w:val="18"/>
              </w:rPr>
              <w:t>(2 (CHN);</w:t>
            </w:r>
          </w:p>
          <w:p w14:paraId="323DEA47" w14:textId="498516DF" w:rsidR="008671A6" w:rsidRPr="007E130D" w:rsidRDefault="008671A6" w:rsidP="00C73ADB">
            <w:pPr>
              <w:pStyle w:val="Tabletext"/>
              <w:jc w:val="center"/>
              <w:rPr>
                <w:rFonts w:eastAsia="MS Mincho"/>
                <w:sz w:val="18"/>
                <w:szCs w:val="18"/>
              </w:rPr>
            </w:pPr>
            <w:r w:rsidRPr="007E130D">
              <w:rPr>
                <w:rFonts w:eastAsia="MS Mincho"/>
                <w:sz w:val="18"/>
                <w:szCs w:val="18"/>
              </w:rPr>
              <w:t>1 (E))</w:t>
            </w:r>
          </w:p>
        </w:tc>
      </w:tr>
      <w:tr w:rsidR="008671A6" w:rsidRPr="007E130D" w14:paraId="51D12E9B"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2D1041BC" w14:textId="52F9BC46"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4</w:t>
            </w:r>
            <w:r w:rsidR="00FC05C7" w:rsidRPr="007E130D">
              <w:rPr>
                <w:rFonts w:eastAsia="MS Mincho"/>
                <w:sz w:val="18"/>
                <w:szCs w:val="18"/>
              </w:rPr>
              <w:t xml:space="preserve">ème </w:t>
            </w:r>
            <w:r w:rsidR="008618E6" w:rsidRPr="007E130D">
              <w:rPr>
                <w:rFonts w:eastAsia="MS Mincho"/>
                <w:sz w:val="18"/>
                <w:szCs w:val="18"/>
              </w:rPr>
              <w:t>trimestre</w:t>
            </w:r>
          </w:p>
          <w:p w14:paraId="63B68251"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(octobre-décembre) 2019</w:t>
            </w:r>
          </w:p>
        </w:tc>
        <w:tc>
          <w:tcPr>
            <w:tcW w:w="1346" w:type="dxa"/>
            <w:tcBorders>
              <w:top w:val="single" w:sz="4" w:space="0" w:color="auto"/>
              <w:left w:val="single" w:sz="4" w:space="0" w:color="auto"/>
              <w:bottom w:val="single" w:sz="4" w:space="0" w:color="auto"/>
              <w:right w:val="single" w:sz="4" w:space="0" w:color="auto"/>
            </w:tcBorders>
            <w:vAlign w:val="center"/>
          </w:tcPr>
          <w:p w14:paraId="6BB24007"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304F4E3F"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6D798A8B"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6AC4F785"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2158A16E"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6035B307" w14:textId="77777777" w:rsidR="008671A6" w:rsidRPr="007E130D" w:rsidRDefault="008671A6" w:rsidP="00B20AC9">
            <w:pPr>
              <w:pStyle w:val="Tabletext"/>
              <w:jc w:val="center"/>
              <w:rPr>
                <w:rFonts w:eastAsia="MS Mincho"/>
                <w:b/>
                <w:sz w:val="18"/>
                <w:szCs w:val="18"/>
              </w:rPr>
            </w:pPr>
            <w:r w:rsidRPr="007E130D">
              <w:rPr>
                <w:rFonts w:eastAsia="MS Mincho"/>
                <w:b/>
                <w:sz w:val="18"/>
                <w:szCs w:val="18"/>
              </w:rPr>
              <w:t>16</w:t>
            </w:r>
          </w:p>
          <w:p w14:paraId="0936EE15" w14:textId="77777777" w:rsidR="00C549F7" w:rsidRPr="007E130D" w:rsidRDefault="008671A6" w:rsidP="00B20AC9">
            <w:pPr>
              <w:pStyle w:val="Tabletext"/>
              <w:jc w:val="center"/>
              <w:rPr>
                <w:rFonts w:eastAsia="MS Mincho"/>
                <w:sz w:val="18"/>
                <w:szCs w:val="18"/>
              </w:rPr>
            </w:pPr>
            <w:r w:rsidRPr="007E130D">
              <w:rPr>
                <w:rFonts w:eastAsia="MS Mincho"/>
                <w:sz w:val="18"/>
                <w:szCs w:val="18"/>
              </w:rPr>
              <w:t>(2 (D); 1 (E);</w:t>
            </w:r>
          </w:p>
          <w:p w14:paraId="07220AFC" w14:textId="7DBE5103" w:rsidR="008671A6" w:rsidRPr="007E130D" w:rsidRDefault="00C73ADB" w:rsidP="00B20AC9">
            <w:pPr>
              <w:pStyle w:val="Tabletext"/>
              <w:jc w:val="center"/>
              <w:rPr>
                <w:rFonts w:eastAsia="MS Mincho"/>
                <w:sz w:val="18"/>
                <w:szCs w:val="18"/>
              </w:rPr>
            </w:pPr>
            <w:r w:rsidRPr="007E130D">
              <w:rPr>
                <w:rFonts w:eastAsia="MS Mincho"/>
                <w:sz w:val="18"/>
                <w:szCs w:val="18"/>
              </w:rPr>
              <w:t xml:space="preserve">1 </w:t>
            </w:r>
            <w:r w:rsidR="008671A6" w:rsidRPr="007E130D">
              <w:rPr>
                <w:rFonts w:eastAsia="MS Mincho"/>
                <w:sz w:val="18"/>
                <w:szCs w:val="18"/>
              </w:rPr>
              <w:t>(HOL);</w:t>
            </w:r>
          </w:p>
          <w:p w14:paraId="400C0731" w14:textId="77777777" w:rsidR="008671A6" w:rsidRPr="007E130D" w:rsidRDefault="008671A6" w:rsidP="00B20AC9">
            <w:pPr>
              <w:pStyle w:val="Tabletext"/>
              <w:jc w:val="center"/>
              <w:rPr>
                <w:rFonts w:eastAsia="MS Mincho"/>
                <w:sz w:val="18"/>
                <w:szCs w:val="18"/>
              </w:rPr>
            </w:pPr>
            <w:r w:rsidRPr="007E130D">
              <w:rPr>
                <w:rFonts w:eastAsia="MS Mincho"/>
                <w:sz w:val="18"/>
                <w:szCs w:val="18"/>
              </w:rPr>
              <w:t>2 (IRN);</w:t>
            </w:r>
          </w:p>
          <w:p w14:paraId="287CABA2" w14:textId="77777777" w:rsidR="008671A6" w:rsidRPr="007E130D" w:rsidRDefault="008671A6" w:rsidP="00B20AC9">
            <w:pPr>
              <w:pStyle w:val="Tabletext"/>
              <w:jc w:val="center"/>
              <w:rPr>
                <w:rFonts w:eastAsia="MS Mincho"/>
                <w:sz w:val="18"/>
                <w:szCs w:val="18"/>
              </w:rPr>
            </w:pPr>
            <w:r w:rsidRPr="007E130D">
              <w:rPr>
                <w:rFonts w:eastAsia="MS Mincho"/>
                <w:sz w:val="18"/>
                <w:szCs w:val="18"/>
              </w:rPr>
              <w:t>2 (PNG); 8 (S))</w:t>
            </w:r>
          </w:p>
        </w:tc>
      </w:tr>
      <w:tr w:rsidR="008671A6" w:rsidRPr="007E130D" w14:paraId="09F7C55C"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60F5D875"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1er trimestre</w:t>
            </w:r>
          </w:p>
          <w:p w14:paraId="527DECC6"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(janvier-mars) 2020</w:t>
            </w:r>
          </w:p>
        </w:tc>
        <w:tc>
          <w:tcPr>
            <w:tcW w:w="1346" w:type="dxa"/>
            <w:tcBorders>
              <w:top w:val="single" w:sz="4" w:space="0" w:color="auto"/>
              <w:left w:val="single" w:sz="4" w:space="0" w:color="auto"/>
              <w:bottom w:val="single" w:sz="4" w:space="0" w:color="auto"/>
              <w:right w:val="single" w:sz="4" w:space="0" w:color="auto"/>
            </w:tcBorders>
            <w:vAlign w:val="center"/>
          </w:tcPr>
          <w:p w14:paraId="43F153D4" w14:textId="77777777" w:rsidR="008671A6" w:rsidRPr="007E130D" w:rsidRDefault="008671A6" w:rsidP="00B20AC9">
            <w:pPr>
              <w:pStyle w:val="Tabletext"/>
              <w:jc w:val="center"/>
              <w:rPr>
                <w:rFonts w:eastAsia="MS Mincho"/>
                <w:sz w:val="18"/>
                <w:szCs w:val="18"/>
              </w:rPr>
            </w:pPr>
            <w:r w:rsidRPr="007E130D">
              <w:rPr>
                <w:rFonts w:eastAsia="MS Mincho"/>
                <w:b/>
                <w:bCs/>
                <w:sz w:val="18"/>
                <w:szCs w:val="18"/>
              </w:rPr>
              <w:t>1</w:t>
            </w:r>
            <w:r w:rsidRPr="007E130D">
              <w:rPr>
                <w:rFonts w:eastAsia="MS Mincho"/>
                <w:sz w:val="18"/>
                <w:szCs w:val="18"/>
              </w:rPr>
              <w:t xml:space="preserve"> **)</w:t>
            </w:r>
          </w:p>
          <w:p w14:paraId="1C29B513" w14:textId="77777777" w:rsidR="008671A6" w:rsidRPr="007E130D" w:rsidRDefault="008671A6" w:rsidP="00B20AC9">
            <w:pPr>
              <w:pStyle w:val="Tabletext"/>
              <w:jc w:val="center"/>
              <w:rPr>
                <w:rFonts w:eastAsia="MS Mincho"/>
                <w:sz w:val="18"/>
                <w:szCs w:val="18"/>
              </w:rPr>
            </w:pPr>
            <w:r w:rsidRPr="007E130D">
              <w:rPr>
                <w:rFonts w:eastAsia="MS Mincho"/>
                <w:sz w:val="18"/>
                <w:szCs w:val="18"/>
              </w:rPr>
              <w:t>(SRB)</w:t>
            </w:r>
          </w:p>
        </w:tc>
        <w:tc>
          <w:tcPr>
            <w:tcW w:w="1347" w:type="dxa"/>
            <w:tcBorders>
              <w:top w:val="single" w:sz="4" w:space="0" w:color="auto"/>
              <w:left w:val="single" w:sz="4" w:space="0" w:color="auto"/>
              <w:bottom w:val="single" w:sz="4" w:space="0" w:color="auto"/>
              <w:right w:val="single" w:sz="4" w:space="0" w:color="auto"/>
            </w:tcBorders>
            <w:vAlign w:val="center"/>
          </w:tcPr>
          <w:p w14:paraId="07145134"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317BED51"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7A4C0374"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512D80D6"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2</w:t>
            </w:r>
          </w:p>
          <w:p w14:paraId="59B469C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(IND)</w:t>
            </w:r>
          </w:p>
        </w:tc>
        <w:tc>
          <w:tcPr>
            <w:tcW w:w="1347" w:type="dxa"/>
            <w:tcBorders>
              <w:top w:val="single" w:sz="4" w:space="0" w:color="auto"/>
              <w:left w:val="single" w:sz="4" w:space="0" w:color="auto"/>
              <w:bottom w:val="single" w:sz="4" w:space="0" w:color="auto"/>
              <w:right w:val="single" w:sz="4" w:space="0" w:color="auto"/>
            </w:tcBorders>
            <w:vAlign w:val="center"/>
          </w:tcPr>
          <w:p w14:paraId="794B07E7"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9</w:t>
            </w:r>
          </w:p>
          <w:p w14:paraId="4E7B187C" w14:textId="77777777" w:rsidR="008671A6" w:rsidRPr="007E130D" w:rsidRDefault="008671A6" w:rsidP="00B20AC9">
            <w:pPr>
              <w:pStyle w:val="Tabletext"/>
              <w:jc w:val="center"/>
              <w:rPr>
                <w:rFonts w:eastAsia="MS Mincho"/>
                <w:sz w:val="18"/>
                <w:szCs w:val="18"/>
              </w:rPr>
            </w:pPr>
            <w:r w:rsidRPr="007E130D">
              <w:rPr>
                <w:rFonts w:eastAsia="MS Mincho"/>
                <w:sz w:val="18"/>
                <w:szCs w:val="18"/>
              </w:rPr>
              <w:t>(5 (CHN);</w:t>
            </w:r>
          </w:p>
          <w:p w14:paraId="126B4445" w14:textId="77777777" w:rsidR="00C549F7" w:rsidRPr="007E130D" w:rsidRDefault="008671A6" w:rsidP="00B20AC9">
            <w:pPr>
              <w:pStyle w:val="Tabletext"/>
              <w:jc w:val="center"/>
              <w:rPr>
                <w:rFonts w:eastAsia="MS Mincho"/>
                <w:sz w:val="18"/>
                <w:szCs w:val="18"/>
              </w:rPr>
            </w:pPr>
            <w:r w:rsidRPr="007E130D">
              <w:rPr>
                <w:rFonts w:eastAsia="MS Mincho"/>
                <w:sz w:val="18"/>
                <w:szCs w:val="18"/>
              </w:rPr>
              <w:t>3 (F);</w:t>
            </w:r>
          </w:p>
          <w:p w14:paraId="636738B8" w14:textId="27160284" w:rsidR="008671A6" w:rsidRPr="007E130D" w:rsidRDefault="008671A6" w:rsidP="00B20AC9">
            <w:pPr>
              <w:pStyle w:val="Tabletext"/>
              <w:jc w:val="center"/>
              <w:rPr>
                <w:rFonts w:eastAsia="MS Mincho"/>
                <w:sz w:val="18"/>
                <w:szCs w:val="18"/>
              </w:rPr>
            </w:pPr>
            <w:r w:rsidRPr="007E130D">
              <w:rPr>
                <w:rFonts w:eastAsia="MS Mincho"/>
                <w:sz w:val="18"/>
                <w:szCs w:val="18"/>
              </w:rPr>
              <w:t>1 (MLA))</w:t>
            </w:r>
          </w:p>
        </w:tc>
      </w:tr>
      <w:tr w:rsidR="008671A6" w:rsidRPr="007E130D" w14:paraId="33ACBCA9"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015B1E16"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2ème trimestre</w:t>
            </w:r>
          </w:p>
          <w:p w14:paraId="1F9DE64B"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(avril-juin) 2020</w:t>
            </w:r>
          </w:p>
        </w:tc>
        <w:tc>
          <w:tcPr>
            <w:tcW w:w="1346" w:type="dxa"/>
            <w:tcBorders>
              <w:top w:val="single" w:sz="4" w:space="0" w:color="auto"/>
              <w:left w:val="single" w:sz="4" w:space="0" w:color="auto"/>
              <w:bottom w:val="single" w:sz="4" w:space="0" w:color="auto"/>
              <w:right w:val="single" w:sz="4" w:space="0" w:color="auto"/>
            </w:tcBorders>
            <w:vAlign w:val="center"/>
          </w:tcPr>
          <w:p w14:paraId="07989CD9" w14:textId="77777777" w:rsidR="008671A6" w:rsidRPr="007E130D" w:rsidRDefault="008671A6" w:rsidP="00B20AC9">
            <w:pPr>
              <w:pStyle w:val="Tabletext"/>
              <w:jc w:val="center"/>
              <w:rPr>
                <w:rFonts w:eastAsia="MS Mincho"/>
                <w:sz w:val="18"/>
                <w:szCs w:val="18"/>
              </w:rPr>
            </w:pPr>
            <w:r w:rsidRPr="007E130D">
              <w:rPr>
                <w:rFonts w:eastAsia="MS Mincho"/>
                <w:b/>
                <w:bCs/>
                <w:sz w:val="18"/>
                <w:szCs w:val="18"/>
              </w:rPr>
              <w:t>6</w:t>
            </w:r>
            <w:r w:rsidRPr="007E130D">
              <w:rPr>
                <w:rFonts w:eastAsia="MS Mincho"/>
                <w:sz w:val="18"/>
                <w:szCs w:val="18"/>
              </w:rPr>
              <w:t xml:space="preserve"> **)</w:t>
            </w:r>
          </w:p>
          <w:p w14:paraId="04C5E865" w14:textId="77777777" w:rsidR="008671A6" w:rsidRPr="007E130D" w:rsidRDefault="008671A6" w:rsidP="00B20AC9">
            <w:pPr>
              <w:pStyle w:val="Tabletext"/>
              <w:jc w:val="center"/>
              <w:rPr>
                <w:rFonts w:eastAsia="MS Mincho"/>
                <w:sz w:val="18"/>
                <w:szCs w:val="18"/>
              </w:rPr>
            </w:pPr>
            <w:r w:rsidRPr="007E130D">
              <w:rPr>
                <w:rFonts w:eastAsia="MS Mincho"/>
                <w:sz w:val="18"/>
                <w:szCs w:val="18"/>
              </w:rPr>
              <w:t>(MKD; BIH; MDA; SSD; GEO; HRV)</w:t>
            </w:r>
          </w:p>
        </w:tc>
        <w:tc>
          <w:tcPr>
            <w:tcW w:w="1347" w:type="dxa"/>
            <w:tcBorders>
              <w:top w:val="single" w:sz="4" w:space="0" w:color="auto"/>
              <w:left w:val="single" w:sz="4" w:space="0" w:color="auto"/>
              <w:bottom w:val="single" w:sz="4" w:space="0" w:color="auto"/>
              <w:right w:val="single" w:sz="4" w:space="0" w:color="auto"/>
            </w:tcBorders>
            <w:vAlign w:val="center"/>
          </w:tcPr>
          <w:p w14:paraId="37712553"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0AB1ACF2" w14:textId="77777777" w:rsidR="008671A6" w:rsidRPr="007E130D" w:rsidRDefault="008671A6" w:rsidP="00B20AC9">
            <w:pPr>
              <w:pStyle w:val="Tabletext"/>
              <w:jc w:val="center"/>
              <w:rPr>
                <w:rFonts w:eastAsia="MS Mincho"/>
                <w:sz w:val="18"/>
                <w:szCs w:val="18"/>
              </w:rPr>
            </w:pPr>
            <w:r w:rsidRPr="007E130D">
              <w:rPr>
                <w:rFonts w:eastAsia="MS Mincho"/>
                <w:sz w:val="18"/>
                <w:szCs w:val="18"/>
              </w:rPr>
              <w:t>(PAK)</w:t>
            </w:r>
          </w:p>
        </w:tc>
        <w:tc>
          <w:tcPr>
            <w:tcW w:w="1346" w:type="dxa"/>
            <w:tcBorders>
              <w:top w:val="single" w:sz="4" w:space="0" w:color="auto"/>
              <w:left w:val="single" w:sz="4" w:space="0" w:color="auto"/>
              <w:bottom w:val="single" w:sz="4" w:space="0" w:color="auto"/>
              <w:right w:val="single" w:sz="4" w:space="0" w:color="auto"/>
            </w:tcBorders>
            <w:vAlign w:val="center"/>
          </w:tcPr>
          <w:p w14:paraId="5D447C2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275BE5DF"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0B8E5F9A"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6FF64446" w14:textId="77777777" w:rsidR="008671A6" w:rsidRPr="007E130D" w:rsidRDefault="008671A6" w:rsidP="00B20AC9">
            <w:pPr>
              <w:pStyle w:val="Tabletext"/>
              <w:jc w:val="center"/>
              <w:rPr>
                <w:rFonts w:eastAsia="MS Mincho"/>
                <w:b/>
                <w:sz w:val="18"/>
                <w:szCs w:val="18"/>
              </w:rPr>
            </w:pPr>
            <w:r w:rsidRPr="007E130D">
              <w:rPr>
                <w:rFonts w:eastAsia="MS Mincho"/>
                <w:b/>
                <w:sz w:val="18"/>
                <w:szCs w:val="18"/>
              </w:rPr>
              <w:t>5</w:t>
            </w:r>
          </w:p>
          <w:p w14:paraId="55A62D83"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 (CHN);</w:t>
            </w:r>
          </w:p>
          <w:p w14:paraId="632CCCA2"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 (E); 1 (F);</w:t>
            </w:r>
          </w:p>
          <w:p w14:paraId="48B35F15"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 (ISR);</w:t>
            </w:r>
          </w:p>
          <w:p w14:paraId="2453889D"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 (LUX))</w:t>
            </w:r>
          </w:p>
        </w:tc>
      </w:tr>
      <w:tr w:rsidR="008671A6" w:rsidRPr="007E130D" w14:paraId="459A9F65"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04CE8022"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3ème trimestre</w:t>
            </w:r>
          </w:p>
          <w:p w14:paraId="01163893"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(juillet-septembre) 2020</w:t>
            </w:r>
          </w:p>
        </w:tc>
        <w:tc>
          <w:tcPr>
            <w:tcW w:w="1346" w:type="dxa"/>
            <w:tcBorders>
              <w:top w:val="single" w:sz="4" w:space="0" w:color="auto"/>
              <w:left w:val="single" w:sz="4" w:space="0" w:color="auto"/>
              <w:bottom w:val="single" w:sz="4" w:space="0" w:color="auto"/>
              <w:right w:val="single" w:sz="4" w:space="0" w:color="auto"/>
            </w:tcBorders>
            <w:vAlign w:val="center"/>
          </w:tcPr>
          <w:p w14:paraId="4C8516EC"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28CD4C6E"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66F9DE17"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1ACA1929"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5633F696"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2287B747"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11</w:t>
            </w:r>
          </w:p>
          <w:p w14:paraId="4B8EF004"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 (D); F (10))</w:t>
            </w:r>
          </w:p>
        </w:tc>
      </w:tr>
      <w:tr w:rsidR="008671A6" w:rsidRPr="007E130D" w14:paraId="7B701D73"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57E1CCA4" w14:textId="77777777" w:rsidR="008671A6" w:rsidRPr="007E130D" w:rsidRDefault="00F06A5D" w:rsidP="00C549F7">
            <w:pPr>
              <w:pStyle w:val="Tabletext"/>
              <w:tabs>
                <w:tab w:val="clear" w:pos="1418"/>
              </w:tabs>
              <w:ind w:left="-28" w:right="-57"/>
              <w:jc w:val="center"/>
              <w:rPr>
                <w:rFonts w:eastAsia="MS Mincho"/>
                <w:sz w:val="18"/>
                <w:szCs w:val="18"/>
              </w:rPr>
            </w:pPr>
            <w:r w:rsidRPr="007E130D">
              <w:rPr>
                <w:rFonts w:eastAsia="MS Mincho"/>
                <w:sz w:val="18"/>
                <w:szCs w:val="18"/>
              </w:rPr>
              <w:t>4ème trimestre</w:t>
            </w:r>
          </w:p>
          <w:p w14:paraId="0C749F73"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(octobre-décembre) 2020</w:t>
            </w:r>
          </w:p>
        </w:tc>
        <w:tc>
          <w:tcPr>
            <w:tcW w:w="1346" w:type="dxa"/>
            <w:tcBorders>
              <w:top w:val="single" w:sz="4" w:space="0" w:color="auto"/>
              <w:left w:val="single" w:sz="4" w:space="0" w:color="auto"/>
              <w:bottom w:val="single" w:sz="4" w:space="0" w:color="auto"/>
              <w:right w:val="single" w:sz="4" w:space="0" w:color="auto"/>
            </w:tcBorders>
            <w:vAlign w:val="center"/>
          </w:tcPr>
          <w:p w14:paraId="7115B985"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697B0CBD"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30A49E61" w14:textId="77777777" w:rsidR="008671A6" w:rsidRPr="007E130D" w:rsidRDefault="008671A6" w:rsidP="00B20AC9">
            <w:pPr>
              <w:pStyle w:val="Tabletext"/>
              <w:jc w:val="center"/>
              <w:rPr>
                <w:rFonts w:eastAsia="MS Mincho"/>
                <w:sz w:val="18"/>
                <w:szCs w:val="18"/>
              </w:rPr>
            </w:pPr>
            <w:r w:rsidRPr="007E130D">
              <w:rPr>
                <w:rFonts w:eastAsia="MS Mincho"/>
                <w:sz w:val="18"/>
                <w:szCs w:val="18"/>
              </w:rPr>
              <w:t>(KOR)</w:t>
            </w:r>
          </w:p>
        </w:tc>
        <w:tc>
          <w:tcPr>
            <w:tcW w:w="1346" w:type="dxa"/>
            <w:tcBorders>
              <w:top w:val="single" w:sz="4" w:space="0" w:color="auto"/>
              <w:left w:val="single" w:sz="4" w:space="0" w:color="auto"/>
              <w:bottom w:val="single" w:sz="4" w:space="0" w:color="auto"/>
              <w:right w:val="single" w:sz="4" w:space="0" w:color="auto"/>
            </w:tcBorders>
            <w:vAlign w:val="center"/>
          </w:tcPr>
          <w:p w14:paraId="365CC269"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1F9B0173"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18936150"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w:t>
            </w:r>
          </w:p>
          <w:p w14:paraId="6908E6F1" w14:textId="77777777" w:rsidR="008671A6" w:rsidRPr="007E130D" w:rsidRDefault="008671A6" w:rsidP="00B20AC9">
            <w:pPr>
              <w:pStyle w:val="Tabletext"/>
              <w:jc w:val="center"/>
              <w:rPr>
                <w:rFonts w:eastAsia="MS Mincho"/>
                <w:sz w:val="18"/>
                <w:szCs w:val="18"/>
              </w:rPr>
            </w:pPr>
            <w:r w:rsidRPr="007E130D">
              <w:rPr>
                <w:rFonts w:eastAsia="MS Mincho"/>
                <w:sz w:val="18"/>
                <w:szCs w:val="18"/>
              </w:rPr>
              <w:t>(KOR)</w:t>
            </w:r>
          </w:p>
        </w:tc>
        <w:tc>
          <w:tcPr>
            <w:tcW w:w="1347" w:type="dxa"/>
            <w:tcBorders>
              <w:top w:val="single" w:sz="4" w:space="0" w:color="auto"/>
              <w:left w:val="single" w:sz="4" w:space="0" w:color="auto"/>
              <w:bottom w:val="single" w:sz="4" w:space="0" w:color="auto"/>
              <w:right w:val="single" w:sz="4" w:space="0" w:color="auto"/>
            </w:tcBorders>
            <w:vAlign w:val="center"/>
          </w:tcPr>
          <w:p w14:paraId="1590A430"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2</w:t>
            </w:r>
          </w:p>
          <w:p w14:paraId="32B33EE6"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(CHN);</w:t>
            </w:r>
          </w:p>
          <w:p w14:paraId="68F789D8" w14:textId="3FFB9C98" w:rsidR="008671A6" w:rsidRPr="007E130D" w:rsidRDefault="008671A6" w:rsidP="00B20AC9">
            <w:pPr>
              <w:pStyle w:val="Tabletext"/>
              <w:jc w:val="center"/>
              <w:rPr>
                <w:rFonts w:eastAsia="MS Mincho"/>
                <w:sz w:val="18"/>
                <w:szCs w:val="18"/>
              </w:rPr>
            </w:pPr>
            <w:r w:rsidRPr="007E130D">
              <w:rPr>
                <w:rFonts w:eastAsia="MS Mincho"/>
                <w:sz w:val="18"/>
                <w:szCs w:val="18"/>
              </w:rPr>
              <w:t>1 (VEN))</w:t>
            </w:r>
          </w:p>
        </w:tc>
      </w:tr>
      <w:tr w:rsidR="008671A6" w:rsidRPr="007E130D" w14:paraId="72B23F79"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1726B9E5"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1er trimestre</w:t>
            </w:r>
          </w:p>
          <w:p w14:paraId="43B63612"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(janvier-mars)</w:t>
            </w:r>
          </w:p>
          <w:p w14:paraId="40452D00"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2021</w:t>
            </w:r>
          </w:p>
        </w:tc>
        <w:tc>
          <w:tcPr>
            <w:tcW w:w="1346" w:type="dxa"/>
            <w:tcBorders>
              <w:top w:val="single" w:sz="4" w:space="0" w:color="auto"/>
              <w:left w:val="single" w:sz="4" w:space="0" w:color="auto"/>
              <w:bottom w:val="single" w:sz="4" w:space="0" w:color="auto"/>
              <w:right w:val="single" w:sz="4" w:space="0" w:color="auto"/>
            </w:tcBorders>
            <w:vAlign w:val="center"/>
          </w:tcPr>
          <w:p w14:paraId="38DC3862"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736BEA34"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0E04CE9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697660E0"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7D6F7266"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3784AB04"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9</w:t>
            </w:r>
          </w:p>
          <w:p w14:paraId="2FE73E92" w14:textId="77777777" w:rsidR="00C549F7" w:rsidRPr="007E130D" w:rsidRDefault="008671A6" w:rsidP="00B20AC9">
            <w:pPr>
              <w:pStyle w:val="Tabletext"/>
              <w:jc w:val="center"/>
              <w:rPr>
                <w:rFonts w:eastAsia="MS Mincho"/>
                <w:sz w:val="18"/>
                <w:szCs w:val="18"/>
              </w:rPr>
            </w:pPr>
            <w:r w:rsidRPr="007E130D">
              <w:rPr>
                <w:rFonts w:eastAsia="MS Mincho"/>
                <w:sz w:val="18"/>
                <w:szCs w:val="18"/>
              </w:rPr>
              <w:t>(4 (F); 3 (J);</w:t>
            </w:r>
          </w:p>
          <w:p w14:paraId="77A18AF2" w14:textId="63B4F350" w:rsidR="008671A6" w:rsidRPr="007E130D" w:rsidRDefault="008671A6" w:rsidP="00B20AC9">
            <w:pPr>
              <w:pStyle w:val="Tabletext"/>
              <w:jc w:val="center"/>
              <w:rPr>
                <w:rFonts w:eastAsia="MS Mincho"/>
                <w:sz w:val="18"/>
                <w:szCs w:val="18"/>
              </w:rPr>
            </w:pPr>
            <w:r w:rsidRPr="007E130D">
              <w:rPr>
                <w:rFonts w:eastAsia="MS Mincho"/>
                <w:sz w:val="18"/>
                <w:szCs w:val="18"/>
              </w:rPr>
              <w:t>1 (HOL);</w:t>
            </w:r>
          </w:p>
          <w:p w14:paraId="0B5C659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 (UAE))</w:t>
            </w:r>
          </w:p>
        </w:tc>
      </w:tr>
      <w:tr w:rsidR="008671A6" w:rsidRPr="007E130D" w14:paraId="0A588629"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3B39FB32"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2ème trimestre</w:t>
            </w:r>
          </w:p>
          <w:p w14:paraId="3A6678EB"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(avril-juin)</w:t>
            </w:r>
          </w:p>
          <w:p w14:paraId="08399B5A"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2021</w:t>
            </w:r>
          </w:p>
        </w:tc>
        <w:tc>
          <w:tcPr>
            <w:tcW w:w="1346" w:type="dxa"/>
            <w:tcBorders>
              <w:top w:val="single" w:sz="4" w:space="0" w:color="auto"/>
              <w:left w:val="single" w:sz="4" w:space="0" w:color="auto"/>
              <w:bottom w:val="single" w:sz="4" w:space="0" w:color="auto"/>
              <w:right w:val="single" w:sz="4" w:space="0" w:color="auto"/>
            </w:tcBorders>
            <w:vAlign w:val="center"/>
          </w:tcPr>
          <w:p w14:paraId="25098637"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796EC07F"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28DBC425"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12008A99"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39D1CA2D"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4045FBD6"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12</w:t>
            </w:r>
          </w:p>
          <w:p w14:paraId="6C6AE184"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(E); 5 (F);</w:t>
            </w:r>
          </w:p>
          <w:p w14:paraId="5E0DC704"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(G); 1 (ISR);</w:t>
            </w:r>
          </w:p>
          <w:p w14:paraId="1A4CF918"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(MLA);</w:t>
            </w:r>
          </w:p>
          <w:p w14:paraId="7347FADB"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(QAT);</w:t>
            </w:r>
          </w:p>
          <w:p w14:paraId="20EB4D44"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(USA);</w:t>
            </w:r>
          </w:p>
          <w:p w14:paraId="57DB1243" w14:textId="7423EA95" w:rsidR="008671A6" w:rsidRPr="007E130D" w:rsidRDefault="008671A6" w:rsidP="00B20AC9">
            <w:pPr>
              <w:pStyle w:val="Tabletext"/>
              <w:jc w:val="center"/>
              <w:rPr>
                <w:rFonts w:eastAsia="MS Mincho"/>
                <w:sz w:val="18"/>
                <w:szCs w:val="18"/>
              </w:rPr>
            </w:pPr>
            <w:r w:rsidRPr="007E130D">
              <w:rPr>
                <w:rFonts w:eastAsia="MS Mincho"/>
                <w:sz w:val="18"/>
                <w:szCs w:val="18"/>
              </w:rPr>
              <w:t>1 (UAE))</w:t>
            </w:r>
          </w:p>
        </w:tc>
      </w:tr>
      <w:tr w:rsidR="008671A6" w:rsidRPr="007E130D" w14:paraId="4659B424"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011F8301"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lastRenderedPageBreak/>
              <w:t>3ème trimestre</w:t>
            </w:r>
          </w:p>
          <w:p w14:paraId="30F16201"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(juillet-septembre) 2021</w:t>
            </w:r>
          </w:p>
        </w:tc>
        <w:tc>
          <w:tcPr>
            <w:tcW w:w="1346" w:type="dxa"/>
            <w:tcBorders>
              <w:top w:val="single" w:sz="4" w:space="0" w:color="auto"/>
              <w:left w:val="single" w:sz="4" w:space="0" w:color="auto"/>
              <w:bottom w:val="single" w:sz="4" w:space="0" w:color="auto"/>
              <w:right w:val="single" w:sz="4" w:space="0" w:color="auto"/>
            </w:tcBorders>
            <w:vAlign w:val="center"/>
          </w:tcPr>
          <w:p w14:paraId="37499363"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1CA805D6"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74F49BD6"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670B4A50"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372EDCB8"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1BD649C6" w14:textId="77777777" w:rsidR="008671A6" w:rsidRPr="007E130D" w:rsidRDefault="008671A6" w:rsidP="00B20AC9">
            <w:pPr>
              <w:pStyle w:val="Tabletext"/>
              <w:jc w:val="center"/>
              <w:rPr>
                <w:rFonts w:eastAsia="MS Mincho"/>
                <w:sz w:val="18"/>
                <w:szCs w:val="18"/>
              </w:rPr>
            </w:pPr>
            <w:r w:rsidRPr="007E130D">
              <w:rPr>
                <w:rFonts w:eastAsia="MS Mincho"/>
                <w:sz w:val="18"/>
                <w:szCs w:val="18"/>
              </w:rPr>
              <w:t>(VEN)</w:t>
            </w:r>
          </w:p>
        </w:tc>
        <w:tc>
          <w:tcPr>
            <w:tcW w:w="1347" w:type="dxa"/>
            <w:tcBorders>
              <w:top w:val="single" w:sz="4" w:space="0" w:color="auto"/>
              <w:left w:val="single" w:sz="4" w:space="0" w:color="auto"/>
              <w:bottom w:val="single" w:sz="4" w:space="0" w:color="auto"/>
              <w:right w:val="single" w:sz="4" w:space="0" w:color="auto"/>
            </w:tcBorders>
            <w:vAlign w:val="center"/>
          </w:tcPr>
          <w:p w14:paraId="06D8FCFC"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7</w:t>
            </w:r>
          </w:p>
          <w:p w14:paraId="47C23EA8" w14:textId="77777777" w:rsidR="00C549F7" w:rsidRPr="007E130D" w:rsidRDefault="008671A6" w:rsidP="00B20AC9">
            <w:pPr>
              <w:pStyle w:val="Tabletext"/>
              <w:jc w:val="center"/>
              <w:rPr>
                <w:rFonts w:eastAsia="MS Mincho"/>
                <w:sz w:val="18"/>
                <w:szCs w:val="18"/>
              </w:rPr>
            </w:pPr>
            <w:r w:rsidRPr="007E130D">
              <w:rPr>
                <w:rFonts w:eastAsia="MS Mincho"/>
                <w:sz w:val="18"/>
                <w:szCs w:val="18"/>
              </w:rPr>
              <w:t>(2 (AUS);</w:t>
            </w:r>
          </w:p>
          <w:p w14:paraId="19B2DA15"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(D); 1 (F);</w:t>
            </w:r>
          </w:p>
          <w:p w14:paraId="4D6E1109" w14:textId="7D6507BB" w:rsidR="008671A6" w:rsidRPr="007E130D" w:rsidRDefault="008671A6" w:rsidP="00B20AC9">
            <w:pPr>
              <w:pStyle w:val="Tabletext"/>
              <w:jc w:val="center"/>
              <w:rPr>
                <w:rFonts w:eastAsia="MS Mincho"/>
                <w:sz w:val="18"/>
                <w:szCs w:val="18"/>
              </w:rPr>
            </w:pPr>
            <w:r w:rsidRPr="007E130D">
              <w:rPr>
                <w:rFonts w:eastAsia="MS Mincho"/>
                <w:sz w:val="18"/>
                <w:szCs w:val="18"/>
              </w:rPr>
              <w:t>1 (IND);</w:t>
            </w:r>
          </w:p>
          <w:p w14:paraId="129056AC" w14:textId="580F7B97" w:rsidR="008671A6" w:rsidRPr="007E130D" w:rsidRDefault="008671A6" w:rsidP="00B20AC9">
            <w:pPr>
              <w:pStyle w:val="Tabletext"/>
              <w:jc w:val="center"/>
              <w:rPr>
                <w:rFonts w:eastAsia="MS Mincho"/>
                <w:b/>
                <w:bCs/>
                <w:sz w:val="18"/>
                <w:szCs w:val="18"/>
              </w:rPr>
            </w:pPr>
            <w:r w:rsidRPr="007E130D">
              <w:rPr>
                <w:rFonts w:eastAsia="MS Mincho"/>
                <w:sz w:val="18"/>
                <w:szCs w:val="18"/>
              </w:rPr>
              <w:t>2 (S))</w:t>
            </w:r>
          </w:p>
        </w:tc>
      </w:tr>
      <w:tr w:rsidR="008671A6" w:rsidRPr="007E130D" w14:paraId="5D4D8CC5"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7A6090A2" w14:textId="77777777" w:rsidR="008671A6" w:rsidRPr="007E130D" w:rsidRDefault="00F06A5D" w:rsidP="00C549F7">
            <w:pPr>
              <w:pStyle w:val="Tabletext"/>
              <w:tabs>
                <w:tab w:val="clear" w:pos="1418"/>
              </w:tabs>
              <w:ind w:left="-28" w:right="-57"/>
              <w:jc w:val="center"/>
              <w:rPr>
                <w:rFonts w:eastAsia="MS Mincho"/>
                <w:sz w:val="18"/>
                <w:szCs w:val="18"/>
              </w:rPr>
            </w:pPr>
            <w:r w:rsidRPr="007E130D">
              <w:rPr>
                <w:rFonts w:eastAsia="MS Mincho"/>
                <w:sz w:val="18"/>
                <w:szCs w:val="18"/>
              </w:rPr>
              <w:t>4ème trimestre</w:t>
            </w:r>
          </w:p>
          <w:p w14:paraId="65998299"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(octobre-décembre) 2021</w:t>
            </w:r>
          </w:p>
        </w:tc>
        <w:tc>
          <w:tcPr>
            <w:tcW w:w="1346" w:type="dxa"/>
            <w:tcBorders>
              <w:top w:val="single" w:sz="4" w:space="0" w:color="auto"/>
              <w:left w:val="single" w:sz="4" w:space="0" w:color="auto"/>
              <w:bottom w:val="single" w:sz="4" w:space="0" w:color="auto"/>
              <w:right w:val="single" w:sz="4" w:space="0" w:color="auto"/>
            </w:tcBorders>
            <w:vAlign w:val="center"/>
          </w:tcPr>
          <w:p w14:paraId="4D340937"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60525074"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50E56B4D"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0C5237CD"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49336A3F" w14:textId="77777777" w:rsidR="008671A6" w:rsidRPr="007E130D" w:rsidRDefault="008671A6" w:rsidP="00B20AC9">
            <w:pPr>
              <w:pStyle w:val="Tabletext"/>
              <w:jc w:val="center"/>
              <w:rPr>
                <w:rFonts w:eastAsia="MS Mincho"/>
                <w:sz w:val="18"/>
                <w:szCs w:val="18"/>
              </w:rPr>
            </w:pPr>
            <w:r w:rsidRPr="007E130D">
              <w:rPr>
                <w:rFonts w:eastAsia="MS Mincho"/>
                <w:sz w:val="18"/>
                <w:szCs w:val="18"/>
              </w:rPr>
              <w:t>(I)</w:t>
            </w:r>
          </w:p>
        </w:tc>
        <w:tc>
          <w:tcPr>
            <w:tcW w:w="1346" w:type="dxa"/>
            <w:tcBorders>
              <w:top w:val="single" w:sz="4" w:space="0" w:color="auto"/>
              <w:left w:val="single" w:sz="4" w:space="0" w:color="auto"/>
              <w:bottom w:val="single" w:sz="4" w:space="0" w:color="auto"/>
              <w:right w:val="single" w:sz="4" w:space="0" w:color="auto"/>
            </w:tcBorders>
            <w:vAlign w:val="center"/>
          </w:tcPr>
          <w:p w14:paraId="547FC442"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4498FBDB" w14:textId="77777777" w:rsidR="008671A6" w:rsidRPr="007E130D" w:rsidRDefault="008671A6" w:rsidP="00B20AC9">
            <w:pPr>
              <w:pStyle w:val="Tabletext"/>
              <w:jc w:val="center"/>
              <w:rPr>
                <w:rFonts w:eastAsia="MS Mincho"/>
                <w:b/>
                <w:bCs/>
                <w:sz w:val="18"/>
                <w:szCs w:val="18"/>
              </w:rPr>
            </w:pPr>
            <w:r w:rsidRPr="007E130D">
              <w:rPr>
                <w:rFonts w:eastAsia="MS Mincho"/>
                <w:sz w:val="18"/>
                <w:szCs w:val="18"/>
              </w:rPr>
              <w:t>(KOR)</w:t>
            </w:r>
          </w:p>
        </w:tc>
        <w:tc>
          <w:tcPr>
            <w:tcW w:w="1347" w:type="dxa"/>
            <w:tcBorders>
              <w:top w:val="single" w:sz="4" w:space="0" w:color="auto"/>
              <w:left w:val="single" w:sz="4" w:space="0" w:color="auto"/>
              <w:bottom w:val="single" w:sz="4" w:space="0" w:color="auto"/>
              <w:right w:val="single" w:sz="4" w:space="0" w:color="auto"/>
            </w:tcBorders>
            <w:vAlign w:val="center"/>
          </w:tcPr>
          <w:p w14:paraId="3C02DF45"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7</w:t>
            </w:r>
          </w:p>
          <w:p w14:paraId="10AD51E0"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(CYP);</w:t>
            </w:r>
          </w:p>
          <w:p w14:paraId="19E60074" w14:textId="77777777" w:rsidR="00C549F7" w:rsidRPr="007E130D" w:rsidRDefault="008671A6" w:rsidP="00B20AC9">
            <w:pPr>
              <w:pStyle w:val="Tabletext"/>
              <w:jc w:val="center"/>
              <w:rPr>
                <w:rFonts w:eastAsia="MS Mincho"/>
                <w:sz w:val="18"/>
                <w:szCs w:val="18"/>
              </w:rPr>
            </w:pPr>
            <w:r w:rsidRPr="007E130D">
              <w:rPr>
                <w:rFonts w:eastAsia="MS Mincho"/>
                <w:sz w:val="18"/>
                <w:szCs w:val="18"/>
              </w:rPr>
              <w:t>3 (D);</w:t>
            </w:r>
            <w:r w:rsidR="00C549F7" w:rsidRPr="007E130D">
              <w:rPr>
                <w:rFonts w:eastAsia="MS Mincho"/>
                <w:sz w:val="18"/>
                <w:szCs w:val="18"/>
              </w:rPr>
              <w:t xml:space="preserve"> </w:t>
            </w:r>
            <w:r w:rsidRPr="007E130D">
              <w:rPr>
                <w:rFonts w:eastAsia="MS Mincho"/>
                <w:sz w:val="18"/>
                <w:szCs w:val="18"/>
              </w:rPr>
              <w:t>1 (F);</w:t>
            </w:r>
          </w:p>
          <w:p w14:paraId="553C2452" w14:textId="4DFDBA6F" w:rsidR="008671A6" w:rsidRPr="007E130D" w:rsidRDefault="008671A6" w:rsidP="00B20AC9">
            <w:pPr>
              <w:pStyle w:val="Tabletext"/>
              <w:jc w:val="center"/>
              <w:rPr>
                <w:rFonts w:eastAsia="MS Mincho"/>
                <w:sz w:val="18"/>
                <w:szCs w:val="18"/>
              </w:rPr>
            </w:pPr>
            <w:r w:rsidRPr="007E130D">
              <w:rPr>
                <w:rFonts w:eastAsia="MS Mincho"/>
                <w:sz w:val="18"/>
                <w:szCs w:val="18"/>
              </w:rPr>
              <w:t xml:space="preserve">1 (G); </w:t>
            </w:r>
          </w:p>
          <w:p w14:paraId="7F4A37D9" w14:textId="77777777" w:rsidR="008671A6" w:rsidRPr="007E130D" w:rsidRDefault="008671A6" w:rsidP="00B20AC9">
            <w:pPr>
              <w:pStyle w:val="Tabletext"/>
              <w:jc w:val="center"/>
              <w:rPr>
                <w:rFonts w:eastAsia="MS Mincho"/>
                <w:b/>
                <w:bCs/>
                <w:sz w:val="18"/>
                <w:szCs w:val="18"/>
              </w:rPr>
            </w:pPr>
            <w:r w:rsidRPr="007E130D">
              <w:rPr>
                <w:rFonts w:eastAsia="MS Mincho"/>
                <w:sz w:val="18"/>
                <w:szCs w:val="18"/>
              </w:rPr>
              <w:t>1 (HOL))</w:t>
            </w:r>
          </w:p>
        </w:tc>
      </w:tr>
      <w:tr w:rsidR="008671A6" w:rsidRPr="007E130D" w14:paraId="5692A7FC"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031E5509"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1er trimestre</w:t>
            </w:r>
          </w:p>
          <w:p w14:paraId="3DB0EA39"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(janvier-mars)</w:t>
            </w:r>
          </w:p>
          <w:p w14:paraId="47167024"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2022</w:t>
            </w:r>
          </w:p>
        </w:tc>
        <w:tc>
          <w:tcPr>
            <w:tcW w:w="1346" w:type="dxa"/>
            <w:tcBorders>
              <w:top w:val="single" w:sz="4" w:space="0" w:color="auto"/>
              <w:left w:val="single" w:sz="4" w:space="0" w:color="auto"/>
              <w:bottom w:val="single" w:sz="4" w:space="0" w:color="auto"/>
              <w:right w:val="single" w:sz="4" w:space="0" w:color="auto"/>
            </w:tcBorders>
            <w:vAlign w:val="center"/>
          </w:tcPr>
          <w:p w14:paraId="42D8E0FB"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153BD71A"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33B7B2B9"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2950387A"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05936EED"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04131BF8"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3</w:t>
            </w:r>
          </w:p>
          <w:p w14:paraId="5BCCFD50" w14:textId="77777777" w:rsidR="00C549F7" w:rsidRPr="007E130D" w:rsidRDefault="008671A6" w:rsidP="00B20AC9">
            <w:pPr>
              <w:pStyle w:val="Tabletext"/>
              <w:jc w:val="center"/>
              <w:rPr>
                <w:rFonts w:eastAsia="MS Mincho"/>
                <w:sz w:val="18"/>
                <w:szCs w:val="18"/>
              </w:rPr>
            </w:pPr>
            <w:r w:rsidRPr="007E130D">
              <w:rPr>
                <w:rFonts w:eastAsia="MS Mincho"/>
                <w:sz w:val="18"/>
                <w:szCs w:val="18"/>
              </w:rPr>
              <w:t>(2 (F);</w:t>
            </w:r>
          </w:p>
          <w:p w14:paraId="6C24B077" w14:textId="12EAFBDD" w:rsidR="008671A6" w:rsidRPr="007E130D" w:rsidRDefault="008671A6" w:rsidP="00B20AC9">
            <w:pPr>
              <w:pStyle w:val="Tabletext"/>
              <w:jc w:val="center"/>
              <w:rPr>
                <w:rFonts w:eastAsia="MS Mincho"/>
                <w:b/>
                <w:bCs/>
                <w:sz w:val="18"/>
                <w:szCs w:val="18"/>
              </w:rPr>
            </w:pPr>
            <w:r w:rsidRPr="007E130D">
              <w:rPr>
                <w:rFonts w:eastAsia="MS Mincho"/>
                <w:sz w:val="18"/>
                <w:szCs w:val="18"/>
              </w:rPr>
              <w:t>1 (PAK))</w:t>
            </w:r>
          </w:p>
        </w:tc>
      </w:tr>
      <w:tr w:rsidR="008671A6" w:rsidRPr="007E130D" w14:paraId="5B9DD5C3"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534357F8"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2ème trimestre</w:t>
            </w:r>
          </w:p>
          <w:p w14:paraId="5992B4BC"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(avril-juin)</w:t>
            </w:r>
          </w:p>
          <w:p w14:paraId="6C2C82DC"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2022</w:t>
            </w:r>
          </w:p>
        </w:tc>
        <w:tc>
          <w:tcPr>
            <w:tcW w:w="1346" w:type="dxa"/>
            <w:tcBorders>
              <w:top w:val="single" w:sz="4" w:space="0" w:color="auto"/>
              <w:left w:val="single" w:sz="4" w:space="0" w:color="auto"/>
              <w:bottom w:val="single" w:sz="4" w:space="0" w:color="auto"/>
              <w:right w:val="single" w:sz="4" w:space="0" w:color="auto"/>
            </w:tcBorders>
            <w:vAlign w:val="center"/>
          </w:tcPr>
          <w:p w14:paraId="02A527B7"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14F13947"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052F0934"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7880C10A"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7E7AA2D3"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41C58525" w14:textId="1F9C27E9" w:rsidR="008671A6" w:rsidRPr="007E130D" w:rsidRDefault="008671A6" w:rsidP="00B20AC9">
            <w:pPr>
              <w:pStyle w:val="Tabletext"/>
              <w:jc w:val="center"/>
              <w:rPr>
                <w:rFonts w:eastAsia="MS Mincho"/>
                <w:b/>
                <w:bCs/>
                <w:sz w:val="18"/>
                <w:szCs w:val="18"/>
              </w:rPr>
            </w:pPr>
            <w:r w:rsidRPr="007E130D">
              <w:rPr>
                <w:rFonts w:eastAsia="MS Mincho"/>
                <w:b/>
                <w:bCs/>
                <w:sz w:val="18"/>
                <w:szCs w:val="18"/>
              </w:rPr>
              <w:t>5</w:t>
            </w:r>
          </w:p>
          <w:p w14:paraId="76C92E14" w14:textId="77777777" w:rsidR="00C549F7" w:rsidRPr="007E130D" w:rsidRDefault="008671A6" w:rsidP="00B20AC9">
            <w:pPr>
              <w:pStyle w:val="Tabletext"/>
              <w:jc w:val="center"/>
              <w:rPr>
                <w:rFonts w:eastAsia="MS Mincho"/>
                <w:sz w:val="18"/>
                <w:szCs w:val="18"/>
              </w:rPr>
            </w:pPr>
            <w:r w:rsidRPr="007E130D">
              <w:rPr>
                <w:rFonts w:eastAsia="MS Mincho"/>
                <w:sz w:val="18"/>
                <w:szCs w:val="18"/>
              </w:rPr>
              <w:t>(2 (F); 2 (E);</w:t>
            </w:r>
          </w:p>
          <w:p w14:paraId="5191A618" w14:textId="53301602" w:rsidR="008671A6" w:rsidRPr="007E130D" w:rsidRDefault="008671A6" w:rsidP="00B20AC9">
            <w:pPr>
              <w:pStyle w:val="Tabletext"/>
              <w:jc w:val="center"/>
              <w:rPr>
                <w:rFonts w:eastAsia="MS Mincho"/>
                <w:sz w:val="18"/>
                <w:szCs w:val="18"/>
              </w:rPr>
            </w:pPr>
            <w:r w:rsidRPr="007E130D">
              <w:rPr>
                <w:rFonts w:eastAsia="MS Mincho"/>
                <w:sz w:val="18"/>
                <w:szCs w:val="18"/>
              </w:rPr>
              <w:t>1 (USA))</w:t>
            </w:r>
          </w:p>
        </w:tc>
      </w:tr>
      <w:tr w:rsidR="008671A6" w:rsidRPr="007E130D" w14:paraId="72A6A0A5"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511E7B05"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3ème trimestre</w:t>
            </w:r>
          </w:p>
          <w:p w14:paraId="19625F36"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(juillet-septembre)</w:t>
            </w:r>
          </w:p>
          <w:p w14:paraId="6DEB5FC6"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2022</w:t>
            </w:r>
          </w:p>
        </w:tc>
        <w:tc>
          <w:tcPr>
            <w:tcW w:w="1346" w:type="dxa"/>
            <w:tcBorders>
              <w:top w:val="single" w:sz="4" w:space="0" w:color="auto"/>
              <w:left w:val="single" w:sz="4" w:space="0" w:color="auto"/>
              <w:bottom w:val="single" w:sz="4" w:space="0" w:color="auto"/>
              <w:right w:val="single" w:sz="4" w:space="0" w:color="auto"/>
            </w:tcBorders>
            <w:vAlign w:val="center"/>
          </w:tcPr>
          <w:p w14:paraId="79C621DE"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410E3410"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58F031BD"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11B0F70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4D019970"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 xml:space="preserve">4 </w:t>
            </w:r>
          </w:p>
          <w:p w14:paraId="51684BFB" w14:textId="77777777" w:rsidR="008671A6" w:rsidRPr="007E130D" w:rsidRDefault="008671A6" w:rsidP="00B20AC9">
            <w:pPr>
              <w:pStyle w:val="Tabletext"/>
              <w:jc w:val="center"/>
              <w:rPr>
                <w:rFonts w:eastAsia="MS Mincho"/>
                <w:sz w:val="18"/>
                <w:szCs w:val="18"/>
              </w:rPr>
            </w:pPr>
            <w:r w:rsidRPr="007E130D">
              <w:rPr>
                <w:rFonts w:eastAsia="MS Mincho"/>
                <w:sz w:val="18"/>
                <w:szCs w:val="18"/>
              </w:rPr>
              <w:t xml:space="preserve">(3 (IND); </w:t>
            </w:r>
          </w:p>
          <w:p w14:paraId="2937C469"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 (KOR))</w:t>
            </w:r>
          </w:p>
        </w:tc>
        <w:tc>
          <w:tcPr>
            <w:tcW w:w="1347" w:type="dxa"/>
            <w:tcBorders>
              <w:top w:val="single" w:sz="4" w:space="0" w:color="auto"/>
              <w:left w:val="single" w:sz="4" w:space="0" w:color="auto"/>
              <w:bottom w:val="single" w:sz="4" w:space="0" w:color="auto"/>
              <w:right w:val="single" w:sz="4" w:space="0" w:color="auto"/>
            </w:tcBorders>
            <w:vAlign w:val="center"/>
          </w:tcPr>
          <w:p w14:paraId="5B76BD05" w14:textId="77777777"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753E5097"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 (B))</w:t>
            </w:r>
          </w:p>
        </w:tc>
      </w:tr>
      <w:tr w:rsidR="008671A6" w:rsidRPr="007E130D" w14:paraId="2EAE016B"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7D6DDA71" w14:textId="77777777" w:rsidR="008671A6" w:rsidRPr="007E130D" w:rsidRDefault="00F06A5D" w:rsidP="00C549F7">
            <w:pPr>
              <w:pStyle w:val="Tabletext"/>
              <w:tabs>
                <w:tab w:val="clear" w:pos="1418"/>
              </w:tabs>
              <w:ind w:left="-28" w:right="-57"/>
              <w:jc w:val="center"/>
              <w:rPr>
                <w:rFonts w:eastAsia="MS Mincho"/>
                <w:sz w:val="18"/>
                <w:szCs w:val="18"/>
              </w:rPr>
            </w:pPr>
            <w:r w:rsidRPr="007E130D">
              <w:rPr>
                <w:rFonts w:eastAsia="MS Mincho"/>
                <w:sz w:val="18"/>
                <w:szCs w:val="18"/>
              </w:rPr>
              <w:t>4ème trimestre</w:t>
            </w:r>
          </w:p>
          <w:p w14:paraId="7A620EAB"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(octobre-décembre) 2022</w:t>
            </w:r>
          </w:p>
        </w:tc>
        <w:tc>
          <w:tcPr>
            <w:tcW w:w="1346" w:type="dxa"/>
            <w:tcBorders>
              <w:top w:val="single" w:sz="4" w:space="0" w:color="auto"/>
              <w:left w:val="single" w:sz="4" w:space="0" w:color="auto"/>
              <w:bottom w:val="single" w:sz="4" w:space="0" w:color="auto"/>
              <w:right w:val="single" w:sz="4" w:space="0" w:color="auto"/>
            </w:tcBorders>
            <w:vAlign w:val="center"/>
          </w:tcPr>
          <w:p w14:paraId="1ED9AC6F"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1FB8F0F9" w14:textId="2CFFF679"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15014159" w14:textId="77777777" w:rsidR="008671A6" w:rsidRPr="007E130D" w:rsidRDefault="008671A6" w:rsidP="00B20AC9">
            <w:pPr>
              <w:pStyle w:val="Tabletext"/>
              <w:jc w:val="center"/>
              <w:rPr>
                <w:rFonts w:eastAsia="MS Mincho"/>
                <w:sz w:val="18"/>
                <w:szCs w:val="18"/>
              </w:rPr>
            </w:pPr>
            <w:r w:rsidRPr="007E130D">
              <w:rPr>
                <w:rFonts w:eastAsia="MS Mincho"/>
                <w:sz w:val="18"/>
                <w:szCs w:val="18"/>
              </w:rPr>
              <w:t>(MNG)</w:t>
            </w:r>
          </w:p>
        </w:tc>
        <w:tc>
          <w:tcPr>
            <w:tcW w:w="1346" w:type="dxa"/>
            <w:tcBorders>
              <w:top w:val="single" w:sz="4" w:space="0" w:color="auto"/>
              <w:left w:val="single" w:sz="4" w:space="0" w:color="auto"/>
              <w:bottom w:val="single" w:sz="4" w:space="0" w:color="auto"/>
              <w:right w:val="single" w:sz="4" w:space="0" w:color="auto"/>
            </w:tcBorders>
            <w:vAlign w:val="center"/>
          </w:tcPr>
          <w:p w14:paraId="6C34B25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3CAAD0F5"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001F0B91"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420B74DF" w14:textId="44B3CE97" w:rsidR="008671A6" w:rsidRPr="007E130D" w:rsidRDefault="008671A6" w:rsidP="00B20AC9">
            <w:pPr>
              <w:pStyle w:val="Tabletext"/>
              <w:jc w:val="center"/>
              <w:rPr>
                <w:rFonts w:eastAsia="MS Mincho"/>
                <w:b/>
                <w:bCs/>
                <w:sz w:val="18"/>
                <w:szCs w:val="18"/>
              </w:rPr>
            </w:pPr>
            <w:r w:rsidRPr="007E130D">
              <w:rPr>
                <w:rFonts w:eastAsia="MS Mincho"/>
                <w:b/>
                <w:bCs/>
                <w:sz w:val="18"/>
                <w:szCs w:val="18"/>
              </w:rPr>
              <w:t>9</w:t>
            </w:r>
          </w:p>
          <w:p w14:paraId="5F0DE40D"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(D);</w:t>
            </w:r>
          </w:p>
          <w:p w14:paraId="546E9564" w14:textId="77777777" w:rsidR="00C549F7" w:rsidRPr="007E130D" w:rsidRDefault="008671A6" w:rsidP="00B20AC9">
            <w:pPr>
              <w:pStyle w:val="Tabletext"/>
              <w:jc w:val="center"/>
              <w:rPr>
                <w:rFonts w:eastAsia="MS Mincho"/>
                <w:sz w:val="18"/>
                <w:szCs w:val="18"/>
              </w:rPr>
            </w:pPr>
            <w:r w:rsidRPr="007E130D">
              <w:rPr>
                <w:rFonts w:eastAsia="MS Mincho"/>
                <w:sz w:val="18"/>
                <w:szCs w:val="18"/>
              </w:rPr>
              <w:t>2 (LUX);</w:t>
            </w:r>
          </w:p>
          <w:p w14:paraId="4C8F5585" w14:textId="2602CC91" w:rsidR="008671A6" w:rsidRPr="007E130D" w:rsidRDefault="008671A6" w:rsidP="00B20AC9">
            <w:pPr>
              <w:pStyle w:val="Tabletext"/>
              <w:jc w:val="center"/>
              <w:rPr>
                <w:rFonts w:eastAsia="MS Mincho"/>
                <w:sz w:val="18"/>
                <w:szCs w:val="18"/>
              </w:rPr>
            </w:pPr>
            <w:r w:rsidRPr="007E130D">
              <w:rPr>
                <w:rFonts w:eastAsia="MS Mincho"/>
                <w:sz w:val="18"/>
                <w:szCs w:val="18"/>
              </w:rPr>
              <w:t xml:space="preserve">5 (QAT); </w:t>
            </w:r>
          </w:p>
          <w:p w14:paraId="31D0B49F" w14:textId="77777777" w:rsidR="008671A6" w:rsidRPr="007E130D" w:rsidRDefault="008671A6" w:rsidP="00B20AC9">
            <w:pPr>
              <w:pStyle w:val="Tabletext"/>
              <w:jc w:val="center"/>
              <w:rPr>
                <w:rFonts w:eastAsia="MS Mincho"/>
                <w:sz w:val="18"/>
                <w:szCs w:val="18"/>
              </w:rPr>
            </w:pPr>
            <w:r w:rsidRPr="007E130D">
              <w:rPr>
                <w:rFonts w:eastAsia="MS Mincho"/>
                <w:sz w:val="18"/>
                <w:szCs w:val="18"/>
              </w:rPr>
              <w:t>1 (USA))</w:t>
            </w:r>
          </w:p>
        </w:tc>
      </w:tr>
      <w:tr w:rsidR="008671A6" w:rsidRPr="007E130D" w14:paraId="2F192D01"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64792E8D"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1er trimestre</w:t>
            </w:r>
          </w:p>
          <w:p w14:paraId="17FBB868"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(janvier-mars)</w:t>
            </w:r>
          </w:p>
          <w:p w14:paraId="2EDE37D0"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2023</w:t>
            </w:r>
          </w:p>
        </w:tc>
        <w:tc>
          <w:tcPr>
            <w:tcW w:w="1346" w:type="dxa"/>
            <w:tcBorders>
              <w:top w:val="single" w:sz="4" w:space="0" w:color="auto"/>
              <w:left w:val="single" w:sz="4" w:space="0" w:color="auto"/>
              <w:bottom w:val="single" w:sz="4" w:space="0" w:color="auto"/>
              <w:right w:val="single" w:sz="4" w:space="0" w:color="auto"/>
            </w:tcBorders>
            <w:vAlign w:val="center"/>
          </w:tcPr>
          <w:p w14:paraId="1E0FEBB9"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63D2E4C8"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2C9FBEEC"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076C3DA7"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5E85E1F1"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5139D62F" w14:textId="4109527E" w:rsidR="008671A6" w:rsidRPr="007E130D" w:rsidRDefault="008671A6" w:rsidP="00B20AC9">
            <w:pPr>
              <w:pStyle w:val="Tabletext"/>
              <w:jc w:val="center"/>
              <w:rPr>
                <w:rFonts w:eastAsia="MS Mincho"/>
                <w:b/>
                <w:bCs/>
                <w:sz w:val="18"/>
                <w:szCs w:val="18"/>
              </w:rPr>
            </w:pPr>
            <w:r w:rsidRPr="007E130D">
              <w:rPr>
                <w:rFonts w:eastAsia="MS Mincho"/>
                <w:b/>
                <w:bCs/>
                <w:sz w:val="18"/>
                <w:szCs w:val="18"/>
              </w:rPr>
              <w:t>8</w:t>
            </w:r>
          </w:p>
          <w:p w14:paraId="32DA97AD" w14:textId="5DBF9F1A" w:rsidR="008671A6" w:rsidRPr="007E130D" w:rsidRDefault="008671A6" w:rsidP="00B20AC9">
            <w:pPr>
              <w:pStyle w:val="Tabletext"/>
              <w:jc w:val="center"/>
              <w:rPr>
                <w:rFonts w:eastAsia="MS Mincho"/>
                <w:sz w:val="18"/>
                <w:szCs w:val="18"/>
              </w:rPr>
            </w:pPr>
            <w:r w:rsidRPr="007E130D">
              <w:rPr>
                <w:rFonts w:eastAsia="MS Mincho"/>
                <w:sz w:val="18"/>
                <w:szCs w:val="18"/>
              </w:rPr>
              <w:t>(1 (ALG);</w:t>
            </w:r>
          </w:p>
          <w:p w14:paraId="792064C6" w14:textId="77777777" w:rsidR="00C549F7" w:rsidRPr="007E130D" w:rsidRDefault="008671A6" w:rsidP="00B20AC9">
            <w:pPr>
              <w:pStyle w:val="Tabletext"/>
              <w:jc w:val="center"/>
              <w:rPr>
                <w:rFonts w:eastAsia="MS Mincho"/>
                <w:sz w:val="18"/>
                <w:szCs w:val="18"/>
              </w:rPr>
            </w:pPr>
            <w:r w:rsidRPr="007E130D">
              <w:rPr>
                <w:rFonts w:eastAsia="MS Mincho"/>
                <w:sz w:val="18"/>
                <w:szCs w:val="18"/>
              </w:rPr>
              <w:t>1 (CAN);</w:t>
            </w:r>
          </w:p>
          <w:p w14:paraId="334CAD2B" w14:textId="77777777" w:rsidR="00C549F7" w:rsidRPr="007E130D" w:rsidRDefault="008671A6" w:rsidP="00B20AC9">
            <w:pPr>
              <w:pStyle w:val="Tabletext"/>
              <w:jc w:val="center"/>
              <w:rPr>
                <w:rFonts w:eastAsia="MS Mincho"/>
                <w:sz w:val="18"/>
                <w:szCs w:val="18"/>
              </w:rPr>
            </w:pPr>
            <w:r w:rsidRPr="007E130D">
              <w:rPr>
                <w:rFonts w:eastAsia="MS Mincho"/>
                <w:sz w:val="18"/>
                <w:szCs w:val="18"/>
              </w:rPr>
              <w:t>2 (E); 3 (F);</w:t>
            </w:r>
          </w:p>
          <w:p w14:paraId="06F99015" w14:textId="6E93B326" w:rsidR="008671A6" w:rsidRPr="007E130D" w:rsidRDefault="008671A6" w:rsidP="00B20AC9">
            <w:pPr>
              <w:pStyle w:val="Tabletext"/>
              <w:jc w:val="center"/>
              <w:rPr>
                <w:rFonts w:eastAsia="MS Mincho"/>
                <w:sz w:val="18"/>
                <w:szCs w:val="18"/>
              </w:rPr>
            </w:pPr>
            <w:r w:rsidRPr="007E130D">
              <w:rPr>
                <w:rFonts w:eastAsia="MS Mincho"/>
                <w:sz w:val="18"/>
                <w:szCs w:val="18"/>
              </w:rPr>
              <w:t>1 (USA))</w:t>
            </w:r>
          </w:p>
        </w:tc>
      </w:tr>
      <w:tr w:rsidR="008671A6" w:rsidRPr="007E130D" w14:paraId="30CD2C79" w14:textId="77777777" w:rsidTr="00923703">
        <w:trPr>
          <w:cantSplit/>
          <w:jc w:val="center"/>
        </w:trPr>
        <w:tc>
          <w:tcPr>
            <w:tcW w:w="1555" w:type="dxa"/>
            <w:tcBorders>
              <w:top w:val="single" w:sz="4" w:space="0" w:color="auto"/>
              <w:left w:val="single" w:sz="4" w:space="0" w:color="auto"/>
              <w:bottom w:val="single" w:sz="4" w:space="0" w:color="auto"/>
              <w:right w:val="single" w:sz="4" w:space="0" w:color="auto"/>
            </w:tcBorders>
            <w:vAlign w:val="center"/>
          </w:tcPr>
          <w:p w14:paraId="73E03BC1"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2ème trimestre</w:t>
            </w:r>
          </w:p>
          <w:p w14:paraId="7C614462"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(avril-mai)</w:t>
            </w:r>
          </w:p>
          <w:p w14:paraId="3A896BBF" w14:textId="77777777" w:rsidR="008671A6" w:rsidRPr="007E130D" w:rsidRDefault="008671A6" w:rsidP="00C549F7">
            <w:pPr>
              <w:pStyle w:val="Tabletext"/>
              <w:tabs>
                <w:tab w:val="clear" w:pos="1418"/>
              </w:tabs>
              <w:ind w:left="-28" w:right="-57"/>
              <w:jc w:val="center"/>
              <w:rPr>
                <w:rFonts w:eastAsia="MS Mincho"/>
                <w:sz w:val="18"/>
                <w:szCs w:val="18"/>
              </w:rPr>
            </w:pPr>
            <w:r w:rsidRPr="007E130D">
              <w:rPr>
                <w:rFonts w:eastAsia="MS Mincho"/>
                <w:sz w:val="18"/>
                <w:szCs w:val="18"/>
              </w:rPr>
              <w:t>2023</w:t>
            </w:r>
          </w:p>
        </w:tc>
        <w:tc>
          <w:tcPr>
            <w:tcW w:w="1346" w:type="dxa"/>
            <w:tcBorders>
              <w:top w:val="single" w:sz="4" w:space="0" w:color="auto"/>
              <w:left w:val="single" w:sz="4" w:space="0" w:color="auto"/>
              <w:bottom w:val="single" w:sz="4" w:space="0" w:color="auto"/>
              <w:right w:val="single" w:sz="4" w:space="0" w:color="auto"/>
            </w:tcBorders>
            <w:vAlign w:val="center"/>
          </w:tcPr>
          <w:p w14:paraId="44F759E0"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603FB7E5"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077EBE03"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244C2932"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6" w:type="dxa"/>
            <w:tcBorders>
              <w:top w:val="single" w:sz="4" w:space="0" w:color="auto"/>
              <w:left w:val="single" w:sz="4" w:space="0" w:color="auto"/>
              <w:bottom w:val="single" w:sz="4" w:space="0" w:color="auto"/>
              <w:right w:val="single" w:sz="4" w:space="0" w:color="auto"/>
            </w:tcBorders>
            <w:vAlign w:val="center"/>
          </w:tcPr>
          <w:p w14:paraId="18D52E2C" w14:textId="77777777" w:rsidR="008671A6" w:rsidRPr="007E130D" w:rsidRDefault="008671A6" w:rsidP="00B20AC9">
            <w:pPr>
              <w:pStyle w:val="Tabletext"/>
              <w:jc w:val="center"/>
              <w:rPr>
                <w:rFonts w:eastAsia="MS Mincho"/>
                <w:sz w:val="18"/>
                <w:szCs w:val="18"/>
              </w:rPr>
            </w:pPr>
            <w:r w:rsidRPr="007E130D">
              <w:rPr>
                <w:rFonts w:eastAsia="MS Mincho"/>
                <w:sz w:val="18"/>
                <w:szCs w:val="18"/>
              </w:rPr>
              <w:t>0</w:t>
            </w:r>
          </w:p>
        </w:tc>
        <w:tc>
          <w:tcPr>
            <w:tcW w:w="1347" w:type="dxa"/>
            <w:tcBorders>
              <w:top w:val="single" w:sz="4" w:space="0" w:color="auto"/>
              <w:left w:val="single" w:sz="4" w:space="0" w:color="auto"/>
              <w:bottom w:val="single" w:sz="4" w:space="0" w:color="auto"/>
              <w:right w:val="single" w:sz="4" w:space="0" w:color="auto"/>
            </w:tcBorders>
            <w:vAlign w:val="center"/>
          </w:tcPr>
          <w:p w14:paraId="4558FAA4" w14:textId="1DAE8B3C" w:rsidR="008671A6" w:rsidRPr="007E130D" w:rsidRDefault="008671A6" w:rsidP="00B20AC9">
            <w:pPr>
              <w:pStyle w:val="Tabletext"/>
              <w:jc w:val="center"/>
              <w:rPr>
                <w:rFonts w:eastAsia="MS Mincho"/>
                <w:b/>
                <w:bCs/>
                <w:sz w:val="18"/>
                <w:szCs w:val="18"/>
              </w:rPr>
            </w:pPr>
            <w:r w:rsidRPr="007E130D">
              <w:rPr>
                <w:rFonts w:eastAsia="MS Mincho"/>
                <w:b/>
                <w:bCs/>
                <w:sz w:val="18"/>
                <w:szCs w:val="18"/>
              </w:rPr>
              <w:t>1</w:t>
            </w:r>
          </w:p>
          <w:p w14:paraId="01944950" w14:textId="77777777" w:rsidR="008671A6" w:rsidRPr="007E130D" w:rsidRDefault="008671A6" w:rsidP="00B20AC9">
            <w:pPr>
              <w:pStyle w:val="Tabletext"/>
              <w:jc w:val="center"/>
              <w:rPr>
                <w:rFonts w:eastAsia="MS Mincho"/>
                <w:b/>
                <w:bCs/>
                <w:sz w:val="18"/>
                <w:szCs w:val="18"/>
              </w:rPr>
            </w:pPr>
            <w:r w:rsidRPr="007E130D">
              <w:rPr>
                <w:rFonts w:eastAsia="MS Mincho"/>
                <w:sz w:val="18"/>
                <w:szCs w:val="18"/>
              </w:rPr>
              <w:t>(1 (F))</w:t>
            </w:r>
          </w:p>
        </w:tc>
      </w:tr>
      <w:tr w:rsidR="009D479E" w:rsidRPr="007E130D" w14:paraId="27686AE0" w14:textId="77777777" w:rsidTr="009C3AA6">
        <w:trPr>
          <w:cantSplit/>
          <w:jc w:val="center"/>
        </w:trPr>
        <w:tc>
          <w:tcPr>
            <w:tcW w:w="9634" w:type="dxa"/>
            <w:gridSpan w:val="7"/>
            <w:tcBorders>
              <w:top w:val="single" w:sz="4" w:space="0" w:color="auto"/>
              <w:left w:val="nil"/>
              <w:bottom w:val="nil"/>
              <w:right w:val="nil"/>
            </w:tcBorders>
            <w:vAlign w:val="center"/>
          </w:tcPr>
          <w:p w14:paraId="4A2FF074" w14:textId="77777777" w:rsidR="009D479E" w:rsidRPr="007E130D" w:rsidRDefault="009D479E" w:rsidP="009C3AA6">
            <w:pPr>
              <w:pStyle w:val="Tablelegend"/>
              <w:rPr>
                <w:sz w:val="18"/>
                <w:szCs w:val="18"/>
                <w:lang w:eastAsia="zh-CN"/>
              </w:rPr>
            </w:pPr>
            <w:r w:rsidRPr="007E130D">
              <w:rPr>
                <w:iCs/>
                <w:sz w:val="18"/>
                <w:szCs w:val="18"/>
                <w:lang w:eastAsia="zh-CN"/>
              </w:rPr>
              <w:t>*</w:t>
            </w:r>
            <w:r w:rsidRPr="007E130D">
              <w:rPr>
                <w:sz w:val="18"/>
                <w:szCs w:val="18"/>
                <w:lang w:eastAsia="zh-CN"/>
              </w:rPr>
              <w:tab/>
              <w:t>Fiches de notification en vue d'une utilisation additionnelle lorsque la zone de service et la couverture s'étendent au-delà du territoire national de l'administration notificatrice.</w:t>
            </w:r>
          </w:p>
          <w:p w14:paraId="2C2876F5" w14:textId="74DD64AF" w:rsidR="009D479E" w:rsidRPr="007E130D" w:rsidRDefault="009D479E" w:rsidP="009C3AA6">
            <w:pPr>
              <w:pStyle w:val="Tablelegend"/>
              <w:rPr>
                <w:rFonts w:eastAsia="MS Mincho"/>
                <w:b/>
                <w:bCs/>
                <w:sz w:val="18"/>
                <w:szCs w:val="18"/>
              </w:rPr>
            </w:pPr>
            <w:r w:rsidRPr="007E130D">
              <w:rPr>
                <w:sz w:val="18"/>
                <w:szCs w:val="18"/>
                <w:lang w:eastAsia="zh-CN"/>
              </w:rPr>
              <w:t>**</w:t>
            </w:r>
            <w:r w:rsidRPr="007E130D">
              <w:rPr>
                <w:sz w:val="18"/>
                <w:szCs w:val="18"/>
                <w:lang w:eastAsia="zh-CN"/>
              </w:rPr>
              <w:tab/>
              <w:t xml:space="preserve">Fiches de notification au titre de l'Article </w:t>
            </w:r>
            <w:r w:rsidRPr="007E130D">
              <w:rPr>
                <w:b/>
                <w:bCs/>
                <w:sz w:val="18"/>
                <w:szCs w:val="18"/>
                <w:lang w:eastAsia="zh-CN"/>
              </w:rPr>
              <w:t>7</w:t>
            </w:r>
            <w:r w:rsidRPr="007E130D">
              <w:rPr>
                <w:sz w:val="18"/>
                <w:szCs w:val="18"/>
                <w:lang w:eastAsia="zh-CN"/>
              </w:rPr>
              <w:t xml:space="preserve"> de l'Appendice </w:t>
            </w:r>
            <w:r w:rsidRPr="007E130D">
              <w:rPr>
                <w:b/>
                <w:bCs/>
                <w:sz w:val="18"/>
                <w:szCs w:val="18"/>
                <w:lang w:eastAsia="zh-CN"/>
              </w:rPr>
              <w:t>30B</w:t>
            </w:r>
            <w:r w:rsidRPr="007E130D">
              <w:rPr>
                <w:sz w:val="18"/>
                <w:szCs w:val="18"/>
                <w:lang w:eastAsia="zh-CN"/>
              </w:rPr>
              <w:t xml:space="preserve"> du RR (demande d'un nouvel État Membre concernant un nouvel allotissement dans le Plan)</w:t>
            </w:r>
            <w:r w:rsidR="00131032" w:rsidRPr="007E130D">
              <w:rPr>
                <w:sz w:val="18"/>
                <w:szCs w:val="18"/>
                <w:lang w:eastAsia="zh-CN"/>
              </w:rPr>
              <w:t>.</w:t>
            </w:r>
          </w:p>
        </w:tc>
      </w:tr>
    </w:tbl>
    <w:p w14:paraId="6ADCB4F3" w14:textId="6708E9EB" w:rsidR="00131032" w:rsidRPr="007E130D" w:rsidRDefault="00131032">
      <w:pPr>
        <w:tabs>
          <w:tab w:val="clear" w:pos="1134"/>
          <w:tab w:val="clear" w:pos="1871"/>
          <w:tab w:val="clear" w:pos="2268"/>
        </w:tabs>
        <w:overflowPunct/>
        <w:autoSpaceDE/>
        <w:autoSpaceDN/>
        <w:adjustRightInd/>
        <w:spacing w:before="0"/>
        <w:textAlignment w:val="auto"/>
      </w:pPr>
      <w:r w:rsidRPr="007E130D">
        <w:br w:type="page"/>
      </w:r>
    </w:p>
    <w:p w14:paraId="6BD8CCFE" w14:textId="12FED31F" w:rsidR="00A82EF2" w:rsidRPr="007E130D" w:rsidRDefault="00A82EF2" w:rsidP="00131032">
      <w:pPr>
        <w:pStyle w:val="Heading4"/>
      </w:pPr>
      <w:r w:rsidRPr="007E130D">
        <w:lastRenderedPageBreak/>
        <w:t>2.3.2.</w:t>
      </w:r>
      <w:r w:rsidR="009D479E" w:rsidRPr="007E130D">
        <w:t>1</w:t>
      </w:r>
      <w:r w:rsidRPr="007E130D">
        <w:tab/>
        <w:t>Temps de traitement des demandes au titre de l'Appendice 30B</w:t>
      </w:r>
    </w:p>
    <w:p w14:paraId="773D2042" w14:textId="4E66861B" w:rsidR="00B90026" w:rsidRPr="007E130D" w:rsidRDefault="00131032" w:rsidP="00350138">
      <w:pPr>
        <w:pStyle w:val="Figure"/>
        <w:spacing w:before="240"/>
      </w:pPr>
      <w:r w:rsidRPr="007E130D">
        <w:drawing>
          <wp:inline distT="0" distB="0" distL="0" distR="0" wp14:anchorId="627A1EE5" wp14:editId="3D6028D4">
            <wp:extent cx="6120765" cy="3157855"/>
            <wp:effectExtent l="0" t="0" r="0" b="4445"/>
            <wp:docPr id="443534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120765" cy="3157855"/>
                    </a:xfrm>
                    <a:prstGeom prst="rect">
                      <a:avLst/>
                    </a:prstGeom>
                    <a:noFill/>
                    <a:ln>
                      <a:noFill/>
                    </a:ln>
                  </pic:spPr>
                </pic:pic>
              </a:graphicData>
            </a:graphic>
          </wp:inline>
        </w:drawing>
      </w:r>
    </w:p>
    <w:p w14:paraId="7F0B8B12" w14:textId="5AA68680" w:rsidR="00A82EF2" w:rsidRPr="007E130D" w:rsidRDefault="00A82EF2" w:rsidP="00131032">
      <w:pPr>
        <w:keepNext/>
      </w:pPr>
      <w:r w:rsidRPr="007E130D">
        <w:t xml:space="preserve">La figure ci-dessus présente les statistiques relatives au temps de traitement des demandes d'application des Articles </w:t>
      </w:r>
      <w:r w:rsidRPr="007E130D">
        <w:rPr>
          <w:b/>
          <w:bCs/>
        </w:rPr>
        <w:t>6</w:t>
      </w:r>
      <w:r w:rsidRPr="007E130D">
        <w:t xml:space="preserve"> et </w:t>
      </w:r>
      <w:r w:rsidRPr="007E130D">
        <w:rPr>
          <w:b/>
          <w:bCs/>
        </w:rPr>
        <w:t>7</w:t>
      </w:r>
      <w:r w:rsidRPr="007E130D">
        <w:t xml:space="preserve"> de l'Appendice </w:t>
      </w:r>
      <w:r w:rsidRPr="007E130D">
        <w:rPr>
          <w:b/>
          <w:bCs/>
        </w:rPr>
        <w:t>30B</w:t>
      </w:r>
      <w:r w:rsidRPr="007E130D">
        <w:t xml:space="preserve"> pendant la période 2019</w:t>
      </w:r>
      <w:r w:rsidR="00B90026" w:rsidRPr="007E130D">
        <w:t>-2023</w:t>
      </w:r>
      <w:r w:rsidRPr="007E130D">
        <w:t>. Ces statistiques sont régulièrement mises à jour et la dernière version est accessible à l'adresse:</w:t>
      </w:r>
      <w:r w:rsidR="0072018F" w:rsidRPr="007E130D">
        <w:br/>
      </w:r>
      <w:hyperlink r:id="rId44" w:history="1">
        <w:r w:rsidR="0072018F" w:rsidRPr="007E130D">
          <w:rPr>
            <w:rStyle w:val="Hyperlink"/>
          </w:rPr>
          <w:t>http://www.itu.int/en/ITU-R/space/Pages/Statistics.aspx</w:t>
        </w:r>
      </w:hyperlink>
      <w:r w:rsidRPr="007E130D">
        <w:t>.</w:t>
      </w:r>
    </w:p>
    <w:p w14:paraId="78E31E8E" w14:textId="4D114FD5" w:rsidR="00A82EF2" w:rsidRPr="007E130D" w:rsidRDefault="00A82EF2" w:rsidP="00C73ADB">
      <w:pPr>
        <w:pStyle w:val="Heading4"/>
        <w:keepNext w:val="0"/>
        <w:keepLines w:val="0"/>
      </w:pPr>
      <w:r w:rsidRPr="007E130D">
        <w:t>2.3.2.</w:t>
      </w:r>
      <w:r w:rsidR="00B90026" w:rsidRPr="007E130D">
        <w:t>2</w:t>
      </w:r>
      <w:r w:rsidRPr="007E130D">
        <w:tab/>
        <w:t>Résolution 148 (CMR-07)</w:t>
      </w:r>
    </w:p>
    <w:p w14:paraId="3C1838E1" w14:textId="2C30864E" w:rsidR="00A82EF2" w:rsidRPr="007E130D" w:rsidRDefault="00A82EF2" w:rsidP="00C73ADB">
      <w:pPr>
        <w:rPr>
          <w:bCs/>
        </w:rPr>
      </w:pPr>
      <w:r w:rsidRPr="007E130D">
        <w:t>Il n'y a rien à signaler pour la période 2019</w:t>
      </w:r>
      <w:r w:rsidR="00B90026" w:rsidRPr="007E130D">
        <w:t>-2023</w:t>
      </w:r>
      <w:r w:rsidRPr="007E130D">
        <w:t xml:space="preserve"> en ce qui concerne la Résolution </w:t>
      </w:r>
      <w:r w:rsidRPr="007E130D">
        <w:rPr>
          <w:b/>
          <w:bCs/>
        </w:rPr>
        <w:t>148 (CMR-07)</w:t>
      </w:r>
      <w:r w:rsidRPr="007E130D">
        <w:t xml:space="preserve"> – </w:t>
      </w:r>
      <w:r w:rsidRPr="007E130D">
        <w:rPr>
          <w:color w:val="000000"/>
        </w:rPr>
        <w:t xml:space="preserve">Systèmes à satellites auparavant énumérés dans la Partie B du Plan de l'Appendice </w:t>
      </w:r>
      <w:r w:rsidRPr="007E130D">
        <w:rPr>
          <w:b/>
          <w:bCs/>
          <w:color w:val="000000"/>
        </w:rPr>
        <w:t>30B (CAMR Orb-88)</w:t>
      </w:r>
      <w:r w:rsidRPr="007E130D">
        <w:rPr>
          <w:color w:val="000000"/>
        </w:rPr>
        <w:t>.</w:t>
      </w:r>
    </w:p>
    <w:p w14:paraId="084ADCFE" w14:textId="5C9D35B3" w:rsidR="00A82EF2" w:rsidRPr="007E130D" w:rsidRDefault="00A82EF2" w:rsidP="00C73ADB">
      <w:pPr>
        <w:pStyle w:val="Heading4"/>
        <w:keepNext w:val="0"/>
        <w:keepLines w:val="0"/>
      </w:pPr>
      <w:r w:rsidRPr="007E130D">
        <w:t>2.3.2.</w:t>
      </w:r>
      <w:r w:rsidR="00B90026" w:rsidRPr="007E130D">
        <w:t>3</w:t>
      </w:r>
      <w:r w:rsidRPr="007E130D">
        <w:tab/>
        <w:t>Résolution 149 (Rév.CMR-12)</w:t>
      </w:r>
    </w:p>
    <w:p w14:paraId="3B0CBA2A" w14:textId="77777777" w:rsidR="00A82EF2" w:rsidRPr="007E130D" w:rsidRDefault="00CD0525" w:rsidP="00C73ADB">
      <w:r w:rsidRPr="007E130D">
        <w:t xml:space="preserve">Au cours de la période 2019-2023, le Bureau a reçu 7 (sept) soumissions de nouveaux États Membres de l'Union qui ne disposent pas d'un allotissement national dans le Plan ou d'une assignation dans la Liste résultant de la conversion d'un allotissement (objet de la </w:t>
      </w:r>
      <w:r w:rsidR="00A82EF2" w:rsidRPr="007E130D">
        <w:t xml:space="preserve">Résolution </w:t>
      </w:r>
      <w:r w:rsidR="00A82EF2" w:rsidRPr="007E130D">
        <w:rPr>
          <w:b/>
          <w:bCs/>
        </w:rPr>
        <w:t>149 (Rév.CMR</w:t>
      </w:r>
      <w:r w:rsidR="00A82EF2" w:rsidRPr="007E130D">
        <w:rPr>
          <w:b/>
          <w:bCs/>
        </w:rPr>
        <w:noBreakHyphen/>
        <w:t>12)</w:t>
      </w:r>
      <w:r w:rsidR="00A82EF2" w:rsidRPr="007E130D">
        <w:t xml:space="preserve"> – Soumissions présentées par de nouveaux États Membres de l'Union concernant l'Appendice </w:t>
      </w:r>
      <w:r w:rsidR="00A82EF2" w:rsidRPr="007E130D">
        <w:rPr>
          <w:b/>
          <w:bCs/>
        </w:rPr>
        <w:t>30B</w:t>
      </w:r>
      <w:r w:rsidR="00A82EF2" w:rsidRPr="007E130D">
        <w:t xml:space="preserve"> du Règlement des radiocommunications.</w:t>
      </w:r>
    </w:p>
    <w:p w14:paraId="724EB871" w14:textId="593DEFCA" w:rsidR="00B90026" w:rsidRPr="007E130D" w:rsidRDefault="00D052D7" w:rsidP="00B20AC9">
      <w:pPr>
        <w:spacing w:after="120"/>
      </w:pPr>
      <w:r w:rsidRPr="007E130D">
        <w:t>Les résultats du traitement de ces soumissions peuvent être consultés dans les Sections spéciales suivantes:</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3118"/>
        <w:gridCol w:w="4536"/>
      </w:tblGrid>
      <w:tr w:rsidR="00B90026" w:rsidRPr="007E130D" w14:paraId="5D31FDC0" w14:textId="77777777" w:rsidTr="00B90026">
        <w:trPr>
          <w:tblHeader/>
          <w:jc w:val="center"/>
        </w:trPr>
        <w:tc>
          <w:tcPr>
            <w:tcW w:w="1403" w:type="dxa"/>
            <w:shd w:val="clear" w:color="auto" w:fill="auto"/>
            <w:tcMar>
              <w:top w:w="0" w:type="dxa"/>
              <w:left w:w="108" w:type="dxa"/>
              <w:bottom w:w="0" w:type="dxa"/>
              <w:right w:w="108" w:type="dxa"/>
            </w:tcMar>
            <w:hideMark/>
          </w:tcPr>
          <w:p w14:paraId="5106C96D" w14:textId="77777777" w:rsidR="00B90026" w:rsidRPr="007E130D" w:rsidRDefault="00B90026" w:rsidP="00B20AC9">
            <w:pPr>
              <w:pStyle w:val="Tablehead"/>
              <w:rPr>
                <w:lang w:eastAsia="it-IT"/>
              </w:rPr>
            </w:pPr>
            <w:r w:rsidRPr="007E130D">
              <w:rPr>
                <w:lang w:eastAsia="it-IT"/>
              </w:rPr>
              <w:lastRenderedPageBreak/>
              <w:t>ADM</w:t>
            </w:r>
            <w:r w:rsidR="00D052D7" w:rsidRPr="007E130D">
              <w:rPr>
                <w:lang w:eastAsia="it-IT"/>
              </w:rPr>
              <w:t xml:space="preserve"> notificatrice</w:t>
            </w:r>
          </w:p>
        </w:tc>
        <w:tc>
          <w:tcPr>
            <w:tcW w:w="3118" w:type="dxa"/>
            <w:shd w:val="clear" w:color="auto" w:fill="auto"/>
            <w:tcMar>
              <w:top w:w="0" w:type="dxa"/>
              <w:left w:w="108" w:type="dxa"/>
              <w:bottom w:w="0" w:type="dxa"/>
              <w:right w:w="108" w:type="dxa"/>
            </w:tcMar>
            <w:hideMark/>
          </w:tcPr>
          <w:p w14:paraId="0C6A368A" w14:textId="7BA40F6E" w:rsidR="00B90026" w:rsidRPr="007E130D" w:rsidRDefault="00D052D7" w:rsidP="00B20AC9">
            <w:pPr>
              <w:pStyle w:val="Tablehead"/>
              <w:rPr>
                <w:lang w:eastAsia="it-IT"/>
              </w:rPr>
            </w:pPr>
            <w:r w:rsidRPr="007E130D">
              <w:rPr>
                <w:lang w:eastAsia="it-IT"/>
              </w:rPr>
              <w:t>Nom du réseau</w:t>
            </w:r>
            <w:r w:rsidR="00B90026" w:rsidRPr="007E130D">
              <w:rPr>
                <w:lang w:eastAsia="it-IT"/>
              </w:rPr>
              <w:br/>
              <w:t>(</w:t>
            </w:r>
            <w:r w:rsidRPr="007E130D">
              <w:rPr>
                <w:lang w:eastAsia="it-IT"/>
              </w:rPr>
              <w:t>position orbitale)</w:t>
            </w:r>
          </w:p>
        </w:tc>
        <w:tc>
          <w:tcPr>
            <w:tcW w:w="4536" w:type="dxa"/>
            <w:shd w:val="clear" w:color="auto" w:fill="auto"/>
          </w:tcPr>
          <w:p w14:paraId="61BAFABD" w14:textId="77777777" w:rsidR="00B90026" w:rsidRPr="007E130D" w:rsidRDefault="00B90026" w:rsidP="00B20AC9">
            <w:pPr>
              <w:pStyle w:val="Tablehead"/>
              <w:rPr>
                <w:lang w:eastAsia="it-IT"/>
              </w:rPr>
            </w:pPr>
            <w:r w:rsidRPr="007E130D">
              <w:rPr>
                <w:lang w:eastAsia="it-IT"/>
              </w:rPr>
              <w:t>Sections</w:t>
            </w:r>
            <w:r w:rsidR="00D052D7" w:rsidRPr="007E130D">
              <w:rPr>
                <w:lang w:eastAsia="it-IT"/>
              </w:rPr>
              <w:t xml:space="preserve"> spéciales</w:t>
            </w:r>
          </w:p>
        </w:tc>
      </w:tr>
      <w:tr w:rsidR="00B90026" w:rsidRPr="007E130D" w14:paraId="21422BA9" w14:textId="77777777" w:rsidTr="00B90026">
        <w:trPr>
          <w:jc w:val="center"/>
        </w:trPr>
        <w:tc>
          <w:tcPr>
            <w:tcW w:w="1403" w:type="dxa"/>
            <w:tcMar>
              <w:top w:w="0" w:type="dxa"/>
              <w:left w:w="108" w:type="dxa"/>
              <w:bottom w:w="0" w:type="dxa"/>
              <w:right w:w="108" w:type="dxa"/>
            </w:tcMar>
            <w:hideMark/>
          </w:tcPr>
          <w:p w14:paraId="61E08777" w14:textId="77777777" w:rsidR="00B90026" w:rsidRPr="007E130D" w:rsidRDefault="00B90026" w:rsidP="00B20AC9">
            <w:pPr>
              <w:pStyle w:val="Tabletext"/>
              <w:jc w:val="center"/>
              <w:rPr>
                <w:rFonts w:eastAsia="Calibri"/>
              </w:rPr>
            </w:pPr>
            <w:r w:rsidRPr="007E130D">
              <w:rPr>
                <w:rFonts w:eastAsia="Calibri"/>
              </w:rPr>
              <w:t>SRB</w:t>
            </w:r>
          </w:p>
        </w:tc>
        <w:tc>
          <w:tcPr>
            <w:tcW w:w="3118" w:type="dxa"/>
            <w:tcMar>
              <w:top w:w="0" w:type="dxa"/>
              <w:left w:w="108" w:type="dxa"/>
              <w:bottom w:w="0" w:type="dxa"/>
              <w:right w:w="108" w:type="dxa"/>
            </w:tcMar>
            <w:hideMark/>
          </w:tcPr>
          <w:p w14:paraId="7DB9BC77" w14:textId="77777777" w:rsidR="00B90026" w:rsidRPr="007E130D" w:rsidRDefault="00B90026" w:rsidP="00B20AC9">
            <w:pPr>
              <w:pStyle w:val="Tabletext"/>
              <w:jc w:val="center"/>
              <w:rPr>
                <w:rFonts w:eastAsia="Calibri"/>
              </w:rPr>
            </w:pPr>
            <w:r w:rsidRPr="007E130D">
              <w:rPr>
                <w:rFonts w:eastAsia="Calibri"/>
              </w:rPr>
              <w:t>SRB00000 (26,7° W)</w:t>
            </w:r>
          </w:p>
        </w:tc>
        <w:tc>
          <w:tcPr>
            <w:tcW w:w="4536" w:type="dxa"/>
            <w:hideMark/>
          </w:tcPr>
          <w:p w14:paraId="59801212" w14:textId="01C60DA4" w:rsidR="00B90026" w:rsidRPr="007E130D" w:rsidRDefault="00B90026" w:rsidP="00B20AC9">
            <w:pPr>
              <w:pStyle w:val="Tabletext"/>
              <w:jc w:val="center"/>
              <w:rPr>
                <w:rFonts w:eastAsia="Calibri"/>
              </w:rPr>
            </w:pPr>
            <w:r w:rsidRPr="007E130D">
              <w:rPr>
                <w:rFonts w:eastAsia="Calibri"/>
              </w:rPr>
              <w:t>AP30B/A6A/605 (IFIC 293</w:t>
            </w:r>
            <w:r w:rsidR="00350138" w:rsidRPr="007E130D">
              <w:rPr>
                <w:rFonts w:eastAsia="Calibri"/>
              </w:rPr>
              <w:t>6</w:t>
            </w:r>
            <w:r w:rsidRPr="007E130D">
              <w:rPr>
                <w:rFonts w:eastAsia="Calibri"/>
              </w:rPr>
              <w:t xml:space="preserve"> du 22.12.2020)</w:t>
            </w:r>
          </w:p>
        </w:tc>
      </w:tr>
      <w:tr w:rsidR="00B90026" w:rsidRPr="007E130D" w14:paraId="4D589EB0" w14:textId="77777777" w:rsidTr="00B90026">
        <w:trPr>
          <w:jc w:val="center"/>
        </w:trPr>
        <w:tc>
          <w:tcPr>
            <w:tcW w:w="1403" w:type="dxa"/>
            <w:tcMar>
              <w:top w:w="0" w:type="dxa"/>
              <w:left w:w="108" w:type="dxa"/>
              <w:bottom w:w="0" w:type="dxa"/>
              <w:right w:w="108" w:type="dxa"/>
            </w:tcMar>
          </w:tcPr>
          <w:p w14:paraId="0291B430" w14:textId="77777777" w:rsidR="00B90026" w:rsidRPr="007E130D" w:rsidRDefault="00B90026" w:rsidP="00B20AC9">
            <w:pPr>
              <w:pStyle w:val="Tabletext"/>
              <w:jc w:val="center"/>
              <w:rPr>
                <w:rFonts w:eastAsia="Calibri"/>
              </w:rPr>
            </w:pPr>
            <w:r w:rsidRPr="007E130D">
              <w:rPr>
                <w:rFonts w:eastAsia="Calibri"/>
              </w:rPr>
              <w:t>MKD</w:t>
            </w:r>
          </w:p>
        </w:tc>
        <w:tc>
          <w:tcPr>
            <w:tcW w:w="3118" w:type="dxa"/>
            <w:tcMar>
              <w:top w:w="0" w:type="dxa"/>
              <w:left w:w="108" w:type="dxa"/>
              <w:bottom w:w="0" w:type="dxa"/>
              <w:right w:w="108" w:type="dxa"/>
            </w:tcMar>
          </w:tcPr>
          <w:p w14:paraId="2ABA34FC" w14:textId="77777777" w:rsidR="00B90026" w:rsidRPr="007E130D" w:rsidRDefault="00B90026" w:rsidP="00B20AC9">
            <w:pPr>
              <w:pStyle w:val="Tabletext"/>
              <w:jc w:val="center"/>
              <w:rPr>
                <w:rFonts w:eastAsia="Calibri"/>
              </w:rPr>
            </w:pPr>
            <w:r w:rsidRPr="007E130D">
              <w:rPr>
                <w:rFonts w:eastAsia="Calibri"/>
              </w:rPr>
              <w:t>MKD00000 (16,7° W)</w:t>
            </w:r>
          </w:p>
        </w:tc>
        <w:tc>
          <w:tcPr>
            <w:tcW w:w="4536" w:type="dxa"/>
          </w:tcPr>
          <w:p w14:paraId="448F6D15" w14:textId="77777777" w:rsidR="00B90026" w:rsidRPr="007E130D" w:rsidRDefault="00B90026" w:rsidP="00B20AC9">
            <w:pPr>
              <w:pStyle w:val="Tabletext"/>
              <w:jc w:val="center"/>
              <w:rPr>
                <w:rFonts w:eastAsia="Calibri"/>
              </w:rPr>
            </w:pPr>
            <w:r w:rsidRPr="007E130D">
              <w:rPr>
                <w:rFonts w:eastAsia="Calibri"/>
              </w:rPr>
              <w:t>AP30B/A6A/606 (IFIC 2938 du 26.01.2021)</w:t>
            </w:r>
          </w:p>
        </w:tc>
      </w:tr>
      <w:tr w:rsidR="00B90026" w:rsidRPr="007E130D" w14:paraId="1C26E44C" w14:textId="77777777" w:rsidTr="00B90026">
        <w:trPr>
          <w:jc w:val="center"/>
        </w:trPr>
        <w:tc>
          <w:tcPr>
            <w:tcW w:w="1403" w:type="dxa"/>
            <w:tcMar>
              <w:top w:w="0" w:type="dxa"/>
              <w:left w:w="108" w:type="dxa"/>
              <w:bottom w:w="0" w:type="dxa"/>
              <w:right w:w="108" w:type="dxa"/>
            </w:tcMar>
          </w:tcPr>
          <w:p w14:paraId="5BCC9A88" w14:textId="77777777" w:rsidR="00B90026" w:rsidRPr="007E130D" w:rsidRDefault="00B90026" w:rsidP="00B20AC9">
            <w:pPr>
              <w:pStyle w:val="Tabletext"/>
              <w:jc w:val="center"/>
              <w:rPr>
                <w:rFonts w:eastAsia="Calibri"/>
              </w:rPr>
            </w:pPr>
            <w:r w:rsidRPr="007E130D">
              <w:rPr>
                <w:rFonts w:eastAsia="Calibri"/>
              </w:rPr>
              <w:t>BIH</w:t>
            </w:r>
          </w:p>
        </w:tc>
        <w:tc>
          <w:tcPr>
            <w:tcW w:w="3118" w:type="dxa"/>
            <w:tcMar>
              <w:top w:w="0" w:type="dxa"/>
              <w:left w:w="108" w:type="dxa"/>
              <w:bottom w:w="0" w:type="dxa"/>
              <w:right w:w="108" w:type="dxa"/>
            </w:tcMar>
          </w:tcPr>
          <w:p w14:paraId="53513004" w14:textId="77777777" w:rsidR="00B90026" w:rsidRPr="007E130D" w:rsidRDefault="00B90026" w:rsidP="00B20AC9">
            <w:pPr>
              <w:pStyle w:val="Tabletext"/>
              <w:jc w:val="center"/>
              <w:rPr>
                <w:rFonts w:eastAsia="Calibri"/>
              </w:rPr>
            </w:pPr>
            <w:r w:rsidRPr="007E130D">
              <w:rPr>
                <w:rFonts w:eastAsia="Calibri"/>
              </w:rPr>
              <w:t>BIH00000 (46,0° E)</w:t>
            </w:r>
          </w:p>
        </w:tc>
        <w:tc>
          <w:tcPr>
            <w:tcW w:w="4536" w:type="dxa"/>
          </w:tcPr>
          <w:p w14:paraId="6CABF6C5" w14:textId="77777777" w:rsidR="00B90026" w:rsidRPr="007E130D" w:rsidRDefault="00B90026" w:rsidP="00B20AC9">
            <w:pPr>
              <w:pStyle w:val="Tabletext"/>
              <w:jc w:val="center"/>
              <w:rPr>
                <w:rFonts w:eastAsia="Calibri"/>
              </w:rPr>
            </w:pPr>
            <w:r w:rsidRPr="007E130D">
              <w:rPr>
                <w:rFonts w:eastAsia="Calibri"/>
              </w:rPr>
              <w:t>AP30B/A6A/607 (IFIC 2941 du 09.03.2021)</w:t>
            </w:r>
          </w:p>
        </w:tc>
      </w:tr>
      <w:tr w:rsidR="00B90026" w:rsidRPr="007E130D" w14:paraId="49D70998" w14:textId="77777777" w:rsidTr="00B90026">
        <w:trPr>
          <w:jc w:val="center"/>
        </w:trPr>
        <w:tc>
          <w:tcPr>
            <w:tcW w:w="1403" w:type="dxa"/>
            <w:tcMar>
              <w:top w:w="0" w:type="dxa"/>
              <w:left w:w="108" w:type="dxa"/>
              <w:bottom w:w="0" w:type="dxa"/>
              <w:right w:w="108" w:type="dxa"/>
            </w:tcMar>
          </w:tcPr>
          <w:p w14:paraId="1B10ED7C" w14:textId="77777777" w:rsidR="00B90026" w:rsidRPr="007E130D" w:rsidRDefault="00B90026" w:rsidP="00B20AC9">
            <w:pPr>
              <w:pStyle w:val="Tabletext"/>
              <w:jc w:val="center"/>
              <w:rPr>
                <w:rFonts w:eastAsia="Calibri"/>
              </w:rPr>
            </w:pPr>
            <w:r w:rsidRPr="007E130D">
              <w:rPr>
                <w:rFonts w:eastAsia="Calibri"/>
              </w:rPr>
              <w:t>MDA</w:t>
            </w:r>
          </w:p>
        </w:tc>
        <w:tc>
          <w:tcPr>
            <w:tcW w:w="3118" w:type="dxa"/>
            <w:tcMar>
              <w:top w:w="0" w:type="dxa"/>
              <w:left w:w="108" w:type="dxa"/>
              <w:bottom w:w="0" w:type="dxa"/>
              <w:right w:w="108" w:type="dxa"/>
            </w:tcMar>
          </w:tcPr>
          <w:p w14:paraId="73737886" w14:textId="77777777" w:rsidR="00B90026" w:rsidRPr="007E130D" w:rsidRDefault="00B90026" w:rsidP="00B20AC9">
            <w:pPr>
              <w:pStyle w:val="Tabletext"/>
              <w:jc w:val="center"/>
              <w:rPr>
                <w:rFonts w:eastAsia="Calibri"/>
              </w:rPr>
            </w:pPr>
            <w:r w:rsidRPr="007E130D">
              <w:rPr>
                <w:rFonts w:eastAsia="Calibri"/>
              </w:rPr>
              <w:t>MDA00000 (75,1° E)</w:t>
            </w:r>
          </w:p>
        </w:tc>
        <w:tc>
          <w:tcPr>
            <w:tcW w:w="4536" w:type="dxa"/>
          </w:tcPr>
          <w:p w14:paraId="2FE39BA6" w14:textId="77777777" w:rsidR="00B90026" w:rsidRPr="007E130D" w:rsidRDefault="00B90026" w:rsidP="00B20AC9">
            <w:pPr>
              <w:pStyle w:val="Tabletext"/>
              <w:jc w:val="center"/>
              <w:rPr>
                <w:rFonts w:eastAsia="Calibri"/>
              </w:rPr>
            </w:pPr>
            <w:r w:rsidRPr="007E130D">
              <w:rPr>
                <w:rFonts w:eastAsia="Calibri"/>
              </w:rPr>
              <w:t>AP30B/A6A/608 (IFIC 2943 du 06.04.2021)</w:t>
            </w:r>
          </w:p>
        </w:tc>
      </w:tr>
      <w:tr w:rsidR="00B90026" w:rsidRPr="007E130D" w14:paraId="4475B51E" w14:textId="77777777" w:rsidTr="00B90026">
        <w:trPr>
          <w:jc w:val="center"/>
        </w:trPr>
        <w:tc>
          <w:tcPr>
            <w:tcW w:w="1403" w:type="dxa"/>
            <w:tcMar>
              <w:top w:w="0" w:type="dxa"/>
              <w:left w:w="108" w:type="dxa"/>
              <w:bottom w:w="0" w:type="dxa"/>
              <w:right w:w="108" w:type="dxa"/>
            </w:tcMar>
          </w:tcPr>
          <w:p w14:paraId="5997E156" w14:textId="77777777" w:rsidR="00B90026" w:rsidRPr="007E130D" w:rsidRDefault="00B90026" w:rsidP="00B20AC9">
            <w:pPr>
              <w:pStyle w:val="Tabletext"/>
              <w:jc w:val="center"/>
              <w:rPr>
                <w:rFonts w:eastAsia="Calibri"/>
              </w:rPr>
            </w:pPr>
            <w:r w:rsidRPr="007E130D">
              <w:rPr>
                <w:rFonts w:eastAsia="Calibri"/>
              </w:rPr>
              <w:t>SSD</w:t>
            </w:r>
          </w:p>
        </w:tc>
        <w:tc>
          <w:tcPr>
            <w:tcW w:w="3118" w:type="dxa"/>
            <w:tcMar>
              <w:top w:w="0" w:type="dxa"/>
              <w:left w:w="108" w:type="dxa"/>
              <w:bottom w:w="0" w:type="dxa"/>
              <w:right w:w="108" w:type="dxa"/>
            </w:tcMar>
          </w:tcPr>
          <w:p w14:paraId="32AC8745" w14:textId="77777777" w:rsidR="00B90026" w:rsidRPr="007E130D" w:rsidRDefault="00B90026" w:rsidP="00B20AC9">
            <w:pPr>
              <w:pStyle w:val="Tabletext"/>
              <w:jc w:val="center"/>
              <w:rPr>
                <w:rFonts w:eastAsia="Calibri"/>
              </w:rPr>
            </w:pPr>
            <w:r w:rsidRPr="007E130D">
              <w:rPr>
                <w:rFonts w:eastAsia="Calibri"/>
              </w:rPr>
              <w:t>SSD00000 (23,9° W)</w:t>
            </w:r>
          </w:p>
        </w:tc>
        <w:tc>
          <w:tcPr>
            <w:tcW w:w="4536" w:type="dxa"/>
          </w:tcPr>
          <w:p w14:paraId="1FCE328B" w14:textId="77777777" w:rsidR="00B90026" w:rsidRPr="007E130D" w:rsidRDefault="00B90026" w:rsidP="00B20AC9">
            <w:pPr>
              <w:pStyle w:val="Tabletext"/>
              <w:jc w:val="center"/>
              <w:rPr>
                <w:rFonts w:eastAsia="Calibri"/>
              </w:rPr>
            </w:pPr>
            <w:r w:rsidRPr="007E130D">
              <w:rPr>
                <w:rFonts w:eastAsia="Calibri"/>
              </w:rPr>
              <w:t>AP30B/A6A/609 (IFIC 2944 du 20.04.2021)</w:t>
            </w:r>
          </w:p>
        </w:tc>
      </w:tr>
      <w:tr w:rsidR="00B90026" w:rsidRPr="007E130D" w14:paraId="090BFF5B" w14:textId="77777777" w:rsidTr="00B90026">
        <w:trPr>
          <w:jc w:val="center"/>
        </w:trPr>
        <w:tc>
          <w:tcPr>
            <w:tcW w:w="1403" w:type="dxa"/>
            <w:tcMar>
              <w:top w:w="0" w:type="dxa"/>
              <w:left w:w="108" w:type="dxa"/>
              <w:bottom w:w="0" w:type="dxa"/>
              <w:right w:w="108" w:type="dxa"/>
            </w:tcMar>
          </w:tcPr>
          <w:p w14:paraId="72B229B2" w14:textId="77777777" w:rsidR="00B90026" w:rsidRPr="007E130D" w:rsidRDefault="00B90026" w:rsidP="00B20AC9">
            <w:pPr>
              <w:pStyle w:val="Tabletext"/>
              <w:jc w:val="center"/>
              <w:rPr>
                <w:rFonts w:eastAsia="Calibri"/>
              </w:rPr>
            </w:pPr>
            <w:r w:rsidRPr="007E130D">
              <w:rPr>
                <w:rFonts w:eastAsia="Calibri"/>
              </w:rPr>
              <w:t>GEO</w:t>
            </w:r>
          </w:p>
        </w:tc>
        <w:tc>
          <w:tcPr>
            <w:tcW w:w="3118" w:type="dxa"/>
            <w:tcMar>
              <w:top w:w="0" w:type="dxa"/>
              <w:left w:w="108" w:type="dxa"/>
              <w:bottom w:w="0" w:type="dxa"/>
              <w:right w:w="108" w:type="dxa"/>
            </w:tcMar>
          </w:tcPr>
          <w:p w14:paraId="37F67DC9" w14:textId="77777777" w:rsidR="00B90026" w:rsidRPr="007E130D" w:rsidRDefault="00B90026" w:rsidP="00B20AC9">
            <w:pPr>
              <w:pStyle w:val="Tabletext"/>
              <w:jc w:val="center"/>
              <w:rPr>
                <w:rFonts w:eastAsia="Calibri"/>
              </w:rPr>
            </w:pPr>
            <w:r w:rsidRPr="007E130D">
              <w:rPr>
                <w:rFonts w:eastAsia="Calibri"/>
              </w:rPr>
              <w:t>GEO00000 (78,0° E)</w:t>
            </w:r>
          </w:p>
        </w:tc>
        <w:tc>
          <w:tcPr>
            <w:tcW w:w="4536" w:type="dxa"/>
          </w:tcPr>
          <w:p w14:paraId="0644660F" w14:textId="77777777" w:rsidR="00B90026" w:rsidRPr="007E130D" w:rsidRDefault="00B90026" w:rsidP="00B20AC9">
            <w:pPr>
              <w:pStyle w:val="Tabletext"/>
              <w:jc w:val="center"/>
              <w:rPr>
                <w:rFonts w:eastAsia="Calibri"/>
              </w:rPr>
            </w:pPr>
            <w:r w:rsidRPr="007E130D">
              <w:rPr>
                <w:rFonts w:eastAsia="Calibri"/>
              </w:rPr>
              <w:t>AP30B/A6A/610 (IFIC 2946 du 18.05.2021)</w:t>
            </w:r>
          </w:p>
        </w:tc>
      </w:tr>
      <w:tr w:rsidR="00B90026" w:rsidRPr="007E130D" w14:paraId="186EC071" w14:textId="77777777" w:rsidTr="00B90026">
        <w:trPr>
          <w:jc w:val="center"/>
        </w:trPr>
        <w:tc>
          <w:tcPr>
            <w:tcW w:w="1403" w:type="dxa"/>
            <w:tcMar>
              <w:top w:w="0" w:type="dxa"/>
              <w:left w:w="108" w:type="dxa"/>
              <w:bottom w:w="0" w:type="dxa"/>
              <w:right w:w="108" w:type="dxa"/>
            </w:tcMar>
          </w:tcPr>
          <w:p w14:paraId="2C4FF87D" w14:textId="77777777" w:rsidR="00B90026" w:rsidRPr="007E130D" w:rsidRDefault="00B90026" w:rsidP="00B20AC9">
            <w:pPr>
              <w:pStyle w:val="Tabletext"/>
              <w:jc w:val="center"/>
              <w:rPr>
                <w:rFonts w:eastAsia="Calibri"/>
              </w:rPr>
            </w:pPr>
            <w:r w:rsidRPr="007E130D">
              <w:rPr>
                <w:rFonts w:eastAsia="Calibri"/>
              </w:rPr>
              <w:t>HRV</w:t>
            </w:r>
          </w:p>
        </w:tc>
        <w:tc>
          <w:tcPr>
            <w:tcW w:w="3118" w:type="dxa"/>
            <w:tcMar>
              <w:top w:w="0" w:type="dxa"/>
              <w:left w:w="108" w:type="dxa"/>
              <w:bottom w:w="0" w:type="dxa"/>
              <w:right w:w="108" w:type="dxa"/>
            </w:tcMar>
          </w:tcPr>
          <w:p w14:paraId="12FC9041" w14:textId="77777777" w:rsidR="00B90026" w:rsidRPr="007E130D" w:rsidRDefault="00B90026" w:rsidP="00B20AC9">
            <w:pPr>
              <w:pStyle w:val="Tabletext"/>
              <w:jc w:val="center"/>
              <w:rPr>
                <w:rFonts w:eastAsia="Calibri"/>
              </w:rPr>
            </w:pPr>
            <w:r w:rsidRPr="007E130D">
              <w:rPr>
                <w:rFonts w:eastAsia="Calibri"/>
              </w:rPr>
              <w:t>HRV00000 (63,0° E)</w:t>
            </w:r>
          </w:p>
        </w:tc>
        <w:tc>
          <w:tcPr>
            <w:tcW w:w="4536" w:type="dxa"/>
          </w:tcPr>
          <w:p w14:paraId="7E36D3F8" w14:textId="77777777" w:rsidR="00B90026" w:rsidRPr="007E130D" w:rsidRDefault="00B90026" w:rsidP="00B20AC9">
            <w:pPr>
              <w:pStyle w:val="Tabletext"/>
              <w:jc w:val="center"/>
              <w:rPr>
                <w:rFonts w:eastAsia="Calibri"/>
              </w:rPr>
            </w:pPr>
            <w:r w:rsidRPr="007E130D">
              <w:rPr>
                <w:rFonts w:eastAsia="Calibri"/>
              </w:rPr>
              <w:t>AP30B/A6A/611 (IFIC 2947 du 01.06.2021)</w:t>
            </w:r>
          </w:p>
        </w:tc>
      </w:tr>
    </w:tbl>
    <w:p w14:paraId="6BD95F87" w14:textId="2819BD9D" w:rsidR="00B90026" w:rsidRPr="007E130D" w:rsidRDefault="00BB0565" w:rsidP="00E05DC8">
      <w:pPr>
        <w:spacing w:before="240"/>
      </w:pPr>
      <w:r w:rsidRPr="007E130D">
        <w:t>Lors de sa 89</w:t>
      </w:r>
      <w:r w:rsidR="00D053E2" w:rsidRPr="007E130D">
        <w:t>ème</w:t>
      </w:r>
      <w:r w:rsidRPr="007E130D">
        <w:t xml:space="preserve"> réunion (14-18 mars 2022), le Comité du règlement des radiocommunications a chargé le Bureau de mettre en œuvre, à titre de mesure provisoire jusqu'à la CMR-23, certaines mesures réglementaires supplémentaires afin d'éviter une nouvelle dégradation des niveaux cumulatifs du </w:t>
      </w:r>
      <w:r w:rsidR="00D053E2" w:rsidRPr="007E130D">
        <w:t>R</w:t>
      </w:r>
      <w:r w:rsidRPr="007E130D">
        <w:t xml:space="preserve">apport </w:t>
      </w:r>
      <w:r w:rsidRPr="007E130D">
        <w:rPr>
          <w:i/>
          <w:iCs/>
        </w:rPr>
        <w:t>C</w:t>
      </w:r>
      <w:r w:rsidRPr="007E130D">
        <w:t>/</w:t>
      </w:r>
      <w:r w:rsidRPr="007E130D">
        <w:rPr>
          <w:i/>
          <w:iCs/>
        </w:rPr>
        <w:t>I</w:t>
      </w:r>
      <w:r w:rsidRPr="007E130D">
        <w:t xml:space="preserve"> des demandes susmentionnées des nouveaux États Membres.</w:t>
      </w:r>
    </w:p>
    <w:p w14:paraId="0D32ABE4" w14:textId="7CE406C5" w:rsidR="00B90026" w:rsidRPr="007E130D" w:rsidRDefault="00D053E2" w:rsidP="00E05DC8">
      <w:pPr>
        <w:spacing w:after="240"/>
      </w:pPr>
      <w:r w:rsidRPr="007E130D">
        <w:t>À</w:t>
      </w:r>
      <w:r w:rsidR="00BB0565" w:rsidRPr="007E130D">
        <w:t xml:space="preserve"> cet égard, le Bureau a proposé, et les administrations notificatrices concernées ont aimablement accepté, les mesures qui contribuent à maintenir la dégradation maximale des niveaux cumulatifs du</w:t>
      </w:r>
      <w:r w:rsidRPr="007E130D">
        <w:t> R</w:t>
      </w:r>
      <w:r w:rsidR="00BB0565" w:rsidRPr="007E130D">
        <w:t xml:space="preserve">apport </w:t>
      </w:r>
      <w:r w:rsidR="00BB0565" w:rsidRPr="007E130D">
        <w:rPr>
          <w:i/>
        </w:rPr>
        <w:t>C</w:t>
      </w:r>
      <w:r w:rsidR="00BB0565" w:rsidRPr="007E130D">
        <w:rPr>
          <w:iCs/>
        </w:rPr>
        <w:t>/</w:t>
      </w:r>
      <w:r w:rsidR="00BB0565" w:rsidRPr="007E130D">
        <w:rPr>
          <w:i/>
        </w:rPr>
        <w:t>I</w:t>
      </w:r>
      <w:r w:rsidR="00BB0565" w:rsidRPr="007E130D">
        <w:t xml:space="preserve"> de l'allotissement national potentiel des nouveaux </w:t>
      </w:r>
      <w:r w:rsidRPr="007E130D">
        <w:t>É</w:t>
      </w:r>
      <w:r w:rsidR="00BB0565" w:rsidRPr="007E130D">
        <w:t>tats Membres à moins de</w:t>
      </w:r>
      <w:r w:rsidRPr="007E130D">
        <w:t> </w:t>
      </w:r>
      <w:r w:rsidR="00BB0565" w:rsidRPr="007E130D">
        <w:t>0,25</w:t>
      </w:r>
      <w:r w:rsidRPr="007E130D">
        <w:t> </w:t>
      </w:r>
      <w:r w:rsidR="00BB0565" w:rsidRPr="007E130D">
        <w:t>dB.</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80"/>
        <w:gridCol w:w="1406"/>
        <w:gridCol w:w="2268"/>
        <w:gridCol w:w="992"/>
        <w:gridCol w:w="2500"/>
      </w:tblGrid>
      <w:tr w:rsidR="00B90026" w:rsidRPr="007E130D" w14:paraId="7BB9EA75" w14:textId="77777777" w:rsidTr="00C72222">
        <w:trPr>
          <w:cnfStyle w:val="100000000000" w:firstRow="1" w:lastRow="0" w:firstColumn="0" w:lastColumn="0" w:oddVBand="0" w:evenVBand="0" w:oddHBand="0" w:evenHBand="0" w:firstRowFirstColumn="0" w:firstRowLastColumn="0" w:lastRowFirstColumn="0" w:lastRowLastColumn="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F90864" w14:textId="336EF627" w:rsidR="00B90026" w:rsidRPr="007E130D" w:rsidRDefault="00BB0565" w:rsidP="00B20AC9">
            <w:pPr>
              <w:pStyle w:val="Tablehead"/>
              <w:rPr>
                <w:b/>
                <w:color w:val="auto"/>
                <w:lang w:eastAsia="it-IT"/>
              </w:rPr>
            </w:pPr>
            <w:r w:rsidRPr="007E130D">
              <w:rPr>
                <w:b/>
                <w:color w:val="auto"/>
                <w:lang w:eastAsia="it-IT"/>
              </w:rPr>
              <w:t>ADM susceptibles d</w:t>
            </w:r>
            <w:r w:rsidR="000C4CDD" w:rsidRPr="007E130D">
              <w:rPr>
                <w:b/>
                <w:color w:val="auto"/>
                <w:lang w:eastAsia="it-IT"/>
              </w:rPr>
              <w:t>'</w:t>
            </w:r>
            <w:r w:rsidRPr="007E130D">
              <w:rPr>
                <w:b/>
                <w:color w:val="auto"/>
                <w:lang w:eastAsia="it-IT"/>
              </w:rPr>
              <w:t>être affectées</w:t>
            </w:r>
          </w:p>
          <w:p w14:paraId="4BC3D7DE" w14:textId="77777777" w:rsidR="00B90026" w:rsidRPr="007E130D" w:rsidRDefault="00B90026" w:rsidP="00B20AC9">
            <w:pPr>
              <w:pStyle w:val="Tablehead"/>
              <w:rPr>
                <w:b/>
                <w:color w:val="auto"/>
                <w:lang w:eastAsia="it-IT"/>
              </w:rPr>
            </w:pPr>
            <w:r w:rsidRPr="007E130D">
              <w:rPr>
                <w:b/>
                <w:color w:val="auto"/>
                <w:lang w:eastAsia="it-IT"/>
              </w:rPr>
              <w:t>(</w:t>
            </w:r>
            <w:r w:rsidR="00BB0565" w:rsidRPr="007E130D">
              <w:rPr>
                <w:b/>
                <w:color w:val="auto"/>
                <w:lang w:eastAsia="it-IT"/>
              </w:rPr>
              <w:t>Nom du réseau</w:t>
            </w:r>
            <w:r w:rsidRPr="007E130D">
              <w:rPr>
                <w:b/>
                <w:color w:val="auto"/>
                <w:lang w:eastAsia="it-IT"/>
              </w:rPr>
              <w:t>)</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33D3D16" w14:textId="40B873A1" w:rsidR="00B90026" w:rsidRPr="007E130D" w:rsidRDefault="00B90026" w:rsidP="00B20AC9">
            <w:pPr>
              <w:pStyle w:val="Tablehead"/>
              <w:rPr>
                <w:b/>
                <w:color w:val="auto"/>
                <w:lang w:eastAsia="it-IT"/>
              </w:rPr>
            </w:pPr>
            <w:r w:rsidRPr="007E130D">
              <w:rPr>
                <w:b/>
                <w:color w:val="auto"/>
                <w:lang w:eastAsia="it-IT"/>
              </w:rPr>
              <w:t xml:space="preserve">ADM </w:t>
            </w:r>
            <w:r w:rsidR="00BB0565" w:rsidRPr="007E130D">
              <w:rPr>
                <w:b/>
                <w:color w:val="auto"/>
                <w:lang w:eastAsia="it-IT"/>
              </w:rPr>
              <w:t>a accepté des mesures additionnelles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5D3BE0" w14:textId="3D5DDC35" w:rsidR="00B90026" w:rsidRPr="007E130D" w:rsidRDefault="00C72222" w:rsidP="00B20AC9">
            <w:pPr>
              <w:pStyle w:val="Tablehead"/>
              <w:rPr>
                <w:b/>
                <w:color w:val="auto"/>
                <w:lang w:eastAsia="it-IT"/>
              </w:rPr>
            </w:pPr>
            <w:r w:rsidRPr="007E130D">
              <w:rPr>
                <w:b/>
                <w:color w:val="auto"/>
                <w:lang w:eastAsia="it-IT"/>
              </w:rPr>
              <w:t>Nom du satellite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ED3C5" w14:textId="54D5BB4A" w:rsidR="00B90026" w:rsidRPr="007E130D" w:rsidRDefault="00C72222" w:rsidP="00B20AC9">
            <w:pPr>
              <w:pStyle w:val="Tablehead"/>
              <w:rPr>
                <w:b/>
                <w:color w:val="auto"/>
                <w:lang w:eastAsia="it-IT"/>
              </w:rPr>
            </w:pPr>
            <w:r w:rsidRPr="007E130D">
              <w:rPr>
                <w:b/>
                <w:color w:val="auto"/>
                <w:lang w:eastAsia="it-IT"/>
              </w:rPr>
              <w:t>Position orbitale</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14:paraId="079F0CC7" w14:textId="267EDE26" w:rsidR="00B90026" w:rsidRPr="007E130D" w:rsidRDefault="00B90026" w:rsidP="00B20AC9">
            <w:pPr>
              <w:pStyle w:val="Tablehead"/>
              <w:rPr>
                <w:b/>
                <w:color w:val="auto"/>
                <w:lang w:eastAsia="it-IT"/>
              </w:rPr>
            </w:pPr>
            <w:r w:rsidRPr="007E130D">
              <w:rPr>
                <w:b/>
                <w:color w:val="auto"/>
                <w:lang w:eastAsia="it-IT"/>
              </w:rPr>
              <w:t>S</w:t>
            </w:r>
            <w:r w:rsidR="00C72222" w:rsidRPr="007E130D">
              <w:rPr>
                <w:b/>
                <w:color w:val="auto"/>
                <w:lang w:eastAsia="it-IT"/>
              </w:rPr>
              <w:t>ections spéciales</w:t>
            </w:r>
          </w:p>
        </w:tc>
      </w:tr>
      <w:tr w:rsidR="00B90026" w:rsidRPr="007E130D" w14:paraId="66DAFEDD" w14:textId="77777777" w:rsidTr="00D053E2">
        <w:trPr>
          <w:cnfStyle w:val="000000100000" w:firstRow="0" w:lastRow="0" w:firstColumn="0" w:lastColumn="0" w:oddVBand="0" w:evenVBand="0" w:oddHBand="1" w:evenHBand="0" w:firstRowFirstColumn="0" w:firstRowLastColumn="0" w:lastRowFirstColumn="0" w:lastRowLastColumn="0"/>
          <w:jc w:val="center"/>
        </w:trPr>
        <w:tc>
          <w:tcPr>
            <w:tcW w:w="1980" w:type="dxa"/>
            <w:tcBorders>
              <w:top w:val="single" w:sz="4" w:space="0" w:color="auto"/>
            </w:tcBorders>
            <w:shd w:val="clear" w:color="auto" w:fill="auto"/>
          </w:tcPr>
          <w:p w14:paraId="2664853D" w14:textId="77777777" w:rsidR="00B90026" w:rsidRPr="007E130D" w:rsidRDefault="00B90026" w:rsidP="00D053E2">
            <w:pPr>
              <w:pStyle w:val="Tabletext"/>
              <w:jc w:val="center"/>
              <w:rPr>
                <w:rFonts w:eastAsia="Calibri"/>
              </w:rPr>
            </w:pPr>
            <w:r w:rsidRPr="007E130D">
              <w:rPr>
                <w:rFonts w:eastAsia="Calibri"/>
              </w:rPr>
              <w:t>BIH (BIH00000 (46,0° E))</w:t>
            </w:r>
          </w:p>
        </w:tc>
        <w:tc>
          <w:tcPr>
            <w:tcW w:w="1406" w:type="dxa"/>
            <w:tcBorders>
              <w:top w:val="single" w:sz="4" w:space="0" w:color="auto"/>
            </w:tcBorders>
            <w:shd w:val="clear" w:color="auto" w:fill="auto"/>
          </w:tcPr>
          <w:p w14:paraId="79583D03" w14:textId="77777777" w:rsidR="00B90026" w:rsidRPr="007E130D" w:rsidRDefault="00B90026" w:rsidP="00D053E2">
            <w:pPr>
              <w:pStyle w:val="Tabletext"/>
              <w:jc w:val="center"/>
              <w:rPr>
                <w:rFonts w:eastAsia="Calibri"/>
              </w:rPr>
            </w:pPr>
            <w:r w:rsidRPr="007E130D">
              <w:rPr>
                <w:rFonts w:eastAsia="Calibri"/>
              </w:rPr>
              <w:t>BLR</w:t>
            </w:r>
          </w:p>
        </w:tc>
        <w:tc>
          <w:tcPr>
            <w:tcW w:w="2268" w:type="dxa"/>
            <w:tcBorders>
              <w:top w:val="single" w:sz="4" w:space="0" w:color="auto"/>
            </w:tcBorders>
            <w:shd w:val="clear" w:color="auto" w:fill="auto"/>
          </w:tcPr>
          <w:p w14:paraId="4929A3B6" w14:textId="77777777" w:rsidR="00B90026" w:rsidRPr="007E130D" w:rsidRDefault="00B90026" w:rsidP="00D053E2">
            <w:pPr>
              <w:pStyle w:val="Tabletext"/>
              <w:jc w:val="center"/>
              <w:rPr>
                <w:rFonts w:eastAsia="Calibri"/>
              </w:rPr>
            </w:pPr>
            <w:r w:rsidRPr="007E130D">
              <w:rPr>
                <w:rFonts w:eastAsia="Calibri"/>
              </w:rPr>
              <w:t>BLR-FSS2-51.5E</w:t>
            </w:r>
          </w:p>
        </w:tc>
        <w:tc>
          <w:tcPr>
            <w:tcW w:w="992" w:type="dxa"/>
            <w:tcBorders>
              <w:top w:val="single" w:sz="4" w:space="0" w:color="auto"/>
            </w:tcBorders>
            <w:shd w:val="clear" w:color="auto" w:fill="auto"/>
          </w:tcPr>
          <w:p w14:paraId="5D7A4E43" w14:textId="77777777" w:rsidR="00B90026" w:rsidRPr="007E130D" w:rsidRDefault="00B90026" w:rsidP="00D053E2">
            <w:pPr>
              <w:pStyle w:val="Tabletext"/>
              <w:jc w:val="center"/>
              <w:rPr>
                <w:rFonts w:eastAsia="Calibri"/>
              </w:rPr>
            </w:pPr>
            <w:r w:rsidRPr="007E130D">
              <w:rPr>
                <w:rFonts w:eastAsia="Calibri"/>
              </w:rPr>
              <w:t>51,5° E</w:t>
            </w:r>
          </w:p>
        </w:tc>
        <w:tc>
          <w:tcPr>
            <w:tcW w:w="2500" w:type="dxa"/>
            <w:tcBorders>
              <w:top w:val="single" w:sz="4" w:space="0" w:color="auto"/>
            </w:tcBorders>
            <w:shd w:val="clear" w:color="auto" w:fill="auto"/>
            <w:vAlign w:val="center"/>
          </w:tcPr>
          <w:p w14:paraId="381955AE" w14:textId="6C1D3098" w:rsidR="00B90026" w:rsidRPr="007E130D" w:rsidRDefault="00B90026" w:rsidP="00D053E2">
            <w:pPr>
              <w:pStyle w:val="Tabletext"/>
              <w:jc w:val="center"/>
              <w:rPr>
                <w:rFonts w:eastAsia="Calibri"/>
              </w:rPr>
            </w:pPr>
            <w:r w:rsidRPr="007E130D">
              <w:rPr>
                <w:rFonts w:eastAsia="Calibri"/>
              </w:rPr>
              <w:t>AP30B/A6B/177</w:t>
            </w:r>
          </w:p>
          <w:p w14:paraId="3EF8B8EC" w14:textId="77777777" w:rsidR="00B90026" w:rsidRPr="007E130D" w:rsidRDefault="00B90026" w:rsidP="00D053E2">
            <w:pPr>
              <w:pStyle w:val="Tabletext"/>
              <w:jc w:val="center"/>
              <w:rPr>
                <w:rFonts w:eastAsia="Calibri"/>
              </w:rPr>
            </w:pPr>
            <w:r w:rsidRPr="007E130D">
              <w:rPr>
                <w:rFonts w:eastAsia="Calibri"/>
              </w:rPr>
              <w:t>(IFIC 2972 du 31.05.2022)</w:t>
            </w:r>
          </w:p>
        </w:tc>
      </w:tr>
      <w:tr w:rsidR="00B90026" w:rsidRPr="007E130D" w14:paraId="62D3BE38" w14:textId="77777777" w:rsidTr="00D053E2">
        <w:trPr>
          <w:jc w:val="center"/>
        </w:trPr>
        <w:tc>
          <w:tcPr>
            <w:tcW w:w="1980" w:type="dxa"/>
            <w:shd w:val="clear" w:color="auto" w:fill="auto"/>
          </w:tcPr>
          <w:p w14:paraId="7A7048E9" w14:textId="77777777" w:rsidR="00B90026" w:rsidRPr="007E130D" w:rsidRDefault="00B90026" w:rsidP="00D053E2">
            <w:pPr>
              <w:pStyle w:val="Tabletext"/>
              <w:jc w:val="center"/>
              <w:rPr>
                <w:rFonts w:eastAsia="Calibri"/>
              </w:rPr>
            </w:pPr>
            <w:r w:rsidRPr="007E130D">
              <w:rPr>
                <w:rFonts w:eastAsia="Calibri"/>
              </w:rPr>
              <w:t>HRV (HRV00000 (63,0° E))</w:t>
            </w:r>
          </w:p>
        </w:tc>
        <w:tc>
          <w:tcPr>
            <w:tcW w:w="1406" w:type="dxa"/>
            <w:shd w:val="clear" w:color="auto" w:fill="auto"/>
          </w:tcPr>
          <w:p w14:paraId="40AA10AD" w14:textId="77777777" w:rsidR="00B90026" w:rsidRPr="007E130D" w:rsidRDefault="00B90026" w:rsidP="00D053E2">
            <w:pPr>
              <w:pStyle w:val="Tabletext"/>
              <w:jc w:val="center"/>
              <w:rPr>
                <w:rFonts w:eastAsia="Calibri"/>
              </w:rPr>
            </w:pPr>
            <w:r w:rsidRPr="007E130D">
              <w:rPr>
                <w:rFonts w:eastAsia="Calibri"/>
              </w:rPr>
              <w:t>PNG</w:t>
            </w:r>
          </w:p>
        </w:tc>
        <w:tc>
          <w:tcPr>
            <w:tcW w:w="2268" w:type="dxa"/>
            <w:shd w:val="clear" w:color="auto" w:fill="auto"/>
          </w:tcPr>
          <w:p w14:paraId="574E8467" w14:textId="77777777" w:rsidR="00B90026" w:rsidRPr="007E130D" w:rsidRDefault="00B90026" w:rsidP="00D053E2">
            <w:pPr>
              <w:pStyle w:val="Tabletext"/>
              <w:jc w:val="center"/>
              <w:rPr>
                <w:rFonts w:eastAsia="Calibri"/>
              </w:rPr>
            </w:pPr>
            <w:r w:rsidRPr="007E130D">
              <w:rPr>
                <w:rFonts w:eastAsia="Calibri"/>
              </w:rPr>
              <w:t>NEW DAWN FSS-3</w:t>
            </w:r>
          </w:p>
        </w:tc>
        <w:tc>
          <w:tcPr>
            <w:tcW w:w="992" w:type="dxa"/>
            <w:shd w:val="clear" w:color="auto" w:fill="auto"/>
          </w:tcPr>
          <w:p w14:paraId="7A3A4F29" w14:textId="77777777" w:rsidR="00B90026" w:rsidRPr="007E130D" w:rsidRDefault="00B90026" w:rsidP="00D053E2">
            <w:pPr>
              <w:pStyle w:val="Tabletext"/>
              <w:jc w:val="center"/>
              <w:rPr>
                <w:rFonts w:eastAsia="Calibri"/>
              </w:rPr>
            </w:pPr>
            <w:r w:rsidRPr="007E130D">
              <w:rPr>
                <w:rFonts w:eastAsia="Calibri"/>
              </w:rPr>
              <w:t>62,0° E</w:t>
            </w:r>
          </w:p>
        </w:tc>
        <w:tc>
          <w:tcPr>
            <w:tcW w:w="2500" w:type="dxa"/>
            <w:shd w:val="clear" w:color="auto" w:fill="auto"/>
            <w:vAlign w:val="center"/>
          </w:tcPr>
          <w:p w14:paraId="29FBDFBE" w14:textId="36DE1A6D" w:rsidR="00B90026" w:rsidRPr="007E130D" w:rsidRDefault="00B90026" w:rsidP="00D053E2">
            <w:pPr>
              <w:pStyle w:val="Tabletext"/>
              <w:jc w:val="center"/>
              <w:rPr>
                <w:rFonts w:eastAsia="Calibri"/>
              </w:rPr>
            </w:pPr>
            <w:r w:rsidRPr="007E130D">
              <w:rPr>
                <w:rFonts w:eastAsia="Calibri"/>
              </w:rPr>
              <w:t>AP30B/A6B/186</w:t>
            </w:r>
          </w:p>
          <w:p w14:paraId="3EC33BA3" w14:textId="77777777" w:rsidR="00B90026" w:rsidRPr="007E130D" w:rsidRDefault="00B90026" w:rsidP="00D053E2">
            <w:pPr>
              <w:pStyle w:val="Tabletext"/>
              <w:jc w:val="center"/>
              <w:rPr>
                <w:rFonts w:eastAsia="Calibri"/>
              </w:rPr>
            </w:pPr>
            <w:r w:rsidRPr="007E130D">
              <w:rPr>
                <w:rFonts w:eastAsia="Calibri"/>
              </w:rPr>
              <w:t>(IFIC 2980 du 20.09.2022)</w:t>
            </w:r>
          </w:p>
        </w:tc>
      </w:tr>
      <w:tr w:rsidR="00B90026" w:rsidRPr="007E130D" w14:paraId="126ABDEA" w14:textId="77777777" w:rsidTr="00D053E2">
        <w:trPr>
          <w:cnfStyle w:val="000000100000" w:firstRow="0" w:lastRow="0" w:firstColumn="0" w:lastColumn="0" w:oddVBand="0" w:evenVBand="0" w:oddHBand="1" w:evenHBand="0" w:firstRowFirstColumn="0" w:firstRowLastColumn="0" w:lastRowFirstColumn="0" w:lastRowLastColumn="0"/>
          <w:jc w:val="center"/>
        </w:trPr>
        <w:tc>
          <w:tcPr>
            <w:tcW w:w="1980" w:type="dxa"/>
            <w:shd w:val="clear" w:color="auto" w:fill="auto"/>
          </w:tcPr>
          <w:p w14:paraId="70355AA9" w14:textId="77777777" w:rsidR="00B90026" w:rsidRPr="007E130D" w:rsidRDefault="00B90026" w:rsidP="00D053E2">
            <w:pPr>
              <w:pStyle w:val="Tabletext"/>
              <w:jc w:val="center"/>
              <w:rPr>
                <w:rFonts w:eastAsia="Calibri"/>
              </w:rPr>
            </w:pPr>
            <w:r w:rsidRPr="007E130D">
              <w:rPr>
                <w:rFonts w:eastAsia="Calibri"/>
              </w:rPr>
              <w:t>HRV (HRV00000 (63,0° E))</w:t>
            </w:r>
          </w:p>
        </w:tc>
        <w:tc>
          <w:tcPr>
            <w:tcW w:w="1406" w:type="dxa"/>
            <w:shd w:val="clear" w:color="auto" w:fill="auto"/>
          </w:tcPr>
          <w:p w14:paraId="49E3E9F3" w14:textId="77777777" w:rsidR="00B90026" w:rsidRPr="007E130D" w:rsidRDefault="00B90026" w:rsidP="00D053E2">
            <w:pPr>
              <w:pStyle w:val="Tabletext"/>
              <w:jc w:val="center"/>
              <w:rPr>
                <w:rFonts w:eastAsia="Calibri"/>
              </w:rPr>
            </w:pPr>
            <w:r w:rsidRPr="007E130D">
              <w:rPr>
                <w:rFonts w:eastAsia="Calibri"/>
              </w:rPr>
              <w:t>IND</w:t>
            </w:r>
          </w:p>
        </w:tc>
        <w:tc>
          <w:tcPr>
            <w:tcW w:w="2268" w:type="dxa"/>
            <w:shd w:val="clear" w:color="auto" w:fill="auto"/>
          </w:tcPr>
          <w:p w14:paraId="4792E020" w14:textId="77777777" w:rsidR="00B90026" w:rsidRPr="007E130D" w:rsidRDefault="00B90026" w:rsidP="00D053E2">
            <w:pPr>
              <w:pStyle w:val="Tabletext"/>
              <w:jc w:val="center"/>
              <w:rPr>
                <w:rFonts w:eastAsia="Calibri"/>
              </w:rPr>
            </w:pPr>
            <w:r w:rsidRPr="007E130D">
              <w:rPr>
                <w:rFonts w:eastAsia="Calibri"/>
              </w:rPr>
              <w:t>INSAT-PKU63E</w:t>
            </w:r>
          </w:p>
        </w:tc>
        <w:tc>
          <w:tcPr>
            <w:tcW w:w="992" w:type="dxa"/>
            <w:shd w:val="clear" w:color="auto" w:fill="auto"/>
          </w:tcPr>
          <w:p w14:paraId="68AD0516" w14:textId="77777777" w:rsidR="00B90026" w:rsidRPr="007E130D" w:rsidRDefault="00B90026" w:rsidP="00D053E2">
            <w:pPr>
              <w:pStyle w:val="Tabletext"/>
              <w:jc w:val="center"/>
              <w:rPr>
                <w:rFonts w:eastAsia="Calibri"/>
              </w:rPr>
            </w:pPr>
            <w:r w:rsidRPr="007E130D">
              <w:rPr>
                <w:rFonts w:eastAsia="Calibri"/>
              </w:rPr>
              <w:t>63,0° E</w:t>
            </w:r>
          </w:p>
        </w:tc>
        <w:tc>
          <w:tcPr>
            <w:tcW w:w="2500" w:type="dxa"/>
            <w:shd w:val="clear" w:color="auto" w:fill="auto"/>
            <w:vAlign w:val="center"/>
          </w:tcPr>
          <w:p w14:paraId="50A9188C" w14:textId="01A88DF6" w:rsidR="00B90026" w:rsidRPr="007E130D" w:rsidRDefault="00B90026" w:rsidP="00D053E2">
            <w:pPr>
              <w:pStyle w:val="Tabletext"/>
              <w:jc w:val="center"/>
              <w:rPr>
                <w:rFonts w:eastAsia="Calibri"/>
              </w:rPr>
            </w:pPr>
            <w:r w:rsidRPr="007E130D">
              <w:rPr>
                <w:rFonts w:eastAsia="Calibri"/>
              </w:rPr>
              <w:t>AP30B/A6B/191</w:t>
            </w:r>
          </w:p>
          <w:p w14:paraId="021FA0DC" w14:textId="77777777" w:rsidR="00B90026" w:rsidRPr="007E130D" w:rsidRDefault="00B90026" w:rsidP="00D053E2">
            <w:pPr>
              <w:pStyle w:val="Tabletext"/>
              <w:jc w:val="center"/>
              <w:rPr>
                <w:rFonts w:eastAsia="Calibri"/>
              </w:rPr>
            </w:pPr>
            <w:r w:rsidRPr="007E130D">
              <w:rPr>
                <w:rFonts w:eastAsia="Calibri"/>
              </w:rPr>
              <w:t>(IFIC 2987 du 10.01.2023)</w:t>
            </w:r>
          </w:p>
        </w:tc>
      </w:tr>
      <w:tr w:rsidR="00B90026" w:rsidRPr="007E130D" w14:paraId="6613FCE4" w14:textId="77777777" w:rsidTr="00D053E2">
        <w:trPr>
          <w:jc w:val="center"/>
        </w:trPr>
        <w:tc>
          <w:tcPr>
            <w:tcW w:w="1980" w:type="dxa"/>
            <w:shd w:val="clear" w:color="auto" w:fill="auto"/>
          </w:tcPr>
          <w:p w14:paraId="24047102" w14:textId="77777777" w:rsidR="00B90026" w:rsidRPr="007E130D" w:rsidRDefault="00B90026" w:rsidP="00D053E2">
            <w:pPr>
              <w:pStyle w:val="Tabletext"/>
              <w:jc w:val="center"/>
              <w:rPr>
                <w:rFonts w:eastAsia="Calibri"/>
              </w:rPr>
            </w:pPr>
            <w:r w:rsidRPr="007E130D">
              <w:rPr>
                <w:rFonts w:eastAsia="Calibri"/>
              </w:rPr>
              <w:t>MKD (MKD00000 (16,7° W))</w:t>
            </w:r>
          </w:p>
        </w:tc>
        <w:tc>
          <w:tcPr>
            <w:tcW w:w="1406" w:type="dxa"/>
            <w:shd w:val="clear" w:color="auto" w:fill="auto"/>
          </w:tcPr>
          <w:p w14:paraId="597030A4" w14:textId="77777777" w:rsidR="00B90026" w:rsidRPr="007E130D" w:rsidRDefault="00B90026" w:rsidP="00D053E2">
            <w:pPr>
              <w:pStyle w:val="Tabletext"/>
              <w:jc w:val="center"/>
              <w:rPr>
                <w:rFonts w:eastAsia="Calibri"/>
              </w:rPr>
            </w:pPr>
            <w:r w:rsidRPr="007E130D">
              <w:rPr>
                <w:rFonts w:eastAsia="Calibri"/>
              </w:rPr>
              <w:t>G</w:t>
            </w:r>
          </w:p>
        </w:tc>
        <w:tc>
          <w:tcPr>
            <w:tcW w:w="2268" w:type="dxa"/>
            <w:shd w:val="clear" w:color="auto" w:fill="auto"/>
          </w:tcPr>
          <w:p w14:paraId="4006F864" w14:textId="77777777" w:rsidR="00B90026" w:rsidRPr="007E130D" w:rsidRDefault="00B90026" w:rsidP="00D053E2">
            <w:pPr>
              <w:pStyle w:val="Tabletext"/>
              <w:jc w:val="center"/>
              <w:rPr>
                <w:rFonts w:eastAsia="Calibri"/>
              </w:rPr>
            </w:pPr>
            <w:r w:rsidRPr="007E130D">
              <w:rPr>
                <w:rFonts w:eastAsia="Calibri"/>
              </w:rPr>
              <w:t>UKFSS-18W-A</w:t>
            </w:r>
          </w:p>
        </w:tc>
        <w:tc>
          <w:tcPr>
            <w:tcW w:w="992" w:type="dxa"/>
            <w:shd w:val="clear" w:color="auto" w:fill="auto"/>
          </w:tcPr>
          <w:p w14:paraId="6673F4FC" w14:textId="77777777" w:rsidR="00B90026" w:rsidRPr="007E130D" w:rsidRDefault="00B90026" w:rsidP="00D053E2">
            <w:pPr>
              <w:pStyle w:val="Tabletext"/>
              <w:jc w:val="center"/>
              <w:rPr>
                <w:rFonts w:eastAsia="Calibri"/>
              </w:rPr>
            </w:pPr>
            <w:r w:rsidRPr="007E130D">
              <w:rPr>
                <w:rFonts w:eastAsia="Calibri"/>
              </w:rPr>
              <w:t>18,0° W</w:t>
            </w:r>
          </w:p>
        </w:tc>
        <w:tc>
          <w:tcPr>
            <w:tcW w:w="2500" w:type="dxa"/>
            <w:shd w:val="clear" w:color="auto" w:fill="auto"/>
            <w:vAlign w:val="center"/>
          </w:tcPr>
          <w:p w14:paraId="098A4D87" w14:textId="3A5AB8FC" w:rsidR="00B90026" w:rsidRPr="007E130D" w:rsidRDefault="00B90026" w:rsidP="00D053E2">
            <w:pPr>
              <w:pStyle w:val="Tabletext"/>
              <w:jc w:val="center"/>
              <w:rPr>
                <w:rFonts w:eastAsia="Calibri"/>
              </w:rPr>
            </w:pPr>
            <w:r w:rsidRPr="007E130D">
              <w:rPr>
                <w:rFonts w:eastAsia="Calibri"/>
              </w:rPr>
              <w:t>AP30B/A6B/196</w:t>
            </w:r>
          </w:p>
          <w:p w14:paraId="19CCEFB0" w14:textId="77777777" w:rsidR="00B90026" w:rsidRPr="007E130D" w:rsidRDefault="00B90026" w:rsidP="00D053E2">
            <w:pPr>
              <w:pStyle w:val="Tabletext"/>
              <w:jc w:val="center"/>
              <w:rPr>
                <w:rFonts w:eastAsia="Calibri"/>
              </w:rPr>
            </w:pPr>
            <w:r w:rsidRPr="007E130D">
              <w:rPr>
                <w:rFonts w:eastAsia="Calibri"/>
              </w:rPr>
              <w:t>(IFIC 2991 du 07.03.2023)</w:t>
            </w:r>
          </w:p>
        </w:tc>
      </w:tr>
    </w:tbl>
    <w:p w14:paraId="27D99B62" w14:textId="24216222" w:rsidR="00B90026" w:rsidRPr="007E130D" w:rsidRDefault="00C72222" w:rsidP="00E05DC8">
      <w:pPr>
        <w:spacing w:before="240" w:after="240"/>
      </w:pPr>
      <w:r w:rsidRPr="007E130D">
        <w:t>En outre, l'</w:t>
      </w:r>
      <w:r w:rsidR="00E05DC8" w:rsidRPr="007E130D">
        <w:t>A</w:t>
      </w:r>
      <w:r w:rsidRPr="007E130D">
        <w:t xml:space="preserve">dministration du Monténégro a achevé avec succès la procédure relevant de l'Article </w:t>
      </w:r>
      <w:r w:rsidRPr="007E130D">
        <w:rPr>
          <w:b/>
          <w:bCs/>
        </w:rPr>
        <w:t>6</w:t>
      </w:r>
      <w:r w:rsidRPr="007E130D">
        <w:t xml:space="preserve"> de l'Appendice </w:t>
      </w:r>
      <w:r w:rsidRPr="007E130D">
        <w:rPr>
          <w:b/>
          <w:bCs/>
        </w:rPr>
        <w:t>30B</w:t>
      </w:r>
      <w:r w:rsidRPr="007E130D">
        <w:t xml:space="preserve"> en tant que nouvel </w:t>
      </w:r>
      <w:r w:rsidR="00D053E2" w:rsidRPr="007E130D">
        <w:t>É</w:t>
      </w:r>
      <w:r w:rsidRPr="007E130D">
        <w:t xml:space="preserve">tat Membre qui n'a pas d'allotissement national dans le Plan ou d'assignations dans la Liste résultant de la conversion d'un allotissement. Les assignations de ce réseau ont été inscrites dans la Liste de l'Appendice </w:t>
      </w:r>
      <w:r w:rsidRPr="007E130D">
        <w:rPr>
          <w:b/>
          <w:bCs/>
        </w:rPr>
        <w:t>30B</w:t>
      </w:r>
      <w:r w:rsidRPr="007E130D">
        <w:t>.</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3118"/>
        <w:gridCol w:w="4536"/>
      </w:tblGrid>
      <w:tr w:rsidR="00B90026" w:rsidRPr="007E130D" w14:paraId="385DD6EF" w14:textId="77777777" w:rsidTr="00B90026">
        <w:trPr>
          <w:tblHeader/>
          <w:jc w:val="center"/>
        </w:trPr>
        <w:tc>
          <w:tcPr>
            <w:tcW w:w="1403" w:type="dxa"/>
            <w:shd w:val="clear" w:color="auto" w:fill="auto"/>
            <w:tcMar>
              <w:top w:w="0" w:type="dxa"/>
              <w:left w:w="108" w:type="dxa"/>
              <w:bottom w:w="0" w:type="dxa"/>
              <w:right w:w="108" w:type="dxa"/>
            </w:tcMar>
            <w:hideMark/>
          </w:tcPr>
          <w:p w14:paraId="622ACF4C" w14:textId="6A1D1F44" w:rsidR="00B90026" w:rsidRPr="007E130D" w:rsidRDefault="007040D8" w:rsidP="00B20AC9">
            <w:pPr>
              <w:pStyle w:val="Tablehead"/>
              <w:rPr>
                <w:b w:val="0"/>
                <w:bCs/>
                <w:lang w:eastAsia="it-IT"/>
              </w:rPr>
            </w:pPr>
            <w:r w:rsidRPr="007E130D">
              <w:rPr>
                <w:bCs/>
                <w:lang w:eastAsia="it-IT"/>
              </w:rPr>
              <w:t>ADM notificatrice</w:t>
            </w:r>
          </w:p>
        </w:tc>
        <w:tc>
          <w:tcPr>
            <w:tcW w:w="3118" w:type="dxa"/>
            <w:shd w:val="clear" w:color="auto" w:fill="auto"/>
            <w:tcMar>
              <w:top w:w="0" w:type="dxa"/>
              <w:left w:w="108" w:type="dxa"/>
              <w:bottom w:w="0" w:type="dxa"/>
              <w:right w:w="108" w:type="dxa"/>
            </w:tcMar>
            <w:hideMark/>
          </w:tcPr>
          <w:p w14:paraId="1F5F8881" w14:textId="7A2B4C5A" w:rsidR="00B90026" w:rsidRPr="007E130D" w:rsidRDefault="007040D8" w:rsidP="00B20AC9">
            <w:pPr>
              <w:pStyle w:val="Tablehead"/>
              <w:rPr>
                <w:b w:val="0"/>
                <w:bCs/>
                <w:lang w:eastAsia="it-IT"/>
              </w:rPr>
            </w:pPr>
            <w:r w:rsidRPr="007E130D">
              <w:rPr>
                <w:bCs/>
                <w:lang w:eastAsia="it-IT"/>
              </w:rPr>
              <w:t>Nom du réseau</w:t>
            </w:r>
          </w:p>
          <w:p w14:paraId="2F0473F0" w14:textId="68CC216D" w:rsidR="00B90026" w:rsidRPr="007E130D" w:rsidRDefault="00B90026" w:rsidP="00B20AC9">
            <w:pPr>
              <w:pStyle w:val="Tablehead"/>
              <w:rPr>
                <w:b w:val="0"/>
                <w:bCs/>
                <w:lang w:eastAsia="it-IT"/>
              </w:rPr>
            </w:pPr>
            <w:r w:rsidRPr="007E130D">
              <w:rPr>
                <w:bCs/>
                <w:lang w:eastAsia="it-IT"/>
              </w:rPr>
              <w:t>(</w:t>
            </w:r>
            <w:r w:rsidR="007040D8" w:rsidRPr="007E130D">
              <w:rPr>
                <w:bCs/>
                <w:lang w:eastAsia="it-IT"/>
              </w:rPr>
              <w:t>Position orbitale)</w:t>
            </w:r>
          </w:p>
        </w:tc>
        <w:tc>
          <w:tcPr>
            <w:tcW w:w="4536" w:type="dxa"/>
            <w:shd w:val="clear" w:color="auto" w:fill="auto"/>
          </w:tcPr>
          <w:p w14:paraId="58E08512" w14:textId="77777777" w:rsidR="00B90026" w:rsidRPr="007E130D" w:rsidRDefault="00B90026" w:rsidP="00B20AC9">
            <w:pPr>
              <w:pStyle w:val="Tablehead"/>
              <w:rPr>
                <w:b w:val="0"/>
                <w:bCs/>
                <w:lang w:eastAsia="it-IT"/>
              </w:rPr>
            </w:pPr>
            <w:r w:rsidRPr="007E130D">
              <w:rPr>
                <w:bCs/>
                <w:lang w:eastAsia="it-IT"/>
              </w:rPr>
              <w:t>Sections</w:t>
            </w:r>
            <w:r w:rsidR="007040D8" w:rsidRPr="007E130D">
              <w:rPr>
                <w:bCs/>
                <w:lang w:eastAsia="it-IT"/>
              </w:rPr>
              <w:t xml:space="preserve"> spéciales</w:t>
            </w:r>
          </w:p>
        </w:tc>
      </w:tr>
      <w:tr w:rsidR="00B90026" w:rsidRPr="007E130D" w14:paraId="239FCF29" w14:textId="77777777" w:rsidTr="00B90026">
        <w:trPr>
          <w:jc w:val="center"/>
        </w:trPr>
        <w:tc>
          <w:tcPr>
            <w:tcW w:w="1403" w:type="dxa"/>
            <w:tcMar>
              <w:top w:w="0" w:type="dxa"/>
              <w:left w:w="108" w:type="dxa"/>
              <w:bottom w:w="0" w:type="dxa"/>
              <w:right w:w="108" w:type="dxa"/>
            </w:tcMar>
            <w:vAlign w:val="center"/>
            <w:hideMark/>
          </w:tcPr>
          <w:p w14:paraId="030B6F09" w14:textId="77777777" w:rsidR="00B90026" w:rsidRPr="007E130D" w:rsidRDefault="00B90026" w:rsidP="00B20AC9">
            <w:pPr>
              <w:pStyle w:val="Tabletext"/>
              <w:jc w:val="center"/>
              <w:rPr>
                <w:rFonts w:eastAsia="Calibri"/>
              </w:rPr>
            </w:pPr>
            <w:r w:rsidRPr="007E130D">
              <w:rPr>
                <w:rFonts w:eastAsia="Calibri"/>
              </w:rPr>
              <w:t>MNE</w:t>
            </w:r>
          </w:p>
        </w:tc>
        <w:tc>
          <w:tcPr>
            <w:tcW w:w="3118" w:type="dxa"/>
            <w:tcMar>
              <w:top w:w="0" w:type="dxa"/>
              <w:left w:w="108" w:type="dxa"/>
              <w:bottom w:w="0" w:type="dxa"/>
              <w:right w:w="108" w:type="dxa"/>
            </w:tcMar>
            <w:vAlign w:val="center"/>
            <w:hideMark/>
          </w:tcPr>
          <w:p w14:paraId="68AF686F" w14:textId="77777777" w:rsidR="00B90026" w:rsidRPr="007E130D" w:rsidRDefault="00B90026" w:rsidP="00B20AC9">
            <w:pPr>
              <w:pStyle w:val="Tabletext"/>
              <w:jc w:val="center"/>
              <w:rPr>
                <w:rFonts w:eastAsia="Calibri"/>
              </w:rPr>
            </w:pPr>
            <w:r w:rsidRPr="007E130D">
              <w:rPr>
                <w:rFonts w:eastAsia="Calibri"/>
              </w:rPr>
              <w:t>MNE00000 (36,6° W)</w:t>
            </w:r>
          </w:p>
        </w:tc>
        <w:tc>
          <w:tcPr>
            <w:tcW w:w="4536" w:type="dxa"/>
            <w:vAlign w:val="center"/>
            <w:hideMark/>
          </w:tcPr>
          <w:p w14:paraId="2C466510" w14:textId="77777777" w:rsidR="00B90026" w:rsidRPr="007E130D" w:rsidRDefault="00B90026" w:rsidP="00B20AC9">
            <w:pPr>
              <w:pStyle w:val="Tabletext"/>
              <w:jc w:val="center"/>
              <w:rPr>
                <w:rFonts w:eastAsia="Calibri"/>
              </w:rPr>
            </w:pPr>
            <w:r w:rsidRPr="007E130D">
              <w:rPr>
                <w:rFonts w:eastAsia="Calibri"/>
              </w:rPr>
              <w:t>AP30B/A6B/167 (IFIC 2962 du 11.01.2022)</w:t>
            </w:r>
          </w:p>
        </w:tc>
      </w:tr>
    </w:tbl>
    <w:p w14:paraId="44DB2226" w14:textId="3757FC0D" w:rsidR="00B90026" w:rsidRPr="007E130D" w:rsidRDefault="00BA4460" w:rsidP="00E05DC8">
      <w:pPr>
        <w:spacing w:before="240"/>
      </w:pPr>
      <w:r w:rsidRPr="007E130D">
        <w:t xml:space="preserve">Ainsi, cette </w:t>
      </w:r>
      <w:r w:rsidR="00E05DC8" w:rsidRPr="007E130D">
        <w:t>A</w:t>
      </w:r>
      <w:r w:rsidRPr="007E130D">
        <w:t>dministration peut souhaiter demander l'accord de la Conférence pour l'inclusion dans le Plan d'un nouvel allotissement sur son territoire national en vertu du § 6.35 de l'</w:t>
      </w:r>
      <w:r w:rsidR="000960FB" w:rsidRPr="007E130D">
        <w:t>A</w:t>
      </w:r>
      <w:r w:rsidRPr="007E130D">
        <w:t xml:space="preserve">rticle </w:t>
      </w:r>
      <w:r w:rsidRPr="007E130D">
        <w:rPr>
          <w:b/>
          <w:bCs/>
        </w:rPr>
        <w:t>6</w:t>
      </w:r>
      <w:r w:rsidRPr="007E130D">
        <w:t xml:space="preserve"> de l'Appendice </w:t>
      </w:r>
      <w:r w:rsidRPr="007E130D">
        <w:rPr>
          <w:b/>
          <w:bCs/>
        </w:rPr>
        <w:t>30B</w:t>
      </w:r>
      <w:r w:rsidRPr="007E130D">
        <w:t>.</w:t>
      </w:r>
    </w:p>
    <w:p w14:paraId="25B9E5DF" w14:textId="77777777" w:rsidR="00B90026" w:rsidRPr="007E130D" w:rsidRDefault="00B90026" w:rsidP="00E05DC8">
      <w:pPr>
        <w:pStyle w:val="Heading4"/>
      </w:pPr>
      <w:r w:rsidRPr="007E130D">
        <w:lastRenderedPageBreak/>
        <w:t>2.3.2.4</w:t>
      </w:r>
      <w:r w:rsidRPr="007E130D">
        <w:tab/>
        <w:t>Résolution 170 (CMR</w:t>
      </w:r>
      <w:r w:rsidRPr="007E130D">
        <w:noBreakHyphen/>
        <w:t>19)</w:t>
      </w:r>
    </w:p>
    <w:p w14:paraId="67B45C39" w14:textId="77777777" w:rsidR="00B90026" w:rsidRPr="007E130D" w:rsidRDefault="00BA4460" w:rsidP="00E05DC8">
      <w:pPr>
        <w:keepNext/>
        <w:keepLines/>
      </w:pPr>
      <w:r w:rsidRPr="007E130D">
        <w:t xml:space="preserve">Plusieurs ateliers ont été organisés par des administrations demandant de l'aide pour l'application de la Résolution </w:t>
      </w:r>
      <w:r w:rsidRPr="007E130D">
        <w:rPr>
          <w:b/>
          <w:bCs/>
        </w:rPr>
        <w:t>170 (CMR-19)</w:t>
      </w:r>
      <w:r w:rsidRPr="007E130D">
        <w:t xml:space="preserve"> entre autres sujets. Le Bureau a fourni toute l'assistance et les éclaircissements demandés. Jusqu'à la date du rapport, aucune demande n'a été reçue au titre de cette résolution</w:t>
      </w:r>
      <w:r w:rsidR="00B90026" w:rsidRPr="007E130D">
        <w:t>.</w:t>
      </w:r>
    </w:p>
    <w:p w14:paraId="0D42EA1A" w14:textId="77777777" w:rsidR="00A82EF2" w:rsidRPr="007E130D" w:rsidRDefault="00A82EF2" w:rsidP="00B20AC9">
      <w:pPr>
        <w:pStyle w:val="Heading4"/>
        <w:rPr>
          <w:rFonts w:asciiTheme="majorBidi" w:hAnsiTheme="majorBidi" w:cstheme="majorBidi"/>
          <w:szCs w:val="24"/>
        </w:rPr>
      </w:pPr>
      <w:r w:rsidRPr="007E130D">
        <w:rPr>
          <w:rFonts w:asciiTheme="majorBidi" w:hAnsiTheme="majorBidi" w:cstheme="majorBidi"/>
          <w:szCs w:val="24"/>
        </w:rPr>
        <w:t>2.3.2.5</w:t>
      </w:r>
      <w:r w:rsidRPr="007E130D">
        <w:rPr>
          <w:rFonts w:asciiTheme="majorBidi" w:hAnsiTheme="majorBidi" w:cstheme="majorBidi"/>
          <w:szCs w:val="24"/>
        </w:rPr>
        <w:tab/>
      </w:r>
      <w:r w:rsidRPr="007E130D">
        <w:t>Situation de référence des allotissements de l'Appendice 30B</w:t>
      </w:r>
    </w:p>
    <w:p w14:paraId="5B1B906E" w14:textId="40577F61" w:rsidR="00A82EF2" w:rsidRPr="007E130D" w:rsidRDefault="00A82EF2" w:rsidP="00B20AC9">
      <w:pPr>
        <w:rPr>
          <w:rFonts w:eastAsia="SimSun"/>
        </w:rPr>
      </w:pPr>
      <w:r w:rsidRPr="007E130D">
        <w:t xml:space="preserve">Les valeurs actuelles de la situation de référence pour tous les </w:t>
      </w:r>
      <w:r w:rsidRPr="007E130D">
        <w:rPr>
          <w:color w:val="000000"/>
        </w:rPr>
        <w:t xml:space="preserve">allotissements </w:t>
      </w:r>
      <w:r w:rsidRPr="007E130D">
        <w:t>figurant dans</w:t>
      </w:r>
      <w:r w:rsidRPr="007E130D">
        <w:rPr>
          <w:color w:val="000000"/>
        </w:rPr>
        <w:t xml:space="preserve"> le Plan du SFS </w:t>
      </w:r>
      <w:r w:rsidRPr="007E130D">
        <w:t>sont données à l'adresse</w:t>
      </w:r>
      <w:r w:rsidR="00D053E2" w:rsidRPr="007E130D">
        <w:t xml:space="preserve">: </w:t>
      </w:r>
      <w:hyperlink r:id="rId45" w:history="1">
        <w:r w:rsidR="00D053E2" w:rsidRPr="007E130D">
          <w:rPr>
            <w:rStyle w:val="Hyperlink"/>
          </w:rPr>
          <w:t>http://www.itu.int/en/ITU-R/space/plans/Pages/AP30B.aspx</w:t>
        </w:r>
      </w:hyperlink>
      <w:r w:rsidRPr="007E130D">
        <w:t>.</w:t>
      </w:r>
    </w:p>
    <w:p w14:paraId="4B80B383" w14:textId="77BE73A4" w:rsidR="00B90026" w:rsidRPr="007E130D" w:rsidRDefault="00B90026" w:rsidP="00B20AC9">
      <w:pPr>
        <w:pStyle w:val="Heading2"/>
      </w:pPr>
      <w:bookmarkStart w:id="72" w:name="_Toc143072399"/>
      <w:bookmarkStart w:id="73" w:name="_Toc147328781"/>
      <w:bookmarkStart w:id="74" w:name="_Toc426463207"/>
      <w:bookmarkStart w:id="75" w:name="_Toc19880025"/>
      <w:r w:rsidRPr="007E130D">
        <w:t>2.4</w:t>
      </w:r>
      <w:r w:rsidRPr="007E130D">
        <w:tab/>
      </w:r>
      <w:r w:rsidR="007279E1" w:rsidRPr="007E130D">
        <w:t>Autres résolutions applicables aux services planifiés et non planifiés</w:t>
      </w:r>
      <w:bookmarkEnd w:id="72"/>
      <w:bookmarkEnd w:id="73"/>
    </w:p>
    <w:p w14:paraId="2373837B" w14:textId="77777777" w:rsidR="00B90026" w:rsidRPr="007E130D" w:rsidRDefault="00B90026" w:rsidP="00B20AC9">
      <w:pPr>
        <w:pStyle w:val="Heading3"/>
      </w:pPr>
      <w:bookmarkStart w:id="76" w:name="_Toc143072400"/>
      <w:bookmarkStart w:id="77" w:name="_Toc147328782"/>
      <w:r w:rsidRPr="007E130D">
        <w:t>2.4.1</w:t>
      </w:r>
      <w:r w:rsidRPr="007E130D">
        <w:tab/>
        <w:t>Résolution 40 (</w:t>
      </w:r>
      <w:bookmarkStart w:id="78" w:name="_Hlk138234894"/>
      <w:r w:rsidRPr="007E130D">
        <w:t>Rév.CMR-19</w:t>
      </w:r>
      <w:bookmarkEnd w:id="78"/>
      <w:r w:rsidRPr="007E130D">
        <w:t>)</w:t>
      </w:r>
      <w:bookmarkEnd w:id="76"/>
      <w:bookmarkEnd w:id="77"/>
    </w:p>
    <w:p w14:paraId="2187C5D3" w14:textId="77777777" w:rsidR="00B90026" w:rsidRPr="007E130D" w:rsidRDefault="007279E1" w:rsidP="00B20AC9">
      <w:r w:rsidRPr="007E130D">
        <w:t xml:space="preserve">La Résolution </w:t>
      </w:r>
      <w:r w:rsidRPr="007E130D">
        <w:rPr>
          <w:b/>
          <w:bCs/>
        </w:rPr>
        <w:t>40 (Rév.CMR-19)</w:t>
      </w:r>
      <w:r w:rsidRPr="007E130D">
        <w:t xml:space="preserve"> relative à l'utilisation d'une station spatiale pour mettre en service à bref délai des assignations de fréquence à des réseaux géostationnaires par satellite situés sur des orbites différentes </w:t>
      </w:r>
      <w:r w:rsidRPr="007E130D">
        <w:rPr>
          <w:i/>
        </w:rPr>
        <w:t>charge</w:t>
      </w:r>
      <w:r w:rsidRPr="007E130D">
        <w:t xml:space="preserve"> le Bureau des radiocommunications de mettre à disposition sur le site web de l'UIT, dans un délai de 30 jours à compter de leur réception, les informations fournies aux points 1 et 2 du </w:t>
      </w:r>
      <w:r w:rsidRPr="007E130D">
        <w:rPr>
          <w:i/>
        </w:rPr>
        <w:t>décide</w:t>
      </w:r>
      <w:r w:rsidR="00B90026" w:rsidRPr="007E130D">
        <w:t>.</w:t>
      </w:r>
    </w:p>
    <w:p w14:paraId="70BCF5B5" w14:textId="58C2DC67" w:rsidR="00B90026" w:rsidRPr="007E130D" w:rsidRDefault="007279E1" w:rsidP="00B20AC9">
      <w:r w:rsidRPr="007E130D">
        <w:t>Au cours de la période allant du 27 novembre 2015 au 30 avril 2023, le Bureau a reçu</w:t>
      </w:r>
      <w:r w:rsidR="00D053E2" w:rsidRPr="007E130D">
        <w:t> </w:t>
      </w:r>
      <w:r w:rsidRPr="007E130D">
        <w:t>833</w:t>
      </w:r>
      <w:r w:rsidR="00D053E2" w:rsidRPr="007E130D">
        <w:t> </w:t>
      </w:r>
      <w:r w:rsidRPr="007E130D">
        <w:t xml:space="preserve">soumissions en vertu des dispositions de la </w:t>
      </w:r>
      <w:r w:rsidR="00B90026" w:rsidRPr="007E130D">
        <w:t xml:space="preserve">Résolution </w:t>
      </w:r>
      <w:r w:rsidR="00B90026" w:rsidRPr="007E130D">
        <w:rPr>
          <w:b/>
          <w:bCs/>
        </w:rPr>
        <w:t>40 (Rév.CMR-19)</w:t>
      </w:r>
      <w:r w:rsidR="00B90026" w:rsidRPr="007E130D">
        <w:t>. Parmi ces soumissions, 599 (71,91%) indiquaient que la mise en service (ou la reprise de l'utilisation) des assignations de fréquence avait été effectuée sans qu'un satellite utilisé au cours des trois années précédentes pour la mise en service (ou la reprise de l'utilisation) des assignations de fréquence ait été repositionné à une autre position orbitale, et 234 (28,09%) indiquaient que les assignations de fréquence avaient été mises en service (ou que leur utilisation avait repris)</w:t>
      </w:r>
      <w:r w:rsidR="00B90026" w:rsidRPr="007E130D" w:rsidDel="009A4B7E">
        <w:t xml:space="preserve"> </w:t>
      </w:r>
      <w:r w:rsidR="00B90026" w:rsidRPr="007E130D">
        <w:t>après le repositionnement d'un satellite géostationnaire d'une position orbitale où ce satellite avait été utilisé pour la mise en service (ou la reprise de l'utilisation) des assignations de fréquence à une position dans un autre réseau à satellite au cours des trois années précédentes.</w:t>
      </w:r>
    </w:p>
    <w:p w14:paraId="1C2B1A97" w14:textId="0EF5778B" w:rsidR="00B90026" w:rsidRPr="007E130D" w:rsidRDefault="00B90026" w:rsidP="002164D4">
      <w:pPr>
        <w:spacing w:after="240"/>
      </w:pPr>
      <w:r w:rsidRPr="007E130D">
        <w:t xml:space="preserve">Le tableau ci-après indique le nombre de soumissions au titre de la Résolution </w:t>
      </w:r>
      <w:r w:rsidRPr="007E130D">
        <w:rPr>
          <w:b/>
        </w:rPr>
        <w:t xml:space="preserve">40 (Rév.CMR-19) </w:t>
      </w:r>
      <w:r w:rsidRPr="007E130D">
        <w:t xml:space="preserve">par rapport au nombre de positions orbitales auxquelles un satellite mentionné dans une soumission au titre de la Résolution </w:t>
      </w:r>
      <w:r w:rsidRPr="007E130D">
        <w:rPr>
          <w:b/>
        </w:rPr>
        <w:t>40</w:t>
      </w:r>
      <w:r w:rsidRPr="007E130D">
        <w:rPr>
          <w:bCs/>
        </w:rPr>
        <w:t xml:space="preserve"> </w:t>
      </w:r>
      <w:r w:rsidRPr="007E130D">
        <w:t>a été utilisé auparavant.</w:t>
      </w:r>
    </w:p>
    <w:tbl>
      <w:tblPr>
        <w:tblStyle w:val="GridTable4-Accent1"/>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552"/>
        <w:gridCol w:w="1417"/>
      </w:tblGrid>
      <w:tr w:rsidR="00B90026" w:rsidRPr="007E130D" w14:paraId="5E1DE7C2" w14:textId="77777777" w:rsidTr="00100103">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tcPr>
          <w:p w14:paraId="3CA7D3D2" w14:textId="77777777" w:rsidR="00B90026" w:rsidRPr="007E130D" w:rsidRDefault="00B90026" w:rsidP="00C73ADB">
            <w:pPr>
              <w:pStyle w:val="Tablehead"/>
              <w:keepNext w:val="0"/>
              <w:spacing w:before="40" w:after="40"/>
              <w:rPr>
                <w:rStyle w:val="Tablefreq"/>
                <w:bCs w:val="0"/>
              </w:rPr>
            </w:pPr>
            <w:r w:rsidRPr="007E130D">
              <w:rPr>
                <w:rStyle w:val="Tablefreq"/>
                <w:bCs w:val="0"/>
              </w:rPr>
              <w:t>Nombre de positions auxquelles le satellite a été utilisé auparavant</w:t>
            </w:r>
          </w:p>
        </w:tc>
        <w:tc>
          <w:tcPr>
            <w:tcW w:w="2552" w:type="dxa"/>
            <w:shd w:val="clear" w:color="auto" w:fill="auto"/>
            <w:noWrap/>
          </w:tcPr>
          <w:p w14:paraId="0D75E547" w14:textId="7AA1E133" w:rsidR="00B90026" w:rsidRPr="007E130D" w:rsidRDefault="00B90026" w:rsidP="00C73ADB">
            <w:pPr>
              <w:pStyle w:val="Tablehead"/>
              <w:keepNext w:val="0"/>
              <w:spacing w:before="40" w:after="40"/>
              <w:cnfStyle w:val="100000000000" w:firstRow="1" w:lastRow="0" w:firstColumn="0" w:lastColumn="0" w:oddVBand="0" w:evenVBand="0" w:oddHBand="0" w:evenHBand="0" w:firstRowFirstColumn="0" w:firstRowLastColumn="0" w:lastRowFirstColumn="0" w:lastRowLastColumn="0"/>
              <w:rPr>
                <w:rStyle w:val="Tablefreq"/>
                <w:bCs w:val="0"/>
              </w:rPr>
            </w:pPr>
            <w:r w:rsidRPr="007E130D">
              <w:rPr>
                <w:rStyle w:val="Tablefreq"/>
                <w:bCs w:val="0"/>
              </w:rPr>
              <w:t>Nombre de soumissions au titre de la Rés</w:t>
            </w:r>
            <w:r w:rsidR="00D053E2" w:rsidRPr="007E130D">
              <w:rPr>
                <w:rStyle w:val="Tablefreq"/>
                <w:bCs w:val="0"/>
              </w:rPr>
              <w:t>olution </w:t>
            </w:r>
            <w:r w:rsidRPr="007E130D">
              <w:rPr>
                <w:rStyle w:val="Tablefreq"/>
                <w:bCs w:val="0"/>
              </w:rPr>
              <w:t>40</w:t>
            </w:r>
          </w:p>
        </w:tc>
        <w:tc>
          <w:tcPr>
            <w:tcW w:w="1417" w:type="dxa"/>
            <w:shd w:val="clear" w:color="auto" w:fill="auto"/>
            <w:noWrap/>
          </w:tcPr>
          <w:p w14:paraId="7EE97AEE" w14:textId="77777777" w:rsidR="00B90026" w:rsidRPr="007E130D" w:rsidRDefault="00B90026" w:rsidP="00C73ADB">
            <w:pPr>
              <w:pStyle w:val="Tablehead"/>
              <w:keepNext w:val="0"/>
              <w:spacing w:before="40" w:after="40"/>
              <w:cnfStyle w:val="100000000000" w:firstRow="1" w:lastRow="0" w:firstColumn="0" w:lastColumn="0" w:oddVBand="0" w:evenVBand="0" w:oddHBand="0" w:evenHBand="0" w:firstRowFirstColumn="0" w:firstRowLastColumn="0" w:lastRowFirstColumn="0" w:lastRowLastColumn="0"/>
              <w:rPr>
                <w:rStyle w:val="Tablefreq"/>
                <w:bCs w:val="0"/>
              </w:rPr>
            </w:pPr>
            <w:r w:rsidRPr="007E130D">
              <w:rPr>
                <w:rStyle w:val="Tablefreq"/>
                <w:bCs w:val="0"/>
              </w:rPr>
              <w:t>Pourcentage</w:t>
            </w:r>
          </w:p>
        </w:tc>
      </w:tr>
      <w:tr w:rsidR="00B90026" w:rsidRPr="007E130D" w14:paraId="286D438A" w14:textId="77777777" w:rsidTr="0010010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3C50DB83" w14:textId="77777777" w:rsidR="00B90026" w:rsidRPr="007E130D" w:rsidRDefault="00B90026" w:rsidP="00C73ADB">
            <w:pPr>
              <w:pStyle w:val="Tabletext"/>
              <w:spacing w:before="20" w:after="20"/>
              <w:jc w:val="center"/>
            </w:pPr>
            <w:r w:rsidRPr="007E130D">
              <w:t>0</w:t>
            </w:r>
          </w:p>
        </w:tc>
        <w:tc>
          <w:tcPr>
            <w:tcW w:w="2552" w:type="dxa"/>
            <w:shd w:val="clear" w:color="auto" w:fill="auto"/>
            <w:noWrap/>
            <w:vAlign w:val="center"/>
          </w:tcPr>
          <w:p w14:paraId="050208DC"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599</w:t>
            </w:r>
          </w:p>
        </w:tc>
        <w:tc>
          <w:tcPr>
            <w:tcW w:w="1417" w:type="dxa"/>
            <w:shd w:val="clear" w:color="auto" w:fill="auto"/>
            <w:noWrap/>
            <w:vAlign w:val="center"/>
          </w:tcPr>
          <w:p w14:paraId="3A1A9259"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71,91%</w:t>
            </w:r>
          </w:p>
        </w:tc>
      </w:tr>
      <w:tr w:rsidR="00B90026" w:rsidRPr="007E130D" w14:paraId="4BF1C0BF" w14:textId="77777777" w:rsidTr="00100103">
        <w:trPr>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02C4CB7F" w14:textId="77777777" w:rsidR="00B90026" w:rsidRPr="007E130D" w:rsidRDefault="00B90026" w:rsidP="00C73ADB">
            <w:pPr>
              <w:pStyle w:val="Tabletext"/>
              <w:spacing w:before="20" w:after="20"/>
              <w:jc w:val="center"/>
            </w:pPr>
            <w:r w:rsidRPr="007E130D">
              <w:t>1</w:t>
            </w:r>
          </w:p>
        </w:tc>
        <w:tc>
          <w:tcPr>
            <w:tcW w:w="2552" w:type="dxa"/>
            <w:shd w:val="clear" w:color="auto" w:fill="auto"/>
            <w:noWrap/>
            <w:vAlign w:val="center"/>
          </w:tcPr>
          <w:p w14:paraId="52BF69C1"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120</w:t>
            </w:r>
          </w:p>
        </w:tc>
        <w:tc>
          <w:tcPr>
            <w:tcW w:w="1417" w:type="dxa"/>
            <w:shd w:val="clear" w:color="auto" w:fill="auto"/>
            <w:noWrap/>
            <w:vAlign w:val="center"/>
          </w:tcPr>
          <w:p w14:paraId="1448E7D0"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14,41%</w:t>
            </w:r>
          </w:p>
        </w:tc>
      </w:tr>
      <w:tr w:rsidR="00B90026" w:rsidRPr="007E130D" w14:paraId="695BF51B" w14:textId="77777777" w:rsidTr="0010010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147C4358" w14:textId="77777777" w:rsidR="00B90026" w:rsidRPr="007E130D" w:rsidRDefault="00B90026" w:rsidP="00C73ADB">
            <w:pPr>
              <w:pStyle w:val="Tabletext"/>
              <w:spacing w:before="20" w:after="20"/>
              <w:jc w:val="center"/>
            </w:pPr>
            <w:r w:rsidRPr="007E130D">
              <w:t>2</w:t>
            </w:r>
          </w:p>
        </w:tc>
        <w:tc>
          <w:tcPr>
            <w:tcW w:w="2552" w:type="dxa"/>
            <w:shd w:val="clear" w:color="auto" w:fill="auto"/>
            <w:noWrap/>
            <w:vAlign w:val="center"/>
          </w:tcPr>
          <w:p w14:paraId="7E304648"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42</w:t>
            </w:r>
          </w:p>
        </w:tc>
        <w:tc>
          <w:tcPr>
            <w:tcW w:w="1417" w:type="dxa"/>
            <w:shd w:val="clear" w:color="auto" w:fill="auto"/>
            <w:noWrap/>
            <w:vAlign w:val="center"/>
          </w:tcPr>
          <w:p w14:paraId="1D0524A8"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5,04%</w:t>
            </w:r>
          </w:p>
        </w:tc>
      </w:tr>
      <w:tr w:rsidR="00B90026" w:rsidRPr="007E130D" w14:paraId="5A0DF5C8" w14:textId="77777777" w:rsidTr="00100103">
        <w:trPr>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07D6EFDE" w14:textId="77777777" w:rsidR="00B90026" w:rsidRPr="007E130D" w:rsidRDefault="00B90026" w:rsidP="00C73ADB">
            <w:pPr>
              <w:pStyle w:val="Tabletext"/>
              <w:spacing w:before="20" w:after="20"/>
              <w:jc w:val="center"/>
            </w:pPr>
            <w:r w:rsidRPr="007E130D">
              <w:t>3</w:t>
            </w:r>
          </w:p>
        </w:tc>
        <w:tc>
          <w:tcPr>
            <w:tcW w:w="2552" w:type="dxa"/>
            <w:shd w:val="clear" w:color="auto" w:fill="auto"/>
            <w:noWrap/>
            <w:vAlign w:val="center"/>
          </w:tcPr>
          <w:p w14:paraId="5BBCD011"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26</w:t>
            </w:r>
          </w:p>
        </w:tc>
        <w:tc>
          <w:tcPr>
            <w:tcW w:w="1417" w:type="dxa"/>
            <w:shd w:val="clear" w:color="auto" w:fill="auto"/>
            <w:noWrap/>
            <w:vAlign w:val="center"/>
          </w:tcPr>
          <w:p w14:paraId="758713C2"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3,12%</w:t>
            </w:r>
          </w:p>
        </w:tc>
      </w:tr>
      <w:tr w:rsidR="00B90026" w:rsidRPr="007E130D" w14:paraId="4C92B8C4" w14:textId="77777777" w:rsidTr="0010010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649AE0AE" w14:textId="77777777" w:rsidR="00B90026" w:rsidRPr="007E130D" w:rsidRDefault="00B90026" w:rsidP="00C73ADB">
            <w:pPr>
              <w:pStyle w:val="Tabletext"/>
              <w:spacing w:before="20" w:after="20"/>
              <w:jc w:val="center"/>
            </w:pPr>
            <w:r w:rsidRPr="007E130D">
              <w:t>4</w:t>
            </w:r>
          </w:p>
        </w:tc>
        <w:tc>
          <w:tcPr>
            <w:tcW w:w="2552" w:type="dxa"/>
            <w:shd w:val="clear" w:color="auto" w:fill="auto"/>
            <w:noWrap/>
            <w:vAlign w:val="center"/>
          </w:tcPr>
          <w:p w14:paraId="24AA6A0D"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11</w:t>
            </w:r>
          </w:p>
        </w:tc>
        <w:tc>
          <w:tcPr>
            <w:tcW w:w="1417" w:type="dxa"/>
            <w:shd w:val="clear" w:color="auto" w:fill="auto"/>
            <w:noWrap/>
            <w:vAlign w:val="center"/>
          </w:tcPr>
          <w:p w14:paraId="38B32B59"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1,32%</w:t>
            </w:r>
          </w:p>
        </w:tc>
      </w:tr>
      <w:tr w:rsidR="00B90026" w:rsidRPr="007E130D" w14:paraId="132E9A5E" w14:textId="77777777" w:rsidTr="00100103">
        <w:trPr>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33C72353" w14:textId="77777777" w:rsidR="00B90026" w:rsidRPr="007E130D" w:rsidRDefault="00B90026" w:rsidP="00C73ADB">
            <w:pPr>
              <w:pStyle w:val="Tabletext"/>
              <w:spacing w:before="20" w:after="20"/>
              <w:jc w:val="center"/>
            </w:pPr>
            <w:r w:rsidRPr="007E130D">
              <w:t>5</w:t>
            </w:r>
          </w:p>
        </w:tc>
        <w:tc>
          <w:tcPr>
            <w:tcW w:w="2552" w:type="dxa"/>
            <w:shd w:val="clear" w:color="auto" w:fill="auto"/>
            <w:noWrap/>
            <w:vAlign w:val="center"/>
          </w:tcPr>
          <w:p w14:paraId="79A3051C"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9</w:t>
            </w:r>
          </w:p>
        </w:tc>
        <w:tc>
          <w:tcPr>
            <w:tcW w:w="1417" w:type="dxa"/>
            <w:shd w:val="clear" w:color="auto" w:fill="auto"/>
            <w:noWrap/>
            <w:vAlign w:val="center"/>
          </w:tcPr>
          <w:p w14:paraId="7E07FAD4"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1,08%</w:t>
            </w:r>
          </w:p>
        </w:tc>
      </w:tr>
      <w:tr w:rsidR="00B90026" w:rsidRPr="007E130D" w14:paraId="64E4F11D" w14:textId="77777777" w:rsidTr="0010010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7DE4CBA8" w14:textId="77777777" w:rsidR="00B90026" w:rsidRPr="007E130D" w:rsidRDefault="00B90026" w:rsidP="00C73ADB">
            <w:pPr>
              <w:pStyle w:val="Tabletext"/>
              <w:spacing w:before="20" w:after="20"/>
              <w:jc w:val="center"/>
            </w:pPr>
            <w:r w:rsidRPr="007E130D">
              <w:t>6</w:t>
            </w:r>
          </w:p>
        </w:tc>
        <w:tc>
          <w:tcPr>
            <w:tcW w:w="2552" w:type="dxa"/>
            <w:shd w:val="clear" w:color="auto" w:fill="auto"/>
            <w:noWrap/>
            <w:vAlign w:val="center"/>
          </w:tcPr>
          <w:p w14:paraId="4D65DF1F"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7</w:t>
            </w:r>
          </w:p>
        </w:tc>
        <w:tc>
          <w:tcPr>
            <w:tcW w:w="1417" w:type="dxa"/>
            <w:shd w:val="clear" w:color="auto" w:fill="auto"/>
            <w:noWrap/>
            <w:vAlign w:val="center"/>
          </w:tcPr>
          <w:p w14:paraId="582D8219"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0,84%</w:t>
            </w:r>
          </w:p>
        </w:tc>
      </w:tr>
      <w:tr w:rsidR="00B90026" w:rsidRPr="007E130D" w14:paraId="72B47F12" w14:textId="77777777" w:rsidTr="00100103">
        <w:trPr>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3E02E54A" w14:textId="77777777" w:rsidR="00B90026" w:rsidRPr="007E130D" w:rsidRDefault="00B90026" w:rsidP="00C73ADB">
            <w:pPr>
              <w:pStyle w:val="Tabletext"/>
              <w:spacing w:before="20" w:after="20"/>
              <w:jc w:val="center"/>
            </w:pPr>
            <w:r w:rsidRPr="007E130D">
              <w:t>7</w:t>
            </w:r>
          </w:p>
        </w:tc>
        <w:tc>
          <w:tcPr>
            <w:tcW w:w="2552" w:type="dxa"/>
            <w:shd w:val="clear" w:color="auto" w:fill="auto"/>
            <w:noWrap/>
            <w:vAlign w:val="center"/>
          </w:tcPr>
          <w:p w14:paraId="1023161C"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4</w:t>
            </w:r>
          </w:p>
        </w:tc>
        <w:tc>
          <w:tcPr>
            <w:tcW w:w="1417" w:type="dxa"/>
            <w:shd w:val="clear" w:color="auto" w:fill="auto"/>
            <w:noWrap/>
            <w:vAlign w:val="center"/>
          </w:tcPr>
          <w:p w14:paraId="2D13FBED"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0,48%</w:t>
            </w:r>
          </w:p>
        </w:tc>
      </w:tr>
      <w:tr w:rsidR="00B90026" w:rsidRPr="007E130D" w14:paraId="247AB544" w14:textId="77777777" w:rsidTr="0010010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117BDCCA" w14:textId="77777777" w:rsidR="00B90026" w:rsidRPr="007E130D" w:rsidRDefault="00B90026" w:rsidP="00C73ADB">
            <w:pPr>
              <w:pStyle w:val="Tabletext"/>
              <w:spacing w:before="20" w:after="20"/>
              <w:jc w:val="center"/>
            </w:pPr>
            <w:r w:rsidRPr="007E130D">
              <w:t>8</w:t>
            </w:r>
          </w:p>
        </w:tc>
        <w:tc>
          <w:tcPr>
            <w:tcW w:w="2552" w:type="dxa"/>
            <w:shd w:val="clear" w:color="auto" w:fill="auto"/>
            <w:noWrap/>
            <w:vAlign w:val="center"/>
          </w:tcPr>
          <w:p w14:paraId="57D1DF9D"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5</w:t>
            </w:r>
          </w:p>
        </w:tc>
        <w:tc>
          <w:tcPr>
            <w:tcW w:w="1417" w:type="dxa"/>
            <w:shd w:val="clear" w:color="auto" w:fill="auto"/>
            <w:noWrap/>
            <w:vAlign w:val="center"/>
          </w:tcPr>
          <w:p w14:paraId="297C66A6"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0,60%</w:t>
            </w:r>
          </w:p>
        </w:tc>
      </w:tr>
      <w:tr w:rsidR="00B90026" w:rsidRPr="007E130D" w14:paraId="57E496EB" w14:textId="77777777" w:rsidTr="00100103">
        <w:trPr>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1288A5B5" w14:textId="77777777" w:rsidR="00B90026" w:rsidRPr="007E130D" w:rsidRDefault="00B90026" w:rsidP="00C73ADB">
            <w:pPr>
              <w:pStyle w:val="Tabletext"/>
              <w:spacing w:before="20" w:after="20"/>
              <w:jc w:val="center"/>
            </w:pPr>
            <w:r w:rsidRPr="007E130D">
              <w:t>9</w:t>
            </w:r>
          </w:p>
        </w:tc>
        <w:tc>
          <w:tcPr>
            <w:tcW w:w="2552" w:type="dxa"/>
            <w:shd w:val="clear" w:color="auto" w:fill="auto"/>
            <w:noWrap/>
            <w:vAlign w:val="center"/>
          </w:tcPr>
          <w:p w14:paraId="1F49C67B"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3</w:t>
            </w:r>
          </w:p>
        </w:tc>
        <w:tc>
          <w:tcPr>
            <w:tcW w:w="1417" w:type="dxa"/>
            <w:shd w:val="clear" w:color="auto" w:fill="auto"/>
            <w:noWrap/>
            <w:vAlign w:val="center"/>
          </w:tcPr>
          <w:p w14:paraId="6C501939"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0,36%</w:t>
            </w:r>
          </w:p>
        </w:tc>
      </w:tr>
      <w:tr w:rsidR="00B90026" w:rsidRPr="007E130D" w14:paraId="0FDEB697" w14:textId="77777777" w:rsidTr="0010010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777E8EE8" w14:textId="77777777" w:rsidR="00B90026" w:rsidRPr="007E130D" w:rsidRDefault="00B90026" w:rsidP="00C73ADB">
            <w:pPr>
              <w:pStyle w:val="Tabletext"/>
              <w:spacing w:before="20" w:after="20"/>
              <w:jc w:val="center"/>
            </w:pPr>
            <w:r w:rsidRPr="007E130D">
              <w:t>10</w:t>
            </w:r>
          </w:p>
        </w:tc>
        <w:tc>
          <w:tcPr>
            <w:tcW w:w="2552" w:type="dxa"/>
            <w:shd w:val="clear" w:color="auto" w:fill="auto"/>
            <w:noWrap/>
            <w:vAlign w:val="center"/>
          </w:tcPr>
          <w:p w14:paraId="4D3D5CCE"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3</w:t>
            </w:r>
          </w:p>
        </w:tc>
        <w:tc>
          <w:tcPr>
            <w:tcW w:w="1417" w:type="dxa"/>
            <w:shd w:val="clear" w:color="auto" w:fill="auto"/>
            <w:noWrap/>
            <w:vAlign w:val="center"/>
          </w:tcPr>
          <w:p w14:paraId="461E34DC"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0,36%</w:t>
            </w:r>
          </w:p>
        </w:tc>
      </w:tr>
      <w:tr w:rsidR="00B90026" w:rsidRPr="007E130D" w14:paraId="5B1168F4" w14:textId="77777777" w:rsidTr="00100103">
        <w:trPr>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6E0F6A16" w14:textId="77777777" w:rsidR="00B90026" w:rsidRPr="007E130D" w:rsidRDefault="00B90026" w:rsidP="00C73ADB">
            <w:pPr>
              <w:pStyle w:val="Tabletext"/>
              <w:spacing w:before="20" w:after="20"/>
              <w:jc w:val="center"/>
            </w:pPr>
            <w:r w:rsidRPr="007E130D">
              <w:t>11</w:t>
            </w:r>
          </w:p>
        </w:tc>
        <w:tc>
          <w:tcPr>
            <w:tcW w:w="2552" w:type="dxa"/>
            <w:shd w:val="clear" w:color="auto" w:fill="auto"/>
            <w:noWrap/>
            <w:vAlign w:val="center"/>
          </w:tcPr>
          <w:p w14:paraId="6065C6C6"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2</w:t>
            </w:r>
          </w:p>
        </w:tc>
        <w:tc>
          <w:tcPr>
            <w:tcW w:w="1417" w:type="dxa"/>
            <w:shd w:val="clear" w:color="auto" w:fill="auto"/>
            <w:noWrap/>
            <w:vAlign w:val="center"/>
          </w:tcPr>
          <w:p w14:paraId="3B8792A4"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0,24%</w:t>
            </w:r>
          </w:p>
        </w:tc>
      </w:tr>
      <w:tr w:rsidR="00B90026" w:rsidRPr="007E130D" w14:paraId="2C407BD7" w14:textId="77777777" w:rsidTr="0010010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45F44E81" w14:textId="77777777" w:rsidR="00B90026" w:rsidRPr="007E130D" w:rsidRDefault="00B90026" w:rsidP="00C73ADB">
            <w:pPr>
              <w:pStyle w:val="Tabletext"/>
              <w:spacing w:before="20" w:after="20"/>
              <w:jc w:val="center"/>
            </w:pPr>
            <w:r w:rsidRPr="007E130D">
              <w:t>12</w:t>
            </w:r>
          </w:p>
        </w:tc>
        <w:tc>
          <w:tcPr>
            <w:tcW w:w="2552" w:type="dxa"/>
            <w:shd w:val="clear" w:color="auto" w:fill="auto"/>
            <w:noWrap/>
            <w:vAlign w:val="center"/>
          </w:tcPr>
          <w:p w14:paraId="487479FD"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1</w:t>
            </w:r>
          </w:p>
        </w:tc>
        <w:tc>
          <w:tcPr>
            <w:tcW w:w="1417" w:type="dxa"/>
            <w:shd w:val="clear" w:color="auto" w:fill="auto"/>
            <w:noWrap/>
            <w:vAlign w:val="center"/>
          </w:tcPr>
          <w:p w14:paraId="3778B18F" w14:textId="77777777" w:rsidR="00B90026" w:rsidRPr="007E130D" w:rsidRDefault="00B90026" w:rsidP="00C73ADB">
            <w:pPr>
              <w:pStyle w:val="Tabletext"/>
              <w:spacing w:before="20" w:after="20"/>
              <w:jc w:val="center"/>
              <w:cnfStyle w:val="000000100000" w:firstRow="0" w:lastRow="0" w:firstColumn="0" w:lastColumn="0" w:oddVBand="0" w:evenVBand="0" w:oddHBand="1" w:evenHBand="0" w:firstRowFirstColumn="0" w:firstRowLastColumn="0" w:lastRowFirstColumn="0" w:lastRowLastColumn="0"/>
            </w:pPr>
            <w:r w:rsidRPr="007E130D">
              <w:t>0,12%</w:t>
            </w:r>
          </w:p>
        </w:tc>
      </w:tr>
      <w:tr w:rsidR="00B90026" w:rsidRPr="007E130D" w14:paraId="0BF2E7BD" w14:textId="77777777" w:rsidTr="00100103">
        <w:trPr>
          <w:trHeight w:val="290"/>
          <w:jc w:val="center"/>
        </w:trPr>
        <w:tc>
          <w:tcPr>
            <w:cnfStyle w:val="001000000000" w:firstRow="0" w:lastRow="0" w:firstColumn="1" w:lastColumn="0" w:oddVBand="0" w:evenVBand="0" w:oddHBand="0" w:evenHBand="0" w:firstRowFirstColumn="0" w:firstRowLastColumn="0" w:lastRowFirstColumn="0" w:lastRowLastColumn="0"/>
            <w:tcW w:w="3260" w:type="dxa"/>
            <w:shd w:val="clear" w:color="auto" w:fill="auto"/>
            <w:noWrap/>
            <w:vAlign w:val="center"/>
          </w:tcPr>
          <w:p w14:paraId="40DBA61F" w14:textId="77777777" w:rsidR="00B90026" w:rsidRPr="007E130D" w:rsidRDefault="00B90026" w:rsidP="00C73ADB">
            <w:pPr>
              <w:pStyle w:val="Tabletext"/>
              <w:spacing w:before="20" w:after="20"/>
              <w:jc w:val="center"/>
            </w:pPr>
            <w:r w:rsidRPr="007E130D">
              <w:t>13</w:t>
            </w:r>
          </w:p>
        </w:tc>
        <w:tc>
          <w:tcPr>
            <w:tcW w:w="2552" w:type="dxa"/>
            <w:shd w:val="clear" w:color="auto" w:fill="auto"/>
            <w:noWrap/>
            <w:vAlign w:val="center"/>
          </w:tcPr>
          <w:p w14:paraId="4580C3E2"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1</w:t>
            </w:r>
          </w:p>
        </w:tc>
        <w:tc>
          <w:tcPr>
            <w:tcW w:w="1417" w:type="dxa"/>
            <w:shd w:val="clear" w:color="auto" w:fill="auto"/>
            <w:noWrap/>
            <w:vAlign w:val="center"/>
          </w:tcPr>
          <w:p w14:paraId="77E7A005" w14:textId="77777777" w:rsidR="00B90026" w:rsidRPr="007E130D" w:rsidRDefault="00B90026" w:rsidP="00C73ADB">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rsidRPr="007E130D">
              <w:t>0,12%</w:t>
            </w:r>
          </w:p>
        </w:tc>
      </w:tr>
    </w:tbl>
    <w:p w14:paraId="00B10452" w14:textId="77777777" w:rsidR="00826EBF" w:rsidRPr="007E130D" w:rsidRDefault="00826EBF" w:rsidP="00100103">
      <w:r w:rsidRPr="007E130D">
        <w:rPr>
          <w:b/>
          <w:bCs/>
        </w:rPr>
        <w:lastRenderedPageBreak/>
        <w:t>Quarante-six</w:t>
      </w:r>
      <w:r w:rsidRPr="007E130D">
        <w:t xml:space="preserve"> administrations ont soumis des renseignements au titre de la Résolution </w:t>
      </w:r>
      <w:r w:rsidRPr="007E130D">
        <w:rPr>
          <w:b/>
          <w:bCs/>
        </w:rPr>
        <w:t>40 (</w:t>
      </w:r>
      <w:r w:rsidR="005107AE" w:rsidRPr="007E130D">
        <w:rPr>
          <w:b/>
          <w:bCs/>
        </w:rPr>
        <w:t>Rév.</w:t>
      </w:r>
      <w:r w:rsidRPr="007E130D">
        <w:rPr>
          <w:b/>
          <w:bCs/>
        </w:rPr>
        <w:t>CMR-1</w:t>
      </w:r>
      <w:r w:rsidR="005107AE" w:rsidRPr="007E130D">
        <w:rPr>
          <w:b/>
          <w:bCs/>
        </w:rPr>
        <w:t>9</w:t>
      </w:r>
      <w:r w:rsidRPr="007E130D">
        <w:rPr>
          <w:b/>
          <w:bCs/>
        </w:rPr>
        <w:t>)</w:t>
      </w:r>
      <w:r w:rsidRPr="007E130D">
        <w:t xml:space="preserve"> et </w:t>
      </w:r>
      <w:r w:rsidRPr="007E130D">
        <w:rPr>
          <w:b/>
          <w:bCs/>
        </w:rPr>
        <w:t>33</w:t>
      </w:r>
      <w:r w:rsidRPr="007E130D">
        <w:t xml:space="preserve"> administrations ont indiqué au moins dans l'une de leurs soumissions que la mise en service a été effectuée avec une station spatiale qui a été utilisée précédemment pour mettre en service, ou remettre en service, des assignations de fréquence à une position orbitale différente au cours des trois ans précédant la date de soumission de ces renseignements.</w:t>
      </w:r>
    </w:p>
    <w:p w14:paraId="21FF7C48" w14:textId="42601BA8" w:rsidR="00826EBF" w:rsidRPr="007E130D" w:rsidRDefault="00826EBF" w:rsidP="00100103">
      <w:r w:rsidRPr="007E130D">
        <w:t xml:space="preserve">Il ressort des renseignements fournis dans les soumissions présentées au titre de la Résolution </w:t>
      </w:r>
      <w:r w:rsidRPr="007E130D">
        <w:rPr>
          <w:b/>
          <w:bCs/>
        </w:rPr>
        <w:t>40</w:t>
      </w:r>
      <w:r w:rsidRPr="007E130D">
        <w:t xml:space="preserve"> </w:t>
      </w:r>
      <w:r w:rsidRPr="007E130D">
        <w:rPr>
          <w:b/>
          <w:bCs/>
        </w:rPr>
        <w:t>(</w:t>
      </w:r>
      <w:r w:rsidR="006F0B21" w:rsidRPr="007E130D">
        <w:rPr>
          <w:b/>
          <w:bCs/>
        </w:rPr>
        <w:t>Rév.</w:t>
      </w:r>
      <w:r w:rsidRPr="007E130D">
        <w:rPr>
          <w:b/>
          <w:bCs/>
        </w:rPr>
        <w:t>CMR-1</w:t>
      </w:r>
      <w:r w:rsidR="006F0B21" w:rsidRPr="007E130D">
        <w:rPr>
          <w:b/>
          <w:bCs/>
        </w:rPr>
        <w:t>9</w:t>
      </w:r>
      <w:r w:rsidRPr="007E130D">
        <w:rPr>
          <w:b/>
          <w:bCs/>
        </w:rPr>
        <w:t>)</w:t>
      </w:r>
      <w:r w:rsidRPr="007E130D">
        <w:t xml:space="preserve"> que des satellites peuvent être utilisés pour mettre en service des assignations de fréquence sur plusieurs positions orbitales différentes. À titre d'exemple, un satellite a été utilisé pour mettre en service, ou remettre en service après une suspension, des assignations de fréquence à</w:t>
      </w:r>
      <w:r w:rsidR="00100103" w:rsidRPr="007E130D">
        <w:t> </w:t>
      </w:r>
      <w:r w:rsidR="006F0B21" w:rsidRPr="007E130D">
        <w:t>13</w:t>
      </w:r>
      <w:r w:rsidRPr="007E130D">
        <w:t xml:space="preserve"> positions orbitales différentes depuis le 27 novembre 2015.</w:t>
      </w:r>
    </w:p>
    <w:p w14:paraId="614F9C5D" w14:textId="5C47BB4E" w:rsidR="00B90026" w:rsidRPr="007E130D" w:rsidRDefault="00826EBF" w:rsidP="00100103">
      <w:r w:rsidRPr="007E130D">
        <w:t xml:space="preserve">Tous les renseignements relatifs aux soumissions reçues par le Bureau en vertu de la Résolution </w:t>
      </w:r>
      <w:r w:rsidRPr="007E130D">
        <w:rPr>
          <w:b/>
          <w:bCs/>
        </w:rPr>
        <w:t>40 (</w:t>
      </w:r>
      <w:r w:rsidR="006F0B21" w:rsidRPr="007E130D">
        <w:rPr>
          <w:b/>
          <w:bCs/>
        </w:rPr>
        <w:t>Rév.</w:t>
      </w:r>
      <w:r w:rsidRPr="007E130D">
        <w:rPr>
          <w:b/>
          <w:bCs/>
        </w:rPr>
        <w:t>CMR-1</w:t>
      </w:r>
      <w:r w:rsidR="006F0B21" w:rsidRPr="007E130D">
        <w:rPr>
          <w:b/>
          <w:bCs/>
        </w:rPr>
        <w:t>9</w:t>
      </w:r>
      <w:r w:rsidRPr="007E130D">
        <w:rPr>
          <w:b/>
          <w:bCs/>
        </w:rPr>
        <w:t>)</w:t>
      </w:r>
      <w:r w:rsidRPr="007E130D">
        <w:t xml:space="preserve"> sont accessibles sur la page suivante:</w:t>
      </w:r>
      <w:r w:rsidR="002164D4" w:rsidRPr="007E130D">
        <w:t xml:space="preserve"> </w:t>
      </w:r>
      <w:hyperlink r:id="rId46" w:history="1">
        <w:r w:rsidR="00100103" w:rsidRPr="007E130D">
          <w:rPr>
            <w:rStyle w:val="Hyperlink"/>
          </w:rPr>
          <w:t>https://www.itu.int/net/ITU</w:t>
        </w:r>
        <w:r w:rsidR="00100103" w:rsidRPr="007E130D">
          <w:rPr>
            <w:rStyle w:val="Hyperlink"/>
          </w:rPr>
          <w:noBreakHyphen/>
          <w:t>R/space/snl/sat_relocation/index.asp</w:t>
        </w:r>
      </w:hyperlink>
      <w:r w:rsidRPr="007E130D">
        <w:t>.</w:t>
      </w:r>
    </w:p>
    <w:p w14:paraId="462E88B2" w14:textId="64D7EF01" w:rsidR="00826EBF" w:rsidRPr="007E130D" w:rsidRDefault="006F0B21" w:rsidP="00100103">
      <w:r w:rsidRPr="007E130D">
        <w:t>Ces statistiques font l</w:t>
      </w:r>
      <w:r w:rsidR="00100103" w:rsidRPr="007E130D">
        <w:t>'</w:t>
      </w:r>
      <w:r w:rsidRPr="007E130D">
        <w:t>objet de rapports périodiques au Comité du Règlement des radiocommunications</w:t>
      </w:r>
      <w:r w:rsidR="00826EBF" w:rsidRPr="007E130D">
        <w:t>.</w:t>
      </w:r>
    </w:p>
    <w:p w14:paraId="023EDBDA" w14:textId="77777777" w:rsidR="00826EBF" w:rsidRPr="007E130D" w:rsidRDefault="00826EBF" w:rsidP="00B20AC9">
      <w:pPr>
        <w:pStyle w:val="Heading3"/>
      </w:pPr>
      <w:bookmarkStart w:id="79" w:name="_Toc143072401"/>
      <w:bookmarkStart w:id="80" w:name="_Toc147328783"/>
      <w:r w:rsidRPr="007E130D">
        <w:t>2.4.2</w:t>
      </w:r>
      <w:r w:rsidRPr="007E130D">
        <w:tab/>
        <w:t>Résolution 49 (Rév.CMR</w:t>
      </w:r>
      <w:r w:rsidRPr="007E130D">
        <w:noBreakHyphen/>
        <w:t>19) – Diligence</w:t>
      </w:r>
      <w:bookmarkEnd w:id="79"/>
      <w:r w:rsidR="006F0B21" w:rsidRPr="007E130D">
        <w:t xml:space="preserve"> due</w:t>
      </w:r>
      <w:bookmarkEnd w:id="80"/>
    </w:p>
    <w:p w14:paraId="4084DCBD" w14:textId="77777777" w:rsidR="00826EBF" w:rsidRPr="007E130D" w:rsidRDefault="004A7D21" w:rsidP="00B20AC9">
      <w:r w:rsidRPr="007E130D">
        <w:t>Les renseignements à fournir au titre du principe de diligence due sont publiés dans des Sections spéciales RES49 et mis à la disposition des administrations dans le format d'une base de données dans un délai d'un mois après la réception de la soumission. Voir les précisions données dans le tableau ci</w:t>
      </w:r>
      <w:r w:rsidRPr="007E130D">
        <w:noBreakHyphen/>
        <w:t>dessous en ce qui concerne le nombre de cas reçus et publiés.</w:t>
      </w:r>
    </w:p>
    <w:p w14:paraId="44150E63" w14:textId="77777777" w:rsidR="004A7D21" w:rsidRPr="007E130D" w:rsidRDefault="004A7D21" w:rsidP="00B20AC9">
      <w:pPr>
        <w:pStyle w:val="TableNo"/>
      </w:pPr>
      <w:r w:rsidRPr="007E130D">
        <w:t>Tableau 2.6-1</w:t>
      </w:r>
    </w:p>
    <w:p w14:paraId="76D5C0A1" w14:textId="77777777" w:rsidR="004A7D21" w:rsidRPr="007E130D" w:rsidRDefault="00082048" w:rsidP="00B20AC9">
      <w:pPr>
        <w:pStyle w:val="Tabletitle"/>
      </w:pPr>
      <w:r w:rsidRPr="007E130D">
        <w:t>Mise en œuvre de la</w:t>
      </w:r>
      <w:r w:rsidR="004A7D21" w:rsidRPr="007E130D">
        <w:t xml:space="preserve"> Résolution 49 (Rév.CMR</w:t>
      </w:r>
      <w:r w:rsidR="004A7D21" w:rsidRPr="007E130D">
        <w:noBreakHyphen/>
        <w:t>19)</w:t>
      </w:r>
    </w:p>
    <w:tbl>
      <w:tblPr>
        <w:tblW w:w="4744" w:type="pct"/>
        <w:tblInd w:w="108" w:type="dxa"/>
        <w:tblCellMar>
          <w:left w:w="0" w:type="dxa"/>
          <w:right w:w="0" w:type="dxa"/>
        </w:tblCellMar>
        <w:tblLook w:val="04A0" w:firstRow="1" w:lastRow="0" w:firstColumn="1" w:lastColumn="0" w:noHBand="0" w:noVBand="1"/>
      </w:tblPr>
      <w:tblGrid>
        <w:gridCol w:w="3135"/>
        <w:gridCol w:w="868"/>
        <w:gridCol w:w="2540"/>
        <w:gridCol w:w="2593"/>
      </w:tblGrid>
      <w:tr w:rsidR="004A7D21" w:rsidRPr="007E130D" w14:paraId="1FFF7097" w14:textId="77777777" w:rsidTr="00100103">
        <w:trPr>
          <w:trHeight w:val="510"/>
        </w:trPr>
        <w:tc>
          <w:tcPr>
            <w:tcW w:w="1716" w:type="pct"/>
            <w:noWrap/>
            <w:tcMar>
              <w:top w:w="0" w:type="dxa"/>
              <w:left w:w="108" w:type="dxa"/>
              <w:bottom w:w="0" w:type="dxa"/>
              <w:right w:w="108" w:type="dxa"/>
            </w:tcMar>
            <w:vAlign w:val="bottom"/>
            <w:hideMark/>
          </w:tcPr>
          <w:p w14:paraId="014BEA6F" w14:textId="77777777" w:rsidR="004A7D21" w:rsidRPr="007E130D" w:rsidRDefault="004A7D21" w:rsidP="00B20AC9">
            <w:pPr>
              <w:rPr>
                <w:sz w:val="20"/>
                <w:lang w:eastAsia="en-GB"/>
              </w:rPr>
            </w:pPr>
          </w:p>
        </w:tc>
        <w:tc>
          <w:tcPr>
            <w:tcW w:w="475" w:type="pct"/>
            <w:vMerge w:val="restart"/>
            <w:tcBorders>
              <w:top w:val="single" w:sz="8" w:space="0" w:color="auto"/>
              <w:left w:val="single" w:sz="8" w:space="0" w:color="auto"/>
              <w:right w:val="nil"/>
            </w:tcBorders>
            <w:noWrap/>
            <w:tcMar>
              <w:top w:w="0" w:type="dxa"/>
              <w:left w:w="108" w:type="dxa"/>
              <w:bottom w:w="0" w:type="dxa"/>
              <w:right w:w="108" w:type="dxa"/>
            </w:tcMar>
            <w:vAlign w:val="center"/>
            <w:hideMark/>
          </w:tcPr>
          <w:p w14:paraId="586D673C" w14:textId="77777777" w:rsidR="004A7D21" w:rsidRPr="007E130D" w:rsidRDefault="00082048" w:rsidP="00B20AC9">
            <w:pPr>
              <w:pStyle w:val="Tablehead"/>
              <w:rPr>
                <w:rFonts w:ascii="Calibri" w:hAnsi="Calibri" w:cs="Calibri"/>
                <w:sz w:val="22"/>
              </w:rPr>
            </w:pPr>
            <w:r w:rsidRPr="007E130D">
              <w:t>Année</w:t>
            </w:r>
          </w:p>
        </w:tc>
        <w:tc>
          <w:tcPr>
            <w:tcW w:w="1390"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81E4A80" w14:textId="529606BB" w:rsidR="004A7D21" w:rsidRPr="007E130D" w:rsidRDefault="00082048" w:rsidP="00B20AC9">
            <w:pPr>
              <w:pStyle w:val="Tablehead"/>
              <w:rPr>
                <w:bCs/>
              </w:rPr>
            </w:pPr>
            <w:r w:rsidRPr="007E130D">
              <w:rPr>
                <w:bCs/>
              </w:rPr>
              <w:t>Renseignements relatifs au</w:t>
            </w:r>
            <w:r w:rsidR="00100103" w:rsidRPr="007E130D">
              <w:rPr>
                <w:bCs/>
              </w:rPr>
              <w:br/>
            </w:r>
            <w:r w:rsidRPr="007E130D">
              <w:rPr>
                <w:bCs/>
              </w:rPr>
              <w:t>principe de diligence</w:t>
            </w:r>
            <w:r w:rsidR="00100103" w:rsidRPr="007E130D">
              <w:rPr>
                <w:bCs/>
              </w:rPr>
              <w:br/>
            </w:r>
            <w:r w:rsidRPr="007E130D">
              <w:rPr>
                <w:bCs/>
              </w:rPr>
              <w:t>due reçus</w:t>
            </w:r>
          </w:p>
        </w:tc>
        <w:tc>
          <w:tcPr>
            <w:tcW w:w="1419"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3D1D16C6" w14:textId="4D17CF84" w:rsidR="004A7D21" w:rsidRPr="007E130D" w:rsidRDefault="00082048" w:rsidP="00B20AC9">
            <w:pPr>
              <w:pStyle w:val="Tablehead"/>
              <w:rPr>
                <w:rFonts w:ascii="Calibri" w:hAnsi="Calibri" w:cs="Calibri"/>
                <w:bCs/>
              </w:rPr>
            </w:pPr>
            <w:r w:rsidRPr="007E130D">
              <w:rPr>
                <w:bCs/>
              </w:rPr>
              <w:t>Renseignements relatifs au principe de diligence</w:t>
            </w:r>
            <w:r w:rsidR="00100103" w:rsidRPr="007E130D">
              <w:rPr>
                <w:bCs/>
              </w:rPr>
              <w:br/>
            </w:r>
            <w:r w:rsidRPr="007E130D">
              <w:rPr>
                <w:bCs/>
              </w:rPr>
              <w:t>due publiés</w:t>
            </w:r>
          </w:p>
        </w:tc>
      </w:tr>
      <w:tr w:rsidR="004A7D21" w:rsidRPr="007E130D" w14:paraId="5050B656" w14:textId="77777777" w:rsidTr="00100103">
        <w:trPr>
          <w:trHeight w:val="315"/>
        </w:trPr>
        <w:tc>
          <w:tcPr>
            <w:tcW w:w="1716" w:type="pct"/>
            <w:noWrap/>
            <w:tcMar>
              <w:top w:w="0" w:type="dxa"/>
              <w:left w:w="108" w:type="dxa"/>
              <w:bottom w:w="0" w:type="dxa"/>
              <w:right w:w="108" w:type="dxa"/>
            </w:tcMar>
            <w:vAlign w:val="bottom"/>
            <w:hideMark/>
          </w:tcPr>
          <w:p w14:paraId="258F0F59" w14:textId="77777777" w:rsidR="004A7D21" w:rsidRPr="007E130D" w:rsidRDefault="004A7D21" w:rsidP="00B20AC9">
            <w:pPr>
              <w:rPr>
                <w:b/>
                <w:bCs/>
                <w:color w:val="000000"/>
                <w:sz w:val="20"/>
              </w:rPr>
            </w:pPr>
          </w:p>
        </w:tc>
        <w:tc>
          <w:tcPr>
            <w:tcW w:w="475" w:type="pct"/>
            <w:vMerge/>
            <w:tcBorders>
              <w:left w:val="single" w:sz="8" w:space="0" w:color="auto"/>
              <w:bottom w:val="single" w:sz="8" w:space="0" w:color="auto"/>
              <w:right w:val="nil"/>
            </w:tcBorders>
            <w:noWrap/>
            <w:tcMar>
              <w:top w:w="0" w:type="dxa"/>
              <w:left w:w="108" w:type="dxa"/>
              <w:bottom w:w="0" w:type="dxa"/>
              <w:right w:w="108" w:type="dxa"/>
            </w:tcMar>
            <w:vAlign w:val="bottom"/>
            <w:hideMark/>
          </w:tcPr>
          <w:p w14:paraId="7C4C8F89" w14:textId="77777777" w:rsidR="004A7D21" w:rsidRPr="007E130D" w:rsidRDefault="004A7D21" w:rsidP="00B20AC9">
            <w:pPr>
              <w:pStyle w:val="Tablehead"/>
              <w:rPr>
                <w:rFonts w:ascii="Calibri" w:hAnsi="Calibri" w:cs="Calibri"/>
                <w:sz w:val="22"/>
              </w:rPr>
            </w:pPr>
          </w:p>
        </w:tc>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2B828B" w14:textId="77777777" w:rsidR="004A7D21" w:rsidRPr="007E130D" w:rsidRDefault="004A7D21" w:rsidP="00B20AC9">
            <w:pPr>
              <w:pStyle w:val="Tablehead"/>
              <w:rPr>
                <w:bCs/>
              </w:rPr>
            </w:pPr>
            <w:r w:rsidRPr="007E130D">
              <w:rPr>
                <w:bCs/>
              </w:rPr>
              <w:t>(</w:t>
            </w:r>
            <w:r w:rsidR="00082048" w:rsidRPr="007E130D">
              <w:rPr>
                <w:bCs/>
              </w:rPr>
              <w:t>nombre de réseaux</w:t>
            </w:r>
            <w:r w:rsidRPr="007E130D">
              <w:rPr>
                <w:bCs/>
              </w:rPr>
              <w:t>)</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BC711" w14:textId="77777777" w:rsidR="004A7D21" w:rsidRPr="007E130D" w:rsidRDefault="004A7D21" w:rsidP="00B20AC9">
            <w:pPr>
              <w:pStyle w:val="Tablehead"/>
              <w:rPr>
                <w:rFonts w:ascii="Calibri" w:hAnsi="Calibri" w:cs="Calibri"/>
                <w:bCs/>
              </w:rPr>
            </w:pPr>
            <w:r w:rsidRPr="007E130D">
              <w:rPr>
                <w:bCs/>
              </w:rPr>
              <w:t>(</w:t>
            </w:r>
            <w:r w:rsidR="00082048" w:rsidRPr="007E130D">
              <w:rPr>
                <w:bCs/>
              </w:rPr>
              <w:t>nombre de réseaux</w:t>
            </w:r>
            <w:r w:rsidRPr="007E130D">
              <w:rPr>
                <w:bCs/>
              </w:rPr>
              <w:t>)</w:t>
            </w:r>
          </w:p>
        </w:tc>
      </w:tr>
      <w:tr w:rsidR="004A7D21" w:rsidRPr="007E130D" w14:paraId="63235437" w14:textId="77777777" w:rsidTr="00100103">
        <w:trPr>
          <w:trHeight w:val="300"/>
        </w:trPr>
        <w:tc>
          <w:tcPr>
            <w:tcW w:w="1716" w:type="pct"/>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436FCEF1" w14:textId="77777777" w:rsidR="004A7D21" w:rsidRPr="007E130D" w:rsidRDefault="00082048" w:rsidP="00B20AC9">
            <w:pPr>
              <w:pStyle w:val="Tabletext"/>
            </w:pPr>
            <w:r w:rsidRPr="007E130D">
              <w:t>Services planifiés/non planifiés</w:t>
            </w:r>
          </w:p>
        </w:tc>
        <w:tc>
          <w:tcPr>
            <w:tcW w:w="475" w:type="pct"/>
            <w:tcBorders>
              <w:top w:val="nil"/>
              <w:left w:val="nil"/>
              <w:bottom w:val="nil"/>
              <w:right w:val="single" w:sz="8" w:space="0" w:color="auto"/>
            </w:tcBorders>
            <w:noWrap/>
            <w:tcMar>
              <w:top w:w="0" w:type="dxa"/>
              <w:left w:w="108" w:type="dxa"/>
              <w:bottom w:w="0" w:type="dxa"/>
              <w:right w:w="108" w:type="dxa"/>
            </w:tcMar>
            <w:vAlign w:val="center"/>
            <w:hideMark/>
          </w:tcPr>
          <w:p w14:paraId="3362DB41" w14:textId="77777777" w:rsidR="004A7D21" w:rsidRPr="007E130D" w:rsidRDefault="004A7D21" w:rsidP="00B20AC9">
            <w:pPr>
              <w:pStyle w:val="Tabletext"/>
              <w:jc w:val="center"/>
              <w:rPr>
                <w:sz w:val="22"/>
              </w:rPr>
            </w:pPr>
            <w:r w:rsidRPr="007E130D">
              <w:t>2019</w:t>
            </w:r>
          </w:p>
        </w:tc>
        <w:tc>
          <w:tcPr>
            <w:tcW w:w="1390" w:type="pct"/>
            <w:tcBorders>
              <w:top w:val="nil"/>
              <w:left w:val="nil"/>
              <w:bottom w:val="nil"/>
              <w:right w:val="single" w:sz="8" w:space="0" w:color="auto"/>
            </w:tcBorders>
            <w:noWrap/>
            <w:tcMar>
              <w:top w:w="0" w:type="dxa"/>
              <w:left w:w="108" w:type="dxa"/>
              <w:bottom w:w="0" w:type="dxa"/>
              <w:right w:w="108" w:type="dxa"/>
            </w:tcMar>
            <w:vAlign w:val="center"/>
            <w:hideMark/>
          </w:tcPr>
          <w:p w14:paraId="72820F12" w14:textId="77777777" w:rsidR="004A7D21" w:rsidRPr="007E130D" w:rsidRDefault="004A7D21" w:rsidP="00B20AC9">
            <w:pPr>
              <w:pStyle w:val="Tabletext"/>
              <w:jc w:val="center"/>
            </w:pPr>
            <w:r w:rsidRPr="007E130D">
              <w:t>23/77</w:t>
            </w:r>
          </w:p>
        </w:tc>
        <w:tc>
          <w:tcPr>
            <w:tcW w:w="1419" w:type="pct"/>
            <w:tcBorders>
              <w:right w:val="single" w:sz="8" w:space="0" w:color="auto"/>
            </w:tcBorders>
            <w:noWrap/>
            <w:tcMar>
              <w:top w:w="0" w:type="dxa"/>
              <w:left w:w="108" w:type="dxa"/>
              <w:bottom w:w="0" w:type="dxa"/>
              <w:right w:w="108" w:type="dxa"/>
            </w:tcMar>
            <w:vAlign w:val="center"/>
            <w:hideMark/>
          </w:tcPr>
          <w:p w14:paraId="02892A2B" w14:textId="77777777" w:rsidR="004A7D21" w:rsidRPr="007E130D" w:rsidRDefault="004A7D21" w:rsidP="00B20AC9">
            <w:pPr>
              <w:pStyle w:val="Tabletext"/>
              <w:jc w:val="center"/>
            </w:pPr>
            <w:r w:rsidRPr="007E130D">
              <w:t>20/80</w:t>
            </w:r>
          </w:p>
        </w:tc>
      </w:tr>
      <w:tr w:rsidR="004A7D21" w:rsidRPr="007E130D" w14:paraId="40B114FA" w14:textId="77777777" w:rsidTr="00100103">
        <w:trPr>
          <w:trHeight w:val="300"/>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D629C58" w14:textId="77777777" w:rsidR="004A7D21" w:rsidRPr="007E130D" w:rsidRDefault="004A7D21" w:rsidP="00B20AC9">
            <w:pPr>
              <w:pStyle w:val="Tabletext"/>
            </w:pPr>
          </w:p>
        </w:tc>
        <w:tc>
          <w:tcPr>
            <w:tcW w:w="475" w:type="pct"/>
            <w:tcBorders>
              <w:top w:val="nil"/>
              <w:left w:val="nil"/>
              <w:bottom w:val="nil"/>
              <w:right w:val="single" w:sz="8" w:space="0" w:color="auto"/>
            </w:tcBorders>
            <w:noWrap/>
            <w:tcMar>
              <w:top w:w="0" w:type="dxa"/>
              <w:left w:w="108" w:type="dxa"/>
              <w:bottom w:w="0" w:type="dxa"/>
              <w:right w:w="108" w:type="dxa"/>
            </w:tcMar>
            <w:vAlign w:val="center"/>
            <w:hideMark/>
          </w:tcPr>
          <w:p w14:paraId="2B14CF0F" w14:textId="77777777" w:rsidR="004A7D21" w:rsidRPr="007E130D" w:rsidRDefault="004A7D21" w:rsidP="00B20AC9">
            <w:pPr>
              <w:pStyle w:val="Tabletext"/>
              <w:jc w:val="center"/>
            </w:pPr>
            <w:r w:rsidRPr="007E130D">
              <w:t>2020</w:t>
            </w:r>
          </w:p>
        </w:tc>
        <w:tc>
          <w:tcPr>
            <w:tcW w:w="1390" w:type="pct"/>
            <w:tcBorders>
              <w:top w:val="nil"/>
              <w:left w:val="nil"/>
              <w:bottom w:val="nil"/>
              <w:right w:val="single" w:sz="8" w:space="0" w:color="auto"/>
            </w:tcBorders>
            <w:noWrap/>
            <w:tcMar>
              <w:top w:w="0" w:type="dxa"/>
              <w:left w:w="108" w:type="dxa"/>
              <w:bottom w:w="0" w:type="dxa"/>
              <w:right w:w="108" w:type="dxa"/>
            </w:tcMar>
            <w:vAlign w:val="center"/>
            <w:hideMark/>
          </w:tcPr>
          <w:p w14:paraId="58584C49" w14:textId="77777777" w:rsidR="004A7D21" w:rsidRPr="007E130D" w:rsidRDefault="004A7D21" w:rsidP="00B20AC9">
            <w:pPr>
              <w:pStyle w:val="Tabletext"/>
              <w:jc w:val="center"/>
            </w:pPr>
            <w:r w:rsidRPr="007E130D">
              <w:t>43/59</w:t>
            </w:r>
          </w:p>
        </w:tc>
        <w:tc>
          <w:tcPr>
            <w:tcW w:w="1419" w:type="pct"/>
            <w:tcBorders>
              <w:right w:val="single" w:sz="8" w:space="0" w:color="auto"/>
            </w:tcBorders>
            <w:noWrap/>
            <w:tcMar>
              <w:top w:w="0" w:type="dxa"/>
              <w:left w:w="108" w:type="dxa"/>
              <w:bottom w:w="0" w:type="dxa"/>
              <w:right w:w="108" w:type="dxa"/>
            </w:tcMar>
            <w:vAlign w:val="center"/>
            <w:hideMark/>
          </w:tcPr>
          <w:p w14:paraId="4E73848E" w14:textId="77777777" w:rsidR="004A7D21" w:rsidRPr="007E130D" w:rsidRDefault="004A7D21" w:rsidP="00B20AC9">
            <w:pPr>
              <w:pStyle w:val="Tabletext"/>
              <w:jc w:val="center"/>
            </w:pPr>
            <w:r w:rsidRPr="007E130D">
              <w:t>32/68</w:t>
            </w:r>
          </w:p>
        </w:tc>
      </w:tr>
      <w:tr w:rsidR="004A7D21" w:rsidRPr="007E130D" w14:paraId="57B9457A" w14:textId="77777777" w:rsidTr="00100103">
        <w:trPr>
          <w:trHeight w:val="300"/>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47E890B" w14:textId="77777777" w:rsidR="004A7D21" w:rsidRPr="007E130D" w:rsidRDefault="004A7D21" w:rsidP="00B20AC9">
            <w:pPr>
              <w:pStyle w:val="Tabletext"/>
            </w:pPr>
          </w:p>
        </w:tc>
        <w:tc>
          <w:tcPr>
            <w:tcW w:w="475" w:type="pct"/>
            <w:tcBorders>
              <w:top w:val="nil"/>
              <w:left w:val="nil"/>
              <w:bottom w:val="nil"/>
              <w:right w:val="single" w:sz="8" w:space="0" w:color="auto"/>
            </w:tcBorders>
            <w:noWrap/>
            <w:tcMar>
              <w:top w:w="0" w:type="dxa"/>
              <w:left w:w="108" w:type="dxa"/>
              <w:bottom w:w="0" w:type="dxa"/>
              <w:right w:w="108" w:type="dxa"/>
            </w:tcMar>
            <w:vAlign w:val="center"/>
            <w:hideMark/>
          </w:tcPr>
          <w:p w14:paraId="655C5D1C" w14:textId="77777777" w:rsidR="004A7D21" w:rsidRPr="007E130D" w:rsidRDefault="004A7D21" w:rsidP="00B20AC9">
            <w:pPr>
              <w:pStyle w:val="Tabletext"/>
              <w:jc w:val="center"/>
            </w:pPr>
            <w:r w:rsidRPr="007E130D">
              <w:t>2021</w:t>
            </w:r>
          </w:p>
        </w:tc>
        <w:tc>
          <w:tcPr>
            <w:tcW w:w="1390" w:type="pct"/>
            <w:tcBorders>
              <w:top w:val="nil"/>
              <w:left w:val="nil"/>
              <w:bottom w:val="nil"/>
              <w:right w:val="single" w:sz="8" w:space="0" w:color="auto"/>
            </w:tcBorders>
            <w:noWrap/>
            <w:tcMar>
              <w:top w:w="0" w:type="dxa"/>
              <w:left w:w="108" w:type="dxa"/>
              <w:bottom w:w="0" w:type="dxa"/>
              <w:right w:w="108" w:type="dxa"/>
            </w:tcMar>
            <w:vAlign w:val="center"/>
            <w:hideMark/>
          </w:tcPr>
          <w:p w14:paraId="236CED84" w14:textId="77777777" w:rsidR="004A7D21" w:rsidRPr="007E130D" w:rsidRDefault="004A7D21" w:rsidP="00B20AC9">
            <w:pPr>
              <w:pStyle w:val="Tabletext"/>
              <w:jc w:val="center"/>
            </w:pPr>
            <w:r w:rsidRPr="007E130D">
              <w:t>29/81</w:t>
            </w:r>
          </w:p>
        </w:tc>
        <w:tc>
          <w:tcPr>
            <w:tcW w:w="1419" w:type="pct"/>
            <w:tcBorders>
              <w:right w:val="single" w:sz="8" w:space="0" w:color="auto"/>
            </w:tcBorders>
            <w:noWrap/>
            <w:tcMar>
              <w:top w:w="0" w:type="dxa"/>
              <w:left w:w="108" w:type="dxa"/>
              <w:bottom w:w="0" w:type="dxa"/>
              <w:right w:w="108" w:type="dxa"/>
            </w:tcMar>
            <w:vAlign w:val="center"/>
            <w:hideMark/>
          </w:tcPr>
          <w:p w14:paraId="24E09B79" w14:textId="77777777" w:rsidR="004A7D21" w:rsidRPr="007E130D" w:rsidRDefault="004A7D21" w:rsidP="00B20AC9">
            <w:pPr>
              <w:pStyle w:val="Tabletext"/>
              <w:jc w:val="center"/>
            </w:pPr>
            <w:r w:rsidRPr="007E130D">
              <w:t>39/73</w:t>
            </w:r>
          </w:p>
        </w:tc>
      </w:tr>
      <w:tr w:rsidR="004A7D21" w:rsidRPr="007E130D" w14:paraId="11AC494B" w14:textId="77777777" w:rsidTr="00100103">
        <w:trPr>
          <w:trHeight w:val="315"/>
        </w:trPr>
        <w:tc>
          <w:tcPr>
            <w:tcW w:w="1716"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9AB2EF6" w14:textId="77777777" w:rsidR="004A7D21" w:rsidRPr="007E130D" w:rsidRDefault="004A7D21" w:rsidP="00B20AC9">
            <w:pPr>
              <w:pStyle w:val="Tabletext"/>
            </w:pPr>
          </w:p>
        </w:tc>
        <w:tc>
          <w:tcPr>
            <w:tcW w:w="475" w:type="pct"/>
            <w:tcBorders>
              <w:top w:val="nil"/>
              <w:left w:val="nil"/>
              <w:bottom w:val="nil"/>
              <w:right w:val="single" w:sz="8" w:space="0" w:color="auto"/>
            </w:tcBorders>
            <w:noWrap/>
            <w:tcMar>
              <w:top w:w="0" w:type="dxa"/>
              <w:left w:w="108" w:type="dxa"/>
              <w:bottom w:w="0" w:type="dxa"/>
              <w:right w:w="108" w:type="dxa"/>
            </w:tcMar>
            <w:vAlign w:val="center"/>
            <w:hideMark/>
          </w:tcPr>
          <w:p w14:paraId="373584CF" w14:textId="77777777" w:rsidR="004A7D21" w:rsidRPr="007E130D" w:rsidRDefault="004A7D21" w:rsidP="00B20AC9">
            <w:pPr>
              <w:pStyle w:val="Tabletext"/>
              <w:jc w:val="center"/>
            </w:pPr>
            <w:r w:rsidRPr="007E130D">
              <w:t>2022</w:t>
            </w:r>
          </w:p>
        </w:tc>
        <w:tc>
          <w:tcPr>
            <w:tcW w:w="1390" w:type="pct"/>
            <w:tcBorders>
              <w:top w:val="nil"/>
              <w:left w:val="nil"/>
              <w:bottom w:val="nil"/>
              <w:right w:val="single" w:sz="8" w:space="0" w:color="auto"/>
            </w:tcBorders>
            <w:noWrap/>
            <w:tcMar>
              <w:top w:w="0" w:type="dxa"/>
              <w:left w:w="108" w:type="dxa"/>
              <w:bottom w:w="0" w:type="dxa"/>
              <w:right w:w="108" w:type="dxa"/>
            </w:tcMar>
            <w:vAlign w:val="center"/>
            <w:hideMark/>
          </w:tcPr>
          <w:p w14:paraId="1B34D357" w14:textId="77777777" w:rsidR="004A7D21" w:rsidRPr="007E130D" w:rsidRDefault="004A7D21" w:rsidP="00B20AC9">
            <w:pPr>
              <w:pStyle w:val="Tabletext"/>
              <w:jc w:val="center"/>
            </w:pPr>
            <w:r w:rsidRPr="007E130D">
              <w:t>34/73</w:t>
            </w:r>
          </w:p>
        </w:tc>
        <w:tc>
          <w:tcPr>
            <w:tcW w:w="1419" w:type="pct"/>
            <w:tcBorders>
              <w:top w:val="nil"/>
              <w:left w:val="nil"/>
              <w:bottom w:val="nil"/>
              <w:right w:val="single" w:sz="8" w:space="0" w:color="auto"/>
            </w:tcBorders>
            <w:noWrap/>
            <w:tcMar>
              <w:top w:w="0" w:type="dxa"/>
              <w:left w:w="108" w:type="dxa"/>
              <w:bottom w:w="0" w:type="dxa"/>
              <w:right w:w="108" w:type="dxa"/>
            </w:tcMar>
            <w:vAlign w:val="center"/>
            <w:hideMark/>
          </w:tcPr>
          <w:p w14:paraId="549C77C9" w14:textId="77777777" w:rsidR="004A7D21" w:rsidRPr="007E130D" w:rsidRDefault="004A7D21" w:rsidP="00B20AC9">
            <w:pPr>
              <w:pStyle w:val="Tabletext"/>
              <w:jc w:val="center"/>
            </w:pPr>
            <w:r w:rsidRPr="007E130D">
              <w:t>39/58</w:t>
            </w:r>
          </w:p>
        </w:tc>
      </w:tr>
      <w:tr w:rsidR="004A7D21" w:rsidRPr="007E130D" w14:paraId="2DA446FF" w14:textId="77777777" w:rsidTr="00100103">
        <w:trPr>
          <w:trHeight w:val="315"/>
        </w:trPr>
        <w:tc>
          <w:tcPr>
            <w:tcW w:w="171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846B9C" w14:textId="77777777" w:rsidR="004A7D21" w:rsidRPr="007E130D" w:rsidRDefault="004A7D21" w:rsidP="00B20AC9">
            <w:pPr>
              <w:pStyle w:val="Tabletext"/>
            </w:pPr>
          </w:p>
        </w:tc>
        <w:tc>
          <w:tcPr>
            <w:tcW w:w="47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0820FD57" w14:textId="77777777" w:rsidR="004A7D21" w:rsidRPr="007E130D" w:rsidRDefault="004A7D21" w:rsidP="00B20AC9">
            <w:pPr>
              <w:pStyle w:val="Tabletext"/>
              <w:jc w:val="center"/>
            </w:pPr>
            <w:r w:rsidRPr="007E130D">
              <w:t>2023/5</w:t>
            </w:r>
          </w:p>
        </w:tc>
        <w:tc>
          <w:tcPr>
            <w:tcW w:w="1390"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74A3B8E3" w14:textId="77777777" w:rsidR="004A7D21" w:rsidRPr="007E130D" w:rsidRDefault="004A7D21" w:rsidP="00B20AC9">
            <w:pPr>
              <w:pStyle w:val="Tabletext"/>
              <w:jc w:val="center"/>
            </w:pPr>
            <w:r w:rsidRPr="007E130D">
              <w:t>2/10</w:t>
            </w:r>
          </w:p>
        </w:tc>
        <w:tc>
          <w:tcPr>
            <w:tcW w:w="1419"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7F8C4D7" w14:textId="77777777" w:rsidR="004A7D21" w:rsidRPr="007E130D" w:rsidRDefault="004A7D21" w:rsidP="00B20AC9">
            <w:pPr>
              <w:pStyle w:val="Tabletext"/>
              <w:jc w:val="center"/>
            </w:pPr>
            <w:r w:rsidRPr="007E130D">
              <w:t>10/37</w:t>
            </w:r>
          </w:p>
        </w:tc>
      </w:tr>
    </w:tbl>
    <w:p w14:paraId="124464C7" w14:textId="77777777" w:rsidR="004A7D21" w:rsidRPr="007E130D" w:rsidRDefault="004A7D21" w:rsidP="002164D4">
      <w:pPr>
        <w:pStyle w:val="Heading3"/>
        <w:spacing w:before="120"/>
      </w:pPr>
      <w:bookmarkStart w:id="81" w:name="_Toc143072402"/>
      <w:bookmarkStart w:id="82" w:name="_Toc147328784"/>
      <w:r w:rsidRPr="007E130D">
        <w:t>2.4.3</w:t>
      </w:r>
      <w:r w:rsidRPr="007E130D">
        <w:tab/>
        <w:t>Résolution 55 (Rév.CMR</w:t>
      </w:r>
      <w:r w:rsidRPr="007E130D">
        <w:noBreakHyphen/>
        <w:t>19)</w:t>
      </w:r>
      <w:bookmarkEnd w:id="81"/>
      <w:bookmarkEnd w:id="82"/>
    </w:p>
    <w:p w14:paraId="64DAEC59" w14:textId="258D040B" w:rsidR="004A7D21" w:rsidRPr="007E130D" w:rsidRDefault="00EC1C6D" w:rsidP="00B20AC9">
      <w:bookmarkStart w:id="83" w:name="_Toc418232280"/>
      <w:r w:rsidRPr="007E130D">
        <w:t xml:space="preserve">La </w:t>
      </w:r>
      <w:r w:rsidR="004A7D21" w:rsidRPr="007E130D">
        <w:t xml:space="preserve">Résolution </w:t>
      </w:r>
      <w:r w:rsidR="004A7D21" w:rsidRPr="007E130D">
        <w:rPr>
          <w:b/>
          <w:bCs/>
        </w:rPr>
        <w:t>55 (Rév.CMR-19)</w:t>
      </w:r>
      <w:r w:rsidR="004A7D21" w:rsidRPr="007E130D">
        <w:t xml:space="preserve"> </w:t>
      </w:r>
      <w:r w:rsidRPr="007E130D">
        <w:rPr>
          <w:i/>
        </w:rPr>
        <w:t>charge le</w:t>
      </w:r>
      <w:r w:rsidR="004A7D21" w:rsidRPr="007E130D">
        <w:rPr>
          <w:i/>
        </w:rPr>
        <w:t xml:space="preserve"> Bureau</w:t>
      </w:r>
      <w:r w:rsidR="004A7D21" w:rsidRPr="007E130D">
        <w:t xml:space="preserve"> «de publier sur son site web les demandes de coordination et les notifications visées au point 1 du </w:t>
      </w:r>
      <w:r w:rsidR="004A7D21" w:rsidRPr="007E130D">
        <w:rPr>
          <w:i/>
          <w:iCs/>
        </w:rPr>
        <w:t>décide</w:t>
      </w:r>
      <w:r w:rsidR="004A7D21" w:rsidRPr="007E130D">
        <w:t xml:space="preserve">, telles qu'elles ont été reçues, dans un délai de 30 jours après réception». </w:t>
      </w:r>
      <w:r w:rsidRPr="007E130D">
        <w:t>Depuis la mise en œuvre de l'application en ligne «Soumission électronique des fiches de notification des réseaux à satellite», tous les avis sont systématiquement disponibles dans un délai de 30 jours, et dans la plupart des cas dans un délai de 7 jours au lieu de</w:t>
      </w:r>
      <w:r w:rsidR="00100103" w:rsidRPr="007E130D">
        <w:t> </w:t>
      </w:r>
      <w:r w:rsidRPr="007E130D">
        <w:t>30 jours</w:t>
      </w:r>
      <w:r w:rsidR="004A7D21" w:rsidRPr="007E130D">
        <w:t>.</w:t>
      </w:r>
    </w:p>
    <w:p w14:paraId="3DAA0C2A" w14:textId="794807B4" w:rsidR="004A7D21" w:rsidRPr="007E130D" w:rsidRDefault="00DF2C7A" w:rsidP="00B20AC9">
      <w:pPr>
        <w:pStyle w:val="Heading2"/>
      </w:pPr>
      <w:bookmarkStart w:id="84" w:name="_Toc147328785"/>
      <w:bookmarkEnd w:id="83"/>
      <w:r w:rsidRPr="007E130D">
        <w:t>2.4.4</w:t>
      </w:r>
      <w:r w:rsidR="004A7D21" w:rsidRPr="007E130D">
        <w:tab/>
        <w:t>Résolution 907 (Rév.CMR</w:t>
      </w:r>
      <w:r w:rsidR="004A7D21" w:rsidRPr="007E130D">
        <w:noBreakHyphen/>
        <w:t>15)</w:t>
      </w:r>
      <w:bookmarkEnd w:id="84"/>
    </w:p>
    <w:p w14:paraId="3FA18E6F" w14:textId="77777777" w:rsidR="004A7D21" w:rsidRPr="007E130D" w:rsidRDefault="004A7D21" w:rsidP="00B20AC9">
      <w:r w:rsidRPr="007E130D">
        <w:t xml:space="preserve">En application du </w:t>
      </w:r>
      <w:r w:rsidRPr="007E130D">
        <w:rPr>
          <w:i/>
          <w:iCs/>
        </w:rPr>
        <w:t>charge le Bureau des radiocommunications</w:t>
      </w:r>
      <w:r w:rsidRPr="007E130D">
        <w:t xml:space="preserve"> de la Résolution </w:t>
      </w:r>
      <w:r w:rsidRPr="007E130D">
        <w:rPr>
          <w:b/>
          <w:bCs/>
        </w:rPr>
        <w:t>907 (Rév.CMR-15)</w:t>
      </w:r>
      <w:r w:rsidRPr="007E130D">
        <w:t xml:space="preserve">, le Bureau a mis au point une plate-forme de communication en ligne intitulée «Communications électroniques», afin de permettre aux administrations d'envoyer et de recevoir la correspondance </w:t>
      </w:r>
      <w:r w:rsidRPr="007E130D">
        <w:lastRenderedPageBreak/>
        <w:t>administrative relative aux services spatiaux via une interface en ligne. Cette application en ligne englobe tous les types de correspondance administrative relative aux services spatiaux entre les administrations et le Bureau et entre les administrations.</w:t>
      </w:r>
    </w:p>
    <w:p w14:paraId="33E216BC" w14:textId="5A7D8E69" w:rsidR="004A7D21" w:rsidRPr="007E130D" w:rsidRDefault="00147FAA" w:rsidP="00B20AC9">
      <w:r w:rsidRPr="007E130D">
        <w:t>Comme indiqué dans la lettre circulaire CR/450 du 25 octobre 2019, cette application est disponible pour l'échange de correspondance administrative relative aux services spatiaux depuis le</w:t>
      </w:r>
      <w:r w:rsidR="00100103" w:rsidRPr="007E130D">
        <w:t> </w:t>
      </w:r>
      <w:r w:rsidRPr="007E130D">
        <w:t>23</w:t>
      </w:r>
      <w:r w:rsidR="00100103" w:rsidRPr="007E130D">
        <w:t> </w:t>
      </w:r>
      <w:r w:rsidRPr="007E130D">
        <w:t>octobre</w:t>
      </w:r>
      <w:r w:rsidR="00100103" w:rsidRPr="007E130D">
        <w:t> </w:t>
      </w:r>
      <w:r w:rsidRPr="007E130D">
        <w:t>2019.</w:t>
      </w:r>
    </w:p>
    <w:p w14:paraId="038EFF0B" w14:textId="3D10AA24" w:rsidR="004A7D21" w:rsidRPr="007E130D" w:rsidRDefault="00147FAA" w:rsidP="00B20AC9">
      <w:r w:rsidRPr="007E130D">
        <w:t xml:space="preserve">Les utilisateurs peuvent accéder à cette application en ligne ainsi qu'à </w:t>
      </w:r>
      <w:r w:rsidR="00842597" w:rsidRPr="007E130D">
        <w:t>un guide de l'utilisateur sur le</w:t>
      </w:r>
      <w:r w:rsidRPr="007E130D">
        <w:t xml:space="preserve"> </w:t>
      </w:r>
      <w:r w:rsidR="00842597" w:rsidRPr="007E130D">
        <w:t>site</w:t>
      </w:r>
      <w:r w:rsidRPr="007E130D">
        <w:t xml:space="preserve"> web du BR relatif aux services spatiaux</w:t>
      </w:r>
      <w:r w:rsidR="00842597" w:rsidRPr="007E130D">
        <w:t xml:space="preserve"> à l</w:t>
      </w:r>
      <w:r w:rsidR="00100103" w:rsidRPr="007E130D">
        <w:t>'</w:t>
      </w:r>
      <w:r w:rsidR="00842597" w:rsidRPr="007E130D">
        <w:t>adresse suivante</w:t>
      </w:r>
      <w:r w:rsidRPr="007E130D">
        <w:t>:</w:t>
      </w:r>
      <w:r w:rsidR="005A3888" w:rsidRPr="007E130D">
        <w:t xml:space="preserve"> </w:t>
      </w:r>
      <w:hyperlink r:id="rId47" w:history="1">
        <w:r w:rsidRPr="007E130D">
          <w:rPr>
            <w:rStyle w:val="Hyperlink"/>
          </w:rPr>
          <w:t>https://www.itu.int/ITU</w:t>
        </w:r>
        <w:r w:rsidR="005A3888" w:rsidRPr="007E130D">
          <w:rPr>
            <w:rStyle w:val="Hyperlink"/>
          </w:rPr>
          <w:noBreakHyphen/>
        </w:r>
        <w:r w:rsidRPr="007E130D">
          <w:rPr>
            <w:rStyle w:val="Hyperlink"/>
          </w:rPr>
          <w:t>R/go/space-communications</w:t>
        </w:r>
      </w:hyperlink>
      <w:r w:rsidRPr="007E130D">
        <w:t>.</w:t>
      </w:r>
    </w:p>
    <w:p w14:paraId="1FDB0D2F" w14:textId="77777777" w:rsidR="004A7D21" w:rsidRPr="007E130D" w:rsidRDefault="00842597" w:rsidP="00B20AC9">
      <w:r w:rsidRPr="007E130D">
        <w:t>Le système a fonctionné sans problème et en toute sécurité depuis son lancement initial en 2019. En outre, le système a été amélioré en continu avec plusieurs nouvelles fonctions en fonction des besoins et pour la commodité des utilisateurs</w:t>
      </w:r>
      <w:r w:rsidR="004A7D21" w:rsidRPr="007E130D">
        <w:t>.</w:t>
      </w:r>
    </w:p>
    <w:p w14:paraId="319582CA" w14:textId="2262C861" w:rsidR="004A7D21" w:rsidRPr="007E130D" w:rsidRDefault="00842597" w:rsidP="00B20AC9">
      <w:r w:rsidRPr="007E130D">
        <w:t>Le nombre d'administrations et d'utilisateurs enregistrés augmente comme le montre la figure ci</w:t>
      </w:r>
      <w:r w:rsidR="00100103" w:rsidRPr="007E130D">
        <w:noBreakHyphen/>
      </w:r>
      <w:r w:rsidRPr="007E130D">
        <w:t>dessous. Le nombre d'administrations enregistrées est passé à 147, dont 126 ont envoyé de la correspondance via le système au 18 juin 2023. Le nombre de communications via le système de communication électronique est en augmentation et environ 80% de la correspondance adressée au</w:t>
      </w:r>
      <w:r w:rsidR="00100103" w:rsidRPr="007E130D">
        <w:t> </w:t>
      </w:r>
      <w:r w:rsidRPr="007E130D">
        <w:t>BR est reçue via le système de communication électronique</w:t>
      </w:r>
      <w:r w:rsidR="004A7D21" w:rsidRPr="007E130D">
        <w:t>.</w:t>
      </w:r>
    </w:p>
    <w:p w14:paraId="4FC75A7F" w14:textId="42AE0768" w:rsidR="004A7D21" w:rsidRPr="007E130D" w:rsidRDefault="00842597" w:rsidP="00B20AC9">
      <w:r w:rsidRPr="007E130D">
        <w:t xml:space="preserve">Les administrations sont encouragées à utiliser le système de communications électroniques conformément au </w:t>
      </w:r>
      <w:r w:rsidRPr="007E130D">
        <w:rPr>
          <w:i/>
        </w:rPr>
        <w:t>décide</w:t>
      </w:r>
      <w:r w:rsidRPr="007E130D">
        <w:t xml:space="preserve"> de la Résolution </w:t>
      </w:r>
      <w:r w:rsidRPr="007E130D">
        <w:rPr>
          <w:b/>
          <w:bCs/>
        </w:rPr>
        <w:t>907 (Rév.CMR-15)</w:t>
      </w:r>
      <w:r w:rsidRPr="007E130D">
        <w:t>. Le Bureau envisage que les règles de procédure pertinentes puissent être adoptées pour faire du système de communications électroniques le seul moyen de communication en fonction du nombre croissant d'administrations utilisant le système.</w:t>
      </w:r>
    </w:p>
    <w:p w14:paraId="2DE78F2F" w14:textId="11A72C7E" w:rsidR="004A7D21" w:rsidRPr="007E130D" w:rsidRDefault="00D117D7" w:rsidP="00C73ADB">
      <w:pPr>
        <w:pStyle w:val="Figure"/>
        <w:keepNext w:val="0"/>
        <w:keepLines w:val="0"/>
        <w:rPr>
          <w:highlight w:val="yellow"/>
        </w:rPr>
      </w:pPr>
      <w:r w:rsidRPr="007E130D">
        <w:drawing>
          <wp:inline distT="0" distB="0" distL="0" distR="0" wp14:anchorId="5562A4BB" wp14:editId="31E8C2F3">
            <wp:extent cx="6074229" cy="3427730"/>
            <wp:effectExtent l="0" t="0" r="3175" b="1270"/>
            <wp:docPr id="1021102695" name="Picture 1" descr="A graph with numbers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02695" name="Picture 1" descr="A graph with numbers and a red line&#10;&#10;Description automatically generated"/>
                    <pic:cNvPicPr/>
                  </pic:nvPicPr>
                  <pic:blipFill rotWithShape="1">
                    <a:blip r:embed="rId48"/>
                    <a:srcRect r="760"/>
                    <a:stretch/>
                  </pic:blipFill>
                  <pic:spPr bwMode="auto">
                    <a:xfrm>
                      <a:off x="0" y="0"/>
                      <a:ext cx="6074229" cy="3427730"/>
                    </a:xfrm>
                    <a:prstGeom prst="rect">
                      <a:avLst/>
                    </a:prstGeom>
                    <a:ln>
                      <a:noFill/>
                    </a:ln>
                    <a:extLst>
                      <a:ext uri="{53640926-AAD7-44D8-BBD7-CCE9431645EC}">
                        <a14:shadowObscured xmlns:a14="http://schemas.microsoft.com/office/drawing/2010/main"/>
                      </a:ext>
                    </a:extLst>
                  </pic:spPr>
                </pic:pic>
              </a:graphicData>
            </a:graphic>
          </wp:inline>
        </w:drawing>
      </w:r>
    </w:p>
    <w:p w14:paraId="08F137AC" w14:textId="77777777" w:rsidR="004A7D21" w:rsidRPr="007E130D" w:rsidRDefault="00DF2C7A" w:rsidP="00C73ADB">
      <w:pPr>
        <w:pStyle w:val="Heading2"/>
      </w:pPr>
      <w:bookmarkStart w:id="85" w:name="_Toc147328786"/>
      <w:r w:rsidRPr="007E130D">
        <w:lastRenderedPageBreak/>
        <w:t>2.4.5</w:t>
      </w:r>
      <w:r w:rsidR="004A7D21" w:rsidRPr="007E130D">
        <w:tab/>
        <w:t>Résolution 908 (Rév.CMR-15)</w:t>
      </w:r>
      <w:bookmarkEnd w:id="85"/>
    </w:p>
    <w:p w14:paraId="28F17E54" w14:textId="1F960FBC" w:rsidR="004A7D21" w:rsidRPr="007E130D" w:rsidRDefault="004A7D21" w:rsidP="00C73ADB">
      <w:pPr>
        <w:keepNext/>
        <w:keepLines/>
        <w:rPr>
          <w:color w:val="000000"/>
        </w:rPr>
      </w:pPr>
      <w:r w:rsidRPr="007E130D">
        <w:t xml:space="preserve">Conformément à la Résolution </w:t>
      </w:r>
      <w:r w:rsidRPr="007E130D">
        <w:rPr>
          <w:b/>
          <w:bCs/>
        </w:rPr>
        <w:t>908 (Rév.CMR-15)</w:t>
      </w:r>
      <w:r w:rsidRPr="007E130D">
        <w:t xml:space="preserve">, </w:t>
      </w:r>
      <w:r w:rsidRPr="007E130D">
        <w:rPr>
          <w:color w:val="000000"/>
        </w:rPr>
        <w:t xml:space="preserve">une application en ligne </w:t>
      </w:r>
      <w:r w:rsidRPr="007E130D">
        <w:t>intitulée</w:t>
      </w:r>
      <w:r w:rsidRPr="007E130D">
        <w:rPr>
          <w:color w:val="000000"/>
        </w:rPr>
        <w:t xml:space="preserve"> «Soumission électronique des fiches de notification des réseaux à satellite» a été mise au point, afin de permettre aux administrations de soumettre leurs fiches de notification de réseaux à satellite ou leurs</w:t>
      </w:r>
      <w:r w:rsidR="00C73ADB" w:rsidRPr="007E130D">
        <w:rPr>
          <w:color w:val="000000"/>
        </w:rPr>
        <w:t xml:space="preserve"> </w:t>
      </w:r>
      <w:r w:rsidRPr="007E130D">
        <w:rPr>
          <w:color w:val="000000"/>
        </w:rPr>
        <w:t>observations concernant une BR IFIC via une interface en ligne, sans avoir à envoyer des courriels ou des télécopies.</w:t>
      </w:r>
      <w:r w:rsidR="00DF2C7A" w:rsidRPr="007E130D">
        <w:rPr>
          <w:color w:val="000000"/>
        </w:rPr>
        <w:t xml:space="preserve"> </w:t>
      </w:r>
      <w:r w:rsidR="003F49AA" w:rsidRPr="007E130D">
        <w:rPr>
          <w:color w:val="000000"/>
        </w:rPr>
        <w:t>Cette application en ligne a été mise en service le 1er août 2018 et englobe tous les types de soumissions liées aux réseaux ou systèmes à satellites.</w:t>
      </w:r>
    </w:p>
    <w:p w14:paraId="538822DF" w14:textId="6F77734F" w:rsidR="00DF2C7A" w:rsidRPr="007E130D" w:rsidRDefault="00DF2C7A" w:rsidP="00B20AC9">
      <w:pPr>
        <w:rPr>
          <w:color w:val="000000"/>
        </w:rPr>
      </w:pPr>
      <w:r w:rsidRPr="007E130D">
        <w:t>À compter du 1er août 2018, toutes les fiches de notification présentées au titre des Articles </w:t>
      </w:r>
      <w:r w:rsidRPr="007E130D">
        <w:rPr>
          <w:b/>
          <w:bCs/>
        </w:rPr>
        <w:t>9</w:t>
      </w:r>
      <w:r w:rsidRPr="007E130D">
        <w:t xml:space="preserve"> et </w:t>
      </w:r>
      <w:r w:rsidRPr="007E130D">
        <w:rPr>
          <w:b/>
          <w:bCs/>
        </w:rPr>
        <w:t>11</w:t>
      </w:r>
      <w:r w:rsidRPr="007E130D">
        <w:t xml:space="preserve"> ainsi que des Appendices </w:t>
      </w:r>
      <w:r w:rsidRPr="007E130D">
        <w:rPr>
          <w:b/>
          <w:bCs/>
        </w:rPr>
        <w:t>30</w:t>
      </w:r>
      <w:r w:rsidRPr="007E130D">
        <w:t xml:space="preserve">, </w:t>
      </w:r>
      <w:r w:rsidRPr="007E130D">
        <w:rPr>
          <w:b/>
          <w:bCs/>
        </w:rPr>
        <w:t>30A</w:t>
      </w:r>
      <w:r w:rsidRPr="007E130D">
        <w:t xml:space="preserve"> et </w:t>
      </w:r>
      <w:r w:rsidRPr="007E130D">
        <w:rPr>
          <w:b/>
          <w:bCs/>
        </w:rPr>
        <w:t>30B</w:t>
      </w:r>
      <w:r w:rsidRPr="007E130D">
        <w:t xml:space="preserve"> et des Résolutions </w:t>
      </w:r>
      <w:r w:rsidRPr="007E130D">
        <w:rPr>
          <w:b/>
          <w:bCs/>
        </w:rPr>
        <w:t>49 (Rév.CMR-15)</w:t>
      </w:r>
      <w:r w:rsidRPr="007E130D">
        <w:t xml:space="preserve">, </w:t>
      </w:r>
      <w:r w:rsidRPr="007E130D">
        <w:rPr>
          <w:b/>
          <w:bCs/>
        </w:rPr>
        <w:t>552</w:t>
      </w:r>
      <w:r w:rsidR="00515C6B" w:rsidRPr="007E130D">
        <w:rPr>
          <w:b/>
          <w:bCs/>
        </w:rPr>
        <w:t> </w:t>
      </w:r>
      <w:r w:rsidRPr="007E130D">
        <w:rPr>
          <w:b/>
          <w:bCs/>
        </w:rPr>
        <w:t>(Rév.CMR</w:t>
      </w:r>
      <w:r w:rsidRPr="007E130D">
        <w:rPr>
          <w:b/>
          <w:bCs/>
        </w:rPr>
        <w:noBreakHyphen/>
        <w:t>15)</w:t>
      </w:r>
      <w:r w:rsidRPr="007E130D">
        <w:t xml:space="preserve"> et </w:t>
      </w:r>
      <w:r w:rsidRPr="007E130D">
        <w:rPr>
          <w:b/>
          <w:bCs/>
        </w:rPr>
        <w:t>553 (Rév.CMR-15)</w:t>
      </w:r>
      <w:r w:rsidRPr="007E130D">
        <w:t xml:space="preserve">, en application des procédures du Règlement des radiocommunications, ou les observations concernant une BR IFIC, ont été soumises exclusivement au moyen de l'interface web </w:t>
      </w:r>
      <w:r w:rsidRPr="007E130D">
        <w:rPr>
          <w:color w:val="000000"/>
          <w:lang w:eastAsia="zh-CN"/>
        </w:rPr>
        <w:t>«Soumission électronique des fiches de notification des réseaux à satellite», accessible à l'adresse</w:t>
      </w:r>
      <w:r w:rsidRPr="007E130D">
        <w:t xml:space="preserve"> </w:t>
      </w:r>
      <w:hyperlink r:id="rId49" w:history="1">
        <w:r w:rsidR="005A3888" w:rsidRPr="007E130D">
          <w:rPr>
            <w:rStyle w:val="Hyperlink"/>
          </w:rPr>
          <w:t>https://www.itu.int/itu-r/go/space-submission</w:t>
        </w:r>
      </w:hyperlink>
      <w:r w:rsidRPr="007E130D">
        <w:t>.</w:t>
      </w:r>
    </w:p>
    <w:p w14:paraId="28AEB45B" w14:textId="564DC1F0" w:rsidR="00DF2C7A" w:rsidRPr="007E130D" w:rsidRDefault="0000542A" w:rsidP="00B20AC9">
      <w:pPr>
        <w:rPr>
          <w:color w:val="000000"/>
        </w:rPr>
      </w:pPr>
      <w:r w:rsidRPr="007E130D">
        <w:rPr>
          <w:color w:val="000000"/>
        </w:rPr>
        <w:t>Le système a fonctionné sans problème et en toute sécurité depuis sa mise en place initiale. En outre, il a été amélioré avec plusieurs nouvelles fonctions en fonction des besoins des utilisateurs et de la mise en œuvre de nouvelles procédures réglementaires.</w:t>
      </w:r>
    </w:p>
    <w:p w14:paraId="5149DDC0" w14:textId="6419E925" w:rsidR="00DF2C7A" w:rsidRPr="007E130D" w:rsidRDefault="0000542A" w:rsidP="00B20AC9">
      <w:pPr>
        <w:rPr>
          <w:i/>
          <w:iCs/>
          <w:color w:val="000000"/>
        </w:rPr>
      </w:pPr>
      <w:bookmarkStart w:id="86" w:name="_Hlk136618789"/>
      <w:r w:rsidRPr="007E130D">
        <w:rPr>
          <w:i/>
          <w:iCs/>
          <w:color w:val="000000"/>
        </w:rPr>
        <w:t>Par exemple, le système de soumission électronique a été mis à jour pour accepter les formats</w:t>
      </w:r>
      <w:r w:rsidR="00515C6B" w:rsidRPr="007E130D">
        <w:rPr>
          <w:i/>
          <w:iCs/>
          <w:color w:val="000000"/>
        </w:rPr>
        <w:t> </w:t>
      </w:r>
      <w:r w:rsidRPr="007E130D">
        <w:rPr>
          <w:i/>
          <w:iCs/>
          <w:color w:val="000000"/>
        </w:rPr>
        <w:t>SNS</w:t>
      </w:r>
      <w:r w:rsidR="00515C6B" w:rsidRPr="007E130D">
        <w:rPr>
          <w:i/>
          <w:iCs/>
          <w:color w:val="000000"/>
        </w:rPr>
        <w:t> </w:t>
      </w:r>
      <w:r w:rsidRPr="007E130D">
        <w:rPr>
          <w:i/>
          <w:iCs/>
          <w:color w:val="000000"/>
        </w:rPr>
        <w:t xml:space="preserve">9 et SNS 9.1 lorsque les nouvelles versions du SNS ont été introduites respectivement. Le système de soumission électronique a également été mis à jour pour permettre aux utilisateurs de saisir et de soumettre les renseignements demandés au titre de la Résolution </w:t>
      </w:r>
      <w:r w:rsidRPr="007E130D">
        <w:rPr>
          <w:b/>
          <w:bCs/>
          <w:i/>
          <w:iCs/>
          <w:color w:val="000000"/>
        </w:rPr>
        <w:t>35 (CMR-19)</w:t>
      </w:r>
      <w:r w:rsidRPr="007E130D">
        <w:rPr>
          <w:i/>
          <w:iCs/>
          <w:color w:val="000000"/>
        </w:rPr>
        <w:t xml:space="preserve"> lorsque la nouvelle résolution a été mise en œuvre</w:t>
      </w:r>
      <w:r w:rsidR="00DF2C7A" w:rsidRPr="007E130D">
        <w:rPr>
          <w:i/>
          <w:iCs/>
          <w:color w:val="000000"/>
        </w:rPr>
        <w:t>.</w:t>
      </w:r>
    </w:p>
    <w:bookmarkEnd w:id="86"/>
    <w:p w14:paraId="19CCEEA9" w14:textId="06B60F25" w:rsidR="00DF2C7A" w:rsidRPr="007E130D" w:rsidRDefault="0000542A" w:rsidP="00B20AC9">
      <w:pPr>
        <w:rPr>
          <w:color w:val="000000"/>
        </w:rPr>
      </w:pPr>
      <w:r w:rsidRPr="007E130D">
        <w:rPr>
          <w:color w:val="000000"/>
        </w:rPr>
        <w:t>Le nombre d'administrations et d'utilisateurs enregistrés augmente comme le montre la figure ci</w:t>
      </w:r>
      <w:r w:rsidR="00515C6B" w:rsidRPr="007E130D">
        <w:rPr>
          <w:color w:val="000000"/>
        </w:rPr>
        <w:noBreakHyphen/>
      </w:r>
      <w:r w:rsidRPr="007E130D">
        <w:rPr>
          <w:color w:val="000000"/>
        </w:rPr>
        <w:t xml:space="preserve">dessous. Au moment de la rédaction du présent rapport, 153 administrations et </w:t>
      </w:r>
      <w:r w:rsidR="00265CB8" w:rsidRPr="007E130D">
        <w:rPr>
          <w:color w:val="000000"/>
        </w:rPr>
        <w:t>une</w:t>
      </w:r>
      <w:r w:rsidRPr="007E130D">
        <w:rPr>
          <w:color w:val="000000"/>
        </w:rPr>
        <w:t xml:space="preserve"> organisation intergouvernementale de télécommunications par satellite (à noter que d'autres organisations de ce type ont choisi d'être enregistrées en tant qu'opérateur de satellite de leur administration notificatrice) se sont inscrites, ce qui représente un total de 958 utilisateurs individuels, comprenant à la fois les utilisateurs de l'administration et les utilisateurs pour un opérateur.</w:t>
      </w:r>
    </w:p>
    <w:p w14:paraId="65EC900D" w14:textId="019385DC" w:rsidR="00DF2C7A" w:rsidRPr="007E130D" w:rsidRDefault="005954DA" w:rsidP="00C73ADB">
      <w:pPr>
        <w:pStyle w:val="Figure"/>
        <w:keepNext w:val="0"/>
        <w:keepLines w:val="0"/>
        <w:rPr>
          <w:highlight w:val="yellow"/>
        </w:rPr>
      </w:pPr>
      <w:r w:rsidRPr="007E130D">
        <w:drawing>
          <wp:inline distT="0" distB="0" distL="0" distR="0" wp14:anchorId="1382FB47" wp14:editId="17C456AC">
            <wp:extent cx="6120765" cy="3463290"/>
            <wp:effectExtent l="0" t="0" r="0" b="3810"/>
            <wp:docPr id="1256420754" name="Picture 1" descr="A graph with blue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0754" name="Picture 1" descr="A graph with blue lines and numbers&#10;&#10;Description automatically generated"/>
                    <pic:cNvPicPr/>
                  </pic:nvPicPr>
                  <pic:blipFill>
                    <a:blip r:embed="rId50"/>
                    <a:stretch>
                      <a:fillRect/>
                    </a:stretch>
                  </pic:blipFill>
                  <pic:spPr>
                    <a:xfrm>
                      <a:off x="0" y="0"/>
                      <a:ext cx="6120765" cy="3463290"/>
                    </a:xfrm>
                    <a:prstGeom prst="rect">
                      <a:avLst/>
                    </a:prstGeom>
                  </pic:spPr>
                </pic:pic>
              </a:graphicData>
            </a:graphic>
          </wp:inline>
        </w:drawing>
      </w:r>
    </w:p>
    <w:p w14:paraId="0ABECDCE" w14:textId="77777777" w:rsidR="005A3393" w:rsidRPr="007E130D" w:rsidRDefault="005A3393" w:rsidP="00B20AC9">
      <w:r w:rsidRPr="007E130D">
        <w:lastRenderedPageBreak/>
        <w:t>Le Bureau saisit l'occasion qui lui est offerte avec le présent rapport pour remercier à nouveau l'Administration du Japon d'avoir bien voulu apporter une assistance concrète aux fins de l'élaboration de ce projet.</w:t>
      </w:r>
    </w:p>
    <w:p w14:paraId="54EA15CD" w14:textId="77777777" w:rsidR="005A3393" w:rsidRPr="007E130D" w:rsidRDefault="005A3393" w:rsidP="00B20AC9">
      <w:pPr>
        <w:pStyle w:val="Heading2"/>
      </w:pPr>
      <w:bookmarkStart w:id="87" w:name="_Toc147328787"/>
      <w:r w:rsidRPr="007E130D">
        <w:t>2.5</w:t>
      </w:r>
      <w:r w:rsidRPr="007E130D">
        <w:rPr>
          <w:rFonts w:ascii="Calibri" w:hAnsi="Calibri" w:cs="Calibri"/>
          <w:szCs w:val="22"/>
        </w:rPr>
        <w:tab/>
      </w:r>
      <w:r w:rsidRPr="007E130D">
        <w:t>Traitement d'assignations de fréquence dont la largeur de bande est inférieure à la largeur de bande moyenne indiquée</w:t>
      </w:r>
      <w:bookmarkEnd w:id="87"/>
    </w:p>
    <w:p w14:paraId="33533BA1" w14:textId="025B79E7" w:rsidR="005A3393" w:rsidRPr="007E130D" w:rsidRDefault="00BB7490" w:rsidP="00B20AC9">
      <w:r w:rsidRPr="007E130D">
        <w:t xml:space="preserve">Le Bureau a informé la CMR-15 dans le Rapport du Directeur (voir le § 3.2.5.2.2 de la Révision 1 de l'Addendum 2 au Document </w:t>
      </w:r>
      <w:hyperlink r:id="rId51" w:history="1">
        <w:r w:rsidRPr="007E130D">
          <w:rPr>
            <w:rStyle w:val="Hyperlink"/>
          </w:rPr>
          <w:t>CMR-15/4</w:t>
        </w:r>
      </w:hyperlink>
      <w:r w:rsidRPr="007E130D">
        <w:t xml:space="preserve">) de la nécessité pour les administrations d'utiliser la Recommandation UIT-R SF.675 pour calculer la densité spectrale de puissance maximale et de soumettre les données conformément à l'Appendice </w:t>
      </w:r>
      <w:r w:rsidRPr="007E130D">
        <w:rPr>
          <w:b/>
          <w:bCs/>
        </w:rPr>
        <w:t>4</w:t>
      </w:r>
      <w:r w:rsidRPr="007E130D">
        <w:t xml:space="preserve"> du RR.</w:t>
      </w:r>
    </w:p>
    <w:p w14:paraId="1B236762" w14:textId="34BE90D7" w:rsidR="005A3393" w:rsidRPr="007E130D" w:rsidRDefault="00BB7490" w:rsidP="00B20AC9">
      <w:r w:rsidRPr="007E130D">
        <w:t xml:space="preserve">La note de bas de page 2 des Tableaux A, B, C et D de l'Annexe 2 de l'Appendice </w:t>
      </w:r>
      <w:r w:rsidRPr="007E130D">
        <w:rPr>
          <w:b/>
          <w:bCs/>
        </w:rPr>
        <w:t>4</w:t>
      </w:r>
      <w:r w:rsidRPr="007E130D">
        <w:t xml:space="preserve"> du RR, telle que modifiée par la CMR</w:t>
      </w:r>
      <w:r w:rsidR="00FC05C7" w:rsidRPr="007E130D">
        <w:t>-</w:t>
      </w:r>
      <w:r w:rsidRPr="007E130D">
        <w:t>12, indique qu'il convient d'utiliser la version la plus récente de la Recommandation UIT-R SF.675 pour calculer la densité spectrale de puissance maximale des porteuses. Pour l'identification de la densité spectrale de puissance maximale des différents types de porteuses, il est recommandé de considérer le nombre maximal possible de porteuses occupant une largeur de bande moyenne donnée.</w:t>
      </w:r>
    </w:p>
    <w:p w14:paraId="3841D08D" w14:textId="7BADA67B" w:rsidR="005A3393" w:rsidRPr="007E130D" w:rsidRDefault="00BB7490" w:rsidP="00B20AC9">
      <w:r w:rsidRPr="007E130D">
        <w:t>L'importance de la note de bas de page 2 réside dans le fait que la valeur moyenne de la densité de puissance maximale est calculée sur les 4 kHz les plus défavorables pour les porteuses inférieures à</w:t>
      </w:r>
      <w:r w:rsidR="00515C6B" w:rsidRPr="007E130D">
        <w:t> </w:t>
      </w:r>
      <w:r w:rsidRPr="007E130D">
        <w:t>15 GHz et sur 1 MHz pour les porteuses égales ou supérieures à 15 GHz. Il est important que les administrations respectent cette note de bas de page lorsqu'elles fournissent des éléments de données de l'</w:t>
      </w:r>
      <w:r w:rsidR="00515C6B" w:rsidRPr="007E130D">
        <w:t>A</w:t>
      </w:r>
      <w:r w:rsidRPr="007E130D">
        <w:t xml:space="preserve">ppendice </w:t>
      </w:r>
      <w:r w:rsidRPr="007E130D">
        <w:rPr>
          <w:b/>
          <w:bCs/>
        </w:rPr>
        <w:t>4</w:t>
      </w:r>
      <w:r w:rsidRPr="007E130D">
        <w:t xml:space="preserve"> du RR pour les examens des limites de puissance afin de parvenir à des conclusions conformes aux dispositions du Règlement des radiocommunications.</w:t>
      </w:r>
    </w:p>
    <w:p w14:paraId="4FEA82AB" w14:textId="4FD8B9DA" w:rsidR="005A3393" w:rsidRPr="007E130D" w:rsidRDefault="00BB7490" w:rsidP="00B20AC9">
      <w:r w:rsidRPr="007E130D">
        <w:t xml:space="preserve">En ce qui concerne cette exigence, le Bureau a observé que, pour un grand nombre d'émissions contenues dans la base de données du SRS dont la largeur de bande nécessaire est inférieure à la largeur de bande moyenne, la densité de puissance maximale est </w:t>
      </w:r>
      <w:r w:rsidR="00EA4BE6" w:rsidRPr="007E130D">
        <w:t>fondée</w:t>
      </w:r>
      <w:r w:rsidRPr="007E130D">
        <w:t xml:space="preserve"> sur une seule porteuse occupant la largeur de bande moyenne. Cela va à l'encontre des systèmes réels dans lesquels des opérations à porteuses multiples pourraient être envisagées, en particulier si l'on considère que la largeur de bande du groupe d'assignation de fréquence dépasse de loin la largeur de bande nécessaire d'une émis</w:t>
      </w:r>
      <w:r w:rsidR="00EA4BE6" w:rsidRPr="007E130D">
        <w:t>sion dans les cas susmentionnés</w:t>
      </w:r>
      <w:r w:rsidR="005A3393" w:rsidRPr="007E130D">
        <w:t>.</w:t>
      </w:r>
    </w:p>
    <w:p w14:paraId="72A3C4F7" w14:textId="77777777" w:rsidR="00EA4BE6" w:rsidRPr="007E130D" w:rsidRDefault="00EA4BE6" w:rsidP="00B20AC9">
      <w:r w:rsidRPr="007E130D">
        <w:t>La CMR-15 a suggéré que cette question détaillée soit renvoyée à la Commission d'études appropriée de l'UIT-R pour un examen plus approfondi.</w:t>
      </w:r>
    </w:p>
    <w:p w14:paraId="0FC838AF" w14:textId="017B9C2D" w:rsidR="005A3393" w:rsidRPr="007E130D" w:rsidRDefault="00EA4BE6" w:rsidP="00B20AC9">
      <w:r w:rsidRPr="007E130D">
        <w:t xml:space="preserve">Au cours </w:t>
      </w:r>
      <w:r w:rsidR="00DB4B83" w:rsidRPr="007E130D">
        <w:t>de la période</w:t>
      </w:r>
      <w:r w:rsidRPr="007E130D">
        <w:t xml:space="preserve"> d'études 2015-2023 de l'UIT-R, le Bureau a présenté des contributions sur</w:t>
      </w:r>
      <w:r w:rsidR="00515C6B" w:rsidRPr="007E130D">
        <w:t> </w:t>
      </w:r>
      <w:r w:rsidRPr="007E130D">
        <w:t xml:space="preserve">cette question expliquant le problème, fournissant un rapport de situation (voir les </w:t>
      </w:r>
      <w:r w:rsidR="00515C6B" w:rsidRPr="007E130D">
        <w:t>D</w:t>
      </w:r>
      <w:r w:rsidRPr="007E130D">
        <w:t>ocuments</w:t>
      </w:r>
      <w:r w:rsidR="00515C6B" w:rsidRPr="007E130D">
        <w:t> </w:t>
      </w:r>
      <w:hyperlink r:id="rId52" w:history="1">
        <w:r w:rsidRPr="007E130D">
          <w:rPr>
            <w:rStyle w:val="Hyperlink"/>
          </w:rPr>
          <w:t>4A/51</w:t>
        </w:r>
      </w:hyperlink>
      <w:r w:rsidRPr="007E130D">
        <w:t xml:space="preserve">, </w:t>
      </w:r>
      <w:hyperlink r:id="rId53" w:history="1">
        <w:r w:rsidRPr="007E130D">
          <w:rPr>
            <w:rStyle w:val="Hyperlink"/>
          </w:rPr>
          <w:t>4C/94</w:t>
        </w:r>
      </w:hyperlink>
      <w:r w:rsidRPr="007E130D">
        <w:t xml:space="preserve">, </w:t>
      </w:r>
      <w:hyperlink r:id="rId54" w:history="1">
        <w:r w:rsidRPr="007E130D">
          <w:rPr>
            <w:rStyle w:val="Hyperlink"/>
          </w:rPr>
          <w:t>7B/58</w:t>
        </w:r>
      </w:hyperlink>
      <w:r w:rsidRPr="007E130D">
        <w:t xml:space="preserve">, </w:t>
      </w:r>
      <w:hyperlink r:id="rId55" w:history="1">
        <w:r w:rsidRPr="007E130D">
          <w:rPr>
            <w:rStyle w:val="Hyperlink"/>
          </w:rPr>
          <w:t>4A/108</w:t>
        </w:r>
      </w:hyperlink>
      <w:r w:rsidRPr="007E130D">
        <w:t xml:space="preserve">, </w:t>
      </w:r>
      <w:hyperlink r:id="rId56" w:history="1">
        <w:r w:rsidRPr="007E130D">
          <w:rPr>
            <w:rStyle w:val="Hyperlink"/>
          </w:rPr>
          <w:t>4A/841</w:t>
        </w:r>
      </w:hyperlink>
      <w:r w:rsidRPr="007E130D">
        <w:t xml:space="preserve">) et fournissant une nouvelle méthode de calcul pour dériver la puissance de transmission utilisée dans l'examen de la limite </w:t>
      </w:r>
      <w:r w:rsidR="00B742EC" w:rsidRPr="007E130D">
        <w:t>stricte</w:t>
      </w:r>
      <w:r w:rsidRPr="007E130D">
        <w:t xml:space="preserve"> (voir les </w:t>
      </w:r>
      <w:r w:rsidR="00515C6B" w:rsidRPr="007E130D">
        <w:t>D</w:t>
      </w:r>
      <w:r w:rsidRPr="007E130D">
        <w:t xml:space="preserve">ocuments </w:t>
      </w:r>
      <w:hyperlink r:id="rId57" w:history="1">
        <w:r w:rsidRPr="007E130D">
          <w:rPr>
            <w:rStyle w:val="Hyperlink"/>
          </w:rPr>
          <w:t>4A1/841</w:t>
        </w:r>
      </w:hyperlink>
      <w:r w:rsidRPr="007E130D">
        <w:t>).</w:t>
      </w:r>
    </w:p>
    <w:p w14:paraId="0F335C48" w14:textId="25CE6739" w:rsidR="005A3393" w:rsidRPr="007E130D" w:rsidRDefault="00EA4BE6" w:rsidP="00B20AC9">
      <w:r w:rsidRPr="007E130D">
        <w:t>Dans le même temps, le Bureau a pris des mesures supplémentaires pour aligner progressivement le calcul de la puissance surfacique sur la méthode de calcul qui utilise la définition de la puissance maximale conformément à la Recommandation UIT-R SF.675. Ces mesures sont détaillées ci</w:t>
      </w:r>
      <w:r w:rsidR="00515C6B" w:rsidRPr="007E130D">
        <w:noBreakHyphen/>
      </w:r>
      <w:r w:rsidRPr="007E130D">
        <w:t>dessous.</w:t>
      </w:r>
    </w:p>
    <w:p w14:paraId="4067ED4E" w14:textId="70B85FA1" w:rsidR="005A3393" w:rsidRPr="007E130D" w:rsidRDefault="005A3393" w:rsidP="00B20AC9">
      <w:pPr>
        <w:pStyle w:val="Heading3"/>
      </w:pPr>
      <w:bookmarkStart w:id="88" w:name="_Toc143072406"/>
      <w:bookmarkStart w:id="89" w:name="_Toc147328788"/>
      <w:r w:rsidRPr="007E130D">
        <w:t>2.5.1</w:t>
      </w:r>
      <w:r w:rsidRPr="007E130D">
        <w:tab/>
      </w:r>
      <w:r w:rsidR="00F63FB7" w:rsidRPr="007E130D">
        <w:t>Mise en œuvre des règles relatives à la validation spatiale</w:t>
      </w:r>
      <w:bookmarkEnd w:id="88"/>
      <w:bookmarkEnd w:id="89"/>
    </w:p>
    <w:p w14:paraId="6E07972F" w14:textId="6C3990BB" w:rsidR="005A3393" w:rsidRPr="007E130D" w:rsidRDefault="00F63FB7" w:rsidP="00B20AC9">
      <w:r w:rsidRPr="007E130D">
        <w:t>De nouvelles règles de validation ont été mises en œuvre dans le logiciel pour la validation spatiale (v. 8.0.5) afin d'émettre un avertissement lorsqu'une incohérence entre la puissance de crête définie et la densité spectrale de puissance est détectée au moment de la préparation des fiches de notification pour la soumission d'une demande de coordination ou d'une notification. Ces nouvelles règles de validation ont été publiées dans la BR IFIC 2842 (04.04.2017).</w:t>
      </w:r>
    </w:p>
    <w:p w14:paraId="343FDBB6" w14:textId="77777777" w:rsidR="005A3393" w:rsidRPr="007E130D" w:rsidRDefault="00F63FB7" w:rsidP="00B20AC9">
      <w:pPr>
        <w:rPr>
          <w:b/>
          <w:bCs/>
        </w:rPr>
      </w:pPr>
      <w:r w:rsidRPr="007E130D">
        <w:lastRenderedPageBreak/>
        <w:t>L'objectif de ces contrôles de validation était d'aider les administrations et de leur rappeler d'utiliser la version la plus récente de la Recommandation UIT-R SF.675 dans leurs calculs de densité de puissance maximale.</w:t>
      </w:r>
    </w:p>
    <w:p w14:paraId="10DCB5DA" w14:textId="7ACC3B16" w:rsidR="005A3393" w:rsidRPr="007E130D" w:rsidRDefault="001D04CA" w:rsidP="00B20AC9">
      <w:r w:rsidRPr="007E130D">
        <w:t>Depuis que le Bureau a mis en œuvre les nouvelles règles de validation, la situation semble s'améliorer (c'est-à-dire que davantage d'administrations semblent utiliser la Recommandation</w:t>
      </w:r>
      <w:r w:rsidR="0066307A" w:rsidRPr="007E130D">
        <w:t> </w:t>
      </w:r>
      <w:r w:rsidRPr="007E130D">
        <w:t>UIT</w:t>
      </w:r>
      <w:r w:rsidR="0066307A" w:rsidRPr="007E130D">
        <w:noBreakHyphen/>
      </w:r>
      <w:r w:rsidRPr="007E130D">
        <w:t>R SF.675 pour calculer la densité spectrale de puissance maximale)</w:t>
      </w:r>
      <w:r w:rsidR="005A3393" w:rsidRPr="007E130D">
        <w:t>.</w:t>
      </w:r>
    </w:p>
    <w:p w14:paraId="7E3932C6" w14:textId="4FB2FEE8" w:rsidR="005A3393" w:rsidRPr="007E130D" w:rsidRDefault="001D04CA" w:rsidP="00B20AC9">
      <w:r w:rsidRPr="007E130D">
        <w:t xml:space="preserve">Les nouvelles règles de validation spatiale étant déjà en vigueur depuis 5 ans, le Bureau est convaincu que les administrations </w:t>
      </w:r>
      <w:r w:rsidR="00B9470E" w:rsidRPr="007E130D">
        <w:t>connaissent mieux</w:t>
      </w:r>
      <w:r w:rsidRPr="007E130D">
        <w:t xml:space="preserve"> l'obligation d'utiliser la Recommandation</w:t>
      </w:r>
      <w:r w:rsidR="0066307A" w:rsidRPr="007E130D">
        <w:t> </w:t>
      </w:r>
      <w:r w:rsidRPr="007E130D">
        <w:t>UIT-R SF.675 pour le calcul de la densité de puissance maximale.</w:t>
      </w:r>
    </w:p>
    <w:p w14:paraId="735DDA2D" w14:textId="3D85B08A" w:rsidR="005A3393" w:rsidRPr="007E130D" w:rsidRDefault="005A3393" w:rsidP="00B20AC9">
      <w:pPr>
        <w:pStyle w:val="Heading3"/>
      </w:pPr>
      <w:bookmarkStart w:id="90" w:name="_Toc147328789"/>
      <w:bookmarkStart w:id="91" w:name="_Toc143072407"/>
      <w:r w:rsidRPr="0000234B">
        <w:t>2.5.2</w:t>
      </w:r>
      <w:r w:rsidRPr="0000234B">
        <w:tab/>
      </w:r>
      <w:r w:rsidR="00073B15" w:rsidRPr="0000234B">
        <w:t>Nouvelle</w:t>
      </w:r>
      <w:r w:rsidRPr="0000234B">
        <w:t xml:space="preserve"> version </w:t>
      </w:r>
      <w:r w:rsidR="00073B15" w:rsidRPr="0000234B">
        <w:t xml:space="preserve">du logiciel </w:t>
      </w:r>
      <w:r w:rsidRPr="0000234B">
        <w:t>GIBC</w:t>
      </w:r>
      <w:bookmarkEnd w:id="90"/>
      <w:bookmarkEnd w:id="91"/>
    </w:p>
    <w:p w14:paraId="7287E11D" w14:textId="352C542C" w:rsidR="005A3393" w:rsidRPr="007E130D" w:rsidRDefault="00073B15" w:rsidP="00B20AC9">
      <w:r w:rsidRPr="007E130D">
        <w:t>La nouvelle version du logiciel GIBC (v9.1) a été publiée et met en œuvre une nouvelle méthode de calcul alignée sur la Recommandation UIT-R SF.675. Une option a été ajoutée aux modules GIBC puissance surfacique/p.i.r.e. OSG et GIBC puissance surfacique/p.i.r.e. non</w:t>
      </w:r>
      <w:r w:rsidR="00DD40D4" w:rsidRPr="007E130D">
        <w:t xml:space="preserve"> </w:t>
      </w:r>
      <w:r w:rsidRPr="007E130D">
        <w:t>OSG responsables de la validation des limites strictes pour calculer la puissance transmise en utilisant la Recommandation</w:t>
      </w:r>
      <w:r w:rsidR="0066307A" w:rsidRPr="007E130D">
        <w:t> </w:t>
      </w:r>
      <w:r w:rsidRPr="007E130D">
        <w:t>UIT-R SF.675.</w:t>
      </w:r>
    </w:p>
    <w:p w14:paraId="61D3FD9C" w14:textId="474F88AF" w:rsidR="005A3393" w:rsidRPr="007E130D" w:rsidRDefault="00227EF1" w:rsidP="00B20AC9">
      <w:r w:rsidRPr="007E130D">
        <w:t xml:space="preserve">Avec cette option supplémentaire, une administration peut vérifier la conformité avec les limites de puissance surfacique de l'Article </w:t>
      </w:r>
      <w:r w:rsidRPr="007E130D">
        <w:rPr>
          <w:b/>
          <w:bCs/>
        </w:rPr>
        <w:t>21</w:t>
      </w:r>
      <w:r w:rsidRPr="007E130D">
        <w:t xml:space="preserve"> du RR en utilisant une méthode de calcul fondée sur la définition de la puissance maximale conformément à la Recommandation UIT-R SF.675.</w:t>
      </w:r>
    </w:p>
    <w:p w14:paraId="1CB52F0D" w14:textId="75902277" w:rsidR="005A3393" w:rsidRPr="007E130D" w:rsidRDefault="005A3393" w:rsidP="00B20AC9">
      <w:pPr>
        <w:pStyle w:val="Heading3"/>
      </w:pPr>
      <w:bookmarkStart w:id="92" w:name="_Toc143072408"/>
      <w:bookmarkStart w:id="93" w:name="_Toc147328790"/>
      <w:r w:rsidRPr="007E130D">
        <w:t>2.5.3</w:t>
      </w:r>
      <w:r w:rsidRPr="007E130D">
        <w:tab/>
      </w:r>
      <w:r w:rsidR="00227EF1" w:rsidRPr="007E130D">
        <w:t>Mise en œuvre d'un programme de vérification en ligne de la puissance surfacique (OSG et non</w:t>
      </w:r>
      <w:r w:rsidR="00DD40D4" w:rsidRPr="007E130D">
        <w:t xml:space="preserve"> </w:t>
      </w:r>
      <w:r w:rsidR="00227EF1" w:rsidRPr="007E130D">
        <w:t>OSG)</w:t>
      </w:r>
      <w:bookmarkEnd w:id="92"/>
      <w:bookmarkEnd w:id="93"/>
    </w:p>
    <w:p w14:paraId="6DDAD658" w14:textId="1D19DF49" w:rsidR="005A3393" w:rsidRPr="007E130D" w:rsidRDefault="00227EF1" w:rsidP="00B20AC9">
      <w:r w:rsidRPr="007E130D">
        <w:t>Le Bureau est actuellement en train de mettre en œuvre un module de calcul en ligne de la puissance surfacique (OSG et non</w:t>
      </w:r>
      <w:r w:rsidR="00DD40D4" w:rsidRPr="007E130D">
        <w:t xml:space="preserve"> </w:t>
      </w:r>
      <w:r w:rsidRPr="007E130D">
        <w:t>OSG) intégré dans l'application web Soumission électronique. Ce module permettra aux administrations de vérifier la puissance surfacique en utilisant les bases de données SRS et GIMS qu'elles ont préparées au moment de la soumission. Cela permettrait également d'éviter que les administrations reçoivent soudainement des conclusions défavorables alors qu'elles soumettent des assignations de fréquence qu'elles considèrent comme favorables d'après leur expérience passée.</w:t>
      </w:r>
    </w:p>
    <w:p w14:paraId="7F5DD8E3" w14:textId="77777777" w:rsidR="005A3393" w:rsidRPr="007E130D" w:rsidRDefault="00227EF1" w:rsidP="00B20AC9">
      <w:r w:rsidRPr="007E130D">
        <w:t>Le Bureau prévoit de fournir la fonctionnalité d'essai de ce module au sein de la plate-forme de soumission électronique au cours du deuxième semestre 2023. La version de production devrait être mise en place avant la CMR-23</w:t>
      </w:r>
      <w:r w:rsidR="005A3393" w:rsidRPr="007E130D">
        <w:t>.</w:t>
      </w:r>
    </w:p>
    <w:p w14:paraId="4E568476" w14:textId="07E53065" w:rsidR="005A3393" w:rsidRPr="007E130D" w:rsidRDefault="00227EF1" w:rsidP="00B20AC9">
      <w:r w:rsidRPr="007E130D">
        <w:t xml:space="preserve">Avec ces mesures supplémentaires mises en place, le Bureau sera prêt à mettre en œuvre la nouvelle méthode de calcul pour l'examen des limites de la puissance surfacique de l'Article </w:t>
      </w:r>
      <w:r w:rsidRPr="007E130D">
        <w:rPr>
          <w:b/>
          <w:bCs/>
        </w:rPr>
        <w:t>21</w:t>
      </w:r>
      <w:r w:rsidRPr="007E130D">
        <w:t xml:space="preserve"> du RR, qui consiste à utiliser la densité spectrale de puissance maximale multipliée par la largeur de bande de référence dans le cas où la largeur de bande de référence est inférieure ou égale à la largeur de bande moyenne.</w:t>
      </w:r>
    </w:p>
    <w:p w14:paraId="6824706A" w14:textId="77777777" w:rsidR="005A3393" w:rsidRPr="007E130D" w:rsidRDefault="00227EF1" w:rsidP="00B20AC9">
      <w:r w:rsidRPr="007E130D">
        <w:t>Le Bureau informera les administrations par Lettre circulaire qu'il appliquera la méthodologie modifiée aux fiches de notification reçues à partir de la date de mise à disposition de l'outil de calcul en ligne de la puissance surfacique, sans application rétroactive</w:t>
      </w:r>
      <w:r w:rsidR="005A3393" w:rsidRPr="007E130D">
        <w:t>.</w:t>
      </w:r>
    </w:p>
    <w:p w14:paraId="58F992A2" w14:textId="16220C4A" w:rsidR="00A82EF2" w:rsidRPr="007E130D" w:rsidRDefault="00A82EF2" w:rsidP="00C73ADB">
      <w:pPr>
        <w:pStyle w:val="Heading2"/>
      </w:pPr>
      <w:bookmarkStart w:id="94" w:name="_Toc147328791"/>
      <w:r w:rsidRPr="007E130D">
        <w:lastRenderedPageBreak/>
        <w:t>2.</w:t>
      </w:r>
      <w:r w:rsidR="005A3393" w:rsidRPr="007E130D">
        <w:t>6</w:t>
      </w:r>
      <w:r w:rsidRPr="007E130D">
        <w:tab/>
        <w:t>Assistance spéciale fournie en ce qui concerne la coordination, la notification et les Plans</w:t>
      </w:r>
      <w:bookmarkEnd w:id="74"/>
      <w:bookmarkEnd w:id="75"/>
      <w:bookmarkEnd w:id="94"/>
    </w:p>
    <w:p w14:paraId="797B41EA" w14:textId="23E185FF" w:rsidR="00A82EF2" w:rsidRPr="007E130D" w:rsidRDefault="00A82EF2" w:rsidP="00C73ADB">
      <w:pPr>
        <w:pStyle w:val="Heading3"/>
      </w:pPr>
      <w:bookmarkStart w:id="95" w:name="_Toc426463208"/>
      <w:bookmarkStart w:id="96" w:name="_Toc19880026"/>
      <w:bookmarkStart w:id="97" w:name="_Toc147328792"/>
      <w:r w:rsidRPr="007E130D">
        <w:t>2.</w:t>
      </w:r>
      <w:r w:rsidR="005A3393" w:rsidRPr="007E130D">
        <w:t>6</w:t>
      </w:r>
      <w:r w:rsidRPr="007E130D">
        <w:t>.1</w:t>
      </w:r>
      <w:r w:rsidRPr="007E130D">
        <w:tab/>
        <w:t>Assistance fournie pour les services non planifiés</w:t>
      </w:r>
      <w:bookmarkEnd w:id="95"/>
      <w:bookmarkEnd w:id="96"/>
      <w:bookmarkEnd w:id="97"/>
    </w:p>
    <w:p w14:paraId="089CB1E3" w14:textId="5E9348A8" w:rsidR="00A82EF2" w:rsidRPr="007E130D" w:rsidRDefault="00A82EF2" w:rsidP="00C73ADB">
      <w:pPr>
        <w:keepNext/>
        <w:keepLines/>
      </w:pPr>
      <w:r w:rsidRPr="007E130D">
        <w:t xml:space="preserve">En raison de l'obligation qui leur est faite de notifier leurs assignations dans un délai de sept ans, les administrations comptent de plus en plus sur l'assistance réglementaire fournie par le Bureau au titre des Sous-Sections IIB et IID de l'Article </w:t>
      </w:r>
      <w:r w:rsidRPr="007E130D">
        <w:rPr>
          <w:b/>
          <w:bCs/>
        </w:rPr>
        <w:t>9</w:t>
      </w:r>
      <w:r w:rsidRPr="007E130D">
        <w:t xml:space="preserve"> pour achever ou poursuivre la coordination lorsque aucune réponse n'a été donnée ou lorsque des objections ont été formulées sans préciser quelles assignations constituent la base de l'objection. Entre </w:t>
      </w:r>
      <w:r w:rsidR="005A3393" w:rsidRPr="007E130D">
        <w:t xml:space="preserve">juillet 2019 </w:t>
      </w:r>
      <w:r w:rsidRPr="007E130D">
        <w:t xml:space="preserve">et </w:t>
      </w:r>
      <w:r w:rsidR="005A3393" w:rsidRPr="007E130D">
        <w:t>mai 2023</w:t>
      </w:r>
      <w:r w:rsidRPr="007E130D">
        <w:t xml:space="preserve">, le nombre de demandes d'assistance traitées a été de </w:t>
      </w:r>
      <w:r w:rsidR="005A3393" w:rsidRPr="007E130D">
        <w:t xml:space="preserve">240 </w:t>
      </w:r>
      <w:r w:rsidRPr="007E130D">
        <w:t xml:space="preserve">pour les stations spatiales et de </w:t>
      </w:r>
      <w:r w:rsidR="005A3393" w:rsidRPr="007E130D">
        <w:t xml:space="preserve">370 </w:t>
      </w:r>
      <w:r w:rsidRPr="007E130D">
        <w:t xml:space="preserve">pour les stations terriennes. Le Bureau s'efforce de répondre à ces demandes d'assistance le plus rapidement possible, dans le respect des procédures prévues à l'Article </w:t>
      </w:r>
      <w:r w:rsidRPr="007E130D">
        <w:rPr>
          <w:b/>
          <w:bCs/>
        </w:rPr>
        <w:t>9</w:t>
      </w:r>
      <w:r w:rsidRPr="007E130D">
        <w:t>.</w:t>
      </w:r>
    </w:p>
    <w:p w14:paraId="7E60F8F3" w14:textId="77777777" w:rsidR="00A82EF2" w:rsidRPr="007E130D" w:rsidRDefault="00A82EF2" w:rsidP="00B20AC9">
      <w:r w:rsidRPr="007E130D">
        <w:t xml:space="preserve">En plus de l'assistance réglementaire décrite ci-dessus, diverses dispositions du Règlement des radiocommunications (notamment dans les Articles </w:t>
      </w:r>
      <w:r w:rsidRPr="007E130D">
        <w:rPr>
          <w:b/>
          <w:bCs/>
        </w:rPr>
        <w:t>7</w:t>
      </w:r>
      <w:r w:rsidRPr="007E130D">
        <w:t xml:space="preserve"> et </w:t>
      </w:r>
      <w:r w:rsidRPr="007E130D">
        <w:rPr>
          <w:b/>
          <w:bCs/>
        </w:rPr>
        <w:t>13</w:t>
      </w:r>
      <w:r w:rsidRPr="007E130D">
        <w:t>) offrent toute une série de possibilités pour aider les administrations. La nature de l'assistance doit être déterminée, ainsi que les procédures et les administrations concernées, et les réponses doivent être élaborées dans les meilleurs délais. Le Département des services spatiaux est également en contact, chaque jour, avec de nombreuses administrations, organismes d'exploitation, sociétés privées et avec le grand public qui demandent une assistance, un appui ou des précisions concernant l'application des dispositions réglementaires et administratives du Règlement des radiocommunications.</w:t>
      </w:r>
    </w:p>
    <w:p w14:paraId="693B77EA" w14:textId="53574FC3" w:rsidR="00A82EF2" w:rsidRPr="007E130D" w:rsidRDefault="00A82EF2" w:rsidP="00B20AC9">
      <w:pPr>
        <w:pStyle w:val="Heading3"/>
      </w:pPr>
      <w:bookmarkStart w:id="98" w:name="_Toc426463209"/>
      <w:bookmarkStart w:id="99" w:name="_Toc19880027"/>
      <w:bookmarkStart w:id="100" w:name="_Toc147328793"/>
      <w:r w:rsidRPr="007E130D">
        <w:t>2.</w:t>
      </w:r>
      <w:r w:rsidR="005A3393" w:rsidRPr="007E130D">
        <w:t>6</w:t>
      </w:r>
      <w:r w:rsidRPr="007E130D">
        <w:t>.2</w:t>
      </w:r>
      <w:r w:rsidRPr="007E130D">
        <w:tab/>
        <w:t>Assistance fournie pour les Appendices 30, 30A et 30B</w:t>
      </w:r>
      <w:bookmarkEnd w:id="98"/>
      <w:bookmarkEnd w:id="99"/>
      <w:bookmarkEnd w:id="100"/>
    </w:p>
    <w:p w14:paraId="29742CBE" w14:textId="4CCCB780" w:rsidR="00A82EF2" w:rsidRPr="007E130D" w:rsidRDefault="00A82EF2" w:rsidP="00B20AC9">
      <w:r w:rsidRPr="007E130D">
        <w:t xml:space="preserve">Le Bureau a continué de fournir une assistance aux administrations en ce qui concerne l'application des Appendices </w:t>
      </w:r>
      <w:r w:rsidRPr="007E130D">
        <w:rPr>
          <w:b/>
          <w:bCs/>
        </w:rPr>
        <w:t>30</w:t>
      </w:r>
      <w:r w:rsidRPr="007E130D">
        <w:t xml:space="preserve">, </w:t>
      </w:r>
      <w:r w:rsidRPr="007E130D">
        <w:rPr>
          <w:b/>
          <w:bCs/>
        </w:rPr>
        <w:t>30A</w:t>
      </w:r>
      <w:r w:rsidRPr="007E130D">
        <w:t xml:space="preserve"> et </w:t>
      </w:r>
      <w:r w:rsidRPr="007E130D">
        <w:rPr>
          <w:b/>
          <w:bCs/>
        </w:rPr>
        <w:t>30B</w:t>
      </w:r>
      <w:r w:rsidRPr="007E130D">
        <w:t xml:space="preserve"> et de l'Article </w:t>
      </w:r>
      <w:r w:rsidRPr="007E130D">
        <w:rPr>
          <w:b/>
          <w:bCs/>
        </w:rPr>
        <w:t>13</w:t>
      </w:r>
      <w:r w:rsidRPr="007E130D">
        <w:t xml:space="preserve"> du Règlement des radiocommunications, y</w:t>
      </w:r>
      <w:r w:rsidR="0066307A" w:rsidRPr="007E130D">
        <w:t> </w:t>
      </w:r>
      <w:r w:rsidRPr="007E130D">
        <w:t>compris la coordination, et a donné des précisions sur les résultats de ses calculs.</w:t>
      </w:r>
    </w:p>
    <w:p w14:paraId="68E53B9B" w14:textId="4FD7FA24" w:rsidR="00A82EF2" w:rsidRPr="007E130D" w:rsidRDefault="00A82EF2" w:rsidP="00265CB8">
      <w:r w:rsidRPr="007E130D">
        <w:t xml:space="preserve">Le Bureau a reçu de nombreuses demandes d'information par courrier électronique ou par téléphone émanant de diverses entités, notamment des États Membres et des Membres de Secteur, concernant l'application de ces Appendices. Les renseignements demandés ont été fournis le plus rapidement possible. </w:t>
      </w:r>
      <w:r w:rsidRPr="0000234B">
        <w:t>Entre décembre 201</w:t>
      </w:r>
      <w:r w:rsidR="005A3393" w:rsidRPr="0000234B">
        <w:t>9</w:t>
      </w:r>
      <w:r w:rsidRPr="0000234B">
        <w:t xml:space="preserve"> et </w:t>
      </w:r>
      <w:r w:rsidR="005A3393" w:rsidRPr="0000234B">
        <w:t>mai 2023</w:t>
      </w:r>
      <w:r w:rsidRPr="0000234B">
        <w:t xml:space="preserve">, le Bureau a également traité </w:t>
      </w:r>
      <w:r w:rsidR="00475363" w:rsidRPr="0000234B">
        <w:t>153</w:t>
      </w:r>
      <w:r w:rsidRPr="0000234B">
        <w:t> demandes d'assistance officielles émanant d'administrations concernant les résultats détaillés des calculs qu'il avait effectués</w:t>
      </w:r>
      <w:r w:rsidR="0000234B" w:rsidRPr="0000234B">
        <w:t xml:space="preserve">, dont différents cas portant sur des difficultés rencontrées dans l'application des procédures des Appendices </w:t>
      </w:r>
      <w:r w:rsidR="0000234B" w:rsidRPr="0000234B">
        <w:rPr>
          <w:b/>
          <w:bCs/>
        </w:rPr>
        <w:t>30</w:t>
      </w:r>
      <w:r w:rsidR="0000234B" w:rsidRPr="0000234B">
        <w:t xml:space="preserve">, </w:t>
      </w:r>
      <w:r w:rsidR="0000234B" w:rsidRPr="0000234B">
        <w:rPr>
          <w:b/>
          <w:bCs/>
        </w:rPr>
        <w:t>30A</w:t>
      </w:r>
      <w:r w:rsidR="0000234B" w:rsidRPr="0000234B">
        <w:t xml:space="preserve"> et </w:t>
      </w:r>
      <w:r w:rsidR="0000234B" w:rsidRPr="0000234B">
        <w:rPr>
          <w:b/>
          <w:bCs/>
        </w:rPr>
        <w:t>30B</w:t>
      </w:r>
      <w:r w:rsidR="0000234B" w:rsidRPr="0000234B">
        <w:t xml:space="preserve">, comme indiqué au numéro </w:t>
      </w:r>
      <w:r w:rsidR="0000234B" w:rsidRPr="0000234B">
        <w:rPr>
          <w:b/>
          <w:bCs/>
        </w:rPr>
        <w:t>13.1</w:t>
      </w:r>
      <w:r w:rsidR="0000234B" w:rsidRPr="0000234B">
        <w:t xml:space="preserve"> (Article </w:t>
      </w:r>
      <w:r w:rsidR="0000234B" w:rsidRPr="0000234B">
        <w:rPr>
          <w:b/>
          <w:bCs/>
        </w:rPr>
        <w:t>13</w:t>
      </w:r>
      <w:r w:rsidR="0000234B" w:rsidRPr="0000234B">
        <w:t>) du RR,</w:t>
      </w:r>
      <w:r w:rsidRPr="0000234B">
        <w:t xml:space="preserve"> ou concernant l'application de certaines dispositions du Règlement des radiocommunications, notamment au titre du </w:t>
      </w:r>
      <w:r w:rsidR="0000234B" w:rsidRPr="0000234B">
        <w:rPr>
          <w:rFonts w:eastAsia="SimSun"/>
        </w:rPr>
        <w:t>§ 4.1.10a de l'Article </w:t>
      </w:r>
      <w:r w:rsidR="0000234B" w:rsidRPr="0000234B">
        <w:rPr>
          <w:rFonts w:eastAsia="SimSun"/>
          <w:b/>
        </w:rPr>
        <w:t>4</w:t>
      </w:r>
      <w:r w:rsidR="0000234B" w:rsidRPr="0000234B">
        <w:rPr>
          <w:rFonts w:eastAsia="SimSun"/>
        </w:rPr>
        <w:t xml:space="preserve"> des Appendices </w:t>
      </w:r>
      <w:r w:rsidR="0000234B" w:rsidRPr="0000234B">
        <w:rPr>
          <w:rFonts w:eastAsia="SimSun"/>
          <w:b/>
          <w:bCs/>
        </w:rPr>
        <w:t>30/30A</w:t>
      </w:r>
      <w:r w:rsidR="0000234B" w:rsidRPr="0000234B">
        <w:rPr>
          <w:rFonts w:eastAsia="SimSun"/>
        </w:rPr>
        <w:t xml:space="preserve"> (</w:t>
      </w:r>
      <w:r w:rsidR="0000234B" w:rsidRPr="0000234B">
        <w:t xml:space="preserve">voir le </w:t>
      </w:r>
      <w:r w:rsidR="0000234B" w:rsidRPr="0000234B">
        <w:rPr>
          <w:rFonts w:eastAsia="SimSun"/>
        </w:rPr>
        <w:t>§ 2.</w:t>
      </w:r>
      <w:r w:rsidR="0000234B" w:rsidRPr="0000234B">
        <w:rPr>
          <w:rFonts w:eastAsia="SimSun"/>
        </w:rPr>
        <w:t>4.3</w:t>
      </w:r>
      <w:r w:rsidR="0000234B" w:rsidRPr="0000234B">
        <w:rPr>
          <w:rFonts w:eastAsia="SimSun"/>
        </w:rPr>
        <w:t xml:space="preserve"> </w:t>
      </w:r>
      <w:r w:rsidR="0000234B" w:rsidRPr="0000234B">
        <w:t>ci</w:t>
      </w:r>
      <w:r w:rsidR="0000234B" w:rsidRPr="0000234B">
        <w:noBreakHyphen/>
        <w:t>dessous</w:t>
      </w:r>
      <w:r w:rsidR="0000234B" w:rsidRPr="0000234B">
        <w:rPr>
          <w:rFonts w:eastAsia="SimSun"/>
        </w:rPr>
        <w:t>)</w:t>
      </w:r>
      <w:r w:rsidR="0000234B" w:rsidRPr="0000234B">
        <w:rPr>
          <w:rFonts w:eastAsia="SimSun"/>
        </w:rPr>
        <w:t xml:space="preserve"> et du </w:t>
      </w:r>
      <w:r w:rsidRPr="0000234B">
        <w:t xml:space="preserve">§ 6.13 de l'Article </w:t>
      </w:r>
      <w:r w:rsidRPr="0000234B">
        <w:rPr>
          <w:b/>
          <w:bCs/>
        </w:rPr>
        <w:t>6</w:t>
      </w:r>
      <w:r w:rsidRPr="0000234B">
        <w:t xml:space="preserve"> de l'Appendice </w:t>
      </w:r>
      <w:r w:rsidRPr="0000234B">
        <w:rPr>
          <w:b/>
          <w:bCs/>
        </w:rPr>
        <w:t>30B</w:t>
      </w:r>
      <w:r w:rsidRPr="0000234B">
        <w:t xml:space="preserve"> (voir le</w:t>
      </w:r>
      <w:r w:rsidR="0066307A" w:rsidRPr="0000234B">
        <w:t> </w:t>
      </w:r>
      <w:r w:rsidRPr="0000234B">
        <w:t>§ 2.4.</w:t>
      </w:r>
      <w:r w:rsidR="0000234B" w:rsidRPr="0000234B">
        <w:t>4</w:t>
      </w:r>
      <w:r w:rsidRPr="0000234B">
        <w:t xml:space="preserve"> ci-dessous)</w:t>
      </w:r>
      <w:r w:rsidRPr="0000234B">
        <w:rPr>
          <w:rFonts w:eastAsia="SimSun"/>
        </w:rPr>
        <w:t xml:space="preserve">. </w:t>
      </w:r>
      <w:r w:rsidRPr="0000234B">
        <w:t>Les</w:t>
      </w:r>
      <w:r w:rsidR="00475363" w:rsidRPr="0000234B">
        <w:t xml:space="preserve"> </w:t>
      </w:r>
      <w:r w:rsidRPr="0000234B">
        <w:t>admin</w:t>
      </w:r>
      <w:r w:rsidRPr="007E130D">
        <w:t>istrations ont reçu l'assistance demandée.</w:t>
      </w:r>
    </w:p>
    <w:p w14:paraId="3D2C8732" w14:textId="07C81670" w:rsidR="00A82EF2" w:rsidRPr="007E130D" w:rsidRDefault="00A82EF2" w:rsidP="00B20AC9">
      <w:pPr>
        <w:pStyle w:val="Heading3"/>
      </w:pPr>
      <w:bookmarkStart w:id="101" w:name="_Toc426463210"/>
      <w:bookmarkStart w:id="102" w:name="_Toc19880028"/>
      <w:bookmarkStart w:id="103" w:name="_Toc147328794"/>
      <w:r w:rsidRPr="007E130D">
        <w:t>2.</w:t>
      </w:r>
      <w:r w:rsidR="005A3393" w:rsidRPr="007E130D">
        <w:t>6</w:t>
      </w:r>
      <w:r w:rsidRPr="007E130D">
        <w:t>.3</w:t>
      </w:r>
      <w:r w:rsidRPr="007E130D">
        <w:tab/>
        <w:t xml:space="preserve">Demandes d'assistance au titre du § </w:t>
      </w:r>
      <w:r w:rsidR="005A3393" w:rsidRPr="007E130D">
        <w:t>4.1.10</w:t>
      </w:r>
      <w:r w:rsidRPr="007E130D">
        <w:t xml:space="preserve"> de l'Article </w:t>
      </w:r>
      <w:r w:rsidR="005A3393" w:rsidRPr="007E130D">
        <w:t xml:space="preserve">4 </w:t>
      </w:r>
      <w:r w:rsidRPr="007E130D">
        <w:t>de</w:t>
      </w:r>
      <w:r w:rsidR="005A3393" w:rsidRPr="007E130D">
        <w:t>s</w:t>
      </w:r>
      <w:r w:rsidRPr="007E130D">
        <w:t xml:space="preserve"> Appendice</w:t>
      </w:r>
      <w:r w:rsidR="005A3393" w:rsidRPr="007E130D">
        <w:t>s</w:t>
      </w:r>
      <w:r w:rsidRPr="007E130D">
        <w:t xml:space="preserve"> 30</w:t>
      </w:r>
      <w:bookmarkEnd w:id="101"/>
      <w:bookmarkEnd w:id="102"/>
      <w:r w:rsidR="005A3393" w:rsidRPr="007E130D">
        <w:t>/30A</w:t>
      </w:r>
      <w:bookmarkEnd w:id="103"/>
    </w:p>
    <w:p w14:paraId="704B537E" w14:textId="3BB555DD" w:rsidR="005A3393" w:rsidRPr="007E130D" w:rsidRDefault="00D97B7A" w:rsidP="00B20AC9">
      <w:r w:rsidRPr="007E130D">
        <w:t>Au titre du §</w:t>
      </w:r>
      <w:r w:rsidR="00AF6692" w:rsidRPr="007E130D">
        <w:t xml:space="preserve"> 4.1.10a de l'Article 4 des Appendices </w:t>
      </w:r>
      <w:r w:rsidR="00AF6692" w:rsidRPr="007E130D">
        <w:rPr>
          <w:b/>
          <w:bCs/>
        </w:rPr>
        <w:t>30</w:t>
      </w:r>
      <w:r w:rsidR="00AF6692" w:rsidRPr="007E130D">
        <w:t xml:space="preserve"> et </w:t>
      </w:r>
      <w:r w:rsidR="00AF6692" w:rsidRPr="007E130D">
        <w:rPr>
          <w:b/>
          <w:bCs/>
        </w:rPr>
        <w:t>30A</w:t>
      </w:r>
      <w:r w:rsidR="0064153B" w:rsidRPr="007E130D">
        <w:t>,</w:t>
      </w:r>
      <w:r w:rsidR="00AF6692" w:rsidRPr="007E130D">
        <w:t xml:space="preserve"> une administration notificatrice </w:t>
      </w:r>
      <w:r w:rsidRPr="007E130D">
        <w:t>peut</w:t>
      </w:r>
      <w:r w:rsidR="00AF6692" w:rsidRPr="007E130D">
        <w:t xml:space="preserve"> demander l'assistance du Bureau pour les administrations potentiellement affectées qui n'ont pas fait de commentaires dans un délai de quatre mois sur un réseau publié au titre du § 4.1.5 de l'Article 4 de ces Appendices.</w:t>
      </w:r>
    </w:p>
    <w:p w14:paraId="14CEE9CF" w14:textId="312D8C34" w:rsidR="005A3393" w:rsidRPr="007E130D" w:rsidRDefault="00F52D9F" w:rsidP="00B20AC9">
      <w:r w:rsidRPr="007E130D">
        <w:t>Entre décembre 2019 et mai 2023, le Bureau a reçu 75 demandes d'assistance au titre du § 4.1.10a. Le Bureau a envoyé 458 rappels conformément aux § 4.1.10b et 4.1.10c aux administrations dont les assignations ont été identifiées comme étant affectées. Depuis l'apparition de la pandémie de</w:t>
      </w:r>
      <w:r w:rsidR="0066307A" w:rsidRPr="007E130D">
        <w:t> </w:t>
      </w:r>
      <w:r w:rsidRPr="007E130D">
        <w:t xml:space="preserve">COVID-19, le Bureau a utilisé les courriers électroniques et les communications électroniques comme seul moyen d'envoyer ces rappels (voir le § 3.2.3.2 de la Partie 2 pour les difficultés rencontrées à la suite de ce changement). Le Bureau a fait des efforts supplémentaires pour aider les </w:t>
      </w:r>
      <w:r w:rsidRPr="007E130D">
        <w:lastRenderedPageBreak/>
        <w:t>administrations destinataires à réduire les difficultés qui pourraient survenir pendant la pandémie</w:t>
      </w:r>
      <w:r w:rsidR="0000234B">
        <w:t xml:space="preserve"> </w:t>
      </w:r>
      <w:r w:rsidRPr="007E130D">
        <w:t>de</w:t>
      </w:r>
      <w:r w:rsidR="0066307A" w:rsidRPr="007E130D">
        <w:t> </w:t>
      </w:r>
      <w:r w:rsidRPr="007E130D">
        <w:t xml:space="preserve">COVID-19. Le Bureau a reçu 208 réponses </w:t>
      </w:r>
      <w:r w:rsidR="0085191A" w:rsidRPr="007E130D">
        <w:t>d</w:t>
      </w:r>
      <w:r w:rsidR="0066307A" w:rsidRPr="007E130D">
        <w:t>'</w:t>
      </w:r>
      <w:r w:rsidR="0085191A" w:rsidRPr="007E130D">
        <w:t xml:space="preserve">administrations qui ont communiqué une décision </w:t>
      </w:r>
      <w:r w:rsidRPr="007E130D">
        <w:t>(y compris 26 réponses reçues après le délai de 30 jours), ce qui représente environ 45% de tous les rappels envoyés, avec une augmentation de 25% par rapport au cycle de rapport précédent.</w:t>
      </w:r>
    </w:p>
    <w:p w14:paraId="60EC665D" w14:textId="5706CFD0" w:rsidR="005A3393" w:rsidRPr="007E130D" w:rsidRDefault="00F52D9F" w:rsidP="00B20AC9">
      <w:r w:rsidRPr="007E130D">
        <w:t xml:space="preserve">La disposition 4.1.10d de l'Article 4 des Appendices </w:t>
      </w:r>
      <w:r w:rsidRPr="007E130D">
        <w:rPr>
          <w:b/>
          <w:bCs/>
        </w:rPr>
        <w:t>30</w:t>
      </w:r>
      <w:r w:rsidRPr="007E130D">
        <w:t xml:space="preserve"> et </w:t>
      </w:r>
      <w:r w:rsidRPr="007E130D">
        <w:rPr>
          <w:b/>
          <w:bCs/>
        </w:rPr>
        <w:t>30A</w:t>
      </w:r>
      <w:r w:rsidRPr="007E130D">
        <w:t xml:space="preserve">, qui stipule que «Si aucune décision n'est communiquée au Bureau dans les trente jours suivant la date d'envoi du rappel en application du § 4.1.10b, l'administration qui n'a pas communiqué de décision est réputée avoir donné son accord à l'assignation proposée», a été appliquée aux administrations qui n'ont pas répondu dans le délai imparti. La liste des administrations qui n'ont pas répondu et dont les assignations dans les Plans des Appendices </w:t>
      </w:r>
      <w:r w:rsidRPr="007E130D">
        <w:rPr>
          <w:b/>
          <w:bCs/>
        </w:rPr>
        <w:t>30</w:t>
      </w:r>
      <w:r w:rsidRPr="007E130D">
        <w:t xml:space="preserve"> et </w:t>
      </w:r>
      <w:r w:rsidRPr="007E130D">
        <w:rPr>
          <w:b/>
          <w:bCs/>
        </w:rPr>
        <w:t>30A</w:t>
      </w:r>
      <w:r w:rsidRPr="007E130D">
        <w:t xml:space="preserve"> des Régions 1 et 3 risquent d'être dégradées à la suite de </w:t>
      </w:r>
      <w:r w:rsidR="00BB5050" w:rsidRPr="007E130D">
        <w:t>l</w:t>
      </w:r>
      <w:r w:rsidRPr="007E130D">
        <w:t xml:space="preserve">'assistance </w:t>
      </w:r>
      <w:r w:rsidR="00BB5050" w:rsidRPr="007E130D">
        <w:t xml:space="preserve">fournie </w:t>
      </w:r>
      <w:r w:rsidRPr="007E130D">
        <w:t>par au moins un des réseaux proposés est la suivante: AFG, AUT, BGD, BLR, CAF, CPV, EST, GHA, GNB, GUI, HOL, KWT, LBN, LBR, LVA, MLD, MTN, NGR, NRU, PLW, PSE, SRL, STP, TKM, TLS, TON, UZB, VUT et YEM.</w:t>
      </w:r>
    </w:p>
    <w:p w14:paraId="681FF884" w14:textId="77777777" w:rsidR="005A3393" w:rsidRPr="007E130D" w:rsidRDefault="005A3393" w:rsidP="00B20AC9">
      <w:pPr>
        <w:pStyle w:val="Heading3"/>
        <w:rPr>
          <w:bCs/>
        </w:rPr>
      </w:pPr>
      <w:bookmarkStart w:id="104" w:name="_Toc147328795"/>
      <w:r w:rsidRPr="007E130D">
        <w:t>2.6.4</w:t>
      </w:r>
      <w:r w:rsidRPr="007E130D">
        <w:tab/>
        <w:t>Demandes d'assistance au titre du § 6.13 de l'Article 6 de l'Appendice 30B</w:t>
      </w:r>
      <w:bookmarkEnd w:id="104"/>
    </w:p>
    <w:p w14:paraId="2D8DCE06" w14:textId="77777777" w:rsidR="00A82EF2" w:rsidRPr="007E130D" w:rsidRDefault="00A82EF2" w:rsidP="00B20AC9">
      <w:r w:rsidRPr="007E130D">
        <w:t xml:space="preserve">Au titre du § 6.13 de l'Article 6 de l'Appendice </w:t>
      </w:r>
      <w:r w:rsidRPr="007E130D">
        <w:rPr>
          <w:b/>
          <w:bCs/>
        </w:rPr>
        <w:t>30B</w:t>
      </w:r>
      <w:r w:rsidRPr="007E130D">
        <w:t>, une administration notificatrice peut demander l'assistance du Bureau en ce qui concerne des administrations susceptibles d'être affectées qui n'auraient pas fait d'observations relatives à un réseau publié conformément au § 6.7 de l'Article 6 de l'Appendice en question, dans un délai de quatre mois.</w:t>
      </w:r>
    </w:p>
    <w:p w14:paraId="34258F80" w14:textId="0D93DED4" w:rsidR="00A82EF2" w:rsidRPr="007E130D" w:rsidRDefault="00A82EF2" w:rsidP="00B20AC9">
      <w:r w:rsidRPr="007E130D">
        <w:t xml:space="preserve">Entre décembre </w:t>
      </w:r>
      <w:r w:rsidR="00FF77A0" w:rsidRPr="007E130D">
        <w:t xml:space="preserve">2019 </w:t>
      </w:r>
      <w:r w:rsidRPr="007E130D">
        <w:t xml:space="preserve">et </w:t>
      </w:r>
      <w:r w:rsidR="00FF77A0" w:rsidRPr="007E130D">
        <w:t>mai 2023</w:t>
      </w:r>
      <w:r w:rsidRPr="007E130D">
        <w:t xml:space="preserve">, le Bureau a traité </w:t>
      </w:r>
      <w:r w:rsidR="00FF77A0" w:rsidRPr="007E130D">
        <w:t xml:space="preserve">12 </w:t>
      </w:r>
      <w:r w:rsidRPr="007E130D">
        <w:t xml:space="preserve">demandes d'assistance au titre du § 6.13. Le Bureau a envoyé </w:t>
      </w:r>
      <w:r w:rsidR="004910F8" w:rsidRPr="007E130D">
        <w:t>47</w:t>
      </w:r>
      <w:r w:rsidRPr="007E130D">
        <w:t xml:space="preserve"> rappels, conformément aux § 6.14 et 6.14</w:t>
      </w:r>
      <w:r w:rsidRPr="007E130D">
        <w:rPr>
          <w:i/>
          <w:iCs/>
        </w:rPr>
        <w:t>bis</w:t>
      </w:r>
      <w:r w:rsidRPr="007E130D">
        <w:t xml:space="preserve">, aux administrations dont le ou les allotissements/assignations ont été identifiés comme étant affectés. </w:t>
      </w:r>
      <w:r w:rsidR="00654430" w:rsidRPr="007E130D">
        <w:t>Depuis l</w:t>
      </w:r>
      <w:r w:rsidR="000C4CDD" w:rsidRPr="007E130D">
        <w:t>'</w:t>
      </w:r>
      <w:r w:rsidR="00654430" w:rsidRPr="007E130D">
        <w:t>apparition de la pandémie de COVID-19</w:t>
      </w:r>
      <w:r w:rsidR="0085191A" w:rsidRPr="007E130D">
        <w:t>, le Bureau a utilisé les courriers électroniques et les communications électroniques comme seul moyen d'envoyer ces rappels (voir le § 3.2.3.2 de la Partie 2 pour les difficultés rencontrées à la suite de ce changement). Le Bureau a fait des efforts supplémentaires pour aider les administrations destinataires à réduire les difficultés qui pourraient survenir pendant la pandémie de COVID-19. Le Bureau a reçu 29</w:t>
      </w:r>
      <w:r w:rsidRPr="007E130D">
        <w:t xml:space="preserve"> réponses d'administrations qui ont communiqué leur décision (y compris </w:t>
      </w:r>
      <w:r w:rsidR="00FF77A0" w:rsidRPr="007E130D">
        <w:t>1 réponse</w:t>
      </w:r>
      <w:r w:rsidRPr="007E130D">
        <w:t xml:space="preserve"> reçue après le délai de trente jours), ce qui représente moins de</w:t>
      </w:r>
      <w:r w:rsidR="0066307A" w:rsidRPr="007E130D">
        <w:t> </w:t>
      </w:r>
      <w:r w:rsidR="00FF77A0" w:rsidRPr="007E130D">
        <w:t>62</w:t>
      </w:r>
      <w:r w:rsidRPr="007E130D">
        <w:t>% de tous les rappels envoyés</w:t>
      </w:r>
      <w:r w:rsidR="0085191A" w:rsidRPr="007E130D">
        <w:t>, soit une augmentation de 30% par rapport au cycle précédent</w:t>
      </w:r>
      <w:r w:rsidRPr="007E130D">
        <w:t>.</w:t>
      </w:r>
    </w:p>
    <w:p w14:paraId="1FFEFABE" w14:textId="3B5F4A29" w:rsidR="00A82EF2" w:rsidRPr="007E130D" w:rsidRDefault="00A82EF2" w:rsidP="00B20AC9">
      <w:r w:rsidRPr="007E130D">
        <w:t xml:space="preserve">Le § 6.15 de l'Article 6 de l'Appendice </w:t>
      </w:r>
      <w:r w:rsidRPr="007E130D">
        <w:rPr>
          <w:b/>
          <w:bCs/>
        </w:rPr>
        <w:t>30B</w:t>
      </w:r>
      <w:r w:rsidRPr="007E130D">
        <w:t>, qui stipule que «si aucune décision n'est communiquée au Bureau dans les trente jours suivant la date d'envoi du rappel en application du § 6.14, l'administration qui n'a pas communiqué de décision est réputée avoir donné son accord à l'assignation proposée», a été appliqué aux administrations qui n'ont pas répondu avant la date limite.</w:t>
      </w:r>
      <w:r w:rsidR="00FF77A0" w:rsidRPr="007E130D">
        <w:t xml:space="preserve"> </w:t>
      </w:r>
      <w:r w:rsidR="0085191A" w:rsidRPr="007E130D">
        <w:t>La liste des administrations n</w:t>
      </w:r>
      <w:r w:rsidR="000C4CDD" w:rsidRPr="007E130D">
        <w:t>'</w:t>
      </w:r>
      <w:r w:rsidR="0085191A" w:rsidRPr="007E130D">
        <w:t>ayant pas répondu dont l</w:t>
      </w:r>
      <w:r w:rsidR="000C4CDD" w:rsidRPr="007E130D">
        <w:t>'</w:t>
      </w:r>
      <w:r w:rsidR="0085191A" w:rsidRPr="007E130D">
        <w:t xml:space="preserve">allotissement dans le Plan de l'Appendice </w:t>
      </w:r>
      <w:r w:rsidR="0085191A" w:rsidRPr="007E130D">
        <w:rPr>
          <w:b/>
          <w:bCs/>
        </w:rPr>
        <w:t>30B</w:t>
      </w:r>
      <w:r w:rsidR="0085191A" w:rsidRPr="007E130D">
        <w:t xml:space="preserve"> risque d'être dégradé</w:t>
      </w:r>
      <w:r w:rsidR="00BB5050" w:rsidRPr="007E130D">
        <w:t xml:space="preserve"> du fait de l</w:t>
      </w:r>
      <w:r w:rsidR="0085191A" w:rsidRPr="007E130D">
        <w:t xml:space="preserve">'assistance </w:t>
      </w:r>
      <w:r w:rsidR="00BB5050" w:rsidRPr="007E130D">
        <w:t xml:space="preserve">fournie </w:t>
      </w:r>
      <w:r w:rsidR="0085191A" w:rsidRPr="007E130D">
        <w:t>par au moins l'un des réseaux proposés est la suivante: AND, BLZ, BRU, GNB, KNA, KRE, LBR, MLD, NGR, PHL, PRU, SEY, SRL, URG, UZB, VCT et YEM.</w:t>
      </w:r>
    </w:p>
    <w:p w14:paraId="13E60B51" w14:textId="0AC0F123" w:rsidR="00A82EF2" w:rsidRPr="007E130D" w:rsidRDefault="00A82EF2" w:rsidP="00B20AC9">
      <w:pPr>
        <w:pStyle w:val="Heading2"/>
      </w:pPr>
      <w:bookmarkStart w:id="105" w:name="_Toc426463221"/>
      <w:bookmarkStart w:id="106" w:name="_Toc19880040"/>
      <w:bookmarkStart w:id="107" w:name="_Toc147328796"/>
      <w:r w:rsidRPr="007E130D">
        <w:t>2.</w:t>
      </w:r>
      <w:r w:rsidR="00FF77A0" w:rsidRPr="007E130D">
        <w:t>7</w:t>
      </w:r>
      <w:r w:rsidRPr="007E130D">
        <w:tab/>
        <w:t>Recouvrement des coûts pour le traitement des fiches de notification des réseaux à satellite</w:t>
      </w:r>
      <w:bookmarkStart w:id="108" w:name="_Toc19090100"/>
      <w:bookmarkStart w:id="109" w:name="_Toc19880041"/>
      <w:bookmarkEnd w:id="105"/>
      <w:bookmarkEnd w:id="106"/>
      <w:r w:rsidRPr="007E130D">
        <w:t xml:space="preserve"> </w:t>
      </w:r>
      <w:r w:rsidR="00FF77A0" w:rsidRPr="007E130D">
        <w:t>(</w:t>
      </w:r>
      <w:r w:rsidRPr="007E130D">
        <w:t>Décision 482 du Conseil</w:t>
      </w:r>
      <w:bookmarkEnd w:id="108"/>
      <w:bookmarkEnd w:id="109"/>
      <w:r w:rsidR="00FF77A0" w:rsidRPr="007E130D">
        <w:t>)</w:t>
      </w:r>
      <w:bookmarkEnd w:id="107"/>
    </w:p>
    <w:p w14:paraId="7B4CD00E" w14:textId="512E5E6F" w:rsidR="00A82EF2" w:rsidRPr="007E130D" w:rsidRDefault="00A82EF2" w:rsidP="00B20AC9">
      <w:r w:rsidRPr="007E130D">
        <w:t xml:space="preserve">Conformément à la Décision 482 du Conseil (modifiée en </w:t>
      </w:r>
      <w:r w:rsidR="00FF77A0" w:rsidRPr="007E130D">
        <w:t>2020</w:t>
      </w:r>
      <w:r w:rsidRPr="007E130D">
        <w:t>), le Bureau a établi des factures pour les fiches de notification des réseaux à satellite. Le Bureau est aussi chargé de suivre l'état des paiements, d'envoyer des lettres de rappel, selon qu'il convient, et d'annuler les fiches lorsque le paiement de la facture n'est pas reçu conformément à la Décision du Conseil. La mise en œuvre de la Décision 482 (C-05) et, ultérieurement, de la Décision 482 (modifiée en 2012), de la Décision 482 (modifiée en 2013), de la Décision 482 (modifiée en 2017), de la Décision 482 (modifiée en 2018)</w:t>
      </w:r>
      <w:r w:rsidR="00FF77A0" w:rsidRPr="007E130D">
        <w:t>, de la Décision 482 (modifiée en 2019)</w:t>
      </w:r>
      <w:r w:rsidRPr="007E130D">
        <w:t xml:space="preserve"> et de la Décision 482 (modifiée en </w:t>
      </w:r>
      <w:r w:rsidR="005569C4" w:rsidRPr="007E130D">
        <w:t>2020</w:t>
      </w:r>
      <w:r w:rsidRPr="007E130D">
        <w:t xml:space="preserve">) par le Bureau des radiocommunications n'a soulevé aucune difficulté d'ordre administratif ou </w:t>
      </w:r>
      <w:r w:rsidRPr="007E130D">
        <w:lastRenderedPageBreak/>
        <w:t>opérationnel, aussi bien en interne qu'avec les administrations présentant des fiches de notification de réseaux à satellite.</w:t>
      </w:r>
    </w:p>
    <w:p w14:paraId="4CD69AAD" w14:textId="7129E97A" w:rsidR="00A82EF2" w:rsidRPr="007E130D" w:rsidRDefault="00A82EF2" w:rsidP="00B20AC9">
      <w:r w:rsidRPr="007E130D">
        <w:t>Depuis l'entrée en vigueur de la Décision 482 (modifiée en 201</w:t>
      </w:r>
      <w:r w:rsidR="005569C4" w:rsidRPr="007E130D">
        <w:t>9</w:t>
      </w:r>
      <w:r w:rsidRPr="007E130D">
        <w:t>) le 1er juillet 201</w:t>
      </w:r>
      <w:r w:rsidR="005569C4" w:rsidRPr="007E130D">
        <w:t>9</w:t>
      </w:r>
      <w:r w:rsidRPr="007E130D">
        <w:t xml:space="preserve">, le Bureau des radiocommunications </w:t>
      </w:r>
      <w:r w:rsidR="008057B7" w:rsidRPr="007E130D">
        <w:t xml:space="preserve">a reçu 42 demandes de coordination de systèmes à satellites non géostationnaires dépassant 25 000 unités (2 avec plus de 200 000 unités et 1 avec 485 640 unités). Il a également reçu un total de 40 demandes de coordination de systèmes à satellites non géostationnaires </w:t>
      </w:r>
      <w:r w:rsidRPr="007E130D">
        <w:t xml:space="preserve">incluant </w:t>
      </w:r>
      <w:r w:rsidR="008057B7" w:rsidRPr="007E130D">
        <w:t xml:space="preserve">au moins </w:t>
      </w:r>
      <w:r w:rsidRPr="007E130D">
        <w:t>deux configurations qui s'excluent mutuellement.</w:t>
      </w:r>
    </w:p>
    <w:p w14:paraId="5FF8C6C6" w14:textId="4815F0FC" w:rsidR="00A82EF2" w:rsidRPr="007E130D" w:rsidRDefault="00A82EF2" w:rsidP="00B04B51">
      <w:r w:rsidRPr="007E130D">
        <w:t>Le Conseil à sa session de 20</w:t>
      </w:r>
      <w:r w:rsidR="005569C4" w:rsidRPr="007E130D">
        <w:t>20</w:t>
      </w:r>
      <w:r w:rsidRPr="007E130D">
        <w:t xml:space="preserve"> a révisé la Décision 482, pour tenir compte du cas </w:t>
      </w:r>
      <w:r w:rsidR="000D2C0E" w:rsidRPr="007E130D">
        <w:t>de la notification pour l'enregistrement des liaisons inter-satellites d'une station spatiale géostationnaire communiquant avec une station spatiale non géostationnaire provisoirement non assujettie à la coordination, qui avait été omise précédemment. Depuis l'entrée en vigueur de la Décision 482 (</w:t>
      </w:r>
      <w:r w:rsidR="00595E59" w:rsidRPr="007E130D">
        <w:t>m</w:t>
      </w:r>
      <w:r w:rsidR="000D2C0E" w:rsidRPr="007E130D">
        <w:t>odifiée en 2020) le 1er septembre 2020, 11 fiches de notification pour l'enregistrement des liaisons inter-satellites d'une station spatiale géostationnaire communiquant avec une station spatiale non géostationnaire provisoirement non assujettie à la coordination, ont été facturées au titre de la catégorie N</w:t>
      </w:r>
      <w:r w:rsidR="00A50C7F" w:rsidRPr="007E130D">
        <w:t>4</w:t>
      </w:r>
      <w:r w:rsidRPr="007E130D">
        <w:t>.</w:t>
      </w:r>
    </w:p>
    <w:p w14:paraId="65EE714B" w14:textId="59C35152" w:rsidR="00A82EF2" w:rsidRPr="007E130D" w:rsidRDefault="00F7016C" w:rsidP="00595E59">
      <w:pPr>
        <w:spacing w:before="240"/>
      </w:pPr>
      <w:r w:rsidRPr="007E130D">
        <w:drawing>
          <wp:inline distT="0" distB="0" distL="0" distR="0" wp14:anchorId="3E71B9A8" wp14:editId="7BB82909">
            <wp:extent cx="6120765" cy="3604895"/>
            <wp:effectExtent l="0" t="0" r="13335" b="14605"/>
            <wp:docPr id="644531129" name="Chart 1">
              <a:extLst xmlns:a="http://schemas.openxmlformats.org/drawingml/2006/main">
                <a:ext uri="{FF2B5EF4-FFF2-40B4-BE49-F238E27FC236}">
                  <a16:creationId xmlns:a16="http://schemas.microsoft.com/office/drawing/2014/main" id="{F9DE6864-D851-4CB5-88C5-EF3E3EACCD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8D00FC1" w14:textId="6FECA67C" w:rsidR="00A82EF2" w:rsidRPr="007E130D" w:rsidRDefault="00F7016C" w:rsidP="00B20AC9">
      <w:pPr>
        <w:jc w:val="center"/>
      </w:pPr>
      <w:r w:rsidRPr="007E130D">
        <w:lastRenderedPageBreak/>
        <w:drawing>
          <wp:inline distT="0" distB="0" distL="0" distR="0" wp14:anchorId="64BBE86B" wp14:editId="3E0460C3">
            <wp:extent cx="6120765" cy="4023995"/>
            <wp:effectExtent l="0" t="0" r="13335" b="14605"/>
            <wp:docPr id="68127091" name="Chart 1">
              <a:extLst xmlns:a="http://schemas.openxmlformats.org/drawingml/2006/main">
                <a:ext uri="{FF2B5EF4-FFF2-40B4-BE49-F238E27FC236}">
                  <a16:creationId xmlns:a16="http://schemas.microsoft.com/office/drawing/2014/main" id="{50E2CEBA-F2B9-48F7-9DF8-E1F308966D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0F9526E" w14:textId="77777777" w:rsidR="00A82EF2" w:rsidRPr="007E130D" w:rsidRDefault="00A82EF2" w:rsidP="00F7016C">
      <w:pPr>
        <w:pStyle w:val="Heading1"/>
      </w:pPr>
      <w:bookmarkStart w:id="110" w:name="_Toc426463224"/>
      <w:bookmarkStart w:id="111" w:name="_Toc19880043"/>
      <w:bookmarkStart w:id="112" w:name="_Toc147328797"/>
      <w:r w:rsidRPr="007E130D">
        <w:t>3</w:t>
      </w:r>
      <w:r w:rsidRPr="007E130D">
        <w:tab/>
        <w:t>Application du Règlement des radiocommunications aux services de Terre</w:t>
      </w:r>
      <w:bookmarkEnd w:id="110"/>
      <w:bookmarkEnd w:id="111"/>
      <w:bookmarkEnd w:id="112"/>
    </w:p>
    <w:p w14:paraId="37DC0E58" w14:textId="77777777" w:rsidR="00A82EF2" w:rsidRPr="007E130D" w:rsidRDefault="00A82EF2" w:rsidP="00F7016C">
      <w:pPr>
        <w:pStyle w:val="Heading2"/>
      </w:pPr>
      <w:bookmarkStart w:id="113" w:name="_Toc426463225"/>
      <w:bookmarkStart w:id="114" w:name="_Toc19880044"/>
      <w:bookmarkStart w:id="115" w:name="_Toc147328798"/>
      <w:r w:rsidRPr="007E130D">
        <w:t>3.1</w:t>
      </w:r>
      <w:r w:rsidRPr="007E130D">
        <w:tab/>
        <w:t>Observations générales</w:t>
      </w:r>
      <w:bookmarkEnd w:id="113"/>
      <w:bookmarkEnd w:id="114"/>
      <w:bookmarkEnd w:id="115"/>
    </w:p>
    <w:p w14:paraId="101F0B48" w14:textId="5ED33541" w:rsidR="00A82EF2" w:rsidRPr="007E130D" w:rsidRDefault="00A82EF2" w:rsidP="00B04B51">
      <w:r w:rsidRPr="007E130D">
        <w:t>Au cours de la période comprise entre la CMR-1</w:t>
      </w:r>
      <w:r w:rsidR="00E8224C" w:rsidRPr="007E130D">
        <w:t>9</w:t>
      </w:r>
      <w:r w:rsidRPr="007E130D">
        <w:t xml:space="preserve"> et la CMR-</w:t>
      </w:r>
      <w:r w:rsidR="00E8224C" w:rsidRPr="007E130D">
        <w:t>23</w:t>
      </w:r>
      <w:r w:rsidRPr="007E130D">
        <w:t xml:space="preserve">, le Bureau a mené à bien un nombre important d'activités liées aux services de Terre. Il a notamment procédé au traitement et à l'examen des notifications soumises par les administrations, principalement des fiches de notification d'assignations de fréquence </w:t>
      </w:r>
      <w:r w:rsidR="00665EFC" w:rsidRPr="007E130D">
        <w:t>à des</w:t>
      </w:r>
      <w:r w:rsidRPr="007E130D">
        <w:t xml:space="preserve"> stations de</w:t>
      </w:r>
      <w:r w:rsidR="00665EFC" w:rsidRPr="007E130D">
        <w:t xml:space="preserve">s </w:t>
      </w:r>
      <w:r w:rsidRPr="007E130D">
        <w:t>services de</w:t>
      </w:r>
      <w:r w:rsidR="00665EFC" w:rsidRPr="007E130D">
        <w:t xml:space="preserve"> </w:t>
      </w:r>
      <w:r w:rsidRPr="007E130D">
        <w:t xml:space="preserve">Terre, conformément aux dispositions pertinentes des Articles </w:t>
      </w:r>
      <w:r w:rsidRPr="007E130D">
        <w:rPr>
          <w:b/>
          <w:bCs/>
        </w:rPr>
        <w:t>9</w:t>
      </w:r>
      <w:r w:rsidRPr="007E130D">
        <w:t xml:space="preserve">, </w:t>
      </w:r>
      <w:r w:rsidRPr="007E130D">
        <w:rPr>
          <w:b/>
          <w:bCs/>
        </w:rPr>
        <w:t>11</w:t>
      </w:r>
      <w:r w:rsidRPr="007E130D">
        <w:t xml:space="preserve">, </w:t>
      </w:r>
      <w:r w:rsidRPr="007E130D">
        <w:rPr>
          <w:b/>
          <w:bCs/>
        </w:rPr>
        <w:t>12</w:t>
      </w:r>
      <w:r w:rsidRPr="007E130D">
        <w:t xml:space="preserve"> et </w:t>
      </w:r>
      <w:r w:rsidRPr="007E130D">
        <w:rPr>
          <w:b/>
          <w:bCs/>
        </w:rPr>
        <w:t>20</w:t>
      </w:r>
      <w:r w:rsidRPr="007E130D">
        <w:t xml:space="preserve"> du RR et de divers Accords régionaux.</w:t>
      </w:r>
    </w:p>
    <w:p w14:paraId="12007D4F" w14:textId="563C5D3D" w:rsidR="00A82EF2" w:rsidRPr="007E130D" w:rsidRDefault="00A82EF2" w:rsidP="00B04B51">
      <w:r w:rsidRPr="007E130D">
        <w:t xml:space="preserve">Pendant cette même période, le Bureau a examiné les fiches de notification d'assignations de fréquence aux services de Terre au titre de deux séries différentes de dispositions: au titre de l'Article </w:t>
      </w:r>
      <w:r w:rsidRPr="007E130D">
        <w:rPr>
          <w:b/>
          <w:bCs/>
        </w:rPr>
        <w:t>11</w:t>
      </w:r>
      <w:r w:rsidRPr="007E130D">
        <w:t xml:space="preserve"> du RR (édition</w:t>
      </w:r>
      <w:r w:rsidR="00A50C7F" w:rsidRPr="007E130D">
        <w:t xml:space="preserve"> de 2016</w:t>
      </w:r>
      <w:r w:rsidRPr="007E130D">
        <w:t>) pour les fiches de notification reçues entre le</w:t>
      </w:r>
      <w:r w:rsidR="00665EFC" w:rsidRPr="007E130D">
        <w:t> </w:t>
      </w:r>
      <w:r w:rsidRPr="007E130D">
        <w:t>2</w:t>
      </w:r>
      <w:r w:rsidR="00E8224C" w:rsidRPr="007E130D">
        <w:t>3</w:t>
      </w:r>
      <w:r w:rsidR="00665EFC" w:rsidRPr="007E130D">
        <w:t> </w:t>
      </w:r>
      <w:r w:rsidRPr="007E130D">
        <w:t>novembre</w:t>
      </w:r>
      <w:r w:rsidR="00E8224C" w:rsidRPr="007E130D">
        <w:t xml:space="preserve"> 2019 </w:t>
      </w:r>
      <w:r w:rsidRPr="007E130D">
        <w:t>et le 31 décembre 20</w:t>
      </w:r>
      <w:r w:rsidR="00E8224C" w:rsidRPr="007E130D">
        <w:t>20</w:t>
      </w:r>
      <w:r w:rsidRPr="007E130D">
        <w:t xml:space="preserve">, et au titre de l'Article </w:t>
      </w:r>
      <w:r w:rsidRPr="007E130D">
        <w:rPr>
          <w:b/>
          <w:bCs/>
        </w:rPr>
        <w:t>11</w:t>
      </w:r>
      <w:r w:rsidR="00A50C7F" w:rsidRPr="007E130D">
        <w:t xml:space="preserve"> du RR (édition de 2020</w:t>
      </w:r>
      <w:r w:rsidRPr="007E130D">
        <w:t>) pour les fiches de notification reçues après le 31 décembre 20</w:t>
      </w:r>
      <w:r w:rsidR="00E8224C" w:rsidRPr="007E130D">
        <w:t>20</w:t>
      </w:r>
      <w:r w:rsidRPr="007E130D">
        <w:t>. En outre, les notifications soumises concernant les modifications apportées à un Plan ont été traitées conformément aux Accords régionaux pertinents.</w:t>
      </w:r>
    </w:p>
    <w:p w14:paraId="37D4035C" w14:textId="77777777" w:rsidR="00A82EF2" w:rsidRPr="007E130D" w:rsidRDefault="00A82EF2" w:rsidP="00B04B51">
      <w:r w:rsidRPr="007E130D">
        <w:t>Pendant la période considérée, tous les délais réglementaires prescrits dans le Règlement des radiocommunications et les Accords régionaux pour le traitement des fiches de notification relatives aux services de Terre ont été respectés.</w:t>
      </w:r>
    </w:p>
    <w:p w14:paraId="5B91BB15" w14:textId="77777777" w:rsidR="00A82EF2" w:rsidRPr="007E130D" w:rsidRDefault="00A82EF2" w:rsidP="00665EFC">
      <w:pPr>
        <w:keepLines/>
      </w:pPr>
      <w:r w:rsidRPr="007E130D">
        <w:lastRenderedPageBreak/>
        <w:t>Les activités ayant trait aux services de Terre ont également consisté à tenir à jour le Fichier de référence, ainsi que les plans mondiaux et régionaux, et notamment à procéder à un examen périodique des conclusions relatives aux assignations correspondantes, à apporter une assistance technique et réglementaire aux administrations, à perfectionner les logiciels relatifs aux services de Terre, en particulier les systèmes de traitement des fiches de notification TerRaSys et MARS, et à améliorer les portails web et les outils d'examen autonomes. Ces activités sont présentées ci-après.</w:t>
      </w:r>
    </w:p>
    <w:p w14:paraId="00C30C98" w14:textId="77777777" w:rsidR="00A82EF2" w:rsidRPr="007E130D" w:rsidRDefault="00A82EF2" w:rsidP="00B20AC9">
      <w:pPr>
        <w:pStyle w:val="Heading2"/>
      </w:pPr>
      <w:bookmarkStart w:id="116" w:name="_Toc426463226"/>
      <w:bookmarkStart w:id="117" w:name="_Toc19880045"/>
      <w:bookmarkStart w:id="118" w:name="_Toc147328799"/>
      <w:r w:rsidRPr="007E130D">
        <w:t>3.2</w:t>
      </w:r>
      <w:r w:rsidRPr="007E130D">
        <w:tab/>
        <w:t>Demandes de coordination concernant les services de Terre</w:t>
      </w:r>
      <w:bookmarkEnd w:id="116"/>
      <w:bookmarkEnd w:id="117"/>
      <w:bookmarkEnd w:id="118"/>
    </w:p>
    <w:p w14:paraId="55C6CF47" w14:textId="77777777" w:rsidR="00A82EF2" w:rsidRPr="007E130D" w:rsidRDefault="00A82EF2" w:rsidP="00B20AC9">
      <w:r w:rsidRPr="007E130D">
        <w:t xml:space="preserve">Cette activité comprend le traitement de toutes les demandes de coordination concernant des services de Terre, essentiellement au titre du numéro </w:t>
      </w:r>
      <w:r w:rsidRPr="007E130D">
        <w:rPr>
          <w:b/>
          <w:bCs/>
        </w:rPr>
        <w:t>9.21</w:t>
      </w:r>
      <w:r w:rsidRPr="007E130D">
        <w:t xml:space="preserve"> du RR, en particulier les examens techniques et réglementaires, la publication de la Section spéciale correspondante dans la BR IFIC, le suivi de l'application des procédures et la publication de la situation qui en résulte à l'expiration des délais dans le cadre des Sections spéciales de la BR IFIC.</w:t>
      </w:r>
    </w:p>
    <w:p w14:paraId="470AA924" w14:textId="41725872" w:rsidR="00A82EF2" w:rsidRPr="007E130D" w:rsidRDefault="00A82EF2" w:rsidP="00B20AC9">
      <w:r w:rsidRPr="007E130D">
        <w:t xml:space="preserve">Pour ce qui est des demandes soumises au titre du numéro </w:t>
      </w:r>
      <w:r w:rsidRPr="007E130D">
        <w:rPr>
          <w:b/>
          <w:bCs/>
        </w:rPr>
        <w:t>9.21</w:t>
      </w:r>
      <w:r w:rsidR="0064141D" w:rsidRPr="007E130D">
        <w:t xml:space="preserve"> </w:t>
      </w:r>
      <w:r w:rsidR="0064141D" w:rsidRPr="007E130D">
        <w:rPr>
          <w:bCs/>
        </w:rPr>
        <w:t>du RR</w:t>
      </w:r>
      <w:r w:rsidRPr="007E130D">
        <w:t>, pendant la période couverte par le rapport (2019</w:t>
      </w:r>
      <w:r w:rsidR="00E8224C" w:rsidRPr="007E130D">
        <w:t>-2023</w:t>
      </w:r>
      <w:r w:rsidRPr="007E130D">
        <w:t>), toutes les demandes d'application de la procédure au titre du numéro</w:t>
      </w:r>
      <w:r w:rsidR="00B04B51" w:rsidRPr="007E130D">
        <w:t> </w:t>
      </w:r>
      <w:r w:rsidRPr="007E130D">
        <w:rPr>
          <w:b/>
          <w:bCs/>
        </w:rPr>
        <w:t>9.21</w:t>
      </w:r>
      <w:r w:rsidRPr="007E130D">
        <w:t xml:space="preserve"> </w:t>
      </w:r>
      <w:r w:rsidR="0064141D" w:rsidRPr="007E130D">
        <w:t xml:space="preserve">du RR </w:t>
      </w:r>
      <w:r w:rsidRPr="007E130D">
        <w:t xml:space="preserve">concernaient les renvois </w:t>
      </w:r>
      <w:r w:rsidRPr="007E130D">
        <w:rPr>
          <w:b/>
          <w:bCs/>
        </w:rPr>
        <w:t>5.177</w:t>
      </w:r>
      <w:r w:rsidRPr="007E130D">
        <w:t xml:space="preserve">, </w:t>
      </w:r>
      <w:r w:rsidRPr="007E130D">
        <w:rPr>
          <w:b/>
          <w:bCs/>
        </w:rPr>
        <w:t>5.316B</w:t>
      </w:r>
      <w:r w:rsidR="00E8224C" w:rsidRPr="007E130D">
        <w:t>,</w:t>
      </w:r>
      <w:r w:rsidRPr="007E130D">
        <w:t xml:space="preserve"> </w:t>
      </w:r>
      <w:r w:rsidRPr="007E130D">
        <w:rPr>
          <w:b/>
          <w:bCs/>
        </w:rPr>
        <w:t>5.430A</w:t>
      </w:r>
      <w:r w:rsidRPr="007E130D">
        <w:t xml:space="preserve"> </w:t>
      </w:r>
      <w:r w:rsidR="00E8224C" w:rsidRPr="007E130D">
        <w:t xml:space="preserve">et </w:t>
      </w:r>
      <w:r w:rsidR="00E8224C" w:rsidRPr="007E130D">
        <w:rPr>
          <w:b/>
          <w:bCs/>
        </w:rPr>
        <w:t>441B</w:t>
      </w:r>
      <w:r w:rsidR="00E8224C" w:rsidRPr="007E130D">
        <w:t xml:space="preserve"> </w:t>
      </w:r>
      <w:r w:rsidR="0064141D" w:rsidRPr="007E130D">
        <w:rPr>
          <w:bCs/>
        </w:rPr>
        <w:t>du RR</w:t>
      </w:r>
      <w:r w:rsidR="0064141D" w:rsidRPr="007E130D">
        <w:t xml:space="preserve"> </w:t>
      </w:r>
      <w:r w:rsidRPr="007E130D">
        <w:t>(parmi</w:t>
      </w:r>
      <w:r w:rsidR="00B04B51" w:rsidRPr="007E130D">
        <w:t> </w:t>
      </w:r>
      <w:r w:rsidRPr="007E130D">
        <w:t>les</w:t>
      </w:r>
      <w:r w:rsidR="00B04B51" w:rsidRPr="007E130D">
        <w:t> </w:t>
      </w:r>
      <w:r w:rsidRPr="007E130D">
        <w:t>4</w:t>
      </w:r>
      <w:r w:rsidR="00E8224C" w:rsidRPr="007E130D">
        <w:t>4</w:t>
      </w:r>
      <w:r w:rsidR="00B04B51" w:rsidRPr="007E130D">
        <w:t> </w:t>
      </w:r>
      <w:r w:rsidRPr="007E130D">
        <w:t>renvois applicables aux services de Terre).</w:t>
      </w:r>
    </w:p>
    <w:p w14:paraId="7F07A0EB" w14:textId="77777777" w:rsidR="00A82EF2" w:rsidRPr="007E130D" w:rsidRDefault="00A82EF2" w:rsidP="00B20AC9">
      <w:r w:rsidRPr="007E130D">
        <w:t>Le Tableau 3.2-1 résume les statistiques sur les activités du Bureau relatives aux demandes de coordination concernant les services de Terre.</w:t>
      </w:r>
    </w:p>
    <w:p w14:paraId="62B54537" w14:textId="77777777" w:rsidR="00A82EF2" w:rsidRPr="007E130D" w:rsidRDefault="00A82EF2" w:rsidP="00B04B51">
      <w:pPr>
        <w:pStyle w:val="TableNo"/>
      </w:pPr>
      <w:r w:rsidRPr="007E130D">
        <w:t>TableAU 3.2-1</w:t>
      </w:r>
    </w:p>
    <w:p w14:paraId="5F2D33E8" w14:textId="77777777" w:rsidR="00A82EF2" w:rsidRPr="007E130D" w:rsidRDefault="00A82EF2" w:rsidP="00B04B51">
      <w:pPr>
        <w:pStyle w:val="Tabletitle"/>
      </w:pPr>
      <w:r w:rsidRPr="007E130D">
        <w:t>Activités relatives aux demandes de coordination concernant les services de Terre</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558"/>
        <w:gridCol w:w="1559"/>
        <w:gridCol w:w="1702"/>
        <w:gridCol w:w="1704"/>
        <w:gridCol w:w="1839"/>
      </w:tblGrid>
      <w:tr w:rsidR="00A82EF2" w:rsidRPr="007E130D" w14:paraId="084D4D41" w14:textId="77777777" w:rsidTr="00960B1C">
        <w:tc>
          <w:tcPr>
            <w:tcW w:w="598" w:type="pct"/>
            <w:tcBorders>
              <w:top w:val="nil"/>
              <w:left w:val="nil"/>
            </w:tcBorders>
          </w:tcPr>
          <w:p w14:paraId="642D3ED2" w14:textId="77777777" w:rsidR="00A82EF2" w:rsidRPr="007E130D" w:rsidRDefault="00A82EF2" w:rsidP="00B04B51">
            <w:pPr>
              <w:pStyle w:val="Tablehead"/>
              <w:keepLines/>
            </w:pPr>
          </w:p>
        </w:tc>
        <w:tc>
          <w:tcPr>
            <w:tcW w:w="820" w:type="pct"/>
          </w:tcPr>
          <w:p w14:paraId="36CFDB93" w14:textId="6924AD53" w:rsidR="00A82EF2" w:rsidRPr="007E130D" w:rsidRDefault="00E8224C" w:rsidP="00B04B51">
            <w:pPr>
              <w:pStyle w:val="Tablehead"/>
              <w:keepLines/>
              <w:rPr>
                <w:sz w:val="18"/>
                <w:szCs w:val="18"/>
              </w:rPr>
            </w:pPr>
            <w:r w:rsidRPr="007E130D">
              <w:rPr>
                <w:sz w:val="18"/>
                <w:szCs w:val="18"/>
              </w:rPr>
              <w:t>2019</w:t>
            </w:r>
          </w:p>
        </w:tc>
        <w:tc>
          <w:tcPr>
            <w:tcW w:w="821" w:type="pct"/>
          </w:tcPr>
          <w:p w14:paraId="5F2775B6" w14:textId="3F1A4B4E" w:rsidR="00A82EF2" w:rsidRPr="007E130D" w:rsidRDefault="00E8224C" w:rsidP="00B04B51">
            <w:pPr>
              <w:pStyle w:val="Tablehead"/>
              <w:keepLines/>
              <w:rPr>
                <w:sz w:val="18"/>
                <w:szCs w:val="18"/>
              </w:rPr>
            </w:pPr>
            <w:r w:rsidRPr="007E130D">
              <w:rPr>
                <w:sz w:val="18"/>
                <w:szCs w:val="18"/>
              </w:rPr>
              <w:t>2020</w:t>
            </w:r>
          </w:p>
        </w:tc>
        <w:tc>
          <w:tcPr>
            <w:tcW w:w="896" w:type="pct"/>
          </w:tcPr>
          <w:p w14:paraId="07DBA2C2" w14:textId="6EC7B65E" w:rsidR="00A82EF2" w:rsidRPr="007E130D" w:rsidRDefault="00E8224C" w:rsidP="00B04B51">
            <w:pPr>
              <w:pStyle w:val="Tablehead"/>
              <w:keepLines/>
              <w:rPr>
                <w:sz w:val="18"/>
                <w:szCs w:val="18"/>
              </w:rPr>
            </w:pPr>
            <w:r w:rsidRPr="007E130D">
              <w:rPr>
                <w:sz w:val="18"/>
                <w:szCs w:val="18"/>
              </w:rPr>
              <w:t>2021</w:t>
            </w:r>
          </w:p>
        </w:tc>
        <w:tc>
          <w:tcPr>
            <w:tcW w:w="897" w:type="pct"/>
          </w:tcPr>
          <w:p w14:paraId="0FFFA593" w14:textId="7EAC157A" w:rsidR="00A82EF2" w:rsidRPr="007E130D" w:rsidRDefault="00E8224C" w:rsidP="00B04B51">
            <w:pPr>
              <w:pStyle w:val="Tablehead"/>
              <w:keepLines/>
              <w:rPr>
                <w:sz w:val="18"/>
                <w:szCs w:val="18"/>
              </w:rPr>
            </w:pPr>
            <w:r w:rsidRPr="007E130D">
              <w:rPr>
                <w:sz w:val="18"/>
                <w:szCs w:val="18"/>
              </w:rPr>
              <w:t>2022</w:t>
            </w:r>
          </w:p>
        </w:tc>
        <w:tc>
          <w:tcPr>
            <w:tcW w:w="968" w:type="pct"/>
          </w:tcPr>
          <w:p w14:paraId="5D7FBB9D" w14:textId="2AC0E7BA" w:rsidR="00A82EF2" w:rsidRPr="007E130D" w:rsidRDefault="00E8224C" w:rsidP="00B04B51">
            <w:pPr>
              <w:pStyle w:val="Tablehead"/>
              <w:keepLines/>
              <w:rPr>
                <w:sz w:val="18"/>
                <w:szCs w:val="18"/>
              </w:rPr>
            </w:pPr>
            <w:r w:rsidRPr="007E130D">
              <w:rPr>
                <w:sz w:val="18"/>
                <w:szCs w:val="18"/>
              </w:rPr>
              <w:t>2023</w:t>
            </w:r>
            <w:r w:rsidR="00A82EF2" w:rsidRPr="007E130D">
              <w:rPr>
                <w:rStyle w:val="FootnoteReference"/>
                <w:b w:val="0"/>
                <w:bCs/>
                <w:sz w:val="12"/>
                <w:szCs w:val="12"/>
              </w:rPr>
              <w:footnoteReference w:id="5"/>
            </w:r>
          </w:p>
        </w:tc>
      </w:tr>
      <w:tr w:rsidR="00A82EF2" w:rsidRPr="007E130D" w14:paraId="492B8FC1" w14:textId="77777777" w:rsidTr="00960B1C">
        <w:tc>
          <w:tcPr>
            <w:tcW w:w="598" w:type="pct"/>
            <w:vAlign w:val="center"/>
          </w:tcPr>
          <w:p w14:paraId="18997A93" w14:textId="77777777" w:rsidR="00A82EF2" w:rsidRPr="007E130D" w:rsidRDefault="00A82EF2" w:rsidP="00B04B51">
            <w:pPr>
              <w:pStyle w:val="Tabletext"/>
              <w:keepNext/>
              <w:keepLines/>
              <w:jc w:val="center"/>
              <w:rPr>
                <w:sz w:val="18"/>
                <w:szCs w:val="18"/>
              </w:rPr>
            </w:pPr>
            <w:r w:rsidRPr="007E130D">
              <w:rPr>
                <w:sz w:val="18"/>
                <w:szCs w:val="18"/>
              </w:rPr>
              <w:t>Nombre de demandes reçues</w:t>
            </w:r>
          </w:p>
        </w:tc>
        <w:tc>
          <w:tcPr>
            <w:tcW w:w="820" w:type="pct"/>
            <w:vAlign w:val="center"/>
          </w:tcPr>
          <w:p w14:paraId="53002993" w14:textId="77777777" w:rsidR="00A82EF2" w:rsidRPr="007E130D" w:rsidRDefault="00A82EF2" w:rsidP="00B04B51">
            <w:pPr>
              <w:pStyle w:val="Tabletext"/>
              <w:keepNext/>
              <w:keepLines/>
              <w:jc w:val="center"/>
              <w:rPr>
                <w:sz w:val="18"/>
                <w:szCs w:val="18"/>
              </w:rPr>
            </w:pPr>
            <w:r w:rsidRPr="007E130D">
              <w:rPr>
                <w:caps/>
                <w:sz w:val="18"/>
                <w:szCs w:val="18"/>
              </w:rPr>
              <w:t>0</w:t>
            </w:r>
            <w:r w:rsidRPr="007E130D">
              <w:rPr>
                <w:caps/>
                <w:sz w:val="18"/>
                <w:szCs w:val="18"/>
              </w:rPr>
              <w:br/>
            </w:r>
            <w:r w:rsidRPr="007E130D">
              <w:rPr>
                <w:sz w:val="18"/>
                <w:szCs w:val="18"/>
              </w:rPr>
              <w:t>(Services de radiodiffusion)</w:t>
            </w:r>
          </w:p>
          <w:p w14:paraId="4847D3E1" w14:textId="45868E88" w:rsidR="00A82EF2" w:rsidRPr="007E130D" w:rsidRDefault="00E8224C" w:rsidP="00B04B51">
            <w:pPr>
              <w:pStyle w:val="Tabletext"/>
              <w:keepNext/>
              <w:keepLines/>
              <w:jc w:val="center"/>
              <w:rPr>
                <w:sz w:val="18"/>
                <w:szCs w:val="18"/>
              </w:rPr>
            </w:pPr>
            <w:r w:rsidRPr="007E130D">
              <w:rPr>
                <w:caps/>
                <w:sz w:val="18"/>
                <w:szCs w:val="18"/>
              </w:rPr>
              <w:t>392</w:t>
            </w:r>
            <w:r w:rsidR="00A82EF2" w:rsidRPr="007E130D">
              <w:rPr>
                <w:caps/>
                <w:sz w:val="18"/>
                <w:szCs w:val="18"/>
              </w:rPr>
              <w:br/>
            </w:r>
            <w:r w:rsidR="00A82EF2" w:rsidRPr="007E130D">
              <w:rPr>
                <w:sz w:val="18"/>
                <w:szCs w:val="18"/>
              </w:rPr>
              <w:t>(Autres services)</w:t>
            </w:r>
          </w:p>
        </w:tc>
        <w:tc>
          <w:tcPr>
            <w:tcW w:w="821" w:type="pct"/>
            <w:vAlign w:val="center"/>
          </w:tcPr>
          <w:p w14:paraId="069832A9" w14:textId="77777777" w:rsidR="00A82EF2" w:rsidRPr="007E130D" w:rsidRDefault="0064141D" w:rsidP="00B04B51">
            <w:pPr>
              <w:pStyle w:val="Tabletext"/>
              <w:keepNext/>
              <w:keepLines/>
              <w:jc w:val="center"/>
              <w:rPr>
                <w:sz w:val="18"/>
                <w:szCs w:val="18"/>
              </w:rPr>
            </w:pPr>
            <w:r w:rsidRPr="007E130D">
              <w:rPr>
                <w:sz w:val="18"/>
                <w:szCs w:val="18"/>
              </w:rPr>
              <w:t>0</w:t>
            </w:r>
            <w:r w:rsidR="00A82EF2" w:rsidRPr="007E130D">
              <w:rPr>
                <w:sz w:val="18"/>
                <w:szCs w:val="18"/>
              </w:rPr>
              <w:br/>
              <w:t>(Services de radiodiffusion)</w:t>
            </w:r>
          </w:p>
          <w:p w14:paraId="17DC41A8" w14:textId="5616C794" w:rsidR="00A82EF2" w:rsidRPr="007E130D" w:rsidRDefault="00E8224C" w:rsidP="00B04B51">
            <w:pPr>
              <w:pStyle w:val="Tabletext"/>
              <w:keepNext/>
              <w:keepLines/>
              <w:jc w:val="center"/>
              <w:rPr>
                <w:sz w:val="18"/>
                <w:szCs w:val="18"/>
              </w:rPr>
            </w:pPr>
            <w:r w:rsidRPr="007E130D">
              <w:rPr>
                <w:sz w:val="18"/>
                <w:szCs w:val="18"/>
              </w:rPr>
              <w:t>1 340</w:t>
            </w:r>
          </w:p>
          <w:p w14:paraId="77CF8FB6" w14:textId="77777777" w:rsidR="00A82EF2" w:rsidRPr="007E130D" w:rsidRDefault="00A82EF2" w:rsidP="00B04B51">
            <w:pPr>
              <w:pStyle w:val="Tabletext"/>
              <w:keepNext/>
              <w:keepLines/>
              <w:jc w:val="center"/>
              <w:rPr>
                <w:sz w:val="18"/>
                <w:szCs w:val="18"/>
              </w:rPr>
            </w:pPr>
            <w:r w:rsidRPr="007E130D">
              <w:rPr>
                <w:sz w:val="18"/>
                <w:szCs w:val="18"/>
              </w:rPr>
              <w:t>(Autres services)</w:t>
            </w:r>
          </w:p>
        </w:tc>
        <w:tc>
          <w:tcPr>
            <w:tcW w:w="896" w:type="pct"/>
            <w:vAlign w:val="center"/>
          </w:tcPr>
          <w:p w14:paraId="70C93678" w14:textId="77777777" w:rsidR="00A82EF2" w:rsidRPr="007E130D" w:rsidRDefault="00A82EF2" w:rsidP="00B04B51">
            <w:pPr>
              <w:pStyle w:val="Tabletext"/>
              <w:keepNext/>
              <w:keepLines/>
              <w:jc w:val="center"/>
              <w:rPr>
                <w:sz w:val="18"/>
                <w:szCs w:val="18"/>
              </w:rPr>
            </w:pPr>
            <w:r w:rsidRPr="007E130D">
              <w:rPr>
                <w:caps/>
                <w:sz w:val="18"/>
                <w:szCs w:val="18"/>
              </w:rPr>
              <w:t>0</w:t>
            </w:r>
            <w:r w:rsidRPr="007E130D">
              <w:rPr>
                <w:caps/>
                <w:sz w:val="18"/>
                <w:szCs w:val="18"/>
              </w:rPr>
              <w:br/>
            </w:r>
            <w:r w:rsidRPr="007E130D">
              <w:rPr>
                <w:sz w:val="18"/>
                <w:szCs w:val="18"/>
              </w:rPr>
              <w:t>(Services de radiodiffusion)</w:t>
            </w:r>
          </w:p>
          <w:p w14:paraId="723B9573" w14:textId="42F3603E" w:rsidR="00A82EF2" w:rsidRPr="007E130D" w:rsidRDefault="00E8224C" w:rsidP="00B04B51">
            <w:pPr>
              <w:pStyle w:val="Tabletext"/>
              <w:keepNext/>
              <w:keepLines/>
              <w:jc w:val="center"/>
              <w:rPr>
                <w:caps/>
                <w:sz w:val="18"/>
                <w:szCs w:val="18"/>
              </w:rPr>
            </w:pPr>
            <w:r w:rsidRPr="007E130D">
              <w:rPr>
                <w:caps/>
                <w:sz w:val="18"/>
                <w:szCs w:val="18"/>
              </w:rPr>
              <w:t>1 515</w:t>
            </w:r>
            <w:r w:rsidR="00A82EF2" w:rsidRPr="007E130D">
              <w:rPr>
                <w:caps/>
                <w:sz w:val="18"/>
                <w:szCs w:val="18"/>
              </w:rPr>
              <w:br/>
            </w:r>
            <w:r w:rsidR="00A82EF2" w:rsidRPr="007E130D">
              <w:rPr>
                <w:sz w:val="18"/>
                <w:szCs w:val="18"/>
              </w:rPr>
              <w:t>(Autres services)</w:t>
            </w:r>
          </w:p>
        </w:tc>
        <w:tc>
          <w:tcPr>
            <w:tcW w:w="897" w:type="pct"/>
          </w:tcPr>
          <w:p w14:paraId="72E1405B" w14:textId="77777777" w:rsidR="00A82EF2" w:rsidRPr="007E130D" w:rsidRDefault="0064141D" w:rsidP="00B04B51">
            <w:pPr>
              <w:pStyle w:val="Tabletext"/>
              <w:keepNext/>
              <w:keepLines/>
              <w:jc w:val="center"/>
              <w:rPr>
                <w:sz w:val="18"/>
                <w:szCs w:val="18"/>
              </w:rPr>
            </w:pPr>
            <w:r w:rsidRPr="007E130D">
              <w:rPr>
                <w:caps/>
                <w:sz w:val="18"/>
                <w:szCs w:val="18"/>
              </w:rPr>
              <w:t>2</w:t>
            </w:r>
            <w:r w:rsidR="00A82EF2" w:rsidRPr="007E130D">
              <w:rPr>
                <w:caps/>
                <w:sz w:val="18"/>
                <w:szCs w:val="18"/>
              </w:rPr>
              <w:br/>
            </w:r>
            <w:r w:rsidR="00A82EF2" w:rsidRPr="007E130D">
              <w:rPr>
                <w:sz w:val="18"/>
                <w:szCs w:val="18"/>
              </w:rPr>
              <w:t>(Services de radiodiffusion)</w:t>
            </w:r>
          </w:p>
          <w:p w14:paraId="466ECC55" w14:textId="0DBFFE72" w:rsidR="00A82EF2" w:rsidRPr="007E130D" w:rsidRDefault="00E8224C" w:rsidP="00B04B51">
            <w:pPr>
              <w:pStyle w:val="Tabletext"/>
              <w:keepNext/>
              <w:keepLines/>
              <w:jc w:val="center"/>
              <w:rPr>
                <w:caps/>
                <w:sz w:val="18"/>
                <w:szCs w:val="18"/>
              </w:rPr>
            </w:pPr>
            <w:r w:rsidRPr="007E130D">
              <w:rPr>
                <w:caps/>
                <w:sz w:val="18"/>
                <w:szCs w:val="18"/>
              </w:rPr>
              <w:t>248</w:t>
            </w:r>
            <w:r w:rsidR="00A82EF2" w:rsidRPr="007E130D">
              <w:rPr>
                <w:caps/>
                <w:sz w:val="18"/>
                <w:szCs w:val="18"/>
              </w:rPr>
              <w:br/>
            </w:r>
            <w:r w:rsidR="00A82EF2" w:rsidRPr="007E130D">
              <w:rPr>
                <w:sz w:val="18"/>
                <w:szCs w:val="18"/>
              </w:rPr>
              <w:t>(Autres services)</w:t>
            </w:r>
          </w:p>
        </w:tc>
        <w:tc>
          <w:tcPr>
            <w:tcW w:w="968" w:type="pct"/>
            <w:vAlign w:val="center"/>
          </w:tcPr>
          <w:p w14:paraId="23A1BAAA" w14:textId="77777777" w:rsidR="00A82EF2" w:rsidRPr="007E130D" w:rsidRDefault="00A82EF2" w:rsidP="00B04B51">
            <w:pPr>
              <w:pStyle w:val="Tabletext"/>
              <w:keepNext/>
              <w:keepLines/>
              <w:jc w:val="center"/>
              <w:rPr>
                <w:sz w:val="18"/>
                <w:szCs w:val="18"/>
              </w:rPr>
            </w:pPr>
            <w:r w:rsidRPr="007E130D">
              <w:rPr>
                <w:caps/>
                <w:sz w:val="18"/>
                <w:szCs w:val="18"/>
              </w:rPr>
              <w:t>0</w:t>
            </w:r>
            <w:r w:rsidRPr="007E130D">
              <w:rPr>
                <w:caps/>
                <w:sz w:val="18"/>
                <w:szCs w:val="18"/>
              </w:rPr>
              <w:br/>
            </w:r>
            <w:r w:rsidRPr="007E130D">
              <w:rPr>
                <w:sz w:val="18"/>
                <w:szCs w:val="18"/>
              </w:rPr>
              <w:t>(Services de radiodiffusion)</w:t>
            </w:r>
          </w:p>
          <w:p w14:paraId="0E82C0CF" w14:textId="19911FAD" w:rsidR="00A82EF2" w:rsidRPr="007E130D" w:rsidRDefault="00E8224C" w:rsidP="00B04B51">
            <w:pPr>
              <w:pStyle w:val="Tabletext"/>
              <w:keepNext/>
              <w:keepLines/>
              <w:jc w:val="center"/>
              <w:rPr>
                <w:caps/>
                <w:sz w:val="18"/>
                <w:szCs w:val="18"/>
              </w:rPr>
            </w:pPr>
            <w:r w:rsidRPr="007E130D">
              <w:rPr>
                <w:caps/>
                <w:sz w:val="18"/>
                <w:szCs w:val="18"/>
              </w:rPr>
              <w:t>309</w:t>
            </w:r>
            <w:r w:rsidR="00A82EF2" w:rsidRPr="007E130D">
              <w:rPr>
                <w:caps/>
                <w:sz w:val="18"/>
                <w:szCs w:val="18"/>
              </w:rPr>
              <w:br/>
            </w:r>
            <w:r w:rsidR="00A82EF2" w:rsidRPr="007E130D">
              <w:rPr>
                <w:sz w:val="18"/>
                <w:szCs w:val="18"/>
              </w:rPr>
              <w:t>(Autres services)</w:t>
            </w:r>
            <w:r w:rsidR="00A82EF2" w:rsidRPr="007E130D">
              <w:rPr>
                <w:caps/>
                <w:sz w:val="18"/>
                <w:szCs w:val="18"/>
              </w:rPr>
              <w:t>0</w:t>
            </w:r>
          </w:p>
        </w:tc>
      </w:tr>
      <w:tr w:rsidR="00A82EF2" w:rsidRPr="007E130D" w14:paraId="50494818" w14:textId="77777777" w:rsidTr="00960B1C">
        <w:tc>
          <w:tcPr>
            <w:tcW w:w="598" w:type="pct"/>
            <w:vAlign w:val="center"/>
          </w:tcPr>
          <w:p w14:paraId="2736AEB0" w14:textId="77777777" w:rsidR="00A82EF2" w:rsidRPr="007E130D" w:rsidRDefault="00A82EF2" w:rsidP="00B04B51">
            <w:pPr>
              <w:pStyle w:val="Tabletext"/>
              <w:keepNext/>
              <w:keepLines/>
              <w:jc w:val="center"/>
              <w:rPr>
                <w:sz w:val="18"/>
                <w:szCs w:val="18"/>
              </w:rPr>
            </w:pPr>
            <w:r w:rsidRPr="007E130D">
              <w:rPr>
                <w:sz w:val="18"/>
                <w:szCs w:val="18"/>
              </w:rPr>
              <w:t>Nombre de demandes traitées</w:t>
            </w:r>
            <w:r w:rsidRPr="007E130D">
              <w:rPr>
                <w:rStyle w:val="FootnoteReference"/>
                <w:sz w:val="12"/>
                <w:szCs w:val="12"/>
              </w:rPr>
              <w:footnoteReference w:id="6"/>
            </w:r>
          </w:p>
        </w:tc>
        <w:tc>
          <w:tcPr>
            <w:tcW w:w="820" w:type="pct"/>
            <w:vAlign w:val="center"/>
          </w:tcPr>
          <w:p w14:paraId="77D86C07" w14:textId="77777777" w:rsidR="00A82EF2" w:rsidRPr="007E130D" w:rsidRDefault="00A82EF2" w:rsidP="00B04B51">
            <w:pPr>
              <w:pStyle w:val="Tabletext"/>
              <w:keepNext/>
              <w:keepLines/>
              <w:jc w:val="center"/>
              <w:rPr>
                <w:sz w:val="18"/>
                <w:szCs w:val="18"/>
              </w:rPr>
            </w:pPr>
            <w:r w:rsidRPr="007E130D">
              <w:rPr>
                <w:caps/>
                <w:sz w:val="18"/>
                <w:szCs w:val="18"/>
              </w:rPr>
              <w:t>0</w:t>
            </w:r>
            <w:r w:rsidRPr="007E130D">
              <w:rPr>
                <w:caps/>
                <w:sz w:val="18"/>
                <w:szCs w:val="18"/>
              </w:rPr>
              <w:br/>
            </w:r>
            <w:r w:rsidRPr="007E130D">
              <w:rPr>
                <w:sz w:val="18"/>
                <w:szCs w:val="18"/>
              </w:rPr>
              <w:t>(Services de radiodiffusion)</w:t>
            </w:r>
          </w:p>
          <w:p w14:paraId="44B53D6E" w14:textId="6F78F587" w:rsidR="00A82EF2" w:rsidRPr="007E130D" w:rsidRDefault="00E8224C" w:rsidP="00B04B51">
            <w:pPr>
              <w:pStyle w:val="Tabletext"/>
              <w:keepNext/>
              <w:keepLines/>
              <w:jc w:val="center"/>
              <w:rPr>
                <w:sz w:val="18"/>
                <w:szCs w:val="18"/>
              </w:rPr>
            </w:pPr>
            <w:r w:rsidRPr="007E130D">
              <w:rPr>
                <w:caps/>
                <w:sz w:val="18"/>
                <w:szCs w:val="18"/>
              </w:rPr>
              <w:t>401</w:t>
            </w:r>
            <w:r w:rsidR="00A82EF2" w:rsidRPr="007E130D">
              <w:rPr>
                <w:caps/>
                <w:sz w:val="18"/>
                <w:szCs w:val="18"/>
              </w:rPr>
              <w:br/>
            </w:r>
            <w:r w:rsidR="00A82EF2" w:rsidRPr="007E130D">
              <w:rPr>
                <w:sz w:val="18"/>
                <w:szCs w:val="18"/>
              </w:rPr>
              <w:t>(Autres services)</w:t>
            </w:r>
          </w:p>
        </w:tc>
        <w:tc>
          <w:tcPr>
            <w:tcW w:w="821" w:type="pct"/>
            <w:vAlign w:val="center"/>
          </w:tcPr>
          <w:p w14:paraId="78028C95" w14:textId="77777777" w:rsidR="00A82EF2" w:rsidRPr="007E130D" w:rsidRDefault="00A82EF2" w:rsidP="00B04B51">
            <w:pPr>
              <w:pStyle w:val="Tabletext"/>
              <w:keepNext/>
              <w:keepLines/>
              <w:jc w:val="center"/>
              <w:rPr>
                <w:sz w:val="18"/>
                <w:szCs w:val="18"/>
              </w:rPr>
            </w:pPr>
            <w:r w:rsidRPr="007E130D">
              <w:rPr>
                <w:sz w:val="18"/>
                <w:szCs w:val="18"/>
              </w:rPr>
              <w:t>2</w:t>
            </w:r>
            <w:r w:rsidRPr="007E130D">
              <w:rPr>
                <w:sz w:val="18"/>
                <w:szCs w:val="18"/>
              </w:rPr>
              <w:br/>
              <w:t>Services de radiodiffusion)</w:t>
            </w:r>
          </w:p>
          <w:p w14:paraId="14D8385A" w14:textId="0E703967" w:rsidR="00A82EF2" w:rsidRPr="007E130D" w:rsidRDefault="00E8224C" w:rsidP="00B04B51">
            <w:pPr>
              <w:pStyle w:val="Tabletext"/>
              <w:keepNext/>
              <w:keepLines/>
              <w:jc w:val="center"/>
              <w:rPr>
                <w:sz w:val="18"/>
                <w:szCs w:val="18"/>
              </w:rPr>
            </w:pPr>
            <w:r w:rsidRPr="007E130D">
              <w:rPr>
                <w:sz w:val="18"/>
                <w:szCs w:val="18"/>
              </w:rPr>
              <w:t>1 712</w:t>
            </w:r>
          </w:p>
          <w:p w14:paraId="45F690DD" w14:textId="77777777" w:rsidR="00A82EF2" w:rsidRPr="007E130D" w:rsidRDefault="00A82EF2" w:rsidP="00B04B51">
            <w:pPr>
              <w:pStyle w:val="Tabletext"/>
              <w:keepNext/>
              <w:keepLines/>
              <w:jc w:val="center"/>
              <w:rPr>
                <w:sz w:val="18"/>
                <w:szCs w:val="18"/>
              </w:rPr>
            </w:pPr>
            <w:r w:rsidRPr="007E130D">
              <w:rPr>
                <w:sz w:val="18"/>
                <w:szCs w:val="18"/>
              </w:rPr>
              <w:t>(Autres services)</w:t>
            </w:r>
          </w:p>
        </w:tc>
        <w:tc>
          <w:tcPr>
            <w:tcW w:w="896" w:type="pct"/>
            <w:vAlign w:val="center"/>
          </w:tcPr>
          <w:p w14:paraId="1F2042A8" w14:textId="77777777" w:rsidR="00A82EF2" w:rsidRPr="007E130D" w:rsidRDefault="00A82EF2" w:rsidP="00B04B51">
            <w:pPr>
              <w:pStyle w:val="Tabletext"/>
              <w:keepNext/>
              <w:keepLines/>
              <w:jc w:val="center"/>
              <w:rPr>
                <w:sz w:val="18"/>
                <w:szCs w:val="18"/>
              </w:rPr>
            </w:pPr>
            <w:r w:rsidRPr="007E130D">
              <w:rPr>
                <w:caps/>
                <w:sz w:val="18"/>
                <w:szCs w:val="18"/>
              </w:rPr>
              <w:t>0</w:t>
            </w:r>
            <w:r w:rsidRPr="007E130D">
              <w:rPr>
                <w:caps/>
                <w:sz w:val="18"/>
                <w:szCs w:val="18"/>
              </w:rPr>
              <w:br/>
            </w:r>
            <w:r w:rsidRPr="007E130D">
              <w:rPr>
                <w:sz w:val="18"/>
                <w:szCs w:val="18"/>
              </w:rPr>
              <w:t>(Services de radiodiffusion)</w:t>
            </w:r>
          </w:p>
          <w:p w14:paraId="33A9EEBD" w14:textId="0256D38D" w:rsidR="00A82EF2" w:rsidRPr="007E130D" w:rsidRDefault="00E8224C" w:rsidP="00B04B51">
            <w:pPr>
              <w:pStyle w:val="Tabletext"/>
              <w:keepNext/>
              <w:keepLines/>
              <w:jc w:val="center"/>
              <w:rPr>
                <w:caps/>
                <w:sz w:val="18"/>
                <w:szCs w:val="18"/>
              </w:rPr>
            </w:pPr>
            <w:r w:rsidRPr="007E130D">
              <w:rPr>
                <w:caps/>
                <w:sz w:val="18"/>
                <w:szCs w:val="18"/>
              </w:rPr>
              <w:t>2 425</w:t>
            </w:r>
            <w:r w:rsidR="00A82EF2" w:rsidRPr="007E130D">
              <w:rPr>
                <w:caps/>
                <w:sz w:val="18"/>
                <w:szCs w:val="18"/>
              </w:rPr>
              <w:br/>
            </w:r>
            <w:r w:rsidR="00A82EF2" w:rsidRPr="007E130D">
              <w:rPr>
                <w:sz w:val="18"/>
                <w:szCs w:val="18"/>
              </w:rPr>
              <w:t>(Autres services)</w:t>
            </w:r>
          </w:p>
        </w:tc>
        <w:tc>
          <w:tcPr>
            <w:tcW w:w="897" w:type="pct"/>
          </w:tcPr>
          <w:p w14:paraId="19389BFC" w14:textId="77777777" w:rsidR="00A82EF2" w:rsidRPr="007E130D" w:rsidRDefault="00A82EF2" w:rsidP="00B04B51">
            <w:pPr>
              <w:pStyle w:val="Tabletext"/>
              <w:keepNext/>
              <w:keepLines/>
              <w:jc w:val="center"/>
              <w:rPr>
                <w:sz w:val="18"/>
                <w:szCs w:val="18"/>
              </w:rPr>
            </w:pPr>
            <w:r w:rsidRPr="007E130D">
              <w:rPr>
                <w:caps/>
                <w:sz w:val="18"/>
                <w:szCs w:val="18"/>
              </w:rPr>
              <w:t>2</w:t>
            </w:r>
            <w:r w:rsidRPr="007E130D">
              <w:rPr>
                <w:caps/>
                <w:sz w:val="18"/>
                <w:szCs w:val="18"/>
              </w:rPr>
              <w:br/>
            </w:r>
            <w:r w:rsidRPr="007E130D">
              <w:rPr>
                <w:sz w:val="18"/>
                <w:szCs w:val="18"/>
              </w:rPr>
              <w:t>(Services de radiodiffusion)</w:t>
            </w:r>
          </w:p>
          <w:p w14:paraId="2BC4C56D" w14:textId="57FE855D" w:rsidR="00A82EF2" w:rsidRPr="007E130D" w:rsidRDefault="00E8224C" w:rsidP="00B04B51">
            <w:pPr>
              <w:pStyle w:val="Tabletext"/>
              <w:keepNext/>
              <w:keepLines/>
              <w:jc w:val="center"/>
              <w:rPr>
                <w:caps/>
                <w:sz w:val="18"/>
                <w:szCs w:val="18"/>
              </w:rPr>
            </w:pPr>
            <w:r w:rsidRPr="007E130D">
              <w:rPr>
                <w:caps/>
                <w:sz w:val="18"/>
                <w:szCs w:val="18"/>
              </w:rPr>
              <w:t>1 692</w:t>
            </w:r>
            <w:r w:rsidR="00A82EF2" w:rsidRPr="007E130D">
              <w:rPr>
                <w:caps/>
                <w:sz w:val="18"/>
                <w:szCs w:val="18"/>
              </w:rPr>
              <w:br/>
            </w:r>
            <w:r w:rsidR="00A82EF2" w:rsidRPr="007E130D">
              <w:rPr>
                <w:sz w:val="18"/>
                <w:szCs w:val="18"/>
              </w:rPr>
              <w:t>(Autres services)</w:t>
            </w:r>
          </w:p>
        </w:tc>
        <w:tc>
          <w:tcPr>
            <w:tcW w:w="968" w:type="pct"/>
            <w:vAlign w:val="center"/>
          </w:tcPr>
          <w:p w14:paraId="36D6A6E3" w14:textId="77777777" w:rsidR="00A82EF2" w:rsidRPr="007E130D" w:rsidRDefault="00A82EF2" w:rsidP="00B04B51">
            <w:pPr>
              <w:pStyle w:val="Tabletext"/>
              <w:keepNext/>
              <w:keepLines/>
              <w:jc w:val="center"/>
              <w:rPr>
                <w:sz w:val="18"/>
                <w:szCs w:val="18"/>
              </w:rPr>
            </w:pPr>
            <w:r w:rsidRPr="007E130D">
              <w:rPr>
                <w:caps/>
                <w:sz w:val="18"/>
                <w:szCs w:val="18"/>
              </w:rPr>
              <w:t>0</w:t>
            </w:r>
            <w:r w:rsidRPr="007E130D">
              <w:rPr>
                <w:caps/>
                <w:sz w:val="18"/>
                <w:szCs w:val="18"/>
              </w:rPr>
              <w:br/>
            </w:r>
            <w:r w:rsidRPr="007E130D">
              <w:rPr>
                <w:sz w:val="18"/>
                <w:szCs w:val="18"/>
              </w:rPr>
              <w:t>(Services de radiodiffusion)</w:t>
            </w:r>
          </w:p>
          <w:p w14:paraId="63CD2675" w14:textId="77777777" w:rsidR="00A82EF2" w:rsidRPr="007E130D" w:rsidRDefault="00A82EF2" w:rsidP="00B04B51">
            <w:pPr>
              <w:pStyle w:val="Tabletext"/>
              <w:keepNext/>
              <w:keepLines/>
              <w:jc w:val="center"/>
              <w:rPr>
                <w:caps/>
                <w:sz w:val="18"/>
                <w:szCs w:val="18"/>
              </w:rPr>
            </w:pPr>
            <w:r w:rsidRPr="007E130D">
              <w:rPr>
                <w:caps/>
                <w:sz w:val="18"/>
                <w:szCs w:val="18"/>
              </w:rPr>
              <w:t>3</w:t>
            </w:r>
            <w:r w:rsidR="00E8224C" w:rsidRPr="007E130D">
              <w:rPr>
                <w:caps/>
                <w:sz w:val="18"/>
                <w:szCs w:val="18"/>
              </w:rPr>
              <w:t>4</w:t>
            </w:r>
            <w:r w:rsidRPr="007E130D">
              <w:rPr>
                <w:caps/>
                <w:sz w:val="18"/>
                <w:szCs w:val="18"/>
              </w:rPr>
              <w:t>2</w:t>
            </w:r>
            <w:r w:rsidRPr="007E130D">
              <w:rPr>
                <w:caps/>
                <w:sz w:val="18"/>
                <w:szCs w:val="18"/>
              </w:rPr>
              <w:br/>
            </w:r>
            <w:r w:rsidRPr="007E130D">
              <w:rPr>
                <w:sz w:val="18"/>
                <w:szCs w:val="18"/>
              </w:rPr>
              <w:t>(Autres services)</w:t>
            </w:r>
          </w:p>
        </w:tc>
      </w:tr>
    </w:tbl>
    <w:p w14:paraId="265FA8A5" w14:textId="77777777" w:rsidR="00A82EF2" w:rsidRPr="007E130D" w:rsidRDefault="00A82EF2" w:rsidP="00B20AC9">
      <w:pPr>
        <w:pStyle w:val="Normalaftertitle"/>
      </w:pPr>
      <w:r w:rsidRPr="007E130D">
        <w:t>Le Bureau a traité toutes les demandes dans les délais statutaires. Au moment où le présent rapport a été élaboré, il n'y avait pas d'arriéré dans ce domaine.</w:t>
      </w:r>
    </w:p>
    <w:p w14:paraId="3ED5994F" w14:textId="77777777" w:rsidR="00A82EF2" w:rsidRPr="007E130D" w:rsidRDefault="00A82EF2" w:rsidP="00130B4A">
      <w:pPr>
        <w:pStyle w:val="Heading2"/>
        <w:keepNext w:val="0"/>
        <w:keepLines w:val="0"/>
      </w:pPr>
      <w:bookmarkStart w:id="119" w:name="_Toc426463227"/>
      <w:bookmarkStart w:id="120" w:name="_Toc19880046"/>
      <w:bookmarkStart w:id="121" w:name="_Toc147328800"/>
      <w:r w:rsidRPr="007E130D">
        <w:t>3.3</w:t>
      </w:r>
      <w:r w:rsidRPr="007E130D">
        <w:tab/>
        <w:t>Procédures de modification des Plans pour les services de Terre</w:t>
      </w:r>
      <w:bookmarkEnd w:id="119"/>
      <w:bookmarkEnd w:id="120"/>
      <w:bookmarkEnd w:id="121"/>
    </w:p>
    <w:p w14:paraId="23673D99" w14:textId="77777777" w:rsidR="00A82EF2" w:rsidRPr="007E130D" w:rsidRDefault="00A82EF2" w:rsidP="00130B4A">
      <w:r w:rsidRPr="007E130D">
        <w:rPr>
          <w:b/>
          <w:bCs/>
        </w:rPr>
        <w:t>3.3.1</w:t>
      </w:r>
      <w:r w:rsidRPr="007E130D">
        <w:tab/>
        <w:t xml:space="preserve">Cette activité comprend le traitement des soumissions au titre de diverses procédures de modification des Plans, notamment les examens pertinents de compatibilité ou relatifs à la coordination, le cas échéant, et la publication de résultats initiaux et finals dans les Sections spéciales. Ces activités sont menées à l'aide du système TeRaSys (pour le Plan de l'Appendice </w:t>
      </w:r>
      <w:r w:rsidRPr="007E130D">
        <w:rPr>
          <w:b/>
          <w:bCs/>
        </w:rPr>
        <w:t xml:space="preserve">25 </w:t>
      </w:r>
      <w:r w:rsidRPr="007E130D">
        <w:t xml:space="preserve">et pour les Plans régis par les Accords régionaux ST61, GE84, GE89, GE85EMA, GE06A, GE06D </w:t>
      </w:r>
      <w:r w:rsidRPr="007E130D">
        <w:lastRenderedPageBreak/>
        <w:t>et GE06L) ou à l'aide d'autres systèmes autonomes, qui ne sont pas encore intégrés dans le système TeRaSys (pour le Plan AP26 ainsi que pour les Plans régis par les Accords régionaux GE75, RJ81 et GE85MM).</w:t>
      </w:r>
    </w:p>
    <w:p w14:paraId="4AB2DE83" w14:textId="77777777" w:rsidR="00A82EF2" w:rsidRPr="007E130D" w:rsidRDefault="00A82EF2" w:rsidP="00B20AC9">
      <w:r w:rsidRPr="007E130D">
        <w:t>Le Bureau a traité toutes ces demandes dans les délais statutaires. Il n'y a pas d'arriéré dans le traitement des soumissions relatives à tous ces plans. On trouvera dans le Tableau 3.3-1 un résumé des activités du Bureau concernant le traitement des soumissions au titre des procédures de modification des Plans pour les services de Terre.</w:t>
      </w:r>
    </w:p>
    <w:p w14:paraId="4B0F2FD1" w14:textId="77777777" w:rsidR="00A82EF2" w:rsidRPr="007E130D" w:rsidRDefault="00A82EF2" w:rsidP="00B04B51">
      <w:pPr>
        <w:pStyle w:val="TableNo"/>
      </w:pPr>
      <w:r w:rsidRPr="007E130D">
        <w:t>TableAU 3.3-1</w:t>
      </w:r>
    </w:p>
    <w:p w14:paraId="20AA31CE" w14:textId="77777777" w:rsidR="00A82EF2" w:rsidRPr="007E130D" w:rsidRDefault="00A82EF2" w:rsidP="00B20AC9">
      <w:pPr>
        <w:pStyle w:val="Tabletitle"/>
      </w:pPr>
      <w:r w:rsidRPr="007E130D">
        <w:t>Activités relatives aux procédures de modification des Plans pour les services de Terre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561"/>
        <w:gridCol w:w="1559"/>
        <w:gridCol w:w="1559"/>
        <w:gridCol w:w="1553"/>
      </w:tblGrid>
      <w:tr w:rsidR="00334348" w:rsidRPr="007E130D" w14:paraId="1DADF3CA" w14:textId="77777777" w:rsidTr="00334348">
        <w:tc>
          <w:tcPr>
            <w:tcW w:w="956" w:type="pct"/>
            <w:tcBorders>
              <w:top w:val="nil"/>
              <w:left w:val="nil"/>
            </w:tcBorders>
            <w:vAlign w:val="center"/>
          </w:tcPr>
          <w:p w14:paraId="3C456D40" w14:textId="77777777" w:rsidR="00334348" w:rsidRPr="007E130D" w:rsidRDefault="00334348" w:rsidP="00B20AC9">
            <w:pPr>
              <w:pStyle w:val="Tablehead"/>
              <w:keepLines/>
              <w:rPr>
                <w:sz w:val="18"/>
                <w:szCs w:val="18"/>
              </w:rPr>
            </w:pPr>
          </w:p>
        </w:tc>
        <w:tc>
          <w:tcPr>
            <w:tcW w:w="809" w:type="pct"/>
            <w:vAlign w:val="center"/>
          </w:tcPr>
          <w:p w14:paraId="4E7CF9AE" w14:textId="77777777" w:rsidR="00334348" w:rsidRPr="007E130D" w:rsidRDefault="00334348" w:rsidP="00B20AC9">
            <w:pPr>
              <w:pStyle w:val="Tablehead"/>
              <w:keepLines/>
              <w:rPr>
                <w:sz w:val="18"/>
                <w:szCs w:val="18"/>
              </w:rPr>
            </w:pPr>
            <w:r w:rsidRPr="007E130D">
              <w:t>2019</w:t>
            </w:r>
          </w:p>
        </w:tc>
        <w:tc>
          <w:tcPr>
            <w:tcW w:w="810" w:type="pct"/>
            <w:vAlign w:val="center"/>
          </w:tcPr>
          <w:p w14:paraId="2B83625A" w14:textId="77777777" w:rsidR="00334348" w:rsidRPr="007E130D" w:rsidRDefault="00334348" w:rsidP="00B20AC9">
            <w:pPr>
              <w:pStyle w:val="Tablehead"/>
              <w:keepLines/>
              <w:rPr>
                <w:sz w:val="18"/>
                <w:szCs w:val="18"/>
              </w:rPr>
            </w:pPr>
            <w:r w:rsidRPr="007E130D">
              <w:t>2020</w:t>
            </w:r>
          </w:p>
        </w:tc>
        <w:tc>
          <w:tcPr>
            <w:tcW w:w="809" w:type="pct"/>
            <w:vAlign w:val="center"/>
          </w:tcPr>
          <w:p w14:paraId="6A60DDE0" w14:textId="77777777" w:rsidR="00334348" w:rsidRPr="007E130D" w:rsidRDefault="00334348" w:rsidP="00B20AC9">
            <w:pPr>
              <w:pStyle w:val="Tablehead"/>
              <w:keepLines/>
              <w:rPr>
                <w:sz w:val="18"/>
                <w:szCs w:val="18"/>
              </w:rPr>
            </w:pPr>
            <w:r w:rsidRPr="007E130D">
              <w:t>2021</w:t>
            </w:r>
          </w:p>
        </w:tc>
        <w:tc>
          <w:tcPr>
            <w:tcW w:w="809" w:type="pct"/>
          </w:tcPr>
          <w:p w14:paraId="212CC9A5" w14:textId="77777777" w:rsidR="00334348" w:rsidRPr="007E130D" w:rsidRDefault="00334348" w:rsidP="00B20AC9">
            <w:pPr>
              <w:pStyle w:val="Tablehead"/>
              <w:keepLines/>
              <w:rPr>
                <w:sz w:val="18"/>
                <w:szCs w:val="18"/>
              </w:rPr>
            </w:pPr>
            <w:r w:rsidRPr="007E130D">
              <w:t>2022</w:t>
            </w:r>
          </w:p>
        </w:tc>
        <w:tc>
          <w:tcPr>
            <w:tcW w:w="806" w:type="pct"/>
            <w:vAlign w:val="center"/>
          </w:tcPr>
          <w:p w14:paraId="4E408EAA" w14:textId="77777777" w:rsidR="00334348" w:rsidRPr="007E130D" w:rsidRDefault="00334348" w:rsidP="00B20AC9">
            <w:pPr>
              <w:pStyle w:val="Tablehead"/>
              <w:keepLines/>
              <w:rPr>
                <w:sz w:val="18"/>
                <w:szCs w:val="18"/>
              </w:rPr>
            </w:pPr>
            <w:r w:rsidRPr="007E130D">
              <w:t>2023</w:t>
            </w:r>
            <w:r w:rsidRPr="007E130D">
              <w:rPr>
                <w:rStyle w:val="FootnoteReference"/>
                <w:szCs w:val="18"/>
              </w:rPr>
              <w:footnoteReference w:id="7"/>
            </w:r>
          </w:p>
        </w:tc>
      </w:tr>
      <w:tr w:rsidR="00334348" w:rsidRPr="007E130D" w14:paraId="286112E5" w14:textId="77777777" w:rsidTr="00334348">
        <w:tc>
          <w:tcPr>
            <w:tcW w:w="956" w:type="pct"/>
            <w:vAlign w:val="center"/>
          </w:tcPr>
          <w:p w14:paraId="356E52AB" w14:textId="77777777" w:rsidR="00334348" w:rsidRPr="007E130D" w:rsidRDefault="00334348" w:rsidP="00B20AC9">
            <w:pPr>
              <w:pStyle w:val="Tabletext"/>
              <w:keepNext/>
              <w:keepLines/>
              <w:jc w:val="center"/>
              <w:rPr>
                <w:sz w:val="18"/>
                <w:szCs w:val="18"/>
              </w:rPr>
            </w:pPr>
            <w:r w:rsidRPr="007E130D">
              <w:rPr>
                <w:sz w:val="18"/>
                <w:szCs w:val="18"/>
              </w:rPr>
              <w:t>Nombre d'assignations reçues</w:t>
            </w:r>
          </w:p>
        </w:tc>
        <w:tc>
          <w:tcPr>
            <w:tcW w:w="809" w:type="pct"/>
            <w:vAlign w:val="center"/>
          </w:tcPr>
          <w:p w14:paraId="64662C22" w14:textId="77777777" w:rsidR="00334348" w:rsidRPr="007E130D" w:rsidRDefault="00334348" w:rsidP="00B20AC9">
            <w:pPr>
              <w:pStyle w:val="Tabletext"/>
              <w:jc w:val="center"/>
            </w:pPr>
            <w:r w:rsidRPr="007E130D">
              <w:t>8 401</w:t>
            </w:r>
          </w:p>
          <w:p w14:paraId="3EB7EF2A" w14:textId="77777777" w:rsidR="00334348" w:rsidRPr="007E130D" w:rsidRDefault="00334348" w:rsidP="00B20AC9">
            <w:pPr>
              <w:pStyle w:val="Tabletext"/>
              <w:jc w:val="center"/>
            </w:pPr>
            <w:r w:rsidRPr="007E130D">
              <w:t>(</w:t>
            </w:r>
            <w:r w:rsidRPr="007E130D">
              <w:rPr>
                <w:sz w:val="18"/>
                <w:szCs w:val="18"/>
              </w:rPr>
              <w:t>Services de radiodiffusion</w:t>
            </w:r>
            <w:r w:rsidRPr="007E130D">
              <w:t>)</w:t>
            </w:r>
          </w:p>
          <w:p w14:paraId="315EFDCB" w14:textId="77777777" w:rsidR="00334348" w:rsidRPr="007E130D" w:rsidRDefault="00334348" w:rsidP="00B20AC9">
            <w:pPr>
              <w:pStyle w:val="Tabletext"/>
              <w:jc w:val="center"/>
            </w:pPr>
            <w:r w:rsidRPr="007E130D">
              <w:t>380</w:t>
            </w:r>
          </w:p>
          <w:p w14:paraId="243B1EED" w14:textId="77777777" w:rsidR="00334348" w:rsidRPr="007E130D" w:rsidRDefault="00334348" w:rsidP="00B20AC9">
            <w:pPr>
              <w:pStyle w:val="Tabletext"/>
              <w:keepNext/>
              <w:keepLines/>
              <w:jc w:val="center"/>
              <w:rPr>
                <w:sz w:val="18"/>
                <w:szCs w:val="18"/>
              </w:rPr>
            </w:pPr>
            <w:r w:rsidRPr="007E130D">
              <w:rPr>
                <w:sz w:val="18"/>
                <w:szCs w:val="18"/>
              </w:rPr>
              <w:t>(Autres services)</w:t>
            </w:r>
          </w:p>
        </w:tc>
        <w:tc>
          <w:tcPr>
            <w:tcW w:w="810" w:type="pct"/>
            <w:vAlign w:val="center"/>
          </w:tcPr>
          <w:p w14:paraId="0B1E3D32" w14:textId="77777777" w:rsidR="00334348" w:rsidRPr="007E130D" w:rsidRDefault="00334348" w:rsidP="00B20AC9">
            <w:pPr>
              <w:pStyle w:val="Tabletext"/>
              <w:jc w:val="center"/>
            </w:pPr>
            <w:r w:rsidRPr="007E130D">
              <w:t>13 033</w:t>
            </w:r>
          </w:p>
          <w:p w14:paraId="221E6B80" w14:textId="77777777" w:rsidR="00334348" w:rsidRPr="007E130D" w:rsidRDefault="00334348" w:rsidP="00B20AC9">
            <w:pPr>
              <w:pStyle w:val="Tabletext"/>
              <w:jc w:val="center"/>
            </w:pPr>
            <w:r w:rsidRPr="007E130D">
              <w:t>(</w:t>
            </w:r>
            <w:r w:rsidRPr="007E130D">
              <w:rPr>
                <w:sz w:val="18"/>
                <w:szCs w:val="18"/>
              </w:rPr>
              <w:t>Services de radiodiffusion</w:t>
            </w:r>
            <w:r w:rsidRPr="007E130D">
              <w:t>)</w:t>
            </w:r>
          </w:p>
          <w:p w14:paraId="040EDA28" w14:textId="77777777" w:rsidR="00334348" w:rsidRPr="007E130D" w:rsidRDefault="00334348" w:rsidP="00B20AC9">
            <w:pPr>
              <w:pStyle w:val="Tabletext"/>
              <w:jc w:val="center"/>
            </w:pPr>
            <w:r w:rsidRPr="007E130D">
              <w:t>715</w:t>
            </w:r>
          </w:p>
          <w:p w14:paraId="48D3DD0A" w14:textId="77777777" w:rsidR="00334348" w:rsidRPr="007E130D" w:rsidRDefault="00334348" w:rsidP="00B20AC9">
            <w:pPr>
              <w:pStyle w:val="Tabletext"/>
              <w:keepNext/>
              <w:keepLines/>
              <w:jc w:val="center"/>
              <w:rPr>
                <w:sz w:val="18"/>
                <w:szCs w:val="18"/>
              </w:rPr>
            </w:pPr>
            <w:r w:rsidRPr="007E130D">
              <w:rPr>
                <w:sz w:val="18"/>
                <w:szCs w:val="18"/>
              </w:rPr>
              <w:t>(Autres services)</w:t>
            </w:r>
          </w:p>
        </w:tc>
        <w:tc>
          <w:tcPr>
            <w:tcW w:w="809" w:type="pct"/>
            <w:vAlign w:val="center"/>
          </w:tcPr>
          <w:p w14:paraId="02D39E6E" w14:textId="77777777" w:rsidR="00334348" w:rsidRPr="007E130D" w:rsidRDefault="00334348" w:rsidP="00B20AC9">
            <w:pPr>
              <w:pStyle w:val="Tabletext"/>
              <w:jc w:val="center"/>
            </w:pPr>
            <w:r w:rsidRPr="007E130D">
              <w:t>13 723</w:t>
            </w:r>
          </w:p>
          <w:p w14:paraId="0B71949E" w14:textId="77777777" w:rsidR="00334348" w:rsidRPr="007E130D" w:rsidRDefault="00334348" w:rsidP="00B20AC9">
            <w:pPr>
              <w:pStyle w:val="Tabletext"/>
              <w:jc w:val="center"/>
            </w:pPr>
            <w:r w:rsidRPr="007E130D">
              <w:t>(</w:t>
            </w:r>
            <w:r w:rsidRPr="007E130D">
              <w:rPr>
                <w:sz w:val="18"/>
                <w:szCs w:val="18"/>
              </w:rPr>
              <w:t>Services de radiodiffusion</w:t>
            </w:r>
            <w:r w:rsidRPr="007E130D">
              <w:t>)</w:t>
            </w:r>
          </w:p>
          <w:p w14:paraId="1F5F1CC9" w14:textId="77777777" w:rsidR="00334348" w:rsidRPr="007E130D" w:rsidRDefault="00334348" w:rsidP="00B20AC9">
            <w:pPr>
              <w:pStyle w:val="Tabletext"/>
              <w:jc w:val="center"/>
            </w:pPr>
            <w:r w:rsidRPr="007E130D">
              <w:t>3 813</w:t>
            </w:r>
          </w:p>
          <w:p w14:paraId="1EE01C03" w14:textId="5A4F2304" w:rsidR="00334348" w:rsidRPr="007E130D" w:rsidRDefault="00334348" w:rsidP="00B20AC9">
            <w:pPr>
              <w:pStyle w:val="Tabletext"/>
              <w:keepNext/>
              <w:keepLines/>
              <w:jc w:val="center"/>
              <w:rPr>
                <w:sz w:val="18"/>
                <w:szCs w:val="18"/>
              </w:rPr>
            </w:pPr>
            <w:r w:rsidRPr="007E130D">
              <w:rPr>
                <w:sz w:val="18"/>
                <w:szCs w:val="18"/>
              </w:rPr>
              <w:t>(Autres services)</w:t>
            </w:r>
          </w:p>
        </w:tc>
        <w:tc>
          <w:tcPr>
            <w:tcW w:w="809" w:type="pct"/>
            <w:vAlign w:val="center"/>
          </w:tcPr>
          <w:p w14:paraId="169F50E2" w14:textId="77777777" w:rsidR="00334348" w:rsidRPr="007E130D" w:rsidRDefault="00334348" w:rsidP="00B20AC9">
            <w:pPr>
              <w:pStyle w:val="Tabletext"/>
              <w:jc w:val="center"/>
            </w:pPr>
            <w:r w:rsidRPr="007E130D">
              <w:t>42 462</w:t>
            </w:r>
          </w:p>
          <w:p w14:paraId="78EEA941" w14:textId="77777777" w:rsidR="00334348" w:rsidRPr="007E130D" w:rsidRDefault="00334348" w:rsidP="00B20AC9">
            <w:pPr>
              <w:pStyle w:val="Tabletext"/>
              <w:jc w:val="center"/>
            </w:pPr>
            <w:r w:rsidRPr="007E130D">
              <w:t>(</w:t>
            </w:r>
            <w:r w:rsidRPr="007E130D">
              <w:rPr>
                <w:sz w:val="18"/>
                <w:szCs w:val="18"/>
              </w:rPr>
              <w:t>Services de radiodiffusion)</w:t>
            </w:r>
          </w:p>
          <w:p w14:paraId="76E01F2E" w14:textId="77777777" w:rsidR="00334348" w:rsidRPr="007E130D" w:rsidRDefault="00334348" w:rsidP="00B20AC9">
            <w:pPr>
              <w:pStyle w:val="Tabletext"/>
              <w:jc w:val="center"/>
            </w:pPr>
            <w:r w:rsidRPr="007E130D">
              <w:t>590</w:t>
            </w:r>
          </w:p>
          <w:p w14:paraId="0F1913FC" w14:textId="77777777" w:rsidR="00334348" w:rsidRPr="007E130D" w:rsidRDefault="00334348" w:rsidP="00B20AC9">
            <w:pPr>
              <w:pStyle w:val="Tabletext"/>
              <w:keepNext/>
              <w:keepLines/>
              <w:jc w:val="center"/>
              <w:rPr>
                <w:sz w:val="18"/>
                <w:szCs w:val="18"/>
              </w:rPr>
            </w:pPr>
            <w:r w:rsidRPr="007E130D">
              <w:rPr>
                <w:sz w:val="18"/>
                <w:szCs w:val="18"/>
              </w:rPr>
              <w:t>(Autres services)</w:t>
            </w:r>
          </w:p>
        </w:tc>
        <w:tc>
          <w:tcPr>
            <w:tcW w:w="806" w:type="pct"/>
            <w:vAlign w:val="center"/>
          </w:tcPr>
          <w:p w14:paraId="50207028" w14:textId="77777777" w:rsidR="00334348" w:rsidRPr="007E130D" w:rsidRDefault="00334348" w:rsidP="00B20AC9">
            <w:pPr>
              <w:pStyle w:val="Tabletext"/>
              <w:jc w:val="center"/>
            </w:pPr>
            <w:r w:rsidRPr="007E130D">
              <w:t>14 266</w:t>
            </w:r>
          </w:p>
          <w:p w14:paraId="077B7E8F" w14:textId="77777777" w:rsidR="00334348" w:rsidRPr="007E130D" w:rsidRDefault="00334348" w:rsidP="00B20AC9">
            <w:pPr>
              <w:pStyle w:val="Tabletext"/>
              <w:jc w:val="center"/>
            </w:pPr>
            <w:r w:rsidRPr="007E130D">
              <w:t>(</w:t>
            </w:r>
            <w:r w:rsidRPr="007E130D">
              <w:rPr>
                <w:sz w:val="18"/>
                <w:szCs w:val="18"/>
              </w:rPr>
              <w:t>Services de radiodiffusion</w:t>
            </w:r>
            <w:r w:rsidRPr="007E130D">
              <w:t>)</w:t>
            </w:r>
          </w:p>
          <w:p w14:paraId="27B2E721" w14:textId="77777777" w:rsidR="00334348" w:rsidRPr="007E130D" w:rsidRDefault="00334348" w:rsidP="00B20AC9">
            <w:pPr>
              <w:pStyle w:val="Tabletext"/>
              <w:jc w:val="center"/>
            </w:pPr>
            <w:r w:rsidRPr="007E130D">
              <w:t>494</w:t>
            </w:r>
          </w:p>
          <w:p w14:paraId="155992CA" w14:textId="77777777" w:rsidR="00334348" w:rsidRPr="007E130D" w:rsidRDefault="00334348" w:rsidP="00B20AC9">
            <w:pPr>
              <w:pStyle w:val="Tabletext"/>
              <w:keepNext/>
              <w:keepLines/>
              <w:jc w:val="center"/>
              <w:rPr>
                <w:sz w:val="18"/>
                <w:szCs w:val="18"/>
              </w:rPr>
            </w:pPr>
            <w:r w:rsidRPr="007E130D">
              <w:rPr>
                <w:sz w:val="18"/>
                <w:szCs w:val="18"/>
              </w:rPr>
              <w:t>(Autres services)</w:t>
            </w:r>
          </w:p>
        </w:tc>
      </w:tr>
      <w:tr w:rsidR="00A82EF2" w:rsidRPr="007E130D" w14:paraId="7D94BB6A" w14:textId="77777777" w:rsidTr="00334348">
        <w:tc>
          <w:tcPr>
            <w:tcW w:w="956" w:type="pct"/>
            <w:vAlign w:val="center"/>
          </w:tcPr>
          <w:p w14:paraId="2F1EA7EB" w14:textId="77777777" w:rsidR="00A82EF2" w:rsidRPr="007E130D" w:rsidRDefault="00A82EF2" w:rsidP="00B20AC9">
            <w:pPr>
              <w:pStyle w:val="Tabletext"/>
              <w:jc w:val="center"/>
              <w:rPr>
                <w:sz w:val="18"/>
                <w:szCs w:val="18"/>
              </w:rPr>
            </w:pPr>
            <w:r w:rsidRPr="007E130D">
              <w:rPr>
                <w:sz w:val="18"/>
                <w:szCs w:val="18"/>
              </w:rPr>
              <w:t>Nombre d'assignations/</w:t>
            </w:r>
            <w:r w:rsidRPr="007E130D">
              <w:rPr>
                <w:sz w:val="18"/>
                <w:szCs w:val="18"/>
              </w:rPr>
              <w:br/>
              <w:t>d'allotissements ayant donné lieu à des mises à jour du Plan concerné</w:t>
            </w:r>
          </w:p>
        </w:tc>
        <w:tc>
          <w:tcPr>
            <w:tcW w:w="809" w:type="pct"/>
            <w:vAlign w:val="center"/>
          </w:tcPr>
          <w:p w14:paraId="461CBC36" w14:textId="77777777" w:rsidR="00A82EF2" w:rsidRPr="007E130D" w:rsidRDefault="00334348" w:rsidP="00B20AC9">
            <w:pPr>
              <w:pStyle w:val="Tabletext"/>
              <w:jc w:val="center"/>
              <w:rPr>
                <w:sz w:val="18"/>
                <w:szCs w:val="18"/>
              </w:rPr>
            </w:pPr>
            <w:r w:rsidRPr="007E130D">
              <w:rPr>
                <w:sz w:val="18"/>
                <w:szCs w:val="18"/>
              </w:rPr>
              <w:t>5 250</w:t>
            </w:r>
            <w:r w:rsidR="00A82EF2" w:rsidRPr="007E130D">
              <w:rPr>
                <w:sz w:val="18"/>
                <w:szCs w:val="18"/>
              </w:rPr>
              <w:br/>
              <w:t>(Services de radiodiffusion)</w:t>
            </w:r>
          </w:p>
          <w:p w14:paraId="576D354A" w14:textId="77777777" w:rsidR="00A82EF2" w:rsidRPr="007E130D" w:rsidRDefault="00334348" w:rsidP="00B20AC9">
            <w:pPr>
              <w:pStyle w:val="Tabletext"/>
              <w:jc w:val="center"/>
              <w:rPr>
                <w:sz w:val="18"/>
                <w:szCs w:val="18"/>
              </w:rPr>
            </w:pPr>
            <w:r w:rsidRPr="007E130D">
              <w:rPr>
                <w:sz w:val="18"/>
                <w:szCs w:val="18"/>
              </w:rPr>
              <w:t>356</w:t>
            </w:r>
            <w:r w:rsidR="00A82EF2" w:rsidRPr="007E130D">
              <w:rPr>
                <w:sz w:val="18"/>
                <w:szCs w:val="18"/>
              </w:rPr>
              <w:br/>
              <w:t>(Autres services)</w:t>
            </w:r>
          </w:p>
        </w:tc>
        <w:tc>
          <w:tcPr>
            <w:tcW w:w="810" w:type="pct"/>
            <w:vAlign w:val="center"/>
          </w:tcPr>
          <w:p w14:paraId="13A23146" w14:textId="77777777" w:rsidR="00A82EF2" w:rsidRPr="007E130D" w:rsidRDefault="00334348" w:rsidP="00B20AC9">
            <w:pPr>
              <w:pStyle w:val="Tabletext"/>
              <w:jc w:val="center"/>
              <w:rPr>
                <w:sz w:val="18"/>
                <w:szCs w:val="18"/>
              </w:rPr>
            </w:pPr>
            <w:r w:rsidRPr="007E130D">
              <w:rPr>
                <w:sz w:val="18"/>
                <w:szCs w:val="18"/>
              </w:rPr>
              <w:t>7 663</w:t>
            </w:r>
            <w:r w:rsidR="00A82EF2" w:rsidRPr="007E130D">
              <w:rPr>
                <w:sz w:val="18"/>
                <w:szCs w:val="18"/>
              </w:rPr>
              <w:br/>
              <w:t>(Services de radiodiffusion)</w:t>
            </w:r>
          </w:p>
          <w:p w14:paraId="504918A7" w14:textId="77777777" w:rsidR="00A82EF2" w:rsidRPr="007E130D" w:rsidRDefault="00334348" w:rsidP="00B20AC9">
            <w:pPr>
              <w:pStyle w:val="Tabletext"/>
              <w:jc w:val="center"/>
              <w:rPr>
                <w:sz w:val="18"/>
                <w:szCs w:val="18"/>
              </w:rPr>
            </w:pPr>
            <w:r w:rsidRPr="007E130D">
              <w:rPr>
                <w:sz w:val="18"/>
                <w:szCs w:val="18"/>
              </w:rPr>
              <w:t>147</w:t>
            </w:r>
            <w:r w:rsidR="00A82EF2" w:rsidRPr="007E130D">
              <w:rPr>
                <w:sz w:val="18"/>
                <w:szCs w:val="18"/>
              </w:rPr>
              <w:br/>
              <w:t>(Autres services)</w:t>
            </w:r>
          </w:p>
        </w:tc>
        <w:tc>
          <w:tcPr>
            <w:tcW w:w="809" w:type="pct"/>
            <w:vAlign w:val="center"/>
          </w:tcPr>
          <w:p w14:paraId="1F43B0C9" w14:textId="77777777" w:rsidR="00A82EF2" w:rsidRPr="007E130D" w:rsidRDefault="00334348" w:rsidP="00B20AC9">
            <w:pPr>
              <w:pStyle w:val="Tabletext"/>
              <w:jc w:val="center"/>
              <w:rPr>
                <w:sz w:val="18"/>
                <w:szCs w:val="18"/>
              </w:rPr>
            </w:pPr>
            <w:r w:rsidRPr="007E130D">
              <w:rPr>
                <w:sz w:val="18"/>
                <w:szCs w:val="18"/>
              </w:rPr>
              <w:t>10 131</w:t>
            </w:r>
            <w:r w:rsidR="00A82EF2" w:rsidRPr="007E130D">
              <w:rPr>
                <w:sz w:val="18"/>
                <w:szCs w:val="18"/>
              </w:rPr>
              <w:br/>
              <w:t>(Services de radiodiffusion)</w:t>
            </w:r>
          </w:p>
          <w:p w14:paraId="02E1DB00" w14:textId="77777777" w:rsidR="00A82EF2" w:rsidRPr="007E130D" w:rsidRDefault="00334348" w:rsidP="00B20AC9">
            <w:pPr>
              <w:pStyle w:val="Tabletext"/>
              <w:jc w:val="center"/>
              <w:rPr>
                <w:sz w:val="18"/>
                <w:szCs w:val="18"/>
              </w:rPr>
            </w:pPr>
            <w:r w:rsidRPr="007E130D">
              <w:rPr>
                <w:sz w:val="18"/>
                <w:szCs w:val="18"/>
              </w:rPr>
              <w:t>257</w:t>
            </w:r>
            <w:r w:rsidR="00A82EF2" w:rsidRPr="007E130D">
              <w:rPr>
                <w:sz w:val="18"/>
                <w:szCs w:val="18"/>
              </w:rPr>
              <w:br/>
              <w:t>(Autres services)</w:t>
            </w:r>
          </w:p>
        </w:tc>
        <w:tc>
          <w:tcPr>
            <w:tcW w:w="809" w:type="pct"/>
            <w:vAlign w:val="center"/>
          </w:tcPr>
          <w:p w14:paraId="2D9B4985" w14:textId="77777777" w:rsidR="00A82EF2" w:rsidRPr="007E130D" w:rsidRDefault="00334348" w:rsidP="00B20A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rPr>
            </w:pPr>
            <w:r w:rsidRPr="007E130D">
              <w:rPr>
                <w:sz w:val="18"/>
                <w:szCs w:val="18"/>
              </w:rPr>
              <w:t>27 750</w:t>
            </w:r>
            <w:r w:rsidR="00A82EF2" w:rsidRPr="007E130D">
              <w:rPr>
                <w:sz w:val="18"/>
                <w:szCs w:val="18"/>
              </w:rPr>
              <w:br/>
              <w:t>(Services de radiodiffusion)</w:t>
            </w:r>
          </w:p>
          <w:p w14:paraId="396047D7" w14:textId="77777777" w:rsidR="00A82EF2" w:rsidRPr="007E130D" w:rsidRDefault="00334348" w:rsidP="00B20AC9">
            <w:pPr>
              <w:pStyle w:val="Tabletext"/>
              <w:jc w:val="center"/>
              <w:rPr>
                <w:sz w:val="18"/>
                <w:szCs w:val="18"/>
              </w:rPr>
            </w:pPr>
            <w:r w:rsidRPr="007E130D">
              <w:rPr>
                <w:sz w:val="18"/>
                <w:szCs w:val="18"/>
              </w:rPr>
              <w:t>360</w:t>
            </w:r>
            <w:r w:rsidR="00A82EF2" w:rsidRPr="007E130D">
              <w:rPr>
                <w:sz w:val="18"/>
                <w:szCs w:val="18"/>
              </w:rPr>
              <w:br/>
              <w:t>(Autres services)</w:t>
            </w:r>
          </w:p>
        </w:tc>
        <w:tc>
          <w:tcPr>
            <w:tcW w:w="806" w:type="pct"/>
            <w:vAlign w:val="center"/>
          </w:tcPr>
          <w:p w14:paraId="3DB0C964" w14:textId="77777777" w:rsidR="00A82EF2" w:rsidRPr="007E130D" w:rsidRDefault="00334348" w:rsidP="00B20AC9">
            <w:pPr>
              <w:pStyle w:val="Tabletext"/>
              <w:jc w:val="center"/>
              <w:rPr>
                <w:sz w:val="18"/>
                <w:szCs w:val="18"/>
              </w:rPr>
            </w:pPr>
            <w:r w:rsidRPr="007E130D">
              <w:rPr>
                <w:sz w:val="18"/>
                <w:szCs w:val="18"/>
              </w:rPr>
              <w:t>12 830</w:t>
            </w:r>
            <w:r w:rsidR="00A82EF2" w:rsidRPr="007E130D">
              <w:rPr>
                <w:sz w:val="18"/>
                <w:szCs w:val="18"/>
              </w:rPr>
              <w:br/>
              <w:t>(Services de radiodiffusion)</w:t>
            </w:r>
          </w:p>
          <w:p w14:paraId="422AC357" w14:textId="77777777" w:rsidR="00A82EF2" w:rsidRPr="007E130D" w:rsidRDefault="00A82EF2" w:rsidP="00B20AC9">
            <w:pPr>
              <w:pStyle w:val="Tabletext"/>
              <w:jc w:val="center"/>
              <w:rPr>
                <w:sz w:val="18"/>
                <w:szCs w:val="18"/>
              </w:rPr>
            </w:pPr>
            <w:r w:rsidRPr="007E130D">
              <w:rPr>
                <w:sz w:val="18"/>
                <w:szCs w:val="18"/>
              </w:rPr>
              <w:t>56</w:t>
            </w:r>
            <w:r w:rsidRPr="007E130D">
              <w:rPr>
                <w:sz w:val="18"/>
                <w:szCs w:val="18"/>
              </w:rPr>
              <w:br/>
              <w:t>(Autres services)</w:t>
            </w:r>
          </w:p>
        </w:tc>
      </w:tr>
    </w:tbl>
    <w:p w14:paraId="4DE6D767" w14:textId="77777777" w:rsidR="00A82EF2" w:rsidRPr="007E130D" w:rsidRDefault="00A82EF2" w:rsidP="00B20AC9">
      <w:r w:rsidRPr="007E130D">
        <w:t>Les détails pertinents (notifications en cours de traitement et versions actualisées des exemplaires de référence des Plans d'allotissement et d'assignation de fréquence pour les services de Terre) sont communiqués dans la version complète de la BR IFIC pour les services de Terre, qui est publiée toutes les deux semaines. Ces exemplaires de référence des Plans comprennent également les résultats des procédures de modification des Plans menées à bien à l'aide des systèmes autonomes (en dehors du système TerRaSys).</w:t>
      </w:r>
    </w:p>
    <w:p w14:paraId="2BE27B09" w14:textId="77777777" w:rsidR="00A82EF2" w:rsidRPr="007E130D" w:rsidRDefault="00A82EF2" w:rsidP="00B20AC9">
      <w:pPr>
        <w:pStyle w:val="Heading2"/>
      </w:pPr>
      <w:bookmarkStart w:id="122" w:name="_Toc426463228"/>
      <w:bookmarkStart w:id="123" w:name="_Toc19880047"/>
      <w:bookmarkStart w:id="124" w:name="_Toc147328801"/>
      <w:r w:rsidRPr="007E130D">
        <w:t>3.4</w:t>
      </w:r>
      <w:r w:rsidRPr="007E130D">
        <w:tab/>
        <w:t>Notification, examen, inscription et autres procédures réglementaires</w:t>
      </w:r>
      <w:bookmarkEnd w:id="122"/>
      <w:bookmarkEnd w:id="123"/>
      <w:bookmarkEnd w:id="124"/>
    </w:p>
    <w:p w14:paraId="2A96E256" w14:textId="77777777" w:rsidR="00A82EF2" w:rsidRPr="007E130D" w:rsidRDefault="00A82EF2" w:rsidP="00B20AC9">
      <w:pPr>
        <w:pStyle w:val="Heading3"/>
      </w:pPr>
      <w:bookmarkStart w:id="125" w:name="_Toc426463229"/>
      <w:bookmarkStart w:id="126" w:name="_Toc19880048"/>
      <w:bookmarkStart w:id="127" w:name="_Toc147328802"/>
      <w:r w:rsidRPr="007E130D">
        <w:t>3.4.1</w:t>
      </w:r>
      <w:r w:rsidRPr="007E130D">
        <w:tab/>
        <w:t>Procédure de notification (Article 11 du Règlement des radiocommunications)</w:t>
      </w:r>
      <w:bookmarkEnd w:id="125"/>
      <w:bookmarkEnd w:id="126"/>
      <w:bookmarkEnd w:id="127"/>
    </w:p>
    <w:p w14:paraId="7975BD74" w14:textId="77777777" w:rsidR="00A82EF2" w:rsidRPr="007E130D" w:rsidRDefault="00A82EF2" w:rsidP="00B20AC9">
      <w:r w:rsidRPr="007E130D">
        <w:rPr>
          <w:b/>
          <w:bCs/>
        </w:rPr>
        <w:t>3.4.1.1</w:t>
      </w:r>
      <w:r w:rsidRPr="007E130D">
        <w:tab/>
        <w:t xml:space="preserve">Cette activité comprend le traitement (réception, enregistrement, validation, correspondance, correction des données et publication dans la BR IFIC) des fiches de notification soumises par les administrations ainsi que leur examen ultérieur au titre des dispositions pertinentes de l'Article </w:t>
      </w:r>
      <w:r w:rsidRPr="007E130D">
        <w:rPr>
          <w:b/>
          <w:bCs/>
        </w:rPr>
        <w:t>11</w:t>
      </w:r>
      <w:r w:rsidRPr="007E130D">
        <w:t xml:space="preserve"> du Règlement des radiocommunications. Le Tableau 3.4.1-1 résume les activités du Bureau en la matière.</w:t>
      </w:r>
    </w:p>
    <w:p w14:paraId="34F1FE88" w14:textId="77777777" w:rsidR="00A82EF2" w:rsidRPr="007E130D" w:rsidRDefault="00A82EF2" w:rsidP="00130B4A">
      <w:pPr>
        <w:pStyle w:val="TableNo"/>
        <w:keepLines/>
      </w:pPr>
      <w:r w:rsidRPr="007E130D">
        <w:lastRenderedPageBreak/>
        <w:t>TableAU 3.4.1-1</w:t>
      </w:r>
    </w:p>
    <w:p w14:paraId="42BE76C1" w14:textId="77777777" w:rsidR="00A82EF2" w:rsidRPr="007E130D" w:rsidRDefault="00A82EF2" w:rsidP="00130B4A">
      <w:pPr>
        <w:pStyle w:val="Tabletitle"/>
      </w:pPr>
      <w:r w:rsidRPr="007E130D">
        <w:t>Activités relatives aux procédures de notification concernant les services de Terre</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532"/>
        <w:gridCol w:w="1561"/>
        <w:gridCol w:w="1523"/>
        <w:gridCol w:w="1572"/>
        <w:gridCol w:w="1572"/>
      </w:tblGrid>
      <w:tr w:rsidR="00A82EF2" w:rsidRPr="007E130D" w14:paraId="4760A757" w14:textId="77777777" w:rsidTr="006246EF">
        <w:trPr>
          <w:cantSplit/>
        </w:trPr>
        <w:tc>
          <w:tcPr>
            <w:tcW w:w="913" w:type="pct"/>
            <w:tcBorders>
              <w:top w:val="nil"/>
              <w:left w:val="nil"/>
            </w:tcBorders>
            <w:vAlign w:val="center"/>
          </w:tcPr>
          <w:p w14:paraId="1FDEB1AB" w14:textId="77777777" w:rsidR="00A82EF2" w:rsidRPr="007E130D" w:rsidRDefault="00A82EF2" w:rsidP="00130B4A">
            <w:pPr>
              <w:pStyle w:val="Tablehead"/>
              <w:keepLines/>
              <w:rPr>
                <w:sz w:val="18"/>
                <w:szCs w:val="18"/>
              </w:rPr>
            </w:pPr>
          </w:p>
        </w:tc>
        <w:tc>
          <w:tcPr>
            <w:tcW w:w="807" w:type="pct"/>
            <w:vAlign w:val="center"/>
          </w:tcPr>
          <w:p w14:paraId="3D52A1A5" w14:textId="77777777" w:rsidR="00A82EF2" w:rsidRPr="007E130D" w:rsidRDefault="00334348" w:rsidP="00130B4A">
            <w:pPr>
              <w:pStyle w:val="Tablehead"/>
              <w:keepLines/>
              <w:rPr>
                <w:bCs/>
              </w:rPr>
            </w:pPr>
            <w:r w:rsidRPr="007E130D">
              <w:rPr>
                <w:bCs/>
              </w:rPr>
              <w:t>2019</w:t>
            </w:r>
          </w:p>
        </w:tc>
        <w:tc>
          <w:tcPr>
            <w:tcW w:w="822" w:type="pct"/>
            <w:vAlign w:val="center"/>
          </w:tcPr>
          <w:p w14:paraId="26101D72" w14:textId="77777777" w:rsidR="00A82EF2" w:rsidRPr="007E130D" w:rsidRDefault="00334348" w:rsidP="00130B4A">
            <w:pPr>
              <w:pStyle w:val="Tablehead"/>
              <w:keepLines/>
              <w:rPr>
                <w:bCs/>
              </w:rPr>
            </w:pPr>
            <w:r w:rsidRPr="007E130D">
              <w:rPr>
                <w:bCs/>
              </w:rPr>
              <w:t>2020</w:t>
            </w:r>
          </w:p>
        </w:tc>
        <w:tc>
          <w:tcPr>
            <w:tcW w:w="802" w:type="pct"/>
            <w:vAlign w:val="center"/>
          </w:tcPr>
          <w:p w14:paraId="53466479" w14:textId="77777777" w:rsidR="00A82EF2" w:rsidRPr="007E130D" w:rsidRDefault="00334348" w:rsidP="00130B4A">
            <w:pPr>
              <w:pStyle w:val="Tablehead"/>
              <w:keepLines/>
              <w:rPr>
                <w:bCs/>
              </w:rPr>
            </w:pPr>
            <w:r w:rsidRPr="007E130D">
              <w:rPr>
                <w:bCs/>
              </w:rPr>
              <w:t>2021</w:t>
            </w:r>
          </w:p>
        </w:tc>
        <w:tc>
          <w:tcPr>
            <w:tcW w:w="828" w:type="pct"/>
            <w:vAlign w:val="center"/>
          </w:tcPr>
          <w:p w14:paraId="4E89496D" w14:textId="77777777" w:rsidR="00A82EF2" w:rsidRPr="007E130D" w:rsidRDefault="00334348" w:rsidP="00130B4A">
            <w:pPr>
              <w:pStyle w:val="Tablehead"/>
              <w:keepLines/>
              <w:rPr>
                <w:bCs/>
              </w:rPr>
            </w:pPr>
            <w:r w:rsidRPr="007E130D">
              <w:rPr>
                <w:bCs/>
              </w:rPr>
              <w:t>2022</w:t>
            </w:r>
          </w:p>
        </w:tc>
        <w:tc>
          <w:tcPr>
            <w:tcW w:w="828" w:type="pct"/>
            <w:vAlign w:val="center"/>
          </w:tcPr>
          <w:p w14:paraId="03D2C1C7" w14:textId="77777777" w:rsidR="00A82EF2" w:rsidRPr="007E130D" w:rsidRDefault="00334348" w:rsidP="00130B4A">
            <w:pPr>
              <w:pStyle w:val="Tablehead"/>
              <w:keepLines/>
              <w:rPr>
                <w:bCs/>
                <w:sz w:val="18"/>
                <w:szCs w:val="18"/>
              </w:rPr>
            </w:pPr>
            <w:r w:rsidRPr="007E130D">
              <w:rPr>
                <w:bCs/>
              </w:rPr>
              <w:t>2023</w:t>
            </w:r>
            <w:r w:rsidRPr="007E130D">
              <w:rPr>
                <w:rStyle w:val="FootnoteReference"/>
                <w:bCs/>
                <w:szCs w:val="18"/>
              </w:rPr>
              <w:footnoteReference w:id="8"/>
            </w:r>
          </w:p>
        </w:tc>
      </w:tr>
      <w:tr w:rsidR="00334348" w:rsidRPr="007E130D" w14:paraId="595486E0" w14:textId="77777777" w:rsidTr="00960B1C">
        <w:trPr>
          <w:cantSplit/>
        </w:trPr>
        <w:tc>
          <w:tcPr>
            <w:tcW w:w="913" w:type="pct"/>
            <w:vAlign w:val="center"/>
          </w:tcPr>
          <w:p w14:paraId="62008959" w14:textId="77777777" w:rsidR="00334348" w:rsidRPr="007E130D" w:rsidRDefault="00334348" w:rsidP="00130B4A">
            <w:pPr>
              <w:pStyle w:val="Tabletext"/>
              <w:keepNext/>
              <w:keepLines/>
              <w:jc w:val="center"/>
              <w:rPr>
                <w:sz w:val="18"/>
                <w:szCs w:val="18"/>
              </w:rPr>
            </w:pPr>
            <w:r w:rsidRPr="007E130D">
              <w:rPr>
                <w:sz w:val="18"/>
                <w:szCs w:val="18"/>
              </w:rPr>
              <w:t>Nombre de fiches reçues</w:t>
            </w:r>
          </w:p>
        </w:tc>
        <w:tc>
          <w:tcPr>
            <w:tcW w:w="807" w:type="pct"/>
            <w:vAlign w:val="center"/>
          </w:tcPr>
          <w:p w14:paraId="49A205E1" w14:textId="77777777" w:rsidR="00334348" w:rsidRPr="007E130D" w:rsidRDefault="00334348" w:rsidP="00130B4A">
            <w:pPr>
              <w:pStyle w:val="Tabletext"/>
              <w:keepNext/>
              <w:keepLines/>
              <w:jc w:val="center"/>
              <w:rPr>
                <w:sz w:val="18"/>
                <w:szCs w:val="18"/>
              </w:rPr>
            </w:pPr>
            <w:r w:rsidRPr="007E130D">
              <w:t>129 349</w:t>
            </w:r>
          </w:p>
        </w:tc>
        <w:tc>
          <w:tcPr>
            <w:tcW w:w="822" w:type="pct"/>
            <w:vAlign w:val="center"/>
          </w:tcPr>
          <w:p w14:paraId="67C86DD0" w14:textId="77777777" w:rsidR="00334348" w:rsidRPr="007E130D" w:rsidRDefault="00334348" w:rsidP="00130B4A">
            <w:pPr>
              <w:pStyle w:val="Tabletext"/>
              <w:keepNext/>
              <w:keepLines/>
              <w:jc w:val="center"/>
              <w:rPr>
                <w:sz w:val="18"/>
                <w:szCs w:val="18"/>
              </w:rPr>
            </w:pPr>
            <w:r w:rsidRPr="007E130D">
              <w:t>249 715</w:t>
            </w:r>
          </w:p>
        </w:tc>
        <w:tc>
          <w:tcPr>
            <w:tcW w:w="802" w:type="pct"/>
            <w:vAlign w:val="center"/>
          </w:tcPr>
          <w:p w14:paraId="0F29C60B" w14:textId="77777777" w:rsidR="00334348" w:rsidRPr="007E130D" w:rsidRDefault="00334348" w:rsidP="00130B4A">
            <w:pPr>
              <w:pStyle w:val="Tabletext"/>
              <w:keepNext/>
              <w:keepLines/>
              <w:jc w:val="center"/>
              <w:rPr>
                <w:sz w:val="18"/>
                <w:szCs w:val="18"/>
              </w:rPr>
            </w:pPr>
            <w:r w:rsidRPr="007E130D">
              <w:t>130 772</w:t>
            </w:r>
          </w:p>
        </w:tc>
        <w:tc>
          <w:tcPr>
            <w:tcW w:w="828" w:type="pct"/>
            <w:vAlign w:val="center"/>
          </w:tcPr>
          <w:p w14:paraId="509F42AD" w14:textId="77777777" w:rsidR="00334348" w:rsidRPr="007E130D" w:rsidRDefault="00334348" w:rsidP="00130B4A">
            <w:pPr>
              <w:pStyle w:val="Tabletext"/>
              <w:keepNext/>
              <w:keepLines/>
              <w:jc w:val="center"/>
              <w:rPr>
                <w:sz w:val="18"/>
                <w:szCs w:val="18"/>
              </w:rPr>
            </w:pPr>
            <w:r w:rsidRPr="007E130D">
              <w:t>75 310</w:t>
            </w:r>
          </w:p>
        </w:tc>
        <w:tc>
          <w:tcPr>
            <w:tcW w:w="828" w:type="pct"/>
            <w:vAlign w:val="center"/>
          </w:tcPr>
          <w:p w14:paraId="08CDC6E9" w14:textId="77777777" w:rsidR="00334348" w:rsidRPr="007E130D" w:rsidRDefault="00334348" w:rsidP="00130B4A">
            <w:pPr>
              <w:pStyle w:val="Tabletext"/>
              <w:keepNext/>
              <w:keepLines/>
              <w:jc w:val="center"/>
              <w:rPr>
                <w:sz w:val="18"/>
                <w:szCs w:val="18"/>
              </w:rPr>
            </w:pPr>
            <w:r w:rsidRPr="007E130D">
              <w:t>62 574</w:t>
            </w:r>
          </w:p>
        </w:tc>
      </w:tr>
      <w:tr w:rsidR="00334348" w:rsidRPr="007E130D" w14:paraId="60D83850" w14:textId="77777777" w:rsidTr="00960B1C">
        <w:trPr>
          <w:cantSplit/>
        </w:trPr>
        <w:tc>
          <w:tcPr>
            <w:tcW w:w="913" w:type="pct"/>
            <w:vAlign w:val="center"/>
          </w:tcPr>
          <w:p w14:paraId="1AC71BFD" w14:textId="77777777" w:rsidR="00334348" w:rsidRPr="007E130D" w:rsidRDefault="00334348" w:rsidP="006246EF">
            <w:pPr>
              <w:pStyle w:val="Tabletext"/>
              <w:jc w:val="center"/>
              <w:rPr>
                <w:sz w:val="18"/>
                <w:szCs w:val="18"/>
              </w:rPr>
            </w:pPr>
            <w:r w:rsidRPr="007E130D">
              <w:rPr>
                <w:sz w:val="18"/>
                <w:szCs w:val="18"/>
              </w:rPr>
              <w:t>Nombre de fiches examinées</w:t>
            </w:r>
          </w:p>
        </w:tc>
        <w:tc>
          <w:tcPr>
            <w:tcW w:w="807" w:type="pct"/>
            <w:vAlign w:val="center"/>
          </w:tcPr>
          <w:p w14:paraId="63897FDE" w14:textId="77777777" w:rsidR="00334348" w:rsidRPr="007E130D" w:rsidRDefault="00AC5996" w:rsidP="006246EF">
            <w:pPr>
              <w:pStyle w:val="Tabletext"/>
              <w:jc w:val="center"/>
              <w:rPr>
                <w:sz w:val="18"/>
                <w:szCs w:val="18"/>
              </w:rPr>
            </w:pPr>
            <w:r w:rsidRPr="007E130D">
              <w:t>3 254</w:t>
            </w:r>
            <w:r w:rsidR="00334348" w:rsidRPr="007E130D">
              <w:rPr>
                <w:sz w:val="18"/>
                <w:szCs w:val="18"/>
              </w:rPr>
              <w:br/>
              <w:t>(Services de radiodiffusion)</w:t>
            </w:r>
          </w:p>
          <w:p w14:paraId="2CFB4203" w14:textId="77777777" w:rsidR="00334348" w:rsidRPr="007E130D" w:rsidRDefault="00AC5996" w:rsidP="006246EF">
            <w:pPr>
              <w:pStyle w:val="Tabletext"/>
              <w:jc w:val="center"/>
              <w:rPr>
                <w:sz w:val="18"/>
                <w:szCs w:val="18"/>
              </w:rPr>
            </w:pPr>
            <w:r w:rsidRPr="007E130D">
              <w:t>83 538</w:t>
            </w:r>
            <w:r w:rsidR="00334348" w:rsidRPr="007E130D">
              <w:rPr>
                <w:sz w:val="18"/>
                <w:szCs w:val="18"/>
              </w:rPr>
              <w:br/>
              <w:t>(Autres services)</w:t>
            </w:r>
          </w:p>
        </w:tc>
        <w:tc>
          <w:tcPr>
            <w:tcW w:w="822" w:type="pct"/>
            <w:vAlign w:val="center"/>
          </w:tcPr>
          <w:p w14:paraId="3E20492D" w14:textId="77777777" w:rsidR="00334348" w:rsidRPr="007E130D" w:rsidRDefault="00AC5996" w:rsidP="006246EF">
            <w:pPr>
              <w:pStyle w:val="Tabletext"/>
              <w:jc w:val="center"/>
              <w:rPr>
                <w:sz w:val="18"/>
                <w:szCs w:val="18"/>
              </w:rPr>
            </w:pPr>
            <w:r w:rsidRPr="007E130D">
              <w:t>3 165</w:t>
            </w:r>
            <w:r w:rsidR="00334348" w:rsidRPr="007E130D">
              <w:rPr>
                <w:sz w:val="18"/>
                <w:szCs w:val="18"/>
              </w:rPr>
              <w:br/>
              <w:t>(Services de radiodiffusion)</w:t>
            </w:r>
          </w:p>
          <w:p w14:paraId="77A42640" w14:textId="77777777" w:rsidR="00334348" w:rsidRPr="007E130D" w:rsidRDefault="00AC5996" w:rsidP="006246EF">
            <w:pPr>
              <w:pStyle w:val="Tabletext"/>
              <w:jc w:val="center"/>
              <w:rPr>
                <w:sz w:val="18"/>
                <w:szCs w:val="18"/>
              </w:rPr>
            </w:pPr>
            <w:r w:rsidRPr="007E130D">
              <w:t>259 307</w:t>
            </w:r>
            <w:r w:rsidR="00334348" w:rsidRPr="007E130D">
              <w:rPr>
                <w:sz w:val="18"/>
                <w:szCs w:val="18"/>
              </w:rPr>
              <w:br/>
              <w:t>(Autres services)</w:t>
            </w:r>
          </w:p>
        </w:tc>
        <w:tc>
          <w:tcPr>
            <w:tcW w:w="802" w:type="pct"/>
            <w:vAlign w:val="center"/>
          </w:tcPr>
          <w:p w14:paraId="6F5C5C75" w14:textId="77777777" w:rsidR="00334348" w:rsidRPr="007E130D" w:rsidRDefault="00AC5996" w:rsidP="006246EF">
            <w:pPr>
              <w:pStyle w:val="Tabletext"/>
              <w:jc w:val="center"/>
              <w:rPr>
                <w:sz w:val="18"/>
                <w:szCs w:val="18"/>
              </w:rPr>
            </w:pPr>
            <w:r w:rsidRPr="007E130D">
              <w:t>1 509</w:t>
            </w:r>
            <w:r w:rsidR="00334348" w:rsidRPr="007E130D">
              <w:rPr>
                <w:sz w:val="18"/>
                <w:szCs w:val="18"/>
              </w:rPr>
              <w:br/>
              <w:t>(Services de radiodiffusion)</w:t>
            </w:r>
          </w:p>
          <w:p w14:paraId="4553F468" w14:textId="77777777" w:rsidR="00334348" w:rsidRPr="007E130D" w:rsidRDefault="00AC5996" w:rsidP="006246EF">
            <w:pPr>
              <w:pStyle w:val="Tabletext"/>
              <w:jc w:val="center"/>
              <w:rPr>
                <w:sz w:val="18"/>
                <w:szCs w:val="18"/>
              </w:rPr>
            </w:pPr>
            <w:r w:rsidRPr="007E130D">
              <w:t>88 375</w:t>
            </w:r>
            <w:r w:rsidR="00334348" w:rsidRPr="007E130D">
              <w:rPr>
                <w:sz w:val="18"/>
                <w:szCs w:val="18"/>
              </w:rPr>
              <w:br/>
              <w:t>(Autres services)</w:t>
            </w:r>
          </w:p>
        </w:tc>
        <w:tc>
          <w:tcPr>
            <w:tcW w:w="828" w:type="pct"/>
            <w:vAlign w:val="center"/>
          </w:tcPr>
          <w:p w14:paraId="40D41605" w14:textId="77777777" w:rsidR="00334348" w:rsidRPr="007E130D" w:rsidRDefault="00AC5996" w:rsidP="006246EF">
            <w:pPr>
              <w:pStyle w:val="Tabletext"/>
              <w:jc w:val="center"/>
              <w:rPr>
                <w:sz w:val="18"/>
                <w:szCs w:val="18"/>
              </w:rPr>
            </w:pPr>
            <w:r w:rsidRPr="007E130D">
              <w:t>2 025</w:t>
            </w:r>
            <w:r w:rsidR="00334348" w:rsidRPr="007E130D">
              <w:rPr>
                <w:sz w:val="18"/>
                <w:szCs w:val="18"/>
              </w:rPr>
              <w:br/>
              <w:t>(Services de radiodiffusion)</w:t>
            </w:r>
          </w:p>
          <w:p w14:paraId="235D884C" w14:textId="77777777" w:rsidR="00334348" w:rsidRPr="007E130D" w:rsidRDefault="00AC5996" w:rsidP="006246EF">
            <w:pPr>
              <w:pStyle w:val="Tabletext"/>
              <w:jc w:val="center"/>
              <w:rPr>
                <w:sz w:val="18"/>
                <w:szCs w:val="18"/>
              </w:rPr>
            </w:pPr>
            <w:r w:rsidRPr="007E130D">
              <w:t>66 249</w:t>
            </w:r>
            <w:r w:rsidR="00334348" w:rsidRPr="007E130D">
              <w:rPr>
                <w:sz w:val="18"/>
                <w:szCs w:val="18"/>
              </w:rPr>
              <w:br/>
              <w:t>(Autres services)</w:t>
            </w:r>
          </w:p>
        </w:tc>
        <w:tc>
          <w:tcPr>
            <w:tcW w:w="828" w:type="pct"/>
            <w:vAlign w:val="center"/>
          </w:tcPr>
          <w:p w14:paraId="56429437" w14:textId="77777777" w:rsidR="00334348" w:rsidRPr="007E130D" w:rsidRDefault="00AC5996" w:rsidP="006246EF">
            <w:pPr>
              <w:pStyle w:val="Tabletext"/>
              <w:jc w:val="center"/>
              <w:rPr>
                <w:sz w:val="18"/>
                <w:szCs w:val="18"/>
              </w:rPr>
            </w:pPr>
            <w:r w:rsidRPr="007E130D">
              <w:t>2 183</w:t>
            </w:r>
            <w:r w:rsidR="00334348" w:rsidRPr="007E130D">
              <w:rPr>
                <w:sz w:val="18"/>
                <w:szCs w:val="18"/>
              </w:rPr>
              <w:br/>
              <w:t>(Services de radiodiffusion)</w:t>
            </w:r>
          </w:p>
          <w:p w14:paraId="533CDC31" w14:textId="77777777" w:rsidR="00334348" w:rsidRPr="007E130D" w:rsidRDefault="00AC5996" w:rsidP="006246EF">
            <w:pPr>
              <w:pStyle w:val="Tabletext"/>
              <w:jc w:val="center"/>
              <w:rPr>
                <w:sz w:val="18"/>
                <w:szCs w:val="18"/>
              </w:rPr>
            </w:pPr>
            <w:r w:rsidRPr="007E130D">
              <w:t>45 034</w:t>
            </w:r>
            <w:r w:rsidR="00334348" w:rsidRPr="007E130D">
              <w:rPr>
                <w:sz w:val="18"/>
                <w:szCs w:val="18"/>
              </w:rPr>
              <w:br/>
              <w:t>(Autres services)</w:t>
            </w:r>
          </w:p>
        </w:tc>
      </w:tr>
      <w:tr w:rsidR="00334348" w:rsidRPr="007E130D" w14:paraId="7D4FC03A" w14:textId="77777777" w:rsidTr="00960B1C">
        <w:trPr>
          <w:cantSplit/>
        </w:trPr>
        <w:tc>
          <w:tcPr>
            <w:tcW w:w="913" w:type="pct"/>
            <w:vAlign w:val="center"/>
          </w:tcPr>
          <w:p w14:paraId="61F54035" w14:textId="77777777" w:rsidR="00334348" w:rsidRPr="007E130D" w:rsidRDefault="00334348" w:rsidP="006246EF">
            <w:pPr>
              <w:pStyle w:val="Tabletext"/>
              <w:jc w:val="center"/>
              <w:rPr>
                <w:sz w:val="18"/>
                <w:szCs w:val="18"/>
              </w:rPr>
            </w:pPr>
            <w:r w:rsidRPr="007E130D">
              <w:rPr>
                <w:sz w:val="18"/>
                <w:szCs w:val="18"/>
              </w:rPr>
              <w:t>Nombre de fiches en attente d'examen (première date de réception)</w:t>
            </w:r>
          </w:p>
        </w:tc>
        <w:tc>
          <w:tcPr>
            <w:tcW w:w="807" w:type="pct"/>
            <w:vAlign w:val="center"/>
          </w:tcPr>
          <w:p w14:paraId="18AD27B8" w14:textId="77777777" w:rsidR="00334348" w:rsidRPr="007E130D" w:rsidRDefault="00AC5996" w:rsidP="006246EF">
            <w:pPr>
              <w:pStyle w:val="Tabletext"/>
              <w:jc w:val="center"/>
              <w:rPr>
                <w:sz w:val="18"/>
                <w:szCs w:val="18"/>
              </w:rPr>
            </w:pPr>
            <w:r w:rsidRPr="007E130D">
              <w:rPr>
                <w:sz w:val="18"/>
                <w:szCs w:val="18"/>
              </w:rPr>
              <w:t>30 342</w:t>
            </w:r>
            <w:r w:rsidR="00334348" w:rsidRPr="007E130D">
              <w:rPr>
                <w:sz w:val="18"/>
                <w:szCs w:val="18"/>
              </w:rPr>
              <w:br/>
              <w:t>(Services autres que de radiodiffusion)</w:t>
            </w:r>
          </w:p>
          <w:p w14:paraId="45D977FD" w14:textId="77777777" w:rsidR="00334348" w:rsidRPr="007E130D" w:rsidRDefault="00AC5996" w:rsidP="006246EF">
            <w:pPr>
              <w:pStyle w:val="Tabletext"/>
              <w:spacing w:before="120"/>
              <w:jc w:val="center"/>
              <w:rPr>
                <w:sz w:val="18"/>
                <w:szCs w:val="18"/>
              </w:rPr>
            </w:pPr>
            <w:r w:rsidRPr="007E130D">
              <w:t>24.04.2019</w:t>
            </w:r>
          </w:p>
        </w:tc>
        <w:tc>
          <w:tcPr>
            <w:tcW w:w="822" w:type="pct"/>
            <w:vAlign w:val="center"/>
          </w:tcPr>
          <w:p w14:paraId="42DCFCF3" w14:textId="77777777" w:rsidR="00334348" w:rsidRPr="007E130D" w:rsidRDefault="00AC5996" w:rsidP="006246EF">
            <w:pPr>
              <w:pStyle w:val="Tabletext"/>
              <w:jc w:val="center"/>
              <w:rPr>
                <w:sz w:val="18"/>
                <w:szCs w:val="18"/>
              </w:rPr>
            </w:pPr>
            <w:r w:rsidRPr="007E130D">
              <w:t>12 045</w:t>
            </w:r>
            <w:r w:rsidR="00334348" w:rsidRPr="007E130D">
              <w:rPr>
                <w:sz w:val="18"/>
                <w:szCs w:val="18"/>
              </w:rPr>
              <w:br/>
              <w:t>(Services autres que de radiodiffusion)</w:t>
            </w:r>
          </w:p>
          <w:p w14:paraId="32E0E087" w14:textId="77777777" w:rsidR="00334348" w:rsidRPr="007E130D" w:rsidRDefault="00AC5996" w:rsidP="006246EF">
            <w:pPr>
              <w:pStyle w:val="Tabletext"/>
              <w:spacing w:before="120"/>
              <w:jc w:val="center"/>
              <w:rPr>
                <w:sz w:val="18"/>
                <w:szCs w:val="18"/>
              </w:rPr>
            </w:pPr>
            <w:r w:rsidRPr="007E130D">
              <w:t>07.07.2020</w:t>
            </w:r>
          </w:p>
        </w:tc>
        <w:tc>
          <w:tcPr>
            <w:tcW w:w="802" w:type="pct"/>
            <w:vAlign w:val="center"/>
          </w:tcPr>
          <w:p w14:paraId="7812643F" w14:textId="77777777" w:rsidR="00334348" w:rsidRPr="007E130D" w:rsidRDefault="00AC5996" w:rsidP="006246EF">
            <w:pPr>
              <w:pStyle w:val="Tabletext"/>
              <w:jc w:val="center"/>
              <w:rPr>
                <w:sz w:val="18"/>
                <w:szCs w:val="18"/>
              </w:rPr>
            </w:pPr>
            <w:r w:rsidRPr="007E130D">
              <w:t>14 126</w:t>
            </w:r>
            <w:r w:rsidR="00334348" w:rsidRPr="007E130D">
              <w:rPr>
                <w:sz w:val="18"/>
                <w:szCs w:val="18"/>
              </w:rPr>
              <w:br/>
              <w:t>(Services autres que de radiodiffusion)</w:t>
            </w:r>
          </w:p>
          <w:p w14:paraId="749CB07B" w14:textId="77777777" w:rsidR="00334348" w:rsidRPr="007E130D" w:rsidRDefault="00AC5996" w:rsidP="006246EF">
            <w:pPr>
              <w:pStyle w:val="Tabletext"/>
              <w:spacing w:before="120"/>
              <w:jc w:val="center"/>
              <w:rPr>
                <w:sz w:val="18"/>
                <w:szCs w:val="18"/>
              </w:rPr>
            </w:pPr>
            <w:r w:rsidRPr="007E130D">
              <w:t>17.08.2021</w:t>
            </w:r>
          </w:p>
        </w:tc>
        <w:tc>
          <w:tcPr>
            <w:tcW w:w="828" w:type="pct"/>
            <w:vAlign w:val="center"/>
          </w:tcPr>
          <w:p w14:paraId="3A2B5898" w14:textId="77777777" w:rsidR="00334348" w:rsidRPr="007E130D" w:rsidRDefault="00AC5996" w:rsidP="006246EF">
            <w:pPr>
              <w:pStyle w:val="Tabletext"/>
              <w:jc w:val="center"/>
              <w:rPr>
                <w:sz w:val="18"/>
                <w:szCs w:val="18"/>
              </w:rPr>
            </w:pPr>
            <w:r w:rsidRPr="007E130D">
              <w:t>13 906</w:t>
            </w:r>
            <w:r w:rsidR="00334348" w:rsidRPr="007E130D">
              <w:rPr>
                <w:sz w:val="18"/>
                <w:szCs w:val="18"/>
              </w:rPr>
              <w:br/>
              <w:t>(Services autres que de radiodiffusion)</w:t>
            </w:r>
          </w:p>
          <w:p w14:paraId="2BF28714" w14:textId="77777777" w:rsidR="00334348" w:rsidRPr="007E130D" w:rsidRDefault="00AC5996" w:rsidP="006246EF">
            <w:pPr>
              <w:pStyle w:val="Tabletext"/>
              <w:spacing w:before="120"/>
              <w:jc w:val="center"/>
              <w:rPr>
                <w:sz w:val="18"/>
                <w:szCs w:val="18"/>
              </w:rPr>
            </w:pPr>
            <w:r w:rsidRPr="007E130D">
              <w:t>27.07.2022</w:t>
            </w:r>
          </w:p>
        </w:tc>
        <w:tc>
          <w:tcPr>
            <w:tcW w:w="828" w:type="pct"/>
            <w:vAlign w:val="center"/>
          </w:tcPr>
          <w:p w14:paraId="1234C52A" w14:textId="77777777" w:rsidR="00334348" w:rsidRPr="007E130D" w:rsidRDefault="00AC5996" w:rsidP="006246EF">
            <w:pPr>
              <w:pStyle w:val="Tabletext"/>
              <w:jc w:val="center"/>
              <w:rPr>
                <w:sz w:val="18"/>
                <w:szCs w:val="18"/>
              </w:rPr>
            </w:pPr>
            <w:r w:rsidRPr="007E130D">
              <w:t>18 931</w:t>
            </w:r>
            <w:r w:rsidR="00334348" w:rsidRPr="007E130D">
              <w:rPr>
                <w:sz w:val="18"/>
                <w:szCs w:val="18"/>
              </w:rPr>
              <w:br/>
              <w:t>(Services autres que de radiodiffusion)</w:t>
            </w:r>
          </w:p>
          <w:p w14:paraId="0D7C86E5" w14:textId="77777777" w:rsidR="00334348" w:rsidRPr="007E130D" w:rsidRDefault="00AC5996" w:rsidP="006246EF">
            <w:pPr>
              <w:pStyle w:val="Tabletext"/>
              <w:spacing w:before="120"/>
              <w:jc w:val="center"/>
              <w:rPr>
                <w:sz w:val="18"/>
                <w:szCs w:val="18"/>
              </w:rPr>
            </w:pPr>
            <w:r w:rsidRPr="007E130D">
              <w:t>09.01.2023</w:t>
            </w:r>
          </w:p>
        </w:tc>
      </w:tr>
    </w:tbl>
    <w:p w14:paraId="778E6462" w14:textId="28FF4651" w:rsidR="00A82EF2" w:rsidRPr="007E130D" w:rsidRDefault="00A82EF2" w:rsidP="00B20AC9">
      <w:r w:rsidRPr="007E130D">
        <w:rPr>
          <w:b/>
          <w:bCs/>
        </w:rPr>
        <w:t>3.4.1.2</w:t>
      </w:r>
      <w:r w:rsidRPr="007E130D">
        <w:tab/>
        <w:t>Il convient également de noter que le Bureau a entrepris les activités suivantes, après la CMR</w:t>
      </w:r>
      <w:r w:rsidRPr="007E130D">
        <w:noBreakHyphen/>
        <w:t>1</w:t>
      </w:r>
      <w:r w:rsidR="00AC5996" w:rsidRPr="007E130D">
        <w:t>9</w:t>
      </w:r>
      <w:r w:rsidRPr="007E130D">
        <w:t>, pour mettre en œuvre les décisions pertinentes de cette Conférence en ce qui concerne les procédures de notification et d'inscription pour les services de Terre, à savoir:</w:t>
      </w:r>
    </w:p>
    <w:p w14:paraId="2CADF26C" w14:textId="5BB66F55" w:rsidR="00A82EF2" w:rsidRPr="007E130D" w:rsidRDefault="00A82EF2" w:rsidP="00B20AC9">
      <w:pPr>
        <w:pStyle w:val="enumlev1"/>
      </w:pPr>
      <w:r w:rsidRPr="007E130D">
        <w:t>–</w:t>
      </w:r>
      <w:r w:rsidRPr="007E130D">
        <w:tab/>
      </w:r>
      <w:r w:rsidR="00130B4A" w:rsidRPr="007E130D">
        <w:t>L</w:t>
      </w:r>
      <w:r w:rsidRPr="007E130D">
        <w:t>es Règles de procédure existantes ont été revues chaque fois que cela était nécessaire, et des modifications appropriées ont été proposées, pour examen par le Comité du Règlement des radiocommunications</w:t>
      </w:r>
      <w:r w:rsidR="00130B4A" w:rsidRPr="007E130D">
        <w:t>.</w:t>
      </w:r>
    </w:p>
    <w:p w14:paraId="2839E597" w14:textId="6F4A5C7F" w:rsidR="00A82EF2" w:rsidRPr="007E130D" w:rsidRDefault="00A82EF2" w:rsidP="00B20AC9">
      <w:pPr>
        <w:pStyle w:val="enumlev1"/>
      </w:pPr>
      <w:r w:rsidRPr="007E130D">
        <w:t>–</w:t>
      </w:r>
      <w:r w:rsidRPr="007E130D">
        <w:tab/>
      </w:r>
      <w:r w:rsidR="00130B4A" w:rsidRPr="007E130D">
        <w:t>T</w:t>
      </w:r>
      <w:r w:rsidRPr="007E130D">
        <w:t>outes les procédures internes ont été revues et plusieurs éléments de la chaîne de production (règles de validation, règles d'examen, système de recherche) ont été adaptés pour tenir compte des modifications de dispositions du Règlement des radiocommunications et des modifications des Règles de procédure</w:t>
      </w:r>
      <w:r w:rsidR="00130B4A" w:rsidRPr="007E130D">
        <w:t>.</w:t>
      </w:r>
    </w:p>
    <w:p w14:paraId="502988DA" w14:textId="2143E168" w:rsidR="00A82EF2" w:rsidRPr="007E130D" w:rsidRDefault="00A82EF2" w:rsidP="00B20AC9">
      <w:pPr>
        <w:pStyle w:val="enumlev1"/>
      </w:pPr>
      <w:r w:rsidRPr="007E130D">
        <w:t>–</w:t>
      </w:r>
      <w:r w:rsidRPr="007E130D">
        <w:tab/>
      </w:r>
      <w:r w:rsidR="00130B4A" w:rsidRPr="007E130D">
        <w:t>L</w:t>
      </w:r>
      <w:r w:rsidRPr="007E130D">
        <w:t>es conclusions relatives aux assignations de fréquence inscrites dans le Fichier de référence ont été réexaminées pour tenir compte des modifications des conditions apportées par la CMR</w:t>
      </w:r>
      <w:r w:rsidRPr="007E130D">
        <w:noBreakHyphen/>
        <w:t>1</w:t>
      </w:r>
      <w:r w:rsidR="00AC5996" w:rsidRPr="007E130D">
        <w:t>9</w:t>
      </w:r>
      <w:r w:rsidRPr="007E130D">
        <w:t>, par exemple:</w:t>
      </w:r>
    </w:p>
    <w:p w14:paraId="6473F978" w14:textId="5382386C" w:rsidR="00A82EF2" w:rsidRPr="007E130D" w:rsidRDefault="00AC5996" w:rsidP="00B20AC9">
      <w:pPr>
        <w:pStyle w:val="enumlev2"/>
      </w:pPr>
      <w:r w:rsidRPr="007E130D">
        <w:t>•</w:t>
      </w:r>
      <w:r w:rsidR="00A82EF2" w:rsidRPr="007E130D">
        <w:tab/>
        <w:t xml:space="preserve">les </w:t>
      </w:r>
      <w:r w:rsidR="00A82EF2" w:rsidRPr="007E130D">
        <w:rPr>
          <w:color w:val="000000"/>
        </w:rPr>
        <w:t xml:space="preserve">assignations de fréquence à des stations des services fixe et mobile dans plusieurs pays dans les bandes </w:t>
      </w:r>
      <w:r w:rsidRPr="007E130D">
        <w:t>4 063-4 123 kHz et 4 130-4 438 kHz (numéro</w:t>
      </w:r>
      <w:r w:rsidR="006246EF" w:rsidRPr="007E130D">
        <w:t> </w:t>
      </w:r>
      <w:r w:rsidRPr="007E130D">
        <w:rPr>
          <w:b/>
          <w:bCs/>
        </w:rPr>
        <w:t>5.128</w:t>
      </w:r>
      <w:r w:rsidRPr="007E130D">
        <w:t>), 132</w:t>
      </w:r>
      <w:r w:rsidRPr="007E130D">
        <w:noBreakHyphen/>
        <w:t xml:space="preserve">136 MHz (numéro </w:t>
      </w:r>
      <w:r w:rsidRPr="007E130D">
        <w:rPr>
          <w:b/>
          <w:bCs/>
        </w:rPr>
        <w:t>5.201</w:t>
      </w:r>
      <w:r w:rsidRPr="007E130D">
        <w:t>), 1 621,35-1 626,5 MHz</w:t>
      </w:r>
      <w:r w:rsidR="006246EF" w:rsidRPr="007E130D">
        <w:t xml:space="preserve"> </w:t>
      </w:r>
      <w:r w:rsidRPr="007E130D">
        <w:t>(numéro</w:t>
      </w:r>
      <w:r w:rsidR="006246EF" w:rsidRPr="007E130D">
        <w:t> </w:t>
      </w:r>
      <w:r w:rsidRPr="007E130D">
        <w:rPr>
          <w:b/>
          <w:bCs/>
        </w:rPr>
        <w:t>5.359</w:t>
      </w:r>
      <w:r w:rsidRPr="007E130D">
        <w:t>) et 12,5</w:t>
      </w:r>
      <w:r w:rsidRPr="007E130D">
        <w:noBreakHyphen/>
        <w:t xml:space="preserve">12,75 GHz (numéro </w:t>
      </w:r>
      <w:r w:rsidRPr="007E130D">
        <w:rPr>
          <w:b/>
          <w:bCs/>
        </w:rPr>
        <w:t>5.495</w:t>
      </w:r>
      <w:r w:rsidRPr="007E130D">
        <w:t xml:space="preserve">) </w:t>
      </w:r>
      <w:r w:rsidR="00A82EF2" w:rsidRPr="007E130D">
        <w:rPr>
          <w:color w:val="000000"/>
        </w:rPr>
        <w:t>ont été supprimées, en raison de la suppression des attributions concernées;</w:t>
      </w:r>
    </w:p>
    <w:p w14:paraId="5338F7CA" w14:textId="78D0A5A9" w:rsidR="00A82EF2" w:rsidRPr="007E130D" w:rsidRDefault="00AC5996" w:rsidP="00B20AC9">
      <w:pPr>
        <w:pStyle w:val="enumlev2"/>
      </w:pPr>
      <w:r w:rsidRPr="007E130D">
        <w:t>•</w:t>
      </w:r>
      <w:r w:rsidR="00A82EF2" w:rsidRPr="007E130D">
        <w:tab/>
      </w:r>
      <w:r w:rsidR="00E31C31" w:rsidRPr="007E130D">
        <w:t xml:space="preserve">en outre, à la suite des modifications des cas d'attribution dans l'Appendice </w:t>
      </w:r>
      <w:r w:rsidR="00E31C31" w:rsidRPr="007E130D">
        <w:rPr>
          <w:b/>
          <w:bCs/>
        </w:rPr>
        <w:t>17</w:t>
      </w:r>
      <w:r w:rsidR="00E31C31" w:rsidRPr="007E130D">
        <w:t xml:space="preserve"> du RR, les résultats de 51 381 assignations de fréquence de 146 administrations inscrites dans le Fichier de référence ont été examinés afin de vérifier leur conformité avec la disposition modifiée des canaux, ainsi qu'avec d'autres dispositions du RR, applicables aux assignations liées à l'Appendice </w:t>
      </w:r>
      <w:r w:rsidR="00E31C31" w:rsidRPr="007E130D">
        <w:rPr>
          <w:b/>
          <w:bCs/>
        </w:rPr>
        <w:t>17</w:t>
      </w:r>
      <w:r w:rsidR="00E31C31" w:rsidRPr="007E130D">
        <w:t xml:space="preserve"> du RR. En conséquence, 2 594 assignations ont été supprimées et les résultats de</w:t>
      </w:r>
      <w:r w:rsidR="006246EF" w:rsidRPr="007E130D">
        <w:t> </w:t>
      </w:r>
      <w:r w:rsidR="00E31C31" w:rsidRPr="007E130D">
        <w:t>18</w:t>
      </w:r>
      <w:r w:rsidR="006246EF" w:rsidRPr="007E130D">
        <w:t> </w:t>
      </w:r>
      <w:r w:rsidR="00E31C31" w:rsidRPr="007E130D">
        <w:t>516</w:t>
      </w:r>
      <w:r w:rsidR="006246EF" w:rsidRPr="007E130D">
        <w:t> </w:t>
      </w:r>
      <w:r w:rsidR="00E31C31" w:rsidRPr="007E130D">
        <w:t>assignations ont été examinés.</w:t>
      </w:r>
    </w:p>
    <w:p w14:paraId="4B86E66F" w14:textId="77777777" w:rsidR="00A82EF2" w:rsidRPr="007E130D" w:rsidRDefault="00A82EF2" w:rsidP="00B20AC9">
      <w:pPr>
        <w:pStyle w:val="Heading3"/>
      </w:pPr>
      <w:bookmarkStart w:id="128" w:name="_Toc426463230"/>
      <w:bookmarkStart w:id="129" w:name="_Toc19880049"/>
      <w:bookmarkStart w:id="130" w:name="_Toc147328803"/>
      <w:r w:rsidRPr="007E130D">
        <w:lastRenderedPageBreak/>
        <w:t>3.4.2</w:t>
      </w:r>
      <w:r w:rsidRPr="007E130D">
        <w:tab/>
        <w:t>Traitement des fiches de notification concernant les horaires de radiodiffusion à ondes décamétriques</w:t>
      </w:r>
      <w:bookmarkEnd w:id="128"/>
      <w:bookmarkEnd w:id="129"/>
      <w:bookmarkEnd w:id="130"/>
    </w:p>
    <w:p w14:paraId="1143194D" w14:textId="77777777" w:rsidR="00A82EF2" w:rsidRPr="007E130D" w:rsidRDefault="00A82EF2" w:rsidP="00B20AC9">
      <w:pPr>
        <w:pStyle w:val="Heading4"/>
      </w:pPr>
      <w:r w:rsidRPr="007E130D">
        <w:t>3.4.2.1</w:t>
      </w:r>
      <w:r w:rsidRPr="007E130D">
        <w:tab/>
        <w:t>Application des procédures de l'Article 12 du Règlement des radiocommunications</w:t>
      </w:r>
    </w:p>
    <w:p w14:paraId="562E64CE" w14:textId="4CE56263" w:rsidR="00A82EF2" w:rsidRPr="007E130D" w:rsidRDefault="00A82EF2" w:rsidP="00B20AC9">
      <w:r w:rsidRPr="007E130D">
        <w:t xml:space="preserve">Cette activité comprend l'examen technique des notifications relatives aux horaires de radiodiffusion à ondes décamétriques au titre de la procédure de l'Article </w:t>
      </w:r>
      <w:r w:rsidRPr="007E130D">
        <w:rPr>
          <w:b/>
          <w:bCs/>
        </w:rPr>
        <w:t>12</w:t>
      </w:r>
      <w:r w:rsidRPr="007E130D">
        <w:t xml:space="preserve"> du Règlement des radiocommunications ainsi que l'identification des incompatibilités. Elle comprend également le choix de bandes et des fréquences appropriées, à la demande des administrations, et l'élaboration des horaires provisoires ou définitifs.</w:t>
      </w:r>
    </w:p>
    <w:p w14:paraId="4CDE17C4" w14:textId="772BD133" w:rsidR="00CA25EB" w:rsidRPr="007E130D" w:rsidRDefault="00A82EF2" w:rsidP="00B20AC9">
      <w:r w:rsidRPr="007E130D">
        <w:rPr>
          <w:iCs/>
        </w:rPr>
        <w:t xml:space="preserve">À compter de janvier 2019, la publication </w:t>
      </w:r>
      <w:r w:rsidRPr="007E130D">
        <w:rPr>
          <w:color w:val="000000"/>
        </w:rPr>
        <w:t>sur CD-ROM a été supprimée et remplacée par des publications en ligne gratuites.</w:t>
      </w:r>
      <w:r w:rsidRPr="007E130D">
        <w:rPr>
          <w:iCs/>
        </w:rPr>
        <w:t xml:space="preserve"> </w:t>
      </w:r>
      <w:r w:rsidR="00AC5996" w:rsidRPr="007E130D">
        <w:rPr>
          <w:iCs/>
        </w:rPr>
        <w:t>Quarante-neuf</w:t>
      </w:r>
      <w:r w:rsidRPr="007E130D">
        <w:rPr>
          <w:iCs/>
        </w:rPr>
        <w:t xml:space="preserve"> </w:t>
      </w:r>
      <w:r w:rsidRPr="007E130D">
        <w:rPr>
          <w:color w:val="000000"/>
        </w:rPr>
        <w:t>publications en ligne</w:t>
      </w:r>
      <w:r w:rsidRPr="007E130D">
        <w:rPr>
          <w:iCs/>
        </w:rPr>
        <w:t xml:space="preserve"> avaient été publiés en</w:t>
      </w:r>
      <w:r w:rsidR="006246EF" w:rsidRPr="007E130D">
        <w:rPr>
          <w:iCs/>
        </w:rPr>
        <w:t> </w:t>
      </w:r>
      <w:r w:rsidRPr="007E130D">
        <w:rPr>
          <w:iCs/>
        </w:rPr>
        <w:t>2019</w:t>
      </w:r>
      <w:r w:rsidR="006246EF" w:rsidRPr="007E130D">
        <w:rPr>
          <w:iCs/>
        </w:rPr>
        <w:noBreakHyphen/>
      </w:r>
      <w:r w:rsidR="00AC5996" w:rsidRPr="007E130D">
        <w:rPr>
          <w:iCs/>
        </w:rPr>
        <w:t>2023</w:t>
      </w:r>
      <w:r w:rsidRPr="007E130D">
        <w:rPr>
          <w:iCs/>
        </w:rPr>
        <w:t xml:space="preserve"> à la date d'élaboration du présent document. </w:t>
      </w:r>
      <w:r w:rsidRPr="007E130D">
        <w:rPr>
          <w:color w:val="000000"/>
        </w:rPr>
        <w:t>La publication en ligne contient, entre autres,</w:t>
      </w:r>
      <w:r w:rsidRPr="007E130D">
        <w:t xml:space="preserve"> les horaires de radiodiffusion à ondes décamétriques, les résultats des analyses de compatibilité et la dernière version du logiciel de radiodiffusion à ondes décamétriques.</w:t>
      </w:r>
    </w:p>
    <w:p w14:paraId="7F428760" w14:textId="77777777" w:rsidR="00A82EF2" w:rsidRPr="007E130D" w:rsidRDefault="00A82EF2" w:rsidP="00B20AC9">
      <w:r w:rsidRPr="007E130D">
        <w:t>Cette activité comprend également l'échange de correspondance avec les administrations et les groupes de coordination régionaux concernant d'éventuelles améliorations à apporter aux logiciels, la mise à jour des données de référence, les améliorations apportées à la présentation des résultats des calculs et la tenue à jour des pages web avec les dernières mises à jour des logiciels et des données de référence. Elle prévoit aussi la participation du Bureau aux réunions de coordination des groupes de coordination régionaux.</w:t>
      </w:r>
    </w:p>
    <w:p w14:paraId="36507186" w14:textId="77777777" w:rsidR="00A82EF2" w:rsidRPr="007E130D" w:rsidRDefault="00A82EF2" w:rsidP="00B20AC9">
      <w:r w:rsidRPr="007E130D">
        <w:t>Le Tableau 3.4.2.1-1 résume les activités du Bureau en ce qui concerne l'élaboration des horaires de radiodiffusion à ondes décamétriques.</w:t>
      </w:r>
    </w:p>
    <w:p w14:paraId="47200110" w14:textId="77777777" w:rsidR="00A82EF2" w:rsidRPr="007E130D" w:rsidRDefault="00A82EF2" w:rsidP="00B20AC9">
      <w:pPr>
        <w:pStyle w:val="TableNo"/>
      </w:pPr>
      <w:r w:rsidRPr="007E130D">
        <w:t>Tableau 3.4.2.1-1</w:t>
      </w:r>
    </w:p>
    <w:p w14:paraId="31D5A56B" w14:textId="77777777" w:rsidR="00A82EF2" w:rsidRPr="007E130D" w:rsidRDefault="00CA25EB" w:rsidP="00B20AC9">
      <w:pPr>
        <w:pStyle w:val="Tabletitle"/>
      </w:pPr>
      <w:r w:rsidRPr="007E130D">
        <w:t>Préparation de</w:t>
      </w:r>
      <w:r w:rsidR="00A82EF2" w:rsidRPr="007E130D">
        <w:t xml:space="preserve"> l'élaboration des horaires de radiodiffusion à ondes décamétriques</w:t>
      </w:r>
    </w:p>
    <w:tbl>
      <w:tblPr>
        <w:tblW w:w="49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695"/>
        <w:gridCol w:w="1360"/>
        <w:gridCol w:w="1360"/>
        <w:gridCol w:w="1360"/>
        <w:gridCol w:w="1360"/>
        <w:gridCol w:w="1362"/>
      </w:tblGrid>
      <w:tr w:rsidR="00AC5996" w:rsidRPr="007E130D" w14:paraId="49B946D9" w14:textId="77777777" w:rsidTr="00960B1C">
        <w:trPr>
          <w:jc w:val="center"/>
        </w:trPr>
        <w:tc>
          <w:tcPr>
            <w:tcW w:w="1419" w:type="pct"/>
            <w:tcBorders>
              <w:top w:val="nil"/>
              <w:left w:val="nil"/>
              <w:bottom w:val="single" w:sz="4" w:space="0" w:color="auto"/>
              <w:right w:val="single" w:sz="4" w:space="0" w:color="auto"/>
            </w:tcBorders>
          </w:tcPr>
          <w:p w14:paraId="6C37D535" w14:textId="77777777" w:rsidR="00AC5996" w:rsidRPr="007E130D" w:rsidRDefault="00AC5996" w:rsidP="00B20AC9">
            <w:pPr>
              <w:pStyle w:val="Tablehead"/>
            </w:pPr>
            <w:bookmarkStart w:id="131" w:name="_Toc424047573"/>
          </w:p>
        </w:tc>
        <w:tc>
          <w:tcPr>
            <w:tcW w:w="716" w:type="pct"/>
            <w:tcBorders>
              <w:top w:val="single" w:sz="4" w:space="0" w:color="auto"/>
              <w:left w:val="single" w:sz="4" w:space="0" w:color="auto"/>
            </w:tcBorders>
          </w:tcPr>
          <w:p w14:paraId="34FB3C34" w14:textId="77777777" w:rsidR="00AC5996" w:rsidRPr="007E130D" w:rsidRDefault="00AC5996" w:rsidP="00B20AC9">
            <w:pPr>
              <w:pStyle w:val="Tablehead"/>
            </w:pPr>
            <w:r w:rsidRPr="007E130D">
              <w:t>2019</w:t>
            </w:r>
          </w:p>
        </w:tc>
        <w:tc>
          <w:tcPr>
            <w:tcW w:w="716" w:type="pct"/>
            <w:tcBorders>
              <w:top w:val="single" w:sz="4" w:space="0" w:color="auto"/>
            </w:tcBorders>
          </w:tcPr>
          <w:p w14:paraId="25416ABD" w14:textId="77777777" w:rsidR="00AC5996" w:rsidRPr="007E130D" w:rsidRDefault="00AC5996" w:rsidP="00B20AC9">
            <w:pPr>
              <w:pStyle w:val="Tablehead"/>
            </w:pPr>
            <w:r w:rsidRPr="007E130D">
              <w:t>2020</w:t>
            </w:r>
          </w:p>
        </w:tc>
        <w:tc>
          <w:tcPr>
            <w:tcW w:w="716" w:type="pct"/>
            <w:tcBorders>
              <w:top w:val="single" w:sz="4" w:space="0" w:color="auto"/>
              <w:right w:val="single" w:sz="4" w:space="0" w:color="auto"/>
            </w:tcBorders>
          </w:tcPr>
          <w:p w14:paraId="59A891F3" w14:textId="77777777" w:rsidR="00AC5996" w:rsidRPr="007E130D" w:rsidRDefault="00AC5996" w:rsidP="00B20AC9">
            <w:pPr>
              <w:pStyle w:val="Tablehead"/>
            </w:pPr>
            <w:r w:rsidRPr="007E130D">
              <w:t>2021</w:t>
            </w:r>
          </w:p>
        </w:tc>
        <w:tc>
          <w:tcPr>
            <w:tcW w:w="716" w:type="pct"/>
            <w:tcBorders>
              <w:top w:val="single" w:sz="4" w:space="0" w:color="auto"/>
              <w:right w:val="single" w:sz="4" w:space="0" w:color="auto"/>
            </w:tcBorders>
          </w:tcPr>
          <w:p w14:paraId="32F40772" w14:textId="77777777" w:rsidR="00AC5996" w:rsidRPr="007E130D" w:rsidRDefault="00AC5996" w:rsidP="00B20AC9">
            <w:pPr>
              <w:pStyle w:val="Tablehead"/>
            </w:pPr>
            <w:r w:rsidRPr="007E130D">
              <w:t>2022</w:t>
            </w:r>
          </w:p>
        </w:tc>
        <w:tc>
          <w:tcPr>
            <w:tcW w:w="717" w:type="pct"/>
            <w:tcBorders>
              <w:top w:val="single" w:sz="4" w:space="0" w:color="auto"/>
              <w:left w:val="single" w:sz="4" w:space="0" w:color="auto"/>
              <w:bottom w:val="single" w:sz="4" w:space="0" w:color="auto"/>
              <w:right w:val="single" w:sz="4" w:space="0" w:color="auto"/>
            </w:tcBorders>
          </w:tcPr>
          <w:p w14:paraId="56CE7708" w14:textId="3B688633" w:rsidR="00AC5996" w:rsidRPr="007E130D" w:rsidRDefault="00AC5996" w:rsidP="00B20AC9">
            <w:pPr>
              <w:pStyle w:val="Tablehead"/>
            </w:pPr>
            <w:r w:rsidRPr="0000234B">
              <w:t>2023</w:t>
            </w:r>
          </w:p>
        </w:tc>
      </w:tr>
      <w:tr w:rsidR="00AC5996" w:rsidRPr="007E130D" w14:paraId="73514FE2" w14:textId="77777777" w:rsidTr="00960B1C">
        <w:trPr>
          <w:jc w:val="center"/>
        </w:trPr>
        <w:tc>
          <w:tcPr>
            <w:tcW w:w="1419" w:type="pct"/>
            <w:tcBorders>
              <w:top w:val="single" w:sz="4" w:space="0" w:color="auto"/>
              <w:left w:val="single" w:sz="4" w:space="0" w:color="auto"/>
              <w:bottom w:val="single" w:sz="4" w:space="0" w:color="auto"/>
              <w:right w:val="single" w:sz="4" w:space="0" w:color="auto"/>
            </w:tcBorders>
          </w:tcPr>
          <w:p w14:paraId="63DFBD9C" w14:textId="77777777" w:rsidR="00AC5996" w:rsidRPr="007E130D" w:rsidRDefault="00AC5996" w:rsidP="00B20AC9">
            <w:pPr>
              <w:pStyle w:val="Tabletext"/>
            </w:pPr>
            <w:r w:rsidRPr="007E130D">
              <w:t>Nombre de fiches traitées</w:t>
            </w:r>
          </w:p>
        </w:tc>
        <w:tc>
          <w:tcPr>
            <w:tcW w:w="716" w:type="pct"/>
            <w:tcBorders>
              <w:left w:val="single" w:sz="4" w:space="0" w:color="auto"/>
              <w:bottom w:val="single" w:sz="4" w:space="0" w:color="auto"/>
            </w:tcBorders>
          </w:tcPr>
          <w:p w14:paraId="1979EE27" w14:textId="77777777" w:rsidR="00AC5996" w:rsidRPr="007E130D" w:rsidRDefault="00AC5996" w:rsidP="00B20AC9">
            <w:pPr>
              <w:pStyle w:val="Tabletext"/>
              <w:jc w:val="center"/>
              <w:rPr>
                <w:highlight w:val="yellow"/>
              </w:rPr>
            </w:pPr>
            <w:r w:rsidRPr="007E130D">
              <w:t>37 381</w:t>
            </w:r>
          </w:p>
        </w:tc>
        <w:tc>
          <w:tcPr>
            <w:tcW w:w="716" w:type="pct"/>
            <w:tcBorders>
              <w:bottom w:val="single" w:sz="4" w:space="0" w:color="auto"/>
            </w:tcBorders>
          </w:tcPr>
          <w:p w14:paraId="75B217E5" w14:textId="77777777" w:rsidR="00AC5996" w:rsidRPr="007E130D" w:rsidRDefault="00AC5996" w:rsidP="00B20AC9">
            <w:pPr>
              <w:pStyle w:val="Tabletext"/>
              <w:jc w:val="center"/>
              <w:rPr>
                <w:highlight w:val="yellow"/>
              </w:rPr>
            </w:pPr>
            <w:r w:rsidRPr="007E130D">
              <w:t>32 812</w:t>
            </w:r>
          </w:p>
        </w:tc>
        <w:tc>
          <w:tcPr>
            <w:tcW w:w="716" w:type="pct"/>
            <w:tcBorders>
              <w:bottom w:val="single" w:sz="4" w:space="0" w:color="auto"/>
              <w:right w:val="single" w:sz="4" w:space="0" w:color="auto"/>
            </w:tcBorders>
          </w:tcPr>
          <w:p w14:paraId="4C4BA234" w14:textId="77777777" w:rsidR="00AC5996" w:rsidRPr="007E130D" w:rsidRDefault="00AC5996" w:rsidP="00B20AC9">
            <w:pPr>
              <w:pStyle w:val="Tabletext"/>
              <w:jc w:val="center"/>
              <w:rPr>
                <w:highlight w:val="yellow"/>
              </w:rPr>
            </w:pPr>
            <w:r w:rsidRPr="007E130D">
              <w:t>32 523</w:t>
            </w:r>
          </w:p>
        </w:tc>
        <w:tc>
          <w:tcPr>
            <w:tcW w:w="716" w:type="pct"/>
            <w:tcBorders>
              <w:bottom w:val="single" w:sz="4" w:space="0" w:color="auto"/>
              <w:right w:val="single" w:sz="4" w:space="0" w:color="auto"/>
            </w:tcBorders>
          </w:tcPr>
          <w:p w14:paraId="0C9A8208" w14:textId="77777777" w:rsidR="00AC5996" w:rsidRPr="007E130D" w:rsidRDefault="00AC5996" w:rsidP="00B20AC9">
            <w:pPr>
              <w:pStyle w:val="Tabletext"/>
              <w:jc w:val="center"/>
            </w:pPr>
            <w:r w:rsidRPr="007E130D">
              <w:t>31 215</w:t>
            </w:r>
          </w:p>
        </w:tc>
        <w:tc>
          <w:tcPr>
            <w:tcW w:w="717" w:type="pct"/>
            <w:tcBorders>
              <w:top w:val="single" w:sz="4" w:space="0" w:color="auto"/>
              <w:left w:val="single" w:sz="4" w:space="0" w:color="auto"/>
              <w:bottom w:val="single" w:sz="4" w:space="0" w:color="auto"/>
              <w:right w:val="single" w:sz="4" w:space="0" w:color="auto"/>
            </w:tcBorders>
          </w:tcPr>
          <w:p w14:paraId="1E7B17EB" w14:textId="77777777" w:rsidR="00AC5996" w:rsidRPr="007E130D" w:rsidRDefault="00AC5996" w:rsidP="00B20AC9">
            <w:pPr>
              <w:pStyle w:val="Tabletext"/>
              <w:jc w:val="center"/>
              <w:rPr>
                <w:highlight w:val="yellow"/>
              </w:rPr>
            </w:pPr>
            <w:r w:rsidRPr="007E130D">
              <w:t>12 243</w:t>
            </w:r>
          </w:p>
        </w:tc>
      </w:tr>
    </w:tbl>
    <w:p w14:paraId="1172962D" w14:textId="03DC707B" w:rsidR="00A82EF2" w:rsidRPr="007E130D" w:rsidRDefault="00A82EF2" w:rsidP="00B20AC9">
      <w:pPr>
        <w:pStyle w:val="Heading2"/>
      </w:pPr>
      <w:bookmarkStart w:id="132" w:name="_Toc426463232"/>
      <w:bookmarkStart w:id="133" w:name="_Toc19880051"/>
      <w:bookmarkStart w:id="134" w:name="_Toc147328804"/>
      <w:bookmarkEnd w:id="131"/>
      <w:r w:rsidRPr="007E130D">
        <w:t>3.</w:t>
      </w:r>
      <w:r w:rsidR="00AC5996" w:rsidRPr="007E130D">
        <w:t>5</w:t>
      </w:r>
      <w:r w:rsidRPr="007E130D">
        <w:tab/>
        <w:t>Autres procédures réglementaires concernant les services de Terre</w:t>
      </w:r>
      <w:bookmarkEnd w:id="132"/>
      <w:bookmarkEnd w:id="133"/>
      <w:bookmarkEnd w:id="134"/>
    </w:p>
    <w:p w14:paraId="73F80699" w14:textId="37656A90" w:rsidR="00A82EF2" w:rsidRPr="007E130D" w:rsidRDefault="00A82EF2" w:rsidP="00B20AC9">
      <w:pPr>
        <w:pStyle w:val="Heading3"/>
      </w:pPr>
      <w:bookmarkStart w:id="135" w:name="_Toc424047575"/>
      <w:bookmarkStart w:id="136" w:name="_Toc426463233"/>
      <w:bookmarkStart w:id="137" w:name="_Toc19880052"/>
      <w:bookmarkStart w:id="138" w:name="_Toc147328805"/>
      <w:r w:rsidRPr="007E130D">
        <w:t>3.</w:t>
      </w:r>
      <w:r w:rsidR="00AC5996" w:rsidRPr="007E130D">
        <w:t>5</w:t>
      </w:r>
      <w:r w:rsidRPr="007E130D">
        <w:t>.1</w:t>
      </w:r>
      <w:r w:rsidRPr="007E130D">
        <w:tab/>
        <w:t>Résolution 12 (CMR-12)</w:t>
      </w:r>
      <w:bookmarkEnd w:id="135"/>
      <w:bookmarkEnd w:id="136"/>
      <w:bookmarkEnd w:id="137"/>
      <w:bookmarkEnd w:id="138"/>
    </w:p>
    <w:p w14:paraId="0D221C03" w14:textId="77777777" w:rsidR="00A82EF2" w:rsidRPr="007E130D" w:rsidRDefault="00A82EF2" w:rsidP="00B20AC9">
      <w:r w:rsidRPr="007E130D">
        <w:t xml:space="preserve">Aux termes de la Résolution </w:t>
      </w:r>
      <w:r w:rsidRPr="007E130D">
        <w:rPr>
          <w:b/>
          <w:bCs/>
        </w:rPr>
        <w:t>12 (CMR-12)</w:t>
      </w:r>
      <w:r w:rsidRPr="007E130D">
        <w:t>, le Directeur du BR était chargé de rendre compte à la CMR-15 des progrès réalisés dans la mise en œuvre de cette Résolution, qui traite de l'assistance et de l'appui à la Palestine.</w:t>
      </w:r>
    </w:p>
    <w:p w14:paraId="70995F73" w14:textId="67057C73" w:rsidR="00AD72E0" w:rsidRPr="007E130D" w:rsidRDefault="00AD72E0" w:rsidP="00B20AC9">
      <w:bookmarkStart w:id="139" w:name="_Toc424047577"/>
      <w:bookmarkStart w:id="140" w:name="_Toc426463235"/>
      <w:bookmarkStart w:id="141" w:name="_Toc19880053"/>
      <w:r w:rsidRPr="007E130D">
        <w:t>En 2023, le Bureau a aidé la Palestine à réviser son tableau national des attributions et des applications de fréquences.</w:t>
      </w:r>
    </w:p>
    <w:p w14:paraId="46EFC01A" w14:textId="10C53C65" w:rsidR="00AC5996" w:rsidRPr="007E130D" w:rsidRDefault="00AD72E0" w:rsidP="00B20AC9">
      <w:r w:rsidRPr="007E130D">
        <w:t xml:space="preserve">Il n'y a pas eu de demande d'assistance de la part de la Palestine en ce qui concerne les notifications d'assignations de fréquences à enregistrer dans le MIFR ou les procédures de modification du Plan ou la coordination au titre du </w:t>
      </w:r>
      <w:r w:rsidR="00265CB8" w:rsidRPr="007E130D">
        <w:t xml:space="preserve">numéro </w:t>
      </w:r>
      <w:r w:rsidR="00265CB8" w:rsidRPr="007E130D">
        <w:rPr>
          <w:b/>
          <w:bCs/>
        </w:rPr>
        <w:t>9.21</w:t>
      </w:r>
      <w:r w:rsidR="00265CB8" w:rsidRPr="007E130D">
        <w:t xml:space="preserve"> du </w:t>
      </w:r>
      <w:r w:rsidRPr="007E130D">
        <w:t>RR.</w:t>
      </w:r>
    </w:p>
    <w:p w14:paraId="76A99310" w14:textId="518BDAD9" w:rsidR="00A82EF2" w:rsidRPr="007E130D" w:rsidRDefault="00A82EF2" w:rsidP="00B20AC9">
      <w:pPr>
        <w:pStyle w:val="Heading3"/>
      </w:pPr>
      <w:bookmarkStart w:id="142" w:name="_Toc147328806"/>
      <w:r w:rsidRPr="007E130D">
        <w:t>3.</w:t>
      </w:r>
      <w:r w:rsidR="006246EF" w:rsidRPr="007E130D">
        <w:t>5</w:t>
      </w:r>
      <w:r w:rsidRPr="007E130D">
        <w:t>.2</w:t>
      </w:r>
      <w:r w:rsidRPr="007E130D">
        <w:tab/>
        <w:t>Résolution 205 (Rév.CMR-1</w:t>
      </w:r>
      <w:r w:rsidR="00AC5996" w:rsidRPr="007E130D">
        <w:t>9</w:t>
      </w:r>
      <w:r w:rsidRPr="007E130D">
        <w:t>)</w:t>
      </w:r>
      <w:bookmarkEnd w:id="139"/>
      <w:bookmarkEnd w:id="140"/>
      <w:bookmarkEnd w:id="141"/>
      <w:bookmarkEnd w:id="142"/>
    </w:p>
    <w:p w14:paraId="3C6BEA6D" w14:textId="77777777" w:rsidR="00104B4D" w:rsidRPr="007E130D" w:rsidRDefault="00A82EF2" w:rsidP="00B20AC9">
      <w:r w:rsidRPr="007E130D">
        <w:t xml:space="preserve">En vertu de la Résolution </w:t>
      </w:r>
      <w:r w:rsidRPr="007E130D">
        <w:rPr>
          <w:b/>
          <w:bCs/>
        </w:rPr>
        <w:t>205 (Rév.CMR-1</w:t>
      </w:r>
      <w:r w:rsidR="00AC5996" w:rsidRPr="007E130D">
        <w:rPr>
          <w:b/>
          <w:bCs/>
        </w:rPr>
        <w:t>9</w:t>
      </w:r>
      <w:r w:rsidRPr="007E130D">
        <w:rPr>
          <w:b/>
          <w:bCs/>
        </w:rPr>
        <w:t>)</w:t>
      </w:r>
      <w:r w:rsidRPr="007E130D">
        <w:t xml:space="preserve">, qui traite de la protection des systèmes fonctionnant dans le service mobile par satellite dans la bande 406-406,1 MHz, le </w:t>
      </w:r>
      <w:r w:rsidR="007441F8" w:rsidRPr="007E130D">
        <w:t xml:space="preserve">Bureau a </w:t>
      </w:r>
      <w:r w:rsidRPr="007E130D">
        <w:t>c</w:t>
      </w:r>
      <w:r w:rsidR="007441F8" w:rsidRPr="007E130D">
        <w:t>ontinué</w:t>
      </w:r>
      <w:r w:rsidRPr="007E130D">
        <w:t xml:space="preserve"> d'organiser des programmes de contrôle </w:t>
      </w:r>
      <w:r w:rsidR="001B7E4A" w:rsidRPr="007E130D">
        <w:t xml:space="preserve">spéciaux </w:t>
      </w:r>
      <w:r w:rsidRPr="007E130D">
        <w:t>des émissions dans la bande de fréquences 406-406,1 MHz</w:t>
      </w:r>
      <w:r w:rsidR="00104B4D" w:rsidRPr="007E130D">
        <w:t xml:space="preserve"> et </w:t>
      </w:r>
      <w:r w:rsidR="00104B4D" w:rsidRPr="007E130D">
        <w:br w:type="page"/>
      </w:r>
    </w:p>
    <w:p w14:paraId="627BC30C" w14:textId="5EBAB984" w:rsidR="00A82EF2" w:rsidRPr="007E130D" w:rsidRDefault="00104B4D" w:rsidP="00B20AC9">
      <w:r w:rsidRPr="007E130D">
        <w:lastRenderedPageBreak/>
        <w:t>sur l'incidence des rayonnements non désirés provenant des systèmes fonctionnant dans les bandes de fréquences 405,9 406 MHz et 406,1-406,2 MHz sur la réception par le SMS dans la bande de fréquences 406 406,1 MHz</w:t>
      </w:r>
      <w:r w:rsidR="001B7E4A" w:rsidRPr="007E130D">
        <w:t>.</w:t>
      </w:r>
    </w:p>
    <w:p w14:paraId="40F6957A" w14:textId="5FB155C8" w:rsidR="00A82EF2" w:rsidRPr="007E130D" w:rsidRDefault="0065069B" w:rsidP="00B20AC9">
      <w:r w:rsidRPr="0000234B">
        <w:t xml:space="preserve">Le </w:t>
      </w:r>
      <w:r w:rsidR="00A82EF2" w:rsidRPr="0000234B">
        <w:t xml:space="preserve">Bureau a continué d'assurer la liaison nécessaire entre les administrations exécutant des </w:t>
      </w:r>
      <w:r w:rsidR="00A82EF2" w:rsidRPr="0000234B">
        <w:t xml:space="preserve">programmes de contrôle des émissions </w:t>
      </w:r>
      <w:r w:rsidR="00A82EF2" w:rsidRPr="0000234B">
        <w:t>et les administrations sur le territoire desquelles des émissions non autorisées sont effectuées. À la suite de ce travail de liaison, plusieurs émissions non autorisées ont cessé. Le Bureau a également établi une liaison avec le secrétariat de</w:t>
      </w:r>
      <w:r w:rsidR="0000234B">
        <w:t> </w:t>
      </w:r>
      <w:r w:rsidR="00A82EF2" w:rsidRPr="0000234B">
        <w:t>COSPAS</w:t>
      </w:r>
      <w:r w:rsidR="0000234B">
        <w:noBreakHyphen/>
      </w:r>
      <w:r w:rsidR="00A82EF2" w:rsidRPr="0000234B">
        <w:t>SARSAT sur ces questions et a participé aux réunions du Comité technique mixte de cette organisation.</w:t>
      </w:r>
    </w:p>
    <w:p w14:paraId="4ED1354C" w14:textId="23CEA2BA" w:rsidR="00A82EF2" w:rsidRPr="007E130D" w:rsidRDefault="00A82EF2" w:rsidP="00B20AC9">
      <w:r w:rsidRPr="007E130D">
        <w:t>Les résultats du contrôle des émissions dans la bande 406-406</w:t>
      </w:r>
      <w:r w:rsidR="006246EF" w:rsidRPr="007E130D">
        <w:t>,</w:t>
      </w:r>
      <w:r w:rsidRPr="007E130D">
        <w:t>1 MHz ainsi que dans les bandes adjacentes sont récapitulés dans le Tableau ci-dessous (lignes 3 et 4). Dans un souci d'exhaustivité du rapport sur les activités de contrôle des émissions, le Tableau 3.</w:t>
      </w:r>
      <w:r w:rsidR="0065069B" w:rsidRPr="007E130D">
        <w:t>5</w:t>
      </w:r>
      <w:r w:rsidRPr="007E130D">
        <w:t>.2-1 ci-dessous présente également les données relatives au contrôle périodique des émissions dans les bandes de fréquences comprises entre 2 850 kHz et 28 000 kHz (ligne 1). Toutes les observations résultant de ce contrôle périodique des émissions ont été traitées dans les meilleurs délais et publiées sur le site web de l'UIT.</w:t>
      </w:r>
    </w:p>
    <w:p w14:paraId="4AF6857E" w14:textId="30764FB7" w:rsidR="00A82EF2" w:rsidRPr="007E130D" w:rsidRDefault="00A82EF2" w:rsidP="006246EF">
      <w:pPr>
        <w:pStyle w:val="TableNo"/>
        <w:keepLines/>
      </w:pPr>
      <w:r w:rsidRPr="007E130D">
        <w:t>Tableau 3.</w:t>
      </w:r>
      <w:r w:rsidR="0065069B" w:rsidRPr="007E130D">
        <w:t>5</w:t>
      </w:r>
      <w:r w:rsidRPr="007E130D">
        <w:t>.2-1</w:t>
      </w:r>
    </w:p>
    <w:p w14:paraId="6E6C074A" w14:textId="77777777" w:rsidR="00A82EF2" w:rsidRPr="007E130D" w:rsidRDefault="00A82EF2" w:rsidP="006246EF">
      <w:pPr>
        <w:pStyle w:val="Tabletitle"/>
      </w:pPr>
      <w:r w:rsidRPr="007E130D">
        <w:t>Données récapitulatives concernant le traitement des rapports de contrôle des émissions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990"/>
        <w:gridCol w:w="1135"/>
        <w:gridCol w:w="1133"/>
        <w:gridCol w:w="1135"/>
        <w:gridCol w:w="1129"/>
      </w:tblGrid>
      <w:tr w:rsidR="006246EF" w:rsidRPr="007E130D" w14:paraId="2B3EF6A7" w14:textId="77777777" w:rsidTr="006246EF">
        <w:trPr>
          <w:cantSplit/>
        </w:trPr>
        <w:tc>
          <w:tcPr>
            <w:tcW w:w="2134" w:type="pct"/>
            <w:tcBorders>
              <w:top w:val="nil"/>
              <w:left w:val="nil"/>
            </w:tcBorders>
            <w:vAlign w:val="center"/>
          </w:tcPr>
          <w:p w14:paraId="41609DE4" w14:textId="77777777" w:rsidR="0065069B" w:rsidRPr="007E130D" w:rsidRDefault="0065069B" w:rsidP="006246EF">
            <w:pPr>
              <w:pStyle w:val="Tablehead"/>
              <w:keepLines/>
            </w:pPr>
          </w:p>
        </w:tc>
        <w:tc>
          <w:tcPr>
            <w:tcW w:w="514" w:type="pct"/>
            <w:vAlign w:val="center"/>
          </w:tcPr>
          <w:p w14:paraId="3295FEFB" w14:textId="77777777" w:rsidR="0065069B" w:rsidRPr="007E130D" w:rsidRDefault="0065069B" w:rsidP="006246EF">
            <w:pPr>
              <w:pStyle w:val="Tablehead"/>
              <w:keepLines/>
            </w:pPr>
            <w:r w:rsidRPr="007E130D">
              <w:t>2019</w:t>
            </w:r>
          </w:p>
        </w:tc>
        <w:tc>
          <w:tcPr>
            <w:tcW w:w="589" w:type="pct"/>
            <w:vAlign w:val="center"/>
          </w:tcPr>
          <w:p w14:paraId="3F63C424" w14:textId="77777777" w:rsidR="0065069B" w:rsidRPr="007E130D" w:rsidRDefault="0065069B" w:rsidP="006246EF">
            <w:pPr>
              <w:pStyle w:val="Tablehead"/>
              <w:keepLines/>
            </w:pPr>
            <w:r w:rsidRPr="007E130D">
              <w:t>2020</w:t>
            </w:r>
          </w:p>
        </w:tc>
        <w:tc>
          <w:tcPr>
            <w:tcW w:w="588" w:type="pct"/>
            <w:vAlign w:val="center"/>
          </w:tcPr>
          <w:p w14:paraId="71687490" w14:textId="77777777" w:rsidR="0065069B" w:rsidRPr="007E130D" w:rsidRDefault="0065069B" w:rsidP="006246EF">
            <w:pPr>
              <w:pStyle w:val="Tablehead"/>
              <w:keepLines/>
            </w:pPr>
            <w:r w:rsidRPr="007E130D">
              <w:t>2021</w:t>
            </w:r>
          </w:p>
        </w:tc>
        <w:tc>
          <w:tcPr>
            <w:tcW w:w="589" w:type="pct"/>
          </w:tcPr>
          <w:p w14:paraId="4F4CB032" w14:textId="77777777" w:rsidR="0065069B" w:rsidRPr="007E130D" w:rsidRDefault="0065069B" w:rsidP="006246EF">
            <w:pPr>
              <w:pStyle w:val="Tablehead"/>
              <w:keepLines/>
            </w:pPr>
            <w:r w:rsidRPr="007E130D">
              <w:t>2022</w:t>
            </w:r>
          </w:p>
        </w:tc>
        <w:tc>
          <w:tcPr>
            <w:tcW w:w="586" w:type="pct"/>
            <w:vAlign w:val="center"/>
          </w:tcPr>
          <w:p w14:paraId="4C105FFB" w14:textId="77777777" w:rsidR="0065069B" w:rsidRPr="007E130D" w:rsidRDefault="0065069B" w:rsidP="006246EF">
            <w:pPr>
              <w:pStyle w:val="Tablehead"/>
              <w:keepLines/>
            </w:pPr>
            <w:r w:rsidRPr="007E130D">
              <w:t>2023</w:t>
            </w:r>
            <w:r w:rsidRPr="007E130D">
              <w:rPr>
                <w:rStyle w:val="FootnoteReference"/>
                <w:sz w:val="16"/>
                <w:szCs w:val="16"/>
              </w:rPr>
              <w:t>*</w:t>
            </w:r>
          </w:p>
        </w:tc>
      </w:tr>
      <w:tr w:rsidR="006246EF" w:rsidRPr="007E130D" w14:paraId="1C84043B" w14:textId="77777777" w:rsidTr="006246EF">
        <w:trPr>
          <w:cantSplit/>
        </w:trPr>
        <w:tc>
          <w:tcPr>
            <w:tcW w:w="2134" w:type="pct"/>
            <w:vAlign w:val="center"/>
          </w:tcPr>
          <w:p w14:paraId="29892FAC" w14:textId="77777777" w:rsidR="0065069B" w:rsidRPr="007E130D" w:rsidRDefault="0065069B" w:rsidP="006246EF">
            <w:pPr>
              <w:pStyle w:val="Tabletext"/>
              <w:keepNext/>
              <w:keepLines/>
            </w:pPr>
            <w:r w:rsidRPr="007E130D">
              <w:t>Contrôle périodique dans les bandes 2 850 kHz et 28 000 kHz: nombre d'observations traitées</w:t>
            </w:r>
          </w:p>
        </w:tc>
        <w:tc>
          <w:tcPr>
            <w:tcW w:w="514" w:type="pct"/>
            <w:vAlign w:val="center"/>
          </w:tcPr>
          <w:p w14:paraId="0EF6AC82" w14:textId="77777777" w:rsidR="0065069B" w:rsidRPr="007E130D" w:rsidRDefault="0065069B" w:rsidP="006246EF">
            <w:pPr>
              <w:pStyle w:val="Tabletext"/>
              <w:keepNext/>
              <w:keepLines/>
              <w:jc w:val="center"/>
            </w:pPr>
            <w:r w:rsidRPr="007E130D">
              <w:t>30 825</w:t>
            </w:r>
          </w:p>
        </w:tc>
        <w:tc>
          <w:tcPr>
            <w:tcW w:w="589" w:type="pct"/>
            <w:vAlign w:val="center"/>
          </w:tcPr>
          <w:p w14:paraId="2844B498" w14:textId="77777777" w:rsidR="0065069B" w:rsidRPr="007E130D" w:rsidRDefault="0065069B" w:rsidP="006246EF">
            <w:pPr>
              <w:pStyle w:val="Tabletext"/>
              <w:keepNext/>
              <w:keepLines/>
              <w:jc w:val="center"/>
            </w:pPr>
            <w:r w:rsidRPr="007E130D">
              <w:t>25 642</w:t>
            </w:r>
          </w:p>
        </w:tc>
        <w:tc>
          <w:tcPr>
            <w:tcW w:w="588" w:type="pct"/>
            <w:vAlign w:val="center"/>
          </w:tcPr>
          <w:p w14:paraId="6ED0FBFD" w14:textId="1802C23C" w:rsidR="0065069B" w:rsidRPr="007E130D" w:rsidRDefault="0065069B" w:rsidP="006246EF">
            <w:pPr>
              <w:pStyle w:val="Tabletext"/>
              <w:keepNext/>
              <w:keepLines/>
              <w:jc w:val="center"/>
            </w:pPr>
            <w:r w:rsidRPr="007E130D">
              <w:t>19 868</w:t>
            </w:r>
          </w:p>
        </w:tc>
        <w:tc>
          <w:tcPr>
            <w:tcW w:w="589" w:type="pct"/>
            <w:vAlign w:val="center"/>
          </w:tcPr>
          <w:p w14:paraId="626011C5" w14:textId="77777777" w:rsidR="0065069B" w:rsidRPr="007E130D" w:rsidRDefault="0065069B" w:rsidP="006246EF">
            <w:pPr>
              <w:pStyle w:val="Tabletext"/>
              <w:keepNext/>
              <w:keepLines/>
              <w:jc w:val="center"/>
            </w:pPr>
            <w:r w:rsidRPr="007E130D">
              <w:t>23 555</w:t>
            </w:r>
          </w:p>
        </w:tc>
        <w:tc>
          <w:tcPr>
            <w:tcW w:w="586" w:type="pct"/>
            <w:vAlign w:val="center"/>
          </w:tcPr>
          <w:p w14:paraId="1A968BF5" w14:textId="77777777" w:rsidR="0065069B" w:rsidRPr="007E130D" w:rsidRDefault="0065069B" w:rsidP="006246EF">
            <w:pPr>
              <w:pStyle w:val="Tabletext"/>
              <w:keepNext/>
              <w:keepLines/>
              <w:jc w:val="center"/>
            </w:pPr>
            <w:r w:rsidRPr="007E130D">
              <w:t>15 165</w:t>
            </w:r>
          </w:p>
        </w:tc>
      </w:tr>
      <w:tr w:rsidR="006246EF" w:rsidRPr="007E130D" w14:paraId="0677BF40" w14:textId="77777777" w:rsidTr="006246EF">
        <w:trPr>
          <w:cantSplit/>
        </w:trPr>
        <w:tc>
          <w:tcPr>
            <w:tcW w:w="2134" w:type="pct"/>
            <w:vAlign w:val="center"/>
          </w:tcPr>
          <w:p w14:paraId="0FA31730" w14:textId="77777777" w:rsidR="0065069B" w:rsidRPr="007E130D" w:rsidRDefault="0065069B" w:rsidP="006246EF">
            <w:pPr>
              <w:pStyle w:val="Tabletext"/>
              <w:keepNext/>
              <w:keepLines/>
            </w:pPr>
            <w:r w:rsidRPr="007E130D">
              <w:t xml:space="preserve">Contrôle spécial des émissions au titre de la Résolution </w:t>
            </w:r>
            <w:r w:rsidRPr="007E130D">
              <w:rPr>
                <w:b/>
                <w:bCs/>
              </w:rPr>
              <w:t>205</w:t>
            </w:r>
            <w:r w:rsidRPr="007E130D">
              <w:t>: nombre d'émissions non autorisées dans la bande 406-406,1 MHz</w:t>
            </w:r>
          </w:p>
        </w:tc>
        <w:tc>
          <w:tcPr>
            <w:tcW w:w="514" w:type="pct"/>
            <w:vAlign w:val="center"/>
          </w:tcPr>
          <w:p w14:paraId="7EBD5869" w14:textId="77777777" w:rsidR="0065069B" w:rsidRPr="007E130D" w:rsidRDefault="0065069B" w:rsidP="006246EF">
            <w:pPr>
              <w:pStyle w:val="Tabletext"/>
              <w:keepNext/>
              <w:keepLines/>
              <w:jc w:val="center"/>
            </w:pPr>
            <w:r w:rsidRPr="007E130D">
              <w:t>227</w:t>
            </w:r>
          </w:p>
        </w:tc>
        <w:tc>
          <w:tcPr>
            <w:tcW w:w="589" w:type="pct"/>
            <w:vAlign w:val="center"/>
          </w:tcPr>
          <w:p w14:paraId="40F5BB64" w14:textId="77777777" w:rsidR="0065069B" w:rsidRPr="007E130D" w:rsidRDefault="0065069B" w:rsidP="006246EF">
            <w:pPr>
              <w:pStyle w:val="Tabletext"/>
              <w:keepNext/>
              <w:keepLines/>
              <w:jc w:val="center"/>
            </w:pPr>
            <w:r w:rsidRPr="007E130D">
              <w:t>174</w:t>
            </w:r>
          </w:p>
        </w:tc>
        <w:tc>
          <w:tcPr>
            <w:tcW w:w="588" w:type="pct"/>
            <w:vAlign w:val="center"/>
          </w:tcPr>
          <w:p w14:paraId="2E22BFEC" w14:textId="77777777" w:rsidR="0065069B" w:rsidRPr="007E130D" w:rsidRDefault="0065069B" w:rsidP="006246EF">
            <w:pPr>
              <w:pStyle w:val="Tabletext"/>
              <w:keepNext/>
              <w:keepLines/>
              <w:jc w:val="center"/>
            </w:pPr>
            <w:r w:rsidRPr="007E130D">
              <w:t>136</w:t>
            </w:r>
          </w:p>
        </w:tc>
        <w:tc>
          <w:tcPr>
            <w:tcW w:w="589" w:type="pct"/>
            <w:vAlign w:val="center"/>
          </w:tcPr>
          <w:p w14:paraId="06299D59" w14:textId="77777777" w:rsidR="0065069B" w:rsidRPr="007E130D" w:rsidRDefault="0065069B" w:rsidP="006246EF">
            <w:pPr>
              <w:pStyle w:val="Tabletext"/>
              <w:keepNext/>
              <w:keepLines/>
              <w:jc w:val="center"/>
            </w:pPr>
            <w:r w:rsidRPr="007E130D">
              <w:t>387</w:t>
            </w:r>
          </w:p>
        </w:tc>
        <w:tc>
          <w:tcPr>
            <w:tcW w:w="586" w:type="pct"/>
            <w:vAlign w:val="center"/>
          </w:tcPr>
          <w:p w14:paraId="0586264B" w14:textId="77777777" w:rsidR="0065069B" w:rsidRPr="007E130D" w:rsidRDefault="0065069B" w:rsidP="006246EF">
            <w:pPr>
              <w:pStyle w:val="Tabletext"/>
              <w:keepNext/>
              <w:keepLines/>
              <w:jc w:val="center"/>
            </w:pPr>
            <w:r w:rsidRPr="007E130D">
              <w:t>312</w:t>
            </w:r>
          </w:p>
        </w:tc>
      </w:tr>
      <w:tr w:rsidR="006246EF" w:rsidRPr="007E130D" w14:paraId="3D1877D3" w14:textId="77777777" w:rsidTr="006246EF">
        <w:trPr>
          <w:cantSplit/>
        </w:trPr>
        <w:tc>
          <w:tcPr>
            <w:tcW w:w="2134" w:type="pct"/>
            <w:tcBorders>
              <w:bottom w:val="single" w:sz="4" w:space="0" w:color="auto"/>
            </w:tcBorders>
            <w:vAlign w:val="center"/>
          </w:tcPr>
          <w:p w14:paraId="3AF0AFF9" w14:textId="463F645E" w:rsidR="0065069B" w:rsidRPr="007E130D" w:rsidRDefault="0065069B" w:rsidP="006246EF">
            <w:pPr>
              <w:pStyle w:val="Tabletext"/>
              <w:keepNext/>
              <w:keepLines/>
            </w:pPr>
            <w:r w:rsidRPr="007E130D">
              <w:t xml:space="preserve">Contrôle spécial des émissions au titre de la Résolution </w:t>
            </w:r>
            <w:r w:rsidRPr="007E130D">
              <w:rPr>
                <w:b/>
                <w:bCs/>
              </w:rPr>
              <w:t>205</w:t>
            </w:r>
            <w:r w:rsidRPr="007E130D">
              <w:t>: nombre de mesures dans les bandes</w:t>
            </w:r>
            <w:r w:rsidR="006246EF" w:rsidRPr="007E130D">
              <w:t> </w:t>
            </w:r>
            <w:r w:rsidRPr="007E130D">
              <w:t>405,9</w:t>
            </w:r>
            <w:r w:rsidR="006246EF" w:rsidRPr="007E130D">
              <w:noBreakHyphen/>
            </w:r>
            <w:r w:rsidRPr="007E130D">
              <w:t>406 MHz et</w:t>
            </w:r>
            <w:r w:rsidR="006246EF" w:rsidRPr="007E130D">
              <w:t> </w:t>
            </w:r>
            <w:r w:rsidRPr="007E130D">
              <w:t>406,1</w:t>
            </w:r>
            <w:r w:rsidR="006246EF" w:rsidRPr="007E130D">
              <w:noBreakHyphen/>
            </w:r>
            <w:r w:rsidRPr="007E130D">
              <w:t>406,2 MHz</w:t>
            </w:r>
          </w:p>
        </w:tc>
        <w:tc>
          <w:tcPr>
            <w:tcW w:w="514" w:type="pct"/>
            <w:tcBorders>
              <w:bottom w:val="single" w:sz="4" w:space="0" w:color="auto"/>
            </w:tcBorders>
            <w:vAlign w:val="center"/>
          </w:tcPr>
          <w:p w14:paraId="3E9BC65D" w14:textId="77777777" w:rsidR="0065069B" w:rsidRPr="007E130D" w:rsidRDefault="0065069B" w:rsidP="006246EF">
            <w:pPr>
              <w:pStyle w:val="Tabletext"/>
              <w:keepNext/>
              <w:keepLines/>
              <w:jc w:val="center"/>
            </w:pPr>
            <w:r w:rsidRPr="007E130D">
              <w:t>26</w:t>
            </w:r>
          </w:p>
        </w:tc>
        <w:tc>
          <w:tcPr>
            <w:tcW w:w="589" w:type="pct"/>
            <w:tcBorders>
              <w:bottom w:val="single" w:sz="4" w:space="0" w:color="auto"/>
            </w:tcBorders>
            <w:vAlign w:val="center"/>
          </w:tcPr>
          <w:p w14:paraId="7915AEA1" w14:textId="77777777" w:rsidR="0065069B" w:rsidRPr="007E130D" w:rsidRDefault="0065069B" w:rsidP="006246EF">
            <w:pPr>
              <w:pStyle w:val="Tabletext"/>
              <w:keepNext/>
              <w:keepLines/>
              <w:jc w:val="center"/>
            </w:pPr>
            <w:r w:rsidRPr="007E130D">
              <w:t>0</w:t>
            </w:r>
          </w:p>
        </w:tc>
        <w:tc>
          <w:tcPr>
            <w:tcW w:w="588" w:type="pct"/>
            <w:tcBorders>
              <w:bottom w:val="single" w:sz="4" w:space="0" w:color="auto"/>
            </w:tcBorders>
            <w:vAlign w:val="center"/>
          </w:tcPr>
          <w:p w14:paraId="4FD95651" w14:textId="77777777" w:rsidR="0065069B" w:rsidRPr="007E130D" w:rsidRDefault="0065069B" w:rsidP="006246EF">
            <w:pPr>
              <w:pStyle w:val="Tabletext"/>
              <w:keepNext/>
              <w:keepLines/>
              <w:jc w:val="center"/>
            </w:pPr>
            <w:r w:rsidRPr="007E130D">
              <w:t>55</w:t>
            </w:r>
          </w:p>
        </w:tc>
        <w:tc>
          <w:tcPr>
            <w:tcW w:w="589" w:type="pct"/>
            <w:tcBorders>
              <w:bottom w:val="single" w:sz="4" w:space="0" w:color="auto"/>
            </w:tcBorders>
            <w:vAlign w:val="center"/>
          </w:tcPr>
          <w:p w14:paraId="5FD136C4" w14:textId="77777777" w:rsidR="0065069B" w:rsidRPr="007E130D" w:rsidRDefault="0065069B" w:rsidP="006246EF">
            <w:pPr>
              <w:pStyle w:val="Tabletext"/>
              <w:keepNext/>
              <w:keepLines/>
              <w:jc w:val="center"/>
            </w:pPr>
            <w:r w:rsidRPr="007E130D">
              <w:t>0</w:t>
            </w:r>
          </w:p>
        </w:tc>
        <w:tc>
          <w:tcPr>
            <w:tcW w:w="586" w:type="pct"/>
            <w:tcBorders>
              <w:bottom w:val="single" w:sz="4" w:space="0" w:color="auto"/>
            </w:tcBorders>
            <w:vAlign w:val="center"/>
          </w:tcPr>
          <w:p w14:paraId="782EF922" w14:textId="77777777" w:rsidR="0065069B" w:rsidRPr="007E130D" w:rsidRDefault="0065069B" w:rsidP="006246EF">
            <w:pPr>
              <w:pStyle w:val="Tabletext"/>
              <w:keepNext/>
              <w:keepLines/>
              <w:jc w:val="center"/>
            </w:pPr>
            <w:r w:rsidRPr="007E130D">
              <w:t>14</w:t>
            </w:r>
          </w:p>
        </w:tc>
      </w:tr>
      <w:tr w:rsidR="002A475E" w:rsidRPr="007E130D" w14:paraId="65CE72F1" w14:textId="77777777" w:rsidTr="002A475E">
        <w:trPr>
          <w:cantSplit/>
        </w:trPr>
        <w:tc>
          <w:tcPr>
            <w:tcW w:w="5000" w:type="pct"/>
            <w:gridSpan w:val="6"/>
            <w:tcBorders>
              <w:left w:val="nil"/>
              <w:bottom w:val="nil"/>
              <w:right w:val="nil"/>
            </w:tcBorders>
            <w:vAlign w:val="center"/>
          </w:tcPr>
          <w:p w14:paraId="6EB9B7D6" w14:textId="77777777" w:rsidR="002A475E" w:rsidRPr="007E130D" w:rsidRDefault="002A475E" w:rsidP="006246EF">
            <w:pPr>
              <w:pStyle w:val="Tablelegend"/>
            </w:pPr>
            <w:r w:rsidRPr="007E130D">
              <w:t>*</w:t>
            </w:r>
            <w:r w:rsidRPr="007E130D">
              <w:tab/>
            </w:r>
            <w:r w:rsidR="001B7E4A" w:rsidRPr="007E130D">
              <w:t>Les statistiques vont jusqu'à juin 2023</w:t>
            </w:r>
            <w:r w:rsidRPr="007E130D">
              <w:t>.</w:t>
            </w:r>
          </w:p>
        </w:tc>
      </w:tr>
    </w:tbl>
    <w:p w14:paraId="3C1C7E76" w14:textId="077AA07E" w:rsidR="0065069B" w:rsidRPr="007E130D" w:rsidRDefault="0065069B" w:rsidP="006246EF">
      <w:pPr>
        <w:pStyle w:val="Heading3"/>
      </w:pPr>
      <w:bookmarkStart w:id="143" w:name="_Toc147328807"/>
      <w:bookmarkStart w:id="144" w:name="_Toc19090113"/>
      <w:bookmarkStart w:id="145" w:name="_Toc19880054"/>
      <w:r w:rsidRPr="007E130D">
        <w:t>3.5.3</w:t>
      </w:r>
      <w:r w:rsidRPr="007E130D">
        <w:tab/>
      </w:r>
      <w:r w:rsidR="006246EF" w:rsidRPr="007E130D">
        <w:t>É</w:t>
      </w:r>
      <w:r w:rsidR="00BF5BFB" w:rsidRPr="007E130D">
        <w:t>tat d</w:t>
      </w:r>
      <w:r w:rsidR="006246EF" w:rsidRPr="007E130D">
        <w:t>'</w:t>
      </w:r>
      <w:r w:rsidR="00BF5BFB" w:rsidRPr="007E130D">
        <w:t xml:space="preserve">avancement des études </w:t>
      </w:r>
      <w:r w:rsidR="00CD5707" w:rsidRPr="007E130D">
        <w:t xml:space="preserve">menées par </w:t>
      </w:r>
      <w:r w:rsidR="00BF5BFB" w:rsidRPr="007E130D">
        <w:t>l</w:t>
      </w:r>
      <w:r w:rsidR="006246EF" w:rsidRPr="007E130D">
        <w:t>'</w:t>
      </w:r>
      <w:r w:rsidR="00BF5BFB" w:rsidRPr="007E130D">
        <w:t>UIT</w:t>
      </w:r>
      <w:r w:rsidRPr="007E130D">
        <w:t>-R s</w:t>
      </w:r>
      <w:r w:rsidR="00BF5BFB" w:rsidRPr="007E130D">
        <w:t xml:space="preserve">ur la </w:t>
      </w:r>
      <w:r w:rsidRPr="007E130D">
        <w:t>Résolution 427 (CMR-19)</w:t>
      </w:r>
      <w:bookmarkEnd w:id="143"/>
    </w:p>
    <w:p w14:paraId="2C2C58D3" w14:textId="066BBD45" w:rsidR="0065069B" w:rsidRPr="007E130D" w:rsidRDefault="00BF5BFB" w:rsidP="00B20AC9">
      <w:r w:rsidRPr="007E130D">
        <w:t xml:space="preserve">La Résolution </w:t>
      </w:r>
      <w:r w:rsidRPr="007E130D">
        <w:rPr>
          <w:b/>
          <w:bCs/>
        </w:rPr>
        <w:t>427 (CMR-19)</w:t>
      </w:r>
      <w:r w:rsidRPr="007E130D">
        <w:t xml:space="preserve"> charge le Directeur du Bureau des radiocommunications de faire rapport à la CMR-23 sur l'état d'avancement des études de l'UIT-R mentionnées dans le </w:t>
      </w:r>
      <w:r w:rsidR="0065069B" w:rsidRPr="007E130D">
        <w:rPr>
          <w:i/>
        </w:rPr>
        <w:t>décide d'inviter le Secteur des radiocommunications de l'UIT</w:t>
      </w:r>
      <w:r w:rsidR="0065069B" w:rsidRPr="007E130D">
        <w:t xml:space="preserve"> </w:t>
      </w:r>
      <w:r w:rsidRPr="007E130D">
        <w:t>de cette</w:t>
      </w:r>
      <w:r w:rsidR="0065069B" w:rsidRPr="007E130D">
        <w:t xml:space="preserve"> R</w:t>
      </w:r>
      <w:r w:rsidRPr="007E130D">
        <w:t>é</w:t>
      </w:r>
      <w:r w:rsidR="0065069B" w:rsidRPr="007E130D">
        <w:t xml:space="preserve">solution: </w:t>
      </w:r>
      <w:r w:rsidR="0065069B" w:rsidRPr="007E130D">
        <w:rPr>
          <w:rFonts w:eastAsia="Batang"/>
        </w:rPr>
        <w:t>«à étudier les Articles, en se limitant aux Chapitres IV, V, VI et VIII du Volume 1, du Règlement des radiocommunications ainsi que les Appendices associés, selon qu'il conviendra, afin de recenser les dispositions obsolètes relatives aux services aéronautiques eu égard aux normes et pratiques recommandées de l'OACI et d'élaborer des exemples de textes réglementaires pour mettre à jour ces dispositions, tout en veillant à ce que les modifications éventuelles apportées aux dispositions en question n'aient pas d'incidences sur les autres systèmes ou services fonctionnant conformément au Règlement des radiocommunications</w:t>
      </w:r>
      <w:r w:rsidR="0065069B" w:rsidRPr="007E130D">
        <w:t>».</w:t>
      </w:r>
    </w:p>
    <w:p w14:paraId="3C5855F8" w14:textId="1CFC840C" w:rsidR="0065069B" w:rsidRPr="007E130D" w:rsidRDefault="00BF5BFB" w:rsidP="00B20AC9">
      <w:r w:rsidRPr="007E130D">
        <w:t>Après la CMR-19, à sa 30</w:t>
      </w:r>
      <w:r w:rsidR="00AD2457" w:rsidRPr="007E130D">
        <w:t>ème</w:t>
      </w:r>
      <w:r w:rsidRPr="007E130D">
        <w:t xml:space="preserve"> réunion tenue du 14 au 25 novembre 2022, le Groupe de travail 5B (GT</w:t>
      </w:r>
      <w:r w:rsidR="006246EF" w:rsidRPr="007E130D">
        <w:t> </w:t>
      </w:r>
      <w:r w:rsidRPr="007E130D">
        <w:t xml:space="preserve">5B) de l'UIT-R a commencé à travailler sur un document de travail en vue d'un avant-projet de nouveau </w:t>
      </w:r>
      <w:hyperlink r:id="rId60" w:history="1">
        <w:r w:rsidRPr="007E130D">
          <w:rPr>
            <w:rStyle w:val="Hyperlink"/>
          </w:rPr>
          <w:t>Rapport UIT-R M.[AERO-PROVISIONS]</w:t>
        </w:r>
      </w:hyperlink>
      <w:r w:rsidRPr="007E130D">
        <w:t xml:space="preserve"> (</w:t>
      </w:r>
      <w:hyperlink r:id="rId61" w:history="1">
        <w:r w:rsidRPr="007E130D">
          <w:rPr>
            <w:rStyle w:val="Hyperlink"/>
          </w:rPr>
          <w:t>Annexe 18 du Rapport du Président du</w:t>
        </w:r>
        <w:r w:rsidR="006246EF" w:rsidRPr="007E130D">
          <w:rPr>
            <w:rStyle w:val="Hyperlink"/>
          </w:rPr>
          <w:t> </w:t>
        </w:r>
        <w:r w:rsidRPr="007E130D">
          <w:rPr>
            <w:rStyle w:val="Hyperlink"/>
          </w:rPr>
          <w:t>GT</w:t>
        </w:r>
        <w:r w:rsidR="006246EF" w:rsidRPr="007E130D">
          <w:rPr>
            <w:rStyle w:val="Hyperlink"/>
          </w:rPr>
          <w:t> </w:t>
        </w:r>
        <w:r w:rsidRPr="007E130D">
          <w:rPr>
            <w:rStyle w:val="Hyperlink"/>
          </w:rPr>
          <w:t>5B</w:t>
        </w:r>
      </w:hyperlink>
      <w:r w:rsidRPr="007E130D">
        <w:t xml:space="preserve">) </w:t>
      </w:r>
      <w:r w:rsidR="006246EF" w:rsidRPr="007E130D">
        <w:t>–</w:t>
      </w:r>
      <w:r w:rsidRPr="007E130D">
        <w:t xml:space="preserve"> Mise à jour des dispositions relatives aux services aéronautiques dans le Règlement des radiocommunications, en ce qui concerne la Résolution </w:t>
      </w:r>
      <w:r w:rsidRPr="007E130D">
        <w:rPr>
          <w:b/>
          <w:bCs/>
        </w:rPr>
        <w:t>427 (CMR-19)</w:t>
      </w:r>
      <w:r w:rsidRPr="007E130D">
        <w:t xml:space="preserve">. </w:t>
      </w:r>
      <w:r w:rsidR="006246EF" w:rsidRPr="007E130D">
        <w:t>À</w:t>
      </w:r>
      <w:r w:rsidRPr="007E130D">
        <w:t xml:space="preserve"> cet égard, l'Organisation de l'aviation civile internationale (OACI) a été invitée à formuler des observations, le </w:t>
      </w:r>
      <w:r w:rsidRPr="007E130D">
        <w:lastRenderedPageBreak/>
        <w:t>cas échéant, par le biais d'une note de liais</w:t>
      </w:r>
      <w:r w:rsidR="009E5ADE" w:rsidRPr="007E130D">
        <w:t>on. Lors de sa dernière réunion</w:t>
      </w:r>
      <w:r w:rsidRPr="007E130D">
        <w:t xml:space="preserve"> tenue du</w:t>
      </w:r>
      <w:r w:rsidR="006246EF" w:rsidRPr="007E130D">
        <w:t> </w:t>
      </w:r>
      <w:r w:rsidRPr="007E130D">
        <w:t>10</w:t>
      </w:r>
      <w:r w:rsidR="006246EF" w:rsidRPr="007E130D">
        <w:t> </w:t>
      </w:r>
      <w:r w:rsidRPr="007E130D">
        <w:t>au</w:t>
      </w:r>
      <w:r w:rsidR="006246EF" w:rsidRPr="007E130D">
        <w:t> </w:t>
      </w:r>
      <w:r w:rsidRPr="007E130D">
        <w:t>21</w:t>
      </w:r>
      <w:r w:rsidR="006246EF" w:rsidRPr="007E130D">
        <w:t> </w:t>
      </w:r>
      <w:r w:rsidRPr="007E130D">
        <w:t>juillet</w:t>
      </w:r>
      <w:r w:rsidR="006246EF" w:rsidRPr="007E130D">
        <w:t> </w:t>
      </w:r>
      <w:r w:rsidRPr="007E130D">
        <w:t>2023, soit avant la CMR-23, le GT 5B n'a pas reçu de contributions concernant le document de travail, qui n'a donc pas été mis à jour.</w:t>
      </w:r>
    </w:p>
    <w:p w14:paraId="23E6D13B" w14:textId="45DCEF0E" w:rsidR="00A82EF2" w:rsidRPr="007E130D" w:rsidRDefault="00A82EF2" w:rsidP="00B20AC9">
      <w:pPr>
        <w:pStyle w:val="Heading3"/>
      </w:pPr>
      <w:bookmarkStart w:id="146" w:name="_Toc147328808"/>
      <w:r w:rsidRPr="007E130D">
        <w:t>3.</w:t>
      </w:r>
      <w:r w:rsidR="0065069B" w:rsidRPr="007E130D">
        <w:t>5.4</w:t>
      </w:r>
      <w:r w:rsidRPr="007E130D">
        <w:tab/>
        <w:t xml:space="preserve">Mise en œuvre </w:t>
      </w:r>
      <w:r w:rsidR="00BF5BFB" w:rsidRPr="007E130D">
        <w:t>de la Résolution 535 (Rév.CMR-19</w:t>
      </w:r>
      <w:r w:rsidRPr="007E130D">
        <w:t>)</w:t>
      </w:r>
      <w:bookmarkEnd w:id="144"/>
      <w:bookmarkEnd w:id="145"/>
      <w:bookmarkEnd w:id="146"/>
    </w:p>
    <w:p w14:paraId="68F57882" w14:textId="17C6F27D" w:rsidR="00A82EF2" w:rsidRPr="007E130D" w:rsidRDefault="00A82EF2" w:rsidP="00B20AC9">
      <w:pPr>
        <w:rPr>
          <w:rFonts w:eastAsiaTheme="minorEastAsia"/>
        </w:rPr>
      </w:pPr>
      <w:r w:rsidRPr="007E130D">
        <w:rPr>
          <w:rFonts w:eastAsiaTheme="minorEastAsia"/>
        </w:rPr>
        <w:t xml:space="preserve">Conformément au point 2 du </w:t>
      </w:r>
      <w:r w:rsidRPr="007E130D">
        <w:rPr>
          <w:rFonts w:eastAsiaTheme="minorEastAsia"/>
          <w:i/>
          <w:iCs/>
        </w:rPr>
        <w:t>charge le Directeur du Bureau des radiocommunications</w:t>
      </w:r>
      <w:r w:rsidRPr="007E130D">
        <w:rPr>
          <w:rFonts w:eastAsiaTheme="minorEastAsia"/>
        </w:rPr>
        <w:t xml:space="preserve"> de la Résolution </w:t>
      </w:r>
      <w:r w:rsidRPr="007E130D">
        <w:rPr>
          <w:rFonts w:eastAsiaTheme="minorEastAsia"/>
          <w:b/>
        </w:rPr>
        <w:t>535 (</w:t>
      </w:r>
      <w:r w:rsidRPr="007E130D">
        <w:rPr>
          <w:b/>
          <w:color w:val="000000"/>
        </w:rPr>
        <w:t>CMR-1</w:t>
      </w:r>
      <w:r w:rsidR="0065069B" w:rsidRPr="007E130D">
        <w:rPr>
          <w:b/>
          <w:color w:val="000000"/>
        </w:rPr>
        <w:t>9</w:t>
      </w:r>
      <w:r w:rsidRPr="007E130D">
        <w:rPr>
          <w:rFonts w:eastAsiaTheme="minorEastAsia"/>
          <w:b/>
        </w:rPr>
        <w:t>)</w:t>
      </w:r>
      <w:r w:rsidRPr="007E130D">
        <w:rPr>
          <w:rFonts w:eastAsiaTheme="minorEastAsia"/>
          <w:bCs/>
        </w:rPr>
        <w:t xml:space="preserve"> (Informations</w:t>
      </w:r>
      <w:r w:rsidRPr="007E130D">
        <w:rPr>
          <w:rFonts w:eastAsiaTheme="minorEastAsia"/>
          <w:b/>
        </w:rPr>
        <w:t xml:space="preserve"> </w:t>
      </w:r>
      <w:r w:rsidRPr="007E130D">
        <w:rPr>
          <w:color w:val="000000"/>
        </w:rPr>
        <w:t xml:space="preserve">nécessaires à l'application de l'Article </w:t>
      </w:r>
      <w:r w:rsidRPr="007E130D">
        <w:rPr>
          <w:b/>
          <w:bCs/>
          <w:color w:val="000000"/>
        </w:rPr>
        <w:t>12</w:t>
      </w:r>
      <w:r w:rsidRPr="007E130D">
        <w:rPr>
          <w:color w:val="000000"/>
        </w:rPr>
        <w:t xml:space="preserve"> du Règlement des radiocommunications), </w:t>
      </w:r>
      <w:r w:rsidRPr="007E130D">
        <w:t xml:space="preserve">le Directeur était invité à </w:t>
      </w:r>
      <w:r w:rsidRPr="007E130D">
        <w:rPr>
          <w:rFonts w:eastAsiaTheme="minorEastAsia"/>
        </w:rPr>
        <w:t xml:space="preserve">«envisager d'apporter des améliorations aux dispositions établies concernant la préparation, la publication et la diffusion des informations relatives à l'application de l'Article </w:t>
      </w:r>
      <w:r w:rsidRPr="007E130D">
        <w:rPr>
          <w:rFonts w:eastAsiaTheme="minorEastAsia"/>
          <w:b/>
          <w:bCs/>
        </w:rPr>
        <w:t>12</w:t>
      </w:r>
      <w:r w:rsidRPr="007E130D">
        <w:rPr>
          <w:rFonts w:eastAsiaTheme="minorEastAsia"/>
        </w:rPr>
        <w:t>, en consultation avec les administrations et les groupes régionaux de coordination».</w:t>
      </w:r>
    </w:p>
    <w:p w14:paraId="2C1CF649" w14:textId="1E6281ED" w:rsidR="00A82EF2" w:rsidRPr="007E130D" w:rsidRDefault="00BF5BFB" w:rsidP="00B20AC9">
      <w:r w:rsidRPr="007E130D">
        <w:t xml:space="preserve">Pour la préparation des horaires </w:t>
      </w:r>
      <w:r w:rsidR="009E5ADE" w:rsidRPr="007E130D">
        <w:t>de radiodiffusion à ondes décamétriques</w:t>
      </w:r>
      <w:r w:rsidRPr="007E130D">
        <w:t xml:space="preserve">, tous les logiciels internes et externes actuels du BR utilisent Visual Basic qui n'est plus pris en charge par Windows 10. Une refonte du logiciel a donc été lancée le 1er août 2022 pour s'aligner sur d'autres applications </w:t>
      </w:r>
      <w:r w:rsidR="009E5ADE" w:rsidRPr="007E130D">
        <w:t>de Terre</w:t>
      </w:r>
      <w:r w:rsidRPr="007E130D">
        <w:t xml:space="preserve"> en ligne existantes </w:t>
      </w:r>
      <w:r w:rsidR="009E5ADE" w:rsidRPr="007E130D">
        <w:t>élaborées</w:t>
      </w:r>
      <w:r w:rsidRPr="007E130D">
        <w:t xml:space="preserve"> à partir de technologies modernes. Une première version bêta du nouveau logiciel </w:t>
      </w:r>
      <w:r w:rsidR="009E5ADE" w:rsidRPr="007E130D">
        <w:t>de planification des horaires de radiodiffusion à ondes décamétriques</w:t>
      </w:r>
      <w:r w:rsidRPr="007E130D">
        <w:t xml:space="preserve"> (eHFBC) devrait être mise à la disposition des administrations pour commentaires en septembre 2023.</w:t>
      </w:r>
    </w:p>
    <w:p w14:paraId="6E2106F0" w14:textId="465150B8" w:rsidR="00A82EF2" w:rsidRPr="007E130D" w:rsidRDefault="00A82EF2" w:rsidP="00B20AC9">
      <w:pPr>
        <w:pStyle w:val="Heading3"/>
      </w:pPr>
      <w:bookmarkStart w:id="147" w:name="_Toc19880056"/>
      <w:bookmarkStart w:id="148" w:name="_Toc147328809"/>
      <w:r w:rsidRPr="007E130D">
        <w:t>3.</w:t>
      </w:r>
      <w:r w:rsidR="006B33A8" w:rsidRPr="007E130D">
        <w:t>5</w:t>
      </w:r>
      <w:r w:rsidRPr="007E130D">
        <w:t>.5</w:t>
      </w:r>
      <w:r w:rsidRPr="007E130D">
        <w:tab/>
        <w:t xml:space="preserve">Mise en œuvre </w:t>
      </w:r>
      <w:r w:rsidR="009E5ADE" w:rsidRPr="007E130D">
        <w:t>de la Résolution 647 (Rév.CMR-19</w:t>
      </w:r>
      <w:r w:rsidRPr="007E130D">
        <w:t>)</w:t>
      </w:r>
      <w:bookmarkEnd w:id="147"/>
      <w:bookmarkEnd w:id="148"/>
    </w:p>
    <w:p w14:paraId="04141CC7" w14:textId="5EFDD7AB" w:rsidR="00A82EF2" w:rsidRPr="007E130D" w:rsidRDefault="00A82EF2" w:rsidP="00B20AC9">
      <w:r w:rsidRPr="007E130D">
        <w:t xml:space="preserve">Conformément à la Résolution </w:t>
      </w:r>
      <w:r w:rsidRPr="007E130D">
        <w:rPr>
          <w:b/>
          <w:bCs/>
        </w:rPr>
        <w:t>647 (Rév.CMR-1</w:t>
      </w:r>
      <w:r w:rsidR="006B33A8" w:rsidRPr="007E130D">
        <w:rPr>
          <w:b/>
          <w:bCs/>
        </w:rPr>
        <w:t>9</w:t>
      </w:r>
      <w:r w:rsidRPr="007E130D">
        <w:rPr>
          <w:b/>
          <w:bCs/>
        </w:rPr>
        <w:t>)</w:t>
      </w:r>
      <w:r w:rsidRPr="007E130D">
        <w:t>, les administrations sont notamment encouragées à communiquer au BR les coordonnées actualisées des administrations concernées et, lorsqu'elles sont disponibles, les fréquences ou bandes de fréquences utilisables pour les situations d'urgence et les opérations de secours en cas de catastrophe.</w:t>
      </w:r>
    </w:p>
    <w:p w14:paraId="12A0ADE0" w14:textId="77777777" w:rsidR="00A82EF2" w:rsidRPr="007E130D" w:rsidRDefault="00A82EF2" w:rsidP="00B20AC9">
      <w:r w:rsidRPr="007E130D">
        <w:t>À ce jour, la base de données contient des renseignements soumis par les administrations suivantes: Arabie saoudite, Argentine, Arménie, Bahreïn, Bélarus, Brunéi Darussalam, Canada, Égypte, Émirats arabes unis, Espagne, Estonie, Finlande, Italie, Jordanie, Koweït, Malaisie, Myanmar, Nouvelle-Zélande, Oman, Ouzbékistan, Portugal, Qatar, République arabe syrienne, Slovaquie, Seychelles, République sudafricaine, Thaïlande pour les services de Terre, et Canada, Malaisie, Slovaquie, République tchèque, Roumanie et Royaume-Uni pour les services spatiaux.</w:t>
      </w:r>
    </w:p>
    <w:p w14:paraId="393B2AF7" w14:textId="151BE82E" w:rsidR="00A82EF2" w:rsidRPr="007E130D" w:rsidRDefault="00A82EF2" w:rsidP="00B20AC9">
      <w:pPr>
        <w:pStyle w:val="Heading3"/>
      </w:pPr>
      <w:bookmarkStart w:id="149" w:name="_Toc19090116"/>
      <w:bookmarkStart w:id="150" w:name="_Toc19880057"/>
      <w:bookmarkStart w:id="151" w:name="_Toc147328810"/>
      <w:r w:rsidRPr="007E130D">
        <w:t>3.</w:t>
      </w:r>
      <w:r w:rsidR="006B33A8" w:rsidRPr="007E130D">
        <w:t>5</w:t>
      </w:r>
      <w:r w:rsidRPr="007E130D">
        <w:t>.6</w:t>
      </w:r>
      <w:r w:rsidRPr="007E130D">
        <w:tab/>
        <w:t xml:space="preserve">Études menées </w:t>
      </w:r>
      <w:r w:rsidR="009E5ADE" w:rsidRPr="007E130D">
        <w:t xml:space="preserve">sur </w:t>
      </w:r>
      <w:r w:rsidRPr="007E130D">
        <w:t>la Résolution 223 (Rév.CMR-1</w:t>
      </w:r>
      <w:r w:rsidR="006B33A8" w:rsidRPr="007E130D">
        <w:t>9</w:t>
      </w:r>
      <w:r w:rsidRPr="007E130D">
        <w:t>) relatives à la bande de fréquences 4 800-4 990 MHz</w:t>
      </w:r>
      <w:bookmarkEnd w:id="149"/>
      <w:bookmarkEnd w:id="150"/>
      <w:bookmarkEnd w:id="151"/>
    </w:p>
    <w:p w14:paraId="541151E7" w14:textId="05BE7240" w:rsidR="00A82EF2" w:rsidRPr="007E130D" w:rsidRDefault="00A82EF2" w:rsidP="00B20AC9">
      <w:r w:rsidRPr="007E130D">
        <w:t xml:space="preserve">En ce qui concerne la bande de fréquences 4 800-4 990 MHz, l'UIT-R était invité, en vertu de la Résolution </w:t>
      </w:r>
      <w:r w:rsidRPr="007E130D">
        <w:rPr>
          <w:b/>
          <w:bCs/>
        </w:rPr>
        <w:t>223 (Rév.CMR-1</w:t>
      </w:r>
      <w:r w:rsidR="006B33A8" w:rsidRPr="007E130D">
        <w:rPr>
          <w:b/>
          <w:bCs/>
        </w:rPr>
        <w:t>9</w:t>
      </w:r>
      <w:r w:rsidRPr="007E130D">
        <w:rPr>
          <w:b/>
          <w:bCs/>
        </w:rPr>
        <w:t>)</w:t>
      </w:r>
      <w:r w:rsidRPr="007E130D">
        <w:t>:</w:t>
      </w:r>
      <w:r w:rsidR="00D253B4" w:rsidRPr="007E130D">
        <w:t xml:space="preserve"> </w:t>
      </w:r>
      <w:r w:rsidRPr="007E130D">
        <w:t>«</w:t>
      </w:r>
      <w:r w:rsidR="00D253B4" w:rsidRPr="007E130D">
        <w:t xml:space="preserve">2 à étudier les conditions techniques et réglementaires applicables à la protection des stations du SMA et du </w:t>
      </w:r>
      <w:r w:rsidR="00CD5707" w:rsidRPr="007E130D">
        <w:t>service mobile maritime (</w:t>
      </w:r>
      <w:r w:rsidR="00D253B4" w:rsidRPr="007E130D">
        <w:t>SMM</w:t>
      </w:r>
      <w:r w:rsidR="00CD5707" w:rsidRPr="007E130D">
        <w:t>)</w:t>
      </w:r>
      <w:r w:rsidR="00D253B4" w:rsidRPr="007E130D">
        <w:t xml:space="preserve"> situées dans l'espace aérien international ou dans les eaux internationales (c'est-à-dire en dehors du territoire des pays) et exploitées dans la bande de fréquences 4 800</w:t>
      </w:r>
      <w:r w:rsidR="00D253B4" w:rsidRPr="007E130D">
        <w:noBreakHyphen/>
        <w:t>4 990 MHz</w:t>
      </w:r>
      <w:r w:rsidRPr="007E130D">
        <w:t>»</w:t>
      </w:r>
      <w:r w:rsidR="00CD5707" w:rsidRPr="007E130D">
        <w:t>.</w:t>
      </w:r>
    </w:p>
    <w:p w14:paraId="42CD9D40" w14:textId="340ADBD7" w:rsidR="00A82EF2" w:rsidRPr="007E130D" w:rsidRDefault="00D253B4" w:rsidP="00B20AC9">
      <w:r w:rsidRPr="007E130D">
        <w:t>Le</w:t>
      </w:r>
      <w:r w:rsidR="00CD5707" w:rsidRPr="007E130D">
        <w:t xml:space="preserve"> GT 5D a procédé aux</w:t>
      </w:r>
      <w:r w:rsidR="00A82EF2" w:rsidRPr="007E130D">
        <w:t xml:space="preserve"> études </w:t>
      </w:r>
      <w:r w:rsidR="00CD5707" w:rsidRPr="007E130D">
        <w:t xml:space="preserve">pertinentes </w:t>
      </w:r>
      <w:r w:rsidR="00A82EF2" w:rsidRPr="007E130D">
        <w:t>sur la question</w:t>
      </w:r>
      <w:r w:rsidR="00CD5707" w:rsidRPr="007E130D">
        <w:t xml:space="preserve">. Elles </w:t>
      </w:r>
      <w:r w:rsidR="00A82EF2" w:rsidRPr="007E130D">
        <w:t>ont été récapitulées dans le rapport de la RPC à la CMR-</w:t>
      </w:r>
      <w:r w:rsidRPr="007E130D">
        <w:t>23</w:t>
      </w:r>
      <w:r w:rsidR="00CD5707" w:rsidRPr="007E130D">
        <w:t xml:space="preserve"> (voir le Chapitre 1 au point 1.1 de l</w:t>
      </w:r>
      <w:r w:rsidR="00AD2457" w:rsidRPr="007E130D">
        <w:t>'</w:t>
      </w:r>
      <w:r w:rsidR="00CD5707" w:rsidRPr="007E130D">
        <w:t>ordre du jour)</w:t>
      </w:r>
      <w:r w:rsidR="00A82EF2" w:rsidRPr="007E130D">
        <w:t xml:space="preserve"> </w:t>
      </w:r>
      <w:r w:rsidR="00CD5707" w:rsidRPr="007E130D">
        <w:t>et</w:t>
      </w:r>
      <w:r w:rsidR="00A82EF2" w:rsidRPr="007E130D">
        <w:t xml:space="preserve"> ne sont donc pas reproduites dans le présent </w:t>
      </w:r>
      <w:r w:rsidR="00CD5707" w:rsidRPr="007E130D">
        <w:t>document</w:t>
      </w:r>
      <w:r w:rsidR="00A82EF2" w:rsidRPr="007E130D">
        <w:t>.</w:t>
      </w:r>
    </w:p>
    <w:p w14:paraId="65166C73" w14:textId="0FCB16DE" w:rsidR="00A82EF2" w:rsidRPr="007E130D" w:rsidRDefault="00CD5707" w:rsidP="00B20AC9">
      <w:pPr>
        <w:rPr>
          <w:u w:val="single"/>
        </w:rPr>
      </w:pPr>
      <w:r w:rsidRPr="007E130D">
        <w:t xml:space="preserve">Au cours de la période considérée, 2 883 assignations (1 797 dans le service fixe et 1 086 dans le service mobile) ont été notifiées au titre de l'Article </w:t>
      </w:r>
      <w:r w:rsidRPr="007E130D">
        <w:rPr>
          <w:b/>
          <w:bCs/>
        </w:rPr>
        <w:t>11</w:t>
      </w:r>
      <w:r w:rsidRPr="007E130D">
        <w:t xml:space="preserve"> du RR dans la bande de fréquences</w:t>
      </w:r>
      <w:r w:rsidR="00AD2457" w:rsidRPr="007E130D">
        <w:t> </w:t>
      </w:r>
      <w:r w:rsidRPr="007E130D">
        <w:t>4</w:t>
      </w:r>
      <w:r w:rsidR="00AD2457" w:rsidRPr="007E130D">
        <w:t> </w:t>
      </w:r>
      <w:r w:rsidRPr="007E130D">
        <w:t>800</w:t>
      </w:r>
      <w:r w:rsidR="00AD2457" w:rsidRPr="007E130D">
        <w:noBreakHyphen/>
      </w:r>
      <w:r w:rsidRPr="007E130D">
        <w:t>4</w:t>
      </w:r>
      <w:r w:rsidR="00AD2457" w:rsidRPr="007E130D">
        <w:t> </w:t>
      </w:r>
      <w:r w:rsidRPr="007E130D">
        <w:t xml:space="preserve">990 MHz et 22 assignations à des stations IMT dans le service mobile au titre du numéro </w:t>
      </w:r>
      <w:r w:rsidRPr="007E130D">
        <w:rPr>
          <w:b/>
          <w:bCs/>
        </w:rPr>
        <w:t>5.441B</w:t>
      </w:r>
      <w:r w:rsidRPr="007E130D">
        <w:t xml:space="preserve"> du</w:t>
      </w:r>
      <w:r w:rsidR="00AD2457" w:rsidRPr="007E130D">
        <w:t> </w:t>
      </w:r>
      <w:r w:rsidRPr="007E130D">
        <w:t>RR.</w:t>
      </w:r>
    </w:p>
    <w:p w14:paraId="70B71BD4" w14:textId="10285BA6" w:rsidR="00A82EF2" w:rsidRPr="007E130D" w:rsidRDefault="00A82EF2" w:rsidP="00B20AC9">
      <w:pPr>
        <w:pStyle w:val="Heading2"/>
      </w:pPr>
      <w:bookmarkStart w:id="152" w:name="_Toc426463241"/>
      <w:bookmarkStart w:id="153" w:name="_Toc19880058"/>
      <w:bookmarkStart w:id="154" w:name="_Toc147328811"/>
      <w:r w:rsidRPr="007E130D">
        <w:t>3.</w:t>
      </w:r>
      <w:r w:rsidR="00D253B4" w:rsidRPr="007E130D">
        <w:t>6</w:t>
      </w:r>
      <w:r w:rsidRPr="007E130D">
        <w:tab/>
        <w:t>Élaboration de logiciels relatifs aux services de Terre</w:t>
      </w:r>
      <w:bookmarkEnd w:id="152"/>
      <w:bookmarkEnd w:id="153"/>
      <w:bookmarkEnd w:id="154"/>
    </w:p>
    <w:p w14:paraId="3BB39125" w14:textId="77777777" w:rsidR="00A82EF2" w:rsidRPr="007E130D" w:rsidRDefault="00A82EF2" w:rsidP="00B20AC9">
      <w:r w:rsidRPr="007E130D">
        <w:t>Au cours de la période comprise entre la CMR</w:t>
      </w:r>
      <w:r w:rsidRPr="007E130D">
        <w:noBreakHyphen/>
        <w:t>12 et la CMR</w:t>
      </w:r>
      <w:r w:rsidRPr="007E130D">
        <w:noBreakHyphen/>
        <w:t>15, les logiciels relatifs aux services de Terre ont été enrichis de nouvelles fonctionnalités et de nouveaux modules.</w:t>
      </w:r>
    </w:p>
    <w:p w14:paraId="72D41F77" w14:textId="32BD0F9E" w:rsidR="00A82EF2" w:rsidRPr="007E130D" w:rsidRDefault="00A82EF2" w:rsidP="00B20AC9">
      <w:pPr>
        <w:pStyle w:val="Heading3"/>
        <w:rPr>
          <w:bCs/>
        </w:rPr>
      </w:pPr>
      <w:bookmarkStart w:id="155" w:name="_Toc19090118"/>
      <w:bookmarkStart w:id="156" w:name="_Toc19880059"/>
      <w:bookmarkStart w:id="157" w:name="_Toc147328812"/>
      <w:r w:rsidRPr="007E130D">
        <w:lastRenderedPageBreak/>
        <w:t>3.</w:t>
      </w:r>
      <w:r w:rsidR="00D253B4" w:rsidRPr="007E130D">
        <w:t>6</w:t>
      </w:r>
      <w:r w:rsidRPr="007E130D">
        <w:t>.1</w:t>
      </w:r>
      <w:r w:rsidRPr="007E130D">
        <w:tab/>
        <w:t xml:space="preserve">Activités relatives à la mise au point de logiciels pour le traitement des notifications de services de Terre </w:t>
      </w:r>
      <w:r w:rsidRPr="007E130D">
        <w:rPr>
          <w:color w:val="000000"/>
        </w:rPr>
        <w:t>dans le cadre du système TerRaSys</w:t>
      </w:r>
      <w:bookmarkEnd w:id="155"/>
      <w:bookmarkEnd w:id="156"/>
      <w:bookmarkEnd w:id="157"/>
    </w:p>
    <w:p w14:paraId="4EC80F11" w14:textId="62433289" w:rsidR="00A82EF2" w:rsidRPr="007E130D" w:rsidRDefault="00A82EF2" w:rsidP="00B20AC9">
      <w:pPr>
        <w:pStyle w:val="enumlev1"/>
        <w:rPr>
          <w:b/>
          <w:bCs/>
        </w:rPr>
      </w:pPr>
      <w:r w:rsidRPr="007E130D">
        <w:t>–</w:t>
      </w:r>
      <w:r w:rsidRPr="007E130D">
        <w:tab/>
      </w:r>
      <w:r w:rsidRPr="007E130D">
        <w:rPr>
          <w:color w:val="000000"/>
        </w:rPr>
        <w:t xml:space="preserve">Mise au point </w:t>
      </w:r>
      <w:r w:rsidR="004E27EC" w:rsidRPr="007E130D">
        <w:rPr>
          <w:color w:val="000000"/>
        </w:rPr>
        <w:t>continue</w:t>
      </w:r>
      <w:r w:rsidRPr="007E130D">
        <w:rPr>
          <w:color w:val="000000"/>
        </w:rPr>
        <w:t xml:space="preserve"> du module d'examen pour le traitement des fiches de notification au titre du numéro </w:t>
      </w:r>
      <w:r w:rsidRPr="007E130D">
        <w:rPr>
          <w:b/>
        </w:rPr>
        <w:t>9.21</w:t>
      </w:r>
      <w:r w:rsidRPr="007E130D">
        <w:t xml:space="preserve"> </w:t>
      </w:r>
      <w:r w:rsidRPr="007E130D">
        <w:rPr>
          <w:color w:val="000000"/>
        </w:rPr>
        <w:t xml:space="preserve">dans les bandes identifiées pour les </w:t>
      </w:r>
      <w:r w:rsidRPr="007E130D">
        <w:t xml:space="preserve">IMT </w:t>
      </w:r>
      <w:r w:rsidRPr="007E130D">
        <w:rPr>
          <w:color w:val="000000"/>
        </w:rPr>
        <w:t>lors de la </w:t>
      </w:r>
      <w:r w:rsidRPr="007E130D">
        <w:t>CMR-</w:t>
      </w:r>
      <w:r w:rsidR="00D253B4" w:rsidRPr="007E130D">
        <w:t>19</w:t>
      </w:r>
      <w:r w:rsidR="000B79B5" w:rsidRPr="007E130D">
        <w:t>.</w:t>
      </w:r>
    </w:p>
    <w:p w14:paraId="6BF6DC4F" w14:textId="2198D607" w:rsidR="00D253B4" w:rsidRPr="007E130D" w:rsidRDefault="00A82EF2" w:rsidP="00B20AC9">
      <w:pPr>
        <w:pStyle w:val="enumlev1"/>
      </w:pPr>
      <w:r w:rsidRPr="007E130D">
        <w:t>–</w:t>
      </w:r>
      <w:r w:rsidRPr="007E130D">
        <w:tab/>
      </w:r>
      <w:r w:rsidR="00D253B4" w:rsidRPr="007E130D">
        <w:t xml:space="preserve">Élaboration </w:t>
      </w:r>
      <w:r w:rsidR="00BA2A70" w:rsidRPr="007E130D">
        <w:t xml:space="preserve">continue </w:t>
      </w:r>
      <w:r w:rsidR="00D253B4" w:rsidRPr="007E130D">
        <w:t xml:space="preserve">de modules logiciels pour le traitement des notifications de stations HAPS (outils de validation, d'examen et de publication). </w:t>
      </w:r>
      <w:bookmarkStart w:id="158" w:name="lt_pId362"/>
      <w:r w:rsidR="00D253B4" w:rsidRPr="007E130D">
        <w:t xml:space="preserve">Cette tâche comprend aussi l'élaboration de modules de calcul permettant de vérifier le respect des conditions techniques qui sont précisées dans les Résolutions </w:t>
      </w:r>
      <w:r w:rsidR="00D253B4" w:rsidRPr="007E130D">
        <w:rPr>
          <w:b/>
          <w:bCs/>
        </w:rPr>
        <w:t>122 (Rév.CMR-19)</w:t>
      </w:r>
      <w:r w:rsidR="00D253B4" w:rsidRPr="007E130D">
        <w:t xml:space="preserve">, </w:t>
      </w:r>
      <w:r w:rsidR="00D253B4" w:rsidRPr="007E130D">
        <w:rPr>
          <w:b/>
          <w:bCs/>
        </w:rPr>
        <w:t>145</w:t>
      </w:r>
      <w:r w:rsidR="00AD2457" w:rsidRPr="007E130D">
        <w:rPr>
          <w:b/>
          <w:bCs/>
        </w:rPr>
        <w:t> </w:t>
      </w:r>
      <w:r w:rsidR="00D253B4" w:rsidRPr="007E130D">
        <w:rPr>
          <w:b/>
          <w:bCs/>
        </w:rPr>
        <w:t>(Rév.CMR-19)</w:t>
      </w:r>
      <w:r w:rsidR="00D253B4" w:rsidRPr="007E130D">
        <w:t xml:space="preserve">, </w:t>
      </w:r>
      <w:r w:rsidR="00D253B4" w:rsidRPr="007E130D">
        <w:rPr>
          <w:b/>
          <w:bCs/>
        </w:rPr>
        <w:t>165 (CMR-19)</w:t>
      </w:r>
      <w:r w:rsidR="00D253B4" w:rsidRPr="007E130D">
        <w:t xml:space="preserve">, </w:t>
      </w:r>
      <w:r w:rsidR="00D253B4" w:rsidRPr="007E130D">
        <w:rPr>
          <w:b/>
          <w:bCs/>
        </w:rPr>
        <w:t>166 (CMR-19)</w:t>
      </w:r>
      <w:r w:rsidR="00D253B4" w:rsidRPr="007E130D">
        <w:t xml:space="preserve">, </w:t>
      </w:r>
      <w:r w:rsidR="00D253B4" w:rsidRPr="007E130D">
        <w:rPr>
          <w:b/>
          <w:bCs/>
        </w:rPr>
        <w:t>167 (CMR-19)</w:t>
      </w:r>
      <w:r w:rsidR="00D253B4" w:rsidRPr="007E130D">
        <w:t xml:space="preserve"> et</w:t>
      </w:r>
      <w:r w:rsidR="00AD2457" w:rsidRPr="007E130D">
        <w:t> </w:t>
      </w:r>
      <w:r w:rsidR="00D253B4" w:rsidRPr="007E130D">
        <w:rPr>
          <w:b/>
          <w:bCs/>
        </w:rPr>
        <w:t>168</w:t>
      </w:r>
      <w:r w:rsidR="00AD2457" w:rsidRPr="007E130D">
        <w:rPr>
          <w:b/>
          <w:bCs/>
        </w:rPr>
        <w:t> </w:t>
      </w:r>
      <w:r w:rsidR="00D253B4" w:rsidRPr="007E130D">
        <w:rPr>
          <w:b/>
          <w:bCs/>
        </w:rPr>
        <w:t>(CMR</w:t>
      </w:r>
      <w:r w:rsidR="00AD2457" w:rsidRPr="007E130D">
        <w:rPr>
          <w:b/>
          <w:bCs/>
        </w:rPr>
        <w:noBreakHyphen/>
      </w:r>
      <w:r w:rsidR="00D253B4" w:rsidRPr="007E130D">
        <w:rPr>
          <w:b/>
          <w:bCs/>
        </w:rPr>
        <w:t>19)</w:t>
      </w:r>
      <w:r w:rsidR="00D253B4" w:rsidRPr="007E130D">
        <w:t>, ainsi que les changements correspondants dans la base de données et la structure des notifications.</w:t>
      </w:r>
      <w:bookmarkEnd w:id="158"/>
    </w:p>
    <w:p w14:paraId="786EBA6E" w14:textId="77777777" w:rsidR="00A82EF2" w:rsidRPr="007E130D" w:rsidRDefault="00D253B4" w:rsidP="00B20AC9">
      <w:pPr>
        <w:pStyle w:val="enumlev1"/>
      </w:pPr>
      <w:bookmarkStart w:id="159" w:name="lt_pId363"/>
      <w:r w:rsidRPr="007E130D">
        <w:t>–</w:t>
      </w:r>
      <w:r w:rsidRPr="007E130D">
        <w:tab/>
        <w:t xml:space="preserve">Développement </w:t>
      </w:r>
      <w:r w:rsidR="00BA2A70" w:rsidRPr="007E130D">
        <w:t xml:space="preserve">continu </w:t>
      </w:r>
      <w:r w:rsidRPr="007E130D">
        <w:t>du logiciel d'examen pour l'identification des administrations affectées, au moyen de modèles numériques d'élévation (DEM) pour diverses bandes de fréquences et divers services.</w:t>
      </w:r>
      <w:bookmarkEnd w:id="159"/>
    </w:p>
    <w:p w14:paraId="4AF3185A" w14:textId="3BE17C26" w:rsidR="00D253B4" w:rsidRPr="007E130D" w:rsidRDefault="00D253B4" w:rsidP="00956303">
      <w:pPr>
        <w:pStyle w:val="enumlev1"/>
      </w:pPr>
      <w:r w:rsidRPr="007E130D">
        <w:t>–</w:t>
      </w:r>
      <w:r w:rsidRPr="007E130D">
        <w:tab/>
      </w:r>
      <w:r w:rsidR="00BA2A70" w:rsidRPr="007E130D">
        <w:t>Modernisation continue du système TerRaSys au cours de la période considérée, y</w:t>
      </w:r>
      <w:r w:rsidR="00956303" w:rsidRPr="007E130D">
        <w:t> </w:t>
      </w:r>
      <w:r w:rsidR="00BA2A70" w:rsidRPr="007E130D">
        <w:t>compris la migration de la base de données de Terre vers un système de gestion de base de données (DBMS) moderne, la révision de la structure de la base de données pour répondre aux exigences résultant des décisions de la CMR-19, et la réécriture et l'amélioration de tous les modules du système (traitement des notifications, exigences en matière de coordination, publication, etc.) en utilisant les nouvelles techniques de codage et les nouvelles fonctionnalités offertes par le nouveau système DBMS</w:t>
      </w:r>
      <w:r w:rsidRPr="007E130D">
        <w:t>.</w:t>
      </w:r>
    </w:p>
    <w:p w14:paraId="6AFA216A" w14:textId="407B5C8D" w:rsidR="00A82EF2" w:rsidRPr="007E130D" w:rsidRDefault="00A82EF2" w:rsidP="00B20AC9">
      <w:pPr>
        <w:pStyle w:val="Heading3"/>
      </w:pPr>
      <w:bookmarkStart w:id="160" w:name="_Toc19090119"/>
      <w:bookmarkStart w:id="161" w:name="_Toc19880060"/>
      <w:bookmarkStart w:id="162" w:name="_Toc147328813"/>
      <w:r w:rsidRPr="007E130D">
        <w:t>3.</w:t>
      </w:r>
      <w:r w:rsidR="00933868" w:rsidRPr="007E130D">
        <w:t>6</w:t>
      </w:r>
      <w:r w:rsidRPr="007E130D">
        <w:t>.2</w:t>
      </w:r>
      <w:r w:rsidRPr="007E130D">
        <w:tab/>
        <w:t>Activités relatives à la mise au point d'autres logiciels pour le traitement des notifications de services de Terre</w:t>
      </w:r>
      <w:bookmarkEnd w:id="160"/>
      <w:bookmarkEnd w:id="161"/>
      <w:bookmarkEnd w:id="162"/>
    </w:p>
    <w:p w14:paraId="18E0CEDB" w14:textId="6BB29BBE" w:rsidR="00933868" w:rsidRPr="007E130D" w:rsidRDefault="00A82EF2" w:rsidP="00B20AC9">
      <w:pPr>
        <w:pStyle w:val="enumlev1"/>
        <w:rPr>
          <w:rFonts w:eastAsiaTheme="minorEastAsia"/>
        </w:rPr>
      </w:pPr>
      <w:r w:rsidRPr="007E130D">
        <w:t>–</w:t>
      </w:r>
      <w:r w:rsidRPr="007E130D">
        <w:tab/>
      </w:r>
      <w:r w:rsidR="00C76550" w:rsidRPr="007E130D">
        <w:t xml:space="preserve">Déploiement d'eTerrestrial, une plate-forme web intégrée qui fournit divers outils liés aux services FXM et de radiodiffusion de Terre (requêtes en ligne, validation, </w:t>
      </w:r>
      <w:r w:rsidR="000B79B5" w:rsidRPr="007E130D">
        <w:t>calculs et études d'hypothèses)</w:t>
      </w:r>
      <w:r w:rsidR="00AD2457" w:rsidRPr="007E130D">
        <w:t>.</w:t>
      </w:r>
    </w:p>
    <w:p w14:paraId="036C580B" w14:textId="024BEFDF" w:rsidR="00933868" w:rsidRPr="007E130D" w:rsidRDefault="00933868" w:rsidP="00B20AC9">
      <w:pPr>
        <w:pStyle w:val="enumlev1"/>
        <w:rPr>
          <w:rFonts w:eastAsiaTheme="minorEastAsia"/>
        </w:rPr>
      </w:pPr>
      <w:r w:rsidRPr="007E130D">
        <w:t>–</w:t>
      </w:r>
      <w:r w:rsidRPr="007E130D">
        <w:tab/>
      </w:r>
      <w:r w:rsidR="00C76550" w:rsidRPr="007E130D">
        <w:t>Déploiement de nouveaux logiciels dans eBroadcasting (eTools pour les services de radiodiffusion), y compris les outils de compatibilité et d'optimisation GE84 (voir</w:t>
      </w:r>
      <w:r w:rsidR="00AD2457" w:rsidRPr="007E130D">
        <w:t> S</w:t>
      </w:r>
      <w:r w:rsidR="00C76550" w:rsidRPr="007E130D">
        <w:t xml:space="preserve">ection 7.1.3), qui ont été améliorés pour ajouter le modèle de propagation </w:t>
      </w:r>
      <w:r w:rsidR="000B79B5" w:rsidRPr="007E130D">
        <w:t>de la</w:t>
      </w:r>
      <w:r w:rsidR="00AD2457" w:rsidRPr="007E130D">
        <w:t> </w:t>
      </w:r>
      <w:r w:rsidR="000B79B5" w:rsidRPr="007E130D">
        <w:t xml:space="preserve">Rec. </w:t>
      </w:r>
      <w:r w:rsidR="00C76550" w:rsidRPr="007E130D">
        <w:t>U</w:t>
      </w:r>
      <w:r w:rsidR="000B79B5" w:rsidRPr="007E130D">
        <w:t>IT</w:t>
      </w:r>
      <w:r w:rsidR="00C76550" w:rsidRPr="007E130D">
        <w:t>-R P.1812 avec différents modèles numériques d'élévation (SRTM3,</w:t>
      </w:r>
      <w:r w:rsidR="00AD2457" w:rsidRPr="007E130D">
        <w:t> </w:t>
      </w:r>
      <w:r w:rsidR="00C76550" w:rsidRPr="007E130D">
        <w:t>SRTM1 et ASTER)</w:t>
      </w:r>
      <w:r w:rsidR="00AD2457" w:rsidRPr="007E130D">
        <w:t>.</w:t>
      </w:r>
    </w:p>
    <w:p w14:paraId="6E7A3F1D" w14:textId="0150B480" w:rsidR="00933868" w:rsidRPr="007E130D" w:rsidRDefault="00933868" w:rsidP="00B20AC9">
      <w:pPr>
        <w:pStyle w:val="enumlev1"/>
        <w:rPr>
          <w:rFonts w:eastAsiaTheme="minorEastAsia"/>
        </w:rPr>
      </w:pPr>
      <w:r w:rsidRPr="007E130D">
        <w:t>–</w:t>
      </w:r>
      <w:r w:rsidRPr="007E130D">
        <w:tab/>
      </w:r>
      <w:r w:rsidR="0076389F" w:rsidRPr="007E130D">
        <w:t xml:space="preserve">Achèvement de eQueryFXM dans le cadre de la plate-forme eFXM (FXM </w:t>
      </w:r>
      <w:r w:rsidR="00AD2457" w:rsidRPr="007E130D">
        <w:t>–</w:t>
      </w:r>
      <w:r w:rsidR="0076389F" w:rsidRPr="007E130D">
        <w:t xml:space="preserve"> services fixes et mobiles), qui est une application web fournissant un accès en ligne à la base de données du BR (Fichier de référence et Plans) pour les services de Terre (à l'exception de la radiodiffusion) dans le cadre de la plate</w:t>
      </w:r>
      <w:r w:rsidR="00956303" w:rsidRPr="007E130D">
        <w:t>-</w:t>
      </w:r>
      <w:r w:rsidR="0076389F" w:rsidRPr="007E130D">
        <w:t>forme eTerrestrial</w:t>
      </w:r>
      <w:r w:rsidR="00AD2457" w:rsidRPr="007E130D">
        <w:t>.</w:t>
      </w:r>
    </w:p>
    <w:p w14:paraId="62D42050" w14:textId="1AE0D775" w:rsidR="00933868" w:rsidRPr="007E130D" w:rsidRDefault="00933868" w:rsidP="00B20AC9">
      <w:pPr>
        <w:pStyle w:val="enumlev1"/>
        <w:rPr>
          <w:rFonts w:eastAsiaTheme="minorEastAsia"/>
        </w:rPr>
      </w:pPr>
      <w:r w:rsidRPr="007E130D">
        <w:t>–</w:t>
      </w:r>
      <w:r w:rsidRPr="007E130D">
        <w:tab/>
      </w:r>
      <w:r w:rsidR="0076389F" w:rsidRPr="007E130D">
        <w:t xml:space="preserve">Mise au point de ePubFXM/RR9.21 dans le cadre de la plate-forme eFXM, qui est une application web permettant de consulter les sections spéciales du </w:t>
      </w:r>
      <w:r w:rsidR="00DB4B83" w:rsidRPr="007E130D">
        <w:t>numéro</w:t>
      </w:r>
      <w:r w:rsidR="0076389F" w:rsidRPr="007E130D">
        <w:t xml:space="preserve"> </w:t>
      </w:r>
      <w:r w:rsidR="0076389F" w:rsidRPr="007E130D">
        <w:rPr>
          <w:b/>
          <w:bCs/>
        </w:rPr>
        <w:t>9.21</w:t>
      </w:r>
      <w:r w:rsidR="0076389F" w:rsidRPr="007E130D">
        <w:t xml:space="preserve"> du RR relatives au FXM dans le cadre de la plate-forme eTerrestrial</w:t>
      </w:r>
      <w:r w:rsidR="00AD2457" w:rsidRPr="007E130D">
        <w:t>.</w:t>
      </w:r>
    </w:p>
    <w:p w14:paraId="7EE882BD" w14:textId="747E697D" w:rsidR="00933868" w:rsidRPr="007E130D" w:rsidRDefault="00933868" w:rsidP="00B20AC9">
      <w:pPr>
        <w:pStyle w:val="enumlev1"/>
        <w:rPr>
          <w:rFonts w:eastAsiaTheme="minorEastAsia"/>
        </w:rPr>
      </w:pPr>
      <w:r w:rsidRPr="007E130D">
        <w:t>–</w:t>
      </w:r>
      <w:r w:rsidRPr="007E130D">
        <w:tab/>
      </w:r>
      <w:r w:rsidR="0076389F" w:rsidRPr="007E130D">
        <w:t>Ajout de la visualisation de cartes à tous les services de rad</w:t>
      </w:r>
      <w:r w:rsidR="008114C3" w:rsidRPr="007E130D">
        <w:t xml:space="preserve">iodiffusion électronique et aux outils </w:t>
      </w:r>
      <w:r w:rsidR="0076389F" w:rsidRPr="007E130D">
        <w:t xml:space="preserve">eMIFR pour l'affichage d'informations géospatiales et de contours de couverture/compatibilité, y compris les calculs de propagation </w:t>
      </w:r>
      <w:r w:rsidR="008114C3" w:rsidRPr="007E130D">
        <w:t>sur la base du</w:t>
      </w:r>
      <w:r w:rsidR="0076389F" w:rsidRPr="007E130D">
        <w:t xml:space="preserve"> terrain</w:t>
      </w:r>
      <w:r w:rsidR="00AD2457" w:rsidRPr="007E130D">
        <w:rPr>
          <w:rFonts w:eastAsiaTheme="minorEastAsia"/>
        </w:rPr>
        <w:t>.</w:t>
      </w:r>
    </w:p>
    <w:p w14:paraId="38EC7928" w14:textId="30A1E81B" w:rsidR="00933868" w:rsidRPr="007E130D" w:rsidRDefault="00933868" w:rsidP="00B20AC9">
      <w:pPr>
        <w:pStyle w:val="enumlev1"/>
      </w:pPr>
      <w:r w:rsidRPr="007E130D">
        <w:t>–</w:t>
      </w:r>
      <w:r w:rsidRPr="007E130D">
        <w:tab/>
      </w:r>
      <w:r w:rsidR="008114C3" w:rsidRPr="007E130D">
        <w:t>Migration des modules de bureau du logiciel HFBC vers le service en ligne et intégration avec eTerrestrial. Sa version bêta a été communiquée aux membres de l'UIT afin de recueillir leurs commentaires avant de passer à la production.</w:t>
      </w:r>
    </w:p>
    <w:p w14:paraId="62F0CDF8" w14:textId="689438B2" w:rsidR="00A82EF2" w:rsidRPr="007E130D" w:rsidRDefault="00A82EF2" w:rsidP="00B20AC9">
      <w:pPr>
        <w:pStyle w:val="Heading3"/>
      </w:pPr>
      <w:bookmarkStart w:id="163" w:name="_Toc19090120"/>
      <w:bookmarkStart w:id="164" w:name="_Toc19880061"/>
      <w:bookmarkStart w:id="165" w:name="_Toc147328814"/>
      <w:r w:rsidRPr="007E130D">
        <w:lastRenderedPageBreak/>
        <w:t>3.</w:t>
      </w:r>
      <w:r w:rsidR="00933868" w:rsidRPr="007E130D">
        <w:t>6</w:t>
      </w:r>
      <w:r w:rsidRPr="007E130D">
        <w:t>.3</w:t>
      </w:r>
      <w:r w:rsidRPr="007E130D">
        <w:tab/>
        <w:t>Autres activités relatives aux logiciels</w:t>
      </w:r>
      <w:bookmarkEnd w:id="163"/>
      <w:bookmarkEnd w:id="164"/>
      <w:bookmarkEnd w:id="165"/>
    </w:p>
    <w:p w14:paraId="4B1A8626" w14:textId="762EFEED" w:rsidR="00A82EF2" w:rsidRPr="007E130D" w:rsidRDefault="00A82EF2" w:rsidP="00B20AC9">
      <w:pPr>
        <w:pStyle w:val="enumlev1"/>
        <w:rPr>
          <w:color w:val="000000"/>
        </w:rPr>
      </w:pPr>
      <w:r w:rsidRPr="007E130D">
        <w:t>–</w:t>
      </w:r>
      <w:r w:rsidRPr="007E130D">
        <w:tab/>
      </w:r>
      <w:r w:rsidR="008114C3" w:rsidRPr="007E130D">
        <w:t>Poursuite</w:t>
      </w:r>
      <w:r w:rsidRPr="007E130D">
        <w:t xml:space="preserve"> des travaux sur l'élaboration d'un système d'information géographique (GIS) commun du BR. Établissement d'un partenariat avec l'Unité de cartographie des Nations</w:t>
      </w:r>
      <w:r w:rsidR="00130B4A" w:rsidRPr="007E130D">
        <w:t> </w:t>
      </w:r>
      <w:r w:rsidRPr="007E130D">
        <w:t xml:space="preserve">Unies, pour tirer parti des compétences spécialisées et des ressources des Nations Unies en matière de système d'information géographique et pour faciliter l'accès aux cartes </w:t>
      </w:r>
      <w:r w:rsidRPr="007E130D">
        <w:rPr>
          <w:color w:val="000000"/>
        </w:rPr>
        <w:t>des</w:t>
      </w:r>
      <w:r w:rsidR="00130B4A" w:rsidRPr="007E130D">
        <w:rPr>
          <w:color w:val="000000"/>
        </w:rPr>
        <w:t xml:space="preserve"> </w:t>
      </w:r>
      <w:r w:rsidRPr="007E130D">
        <w:rPr>
          <w:color w:val="000000"/>
        </w:rPr>
        <w:t>Nations Unies.</w:t>
      </w:r>
    </w:p>
    <w:p w14:paraId="53993E97" w14:textId="6D07610C" w:rsidR="00933868" w:rsidRPr="007E130D" w:rsidRDefault="00933868" w:rsidP="00B20AC9">
      <w:pPr>
        <w:pStyle w:val="enumlev1"/>
      </w:pPr>
      <w:r w:rsidRPr="007E130D">
        <w:t>–</w:t>
      </w:r>
      <w:r w:rsidRPr="007E130D">
        <w:tab/>
      </w:r>
      <w:r w:rsidR="00FA338A" w:rsidRPr="007E130D">
        <w:t>Lancement du projet d'amélioration des publications du service maritime. L'objectif est de créer une plate-forme de vente en ligne qui permettrait aux utilisateurs et aux revendeurs d'acheter et de télécharger les publications numériques et de remplacer, à l'avenir, le format CD ROM actuel</w:t>
      </w:r>
      <w:r w:rsidR="00AD2457" w:rsidRPr="007E130D">
        <w:rPr>
          <w:bCs/>
        </w:rPr>
        <w:t>.</w:t>
      </w:r>
    </w:p>
    <w:p w14:paraId="3902F814" w14:textId="07E5CCC7" w:rsidR="00933868" w:rsidRPr="007E130D" w:rsidRDefault="00933868" w:rsidP="00B716B4">
      <w:pPr>
        <w:pStyle w:val="enumlev1"/>
      </w:pPr>
      <w:r w:rsidRPr="007E130D">
        <w:t>–</w:t>
      </w:r>
      <w:r w:rsidRPr="007E130D">
        <w:tab/>
        <w:t>Une nouvelle plate</w:t>
      </w:r>
      <w:r w:rsidRPr="007E130D">
        <w:noBreakHyphen/>
        <w:t xml:space="preserve">forme en ligne dédiée au traitement des rapports sur les brouillages préjudiciables et les infractions concernant les services de Terre est en cours d'élaboration. Ce système est appelé </w:t>
      </w:r>
      <w:r w:rsidRPr="007E130D">
        <w:rPr>
          <w:i/>
          <w:iCs/>
        </w:rPr>
        <w:t xml:space="preserve">Harmful Interference to Terrestrial Services </w:t>
      </w:r>
      <w:r w:rsidRPr="007E130D">
        <w:t>(HITS)</w:t>
      </w:r>
      <w:r w:rsidR="00787255" w:rsidRPr="007E130D">
        <w:t xml:space="preserve"> </w:t>
      </w:r>
      <w:r w:rsidRPr="007E130D">
        <w:t>(«Brouillages préjudiciables causés aux services de Terre»).</w:t>
      </w:r>
      <w:r w:rsidRPr="007E130D">
        <w:rPr>
          <w:bCs/>
        </w:rPr>
        <w:t xml:space="preserve"> </w:t>
      </w:r>
      <w:r w:rsidR="00CA4215" w:rsidRPr="007E130D">
        <w:rPr>
          <w:bCs/>
        </w:rPr>
        <w:t>Il permettra aux administrations de consulter les archives de leurs communications échangées avec le</w:t>
      </w:r>
      <w:r w:rsidR="00AD2457" w:rsidRPr="007E130D">
        <w:rPr>
          <w:bCs/>
        </w:rPr>
        <w:t> </w:t>
      </w:r>
      <w:r w:rsidR="00CA4215" w:rsidRPr="007E130D">
        <w:rPr>
          <w:bCs/>
        </w:rPr>
        <w:t xml:space="preserve">BR, de soumettre de nouveaux rapports au titre de l'Appendice </w:t>
      </w:r>
      <w:r w:rsidR="00CA4215" w:rsidRPr="007E130D">
        <w:rPr>
          <w:b/>
        </w:rPr>
        <w:t>9</w:t>
      </w:r>
      <w:r w:rsidR="00CA4215" w:rsidRPr="007E130D">
        <w:rPr>
          <w:bCs/>
        </w:rPr>
        <w:t xml:space="preserve"> ou </w:t>
      </w:r>
      <w:r w:rsidR="00CA4215" w:rsidRPr="007E130D">
        <w:rPr>
          <w:b/>
        </w:rPr>
        <w:t>10</w:t>
      </w:r>
      <w:r w:rsidR="00CA4215" w:rsidRPr="007E130D">
        <w:rPr>
          <w:bCs/>
        </w:rPr>
        <w:t>, de fournir des renseignements supplémentaires concernant un cas d'infraction ou de brouillage préjudiciable et de recevoir les informations qui requièrent leur attention/prise de mesures.</w:t>
      </w:r>
    </w:p>
    <w:p w14:paraId="41F3ED35" w14:textId="77777777" w:rsidR="00A82EF2" w:rsidRPr="007E130D" w:rsidRDefault="00A82EF2" w:rsidP="00B20AC9">
      <w:pPr>
        <w:pStyle w:val="Heading1"/>
      </w:pPr>
      <w:bookmarkStart w:id="166" w:name="_Toc426463242"/>
      <w:bookmarkStart w:id="167" w:name="_Toc19880062"/>
      <w:bookmarkStart w:id="168" w:name="_Toc147328815"/>
      <w:r w:rsidRPr="007E130D">
        <w:t>4</w:t>
      </w:r>
      <w:r w:rsidRPr="007E130D">
        <w:tab/>
        <w:t>Commissions d'études</w:t>
      </w:r>
      <w:bookmarkEnd w:id="166"/>
      <w:bookmarkEnd w:id="167"/>
      <w:bookmarkEnd w:id="168"/>
    </w:p>
    <w:p w14:paraId="45DFF135" w14:textId="77777777" w:rsidR="00A82EF2" w:rsidRPr="007E130D" w:rsidRDefault="00A82EF2" w:rsidP="00B20AC9">
      <w:pPr>
        <w:pStyle w:val="Heading2"/>
      </w:pPr>
      <w:bookmarkStart w:id="169" w:name="_Toc426463243"/>
      <w:bookmarkStart w:id="170" w:name="_Toc19880063"/>
      <w:bookmarkStart w:id="171" w:name="_Toc147328816"/>
      <w:r w:rsidRPr="007E130D">
        <w:t>4.1</w:t>
      </w:r>
      <w:r w:rsidRPr="007E130D">
        <w:tab/>
        <w:t>Appui apporté par le BR aux activités des commissions d'études</w:t>
      </w:r>
      <w:bookmarkEnd w:id="169"/>
      <w:bookmarkEnd w:id="170"/>
      <w:bookmarkEnd w:id="171"/>
    </w:p>
    <w:p w14:paraId="3B3547C2" w14:textId="3906D6AC" w:rsidR="00A82EF2" w:rsidRPr="007E130D" w:rsidRDefault="00B00EA9" w:rsidP="00B20AC9">
      <w:r w:rsidRPr="007E130D">
        <w:t>Depuis l'AR-19</w:t>
      </w:r>
      <w:r w:rsidR="00A82EF2" w:rsidRPr="007E130D">
        <w:t>, le Bureau des radiocommunications a continué d'apporter son appui aux travaux des six commissions d'études de l'UIT-R, du Comité de coordination pour le vocabulaire (CCV) et de la Réunion de préparation à la conférence (RPC). De plus, le BR a contribué à l'organisation des réunions du GCR et a tenu compte par la suite des avis fournis par ce Groupe concernant les activités des commissions d'études et d'autres activités de l'UIT-R (voir le § 5). Vers la fin de la période d'études, il a également été chargé de la préparation de l'Assemblée des radiocommunications de 20</w:t>
      </w:r>
      <w:r w:rsidR="002C4921" w:rsidRPr="007E130D">
        <w:t>23</w:t>
      </w:r>
      <w:r w:rsidR="00A82EF2" w:rsidRPr="007E130D">
        <w:t xml:space="preserve"> (AR-</w:t>
      </w:r>
      <w:r w:rsidR="002C4921" w:rsidRPr="007E130D">
        <w:t>23</w:t>
      </w:r>
      <w:r w:rsidR="00A82EF2" w:rsidRPr="007E130D">
        <w:t>) et de la Conférence mondiale des radiocommunications de 20</w:t>
      </w:r>
      <w:r w:rsidR="002C4921" w:rsidRPr="007E130D">
        <w:t>23</w:t>
      </w:r>
      <w:r w:rsidR="00A82EF2" w:rsidRPr="007E130D">
        <w:t xml:space="preserve"> (CMR-</w:t>
      </w:r>
      <w:r w:rsidR="002C4921" w:rsidRPr="007E130D">
        <w:t>23</w:t>
      </w:r>
      <w:r w:rsidR="00A82EF2" w:rsidRPr="007E130D">
        <w:t>) (voir le § 1).</w:t>
      </w:r>
    </w:p>
    <w:p w14:paraId="060EBE96" w14:textId="566652EF" w:rsidR="00A82EF2" w:rsidRPr="007E130D" w:rsidRDefault="00A82EF2" w:rsidP="00B20AC9">
      <w:pPr>
        <w:pStyle w:val="Heading2"/>
      </w:pPr>
      <w:bookmarkStart w:id="172" w:name="_Toc426463244"/>
      <w:bookmarkStart w:id="173" w:name="_Toc19880064"/>
      <w:bookmarkStart w:id="174" w:name="_Toc147328817"/>
      <w:r w:rsidRPr="007E130D">
        <w:t>4.2</w:t>
      </w:r>
      <w:r w:rsidRPr="007E130D">
        <w:tab/>
        <w:t>Suite donnée aux résultats de l'AR-1</w:t>
      </w:r>
      <w:bookmarkEnd w:id="172"/>
      <w:bookmarkEnd w:id="173"/>
      <w:r w:rsidR="002C4921" w:rsidRPr="007E130D">
        <w:t>9</w:t>
      </w:r>
      <w:bookmarkEnd w:id="174"/>
    </w:p>
    <w:p w14:paraId="7EB2438D" w14:textId="6F0A6F47" w:rsidR="00A82EF2" w:rsidRPr="007E130D" w:rsidRDefault="00A82EF2" w:rsidP="00B20AC9">
      <w:r w:rsidRPr="007E130D">
        <w:t>L'Assemblée des radiocommunications tenue en 201</w:t>
      </w:r>
      <w:r w:rsidR="002C4921" w:rsidRPr="007E130D">
        <w:t>9</w:t>
      </w:r>
      <w:r w:rsidRPr="007E130D">
        <w:t xml:space="preserve"> a approuvé 4</w:t>
      </w:r>
      <w:r w:rsidR="002C4921" w:rsidRPr="007E130D">
        <w:t>0</w:t>
      </w:r>
      <w:r w:rsidRPr="007E130D">
        <w:t xml:space="preserve"> Résolutions, qui constituent les textes fondamentaux et les directives sur lesquels s'appuient les commissions d'études pour s'acquitter de leurs responsabilités.</w:t>
      </w:r>
    </w:p>
    <w:p w14:paraId="17D667DE" w14:textId="7E5BF32C" w:rsidR="00A82EF2" w:rsidRPr="007E130D" w:rsidRDefault="00A82EF2" w:rsidP="00B20AC9">
      <w:r w:rsidRPr="007E130D">
        <w:t>Les Résolutions UIT-R 4 et 5 décrivent la structure des commissions d'études et leur programme de travail respectif. Ces Résolutions ont servi de base aux travaux des commissions d'études pendant la période d'études 2019</w:t>
      </w:r>
      <w:r w:rsidR="002C4921" w:rsidRPr="007E130D">
        <w:t>-2023</w:t>
      </w:r>
      <w:r w:rsidRPr="007E130D">
        <w:t>.</w:t>
      </w:r>
    </w:p>
    <w:p w14:paraId="175B7C01" w14:textId="4A540E9E" w:rsidR="00A82EF2" w:rsidRPr="007E130D" w:rsidRDefault="00A82EF2" w:rsidP="00B20AC9">
      <w:r w:rsidRPr="007E130D">
        <w:t>La Résolution UIT-R 9 (Liaison et collaboration avec d'autres organisations</w:t>
      </w:r>
      <w:r w:rsidR="009576FC" w:rsidRPr="007E130D">
        <w:t xml:space="preserve"> concernées, en particulier l'ISO, la CEI et le CISPR</w:t>
      </w:r>
      <w:r w:rsidRPr="007E130D">
        <w:t>) reconnaît la nécessité de faciliter la coordination et l'échange d'informations entre l'UIT-R et d'autres organismes, en particulier ceux qui s'occupent de normalisation</w:t>
      </w:r>
      <w:r w:rsidR="002C4921" w:rsidRPr="007E130D">
        <w:t>, ISO, IEC and CISPR</w:t>
      </w:r>
      <w:r w:rsidRPr="007E130D">
        <w:t>.</w:t>
      </w:r>
    </w:p>
    <w:p w14:paraId="2BB0E95D" w14:textId="06EC2C1D" w:rsidR="00A82EF2" w:rsidRPr="007E130D" w:rsidRDefault="00A82EF2" w:rsidP="00B20AC9">
      <w:r w:rsidRPr="007E130D">
        <w:t>L'AR-1</w:t>
      </w:r>
      <w:r w:rsidR="002C4921" w:rsidRPr="007E130D">
        <w:t>9</w:t>
      </w:r>
      <w:r w:rsidRPr="007E130D">
        <w:t xml:space="preserve"> a approuvé plusieurs Résolutions, nouvelles ou révisées, portant sur les travaux des commissions d'études, par exemple sur la gestion du spectre et le contrôle des émissions, les dispositifs à courte portée,</w:t>
      </w:r>
      <w:r w:rsidRPr="007E130D">
        <w:rPr>
          <w:color w:val="000000"/>
        </w:rPr>
        <w:t xml:space="preserve"> la prévision ou la détection des catastrophes et l'atténuation de leurs effets et les opérations de secours, les systèmes de radiocommunication cognitifs, les systèmes de reportage électronique d'actualités de Terre,</w:t>
      </w:r>
      <w:r w:rsidRPr="007E130D">
        <w:t xml:space="preserve"> </w:t>
      </w:r>
      <w:r w:rsidRPr="007E130D">
        <w:rPr>
          <w:color w:val="000000"/>
        </w:rPr>
        <w:t xml:space="preserve">la réduction de la consommation d'énergie pour la </w:t>
      </w:r>
      <w:r w:rsidRPr="007E130D">
        <w:rPr>
          <w:color w:val="000000"/>
        </w:rPr>
        <w:lastRenderedPageBreak/>
        <w:t>protection de l'environnement, l'Internet des objets, l'atténuation des effets des changements climatiques, l'accessibilité des télécommunications/TIC, les procédures réglementaires applicables aux petits satellites et les télécommunications publiques internationales par satellite dans les pays en développement</w:t>
      </w:r>
      <w:r w:rsidR="00B00EA9" w:rsidRPr="007E130D">
        <w:rPr>
          <w:color w:val="000000"/>
        </w:rPr>
        <w:t>, les principes pour le développement futur de la radiodiffusion ainsi que le rôle du Bureau des radiocommunications dans le développement de la radiodiffusion télévisuelle, sonore et multimédia</w:t>
      </w:r>
      <w:r w:rsidRPr="007E130D">
        <w:t>. Les commissions d'études concernées ont dûment tenu compte de ces Résolutions dans leur programme de travail.</w:t>
      </w:r>
    </w:p>
    <w:p w14:paraId="3CF554B3" w14:textId="2D650FF4" w:rsidR="00A82EF2" w:rsidRPr="007E130D" w:rsidRDefault="00A82EF2" w:rsidP="00B20AC9">
      <w:pPr>
        <w:pStyle w:val="Heading2"/>
      </w:pPr>
      <w:bookmarkStart w:id="175" w:name="_Toc426463245"/>
      <w:bookmarkStart w:id="176" w:name="_Toc19880065"/>
      <w:bookmarkStart w:id="177" w:name="_Toc147328818"/>
      <w:r w:rsidRPr="007E130D">
        <w:t>4.3</w:t>
      </w:r>
      <w:r w:rsidRPr="007E130D">
        <w:tab/>
        <w:t>Travaux préparatoires en vue de la CMR</w:t>
      </w:r>
      <w:r w:rsidRPr="007E130D">
        <w:noBreakHyphen/>
      </w:r>
      <w:bookmarkEnd w:id="175"/>
      <w:bookmarkEnd w:id="176"/>
      <w:r w:rsidR="002C4921" w:rsidRPr="007E130D">
        <w:t>23</w:t>
      </w:r>
      <w:bookmarkEnd w:id="177"/>
    </w:p>
    <w:p w14:paraId="2ABF2E8C" w14:textId="15C19692" w:rsidR="002C4921" w:rsidRPr="007E130D" w:rsidRDefault="002C4921" w:rsidP="00B20AC9">
      <w:pPr>
        <w:pStyle w:val="Heading3"/>
      </w:pPr>
      <w:bookmarkStart w:id="178" w:name="_Toc147328819"/>
      <w:r w:rsidRPr="007E130D">
        <w:t>4.3.1</w:t>
      </w:r>
      <w:r w:rsidRPr="007E130D">
        <w:tab/>
      </w:r>
      <w:r w:rsidR="00CB7014" w:rsidRPr="007E130D">
        <w:t>Informations générales</w:t>
      </w:r>
      <w:bookmarkEnd w:id="178"/>
    </w:p>
    <w:p w14:paraId="03696A55" w14:textId="154EB0F8" w:rsidR="00A82EF2" w:rsidRPr="007E130D" w:rsidRDefault="00A82EF2" w:rsidP="00B20AC9">
      <w:r w:rsidRPr="007E130D">
        <w:t>Les travaux préparatoires des commissions d'études en vue de la CMR</w:t>
      </w:r>
      <w:r w:rsidRPr="007E130D">
        <w:noBreakHyphen/>
      </w:r>
      <w:r w:rsidR="002C4921" w:rsidRPr="007E130D">
        <w:t>23</w:t>
      </w:r>
      <w:r w:rsidRPr="007E130D">
        <w:t xml:space="preserve"> ont été menés dans le cadre de la RPC, conformément à la Résolution UIT-R 2-</w:t>
      </w:r>
      <w:r w:rsidR="002C4921" w:rsidRPr="007E130D">
        <w:t>8</w:t>
      </w:r>
      <w:r w:rsidRPr="007E130D">
        <w:t>.</w:t>
      </w:r>
    </w:p>
    <w:p w14:paraId="7E20FE91" w14:textId="23E149C9" w:rsidR="00A82EF2" w:rsidRPr="007E130D" w:rsidRDefault="00A82EF2" w:rsidP="00B20AC9">
      <w:r w:rsidRPr="007E130D">
        <w:rPr>
          <w:color w:val="000000"/>
        </w:rPr>
        <w:t xml:space="preserve">La première session de la Réunion de préparation à la Conférence de </w:t>
      </w:r>
      <w:r w:rsidR="002C4921" w:rsidRPr="007E130D">
        <w:rPr>
          <w:color w:val="000000"/>
        </w:rPr>
        <w:t>2023</w:t>
      </w:r>
      <w:r w:rsidRPr="007E130D">
        <w:rPr>
          <w:color w:val="000000"/>
        </w:rPr>
        <w:t xml:space="preserve"> (RPC</w:t>
      </w:r>
      <w:r w:rsidR="002C4921" w:rsidRPr="007E130D">
        <w:rPr>
          <w:color w:val="000000"/>
        </w:rPr>
        <w:t>23</w:t>
      </w:r>
      <w:r w:rsidRPr="007E130D">
        <w:rPr>
          <w:color w:val="000000"/>
        </w:rPr>
        <w:t>-1) s'est tenue à </w:t>
      </w:r>
      <w:r w:rsidR="002C4921" w:rsidRPr="007E130D">
        <w:rPr>
          <w:color w:val="000000"/>
        </w:rPr>
        <w:t xml:space="preserve">Charm el-Cheikh (Égypte) </w:t>
      </w:r>
      <w:r w:rsidRPr="007E130D">
        <w:rPr>
          <w:color w:val="000000"/>
        </w:rPr>
        <w:t xml:space="preserve">les </w:t>
      </w:r>
      <w:r w:rsidR="002C4921" w:rsidRPr="007E130D">
        <w:rPr>
          <w:color w:val="000000"/>
        </w:rPr>
        <w:t>25-26</w:t>
      </w:r>
      <w:r w:rsidRPr="007E130D">
        <w:rPr>
          <w:color w:val="000000"/>
        </w:rPr>
        <w:t xml:space="preserve"> novembre </w:t>
      </w:r>
      <w:r w:rsidR="002C4921" w:rsidRPr="007E130D">
        <w:rPr>
          <w:color w:val="000000"/>
        </w:rPr>
        <w:t>2019</w:t>
      </w:r>
      <w:r w:rsidRPr="007E130D">
        <w:rPr>
          <w:color w:val="000000"/>
        </w:rPr>
        <w:t>, en vue d'organiser les études préparatoires pour la CMR-</w:t>
      </w:r>
      <w:r w:rsidR="00763A08" w:rsidRPr="007E130D">
        <w:rPr>
          <w:color w:val="000000"/>
        </w:rPr>
        <w:t>23</w:t>
      </w:r>
      <w:r w:rsidRPr="007E130D">
        <w:rPr>
          <w:color w:val="000000"/>
        </w:rPr>
        <w:t xml:space="preserve">. Elle a également déterminé les études préparatoires à effectuer pour la CMR suivante. Elle a approuvé une structure pour </w:t>
      </w:r>
      <w:r w:rsidR="00CB7014" w:rsidRPr="007E130D">
        <w:rPr>
          <w:color w:val="000000"/>
        </w:rPr>
        <w:t>le Rapport de la RPC à la CMR-23</w:t>
      </w:r>
      <w:r w:rsidRPr="007E130D">
        <w:rPr>
          <w:color w:val="000000"/>
        </w:rPr>
        <w:t xml:space="preserve"> ainsi qu'un processus préparatoire, des méthodes de travail et une structure par chapitre. Elle a en outre nommé pour chaque chapitre un Rapporteur </w:t>
      </w:r>
      <w:r w:rsidR="00CB7014" w:rsidRPr="007E130D">
        <w:rPr>
          <w:color w:val="000000"/>
        </w:rPr>
        <w:t xml:space="preserve">ou des Corapporteurs </w:t>
      </w:r>
      <w:r w:rsidRPr="007E130D">
        <w:t>chargé</w:t>
      </w:r>
      <w:r w:rsidR="00CB7014" w:rsidRPr="007E130D">
        <w:t>s</w:t>
      </w:r>
      <w:r w:rsidRPr="007E130D">
        <w:rPr>
          <w:color w:val="000000"/>
        </w:rPr>
        <w:t xml:space="preserve"> d'aider le Président à gérer l'élaboration et le flux des contributions pour le projet de rapport. Les résultats de la RPC</w:t>
      </w:r>
      <w:r w:rsidR="00763A08" w:rsidRPr="007E130D">
        <w:rPr>
          <w:color w:val="000000"/>
        </w:rPr>
        <w:t>23</w:t>
      </w:r>
      <w:r w:rsidRPr="007E130D">
        <w:rPr>
          <w:color w:val="000000"/>
        </w:rPr>
        <w:t xml:space="preserve">-1 ont été publiés dans la Circulaire administrative </w:t>
      </w:r>
      <w:hyperlink r:id="rId62" w:history="1">
        <w:r w:rsidR="00763A08" w:rsidRPr="007E130D">
          <w:rPr>
            <w:rStyle w:val="Hyperlink"/>
          </w:rPr>
          <w:t>CA/251</w:t>
        </w:r>
      </w:hyperlink>
      <w:r w:rsidR="00763A08" w:rsidRPr="007E130D">
        <w:rPr>
          <w:color w:val="000000"/>
        </w:rPr>
        <w:t xml:space="preserve"> </w:t>
      </w:r>
      <w:r w:rsidRPr="007E130D">
        <w:rPr>
          <w:color w:val="000000"/>
        </w:rPr>
        <w:t>du Bureau des r</w:t>
      </w:r>
      <w:r w:rsidR="00CB7014" w:rsidRPr="007E130D">
        <w:rPr>
          <w:color w:val="000000"/>
        </w:rPr>
        <w:t>adiocommunications en date du 19 décembre 2019</w:t>
      </w:r>
      <w:r w:rsidRPr="007E130D">
        <w:rPr>
          <w:color w:val="000000"/>
        </w:rPr>
        <w:t>.</w:t>
      </w:r>
    </w:p>
    <w:p w14:paraId="52D2E9A6" w14:textId="14D85C5E" w:rsidR="00A82EF2" w:rsidRPr="007E130D" w:rsidRDefault="00A82EF2" w:rsidP="00B20AC9">
      <w:r w:rsidRPr="007E130D">
        <w:t>Les travaux préparatoires de l'UIT-R pour la CMR-</w:t>
      </w:r>
      <w:r w:rsidR="00763A08" w:rsidRPr="007E130D">
        <w:t>23</w:t>
      </w:r>
      <w:r w:rsidRPr="007E130D">
        <w:t xml:space="preserve"> ont surtout été menés à bien par les groupes responsables ci-après (énumérés dans l'ordre des commissions d'études):</w:t>
      </w:r>
    </w:p>
    <w:p w14:paraId="005A7195" w14:textId="4A6D4EA3" w:rsidR="00A82EF2" w:rsidRPr="007E130D" w:rsidRDefault="00A82EF2" w:rsidP="00B20AC9">
      <w:r w:rsidRPr="007E130D">
        <w:rPr>
          <w:b/>
        </w:rPr>
        <w:t>Commission d'études 4</w:t>
      </w:r>
      <w:r w:rsidRPr="007E130D">
        <w:t xml:space="preserve">, présidée par M. </w:t>
      </w:r>
      <w:r w:rsidR="00763A08" w:rsidRPr="007E130D">
        <w:t>Victor Strelets (Fédération de Russie)</w:t>
      </w:r>
      <w:r w:rsidRPr="007E130D">
        <w:t>, GT 4A, présidé par M. J</w:t>
      </w:r>
      <w:r w:rsidR="00763A08" w:rsidRPr="007E130D">
        <w:t>ack</w:t>
      </w:r>
      <w:r w:rsidRPr="007E130D">
        <w:t> Wengryniuk (États-Unis d'Amérique), et GT</w:t>
      </w:r>
      <w:r w:rsidR="00763A08" w:rsidRPr="007E130D">
        <w:t> </w:t>
      </w:r>
      <w:r w:rsidRPr="007E130D">
        <w:t>4C, présidé par M. Nobuyuki Kawai (Japon)</w:t>
      </w:r>
      <w:r w:rsidR="00AD2457" w:rsidRPr="007E130D">
        <w:t>.</w:t>
      </w:r>
    </w:p>
    <w:p w14:paraId="28C4004D" w14:textId="558C13BF" w:rsidR="00763A08" w:rsidRPr="007E130D" w:rsidRDefault="00A82EF2" w:rsidP="00B20AC9">
      <w:pPr>
        <w:tabs>
          <w:tab w:val="left" w:pos="1701"/>
        </w:tabs>
      </w:pPr>
      <w:r w:rsidRPr="007E130D">
        <w:rPr>
          <w:b/>
          <w:bCs/>
        </w:rPr>
        <w:t>Commission d'études 5</w:t>
      </w:r>
      <w:r w:rsidRPr="007E130D">
        <w:t xml:space="preserve">, présidée par </w:t>
      </w:r>
      <w:r w:rsidR="009576FC" w:rsidRPr="007E130D">
        <w:t xml:space="preserve">M. </w:t>
      </w:r>
      <w:r w:rsidRPr="007E130D">
        <w:t>M</w:t>
      </w:r>
      <w:r w:rsidR="00763A08" w:rsidRPr="007E130D">
        <w:t>artin</w:t>
      </w:r>
      <w:r w:rsidRPr="007E130D">
        <w:t xml:space="preserve"> Fenton (Royaume-Uni de Grande-Bretagne et d'Irlande du Nord), GT 5A, présidé par M. J</w:t>
      </w:r>
      <w:r w:rsidR="00763A08" w:rsidRPr="007E130D">
        <w:t>osé</w:t>
      </w:r>
      <w:r w:rsidRPr="007E130D">
        <w:t xml:space="preserve"> Costa (Canada) et GT 5B, présidé par M.</w:t>
      </w:r>
      <w:r w:rsidR="00077AD9" w:rsidRPr="007E130D">
        <w:t> </w:t>
      </w:r>
      <w:r w:rsidRPr="007E130D">
        <w:t>J</w:t>
      </w:r>
      <w:r w:rsidR="00763A08" w:rsidRPr="007E130D">
        <w:t>ohn</w:t>
      </w:r>
      <w:r w:rsidR="00077AD9" w:rsidRPr="007E130D">
        <w:t> </w:t>
      </w:r>
      <w:r w:rsidRPr="007E130D">
        <w:t>Mettrop (Royaume</w:t>
      </w:r>
      <w:r w:rsidRPr="007E130D">
        <w:noBreakHyphen/>
        <w:t>Uni de Grande-Bretagne et d'Irlande du Nord), GT 5C, présidé par M.</w:t>
      </w:r>
      <w:r w:rsidR="00077AD9" w:rsidRPr="007E130D">
        <w:t> </w:t>
      </w:r>
      <w:r w:rsidRPr="007E130D">
        <w:t>P</w:t>
      </w:r>
      <w:r w:rsidR="00763A08" w:rsidRPr="007E130D">
        <w:t>ietro</w:t>
      </w:r>
      <w:r w:rsidRPr="007E130D">
        <w:t xml:space="preserve"> Nava (Italie), GT 5D, présidé par M. S</w:t>
      </w:r>
      <w:r w:rsidR="00763A08" w:rsidRPr="007E130D">
        <w:t>tephen</w:t>
      </w:r>
      <w:r w:rsidRPr="007E130D">
        <w:t xml:space="preserve"> Blust (États-Unis d'Amérique)</w:t>
      </w:r>
      <w:r w:rsidR="00AD2457" w:rsidRPr="007E130D">
        <w:t>.</w:t>
      </w:r>
    </w:p>
    <w:p w14:paraId="024C5309" w14:textId="5B3BF072" w:rsidR="00A82EF2" w:rsidRPr="007E130D" w:rsidRDefault="00763A08" w:rsidP="00B20AC9">
      <w:pPr>
        <w:tabs>
          <w:tab w:val="left" w:pos="1701"/>
        </w:tabs>
      </w:pPr>
      <w:r w:rsidRPr="007E130D">
        <w:rPr>
          <w:b/>
          <w:bCs/>
        </w:rPr>
        <w:t>Commission d'études 6</w:t>
      </w:r>
      <w:r w:rsidRPr="007E130D">
        <w:t>, présidée par M. Yukihiro Nishida (Japon),</w:t>
      </w:r>
      <w:r w:rsidR="00A82EF2" w:rsidRPr="007E130D">
        <w:t xml:space="preserve"> et Groupe d'action </w:t>
      </w:r>
      <w:r w:rsidRPr="007E130D">
        <w:t>6</w:t>
      </w:r>
      <w:r w:rsidR="00A82EF2" w:rsidRPr="007E130D">
        <w:t>/1, présidé par</w:t>
      </w:r>
      <w:r w:rsidR="00077AD9" w:rsidRPr="007E130D">
        <w:t xml:space="preserve"> </w:t>
      </w:r>
      <w:r w:rsidRPr="007E130D">
        <w:t>M. Sergey Pastukh (Fédération de Russie)</w:t>
      </w:r>
      <w:r w:rsidR="00AD2457" w:rsidRPr="007E130D">
        <w:t>.</w:t>
      </w:r>
    </w:p>
    <w:p w14:paraId="451A1F97" w14:textId="25B47061" w:rsidR="00A82EF2" w:rsidRPr="007E130D" w:rsidRDefault="00A82EF2" w:rsidP="00B20AC9">
      <w:r w:rsidRPr="007E130D">
        <w:rPr>
          <w:b/>
        </w:rPr>
        <w:t>Commission d'études 7</w:t>
      </w:r>
      <w:r w:rsidRPr="007E130D">
        <w:t>, présidée par M. J</w:t>
      </w:r>
      <w:r w:rsidR="00763A08" w:rsidRPr="007E130D">
        <w:t>ohn</w:t>
      </w:r>
      <w:r w:rsidRPr="007E130D">
        <w:t xml:space="preserve"> Zuzek (États-Unis d'Amérique), GT 7B présidé par </w:t>
      </w:r>
      <w:r w:rsidR="00763A08" w:rsidRPr="007E130D">
        <w:t xml:space="preserve">Mme Catherin Sham </w:t>
      </w:r>
      <w:r w:rsidRPr="007E130D">
        <w:t xml:space="preserve">(États-Unis d'Amérique), et GT 7C, présidé par M. </w:t>
      </w:r>
      <w:r w:rsidR="00077AD9" w:rsidRPr="007E130D">
        <w:t>M</w:t>
      </w:r>
      <w:r w:rsidR="00301E8E" w:rsidRPr="007E130D">
        <w:t>arkus</w:t>
      </w:r>
      <w:r w:rsidR="00077AD9" w:rsidRPr="007E130D">
        <w:t xml:space="preserve"> </w:t>
      </w:r>
      <w:r w:rsidRPr="007E130D">
        <w:t>Dreis (Allemagne</w:t>
      </w:r>
      <w:r w:rsidR="00077AD9" w:rsidRPr="007E130D">
        <w:t> </w:t>
      </w:r>
      <w:r w:rsidRPr="007E130D">
        <w:t>(République fédérale d'))</w:t>
      </w:r>
      <w:r w:rsidR="00AD2457" w:rsidRPr="007E130D">
        <w:t>.</w:t>
      </w:r>
    </w:p>
    <w:p w14:paraId="163ABADA" w14:textId="139675BB" w:rsidR="00A82EF2" w:rsidRPr="007E130D" w:rsidRDefault="00A82EF2" w:rsidP="00B20AC9">
      <w:r w:rsidRPr="007E130D">
        <w:t>Les textes du projet de rapport de la RPC ont été établis par les groupes responsables désignés par la RPC</w:t>
      </w:r>
      <w:r w:rsidR="00763A08" w:rsidRPr="007E130D">
        <w:t>23</w:t>
      </w:r>
      <w:r w:rsidRPr="007E130D">
        <w:t xml:space="preserve">-1 et ont été remis par les Présidents de ces groupes aux Rapporteurs </w:t>
      </w:r>
      <w:r w:rsidR="00170040" w:rsidRPr="007E130D">
        <w:t xml:space="preserve">ou Corapporteurs </w:t>
      </w:r>
      <w:r w:rsidRPr="007E130D">
        <w:t xml:space="preserve">chargés des chapitres du </w:t>
      </w:r>
      <w:r w:rsidRPr="007E130D">
        <w:rPr>
          <w:color w:val="000000"/>
        </w:rPr>
        <w:t>Rapport de la RPC-</w:t>
      </w:r>
      <w:r w:rsidR="00763A08" w:rsidRPr="007E130D">
        <w:rPr>
          <w:color w:val="000000"/>
        </w:rPr>
        <w:t>23</w:t>
      </w:r>
      <w:r w:rsidRPr="007E130D">
        <w:rPr>
          <w:color w:val="000000"/>
        </w:rPr>
        <w:t>.</w:t>
      </w:r>
    </w:p>
    <w:p w14:paraId="661F0340" w14:textId="1E26A65B" w:rsidR="00A82EF2" w:rsidRPr="007E130D" w:rsidRDefault="00A82EF2" w:rsidP="00B20AC9">
      <w:r w:rsidRPr="007E130D">
        <w:t>Les travaux ont été coordonnés par le Président de la RPC</w:t>
      </w:r>
      <w:r w:rsidRPr="007E130D">
        <w:noBreakHyphen/>
      </w:r>
      <w:r w:rsidR="00763A08" w:rsidRPr="007E130D">
        <w:t>23</w:t>
      </w:r>
      <w:r w:rsidRPr="007E130D">
        <w:t>, en concertation avec l'équipe</w:t>
      </w:r>
      <w:r w:rsidR="00077AD9" w:rsidRPr="007E130D">
        <w:t xml:space="preserve"> </w:t>
      </w:r>
      <w:r w:rsidRPr="007E130D">
        <w:t>de</w:t>
      </w:r>
      <w:r w:rsidR="00077AD9" w:rsidRPr="007E130D">
        <w:t xml:space="preserve"> </w:t>
      </w:r>
      <w:r w:rsidRPr="007E130D">
        <w:t>gestion de la RPC-</w:t>
      </w:r>
      <w:r w:rsidR="00763A08" w:rsidRPr="007E130D">
        <w:t>23</w:t>
      </w:r>
      <w:r w:rsidRPr="007E130D">
        <w:t>, telle qu'elle est définie aux § </w:t>
      </w:r>
      <w:r w:rsidR="00763A08" w:rsidRPr="007E130D">
        <w:t xml:space="preserve">3, </w:t>
      </w:r>
      <w:r w:rsidRPr="007E130D">
        <w:t>5 et 6 de l'Annexe 1 de la Résolution UIT</w:t>
      </w:r>
      <w:r w:rsidRPr="007E130D">
        <w:noBreakHyphen/>
        <w:t>R 2</w:t>
      </w:r>
      <w:r w:rsidRPr="007E130D">
        <w:noBreakHyphen/>
      </w:r>
      <w:r w:rsidR="00407C06" w:rsidRPr="007E130D">
        <w:t>8</w:t>
      </w:r>
      <w:r w:rsidRPr="007E130D">
        <w:t>.</w:t>
      </w:r>
    </w:p>
    <w:p w14:paraId="4ECCA815" w14:textId="7CA70E1B" w:rsidR="00A82EF2" w:rsidRPr="007E130D" w:rsidRDefault="00A82EF2" w:rsidP="00B20AC9">
      <w:r w:rsidRPr="007E130D">
        <w:t>Conformément au § 6 de l'Annexe 1 de la Résolution UIT-R 2-</w:t>
      </w:r>
      <w:r w:rsidR="00407C06" w:rsidRPr="007E130D">
        <w:t>8</w:t>
      </w:r>
      <w:r w:rsidRPr="007E130D">
        <w:t>, l'Équipe de gestion de la RPC-</w:t>
      </w:r>
      <w:r w:rsidR="00407C06" w:rsidRPr="007E130D">
        <w:t>23</w:t>
      </w:r>
      <w:r w:rsidRPr="007E130D">
        <w:t xml:space="preserve"> s'est réunie les </w:t>
      </w:r>
      <w:r w:rsidR="00407C06" w:rsidRPr="007E130D">
        <w:t>9</w:t>
      </w:r>
      <w:r w:rsidRPr="007E130D">
        <w:t xml:space="preserve"> et </w:t>
      </w:r>
      <w:r w:rsidR="00407C06" w:rsidRPr="007E130D">
        <w:t xml:space="preserve">10 novembre 2022 </w:t>
      </w:r>
      <w:r w:rsidRPr="007E130D">
        <w:t>à Genève. Elle a élaboré le projet de rapport de synthèse de la RPC, qui a été mis à disposition dans les six langues avant le délai prescrit dans la Résolution</w:t>
      </w:r>
      <w:r w:rsidR="00077AD9" w:rsidRPr="007E130D">
        <w:t> </w:t>
      </w:r>
      <w:r w:rsidRPr="007E130D">
        <w:t>UIT-R 2-</w:t>
      </w:r>
      <w:r w:rsidR="00407C06" w:rsidRPr="007E130D">
        <w:t>8</w:t>
      </w:r>
      <w:r w:rsidRPr="007E130D">
        <w:t xml:space="preserve">, ainsi qu'à tous les États Membres et Membres du Secteur des radiocommunications (Document </w:t>
      </w:r>
      <w:hyperlink r:id="rId63" w:history="1">
        <w:r w:rsidRPr="007E130D">
          <w:rPr>
            <w:rStyle w:val="Hyperlink"/>
          </w:rPr>
          <w:t>CPM</w:t>
        </w:r>
        <w:r w:rsidR="00407C06" w:rsidRPr="007E130D">
          <w:rPr>
            <w:rStyle w:val="Hyperlink"/>
          </w:rPr>
          <w:t>23</w:t>
        </w:r>
        <w:r w:rsidRPr="007E130D">
          <w:rPr>
            <w:rStyle w:val="Hyperlink"/>
          </w:rPr>
          <w:noBreakHyphen/>
          <w:t>2/1</w:t>
        </w:r>
      </w:hyperlink>
      <w:r w:rsidRPr="007E130D">
        <w:t>).</w:t>
      </w:r>
    </w:p>
    <w:p w14:paraId="1C5914CF" w14:textId="6E4C95D3" w:rsidR="00A82EF2" w:rsidRPr="007E130D" w:rsidRDefault="00A82EF2" w:rsidP="00B20AC9">
      <w:r w:rsidRPr="007E130D">
        <w:lastRenderedPageBreak/>
        <w:t>Le Directeur a présenté à la seconde session de la RPC-</w:t>
      </w:r>
      <w:r w:rsidR="00407C06" w:rsidRPr="007E130D">
        <w:t>23</w:t>
      </w:r>
      <w:r w:rsidRPr="007E130D">
        <w:t xml:space="preserve"> (RPC</w:t>
      </w:r>
      <w:r w:rsidR="00407C06" w:rsidRPr="007E130D">
        <w:t>23</w:t>
      </w:r>
      <w:r w:rsidRPr="007E130D">
        <w:t>-2) des rapports sur les points 2 et 4 de l'ordre du jour de la CMR-</w:t>
      </w:r>
      <w:r w:rsidR="00407C06" w:rsidRPr="007E130D">
        <w:t>23</w:t>
      </w:r>
      <w:r w:rsidRPr="007E130D">
        <w:t xml:space="preserve"> (voir respectivement les Documents RPC</w:t>
      </w:r>
      <w:r w:rsidR="00407C06" w:rsidRPr="007E130D">
        <w:t>23</w:t>
      </w:r>
      <w:r w:rsidRPr="007E130D">
        <w:t>-2/</w:t>
      </w:r>
      <w:r w:rsidR="00407C06" w:rsidRPr="007E130D">
        <w:t>3</w:t>
      </w:r>
      <w:r w:rsidRPr="007E130D">
        <w:t xml:space="preserve"> et 7).</w:t>
      </w:r>
    </w:p>
    <w:p w14:paraId="2080013F" w14:textId="31D7CB9D" w:rsidR="00A82EF2" w:rsidRPr="007E130D" w:rsidRDefault="00A82EF2" w:rsidP="00B20AC9">
      <w:r w:rsidRPr="007E130D">
        <w:t xml:space="preserve">La </w:t>
      </w:r>
      <w:r w:rsidR="00407C06" w:rsidRPr="007E130D">
        <w:t>RPC-23 (</w:t>
      </w:r>
      <w:r w:rsidRPr="007E130D">
        <w:t>RPC</w:t>
      </w:r>
      <w:r w:rsidR="00407C06" w:rsidRPr="007E130D">
        <w:t>23</w:t>
      </w:r>
      <w:r w:rsidRPr="007E130D">
        <w:t>-2</w:t>
      </w:r>
      <w:r w:rsidR="00407C06" w:rsidRPr="007E130D">
        <w:t>)</w:t>
      </w:r>
      <w:r w:rsidRPr="007E130D">
        <w:t xml:space="preserve"> s'est réunie à Genève du </w:t>
      </w:r>
      <w:r w:rsidR="00407C06" w:rsidRPr="007E130D">
        <w:t>27 mars au 10 avril 2023</w:t>
      </w:r>
      <w:r w:rsidRPr="007E130D">
        <w:t xml:space="preserve">, sous la présidence de </w:t>
      </w:r>
      <w:r w:rsidR="00407C06" w:rsidRPr="007E130D">
        <w:t>Mme Cindy Cook (Canada)</w:t>
      </w:r>
      <w:r w:rsidRPr="007E130D">
        <w:t xml:space="preserve">, </w:t>
      </w:r>
      <w:r w:rsidRPr="007E130D">
        <w:rPr>
          <w:color w:val="000000"/>
        </w:rPr>
        <w:t>pour examiner le projet de Rapport de la RPC, les contributions des membres de l'UIT et les autres documents soumis par le Bureau des radiocommunications.</w:t>
      </w:r>
    </w:p>
    <w:p w14:paraId="69BCA2A1" w14:textId="1F5E3537" w:rsidR="00A82EF2" w:rsidRPr="007E130D" w:rsidRDefault="00A82EF2" w:rsidP="00B20AC9">
      <w:pPr>
        <w:rPr>
          <w:color w:val="000000"/>
        </w:rPr>
      </w:pPr>
      <w:r w:rsidRPr="007E130D">
        <w:rPr>
          <w:color w:val="000000"/>
        </w:rPr>
        <w:t>La RPC</w:t>
      </w:r>
      <w:r w:rsidR="00407C06" w:rsidRPr="007E130D">
        <w:rPr>
          <w:color w:val="000000"/>
        </w:rPr>
        <w:t>23</w:t>
      </w:r>
      <w:r w:rsidRPr="007E130D">
        <w:rPr>
          <w:color w:val="000000"/>
        </w:rPr>
        <w:t xml:space="preserve">-2 a réparti les travaux entre </w:t>
      </w:r>
      <w:r w:rsidR="00407C06" w:rsidRPr="007E130D">
        <w:rPr>
          <w:color w:val="000000"/>
        </w:rPr>
        <w:t xml:space="preserve">cinq </w:t>
      </w:r>
      <w:r w:rsidRPr="007E130D">
        <w:rPr>
          <w:color w:val="000000"/>
        </w:rPr>
        <w:t xml:space="preserve">groupes de travail selon la structure par chapitre qui avait été arrêtée. Un grand nombre de sous-groupes ont également été constitués, parmi lesquels un groupe de rédaction de la plénière chargé d'examiner le </w:t>
      </w:r>
      <w:r w:rsidR="00170040" w:rsidRPr="007E130D">
        <w:rPr>
          <w:color w:val="000000"/>
        </w:rPr>
        <w:t>point 10 de l</w:t>
      </w:r>
      <w:r w:rsidR="00077AD9" w:rsidRPr="007E130D">
        <w:rPr>
          <w:color w:val="000000"/>
        </w:rPr>
        <w:t>'</w:t>
      </w:r>
      <w:r w:rsidR="00170040" w:rsidRPr="007E130D">
        <w:rPr>
          <w:color w:val="000000"/>
        </w:rPr>
        <w:t>ordre du jour de la CMR-23</w:t>
      </w:r>
      <w:r w:rsidRPr="007E130D">
        <w:rPr>
          <w:color w:val="000000"/>
        </w:rPr>
        <w:t>.</w:t>
      </w:r>
    </w:p>
    <w:p w14:paraId="04B7E50A" w14:textId="3E43F04B" w:rsidR="00A82EF2" w:rsidRPr="007E130D" w:rsidRDefault="00A82EF2" w:rsidP="00B20AC9">
      <w:pPr>
        <w:pStyle w:val="TableNo"/>
      </w:pPr>
      <w:r w:rsidRPr="007E130D">
        <w:t>tableAU 4.3</w:t>
      </w:r>
      <w:r w:rsidR="00407C06" w:rsidRPr="007E130D">
        <w:t>.</w:t>
      </w:r>
      <w:r w:rsidRPr="007E130D">
        <w:t>1</w:t>
      </w:r>
      <w:r w:rsidR="00407C06" w:rsidRPr="007E130D">
        <w:t>-1</w:t>
      </w:r>
    </w:p>
    <w:p w14:paraId="1DDA6F5A" w14:textId="4F663002" w:rsidR="00A82EF2" w:rsidRPr="007E130D" w:rsidRDefault="00A82EF2" w:rsidP="00B20AC9">
      <w:pPr>
        <w:pStyle w:val="Tabletitle"/>
      </w:pPr>
      <w:r w:rsidRPr="007E130D">
        <w:t xml:space="preserve">Structure du rapport de la </w:t>
      </w:r>
      <w:r w:rsidR="00407C06" w:rsidRPr="007E130D">
        <w:t>RPC23</w:t>
      </w:r>
      <w:r w:rsidRPr="007E130D">
        <w:t>-2</w:t>
      </w:r>
    </w:p>
    <w:tbl>
      <w:tblPr>
        <w:tblW w:w="8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11"/>
        <w:gridCol w:w="4177"/>
        <w:gridCol w:w="2222"/>
      </w:tblGrid>
      <w:tr w:rsidR="00A82EF2" w:rsidRPr="007E130D" w14:paraId="750266E4" w14:textId="77777777" w:rsidTr="00077AD9">
        <w:trPr>
          <w:jc w:val="center"/>
        </w:trPr>
        <w:tc>
          <w:tcPr>
            <w:tcW w:w="1911" w:type="dxa"/>
            <w:vAlign w:val="center"/>
          </w:tcPr>
          <w:p w14:paraId="5FEE8471" w14:textId="1E4C9080" w:rsidR="00A82EF2" w:rsidRPr="007E130D" w:rsidRDefault="00A82EF2" w:rsidP="00B20AC9">
            <w:pPr>
              <w:pStyle w:val="Tablehead"/>
            </w:pPr>
            <w:r w:rsidRPr="007E130D">
              <w:t>Groupes de la RPC</w:t>
            </w:r>
            <w:r w:rsidR="00407C06" w:rsidRPr="007E130D">
              <w:t>23</w:t>
            </w:r>
            <w:r w:rsidRPr="007E130D">
              <w:t>-2</w:t>
            </w:r>
          </w:p>
        </w:tc>
        <w:tc>
          <w:tcPr>
            <w:tcW w:w="4177" w:type="dxa"/>
            <w:vAlign w:val="center"/>
          </w:tcPr>
          <w:p w14:paraId="4B720E90" w14:textId="11976345" w:rsidR="00407C06" w:rsidRPr="007E130D" w:rsidRDefault="00A82EF2" w:rsidP="00077AD9">
            <w:pPr>
              <w:pStyle w:val="Tablehead"/>
            </w:pPr>
            <w:r w:rsidRPr="007E130D">
              <w:t>Sujet</w:t>
            </w:r>
            <w:r w:rsidR="00077AD9" w:rsidRPr="007E130D">
              <w:br/>
            </w:r>
            <w:r w:rsidR="00407C06" w:rsidRPr="007E130D">
              <w:t>(</w:t>
            </w:r>
            <w:r w:rsidR="009241D6" w:rsidRPr="007E130D">
              <w:t>points de l</w:t>
            </w:r>
            <w:r w:rsidR="00077AD9" w:rsidRPr="007E130D">
              <w:t>'</w:t>
            </w:r>
            <w:r w:rsidR="009241D6" w:rsidRPr="007E130D">
              <w:t>ordre du jour</w:t>
            </w:r>
            <w:r w:rsidR="00C3678E" w:rsidRPr="007E130D">
              <w:t xml:space="preserve"> </w:t>
            </w:r>
            <w:r w:rsidR="009241D6" w:rsidRPr="007E130D">
              <w:t>de la CMR</w:t>
            </w:r>
            <w:r w:rsidR="00407C06" w:rsidRPr="007E130D">
              <w:noBreakHyphen/>
              <w:t>23)</w:t>
            </w:r>
          </w:p>
        </w:tc>
        <w:tc>
          <w:tcPr>
            <w:tcW w:w="2222" w:type="dxa"/>
            <w:vAlign w:val="center"/>
          </w:tcPr>
          <w:p w14:paraId="71A57EE7" w14:textId="7A5034D2" w:rsidR="00A82EF2" w:rsidRPr="007E130D" w:rsidRDefault="00407C06" w:rsidP="00B20AC9">
            <w:pPr>
              <w:pStyle w:val="Tablehead"/>
            </w:pPr>
            <w:r w:rsidRPr="007E130D">
              <w:t xml:space="preserve">(Co-) </w:t>
            </w:r>
            <w:r w:rsidR="009241D6" w:rsidRPr="007E130D">
              <w:t>Président</w:t>
            </w:r>
            <w:r w:rsidRPr="007E130D">
              <w:t>(s)</w:t>
            </w:r>
          </w:p>
        </w:tc>
      </w:tr>
      <w:tr w:rsidR="00407C06" w:rsidRPr="007E130D" w14:paraId="7C78EF6B" w14:textId="77777777" w:rsidTr="00077AD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78322625" w14:textId="77777777" w:rsidR="00407C06" w:rsidRPr="007E130D" w:rsidRDefault="00407C06" w:rsidP="00A81345">
            <w:pPr>
              <w:pStyle w:val="Tabletext"/>
              <w:jc w:val="center"/>
            </w:pPr>
            <w:r w:rsidRPr="007E130D">
              <w:t>Groupe de travail 1</w:t>
            </w:r>
          </w:p>
        </w:tc>
        <w:tc>
          <w:tcPr>
            <w:tcW w:w="4177" w:type="dxa"/>
            <w:tcBorders>
              <w:top w:val="single" w:sz="6" w:space="0" w:color="auto"/>
              <w:left w:val="single" w:sz="6" w:space="0" w:color="auto"/>
              <w:bottom w:val="single" w:sz="6" w:space="0" w:color="auto"/>
              <w:right w:val="single" w:sz="6" w:space="0" w:color="auto"/>
            </w:tcBorders>
            <w:vAlign w:val="center"/>
          </w:tcPr>
          <w:p w14:paraId="36EE5A3E" w14:textId="72075093" w:rsidR="00407C06" w:rsidRPr="007E130D" w:rsidRDefault="00407C06" w:rsidP="00B20AC9">
            <w:pPr>
              <w:pStyle w:val="Tabletext"/>
            </w:pPr>
            <w:r w:rsidRPr="007E130D">
              <w:t>Chapitre 1</w:t>
            </w:r>
            <w:r w:rsidR="00752D37" w:rsidRPr="007E130D">
              <w:t xml:space="preserve">: </w:t>
            </w:r>
            <w:r w:rsidR="009241D6" w:rsidRPr="007E130D">
              <w:t>questions relatives aux services fixe, mobile et de radiodiffusion</w:t>
            </w:r>
            <w:r w:rsidR="00752D37" w:rsidRPr="007E130D">
              <w:br/>
              <w:t>(1.1, 1.2, 1.3, 1.4, 1.5)</w:t>
            </w:r>
          </w:p>
        </w:tc>
        <w:tc>
          <w:tcPr>
            <w:tcW w:w="2222" w:type="dxa"/>
            <w:tcBorders>
              <w:top w:val="single" w:sz="6" w:space="0" w:color="auto"/>
              <w:left w:val="single" w:sz="6" w:space="0" w:color="auto"/>
              <w:bottom w:val="single" w:sz="6" w:space="0" w:color="auto"/>
              <w:right w:val="single" w:sz="6" w:space="0" w:color="auto"/>
            </w:tcBorders>
            <w:vAlign w:val="center"/>
          </w:tcPr>
          <w:p w14:paraId="7108DFA7" w14:textId="77777777" w:rsidR="00407C06" w:rsidRPr="007E130D" w:rsidRDefault="00407C06" w:rsidP="00B20AC9">
            <w:pPr>
              <w:pStyle w:val="Tabletext"/>
              <w:tabs>
                <w:tab w:val="clear" w:pos="284"/>
                <w:tab w:val="clear" w:pos="567"/>
                <w:tab w:val="clear" w:pos="851"/>
                <w:tab w:val="clear" w:pos="1418"/>
              </w:tabs>
              <w:ind w:left="28"/>
            </w:pPr>
            <w:r w:rsidRPr="007E130D">
              <w:t>M. H. Atarashi (J)</w:t>
            </w:r>
            <w:r w:rsidRPr="007E130D">
              <w:br/>
              <w:t>M. U.A. Mahmud (NIG)</w:t>
            </w:r>
          </w:p>
        </w:tc>
      </w:tr>
      <w:tr w:rsidR="00407C06" w:rsidRPr="007E130D" w14:paraId="0CC7996D" w14:textId="77777777" w:rsidTr="00077AD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4685CF7C" w14:textId="77777777" w:rsidR="00407C06" w:rsidRPr="007E130D" w:rsidRDefault="00407C06" w:rsidP="00A81345">
            <w:pPr>
              <w:pStyle w:val="Tabletext"/>
              <w:jc w:val="center"/>
            </w:pPr>
            <w:r w:rsidRPr="007E130D">
              <w:t>Groupe de travail 2</w:t>
            </w:r>
          </w:p>
        </w:tc>
        <w:tc>
          <w:tcPr>
            <w:tcW w:w="4177" w:type="dxa"/>
            <w:tcBorders>
              <w:top w:val="single" w:sz="6" w:space="0" w:color="auto"/>
              <w:left w:val="single" w:sz="6" w:space="0" w:color="auto"/>
              <w:bottom w:val="single" w:sz="6" w:space="0" w:color="auto"/>
              <w:right w:val="single" w:sz="6" w:space="0" w:color="auto"/>
            </w:tcBorders>
            <w:vAlign w:val="center"/>
          </w:tcPr>
          <w:p w14:paraId="1675AC61" w14:textId="27E22766" w:rsidR="009241D6" w:rsidRPr="007E130D" w:rsidRDefault="00407C06" w:rsidP="00B20AC9">
            <w:pPr>
              <w:pStyle w:val="Tabletext"/>
            </w:pPr>
            <w:r w:rsidRPr="007E130D">
              <w:t>Chapitre 2</w:t>
            </w:r>
            <w:r w:rsidR="00077AD9" w:rsidRPr="007E130D">
              <w:t xml:space="preserve">: </w:t>
            </w:r>
            <w:r w:rsidR="009241D6" w:rsidRPr="007E130D">
              <w:t>questions relatives aux services aéronautique et maritime</w:t>
            </w:r>
          </w:p>
          <w:p w14:paraId="3B62C108" w14:textId="77777777" w:rsidR="00407C06" w:rsidRPr="007E130D" w:rsidRDefault="00752D37" w:rsidP="00B20AC9">
            <w:pPr>
              <w:pStyle w:val="Tabletext"/>
            </w:pPr>
            <w:r w:rsidRPr="007E130D">
              <w:t>(1.6, 1.7, 1.8, 1.9, 1.10, 1.11)</w:t>
            </w:r>
          </w:p>
        </w:tc>
        <w:tc>
          <w:tcPr>
            <w:tcW w:w="2222" w:type="dxa"/>
            <w:tcBorders>
              <w:top w:val="single" w:sz="6" w:space="0" w:color="auto"/>
              <w:left w:val="single" w:sz="6" w:space="0" w:color="auto"/>
              <w:bottom w:val="single" w:sz="6" w:space="0" w:color="auto"/>
              <w:right w:val="single" w:sz="6" w:space="0" w:color="auto"/>
            </w:tcBorders>
            <w:vAlign w:val="center"/>
          </w:tcPr>
          <w:p w14:paraId="569427CC" w14:textId="77777777" w:rsidR="00407C06" w:rsidRPr="007E130D" w:rsidRDefault="00407C06" w:rsidP="00B20AC9">
            <w:pPr>
              <w:pStyle w:val="Tabletext"/>
              <w:tabs>
                <w:tab w:val="clear" w:pos="284"/>
                <w:tab w:val="clear" w:pos="567"/>
                <w:tab w:val="clear" w:pos="851"/>
                <w:tab w:val="clear" w:pos="1418"/>
              </w:tabs>
              <w:ind w:left="28"/>
            </w:pPr>
            <w:r w:rsidRPr="007E130D">
              <w:rPr>
                <w:rFonts w:eastAsia="SimSun"/>
                <w:lang w:eastAsia="zh-CN"/>
              </w:rPr>
              <w:t>M. M. Alhassani (UAE)</w:t>
            </w:r>
          </w:p>
        </w:tc>
      </w:tr>
      <w:tr w:rsidR="00407C06" w:rsidRPr="007E130D" w14:paraId="579E1343" w14:textId="77777777" w:rsidTr="00077AD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605595AE" w14:textId="77777777" w:rsidR="00407C06" w:rsidRPr="007E130D" w:rsidRDefault="00407C06" w:rsidP="00077AD9">
            <w:pPr>
              <w:pStyle w:val="Tabletext"/>
              <w:jc w:val="center"/>
            </w:pPr>
            <w:r w:rsidRPr="007E130D">
              <w:t>Groupe de travail 3</w:t>
            </w:r>
          </w:p>
        </w:tc>
        <w:tc>
          <w:tcPr>
            <w:tcW w:w="4177" w:type="dxa"/>
            <w:tcBorders>
              <w:top w:val="single" w:sz="6" w:space="0" w:color="auto"/>
              <w:left w:val="single" w:sz="6" w:space="0" w:color="auto"/>
              <w:bottom w:val="single" w:sz="6" w:space="0" w:color="auto"/>
              <w:right w:val="single" w:sz="6" w:space="0" w:color="auto"/>
            </w:tcBorders>
            <w:vAlign w:val="center"/>
          </w:tcPr>
          <w:p w14:paraId="4E5C1F0F" w14:textId="2A0E3C83" w:rsidR="00407C06" w:rsidRPr="007E130D" w:rsidRDefault="00407C06" w:rsidP="00B20AC9">
            <w:pPr>
              <w:pStyle w:val="Tabletext"/>
            </w:pPr>
            <w:r w:rsidRPr="007E130D">
              <w:t>Chapitre 3</w:t>
            </w:r>
            <w:r w:rsidR="00752D37" w:rsidRPr="007E130D">
              <w:t xml:space="preserve">: </w:t>
            </w:r>
            <w:r w:rsidR="009241D6" w:rsidRPr="007E130D">
              <w:t>questions relatives aux services scientifiques</w:t>
            </w:r>
            <w:r w:rsidR="00752D37" w:rsidRPr="007E130D">
              <w:br/>
              <w:t>(1.12, 1.13, 1.14)</w:t>
            </w:r>
          </w:p>
        </w:tc>
        <w:tc>
          <w:tcPr>
            <w:tcW w:w="2222" w:type="dxa"/>
            <w:tcBorders>
              <w:top w:val="single" w:sz="6" w:space="0" w:color="auto"/>
              <w:left w:val="single" w:sz="6" w:space="0" w:color="auto"/>
              <w:bottom w:val="single" w:sz="6" w:space="0" w:color="auto"/>
              <w:right w:val="single" w:sz="6" w:space="0" w:color="auto"/>
            </w:tcBorders>
            <w:vAlign w:val="center"/>
          </w:tcPr>
          <w:p w14:paraId="3F205D0A" w14:textId="77777777" w:rsidR="00407C06" w:rsidRPr="007E130D" w:rsidRDefault="00407C06" w:rsidP="00B20AC9">
            <w:pPr>
              <w:pStyle w:val="Tabletext"/>
              <w:tabs>
                <w:tab w:val="clear" w:pos="284"/>
                <w:tab w:val="clear" w:pos="567"/>
                <w:tab w:val="clear" w:pos="851"/>
                <w:tab w:val="clear" w:pos="1418"/>
              </w:tabs>
              <w:ind w:left="28"/>
            </w:pPr>
            <w:r w:rsidRPr="007E130D">
              <w:t>M. T.A. Bakaus (B)</w:t>
            </w:r>
          </w:p>
        </w:tc>
      </w:tr>
      <w:tr w:rsidR="00407C06" w:rsidRPr="007E130D" w14:paraId="6A625A93" w14:textId="77777777" w:rsidTr="00077AD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6655C7E1" w14:textId="77777777" w:rsidR="00407C06" w:rsidRPr="007E130D" w:rsidRDefault="00407C06" w:rsidP="00077AD9">
            <w:pPr>
              <w:pStyle w:val="Tabletext"/>
              <w:jc w:val="center"/>
            </w:pPr>
            <w:r w:rsidRPr="007E130D">
              <w:t>Groupe de travail 4</w:t>
            </w:r>
          </w:p>
        </w:tc>
        <w:tc>
          <w:tcPr>
            <w:tcW w:w="4177" w:type="dxa"/>
            <w:tcBorders>
              <w:top w:val="single" w:sz="6" w:space="0" w:color="auto"/>
              <w:left w:val="single" w:sz="6" w:space="0" w:color="auto"/>
              <w:bottom w:val="single" w:sz="6" w:space="0" w:color="auto"/>
              <w:right w:val="single" w:sz="6" w:space="0" w:color="auto"/>
            </w:tcBorders>
            <w:vAlign w:val="center"/>
          </w:tcPr>
          <w:p w14:paraId="03E1FB14" w14:textId="60A9C049" w:rsidR="00407C06" w:rsidRPr="007E130D" w:rsidRDefault="00407C06" w:rsidP="00B20AC9">
            <w:pPr>
              <w:pStyle w:val="Tabletext"/>
            </w:pPr>
            <w:r w:rsidRPr="007E130D">
              <w:t>Chapitre 4</w:t>
            </w:r>
            <w:r w:rsidR="00752D37" w:rsidRPr="007E130D">
              <w:t xml:space="preserve">: </w:t>
            </w:r>
            <w:r w:rsidR="009241D6" w:rsidRPr="007E130D">
              <w:t>questions relatives aux services par satellite</w:t>
            </w:r>
            <w:r w:rsidR="00752D37" w:rsidRPr="007E130D">
              <w:t xml:space="preserve"> </w:t>
            </w:r>
            <w:r w:rsidR="00752D37" w:rsidRPr="007E130D">
              <w:br/>
              <w:t xml:space="preserve">(1.15, 1.16, 1.17, 1.18, 1.19, </w:t>
            </w:r>
            <w:r w:rsidR="00A81345" w:rsidRPr="007E130D">
              <w:t xml:space="preserve">et </w:t>
            </w:r>
            <w:r w:rsidR="00752D37" w:rsidRPr="007E130D">
              <w:t>7</w:t>
            </w:r>
            <w:r w:rsidR="002D42C2" w:rsidRPr="007E130D">
              <w:t xml:space="preserve">, Questions </w:t>
            </w:r>
            <w:r w:rsidR="00752D37" w:rsidRPr="007E130D">
              <w:t xml:space="preserve">A </w:t>
            </w:r>
            <w:r w:rsidR="002D42C2" w:rsidRPr="007E130D">
              <w:t>à </w:t>
            </w:r>
            <w:r w:rsidR="00752D37" w:rsidRPr="007E130D">
              <w:t>K)</w:t>
            </w:r>
          </w:p>
        </w:tc>
        <w:tc>
          <w:tcPr>
            <w:tcW w:w="2222" w:type="dxa"/>
            <w:tcBorders>
              <w:top w:val="single" w:sz="6" w:space="0" w:color="auto"/>
              <w:left w:val="single" w:sz="6" w:space="0" w:color="auto"/>
              <w:bottom w:val="single" w:sz="6" w:space="0" w:color="auto"/>
              <w:right w:val="single" w:sz="6" w:space="0" w:color="auto"/>
            </w:tcBorders>
            <w:vAlign w:val="center"/>
          </w:tcPr>
          <w:p w14:paraId="0F69D6CE" w14:textId="77777777" w:rsidR="00407C06" w:rsidRPr="007E130D" w:rsidRDefault="00407C06" w:rsidP="00B20AC9">
            <w:pPr>
              <w:pStyle w:val="Tabletext"/>
              <w:tabs>
                <w:tab w:val="clear" w:pos="284"/>
                <w:tab w:val="clear" w:pos="567"/>
                <w:tab w:val="clear" w:pos="851"/>
                <w:tab w:val="clear" w:pos="1418"/>
              </w:tabs>
              <w:ind w:left="28"/>
            </w:pPr>
            <w:r w:rsidRPr="007E130D">
              <w:t>Mme L. Ferreira (B)</w:t>
            </w:r>
            <w:r w:rsidRPr="007E130D">
              <w:br/>
              <w:t>M. G. Kwizera (RRW)</w:t>
            </w:r>
          </w:p>
        </w:tc>
      </w:tr>
      <w:tr w:rsidR="00407C06" w:rsidRPr="007E130D" w14:paraId="46FB51A3" w14:textId="77777777" w:rsidTr="00077AD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5A39AD04" w14:textId="77777777" w:rsidR="00407C06" w:rsidRPr="007E130D" w:rsidRDefault="00407C06" w:rsidP="00077AD9">
            <w:pPr>
              <w:pStyle w:val="Tabletext"/>
              <w:jc w:val="center"/>
            </w:pPr>
            <w:r w:rsidRPr="007E130D">
              <w:t>Groupe de travail 5</w:t>
            </w:r>
          </w:p>
        </w:tc>
        <w:tc>
          <w:tcPr>
            <w:tcW w:w="4177" w:type="dxa"/>
            <w:tcBorders>
              <w:top w:val="single" w:sz="6" w:space="0" w:color="auto"/>
              <w:left w:val="single" w:sz="6" w:space="0" w:color="auto"/>
              <w:bottom w:val="single" w:sz="6" w:space="0" w:color="auto"/>
              <w:right w:val="single" w:sz="6" w:space="0" w:color="auto"/>
            </w:tcBorders>
            <w:vAlign w:val="center"/>
          </w:tcPr>
          <w:p w14:paraId="71AF56B4" w14:textId="0CA85E88" w:rsidR="00407C06" w:rsidRPr="007E130D" w:rsidRDefault="00407C06" w:rsidP="00B20AC9">
            <w:pPr>
              <w:pStyle w:val="Tabletext"/>
            </w:pPr>
            <w:r w:rsidRPr="007E130D">
              <w:t>Chapitre 5</w:t>
            </w:r>
            <w:r w:rsidR="00752D37" w:rsidRPr="007E130D">
              <w:t>: questions de caractère général</w:t>
            </w:r>
            <w:r w:rsidR="00752D37" w:rsidRPr="007E130D">
              <w:br/>
              <w:t>(2, 4, 9.1</w:t>
            </w:r>
            <w:r w:rsidR="002D42C2" w:rsidRPr="007E130D">
              <w:t>,</w:t>
            </w:r>
            <w:r w:rsidR="00752D37" w:rsidRPr="007E130D">
              <w:t xml:space="preserve"> </w:t>
            </w:r>
            <w:r w:rsidR="002D42C2" w:rsidRPr="007E130D">
              <w:t>Questions</w:t>
            </w:r>
            <w:r w:rsidR="00752D37" w:rsidRPr="007E130D">
              <w:t xml:space="preserve"> a), b), c) </w:t>
            </w:r>
            <w:r w:rsidR="002D42C2" w:rsidRPr="007E130D">
              <w:t>et</w:t>
            </w:r>
            <w:r w:rsidR="00752D37" w:rsidRPr="007E130D">
              <w:t xml:space="preserve"> d))</w:t>
            </w:r>
          </w:p>
        </w:tc>
        <w:tc>
          <w:tcPr>
            <w:tcW w:w="2222" w:type="dxa"/>
            <w:tcBorders>
              <w:top w:val="single" w:sz="6" w:space="0" w:color="auto"/>
              <w:left w:val="single" w:sz="6" w:space="0" w:color="auto"/>
              <w:bottom w:val="single" w:sz="6" w:space="0" w:color="auto"/>
              <w:right w:val="single" w:sz="6" w:space="0" w:color="auto"/>
            </w:tcBorders>
            <w:vAlign w:val="center"/>
          </w:tcPr>
          <w:p w14:paraId="6E9E38F0" w14:textId="77777777" w:rsidR="00407C06" w:rsidRPr="007E130D" w:rsidRDefault="00407C06" w:rsidP="00B20AC9">
            <w:pPr>
              <w:pStyle w:val="Tabletext"/>
              <w:tabs>
                <w:tab w:val="clear" w:pos="284"/>
                <w:tab w:val="clear" w:pos="567"/>
                <w:tab w:val="clear" w:pos="851"/>
                <w:tab w:val="clear" w:pos="1418"/>
              </w:tabs>
              <w:ind w:left="28"/>
            </w:pPr>
            <w:r w:rsidRPr="007E130D">
              <w:t>M. J. Huang (CHN)</w:t>
            </w:r>
          </w:p>
        </w:tc>
      </w:tr>
      <w:tr w:rsidR="00407C06" w:rsidRPr="007E130D" w:rsidDel="00992A93" w14:paraId="6DAC976A" w14:textId="77777777" w:rsidTr="00077AD9">
        <w:trPr>
          <w:jc w:val="center"/>
        </w:trPr>
        <w:tc>
          <w:tcPr>
            <w:tcW w:w="1911" w:type="dxa"/>
            <w:tcBorders>
              <w:top w:val="single" w:sz="6" w:space="0" w:color="auto"/>
              <w:left w:val="single" w:sz="6" w:space="0" w:color="auto"/>
              <w:bottom w:val="single" w:sz="6" w:space="0" w:color="auto"/>
              <w:right w:val="single" w:sz="6" w:space="0" w:color="auto"/>
            </w:tcBorders>
            <w:vAlign w:val="center"/>
          </w:tcPr>
          <w:p w14:paraId="7EE6934B" w14:textId="77777777" w:rsidR="00407C06" w:rsidRPr="007E130D" w:rsidRDefault="00407C06" w:rsidP="00077AD9">
            <w:pPr>
              <w:pStyle w:val="Tabletext"/>
              <w:jc w:val="center"/>
            </w:pPr>
            <w:r w:rsidRPr="007E130D">
              <w:t>Groupe de rédaction de la plénière</w:t>
            </w:r>
          </w:p>
        </w:tc>
        <w:tc>
          <w:tcPr>
            <w:tcW w:w="4177" w:type="dxa"/>
            <w:tcBorders>
              <w:top w:val="single" w:sz="6" w:space="0" w:color="auto"/>
              <w:left w:val="single" w:sz="6" w:space="0" w:color="auto"/>
              <w:bottom w:val="single" w:sz="6" w:space="0" w:color="auto"/>
              <w:right w:val="single" w:sz="6" w:space="0" w:color="auto"/>
            </w:tcBorders>
            <w:vAlign w:val="center"/>
          </w:tcPr>
          <w:p w14:paraId="6EAD905D" w14:textId="7F3439DD" w:rsidR="00407C06" w:rsidRPr="007E130D" w:rsidRDefault="00752D37" w:rsidP="00B20AC9">
            <w:pPr>
              <w:pStyle w:val="Tabletext"/>
            </w:pPr>
            <w:r w:rsidRPr="007E130D">
              <w:t>Annexe 1 (10)</w:t>
            </w:r>
          </w:p>
        </w:tc>
        <w:tc>
          <w:tcPr>
            <w:tcW w:w="2222" w:type="dxa"/>
            <w:tcBorders>
              <w:top w:val="single" w:sz="6" w:space="0" w:color="auto"/>
              <w:left w:val="single" w:sz="6" w:space="0" w:color="auto"/>
              <w:bottom w:val="single" w:sz="6" w:space="0" w:color="auto"/>
              <w:right w:val="single" w:sz="6" w:space="0" w:color="auto"/>
            </w:tcBorders>
            <w:vAlign w:val="center"/>
          </w:tcPr>
          <w:p w14:paraId="13884430" w14:textId="1E2140FC" w:rsidR="00407C06" w:rsidRPr="007E130D" w:rsidRDefault="00752D37" w:rsidP="00B20AC9">
            <w:pPr>
              <w:pStyle w:val="Tabletext"/>
              <w:tabs>
                <w:tab w:val="clear" w:pos="284"/>
                <w:tab w:val="clear" w:pos="567"/>
                <w:tab w:val="clear" w:pos="851"/>
                <w:tab w:val="clear" w:pos="1418"/>
              </w:tabs>
              <w:ind w:left="6"/>
            </w:pPr>
            <w:r w:rsidRPr="007E130D">
              <w:t>M</w:t>
            </w:r>
            <w:r w:rsidR="00787255" w:rsidRPr="007E130D">
              <w:t>.</w:t>
            </w:r>
            <w:r w:rsidRPr="007E130D">
              <w:t xml:space="preserve"> A. Kühn (D)</w:t>
            </w:r>
          </w:p>
        </w:tc>
      </w:tr>
    </w:tbl>
    <w:p w14:paraId="11399D45" w14:textId="7208A914" w:rsidR="00A82EF2" w:rsidRPr="007E130D" w:rsidRDefault="00A82EF2" w:rsidP="00B20AC9">
      <w:pPr>
        <w:spacing w:before="240"/>
      </w:pPr>
      <w:r w:rsidRPr="007E130D">
        <w:t>Depuis la RPC</w:t>
      </w:r>
      <w:r w:rsidR="00752D37" w:rsidRPr="007E130D">
        <w:t>23</w:t>
      </w:r>
      <w:r w:rsidRPr="007E130D">
        <w:t>-2, le Rapport de la RPC figure parmi les contributions à la CMR-</w:t>
      </w:r>
      <w:r w:rsidR="00752D37" w:rsidRPr="007E130D">
        <w:t>23</w:t>
      </w:r>
      <w:r w:rsidRPr="007E130D">
        <w:t xml:space="preserve"> en tant que Document 3.</w:t>
      </w:r>
    </w:p>
    <w:p w14:paraId="6A5318EF" w14:textId="514B4958" w:rsidR="00A82EF2" w:rsidRPr="007E130D" w:rsidRDefault="00A82EF2" w:rsidP="00B20AC9">
      <w:r w:rsidRPr="007E130D">
        <w:t xml:space="preserve">Le rapport comprend </w:t>
      </w:r>
      <w:r w:rsidR="00752D37" w:rsidRPr="007E130D">
        <w:t xml:space="preserve">cinq </w:t>
      </w:r>
      <w:r w:rsidRPr="007E130D">
        <w:t>chapitres qui suivent la structure décrite ci-dessus.</w:t>
      </w:r>
    </w:p>
    <w:p w14:paraId="10F083DC" w14:textId="312C2A8B" w:rsidR="00A82EF2" w:rsidRPr="007E130D" w:rsidRDefault="00A82EF2" w:rsidP="00B20AC9">
      <w:r w:rsidRPr="007E130D">
        <w:t>Le rapport contient également dans l'Annexe</w:t>
      </w:r>
      <w:r w:rsidR="00752D37" w:rsidRPr="007E130D">
        <w:t xml:space="preserve"> 2</w:t>
      </w:r>
      <w:r w:rsidRPr="007E130D">
        <w:t xml:space="preserve"> une liste des Recommandations, des rapports et d'autres publications de l'UIT-R, y compris certains projets de Recommandations et de rapports, nouveaux ou révisés, auxquels il est fait référence dans le texte du rapport de la RPC. La version finale de cette liste, qui tiendra compte des décisions de l'Assemblée des radiocommunications de 20</w:t>
      </w:r>
      <w:r w:rsidR="00752D37" w:rsidRPr="007E130D">
        <w:t>23</w:t>
      </w:r>
      <w:r w:rsidRPr="007E130D">
        <w:t>, sera communiquée à la Conférence mondiale des radiocommunications de 20</w:t>
      </w:r>
      <w:r w:rsidR="00752D37" w:rsidRPr="007E130D">
        <w:t>23</w:t>
      </w:r>
      <w:r w:rsidRPr="007E130D">
        <w:t>.</w:t>
      </w:r>
    </w:p>
    <w:p w14:paraId="75FF4C23" w14:textId="4E5A89E4" w:rsidR="00FB71C7" w:rsidRPr="007E130D" w:rsidRDefault="00FB71C7" w:rsidP="00B20AC9">
      <w:pPr>
        <w:pStyle w:val="Heading3"/>
      </w:pPr>
      <w:bookmarkStart w:id="179" w:name="_Toc147328820"/>
      <w:bookmarkStart w:id="180" w:name="_Toc426463246"/>
      <w:bookmarkStart w:id="181" w:name="_Toc19880066"/>
      <w:r w:rsidRPr="007E130D">
        <w:t>4.3.2</w:t>
      </w:r>
      <w:r w:rsidRPr="007E130D">
        <w:tab/>
      </w:r>
      <w:r w:rsidR="00C3678E" w:rsidRPr="007E130D">
        <w:t>Études</w:t>
      </w:r>
      <w:r w:rsidR="00DF3192" w:rsidRPr="007E130D">
        <w:t xml:space="preserve"> de la question relative au numéro </w:t>
      </w:r>
      <w:r w:rsidRPr="007E130D">
        <w:t xml:space="preserve">21.5 </w:t>
      </w:r>
      <w:r w:rsidR="00DF3192" w:rsidRPr="007E130D">
        <w:t>du RR</w:t>
      </w:r>
      <w:bookmarkEnd w:id="179"/>
    </w:p>
    <w:p w14:paraId="5E18C3EA" w14:textId="2C78F35E" w:rsidR="00FB71C7" w:rsidRPr="007E130D" w:rsidRDefault="00E90E78" w:rsidP="00B20AC9">
      <w:r w:rsidRPr="007E130D">
        <w:t xml:space="preserve">Comme indiqué dans le </w:t>
      </w:r>
      <w:r w:rsidR="00C3678E" w:rsidRPr="007E130D">
        <w:t>D</w:t>
      </w:r>
      <w:r w:rsidRPr="007E130D">
        <w:t xml:space="preserve">ocument </w:t>
      </w:r>
      <w:hyperlink r:id="rId64" w:history="1">
        <w:r w:rsidRPr="007E130D">
          <w:rPr>
            <w:rStyle w:val="Hyperlink"/>
          </w:rPr>
          <w:t>550</w:t>
        </w:r>
      </w:hyperlink>
      <w:r w:rsidRPr="007E130D">
        <w:t xml:space="preserve"> de la CMR-19, tel qu</w:t>
      </w:r>
      <w:r w:rsidR="00C3678E" w:rsidRPr="007E130D">
        <w:t>'</w:t>
      </w:r>
      <w:r w:rsidRPr="007E130D">
        <w:t>approuvé par la plénière, l</w:t>
      </w:r>
      <w:r w:rsidR="00FB71C7" w:rsidRPr="007E130D">
        <w:t xml:space="preserve">'UIT-R est invité à étudier d'urgence la possibilité d'appliquer la limite indiquée au numéro </w:t>
      </w:r>
      <w:r w:rsidR="00FB71C7" w:rsidRPr="007E130D">
        <w:rPr>
          <w:b/>
        </w:rPr>
        <w:t>21.5</w:t>
      </w:r>
      <w:r w:rsidR="00FB71C7" w:rsidRPr="007E130D">
        <w:t xml:space="preserve"> du Règlement des radiocommunications aux stations IMT qui utilisent une antenne composée d'un réseau d'éléments actifs, en vue de recommander des solutions pour éventuellement remplacer ou réviser cette limite pour lesdites stations, ainsi que les éventuelles mises à jour nécessaires du Tableau </w:t>
      </w:r>
      <w:r w:rsidR="00FB71C7" w:rsidRPr="007E130D">
        <w:rPr>
          <w:b/>
        </w:rPr>
        <w:t>21-2</w:t>
      </w:r>
      <w:r w:rsidR="00FB71C7" w:rsidRPr="007E130D">
        <w:t xml:space="preserve"> concernant les services de Terre et les services spatiaux utilisant en partage des bandes de </w:t>
      </w:r>
      <w:r w:rsidR="00FB71C7" w:rsidRPr="007E130D">
        <w:lastRenderedPageBreak/>
        <w:t>fréquences.</w:t>
      </w:r>
      <w:r w:rsidR="00132323" w:rsidRPr="007E130D">
        <w:t xml:space="preserve"> </w:t>
      </w:r>
      <w:r w:rsidR="00FB71C7" w:rsidRPr="007E130D">
        <w:t xml:space="preserve">De plus, </w:t>
      </w:r>
      <w:r w:rsidR="00132323" w:rsidRPr="007E130D">
        <w:t xml:space="preserve">la CMR-19 a invité </w:t>
      </w:r>
      <w:r w:rsidR="00FB71C7" w:rsidRPr="007E130D">
        <w:t>l'UIT-R à étudier d'urgence la vérification du respect du numéro </w:t>
      </w:r>
      <w:r w:rsidR="00FB71C7" w:rsidRPr="007E130D">
        <w:rPr>
          <w:b/>
        </w:rPr>
        <w:t>21.5</w:t>
      </w:r>
      <w:r w:rsidR="00FB71C7" w:rsidRPr="007E130D">
        <w:t xml:space="preserve"> concernant la notification des stations IMT qui utilisent une antenne composée d'un réseau d'éléments actifs, selon qu'il conviendra.</w:t>
      </w:r>
    </w:p>
    <w:p w14:paraId="7720C2BE" w14:textId="371D1DBD" w:rsidR="00FB71C7" w:rsidRPr="007E130D" w:rsidRDefault="001B2197" w:rsidP="00B20AC9">
      <w:r w:rsidRPr="007E130D">
        <w:t>Immédiatement après la CMR-19, la RPC23-1 a désigné le groupe de travail (GT) 5D comme responsable de la réalisation des études demandées mentionnées ci-dessus et de la communication des résultats de ces études au directeur du Bureau des radiocommunications (BR) pour qu'il en tienne compte comme il le jugera bon. Compte tenu des conclusions de la RPC23-1, les résultats de ces études n'ont pas été inclus dans le rapport de la RPC à la CMR-23.</w:t>
      </w:r>
    </w:p>
    <w:p w14:paraId="3EDBF1F4" w14:textId="1557F686" w:rsidR="00FB71C7" w:rsidRPr="007E130D" w:rsidRDefault="001B2197" w:rsidP="00B20AC9">
      <w:r w:rsidRPr="007E130D">
        <w:t xml:space="preserve">Le GT 5D a étudié la question du numéro </w:t>
      </w:r>
      <w:r w:rsidRPr="007E130D">
        <w:rPr>
          <w:b/>
          <w:bCs/>
        </w:rPr>
        <w:t xml:space="preserve">21.5 </w:t>
      </w:r>
      <w:r w:rsidRPr="007E130D">
        <w:t>du RR pendant la période allant de février 2020 à</w:t>
      </w:r>
      <w:r w:rsidR="00C3678E" w:rsidRPr="007E130D">
        <w:t> </w:t>
      </w:r>
      <w:r w:rsidRPr="007E130D">
        <w:t xml:space="preserve">juin 2023 et, comme indiqué dans la </w:t>
      </w:r>
      <w:hyperlink r:id="rId65" w:history="1">
        <w:r w:rsidRPr="007E130D">
          <w:rPr>
            <w:rStyle w:val="Hyperlink"/>
          </w:rPr>
          <w:t>note finale</w:t>
        </w:r>
      </w:hyperlink>
      <w:r w:rsidRPr="007E130D">
        <w:t xml:space="preserve"> adressée par ce GT au Directeur du BR (</w:t>
      </w:r>
      <w:r w:rsidR="00434655" w:rsidRPr="007E130D">
        <w:t xml:space="preserve">voir la </w:t>
      </w:r>
      <w:r w:rsidR="00C3678E" w:rsidRPr="007E130D">
        <w:t>S</w:t>
      </w:r>
      <w:r w:rsidR="00434655" w:rsidRPr="007E130D">
        <w:t xml:space="preserve">ection 7.2 du </w:t>
      </w:r>
      <w:r w:rsidR="00C3678E" w:rsidRPr="007E130D">
        <w:t>r</w:t>
      </w:r>
      <w:r w:rsidRPr="007E130D">
        <w:t>apport du Président du GT 5D), plusieurs aspects et approches concernant les études ont été examinés, mais aucun consensus n'a été atteint. Bien qu'elle n'ait pas été entièrement examinée et approuvée par le GT 5D, l'</w:t>
      </w:r>
      <w:r w:rsidR="00C3678E" w:rsidRPr="007E130D">
        <w:t>A</w:t>
      </w:r>
      <w:r w:rsidRPr="007E130D">
        <w:t>nnexe 4.5 du r</w:t>
      </w:r>
      <w:r w:rsidR="00434655" w:rsidRPr="007E130D">
        <w:t>apport du P</w:t>
      </w:r>
      <w:r w:rsidRPr="007E130D">
        <w:t>résident du GT 5D (</w:t>
      </w:r>
      <w:r w:rsidR="00C3678E" w:rsidRPr="007E130D">
        <w:t>D</w:t>
      </w:r>
      <w:r w:rsidRPr="007E130D">
        <w:t>ocument</w:t>
      </w:r>
      <w:r w:rsidR="00C3678E" w:rsidRPr="007E130D">
        <w:t> </w:t>
      </w:r>
      <w:hyperlink r:id="rId66" w:history="1">
        <w:r w:rsidRPr="007E130D">
          <w:rPr>
            <w:rStyle w:val="Hyperlink"/>
          </w:rPr>
          <w:t>5D/1555</w:t>
        </w:r>
      </w:hyperlink>
      <w:r w:rsidRPr="007E130D">
        <w:t xml:space="preserve">) contient une compilation des documents reçus. Les déclarations de certaines administrations sur la question du numéro </w:t>
      </w:r>
      <w:r w:rsidRPr="007E130D">
        <w:rPr>
          <w:b/>
          <w:bCs/>
        </w:rPr>
        <w:t>21.5</w:t>
      </w:r>
      <w:r w:rsidRPr="007E130D">
        <w:t xml:space="preserve"> du RR figurent dans la Pièce jointe 2 du</w:t>
      </w:r>
      <w:r w:rsidR="00C3678E" w:rsidRPr="007E130D">
        <w:t> R</w:t>
      </w:r>
      <w:r w:rsidRPr="007E130D">
        <w:t>a</w:t>
      </w:r>
      <w:r w:rsidR="00434655" w:rsidRPr="007E130D">
        <w:t>pport</w:t>
      </w:r>
      <w:r w:rsidR="00C3678E" w:rsidRPr="007E130D">
        <w:t> </w:t>
      </w:r>
      <w:hyperlink r:id="rId67" w:history="1">
        <w:r w:rsidR="00434655" w:rsidRPr="007E130D">
          <w:rPr>
            <w:rStyle w:val="Hyperlink"/>
          </w:rPr>
          <w:t>5D/1776</w:t>
        </w:r>
      </w:hyperlink>
      <w:r w:rsidR="00434655" w:rsidRPr="007E130D">
        <w:t xml:space="preserve"> du Président du GT</w:t>
      </w:r>
      <w:r w:rsidRPr="007E130D">
        <w:t xml:space="preserve"> 5D</w:t>
      </w:r>
      <w:r w:rsidR="00FB71C7" w:rsidRPr="007E130D">
        <w:t>.</w:t>
      </w:r>
    </w:p>
    <w:p w14:paraId="16DDEC18" w14:textId="13E72842" w:rsidR="00FB71C7" w:rsidRPr="007E130D" w:rsidRDefault="00434655" w:rsidP="00B20AC9">
      <w:r w:rsidRPr="007E130D">
        <w:t>L'un des principaux points des discussions a été la méthode de notification de la puissance fournie à l'antenne, c'est-à-dire l</w:t>
      </w:r>
      <w:r w:rsidR="000C4CDD" w:rsidRPr="007E130D">
        <w:t>'</w:t>
      </w:r>
      <w:r w:rsidRPr="007E130D">
        <w:t xml:space="preserve">élément de données 8AA de l'Appendice </w:t>
      </w:r>
      <w:r w:rsidRPr="007E130D">
        <w:rPr>
          <w:b/>
          <w:bCs/>
        </w:rPr>
        <w:t>4</w:t>
      </w:r>
      <w:r w:rsidRPr="007E130D">
        <w:t xml:space="preserve"> du RR, qui devait obligatoirement être soumis au BR. Certaines administrations étaient favorables à l'idée de considérer cet élément de données comme la puissance fournie par un seul élément actif de stations</w:t>
      </w:r>
      <w:r w:rsidR="00C3678E" w:rsidRPr="007E130D">
        <w:t> </w:t>
      </w:r>
      <w:r w:rsidRPr="007E130D">
        <w:t>IMT dotées de réseaux d</w:t>
      </w:r>
      <w:r w:rsidR="000C4CDD" w:rsidRPr="007E130D">
        <w:t>'</w:t>
      </w:r>
      <w:r w:rsidRPr="007E130D">
        <w:t>antennes actifs (AAS). D'autres administrations estimaient que la puissance totale rayonnée (TRP) par tous les éléments actifs d'une station IMT dotée de réseaux d</w:t>
      </w:r>
      <w:r w:rsidR="00C3678E" w:rsidRPr="007E130D">
        <w:t>'</w:t>
      </w:r>
      <w:r w:rsidRPr="007E130D">
        <w:t>antennes actifs devrait être notifiée comme élément de données 8AA.</w:t>
      </w:r>
    </w:p>
    <w:p w14:paraId="5AB70F03" w14:textId="072AB749" w:rsidR="00FB71C7" w:rsidRPr="007E130D" w:rsidRDefault="008572E2" w:rsidP="00B20AC9">
      <w:r w:rsidRPr="007E130D">
        <w:t>Il convient également de noter que lors de sa réunion de juin 2022, le Comité du Règlement des radiocommunications a examiné 1 458 assignations de fréquence à des stations du service mobile terrestre enregistrées dans le Fichier de référence dans la bande de fréquences 24,25-27,5 GHz. Ces assignations ne comportaient pas l'identification des stations IMT et leurs types de systèmes d'antenne n'étaient pas indiqués. Le Comité a décidé d'ajouter une remarque aux 1 458 assignations enregistrées et aux futures assignations de fréquence aux stations du service mobile terrestre dans la bande de fréquences 24,45-27,5 GHz, indiquant la nécessité de réexaminer ces assignations de fréquence une fois que la méthode de détermination de l'</w:t>
      </w:r>
      <w:r w:rsidR="0062001A" w:rsidRPr="007E130D">
        <w:t>a</w:t>
      </w:r>
      <w:r w:rsidRPr="007E130D">
        <w:t xml:space="preserve">rticle 8AA pour les stations IMT </w:t>
      </w:r>
      <w:r w:rsidR="00FA58A8" w:rsidRPr="007E130D">
        <w:t>dotées de réseaux d</w:t>
      </w:r>
      <w:r w:rsidR="000C4CDD" w:rsidRPr="007E130D">
        <w:t>'</w:t>
      </w:r>
      <w:r w:rsidR="00FA58A8" w:rsidRPr="007E130D">
        <w:t xml:space="preserve">antennes actifs </w:t>
      </w:r>
      <w:r w:rsidRPr="007E130D">
        <w:t>aura été mise au point et approuvée. Le BR a inséré cette remarque dans les assignations enregistrées.</w:t>
      </w:r>
    </w:p>
    <w:p w14:paraId="3BC7CC11" w14:textId="77777777" w:rsidR="00FB71C7" w:rsidRPr="007E130D" w:rsidRDefault="00FB71C7" w:rsidP="00B20AC9">
      <w:pPr>
        <w:pStyle w:val="Heading3"/>
        <w:rPr>
          <w:rFonts w:ascii="Calibri" w:hAnsi="Calibri" w:cs="Calibri"/>
        </w:rPr>
      </w:pPr>
      <w:bookmarkStart w:id="182" w:name="_Toc147328821"/>
      <w:r w:rsidRPr="007E130D">
        <w:rPr>
          <w:szCs w:val="24"/>
        </w:rPr>
        <w:t>4.3.3</w:t>
      </w:r>
      <w:r w:rsidRPr="007E130D">
        <w:rPr>
          <w:szCs w:val="24"/>
        </w:rPr>
        <w:tab/>
      </w:r>
      <w:r w:rsidRPr="007E130D">
        <w:t>Résolution 655 (CMR-15)</w:t>
      </w:r>
      <w:bookmarkEnd w:id="182"/>
    </w:p>
    <w:p w14:paraId="7AEC8A2E" w14:textId="7C01C31E" w:rsidR="00FB71C7" w:rsidRPr="007E130D" w:rsidRDefault="00FA58A8" w:rsidP="00B20AC9">
      <w:r w:rsidRPr="007E130D">
        <w:rPr>
          <w:color w:val="000000"/>
        </w:rPr>
        <w:t>Au cours du période d'études, les travaux sur ce thème ont été menés par le GT 7A. Des informations complémentaires fournies par le GT 7A figurent à l'Annexe 1 du rapport du Président du GT 7A (Doc</w:t>
      </w:r>
      <w:r w:rsidR="00CF5E48" w:rsidRPr="007E130D">
        <w:rPr>
          <w:color w:val="000000"/>
        </w:rPr>
        <w:t>ument</w:t>
      </w:r>
      <w:r w:rsidRPr="007E130D">
        <w:rPr>
          <w:color w:val="000000"/>
        </w:rPr>
        <w:t xml:space="preserve"> </w:t>
      </w:r>
      <w:hyperlink r:id="rId68" w:history="1">
        <w:r w:rsidRPr="007E130D">
          <w:rPr>
            <w:rStyle w:val="Hyperlink"/>
          </w:rPr>
          <w:t>7A/76</w:t>
        </w:r>
      </w:hyperlink>
      <w:r w:rsidRPr="007E130D">
        <w:rPr>
          <w:color w:val="000000"/>
        </w:rPr>
        <w:t xml:space="preserve"> (Annexe 1)).</w:t>
      </w:r>
    </w:p>
    <w:p w14:paraId="5F7DF707" w14:textId="77777777" w:rsidR="00A82EF2" w:rsidRPr="007E130D" w:rsidRDefault="00A82EF2" w:rsidP="00B20AC9">
      <w:pPr>
        <w:pStyle w:val="Heading2"/>
      </w:pPr>
      <w:bookmarkStart w:id="183" w:name="_Toc147328822"/>
      <w:r w:rsidRPr="007E130D">
        <w:t>4.4</w:t>
      </w:r>
      <w:r w:rsidRPr="007E130D">
        <w:tab/>
        <w:t>Recommandations, Manuels et Rapports</w:t>
      </w:r>
      <w:bookmarkEnd w:id="180"/>
      <w:bookmarkEnd w:id="181"/>
      <w:bookmarkEnd w:id="183"/>
    </w:p>
    <w:p w14:paraId="7E7AAC2B" w14:textId="32AEEFC4" w:rsidR="00A82EF2" w:rsidRPr="007E130D" w:rsidRDefault="00787255" w:rsidP="00B20AC9">
      <w:r w:rsidRPr="007E130D">
        <w:t>En juillet</w:t>
      </w:r>
      <w:r w:rsidR="00FB71C7" w:rsidRPr="007E130D">
        <w:t xml:space="preserve"> 2023</w:t>
      </w:r>
      <w:r w:rsidR="00A82EF2" w:rsidRPr="007E130D">
        <w:t xml:space="preserve">, environ </w:t>
      </w:r>
      <w:r w:rsidR="00FB71C7" w:rsidRPr="007E130D">
        <w:t>134</w:t>
      </w:r>
      <w:r w:rsidR="00A82EF2" w:rsidRPr="007E130D">
        <w:t xml:space="preserve"> Recommandations, nouvelles ou révisées, et près de </w:t>
      </w:r>
      <w:r w:rsidR="00FB71C7" w:rsidRPr="007E130D">
        <w:t>100</w:t>
      </w:r>
      <w:r w:rsidR="00A82EF2" w:rsidRPr="007E130D">
        <w:t xml:space="preserve"> </w:t>
      </w:r>
      <w:r w:rsidR="00C3678E" w:rsidRPr="007E130D">
        <w:t>R</w:t>
      </w:r>
      <w:r w:rsidR="00A82EF2" w:rsidRPr="007E130D">
        <w:t>apports, nouveaux ou révisés, avaient été approuvés au cours de la période d'études 2019</w:t>
      </w:r>
      <w:r w:rsidR="00FB71C7" w:rsidRPr="007E130D">
        <w:t>-2023</w:t>
      </w:r>
      <w:r w:rsidR="00A82EF2" w:rsidRPr="007E130D">
        <w:t>. Bon nombre de ces Recommandations et rapports résultent d'études associées aux activités de la RPC, même si un grand nombre reflètent les études fondamentales qui structurent les travaux essentiels des commissions d'études.</w:t>
      </w:r>
    </w:p>
    <w:p w14:paraId="432BEBA7" w14:textId="77777777" w:rsidR="00A82EF2" w:rsidRPr="007E130D" w:rsidRDefault="00A82EF2" w:rsidP="00B20AC9">
      <w:pPr>
        <w:pStyle w:val="Heading2"/>
      </w:pPr>
      <w:bookmarkStart w:id="184" w:name="_Toc426463247"/>
      <w:bookmarkStart w:id="185" w:name="_Toc19880067"/>
      <w:bookmarkStart w:id="186" w:name="_Toc147328823"/>
      <w:r w:rsidRPr="007E130D">
        <w:lastRenderedPageBreak/>
        <w:t>4.5</w:t>
      </w:r>
      <w:r w:rsidRPr="007E130D">
        <w:tab/>
        <w:t>Liaison avec l'UIT-T et l'UIT-D</w:t>
      </w:r>
      <w:bookmarkEnd w:id="184"/>
      <w:bookmarkEnd w:id="185"/>
      <w:bookmarkEnd w:id="186"/>
    </w:p>
    <w:p w14:paraId="06FC2D3A" w14:textId="77777777" w:rsidR="00A82EF2" w:rsidRPr="007E130D" w:rsidRDefault="00A82EF2" w:rsidP="00B20AC9">
      <w:r w:rsidRPr="007E130D">
        <w:t>Le BR a apporté un appui décisif à la liaison entre, d'une part, l'UIT-R et l'UIT-T ainsi que l'UIT-D, et, d'autre part, entre les différents Bureaux. Cette liaison a une incidence sur les domaines d'étude des différentes commissions d'études et permet d'éviter toute répétition des tâches dans les trois Secteurs (voir les § 4.2 et 8 pour plus de précisions).</w:t>
      </w:r>
    </w:p>
    <w:p w14:paraId="135FCF75" w14:textId="77777777" w:rsidR="00A82EF2" w:rsidRPr="007E130D" w:rsidRDefault="00A82EF2" w:rsidP="00B20AC9">
      <w:pPr>
        <w:pStyle w:val="Heading2"/>
      </w:pPr>
      <w:bookmarkStart w:id="187" w:name="_Toc426463248"/>
      <w:bookmarkStart w:id="188" w:name="_Toc19880068"/>
      <w:bookmarkStart w:id="189" w:name="_Toc147328824"/>
      <w:r w:rsidRPr="007E130D">
        <w:t>4.6</w:t>
      </w:r>
      <w:r w:rsidRPr="007E130D">
        <w:tab/>
        <w:t>Liaison et collaboration avec d'autres organisations</w:t>
      </w:r>
      <w:bookmarkEnd w:id="187"/>
      <w:bookmarkEnd w:id="188"/>
      <w:bookmarkEnd w:id="189"/>
    </w:p>
    <w:p w14:paraId="5DA6769F" w14:textId="77777777" w:rsidR="00A82EF2" w:rsidRPr="007E130D" w:rsidRDefault="00A82EF2" w:rsidP="00B20AC9">
      <w:r w:rsidRPr="007E130D">
        <w:t>Une collaboration efficace a été établie avec d'autres organisations dans le cadre de la Résolution UIT-R 9 (voir le § 8 pour plus de précisions).</w:t>
      </w:r>
    </w:p>
    <w:p w14:paraId="562197AA" w14:textId="77777777" w:rsidR="00A82EF2" w:rsidRPr="007E130D" w:rsidRDefault="00A82EF2" w:rsidP="00B20AC9">
      <w:pPr>
        <w:pStyle w:val="Heading2"/>
      </w:pPr>
      <w:bookmarkStart w:id="190" w:name="_Toc426463249"/>
      <w:bookmarkStart w:id="191" w:name="_Toc19880069"/>
      <w:bookmarkStart w:id="192" w:name="_Toc147328825"/>
      <w:r w:rsidRPr="007E130D">
        <w:t>4.7</w:t>
      </w:r>
      <w:r w:rsidRPr="007E130D">
        <w:tab/>
        <w:t>Appui apporté aux membres</w:t>
      </w:r>
      <w:bookmarkEnd w:id="190"/>
      <w:bookmarkEnd w:id="191"/>
      <w:bookmarkEnd w:id="192"/>
    </w:p>
    <w:p w14:paraId="61C42FCB" w14:textId="0F60B940" w:rsidR="00A82EF2" w:rsidRPr="007E130D" w:rsidRDefault="00A82EF2" w:rsidP="00B20AC9">
      <w:r w:rsidRPr="007E130D">
        <w:t>Pendant la période d'études, les participants aux travaux des commissions d'études de l'UIT</w:t>
      </w:r>
      <w:r w:rsidRPr="007E130D">
        <w:noBreakHyphen/>
        <w:t>R ainsi que les fonctionnaires du BR ont continué de répondre aux demandes d'informations et d'avis sur des questions techniques liées aux travaux des commissions d'études. Ces questions se rapportent souvent aux problèmes que rencontrent certains Membres des pays en développement pour trouver des textes particuliers de l'UIT-R ou des explications sur les informations qui y figurent. Une assistance a également été fournie sous la forme d'exposés, lors de séminaires ou d'ateliers (voir</w:t>
      </w:r>
      <w:r w:rsidR="00C3678E" w:rsidRPr="007E130D">
        <w:t> </w:t>
      </w:r>
      <w:r w:rsidRPr="007E130D">
        <w:t>les § 6 et 9).</w:t>
      </w:r>
    </w:p>
    <w:p w14:paraId="3E6A732F" w14:textId="2B210EAC" w:rsidR="00A82EF2" w:rsidRPr="007E130D" w:rsidRDefault="00A82EF2" w:rsidP="00B20AC9">
      <w:pPr>
        <w:pStyle w:val="Heading2"/>
      </w:pPr>
      <w:bookmarkStart w:id="193" w:name="_Toc426463250"/>
      <w:bookmarkStart w:id="194" w:name="_Toc19880070"/>
      <w:bookmarkStart w:id="195" w:name="_Toc147328826"/>
      <w:r w:rsidRPr="007E130D">
        <w:t>4.8</w:t>
      </w:r>
      <w:r w:rsidRPr="007E130D">
        <w:tab/>
        <w:t>Statistiques concernant les réunions, la documentation et les textes établis sous leur forme finale</w:t>
      </w:r>
      <w:bookmarkEnd w:id="193"/>
      <w:bookmarkEnd w:id="194"/>
      <w:bookmarkEnd w:id="195"/>
    </w:p>
    <w:p w14:paraId="14D1B642" w14:textId="458FBF8D" w:rsidR="00A82EF2" w:rsidRPr="007E130D" w:rsidRDefault="00A82EF2" w:rsidP="00B20AC9">
      <w:r w:rsidRPr="007E130D">
        <w:t>Les chiffres suivants concernent la période d'études depuis l'AR-</w:t>
      </w:r>
      <w:r w:rsidR="00A77140" w:rsidRPr="007E130D">
        <w:t>19</w:t>
      </w:r>
      <w:r w:rsidR="00DB4B83" w:rsidRPr="007E130D">
        <w:t xml:space="preserve"> (jusqu</w:t>
      </w:r>
      <w:r w:rsidR="00C3678E" w:rsidRPr="007E130D">
        <w:t>'</w:t>
      </w:r>
      <w:r w:rsidR="00DB4B83" w:rsidRPr="007E130D">
        <w:t>en juillet 2023)</w:t>
      </w:r>
      <w:r w:rsidRPr="007E130D">
        <w:t>:</w:t>
      </w:r>
    </w:p>
    <w:p w14:paraId="4C49AFD5" w14:textId="7770E887" w:rsidR="00A82EF2" w:rsidRPr="007E130D" w:rsidRDefault="00A82EF2" w:rsidP="00B20AC9">
      <w:pPr>
        <w:pStyle w:val="enumlev1"/>
      </w:pPr>
      <w:r w:rsidRPr="007E130D">
        <w:t>–</w:t>
      </w:r>
      <w:r w:rsidRPr="007E130D">
        <w:tab/>
      </w:r>
      <w:r w:rsidR="00DE0C9F" w:rsidRPr="007E130D">
        <w:t xml:space="preserve">nombre </w:t>
      </w:r>
      <w:r w:rsidRPr="007E130D">
        <w:t>de documents traités</w:t>
      </w:r>
      <w:r w:rsidR="00A77140" w:rsidRPr="007E130D">
        <w:t>: 18 762</w:t>
      </w:r>
      <w:r w:rsidR="00DE0C9F" w:rsidRPr="007E130D">
        <w:t>;</w:t>
      </w:r>
    </w:p>
    <w:p w14:paraId="41EB5E83" w14:textId="1F9F5C39" w:rsidR="00A82EF2" w:rsidRPr="007E130D" w:rsidRDefault="00A82EF2" w:rsidP="00B20AC9">
      <w:pPr>
        <w:pStyle w:val="enumlev1"/>
      </w:pPr>
      <w:r w:rsidRPr="007E130D">
        <w:t>–</w:t>
      </w:r>
      <w:r w:rsidRPr="007E130D">
        <w:tab/>
      </w:r>
      <w:r w:rsidR="00DE0C9F" w:rsidRPr="007E130D">
        <w:t xml:space="preserve">nombre </w:t>
      </w:r>
      <w:r w:rsidRPr="007E130D">
        <w:t>de pages traitées</w:t>
      </w:r>
      <w:r w:rsidR="00A77140" w:rsidRPr="007E130D">
        <w:t>: 283 437</w:t>
      </w:r>
      <w:r w:rsidR="00DE0C9F" w:rsidRPr="007E130D">
        <w:t>;</w:t>
      </w:r>
    </w:p>
    <w:p w14:paraId="7D95A326" w14:textId="3FA1B665" w:rsidR="00A82EF2" w:rsidRPr="007E130D" w:rsidRDefault="00A82EF2" w:rsidP="00B20AC9">
      <w:pPr>
        <w:pStyle w:val="enumlev1"/>
        <w:rPr>
          <w:szCs w:val="24"/>
        </w:rPr>
      </w:pPr>
      <w:r w:rsidRPr="007E130D">
        <w:t>–</w:t>
      </w:r>
      <w:r w:rsidRPr="007E130D">
        <w:tab/>
      </w:r>
      <w:r w:rsidR="00DE0C9F" w:rsidRPr="007E130D">
        <w:t>nombre</w:t>
      </w:r>
      <w:r w:rsidRPr="007E130D">
        <w:t xml:space="preserve"> de réunions</w:t>
      </w:r>
      <w:r w:rsidRPr="007E130D">
        <w:rPr>
          <w:szCs w:val="24"/>
        </w:rPr>
        <w:t xml:space="preserve">: </w:t>
      </w:r>
      <w:r w:rsidR="00A77140" w:rsidRPr="007E130D">
        <w:rPr>
          <w:bCs/>
          <w:szCs w:val="24"/>
        </w:rPr>
        <w:t>182</w:t>
      </w:r>
      <w:r w:rsidR="00DE0C9F" w:rsidRPr="007E130D">
        <w:rPr>
          <w:bCs/>
          <w:szCs w:val="24"/>
        </w:rPr>
        <w:t>;</w:t>
      </w:r>
    </w:p>
    <w:p w14:paraId="70A0E7A8" w14:textId="739E5791" w:rsidR="00A82EF2" w:rsidRPr="007E130D" w:rsidRDefault="00A82EF2" w:rsidP="00B20AC9">
      <w:pPr>
        <w:pStyle w:val="enumlev1"/>
        <w:rPr>
          <w:szCs w:val="24"/>
        </w:rPr>
      </w:pPr>
      <w:r w:rsidRPr="007E130D">
        <w:t>–</w:t>
      </w:r>
      <w:r w:rsidRPr="007E130D">
        <w:tab/>
      </w:r>
      <w:r w:rsidR="00DE0C9F" w:rsidRPr="007E130D">
        <w:t>nombre</w:t>
      </w:r>
      <w:r w:rsidRPr="007E130D">
        <w:t xml:space="preserve"> de jours de réunion</w:t>
      </w:r>
      <w:r w:rsidRPr="007E130D">
        <w:rPr>
          <w:szCs w:val="24"/>
        </w:rPr>
        <w:t xml:space="preserve"> (total): </w:t>
      </w:r>
      <w:r w:rsidR="00A77140" w:rsidRPr="007E130D">
        <w:rPr>
          <w:bCs/>
          <w:szCs w:val="24"/>
        </w:rPr>
        <w:t>1 057</w:t>
      </w:r>
      <w:r w:rsidR="00DE0C9F" w:rsidRPr="007E130D">
        <w:rPr>
          <w:bCs/>
          <w:szCs w:val="24"/>
        </w:rPr>
        <w:t>;</w:t>
      </w:r>
    </w:p>
    <w:p w14:paraId="31BF675C" w14:textId="1C924938" w:rsidR="00A82EF2" w:rsidRPr="007E130D" w:rsidRDefault="00A82EF2" w:rsidP="00B20AC9">
      <w:pPr>
        <w:pStyle w:val="enumlev1"/>
      </w:pPr>
      <w:r w:rsidRPr="007E130D">
        <w:t>–</w:t>
      </w:r>
      <w:r w:rsidRPr="007E130D">
        <w:tab/>
      </w:r>
      <w:r w:rsidR="00DE0C9F" w:rsidRPr="007E130D">
        <w:t>nombre</w:t>
      </w:r>
      <w:r w:rsidRPr="007E130D">
        <w:t xml:space="preserve"> moyen de participants aux réunions des commissions d'études et des groupes de travail: </w:t>
      </w:r>
      <w:r w:rsidR="00A77140" w:rsidRPr="007E130D">
        <w:t>236</w:t>
      </w:r>
      <w:r w:rsidR="00DE0C9F" w:rsidRPr="007E130D">
        <w:t>;</w:t>
      </w:r>
    </w:p>
    <w:p w14:paraId="16ECFEC1" w14:textId="099715BB" w:rsidR="00A82EF2" w:rsidRPr="007E130D" w:rsidRDefault="00A82EF2" w:rsidP="00B20AC9">
      <w:pPr>
        <w:pStyle w:val="enumlev1"/>
      </w:pPr>
      <w:r w:rsidRPr="007E130D">
        <w:t>–</w:t>
      </w:r>
      <w:r w:rsidRPr="007E130D">
        <w:tab/>
      </w:r>
      <w:r w:rsidR="00DE0C9F" w:rsidRPr="007E130D">
        <w:t xml:space="preserve">nombre </w:t>
      </w:r>
      <w:r w:rsidRPr="007E130D">
        <w:t>de Recommandations approuvées</w:t>
      </w:r>
      <w:r w:rsidR="00A77140" w:rsidRPr="007E130D">
        <w:t>: 134</w:t>
      </w:r>
      <w:r w:rsidR="00DE0C9F" w:rsidRPr="007E130D">
        <w:t>;</w:t>
      </w:r>
    </w:p>
    <w:p w14:paraId="1CF5ECC9" w14:textId="042950D3" w:rsidR="00A82EF2" w:rsidRPr="007E130D" w:rsidRDefault="00A82EF2" w:rsidP="00B20AC9">
      <w:pPr>
        <w:pStyle w:val="enumlev1"/>
      </w:pPr>
      <w:r w:rsidRPr="007E130D">
        <w:t>–</w:t>
      </w:r>
      <w:r w:rsidRPr="007E130D">
        <w:tab/>
      </w:r>
      <w:r w:rsidR="00DE0C9F" w:rsidRPr="007E130D">
        <w:t>nombre</w:t>
      </w:r>
      <w:r w:rsidRPr="007E130D">
        <w:t xml:space="preserve"> de rapports établis sous leur forme finale</w:t>
      </w:r>
      <w:r w:rsidR="00A77140" w:rsidRPr="007E130D">
        <w:t>: 102</w:t>
      </w:r>
      <w:r w:rsidR="00DE0C9F" w:rsidRPr="007E130D">
        <w:t>;</w:t>
      </w:r>
    </w:p>
    <w:p w14:paraId="2189971D" w14:textId="419581BF" w:rsidR="00A82EF2" w:rsidRPr="007E130D" w:rsidRDefault="00A82EF2" w:rsidP="00B20AC9">
      <w:pPr>
        <w:pStyle w:val="enumlev1"/>
      </w:pPr>
      <w:r w:rsidRPr="007E130D">
        <w:t>–</w:t>
      </w:r>
      <w:r w:rsidRPr="007E130D">
        <w:tab/>
      </w:r>
      <w:r w:rsidR="00DE0C9F" w:rsidRPr="007E130D">
        <w:t>nombre</w:t>
      </w:r>
      <w:r w:rsidRPr="007E130D">
        <w:t xml:space="preserve"> de Manuels établis sous leur forme finale</w:t>
      </w:r>
      <w:r w:rsidR="00A77140" w:rsidRPr="007E130D">
        <w:t>: 4</w:t>
      </w:r>
      <w:r w:rsidR="00DE0C9F" w:rsidRPr="007E130D">
        <w:t>.</w:t>
      </w:r>
    </w:p>
    <w:p w14:paraId="367700F0" w14:textId="77777777" w:rsidR="00A82EF2" w:rsidRPr="007E130D" w:rsidRDefault="00A82EF2" w:rsidP="00B20AC9">
      <w:pPr>
        <w:pStyle w:val="Heading1"/>
      </w:pPr>
      <w:bookmarkStart w:id="196" w:name="_Toc19880071"/>
      <w:bookmarkStart w:id="197" w:name="_Toc147328827"/>
      <w:r w:rsidRPr="007E130D">
        <w:t>5</w:t>
      </w:r>
      <w:r w:rsidRPr="007E130D">
        <w:tab/>
        <w:t>Groupe consultatif des radiocommunications</w:t>
      </w:r>
      <w:bookmarkEnd w:id="196"/>
      <w:bookmarkEnd w:id="197"/>
    </w:p>
    <w:p w14:paraId="0E6BC305" w14:textId="2B24FFFE" w:rsidR="00A82EF2" w:rsidRPr="007E130D" w:rsidRDefault="004E41B1" w:rsidP="00B20AC9">
      <w:r w:rsidRPr="007E130D">
        <w:t xml:space="preserve">Les activités du Groupe consultatif des radiocommunications (GCR) sont décrites dans le </w:t>
      </w:r>
      <w:r w:rsidR="00C3678E" w:rsidRPr="007E130D">
        <w:t>D</w:t>
      </w:r>
      <w:r w:rsidRPr="007E130D">
        <w:t xml:space="preserve">ocument </w:t>
      </w:r>
      <w:hyperlink r:id="rId69" w:history="1">
        <w:r w:rsidR="00382A38" w:rsidRPr="007E130D">
          <w:rPr>
            <w:rStyle w:val="Hyperlink"/>
          </w:rPr>
          <w:t>RA-23/PLEN/6</w:t>
        </w:r>
      </w:hyperlink>
      <w:r w:rsidR="00A77140" w:rsidRPr="007E130D">
        <w:t>.</w:t>
      </w:r>
    </w:p>
    <w:p w14:paraId="57254366" w14:textId="77777777" w:rsidR="00A82EF2" w:rsidRPr="007E130D" w:rsidRDefault="00A82EF2" w:rsidP="00B20AC9">
      <w:pPr>
        <w:pStyle w:val="Heading1"/>
      </w:pPr>
      <w:bookmarkStart w:id="198" w:name="_Toc426463252"/>
      <w:bookmarkStart w:id="199" w:name="_Toc19880072"/>
      <w:bookmarkStart w:id="200" w:name="_Toc147328828"/>
      <w:r w:rsidRPr="007E130D">
        <w:t>6</w:t>
      </w:r>
      <w:r w:rsidRPr="007E130D">
        <w:tab/>
        <w:t>Publications, séminaires/ateliers, communication et sensibilisation</w:t>
      </w:r>
      <w:bookmarkEnd w:id="198"/>
      <w:bookmarkEnd w:id="199"/>
      <w:bookmarkEnd w:id="200"/>
      <w:r w:rsidRPr="007E130D">
        <w:t xml:space="preserve"> </w:t>
      </w:r>
    </w:p>
    <w:p w14:paraId="4B977CD1" w14:textId="77777777" w:rsidR="00A82EF2" w:rsidRPr="007E130D" w:rsidRDefault="00A82EF2" w:rsidP="00B20AC9">
      <w:r w:rsidRPr="007E130D">
        <w:t>L'objectif des activités liées aux publications, à l'organisation de séminaires et d'ateliers et à la participation à ces manifestations et, plus généralement, des activités de communication et de sensibilisation, est de faire en sorte que les produits résultant des activités menées par le Secteur de l'UIT-R (dispositions réglementaires, recommandations, rapports et manuels) soient diffusés dans le monde entier et soient mieux connus par les membres de l'UIT et, plus généralement, par toutes les parties prenantes dans le domaine du spectre.</w:t>
      </w:r>
    </w:p>
    <w:p w14:paraId="0D9C32D3" w14:textId="77777777" w:rsidR="00A82EF2" w:rsidRPr="007E130D" w:rsidRDefault="00A82EF2" w:rsidP="00B20AC9">
      <w:pPr>
        <w:pStyle w:val="Heading2"/>
        <w:rPr>
          <w:highlight w:val="yellow"/>
        </w:rPr>
      </w:pPr>
      <w:bookmarkStart w:id="201" w:name="_Toc426463253"/>
      <w:bookmarkStart w:id="202" w:name="_Toc19880073"/>
      <w:bookmarkStart w:id="203" w:name="_Toc147328829"/>
      <w:r w:rsidRPr="007E130D">
        <w:lastRenderedPageBreak/>
        <w:t>6.1</w:t>
      </w:r>
      <w:r w:rsidRPr="007E130D">
        <w:tab/>
        <w:t>Publications</w:t>
      </w:r>
      <w:bookmarkEnd w:id="201"/>
      <w:bookmarkEnd w:id="202"/>
      <w:bookmarkEnd w:id="203"/>
    </w:p>
    <w:p w14:paraId="3C567469" w14:textId="77777777" w:rsidR="00A82EF2" w:rsidRPr="007E130D" w:rsidRDefault="00A82EF2" w:rsidP="00B20AC9">
      <w:pPr>
        <w:pStyle w:val="Heading3"/>
      </w:pPr>
      <w:bookmarkStart w:id="204" w:name="_Toc426463254"/>
      <w:bookmarkStart w:id="205" w:name="_Toc19880074"/>
      <w:bookmarkStart w:id="206" w:name="_Toc147328830"/>
      <w:r w:rsidRPr="007E130D">
        <w:t>6.1.1</w:t>
      </w:r>
      <w:r w:rsidRPr="007E130D">
        <w:tab/>
        <w:t>Publications réglementaires</w:t>
      </w:r>
      <w:bookmarkEnd w:id="204"/>
      <w:bookmarkEnd w:id="205"/>
      <w:bookmarkEnd w:id="206"/>
    </w:p>
    <w:p w14:paraId="5BBCBCFB" w14:textId="2BD2FD31" w:rsidR="00A82EF2" w:rsidRPr="007E130D" w:rsidRDefault="00A82EF2" w:rsidP="00B20AC9">
      <w:r w:rsidRPr="007E130D">
        <w:t xml:space="preserve">Pendant la période </w:t>
      </w:r>
      <w:r w:rsidR="00A77140" w:rsidRPr="007E130D">
        <w:t>2020-2023</w:t>
      </w:r>
      <w:r w:rsidRPr="007E130D">
        <w:t>, les publications réglementaires ont été élaborées selon les modalités habituelles, comme prévu dans le Plan opérationnel, à savoir:</w:t>
      </w:r>
    </w:p>
    <w:p w14:paraId="72AAC50B" w14:textId="5E7E166A" w:rsidR="00A82EF2" w:rsidRPr="007E130D" w:rsidRDefault="00A82EF2" w:rsidP="00B20AC9">
      <w:pPr>
        <w:pStyle w:val="enumlev1"/>
      </w:pPr>
      <w:r w:rsidRPr="007E130D">
        <w:t>–</w:t>
      </w:r>
      <w:r w:rsidRPr="007E130D">
        <w:tab/>
        <w:t>l'édition du Règlement des radiocommunications tenant compte des modifications arrêtées par la CMR-1</w:t>
      </w:r>
      <w:r w:rsidR="00A77140" w:rsidRPr="007E130D">
        <w:t>9</w:t>
      </w:r>
      <w:r w:rsidRPr="007E130D">
        <w:t xml:space="preserve"> a été publiée </w:t>
      </w:r>
      <w:r w:rsidR="00A77140" w:rsidRPr="007E130D">
        <w:t xml:space="preserve">en 2020 </w:t>
      </w:r>
      <w:r w:rsidRPr="007E130D">
        <w:t>dans toutes les langues de l'UIT;</w:t>
      </w:r>
    </w:p>
    <w:p w14:paraId="1C562B5D" w14:textId="7EFF4AA8" w:rsidR="00A82EF2" w:rsidRPr="007E130D" w:rsidRDefault="00A82EF2" w:rsidP="00B20AC9">
      <w:pPr>
        <w:pStyle w:val="enumlev1"/>
        <w:keepLines/>
      </w:pPr>
      <w:r w:rsidRPr="007E130D">
        <w:t>–</w:t>
      </w:r>
      <w:r w:rsidRPr="007E130D">
        <w:tab/>
        <w:t>la version complète des Règles de procédure tenant compte des décisions de la CMR-1</w:t>
      </w:r>
      <w:r w:rsidR="00A77140" w:rsidRPr="007E130D">
        <w:t>9</w:t>
      </w:r>
      <w:r w:rsidRPr="007E130D">
        <w:t xml:space="preserve"> a été publiée </w:t>
      </w:r>
      <w:r w:rsidR="00A77140" w:rsidRPr="007E130D">
        <w:t>en 2021</w:t>
      </w:r>
      <w:r w:rsidRPr="007E130D">
        <w:t xml:space="preserve">. Depuis lors, </w:t>
      </w:r>
      <w:r w:rsidR="00A77140" w:rsidRPr="007E130D">
        <w:t xml:space="preserve">trois </w:t>
      </w:r>
      <w:r w:rsidRPr="007E130D">
        <w:t>mises à jour ont été publiées compte tenu des modifications décidées par le RRB. Les Règles de procédure et leurs mises à jour sont publiées dans toutes les langues de l'UIT.</w:t>
      </w:r>
    </w:p>
    <w:p w14:paraId="30CA45B5" w14:textId="22E01288" w:rsidR="00A82EF2" w:rsidRPr="007E130D" w:rsidRDefault="00A82EF2" w:rsidP="00B20AC9">
      <w:r w:rsidRPr="007E130D">
        <w:t xml:space="preserve">Le Tableau 6.1.1-1 récapitule les activités du Bureau relatives à d'autres publications statutaires résultant de l'application du Règlement des radiocommunications pendant la période </w:t>
      </w:r>
      <w:r w:rsidR="00A77140" w:rsidRPr="007E130D">
        <w:t>2020-2021</w:t>
      </w:r>
      <w:r w:rsidRPr="007E130D">
        <w:t>.</w:t>
      </w:r>
    </w:p>
    <w:p w14:paraId="5AE11010" w14:textId="77777777" w:rsidR="00A82EF2" w:rsidRPr="007E130D" w:rsidRDefault="00A82EF2" w:rsidP="00B20AC9">
      <w:pPr>
        <w:pStyle w:val="TableNo"/>
      </w:pPr>
      <w:r w:rsidRPr="007E130D">
        <w:t>TableAU 6.1.1-1</w:t>
      </w:r>
    </w:p>
    <w:p w14:paraId="07321174" w14:textId="457D8C37" w:rsidR="00A82EF2" w:rsidRPr="007E130D" w:rsidRDefault="00A82EF2" w:rsidP="00B20AC9">
      <w:pPr>
        <w:pStyle w:val="Tabletitle"/>
      </w:pPr>
      <w:r w:rsidRPr="007E130D">
        <w:t>Récapitulatif concernant les publications résultant de l'application</w:t>
      </w:r>
      <w:r w:rsidRPr="007E130D">
        <w:br/>
        <w:t>du Règlement des radiocommunications</w:t>
      </w:r>
    </w:p>
    <w:tbl>
      <w:tblPr>
        <w:tblW w:w="9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35"/>
        <w:gridCol w:w="1835"/>
        <w:gridCol w:w="1835"/>
        <w:gridCol w:w="1835"/>
      </w:tblGrid>
      <w:tr w:rsidR="00A77140" w:rsidRPr="007E130D" w14:paraId="4C234343" w14:textId="77777777" w:rsidTr="00960B1C">
        <w:trPr>
          <w:cantSplit/>
          <w:jc w:val="center"/>
        </w:trPr>
        <w:tc>
          <w:tcPr>
            <w:tcW w:w="1835" w:type="dxa"/>
            <w:tcBorders>
              <w:top w:val="nil"/>
              <w:left w:val="nil"/>
              <w:bottom w:val="single" w:sz="4" w:space="0" w:color="auto"/>
              <w:right w:val="single" w:sz="4" w:space="0" w:color="auto"/>
            </w:tcBorders>
            <w:vAlign w:val="center"/>
          </w:tcPr>
          <w:p w14:paraId="26D4483D" w14:textId="77777777" w:rsidR="00A77140" w:rsidRPr="007E130D" w:rsidRDefault="00A77140" w:rsidP="00B20AC9">
            <w:pPr>
              <w:pStyle w:val="Tablehead"/>
              <w:keepNext w:val="0"/>
              <w:rPr>
                <w:rFonts w:asciiTheme="majorBidi" w:hAnsiTheme="majorBidi" w:cstheme="majorBidi"/>
              </w:rPr>
            </w:pPr>
          </w:p>
        </w:tc>
        <w:tc>
          <w:tcPr>
            <w:tcW w:w="1835" w:type="dxa"/>
            <w:tcBorders>
              <w:top w:val="single" w:sz="4" w:space="0" w:color="auto"/>
              <w:bottom w:val="single" w:sz="4" w:space="0" w:color="auto"/>
              <w:right w:val="single" w:sz="4" w:space="0" w:color="auto"/>
            </w:tcBorders>
            <w:vAlign w:val="center"/>
          </w:tcPr>
          <w:p w14:paraId="38E40F5F" w14:textId="77777777" w:rsidR="00A77140" w:rsidRPr="007E130D" w:rsidRDefault="00A77140" w:rsidP="00B20AC9">
            <w:pPr>
              <w:pStyle w:val="Tablehead"/>
              <w:keepNext w:val="0"/>
              <w:rPr>
                <w:rFonts w:asciiTheme="majorBidi" w:hAnsiTheme="majorBidi" w:cstheme="majorBidi"/>
              </w:rPr>
            </w:pPr>
            <w:r w:rsidRPr="007E130D">
              <w:rPr>
                <w:rFonts w:asciiTheme="majorBidi" w:hAnsiTheme="majorBidi" w:cstheme="majorBidi"/>
              </w:rPr>
              <w:t>2020</w:t>
            </w:r>
          </w:p>
        </w:tc>
        <w:tc>
          <w:tcPr>
            <w:tcW w:w="1835" w:type="dxa"/>
            <w:tcBorders>
              <w:top w:val="single" w:sz="4" w:space="0" w:color="auto"/>
              <w:bottom w:val="single" w:sz="4" w:space="0" w:color="auto"/>
              <w:right w:val="single" w:sz="4" w:space="0" w:color="auto"/>
            </w:tcBorders>
            <w:vAlign w:val="center"/>
          </w:tcPr>
          <w:p w14:paraId="202E86BB" w14:textId="77777777" w:rsidR="00A77140" w:rsidRPr="007E130D" w:rsidRDefault="00A77140" w:rsidP="00B20AC9">
            <w:pPr>
              <w:pStyle w:val="Tablehead"/>
              <w:keepNext w:val="0"/>
              <w:rPr>
                <w:rFonts w:asciiTheme="majorBidi" w:hAnsiTheme="majorBidi" w:cstheme="majorBidi"/>
              </w:rPr>
            </w:pPr>
            <w:r w:rsidRPr="007E130D">
              <w:rPr>
                <w:rFonts w:asciiTheme="majorBidi" w:hAnsiTheme="majorBidi" w:cstheme="majorBidi"/>
              </w:rPr>
              <w:t>2021</w:t>
            </w:r>
          </w:p>
        </w:tc>
        <w:tc>
          <w:tcPr>
            <w:tcW w:w="1835" w:type="dxa"/>
            <w:tcBorders>
              <w:top w:val="single" w:sz="4" w:space="0" w:color="auto"/>
              <w:left w:val="single" w:sz="4" w:space="0" w:color="auto"/>
              <w:bottom w:val="single" w:sz="4" w:space="0" w:color="auto"/>
              <w:right w:val="single" w:sz="4" w:space="0" w:color="auto"/>
            </w:tcBorders>
            <w:vAlign w:val="center"/>
          </w:tcPr>
          <w:p w14:paraId="33F377E5" w14:textId="77777777" w:rsidR="00A77140" w:rsidRPr="007E130D" w:rsidRDefault="00A77140" w:rsidP="00B20AC9">
            <w:pPr>
              <w:pStyle w:val="Tablehead"/>
              <w:keepNext w:val="0"/>
              <w:rPr>
                <w:rFonts w:asciiTheme="majorBidi" w:hAnsiTheme="majorBidi" w:cstheme="majorBidi"/>
              </w:rPr>
            </w:pPr>
            <w:r w:rsidRPr="007E130D">
              <w:rPr>
                <w:rFonts w:asciiTheme="majorBidi" w:hAnsiTheme="majorBidi" w:cstheme="majorBidi"/>
              </w:rPr>
              <w:t>2022</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E4B5C5E" w14:textId="77777777" w:rsidR="00A77140" w:rsidRPr="007E130D" w:rsidRDefault="00A77140" w:rsidP="00B20AC9">
            <w:pPr>
              <w:pStyle w:val="Tablehead"/>
              <w:keepNext w:val="0"/>
              <w:rPr>
                <w:rFonts w:asciiTheme="majorBidi" w:hAnsiTheme="majorBidi" w:cstheme="majorBidi"/>
                <w:vertAlign w:val="superscript"/>
              </w:rPr>
            </w:pPr>
            <w:r w:rsidRPr="007E130D">
              <w:rPr>
                <w:rFonts w:asciiTheme="majorBidi" w:hAnsiTheme="majorBidi" w:cstheme="majorBidi"/>
              </w:rPr>
              <w:t>2023</w:t>
            </w:r>
            <w:r w:rsidRPr="007E130D">
              <w:rPr>
                <w:rFonts w:asciiTheme="majorBidi" w:hAnsiTheme="majorBidi" w:cstheme="majorBidi"/>
                <w:b w:val="0"/>
                <w:bCs/>
                <w:vertAlign w:val="superscript"/>
              </w:rPr>
              <w:t>Note</w:t>
            </w:r>
          </w:p>
        </w:tc>
      </w:tr>
      <w:tr w:rsidR="00A82EF2" w:rsidRPr="007E130D" w14:paraId="17023130" w14:textId="77777777" w:rsidTr="00960B1C">
        <w:trPr>
          <w:cantSplit/>
          <w:jc w:val="center"/>
        </w:trPr>
        <w:tc>
          <w:tcPr>
            <w:tcW w:w="1835" w:type="dxa"/>
            <w:tcBorders>
              <w:top w:val="single" w:sz="4" w:space="0" w:color="auto"/>
              <w:left w:val="single" w:sz="4" w:space="0" w:color="auto"/>
            </w:tcBorders>
            <w:vAlign w:val="center"/>
          </w:tcPr>
          <w:p w14:paraId="7FD83542" w14:textId="77777777" w:rsidR="00A82EF2" w:rsidRPr="007E130D" w:rsidRDefault="00A82EF2" w:rsidP="00B20AC9">
            <w:pPr>
              <w:pStyle w:val="Tabletext"/>
              <w:jc w:val="center"/>
            </w:pPr>
            <w:r w:rsidRPr="007E130D">
              <w:t>BR IFIC (y compris la Liste ILF et tous les plans)</w:t>
            </w:r>
          </w:p>
        </w:tc>
        <w:tc>
          <w:tcPr>
            <w:tcW w:w="1835" w:type="dxa"/>
            <w:tcBorders>
              <w:top w:val="single" w:sz="4" w:space="0" w:color="auto"/>
              <w:right w:val="single" w:sz="4" w:space="0" w:color="auto"/>
            </w:tcBorders>
            <w:vAlign w:val="center"/>
          </w:tcPr>
          <w:p w14:paraId="24800F9A" w14:textId="4B32E2CF" w:rsidR="00A82EF2" w:rsidRPr="007E130D" w:rsidRDefault="00A82EF2" w:rsidP="00B20AC9">
            <w:pPr>
              <w:pStyle w:val="Tabletext"/>
              <w:jc w:val="center"/>
            </w:pPr>
            <w:r w:rsidRPr="007E130D">
              <w:rPr>
                <w:rFonts w:asciiTheme="majorBidi" w:hAnsiTheme="majorBidi" w:cstheme="majorBidi"/>
              </w:rPr>
              <w:t>25 numéros</w:t>
            </w:r>
            <w:r w:rsidRPr="007E130D">
              <w:rPr>
                <w:rFonts w:asciiTheme="majorBidi" w:hAnsiTheme="majorBidi" w:cstheme="majorBidi"/>
              </w:rPr>
              <w:br/>
              <w:t>(sur DVD-ROM)</w:t>
            </w:r>
          </w:p>
        </w:tc>
        <w:tc>
          <w:tcPr>
            <w:tcW w:w="1835" w:type="dxa"/>
            <w:tcBorders>
              <w:top w:val="single" w:sz="4" w:space="0" w:color="auto"/>
              <w:right w:val="single" w:sz="4" w:space="0" w:color="auto"/>
            </w:tcBorders>
            <w:vAlign w:val="center"/>
          </w:tcPr>
          <w:p w14:paraId="5FE34CB4" w14:textId="77777777" w:rsidR="00A82EF2" w:rsidRPr="007E130D" w:rsidRDefault="00A82EF2" w:rsidP="00B20AC9">
            <w:pPr>
              <w:pStyle w:val="Tabletext"/>
              <w:jc w:val="center"/>
            </w:pPr>
            <w:r w:rsidRPr="007E130D">
              <w:rPr>
                <w:rFonts w:asciiTheme="majorBidi" w:hAnsiTheme="majorBidi" w:cstheme="majorBidi"/>
              </w:rPr>
              <w:t>25 numéros</w:t>
            </w:r>
            <w:r w:rsidRPr="007E130D">
              <w:rPr>
                <w:rFonts w:asciiTheme="majorBidi" w:hAnsiTheme="majorBidi" w:cstheme="majorBidi"/>
              </w:rPr>
              <w:br/>
              <w:t>(sur DVD-ROM)</w:t>
            </w:r>
          </w:p>
        </w:tc>
        <w:tc>
          <w:tcPr>
            <w:tcW w:w="1835" w:type="dxa"/>
            <w:tcBorders>
              <w:top w:val="single" w:sz="4" w:space="0" w:color="auto"/>
              <w:left w:val="single" w:sz="4" w:space="0" w:color="auto"/>
              <w:bottom w:val="single" w:sz="4" w:space="0" w:color="auto"/>
              <w:right w:val="single" w:sz="4" w:space="0" w:color="auto"/>
            </w:tcBorders>
            <w:vAlign w:val="center"/>
          </w:tcPr>
          <w:p w14:paraId="2E02735A" w14:textId="7C78E4C1" w:rsidR="00A82EF2" w:rsidRPr="007E130D" w:rsidRDefault="00A82EF2" w:rsidP="00B20AC9">
            <w:pPr>
              <w:pStyle w:val="Tabletext"/>
              <w:jc w:val="center"/>
            </w:pPr>
            <w:r w:rsidRPr="007E130D">
              <w:rPr>
                <w:rFonts w:asciiTheme="majorBidi" w:hAnsiTheme="majorBidi" w:cstheme="majorBidi"/>
              </w:rPr>
              <w:t>25 numéros</w:t>
            </w:r>
            <w:r w:rsidRPr="007E130D">
              <w:rPr>
                <w:rFonts w:asciiTheme="majorBidi" w:hAnsiTheme="majorBidi" w:cstheme="majorBidi"/>
              </w:rPr>
              <w:br/>
              <w:t>(sur DVD-ROM)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2F1014FE" w14:textId="44ECCAF5" w:rsidR="00A82EF2" w:rsidRPr="007E130D" w:rsidRDefault="00A82EF2" w:rsidP="00B20AC9">
            <w:pPr>
              <w:pStyle w:val="Tabletext"/>
              <w:jc w:val="center"/>
            </w:pPr>
            <w:r w:rsidRPr="007E130D">
              <w:rPr>
                <w:rFonts w:asciiTheme="majorBidi" w:hAnsiTheme="majorBidi" w:cstheme="majorBidi"/>
              </w:rPr>
              <w:t>25 numéros</w:t>
            </w:r>
            <w:r w:rsidRPr="007E130D">
              <w:rPr>
                <w:rFonts w:asciiTheme="majorBidi" w:hAnsiTheme="majorBidi" w:cstheme="majorBidi"/>
              </w:rPr>
              <w:br/>
              <w:t>(sur DVD-ROM)</w:t>
            </w:r>
          </w:p>
        </w:tc>
      </w:tr>
      <w:tr w:rsidR="00A82EF2" w:rsidRPr="007E130D" w14:paraId="77E4DF68" w14:textId="77777777" w:rsidTr="00960B1C">
        <w:trPr>
          <w:cantSplit/>
          <w:jc w:val="center"/>
        </w:trPr>
        <w:tc>
          <w:tcPr>
            <w:tcW w:w="1835" w:type="dxa"/>
            <w:tcBorders>
              <w:left w:val="single" w:sz="4" w:space="0" w:color="auto"/>
            </w:tcBorders>
            <w:vAlign w:val="center"/>
          </w:tcPr>
          <w:p w14:paraId="4A25BAE8" w14:textId="77777777" w:rsidR="00A82EF2" w:rsidRPr="007E130D" w:rsidRDefault="00A82EF2" w:rsidP="00B20AC9">
            <w:pPr>
              <w:pStyle w:val="Tabletext"/>
              <w:jc w:val="center"/>
            </w:pPr>
            <w:r w:rsidRPr="007E130D">
              <w:t>Horaires HFBC</w:t>
            </w:r>
          </w:p>
        </w:tc>
        <w:tc>
          <w:tcPr>
            <w:tcW w:w="1835" w:type="dxa"/>
            <w:tcBorders>
              <w:right w:val="single" w:sz="4" w:space="0" w:color="auto"/>
            </w:tcBorders>
            <w:vAlign w:val="center"/>
          </w:tcPr>
          <w:p w14:paraId="2480202A" w14:textId="7A33F5D0" w:rsidR="00A82EF2" w:rsidRPr="007E130D" w:rsidRDefault="00A82EF2" w:rsidP="00B20AC9">
            <w:pPr>
              <w:pStyle w:val="Tabletext"/>
              <w:jc w:val="center"/>
            </w:pPr>
            <w:r w:rsidRPr="007E130D">
              <w:rPr>
                <w:rFonts w:asciiTheme="majorBidi" w:hAnsiTheme="majorBidi" w:cstheme="majorBidi"/>
              </w:rPr>
              <w:t>11 numéros</w:t>
            </w:r>
            <w:r w:rsidRPr="007E130D">
              <w:rPr>
                <w:rFonts w:asciiTheme="majorBidi" w:hAnsiTheme="majorBidi" w:cstheme="majorBidi"/>
              </w:rPr>
              <w:br/>
              <w:t>(</w:t>
            </w:r>
            <w:r w:rsidR="00446D4F" w:rsidRPr="007E130D">
              <w:rPr>
                <w:rFonts w:asciiTheme="majorBidi" w:hAnsiTheme="majorBidi" w:cstheme="majorBidi"/>
              </w:rPr>
              <w:t>en ligne</w:t>
            </w:r>
            <w:r w:rsidRPr="007E130D">
              <w:rPr>
                <w:rFonts w:asciiTheme="majorBidi" w:hAnsiTheme="majorBidi" w:cstheme="majorBidi"/>
              </w:rPr>
              <w:t>)</w:t>
            </w:r>
          </w:p>
        </w:tc>
        <w:tc>
          <w:tcPr>
            <w:tcW w:w="1835" w:type="dxa"/>
            <w:tcBorders>
              <w:right w:val="single" w:sz="4" w:space="0" w:color="auto"/>
            </w:tcBorders>
            <w:vAlign w:val="center"/>
          </w:tcPr>
          <w:p w14:paraId="625EA27A" w14:textId="366A2BDE" w:rsidR="00A82EF2" w:rsidRPr="007E130D" w:rsidRDefault="00A82EF2" w:rsidP="00B20AC9">
            <w:pPr>
              <w:pStyle w:val="Tabletext"/>
              <w:jc w:val="center"/>
            </w:pPr>
            <w:r w:rsidRPr="007E130D">
              <w:rPr>
                <w:rFonts w:asciiTheme="majorBidi" w:hAnsiTheme="majorBidi" w:cstheme="majorBidi"/>
              </w:rPr>
              <w:t>11 numéros</w:t>
            </w:r>
            <w:r w:rsidRPr="007E130D">
              <w:rPr>
                <w:rFonts w:asciiTheme="majorBidi" w:hAnsiTheme="majorBidi" w:cstheme="majorBidi"/>
              </w:rPr>
              <w:br/>
              <w:t>(</w:t>
            </w:r>
            <w:r w:rsidR="00446D4F" w:rsidRPr="007E130D">
              <w:rPr>
                <w:rFonts w:asciiTheme="majorBidi" w:hAnsiTheme="majorBidi" w:cstheme="majorBidi"/>
              </w:rPr>
              <w:t>en ligne</w:t>
            </w:r>
            <w:r w:rsidRPr="007E130D">
              <w:rPr>
                <w:rFonts w:asciiTheme="majorBidi" w:hAnsiTheme="majorBidi" w:cstheme="majorBidi"/>
              </w:rPr>
              <w:t>)</w:t>
            </w:r>
          </w:p>
        </w:tc>
        <w:tc>
          <w:tcPr>
            <w:tcW w:w="1835" w:type="dxa"/>
            <w:tcBorders>
              <w:top w:val="single" w:sz="4" w:space="0" w:color="auto"/>
              <w:left w:val="single" w:sz="4" w:space="0" w:color="auto"/>
              <w:bottom w:val="single" w:sz="4" w:space="0" w:color="auto"/>
              <w:right w:val="single" w:sz="4" w:space="0" w:color="auto"/>
            </w:tcBorders>
            <w:vAlign w:val="center"/>
          </w:tcPr>
          <w:p w14:paraId="638C1D80" w14:textId="2221AE81" w:rsidR="00A82EF2" w:rsidRPr="007E130D" w:rsidRDefault="00A82EF2" w:rsidP="00B20AC9">
            <w:pPr>
              <w:pStyle w:val="Tabletext"/>
              <w:jc w:val="center"/>
            </w:pPr>
            <w:r w:rsidRPr="007E130D">
              <w:rPr>
                <w:rFonts w:asciiTheme="majorBidi" w:hAnsiTheme="majorBidi" w:cstheme="majorBidi"/>
              </w:rPr>
              <w:t>11 numéros</w:t>
            </w:r>
            <w:r w:rsidRPr="007E130D">
              <w:rPr>
                <w:rFonts w:asciiTheme="majorBidi" w:hAnsiTheme="majorBidi" w:cstheme="majorBidi"/>
              </w:rPr>
              <w:br/>
              <w:t>(</w:t>
            </w:r>
            <w:r w:rsidR="00446D4F" w:rsidRPr="007E130D">
              <w:rPr>
                <w:rFonts w:asciiTheme="majorBidi" w:hAnsiTheme="majorBidi" w:cstheme="majorBidi"/>
              </w:rPr>
              <w:t>en ligne</w:t>
            </w:r>
            <w:r w:rsidRPr="007E130D">
              <w:rPr>
                <w:rFonts w:asciiTheme="majorBidi" w:hAnsiTheme="majorBidi" w:cstheme="majorBidi"/>
              </w:rPr>
              <w:t>)</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154A905" w14:textId="01304FF4" w:rsidR="00A82EF2" w:rsidRPr="007E130D" w:rsidRDefault="00A82EF2" w:rsidP="00B20AC9">
            <w:pPr>
              <w:pStyle w:val="Tabletext"/>
              <w:jc w:val="center"/>
            </w:pPr>
            <w:r w:rsidRPr="007E130D">
              <w:rPr>
                <w:rFonts w:asciiTheme="majorBidi" w:hAnsiTheme="majorBidi" w:cstheme="majorBidi"/>
              </w:rPr>
              <w:t>11 numéros</w:t>
            </w:r>
            <w:r w:rsidRPr="007E130D">
              <w:rPr>
                <w:rFonts w:asciiTheme="majorBidi" w:hAnsiTheme="majorBidi" w:cstheme="majorBidi"/>
              </w:rPr>
              <w:br/>
              <w:t>(en ligne)</w:t>
            </w:r>
          </w:p>
        </w:tc>
      </w:tr>
      <w:tr w:rsidR="00A82EF2" w:rsidRPr="007E130D" w14:paraId="27371D7C" w14:textId="77777777" w:rsidTr="00A77140">
        <w:trPr>
          <w:cantSplit/>
          <w:jc w:val="center"/>
        </w:trPr>
        <w:tc>
          <w:tcPr>
            <w:tcW w:w="1835" w:type="dxa"/>
            <w:tcBorders>
              <w:left w:val="single" w:sz="4" w:space="0" w:color="auto"/>
              <w:bottom w:val="single" w:sz="6" w:space="0" w:color="auto"/>
            </w:tcBorders>
            <w:vAlign w:val="center"/>
          </w:tcPr>
          <w:p w14:paraId="225B9AA2" w14:textId="26A3129B" w:rsidR="00A82EF2" w:rsidRPr="007E130D" w:rsidRDefault="00A82EF2" w:rsidP="00B20AC9">
            <w:pPr>
              <w:pStyle w:val="Tabletext"/>
              <w:jc w:val="center"/>
            </w:pPr>
            <w:r w:rsidRPr="007E130D">
              <w:t>Préface à la BR IFIC (</w:t>
            </w:r>
            <w:r w:rsidR="004B71D4">
              <w:t>S</w:t>
            </w:r>
            <w:r w:rsidRPr="007E130D">
              <w:t>ervices spatiaux et services de Terre)</w:t>
            </w:r>
          </w:p>
        </w:tc>
        <w:tc>
          <w:tcPr>
            <w:tcW w:w="1835" w:type="dxa"/>
            <w:tcBorders>
              <w:bottom w:val="single" w:sz="6" w:space="0" w:color="auto"/>
              <w:right w:val="single" w:sz="4" w:space="0" w:color="auto"/>
            </w:tcBorders>
            <w:vAlign w:val="center"/>
          </w:tcPr>
          <w:p w14:paraId="2F480A73" w14:textId="77777777" w:rsidR="00A82EF2" w:rsidRPr="007E130D" w:rsidRDefault="00A82EF2" w:rsidP="00B20AC9">
            <w:pPr>
              <w:pStyle w:val="Tabletext"/>
              <w:jc w:val="center"/>
            </w:pPr>
            <w:r w:rsidRPr="007E130D">
              <w:rPr>
                <w:rFonts w:asciiTheme="majorBidi" w:hAnsiTheme="majorBidi" w:cstheme="majorBidi"/>
              </w:rPr>
              <w:t xml:space="preserve">25 </w:t>
            </w:r>
            <w:r w:rsidRPr="007E130D">
              <w:t>numéros (incorporés dans chaque BR IFIC)</w:t>
            </w:r>
          </w:p>
        </w:tc>
        <w:tc>
          <w:tcPr>
            <w:tcW w:w="1835" w:type="dxa"/>
            <w:tcBorders>
              <w:bottom w:val="single" w:sz="6" w:space="0" w:color="auto"/>
              <w:right w:val="single" w:sz="4" w:space="0" w:color="auto"/>
            </w:tcBorders>
            <w:vAlign w:val="center"/>
          </w:tcPr>
          <w:p w14:paraId="79C5B032" w14:textId="77777777" w:rsidR="00A82EF2" w:rsidRPr="007E130D" w:rsidRDefault="00A82EF2" w:rsidP="00B20AC9">
            <w:pPr>
              <w:pStyle w:val="Tabletext"/>
              <w:jc w:val="center"/>
            </w:pPr>
            <w:r w:rsidRPr="007E130D">
              <w:rPr>
                <w:rFonts w:asciiTheme="majorBidi" w:hAnsiTheme="majorBidi" w:cstheme="majorBidi"/>
              </w:rPr>
              <w:t xml:space="preserve">25 </w:t>
            </w:r>
            <w:r w:rsidRPr="007E130D">
              <w:t>numéros (incorporés dans chaque BR IFIC)</w:t>
            </w:r>
          </w:p>
        </w:tc>
        <w:tc>
          <w:tcPr>
            <w:tcW w:w="1835" w:type="dxa"/>
            <w:tcBorders>
              <w:top w:val="single" w:sz="4" w:space="0" w:color="auto"/>
              <w:left w:val="single" w:sz="4" w:space="0" w:color="auto"/>
              <w:bottom w:val="single" w:sz="6" w:space="0" w:color="auto"/>
              <w:right w:val="single" w:sz="4" w:space="0" w:color="auto"/>
            </w:tcBorders>
            <w:vAlign w:val="center"/>
          </w:tcPr>
          <w:p w14:paraId="300566E0" w14:textId="77777777" w:rsidR="00A82EF2" w:rsidRPr="007E130D" w:rsidRDefault="00A82EF2" w:rsidP="00B20AC9">
            <w:pPr>
              <w:pStyle w:val="Tabletext"/>
              <w:jc w:val="center"/>
            </w:pPr>
            <w:r w:rsidRPr="007E130D">
              <w:rPr>
                <w:rFonts w:asciiTheme="majorBidi" w:hAnsiTheme="majorBidi" w:cstheme="majorBidi"/>
              </w:rPr>
              <w:t xml:space="preserve">25 </w:t>
            </w:r>
            <w:r w:rsidRPr="007E130D">
              <w:t>numéros (incorporés dans chaque BR IFIC)</w:t>
            </w:r>
          </w:p>
        </w:tc>
        <w:tc>
          <w:tcPr>
            <w:tcW w:w="1835" w:type="dxa"/>
            <w:tcBorders>
              <w:top w:val="single" w:sz="4" w:space="0" w:color="auto"/>
              <w:left w:val="single" w:sz="4" w:space="0" w:color="auto"/>
              <w:bottom w:val="single" w:sz="6" w:space="0" w:color="auto"/>
              <w:right w:val="single" w:sz="4" w:space="0" w:color="auto"/>
            </w:tcBorders>
            <w:shd w:val="clear" w:color="auto" w:fill="auto"/>
            <w:vAlign w:val="center"/>
          </w:tcPr>
          <w:p w14:paraId="5A486AD4" w14:textId="77777777" w:rsidR="00A82EF2" w:rsidRPr="007E130D" w:rsidRDefault="00A82EF2" w:rsidP="00B20AC9">
            <w:pPr>
              <w:pStyle w:val="Tabletext"/>
              <w:jc w:val="center"/>
            </w:pPr>
            <w:r w:rsidRPr="007E130D">
              <w:rPr>
                <w:rFonts w:asciiTheme="majorBidi" w:hAnsiTheme="majorBidi" w:cstheme="majorBidi"/>
              </w:rPr>
              <w:t xml:space="preserve">25 </w:t>
            </w:r>
            <w:r w:rsidRPr="007E130D">
              <w:t>numéros (incorporés dans chaque BR IFIC)</w:t>
            </w:r>
          </w:p>
        </w:tc>
      </w:tr>
      <w:tr w:rsidR="00A77140" w:rsidRPr="007E130D" w14:paraId="3B636ABE" w14:textId="77777777" w:rsidTr="00A77140">
        <w:trPr>
          <w:cantSplit/>
          <w:jc w:val="center"/>
        </w:trPr>
        <w:tc>
          <w:tcPr>
            <w:tcW w:w="9175" w:type="dxa"/>
            <w:gridSpan w:val="5"/>
            <w:tcBorders>
              <w:top w:val="single" w:sz="6" w:space="0" w:color="auto"/>
              <w:left w:val="nil"/>
              <w:bottom w:val="nil"/>
              <w:right w:val="nil"/>
            </w:tcBorders>
            <w:vAlign w:val="center"/>
          </w:tcPr>
          <w:p w14:paraId="0872E90E" w14:textId="0933BCDB" w:rsidR="00A77140" w:rsidRPr="007E130D" w:rsidRDefault="00A77140" w:rsidP="00B20AC9">
            <w:pPr>
              <w:pStyle w:val="Tablelegend"/>
              <w:rPr>
                <w:rFonts w:asciiTheme="majorBidi" w:hAnsiTheme="majorBidi" w:cstheme="majorBidi"/>
              </w:rPr>
            </w:pPr>
            <w:r w:rsidRPr="007E130D">
              <w:t>Note: nombre de publications prévues pour toute l'année 2023.</w:t>
            </w:r>
          </w:p>
        </w:tc>
      </w:tr>
    </w:tbl>
    <w:p w14:paraId="7002DEC0" w14:textId="77777777" w:rsidR="00A82EF2" w:rsidRPr="007E130D" w:rsidRDefault="00A82EF2" w:rsidP="00B20AC9">
      <w:pPr>
        <w:pStyle w:val="Heading3"/>
      </w:pPr>
      <w:bookmarkStart w:id="207" w:name="_Toc426463255"/>
      <w:bookmarkStart w:id="208" w:name="_Toc19880075"/>
      <w:bookmarkStart w:id="209" w:name="_Toc147328831"/>
      <w:r w:rsidRPr="007E130D">
        <w:t>6.1.2</w:t>
      </w:r>
      <w:r w:rsidRPr="007E130D">
        <w:tab/>
        <w:t>Publications de service</w:t>
      </w:r>
      <w:bookmarkEnd w:id="207"/>
      <w:bookmarkEnd w:id="208"/>
      <w:bookmarkEnd w:id="209"/>
    </w:p>
    <w:p w14:paraId="392862E3" w14:textId="77777777" w:rsidR="00A82EF2" w:rsidRPr="007E130D" w:rsidRDefault="00A82EF2" w:rsidP="00B20AC9">
      <w:pPr>
        <w:pStyle w:val="Heading4"/>
      </w:pPr>
      <w:r w:rsidRPr="007E130D">
        <w:t>6.1.2.1</w:t>
      </w:r>
      <w:r w:rsidRPr="007E130D">
        <w:tab/>
        <w:t>Rappel et observations générales</w:t>
      </w:r>
    </w:p>
    <w:p w14:paraId="5D66711C" w14:textId="77777777" w:rsidR="00A82EF2" w:rsidRPr="007E130D" w:rsidRDefault="00A82EF2" w:rsidP="00B20AC9">
      <w:r w:rsidRPr="007E130D">
        <w:t xml:space="preserve">Le Bureau élabore et publie diverses publications de service, comme indiqué dans l'Article </w:t>
      </w:r>
      <w:r w:rsidRPr="007E130D">
        <w:rPr>
          <w:b/>
          <w:bCs/>
        </w:rPr>
        <w:t>20</w:t>
      </w:r>
      <w:r w:rsidRPr="007E130D">
        <w:t xml:space="preserve"> du Règlement des radiocommunications (RR).</w:t>
      </w:r>
    </w:p>
    <w:p w14:paraId="3E0E266C" w14:textId="77777777" w:rsidR="00A82EF2" w:rsidRPr="007E130D" w:rsidRDefault="00A82EF2" w:rsidP="00B20AC9">
      <w:r w:rsidRPr="007E130D">
        <w:t xml:space="preserve">Étant donné l'importance que revêtent les renseignements relatifs à l'exploitation qui figurent dans les publications de service relatives au service maritime, particulièrement en ce qui concerne la sécurité, les administrations sont tenues de communiquer les modifications nécessaires, conformément aux dispositions du numéro </w:t>
      </w:r>
      <w:r w:rsidRPr="007E130D">
        <w:rPr>
          <w:b/>
          <w:bCs/>
        </w:rPr>
        <w:t>20.16</w:t>
      </w:r>
      <w:r w:rsidRPr="007E130D">
        <w:t xml:space="preserve"> du RR.</w:t>
      </w:r>
    </w:p>
    <w:p w14:paraId="3FE4E29D" w14:textId="77777777" w:rsidR="00A82EF2" w:rsidRPr="007E130D" w:rsidRDefault="00A82EF2" w:rsidP="00B20AC9">
      <w:r w:rsidRPr="007E130D">
        <w:t>En outre, les renseignements qui figurent dans les publications de service relatives au service maritime, en particulier dans la Nomenclature des stations de navire et des identités du service mobile maritime assignées (Liste V), sont également utilisés pour d'autres procédures administratives (par exemple les conditions à remplir pour obtenir des chiffres MID supplémentaires).</w:t>
      </w:r>
    </w:p>
    <w:p w14:paraId="4AD671A8" w14:textId="77777777" w:rsidR="00A82EF2" w:rsidRPr="007E130D" w:rsidRDefault="00A82EF2" w:rsidP="00B20AC9">
      <w:pPr>
        <w:pStyle w:val="Heading4"/>
      </w:pPr>
      <w:r w:rsidRPr="007E130D">
        <w:lastRenderedPageBreak/>
        <w:t>6.1.2.2</w:t>
      </w:r>
      <w:r w:rsidRPr="007E130D">
        <w:tab/>
        <w:t>Nomenclature des stations côtières et des stations effectuant des services spéciaux (Liste IV)</w:t>
      </w:r>
    </w:p>
    <w:p w14:paraId="1FD324F5" w14:textId="1167BA09" w:rsidR="00A82EF2" w:rsidRPr="007E130D" w:rsidRDefault="00A82EF2" w:rsidP="00B20AC9">
      <w:r w:rsidRPr="007E130D">
        <w:t>Deux éditions de la Liste IV ont été établies pendant la période couverte par le présent rapport. Cette Liste compren</w:t>
      </w:r>
      <w:r w:rsidR="001D1EAC" w:rsidRPr="007E130D">
        <w:t>d</w:t>
      </w:r>
      <w:r w:rsidRPr="007E130D">
        <w:t xml:space="preserve"> les informations communiquées à l'UIT sur les stations côtières et les services connexes, par exemple</w:t>
      </w:r>
      <w:r w:rsidRPr="007E130D">
        <w:rPr>
          <w:color w:val="000000"/>
        </w:rPr>
        <w:t xml:space="preserve"> la correspondance publique (CP), les centres de coordination des secours (CCS)</w:t>
      </w:r>
      <w:r w:rsidRPr="007E130D">
        <w:t>,</w:t>
      </w:r>
      <w:r w:rsidRPr="007E130D">
        <w:rPr>
          <w:color w:val="000000"/>
        </w:rPr>
        <w:t xml:space="preserve"> les organismes s'occupant des opérations de recherche et de sauvetage (SAR),</w:t>
      </w:r>
      <w:r w:rsidRPr="007E130D">
        <w:t xml:space="preserve"> </w:t>
      </w:r>
      <w:r w:rsidRPr="007E130D">
        <w:rPr>
          <w:color w:val="000000"/>
        </w:rPr>
        <w:t xml:space="preserve">NAVINFO, </w:t>
      </w:r>
      <w:r w:rsidRPr="007E130D">
        <w:t xml:space="preserve">les stations de pilotage, les stations de contrôle du trafic maritime (VTS) et les </w:t>
      </w:r>
      <w:r w:rsidRPr="007E130D">
        <w:rPr>
          <w:color w:val="000000"/>
        </w:rPr>
        <w:t>stations AIS.</w:t>
      </w:r>
    </w:p>
    <w:p w14:paraId="023D8634" w14:textId="77777777" w:rsidR="00A82EF2" w:rsidRPr="007E130D" w:rsidRDefault="00A82EF2" w:rsidP="00B20AC9">
      <w:r w:rsidRPr="007E130D">
        <w:t xml:space="preserve">Les renseignements relatifs à cette Liste sont également mis à disposition via le système d'information en ligne </w:t>
      </w:r>
      <w:r w:rsidRPr="007E130D">
        <w:rPr>
          <w:color w:val="000000"/>
        </w:rPr>
        <w:t>MARS</w:t>
      </w:r>
      <w:r w:rsidRPr="007E130D">
        <w:t xml:space="preserve"> (</w:t>
      </w:r>
      <w:r w:rsidRPr="007E130D">
        <w:rPr>
          <w:color w:val="000000"/>
        </w:rPr>
        <w:t>Système d'accès et de consultation de la base de données du service mobile maritime) de l'UIT.</w:t>
      </w:r>
    </w:p>
    <w:p w14:paraId="0D52190A" w14:textId="77777777" w:rsidR="00A82EF2" w:rsidRPr="007E130D" w:rsidRDefault="00A82EF2" w:rsidP="00B20AC9">
      <w:r w:rsidRPr="007E130D">
        <w:t xml:space="preserve">Le Bureau continue de publier, tous les six mois, </w:t>
      </w:r>
      <w:r w:rsidRPr="007E130D">
        <w:rPr>
          <w:color w:val="000000"/>
        </w:rPr>
        <w:t>une compilation de toutes les modifications signalées à l'UIT.</w:t>
      </w:r>
    </w:p>
    <w:p w14:paraId="21974531" w14:textId="77777777" w:rsidR="00A82EF2" w:rsidRPr="007E130D" w:rsidRDefault="00A82EF2" w:rsidP="00B20AC9">
      <w:pPr>
        <w:pStyle w:val="Heading4"/>
      </w:pPr>
      <w:r w:rsidRPr="007E130D">
        <w:t>6.1.2.3</w:t>
      </w:r>
      <w:r w:rsidRPr="007E130D">
        <w:tab/>
        <w:t>Nomenclature des stations de navire et des identités du service mobile maritime assignées (Liste V)</w:t>
      </w:r>
    </w:p>
    <w:p w14:paraId="434627E2" w14:textId="422A03AD" w:rsidR="00A82EF2" w:rsidRPr="007E130D" w:rsidRDefault="00A82EF2" w:rsidP="00B20AC9">
      <w:r w:rsidRPr="007E130D">
        <w:t>Quatre éditions de la Liste V ont été établies pendant la période couverte par le présent rapport. Cette Liste compren</w:t>
      </w:r>
      <w:r w:rsidR="001D1EAC" w:rsidRPr="007E130D">
        <w:t>d</w:t>
      </w:r>
      <w:r w:rsidRPr="007E130D">
        <w:t xml:space="preserve"> les informations communiquées à l'UIT en ce qui concerne les stations de navire, les stations côtières et les aéronefs de recherche et de sauvetage (SAR) auxquels une identité MMSI a été assignée, etc.</w:t>
      </w:r>
    </w:p>
    <w:p w14:paraId="7574D171" w14:textId="60DBEC39" w:rsidR="00A82EF2" w:rsidRPr="007E130D" w:rsidRDefault="00A82EF2" w:rsidP="00B20AC9">
      <w:pPr>
        <w:rPr>
          <w:color w:val="000000"/>
        </w:rPr>
      </w:pPr>
      <w:r w:rsidRPr="007E130D">
        <w:t xml:space="preserve">Les renseignements relatifs à cette Liste sont également mis à disposition via le système </w:t>
      </w:r>
      <w:r w:rsidRPr="007E130D">
        <w:rPr>
          <w:color w:val="000000"/>
        </w:rPr>
        <w:t>MARS</w:t>
      </w:r>
      <w:r w:rsidRPr="007E130D">
        <w:t xml:space="preserve"> </w:t>
      </w:r>
      <w:r w:rsidRPr="007E130D">
        <w:rPr>
          <w:color w:val="000000"/>
        </w:rPr>
        <w:t>de l'UIT.</w:t>
      </w:r>
    </w:p>
    <w:p w14:paraId="1D93D763" w14:textId="77777777" w:rsidR="00A82EF2" w:rsidRPr="007E130D" w:rsidRDefault="00216867" w:rsidP="00B20AC9">
      <w:r w:rsidRPr="007E130D">
        <w:rPr>
          <w:szCs w:val="24"/>
          <w:lang w:eastAsia="zh-CN"/>
        </w:rPr>
        <w:t xml:space="preserve">Le Bureau continue de mettre à disposition tous les trois mois </w:t>
      </w:r>
      <w:r w:rsidR="00A82EF2" w:rsidRPr="007E130D">
        <w:t xml:space="preserve">une compilation de toutes les </w:t>
      </w:r>
      <w:r w:rsidRPr="007E130D">
        <w:t>modifications notifiées à l'UIT</w:t>
      </w:r>
      <w:r w:rsidR="00A82EF2" w:rsidRPr="007E130D">
        <w:t>.</w:t>
      </w:r>
    </w:p>
    <w:p w14:paraId="4BBAA3D7" w14:textId="70022184" w:rsidR="00A82EF2" w:rsidRPr="007E130D" w:rsidRDefault="00A82EF2" w:rsidP="00382A38">
      <w:pPr>
        <w:pStyle w:val="Heading4"/>
      </w:pPr>
      <w:r w:rsidRPr="007E130D">
        <w:t>6.1.2.4</w:t>
      </w:r>
      <w:r w:rsidRPr="007E130D">
        <w:tab/>
        <w:t>Nomenclature des stations de contrôle international des émissions (Liste VIII)</w:t>
      </w:r>
    </w:p>
    <w:p w14:paraId="522C55C2" w14:textId="39CE37B7" w:rsidR="00A82EF2" w:rsidRPr="007E130D" w:rsidRDefault="00A77140" w:rsidP="00B20AC9">
      <w:r w:rsidRPr="007E130D">
        <w:rPr>
          <w:lang w:eastAsia="zh-CN"/>
        </w:rPr>
        <w:t xml:space="preserve">Une </w:t>
      </w:r>
      <w:r w:rsidR="00A82EF2" w:rsidRPr="007E130D">
        <w:rPr>
          <w:lang w:eastAsia="zh-CN"/>
        </w:rPr>
        <w:t xml:space="preserve">édition de la Liste VIII </w:t>
      </w:r>
      <w:r w:rsidRPr="007E130D">
        <w:rPr>
          <w:lang w:eastAsia="zh-CN"/>
        </w:rPr>
        <w:t xml:space="preserve">a </w:t>
      </w:r>
      <w:r w:rsidR="00A82EF2" w:rsidRPr="007E130D">
        <w:rPr>
          <w:lang w:eastAsia="zh-CN"/>
        </w:rPr>
        <w:t>été élaboré</w:t>
      </w:r>
      <w:r w:rsidRPr="007E130D">
        <w:rPr>
          <w:lang w:eastAsia="zh-CN"/>
        </w:rPr>
        <w:t>e</w:t>
      </w:r>
      <w:r w:rsidR="00A82EF2" w:rsidRPr="007E130D">
        <w:rPr>
          <w:lang w:eastAsia="zh-CN"/>
        </w:rPr>
        <w:t xml:space="preserve"> pendant la période considérée. </w:t>
      </w:r>
      <w:r w:rsidR="00A82EF2" w:rsidRPr="007E130D">
        <w:rPr>
          <w:color w:val="000000"/>
        </w:rPr>
        <w:t xml:space="preserve">Cette Liste </w:t>
      </w:r>
      <w:r w:rsidR="001D1EAC" w:rsidRPr="007E130D">
        <w:rPr>
          <w:color w:val="000000"/>
        </w:rPr>
        <w:t>comprend</w:t>
      </w:r>
      <w:r w:rsidR="00A82EF2" w:rsidRPr="007E130D">
        <w:rPr>
          <w:color w:val="000000"/>
        </w:rPr>
        <w:t xml:space="preserve"> les informations communiquées au BR sur les stations de contrôle international des émissions (services de Terre et services spatiaux) ainsi que les différents types de mesures réalisées par ces stations</w:t>
      </w:r>
      <w:r w:rsidR="00A82EF2" w:rsidRPr="007E130D">
        <w:rPr>
          <w:lang w:eastAsia="zh-CN"/>
        </w:rPr>
        <w:t xml:space="preserve"> </w:t>
      </w:r>
      <w:r w:rsidR="00A82EF2" w:rsidRPr="007E130D">
        <w:rPr>
          <w:color w:val="000000"/>
        </w:rPr>
        <w:t>et les coordonnées des bureaux centralisateurs.</w:t>
      </w:r>
    </w:p>
    <w:p w14:paraId="09E2C77A" w14:textId="77777777" w:rsidR="00A82EF2" w:rsidRPr="007E130D" w:rsidRDefault="00A82EF2" w:rsidP="00B20AC9">
      <w:pPr>
        <w:pStyle w:val="Heading4"/>
      </w:pPr>
      <w:r w:rsidRPr="007E130D">
        <w:t>6.1.2.5</w:t>
      </w:r>
      <w:r w:rsidRPr="007E130D">
        <w:tab/>
        <w:t>Liste des publications de service publiées</w:t>
      </w:r>
    </w:p>
    <w:p w14:paraId="5C0B382F" w14:textId="76CB6A18" w:rsidR="00A82EF2" w:rsidRPr="007E130D" w:rsidRDefault="00A82EF2" w:rsidP="00B20AC9">
      <w:r w:rsidRPr="007E130D">
        <w:t xml:space="preserve">Les différentes publications élaborées et distribuées pendant la période </w:t>
      </w:r>
      <w:r w:rsidR="00A77140" w:rsidRPr="007E130D">
        <w:t xml:space="preserve">2020-2023 </w:t>
      </w:r>
      <w:r w:rsidRPr="007E130D">
        <w:t>sont récapitulées dans le Tableau 6.1.2.5-1 ci-dessous:</w:t>
      </w:r>
    </w:p>
    <w:p w14:paraId="35774B00" w14:textId="77777777" w:rsidR="00A82EF2" w:rsidRPr="007E130D" w:rsidRDefault="00A82EF2" w:rsidP="00AB3D29">
      <w:pPr>
        <w:pStyle w:val="TableNo"/>
        <w:keepLines/>
      </w:pPr>
      <w:r w:rsidRPr="007E130D">
        <w:lastRenderedPageBreak/>
        <w:t>Tableau 6.1.2.5-1</w:t>
      </w:r>
    </w:p>
    <w:p w14:paraId="3C85165E" w14:textId="74B2252F" w:rsidR="00A82EF2" w:rsidRPr="007E130D" w:rsidRDefault="00A82EF2" w:rsidP="00AB3D29">
      <w:pPr>
        <w:pStyle w:val="Tabletitle"/>
      </w:pPr>
      <w:r w:rsidRPr="007E130D">
        <w:t xml:space="preserve">Récapitulatif concernant les publications de service diffusées pendant la période </w:t>
      </w:r>
      <w:r w:rsidR="00A77140" w:rsidRPr="007E130D">
        <w:t>2020-2023</w:t>
      </w:r>
    </w:p>
    <w:tbl>
      <w:tblPr>
        <w:tblW w:w="81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085"/>
        <w:gridCol w:w="1275"/>
        <w:gridCol w:w="1275"/>
        <w:gridCol w:w="1275"/>
        <w:gridCol w:w="1274"/>
      </w:tblGrid>
      <w:tr w:rsidR="00A77140" w:rsidRPr="007E130D" w14:paraId="17076026" w14:textId="77777777" w:rsidTr="00382A38">
        <w:trPr>
          <w:jc w:val="center"/>
        </w:trPr>
        <w:tc>
          <w:tcPr>
            <w:tcW w:w="3085" w:type="dxa"/>
            <w:tcBorders>
              <w:top w:val="nil"/>
              <w:left w:val="nil"/>
              <w:bottom w:val="single" w:sz="4" w:space="0" w:color="auto"/>
              <w:right w:val="single" w:sz="4" w:space="0" w:color="auto"/>
            </w:tcBorders>
            <w:vAlign w:val="center"/>
          </w:tcPr>
          <w:p w14:paraId="58B7E60B" w14:textId="77777777" w:rsidR="00A77140" w:rsidRPr="007E130D" w:rsidRDefault="00A77140" w:rsidP="00AB3D29">
            <w:pPr>
              <w:pStyle w:val="Tablehead"/>
              <w:keepLines/>
            </w:pPr>
          </w:p>
        </w:tc>
        <w:tc>
          <w:tcPr>
            <w:tcW w:w="1275" w:type="dxa"/>
            <w:tcBorders>
              <w:top w:val="single" w:sz="4" w:space="0" w:color="auto"/>
              <w:left w:val="single" w:sz="4" w:space="0" w:color="auto"/>
              <w:bottom w:val="single" w:sz="4" w:space="0" w:color="auto"/>
            </w:tcBorders>
            <w:vAlign w:val="center"/>
          </w:tcPr>
          <w:p w14:paraId="2201224B" w14:textId="77777777" w:rsidR="00A77140" w:rsidRPr="007E130D" w:rsidRDefault="00A77140" w:rsidP="00AB3D29">
            <w:pPr>
              <w:pStyle w:val="Tablehead"/>
              <w:keepLines/>
            </w:pPr>
            <w:r w:rsidRPr="007E130D">
              <w:t>2020</w:t>
            </w:r>
          </w:p>
        </w:tc>
        <w:tc>
          <w:tcPr>
            <w:tcW w:w="1275" w:type="dxa"/>
            <w:tcBorders>
              <w:top w:val="single" w:sz="4" w:space="0" w:color="auto"/>
              <w:bottom w:val="single" w:sz="4" w:space="0" w:color="auto"/>
            </w:tcBorders>
            <w:vAlign w:val="center"/>
          </w:tcPr>
          <w:p w14:paraId="208D591C" w14:textId="77777777" w:rsidR="00A77140" w:rsidRPr="007E130D" w:rsidRDefault="00A77140" w:rsidP="00AB3D29">
            <w:pPr>
              <w:pStyle w:val="Tablehead"/>
              <w:keepLines/>
            </w:pPr>
            <w:r w:rsidRPr="007E130D">
              <w:t>2021</w:t>
            </w:r>
          </w:p>
        </w:tc>
        <w:tc>
          <w:tcPr>
            <w:tcW w:w="1275" w:type="dxa"/>
            <w:tcBorders>
              <w:top w:val="single" w:sz="4" w:space="0" w:color="auto"/>
              <w:bottom w:val="single" w:sz="4" w:space="0" w:color="auto"/>
              <w:right w:val="single" w:sz="4" w:space="0" w:color="auto"/>
            </w:tcBorders>
            <w:vAlign w:val="center"/>
          </w:tcPr>
          <w:p w14:paraId="69A0540C" w14:textId="77777777" w:rsidR="00A77140" w:rsidRPr="007E130D" w:rsidRDefault="00A77140" w:rsidP="00AB3D29">
            <w:pPr>
              <w:pStyle w:val="Tablehead"/>
              <w:keepLines/>
            </w:pPr>
            <w:r w:rsidRPr="007E130D">
              <w:t>2022</w:t>
            </w:r>
          </w:p>
        </w:tc>
        <w:tc>
          <w:tcPr>
            <w:tcW w:w="1274" w:type="dxa"/>
            <w:tcBorders>
              <w:top w:val="single" w:sz="4" w:space="0" w:color="auto"/>
              <w:bottom w:val="single" w:sz="4" w:space="0" w:color="auto"/>
              <w:right w:val="single" w:sz="4" w:space="0" w:color="auto"/>
            </w:tcBorders>
            <w:vAlign w:val="center"/>
          </w:tcPr>
          <w:p w14:paraId="46C53823" w14:textId="77777777" w:rsidR="00A77140" w:rsidRPr="007E130D" w:rsidRDefault="00A77140" w:rsidP="00AB3D29">
            <w:pPr>
              <w:pStyle w:val="Tablehead"/>
              <w:keepLines/>
            </w:pPr>
            <w:r w:rsidRPr="007E130D">
              <w:t>2023</w:t>
            </w:r>
          </w:p>
        </w:tc>
      </w:tr>
      <w:tr w:rsidR="00A77140" w:rsidRPr="007E130D" w14:paraId="4E060449" w14:textId="77777777" w:rsidTr="00382A38">
        <w:trPr>
          <w:cantSplit/>
          <w:jc w:val="center"/>
        </w:trPr>
        <w:tc>
          <w:tcPr>
            <w:tcW w:w="3085" w:type="dxa"/>
            <w:tcBorders>
              <w:left w:val="single" w:sz="4" w:space="0" w:color="auto"/>
              <w:bottom w:val="single" w:sz="4" w:space="0" w:color="auto"/>
            </w:tcBorders>
            <w:vAlign w:val="center"/>
          </w:tcPr>
          <w:p w14:paraId="11004595" w14:textId="77777777" w:rsidR="00A77140" w:rsidRPr="007E130D" w:rsidRDefault="00A77140" w:rsidP="00AB3D29">
            <w:pPr>
              <w:pStyle w:val="Tabletext"/>
              <w:keepNext/>
              <w:keepLines/>
              <w:jc w:val="center"/>
            </w:pPr>
            <w:r w:rsidRPr="007E130D">
              <w:rPr>
                <w:rFonts w:asciiTheme="majorBidi" w:hAnsiTheme="majorBidi" w:cstheme="majorBidi"/>
              </w:rPr>
              <w:t>Liste IV (Nomenclature des stations côtières et des stations effectuant des services spéciaux)</w:t>
            </w:r>
          </w:p>
        </w:tc>
        <w:tc>
          <w:tcPr>
            <w:tcW w:w="1275" w:type="dxa"/>
            <w:tcBorders>
              <w:bottom w:val="single" w:sz="4" w:space="0" w:color="auto"/>
            </w:tcBorders>
            <w:vAlign w:val="center"/>
          </w:tcPr>
          <w:p w14:paraId="527A2C4F" w14:textId="77777777" w:rsidR="00A77140" w:rsidRPr="007E130D" w:rsidRDefault="00A77140" w:rsidP="00AB3D29">
            <w:pPr>
              <w:pStyle w:val="Tabletext"/>
              <w:keepNext/>
              <w:keepLines/>
              <w:jc w:val="center"/>
            </w:pPr>
            <w:r w:rsidRPr="007E130D">
              <w:t>–</w:t>
            </w:r>
          </w:p>
        </w:tc>
        <w:tc>
          <w:tcPr>
            <w:tcW w:w="1275" w:type="dxa"/>
            <w:tcBorders>
              <w:bottom w:val="single" w:sz="4" w:space="0" w:color="auto"/>
            </w:tcBorders>
            <w:vAlign w:val="center"/>
          </w:tcPr>
          <w:p w14:paraId="3402C1F8" w14:textId="71496FB0" w:rsidR="00A77140" w:rsidRPr="007E130D" w:rsidRDefault="00A77140" w:rsidP="00AB3D29">
            <w:pPr>
              <w:pStyle w:val="Tabletext"/>
              <w:keepNext/>
              <w:keepLines/>
              <w:jc w:val="center"/>
            </w:pPr>
            <w:r w:rsidRPr="007E130D">
              <w:t xml:space="preserve">Édition de </w:t>
            </w:r>
            <w:r w:rsidR="006F2A62" w:rsidRPr="007E130D">
              <w:t>2021</w:t>
            </w:r>
            <w:r w:rsidR="006F2A62" w:rsidRPr="007E130D">
              <w:br/>
              <w:t>(décembre)</w:t>
            </w:r>
          </w:p>
        </w:tc>
        <w:tc>
          <w:tcPr>
            <w:tcW w:w="1275" w:type="dxa"/>
            <w:tcBorders>
              <w:bottom w:val="single" w:sz="4" w:space="0" w:color="auto"/>
              <w:right w:val="single" w:sz="4" w:space="0" w:color="auto"/>
            </w:tcBorders>
            <w:vAlign w:val="center"/>
          </w:tcPr>
          <w:p w14:paraId="68D816D1" w14:textId="77777777" w:rsidR="00A77140" w:rsidRPr="007E130D" w:rsidRDefault="00A77140" w:rsidP="00AB3D29">
            <w:pPr>
              <w:pStyle w:val="Tabletext"/>
              <w:keepNext/>
              <w:keepLines/>
              <w:jc w:val="center"/>
            </w:pPr>
            <w:r w:rsidRPr="007E130D">
              <w:t>–</w:t>
            </w:r>
          </w:p>
        </w:tc>
        <w:tc>
          <w:tcPr>
            <w:tcW w:w="1274" w:type="dxa"/>
            <w:tcBorders>
              <w:bottom w:val="single" w:sz="4" w:space="0" w:color="auto"/>
              <w:right w:val="single" w:sz="4" w:space="0" w:color="auto"/>
            </w:tcBorders>
            <w:vAlign w:val="center"/>
          </w:tcPr>
          <w:p w14:paraId="44F033F4" w14:textId="294E9745" w:rsidR="00A77140" w:rsidRPr="007E130D" w:rsidRDefault="00A77140" w:rsidP="00AB3D29">
            <w:pPr>
              <w:pStyle w:val="Tabletext"/>
              <w:keepNext/>
              <w:keepLines/>
              <w:jc w:val="center"/>
            </w:pPr>
            <w:r w:rsidRPr="007E130D">
              <w:t xml:space="preserve">Édition de </w:t>
            </w:r>
            <w:r w:rsidR="006F2A62" w:rsidRPr="007E130D">
              <w:t>2023</w:t>
            </w:r>
            <w:r w:rsidRPr="007E130D">
              <w:br/>
              <w:t>(novembre)</w:t>
            </w:r>
          </w:p>
        </w:tc>
      </w:tr>
      <w:tr w:rsidR="00A77140" w:rsidRPr="007E130D" w14:paraId="44DAF407" w14:textId="77777777" w:rsidTr="00382A38">
        <w:trPr>
          <w:cantSplit/>
          <w:jc w:val="center"/>
        </w:trPr>
        <w:tc>
          <w:tcPr>
            <w:tcW w:w="3085" w:type="dxa"/>
            <w:tcBorders>
              <w:top w:val="single" w:sz="4" w:space="0" w:color="auto"/>
              <w:left w:val="single" w:sz="4" w:space="0" w:color="auto"/>
              <w:bottom w:val="single" w:sz="4" w:space="0" w:color="auto"/>
              <w:right w:val="single" w:sz="4" w:space="0" w:color="auto"/>
            </w:tcBorders>
            <w:vAlign w:val="center"/>
          </w:tcPr>
          <w:p w14:paraId="57DF4CE5" w14:textId="77777777" w:rsidR="00A77140" w:rsidRPr="007E130D" w:rsidRDefault="00A77140" w:rsidP="00AB3D29">
            <w:pPr>
              <w:pStyle w:val="Tabletext"/>
              <w:keepNext/>
              <w:keepLines/>
              <w:jc w:val="center"/>
            </w:pPr>
            <w:r w:rsidRPr="007E130D">
              <w:rPr>
                <w:rFonts w:asciiTheme="majorBidi" w:hAnsiTheme="majorBidi" w:cstheme="majorBidi"/>
              </w:rPr>
              <w:t>Liste V (Nomenclature des stations de navire et des identités du service mobile maritime assignées)</w:t>
            </w:r>
          </w:p>
        </w:tc>
        <w:tc>
          <w:tcPr>
            <w:tcW w:w="1275" w:type="dxa"/>
            <w:tcBorders>
              <w:top w:val="single" w:sz="4" w:space="0" w:color="auto"/>
              <w:left w:val="single" w:sz="4" w:space="0" w:color="auto"/>
              <w:bottom w:val="single" w:sz="4" w:space="0" w:color="auto"/>
              <w:right w:val="single" w:sz="4" w:space="0" w:color="auto"/>
            </w:tcBorders>
            <w:vAlign w:val="center"/>
          </w:tcPr>
          <w:p w14:paraId="2C95C802" w14:textId="470DEDEF" w:rsidR="00A77140" w:rsidRPr="007E130D" w:rsidRDefault="00A77140" w:rsidP="00AB3D29">
            <w:pPr>
              <w:pStyle w:val="Tabletext"/>
              <w:keepNext/>
              <w:keepLines/>
              <w:jc w:val="center"/>
            </w:pPr>
            <w:r w:rsidRPr="007E130D">
              <w:t xml:space="preserve">Édition de </w:t>
            </w:r>
            <w:r w:rsidR="006F2A62" w:rsidRPr="007E130D">
              <w:t>2020</w:t>
            </w:r>
            <w:r w:rsidR="006F2A62" w:rsidRPr="007E130D">
              <w:br/>
              <w:t>(avril)</w:t>
            </w:r>
          </w:p>
        </w:tc>
        <w:tc>
          <w:tcPr>
            <w:tcW w:w="1275" w:type="dxa"/>
            <w:tcBorders>
              <w:top w:val="single" w:sz="4" w:space="0" w:color="auto"/>
              <w:left w:val="single" w:sz="4" w:space="0" w:color="auto"/>
              <w:bottom w:val="single" w:sz="4" w:space="0" w:color="auto"/>
              <w:right w:val="single" w:sz="4" w:space="0" w:color="auto"/>
            </w:tcBorders>
            <w:vAlign w:val="center"/>
          </w:tcPr>
          <w:p w14:paraId="0926ADE7" w14:textId="7C6DC8AE" w:rsidR="00A77140" w:rsidRPr="007E130D" w:rsidRDefault="00A77140" w:rsidP="00AB3D29">
            <w:pPr>
              <w:pStyle w:val="Tabletext"/>
              <w:keepNext/>
              <w:keepLines/>
              <w:jc w:val="center"/>
            </w:pPr>
            <w:r w:rsidRPr="007E130D">
              <w:t xml:space="preserve">Édition de </w:t>
            </w:r>
            <w:r w:rsidR="006F2A62" w:rsidRPr="007E130D">
              <w:t>2021</w:t>
            </w:r>
            <w:r w:rsidR="006F2A62" w:rsidRPr="007E130D">
              <w:br/>
              <w:t>(avril)</w:t>
            </w:r>
          </w:p>
        </w:tc>
        <w:tc>
          <w:tcPr>
            <w:tcW w:w="1275" w:type="dxa"/>
            <w:tcBorders>
              <w:top w:val="single" w:sz="4" w:space="0" w:color="auto"/>
              <w:left w:val="single" w:sz="4" w:space="0" w:color="auto"/>
              <w:bottom w:val="single" w:sz="4" w:space="0" w:color="auto"/>
              <w:right w:val="single" w:sz="4" w:space="0" w:color="auto"/>
            </w:tcBorders>
            <w:vAlign w:val="center"/>
          </w:tcPr>
          <w:p w14:paraId="2BEA1ABC" w14:textId="1AB8B9C4" w:rsidR="00A77140" w:rsidRPr="007E130D" w:rsidRDefault="00A77140" w:rsidP="00AB3D29">
            <w:pPr>
              <w:pStyle w:val="Tabletext"/>
              <w:keepNext/>
              <w:keepLines/>
              <w:jc w:val="center"/>
            </w:pPr>
            <w:r w:rsidRPr="007E130D">
              <w:t xml:space="preserve">Édition de </w:t>
            </w:r>
            <w:r w:rsidR="006F2A62" w:rsidRPr="007E130D">
              <w:t>2022</w:t>
            </w:r>
            <w:r w:rsidR="006F2A62" w:rsidRPr="007E130D">
              <w:br/>
              <w:t>(avril)</w:t>
            </w:r>
          </w:p>
        </w:tc>
        <w:tc>
          <w:tcPr>
            <w:tcW w:w="1274" w:type="dxa"/>
            <w:tcBorders>
              <w:top w:val="single" w:sz="4" w:space="0" w:color="auto"/>
              <w:left w:val="single" w:sz="4" w:space="0" w:color="auto"/>
              <w:bottom w:val="single" w:sz="4" w:space="0" w:color="auto"/>
              <w:right w:val="single" w:sz="4" w:space="0" w:color="auto"/>
            </w:tcBorders>
            <w:vAlign w:val="center"/>
          </w:tcPr>
          <w:p w14:paraId="4F107164" w14:textId="3BBB661A" w:rsidR="00A77140" w:rsidRPr="007E130D" w:rsidRDefault="00A77140" w:rsidP="00AB3D29">
            <w:pPr>
              <w:pStyle w:val="Tabletext"/>
              <w:keepNext/>
              <w:keepLines/>
              <w:jc w:val="center"/>
            </w:pPr>
            <w:r w:rsidRPr="007E130D">
              <w:t xml:space="preserve">Édition de </w:t>
            </w:r>
            <w:r w:rsidR="006F2A62" w:rsidRPr="007E130D">
              <w:t>2023</w:t>
            </w:r>
            <w:r w:rsidR="006F2A62" w:rsidRPr="007E130D">
              <w:br/>
              <w:t>(avril)</w:t>
            </w:r>
          </w:p>
        </w:tc>
      </w:tr>
      <w:tr w:rsidR="00A77140" w:rsidRPr="007E130D" w14:paraId="345A0A33" w14:textId="77777777" w:rsidTr="00382A38">
        <w:trPr>
          <w:cantSplit/>
          <w:jc w:val="center"/>
        </w:trPr>
        <w:tc>
          <w:tcPr>
            <w:tcW w:w="3085" w:type="dxa"/>
            <w:tcBorders>
              <w:top w:val="single" w:sz="4" w:space="0" w:color="auto"/>
              <w:left w:val="single" w:sz="4" w:space="0" w:color="auto"/>
              <w:bottom w:val="single" w:sz="4" w:space="0" w:color="auto"/>
              <w:right w:val="single" w:sz="4" w:space="0" w:color="auto"/>
            </w:tcBorders>
            <w:vAlign w:val="center"/>
          </w:tcPr>
          <w:p w14:paraId="1ED07D32" w14:textId="77777777" w:rsidR="00A77140" w:rsidRPr="007E130D" w:rsidRDefault="00A77140" w:rsidP="00AB3D29">
            <w:pPr>
              <w:pStyle w:val="Tabletext"/>
              <w:keepNext/>
              <w:jc w:val="center"/>
            </w:pPr>
            <w:r w:rsidRPr="007E130D">
              <w:rPr>
                <w:rFonts w:asciiTheme="majorBidi" w:hAnsiTheme="majorBidi" w:cstheme="majorBidi"/>
              </w:rPr>
              <w:t>Liste VIII (Nomenclature des stations de contrôle international des émissions)</w:t>
            </w:r>
          </w:p>
        </w:tc>
        <w:tc>
          <w:tcPr>
            <w:tcW w:w="1275" w:type="dxa"/>
            <w:tcBorders>
              <w:top w:val="single" w:sz="4" w:space="0" w:color="auto"/>
              <w:left w:val="single" w:sz="4" w:space="0" w:color="auto"/>
              <w:bottom w:val="single" w:sz="4" w:space="0" w:color="auto"/>
              <w:right w:val="single" w:sz="4" w:space="0" w:color="auto"/>
            </w:tcBorders>
            <w:vAlign w:val="center"/>
          </w:tcPr>
          <w:p w14:paraId="3F5FBA09" w14:textId="1F48BB61" w:rsidR="00A77140" w:rsidRPr="007E130D" w:rsidRDefault="006F2A62" w:rsidP="00AB3D29">
            <w:pPr>
              <w:pStyle w:val="Tabletext"/>
              <w:keepNext/>
              <w:jc w:val="center"/>
            </w:pPr>
            <w:r w:rsidRPr="007E130D">
              <w:t>–</w:t>
            </w:r>
          </w:p>
        </w:tc>
        <w:tc>
          <w:tcPr>
            <w:tcW w:w="1275" w:type="dxa"/>
            <w:tcBorders>
              <w:top w:val="single" w:sz="4" w:space="0" w:color="auto"/>
              <w:left w:val="single" w:sz="4" w:space="0" w:color="auto"/>
              <w:bottom w:val="single" w:sz="4" w:space="0" w:color="auto"/>
              <w:right w:val="single" w:sz="4" w:space="0" w:color="auto"/>
            </w:tcBorders>
            <w:vAlign w:val="center"/>
          </w:tcPr>
          <w:p w14:paraId="5670C110" w14:textId="77777777" w:rsidR="00A77140" w:rsidRPr="007E130D" w:rsidRDefault="00A77140" w:rsidP="00AB3D29">
            <w:pPr>
              <w:pStyle w:val="Tabletext"/>
              <w:keepNext/>
              <w:jc w:val="center"/>
            </w:pPr>
            <w:r w:rsidRPr="007E130D">
              <w:t>–</w:t>
            </w:r>
          </w:p>
        </w:tc>
        <w:tc>
          <w:tcPr>
            <w:tcW w:w="1275" w:type="dxa"/>
            <w:tcBorders>
              <w:top w:val="single" w:sz="4" w:space="0" w:color="auto"/>
              <w:left w:val="single" w:sz="4" w:space="0" w:color="auto"/>
              <w:bottom w:val="single" w:sz="4" w:space="0" w:color="auto"/>
              <w:right w:val="single" w:sz="4" w:space="0" w:color="auto"/>
            </w:tcBorders>
            <w:vAlign w:val="center"/>
          </w:tcPr>
          <w:p w14:paraId="3EAB5BD4" w14:textId="44493A1A" w:rsidR="00A77140" w:rsidRPr="007E130D" w:rsidRDefault="006F2A62" w:rsidP="00AB3D29">
            <w:pPr>
              <w:pStyle w:val="Tabletext"/>
              <w:keepNext/>
              <w:jc w:val="center"/>
            </w:pPr>
            <w:r w:rsidRPr="007E130D">
              <w:t>Édition de 2022</w:t>
            </w:r>
            <w:r w:rsidRPr="007E130D">
              <w:br/>
              <w:t>(décembre)</w:t>
            </w:r>
          </w:p>
        </w:tc>
        <w:tc>
          <w:tcPr>
            <w:tcW w:w="1274" w:type="dxa"/>
            <w:tcBorders>
              <w:top w:val="single" w:sz="4" w:space="0" w:color="auto"/>
              <w:left w:val="single" w:sz="4" w:space="0" w:color="auto"/>
              <w:bottom w:val="single" w:sz="4" w:space="0" w:color="auto"/>
              <w:right w:val="single" w:sz="4" w:space="0" w:color="auto"/>
            </w:tcBorders>
            <w:vAlign w:val="center"/>
          </w:tcPr>
          <w:p w14:paraId="4EEEA5C3" w14:textId="4846C452" w:rsidR="00A77140" w:rsidRPr="007E130D" w:rsidRDefault="006F2A62" w:rsidP="00AB3D29">
            <w:pPr>
              <w:pStyle w:val="Tabletext"/>
              <w:keepNext/>
              <w:jc w:val="center"/>
            </w:pPr>
            <w:r w:rsidRPr="007E130D">
              <w:t>–</w:t>
            </w:r>
          </w:p>
        </w:tc>
      </w:tr>
      <w:tr w:rsidR="00A77140" w:rsidRPr="007E130D" w14:paraId="5113D17E" w14:textId="77777777" w:rsidTr="00382A38">
        <w:trPr>
          <w:cantSplit/>
          <w:jc w:val="center"/>
        </w:trPr>
        <w:tc>
          <w:tcPr>
            <w:tcW w:w="3085" w:type="dxa"/>
            <w:tcBorders>
              <w:top w:val="single" w:sz="4" w:space="0" w:color="auto"/>
              <w:left w:val="single" w:sz="4" w:space="0" w:color="auto"/>
              <w:bottom w:val="single" w:sz="4" w:space="0" w:color="auto"/>
              <w:right w:val="single" w:sz="4" w:space="0" w:color="auto"/>
            </w:tcBorders>
            <w:vAlign w:val="center"/>
          </w:tcPr>
          <w:p w14:paraId="7D4610A1" w14:textId="77777777" w:rsidR="00A77140" w:rsidRPr="007E130D" w:rsidRDefault="00A77140" w:rsidP="00AB3D29">
            <w:pPr>
              <w:pStyle w:val="Tabletext"/>
              <w:keepNext/>
              <w:jc w:val="center"/>
            </w:pPr>
            <w:r w:rsidRPr="007E130D">
              <w:rPr>
                <w:rFonts w:asciiTheme="majorBidi" w:hAnsiTheme="majorBidi" w:cstheme="majorBidi"/>
              </w:rPr>
              <w:t>Manuel sur le service maritime</w:t>
            </w:r>
          </w:p>
        </w:tc>
        <w:tc>
          <w:tcPr>
            <w:tcW w:w="1275" w:type="dxa"/>
            <w:tcBorders>
              <w:top w:val="single" w:sz="4" w:space="0" w:color="auto"/>
              <w:left w:val="single" w:sz="4" w:space="0" w:color="auto"/>
              <w:bottom w:val="single" w:sz="4" w:space="0" w:color="auto"/>
              <w:right w:val="single" w:sz="4" w:space="0" w:color="auto"/>
            </w:tcBorders>
            <w:vAlign w:val="center"/>
          </w:tcPr>
          <w:p w14:paraId="03F8E2FC" w14:textId="6AD3351A" w:rsidR="00A77140" w:rsidRPr="007E130D" w:rsidRDefault="00A77140" w:rsidP="00AB3D29">
            <w:pPr>
              <w:pStyle w:val="Tabletext"/>
              <w:keepNext/>
              <w:jc w:val="center"/>
            </w:pPr>
            <w:r w:rsidRPr="007E130D">
              <w:t xml:space="preserve">Édition de </w:t>
            </w:r>
            <w:r w:rsidR="006F2A62" w:rsidRPr="007E130D">
              <w:t>2020</w:t>
            </w:r>
            <w:r w:rsidR="006F2A62" w:rsidRPr="007E130D">
              <w:br/>
              <w:t>(novembre)</w:t>
            </w:r>
          </w:p>
        </w:tc>
        <w:tc>
          <w:tcPr>
            <w:tcW w:w="1275" w:type="dxa"/>
            <w:tcBorders>
              <w:top w:val="single" w:sz="4" w:space="0" w:color="auto"/>
              <w:left w:val="single" w:sz="4" w:space="0" w:color="auto"/>
              <w:bottom w:val="single" w:sz="4" w:space="0" w:color="auto"/>
              <w:right w:val="single" w:sz="4" w:space="0" w:color="auto"/>
            </w:tcBorders>
            <w:vAlign w:val="center"/>
          </w:tcPr>
          <w:p w14:paraId="7E287FA3" w14:textId="77777777" w:rsidR="00A77140" w:rsidRPr="007E130D" w:rsidRDefault="00A77140" w:rsidP="00AB3D29">
            <w:pPr>
              <w:pStyle w:val="Tabletext"/>
              <w:keepNext/>
              <w:jc w:val="center"/>
            </w:pPr>
            <w:r w:rsidRPr="007E130D">
              <w:t>–</w:t>
            </w:r>
          </w:p>
        </w:tc>
        <w:tc>
          <w:tcPr>
            <w:tcW w:w="1275" w:type="dxa"/>
            <w:tcBorders>
              <w:top w:val="single" w:sz="4" w:space="0" w:color="auto"/>
              <w:left w:val="single" w:sz="4" w:space="0" w:color="auto"/>
              <w:bottom w:val="single" w:sz="4" w:space="0" w:color="auto"/>
              <w:right w:val="single" w:sz="4" w:space="0" w:color="auto"/>
            </w:tcBorders>
            <w:vAlign w:val="center"/>
          </w:tcPr>
          <w:p w14:paraId="72B582DA" w14:textId="77777777" w:rsidR="00A77140" w:rsidRPr="007E130D" w:rsidRDefault="00A77140" w:rsidP="00AB3D29">
            <w:pPr>
              <w:pStyle w:val="Tabletext"/>
              <w:keepNext/>
              <w:jc w:val="center"/>
            </w:pPr>
            <w:r w:rsidRPr="007E130D">
              <w:t>–</w:t>
            </w:r>
          </w:p>
        </w:tc>
        <w:tc>
          <w:tcPr>
            <w:tcW w:w="1274" w:type="dxa"/>
            <w:tcBorders>
              <w:top w:val="single" w:sz="4" w:space="0" w:color="auto"/>
              <w:left w:val="single" w:sz="4" w:space="0" w:color="auto"/>
              <w:bottom w:val="single" w:sz="4" w:space="0" w:color="auto"/>
              <w:right w:val="single" w:sz="4" w:space="0" w:color="auto"/>
            </w:tcBorders>
            <w:vAlign w:val="center"/>
          </w:tcPr>
          <w:p w14:paraId="3869E21A" w14:textId="77777777" w:rsidR="00A77140" w:rsidRPr="007E130D" w:rsidRDefault="00A77140" w:rsidP="00AB3D29">
            <w:pPr>
              <w:pStyle w:val="Tabletext"/>
              <w:keepNext/>
              <w:jc w:val="center"/>
            </w:pPr>
            <w:r w:rsidRPr="007E130D">
              <w:t>–</w:t>
            </w:r>
          </w:p>
        </w:tc>
      </w:tr>
    </w:tbl>
    <w:p w14:paraId="0058A4A5" w14:textId="77777777" w:rsidR="00A82EF2" w:rsidRPr="007E130D" w:rsidRDefault="00A82EF2" w:rsidP="00AB3D29">
      <w:pPr>
        <w:pStyle w:val="Heading3"/>
        <w:spacing w:before="240"/>
      </w:pPr>
      <w:bookmarkStart w:id="210" w:name="_Toc426463256"/>
      <w:bookmarkStart w:id="211" w:name="_Toc19880076"/>
      <w:bookmarkStart w:id="212" w:name="_Toc147328832"/>
      <w:bookmarkStart w:id="213" w:name="_Toc424047598"/>
      <w:r w:rsidRPr="007E130D">
        <w:t>6.1.3</w:t>
      </w:r>
      <w:r w:rsidRPr="007E130D">
        <w:tab/>
        <w:t>Publications des commissions d'études et autres publications</w:t>
      </w:r>
      <w:bookmarkEnd w:id="210"/>
      <w:bookmarkEnd w:id="211"/>
      <w:bookmarkEnd w:id="212"/>
    </w:p>
    <w:p w14:paraId="63B1078F" w14:textId="43A926F3" w:rsidR="00A82EF2" w:rsidRPr="007E130D" w:rsidRDefault="00A82EF2" w:rsidP="00B20AC9">
      <w:r w:rsidRPr="007E130D">
        <w:t xml:space="preserve">Pendant la période d'études </w:t>
      </w:r>
      <w:r w:rsidR="006F2A62" w:rsidRPr="007E130D">
        <w:t>2020-2023</w:t>
      </w:r>
      <w:r w:rsidRPr="007E130D">
        <w:t>, les publications des commissions d'études de l'UIT-R et les autres publications ont été élaborées selon les modalités habituelles, comme prévu dans le Plan opérationnel, à savoir:</w:t>
      </w:r>
    </w:p>
    <w:p w14:paraId="197BECF1" w14:textId="6CF6578B" w:rsidR="00A82EF2" w:rsidRPr="007E130D" w:rsidRDefault="00A82EF2" w:rsidP="00B20AC9">
      <w:pPr>
        <w:pStyle w:val="enumlev1"/>
      </w:pPr>
      <w:r w:rsidRPr="007E130D">
        <w:t>–</w:t>
      </w:r>
      <w:r w:rsidRPr="007E130D">
        <w:tab/>
        <w:t xml:space="preserve">Recommandations UIT-R: </w:t>
      </w:r>
      <w:r w:rsidR="006F2A62" w:rsidRPr="007E130D">
        <w:t>124</w:t>
      </w:r>
      <w:r w:rsidRPr="007E130D">
        <w:t xml:space="preserve"> Recommandations ont été publiées (postées) sur le site web de l'UIT en anglais (E). Toutes les Recommandations publiées entre 2005 et </w:t>
      </w:r>
      <w:r w:rsidR="006F2A62" w:rsidRPr="007E130D">
        <w:t>2021</w:t>
      </w:r>
      <w:r w:rsidRPr="007E130D">
        <w:t xml:space="preserve"> existent dans les six langues de l'UIT (A/C/E/F/R/S) et la traduction dans les cinq autres langues est en cours pour les Recommandations publiées depuis </w:t>
      </w:r>
      <w:r w:rsidR="006F2A62" w:rsidRPr="007E130D">
        <w:t>2022</w:t>
      </w:r>
      <w:r w:rsidRPr="007E130D">
        <w:t>.</w:t>
      </w:r>
    </w:p>
    <w:p w14:paraId="423DA24E" w14:textId="4C6487AE" w:rsidR="00A82EF2" w:rsidRPr="007E130D" w:rsidRDefault="00A82EF2" w:rsidP="00B20AC9">
      <w:pPr>
        <w:pStyle w:val="enumlev1"/>
      </w:pPr>
      <w:r w:rsidRPr="007E130D">
        <w:t>–</w:t>
      </w:r>
      <w:r w:rsidRPr="007E130D">
        <w:tab/>
        <w:t xml:space="preserve">Rapports UIT-R: </w:t>
      </w:r>
      <w:r w:rsidR="006F2A62" w:rsidRPr="007E130D">
        <w:t>111</w:t>
      </w:r>
      <w:r w:rsidRPr="007E130D">
        <w:t xml:space="preserve"> rapports ont été publiés (postés) sur le site web de l'UIT pendant la période</w:t>
      </w:r>
      <w:r w:rsidR="006F2A62" w:rsidRPr="007E130D">
        <w:t>2020-2023</w:t>
      </w:r>
      <w:r w:rsidRPr="007E130D">
        <w:t>.</w:t>
      </w:r>
    </w:p>
    <w:p w14:paraId="5188727C" w14:textId="77777777" w:rsidR="00A82EF2" w:rsidRPr="007E130D" w:rsidRDefault="00A82EF2" w:rsidP="00B20AC9">
      <w:pPr>
        <w:pStyle w:val="enumlev1"/>
      </w:pPr>
      <w:r w:rsidRPr="007E130D">
        <w:t>–</w:t>
      </w:r>
      <w:r w:rsidRPr="007E130D">
        <w:tab/>
        <w:t>Manuels de l'UIT-R (publiés; il s'agit par défaut de la version anglaise, sauf indication contraire):</w:t>
      </w:r>
    </w:p>
    <w:p w14:paraId="1F212F36" w14:textId="7C37AD65" w:rsidR="006F2A62" w:rsidRPr="007E130D" w:rsidRDefault="006F2A62" w:rsidP="00B20AC9">
      <w:pPr>
        <w:pStyle w:val="enumlev2"/>
      </w:pPr>
      <w:r w:rsidRPr="007E130D">
        <w:t>•</w:t>
      </w:r>
      <w:r w:rsidRPr="007E130D">
        <w:tab/>
      </w:r>
      <w:r w:rsidR="00951EC6" w:rsidRPr="007E130D">
        <w:t>Manuel sur les c</w:t>
      </w:r>
      <w:r w:rsidR="00046CC3" w:rsidRPr="007E130D">
        <w:t xml:space="preserve">ommunications mobiles terrestres (y compris accès hertzien) – Volume 4 «Systèmes de transport intelligents» </w:t>
      </w:r>
      <w:r w:rsidRPr="007E130D">
        <w:t>(Rév. 2021)</w:t>
      </w:r>
      <w:r w:rsidR="005B2942" w:rsidRPr="007E130D">
        <w:t>.</w:t>
      </w:r>
    </w:p>
    <w:p w14:paraId="571CE1FD" w14:textId="7F04046F" w:rsidR="00A82EF2" w:rsidRPr="007E130D" w:rsidRDefault="006F2A62" w:rsidP="00B20AC9">
      <w:pPr>
        <w:pStyle w:val="enumlev2"/>
      </w:pPr>
      <w:r w:rsidRPr="007E130D">
        <w:t>•</w:t>
      </w:r>
      <w:r w:rsidR="00A82EF2" w:rsidRPr="007E130D">
        <w:tab/>
        <w:t>Manuel sur l'évolution des Télécommunications mobiles internationales dans le monde</w:t>
      </w:r>
      <w:r w:rsidRPr="007E130D">
        <w:t xml:space="preserve"> (Rév. 2022)</w:t>
      </w:r>
      <w:r w:rsidR="005B2942" w:rsidRPr="007E130D">
        <w:t>.</w:t>
      </w:r>
    </w:p>
    <w:p w14:paraId="1DAC2809" w14:textId="582B0332" w:rsidR="00A82EF2" w:rsidRPr="007E130D" w:rsidRDefault="006F2A62" w:rsidP="00B20AC9">
      <w:pPr>
        <w:pStyle w:val="enumlev2"/>
      </w:pPr>
      <w:r w:rsidRPr="007E130D">
        <w:t>•</w:t>
      </w:r>
      <w:r w:rsidR="00A82EF2" w:rsidRPr="007E130D">
        <w:tab/>
        <w:t>Manuel sur la mise en œuvre des réseaux et systèmes de radiodiffusion télévisuelle numérique de Terre</w:t>
      </w:r>
      <w:r w:rsidRPr="007E130D">
        <w:t xml:space="preserve"> (Rév. 2021)</w:t>
      </w:r>
      <w:r w:rsidR="005B2942" w:rsidRPr="007E130D">
        <w:t>.</w:t>
      </w:r>
    </w:p>
    <w:p w14:paraId="7744C86E" w14:textId="05266C29" w:rsidR="006F2A62" w:rsidRPr="007E130D" w:rsidRDefault="006F2A62" w:rsidP="00B20AC9">
      <w:pPr>
        <w:pStyle w:val="enumlev2"/>
      </w:pPr>
      <w:r w:rsidRPr="007E130D">
        <w:t>•</w:t>
      </w:r>
      <w:r w:rsidRPr="007E130D">
        <w:tab/>
      </w:r>
      <w:r w:rsidR="00951EC6" w:rsidRPr="007E130D">
        <w:t>Tutoriel sur les systèmes de communication adaptatifs en fréquence fonctionnant dans les bandes d'ondes décamétriques (nouveau, 2022)</w:t>
      </w:r>
      <w:r w:rsidR="005B2942" w:rsidRPr="007E130D">
        <w:t>.</w:t>
      </w:r>
    </w:p>
    <w:p w14:paraId="24CA207E" w14:textId="2E100FF3" w:rsidR="006F2A62" w:rsidRPr="007E130D" w:rsidRDefault="006F2A62" w:rsidP="00B20AC9">
      <w:pPr>
        <w:pStyle w:val="enumlev2"/>
        <w:tabs>
          <w:tab w:val="clear" w:pos="1871"/>
          <w:tab w:val="left" w:pos="1846"/>
        </w:tabs>
      </w:pPr>
      <w:r w:rsidRPr="007E130D">
        <w:t>•</w:t>
      </w:r>
      <w:r w:rsidRPr="007E130D">
        <w:tab/>
      </w:r>
      <w:r w:rsidR="00951EC6" w:rsidRPr="007E130D">
        <w:t>Manuel sur les satellites de petite taille (nouveau, septembre 2023)</w:t>
      </w:r>
      <w:r w:rsidR="005B2942" w:rsidRPr="007E130D">
        <w:t>.</w:t>
      </w:r>
    </w:p>
    <w:p w14:paraId="794D576A" w14:textId="2B796CB9" w:rsidR="00A82EF2" w:rsidRPr="007E130D" w:rsidRDefault="00A82EF2" w:rsidP="00B20AC9">
      <w:pPr>
        <w:pStyle w:val="enumlev1"/>
      </w:pPr>
      <w:r w:rsidRPr="007E130D">
        <w:t>–</w:t>
      </w:r>
      <w:r w:rsidRPr="007E130D">
        <w:tab/>
        <w:t>Autres publications (A/C/E/F/R/S):</w:t>
      </w:r>
    </w:p>
    <w:p w14:paraId="271F6EF3" w14:textId="3940B9D1" w:rsidR="00A82EF2" w:rsidRPr="007E130D" w:rsidRDefault="005B2942" w:rsidP="00B20AC9">
      <w:pPr>
        <w:pStyle w:val="enumlev2"/>
      </w:pPr>
      <w:r w:rsidRPr="007E130D">
        <w:t>•</w:t>
      </w:r>
      <w:r w:rsidR="00A82EF2" w:rsidRPr="007E130D">
        <w:tab/>
      </w:r>
      <w:r w:rsidR="00A82EF2" w:rsidRPr="007E130D">
        <w:rPr>
          <w:color w:val="000000"/>
        </w:rPr>
        <w:t>Livre des Résolutions UIT-R</w:t>
      </w:r>
      <w:r w:rsidR="00A82EF2" w:rsidRPr="007E130D">
        <w:t xml:space="preserve"> 201</w:t>
      </w:r>
      <w:r w:rsidR="006F2A62" w:rsidRPr="007E130D">
        <w:t>9</w:t>
      </w:r>
      <w:r w:rsidRPr="007E130D">
        <w:t>.</w:t>
      </w:r>
    </w:p>
    <w:p w14:paraId="7BF03A6A" w14:textId="032546EB" w:rsidR="00A82EF2" w:rsidRPr="007E130D" w:rsidRDefault="005B2942" w:rsidP="00B20AC9">
      <w:pPr>
        <w:pStyle w:val="enumlev2"/>
      </w:pPr>
      <w:r w:rsidRPr="007E130D">
        <w:t>•</w:t>
      </w:r>
      <w:r w:rsidR="00A82EF2" w:rsidRPr="007E130D">
        <w:tab/>
      </w:r>
      <w:r w:rsidR="00A82EF2" w:rsidRPr="007E130D">
        <w:rPr>
          <w:color w:val="000000"/>
        </w:rPr>
        <w:t>Actes finals provisoires de la CMR-1</w:t>
      </w:r>
      <w:r w:rsidR="006F2A62" w:rsidRPr="007E130D">
        <w:rPr>
          <w:color w:val="000000"/>
        </w:rPr>
        <w:t>9</w:t>
      </w:r>
      <w:r w:rsidRPr="007E130D">
        <w:rPr>
          <w:color w:val="000000"/>
        </w:rPr>
        <w:t>.</w:t>
      </w:r>
    </w:p>
    <w:p w14:paraId="49FDE20D" w14:textId="481E5D7E" w:rsidR="00A82EF2" w:rsidRPr="007E130D" w:rsidRDefault="005B2942" w:rsidP="00B20AC9">
      <w:pPr>
        <w:pStyle w:val="enumlev2"/>
      </w:pPr>
      <w:r w:rsidRPr="007E130D">
        <w:t>•</w:t>
      </w:r>
      <w:r w:rsidR="00A82EF2" w:rsidRPr="007E130D">
        <w:tab/>
      </w:r>
      <w:r w:rsidR="00A82EF2" w:rsidRPr="007E130D">
        <w:rPr>
          <w:color w:val="000000"/>
        </w:rPr>
        <w:t>Actes finals de la CMR-1</w:t>
      </w:r>
      <w:r w:rsidR="006F2A62" w:rsidRPr="007E130D">
        <w:rPr>
          <w:color w:val="000000"/>
        </w:rPr>
        <w:t>9</w:t>
      </w:r>
      <w:r w:rsidRPr="007E130D">
        <w:rPr>
          <w:color w:val="000000"/>
        </w:rPr>
        <w:t>.</w:t>
      </w:r>
    </w:p>
    <w:p w14:paraId="2BD5FC25" w14:textId="4FF5867D" w:rsidR="00A82EF2" w:rsidRPr="007E130D" w:rsidRDefault="005B2942" w:rsidP="00B20AC9">
      <w:pPr>
        <w:pStyle w:val="enumlev2"/>
      </w:pPr>
      <w:r w:rsidRPr="007E130D">
        <w:t>•</w:t>
      </w:r>
      <w:r w:rsidR="00A82EF2" w:rsidRPr="007E130D">
        <w:tab/>
      </w:r>
      <w:r w:rsidR="00A82EF2" w:rsidRPr="007E130D">
        <w:rPr>
          <w:color w:val="000000"/>
        </w:rPr>
        <w:t xml:space="preserve">Règles de procédures, édition de </w:t>
      </w:r>
      <w:r w:rsidR="006F2A62" w:rsidRPr="007E130D">
        <w:rPr>
          <w:color w:val="000000"/>
        </w:rPr>
        <w:t>2021</w:t>
      </w:r>
      <w:r w:rsidRPr="007E130D">
        <w:rPr>
          <w:color w:val="000000"/>
        </w:rPr>
        <w:t>.</w:t>
      </w:r>
    </w:p>
    <w:p w14:paraId="4B36CEBD" w14:textId="20F148A0" w:rsidR="00A82EF2" w:rsidRPr="007E130D" w:rsidRDefault="005B2942" w:rsidP="00B20AC9">
      <w:pPr>
        <w:pStyle w:val="enumlev2"/>
      </w:pPr>
      <w:r w:rsidRPr="007E130D">
        <w:t>•</w:t>
      </w:r>
      <w:r w:rsidR="00A82EF2" w:rsidRPr="007E130D">
        <w:tab/>
      </w:r>
      <w:r w:rsidR="00A82EF2" w:rsidRPr="007E130D">
        <w:rPr>
          <w:color w:val="000000"/>
        </w:rPr>
        <w:t>Règles de procédures de l'UIT-R</w:t>
      </w:r>
      <w:r w:rsidR="00AB3D29" w:rsidRPr="007E130D">
        <w:rPr>
          <w:color w:val="000000"/>
        </w:rPr>
        <w:t xml:space="preserve"> </w:t>
      </w:r>
      <w:r w:rsidR="006F2A62" w:rsidRPr="007E130D">
        <w:t>2021</w:t>
      </w:r>
      <w:r w:rsidR="00A82EF2" w:rsidRPr="007E130D">
        <w:t>, Mise à jour 1</w:t>
      </w:r>
      <w:r w:rsidRPr="007E130D">
        <w:t>.</w:t>
      </w:r>
    </w:p>
    <w:p w14:paraId="10A60473" w14:textId="2AF764B5" w:rsidR="00A82EF2" w:rsidRPr="007E130D" w:rsidRDefault="005B2942" w:rsidP="00B20AC9">
      <w:pPr>
        <w:pStyle w:val="enumlev2"/>
      </w:pPr>
      <w:r w:rsidRPr="007E130D">
        <w:t>•</w:t>
      </w:r>
      <w:r w:rsidR="00A82EF2" w:rsidRPr="007E130D">
        <w:tab/>
        <w:t xml:space="preserve">Règles de procédures de l'UIT-R </w:t>
      </w:r>
      <w:r w:rsidR="006F2A62" w:rsidRPr="007E130D">
        <w:t>2021</w:t>
      </w:r>
      <w:r w:rsidR="00A82EF2" w:rsidRPr="007E130D">
        <w:t>, Mise à jour 2</w:t>
      </w:r>
      <w:r w:rsidRPr="007E130D">
        <w:t>.</w:t>
      </w:r>
    </w:p>
    <w:p w14:paraId="4C0576CF" w14:textId="6FDF4C2B" w:rsidR="00A82EF2" w:rsidRPr="007E130D" w:rsidRDefault="005B2942" w:rsidP="00B20AC9">
      <w:pPr>
        <w:pStyle w:val="enumlev2"/>
      </w:pPr>
      <w:r w:rsidRPr="007E130D">
        <w:t>•</w:t>
      </w:r>
      <w:r w:rsidR="00A82EF2" w:rsidRPr="007E130D">
        <w:tab/>
        <w:t xml:space="preserve">Règles de procédures de l'UIT-R </w:t>
      </w:r>
      <w:r w:rsidR="006F2A62" w:rsidRPr="007E130D">
        <w:t>2021</w:t>
      </w:r>
      <w:r w:rsidR="00A82EF2" w:rsidRPr="007E130D">
        <w:t>, Mise à jour 3</w:t>
      </w:r>
      <w:r w:rsidRPr="007E130D">
        <w:t>.</w:t>
      </w:r>
    </w:p>
    <w:p w14:paraId="409F6D5F" w14:textId="77777777" w:rsidR="00A82EF2" w:rsidRPr="007E130D" w:rsidRDefault="00A82EF2" w:rsidP="00B20AC9">
      <w:pPr>
        <w:pStyle w:val="Heading3"/>
      </w:pPr>
      <w:bookmarkStart w:id="214" w:name="_Toc424047599"/>
      <w:bookmarkStart w:id="215" w:name="_Toc426463257"/>
      <w:bookmarkStart w:id="216" w:name="_Toc19880077"/>
      <w:bookmarkStart w:id="217" w:name="_Toc147328833"/>
      <w:bookmarkEnd w:id="213"/>
      <w:r w:rsidRPr="007E130D">
        <w:lastRenderedPageBreak/>
        <w:t>6.1.4</w:t>
      </w:r>
      <w:r w:rsidRPr="007E130D">
        <w:tab/>
        <w:t>Téléchargement des publications de l'UIT-R</w:t>
      </w:r>
      <w:bookmarkEnd w:id="214"/>
      <w:bookmarkEnd w:id="215"/>
      <w:bookmarkEnd w:id="216"/>
      <w:bookmarkEnd w:id="217"/>
    </w:p>
    <w:p w14:paraId="3F33B8CB" w14:textId="77777777" w:rsidR="00A82EF2" w:rsidRPr="007E130D" w:rsidRDefault="00A82EF2" w:rsidP="00B20AC9">
      <w:r w:rsidRPr="007E130D">
        <w:t>Dans le cadre de la politique d'accès en ligne gratuit, l'UIT continue de diffuser très largement les textes réglementaires et les normes de l'Union auprès du grand public, notamment dans les pays en développement qui connaissent des difficultés financières. Cette large ouverture favorisée par la gratuité de l'accès en ligne contribue à mieux faire connaître la mission de l'UIT et à renforcer son rôle en tant qu'autorité mondiale dans le domaine des télécommunications.</w:t>
      </w:r>
    </w:p>
    <w:p w14:paraId="3E451113" w14:textId="77777777" w:rsidR="00A82EF2" w:rsidRPr="007E130D" w:rsidRDefault="00A82EF2" w:rsidP="00B20AC9">
      <w:r w:rsidRPr="007E130D">
        <w:t>En conclusion, les publications de l'UIT-R désormais accessibles gratuitement (téléchargeables) par le grand public à titre permanent sont les suivantes:</w:t>
      </w:r>
    </w:p>
    <w:p w14:paraId="7AACCAC2" w14:textId="7CBF95D2" w:rsidR="00A82EF2" w:rsidRPr="007E130D" w:rsidRDefault="00A82EF2" w:rsidP="00B20AC9">
      <w:pPr>
        <w:pStyle w:val="enumlev1"/>
      </w:pPr>
      <w:r w:rsidRPr="007E130D">
        <w:t>–</w:t>
      </w:r>
      <w:r w:rsidRPr="007E130D">
        <w:tab/>
        <w:t xml:space="preserve">Règlement des radiocommunications, dernière version: édition de </w:t>
      </w:r>
      <w:r w:rsidR="006F2A62" w:rsidRPr="007E130D">
        <w:t>2020</w:t>
      </w:r>
      <w:r w:rsidRPr="007E130D">
        <w:t xml:space="preserve"> du RR, comprenant les décisions de la CMR-1</w:t>
      </w:r>
      <w:r w:rsidR="006F2A62" w:rsidRPr="007E130D">
        <w:t>9</w:t>
      </w:r>
      <w:r w:rsidR="005B2942" w:rsidRPr="007E130D">
        <w:t>.</w:t>
      </w:r>
    </w:p>
    <w:p w14:paraId="51EB71E8" w14:textId="5CE39BE3" w:rsidR="00A82EF2" w:rsidRPr="007E130D" w:rsidRDefault="00A82EF2" w:rsidP="00B20AC9">
      <w:pPr>
        <w:pStyle w:val="enumlev1"/>
      </w:pPr>
      <w:r w:rsidRPr="007E130D">
        <w:t>–</w:t>
      </w:r>
      <w:r w:rsidRPr="007E130D">
        <w:tab/>
        <w:t>Règles de procédure, dernière version</w:t>
      </w:r>
      <w:r w:rsidR="005B2942" w:rsidRPr="007E130D">
        <w:t>:</w:t>
      </w:r>
      <w:r w:rsidRPr="007E130D">
        <w:t xml:space="preserve"> </w:t>
      </w:r>
      <w:r w:rsidR="005B2942" w:rsidRPr="007E130D">
        <w:rPr>
          <w:color w:val="000000"/>
        </w:rPr>
        <w:t>é</w:t>
      </w:r>
      <w:r w:rsidRPr="007E130D">
        <w:rPr>
          <w:color w:val="000000"/>
        </w:rPr>
        <w:t>dition de 20</w:t>
      </w:r>
      <w:r w:rsidR="006F2A62" w:rsidRPr="007E130D">
        <w:rPr>
          <w:color w:val="000000"/>
        </w:rPr>
        <w:t>21</w:t>
      </w:r>
      <w:r w:rsidRPr="007E130D">
        <w:rPr>
          <w:color w:val="000000"/>
        </w:rPr>
        <w:t xml:space="preserve"> des </w:t>
      </w:r>
      <w:r w:rsidRPr="007E130D">
        <w:t>Règles de procédure</w:t>
      </w:r>
      <w:r w:rsidRPr="007E130D">
        <w:rPr>
          <w:color w:val="000000"/>
        </w:rPr>
        <w:t xml:space="preserve"> + mise à jour </w:t>
      </w:r>
      <w:r w:rsidR="00951EC6" w:rsidRPr="007E130D">
        <w:rPr>
          <w:color w:val="000000"/>
        </w:rPr>
        <w:t>3</w:t>
      </w:r>
      <w:r w:rsidRPr="007E130D">
        <w:t xml:space="preserve"> (</w:t>
      </w:r>
      <w:r w:rsidR="006F2A62" w:rsidRPr="007E130D">
        <w:t>juillet 2023</w:t>
      </w:r>
      <w:r w:rsidRPr="007E130D">
        <w:t>)</w:t>
      </w:r>
      <w:r w:rsidR="005B2942" w:rsidRPr="007E130D">
        <w:t>.</w:t>
      </w:r>
    </w:p>
    <w:p w14:paraId="507DADD1" w14:textId="22E04462" w:rsidR="00A82EF2" w:rsidRPr="007E130D" w:rsidRDefault="00A82EF2" w:rsidP="00B20AC9">
      <w:pPr>
        <w:pStyle w:val="enumlev1"/>
      </w:pPr>
      <w:r w:rsidRPr="007E130D">
        <w:t>–</w:t>
      </w:r>
      <w:r w:rsidRPr="007E130D">
        <w:tab/>
        <w:t xml:space="preserve">Recommandations UIT-R (16 séries, </w:t>
      </w:r>
      <w:r w:rsidR="006F2A62" w:rsidRPr="007E130D">
        <w:t xml:space="preserve">1 205 </w:t>
      </w:r>
      <w:r w:rsidRPr="007E130D">
        <w:t>Recommandations en vigueur en</w:t>
      </w:r>
      <w:r w:rsidR="006F2A62" w:rsidRPr="007E130D">
        <w:t xml:space="preserve"> août 2023</w:t>
      </w:r>
      <w:r w:rsidRPr="007E130D">
        <w:t>)</w:t>
      </w:r>
      <w:r w:rsidR="005B2942" w:rsidRPr="007E130D">
        <w:t>.</w:t>
      </w:r>
    </w:p>
    <w:p w14:paraId="00821148" w14:textId="65D6CB07" w:rsidR="00A82EF2" w:rsidRPr="007E130D" w:rsidRDefault="00A82EF2" w:rsidP="00B20AC9">
      <w:pPr>
        <w:pStyle w:val="enumlev1"/>
      </w:pPr>
      <w:r w:rsidRPr="007E130D">
        <w:t>–</w:t>
      </w:r>
      <w:r w:rsidRPr="007E130D">
        <w:tab/>
        <w:t xml:space="preserve">Rapports UIT-R (13 séries, </w:t>
      </w:r>
      <w:r w:rsidR="00492A7E" w:rsidRPr="007E130D">
        <w:t>627</w:t>
      </w:r>
      <w:r w:rsidRPr="007E130D">
        <w:t xml:space="preserve"> rapports en vigueur en</w:t>
      </w:r>
      <w:r w:rsidR="00492A7E" w:rsidRPr="007E130D">
        <w:t xml:space="preserve"> août 2023</w:t>
      </w:r>
      <w:r w:rsidRPr="007E130D">
        <w:t>)</w:t>
      </w:r>
      <w:r w:rsidR="005B2942" w:rsidRPr="007E130D">
        <w:t>.</w:t>
      </w:r>
    </w:p>
    <w:p w14:paraId="18DDAF48" w14:textId="10AC332E" w:rsidR="00A82EF2" w:rsidRPr="007E130D" w:rsidRDefault="00A82EF2" w:rsidP="00B20AC9">
      <w:pPr>
        <w:pStyle w:val="enumlev1"/>
      </w:pPr>
      <w:r w:rsidRPr="007E130D">
        <w:t>–</w:t>
      </w:r>
      <w:r w:rsidRPr="007E130D">
        <w:tab/>
        <w:t>Manuels de l'UIT-R (</w:t>
      </w:r>
      <w:r w:rsidR="00492A7E" w:rsidRPr="007E130D">
        <w:t>47</w:t>
      </w:r>
      <w:r w:rsidRPr="007E130D">
        <w:t xml:space="preserve"> Manuels)</w:t>
      </w:r>
      <w:r w:rsidR="005B2942" w:rsidRPr="007E130D">
        <w:t>.</w:t>
      </w:r>
    </w:p>
    <w:p w14:paraId="30C4D0CB" w14:textId="77777777" w:rsidR="00A82EF2" w:rsidRPr="007E130D" w:rsidRDefault="00A82EF2" w:rsidP="00B20AC9">
      <w:pPr>
        <w:pStyle w:val="Heading4"/>
      </w:pPr>
      <w:r w:rsidRPr="007E130D">
        <w:t>6.1.4.1</w:t>
      </w:r>
      <w:r w:rsidRPr="007E130D">
        <w:tab/>
        <w:t>Règlement des radiocommunications et Règles de procédure</w:t>
      </w:r>
    </w:p>
    <w:p w14:paraId="098AC97D" w14:textId="725C5319" w:rsidR="00A82EF2" w:rsidRPr="007E130D" w:rsidRDefault="00A82EF2" w:rsidP="003749BC">
      <w:r w:rsidRPr="007E130D">
        <w:t xml:space="preserve">En ce qui concerne ces documents réglementaires, on trouvera dans le Tableau 6.1.4.1-1 une comparaison entre </w:t>
      </w:r>
      <w:r w:rsidR="00034C54" w:rsidRPr="007E130D">
        <w:t>le nombre de livraisons</w:t>
      </w:r>
      <w:r w:rsidR="00C31301" w:rsidRPr="007E130D">
        <w:t xml:space="preserve"> de l'édition de 2016</w:t>
      </w:r>
      <w:r w:rsidRPr="007E130D">
        <w:t xml:space="preserve"> du RR </w:t>
      </w:r>
      <w:r w:rsidR="00C31301" w:rsidRPr="007E130D">
        <w:t>celles de l'édition de 2020</w:t>
      </w:r>
      <w:r w:rsidRPr="007E130D">
        <w:t xml:space="preserve"> du</w:t>
      </w:r>
      <w:r w:rsidR="005B2942" w:rsidRPr="007E130D">
        <w:t> </w:t>
      </w:r>
      <w:r w:rsidRPr="007E130D">
        <w:t>RR</w:t>
      </w:r>
      <w:r w:rsidRPr="007E130D">
        <w:rPr>
          <w:rFonts w:asciiTheme="majorBidi" w:hAnsiTheme="majorBidi" w:cstheme="majorBidi"/>
          <w:szCs w:val="24"/>
        </w:rPr>
        <w:t>.</w:t>
      </w:r>
      <w:r w:rsidR="00C31301" w:rsidRPr="007E130D">
        <w:rPr>
          <w:rFonts w:asciiTheme="majorBidi" w:hAnsiTheme="majorBidi" w:cstheme="majorBidi"/>
          <w:szCs w:val="24"/>
        </w:rPr>
        <w:t xml:space="preserve"> Suite à la demande de la réunion du GCR de 2021, les versions PDF et Word de l'édition</w:t>
      </w:r>
      <w:r w:rsidR="005B2942" w:rsidRPr="007E130D">
        <w:rPr>
          <w:rFonts w:asciiTheme="majorBidi" w:hAnsiTheme="majorBidi" w:cstheme="majorBidi"/>
          <w:szCs w:val="24"/>
        </w:rPr>
        <w:t> </w:t>
      </w:r>
      <w:r w:rsidR="00C31301" w:rsidRPr="007E130D">
        <w:rPr>
          <w:rFonts w:asciiTheme="majorBidi" w:hAnsiTheme="majorBidi" w:cstheme="majorBidi"/>
          <w:szCs w:val="24"/>
        </w:rPr>
        <w:t>2020 du RR peuvent être téléchargées gratuitement à partir du site web de l'UIT. Le Tableau</w:t>
      </w:r>
      <w:r w:rsidR="005B2942" w:rsidRPr="007E130D">
        <w:rPr>
          <w:rFonts w:asciiTheme="majorBidi" w:hAnsiTheme="majorBidi" w:cstheme="majorBidi"/>
          <w:szCs w:val="24"/>
        </w:rPr>
        <w:t> </w:t>
      </w:r>
      <w:r w:rsidR="00C31301" w:rsidRPr="007E130D">
        <w:rPr>
          <w:rFonts w:asciiTheme="majorBidi" w:hAnsiTheme="majorBidi" w:cstheme="majorBidi"/>
          <w:szCs w:val="24"/>
        </w:rPr>
        <w:t>6.1.4.1-2 indique le nombre total de téléchargements au cours de la même période pour les Règles de procédure.</w:t>
      </w:r>
    </w:p>
    <w:p w14:paraId="2C60720D" w14:textId="77777777" w:rsidR="00A82EF2" w:rsidRPr="007E130D" w:rsidRDefault="00A82EF2" w:rsidP="00130B4A">
      <w:pPr>
        <w:pStyle w:val="TableNo"/>
        <w:keepNext w:val="0"/>
        <w:rPr>
          <w:caps w:val="0"/>
        </w:rPr>
      </w:pPr>
      <w:r w:rsidRPr="007E130D">
        <w:t>TableAU</w:t>
      </w:r>
      <w:r w:rsidRPr="007E130D">
        <w:rPr>
          <w:caps w:val="0"/>
        </w:rPr>
        <w:t xml:space="preserve"> 6.1.4.1-1</w:t>
      </w:r>
    </w:p>
    <w:p w14:paraId="0B04304F" w14:textId="5AECDA4B" w:rsidR="00A82EF2" w:rsidRPr="007E130D" w:rsidRDefault="00C31301" w:rsidP="00130B4A">
      <w:pPr>
        <w:pStyle w:val="Tabletitle"/>
        <w:keepNext w:val="0"/>
        <w:keepLines w:val="0"/>
        <w:rPr>
          <w:b w:val="0"/>
          <w:bCs/>
        </w:rPr>
      </w:pPr>
      <w:r w:rsidRPr="007E130D">
        <w:rPr>
          <w:b w:val="0"/>
          <w:bCs/>
        </w:rPr>
        <w:t>N</w:t>
      </w:r>
      <w:r w:rsidR="00A82EF2" w:rsidRPr="007E130D">
        <w:rPr>
          <w:b w:val="0"/>
          <w:bCs/>
        </w:rPr>
        <w:t>ombre de livraisons du Règ</w:t>
      </w:r>
      <w:r w:rsidRPr="007E130D">
        <w:rPr>
          <w:b w:val="0"/>
          <w:bCs/>
        </w:rPr>
        <w:t>lement des radiocommunications</w:t>
      </w:r>
    </w:p>
    <w:tbl>
      <w:tblPr>
        <w:tblW w:w="9624" w:type="dxa"/>
        <w:tblInd w:w="108" w:type="dxa"/>
        <w:tblLayout w:type="fixed"/>
        <w:tblLook w:val="04A0" w:firstRow="1" w:lastRow="0" w:firstColumn="1" w:lastColumn="0" w:noHBand="0" w:noVBand="1"/>
      </w:tblPr>
      <w:tblGrid>
        <w:gridCol w:w="1920"/>
        <w:gridCol w:w="2792"/>
        <w:gridCol w:w="1559"/>
        <w:gridCol w:w="1701"/>
        <w:gridCol w:w="1652"/>
      </w:tblGrid>
      <w:tr w:rsidR="00E56BCB" w:rsidRPr="007E130D" w14:paraId="5D76874F" w14:textId="77777777" w:rsidTr="005B2942">
        <w:trPr>
          <w:trHeight w:val="525"/>
        </w:trPr>
        <w:tc>
          <w:tcPr>
            <w:tcW w:w="1920" w:type="dxa"/>
            <w:tcBorders>
              <w:top w:val="single" w:sz="8" w:space="0" w:color="FFFFFF" w:themeColor="background1"/>
              <w:left w:val="nil"/>
              <w:bottom w:val="single" w:sz="8" w:space="0" w:color="auto"/>
              <w:right w:val="single" w:sz="8" w:space="0" w:color="auto"/>
            </w:tcBorders>
            <w:shd w:val="clear" w:color="auto" w:fill="FFFFFF" w:themeFill="background1"/>
            <w:tcMar>
              <w:left w:w="108" w:type="dxa"/>
              <w:right w:w="108" w:type="dxa"/>
            </w:tcMar>
            <w:vAlign w:val="center"/>
          </w:tcPr>
          <w:p w14:paraId="3ABDFEC9" w14:textId="77777777" w:rsidR="00E56BCB" w:rsidRPr="007E130D" w:rsidRDefault="00E56BCB" w:rsidP="00130B4A">
            <w:pPr>
              <w:pStyle w:val="Tablehead"/>
              <w:keepNext w:val="0"/>
              <w:rPr>
                <w:bCs/>
              </w:rPr>
            </w:pPr>
          </w:p>
        </w:tc>
        <w:tc>
          <w:tcPr>
            <w:tcW w:w="279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5E42A11" w14:textId="5BBBB086" w:rsidR="00E56BCB" w:rsidRPr="007E130D" w:rsidRDefault="00E56BCB" w:rsidP="00130B4A">
            <w:pPr>
              <w:pStyle w:val="Tablehead"/>
              <w:keepNext w:val="0"/>
              <w:rPr>
                <w:bCs/>
                <w:szCs w:val="19"/>
              </w:rPr>
            </w:pPr>
            <w:r w:rsidRPr="007E130D">
              <w:rPr>
                <w:bCs/>
                <w:szCs w:val="19"/>
              </w:rPr>
              <w:t xml:space="preserve">2020 </w:t>
            </w:r>
            <w:r w:rsidRPr="007E130D">
              <w:rPr>
                <w:bCs/>
              </w:rPr>
              <w:br/>
            </w:r>
            <w:r w:rsidRPr="007E130D">
              <w:rPr>
                <w:bCs/>
                <w:szCs w:val="19"/>
              </w:rPr>
              <w:t>(</w:t>
            </w:r>
            <w:r w:rsidR="005B2942" w:rsidRPr="007E130D">
              <w:rPr>
                <w:bCs/>
                <w:szCs w:val="19"/>
              </w:rPr>
              <w:t>Éditions</w:t>
            </w:r>
            <w:r w:rsidR="00C31301" w:rsidRPr="007E130D">
              <w:rPr>
                <w:bCs/>
                <w:szCs w:val="19"/>
              </w:rPr>
              <w:t xml:space="preserve"> de </w:t>
            </w:r>
            <w:r w:rsidRPr="007E130D">
              <w:rPr>
                <w:bCs/>
                <w:szCs w:val="19"/>
              </w:rPr>
              <w:t xml:space="preserve">2016 </w:t>
            </w:r>
            <w:r w:rsidR="00C31301" w:rsidRPr="007E130D">
              <w:rPr>
                <w:bCs/>
                <w:szCs w:val="19"/>
              </w:rPr>
              <w:t xml:space="preserve">et de </w:t>
            </w:r>
            <w:r w:rsidRPr="007E130D">
              <w:rPr>
                <w:bCs/>
                <w:szCs w:val="19"/>
              </w:rPr>
              <w:t>2020)</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3D2EA372" w14:textId="77777777" w:rsidR="00E56BCB" w:rsidRPr="007E130D" w:rsidRDefault="00E56BCB" w:rsidP="00130B4A">
            <w:pPr>
              <w:pStyle w:val="Tablehead"/>
              <w:keepNext w:val="0"/>
              <w:rPr>
                <w:bCs/>
                <w:szCs w:val="19"/>
              </w:rPr>
            </w:pPr>
            <w:r w:rsidRPr="007E130D">
              <w:rPr>
                <w:bCs/>
                <w:szCs w:val="19"/>
              </w:rPr>
              <w:t>2021</w:t>
            </w:r>
            <w:r w:rsidRPr="007E130D">
              <w:rPr>
                <w:bCs/>
              </w:rPr>
              <w:br/>
            </w:r>
            <w:r w:rsidRPr="007E130D">
              <w:rPr>
                <w:bCs/>
                <w:szCs w:val="19"/>
              </w:rPr>
              <w:t>RR-20</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14:paraId="41411B04" w14:textId="77777777" w:rsidR="00E56BCB" w:rsidRPr="007E130D" w:rsidRDefault="00E56BCB" w:rsidP="00130B4A">
            <w:pPr>
              <w:pStyle w:val="Tablehead"/>
              <w:keepNext w:val="0"/>
              <w:rPr>
                <w:bCs/>
                <w:szCs w:val="19"/>
              </w:rPr>
            </w:pPr>
            <w:r w:rsidRPr="007E130D">
              <w:rPr>
                <w:bCs/>
                <w:szCs w:val="19"/>
              </w:rPr>
              <w:t>2022</w:t>
            </w:r>
            <w:r w:rsidRPr="007E130D">
              <w:rPr>
                <w:bCs/>
              </w:rPr>
              <w:br/>
            </w:r>
            <w:r w:rsidRPr="007E130D">
              <w:rPr>
                <w:bCs/>
                <w:szCs w:val="19"/>
              </w:rPr>
              <w:t>RR-20</w:t>
            </w: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tcPr>
          <w:p w14:paraId="79B630AE" w14:textId="77777777" w:rsidR="00E56BCB" w:rsidRPr="007E130D" w:rsidRDefault="00E56BCB" w:rsidP="00130B4A">
            <w:pPr>
              <w:pStyle w:val="Tablehead"/>
              <w:keepNext w:val="0"/>
              <w:rPr>
                <w:bCs/>
                <w:szCs w:val="19"/>
              </w:rPr>
            </w:pPr>
            <w:r w:rsidRPr="007E130D">
              <w:rPr>
                <w:bCs/>
                <w:szCs w:val="19"/>
              </w:rPr>
              <w:t>2023</w:t>
            </w:r>
            <w:r w:rsidRPr="007E130D">
              <w:rPr>
                <w:bCs/>
              </w:rPr>
              <w:br/>
            </w:r>
            <w:r w:rsidRPr="007E130D">
              <w:rPr>
                <w:bCs/>
                <w:szCs w:val="19"/>
              </w:rPr>
              <w:t>RR-20</w:t>
            </w:r>
          </w:p>
        </w:tc>
      </w:tr>
      <w:tr w:rsidR="00E56BCB" w:rsidRPr="007E130D" w14:paraId="1DDB488A" w14:textId="77777777" w:rsidTr="005B2942">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731C488" w14:textId="77777777" w:rsidR="00E56BCB" w:rsidRPr="007E130D" w:rsidRDefault="00C31301" w:rsidP="00130B4A">
            <w:pPr>
              <w:pStyle w:val="Tablehead"/>
              <w:keepNext w:val="0"/>
              <w:rPr>
                <w:bCs/>
              </w:rPr>
            </w:pPr>
            <w:r w:rsidRPr="007E130D">
              <w:rPr>
                <w:bCs/>
              </w:rPr>
              <w:t>Exemplaires papier vendus</w:t>
            </w:r>
          </w:p>
        </w:tc>
        <w:tc>
          <w:tcPr>
            <w:tcW w:w="279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B4D5F49" w14:textId="11082AE2" w:rsidR="00E56BCB" w:rsidRPr="007E130D" w:rsidRDefault="005B2942" w:rsidP="00130B4A">
            <w:pPr>
              <w:pStyle w:val="Tabletext"/>
              <w:jc w:val="center"/>
            </w:pPr>
            <w:r w:rsidRPr="007E130D">
              <w:t>É</w:t>
            </w:r>
            <w:r w:rsidR="00C31301" w:rsidRPr="007E130D">
              <w:t xml:space="preserve">dition </w:t>
            </w:r>
            <w:r w:rsidR="00E56BCB" w:rsidRPr="007E130D">
              <w:t>2016: 59</w:t>
            </w:r>
            <w:r w:rsidR="00E56BCB" w:rsidRPr="007E130D">
              <w:br/>
            </w:r>
            <w:r w:rsidRPr="007E130D">
              <w:t>É</w:t>
            </w:r>
            <w:r w:rsidR="00C31301" w:rsidRPr="007E130D">
              <w:t xml:space="preserve">dition </w:t>
            </w:r>
            <w:r w:rsidR="00E56BCB" w:rsidRPr="007E130D">
              <w:t>2020: 1 170</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224D511B" w14:textId="77777777" w:rsidR="00E56BCB" w:rsidRPr="007E130D" w:rsidRDefault="00E56BCB" w:rsidP="00130B4A">
            <w:pPr>
              <w:pStyle w:val="Tabletext"/>
              <w:jc w:val="center"/>
            </w:pPr>
            <w:r w:rsidRPr="007E130D">
              <w:t>274</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14:paraId="0B2D4DA2" w14:textId="77777777" w:rsidR="00E56BCB" w:rsidRPr="007E130D" w:rsidRDefault="00E56BCB" w:rsidP="00130B4A">
            <w:pPr>
              <w:pStyle w:val="Tabletext"/>
              <w:jc w:val="center"/>
            </w:pPr>
            <w:r w:rsidRPr="007E130D">
              <w:t>117</w:t>
            </w: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tcPr>
          <w:p w14:paraId="6407E4A4" w14:textId="77777777" w:rsidR="00E56BCB" w:rsidRPr="007E130D" w:rsidRDefault="00E56BCB" w:rsidP="00130B4A">
            <w:pPr>
              <w:pStyle w:val="Tabletext"/>
              <w:jc w:val="center"/>
            </w:pPr>
            <w:r w:rsidRPr="007E130D">
              <w:t>N</w:t>
            </w:r>
            <w:r w:rsidR="00C31301" w:rsidRPr="007E130D">
              <w:t>on disponible</w:t>
            </w:r>
          </w:p>
        </w:tc>
      </w:tr>
      <w:tr w:rsidR="00E56BCB" w:rsidRPr="007E130D" w14:paraId="6D4FC76B" w14:textId="77777777" w:rsidTr="005B2942">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07A8B43" w14:textId="77777777" w:rsidR="00E56BCB" w:rsidRPr="007E130D" w:rsidRDefault="00E56BCB" w:rsidP="00130B4A">
            <w:pPr>
              <w:pStyle w:val="Tablehead"/>
              <w:keepNext w:val="0"/>
              <w:rPr>
                <w:bCs/>
              </w:rPr>
            </w:pPr>
            <w:r w:rsidRPr="007E130D">
              <w:rPr>
                <w:bCs/>
              </w:rPr>
              <w:t>DVD</w:t>
            </w:r>
            <w:r w:rsidR="00C31301" w:rsidRPr="007E130D">
              <w:rPr>
                <w:bCs/>
              </w:rPr>
              <w:t xml:space="preserve"> vendus</w:t>
            </w:r>
          </w:p>
        </w:tc>
        <w:tc>
          <w:tcPr>
            <w:tcW w:w="279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3D347F" w14:textId="64DC661A" w:rsidR="00E56BCB" w:rsidRPr="007E130D" w:rsidRDefault="005B2942" w:rsidP="00130B4A">
            <w:pPr>
              <w:pStyle w:val="Tabletext"/>
              <w:jc w:val="center"/>
            </w:pPr>
            <w:r w:rsidRPr="007E130D">
              <w:t>É</w:t>
            </w:r>
            <w:r w:rsidR="00C31301" w:rsidRPr="007E130D">
              <w:t xml:space="preserve">dition </w:t>
            </w:r>
            <w:r w:rsidR="00E56BCB" w:rsidRPr="007E130D">
              <w:t>2016: 482</w:t>
            </w:r>
            <w:r w:rsidR="00E56BCB" w:rsidRPr="007E130D">
              <w:br/>
            </w:r>
            <w:r w:rsidRPr="007E130D">
              <w:t>É</w:t>
            </w:r>
            <w:r w:rsidR="00C31301" w:rsidRPr="007E130D">
              <w:t xml:space="preserve">dition </w:t>
            </w:r>
            <w:r w:rsidR="00E56BCB" w:rsidRPr="007E130D">
              <w:t>2020: 5 061</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5F13DDF4" w14:textId="77777777" w:rsidR="00E56BCB" w:rsidRPr="007E130D" w:rsidRDefault="00E56BCB" w:rsidP="00130B4A">
            <w:pPr>
              <w:pStyle w:val="Tabletext"/>
              <w:jc w:val="center"/>
            </w:pPr>
            <w:r w:rsidRPr="007E130D">
              <w:t>3 855</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14:paraId="1836BBB9" w14:textId="77777777" w:rsidR="00E56BCB" w:rsidRPr="007E130D" w:rsidRDefault="00E56BCB" w:rsidP="00130B4A">
            <w:pPr>
              <w:pStyle w:val="Tabletext"/>
              <w:jc w:val="center"/>
            </w:pPr>
            <w:r w:rsidRPr="007E130D">
              <w:t>1 638</w:t>
            </w: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tcPr>
          <w:p w14:paraId="06CC7922" w14:textId="77777777" w:rsidR="00E56BCB" w:rsidRPr="007E130D" w:rsidRDefault="00E56BCB" w:rsidP="00130B4A">
            <w:pPr>
              <w:pStyle w:val="Tabletext"/>
              <w:jc w:val="center"/>
            </w:pPr>
            <w:r w:rsidRPr="007E130D">
              <w:t>N</w:t>
            </w:r>
            <w:r w:rsidR="00C31301" w:rsidRPr="007E130D">
              <w:t>on disponible</w:t>
            </w:r>
          </w:p>
        </w:tc>
      </w:tr>
      <w:tr w:rsidR="00E56BCB" w:rsidRPr="007E130D" w14:paraId="7C5DAD35" w14:textId="77777777" w:rsidTr="005B2942">
        <w:trPr>
          <w:trHeight w:val="315"/>
        </w:trPr>
        <w:tc>
          <w:tcPr>
            <w:tcW w:w="192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8A24B4F" w14:textId="77777777" w:rsidR="00E56BCB" w:rsidRPr="007E130D" w:rsidRDefault="00C31301" w:rsidP="00130B4A">
            <w:pPr>
              <w:pStyle w:val="Tablehead"/>
              <w:keepNext w:val="0"/>
              <w:rPr>
                <w:bCs/>
              </w:rPr>
            </w:pPr>
            <w:r w:rsidRPr="007E130D">
              <w:rPr>
                <w:bCs/>
              </w:rPr>
              <w:t xml:space="preserve">Téléchargements gratuits </w:t>
            </w:r>
          </w:p>
        </w:tc>
        <w:tc>
          <w:tcPr>
            <w:tcW w:w="279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52FDDDA" w14:textId="49AF182E" w:rsidR="00E56BCB" w:rsidRPr="007E130D" w:rsidRDefault="005B2942" w:rsidP="00130B4A">
            <w:pPr>
              <w:pStyle w:val="Tabletext"/>
              <w:jc w:val="center"/>
            </w:pPr>
            <w:r w:rsidRPr="007E130D">
              <w:t>É</w:t>
            </w:r>
            <w:r w:rsidR="00C31301" w:rsidRPr="007E130D">
              <w:t xml:space="preserve">dition </w:t>
            </w:r>
            <w:r w:rsidR="00E56BCB" w:rsidRPr="007E130D">
              <w:t>2016: 36 416</w:t>
            </w:r>
            <w:r w:rsidR="00E56BCB" w:rsidRPr="007E130D">
              <w:br/>
            </w:r>
            <w:r w:rsidRPr="007E130D">
              <w:t>É</w:t>
            </w:r>
            <w:r w:rsidR="00C31301" w:rsidRPr="007E130D">
              <w:t xml:space="preserve">dition </w:t>
            </w:r>
            <w:r w:rsidR="00E56BCB" w:rsidRPr="007E130D">
              <w:t>2020: 4 236</w:t>
            </w:r>
          </w:p>
        </w:tc>
        <w:tc>
          <w:tcPr>
            <w:tcW w:w="1559" w:type="dxa"/>
            <w:tcBorders>
              <w:top w:val="single" w:sz="8" w:space="0" w:color="auto"/>
              <w:left w:val="single" w:sz="8" w:space="0" w:color="auto"/>
              <w:bottom w:val="single" w:sz="8" w:space="0" w:color="auto"/>
              <w:right w:val="single" w:sz="8" w:space="0" w:color="auto"/>
            </w:tcBorders>
            <w:shd w:val="clear" w:color="auto" w:fill="FFFFFF" w:themeFill="background1"/>
          </w:tcPr>
          <w:p w14:paraId="485EF153" w14:textId="77777777" w:rsidR="00E56BCB" w:rsidRPr="007E130D" w:rsidRDefault="00E56BCB" w:rsidP="00130B4A">
            <w:pPr>
              <w:pStyle w:val="Tabletext"/>
              <w:jc w:val="center"/>
            </w:pPr>
            <w:r w:rsidRPr="007E130D">
              <w:t>18 092</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tcPr>
          <w:p w14:paraId="7D5CE42D" w14:textId="77777777" w:rsidR="00E56BCB" w:rsidRPr="007E130D" w:rsidRDefault="00E56BCB" w:rsidP="00130B4A">
            <w:pPr>
              <w:pStyle w:val="Tabletext"/>
              <w:jc w:val="center"/>
            </w:pPr>
            <w:r w:rsidRPr="007E130D">
              <w:t>13 467</w:t>
            </w:r>
          </w:p>
        </w:tc>
        <w:tc>
          <w:tcPr>
            <w:tcW w:w="1652" w:type="dxa"/>
            <w:tcBorders>
              <w:top w:val="single" w:sz="8" w:space="0" w:color="auto"/>
              <w:left w:val="single" w:sz="8" w:space="0" w:color="auto"/>
              <w:bottom w:val="single" w:sz="8" w:space="0" w:color="auto"/>
              <w:right w:val="single" w:sz="8" w:space="0" w:color="auto"/>
            </w:tcBorders>
            <w:shd w:val="clear" w:color="auto" w:fill="FFFFFF" w:themeFill="background1"/>
          </w:tcPr>
          <w:p w14:paraId="6FAA892E" w14:textId="77777777" w:rsidR="00E56BCB" w:rsidRPr="007E130D" w:rsidRDefault="00E56BCB" w:rsidP="00130B4A">
            <w:pPr>
              <w:pStyle w:val="Tabletext"/>
              <w:jc w:val="center"/>
            </w:pPr>
            <w:r w:rsidRPr="007E130D">
              <w:t>15 310</w:t>
            </w:r>
          </w:p>
        </w:tc>
      </w:tr>
    </w:tbl>
    <w:p w14:paraId="30CAC211" w14:textId="77777777" w:rsidR="000802A0" w:rsidRPr="007E130D" w:rsidRDefault="000802A0" w:rsidP="00B20AC9">
      <w:pPr>
        <w:pStyle w:val="TableNo"/>
      </w:pPr>
      <w:r w:rsidRPr="007E130D">
        <w:lastRenderedPageBreak/>
        <w:t>Table 6.1.4.1-2</w:t>
      </w:r>
    </w:p>
    <w:p w14:paraId="6D83CABC" w14:textId="77777777" w:rsidR="000802A0" w:rsidRPr="007E130D" w:rsidRDefault="00C31301" w:rsidP="00B20AC9">
      <w:pPr>
        <w:pStyle w:val="Tabletitle"/>
        <w:rPr>
          <w:b w:val="0"/>
        </w:rPr>
      </w:pPr>
      <w:r w:rsidRPr="007E130D">
        <w:t>Règles de procédure</w:t>
      </w:r>
      <w:r w:rsidR="000802A0" w:rsidRPr="007E130D">
        <w:t xml:space="preserve"> (</w:t>
      </w:r>
      <w:r w:rsidRPr="007E130D">
        <w:t>téléchargements</w:t>
      </w:r>
      <w:r w:rsidR="000802A0" w:rsidRPr="007E130D">
        <w:t>)</w:t>
      </w:r>
    </w:p>
    <w:tbl>
      <w:tblPr>
        <w:tblW w:w="9630" w:type="dxa"/>
        <w:tblInd w:w="108" w:type="dxa"/>
        <w:tblLayout w:type="fixed"/>
        <w:tblLook w:val="04A0" w:firstRow="1" w:lastRow="0" w:firstColumn="1" w:lastColumn="0" w:noHBand="0" w:noVBand="1"/>
      </w:tblPr>
      <w:tblGrid>
        <w:gridCol w:w="2019"/>
        <w:gridCol w:w="1833"/>
        <w:gridCol w:w="1926"/>
        <w:gridCol w:w="1926"/>
        <w:gridCol w:w="1926"/>
      </w:tblGrid>
      <w:tr w:rsidR="000802A0" w:rsidRPr="007E130D" w14:paraId="1B53FBCA" w14:textId="77777777" w:rsidTr="005B2942">
        <w:trPr>
          <w:trHeight w:val="525"/>
        </w:trPr>
        <w:tc>
          <w:tcPr>
            <w:tcW w:w="2019" w:type="dxa"/>
            <w:tcBorders>
              <w:top w:val="nil"/>
              <w:left w:val="nil"/>
              <w:bottom w:val="single" w:sz="8" w:space="0" w:color="auto"/>
              <w:right w:val="single" w:sz="8" w:space="0" w:color="auto"/>
            </w:tcBorders>
            <w:tcMar>
              <w:left w:w="108" w:type="dxa"/>
              <w:right w:w="108" w:type="dxa"/>
            </w:tcMar>
            <w:vAlign w:val="center"/>
          </w:tcPr>
          <w:p w14:paraId="74056FDA" w14:textId="77777777" w:rsidR="000802A0" w:rsidRPr="007E130D" w:rsidRDefault="000802A0" w:rsidP="00B20AC9">
            <w:pPr>
              <w:pStyle w:val="Tablehead"/>
              <w:rPr>
                <w:bCs/>
              </w:rPr>
            </w:pP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A0EB38" w14:textId="77777777" w:rsidR="000802A0" w:rsidRPr="007E130D" w:rsidRDefault="000802A0" w:rsidP="00B20AC9">
            <w:pPr>
              <w:pStyle w:val="Tablehead"/>
              <w:rPr>
                <w:b w:val="0"/>
              </w:rPr>
            </w:pPr>
            <w:r w:rsidRPr="007E130D">
              <w:rPr>
                <w:bCs/>
              </w:rPr>
              <w:t>2020</w:t>
            </w:r>
          </w:p>
        </w:tc>
        <w:tc>
          <w:tcPr>
            <w:tcW w:w="1926" w:type="dxa"/>
            <w:tcBorders>
              <w:top w:val="single" w:sz="8" w:space="0" w:color="auto"/>
              <w:left w:val="single" w:sz="8" w:space="0" w:color="auto"/>
              <w:bottom w:val="single" w:sz="8" w:space="0" w:color="auto"/>
              <w:right w:val="single" w:sz="8" w:space="0" w:color="auto"/>
            </w:tcBorders>
          </w:tcPr>
          <w:p w14:paraId="2B6C81E9" w14:textId="77777777" w:rsidR="000802A0" w:rsidRPr="007E130D" w:rsidRDefault="000802A0" w:rsidP="00B20AC9">
            <w:pPr>
              <w:pStyle w:val="Tablehead"/>
              <w:rPr>
                <w:b w:val="0"/>
              </w:rPr>
            </w:pPr>
            <w:r w:rsidRPr="007E130D">
              <w:rPr>
                <w:bCs/>
              </w:rPr>
              <w:t>2021</w:t>
            </w:r>
          </w:p>
        </w:tc>
        <w:tc>
          <w:tcPr>
            <w:tcW w:w="1926" w:type="dxa"/>
            <w:tcBorders>
              <w:top w:val="single" w:sz="8" w:space="0" w:color="auto"/>
              <w:left w:val="single" w:sz="8" w:space="0" w:color="auto"/>
              <w:bottom w:val="single" w:sz="8" w:space="0" w:color="auto"/>
              <w:right w:val="single" w:sz="8" w:space="0" w:color="auto"/>
            </w:tcBorders>
          </w:tcPr>
          <w:p w14:paraId="7CC094D1" w14:textId="77777777" w:rsidR="000802A0" w:rsidRPr="007E130D" w:rsidRDefault="000802A0" w:rsidP="00B20AC9">
            <w:pPr>
              <w:pStyle w:val="Tablehead"/>
              <w:rPr>
                <w:b w:val="0"/>
              </w:rPr>
            </w:pPr>
            <w:r w:rsidRPr="007E130D">
              <w:rPr>
                <w:bCs/>
              </w:rPr>
              <w:t>2022</w:t>
            </w:r>
          </w:p>
        </w:tc>
        <w:tc>
          <w:tcPr>
            <w:tcW w:w="1926" w:type="dxa"/>
            <w:tcBorders>
              <w:top w:val="single" w:sz="8" w:space="0" w:color="auto"/>
              <w:left w:val="single" w:sz="8" w:space="0" w:color="auto"/>
              <w:bottom w:val="single" w:sz="8" w:space="0" w:color="auto"/>
              <w:right w:val="single" w:sz="8" w:space="0" w:color="auto"/>
            </w:tcBorders>
          </w:tcPr>
          <w:p w14:paraId="031A1994" w14:textId="77777777" w:rsidR="000802A0" w:rsidRPr="007E130D" w:rsidRDefault="000802A0" w:rsidP="00B20AC9">
            <w:pPr>
              <w:pStyle w:val="Tablehead"/>
              <w:rPr>
                <w:b w:val="0"/>
              </w:rPr>
            </w:pPr>
            <w:r w:rsidRPr="007E130D">
              <w:rPr>
                <w:bCs/>
              </w:rPr>
              <w:t>2023*</w:t>
            </w:r>
          </w:p>
        </w:tc>
      </w:tr>
      <w:tr w:rsidR="000802A0" w:rsidRPr="007E130D" w14:paraId="72C8E66A" w14:textId="77777777" w:rsidTr="005B2942">
        <w:trPr>
          <w:trHeight w:val="315"/>
        </w:trPr>
        <w:tc>
          <w:tcPr>
            <w:tcW w:w="2019" w:type="dxa"/>
            <w:tcBorders>
              <w:top w:val="single" w:sz="8" w:space="0" w:color="auto"/>
              <w:left w:val="single" w:sz="8" w:space="0" w:color="auto"/>
              <w:bottom w:val="single" w:sz="8" w:space="0" w:color="auto"/>
              <w:right w:val="single" w:sz="8" w:space="0" w:color="auto"/>
            </w:tcBorders>
            <w:tcMar>
              <w:left w:w="108" w:type="dxa"/>
              <w:right w:w="108" w:type="dxa"/>
            </w:tcMar>
          </w:tcPr>
          <w:p w14:paraId="7FEF30A0" w14:textId="08C418D7" w:rsidR="000802A0" w:rsidRPr="007E130D" w:rsidRDefault="00C31301" w:rsidP="00B20AC9">
            <w:pPr>
              <w:spacing w:after="120"/>
              <w:jc w:val="center"/>
              <w:rPr>
                <w:b/>
                <w:bCs/>
                <w:color w:val="000000" w:themeColor="text1"/>
                <w:sz w:val="19"/>
                <w:szCs w:val="19"/>
              </w:rPr>
            </w:pPr>
            <w:r w:rsidRPr="007E130D">
              <w:rPr>
                <w:rFonts w:ascii="Times New Roman Bold" w:hAnsi="Times New Roman Bold" w:cs="Times New Roman Bold"/>
                <w:b/>
                <w:bCs/>
                <w:sz w:val="20"/>
              </w:rPr>
              <w:t>Règles de</w:t>
            </w:r>
            <w:r w:rsidR="000802A0" w:rsidRPr="007E130D">
              <w:rPr>
                <w:rFonts w:ascii="Times New Roman Bold" w:hAnsi="Times New Roman Bold" w:cs="Times New Roman Bold"/>
                <w:b/>
                <w:bCs/>
                <w:sz w:val="20"/>
              </w:rPr>
              <w:t xml:space="preserve"> </w:t>
            </w:r>
            <w:r w:rsidRPr="007E130D">
              <w:rPr>
                <w:rFonts w:ascii="Times New Roman Bold" w:hAnsi="Times New Roman Bold" w:cs="Times New Roman Bold"/>
                <w:b/>
                <w:bCs/>
                <w:sz w:val="20"/>
              </w:rPr>
              <w:t>procédure</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16295C78" w14:textId="77777777" w:rsidR="000802A0" w:rsidRPr="007E130D" w:rsidRDefault="000802A0" w:rsidP="00B20AC9">
            <w:pPr>
              <w:spacing w:after="120"/>
              <w:jc w:val="center"/>
              <w:rPr>
                <w:color w:val="000000" w:themeColor="text1"/>
                <w:sz w:val="20"/>
              </w:rPr>
            </w:pPr>
            <w:r w:rsidRPr="007E130D">
              <w:rPr>
                <w:color w:val="000000" w:themeColor="text1"/>
                <w:sz w:val="20"/>
              </w:rPr>
              <w:t>10 882</w:t>
            </w:r>
          </w:p>
        </w:tc>
        <w:tc>
          <w:tcPr>
            <w:tcW w:w="1926" w:type="dxa"/>
            <w:tcBorders>
              <w:top w:val="single" w:sz="8" w:space="0" w:color="auto"/>
              <w:left w:val="single" w:sz="8" w:space="0" w:color="auto"/>
              <w:bottom w:val="single" w:sz="8" w:space="0" w:color="auto"/>
              <w:right w:val="single" w:sz="8" w:space="0" w:color="auto"/>
            </w:tcBorders>
          </w:tcPr>
          <w:p w14:paraId="4BCD2243" w14:textId="77777777" w:rsidR="000802A0" w:rsidRPr="007E130D" w:rsidRDefault="000802A0" w:rsidP="00B20AC9">
            <w:pPr>
              <w:spacing w:after="120"/>
              <w:jc w:val="center"/>
              <w:rPr>
                <w:color w:val="000000" w:themeColor="text1"/>
                <w:sz w:val="20"/>
              </w:rPr>
            </w:pPr>
            <w:r w:rsidRPr="007E130D">
              <w:rPr>
                <w:color w:val="000000" w:themeColor="text1"/>
                <w:sz w:val="20"/>
              </w:rPr>
              <w:t>10 539</w:t>
            </w:r>
          </w:p>
        </w:tc>
        <w:tc>
          <w:tcPr>
            <w:tcW w:w="1926" w:type="dxa"/>
            <w:tcBorders>
              <w:top w:val="single" w:sz="8" w:space="0" w:color="auto"/>
              <w:left w:val="single" w:sz="8" w:space="0" w:color="auto"/>
              <w:bottom w:val="single" w:sz="8" w:space="0" w:color="auto"/>
              <w:right w:val="single" w:sz="8" w:space="0" w:color="auto"/>
            </w:tcBorders>
          </w:tcPr>
          <w:p w14:paraId="17A846CC" w14:textId="77777777" w:rsidR="000802A0" w:rsidRPr="007E130D" w:rsidRDefault="000802A0" w:rsidP="00B20AC9">
            <w:pPr>
              <w:spacing w:after="120"/>
              <w:jc w:val="center"/>
              <w:rPr>
                <w:color w:val="000000" w:themeColor="text1"/>
                <w:sz w:val="20"/>
              </w:rPr>
            </w:pPr>
            <w:r w:rsidRPr="007E130D">
              <w:rPr>
                <w:color w:val="000000" w:themeColor="text1"/>
                <w:sz w:val="20"/>
              </w:rPr>
              <w:t>11 887</w:t>
            </w:r>
          </w:p>
        </w:tc>
        <w:tc>
          <w:tcPr>
            <w:tcW w:w="1926" w:type="dxa"/>
            <w:tcBorders>
              <w:top w:val="single" w:sz="8" w:space="0" w:color="auto"/>
              <w:left w:val="single" w:sz="8" w:space="0" w:color="auto"/>
              <w:bottom w:val="single" w:sz="8" w:space="0" w:color="auto"/>
              <w:right w:val="single" w:sz="8" w:space="0" w:color="auto"/>
            </w:tcBorders>
          </w:tcPr>
          <w:p w14:paraId="2DB0CD83" w14:textId="77777777" w:rsidR="000802A0" w:rsidRPr="007E130D" w:rsidRDefault="000802A0" w:rsidP="00B20AC9">
            <w:pPr>
              <w:spacing w:after="120"/>
              <w:jc w:val="center"/>
              <w:rPr>
                <w:sz w:val="20"/>
              </w:rPr>
            </w:pPr>
            <w:r w:rsidRPr="007E130D">
              <w:rPr>
                <w:sz w:val="20"/>
              </w:rPr>
              <w:t>5 243</w:t>
            </w:r>
          </w:p>
        </w:tc>
      </w:tr>
      <w:tr w:rsidR="000802A0" w:rsidRPr="007E130D" w14:paraId="48B453C3" w14:textId="77777777" w:rsidTr="000802A0">
        <w:trPr>
          <w:trHeight w:val="315"/>
        </w:trPr>
        <w:tc>
          <w:tcPr>
            <w:tcW w:w="9630" w:type="dxa"/>
            <w:gridSpan w:val="5"/>
            <w:tcBorders>
              <w:top w:val="single" w:sz="8" w:space="0" w:color="auto"/>
            </w:tcBorders>
            <w:tcMar>
              <w:left w:w="108" w:type="dxa"/>
              <w:right w:w="108" w:type="dxa"/>
            </w:tcMar>
          </w:tcPr>
          <w:p w14:paraId="203C69D2" w14:textId="05C3A56A" w:rsidR="000802A0" w:rsidRPr="007E130D" w:rsidRDefault="000802A0" w:rsidP="00B20AC9">
            <w:pPr>
              <w:pStyle w:val="Tablelegend"/>
              <w:tabs>
                <w:tab w:val="clear" w:pos="567"/>
                <w:tab w:val="left" w:pos="317"/>
              </w:tabs>
              <w:rPr>
                <w:sz w:val="19"/>
                <w:szCs w:val="19"/>
              </w:rPr>
            </w:pPr>
            <w:r w:rsidRPr="007E130D">
              <w:t>*</w:t>
            </w:r>
            <w:r w:rsidRPr="007E130D">
              <w:tab/>
            </w:r>
            <w:r w:rsidR="00C31301" w:rsidRPr="007E130D">
              <w:t>Jusqu</w:t>
            </w:r>
            <w:r w:rsidR="005B2942" w:rsidRPr="007E130D">
              <w:t>'</w:t>
            </w:r>
            <w:r w:rsidR="00C31301" w:rsidRPr="007E130D">
              <w:t>en avril</w:t>
            </w:r>
            <w:r w:rsidRPr="007E130D">
              <w:t xml:space="preserve"> 2023</w:t>
            </w:r>
            <w:r w:rsidR="009232E4" w:rsidRPr="007E130D">
              <w:t>.</w:t>
            </w:r>
          </w:p>
        </w:tc>
      </w:tr>
    </w:tbl>
    <w:p w14:paraId="48FE3BB4" w14:textId="77777777" w:rsidR="00A82EF2" w:rsidRPr="007E130D" w:rsidRDefault="00A82EF2" w:rsidP="00B20AC9">
      <w:pPr>
        <w:pStyle w:val="Heading4"/>
      </w:pPr>
      <w:r w:rsidRPr="007E130D">
        <w:t>6.1.4.2</w:t>
      </w:r>
      <w:r w:rsidRPr="007E130D">
        <w:tab/>
        <w:t>Recommandations UIT-R</w:t>
      </w:r>
    </w:p>
    <w:p w14:paraId="5C453664" w14:textId="3E6B8104" w:rsidR="00A82EF2" w:rsidRPr="007E130D" w:rsidRDefault="00A82EF2" w:rsidP="00B20AC9">
      <w:pPr>
        <w:rPr>
          <w:rFonts w:asciiTheme="majorBidi" w:hAnsiTheme="majorBidi" w:cstheme="majorBidi"/>
          <w:szCs w:val="24"/>
          <w:lang w:eastAsia="zh-CN"/>
        </w:rPr>
      </w:pPr>
      <w:r w:rsidRPr="007E130D">
        <w:rPr>
          <w:color w:val="000000"/>
        </w:rPr>
        <w:t xml:space="preserve">Grâce à la politique d'accès en ligne gratuit, les Recommandations UIT-R sont diffusées dans le monde entier et sont devenues une référence universelle. Au cours d'une période de </w:t>
      </w:r>
      <w:r w:rsidR="000802A0" w:rsidRPr="007E130D">
        <w:rPr>
          <w:color w:val="000000"/>
        </w:rPr>
        <w:t>52</w:t>
      </w:r>
      <w:r w:rsidRPr="007E130D">
        <w:rPr>
          <w:color w:val="000000"/>
        </w:rPr>
        <w:t xml:space="preserve"> mois (janvier </w:t>
      </w:r>
      <w:r w:rsidR="000802A0" w:rsidRPr="007E130D">
        <w:rPr>
          <w:color w:val="000000"/>
        </w:rPr>
        <w:t>2020</w:t>
      </w:r>
      <w:r w:rsidRPr="007E130D">
        <w:rPr>
          <w:color w:val="000000"/>
        </w:rPr>
        <w:t xml:space="preserve"> à</w:t>
      </w:r>
      <w:r w:rsidR="000802A0" w:rsidRPr="007E130D">
        <w:rPr>
          <w:color w:val="000000"/>
        </w:rPr>
        <w:t xml:space="preserve"> avril 2023</w:t>
      </w:r>
      <w:r w:rsidRPr="007E130D">
        <w:rPr>
          <w:color w:val="000000"/>
        </w:rPr>
        <w:t xml:space="preserve">), </w:t>
      </w:r>
      <w:r w:rsidR="00B004C8" w:rsidRPr="007E130D">
        <w:t>presque</w:t>
      </w:r>
      <w:r w:rsidRPr="007E130D">
        <w:t xml:space="preserve"> de 6 millions de téléchargements de Recommandations UIT</w:t>
      </w:r>
      <w:r w:rsidRPr="007E130D">
        <w:noBreakHyphen/>
        <w:t xml:space="preserve">R depuis le site web de l'UIT ont été recensés. </w:t>
      </w:r>
      <w:r w:rsidRPr="007E130D">
        <w:rPr>
          <w:color w:val="000000"/>
        </w:rPr>
        <w:t xml:space="preserve">Le </w:t>
      </w:r>
      <w:r w:rsidRPr="007E130D">
        <w:rPr>
          <w:rFonts w:asciiTheme="majorBidi" w:hAnsiTheme="majorBidi" w:cstheme="majorBidi"/>
          <w:szCs w:val="24"/>
          <w:lang w:eastAsia="zh-CN"/>
        </w:rPr>
        <w:t xml:space="preserve">Tableau 6.1.4.2-1 </w:t>
      </w:r>
      <w:r w:rsidRPr="007E130D">
        <w:rPr>
          <w:color w:val="000000"/>
        </w:rPr>
        <w:t>illustre la répartition de ces téléchargements par année et par série.</w:t>
      </w:r>
    </w:p>
    <w:p w14:paraId="66447789" w14:textId="77777777" w:rsidR="00A82EF2" w:rsidRPr="007E130D" w:rsidRDefault="00A82EF2" w:rsidP="005B2942">
      <w:pPr>
        <w:pStyle w:val="TableNo"/>
      </w:pPr>
      <w:r w:rsidRPr="007E130D">
        <w:t>TABLEAU 6.1.4.2-1</w:t>
      </w:r>
    </w:p>
    <w:p w14:paraId="6BAAC179" w14:textId="77777777" w:rsidR="00A82EF2" w:rsidRPr="007E130D" w:rsidRDefault="00A82EF2" w:rsidP="005B2942">
      <w:pPr>
        <w:pStyle w:val="Tabletitle"/>
      </w:pPr>
      <w:r w:rsidRPr="007E130D">
        <w:t>Répartition des Recommandations UIT-R</w:t>
      </w:r>
    </w:p>
    <w:tbl>
      <w:tblPr>
        <w:tblW w:w="9630" w:type="dxa"/>
        <w:tblLayout w:type="fixed"/>
        <w:tblLook w:val="06A0" w:firstRow="1" w:lastRow="0" w:firstColumn="1" w:lastColumn="0" w:noHBand="1" w:noVBand="1"/>
      </w:tblPr>
      <w:tblGrid>
        <w:gridCol w:w="1605"/>
        <w:gridCol w:w="1605"/>
        <w:gridCol w:w="1605"/>
        <w:gridCol w:w="1605"/>
        <w:gridCol w:w="1605"/>
        <w:gridCol w:w="1605"/>
      </w:tblGrid>
      <w:tr w:rsidR="000802A0" w:rsidRPr="007E130D" w14:paraId="60767012"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CD1EB8" w14:textId="77777777" w:rsidR="000802A0" w:rsidRPr="007E130D" w:rsidRDefault="000802A0" w:rsidP="00B20AC9">
            <w:pPr>
              <w:pStyle w:val="Tablehead"/>
              <w:rPr>
                <w:bCs/>
              </w:rPr>
            </w:pPr>
            <w:r w:rsidRPr="007E130D">
              <w:rPr>
                <w:bCs/>
              </w:rPr>
              <w:t>Série</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2031B7" w14:textId="77777777" w:rsidR="000802A0" w:rsidRPr="007E130D" w:rsidRDefault="000802A0" w:rsidP="00B20AC9">
            <w:pPr>
              <w:pStyle w:val="Tablehead"/>
              <w:rPr>
                <w:bCs/>
              </w:rPr>
            </w:pPr>
            <w:r w:rsidRPr="007E130D">
              <w:rPr>
                <w:bCs/>
              </w:rPr>
              <w:t>2020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200E25" w14:textId="77777777" w:rsidR="000802A0" w:rsidRPr="007E130D" w:rsidRDefault="000802A0" w:rsidP="00B20AC9">
            <w:pPr>
              <w:pStyle w:val="Tablehead"/>
              <w:rPr>
                <w:bCs/>
              </w:rPr>
            </w:pPr>
            <w:r w:rsidRPr="007E130D">
              <w:rPr>
                <w:bCs/>
              </w:rPr>
              <w:t>2021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CBAB62" w14:textId="77777777" w:rsidR="000802A0" w:rsidRPr="007E130D" w:rsidRDefault="000802A0" w:rsidP="00B20AC9">
            <w:pPr>
              <w:pStyle w:val="Tablehead"/>
              <w:rPr>
                <w:bCs/>
              </w:rPr>
            </w:pPr>
            <w:r w:rsidRPr="007E130D">
              <w:rPr>
                <w:bCs/>
              </w:rPr>
              <w:t>2022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7AB7E1" w14:textId="77777777" w:rsidR="000802A0" w:rsidRPr="007E130D" w:rsidRDefault="000802A0" w:rsidP="00B20AC9">
            <w:pPr>
              <w:pStyle w:val="Tablehead"/>
              <w:rPr>
                <w:bCs/>
              </w:rPr>
            </w:pPr>
            <w:r w:rsidRPr="007E130D">
              <w:rPr>
                <w:bCs/>
              </w:rPr>
              <w:t>2023*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4ECEE16" w14:textId="77777777" w:rsidR="000802A0" w:rsidRPr="007E130D" w:rsidRDefault="000802A0" w:rsidP="00B20AC9">
            <w:pPr>
              <w:pStyle w:val="Tablehead"/>
              <w:rPr>
                <w:b w:val="0"/>
              </w:rPr>
            </w:pPr>
            <w:r w:rsidRPr="007E130D">
              <w:rPr>
                <w:bCs/>
              </w:rPr>
              <w:t>Total</w:t>
            </w:r>
          </w:p>
        </w:tc>
      </w:tr>
      <w:tr w:rsidR="000802A0" w:rsidRPr="007E130D" w14:paraId="5E4EA0CB"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B65794" w14:textId="77777777" w:rsidR="000802A0" w:rsidRPr="007E130D" w:rsidRDefault="000802A0" w:rsidP="00B20AC9">
            <w:pPr>
              <w:pStyle w:val="Tabletext"/>
              <w:jc w:val="center"/>
              <w:rPr>
                <w:b/>
                <w:bCs/>
              </w:rPr>
            </w:pPr>
            <w:r w:rsidRPr="007E130D">
              <w:rPr>
                <w:b/>
                <w:bCs/>
              </w:rPr>
              <w:t>P</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4A97F8" w14:textId="77777777" w:rsidR="000802A0" w:rsidRPr="007E130D" w:rsidRDefault="000802A0" w:rsidP="00B20AC9">
            <w:pPr>
              <w:pStyle w:val="Tabletext"/>
              <w:jc w:val="center"/>
            </w:pPr>
            <w:r w:rsidRPr="007E130D">
              <w:t>385 614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B4B858" w14:textId="77777777" w:rsidR="000802A0" w:rsidRPr="007E130D" w:rsidRDefault="000802A0" w:rsidP="00B20AC9">
            <w:pPr>
              <w:pStyle w:val="Tabletext"/>
              <w:jc w:val="center"/>
            </w:pPr>
            <w:r w:rsidRPr="007E130D">
              <w:t>410 918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10EB19" w14:textId="77777777" w:rsidR="000802A0" w:rsidRPr="007E130D" w:rsidRDefault="000802A0" w:rsidP="00B20AC9">
            <w:pPr>
              <w:pStyle w:val="Tabletext"/>
              <w:jc w:val="center"/>
            </w:pPr>
            <w:r w:rsidRPr="007E130D">
              <w:t>347 953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181239" w14:textId="77777777" w:rsidR="000802A0" w:rsidRPr="007E130D" w:rsidRDefault="000802A0" w:rsidP="00B20AC9">
            <w:pPr>
              <w:pStyle w:val="Tabletext"/>
              <w:jc w:val="center"/>
            </w:pPr>
            <w:r w:rsidRPr="007E130D">
              <w:t>149 297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7FDD03" w14:textId="77777777" w:rsidR="000802A0" w:rsidRPr="007E130D" w:rsidRDefault="000802A0" w:rsidP="00B20AC9">
            <w:pPr>
              <w:pStyle w:val="Tabletext"/>
              <w:jc w:val="center"/>
              <w:rPr>
                <w:b/>
                <w:bCs/>
              </w:rPr>
            </w:pPr>
            <w:r w:rsidRPr="007E130D">
              <w:rPr>
                <w:b/>
                <w:bCs/>
              </w:rPr>
              <w:t>1 293 782</w:t>
            </w:r>
          </w:p>
        </w:tc>
      </w:tr>
      <w:tr w:rsidR="000802A0" w:rsidRPr="007E130D" w14:paraId="6F87F4C8"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7B6A62" w14:textId="77777777" w:rsidR="000802A0" w:rsidRPr="007E130D" w:rsidRDefault="000802A0" w:rsidP="00B20AC9">
            <w:pPr>
              <w:pStyle w:val="Tabletext"/>
              <w:jc w:val="center"/>
              <w:rPr>
                <w:b/>
                <w:bCs/>
              </w:rPr>
            </w:pPr>
            <w:r w:rsidRPr="007E130D">
              <w:rPr>
                <w:b/>
                <w:bCs/>
              </w:rPr>
              <w:t>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ACF4E3" w14:textId="77777777" w:rsidR="000802A0" w:rsidRPr="007E130D" w:rsidRDefault="000802A0" w:rsidP="00B20AC9">
            <w:pPr>
              <w:pStyle w:val="Tabletext"/>
              <w:jc w:val="center"/>
            </w:pPr>
            <w:r w:rsidRPr="007E130D">
              <w:t>327 720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3B86A7" w14:textId="77777777" w:rsidR="000802A0" w:rsidRPr="007E130D" w:rsidRDefault="000802A0" w:rsidP="00B20AC9">
            <w:pPr>
              <w:pStyle w:val="Tabletext"/>
              <w:jc w:val="center"/>
            </w:pPr>
            <w:r w:rsidRPr="007E130D">
              <w:t>365 675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A97483" w14:textId="77777777" w:rsidR="000802A0" w:rsidRPr="007E130D" w:rsidRDefault="000802A0" w:rsidP="00B20AC9">
            <w:pPr>
              <w:pStyle w:val="Tabletext"/>
              <w:jc w:val="center"/>
            </w:pPr>
            <w:r w:rsidRPr="007E130D">
              <w:t>314 920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E76FC6" w14:textId="77777777" w:rsidR="000802A0" w:rsidRPr="007E130D" w:rsidRDefault="000802A0" w:rsidP="00B20AC9">
            <w:pPr>
              <w:pStyle w:val="Tabletext"/>
              <w:jc w:val="center"/>
            </w:pPr>
            <w:r w:rsidRPr="007E130D">
              <w:t>133 495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B7E2E2" w14:textId="77777777" w:rsidR="000802A0" w:rsidRPr="007E130D" w:rsidRDefault="000802A0" w:rsidP="00B20AC9">
            <w:pPr>
              <w:pStyle w:val="Tabletext"/>
              <w:jc w:val="center"/>
              <w:rPr>
                <w:b/>
                <w:bCs/>
              </w:rPr>
            </w:pPr>
            <w:r w:rsidRPr="007E130D">
              <w:rPr>
                <w:b/>
                <w:bCs/>
              </w:rPr>
              <w:t>1 141 810</w:t>
            </w:r>
          </w:p>
        </w:tc>
      </w:tr>
      <w:tr w:rsidR="000802A0" w:rsidRPr="007E130D" w14:paraId="09838B38"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C68016" w14:textId="77777777" w:rsidR="000802A0" w:rsidRPr="007E130D" w:rsidRDefault="000802A0" w:rsidP="00B20AC9">
            <w:pPr>
              <w:pStyle w:val="Tabletext"/>
              <w:jc w:val="center"/>
              <w:rPr>
                <w:b/>
                <w:bCs/>
              </w:rPr>
            </w:pPr>
            <w:r w:rsidRPr="007E130D">
              <w:rPr>
                <w:b/>
                <w:bCs/>
              </w:rPr>
              <w:t>BT</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2CA754" w14:textId="77777777" w:rsidR="000802A0" w:rsidRPr="007E130D" w:rsidRDefault="000802A0" w:rsidP="00B20AC9">
            <w:pPr>
              <w:pStyle w:val="Tabletext"/>
              <w:jc w:val="center"/>
            </w:pPr>
            <w:r w:rsidRPr="007E130D">
              <w:t>226 737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1C2B76" w14:textId="77777777" w:rsidR="000802A0" w:rsidRPr="007E130D" w:rsidRDefault="000802A0" w:rsidP="00B20AC9">
            <w:pPr>
              <w:pStyle w:val="Tabletext"/>
              <w:jc w:val="center"/>
            </w:pPr>
            <w:r w:rsidRPr="007E130D">
              <w:t>231 981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BC47EE" w14:textId="77777777" w:rsidR="000802A0" w:rsidRPr="007E130D" w:rsidRDefault="000802A0" w:rsidP="00B20AC9">
            <w:pPr>
              <w:pStyle w:val="Tabletext"/>
              <w:jc w:val="center"/>
            </w:pPr>
            <w:r w:rsidRPr="007E130D">
              <w:t>218 403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2024E4" w14:textId="77777777" w:rsidR="000802A0" w:rsidRPr="007E130D" w:rsidRDefault="000802A0" w:rsidP="00B20AC9">
            <w:pPr>
              <w:pStyle w:val="Tabletext"/>
              <w:jc w:val="center"/>
            </w:pPr>
            <w:r w:rsidRPr="007E130D">
              <w:t>96 108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3417D8" w14:textId="77777777" w:rsidR="000802A0" w:rsidRPr="007E130D" w:rsidRDefault="000802A0" w:rsidP="00B20AC9">
            <w:pPr>
              <w:pStyle w:val="Tabletext"/>
              <w:jc w:val="center"/>
              <w:rPr>
                <w:b/>
                <w:bCs/>
              </w:rPr>
            </w:pPr>
            <w:r w:rsidRPr="007E130D">
              <w:rPr>
                <w:b/>
                <w:bCs/>
              </w:rPr>
              <w:t>773 229</w:t>
            </w:r>
          </w:p>
        </w:tc>
      </w:tr>
      <w:tr w:rsidR="000802A0" w:rsidRPr="007E130D" w14:paraId="6013C731"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809D57" w14:textId="77777777" w:rsidR="000802A0" w:rsidRPr="007E130D" w:rsidRDefault="000802A0" w:rsidP="00B20AC9">
            <w:pPr>
              <w:pStyle w:val="Tabletext"/>
              <w:jc w:val="center"/>
              <w:rPr>
                <w:b/>
                <w:bCs/>
              </w:rPr>
            </w:pPr>
            <w:r w:rsidRPr="007E130D">
              <w:rPr>
                <w:b/>
                <w:bCs/>
              </w:rPr>
              <w:t>SM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20DCB5" w14:textId="77777777" w:rsidR="000802A0" w:rsidRPr="007E130D" w:rsidRDefault="000802A0" w:rsidP="00B20AC9">
            <w:pPr>
              <w:pStyle w:val="Tabletext"/>
              <w:jc w:val="center"/>
            </w:pPr>
            <w:r w:rsidRPr="007E130D">
              <w:t>171 165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BFFE3F" w14:textId="77777777" w:rsidR="000802A0" w:rsidRPr="007E130D" w:rsidRDefault="000802A0" w:rsidP="00B20AC9">
            <w:pPr>
              <w:pStyle w:val="Tabletext"/>
              <w:jc w:val="center"/>
            </w:pPr>
            <w:r w:rsidRPr="007E130D">
              <w:t>196 660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897F59" w14:textId="77777777" w:rsidR="000802A0" w:rsidRPr="007E130D" w:rsidRDefault="000802A0" w:rsidP="00B20AC9">
            <w:pPr>
              <w:pStyle w:val="Tabletext"/>
              <w:jc w:val="center"/>
            </w:pPr>
            <w:r w:rsidRPr="007E130D">
              <w:t>169 755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E71F3E" w14:textId="77777777" w:rsidR="000802A0" w:rsidRPr="007E130D" w:rsidRDefault="000802A0" w:rsidP="00B20AC9">
            <w:pPr>
              <w:pStyle w:val="Tabletext"/>
              <w:jc w:val="center"/>
            </w:pPr>
            <w:r w:rsidRPr="007E130D">
              <w:t>72 166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A68A49" w14:textId="77777777" w:rsidR="000802A0" w:rsidRPr="007E130D" w:rsidRDefault="000802A0" w:rsidP="00B20AC9">
            <w:pPr>
              <w:pStyle w:val="Tabletext"/>
              <w:jc w:val="center"/>
              <w:rPr>
                <w:b/>
                <w:bCs/>
              </w:rPr>
            </w:pPr>
            <w:r w:rsidRPr="007E130D">
              <w:rPr>
                <w:b/>
                <w:bCs/>
              </w:rPr>
              <w:t>609 746</w:t>
            </w:r>
          </w:p>
        </w:tc>
      </w:tr>
      <w:tr w:rsidR="000802A0" w:rsidRPr="007E130D" w14:paraId="6A838AF6"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CD973D" w14:textId="77777777" w:rsidR="000802A0" w:rsidRPr="007E130D" w:rsidRDefault="000802A0" w:rsidP="00B20AC9">
            <w:pPr>
              <w:pStyle w:val="Tabletext"/>
              <w:jc w:val="center"/>
              <w:rPr>
                <w:b/>
                <w:bCs/>
              </w:rPr>
            </w:pPr>
            <w:r w:rsidRPr="007E130D">
              <w:rPr>
                <w:b/>
                <w:bCs/>
              </w:rPr>
              <w: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2FE356" w14:textId="012F9824" w:rsidR="000802A0" w:rsidRPr="007E130D" w:rsidRDefault="000802A0" w:rsidP="00B20AC9">
            <w:pPr>
              <w:pStyle w:val="Tabletext"/>
              <w:jc w:val="center"/>
            </w:pPr>
            <w:r w:rsidRPr="007E130D">
              <w:t>154</w:t>
            </w:r>
            <w:r w:rsidR="003749BC" w:rsidRPr="007E130D">
              <w:t> </w:t>
            </w:r>
            <w:r w:rsidRPr="007E130D">
              <w:t>672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3154E7" w14:textId="77777777" w:rsidR="000802A0" w:rsidRPr="007E130D" w:rsidRDefault="000802A0" w:rsidP="00B20AC9">
            <w:pPr>
              <w:pStyle w:val="Tabletext"/>
              <w:jc w:val="center"/>
            </w:pPr>
            <w:r w:rsidRPr="007E130D">
              <w:t>147 667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92E2BC" w14:textId="77777777" w:rsidR="000802A0" w:rsidRPr="007E130D" w:rsidRDefault="000802A0" w:rsidP="00B20AC9">
            <w:pPr>
              <w:pStyle w:val="Tabletext"/>
              <w:jc w:val="center"/>
            </w:pPr>
            <w:r w:rsidRPr="007E130D">
              <w:t>116 539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10FE59" w14:textId="77777777" w:rsidR="000802A0" w:rsidRPr="007E130D" w:rsidRDefault="000802A0" w:rsidP="00B20AC9">
            <w:pPr>
              <w:pStyle w:val="Tabletext"/>
              <w:jc w:val="center"/>
            </w:pPr>
            <w:r w:rsidRPr="007E130D">
              <w:t>52 449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FA61B7" w14:textId="19EC464B" w:rsidR="000802A0" w:rsidRPr="007E130D" w:rsidRDefault="000802A0" w:rsidP="00B20AC9">
            <w:pPr>
              <w:pStyle w:val="Tabletext"/>
              <w:jc w:val="center"/>
              <w:rPr>
                <w:b/>
                <w:bCs/>
              </w:rPr>
            </w:pPr>
            <w:r w:rsidRPr="007E130D">
              <w:rPr>
                <w:b/>
                <w:bCs/>
              </w:rPr>
              <w:t>471</w:t>
            </w:r>
            <w:r w:rsidR="003749BC" w:rsidRPr="007E130D">
              <w:rPr>
                <w:b/>
                <w:bCs/>
              </w:rPr>
              <w:t> </w:t>
            </w:r>
            <w:r w:rsidRPr="007E130D">
              <w:rPr>
                <w:b/>
                <w:bCs/>
              </w:rPr>
              <w:t>327</w:t>
            </w:r>
          </w:p>
        </w:tc>
      </w:tr>
      <w:tr w:rsidR="000802A0" w:rsidRPr="007E130D" w14:paraId="5F7F275D"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76E545" w14:textId="77777777" w:rsidR="000802A0" w:rsidRPr="007E130D" w:rsidRDefault="000802A0" w:rsidP="00B20AC9">
            <w:pPr>
              <w:pStyle w:val="Tabletext"/>
              <w:jc w:val="center"/>
              <w:rPr>
                <w:b/>
                <w:bCs/>
              </w:rPr>
            </w:pPr>
            <w:r w:rsidRPr="007E130D">
              <w:rPr>
                <w:b/>
                <w:bCs/>
              </w:rPr>
              <w:t>BS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46631B" w14:textId="77777777" w:rsidR="000802A0" w:rsidRPr="007E130D" w:rsidRDefault="000802A0" w:rsidP="00B20AC9">
            <w:pPr>
              <w:pStyle w:val="Tabletext"/>
              <w:jc w:val="center"/>
            </w:pPr>
            <w:r w:rsidRPr="007E130D">
              <w:t>142 699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54D0E3" w14:textId="77777777" w:rsidR="000802A0" w:rsidRPr="007E130D" w:rsidRDefault="000802A0" w:rsidP="00B20AC9">
            <w:pPr>
              <w:pStyle w:val="Tabletext"/>
              <w:jc w:val="center"/>
            </w:pPr>
            <w:r w:rsidRPr="007E130D">
              <w:t>166 563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E5247" w14:textId="77777777" w:rsidR="000802A0" w:rsidRPr="007E130D" w:rsidRDefault="000802A0" w:rsidP="00B20AC9">
            <w:pPr>
              <w:pStyle w:val="Tabletext"/>
              <w:jc w:val="center"/>
            </w:pPr>
            <w:r w:rsidRPr="007E130D">
              <w:t>143 107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07685F" w14:textId="77777777" w:rsidR="000802A0" w:rsidRPr="007E130D" w:rsidRDefault="000802A0" w:rsidP="00B20AC9">
            <w:pPr>
              <w:pStyle w:val="Tabletext"/>
              <w:jc w:val="center"/>
            </w:pPr>
            <w:r w:rsidRPr="007E130D">
              <w:t>60 586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3C0B03" w14:textId="77777777" w:rsidR="000802A0" w:rsidRPr="007E130D" w:rsidRDefault="000802A0" w:rsidP="00B20AC9">
            <w:pPr>
              <w:pStyle w:val="Tabletext"/>
              <w:jc w:val="center"/>
              <w:rPr>
                <w:b/>
                <w:bCs/>
              </w:rPr>
            </w:pPr>
            <w:r w:rsidRPr="007E130D">
              <w:rPr>
                <w:b/>
                <w:bCs/>
              </w:rPr>
              <w:t>512 955</w:t>
            </w:r>
          </w:p>
        </w:tc>
      </w:tr>
      <w:tr w:rsidR="000802A0" w:rsidRPr="007E130D" w14:paraId="76F3F731"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15FA3F" w14:textId="77777777" w:rsidR="000802A0" w:rsidRPr="007E130D" w:rsidRDefault="000802A0" w:rsidP="00B20AC9">
            <w:pPr>
              <w:pStyle w:val="Tabletext"/>
              <w:jc w:val="center"/>
              <w:rPr>
                <w:b/>
                <w:bCs/>
              </w:rPr>
            </w:pPr>
            <w:r w:rsidRPr="007E130D">
              <w:rPr>
                <w:b/>
                <w:bCs/>
              </w:rPr>
              <w:t>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2E0618" w14:textId="77777777" w:rsidR="000802A0" w:rsidRPr="007E130D" w:rsidRDefault="000802A0" w:rsidP="00B20AC9">
            <w:pPr>
              <w:pStyle w:val="Tabletext"/>
              <w:jc w:val="center"/>
            </w:pPr>
            <w:r w:rsidRPr="007E130D">
              <w:t>108 174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ACC44D" w14:textId="77777777" w:rsidR="000802A0" w:rsidRPr="007E130D" w:rsidRDefault="000802A0" w:rsidP="00B20AC9">
            <w:pPr>
              <w:pStyle w:val="Tabletext"/>
              <w:jc w:val="center"/>
            </w:pPr>
            <w:r w:rsidRPr="007E130D">
              <w:t>123 593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F381EE" w14:textId="77777777" w:rsidR="000802A0" w:rsidRPr="007E130D" w:rsidRDefault="000802A0" w:rsidP="00B20AC9">
            <w:pPr>
              <w:pStyle w:val="Tabletext"/>
              <w:jc w:val="center"/>
            </w:pPr>
            <w:r w:rsidRPr="007E130D">
              <w:t>87 801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CC7DFF" w14:textId="77777777" w:rsidR="000802A0" w:rsidRPr="007E130D" w:rsidRDefault="000802A0" w:rsidP="00B20AC9">
            <w:pPr>
              <w:pStyle w:val="Tabletext"/>
              <w:jc w:val="center"/>
            </w:pPr>
            <w:r w:rsidRPr="007E130D">
              <w:t>39 344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0A8743" w14:textId="77777777" w:rsidR="000802A0" w:rsidRPr="007E130D" w:rsidRDefault="000802A0" w:rsidP="00B20AC9">
            <w:pPr>
              <w:pStyle w:val="Tabletext"/>
              <w:jc w:val="center"/>
              <w:rPr>
                <w:b/>
                <w:bCs/>
              </w:rPr>
            </w:pPr>
            <w:r w:rsidRPr="007E130D">
              <w:rPr>
                <w:b/>
                <w:bCs/>
              </w:rPr>
              <w:t>358 912</w:t>
            </w:r>
          </w:p>
        </w:tc>
      </w:tr>
      <w:tr w:rsidR="000802A0" w:rsidRPr="007E130D" w14:paraId="7FB587DB"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5F1B8C" w14:textId="77777777" w:rsidR="000802A0" w:rsidRPr="007E130D" w:rsidRDefault="000802A0" w:rsidP="00B20AC9">
            <w:pPr>
              <w:pStyle w:val="Tabletext"/>
              <w:jc w:val="center"/>
              <w:rPr>
                <w:b/>
                <w:bCs/>
              </w:rPr>
            </w:pPr>
            <w:r w:rsidRPr="007E130D">
              <w:rPr>
                <w:b/>
                <w:bCs/>
              </w:rPr>
              <w:t>SA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B0905E" w14:textId="77777777" w:rsidR="000802A0" w:rsidRPr="007E130D" w:rsidRDefault="000802A0" w:rsidP="00B20AC9">
            <w:pPr>
              <w:pStyle w:val="Tabletext"/>
              <w:jc w:val="center"/>
            </w:pPr>
            <w:r w:rsidRPr="007E130D">
              <w:t>46 718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9F3D10" w14:textId="77777777" w:rsidR="000802A0" w:rsidRPr="007E130D" w:rsidRDefault="000802A0" w:rsidP="00B20AC9">
            <w:pPr>
              <w:pStyle w:val="Tabletext"/>
              <w:jc w:val="center"/>
            </w:pPr>
            <w:r w:rsidRPr="007E130D">
              <w:t>43 137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F683A0" w14:textId="77777777" w:rsidR="000802A0" w:rsidRPr="007E130D" w:rsidRDefault="000802A0" w:rsidP="00B20AC9">
            <w:pPr>
              <w:pStyle w:val="Tabletext"/>
              <w:jc w:val="center"/>
            </w:pPr>
            <w:r w:rsidRPr="007E130D">
              <w:t>33 274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2471C9" w14:textId="77777777" w:rsidR="000802A0" w:rsidRPr="007E130D" w:rsidRDefault="000802A0" w:rsidP="00B20AC9">
            <w:pPr>
              <w:pStyle w:val="Tabletext"/>
              <w:jc w:val="center"/>
            </w:pPr>
            <w:r w:rsidRPr="007E130D">
              <w:t>16 273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2DEBA2" w14:textId="77777777" w:rsidR="000802A0" w:rsidRPr="007E130D" w:rsidRDefault="000802A0" w:rsidP="00B20AC9">
            <w:pPr>
              <w:pStyle w:val="Tabletext"/>
              <w:jc w:val="center"/>
              <w:rPr>
                <w:b/>
                <w:bCs/>
              </w:rPr>
            </w:pPr>
            <w:r w:rsidRPr="007E130D">
              <w:rPr>
                <w:b/>
                <w:bCs/>
              </w:rPr>
              <w:t>139 402</w:t>
            </w:r>
          </w:p>
        </w:tc>
      </w:tr>
      <w:tr w:rsidR="000802A0" w:rsidRPr="007E130D" w14:paraId="4C6F00D2"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29CCE0" w14:textId="77777777" w:rsidR="000802A0" w:rsidRPr="007E130D" w:rsidRDefault="000802A0" w:rsidP="00B20AC9">
            <w:pPr>
              <w:pStyle w:val="Tabletext"/>
              <w:jc w:val="center"/>
              <w:rPr>
                <w:b/>
                <w:bCs/>
              </w:rPr>
            </w:pPr>
            <w:r w:rsidRPr="007E130D">
              <w:rPr>
                <w:b/>
                <w:bCs/>
              </w:rPr>
              <w:t>V</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A59201" w14:textId="77777777" w:rsidR="000802A0" w:rsidRPr="007E130D" w:rsidRDefault="000802A0" w:rsidP="00B20AC9">
            <w:pPr>
              <w:pStyle w:val="Tabletext"/>
              <w:jc w:val="center"/>
            </w:pPr>
            <w:r w:rsidRPr="007E130D">
              <w:t>40 634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DF081B" w14:textId="77777777" w:rsidR="000802A0" w:rsidRPr="007E130D" w:rsidRDefault="000802A0" w:rsidP="00B20AC9">
            <w:pPr>
              <w:pStyle w:val="Tabletext"/>
              <w:jc w:val="center"/>
            </w:pPr>
            <w:r w:rsidRPr="007E130D">
              <w:t>47 032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46C230" w14:textId="77777777" w:rsidR="000802A0" w:rsidRPr="007E130D" w:rsidRDefault="000802A0" w:rsidP="00B20AC9">
            <w:pPr>
              <w:pStyle w:val="Tabletext"/>
              <w:jc w:val="center"/>
            </w:pPr>
            <w:r w:rsidRPr="007E130D">
              <w:t>44 707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945EC3" w14:textId="77777777" w:rsidR="000802A0" w:rsidRPr="007E130D" w:rsidRDefault="000802A0" w:rsidP="00B20AC9">
            <w:pPr>
              <w:pStyle w:val="Tabletext"/>
              <w:jc w:val="center"/>
            </w:pPr>
            <w:r w:rsidRPr="007E130D">
              <w:t>15 580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0448F0" w14:textId="77777777" w:rsidR="000802A0" w:rsidRPr="007E130D" w:rsidRDefault="000802A0" w:rsidP="00B20AC9">
            <w:pPr>
              <w:pStyle w:val="Tabletext"/>
              <w:jc w:val="center"/>
              <w:rPr>
                <w:b/>
                <w:bCs/>
              </w:rPr>
            </w:pPr>
            <w:r w:rsidRPr="007E130D">
              <w:rPr>
                <w:b/>
                <w:bCs/>
              </w:rPr>
              <w:t>147 953</w:t>
            </w:r>
          </w:p>
        </w:tc>
      </w:tr>
      <w:tr w:rsidR="000802A0" w:rsidRPr="007E130D" w14:paraId="3847C092"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7F45D7" w14:textId="77777777" w:rsidR="000802A0" w:rsidRPr="007E130D" w:rsidRDefault="000802A0" w:rsidP="00B20AC9">
            <w:pPr>
              <w:pStyle w:val="Tabletext"/>
              <w:jc w:val="center"/>
              <w:rPr>
                <w:b/>
                <w:bCs/>
              </w:rPr>
            </w:pPr>
            <w:r w:rsidRPr="007E130D">
              <w:rPr>
                <w:b/>
                <w:bCs/>
              </w:rPr>
              <w:t>BO</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A722E0" w14:textId="77777777" w:rsidR="000802A0" w:rsidRPr="007E130D" w:rsidRDefault="000802A0" w:rsidP="00B20AC9">
            <w:pPr>
              <w:pStyle w:val="Tabletext"/>
              <w:jc w:val="center"/>
            </w:pPr>
            <w:r w:rsidRPr="007E130D">
              <w:t>26 816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F18FB7" w14:textId="77777777" w:rsidR="000802A0" w:rsidRPr="007E130D" w:rsidRDefault="000802A0" w:rsidP="00B20AC9">
            <w:pPr>
              <w:pStyle w:val="Tabletext"/>
              <w:jc w:val="center"/>
            </w:pPr>
            <w:r w:rsidRPr="007E130D">
              <w:t>23 173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233CFF" w14:textId="77777777" w:rsidR="000802A0" w:rsidRPr="007E130D" w:rsidRDefault="000802A0" w:rsidP="00B20AC9">
            <w:pPr>
              <w:pStyle w:val="Tabletext"/>
              <w:jc w:val="center"/>
            </w:pPr>
            <w:r w:rsidRPr="007E130D">
              <w:t>16 489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E7C121" w14:textId="77777777" w:rsidR="000802A0" w:rsidRPr="007E130D" w:rsidRDefault="000802A0" w:rsidP="00B20AC9">
            <w:pPr>
              <w:pStyle w:val="Tabletext"/>
              <w:jc w:val="center"/>
            </w:pPr>
            <w:r w:rsidRPr="007E130D">
              <w:t>7 684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E8D533" w14:textId="77777777" w:rsidR="000802A0" w:rsidRPr="007E130D" w:rsidRDefault="000802A0" w:rsidP="00B20AC9">
            <w:pPr>
              <w:pStyle w:val="Tabletext"/>
              <w:jc w:val="center"/>
              <w:rPr>
                <w:b/>
                <w:bCs/>
              </w:rPr>
            </w:pPr>
            <w:r w:rsidRPr="007E130D">
              <w:rPr>
                <w:b/>
                <w:bCs/>
              </w:rPr>
              <w:t>74 162</w:t>
            </w:r>
          </w:p>
        </w:tc>
      </w:tr>
      <w:tr w:rsidR="000802A0" w:rsidRPr="007E130D" w14:paraId="6098E2B8"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B37FF9" w14:textId="77777777" w:rsidR="000802A0" w:rsidRPr="007E130D" w:rsidRDefault="000802A0" w:rsidP="00B20AC9">
            <w:pPr>
              <w:pStyle w:val="Tabletext"/>
              <w:jc w:val="center"/>
              <w:rPr>
                <w:b/>
                <w:bCs/>
              </w:rPr>
            </w:pPr>
            <w:r w:rsidRPr="007E130D">
              <w:rPr>
                <w:b/>
                <w:bCs/>
              </w:rPr>
              <w:t>RS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41529F" w14:textId="77777777" w:rsidR="000802A0" w:rsidRPr="007E130D" w:rsidRDefault="000802A0" w:rsidP="00B20AC9">
            <w:pPr>
              <w:pStyle w:val="Tabletext"/>
              <w:jc w:val="center"/>
            </w:pPr>
            <w:r w:rsidRPr="007E130D">
              <w:t>26 823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0B4519" w14:textId="77777777" w:rsidR="000802A0" w:rsidRPr="007E130D" w:rsidRDefault="000802A0" w:rsidP="00B20AC9">
            <w:pPr>
              <w:pStyle w:val="Tabletext"/>
              <w:jc w:val="center"/>
            </w:pPr>
            <w:r w:rsidRPr="007E130D">
              <w:t>23 253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66B7C8" w14:textId="77777777" w:rsidR="000802A0" w:rsidRPr="007E130D" w:rsidRDefault="000802A0" w:rsidP="00B20AC9">
            <w:pPr>
              <w:pStyle w:val="Tabletext"/>
              <w:jc w:val="center"/>
            </w:pPr>
            <w:r w:rsidRPr="007E130D">
              <w:t>19 350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A55C7B" w14:textId="77777777" w:rsidR="000802A0" w:rsidRPr="007E130D" w:rsidRDefault="000802A0" w:rsidP="00B20AC9">
            <w:pPr>
              <w:pStyle w:val="Tabletext"/>
              <w:jc w:val="center"/>
            </w:pPr>
            <w:r w:rsidRPr="007E130D">
              <w:t>8 511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D9B8F1" w14:textId="77777777" w:rsidR="000802A0" w:rsidRPr="007E130D" w:rsidRDefault="000802A0" w:rsidP="00B20AC9">
            <w:pPr>
              <w:pStyle w:val="Tabletext"/>
              <w:jc w:val="center"/>
              <w:rPr>
                <w:b/>
                <w:bCs/>
              </w:rPr>
            </w:pPr>
            <w:r w:rsidRPr="007E130D">
              <w:rPr>
                <w:b/>
                <w:bCs/>
              </w:rPr>
              <w:t>77 937</w:t>
            </w:r>
          </w:p>
        </w:tc>
      </w:tr>
      <w:tr w:rsidR="000802A0" w:rsidRPr="007E130D" w14:paraId="4A4552C5"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3E9FA2" w14:textId="77777777" w:rsidR="000802A0" w:rsidRPr="007E130D" w:rsidRDefault="000802A0" w:rsidP="00B20AC9">
            <w:pPr>
              <w:pStyle w:val="Tabletext"/>
              <w:jc w:val="center"/>
              <w:rPr>
                <w:b/>
                <w:bCs/>
              </w:rPr>
            </w:pPr>
            <w:r w:rsidRPr="007E130D">
              <w:rPr>
                <w:b/>
                <w:bCs/>
              </w:rPr>
              <w:t>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7EEE2E" w14:textId="77777777" w:rsidR="000802A0" w:rsidRPr="007E130D" w:rsidRDefault="000802A0" w:rsidP="00B20AC9">
            <w:pPr>
              <w:pStyle w:val="Tabletext"/>
              <w:jc w:val="center"/>
            </w:pPr>
            <w:r w:rsidRPr="007E130D">
              <w:t>24 077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843CDF" w14:textId="77777777" w:rsidR="000802A0" w:rsidRPr="007E130D" w:rsidRDefault="000802A0" w:rsidP="00B20AC9">
            <w:pPr>
              <w:pStyle w:val="Tabletext"/>
              <w:jc w:val="center"/>
            </w:pPr>
            <w:r w:rsidRPr="007E130D">
              <w:t>22 729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1FE88B" w14:textId="77777777" w:rsidR="000802A0" w:rsidRPr="007E130D" w:rsidRDefault="000802A0" w:rsidP="00B20AC9">
            <w:pPr>
              <w:pStyle w:val="Tabletext"/>
              <w:jc w:val="center"/>
            </w:pPr>
            <w:r w:rsidRPr="007E130D">
              <w:t>18 211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28D272" w14:textId="77777777" w:rsidR="000802A0" w:rsidRPr="007E130D" w:rsidRDefault="000802A0" w:rsidP="00B20AC9">
            <w:pPr>
              <w:pStyle w:val="Tabletext"/>
              <w:jc w:val="center"/>
            </w:pPr>
            <w:r w:rsidRPr="007E130D">
              <w:t>8 217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1E30DD" w14:textId="77777777" w:rsidR="000802A0" w:rsidRPr="007E130D" w:rsidRDefault="000802A0" w:rsidP="00B20AC9">
            <w:pPr>
              <w:pStyle w:val="Tabletext"/>
              <w:jc w:val="center"/>
              <w:rPr>
                <w:b/>
                <w:bCs/>
              </w:rPr>
            </w:pPr>
            <w:r w:rsidRPr="007E130D">
              <w:rPr>
                <w:b/>
                <w:bCs/>
              </w:rPr>
              <w:t>73 234</w:t>
            </w:r>
          </w:p>
        </w:tc>
      </w:tr>
      <w:tr w:rsidR="000802A0" w:rsidRPr="007E130D" w14:paraId="7F9C6525"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852A27" w14:textId="77777777" w:rsidR="000802A0" w:rsidRPr="007E130D" w:rsidRDefault="000802A0" w:rsidP="00B20AC9">
            <w:pPr>
              <w:pStyle w:val="Tabletext"/>
              <w:jc w:val="center"/>
              <w:rPr>
                <w:b/>
                <w:bCs/>
              </w:rPr>
            </w:pPr>
            <w:r w:rsidRPr="007E130D">
              <w:rPr>
                <w:b/>
                <w:bCs/>
              </w:rPr>
              <w:t>SF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AF0B28" w14:textId="77777777" w:rsidR="000802A0" w:rsidRPr="007E130D" w:rsidRDefault="000802A0" w:rsidP="00B20AC9">
            <w:pPr>
              <w:pStyle w:val="Tabletext"/>
              <w:jc w:val="center"/>
            </w:pPr>
            <w:r w:rsidRPr="007E130D">
              <w:t>19 381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4BFA70" w14:textId="77777777" w:rsidR="000802A0" w:rsidRPr="007E130D" w:rsidRDefault="000802A0" w:rsidP="00B20AC9">
            <w:pPr>
              <w:pStyle w:val="Tabletext"/>
              <w:jc w:val="center"/>
            </w:pPr>
            <w:r w:rsidRPr="007E130D">
              <w:t>16 720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D36CBB" w14:textId="77777777" w:rsidR="000802A0" w:rsidRPr="007E130D" w:rsidRDefault="000802A0" w:rsidP="00B20AC9">
            <w:pPr>
              <w:pStyle w:val="Tabletext"/>
              <w:jc w:val="center"/>
            </w:pPr>
            <w:r w:rsidRPr="007E130D">
              <w:t>13 102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FF3E2A" w14:textId="77777777" w:rsidR="000802A0" w:rsidRPr="007E130D" w:rsidRDefault="000802A0" w:rsidP="00B20AC9">
            <w:pPr>
              <w:pStyle w:val="Tabletext"/>
              <w:jc w:val="center"/>
            </w:pPr>
            <w:r w:rsidRPr="007E130D">
              <w:t>5 718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00B13D" w14:textId="77777777" w:rsidR="000802A0" w:rsidRPr="007E130D" w:rsidRDefault="000802A0" w:rsidP="00B20AC9">
            <w:pPr>
              <w:pStyle w:val="Tabletext"/>
              <w:jc w:val="center"/>
              <w:rPr>
                <w:b/>
                <w:bCs/>
              </w:rPr>
            </w:pPr>
            <w:r w:rsidRPr="007E130D">
              <w:rPr>
                <w:b/>
                <w:bCs/>
              </w:rPr>
              <w:t>54 921</w:t>
            </w:r>
          </w:p>
        </w:tc>
      </w:tr>
      <w:tr w:rsidR="000802A0" w:rsidRPr="007E130D" w14:paraId="29AC558D"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E1438A" w14:textId="77777777" w:rsidR="000802A0" w:rsidRPr="007E130D" w:rsidRDefault="000802A0" w:rsidP="00B20AC9">
            <w:pPr>
              <w:pStyle w:val="Tabletext"/>
              <w:jc w:val="center"/>
              <w:rPr>
                <w:b/>
                <w:bCs/>
              </w:rPr>
            </w:pPr>
            <w:r w:rsidRPr="007E130D">
              <w:rPr>
                <w:b/>
                <w:bCs/>
              </w:rPr>
              <w:t>BR</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E8CBCB" w14:textId="77777777" w:rsidR="000802A0" w:rsidRPr="007E130D" w:rsidRDefault="000802A0" w:rsidP="00B20AC9">
            <w:pPr>
              <w:pStyle w:val="Tabletext"/>
              <w:jc w:val="center"/>
            </w:pPr>
            <w:r w:rsidRPr="007E130D">
              <w:t>17 101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DEE93D" w14:textId="77777777" w:rsidR="000802A0" w:rsidRPr="007E130D" w:rsidRDefault="000802A0" w:rsidP="00B20AC9">
            <w:pPr>
              <w:pStyle w:val="Tabletext"/>
              <w:jc w:val="center"/>
            </w:pPr>
            <w:r w:rsidRPr="007E130D">
              <w:t>15 009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A68F5F" w14:textId="77777777" w:rsidR="000802A0" w:rsidRPr="007E130D" w:rsidRDefault="000802A0" w:rsidP="00B20AC9">
            <w:pPr>
              <w:pStyle w:val="Tabletext"/>
              <w:jc w:val="center"/>
            </w:pPr>
            <w:r w:rsidRPr="007E130D">
              <w:t>9 838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D6EA8D" w14:textId="77777777" w:rsidR="000802A0" w:rsidRPr="007E130D" w:rsidRDefault="000802A0" w:rsidP="00B20AC9">
            <w:pPr>
              <w:pStyle w:val="Tabletext"/>
              <w:jc w:val="center"/>
            </w:pPr>
            <w:r w:rsidRPr="007E130D">
              <w:t>4 506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F12885" w14:textId="77777777" w:rsidR="000802A0" w:rsidRPr="007E130D" w:rsidRDefault="000802A0" w:rsidP="00B20AC9">
            <w:pPr>
              <w:pStyle w:val="Tabletext"/>
              <w:jc w:val="center"/>
              <w:rPr>
                <w:b/>
                <w:bCs/>
              </w:rPr>
            </w:pPr>
            <w:r w:rsidRPr="007E130D">
              <w:rPr>
                <w:b/>
                <w:bCs/>
              </w:rPr>
              <w:t>46 454</w:t>
            </w:r>
          </w:p>
        </w:tc>
      </w:tr>
      <w:tr w:rsidR="000802A0" w:rsidRPr="007E130D" w14:paraId="0A37BB3B"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5AD6E4" w14:textId="77777777" w:rsidR="000802A0" w:rsidRPr="007E130D" w:rsidRDefault="000802A0" w:rsidP="00B20AC9">
            <w:pPr>
              <w:pStyle w:val="Tabletext"/>
              <w:jc w:val="center"/>
              <w:rPr>
                <w:b/>
                <w:bCs/>
              </w:rPr>
            </w:pPr>
            <w:r w:rsidRPr="007E130D">
              <w:rPr>
                <w:b/>
                <w:bCs/>
              </w:rPr>
              <w:t>RA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F2CC68" w14:textId="77777777" w:rsidR="000802A0" w:rsidRPr="007E130D" w:rsidRDefault="000802A0" w:rsidP="00B20AC9">
            <w:pPr>
              <w:pStyle w:val="Tabletext"/>
              <w:jc w:val="center"/>
            </w:pPr>
            <w:r w:rsidRPr="007E130D">
              <w:t>12 315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989AFC" w14:textId="77777777" w:rsidR="000802A0" w:rsidRPr="007E130D" w:rsidRDefault="000802A0" w:rsidP="00B20AC9">
            <w:pPr>
              <w:pStyle w:val="Tabletext"/>
              <w:jc w:val="center"/>
            </w:pPr>
            <w:r w:rsidRPr="007E130D">
              <w:t>10 777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7E69EC" w14:textId="77777777" w:rsidR="000802A0" w:rsidRPr="007E130D" w:rsidRDefault="000802A0" w:rsidP="00B20AC9">
            <w:pPr>
              <w:pStyle w:val="Tabletext"/>
              <w:jc w:val="center"/>
            </w:pPr>
            <w:r w:rsidRPr="007E130D">
              <w:t>9 169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B25B4C" w14:textId="77777777" w:rsidR="000802A0" w:rsidRPr="007E130D" w:rsidRDefault="000802A0" w:rsidP="00B20AC9">
            <w:pPr>
              <w:pStyle w:val="Tabletext"/>
              <w:jc w:val="center"/>
            </w:pPr>
            <w:r w:rsidRPr="007E130D">
              <w:t>3 907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656745" w14:textId="77777777" w:rsidR="000802A0" w:rsidRPr="007E130D" w:rsidRDefault="000802A0" w:rsidP="00B20AC9">
            <w:pPr>
              <w:pStyle w:val="Tabletext"/>
              <w:jc w:val="center"/>
              <w:rPr>
                <w:b/>
                <w:bCs/>
              </w:rPr>
            </w:pPr>
            <w:r w:rsidRPr="007E130D">
              <w:rPr>
                <w:b/>
                <w:bCs/>
              </w:rPr>
              <w:t>36 168</w:t>
            </w:r>
          </w:p>
        </w:tc>
      </w:tr>
      <w:tr w:rsidR="000802A0" w:rsidRPr="007E130D" w14:paraId="0534E94C"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166EE6" w14:textId="77777777" w:rsidR="000802A0" w:rsidRPr="007E130D" w:rsidRDefault="000802A0" w:rsidP="00B20AC9">
            <w:pPr>
              <w:pStyle w:val="Tabletext"/>
              <w:jc w:val="center"/>
              <w:rPr>
                <w:b/>
                <w:bCs/>
              </w:rPr>
            </w:pPr>
            <w:r w:rsidRPr="007E130D">
              <w:rPr>
                <w:b/>
                <w:bCs/>
              </w:rPr>
              <w:t>SNG</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A92454" w14:textId="77777777" w:rsidR="000802A0" w:rsidRPr="007E130D" w:rsidRDefault="000802A0" w:rsidP="00B20AC9">
            <w:pPr>
              <w:pStyle w:val="Tabletext"/>
              <w:jc w:val="center"/>
            </w:pPr>
            <w:r w:rsidRPr="007E130D">
              <w:t>3 319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E37BE3" w14:textId="77777777" w:rsidR="000802A0" w:rsidRPr="007E130D" w:rsidRDefault="000802A0" w:rsidP="00B20AC9">
            <w:pPr>
              <w:pStyle w:val="Tabletext"/>
              <w:jc w:val="center"/>
            </w:pPr>
            <w:r w:rsidRPr="007E130D">
              <w:t>2 548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149758" w14:textId="77777777" w:rsidR="000802A0" w:rsidRPr="007E130D" w:rsidRDefault="000802A0" w:rsidP="00B20AC9">
            <w:pPr>
              <w:pStyle w:val="Tabletext"/>
              <w:jc w:val="center"/>
            </w:pPr>
            <w:r w:rsidRPr="007E130D">
              <w:t>1 987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FEE9AE" w14:textId="77777777" w:rsidR="000802A0" w:rsidRPr="007E130D" w:rsidRDefault="000802A0" w:rsidP="00B20AC9">
            <w:pPr>
              <w:pStyle w:val="Tabletext"/>
              <w:jc w:val="center"/>
            </w:pPr>
            <w:r w:rsidRPr="007E130D">
              <w:t>1 127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578277" w14:textId="77777777" w:rsidR="000802A0" w:rsidRPr="007E130D" w:rsidRDefault="000802A0" w:rsidP="00B20AC9">
            <w:pPr>
              <w:pStyle w:val="Tabletext"/>
              <w:jc w:val="center"/>
              <w:rPr>
                <w:b/>
                <w:bCs/>
              </w:rPr>
            </w:pPr>
            <w:r w:rsidRPr="007E130D">
              <w:rPr>
                <w:b/>
                <w:bCs/>
              </w:rPr>
              <w:t>8 981</w:t>
            </w:r>
          </w:p>
        </w:tc>
      </w:tr>
      <w:tr w:rsidR="000802A0" w:rsidRPr="007E130D" w14:paraId="6762E0A6"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E6C8D2" w14:textId="77777777" w:rsidR="000802A0" w:rsidRPr="007E130D" w:rsidRDefault="000802A0" w:rsidP="00B20AC9">
            <w:pPr>
              <w:pStyle w:val="Tabletext"/>
              <w:jc w:val="center"/>
              <w:rPr>
                <w:b/>
                <w:bCs/>
              </w:rPr>
            </w:pPr>
            <w:r w:rsidRPr="007E130D">
              <w:rPr>
                <w:b/>
                <w:bCs/>
              </w:rPr>
              <w:t>IS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B313AF" w14:textId="77777777" w:rsidR="000802A0" w:rsidRPr="007E130D" w:rsidRDefault="000802A0" w:rsidP="00B20AC9">
            <w:pPr>
              <w:pStyle w:val="Tabletext"/>
              <w:jc w:val="center"/>
            </w:pPr>
            <w:r w:rsidRPr="007E130D">
              <w:t>1 280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06C98F" w14:textId="77777777" w:rsidR="000802A0" w:rsidRPr="007E130D" w:rsidRDefault="000802A0" w:rsidP="00B20AC9">
            <w:pPr>
              <w:pStyle w:val="Tabletext"/>
              <w:jc w:val="center"/>
            </w:pPr>
            <w:r w:rsidRPr="007E130D">
              <w:t>1 366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6F5A81" w14:textId="77777777" w:rsidR="000802A0" w:rsidRPr="007E130D" w:rsidRDefault="000802A0" w:rsidP="00B20AC9">
            <w:pPr>
              <w:pStyle w:val="Tabletext"/>
              <w:jc w:val="center"/>
            </w:pPr>
            <w:r w:rsidRPr="007E130D">
              <w:t>1 203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EFBB63" w14:textId="77777777" w:rsidR="000802A0" w:rsidRPr="007E130D" w:rsidRDefault="000802A0" w:rsidP="00B20AC9">
            <w:pPr>
              <w:pStyle w:val="Tabletext"/>
              <w:jc w:val="center"/>
            </w:pPr>
            <w:r w:rsidRPr="007E130D">
              <w:t>593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F4AB78" w14:textId="77777777" w:rsidR="000802A0" w:rsidRPr="007E130D" w:rsidRDefault="000802A0" w:rsidP="00B20AC9">
            <w:pPr>
              <w:pStyle w:val="Tabletext"/>
              <w:jc w:val="center"/>
              <w:rPr>
                <w:b/>
                <w:bCs/>
              </w:rPr>
            </w:pPr>
            <w:r w:rsidRPr="007E130D">
              <w:rPr>
                <w:b/>
                <w:bCs/>
              </w:rPr>
              <w:t>4 442</w:t>
            </w:r>
          </w:p>
        </w:tc>
      </w:tr>
      <w:tr w:rsidR="000802A0" w:rsidRPr="007E130D" w14:paraId="631891B3"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513A23" w14:textId="77777777" w:rsidR="000802A0" w:rsidRPr="007E130D" w:rsidRDefault="000802A0" w:rsidP="00B20AC9">
            <w:pPr>
              <w:pStyle w:val="Tabletext"/>
              <w:jc w:val="center"/>
              <w:rPr>
                <w:b/>
                <w:bCs/>
              </w:rPr>
            </w:pPr>
            <w:r w:rsidRPr="007E130D">
              <w:rPr>
                <w:b/>
                <w:bCs/>
              </w:rPr>
              <w:t>PI</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3037E4" w14:textId="77777777" w:rsidR="000802A0" w:rsidRPr="007E130D" w:rsidRDefault="000802A0" w:rsidP="00B20AC9">
            <w:pPr>
              <w:pStyle w:val="Tabletext"/>
              <w:jc w:val="center"/>
            </w:pPr>
            <w:r w:rsidRPr="007E130D">
              <w:t>372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DD043C" w14:textId="77777777" w:rsidR="000802A0" w:rsidRPr="007E130D" w:rsidRDefault="000802A0" w:rsidP="00B20AC9">
            <w:pPr>
              <w:pStyle w:val="Tabletext"/>
              <w:jc w:val="center"/>
            </w:pPr>
            <w:r w:rsidRPr="007E130D">
              <w:t>206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F86CE8" w14:textId="77777777" w:rsidR="000802A0" w:rsidRPr="007E130D" w:rsidRDefault="000802A0" w:rsidP="00B20AC9">
            <w:pPr>
              <w:pStyle w:val="Tabletext"/>
              <w:jc w:val="center"/>
            </w:pPr>
            <w:r w:rsidRPr="007E130D">
              <w:t>143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76C48A" w14:textId="77777777" w:rsidR="000802A0" w:rsidRPr="007E130D" w:rsidRDefault="000802A0" w:rsidP="00B20AC9">
            <w:pPr>
              <w:pStyle w:val="Tabletext"/>
              <w:jc w:val="center"/>
            </w:pPr>
            <w:r w:rsidRPr="007E130D">
              <w:t>98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5ECE2E" w14:textId="77777777" w:rsidR="000802A0" w:rsidRPr="007E130D" w:rsidRDefault="000802A0" w:rsidP="00B20AC9">
            <w:pPr>
              <w:pStyle w:val="Tabletext"/>
              <w:jc w:val="center"/>
              <w:rPr>
                <w:b/>
                <w:bCs/>
              </w:rPr>
            </w:pPr>
            <w:r w:rsidRPr="007E130D">
              <w:rPr>
                <w:b/>
                <w:bCs/>
              </w:rPr>
              <w:t>819</w:t>
            </w:r>
          </w:p>
        </w:tc>
      </w:tr>
      <w:tr w:rsidR="000802A0" w:rsidRPr="007E130D" w14:paraId="6732230B" w14:textId="77777777" w:rsidTr="00AF51A3">
        <w:trPr>
          <w:trHeight w:val="315"/>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9A7BCF" w14:textId="77777777" w:rsidR="000802A0" w:rsidRPr="007E130D" w:rsidRDefault="000802A0" w:rsidP="00B20AC9">
            <w:pPr>
              <w:pStyle w:val="Tabletext"/>
              <w:jc w:val="center"/>
              <w:rPr>
                <w:b/>
                <w:bCs/>
              </w:rPr>
            </w:pPr>
            <w:r w:rsidRPr="007E130D">
              <w:rPr>
                <w:b/>
                <w:bCs/>
              </w:rPr>
              <w:t>Total</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8C90BD" w14:textId="77777777" w:rsidR="000802A0" w:rsidRPr="007E130D" w:rsidRDefault="000802A0" w:rsidP="00B20AC9">
            <w:pPr>
              <w:pStyle w:val="Tabletext"/>
              <w:jc w:val="center"/>
              <w:rPr>
                <w:b/>
                <w:bCs/>
              </w:rPr>
            </w:pPr>
            <w:r w:rsidRPr="007E130D">
              <w:rPr>
                <w:b/>
                <w:bCs/>
              </w:rPr>
              <w:t>1 735 617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9962A7" w14:textId="77777777" w:rsidR="000802A0" w:rsidRPr="007E130D" w:rsidRDefault="000802A0" w:rsidP="00B20AC9">
            <w:pPr>
              <w:pStyle w:val="Tabletext"/>
              <w:jc w:val="center"/>
              <w:rPr>
                <w:b/>
                <w:bCs/>
              </w:rPr>
            </w:pPr>
            <w:r w:rsidRPr="007E130D">
              <w:rPr>
                <w:b/>
                <w:bCs/>
              </w:rPr>
              <w:t>1 849 007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6A58C9" w14:textId="77777777" w:rsidR="000802A0" w:rsidRPr="007E130D" w:rsidRDefault="000802A0" w:rsidP="00B20AC9">
            <w:pPr>
              <w:pStyle w:val="Tabletext"/>
              <w:jc w:val="center"/>
              <w:rPr>
                <w:b/>
                <w:bCs/>
              </w:rPr>
            </w:pPr>
            <w:r w:rsidRPr="007E130D">
              <w:rPr>
                <w:b/>
                <w:bCs/>
              </w:rPr>
              <w:t>1 565 951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DD2499" w14:textId="77777777" w:rsidR="000802A0" w:rsidRPr="007E130D" w:rsidRDefault="000802A0" w:rsidP="00B20AC9">
            <w:pPr>
              <w:pStyle w:val="Tabletext"/>
              <w:jc w:val="center"/>
              <w:rPr>
                <w:b/>
                <w:bCs/>
              </w:rPr>
            </w:pPr>
            <w:r w:rsidRPr="007E130D">
              <w:rPr>
                <w:b/>
                <w:bCs/>
              </w:rPr>
              <w:t>675 659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D1D056" w14:textId="77777777" w:rsidR="000802A0" w:rsidRPr="007E130D" w:rsidRDefault="000802A0" w:rsidP="00B20AC9">
            <w:pPr>
              <w:pStyle w:val="Tabletext"/>
              <w:jc w:val="center"/>
              <w:rPr>
                <w:b/>
                <w:bCs/>
              </w:rPr>
            </w:pPr>
            <w:r w:rsidRPr="007E130D">
              <w:rPr>
                <w:b/>
                <w:bCs/>
              </w:rPr>
              <w:t>5 826 234</w:t>
            </w:r>
          </w:p>
        </w:tc>
      </w:tr>
      <w:tr w:rsidR="000802A0" w:rsidRPr="007E130D" w14:paraId="429886B3" w14:textId="77777777" w:rsidTr="00AF51A3">
        <w:trPr>
          <w:trHeight w:val="315"/>
        </w:trPr>
        <w:tc>
          <w:tcPr>
            <w:tcW w:w="9630" w:type="dxa"/>
            <w:gridSpan w:val="6"/>
            <w:tcBorders>
              <w:top w:val="single" w:sz="4" w:space="0" w:color="auto"/>
            </w:tcBorders>
            <w:tcMar>
              <w:top w:w="15" w:type="dxa"/>
              <w:left w:w="15" w:type="dxa"/>
              <w:right w:w="15" w:type="dxa"/>
            </w:tcMar>
            <w:vAlign w:val="bottom"/>
          </w:tcPr>
          <w:p w14:paraId="097758DB" w14:textId="58C48232" w:rsidR="000802A0" w:rsidRPr="007E130D" w:rsidRDefault="000802A0" w:rsidP="00B20AC9">
            <w:pPr>
              <w:pStyle w:val="Tablelegend"/>
              <w:rPr>
                <w:b/>
                <w:bCs/>
              </w:rPr>
            </w:pPr>
            <w:r w:rsidRPr="007E130D">
              <w:t>*</w:t>
            </w:r>
            <w:r w:rsidRPr="007E130D">
              <w:tab/>
              <w:t>Jusqu'en avril 2023</w:t>
            </w:r>
            <w:r w:rsidR="009232E4" w:rsidRPr="007E130D">
              <w:t>.</w:t>
            </w:r>
          </w:p>
        </w:tc>
      </w:tr>
    </w:tbl>
    <w:p w14:paraId="70746341" w14:textId="3D4150AB" w:rsidR="00A82EF2" w:rsidRPr="007E130D" w:rsidRDefault="00A82EF2" w:rsidP="00EF328D">
      <w:pPr>
        <w:pStyle w:val="Normalaftertitle"/>
        <w:rPr>
          <w:lang w:eastAsia="zh-CN"/>
        </w:rPr>
      </w:pPr>
      <w:r w:rsidRPr="007E130D">
        <w:rPr>
          <w:lang w:eastAsia="zh-CN"/>
        </w:rPr>
        <w:t xml:space="preserve">Comme indiqué dans le Tableau, près de </w:t>
      </w:r>
      <w:r w:rsidR="000802A0" w:rsidRPr="007E130D">
        <w:rPr>
          <w:lang w:eastAsia="zh-CN"/>
        </w:rPr>
        <w:t>42</w:t>
      </w:r>
      <w:r w:rsidRPr="007E130D">
        <w:rPr>
          <w:lang w:eastAsia="zh-CN"/>
        </w:rPr>
        <w:t xml:space="preserve">% du nombre de téléchargements </w:t>
      </w:r>
      <w:r w:rsidRPr="007E130D">
        <w:t>correspondent aux Recommandations des séries P et M (propagation et service mobile), ce qui témoigne du fait que les travaux de l'UIT-R dans ces domaines constituent une référence à l'échelle mondiale</w:t>
      </w:r>
      <w:r w:rsidRPr="007E130D">
        <w:rPr>
          <w:lang w:eastAsia="zh-CN"/>
        </w:rPr>
        <w:t>.</w:t>
      </w:r>
    </w:p>
    <w:p w14:paraId="3C10B9D6" w14:textId="77777777" w:rsidR="00A82EF2" w:rsidRPr="007E130D" w:rsidRDefault="00A82EF2" w:rsidP="00B20AC9">
      <w:pPr>
        <w:pStyle w:val="Heading4"/>
      </w:pPr>
      <w:r w:rsidRPr="007E130D">
        <w:lastRenderedPageBreak/>
        <w:t>6.1.4.3</w:t>
      </w:r>
      <w:r w:rsidRPr="007E130D">
        <w:tab/>
        <w:t>Rapports UIT-R</w:t>
      </w:r>
    </w:p>
    <w:p w14:paraId="68B61F15" w14:textId="41F93DC6" w:rsidR="00A82EF2" w:rsidRPr="007E130D" w:rsidRDefault="00A82EF2" w:rsidP="00B20AC9">
      <w:pPr>
        <w:rPr>
          <w:lang w:eastAsia="zh-CN"/>
        </w:rPr>
      </w:pPr>
      <w:r w:rsidRPr="007E130D">
        <w:t xml:space="preserve">Comme pour les Recommandations UIT-R, les rapports UIT-R ont été mis en œuvre dans le monde entier, touchant la plupart des publics et contribuant à l'application de bonnes pratiques techniques dans certains domaines des radiocommunications. Au cours d'une période de </w:t>
      </w:r>
      <w:r w:rsidR="000802A0" w:rsidRPr="007E130D">
        <w:t>52</w:t>
      </w:r>
      <w:r w:rsidRPr="007E130D">
        <w:t xml:space="preserve"> mois (janvier 20</w:t>
      </w:r>
      <w:r w:rsidR="000802A0" w:rsidRPr="007E130D">
        <w:t>20</w:t>
      </w:r>
      <w:r w:rsidRPr="007E130D">
        <w:t xml:space="preserve"> à </w:t>
      </w:r>
      <w:r w:rsidR="000802A0" w:rsidRPr="007E130D">
        <w:t>avril 2023</w:t>
      </w:r>
      <w:r w:rsidRPr="007E130D">
        <w:t>), plus d'un million de téléchargements de rapports UIT-R depuis le site web de l'UIT ont été recensés.</w:t>
      </w:r>
      <w:r w:rsidRPr="007E130D">
        <w:rPr>
          <w:lang w:eastAsia="zh-CN"/>
        </w:rPr>
        <w:t xml:space="preserve"> </w:t>
      </w:r>
      <w:r w:rsidRPr="007E130D">
        <w:t xml:space="preserve">Le </w:t>
      </w:r>
      <w:r w:rsidRPr="007E130D">
        <w:rPr>
          <w:rFonts w:asciiTheme="majorBidi" w:hAnsiTheme="majorBidi" w:cstheme="majorBidi"/>
          <w:szCs w:val="24"/>
          <w:lang w:eastAsia="zh-CN"/>
        </w:rPr>
        <w:t xml:space="preserve">Tableau 6.1.4.3-1 </w:t>
      </w:r>
      <w:r w:rsidRPr="007E130D">
        <w:t>illustre la répartition de ces téléchargements par année et par série</w:t>
      </w:r>
      <w:r w:rsidRPr="007E130D">
        <w:rPr>
          <w:rFonts w:asciiTheme="majorBidi" w:hAnsiTheme="majorBidi" w:cstheme="majorBidi"/>
          <w:szCs w:val="24"/>
          <w:lang w:eastAsia="zh-CN"/>
        </w:rPr>
        <w:t xml:space="preserve">. À ce jour, on recense </w:t>
      </w:r>
      <w:r w:rsidR="000802A0" w:rsidRPr="007E130D">
        <w:t>627</w:t>
      </w:r>
      <w:r w:rsidRPr="007E130D">
        <w:t xml:space="preserve"> rapports UIT-R en vigueur; le nombre annuel moyen de téléchargements s'établit donc à près de </w:t>
      </w:r>
      <w:r w:rsidRPr="007E130D">
        <w:rPr>
          <w:lang w:eastAsia="zh-CN"/>
        </w:rPr>
        <w:t>500 par rapport.</w:t>
      </w:r>
    </w:p>
    <w:p w14:paraId="2DD34864" w14:textId="77777777" w:rsidR="00A82EF2" w:rsidRPr="007E130D" w:rsidRDefault="00A82EF2" w:rsidP="00EF328D">
      <w:pPr>
        <w:pStyle w:val="TableNo"/>
      </w:pPr>
      <w:r w:rsidRPr="007E130D">
        <w:t>TABLEAU 6.1.4.3-1</w:t>
      </w:r>
    </w:p>
    <w:p w14:paraId="1D8CDD0D" w14:textId="77777777" w:rsidR="00A82EF2" w:rsidRPr="007E130D" w:rsidRDefault="00A82EF2" w:rsidP="00EF328D">
      <w:pPr>
        <w:pStyle w:val="Tabletitle"/>
      </w:pPr>
      <w:r w:rsidRPr="007E130D">
        <w:t>Répartition des Rapports UIT-R</w:t>
      </w:r>
    </w:p>
    <w:tbl>
      <w:tblPr>
        <w:tblW w:w="9630" w:type="dxa"/>
        <w:jc w:val="center"/>
        <w:tblLayout w:type="fixed"/>
        <w:tblLook w:val="06A0" w:firstRow="1" w:lastRow="0" w:firstColumn="1" w:lastColumn="0" w:noHBand="1" w:noVBand="1"/>
      </w:tblPr>
      <w:tblGrid>
        <w:gridCol w:w="1605"/>
        <w:gridCol w:w="1605"/>
        <w:gridCol w:w="1605"/>
        <w:gridCol w:w="1605"/>
        <w:gridCol w:w="1605"/>
        <w:gridCol w:w="1605"/>
      </w:tblGrid>
      <w:tr w:rsidR="00965863" w:rsidRPr="007E130D" w14:paraId="285FBC00"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090275" w14:textId="77777777" w:rsidR="00965863" w:rsidRPr="007E130D" w:rsidRDefault="00965863" w:rsidP="00B20AC9">
            <w:pPr>
              <w:pStyle w:val="Tablehead"/>
              <w:rPr>
                <w:bCs/>
              </w:rPr>
            </w:pPr>
            <w:r w:rsidRPr="007E130D">
              <w:rPr>
                <w:bCs/>
              </w:rPr>
              <w:t>Séries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B007F7" w14:textId="77777777" w:rsidR="00965863" w:rsidRPr="007E130D" w:rsidRDefault="00965863" w:rsidP="00B20AC9">
            <w:pPr>
              <w:pStyle w:val="Tablehead"/>
              <w:rPr>
                <w:bCs/>
              </w:rPr>
            </w:pPr>
            <w:r w:rsidRPr="007E130D">
              <w:rPr>
                <w:bCs/>
              </w:rPr>
              <w:t>2020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2E50D1" w14:textId="77777777" w:rsidR="00965863" w:rsidRPr="007E130D" w:rsidRDefault="00965863" w:rsidP="00B20AC9">
            <w:pPr>
              <w:pStyle w:val="Tablehead"/>
              <w:rPr>
                <w:bCs/>
              </w:rPr>
            </w:pPr>
            <w:r w:rsidRPr="007E130D">
              <w:rPr>
                <w:bCs/>
              </w:rPr>
              <w:t>2021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DF43B4" w14:textId="77777777" w:rsidR="00965863" w:rsidRPr="007E130D" w:rsidRDefault="00965863" w:rsidP="00B20AC9">
            <w:pPr>
              <w:pStyle w:val="Tablehead"/>
              <w:rPr>
                <w:bCs/>
              </w:rPr>
            </w:pPr>
            <w:r w:rsidRPr="007E130D">
              <w:rPr>
                <w:bCs/>
              </w:rPr>
              <w:t>2022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35522A" w14:textId="77777777" w:rsidR="00965863" w:rsidRPr="007E130D" w:rsidRDefault="00965863" w:rsidP="00B20AC9">
            <w:pPr>
              <w:pStyle w:val="Tablehead"/>
              <w:rPr>
                <w:bCs/>
              </w:rPr>
            </w:pPr>
            <w:r w:rsidRPr="007E130D">
              <w:rPr>
                <w:bCs/>
              </w:rPr>
              <w:t>2023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9E062C" w14:textId="77777777" w:rsidR="00965863" w:rsidRPr="007E130D" w:rsidRDefault="00965863" w:rsidP="00B20AC9">
            <w:pPr>
              <w:pStyle w:val="Tablehead"/>
              <w:rPr>
                <w:b w:val="0"/>
              </w:rPr>
            </w:pPr>
            <w:r w:rsidRPr="007E130D">
              <w:rPr>
                <w:bCs/>
              </w:rPr>
              <w:t>Total</w:t>
            </w:r>
          </w:p>
        </w:tc>
      </w:tr>
      <w:tr w:rsidR="00965863" w:rsidRPr="007E130D" w14:paraId="2B48E0A4"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BC02C5" w14:textId="77777777" w:rsidR="00965863" w:rsidRPr="007E130D" w:rsidRDefault="00965863" w:rsidP="00B20AC9">
            <w:pPr>
              <w:pStyle w:val="Tablelegend"/>
              <w:jc w:val="center"/>
              <w:rPr>
                <w:b/>
                <w:bCs/>
              </w:rPr>
            </w:pPr>
            <w:r w:rsidRPr="007E130D">
              <w:rPr>
                <w:b/>
                <w:bCs/>
              </w:rPr>
              <w:t>SM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C3374C" w14:textId="77777777" w:rsidR="00965863" w:rsidRPr="007E130D" w:rsidRDefault="00965863" w:rsidP="00B20AC9">
            <w:pPr>
              <w:pStyle w:val="Tabletext"/>
              <w:jc w:val="center"/>
            </w:pPr>
            <w:r w:rsidRPr="007E130D">
              <w:t>101 965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2D6901" w14:textId="77777777" w:rsidR="00965863" w:rsidRPr="007E130D" w:rsidRDefault="00965863" w:rsidP="00B20AC9">
            <w:pPr>
              <w:pStyle w:val="Tabletext"/>
              <w:jc w:val="center"/>
            </w:pPr>
            <w:r w:rsidRPr="007E130D">
              <w:t>149 392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2211B8" w14:textId="77777777" w:rsidR="00965863" w:rsidRPr="007E130D" w:rsidRDefault="00965863" w:rsidP="00B20AC9">
            <w:pPr>
              <w:pStyle w:val="Tabletext"/>
              <w:jc w:val="center"/>
            </w:pPr>
            <w:r w:rsidRPr="007E130D">
              <w:t>105 880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0EAF2F" w14:textId="77777777" w:rsidR="00965863" w:rsidRPr="007E130D" w:rsidRDefault="00965863" w:rsidP="00B20AC9">
            <w:pPr>
              <w:pStyle w:val="Tabletext"/>
              <w:jc w:val="center"/>
            </w:pPr>
            <w:r w:rsidRPr="007E130D">
              <w:t>40 277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639B47" w14:textId="77777777" w:rsidR="00965863" w:rsidRPr="007E130D" w:rsidRDefault="00965863" w:rsidP="00B20AC9">
            <w:pPr>
              <w:pStyle w:val="Tabletext"/>
              <w:jc w:val="center"/>
              <w:rPr>
                <w:b/>
                <w:bCs/>
              </w:rPr>
            </w:pPr>
            <w:r w:rsidRPr="007E130D">
              <w:rPr>
                <w:b/>
                <w:bCs/>
              </w:rPr>
              <w:t>397 514</w:t>
            </w:r>
          </w:p>
        </w:tc>
      </w:tr>
      <w:tr w:rsidR="00965863" w:rsidRPr="007E130D" w14:paraId="63DE1FAC"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DEB225" w14:textId="77777777" w:rsidR="00965863" w:rsidRPr="007E130D" w:rsidRDefault="00965863" w:rsidP="00B20AC9">
            <w:pPr>
              <w:pStyle w:val="Tablelegend"/>
              <w:jc w:val="center"/>
              <w:rPr>
                <w:b/>
                <w:bCs/>
              </w:rPr>
            </w:pPr>
            <w:r w:rsidRPr="007E130D">
              <w:rPr>
                <w:b/>
                <w:bCs/>
              </w:rPr>
              <w:t>M</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65029D" w14:textId="77777777" w:rsidR="00965863" w:rsidRPr="007E130D" w:rsidRDefault="00965863" w:rsidP="00B20AC9">
            <w:pPr>
              <w:pStyle w:val="Tabletext"/>
              <w:jc w:val="center"/>
            </w:pPr>
            <w:r w:rsidRPr="007E130D">
              <w:t>105 681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2244B0" w14:textId="77777777" w:rsidR="00965863" w:rsidRPr="007E130D" w:rsidRDefault="00965863" w:rsidP="00B20AC9">
            <w:pPr>
              <w:pStyle w:val="Tabletext"/>
              <w:jc w:val="center"/>
            </w:pPr>
            <w:r w:rsidRPr="007E130D">
              <w:t>118 785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B1CCF5" w14:textId="77777777" w:rsidR="00965863" w:rsidRPr="007E130D" w:rsidRDefault="00965863" w:rsidP="00B20AC9">
            <w:pPr>
              <w:pStyle w:val="Tabletext"/>
              <w:jc w:val="center"/>
            </w:pPr>
            <w:r w:rsidRPr="007E130D">
              <w:t>102 742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10B59C" w14:textId="77777777" w:rsidR="00965863" w:rsidRPr="007E130D" w:rsidRDefault="00965863" w:rsidP="00B20AC9">
            <w:pPr>
              <w:pStyle w:val="Tabletext"/>
              <w:jc w:val="center"/>
            </w:pPr>
            <w:r w:rsidRPr="007E130D">
              <w:t>46 735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13FD02" w14:textId="77777777" w:rsidR="00965863" w:rsidRPr="007E130D" w:rsidRDefault="00965863" w:rsidP="00B20AC9">
            <w:pPr>
              <w:pStyle w:val="Tabletext"/>
              <w:jc w:val="center"/>
              <w:rPr>
                <w:b/>
                <w:bCs/>
              </w:rPr>
            </w:pPr>
            <w:r w:rsidRPr="007E130D">
              <w:rPr>
                <w:b/>
                <w:bCs/>
              </w:rPr>
              <w:t>373 943</w:t>
            </w:r>
          </w:p>
        </w:tc>
      </w:tr>
      <w:tr w:rsidR="00965863" w:rsidRPr="007E130D" w14:paraId="1D9F6DC5"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72038B" w14:textId="77777777" w:rsidR="00965863" w:rsidRPr="007E130D" w:rsidRDefault="00965863" w:rsidP="00B20AC9">
            <w:pPr>
              <w:pStyle w:val="Tablelegend"/>
              <w:jc w:val="center"/>
              <w:rPr>
                <w:b/>
                <w:bCs/>
              </w:rPr>
            </w:pPr>
            <w:r w:rsidRPr="007E130D">
              <w:rPr>
                <w:b/>
                <w:bCs/>
              </w:rPr>
              <w:t>BT</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FEC137" w14:textId="77777777" w:rsidR="00965863" w:rsidRPr="007E130D" w:rsidRDefault="00965863" w:rsidP="00B20AC9">
            <w:pPr>
              <w:pStyle w:val="Tabletext"/>
              <w:jc w:val="center"/>
            </w:pPr>
            <w:r w:rsidRPr="007E130D">
              <w:t>59 805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472D07" w14:textId="77777777" w:rsidR="00965863" w:rsidRPr="007E130D" w:rsidRDefault="00965863" w:rsidP="00B20AC9">
            <w:pPr>
              <w:pStyle w:val="Tabletext"/>
              <w:jc w:val="center"/>
            </w:pPr>
            <w:r w:rsidRPr="007E130D">
              <w:t>75 168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973B69" w14:textId="77777777" w:rsidR="00965863" w:rsidRPr="007E130D" w:rsidRDefault="00965863" w:rsidP="00B20AC9">
            <w:pPr>
              <w:pStyle w:val="Tabletext"/>
              <w:jc w:val="center"/>
            </w:pPr>
            <w:r w:rsidRPr="007E130D">
              <w:t>76 421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CF0B21" w14:textId="77777777" w:rsidR="00965863" w:rsidRPr="007E130D" w:rsidRDefault="00965863" w:rsidP="00B20AC9">
            <w:pPr>
              <w:pStyle w:val="Tabletext"/>
              <w:jc w:val="center"/>
            </w:pPr>
            <w:r w:rsidRPr="007E130D">
              <w:t>29 716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EABE9D" w14:textId="77777777" w:rsidR="00965863" w:rsidRPr="007E130D" w:rsidRDefault="00965863" w:rsidP="00B20AC9">
            <w:pPr>
              <w:pStyle w:val="Tabletext"/>
              <w:jc w:val="center"/>
              <w:rPr>
                <w:b/>
                <w:bCs/>
              </w:rPr>
            </w:pPr>
            <w:r w:rsidRPr="007E130D">
              <w:rPr>
                <w:b/>
                <w:bCs/>
              </w:rPr>
              <w:t>241 110</w:t>
            </w:r>
          </w:p>
        </w:tc>
      </w:tr>
      <w:tr w:rsidR="00965863" w:rsidRPr="007E130D" w14:paraId="30AB4C99"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42E527" w14:textId="77777777" w:rsidR="00965863" w:rsidRPr="007E130D" w:rsidRDefault="00965863" w:rsidP="00B20AC9">
            <w:pPr>
              <w:pStyle w:val="Tablelegend"/>
              <w:jc w:val="center"/>
              <w:rPr>
                <w:b/>
                <w:bCs/>
              </w:rPr>
            </w:pPr>
            <w:r w:rsidRPr="007E130D">
              <w:rPr>
                <w:b/>
                <w:bCs/>
              </w:rPr>
              <w:t>BS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5DC0B2" w14:textId="77777777" w:rsidR="00965863" w:rsidRPr="007E130D" w:rsidRDefault="00965863" w:rsidP="00B20AC9">
            <w:pPr>
              <w:pStyle w:val="Tabletext"/>
              <w:jc w:val="center"/>
            </w:pPr>
            <w:r w:rsidRPr="007E130D">
              <w:t>28 707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B610A1" w14:textId="77777777" w:rsidR="00965863" w:rsidRPr="007E130D" w:rsidRDefault="00965863" w:rsidP="00B20AC9">
            <w:pPr>
              <w:pStyle w:val="Tabletext"/>
              <w:jc w:val="center"/>
            </w:pPr>
            <w:r w:rsidRPr="007E130D">
              <w:t>35 392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A8D186" w14:textId="77777777" w:rsidR="00965863" w:rsidRPr="007E130D" w:rsidRDefault="00965863" w:rsidP="00B20AC9">
            <w:pPr>
              <w:pStyle w:val="Tabletext"/>
              <w:jc w:val="center"/>
            </w:pPr>
            <w:r w:rsidRPr="007E130D">
              <w:t>30 002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7ABDD9" w14:textId="77777777" w:rsidR="00965863" w:rsidRPr="007E130D" w:rsidRDefault="00965863" w:rsidP="00B20AC9">
            <w:pPr>
              <w:pStyle w:val="Tabletext"/>
              <w:jc w:val="center"/>
            </w:pPr>
            <w:r w:rsidRPr="007E130D">
              <w:t>11 987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D20234" w14:textId="77777777" w:rsidR="00965863" w:rsidRPr="007E130D" w:rsidRDefault="00965863" w:rsidP="00B20AC9">
            <w:pPr>
              <w:pStyle w:val="Tabletext"/>
              <w:jc w:val="center"/>
              <w:rPr>
                <w:b/>
                <w:bCs/>
              </w:rPr>
            </w:pPr>
            <w:r w:rsidRPr="007E130D">
              <w:rPr>
                <w:b/>
                <w:bCs/>
              </w:rPr>
              <w:t>106 088</w:t>
            </w:r>
          </w:p>
        </w:tc>
      </w:tr>
      <w:tr w:rsidR="00965863" w:rsidRPr="007E130D" w14:paraId="15E9305C"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A65CE7" w14:textId="77777777" w:rsidR="00965863" w:rsidRPr="007E130D" w:rsidRDefault="00965863" w:rsidP="00B20AC9">
            <w:pPr>
              <w:pStyle w:val="Tablelegend"/>
              <w:jc w:val="center"/>
              <w:rPr>
                <w:b/>
                <w:bCs/>
              </w:rPr>
            </w:pPr>
            <w:r w:rsidRPr="007E130D">
              <w:rPr>
                <w:b/>
                <w:bCs/>
              </w:rPr>
              <w:t>BO</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46E329" w14:textId="77777777" w:rsidR="00965863" w:rsidRPr="007E130D" w:rsidRDefault="00965863" w:rsidP="00B20AC9">
            <w:pPr>
              <w:pStyle w:val="Tabletext"/>
              <w:jc w:val="center"/>
            </w:pPr>
            <w:r w:rsidRPr="007E130D">
              <w:t>14 003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855C2E" w14:textId="77777777" w:rsidR="00965863" w:rsidRPr="007E130D" w:rsidRDefault="00965863" w:rsidP="00B20AC9">
            <w:pPr>
              <w:pStyle w:val="Tabletext"/>
              <w:jc w:val="center"/>
            </w:pPr>
            <w:r w:rsidRPr="007E130D">
              <w:t>16 812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2E4B12" w14:textId="77777777" w:rsidR="00965863" w:rsidRPr="007E130D" w:rsidRDefault="00965863" w:rsidP="00B20AC9">
            <w:pPr>
              <w:pStyle w:val="Tabletext"/>
              <w:jc w:val="center"/>
            </w:pPr>
            <w:r w:rsidRPr="007E130D">
              <w:t>16 721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02BCC5" w14:textId="77777777" w:rsidR="00965863" w:rsidRPr="007E130D" w:rsidRDefault="00965863" w:rsidP="00B20AC9">
            <w:pPr>
              <w:pStyle w:val="Tabletext"/>
              <w:jc w:val="center"/>
            </w:pPr>
            <w:r w:rsidRPr="007E130D">
              <w:t>6 714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109322" w14:textId="77777777" w:rsidR="00965863" w:rsidRPr="007E130D" w:rsidRDefault="00965863" w:rsidP="00B20AC9">
            <w:pPr>
              <w:pStyle w:val="Tabletext"/>
              <w:jc w:val="center"/>
              <w:rPr>
                <w:b/>
                <w:bCs/>
              </w:rPr>
            </w:pPr>
            <w:r w:rsidRPr="007E130D">
              <w:rPr>
                <w:b/>
                <w:bCs/>
              </w:rPr>
              <w:t>54 250</w:t>
            </w:r>
          </w:p>
        </w:tc>
      </w:tr>
      <w:tr w:rsidR="00965863" w:rsidRPr="007E130D" w14:paraId="4DBB7A55"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F0E4F5" w14:textId="77777777" w:rsidR="00965863" w:rsidRPr="007E130D" w:rsidRDefault="00965863" w:rsidP="00B20AC9">
            <w:pPr>
              <w:pStyle w:val="Tablelegend"/>
              <w:jc w:val="center"/>
              <w:rPr>
                <w:b/>
                <w:bCs/>
              </w:rPr>
            </w:pPr>
            <w:r w:rsidRPr="007E130D">
              <w:rPr>
                <w:b/>
                <w:bCs/>
              </w:rPr>
              <w:t>P</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8C52F0" w14:textId="77777777" w:rsidR="00965863" w:rsidRPr="007E130D" w:rsidRDefault="00965863" w:rsidP="00B20AC9">
            <w:pPr>
              <w:pStyle w:val="Tabletext"/>
              <w:jc w:val="center"/>
            </w:pPr>
            <w:r w:rsidRPr="007E130D">
              <w:t>14 785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56830C" w14:textId="77777777" w:rsidR="00965863" w:rsidRPr="007E130D" w:rsidRDefault="00965863" w:rsidP="00B20AC9">
            <w:pPr>
              <w:pStyle w:val="Tabletext"/>
              <w:jc w:val="center"/>
            </w:pPr>
            <w:r w:rsidRPr="007E130D">
              <w:t>18 142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EE569A" w14:textId="77777777" w:rsidR="00965863" w:rsidRPr="007E130D" w:rsidRDefault="00965863" w:rsidP="00B20AC9">
            <w:pPr>
              <w:pStyle w:val="Tabletext"/>
              <w:jc w:val="center"/>
            </w:pPr>
            <w:r w:rsidRPr="007E130D">
              <w:t>15 647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7D135B" w14:textId="77777777" w:rsidR="00965863" w:rsidRPr="007E130D" w:rsidRDefault="00965863" w:rsidP="00B20AC9">
            <w:pPr>
              <w:pStyle w:val="Tabletext"/>
              <w:jc w:val="center"/>
            </w:pPr>
            <w:r w:rsidRPr="007E130D">
              <w:t>5 646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5C79DA" w14:textId="77777777" w:rsidR="00965863" w:rsidRPr="007E130D" w:rsidRDefault="00965863" w:rsidP="00B20AC9">
            <w:pPr>
              <w:pStyle w:val="Tabletext"/>
              <w:jc w:val="center"/>
              <w:rPr>
                <w:b/>
                <w:bCs/>
              </w:rPr>
            </w:pPr>
            <w:r w:rsidRPr="007E130D">
              <w:rPr>
                <w:b/>
                <w:bCs/>
              </w:rPr>
              <w:t>54 220</w:t>
            </w:r>
          </w:p>
        </w:tc>
      </w:tr>
      <w:tr w:rsidR="00965863" w:rsidRPr="007E130D" w14:paraId="36B8AAD6"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50FC6D" w14:textId="77777777" w:rsidR="00965863" w:rsidRPr="007E130D" w:rsidRDefault="00965863" w:rsidP="00B20AC9">
            <w:pPr>
              <w:pStyle w:val="Tablelegend"/>
              <w:jc w:val="center"/>
              <w:rPr>
                <w:b/>
                <w:bCs/>
              </w:rPr>
            </w:pPr>
            <w:r w:rsidRPr="007E130D">
              <w:rPr>
                <w:b/>
                <w:bCs/>
              </w:rPr>
              <w: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F0AA81" w14:textId="77777777" w:rsidR="00965863" w:rsidRPr="007E130D" w:rsidRDefault="00965863" w:rsidP="00B20AC9">
            <w:pPr>
              <w:pStyle w:val="Tabletext"/>
              <w:jc w:val="center"/>
            </w:pPr>
            <w:r w:rsidRPr="007E130D">
              <w:t>12 411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C9E696" w14:textId="77777777" w:rsidR="00965863" w:rsidRPr="007E130D" w:rsidRDefault="00965863" w:rsidP="00B20AC9">
            <w:pPr>
              <w:pStyle w:val="Tabletext"/>
              <w:jc w:val="center"/>
            </w:pPr>
            <w:r w:rsidRPr="007E130D">
              <w:t>15 138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9FEC86" w14:textId="77777777" w:rsidR="00965863" w:rsidRPr="007E130D" w:rsidRDefault="00965863" w:rsidP="00B20AC9">
            <w:pPr>
              <w:pStyle w:val="Tabletext"/>
              <w:jc w:val="center"/>
            </w:pPr>
            <w:r w:rsidRPr="007E130D">
              <w:t>8 623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4196F6" w14:textId="77777777" w:rsidR="00965863" w:rsidRPr="007E130D" w:rsidRDefault="00965863" w:rsidP="00B20AC9">
            <w:pPr>
              <w:pStyle w:val="Tabletext"/>
              <w:jc w:val="center"/>
            </w:pPr>
            <w:r w:rsidRPr="007E130D">
              <w:t>3 196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4943BF" w14:textId="77777777" w:rsidR="00965863" w:rsidRPr="007E130D" w:rsidRDefault="00965863" w:rsidP="00B20AC9">
            <w:pPr>
              <w:pStyle w:val="Tabletext"/>
              <w:jc w:val="center"/>
              <w:rPr>
                <w:b/>
                <w:bCs/>
              </w:rPr>
            </w:pPr>
            <w:r w:rsidRPr="007E130D">
              <w:rPr>
                <w:b/>
                <w:bCs/>
              </w:rPr>
              <w:t>39 368</w:t>
            </w:r>
          </w:p>
        </w:tc>
      </w:tr>
      <w:tr w:rsidR="00965863" w:rsidRPr="007E130D" w14:paraId="76CD1788"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7EB346" w14:textId="77777777" w:rsidR="00965863" w:rsidRPr="007E130D" w:rsidRDefault="00965863" w:rsidP="00B20AC9">
            <w:pPr>
              <w:pStyle w:val="Tablelegend"/>
              <w:jc w:val="center"/>
              <w:rPr>
                <w:b/>
                <w:bCs/>
              </w:rPr>
            </w:pPr>
            <w:r w:rsidRPr="007E130D">
              <w:rPr>
                <w:b/>
                <w:bCs/>
              </w:rPr>
              <w:t>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B074F9" w14:textId="77777777" w:rsidR="00965863" w:rsidRPr="007E130D" w:rsidRDefault="00965863" w:rsidP="00B20AC9">
            <w:pPr>
              <w:pStyle w:val="Tabletext"/>
              <w:jc w:val="center"/>
            </w:pPr>
            <w:r w:rsidRPr="007E130D">
              <w:t>10 001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4478E" w14:textId="77777777" w:rsidR="00965863" w:rsidRPr="007E130D" w:rsidRDefault="00965863" w:rsidP="00B20AC9">
            <w:pPr>
              <w:pStyle w:val="Tabletext"/>
              <w:jc w:val="center"/>
            </w:pPr>
            <w:r w:rsidRPr="007E130D">
              <w:t>9 918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B9D6EB" w14:textId="77777777" w:rsidR="00965863" w:rsidRPr="007E130D" w:rsidRDefault="00965863" w:rsidP="00B20AC9">
            <w:pPr>
              <w:pStyle w:val="Tabletext"/>
              <w:jc w:val="center"/>
            </w:pPr>
            <w:r w:rsidRPr="007E130D">
              <w:t>9 170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76E862" w14:textId="77777777" w:rsidR="00965863" w:rsidRPr="007E130D" w:rsidRDefault="00965863" w:rsidP="00B20AC9">
            <w:pPr>
              <w:pStyle w:val="Tabletext"/>
              <w:jc w:val="center"/>
            </w:pPr>
            <w:r w:rsidRPr="007E130D">
              <w:t>3 583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BDF0D6" w14:textId="77777777" w:rsidR="00965863" w:rsidRPr="007E130D" w:rsidRDefault="00965863" w:rsidP="00B20AC9">
            <w:pPr>
              <w:pStyle w:val="Tabletext"/>
              <w:jc w:val="center"/>
              <w:rPr>
                <w:b/>
                <w:bCs/>
              </w:rPr>
            </w:pPr>
            <w:r w:rsidRPr="007E130D">
              <w:rPr>
                <w:b/>
                <w:bCs/>
              </w:rPr>
              <w:t>32 672</w:t>
            </w:r>
          </w:p>
        </w:tc>
      </w:tr>
      <w:tr w:rsidR="00965863" w:rsidRPr="007E130D" w14:paraId="24C13B8B"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0CBBC9" w14:textId="77777777" w:rsidR="00965863" w:rsidRPr="007E130D" w:rsidRDefault="00965863" w:rsidP="00B20AC9">
            <w:pPr>
              <w:pStyle w:val="Tablelegend"/>
              <w:jc w:val="center"/>
              <w:rPr>
                <w:b/>
                <w:bCs/>
              </w:rPr>
            </w:pPr>
            <w:r w:rsidRPr="007E130D">
              <w:rPr>
                <w:b/>
                <w:bCs/>
              </w:rPr>
              <w:t>SA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8CDFC4" w14:textId="77777777" w:rsidR="00965863" w:rsidRPr="007E130D" w:rsidRDefault="00965863" w:rsidP="00B20AC9">
            <w:pPr>
              <w:pStyle w:val="Tabletext"/>
              <w:jc w:val="center"/>
            </w:pPr>
            <w:r w:rsidRPr="007E130D">
              <w:t>5 547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71428F" w14:textId="77777777" w:rsidR="00965863" w:rsidRPr="007E130D" w:rsidRDefault="00965863" w:rsidP="00B20AC9">
            <w:pPr>
              <w:pStyle w:val="Tabletext"/>
              <w:jc w:val="center"/>
            </w:pPr>
            <w:r w:rsidRPr="007E130D">
              <w:t>9 042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13586A" w14:textId="77777777" w:rsidR="00965863" w:rsidRPr="007E130D" w:rsidRDefault="00965863" w:rsidP="00B20AC9">
            <w:pPr>
              <w:pStyle w:val="Tabletext"/>
              <w:jc w:val="center"/>
            </w:pPr>
            <w:r w:rsidRPr="007E130D">
              <w:t>5 346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33CD13" w14:textId="77777777" w:rsidR="00965863" w:rsidRPr="007E130D" w:rsidRDefault="00965863" w:rsidP="00B20AC9">
            <w:pPr>
              <w:pStyle w:val="Tabletext"/>
              <w:jc w:val="center"/>
            </w:pPr>
            <w:r w:rsidRPr="007E130D">
              <w:t>2 526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4F2168" w14:textId="77777777" w:rsidR="00965863" w:rsidRPr="007E130D" w:rsidRDefault="00965863" w:rsidP="00B20AC9">
            <w:pPr>
              <w:pStyle w:val="Tabletext"/>
              <w:jc w:val="center"/>
              <w:rPr>
                <w:b/>
                <w:bCs/>
              </w:rPr>
            </w:pPr>
            <w:r w:rsidRPr="007E130D">
              <w:rPr>
                <w:b/>
                <w:bCs/>
              </w:rPr>
              <w:t>22 461</w:t>
            </w:r>
          </w:p>
        </w:tc>
      </w:tr>
      <w:tr w:rsidR="00965863" w:rsidRPr="007E130D" w14:paraId="4B040705"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161625" w14:textId="77777777" w:rsidR="00965863" w:rsidRPr="007E130D" w:rsidRDefault="00965863" w:rsidP="00B20AC9">
            <w:pPr>
              <w:pStyle w:val="Tablelegend"/>
              <w:jc w:val="center"/>
              <w:rPr>
                <w:b/>
                <w:bCs/>
              </w:rPr>
            </w:pPr>
            <w:r w:rsidRPr="007E130D">
              <w:rPr>
                <w:b/>
                <w:bCs/>
              </w:rPr>
              <w:t>RS</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5C4A53" w14:textId="77777777" w:rsidR="00965863" w:rsidRPr="007E130D" w:rsidRDefault="00965863" w:rsidP="00B20AC9">
            <w:pPr>
              <w:pStyle w:val="Tabletext"/>
              <w:jc w:val="center"/>
            </w:pPr>
            <w:r w:rsidRPr="007E130D">
              <w:t>4 796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9C5DE5" w14:textId="77777777" w:rsidR="00965863" w:rsidRPr="007E130D" w:rsidRDefault="00965863" w:rsidP="00B20AC9">
            <w:pPr>
              <w:pStyle w:val="Tabletext"/>
              <w:jc w:val="center"/>
            </w:pPr>
            <w:r w:rsidRPr="007E130D">
              <w:t>6 343</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CAEAE4" w14:textId="77777777" w:rsidR="00965863" w:rsidRPr="007E130D" w:rsidRDefault="00965863" w:rsidP="00B20AC9">
            <w:pPr>
              <w:pStyle w:val="Tabletext"/>
              <w:jc w:val="center"/>
            </w:pPr>
            <w:r w:rsidRPr="007E130D">
              <w:t>4 486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A1F85B" w14:textId="77777777" w:rsidR="00965863" w:rsidRPr="007E130D" w:rsidRDefault="00965863" w:rsidP="00B20AC9">
            <w:pPr>
              <w:pStyle w:val="Tabletext"/>
              <w:jc w:val="center"/>
            </w:pPr>
            <w:r w:rsidRPr="007E130D">
              <w:t>2 054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C1987F" w14:textId="77777777" w:rsidR="00965863" w:rsidRPr="007E130D" w:rsidRDefault="00965863" w:rsidP="00B20AC9">
            <w:pPr>
              <w:pStyle w:val="Tabletext"/>
              <w:jc w:val="center"/>
              <w:rPr>
                <w:b/>
                <w:bCs/>
              </w:rPr>
            </w:pPr>
            <w:r w:rsidRPr="007E130D">
              <w:rPr>
                <w:b/>
                <w:bCs/>
              </w:rPr>
              <w:t>17 679</w:t>
            </w:r>
          </w:p>
        </w:tc>
      </w:tr>
      <w:tr w:rsidR="00965863" w:rsidRPr="007E130D" w14:paraId="1DCC8F5F"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8E1E35" w14:textId="77777777" w:rsidR="00965863" w:rsidRPr="007E130D" w:rsidRDefault="00965863" w:rsidP="00B20AC9">
            <w:pPr>
              <w:pStyle w:val="Tablelegend"/>
              <w:jc w:val="center"/>
              <w:rPr>
                <w:b/>
                <w:bCs/>
              </w:rPr>
            </w:pPr>
            <w:r w:rsidRPr="007E130D">
              <w:rPr>
                <w:b/>
                <w:bCs/>
              </w:rPr>
              <w:t>RA</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29DDD4" w14:textId="77777777" w:rsidR="00965863" w:rsidRPr="007E130D" w:rsidRDefault="00965863" w:rsidP="00B20AC9">
            <w:pPr>
              <w:pStyle w:val="Tabletext"/>
              <w:jc w:val="center"/>
            </w:pPr>
            <w:r w:rsidRPr="007E130D">
              <w:t>4 222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2FCA2E" w14:textId="77777777" w:rsidR="00965863" w:rsidRPr="007E130D" w:rsidRDefault="00965863" w:rsidP="00B20AC9">
            <w:pPr>
              <w:pStyle w:val="Tabletext"/>
              <w:jc w:val="center"/>
            </w:pPr>
            <w:r w:rsidRPr="007E130D">
              <w:t>4 834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6C4172" w14:textId="3DAD808A" w:rsidR="00965863" w:rsidRPr="007E130D" w:rsidRDefault="00965863" w:rsidP="00B20AC9">
            <w:pPr>
              <w:pStyle w:val="Tabletext"/>
              <w:jc w:val="center"/>
            </w:pPr>
            <w:r w:rsidRPr="007E130D">
              <w:t>4</w:t>
            </w:r>
            <w:r w:rsidR="009232E4" w:rsidRPr="007E130D">
              <w:t> </w:t>
            </w:r>
            <w:r w:rsidRPr="007E130D">
              <w:t>840</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177A1E" w14:textId="77777777" w:rsidR="00965863" w:rsidRPr="007E130D" w:rsidRDefault="00965863" w:rsidP="00B20AC9">
            <w:pPr>
              <w:pStyle w:val="Tabletext"/>
              <w:jc w:val="center"/>
            </w:pPr>
            <w:r w:rsidRPr="007E130D">
              <w:t>2 159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B4CA94" w14:textId="44290E57" w:rsidR="00965863" w:rsidRPr="007E130D" w:rsidRDefault="00965863" w:rsidP="00B20AC9">
            <w:pPr>
              <w:pStyle w:val="Tabletext"/>
              <w:jc w:val="center"/>
              <w:rPr>
                <w:b/>
                <w:bCs/>
              </w:rPr>
            </w:pPr>
            <w:r w:rsidRPr="007E130D">
              <w:rPr>
                <w:b/>
                <w:bCs/>
              </w:rPr>
              <w:t>16</w:t>
            </w:r>
            <w:r w:rsidR="009232E4" w:rsidRPr="007E130D">
              <w:rPr>
                <w:b/>
                <w:bCs/>
              </w:rPr>
              <w:t> </w:t>
            </w:r>
            <w:r w:rsidRPr="007E130D">
              <w:rPr>
                <w:b/>
                <w:bCs/>
              </w:rPr>
              <w:t>055</w:t>
            </w:r>
          </w:p>
        </w:tc>
      </w:tr>
      <w:tr w:rsidR="00965863" w:rsidRPr="007E130D" w14:paraId="47A81D5D"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A4EFCD" w14:textId="77777777" w:rsidR="00965863" w:rsidRPr="007E130D" w:rsidRDefault="00965863" w:rsidP="00B20AC9">
            <w:pPr>
              <w:pStyle w:val="Tablelegend"/>
              <w:jc w:val="center"/>
              <w:rPr>
                <w:b/>
                <w:bCs/>
              </w:rPr>
            </w:pPr>
            <w:r w:rsidRPr="007E130D">
              <w:rPr>
                <w:b/>
                <w:bCs/>
              </w:rPr>
              <w:t>SF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905F78" w14:textId="77777777" w:rsidR="00965863" w:rsidRPr="007E130D" w:rsidRDefault="00965863" w:rsidP="00B20AC9">
            <w:pPr>
              <w:pStyle w:val="Tabletext"/>
              <w:jc w:val="center"/>
            </w:pPr>
            <w:r w:rsidRPr="007E130D">
              <w:t>387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AB49D2" w14:textId="77777777" w:rsidR="00965863" w:rsidRPr="007E130D" w:rsidRDefault="00965863" w:rsidP="00B20AC9">
            <w:pPr>
              <w:pStyle w:val="Tabletext"/>
              <w:jc w:val="center"/>
            </w:pPr>
            <w:r w:rsidRPr="007E130D">
              <w:t>397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3BE537" w14:textId="77777777" w:rsidR="00965863" w:rsidRPr="007E130D" w:rsidRDefault="00965863" w:rsidP="00B20AC9">
            <w:pPr>
              <w:pStyle w:val="Tabletext"/>
              <w:jc w:val="center"/>
            </w:pPr>
            <w:r w:rsidRPr="007E130D">
              <w:t>326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D54659" w14:textId="77777777" w:rsidR="00965863" w:rsidRPr="007E130D" w:rsidRDefault="00965863" w:rsidP="00B20AC9">
            <w:pPr>
              <w:pStyle w:val="Tabletext"/>
              <w:jc w:val="center"/>
            </w:pPr>
            <w:r w:rsidRPr="007E130D">
              <w:t>127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F8963A" w14:textId="77777777" w:rsidR="00965863" w:rsidRPr="007E130D" w:rsidRDefault="00965863" w:rsidP="00B20AC9">
            <w:pPr>
              <w:pStyle w:val="Tabletext"/>
              <w:jc w:val="center"/>
              <w:rPr>
                <w:b/>
                <w:bCs/>
              </w:rPr>
            </w:pPr>
            <w:r w:rsidRPr="007E130D">
              <w:rPr>
                <w:b/>
                <w:bCs/>
              </w:rPr>
              <w:t>1 237</w:t>
            </w:r>
          </w:p>
        </w:tc>
      </w:tr>
      <w:tr w:rsidR="00965863" w:rsidRPr="007E130D" w14:paraId="69FC87BA"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7B6103" w14:textId="77777777" w:rsidR="00965863" w:rsidRPr="007E130D" w:rsidRDefault="00965863" w:rsidP="00B20AC9">
            <w:pPr>
              <w:pStyle w:val="Tablelegend"/>
              <w:jc w:val="center"/>
              <w:rPr>
                <w:b/>
                <w:bCs/>
              </w:rPr>
            </w:pPr>
            <w:r w:rsidRPr="007E130D">
              <w:rPr>
                <w:b/>
                <w:bCs/>
              </w:rPr>
              <w:t>TF</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457CF7" w14:textId="77777777" w:rsidR="00965863" w:rsidRPr="007E130D" w:rsidRDefault="00965863" w:rsidP="00B20AC9">
            <w:pPr>
              <w:pStyle w:val="Tabletext"/>
              <w:jc w:val="center"/>
            </w:pPr>
            <w:r w:rsidRPr="007E130D">
              <w:t xml:space="preserve"> </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D7F781" w14:textId="77777777" w:rsidR="00965863" w:rsidRPr="007E130D" w:rsidRDefault="00965863" w:rsidP="00B20AC9">
            <w:pPr>
              <w:pStyle w:val="Tabletext"/>
              <w:jc w:val="center"/>
            </w:pPr>
            <w:r w:rsidRPr="007E130D">
              <w:t>97</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3EFFBB" w14:textId="77777777" w:rsidR="00965863" w:rsidRPr="007E130D" w:rsidRDefault="00965863" w:rsidP="00B20AC9">
            <w:pPr>
              <w:pStyle w:val="Tabletext"/>
              <w:jc w:val="center"/>
            </w:pPr>
            <w:r w:rsidRPr="007E130D">
              <w:t>466</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E58A0B" w14:textId="77777777" w:rsidR="00965863" w:rsidRPr="007E130D" w:rsidRDefault="00965863" w:rsidP="00B20AC9">
            <w:pPr>
              <w:pStyle w:val="Tabletext"/>
              <w:jc w:val="center"/>
            </w:pPr>
            <w:r w:rsidRPr="007E130D">
              <w:t>235</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ED8B0F" w14:textId="77777777" w:rsidR="00965863" w:rsidRPr="007E130D" w:rsidRDefault="00965863" w:rsidP="00B20AC9">
            <w:pPr>
              <w:pStyle w:val="Tabletext"/>
              <w:jc w:val="center"/>
              <w:rPr>
                <w:b/>
                <w:bCs/>
              </w:rPr>
            </w:pPr>
            <w:r w:rsidRPr="007E130D">
              <w:rPr>
                <w:b/>
                <w:bCs/>
              </w:rPr>
              <w:t>798</w:t>
            </w:r>
          </w:p>
        </w:tc>
      </w:tr>
      <w:tr w:rsidR="00965863" w:rsidRPr="007E130D" w14:paraId="311F3979"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EFDD23" w14:textId="77777777" w:rsidR="00965863" w:rsidRPr="007E130D" w:rsidRDefault="00965863" w:rsidP="00B20AC9">
            <w:pPr>
              <w:pStyle w:val="Tablelegend"/>
              <w:jc w:val="center"/>
              <w:rPr>
                <w:b/>
                <w:bCs/>
              </w:rPr>
            </w:pPr>
            <w:r w:rsidRPr="007E130D">
              <w:rPr>
                <w:b/>
                <w:bCs/>
              </w:rPr>
              <w:t>BR</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035723" w14:textId="77777777" w:rsidR="00965863" w:rsidRPr="007E130D" w:rsidRDefault="00965863" w:rsidP="00B20AC9">
            <w:pPr>
              <w:pStyle w:val="Tabletext"/>
              <w:jc w:val="center"/>
            </w:pPr>
            <w:r w:rsidRPr="007E130D">
              <w:t>72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32C83B" w14:textId="77777777" w:rsidR="00965863" w:rsidRPr="007E130D" w:rsidRDefault="00965863" w:rsidP="00B20AC9">
            <w:pPr>
              <w:pStyle w:val="Tabletext"/>
              <w:jc w:val="center"/>
            </w:pPr>
            <w:r w:rsidRPr="007E130D">
              <w:t>61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387C91" w14:textId="77777777" w:rsidR="00965863" w:rsidRPr="007E130D" w:rsidRDefault="00965863" w:rsidP="00B20AC9">
            <w:pPr>
              <w:pStyle w:val="Tabletext"/>
              <w:jc w:val="center"/>
            </w:pPr>
            <w:r w:rsidRPr="007E130D">
              <w:t>88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0F8730" w14:textId="77777777" w:rsidR="00965863" w:rsidRPr="007E130D" w:rsidRDefault="00965863" w:rsidP="00B20AC9">
            <w:pPr>
              <w:pStyle w:val="Tabletext"/>
              <w:jc w:val="center"/>
            </w:pPr>
            <w:r w:rsidRPr="007E130D">
              <w:t>34</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C22557" w14:textId="77777777" w:rsidR="00965863" w:rsidRPr="007E130D" w:rsidRDefault="00965863" w:rsidP="00B20AC9">
            <w:pPr>
              <w:pStyle w:val="Tabletext"/>
              <w:jc w:val="center"/>
              <w:rPr>
                <w:b/>
                <w:bCs/>
              </w:rPr>
            </w:pPr>
            <w:r w:rsidRPr="007E130D">
              <w:rPr>
                <w:b/>
                <w:bCs/>
              </w:rPr>
              <w:t>255</w:t>
            </w:r>
          </w:p>
        </w:tc>
      </w:tr>
      <w:tr w:rsidR="00965863" w:rsidRPr="007E130D" w14:paraId="798BDC2E" w14:textId="77777777" w:rsidTr="00AF51A3">
        <w:trPr>
          <w:trHeight w:val="300"/>
          <w:jc w:val="center"/>
        </w:trPr>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EC99A5" w14:textId="77777777" w:rsidR="00965863" w:rsidRPr="007E130D" w:rsidRDefault="00965863" w:rsidP="00B20AC9">
            <w:pPr>
              <w:pStyle w:val="Tablelegend"/>
              <w:jc w:val="center"/>
              <w:rPr>
                <w:b/>
                <w:bCs/>
              </w:rPr>
            </w:pPr>
            <w:r w:rsidRPr="007E130D">
              <w:rPr>
                <w:b/>
                <w:bCs/>
              </w:rPr>
              <w:t>Total</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CF1BBF" w14:textId="77777777" w:rsidR="00965863" w:rsidRPr="007E130D" w:rsidRDefault="00965863" w:rsidP="00B20AC9">
            <w:pPr>
              <w:pStyle w:val="Tabletext"/>
              <w:jc w:val="center"/>
              <w:rPr>
                <w:b/>
                <w:bCs/>
              </w:rPr>
            </w:pPr>
            <w:r w:rsidRPr="007E130D">
              <w:rPr>
                <w:b/>
                <w:bCs/>
              </w:rPr>
              <w:t>362 382</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6828D5" w14:textId="77777777" w:rsidR="00965863" w:rsidRPr="007E130D" w:rsidRDefault="00965863" w:rsidP="00B20AC9">
            <w:pPr>
              <w:pStyle w:val="Tabletext"/>
              <w:jc w:val="center"/>
              <w:rPr>
                <w:b/>
                <w:bCs/>
              </w:rPr>
            </w:pPr>
            <w:r w:rsidRPr="007E130D">
              <w:rPr>
                <w:b/>
                <w:bCs/>
              </w:rPr>
              <w:t>459 521</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F340ED" w14:textId="77777777" w:rsidR="00965863" w:rsidRPr="007E130D" w:rsidRDefault="00965863" w:rsidP="00B20AC9">
            <w:pPr>
              <w:pStyle w:val="Tabletext"/>
              <w:jc w:val="center"/>
              <w:rPr>
                <w:b/>
                <w:bCs/>
              </w:rPr>
            </w:pPr>
            <w:r w:rsidRPr="007E130D">
              <w:rPr>
                <w:b/>
                <w:bCs/>
              </w:rPr>
              <w:t>380 758</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0EC439" w14:textId="77777777" w:rsidR="00965863" w:rsidRPr="007E130D" w:rsidRDefault="00965863" w:rsidP="00B20AC9">
            <w:pPr>
              <w:pStyle w:val="Tabletext"/>
              <w:jc w:val="center"/>
              <w:rPr>
                <w:b/>
                <w:bCs/>
              </w:rPr>
            </w:pPr>
            <w:r w:rsidRPr="007E130D">
              <w:rPr>
                <w:b/>
                <w:bCs/>
              </w:rPr>
              <w:t>154 989</w:t>
            </w:r>
          </w:p>
        </w:tc>
        <w:tc>
          <w:tcPr>
            <w:tcW w:w="16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8AAFED" w14:textId="77777777" w:rsidR="00965863" w:rsidRPr="007E130D" w:rsidRDefault="00965863" w:rsidP="00B20AC9">
            <w:pPr>
              <w:pStyle w:val="Tabletext"/>
              <w:jc w:val="center"/>
              <w:rPr>
                <w:b/>
                <w:bCs/>
              </w:rPr>
            </w:pPr>
            <w:r w:rsidRPr="007E130D">
              <w:rPr>
                <w:b/>
                <w:bCs/>
              </w:rPr>
              <w:t>1 357 650</w:t>
            </w:r>
          </w:p>
        </w:tc>
      </w:tr>
      <w:tr w:rsidR="00965863" w:rsidRPr="007E130D" w14:paraId="367555AC" w14:textId="77777777" w:rsidTr="00AF51A3">
        <w:trPr>
          <w:trHeight w:val="300"/>
          <w:jc w:val="center"/>
        </w:trPr>
        <w:tc>
          <w:tcPr>
            <w:tcW w:w="9630" w:type="dxa"/>
            <w:gridSpan w:val="6"/>
            <w:tcBorders>
              <w:top w:val="single" w:sz="4" w:space="0" w:color="auto"/>
            </w:tcBorders>
            <w:tcMar>
              <w:top w:w="15" w:type="dxa"/>
              <w:left w:w="15" w:type="dxa"/>
              <w:right w:w="15" w:type="dxa"/>
            </w:tcMar>
            <w:vAlign w:val="bottom"/>
          </w:tcPr>
          <w:p w14:paraId="058ABCB0" w14:textId="226005A0" w:rsidR="00965863" w:rsidRPr="007E130D" w:rsidRDefault="00965863" w:rsidP="00B20AC9">
            <w:pPr>
              <w:pStyle w:val="Tablelegend"/>
              <w:rPr>
                <w:b/>
                <w:bCs/>
              </w:rPr>
            </w:pPr>
            <w:r w:rsidRPr="007E130D">
              <w:t>*</w:t>
            </w:r>
            <w:r w:rsidRPr="007E130D">
              <w:tab/>
              <w:t>Jusqu'en avril 2023</w:t>
            </w:r>
            <w:r w:rsidR="009232E4" w:rsidRPr="007E130D">
              <w:t>.</w:t>
            </w:r>
          </w:p>
        </w:tc>
      </w:tr>
    </w:tbl>
    <w:p w14:paraId="4E6487FE" w14:textId="11C3ACF9" w:rsidR="00A82EF2" w:rsidRPr="007E130D" w:rsidRDefault="00A82EF2" w:rsidP="00EF328D">
      <w:pPr>
        <w:pStyle w:val="Normalaftertitle"/>
        <w:rPr>
          <w:lang w:eastAsia="zh-CN"/>
        </w:rPr>
      </w:pPr>
      <w:r w:rsidRPr="007E130D">
        <w:rPr>
          <w:lang w:eastAsia="zh-CN"/>
        </w:rPr>
        <w:t xml:space="preserve">Comme indiqué dans le Tableau, plus de </w:t>
      </w:r>
      <w:r w:rsidR="00965863" w:rsidRPr="007E130D">
        <w:rPr>
          <w:lang w:eastAsia="zh-CN"/>
        </w:rPr>
        <w:t>60</w:t>
      </w:r>
      <w:r w:rsidRPr="007E130D">
        <w:rPr>
          <w:lang w:eastAsia="zh-CN"/>
        </w:rPr>
        <w:t xml:space="preserve">% du nombre de téléchargements </w:t>
      </w:r>
      <w:r w:rsidRPr="007E130D">
        <w:t xml:space="preserve">correspondent </w:t>
      </w:r>
      <w:r w:rsidR="00C476BA" w:rsidRPr="007E130D">
        <w:t>aux</w:t>
      </w:r>
      <w:r w:rsidRPr="007E130D">
        <w:t xml:space="preserve"> série</w:t>
      </w:r>
      <w:r w:rsidR="00C476BA" w:rsidRPr="007E130D">
        <w:t>s SM et</w:t>
      </w:r>
      <w:r w:rsidRPr="007E130D">
        <w:rPr>
          <w:lang w:eastAsia="zh-CN"/>
        </w:rPr>
        <w:t xml:space="preserve"> M (</w:t>
      </w:r>
      <w:r w:rsidR="00C476BA" w:rsidRPr="007E130D">
        <w:rPr>
          <w:lang w:eastAsia="zh-CN"/>
        </w:rPr>
        <w:t xml:space="preserve">Gestion du spectre, </w:t>
      </w:r>
      <w:r w:rsidRPr="007E130D">
        <w:t xml:space="preserve">Service </w:t>
      </w:r>
      <w:r w:rsidRPr="007E130D">
        <w:rPr>
          <w:lang w:eastAsia="zh-CN"/>
        </w:rPr>
        <w:t xml:space="preserve">mobile), </w:t>
      </w:r>
      <w:r w:rsidRPr="007E130D">
        <w:t>ce qui témoigne du fait que les travaux de l'UIT-R dans ce domaine constituent une référence à l'échelle mondiale</w:t>
      </w:r>
      <w:r w:rsidRPr="007E130D">
        <w:rPr>
          <w:lang w:eastAsia="zh-CN"/>
        </w:rPr>
        <w:t>.</w:t>
      </w:r>
    </w:p>
    <w:p w14:paraId="01C1F351" w14:textId="77777777" w:rsidR="00A82EF2" w:rsidRPr="007E130D" w:rsidRDefault="00A82EF2" w:rsidP="00B20AC9">
      <w:pPr>
        <w:pStyle w:val="Heading4"/>
      </w:pPr>
      <w:r w:rsidRPr="007E130D">
        <w:t>6.1.4.4</w:t>
      </w:r>
      <w:r w:rsidRPr="007E130D">
        <w:tab/>
        <w:t>Manuels de l'UIT-R</w:t>
      </w:r>
    </w:p>
    <w:p w14:paraId="08A02E51" w14:textId="747A7620" w:rsidR="00965863" w:rsidRPr="007E130D" w:rsidRDefault="009B7873" w:rsidP="00B20AC9">
      <w:r w:rsidRPr="007E130D">
        <w:t>Les M</w:t>
      </w:r>
      <w:r w:rsidR="002C59C6" w:rsidRPr="007E130D">
        <w:t>anuels de l'UIT-R peuvent être téléchargés gratuitement sur le site web de l'UIT. Plus de</w:t>
      </w:r>
      <w:r w:rsidR="00EF328D" w:rsidRPr="007E130D">
        <w:t> </w:t>
      </w:r>
      <w:r w:rsidR="002C59C6" w:rsidRPr="007E130D">
        <w:t>100</w:t>
      </w:r>
      <w:r w:rsidR="00EF328D" w:rsidRPr="007E130D">
        <w:t> </w:t>
      </w:r>
      <w:r w:rsidR="002C59C6" w:rsidRPr="007E130D">
        <w:t>000 téléchargements o</w:t>
      </w:r>
      <w:r w:rsidRPr="007E130D">
        <w:t>nt été enregistrés en 2022. Le T</w:t>
      </w:r>
      <w:r w:rsidR="002C59C6" w:rsidRPr="007E130D">
        <w:t xml:space="preserve">ableau 6.1.4.4-1 indique la distribution des </w:t>
      </w:r>
      <w:r w:rsidRPr="007E130D">
        <w:t>M</w:t>
      </w:r>
      <w:r w:rsidR="002C59C6" w:rsidRPr="007E130D">
        <w:t>anuels de l'UIT-R sur les séries de gestion du spectre ainsi que d'autres manuels vendus.</w:t>
      </w:r>
    </w:p>
    <w:p w14:paraId="041D7C46" w14:textId="1C4C7099" w:rsidR="00A82EF2" w:rsidRPr="007E130D" w:rsidRDefault="00A82EF2" w:rsidP="00B20AC9">
      <w:r w:rsidRPr="007E130D">
        <w:t>À ce jour, 4</w:t>
      </w:r>
      <w:r w:rsidR="00965863" w:rsidRPr="007E130D">
        <w:t>7</w:t>
      </w:r>
      <w:r w:rsidRPr="007E130D">
        <w:t xml:space="preserve"> Manuels de l'UIT-R ont été publiés, </w:t>
      </w:r>
      <w:r w:rsidR="009B7873" w:rsidRPr="007E130D">
        <w:t>y compris la série sur la gestion du spectre.</w:t>
      </w:r>
    </w:p>
    <w:p w14:paraId="7A353F4A" w14:textId="77777777" w:rsidR="00A82EF2" w:rsidRPr="007E130D" w:rsidRDefault="00A82EF2" w:rsidP="00EF328D">
      <w:pPr>
        <w:pStyle w:val="TableNo"/>
        <w:keepNext w:val="0"/>
      </w:pPr>
      <w:r w:rsidRPr="007E130D">
        <w:lastRenderedPageBreak/>
        <w:t>TableAU 6.1.4.4-1</w:t>
      </w:r>
    </w:p>
    <w:p w14:paraId="67CA01D4" w14:textId="27E1492D" w:rsidR="00A82EF2" w:rsidRPr="007E130D" w:rsidRDefault="00A82EF2" w:rsidP="00EF328D">
      <w:pPr>
        <w:pStyle w:val="Tabletitle"/>
        <w:keepNext w:val="0"/>
        <w:keepLines w:val="0"/>
      </w:pPr>
      <w:r w:rsidRPr="007E130D">
        <w:t xml:space="preserve">Répartition des Manuels de l'UIT-R pendant la période </w:t>
      </w:r>
      <w:r w:rsidR="00965863" w:rsidRPr="007E130D">
        <w:t>2020-2023</w:t>
      </w:r>
    </w:p>
    <w:tbl>
      <w:tblPr>
        <w:tblStyle w:val="PlainTable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701"/>
        <w:gridCol w:w="1559"/>
        <w:gridCol w:w="1555"/>
      </w:tblGrid>
      <w:tr w:rsidR="00965863" w:rsidRPr="007E130D" w14:paraId="3266E186" w14:textId="77777777" w:rsidTr="00EF328D">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tcMar>
              <w:left w:w="108" w:type="dxa"/>
              <w:right w:w="108" w:type="dxa"/>
            </w:tcMar>
          </w:tcPr>
          <w:p w14:paraId="4BB51661" w14:textId="77777777" w:rsidR="00965863" w:rsidRPr="007E130D" w:rsidRDefault="00D60351" w:rsidP="00EF328D">
            <w:pPr>
              <w:pStyle w:val="Tablehead"/>
              <w:keepNext w:val="0"/>
              <w:rPr>
                <w:b/>
                <w:bCs w:val="0"/>
              </w:rPr>
            </w:pPr>
            <w:r w:rsidRPr="007E130D">
              <w:rPr>
                <w:b/>
                <w:bCs w:val="0"/>
              </w:rPr>
              <w:t>Manuel</w:t>
            </w:r>
          </w:p>
        </w:tc>
        <w:tc>
          <w:tcPr>
            <w:tcW w:w="1559" w:type="dxa"/>
            <w:tcMar>
              <w:left w:w="108" w:type="dxa"/>
              <w:right w:w="108" w:type="dxa"/>
            </w:tcMar>
          </w:tcPr>
          <w:p w14:paraId="7D286472" w14:textId="77777777" w:rsidR="00965863" w:rsidRPr="007E130D" w:rsidRDefault="00965863" w:rsidP="00EF328D">
            <w:pPr>
              <w:pStyle w:val="Tablehead"/>
              <w:keepNext w:val="0"/>
              <w:cnfStyle w:val="100000000000" w:firstRow="1" w:lastRow="0" w:firstColumn="0" w:lastColumn="0" w:oddVBand="0" w:evenVBand="0" w:oddHBand="0" w:evenHBand="0" w:firstRowFirstColumn="0" w:firstRowLastColumn="0" w:lastRowFirstColumn="0" w:lastRowLastColumn="0"/>
              <w:rPr>
                <w:b/>
                <w:bCs w:val="0"/>
              </w:rPr>
            </w:pPr>
            <w:r w:rsidRPr="007E130D">
              <w:rPr>
                <w:b/>
                <w:bCs w:val="0"/>
              </w:rPr>
              <w:t>2020</w:t>
            </w:r>
          </w:p>
        </w:tc>
        <w:tc>
          <w:tcPr>
            <w:tcW w:w="1701" w:type="dxa"/>
            <w:tcMar>
              <w:left w:w="108" w:type="dxa"/>
              <w:right w:w="108" w:type="dxa"/>
            </w:tcMar>
          </w:tcPr>
          <w:p w14:paraId="11A2681F" w14:textId="77777777" w:rsidR="00965863" w:rsidRPr="007E130D" w:rsidRDefault="00965863" w:rsidP="00EF328D">
            <w:pPr>
              <w:pStyle w:val="Tablehead"/>
              <w:keepNext w:val="0"/>
              <w:cnfStyle w:val="100000000000" w:firstRow="1" w:lastRow="0" w:firstColumn="0" w:lastColumn="0" w:oddVBand="0" w:evenVBand="0" w:oddHBand="0" w:evenHBand="0" w:firstRowFirstColumn="0" w:firstRowLastColumn="0" w:lastRowFirstColumn="0" w:lastRowLastColumn="0"/>
              <w:rPr>
                <w:b/>
                <w:bCs w:val="0"/>
              </w:rPr>
            </w:pPr>
            <w:r w:rsidRPr="007E130D">
              <w:rPr>
                <w:b/>
                <w:bCs w:val="0"/>
              </w:rPr>
              <w:t>2021</w:t>
            </w:r>
          </w:p>
        </w:tc>
        <w:tc>
          <w:tcPr>
            <w:tcW w:w="1559" w:type="dxa"/>
            <w:tcMar>
              <w:left w:w="108" w:type="dxa"/>
              <w:right w:w="108" w:type="dxa"/>
            </w:tcMar>
          </w:tcPr>
          <w:p w14:paraId="1E8126BC" w14:textId="77777777" w:rsidR="00965863" w:rsidRPr="007E130D" w:rsidRDefault="00965863" w:rsidP="00EF328D">
            <w:pPr>
              <w:pStyle w:val="Tablehead"/>
              <w:keepNext w:val="0"/>
              <w:cnfStyle w:val="100000000000" w:firstRow="1" w:lastRow="0" w:firstColumn="0" w:lastColumn="0" w:oddVBand="0" w:evenVBand="0" w:oddHBand="0" w:evenHBand="0" w:firstRowFirstColumn="0" w:firstRowLastColumn="0" w:lastRowFirstColumn="0" w:lastRowLastColumn="0"/>
              <w:rPr>
                <w:b/>
                <w:bCs w:val="0"/>
              </w:rPr>
            </w:pPr>
            <w:r w:rsidRPr="007E130D">
              <w:rPr>
                <w:b/>
                <w:bCs w:val="0"/>
              </w:rPr>
              <w:t>2022</w:t>
            </w:r>
          </w:p>
        </w:tc>
        <w:tc>
          <w:tcPr>
            <w:tcW w:w="1555" w:type="dxa"/>
            <w:tcMar>
              <w:left w:w="108" w:type="dxa"/>
              <w:right w:w="108" w:type="dxa"/>
            </w:tcMar>
          </w:tcPr>
          <w:p w14:paraId="5BB7B9FC" w14:textId="77777777" w:rsidR="00965863" w:rsidRPr="007E130D" w:rsidRDefault="00965863" w:rsidP="00EF328D">
            <w:pPr>
              <w:pStyle w:val="Tablehead"/>
              <w:keepNext w:val="0"/>
              <w:cnfStyle w:val="100000000000" w:firstRow="1" w:lastRow="0" w:firstColumn="0" w:lastColumn="0" w:oddVBand="0" w:evenVBand="0" w:oddHBand="0" w:evenHBand="0" w:firstRowFirstColumn="0" w:firstRowLastColumn="0" w:lastRowFirstColumn="0" w:lastRowLastColumn="0"/>
              <w:rPr>
                <w:b/>
                <w:bCs w:val="0"/>
              </w:rPr>
            </w:pPr>
            <w:r w:rsidRPr="007E130D">
              <w:rPr>
                <w:b/>
                <w:bCs w:val="0"/>
              </w:rPr>
              <w:t>2023</w:t>
            </w:r>
          </w:p>
        </w:tc>
      </w:tr>
      <w:tr w:rsidR="00EF328D" w:rsidRPr="007E130D" w14:paraId="729CA31C" w14:textId="77777777" w:rsidTr="00EF32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Mar>
              <w:left w:w="108" w:type="dxa"/>
              <w:right w:w="108" w:type="dxa"/>
            </w:tcMar>
          </w:tcPr>
          <w:p w14:paraId="2FE69784" w14:textId="352A5B8D" w:rsidR="00965863" w:rsidRPr="007E130D" w:rsidRDefault="00965863" w:rsidP="00EF328D">
            <w:pPr>
              <w:pStyle w:val="Tabletext"/>
              <w:jc w:val="center"/>
              <w:rPr>
                <w:b w:val="0"/>
                <w:bCs w:val="0"/>
              </w:rPr>
            </w:pPr>
            <w:r w:rsidRPr="007E130D">
              <w:t>S</w:t>
            </w:r>
            <w:r w:rsidR="00D60351" w:rsidRPr="007E130D">
              <w:t>érie sur la gestion du spectre</w:t>
            </w:r>
            <w:r w:rsidR="00EF328D" w:rsidRPr="007E130D">
              <w:br/>
            </w:r>
            <w:r w:rsidRPr="007E130D">
              <w:t>(</w:t>
            </w:r>
            <w:r w:rsidR="00D60351" w:rsidRPr="007E130D">
              <w:t>exemplaires papier vendus</w:t>
            </w:r>
            <w:r w:rsidRPr="007E130D">
              <w:t>)</w:t>
            </w:r>
          </w:p>
        </w:tc>
        <w:tc>
          <w:tcPr>
            <w:tcW w:w="1559" w:type="dxa"/>
            <w:shd w:val="clear" w:color="auto" w:fill="FFFFFF" w:themeFill="background1"/>
            <w:tcMar>
              <w:left w:w="108" w:type="dxa"/>
              <w:right w:w="108" w:type="dxa"/>
            </w:tcMar>
          </w:tcPr>
          <w:p w14:paraId="3C4F6185"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pPr>
            <w:r w:rsidRPr="007E130D">
              <w:t>3</w:t>
            </w:r>
          </w:p>
        </w:tc>
        <w:tc>
          <w:tcPr>
            <w:tcW w:w="1701" w:type="dxa"/>
            <w:shd w:val="clear" w:color="auto" w:fill="FFFFFF" w:themeFill="background1"/>
            <w:tcMar>
              <w:left w:w="108" w:type="dxa"/>
              <w:right w:w="108" w:type="dxa"/>
            </w:tcMar>
          </w:tcPr>
          <w:p w14:paraId="4C5CF87E"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pPr>
            <w:r w:rsidRPr="007E130D">
              <w:t>5</w:t>
            </w:r>
          </w:p>
        </w:tc>
        <w:tc>
          <w:tcPr>
            <w:tcW w:w="1559" w:type="dxa"/>
            <w:shd w:val="clear" w:color="auto" w:fill="FFFFFF" w:themeFill="background1"/>
            <w:tcMar>
              <w:left w:w="108" w:type="dxa"/>
              <w:right w:w="108" w:type="dxa"/>
            </w:tcMar>
          </w:tcPr>
          <w:p w14:paraId="25B5D710"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pPr>
            <w:r w:rsidRPr="007E130D">
              <w:t>0</w:t>
            </w:r>
          </w:p>
        </w:tc>
        <w:tc>
          <w:tcPr>
            <w:tcW w:w="1555" w:type="dxa"/>
            <w:shd w:val="clear" w:color="auto" w:fill="FFFFFF" w:themeFill="background1"/>
            <w:tcMar>
              <w:left w:w="108" w:type="dxa"/>
              <w:right w:w="108" w:type="dxa"/>
            </w:tcMar>
          </w:tcPr>
          <w:p w14:paraId="4C0839C2" w14:textId="77777777" w:rsidR="00965863" w:rsidRPr="007E130D" w:rsidRDefault="00D60351" w:rsidP="00EF328D">
            <w:pPr>
              <w:pStyle w:val="Tabletext"/>
              <w:jc w:val="center"/>
              <w:cnfStyle w:val="000000100000" w:firstRow="0" w:lastRow="0" w:firstColumn="0" w:lastColumn="0" w:oddVBand="0" w:evenVBand="0" w:oddHBand="1" w:evenHBand="0" w:firstRowFirstColumn="0" w:firstRowLastColumn="0" w:lastRowFirstColumn="0" w:lastRowLastColumn="0"/>
            </w:pPr>
            <w:r w:rsidRPr="007E130D">
              <w:t>Non disponible</w:t>
            </w:r>
          </w:p>
        </w:tc>
      </w:tr>
      <w:tr w:rsidR="00965863" w:rsidRPr="007E130D" w14:paraId="15C5B2CF" w14:textId="77777777" w:rsidTr="00EF328D">
        <w:trPr>
          <w:trHeight w:val="435"/>
        </w:trPr>
        <w:tc>
          <w:tcPr>
            <w:cnfStyle w:val="001000000000" w:firstRow="0" w:lastRow="0" w:firstColumn="1" w:lastColumn="0" w:oddVBand="0" w:evenVBand="0" w:oddHBand="0" w:evenHBand="0" w:firstRowFirstColumn="0" w:firstRowLastColumn="0" w:lastRowFirstColumn="0" w:lastRowLastColumn="0"/>
            <w:tcW w:w="3256" w:type="dxa"/>
            <w:tcMar>
              <w:left w:w="108" w:type="dxa"/>
              <w:right w:w="108" w:type="dxa"/>
            </w:tcMar>
          </w:tcPr>
          <w:p w14:paraId="7E2A6EFE" w14:textId="27B6C844" w:rsidR="00965863" w:rsidRPr="007E130D" w:rsidRDefault="00D60351" w:rsidP="00EF328D">
            <w:pPr>
              <w:pStyle w:val="Tabletext"/>
              <w:jc w:val="center"/>
              <w:rPr>
                <w:b w:val="0"/>
                <w:bCs w:val="0"/>
              </w:rPr>
            </w:pPr>
            <w:r w:rsidRPr="007E130D">
              <w:t>Autres manuels</w:t>
            </w:r>
            <w:r w:rsidR="00EF328D" w:rsidRPr="007E130D">
              <w:br/>
            </w:r>
            <w:r w:rsidR="00965863" w:rsidRPr="007E130D">
              <w:t>(</w:t>
            </w:r>
            <w:r w:rsidRPr="007E130D">
              <w:t>exemplaires papier vendus</w:t>
            </w:r>
            <w:r w:rsidR="00965863" w:rsidRPr="007E130D">
              <w:t>)</w:t>
            </w:r>
          </w:p>
        </w:tc>
        <w:tc>
          <w:tcPr>
            <w:tcW w:w="1559" w:type="dxa"/>
            <w:tcMar>
              <w:left w:w="108" w:type="dxa"/>
              <w:right w:w="108" w:type="dxa"/>
            </w:tcMar>
          </w:tcPr>
          <w:p w14:paraId="3CF0EFFF" w14:textId="77777777" w:rsidR="00965863" w:rsidRPr="007E130D" w:rsidRDefault="00965863" w:rsidP="00EF328D">
            <w:pPr>
              <w:pStyle w:val="Tabletext"/>
              <w:jc w:val="center"/>
              <w:cnfStyle w:val="000000000000" w:firstRow="0" w:lastRow="0" w:firstColumn="0" w:lastColumn="0" w:oddVBand="0" w:evenVBand="0" w:oddHBand="0" w:evenHBand="0" w:firstRowFirstColumn="0" w:firstRowLastColumn="0" w:lastRowFirstColumn="0" w:lastRowLastColumn="0"/>
            </w:pPr>
            <w:r w:rsidRPr="007E130D">
              <w:t>4</w:t>
            </w:r>
          </w:p>
        </w:tc>
        <w:tc>
          <w:tcPr>
            <w:tcW w:w="1701" w:type="dxa"/>
            <w:tcMar>
              <w:left w:w="108" w:type="dxa"/>
              <w:right w:w="108" w:type="dxa"/>
            </w:tcMar>
          </w:tcPr>
          <w:p w14:paraId="0233EEDE" w14:textId="77777777" w:rsidR="00965863" w:rsidRPr="007E130D" w:rsidRDefault="00965863" w:rsidP="00EF328D">
            <w:pPr>
              <w:pStyle w:val="Tabletext"/>
              <w:jc w:val="center"/>
              <w:cnfStyle w:val="000000000000" w:firstRow="0" w:lastRow="0" w:firstColumn="0" w:lastColumn="0" w:oddVBand="0" w:evenVBand="0" w:oddHBand="0" w:evenHBand="0" w:firstRowFirstColumn="0" w:firstRowLastColumn="0" w:lastRowFirstColumn="0" w:lastRowLastColumn="0"/>
            </w:pPr>
            <w:r w:rsidRPr="007E130D">
              <w:t>5</w:t>
            </w:r>
          </w:p>
        </w:tc>
        <w:tc>
          <w:tcPr>
            <w:tcW w:w="1559" w:type="dxa"/>
            <w:tcMar>
              <w:left w:w="108" w:type="dxa"/>
              <w:right w:w="108" w:type="dxa"/>
            </w:tcMar>
          </w:tcPr>
          <w:p w14:paraId="1D5F7D56" w14:textId="77777777" w:rsidR="00965863" w:rsidRPr="007E130D" w:rsidRDefault="00965863" w:rsidP="00EF328D">
            <w:pPr>
              <w:pStyle w:val="Tabletext"/>
              <w:jc w:val="center"/>
              <w:cnfStyle w:val="000000000000" w:firstRow="0" w:lastRow="0" w:firstColumn="0" w:lastColumn="0" w:oddVBand="0" w:evenVBand="0" w:oddHBand="0" w:evenHBand="0" w:firstRowFirstColumn="0" w:firstRowLastColumn="0" w:lastRowFirstColumn="0" w:lastRowLastColumn="0"/>
            </w:pPr>
            <w:r w:rsidRPr="007E130D">
              <w:t>4</w:t>
            </w:r>
          </w:p>
        </w:tc>
        <w:tc>
          <w:tcPr>
            <w:tcW w:w="1555" w:type="dxa"/>
            <w:tcMar>
              <w:left w:w="108" w:type="dxa"/>
              <w:right w:w="108" w:type="dxa"/>
            </w:tcMar>
          </w:tcPr>
          <w:p w14:paraId="7358190B" w14:textId="77777777" w:rsidR="00965863" w:rsidRPr="007E130D" w:rsidRDefault="00D60351" w:rsidP="00EF328D">
            <w:pPr>
              <w:pStyle w:val="Tabletext"/>
              <w:jc w:val="center"/>
              <w:cnfStyle w:val="000000000000" w:firstRow="0" w:lastRow="0" w:firstColumn="0" w:lastColumn="0" w:oddVBand="0" w:evenVBand="0" w:oddHBand="0" w:evenHBand="0" w:firstRowFirstColumn="0" w:firstRowLastColumn="0" w:lastRowFirstColumn="0" w:lastRowLastColumn="0"/>
            </w:pPr>
            <w:r w:rsidRPr="007E130D">
              <w:t>Non disponible</w:t>
            </w:r>
          </w:p>
        </w:tc>
      </w:tr>
      <w:tr w:rsidR="00965863" w:rsidRPr="007E130D" w14:paraId="490CF1D5" w14:textId="77777777" w:rsidTr="00EF32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56" w:type="dxa"/>
            <w:tcMar>
              <w:left w:w="108" w:type="dxa"/>
              <w:right w:w="108" w:type="dxa"/>
            </w:tcMar>
          </w:tcPr>
          <w:p w14:paraId="5C6973C2" w14:textId="742D781D" w:rsidR="00965863" w:rsidRPr="007E130D" w:rsidRDefault="00965863" w:rsidP="00EF328D">
            <w:pPr>
              <w:pStyle w:val="Tabletext"/>
              <w:jc w:val="center"/>
              <w:rPr>
                <w:b w:val="0"/>
                <w:bCs w:val="0"/>
              </w:rPr>
            </w:pPr>
            <w:r w:rsidRPr="007E130D">
              <w:t>TOTAL</w:t>
            </w:r>
            <w:r w:rsidR="00D60351" w:rsidRPr="007E130D">
              <w:t xml:space="preserve"> G</w:t>
            </w:r>
            <w:r w:rsidR="002871B8" w:rsidRPr="007E130D">
              <w:t>É</w:t>
            </w:r>
            <w:r w:rsidR="00D60351" w:rsidRPr="007E130D">
              <w:t>N</w:t>
            </w:r>
            <w:r w:rsidR="002871B8" w:rsidRPr="007E130D">
              <w:t>É</w:t>
            </w:r>
            <w:r w:rsidR="00D60351" w:rsidRPr="007E130D">
              <w:t>RAL</w:t>
            </w:r>
          </w:p>
        </w:tc>
        <w:tc>
          <w:tcPr>
            <w:tcW w:w="1559" w:type="dxa"/>
            <w:tcMar>
              <w:left w:w="108" w:type="dxa"/>
              <w:right w:w="108" w:type="dxa"/>
            </w:tcMar>
          </w:tcPr>
          <w:p w14:paraId="548ABB08"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E130D">
              <w:rPr>
                <w:b/>
                <w:bCs/>
              </w:rPr>
              <w:t>7</w:t>
            </w:r>
          </w:p>
        </w:tc>
        <w:tc>
          <w:tcPr>
            <w:tcW w:w="1701" w:type="dxa"/>
            <w:tcMar>
              <w:left w:w="108" w:type="dxa"/>
              <w:right w:w="108" w:type="dxa"/>
            </w:tcMar>
          </w:tcPr>
          <w:p w14:paraId="69360EC6"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E130D">
              <w:rPr>
                <w:b/>
                <w:bCs/>
              </w:rPr>
              <w:t>10</w:t>
            </w:r>
          </w:p>
        </w:tc>
        <w:tc>
          <w:tcPr>
            <w:tcW w:w="1559" w:type="dxa"/>
            <w:tcMar>
              <w:left w:w="108" w:type="dxa"/>
              <w:right w:w="108" w:type="dxa"/>
            </w:tcMar>
          </w:tcPr>
          <w:p w14:paraId="59E1BF35"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E130D">
              <w:rPr>
                <w:b/>
                <w:bCs/>
              </w:rPr>
              <w:t>4</w:t>
            </w:r>
          </w:p>
        </w:tc>
        <w:tc>
          <w:tcPr>
            <w:tcW w:w="1555" w:type="dxa"/>
            <w:tcMar>
              <w:left w:w="108" w:type="dxa"/>
              <w:right w:w="108" w:type="dxa"/>
            </w:tcMar>
          </w:tcPr>
          <w:p w14:paraId="44714911"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E130D">
              <w:rPr>
                <w:b/>
                <w:bCs/>
              </w:rPr>
              <w:t>–</w:t>
            </w:r>
          </w:p>
        </w:tc>
      </w:tr>
      <w:tr w:rsidR="00965863" w:rsidRPr="007E130D" w14:paraId="5683496F" w14:textId="77777777" w:rsidTr="00EF328D">
        <w:trPr>
          <w:trHeight w:val="255"/>
        </w:trPr>
        <w:tc>
          <w:tcPr>
            <w:cnfStyle w:val="001000000000" w:firstRow="0" w:lastRow="0" w:firstColumn="1" w:lastColumn="0" w:oddVBand="0" w:evenVBand="0" w:oddHBand="0" w:evenHBand="0" w:firstRowFirstColumn="0" w:firstRowLastColumn="0" w:lastRowFirstColumn="0" w:lastRowLastColumn="0"/>
            <w:tcW w:w="3256" w:type="dxa"/>
            <w:tcMar>
              <w:left w:w="108" w:type="dxa"/>
              <w:right w:w="108" w:type="dxa"/>
            </w:tcMar>
          </w:tcPr>
          <w:p w14:paraId="10A65E5C" w14:textId="77777777" w:rsidR="00965863" w:rsidRPr="007E130D" w:rsidRDefault="00965863" w:rsidP="00EF328D">
            <w:pPr>
              <w:pStyle w:val="Tabletext"/>
              <w:jc w:val="center"/>
              <w:rPr>
                <w:b w:val="0"/>
                <w:bCs w:val="0"/>
              </w:rPr>
            </w:pPr>
          </w:p>
        </w:tc>
        <w:tc>
          <w:tcPr>
            <w:tcW w:w="1559" w:type="dxa"/>
            <w:tcMar>
              <w:left w:w="108" w:type="dxa"/>
              <w:right w:w="108" w:type="dxa"/>
            </w:tcMar>
          </w:tcPr>
          <w:p w14:paraId="597EAB10" w14:textId="77777777" w:rsidR="00965863" w:rsidRPr="007E130D" w:rsidRDefault="00965863" w:rsidP="00EF328D">
            <w:pPr>
              <w:pStyle w:val="Tabletext"/>
              <w:jc w:val="center"/>
              <w:cnfStyle w:val="000000000000" w:firstRow="0" w:lastRow="0" w:firstColumn="0" w:lastColumn="0" w:oddVBand="0" w:evenVBand="0" w:oddHBand="0" w:evenHBand="0" w:firstRowFirstColumn="0" w:firstRowLastColumn="0" w:lastRowFirstColumn="0" w:lastRowLastColumn="0"/>
            </w:pPr>
          </w:p>
        </w:tc>
        <w:tc>
          <w:tcPr>
            <w:tcW w:w="1701" w:type="dxa"/>
            <w:tcMar>
              <w:left w:w="108" w:type="dxa"/>
              <w:right w:w="108" w:type="dxa"/>
            </w:tcMar>
          </w:tcPr>
          <w:p w14:paraId="6B757521" w14:textId="77777777" w:rsidR="00965863" w:rsidRPr="007E130D" w:rsidRDefault="00965863" w:rsidP="00EF328D">
            <w:pPr>
              <w:pStyle w:val="Tabletext"/>
              <w:jc w:val="center"/>
              <w:cnfStyle w:val="000000000000" w:firstRow="0" w:lastRow="0" w:firstColumn="0" w:lastColumn="0" w:oddVBand="0" w:evenVBand="0" w:oddHBand="0" w:evenHBand="0" w:firstRowFirstColumn="0" w:firstRowLastColumn="0" w:lastRowFirstColumn="0" w:lastRowLastColumn="0"/>
            </w:pPr>
          </w:p>
        </w:tc>
        <w:tc>
          <w:tcPr>
            <w:tcW w:w="1559" w:type="dxa"/>
            <w:tcMar>
              <w:left w:w="108" w:type="dxa"/>
              <w:right w:w="108" w:type="dxa"/>
            </w:tcMar>
          </w:tcPr>
          <w:p w14:paraId="141B578C" w14:textId="77777777" w:rsidR="00965863" w:rsidRPr="007E130D" w:rsidRDefault="00965863" w:rsidP="00EF328D">
            <w:pPr>
              <w:pStyle w:val="Tabletext"/>
              <w:jc w:val="center"/>
              <w:cnfStyle w:val="000000000000" w:firstRow="0" w:lastRow="0" w:firstColumn="0" w:lastColumn="0" w:oddVBand="0" w:evenVBand="0" w:oddHBand="0" w:evenHBand="0" w:firstRowFirstColumn="0" w:firstRowLastColumn="0" w:lastRowFirstColumn="0" w:lastRowLastColumn="0"/>
            </w:pPr>
          </w:p>
        </w:tc>
        <w:tc>
          <w:tcPr>
            <w:tcW w:w="1555" w:type="dxa"/>
            <w:tcMar>
              <w:left w:w="108" w:type="dxa"/>
              <w:right w:w="108" w:type="dxa"/>
            </w:tcMar>
          </w:tcPr>
          <w:p w14:paraId="77FA4057" w14:textId="77777777" w:rsidR="00965863" w:rsidRPr="007E130D" w:rsidRDefault="00965863" w:rsidP="00EF328D">
            <w:pPr>
              <w:pStyle w:val="Tabletext"/>
              <w:jc w:val="center"/>
              <w:cnfStyle w:val="000000000000" w:firstRow="0" w:lastRow="0" w:firstColumn="0" w:lastColumn="0" w:oddVBand="0" w:evenVBand="0" w:oddHBand="0" w:evenHBand="0" w:firstRowFirstColumn="0" w:firstRowLastColumn="0" w:lastRowFirstColumn="0" w:lastRowLastColumn="0"/>
            </w:pPr>
          </w:p>
        </w:tc>
      </w:tr>
      <w:tr w:rsidR="008618E6" w:rsidRPr="007E130D" w14:paraId="408D3281" w14:textId="77777777" w:rsidTr="00EF328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tcMar>
              <w:left w:w="108" w:type="dxa"/>
              <w:right w:w="108" w:type="dxa"/>
            </w:tcMar>
          </w:tcPr>
          <w:p w14:paraId="05A4FCAC" w14:textId="5080BABF" w:rsidR="00965863" w:rsidRPr="007E130D" w:rsidRDefault="00D60351" w:rsidP="00EF328D">
            <w:pPr>
              <w:pStyle w:val="Tabletext"/>
              <w:jc w:val="center"/>
              <w:rPr>
                <w:b w:val="0"/>
                <w:bCs w:val="0"/>
              </w:rPr>
            </w:pPr>
            <w:r w:rsidRPr="007E130D">
              <w:t>Téléchargements GRATUITS</w:t>
            </w:r>
          </w:p>
        </w:tc>
        <w:tc>
          <w:tcPr>
            <w:tcW w:w="1559" w:type="dxa"/>
            <w:tcBorders>
              <w:bottom w:val="single" w:sz="4" w:space="0" w:color="auto"/>
            </w:tcBorders>
            <w:tcMar>
              <w:left w:w="108" w:type="dxa"/>
              <w:right w:w="108" w:type="dxa"/>
            </w:tcMar>
          </w:tcPr>
          <w:p w14:paraId="257E01B1"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E130D">
              <w:rPr>
                <w:b/>
                <w:bCs/>
              </w:rPr>
              <w:t>79 961</w:t>
            </w:r>
          </w:p>
        </w:tc>
        <w:tc>
          <w:tcPr>
            <w:tcW w:w="1701" w:type="dxa"/>
            <w:tcBorders>
              <w:bottom w:val="single" w:sz="4" w:space="0" w:color="auto"/>
            </w:tcBorders>
            <w:tcMar>
              <w:left w:w="108" w:type="dxa"/>
              <w:right w:w="108" w:type="dxa"/>
            </w:tcMar>
          </w:tcPr>
          <w:p w14:paraId="6E13A768"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E130D">
              <w:rPr>
                <w:b/>
                <w:bCs/>
              </w:rPr>
              <w:t>126 201</w:t>
            </w:r>
          </w:p>
        </w:tc>
        <w:tc>
          <w:tcPr>
            <w:tcW w:w="1559" w:type="dxa"/>
            <w:tcBorders>
              <w:bottom w:val="single" w:sz="4" w:space="0" w:color="auto"/>
            </w:tcBorders>
            <w:tcMar>
              <w:left w:w="108" w:type="dxa"/>
              <w:right w:w="108" w:type="dxa"/>
            </w:tcMar>
          </w:tcPr>
          <w:p w14:paraId="030A4542"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E130D">
              <w:rPr>
                <w:b/>
                <w:bCs/>
              </w:rPr>
              <w:t>134 159</w:t>
            </w:r>
          </w:p>
        </w:tc>
        <w:tc>
          <w:tcPr>
            <w:tcW w:w="1555" w:type="dxa"/>
            <w:tcBorders>
              <w:bottom w:val="single" w:sz="4" w:space="0" w:color="auto"/>
            </w:tcBorders>
            <w:tcMar>
              <w:left w:w="108" w:type="dxa"/>
              <w:right w:w="108" w:type="dxa"/>
            </w:tcMar>
          </w:tcPr>
          <w:p w14:paraId="3C0FADD9" w14:textId="77777777" w:rsidR="00965863" w:rsidRPr="007E130D" w:rsidRDefault="00965863" w:rsidP="00EF328D">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E130D">
              <w:rPr>
                <w:b/>
                <w:bCs/>
              </w:rPr>
              <w:t>48 175</w:t>
            </w:r>
          </w:p>
        </w:tc>
      </w:tr>
      <w:tr w:rsidR="00965863" w:rsidRPr="007E130D" w14:paraId="769B2CC2" w14:textId="77777777" w:rsidTr="00AF51A3">
        <w:trPr>
          <w:trHeight w:val="255"/>
        </w:trPr>
        <w:tc>
          <w:tcPr>
            <w:cnfStyle w:val="001000000000" w:firstRow="0" w:lastRow="0" w:firstColumn="1" w:lastColumn="0" w:oddVBand="0" w:evenVBand="0" w:oddHBand="0" w:evenHBand="0" w:firstRowFirstColumn="0" w:firstRowLastColumn="0" w:lastRowFirstColumn="0" w:lastRowLastColumn="0"/>
            <w:tcW w:w="9630" w:type="dxa"/>
            <w:gridSpan w:val="5"/>
            <w:tcBorders>
              <w:left w:val="nil"/>
              <w:bottom w:val="nil"/>
              <w:right w:val="nil"/>
            </w:tcBorders>
            <w:shd w:val="clear" w:color="auto" w:fill="auto"/>
            <w:tcMar>
              <w:left w:w="108" w:type="dxa"/>
              <w:right w:w="108" w:type="dxa"/>
            </w:tcMar>
          </w:tcPr>
          <w:p w14:paraId="03D75316" w14:textId="19129227" w:rsidR="00965863" w:rsidRPr="007E130D" w:rsidRDefault="00965863" w:rsidP="00EF328D">
            <w:pPr>
              <w:pStyle w:val="Tablelegend"/>
            </w:pPr>
            <w:r w:rsidRPr="007E130D">
              <w:t>*</w:t>
            </w:r>
            <w:r w:rsidRPr="007E130D">
              <w:tab/>
            </w:r>
            <w:r w:rsidRPr="007E130D">
              <w:rPr>
                <w:b w:val="0"/>
                <w:bCs w:val="0"/>
              </w:rPr>
              <w:t>Jusqu'en avril 2023</w:t>
            </w:r>
            <w:r w:rsidR="002871B8" w:rsidRPr="007E130D">
              <w:rPr>
                <w:b w:val="0"/>
                <w:bCs w:val="0"/>
              </w:rPr>
              <w:t>.</w:t>
            </w:r>
          </w:p>
        </w:tc>
      </w:tr>
    </w:tbl>
    <w:p w14:paraId="3A111067" w14:textId="77777777" w:rsidR="00A82EF2" w:rsidRPr="007E130D" w:rsidRDefault="00A82EF2" w:rsidP="002871B8">
      <w:pPr>
        <w:pStyle w:val="Heading3"/>
        <w:keepNext w:val="0"/>
        <w:keepLines w:val="0"/>
        <w:spacing w:before="240"/>
      </w:pPr>
      <w:bookmarkStart w:id="218" w:name="_Toc424047600"/>
      <w:bookmarkStart w:id="219" w:name="_Toc426463258"/>
      <w:bookmarkStart w:id="220" w:name="_Toc19880078"/>
      <w:bookmarkStart w:id="221" w:name="_Toc147328834"/>
      <w:r w:rsidRPr="007E130D">
        <w:t>6.1.5</w:t>
      </w:r>
      <w:r w:rsidRPr="007E130D">
        <w:tab/>
        <w:t>Outils de navigation et d'analyse pour les publications électroniques de l'UIT-R</w:t>
      </w:r>
      <w:bookmarkEnd w:id="218"/>
      <w:bookmarkEnd w:id="219"/>
      <w:bookmarkEnd w:id="220"/>
      <w:bookmarkEnd w:id="221"/>
    </w:p>
    <w:p w14:paraId="3BAF180F" w14:textId="77777777" w:rsidR="00A82EF2" w:rsidRPr="007E130D" w:rsidRDefault="00A82EF2" w:rsidP="00EF328D">
      <w:pPr>
        <w:pStyle w:val="Heading4"/>
        <w:keepNext w:val="0"/>
        <w:keepLines w:val="0"/>
      </w:pPr>
      <w:r w:rsidRPr="007E130D">
        <w:t>6.1.5.1</w:t>
      </w:r>
      <w:r w:rsidRPr="007E130D">
        <w:tab/>
        <w:t>Outils concernant le Règlement des radiocommunications</w:t>
      </w:r>
    </w:p>
    <w:p w14:paraId="473ACCB8" w14:textId="77777777" w:rsidR="00A82EF2" w:rsidRPr="007E130D" w:rsidRDefault="00A82EF2" w:rsidP="00EF328D">
      <w:r w:rsidRPr="007E130D">
        <w:t>Le Bureau a mis au point des outils logiciels pour faciliter l'utilisation et l'examen du Règlement des radiocommunications et continue d'en assurer la mise à jour et la maintenance:</w:t>
      </w:r>
    </w:p>
    <w:p w14:paraId="35CC7D72" w14:textId="5D0D8358" w:rsidR="00A82EF2" w:rsidRPr="007E130D" w:rsidRDefault="00A82EF2" w:rsidP="00B20AC9">
      <w:pPr>
        <w:pStyle w:val="enumlev1"/>
      </w:pPr>
      <w:r w:rsidRPr="007E130D">
        <w:t>a)</w:t>
      </w:r>
      <w:r w:rsidRPr="007E130D">
        <w:tab/>
      </w:r>
      <w:r w:rsidR="00BA6B3E" w:rsidRPr="007E130D">
        <w:t xml:space="preserve">La version actuelle de l'outil de navigation </w:t>
      </w:r>
      <w:r w:rsidR="005665BF" w:rsidRPr="007E130D">
        <w:t>dans le R</w:t>
      </w:r>
      <w:r w:rsidR="00BA6B3E" w:rsidRPr="007E130D">
        <w:t>èglement des radiocommunications, qui a été publiée au cours du deuxième trimestre de 2022, intègre le corpus de textes le plus récent (</w:t>
      </w:r>
      <w:r w:rsidR="005665BF" w:rsidRPr="007E130D">
        <w:t xml:space="preserve">édition de 2020 du </w:t>
      </w:r>
      <w:r w:rsidR="00BA6B3E" w:rsidRPr="007E130D">
        <w:t>RR, Recommandations de l'UIT-R, Règles de procédure</w:t>
      </w:r>
      <w:r w:rsidR="00EF328D" w:rsidRPr="007E130D">
        <w:t> </w:t>
      </w:r>
      <w:r w:rsidR="00BA6B3E" w:rsidRPr="007E130D">
        <w:t>2021 Rév. 2). Cette version peut être télécharg</w:t>
      </w:r>
      <w:r w:rsidR="005665BF" w:rsidRPr="007E130D">
        <w:t>ée et achetée sur le site web du Service des</w:t>
      </w:r>
      <w:r w:rsidR="00BA6B3E" w:rsidRPr="007E130D">
        <w:t xml:space="preserve"> vente</w:t>
      </w:r>
      <w:r w:rsidR="005665BF" w:rsidRPr="007E130D">
        <w:t>s</w:t>
      </w:r>
      <w:r w:rsidR="00BA6B3E" w:rsidRPr="007E130D">
        <w:t xml:space="preserve"> de l'UIT. Jusqu'au 1er janvier 2024, des mises à jour annuelles gratuites seront publiées pour intégre</w:t>
      </w:r>
      <w:r w:rsidR="005665BF" w:rsidRPr="007E130D">
        <w:t>r les dernières versions des Règles de procédure</w:t>
      </w:r>
      <w:r w:rsidR="00BA6B3E" w:rsidRPr="007E130D">
        <w:t xml:space="preserve"> lorsqu'elles seront disponibles.</w:t>
      </w:r>
    </w:p>
    <w:p w14:paraId="00F546A6" w14:textId="71EC0958" w:rsidR="00A82EF2" w:rsidRPr="007E130D" w:rsidRDefault="005507C2" w:rsidP="00B20AC9">
      <w:pPr>
        <w:pStyle w:val="enumlev1"/>
      </w:pPr>
      <w:r w:rsidRPr="007E130D">
        <w:t>b)</w:t>
      </w:r>
      <w:r w:rsidRPr="007E130D">
        <w:tab/>
        <w:t>L</w:t>
      </w:r>
      <w:r w:rsidR="00EF328D" w:rsidRPr="007E130D">
        <w:t>'</w:t>
      </w:r>
      <w:r w:rsidRPr="007E130D">
        <w:t>o</w:t>
      </w:r>
      <w:r w:rsidR="00A82EF2" w:rsidRPr="007E130D">
        <w:t xml:space="preserve">util logiciel permettant d'effectuer </w:t>
      </w:r>
      <w:r w:rsidRPr="007E130D">
        <w:t>une recherche</w:t>
      </w:r>
      <w:r w:rsidR="00A82EF2" w:rsidRPr="007E130D">
        <w:t xml:space="preserve"> et une analyse détaillées dans le Tableau d'attribution des bandes de fréquences de l'Article </w:t>
      </w:r>
      <w:r w:rsidR="00A82EF2" w:rsidRPr="007E130D">
        <w:rPr>
          <w:b/>
          <w:bCs/>
        </w:rPr>
        <w:t>5</w:t>
      </w:r>
      <w:r w:rsidR="00A82EF2" w:rsidRPr="007E130D">
        <w:t xml:space="preserve"> du Rè</w:t>
      </w:r>
      <w:r w:rsidRPr="007E130D">
        <w:t>glement des radiocommunications</w:t>
      </w:r>
      <w:r w:rsidR="00A82EF2" w:rsidRPr="007E130D">
        <w:t xml:space="preserve"> </w:t>
      </w:r>
      <w:r w:rsidRPr="007E130D">
        <w:t>permet le</w:t>
      </w:r>
      <w:r w:rsidR="00A82EF2" w:rsidRPr="007E130D">
        <w:t xml:space="preserve"> filtrage et </w:t>
      </w:r>
      <w:r w:rsidRPr="007E130D">
        <w:t xml:space="preserve">le </w:t>
      </w:r>
      <w:r w:rsidR="00A82EF2" w:rsidRPr="007E130D">
        <w:t xml:space="preserve">reformatage en fonction de la gamme de fréquences, du service, de la catégorie de service, du renvoi, du pays, etc. Cet outil </w:t>
      </w:r>
      <w:r w:rsidRPr="007E130D">
        <w:t xml:space="preserve">a été mis à jour sur la base des résultats de la CMR-19 et </w:t>
      </w:r>
      <w:r w:rsidR="00A82EF2" w:rsidRPr="007E130D">
        <w:t>s'appuie sur l'édition de 20</w:t>
      </w:r>
      <w:r w:rsidR="00D560D0" w:rsidRPr="007E130D">
        <w:t>20</w:t>
      </w:r>
      <w:r w:rsidR="00A82EF2" w:rsidRPr="007E130D">
        <w:t xml:space="preserve"> du</w:t>
      </w:r>
      <w:r w:rsidR="00EF328D" w:rsidRPr="007E130D">
        <w:t> </w:t>
      </w:r>
      <w:r w:rsidR="00A82EF2" w:rsidRPr="007E130D">
        <w:t>RR</w:t>
      </w:r>
      <w:r w:rsidR="00D560D0" w:rsidRPr="007E130D">
        <w:t xml:space="preserve">, afin d'apporter les changements concernant les attributions de fréquences, les renvois relatifs à des pays et les références connexes aux Résolutions et aux Recommandations concernées. La version mise à jour inclut désormais des liens renvoyant vers les Recommandations UIT-R pertinentes dont il est fait mention dans l'Article </w:t>
      </w:r>
      <w:r w:rsidR="00D560D0" w:rsidRPr="007E130D">
        <w:rPr>
          <w:b/>
          <w:bCs/>
        </w:rPr>
        <w:t>5</w:t>
      </w:r>
      <w:r w:rsidR="00D560D0" w:rsidRPr="007E130D">
        <w:t xml:space="preserve"> du RR, ainsi que vers la version la plus récente des Règles de procédure qui s'appliquent</w:t>
      </w:r>
      <w:r w:rsidR="00A82EF2" w:rsidRPr="007E130D">
        <w:t xml:space="preserve">. Le logiciel est désormais </w:t>
      </w:r>
      <w:r w:rsidR="00EF328D" w:rsidRPr="007E130D">
        <w:t>équipé</w:t>
      </w:r>
      <w:r w:rsidR="00864195" w:rsidRPr="007E130D">
        <w:t xml:space="preserve"> d'un utilitaire permettant d'extraire le Tableau national d'attribution des bandes de fréquences pour un pays donné, dans la mesure où ce tableau résulte d'une combinaison des diverses dispositions de l'Article </w:t>
      </w:r>
      <w:r w:rsidR="00864195" w:rsidRPr="007E130D">
        <w:rPr>
          <w:b/>
          <w:bCs/>
        </w:rPr>
        <w:t>5</w:t>
      </w:r>
      <w:r w:rsidR="00864195" w:rsidRPr="007E130D">
        <w:t xml:space="preserve"> du RR. Tout au long de </w:t>
      </w:r>
      <w:r w:rsidR="00324DF1" w:rsidRPr="007E130D">
        <w:t>la période considérée</w:t>
      </w:r>
      <w:r w:rsidR="00864195" w:rsidRPr="007E130D">
        <w:t>, cet outil a été amélioré pour y intégrer des liens vers plusieurs dispositions de différents articles du RR. Il a fait l'objet de démonstrations durant plusieurs séminaires régionaux sur les radiocommunications. Il est disponible à la vente sur le site web du Service des ventes de l'UIT</w:t>
      </w:r>
      <w:r w:rsidR="00A82EF2" w:rsidRPr="007E130D">
        <w:t>.</w:t>
      </w:r>
      <w:r w:rsidR="00864195" w:rsidRPr="007E130D">
        <w:t xml:space="preserve"> Toutes les mises à jour logicielles et de données seront proposées aux abonnés gratuitement et à intervalles réguliers, jusqu'à la CMR-23</w:t>
      </w:r>
      <w:r w:rsidR="00324DF1" w:rsidRPr="007E130D">
        <w:t xml:space="preserve"> et à la publication de la nouvelle version du Règlement des radiocommunications</w:t>
      </w:r>
      <w:r w:rsidR="00A82EF2" w:rsidRPr="007E130D">
        <w:t>.</w:t>
      </w:r>
    </w:p>
    <w:p w14:paraId="5CA405AD" w14:textId="77777777" w:rsidR="00A82EF2" w:rsidRPr="007E130D" w:rsidRDefault="00A82EF2" w:rsidP="00B20AC9">
      <w:pPr>
        <w:pStyle w:val="Heading2"/>
      </w:pPr>
      <w:bookmarkStart w:id="222" w:name="_Toc19880079"/>
      <w:bookmarkStart w:id="223" w:name="_Toc147328835"/>
      <w:r w:rsidRPr="007E130D">
        <w:lastRenderedPageBreak/>
        <w:t>6.2</w:t>
      </w:r>
      <w:r w:rsidRPr="007E130D">
        <w:tab/>
        <w:t>Séminaires et ateliers</w:t>
      </w:r>
      <w:bookmarkEnd w:id="222"/>
      <w:bookmarkEnd w:id="223"/>
    </w:p>
    <w:p w14:paraId="1B7AA09B" w14:textId="77777777" w:rsidR="00A82EF2" w:rsidRPr="007E130D" w:rsidRDefault="00A82EF2" w:rsidP="00B20AC9">
      <w:pPr>
        <w:pStyle w:val="Heading3"/>
      </w:pPr>
      <w:bookmarkStart w:id="224" w:name="_Toc19880080"/>
      <w:bookmarkStart w:id="225" w:name="_Toc147328836"/>
      <w:r w:rsidRPr="007E130D">
        <w:t>6.2.1</w:t>
      </w:r>
      <w:r w:rsidRPr="007E130D">
        <w:tab/>
        <w:t>Séminaires mondiaux et régionaux des radiocommunications (WRS, RRS)</w:t>
      </w:r>
      <w:bookmarkEnd w:id="224"/>
      <w:bookmarkEnd w:id="225"/>
    </w:p>
    <w:p w14:paraId="4A7028AF" w14:textId="58A5A5D6" w:rsidR="00A82EF2" w:rsidRPr="007E130D" w:rsidRDefault="00A82EF2" w:rsidP="00B20AC9">
      <w:r w:rsidRPr="007E130D">
        <w:t>À la suite de la CMR-1</w:t>
      </w:r>
      <w:r w:rsidR="00864195" w:rsidRPr="007E130D">
        <w:t>9</w:t>
      </w:r>
      <w:r w:rsidRPr="007E130D">
        <w:t>, le BR a lancé (à partir de janvier 20</w:t>
      </w:r>
      <w:r w:rsidR="00864195" w:rsidRPr="007E130D">
        <w:t>20</w:t>
      </w:r>
      <w:r w:rsidRPr="007E130D">
        <w:t>) une nouvelle série de séminaires mondiaux et régionaux des radiocommunications pendant la période séparant deux CMR, afin de diffuser dans le monde entier la révision du Règlement des radiocommunications faite par la CMR</w:t>
      </w:r>
      <w:r w:rsidRPr="007E130D">
        <w:noBreakHyphen/>
        <w:t>15 et les Règles de procédure associées. Cette série comprend les séminaires mondiaux des radiocommunications (WRS) organisés tous les deux ans, qui sont complétés par plusieurs séminaires régionaux des radiocommunications (RRS).</w:t>
      </w:r>
      <w:r w:rsidR="00864195" w:rsidRPr="007E130D">
        <w:t xml:space="preserve"> </w:t>
      </w:r>
      <w:r w:rsidRPr="007E130D">
        <w:t>Il ressort d'une analyse de la participation aux séminaires mondiaux et régionaux des radiocommunications organisés pendant la période</w:t>
      </w:r>
      <w:r w:rsidR="00EF328D" w:rsidRPr="007E130D">
        <w:t> </w:t>
      </w:r>
      <w:r w:rsidR="00864195" w:rsidRPr="007E130D">
        <w:t>2020-2022</w:t>
      </w:r>
      <w:r w:rsidR="00FC05C7" w:rsidRPr="007E130D">
        <w:t xml:space="preserve"> que c</w:t>
      </w:r>
      <w:r w:rsidRPr="007E130D">
        <w:t>es séminaires se complètent, comme indiqué ci-dessous:</w:t>
      </w:r>
    </w:p>
    <w:p w14:paraId="4BD59B43" w14:textId="1AB210B4" w:rsidR="00A82EF2" w:rsidRPr="007E130D" w:rsidRDefault="00A82EF2" w:rsidP="00B20AC9">
      <w:pPr>
        <w:pStyle w:val="enumlev1"/>
      </w:pPr>
      <w:r w:rsidRPr="007E130D">
        <w:t>–</w:t>
      </w:r>
      <w:r w:rsidRPr="007E130D">
        <w:tab/>
      </w:r>
      <w:r w:rsidR="00130B4A" w:rsidRPr="007E130D">
        <w:t>p</w:t>
      </w:r>
      <w:r w:rsidRPr="007E130D">
        <w:t xml:space="preserve">our les deux séminaires mondiaux des radiocommunications: </w:t>
      </w:r>
      <w:r w:rsidR="00864195" w:rsidRPr="007E130D">
        <w:t>1 773 </w:t>
      </w:r>
      <w:r w:rsidRPr="007E130D">
        <w:t>participants de</w:t>
      </w:r>
      <w:r w:rsidR="00324DF1" w:rsidRPr="007E130D">
        <w:t xml:space="preserve"> plus de</w:t>
      </w:r>
      <w:r w:rsidRPr="007E130D">
        <w:t> </w:t>
      </w:r>
      <w:r w:rsidR="00864195" w:rsidRPr="007E130D">
        <w:t>156</w:t>
      </w:r>
      <w:r w:rsidRPr="007E130D">
        <w:t> pays</w:t>
      </w:r>
      <w:r w:rsidR="00130B4A" w:rsidRPr="007E130D">
        <w:t>;</w:t>
      </w:r>
    </w:p>
    <w:p w14:paraId="5CB24370" w14:textId="38C3B68D" w:rsidR="00A82EF2" w:rsidRPr="007E130D" w:rsidRDefault="00A82EF2" w:rsidP="00B20AC9">
      <w:pPr>
        <w:pStyle w:val="enumlev1"/>
      </w:pPr>
      <w:r w:rsidRPr="007E130D">
        <w:t>–</w:t>
      </w:r>
      <w:r w:rsidRPr="007E130D">
        <w:tab/>
      </w:r>
      <w:r w:rsidR="00130B4A" w:rsidRPr="007E130D">
        <w:t>p</w:t>
      </w:r>
      <w:r w:rsidRPr="007E130D">
        <w:t>our les onze séminaires régionaux des radiocommunications: 1 </w:t>
      </w:r>
      <w:r w:rsidR="00864195" w:rsidRPr="007E130D">
        <w:t>906</w:t>
      </w:r>
      <w:r w:rsidRPr="007E130D">
        <w:t> participants de</w:t>
      </w:r>
      <w:r w:rsidR="00324DF1" w:rsidRPr="007E130D">
        <w:t xml:space="preserve"> plus de</w:t>
      </w:r>
      <w:r w:rsidRPr="007E130D">
        <w:t> </w:t>
      </w:r>
      <w:r w:rsidR="00864195" w:rsidRPr="007E130D">
        <w:t>165</w:t>
      </w:r>
      <w:r w:rsidRPr="007E130D">
        <w:t> pays.</w:t>
      </w:r>
    </w:p>
    <w:p w14:paraId="3DD20152" w14:textId="6FEDB55B" w:rsidR="00A82EF2" w:rsidRPr="007E130D" w:rsidRDefault="00A82EF2" w:rsidP="00B20AC9">
      <w:r w:rsidRPr="007E130D">
        <w:t>Total: 13 séminaires,</w:t>
      </w:r>
      <w:r w:rsidR="00EF328D" w:rsidRPr="007E130D">
        <w:t xml:space="preserve"> </w:t>
      </w:r>
      <w:r w:rsidR="00864195" w:rsidRPr="007E130D">
        <w:t>3 039</w:t>
      </w:r>
      <w:r w:rsidRPr="007E130D">
        <w:t xml:space="preserve"> participants de plus de </w:t>
      </w:r>
      <w:r w:rsidR="00864195" w:rsidRPr="007E130D">
        <w:t>180</w:t>
      </w:r>
      <w:r w:rsidRPr="007E130D">
        <w:t xml:space="preserve"> pays.</w:t>
      </w:r>
    </w:p>
    <w:p w14:paraId="3C897444" w14:textId="69A57BE7" w:rsidR="00A82EF2" w:rsidRPr="007E130D" w:rsidRDefault="00A82EF2" w:rsidP="00B20AC9">
      <w:r w:rsidRPr="007E130D">
        <w:t xml:space="preserve">Pendant cette période, le BR a accordé plus de </w:t>
      </w:r>
      <w:r w:rsidR="00864195" w:rsidRPr="007E130D">
        <w:t>25</w:t>
      </w:r>
      <w:r w:rsidRPr="007E130D">
        <w:t xml:space="preserve"> bourses pour la participation aux séminaires régionaux des radiocommunications </w:t>
      </w:r>
      <w:r w:rsidR="00324DF1" w:rsidRPr="007E130D">
        <w:t xml:space="preserve">tenus en présentiel </w:t>
      </w:r>
      <w:r w:rsidRPr="007E130D">
        <w:t xml:space="preserve">et plus de </w:t>
      </w:r>
      <w:r w:rsidR="00864195" w:rsidRPr="007E130D">
        <w:t>23</w:t>
      </w:r>
      <w:r w:rsidRPr="007E130D">
        <w:t xml:space="preserve"> bourses pour la participation aux séminaires mondiaux des radiocommunications</w:t>
      </w:r>
      <w:r w:rsidRPr="007E130D">
        <w:rPr>
          <w:color w:val="000000"/>
        </w:rPr>
        <w:t xml:space="preserve"> (une bourse par pays remplissant les conditions requises)</w:t>
      </w:r>
      <w:r w:rsidRPr="007E130D">
        <w:t>.</w:t>
      </w:r>
    </w:p>
    <w:p w14:paraId="003E2781" w14:textId="77777777" w:rsidR="00A82EF2" w:rsidRPr="007E130D" w:rsidRDefault="00A82EF2" w:rsidP="00B20AC9">
      <w:pPr>
        <w:pStyle w:val="Heading4"/>
      </w:pPr>
      <w:bookmarkStart w:id="226" w:name="_Toc424047603"/>
      <w:bookmarkStart w:id="227" w:name="_Toc426463261"/>
      <w:r w:rsidRPr="007E130D">
        <w:t>6.2.1.1</w:t>
      </w:r>
      <w:r w:rsidRPr="007E130D">
        <w:tab/>
        <w:t xml:space="preserve">Séminaires mondiaux des radiocommunications </w:t>
      </w:r>
      <w:bookmarkEnd w:id="226"/>
      <w:bookmarkEnd w:id="227"/>
      <w:r w:rsidRPr="007E130D">
        <w:t>(WRS)</w:t>
      </w:r>
    </w:p>
    <w:p w14:paraId="6B7E2852" w14:textId="77777777" w:rsidR="00A82EF2" w:rsidRPr="007E130D" w:rsidRDefault="00A82EF2" w:rsidP="00B20AC9">
      <w:r w:rsidRPr="007E130D">
        <w:t>Les séminaires mondiaux des radiocommunications ont essentiellement porté sur les aspects réglementaires de l'utilisation du spectre des fréquences radioélectriques et des orbites de satellites, et en particulier sur l'application des dispositions du Règlement des radiocommunications de l'UIT.</w:t>
      </w:r>
    </w:p>
    <w:p w14:paraId="61DDD54A" w14:textId="0C8F39A4" w:rsidR="00A82EF2" w:rsidRPr="007E130D" w:rsidRDefault="00A82EF2" w:rsidP="00B20AC9">
      <w:r w:rsidRPr="007E130D">
        <w:rPr>
          <w:color w:val="000000"/>
        </w:rPr>
        <w:t>Depuis la CMR-1</w:t>
      </w:r>
      <w:r w:rsidR="00864195" w:rsidRPr="007E130D">
        <w:rPr>
          <w:color w:val="000000"/>
        </w:rPr>
        <w:t>9</w:t>
      </w:r>
      <w:r w:rsidRPr="007E130D">
        <w:rPr>
          <w:color w:val="000000"/>
        </w:rPr>
        <w:t xml:space="preserve">, les deux séminaires mondiaux des radiocommunications ci-après ont eu lieu </w:t>
      </w:r>
      <w:r w:rsidR="00DC3A4E" w:rsidRPr="007E130D">
        <w:rPr>
          <w:color w:val="000000"/>
        </w:rPr>
        <w:t>en ligne</w:t>
      </w:r>
      <w:r w:rsidRPr="007E130D">
        <w:rPr>
          <w:color w:val="000000"/>
        </w:rPr>
        <w:t>:</w:t>
      </w:r>
    </w:p>
    <w:p w14:paraId="164C57B8" w14:textId="5BEA9E63" w:rsidR="00A82EF2" w:rsidRPr="007E130D" w:rsidRDefault="00A82EF2" w:rsidP="00EF328D">
      <w:pPr>
        <w:pStyle w:val="enumlev1"/>
      </w:pPr>
      <w:r w:rsidRPr="007E130D">
        <w:rPr>
          <w:bCs/>
          <w:iCs/>
        </w:rPr>
        <w:t>–</w:t>
      </w:r>
      <w:r w:rsidRPr="007E130D">
        <w:rPr>
          <w:bCs/>
          <w:iCs/>
        </w:rPr>
        <w:tab/>
      </w:r>
      <w:r w:rsidRPr="007E130D">
        <w:rPr>
          <w:b/>
          <w:bCs/>
          <w:iCs/>
        </w:rPr>
        <w:t>WRS-</w:t>
      </w:r>
      <w:r w:rsidR="00864195" w:rsidRPr="007E130D">
        <w:rPr>
          <w:b/>
          <w:bCs/>
          <w:iCs/>
        </w:rPr>
        <w:t>20</w:t>
      </w:r>
      <w:r w:rsidRPr="007E130D">
        <w:t>, du</w:t>
      </w:r>
      <w:r w:rsidR="00864195" w:rsidRPr="007E130D">
        <w:t xml:space="preserve"> 30 novembre au 11 décembre 2020</w:t>
      </w:r>
      <w:r w:rsidRPr="007E130D">
        <w:t xml:space="preserve">, </w:t>
      </w:r>
      <w:r w:rsidRPr="007E130D">
        <w:rPr>
          <w:color w:val="000000"/>
        </w:rPr>
        <w:t>en présence de</w:t>
      </w:r>
      <w:r w:rsidRPr="007E130D">
        <w:t xml:space="preserve"> </w:t>
      </w:r>
      <w:r w:rsidR="00864195" w:rsidRPr="007E130D">
        <w:t>2 183</w:t>
      </w:r>
      <w:r w:rsidRPr="007E130D">
        <w:t xml:space="preserve"> participants </w:t>
      </w:r>
      <w:r w:rsidRPr="007E130D">
        <w:rPr>
          <w:color w:val="000000"/>
        </w:rPr>
        <w:t>de</w:t>
      </w:r>
      <w:r w:rsidR="00EF328D" w:rsidRPr="007E130D">
        <w:rPr>
          <w:color w:val="000000"/>
        </w:rPr>
        <w:t> </w:t>
      </w:r>
      <w:r w:rsidR="00864195" w:rsidRPr="007E130D">
        <w:rPr>
          <w:color w:val="000000"/>
        </w:rPr>
        <w:t xml:space="preserve">159 </w:t>
      </w:r>
      <w:r w:rsidRPr="007E130D">
        <w:rPr>
          <w:color w:val="000000"/>
        </w:rPr>
        <w:t>pays</w:t>
      </w:r>
      <w:r w:rsidR="00130B4A" w:rsidRPr="007E130D">
        <w:rPr>
          <w:color w:val="000000"/>
        </w:rPr>
        <w:t>;</w:t>
      </w:r>
    </w:p>
    <w:p w14:paraId="09CDED89" w14:textId="6E604832" w:rsidR="00A82EF2" w:rsidRPr="007E130D" w:rsidRDefault="00A82EF2" w:rsidP="00EF328D">
      <w:pPr>
        <w:pStyle w:val="enumlev1"/>
      </w:pPr>
      <w:r w:rsidRPr="007E130D">
        <w:rPr>
          <w:bCs/>
          <w:iCs/>
        </w:rPr>
        <w:t>–</w:t>
      </w:r>
      <w:r w:rsidRPr="007E130D">
        <w:rPr>
          <w:bCs/>
          <w:iCs/>
        </w:rPr>
        <w:tab/>
      </w:r>
      <w:r w:rsidRPr="007E130D">
        <w:rPr>
          <w:b/>
          <w:bCs/>
          <w:iCs/>
        </w:rPr>
        <w:t>WRS-</w:t>
      </w:r>
      <w:r w:rsidR="00864195" w:rsidRPr="007E130D">
        <w:rPr>
          <w:b/>
          <w:bCs/>
          <w:iCs/>
        </w:rPr>
        <w:t>22</w:t>
      </w:r>
      <w:r w:rsidRPr="007E130D">
        <w:t>, du</w:t>
      </w:r>
      <w:r w:rsidR="00864195" w:rsidRPr="007E130D">
        <w:t xml:space="preserve"> 24 au 28 octobre 2022</w:t>
      </w:r>
      <w:r w:rsidRPr="007E130D">
        <w:t xml:space="preserve">, </w:t>
      </w:r>
      <w:r w:rsidRPr="007E130D">
        <w:rPr>
          <w:color w:val="000000"/>
        </w:rPr>
        <w:t>en présence de</w:t>
      </w:r>
      <w:r w:rsidRPr="007E130D">
        <w:t xml:space="preserve"> </w:t>
      </w:r>
      <w:r w:rsidR="00864195" w:rsidRPr="007E130D">
        <w:t xml:space="preserve">540 </w:t>
      </w:r>
      <w:r w:rsidRPr="007E130D">
        <w:t xml:space="preserve">participants de </w:t>
      </w:r>
      <w:r w:rsidR="00864195" w:rsidRPr="007E130D">
        <w:t>123</w:t>
      </w:r>
      <w:r w:rsidRPr="007E130D">
        <w:rPr>
          <w:color w:val="000000"/>
        </w:rPr>
        <w:t xml:space="preserve"> pays</w:t>
      </w:r>
      <w:r w:rsidRPr="007E130D">
        <w:t>.</w:t>
      </w:r>
    </w:p>
    <w:p w14:paraId="3C1E6362" w14:textId="53FC2038" w:rsidR="00864195" w:rsidRPr="007E130D" w:rsidRDefault="00AB2C37" w:rsidP="00B20AC9">
      <w:pPr>
        <w:rPr>
          <w:szCs w:val="24"/>
        </w:rPr>
      </w:pPr>
      <w:r w:rsidRPr="007E130D">
        <w:rPr>
          <w:szCs w:val="24"/>
        </w:rPr>
        <w:t xml:space="preserve">Le séminaire </w:t>
      </w:r>
      <w:r w:rsidRPr="007E130D">
        <w:rPr>
          <w:b/>
          <w:bCs/>
          <w:szCs w:val="24"/>
        </w:rPr>
        <w:t>WRS-20</w:t>
      </w:r>
      <w:r w:rsidRPr="007E130D">
        <w:rPr>
          <w:szCs w:val="24"/>
        </w:rPr>
        <w:t>, p</w:t>
      </w:r>
      <w:r w:rsidR="00864195" w:rsidRPr="007E130D">
        <w:rPr>
          <w:szCs w:val="24"/>
        </w:rPr>
        <w:t xml:space="preserve">révu initialement la première semaine de décembre </w:t>
      </w:r>
      <w:r w:rsidR="00272EBF" w:rsidRPr="007E130D">
        <w:rPr>
          <w:szCs w:val="24"/>
        </w:rPr>
        <w:t xml:space="preserve">2020 </w:t>
      </w:r>
      <w:r w:rsidR="00864195" w:rsidRPr="007E130D">
        <w:rPr>
          <w:szCs w:val="24"/>
        </w:rPr>
        <w:t>à Genève, s'est déroulé sous une forme virtuelle en raison des restrictions de voyage liées à la pandémie</w:t>
      </w:r>
      <w:r w:rsidR="00272EBF" w:rsidRPr="007E130D">
        <w:rPr>
          <w:szCs w:val="24"/>
        </w:rPr>
        <w:t xml:space="preserve"> de COVID-19</w:t>
      </w:r>
      <w:r w:rsidR="00864195" w:rsidRPr="007E130D">
        <w:rPr>
          <w:szCs w:val="24"/>
        </w:rPr>
        <w:t>. Les changements suivants ont été appliqués:</w:t>
      </w:r>
    </w:p>
    <w:p w14:paraId="74D76C6F" w14:textId="2F442120" w:rsidR="00864195" w:rsidRPr="007E130D" w:rsidRDefault="00864195" w:rsidP="00B20AC9">
      <w:pPr>
        <w:pStyle w:val="enumlev1"/>
      </w:pPr>
      <w:r w:rsidRPr="007E130D">
        <w:t>–</w:t>
      </w:r>
      <w:r w:rsidRPr="007E130D">
        <w:tab/>
        <w:t>Le séminaire WRS-20 s'est déroulé sur deux semaines, du 30 novembre au</w:t>
      </w:r>
      <w:r w:rsidR="00EF328D" w:rsidRPr="007E130D">
        <w:t> </w:t>
      </w:r>
      <w:r w:rsidRPr="007E130D">
        <w:t>11</w:t>
      </w:r>
      <w:r w:rsidR="00EF328D" w:rsidRPr="007E130D">
        <w:t> </w:t>
      </w:r>
      <w:r w:rsidRPr="007E130D">
        <w:t>décembre, avec des sessions quotidiennes de trois heures.</w:t>
      </w:r>
    </w:p>
    <w:p w14:paraId="0767C342" w14:textId="77777777" w:rsidR="00864195" w:rsidRPr="007E130D" w:rsidRDefault="00864195" w:rsidP="00B20AC9">
      <w:pPr>
        <w:pStyle w:val="enumlev1"/>
      </w:pPr>
      <w:r w:rsidRPr="007E130D">
        <w:t>–</w:t>
      </w:r>
      <w:r w:rsidRPr="007E130D">
        <w:tab/>
        <w:t>Afin de permettre aux participants se trouvant dans différents fuseaux horaires de suivre la manifestation, les sessions du séminaire WRS-20 se sont tenues deux fois par jour:</w:t>
      </w:r>
    </w:p>
    <w:p w14:paraId="32BA61DE" w14:textId="63B787CA" w:rsidR="00864195" w:rsidRPr="007E130D" w:rsidRDefault="00864195" w:rsidP="00B20AC9">
      <w:pPr>
        <w:pStyle w:val="enumlev2"/>
      </w:pPr>
      <w:r w:rsidRPr="007E130D">
        <w:t>•</w:t>
      </w:r>
      <w:r w:rsidRPr="007E130D">
        <w:tab/>
        <w:t>Les séances du matin (heure de Genève) ont été organisées pour les participants se trouvant dans les régions suivantes: Asie-Pacifique, Afrique de l'Est et Afrique australe.</w:t>
      </w:r>
    </w:p>
    <w:p w14:paraId="33493F8A" w14:textId="77777777" w:rsidR="00864195" w:rsidRPr="007E130D" w:rsidRDefault="00864195" w:rsidP="00B20AC9">
      <w:pPr>
        <w:pStyle w:val="enumlev2"/>
      </w:pPr>
      <w:r w:rsidRPr="007E130D">
        <w:t>•</w:t>
      </w:r>
      <w:r w:rsidRPr="007E130D">
        <w:tab/>
        <w:t>Les séances de l'après-midi (heure de Genève) ont été organisées pour les participants se trouvant dans les régions suivantes: Amériques, Europe, CEI, États arabes et Afrique de l'Ouest.</w:t>
      </w:r>
    </w:p>
    <w:p w14:paraId="1C176C53" w14:textId="77777777" w:rsidR="00A82EF2" w:rsidRPr="007E130D" w:rsidRDefault="00864195" w:rsidP="00B20AC9">
      <w:pPr>
        <w:pStyle w:val="enumlev1"/>
      </w:pPr>
      <w:r w:rsidRPr="007E130D">
        <w:t>–</w:t>
      </w:r>
      <w:r w:rsidRPr="007E130D">
        <w:tab/>
        <w:t>Des enregistrements des sessions organisées dans le cadre du séminaire ont aussi été mis à disposition sur le site web de la manifestation.</w:t>
      </w:r>
    </w:p>
    <w:p w14:paraId="49A361CD" w14:textId="77777777" w:rsidR="000F1BFA" w:rsidRPr="007E130D" w:rsidRDefault="000F1BFA" w:rsidP="00B20AC9">
      <w:pPr>
        <w:pStyle w:val="enumlev1"/>
      </w:pPr>
      <w:r w:rsidRPr="007E130D">
        <w:lastRenderedPageBreak/>
        <w:t>–</w:t>
      </w:r>
      <w:r w:rsidRPr="007E130D">
        <w:tab/>
        <w:t>Les activités de la seconde semaine, réservées aux membres de l'UIT uniquement, consistaient en des ateliers de formation de base sur la manière d'utiliser les outils élaborés par l'UIT pour les notifications de fréquences et les examens techniques. Grâce à des exercices didactiques sur le web, les participants ont eu la possibilité de maîtriser à la fois les procédures et les logiciels que l'UIT-R utilise pour le traitement des fiches de notification. Les participants ont pu alterner entre services spatiaux et services de Terre.</w:t>
      </w:r>
    </w:p>
    <w:p w14:paraId="1BEBD16A" w14:textId="15971098" w:rsidR="000F1BFA" w:rsidRPr="007E130D" w:rsidRDefault="00AB2C37" w:rsidP="00B20AC9">
      <w:r w:rsidRPr="007E130D">
        <w:rPr>
          <w:bCs/>
        </w:rPr>
        <w:t xml:space="preserve">La </w:t>
      </w:r>
      <w:r w:rsidRPr="007E130D">
        <w:rPr>
          <w:b/>
        </w:rPr>
        <w:t>plénière du</w:t>
      </w:r>
      <w:r w:rsidRPr="007E130D">
        <w:rPr>
          <w:bCs/>
        </w:rPr>
        <w:t xml:space="preserve"> </w:t>
      </w:r>
      <w:r w:rsidR="000F1BFA" w:rsidRPr="007E130D">
        <w:rPr>
          <w:b/>
          <w:bCs/>
        </w:rPr>
        <w:t>WRS-22</w:t>
      </w:r>
      <w:r w:rsidR="000F1BFA" w:rsidRPr="007E130D">
        <w:t xml:space="preserve"> </w:t>
      </w:r>
      <w:r w:rsidRPr="007E130D">
        <w:t>s</w:t>
      </w:r>
      <w:r w:rsidR="00EF328D" w:rsidRPr="007E130D">
        <w:t>'</w:t>
      </w:r>
      <w:r w:rsidRPr="007E130D">
        <w:t>est tenue sous la forme d</w:t>
      </w:r>
      <w:r w:rsidR="000C4CDD" w:rsidRPr="007E130D">
        <w:t>'</w:t>
      </w:r>
      <w:r w:rsidRPr="007E130D">
        <w:t>une manifestation physique avec participation à distance</w:t>
      </w:r>
      <w:r w:rsidR="000F1BFA" w:rsidRPr="007E130D">
        <w:t>.</w:t>
      </w:r>
    </w:p>
    <w:p w14:paraId="40CD7E1D" w14:textId="77777777" w:rsidR="000F1BFA" w:rsidRPr="007E130D" w:rsidRDefault="000F1BFA" w:rsidP="00B20AC9">
      <w:r w:rsidRPr="007E130D">
        <w:t xml:space="preserve">Les </w:t>
      </w:r>
      <w:r w:rsidRPr="007E130D">
        <w:rPr>
          <w:b/>
          <w:bCs/>
        </w:rPr>
        <w:t>ateliers sur les services de Terre et les services spatiaux du WRS-22</w:t>
      </w:r>
      <w:r w:rsidRPr="007E130D">
        <w:t xml:space="preserve"> se sont déroulés en parallèle et en présentiel uniquement, et étaient réservés à la participation des membres de l'UIT-R. À l'occasion des ateliers sur les services spatiaux et les services de Terre qui ont été organisés durant quatre jours dans le cadre du WRS-22, les participants ont pu se familiariser directement avec les procédures de notification de l'UIT, ainsi qu'avec les logiciels, les bases de données et les publications électroniques que le Bureau des radiocommunications met à la disposition des membres de l'UIT. Des séances spécialement conçues pour les utilisateurs débutants et les utilisateurs de niveau avancé des outils logiciels du BR ont aussi été proposées. Les séances se sont tenues essentiellement en anglais et en français. </w:t>
      </w:r>
      <w:r w:rsidR="00AB2C37" w:rsidRPr="007E130D">
        <w:t xml:space="preserve">Le </w:t>
      </w:r>
      <w:r w:rsidRPr="007E130D">
        <w:t xml:space="preserve">BR </w:t>
      </w:r>
      <w:r w:rsidR="00AB2C37" w:rsidRPr="007E130D">
        <w:t xml:space="preserve">a accordé </w:t>
      </w:r>
      <w:r w:rsidRPr="007E130D">
        <w:t xml:space="preserve">23 </w:t>
      </w:r>
      <w:r w:rsidR="00AB2C37" w:rsidRPr="007E130D">
        <w:t xml:space="preserve">bourses pour le </w:t>
      </w:r>
      <w:r w:rsidRPr="007E130D">
        <w:t>WRS-22.</w:t>
      </w:r>
    </w:p>
    <w:p w14:paraId="266BF7A0" w14:textId="77777777" w:rsidR="000F1BFA" w:rsidRPr="007E130D" w:rsidRDefault="000F1BFA" w:rsidP="00B20AC9">
      <w:r w:rsidRPr="007E130D">
        <w:t>De plus, compte tenu du fait qu'un nombre grandissant de personnes utilisent et déploient actuellement des systèmes de radiocommunication, et eu égard au rôle du BR d'informer tous les individus et toutes les organisations, à l'échelle mondiale, concernant le Règlement des radiocommunications et les modalités de sa mise en œuvre, pour la toute première fois, la participation aux plénières du séminaire WRS a été ouverte à tous, indépendamment du fait qu'ils soient membres ou non de l'UIT.</w:t>
      </w:r>
    </w:p>
    <w:p w14:paraId="17078DD8" w14:textId="77777777" w:rsidR="00A82EF2" w:rsidRPr="007E130D" w:rsidRDefault="00A82EF2" w:rsidP="00B20AC9">
      <w:pPr>
        <w:pStyle w:val="Heading4"/>
      </w:pPr>
      <w:r w:rsidRPr="007E130D">
        <w:t>6.2.1.2</w:t>
      </w:r>
      <w:r w:rsidRPr="007E130D">
        <w:tab/>
        <w:t>Séminaires régionaux des radiocommunications (RRS)</w:t>
      </w:r>
    </w:p>
    <w:p w14:paraId="17D94D58" w14:textId="77777777" w:rsidR="00A82EF2" w:rsidRPr="007E130D" w:rsidRDefault="00A82EF2" w:rsidP="00B20AC9">
      <w:r w:rsidRPr="007E130D">
        <w:t>En complément des séminaires mondiaux des radiocommunications qui se tiennent tous les deux ans, le BR organise chaque année, dans le cadre d'une stratégie de sensibilisation sur le plan régional, des séminaires régionaux des radiocommunications (RRS), qui ont lieu dans les différentes régions du monde, en vue de promouvoir le renforcement des capacités humaines en ce qui concerne l'utilisation du spectre des fréquences radioélectriques et des orbites de satellites et, en particulier, l'application des dispositions du Règlement des radiocommunications de l'UIT.</w:t>
      </w:r>
    </w:p>
    <w:p w14:paraId="0678F374" w14:textId="72859B61" w:rsidR="00A82EF2" w:rsidRPr="007E130D" w:rsidRDefault="00A82EF2" w:rsidP="00B20AC9">
      <w:r w:rsidRPr="007E130D">
        <w:t>Les séminaires régionaux des radiocommunications comprennent une partie technique et des ateliers consacrés aux services de Terre et aux services spatiaux, qui peuvent se tenir en parallèle ou en série, en fonction des besoins particuliers de la région. Les séminaires RRS sont complétés par un forum d'une journée axé sur un thème en rapport avec le spectre qui présente un intérêt tout particulier pour la région.</w:t>
      </w:r>
    </w:p>
    <w:p w14:paraId="69204B61" w14:textId="3E24A75E" w:rsidR="00A82EF2" w:rsidRPr="007E130D" w:rsidRDefault="00A82EF2" w:rsidP="00B20AC9">
      <w:r w:rsidRPr="007E130D">
        <w:t>On trouvera dans le Tableau 6.2.1.2-1 un récapitulatif des onze séminaires RRS qui se sont tenus depuis la CMR-</w:t>
      </w:r>
      <w:r w:rsidR="00414F7A">
        <w:t>19</w:t>
      </w:r>
      <w:r w:rsidRPr="007E130D">
        <w:t xml:space="preserve">. En général, ces séminaires se sont tenus </w:t>
      </w:r>
      <w:r w:rsidR="00AB2C37" w:rsidRPr="007E130D">
        <w:t>en ligne pendant la pandémie de</w:t>
      </w:r>
      <w:r w:rsidR="00EF328D" w:rsidRPr="007E130D">
        <w:t> </w:t>
      </w:r>
      <w:r w:rsidR="00AB2C37" w:rsidRPr="007E130D">
        <w:t xml:space="preserve">COVID-19 et par la suite </w:t>
      </w:r>
      <w:r w:rsidRPr="007E130D">
        <w:t xml:space="preserve">à l'invitation </w:t>
      </w:r>
      <w:r w:rsidR="00AB2C37" w:rsidRPr="007E130D">
        <w:t>des administrations</w:t>
      </w:r>
      <w:r w:rsidRPr="007E130D">
        <w:t>, du régulateur ou de l'Autorité chargée de la gestion du spectre du pays considéré, en coopération avec les organisations régionales concernées et les bureaux régionaux ou bureaux de zone de l'UIT.</w:t>
      </w:r>
    </w:p>
    <w:p w14:paraId="16F8C8D1" w14:textId="77777777" w:rsidR="00A82EF2" w:rsidRPr="007E130D" w:rsidRDefault="00A82EF2" w:rsidP="00B20AC9">
      <w:pPr>
        <w:sectPr w:rsidR="00A82EF2" w:rsidRPr="007E130D" w:rsidSect="00960B1C">
          <w:headerReference w:type="default" r:id="rId70"/>
          <w:footerReference w:type="even" r:id="rId71"/>
          <w:footerReference w:type="default" r:id="rId72"/>
          <w:footerReference w:type="first" r:id="rId73"/>
          <w:pgSz w:w="11907" w:h="16840" w:code="9"/>
          <w:pgMar w:top="1418" w:right="1134" w:bottom="1418" w:left="1134" w:header="720" w:footer="720" w:gutter="0"/>
          <w:paperSrc w:first="15" w:other="15"/>
          <w:cols w:space="720"/>
          <w:titlePg/>
          <w:docGrid w:linePitch="326"/>
        </w:sectPr>
      </w:pPr>
    </w:p>
    <w:p w14:paraId="613CC813" w14:textId="77777777" w:rsidR="00A82EF2" w:rsidRPr="007E130D" w:rsidRDefault="00A82EF2" w:rsidP="00B20AC9">
      <w:pPr>
        <w:pStyle w:val="TableNo"/>
      </w:pPr>
      <w:r w:rsidRPr="007E130D">
        <w:lastRenderedPageBreak/>
        <w:t>Table</w:t>
      </w:r>
      <w:r w:rsidR="008F6402" w:rsidRPr="007E130D">
        <w:t>AU</w:t>
      </w:r>
      <w:r w:rsidRPr="007E130D">
        <w:t xml:space="preserve"> 6.2.1.2-1</w:t>
      </w:r>
    </w:p>
    <w:p w14:paraId="73D46C0C" w14:textId="3B8B52AA" w:rsidR="003F5F76" w:rsidRPr="007E130D" w:rsidRDefault="00A82EF2" w:rsidP="00B20AC9">
      <w:pPr>
        <w:pStyle w:val="Tabletitle"/>
      </w:pPr>
      <w:r w:rsidRPr="007E130D">
        <w:t xml:space="preserve">Séminaires régionaux des radiocommunications de l'UIT </w:t>
      </w:r>
      <w:r w:rsidR="003F5F76" w:rsidRPr="007E130D">
        <w:t>(2020-2023)</w:t>
      </w:r>
    </w:p>
    <w:tbl>
      <w:tblPr>
        <w:tblStyle w:val="TableGrid"/>
        <w:tblW w:w="5164" w:type="pct"/>
        <w:jc w:val="center"/>
        <w:tblLayout w:type="fixed"/>
        <w:tblLook w:val="04A0" w:firstRow="1" w:lastRow="0" w:firstColumn="1" w:lastColumn="0" w:noHBand="0" w:noVBand="1"/>
      </w:tblPr>
      <w:tblGrid>
        <w:gridCol w:w="1835"/>
        <w:gridCol w:w="2047"/>
        <w:gridCol w:w="1217"/>
        <w:gridCol w:w="1416"/>
        <w:gridCol w:w="2411"/>
        <w:gridCol w:w="2125"/>
        <w:gridCol w:w="711"/>
        <w:gridCol w:w="1416"/>
        <w:gridCol w:w="1275"/>
      </w:tblGrid>
      <w:tr w:rsidR="00E13E91" w:rsidRPr="007E130D" w14:paraId="1B611323" w14:textId="77777777" w:rsidTr="007E130D">
        <w:trPr>
          <w:tblHeader/>
          <w:jc w:val="center"/>
        </w:trPr>
        <w:tc>
          <w:tcPr>
            <w:tcW w:w="635" w:type="pct"/>
            <w:tcBorders>
              <w:top w:val="single" w:sz="4" w:space="0" w:color="auto"/>
              <w:left w:val="single" w:sz="4" w:space="0" w:color="auto"/>
              <w:bottom w:val="single" w:sz="4" w:space="0" w:color="auto"/>
              <w:right w:val="single" w:sz="4" w:space="0" w:color="auto"/>
            </w:tcBorders>
            <w:vAlign w:val="center"/>
            <w:hideMark/>
          </w:tcPr>
          <w:p w14:paraId="3741FED2" w14:textId="77777777" w:rsidR="003F5F76" w:rsidRPr="007E130D" w:rsidRDefault="003F5F76" w:rsidP="00EF328D">
            <w:pPr>
              <w:pStyle w:val="Tablehead"/>
              <w:rPr>
                <w:rFonts w:asciiTheme="majorBidi" w:hAnsiTheme="majorBidi" w:cstheme="majorBidi"/>
                <w:bCs/>
                <w:sz w:val="18"/>
                <w:szCs w:val="18"/>
                <w:lang w:eastAsia="zh-CN"/>
              </w:rPr>
            </w:pPr>
            <w:r w:rsidRPr="007E130D">
              <w:rPr>
                <w:sz w:val="18"/>
                <w:szCs w:val="18"/>
              </w:rPr>
              <w:t>Date</w:t>
            </w:r>
          </w:p>
        </w:tc>
        <w:tc>
          <w:tcPr>
            <w:tcW w:w="708" w:type="pct"/>
            <w:tcBorders>
              <w:top w:val="single" w:sz="4" w:space="0" w:color="auto"/>
              <w:left w:val="single" w:sz="4" w:space="0" w:color="auto"/>
              <w:bottom w:val="single" w:sz="4" w:space="0" w:color="auto"/>
              <w:right w:val="single" w:sz="4" w:space="0" w:color="auto"/>
            </w:tcBorders>
            <w:vAlign w:val="center"/>
            <w:hideMark/>
          </w:tcPr>
          <w:p w14:paraId="79D99EDE" w14:textId="77777777" w:rsidR="003F5F76" w:rsidRPr="007E130D" w:rsidRDefault="003F5F76" w:rsidP="00EF328D">
            <w:pPr>
              <w:pStyle w:val="Tablehead"/>
              <w:rPr>
                <w:rFonts w:asciiTheme="majorBidi" w:hAnsiTheme="majorBidi" w:cstheme="majorBidi"/>
                <w:bCs/>
                <w:sz w:val="18"/>
                <w:szCs w:val="18"/>
              </w:rPr>
            </w:pPr>
            <w:r w:rsidRPr="007E130D">
              <w:rPr>
                <w:sz w:val="18"/>
                <w:szCs w:val="18"/>
              </w:rPr>
              <w:t>RRS</w:t>
            </w:r>
          </w:p>
        </w:tc>
        <w:tc>
          <w:tcPr>
            <w:tcW w:w="421" w:type="pct"/>
            <w:tcBorders>
              <w:top w:val="single" w:sz="4" w:space="0" w:color="auto"/>
              <w:left w:val="single" w:sz="4" w:space="0" w:color="auto"/>
              <w:bottom w:val="single" w:sz="4" w:space="0" w:color="auto"/>
              <w:right w:val="single" w:sz="4" w:space="0" w:color="auto"/>
            </w:tcBorders>
            <w:vAlign w:val="center"/>
            <w:hideMark/>
          </w:tcPr>
          <w:p w14:paraId="2CB0B006" w14:textId="77777777" w:rsidR="003F5F76" w:rsidRPr="007E130D" w:rsidRDefault="003F5F76" w:rsidP="00EF328D">
            <w:pPr>
              <w:pStyle w:val="Tablehead"/>
              <w:rPr>
                <w:rFonts w:asciiTheme="majorBidi" w:hAnsiTheme="majorBidi" w:cstheme="majorBidi"/>
                <w:bCs/>
                <w:sz w:val="18"/>
                <w:szCs w:val="18"/>
              </w:rPr>
            </w:pPr>
            <w:r w:rsidRPr="007E130D">
              <w:rPr>
                <w:sz w:val="18"/>
                <w:szCs w:val="18"/>
              </w:rPr>
              <w:t>Lieu</w:t>
            </w:r>
          </w:p>
        </w:tc>
        <w:tc>
          <w:tcPr>
            <w:tcW w:w="490" w:type="pct"/>
            <w:tcBorders>
              <w:top w:val="single" w:sz="4" w:space="0" w:color="auto"/>
              <w:left w:val="single" w:sz="4" w:space="0" w:color="auto"/>
              <w:bottom w:val="single" w:sz="4" w:space="0" w:color="auto"/>
              <w:right w:val="single" w:sz="4" w:space="0" w:color="auto"/>
            </w:tcBorders>
            <w:vAlign w:val="center"/>
            <w:hideMark/>
          </w:tcPr>
          <w:p w14:paraId="115D95F2" w14:textId="77777777" w:rsidR="003F5F76" w:rsidRPr="007E130D" w:rsidRDefault="003F5F76" w:rsidP="00EF328D">
            <w:pPr>
              <w:pStyle w:val="Tablehead"/>
              <w:rPr>
                <w:rFonts w:asciiTheme="majorBidi" w:hAnsiTheme="majorBidi" w:cstheme="majorBidi"/>
                <w:bCs/>
                <w:sz w:val="18"/>
                <w:szCs w:val="18"/>
              </w:rPr>
            </w:pPr>
            <w:r w:rsidRPr="007E130D">
              <w:rPr>
                <w:sz w:val="18"/>
                <w:szCs w:val="18"/>
              </w:rPr>
              <w:t>Hôte</w:t>
            </w:r>
          </w:p>
        </w:tc>
        <w:tc>
          <w:tcPr>
            <w:tcW w:w="834" w:type="pct"/>
            <w:tcBorders>
              <w:top w:val="single" w:sz="4" w:space="0" w:color="auto"/>
              <w:left w:val="single" w:sz="4" w:space="0" w:color="auto"/>
              <w:bottom w:val="single" w:sz="4" w:space="0" w:color="auto"/>
              <w:right w:val="single" w:sz="4" w:space="0" w:color="auto"/>
            </w:tcBorders>
            <w:vAlign w:val="center"/>
            <w:hideMark/>
          </w:tcPr>
          <w:p w14:paraId="4E4E2E7E" w14:textId="77777777" w:rsidR="003F5F76" w:rsidRPr="007E130D" w:rsidRDefault="003F5F76" w:rsidP="00EF328D">
            <w:pPr>
              <w:pStyle w:val="Tablehead"/>
              <w:rPr>
                <w:rFonts w:asciiTheme="majorBidi" w:hAnsiTheme="majorBidi" w:cstheme="majorBidi"/>
                <w:bCs/>
                <w:sz w:val="18"/>
                <w:szCs w:val="18"/>
              </w:rPr>
            </w:pPr>
            <w:r w:rsidRPr="007E130D">
              <w:rPr>
                <w:sz w:val="18"/>
                <w:szCs w:val="18"/>
              </w:rPr>
              <w:t>Coopération</w:t>
            </w:r>
          </w:p>
        </w:tc>
        <w:tc>
          <w:tcPr>
            <w:tcW w:w="735" w:type="pct"/>
            <w:tcBorders>
              <w:top w:val="single" w:sz="4" w:space="0" w:color="auto"/>
              <w:left w:val="single" w:sz="4" w:space="0" w:color="auto"/>
              <w:bottom w:val="single" w:sz="4" w:space="0" w:color="auto"/>
              <w:right w:val="single" w:sz="4" w:space="0" w:color="auto"/>
            </w:tcBorders>
            <w:vAlign w:val="center"/>
            <w:hideMark/>
          </w:tcPr>
          <w:p w14:paraId="285A7FDA" w14:textId="77777777" w:rsidR="003F5F76" w:rsidRPr="007E130D" w:rsidRDefault="003F5F76" w:rsidP="00EF328D">
            <w:pPr>
              <w:pStyle w:val="Tablehead"/>
              <w:rPr>
                <w:rFonts w:asciiTheme="majorBidi" w:hAnsiTheme="majorBidi" w:cstheme="majorBidi"/>
                <w:bCs/>
                <w:sz w:val="18"/>
                <w:szCs w:val="18"/>
              </w:rPr>
            </w:pPr>
            <w:r w:rsidRPr="007E130D">
              <w:rPr>
                <w:sz w:val="18"/>
                <w:szCs w:val="18"/>
              </w:rPr>
              <w:t>Thèmes du Forum</w:t>
            </w:r>
          </w:p>
        </w:tc>
        <w:tc>
          <w:tcPr>
            <w:tcW w:w="246" w:type="pct"/>
            <w:tcBorders>
              <w:top w:val="single" w:sz="4" w:space="0" w:color="auto"/>
              <w:left w:val="single" w:sz="4" w:space="0" w:color="auto"/>
              <w:bottom w:val="single" w:sz="4" w:space="0" w:color="auto"/>
              <w:right w:val="single" w:sz="4" w:space="0" w:color="auto"/>
            </w:tcBorders>
            <w:vAlign w:val="center"/>
            <w:hideMark/>
          </w:tcPr>
          <w:p w14:paraId="32E78D23" w14:textId="77777777" w:rsidR="003F5F76" w:rsidRPr="007E130D" w:rsidRDefault="003F5F76" w:rsidP="00EF328D">
            <w:pPr>
              <w:pStyle w:val="Tablehead"/>
              <w:rPr>
                <w:rFonts w:asciiTheme="majorBidi" w:hAnsiTheme="majorBidi" w:cstheme="majorBidi"/>
                <w:bCs/>
                <w:sz w:val="18"/>
                <w:szCs w:val="18"/>
              </w:rPr>
            </w:pPr>
            <w:r w:rsidRPr="007E130D">
              <w:rPr>
                <w:sz w:val="18"/>
                <w:szCs w:val="18"/>
              </w:rPr>
              <w:t>Lang.</w:t>
            </w:r>
          </w:p>
        </w:tc>
        <w:tc>
          <w:tcPr>
            <w:tcW w:w="490" w:type="pct"/>
            <w:tcBorders>
              <w:top w:val="single" w:sz="4" w:space="0" w:color="auto"/>
              <w:left w:val="single" w:sz="4" w:space="0" w:color="auto"/>
              <w:bottom w:val="single" w:sz="4" w:space="0" w:color="auto"/>
              <w:right w:val="single" w:sz="4" w:space="0" w:color="auto"/>
            </w:tcBorders>
            <w:vAlign w:val="center"/>
            <w:hideMark/>
          </w:tcPr>
          <w:p w14:paraId="781E415E" w14:textId="33801EC2" w:rsidR="003F5F76" w:rsidRPr="007E130D" w:rsidRDefault="003F5F76" w:rsidP="007E130D">
            <w:pPr>
              <w:pStyle w:val="Tablehead"/>
              <w:tabs>
                <w:tab w:val="clear" w:pos="1418"/>
              </w:tabs>
              <w:ind w:left="-109" w:right="-110"/>
              <w:rPr>
                <w:rFonts w:asciiTheme="majorBidi" w:hAnsiTheme="majorBidi" w:cstheme="majorBidi"/>
                <w:bCs/>
                <w:sz w:val="18"/>
                <w:szCs w:val="18"/>
              </w:rPr>
            </w:pPr>
            <w:r w:rsidRPr="007E130D">
              <w:rPr>
                <w:sz w:val="18"/>
                <w:szCs w:val="18"/>
              </w:rPr>
              <w:t>Part</w:t>
            </w:r>
            <w:r w:rsidR="00E13E91" w:rsidRPr="007E130D">
              <w:rPr>
                <w:sz w:val="18"/>
                <w:szCs w:val="18"/>
              </w:rPr>
              <w:t>icipants</w:t>
            </w:r>
            <w:r w:rsidRPr="007E130D">
              <w:rPr>
                <w:sz w:val="18"/>
                <w:szCs w:val="18"/>
              </w:rPr>
              <w:t>/</w:t>
            </w:r>
            <w:r w:rsidR="00E13E91" w:rsidRPr="007E130D">
              <w:rPr>
                <w:sz w:val="18"/>
                <w:szCs w:val="18"/>
              </w:rPr>
              <w:br/>
              <w:t>a</w:t>
            </w:r>
            <w:r w:rsidRPr="007E130D">
              <w:rPr>
                <w:sz w:val="18"/>
                <w:szCs w:val="18"/>
              </w:rPr>
              <w:t>dm</w:t>
            </w:r>
            <w:r w:rsidR="00E13E91" w:rsidRPr="007E130D">
              <w:rPr>
                <w:sz w:val="18"/>
                <w:szCs w:val="18"/>
              </w:rPr>
              <w:t>inistrations</w:t>
            </w:r>
          </w:p>
        </w:tc>
        <w:tc>
          <w:tcPr>
            <w:tcW w:w="441" w:type="pct"/>
            <w:tcBorders>
              <w:top w:val="single" w:sz="4" w:space="0" w:color="auto"/>
              <w:left w:val="single" w:sz="4" w:space="0" w:color="auto"/>
              <w:bottom w:val="single" w:sz="4" w:space="0" w:color="auto"/>
              <w:right w:val="single" w:sz="4" w:space="0" w:color="auto"/>
            </w:tcBorders>
            <w:vAlign w:val="center"/>
          </w:tcPr>
          <w:p w14:paraId="3BBEA231" w14:textId="77777777" w:rsidR="003F5F76" w:rsidRPr="007E130D" w:rsidRDefault="003F5F76" w:rsidP="00EF328D">
            <w:pPr>
              <w:pStyle w:val="Tablehead"/>
              <w:rPr>
                <w:rFonts w:asciiTheme="majorBidi" w:hAnsiTheme="majorBidi" w:cstheme="majorBidi"/>
                <w:bCs/>
                <w:sz w:val="18"/>
                <w:szCs w:val="18"/>
              </w:rPr>
            </w:pPr>
            <w:r w:rsidRPr="007E130D">
              <w:rPr>
                <w:sz w:val="18"/>
                <w:szCs w:val="18"/>
              </w:rPr>
              <w:t>Bourses</w:t>
            </w:r>
          </w:p>
        </w:tc>
      </w:tr>
      <w:tr w:rsidR="003F5F76" w:rsidRPr="007E130D" w14:paraId="717C21B4" w14:textId="77777777" w:rsidTr="00E13E91">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27D750" w14:textId="77777777" w:rsidR="003F5F76" w:rsidRPr="007E130D" w:rsidRDefault="003F5F76" w:rsidP="00EF328D">
            <w:pPr>
              <w:spacing w:after="120"/>
              <w:jc w:val="center"/>
              <w:rPr>
                <w:rFonts w:asciiTheme="majorBidi" w:hAnsiTheme="majorBidi" w:cstheme="majorBidi"/>
                <w:b/>
                <w:bCs/>
                <w:sz w:val="18"/>
                <w:szCs w:val="18"/>
              </w:rPr>
            </w:pPr>
            <w:r w:rsidRPr="007E130D">
              <w:rPr>
                <w:rFonts w:asciiTheme="majorBidi" w:hAnsiTheme="majorBidi" w:cstheme="majorBidi"/>
                <w:b/>
                <w:bCs/>
                <w:sz w:val="18"/>
                <w:szCs w:val="18"/>
              </w:rPr>
              <w:t>2020</w:t>
            </w:r>
          </w:p>
        </w:tc>
      </w:tr>
      <w:tr w:rsidR="00E13E91" w:rsidRPr="007E130D" w14:paraId="698529D1" w14:textId="77777777" w:rsidTr="007E130D">
        <w:trPr>
          <w:jc w:val="center"/>
        </w:trPr>
        <w:tc>
          <w:tcPr>
            <w:tcW w:w="635" w:type="pct"/>
            <w:tcBorders>
              <w:top w:val="single" w:sz="4" w:space="0" w:color="auto"/>
              <w:left w:val="single" w:sz="4" w:space="0" w:color="auto"/>
              <w:bottom w:val="single" w:sz="4" w:space="0" w:color="auto"/>
              <w:right w:val="single" w:sz="4" w:space="0" w:color="auto"/>
            </w:tcBorders>
            <w:vAlign w:val="center"/>
          </w:tcPr>
          <w:p w14:paraId="4225EA28" w14:textId="77777777" w:rsidR="003F5F76" w:rsidRPr="007E130D" w:rsidRDefault="003F5F76" w:rsidP="00EF328D">
            <w:pPr>
              <w:pStyle w:val="Tabletext"/>
              <w:jc w:val="center"/>
              <w:rPr>
                <w:sz w:val="18"/>
                <w:szCs w:val="18"/>
              </w:rPr>
            </w:pPr>
            <w:r w:rsidRPr="007E130D">
              <w:rPr>
                <w:sz w:val="18"/>
                <w:szCs w:val="18"/>
              </w:rPr>
              <w:t>13-24 juillet 2020</w:t>
            </w:r>
          </w:p>
        </w:tc>
        <w:tc>
          <w:tcPr>
            <w:tcW w:w="708" w:type="pct"/>
            <w:tcBorders>
              <w:top w:val="single" w:sz="4" w:space="0" w:color="auto"/>
              <w:left w:val="single" w:sz="4" w:space="0" w:color="auto"/>
              <w:bottom w:val="single" w:sz="4" w:space="0" w:color="auto"/>
              <w:right w:val="single" w:sz="4" w:space="0" w:color="auto"/>
            </w:tcBorders>
            <w:vAlign w:val="center"/>
            <w:hideMark/>
          </w:tcPr>
          <w:p w14:paraId="4394CC6F" w14:textId="77777777" w:rsidR="003F5F76" w:rsidRPr="007E130D" w:rsidRDefault="003F5F76" w:rsidP="00EF328D">
            <w:pPr>
              <w:pStyle w:val="Tabletext"/>
              <w:jc w:val="center"/>
              <w:rPr>
                <w:b/>
                <w:bCs/>
                <w:sz w:val="18"/>
                <w:szCs w:val="18"/>
              </w:rPr>
            </w:pPr>
            <w:r w:rsidRPr="007E130D">
              <w:rPr>
                <w:b/>
                <w:bCs/>
                <w:sz w:val="18"/>
                <w:szCs w:val="18"/>
              </w:rPr>
              <w:t>RRS-20-</w:t>
            </w:r>
            <w:r w:rsidR="00175E49" w:rsidRPr="007E130D">
              <w:rPr>
                <w:b/>
                <w:bCs/>
                <w:sz w:val="18"/>
                <w:szCs w:val="18"/>
              </w:rPr>
              <w:t>Amériques</w:t>
            </w:r>
          </w:p>
        </w:tc>
        <w:tc>
          <w:tcPr>
            <w:tcW w:w="421" w:type="pct"/>
            <w:tcBorders>
              <w:top w:val="single" w:sz="4" w:space="0" w:color="auto"/>
              <w:left w:val="single" w:sz="4" w:space="0" w:color="auto"/>
              <w:bottom w:val="single" w:sz="4" w:space="0" w:color="auto"/>
              <w:right w:val="single" w:sz="4" w:space="0" w:color="auto"/>
            </w:tcBorders>
            <w:vAlign w:val="center"/>
            <w:hideMark/>
          </w:tcPr>
          <w:p w14:paraId="3E73983D" w14:textId="77777777" w:rsidR="003F5F76" w:rsidRPr="007E130D" w:rsidRDefault="00C70CE4" w:rsidP="00EF328D">
            <w:pPr>
              <w:pStyle w:val="Tabletext"/>
              <w:jc w:val="center"/>
              <w:rPr>
                <w:bCs/>
                <w:sz w:val="18"/>
                <w:szCs w:val="18"/>
              </w:rPr>
            </w:pPr>
            <w:r w:rsidRPr="007E130D">
              <w:rPr>
                <w:bCs/>
                <w:sz w:val="18"/>
                <w:szCs w:val="18"/>
              </w:rPr>
              <w:t>Réunion électronique</w:t>
            </w:r>
          </w:p>
        </w:tc>
        <w:tc>
          <w:tcPr>
            <w:tcW w:w="490" w:type="pct"/>
            <w:tcBorders>
              <w:top w:val="single" w:sz="4" w:space="0" w:color="auto"/>
              <w:left w:val="single" w:sz="4" w:space="0" w:color="auto"/>
              <w:bottom w:val="single" w:sz="4" w:space="0" w:color="auto"/>
              <w:right w:val="single" w:sz="4" w:space="0" w:color="auto"/>
            </w:tcBorders>
            <w:vAlign w:val="center"/>
            <w:hideMark/>
          </w:tcPr>
          <w:p w14:paraId="73A434CC" w14:textId="77777777" w:rsidR="003F5F76" w:rsidRPr="007E130D" w:rsidRDefault="003F5F76" w:rsidP="00EF328D">
            <w:pPr>
              <w:pStyle w:val="Tabletext"/>
              <w:jc w:val="center"/>
              <w:rPr>
                <w:sz w:val="18"/>
                <w:szCs w:val="18"/>
              </w:rPr>
            </w:pPr>
            <w:r w:rsidRPr="007E130D">
              <w:rPr>
                <w:sz w:val="18"/>
                <w:szCs w:val="18"/>
              </w:rPr>
              <w:t>−</w:t>
            </w:r>
          </w:p>
        </w:tc>
        <w:tc>
          <w:tcPr>
            <w:tcW w:w="834" w:type="pct"/>
            <w:tcBorders>
              <w:top w:val="single" w:sz="4" w:space="0" w:color="auto"/>
              <w:left w:val="single" w:sz="4" w:space="0" w:color="auto"/>
              <w:bottom w:val="single" w:sz="4" w:space="0" w:color="auto"/>
              <w:right w:val="single" w:sz="4" w:space="0" w:color="auto"/>
            </w:tcBorders>
            <w:vAlign w:val="center"/>
            <w:hideMark/>
          </w:tcPr>
          <w:p w14:paraId="7D8A71BD" w14:textId="6A707140" w:rsidR="00C70CE4" w:rsidRPr="007E130D" w:rsidRDefault="00C70CE4" w:rsidP="00EF328D">
            <w:pPr>
              <w:pStyle w:val="Tabletext"/>
              <w:jc w:val="center"/>
              <w:rPr>
                <w:sz w:val="18"/>
                <w:szCs w:val="18"/>
              </w:rPr>
            </w:pPr>
            <w:r w:rsidRPr="007E130D">
              <w:rPr>
                <w:sz w:val="18"/>
                <w:szCs w:val="18"/>
              </w:rPr>
              <w:t xml:space="preserve">Union des télécommunications des Caraïbes </w:t>
            </w:r>
            <w:r w:rsidR="003F5F76" w:rsidRPr="007E130D">
              <w:rPr>
                <w:sz w:val="18"/>
                <w:szCs w:val="18"/>
              </w:rPr>
              <w:t>(CTU)</w:t>
            </w:r>
          </w:p>
          <w:p w14:paraId="433A54C6" w14:textId="134E151C" w:rsidR="003F5F76" w:rsidRPr="007E130D" w:rsidRDefault="00C70CE4" w:rsidP="00EF328D">
            <w:pPr>
              <w:pStyle w:val="Tabletext"/>
              <w:jc w:val="center"/>
              <w:rPr>
                <w:sz w:val="18"/>
                <w:szCs w:val="18"/>
              </w:rPr>
            </w:pPr>
            <w:r w:rsidRPr="007E130D">
              <w:rPr>
                <w:sz w:val="18"/>
                <w:szCs w:val="18"/>
              </w:rPr>
              <w:t>Bureau de l</w:t>
            </w:r>
            <w:r w:rsidR="00EF328D" w:rsidRPr="007E130D">
              <w:rPr>
                <w:sz w:val="18"/>
                <w:szCs w:val="18"/>
              </w:rPr>
              <w:t>'</w:t>
            </w:r>
            <w:r w:rsidRPr="007E130D">
              <w:rPr>
                <w:sz w:val="18"/>
                <w:szCs w:val="18"/>
              </w:rPr>
              <w:t>UIT pour la région Amériques</w:t>
            </w:r>
          </w:p>
        </w:tc>
        <w:tc>
          <w:tcPr>
            <w:tcW w:w="735" w:type="pct"/>
            <w:tcBorders>
              <w:top w:val="single" w:sz="4" w:space="0" w:color="auto"/>
              <w:left w:val="single" w:sz="4" w:space="0" w:color="auto"/>
              <w:bottom w:val="single" w:sz="4" w:space="0" w:color="auto"/>
              <w:right w:val="single" w:sz="4" w:space="0" w:color="auto"/>
            </w:tcBorders>
            <w:vAlign w:val="center"/>
            <w:hideMark/>
          </w:tcPr>
          <w:p w14:paraId="2FD3062C" w14:textId="66E4190B" w:rsidR="003F5F76" w:rsidRPr="007E130D" w:rsidRDefault="00C70CE4" w:rsidP="00EF328D">
            <w:pPr>
              <w:pStyle w:val="Tabletext"/>
              <w:jc w:val="center"/>
              <w:rPr>
                <w:sz w:val="18"/>
                <w:szCs w:val="18"/>
              </w:rPr>
            </w:pPr>
            <w:r w:rsidRPr="007E130D">
              <w:rPr>
                <w:sz w:val="18"/>
                <w:szCs w:val="18"/>
              </w:rPr>
              <w:t>Résultats de la</w:t>
            </w:r>
            <w:r w:rsidR="00202827" w:rsidRPr="007E130D">
              <w:rPr>
                <w:sz w:val="18"/>
                <w:szCs w:val="18"/>
              </w:rPr>
              <w:t> </w:t>
            </w:r>
            <w:r w:rsidRPr="007E130D">
              <w:rPr>
                <w:sz w:val="18"/>
                <w:szCs w:val="18"/>
              </w:rPr>
              <w:t>CMR</w:t>
            </w:r>
            <w:r w:rsidR="00EF328D" w:rsidRPr="007E130D">
              <w:rPr>
                <w:sz w:val="18"/>
                <w:szCs w:val="18"/>
              </w:rPr>
              <w:noBreakHyphen/>
            </w:r>
            <w:r w:rsidRPr="007E130D">
              <w:rPr>
                <w:sz w:val="18"/>
                <w:szCs w:val="18"/>
              </w:rPr>
              <w:t>19: enjeux et perspectives pour la région</w:t>
            </w:r>
          </w:p>
        </w:tc>
        <w:tc>
          <w:tcPr>
            <w:tcW w:w="246" w:type="pct"/>
            <w:tcBorders>
              <w:top w:val="single" w:sz="4" w:space="0" w:color="auto"/>
              <w:left w:val="single" w:sz="4" w:space="0" w:color="auto"/>
              <w:bottom w:val="single" w:sz="4" w:space="0" w:color="auto"/>
              <w:right w:val="single" w:sz="4" w:space="0" w:color="auto"/>
            </w:tcBorders>
            <w:vAlign w:val="center"/>
            <w:hideMark/>
          </w:tcPr>
          <w:p w14:paraId="4DA0A272" w14:textId="77777777" w:rsidR="003F5F76" w:rsidRPr="007E130D" w:rsidRDefault="003F5F76" w:rsidP="00EF328D">
            <w:pPr>
              <w:pStyle w:val="Tabletext"/>
              <w:jc w:val="center"/>
              <w:rPr>
                <w:sz w:val="18"/>
                <w:szCs w:val="18"/>
              </w:rPr>
            </w:pPr>
            <w:r w:rsidRPr="007E130D">
              <w:rPr>
                <w:sz w:val="18"/>
                <w:szCs w:val="18"/>
              </w:rPr>
              <w:t>E</w:t>
            </w:r>
          </w:p>
        </w:tc>
        <w:tc>
          <w:tcPr>
            <w:tcW w:w="490" w:type="pct"/>
            <w:tcBorders>
              <w:top w:val="single" w:sz="4" w:space="0" w:color="auto"/>
              <w:left w:val="single" w:sz="4" w:space="0" w:color="auto"/>
              <w:bottom w:val="single" w:sz="4" w:space="0" w:color="auto"/>
              <w:right w:val="single" w:sz="4" w:space="0" w:color="auto"/>
            </w:tcBorders>
            <w:vAlign w:val="center"/>
            <w:hideMark/>
          </w:tcPr>
          <w:p w14:paraId="2684CECD" w14:textId="77777777" w:rsidR="003F5F76" w:rsidRPr="007E130D" w:rsidRDefault="003F5F76" w:rsidP="00EF328D">
            <w:pPr>
              <w:pStyle w:val="Tabletext"/>
              <w:jc w:val="center"/>
              <w:rPr>
                <w:sz w:val="18"/>
                <w:szCs w:val="18"/>
              </w:rPr>
            </w:pPr>
            <w:r w:rsidRPr="007E130D">
              <w:rPr>
                <w:sz w:val="18"/>
                <w:szCs w:val="18"/>
              </w:rPr>
              <w:t>350/38</w:t>
            </w:r>
          </w:p>
        </w:tc>
        <w:tc>
          <w:tcPr>
            <w:tcW w:w="441" w:type="pct"/>
            <w:tcBorders>
              <w:top w:val="single" w:sz="4" w:space="0" w:color="auto"/>
              <w:left w:val="single" w:sz="4" w:space="0" w:color="auto"/>
              <w:bottom w:val="single" w:sz="4" w:space="0" w:color="auto"/>
              <w:right w:val="single" w:sz="4" w:space="0" w:color="auto"/>
            </w:tcBorders>
            <w:vAlign w:val="center"/>
          </w:tcPr>
          <w:p w14:paraId="4FFE4AB7" w14:textId="77777777" w:rsidR="003F5F76" w:rsidRPr="007E130D" w:rsidDel="00203E0B" w:rsidRDefault="00C70CE4" w:rsidP="00EF328D">
            <w:pPr>
              <w:pStyle w:val="Tabletext"/>
              <w:jc w:val="center"/>
              <w:rPr>
                <w:sz w:val="18"/>
                <w:szCs w:val="18"/>
              </w:rPr>
            </w:pPr>
            <w:r w:rsidRPr="007E130D">
              <w:rPr>
                <w:sz w:val="18"/>
                <w:szCs w:val="18"/>
              </w:rPr>
              <w:t>sans objet</w:t>
            </w:r>
          </w:p>
        </w:tc>
      </w:tr>
      <w:tr w:rsidR="00E13E91" w:rsidRPr="007E130D" w14:paraId="1C036AAD" w14:textId="77777777" w:rsidTr="007E130D">
        <w:trPr>
          <w:jc w:val="center"/>
        </w:trPr>
        <w:tc>
          <w:tcPr>
            <w:tcW w:w="635" w:type="pct"/>
            <w:tcBorders>
              <w:top w:val="single" w:sz="4" w:space="0" w:color="auto"/>
              <w:left w:val="single" w:sz="4" w:space="0" w:color="auto"/>
              <w:bottom w:val="single" w:sz="4" w:space="0" w:color="auto"/>
              <w:right w:val="single" w:sz="4" w:space="0" w:color="auto"/>
            </w:tcBorders>
            <w:vAlign w:val="center"/>
          </w:tcPr>
          <w:p w14:paraId="34A220E0" w14:textId="77777777" w:rsidR="003F5F76" w:rsidRPr="007E130D" w:rsidRDefault="003F5F76" w:rsidP="00EF328D">
            <w:pPr>
              <w:pStyle w:val="Tabletext"/>
              <w:jc w:val="center"/>
              <w:rPr>
                <w:sz w:val="18"/>
                <w:szCs w:val="18"/>
              </w:rPr>
            </w:pPr>
            <w:r w:rsidRPr="007E130D">
              <w:rPr>
                <w:sz w:val="18"/>
                <w:szCs w:val="18"/>
              </w:rPr>
              <w:t>19-30 octobre 2020</w:t>
            </w:r>
          </w:p>
        </w:tc>
        <w:tc>
          <w:tcPr>
            <w:tcW w:w="708" w:type="pct"/>
            <w:tcBorders>
              <w:top w:val="single" w:sz="4" w:space="0" w:color="auto"/>
              <w:left w:val="single" w:sz="4" w:space="0" w:color="auto"/>
              <w:bottom w:val="single" w:sz="4" w:space="0" w:color="auto"/>
              <w:right w:val="single" w:sz="4" w:space="0" w:color="auto"/>
            </w:tcBorders>
            <w:vAlign w:val="center"/>
            <w:hideMark/>
          </w:tcPr>
          <w:p w14:paraId="4AD40512" w14:textId="5C2004F0" w:rsidR="003F5F76" w:rsidRPr="007E130D" w:rsidRDefault="003F5F76" w:rsidP="00EF328D">
            <w:pPr>
              <w:pStyle w:val="Tabletext"/>
              <w:jc w:val="center"/>
              <w:rPr>
                <w:b/>
                <w:bCs/>
                <w:sz w:val="18"/>
                <w:szCs w:val="18"/>
              </w:rPr>
            </w:pPr>
            <w:r w:rsidRPr="007E130D">
              <w:rPr>
                <w:b/>
                <w:bCs/>
                <w:sz w:val="18"/>
                <w:szCs w:val="18"/>
              </w:rPr>
              <w:t>RRS-20-</w:t>
            </w:r>
            <w:r w:rsidR="00175E49" w:rsidRPr="007E130D">
              <w:rPr>
                <w:b/>
                <w:bCs/>
                <w:sz w:val="18"/>
                <w:szCs w:val="18"/>
              </w:rPr>
              <w:t>Asie</w:t>
            </w:r>
            <w:r w:rsidR="006D0224" w:rsidRPr="007E130D">
              <w:rPr>
                <w:b/>
                <w:bCs/>
                <w:sz w:val="18"/>
                <w:szCs w:val="18"/>
              </w:rPr>
              <w:noBreakHyphen/>
            </w:r>
            <w:r w:rsidR="00175E49" w:rsidRPr="007E130D">
              <w:rPr>
                <w:b/>
                <w:bCs/>
                <w:sz w:val="18"/>
                <w:szCs w:val="18"/>
              </w:rPr>
              <w:t>Pacifique</w:t>
            </w:r>
          </w:p>
        </w:tc>
        <w:tc>
          <w:tcPr>
            <w:tcW w:w="421" w:type="pct"/>
            <w:tcBorders>
              <w:top w:val="single" w:sz="4" w:space="0" w:color="auto"/>
              <w:left w:val="single" w:sz="4" w:space="0" w:color="auto"/>
              <w:bottom w:val="single" w:sz="4" w:space="0" w:color="auto"/>
              <w:right w:val="single" w:sz="4" w:space="0" w:color="auto"/>
            </w:tcBorders>
            <w:vAlign w:val="center"/>
            <w:hideMark/>
          </w:tcPr>
          <w:p w14:paraId="42D35942" w14:textId="77777777" w:rsidR="003F5F76" w:rsidRPr="007E130D" w:rsidRDefault="00C70CE4" w:rsidP="00EF328D">
            <w:pPr>
              <w:pStyle w:val="Tabletext"/>
              <w:jc w:val="center"/>
              <w:rPr>
                <w:sz w:val="18"/>
                <w:szCs w:val="18"/>
              </w:rPr>
            </w:pPr>
            <w:r w:rsidRPr="007E130D">
              <w:rPr>
                <w:bCs/>
                <w:sz w:val="18"/>
                <w:szCs w:val="18"/>
              </w:rPr>
              <w:t>Réunion électronique</w:t>
            </w:r>
          </w:p>
        </w:tc>
        <w:tc>
          <w:tcPr>
            <w:tcW w:w="490" w:type="pct"/>
            <w:tcBorders>
              <w:top w:val="single" w:sz="4" w:space="0" w:color="auto"/>
              <w:left w:val="single" w:sz="4" w:space="0" w:color="auto"/>
              <w:bottom w:val="single" w:sz="4" w:space="0" w:color="auto"/>
              <w:right w:val="single" w:sz="4" w:space="0" w:color="auto"/>
            </w:tcBorders>
            <w:vAlign w:val="center"/>
            <w:hideMark/>
          </w:tcPr>
          <w:p w14:paraId="41140B06" w14:textId="77777777" w:rsidR="003F5F76" w:rsidRPr="007E130D" w:rsidRDefault="003F5F76" w:rsidP="00EF328D">
            <w:pPr>
              <w:pStyle w:val="Tabletext"/>
              <w:jc w:val="center"/>
              <w:rPr>
                <w:color w:val="444444"/>
                <w:sz w:val="18"/>
                <w:szCs w:val="18"/>
                <w:shd w:val="clear" w:color="auto" w:fill="FFFFFF"/>
              </w:rPr>
            </w:pPr>
            <w:r w:rsidRPr="007E130D">
              <w:rPr>
                <w:sz w:val="18"/>
                <w:szCs w:val="18"/>
              </w:rPr>
              <w:t>−</w:t>
            </w:r>
          </w:p>
        </w:tc>
        <w:tc>
          <w:tcPr>
            <w:tcW w:w="834" w:type="pct"/>
            <w:tcBorders>
              <w:top w:val="single" w:sz="4" w:space="0" w:color="auto"/>
              <w:left w:val="single" w:sz="4" w:space="0" w:color="auto"/>
              <w:bottom w:val="single" w:sz="4" w:space="0" w:color="auto"/>
              <w:right w:val="single" w:sz="4" w:space="0" w:color="auto"/>
            </w:tcBorders>
            <w:vAlign w:val="center"/>
            <w:hideMark/>
          </w:tcPr>
          <w:p w14:paraId="38F7BB0C" w14:textId="4CCB9087" w:rsidR="003F5F76" w:rsidRPr="007E130D" w:rsidRDefault="00C70CE4" w:rsidP="00EF328D">
            <w:pPr>
              <w:pStyle w:val="Tabletext"/>
              <w:jc w:val="center"/>
              <w:rPr>
                <w:sz w:val="18"/>
                <w:szCs w:val="18"/>
              </w:rPr>
            </w:pPr>
            <w:r w:rsidRPr="007E130D">
              <w:rPr>
                <w:sz w:val="18"/>
                <w:szCs w:val="18"/>
              </w:rPr>
              <w:t>Télécommunauté Asie</w:t>
            </w:r>
            <w:r w:rsidR="00202827" w:rsidRPr="007E130D">
              <w:rPr>
                <w:sz w:val="18"/>
                <w:szCs w:val="18"/>
              </w:rPr>
              <w:noBreakHyphen/>
            </w:r>
            <w:r w:rsidRPr="007E130D">
              <w:rPr>
                <w:sz w:val="18"/>
                <w:szCs w:val="18"/>
              </w:rPr>
              <w:t xml:space="preserve">Pacifique </w:t>
            </w:r>
            <w:r w:rsidR="003F5F76" w:rsidRPr="007E130D">
              <w:rPr>
                <w:sz w:val="18"/>
                <w:szCs w:val="18"/>
              </w:rPr>
              <w:t>(APT)</w:t>
            </w:r>
          </w:p>
          <w:p w14:paraId="41874C98" w14:textId="0BE7DCF9" w:rsidR="003F5F76" w:rsidRPr="007E130D" w:rsidRDefault="00175E49" w:rsidP="00EF328D">
            <w:pPr>
              <w:pStyle w:val="Tabletext"/>
              <w:spacing w:before="240"/>
              <w:jc w:val="center"/>
              <w:rPr>
                <w:sz w:val="18"/>
                <w:szCs w:val="18"/>
              </w:rPr>
            </w:pPr>
            <w:r w:rsidRPr="007E130D">
              <w:rPr>
                <w:sz w:val="18"/>
                <w:szCs w:val="18"/>
              </w:rPr>
              <w:t>Bureau de l'UIT pour la région Asie</w:t>
            </w:r>
            <w:r w:rsidR="00EF328D" w:rsidRPr="007E130D">
              <w:rPr>
                <w:sz w:val="18"/>
                <w:szCs w:val="18"/>
              </w:rPr>
              <w:noBreakHyphen/>
            </w:r>
            <w:r w:rsidRPr="007E130D">
              <w:rPr>
                <w:sz w:val="18"/>
                <w:szCs w:val="18"/>
              </w:rPr>
              <w:t>Pacifique</w:t>
            </w:r>
          </w:p>
        </w:tc>
        <w:tc>
          <w:tcPr>
            <w:tcW w:w="735" w:type="pct"/>
            <w:tcBorders>
              <w:top w:val="single" w:sz="4" w:space="0" w:color="auto"/>
              <w:left w:val="single" w:sz="4" w:space="0" w:color="auto"/>
              <w:bottom w:val="single" w:sz="4" w:space="0" w:color="auto"/>
              <w:right w:val="single" w:sz="4" w:space="0" w:color="auto"/>
            </w:tcBorders>
            <w:vAlign w:val="center"/>
            <w:hideMark/>
          </w:tcPr>
          <w:p w14:paraId="7E9243F3" w14:textId="71B16F8B" w:rsidR="003F5F76" w:rsidRPr="007E130D" w:rsidRDefault="00C70CE4" w:rsidP="00EF328D">
            <w:pPr>
              <w:pStyle w:val="Tabletext"/>
              <w:jc w:val="center"/>
              <w:rPr>
                <w:sz w:val="18"/>
                <w:szCs w:val="18"/>
              </w:rPr>
            </w:pPr>
            <w:r w:rsidRPr="007E130D">
              <w:rPr>
                <w:sz w:val="18"/>
                <w:szCs w:val="18"/>
              </w:rPr>
              <w:t>Résultats de la</w:t>
            </w:r>
            <w:r w:rsidR="00202827" w:rsidRPr="007E130D">
              <w:rPr>
                <w:sz w:val="18"/>
                <w:szCs w:val="18"/>
              </w:rPr>
              <w:t> </w:t>
            </w:r>
            <w:r w:rsidRPr="007E130D">
              <w:rPr>
                <w:sz w:val="18"/>
                <w:szCs w:val="18"/>
              </w:rPr>
              <w:t>CMR</w:t>
            </w:r>
            <w:r w:rsidR="00EF328D" w:rsidRPr="007E130D">
              <w:rPr>
                <w:sz w:val="18"/>
                <w:szCs w:val="18"/>
              </w:rPr>
              <w:noBreakHyphen/>
            </w:r>
            <w:r w:rsidRPr="007E130D">
              <w:rPr>
                <w:sz w:val="18"/>
                <w:szCs w:val="18"/>
              </w:rPr>
              <w:t>19: enjeux et perspectives pour la région</w:t>
            </w:r>
          </w:p>
        </w:tc>
        <w:tc>
          <w:tcPr>
            <w:tcW w:w="246" w:type="pct"/>
            <w:tcBorders>
              <w:top w:val="single" w:sz="4" w:space="0" w:color="auto"/>
              <w:left w:val="single" w:sz="4" w:space="0" w:color="auto"/>
              <w:bottom w:val="single" w:sz="4" w:space="0" w:color="auto"/>
              <w:right w:val="single" w:sz="4" w:space="0" w:color="auto"/>
            </w:tcBorders>
            <w:vAlign w:val="center"/>
            <w:hideMark/>
          </w:tcPr>
          <w:p w14:paraId="4C45AE39" w14:textId="77777777" w:rsidR="003F5F76" w:rsidRPr="007E130D" w:rsidRDefault="003F5F76" w:rsidP="00EF328D">
            <w:pPr>
              <w:pStyle w:val="Tabletext"/>
              <w:jc w:val="center"/>
              <w:rPr>
                <w:sz w:val="18"/>
                <w:szCs w:val="18"/>
              </w:rPr>
            </w:pPr>
            <w:r w:rsidRPr="007E130D">
              <w:rPr>
                <w:sz w:val="18"/>
                <w:szCs w:val="18"/>
              </w:rPr>
              <w:t>E</w:t>
            </w:r>
          </w:p>
        </w:tc>
        <w:tc>
          <w:tcPr>
            <w:tcW w:w="490" w:type="pct"/>
            <w:tcBorders>
              <w:top w:val="single" w:sz="4" w:space="0" w:color="auto"/>
              <w:left w:val="single" w:sz="4" w:space="0" w:color="auto"/>
              <w:bottom w:val="single" w:sz="4" w:space="0" w:color="auto"/>
              <w:right w:val="single" w:sz="4" w:space="0" w:color="auto"/>
            </w:tcBorders>
            <w:vAlign w:val="center"/>
            <w:hideMark/>
          </w:tcPr>
          <w:p w14:paraId="28399EBE" w14:textId="77777777" w:rsidR="003F5F76" w:rsidRPr="007E130D" w:rsidRDefault="003F5F76" w:rsidP="00EF328D">
            <w:pPr>
              <w:pStyle w:val="Tabletext"/>
              <w:jc w:val="center"/>
              <w:rPr>
                <w:sz w:val="18"/>
                <w:szCs w:val="18"/>
              </w:rPr>
            </w:pPr>
            <w:r w:rsidRPr="007E130D">
              <w:rPr>
                <w:sz w:val="18"/>
                <w:szCs w:val="18"/>
              </w:rPr>
              <w:t>300/30</w:t>
            </w:r>
          </w:p>
        </w:tc>
        <w:tc>
          <w:tcPr>
            <w:tcW w:w="441" w:type="pct"/>
            <w:tcBorders>
              <w:top w:val="single" w:sz="4" w:space="0" w:color="auto"/>
              <w:left w:val="single" w:sz="4" w:space="0" w:color="auto"/>
              <w:bottom w:val="single" w:sz="4" w:space="0" w:color="auto"/>
              <w:right w:val="single" w:sz="4" w:space="0" w:color="auto"/>
            </w:tcBorders>
            <w:vAlign w:val="center"/>
          </w:tcPr>
          <w:p w14:paraId="458BB74A" w14:textId="77777777" w:rsidR="003F5F76" w:rsidRPr="007E130D" w:rsidDel="00203E0B" w:rsidRDefault="00C70CE4" w:rsidP="00EF328D">
            <w:pPr>
              <w:pStyle w:val="Tabletext"/>
              <w:jc w:val="center"/>
              <w:rPr>
                <w:sz w:val="18"/>
                <w:szCs w:val="18"/>
              </w:rPr>
            </w:pPr>
            <w:r w:rsidRPr="007E130D">
              <w:rPr>
                <w:sz w:val="18"/>
                <w:szCs w:val="18"/>
              </w:rPr>
              <w:t>sans objet</w:t>
            </w:r>
          </w:p>
        </w:tc>
      </w:tr>
      <w:tr w:rsidR="003F5F76" w:rsidRPr="007E130D" w14:paraId="4F38EBA8" w14:textId="77777777" w:rsidTr="00E13E91">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202BB0" w14:textId="77777777" w:rsidR="003F5F76" w:rsidRPr="007E130D" w:rsidRDefault="003F5F76" w:rsidP="00EF328D">
            <w:pPr>
              <w:pStyle w:val="Tabletext"/>
              <w:jc w:val="center"/>
              <w:rPr>
                <w:b/>
                <w:bCs/>
                <w:sz w:val="18"/>
                <w:szCs w:val="18"/>
              </w:rPr>
            </w:pPr>
            <w:r w:rsidRPr="007E130D">
              <w:rPr>
                <w:b/>
                <w:bCs/>
                <w:sz w:val="18"/>
                <w:szCs w:val="18"/>
              </w:rPr>
              <w:t>2021</w:t>
            </w:r>
          </w:p>
        </w:tc>
      </w:tr>
      <w:tr w:rsidR="00E13E91" w:rsidRPr="007E130D" w14:paraId="4E5813A3" w14:textId="77777777" w:rsidTr="007E130D">
        <w:trPr>
          <w:jc w:val="center"/>
        </w:trPr>
        <w:tc>
          <w:tcPr>
            <w:tcW w:w="635" w:type="pct"/>
            <w:tcBorders>
              <w:top w:val="single" w:sz="4" w:space="0" w:color="auto"/>
              <w:left w:val="single" w:sz="4" w:space="0" w:color="auto"/>
              <w:bottom w:val="single" w:sz="4" w:space="0" w:color="auto"/>
              <w:right w:val="single" w:sz="4" w:space="0" w:color="auto"/>
            </w:tcBorders>
            <w:vAlign w:val="center"/>
          </w:tcPr>
          <w:p w14:paraId="55B57B60" w14:textId="25B2FF53" w:rsidR="003F5F76" w:rsidRPr="007E130D" w:rsidRDefault="00C70CE4" w:rsidP="00EF328D">
            <w:pPr>
              <w:pStyle w:val="Tabletext"/>
              <w:jc w:val="center"/>
              <w:rPr>
                <w:sz w:val="18"/>
                <w:szCs w:val="18"/>
              </w:rPr>
            </w:pPr>
            <w:r w:rsidRPr="007E130D">
              <w:rPr>
                <w:sz w:val="18"/>
                <w:szCs w:val="18"/>
              </w:rPr>
              <w:t xml:space="preserve">du </w:t>
            </w:r>
            <w:r w:rsidR="003F5F76" w:rsidRPr="007E130D">
              <w:rPr>
                <w:sz w:val="18"/>
                <w:szCs w:val="18"/>
              </w:rPr>
              <w:t xml:space="preserve">26 avril </w:t>
            </w:r>
            <w:r w:rsidR="00AB2C37" w:rsidRPr="007E130D">
              <w:rPr>
                <w:sz w:val="18"/>
                <w:szCs w:val="18"/>
              </w:rPr>
              <w:t>au</w:t>
            </w:r>
            <w:r w:rsidR="00202827" w:rsidRPr="007E130D">
              <w:rPr>
                <w:sz w:val="18"/>
                <w:szCs w:val="18"/>
              </w:rPr>
              <w:t> </w:t>
            </w:r>
            <w:r w:rsidR="003F5F76" w:rsidRPr="007E130D">
              <w:rPr>
                <w:sz w:val="18"/>
                <w:szCs w:val="18"/>
              </w:rPr>
              <w:t>7</w:t>
            </w:r>
            <w:r w:rsidR="00202827" w:rsidRPr="007E130D">
              <w:rPr>
                <w:sz w:val="18"/>
                <w:szCs w:val="18"/>
              </w:rPr>
              <w:t> </w:t>
            </w:r>
            <w:r w:rsidR="003F5F76" w:rsidRPr="007E130D">
              <w:rPr>
                <w:sz w:val="18"/>
                <w:szCs w:val="18"/>
              </w:rPr>
              <w:t>mai</w:t>
            </w:r>
            <w:r w:rsidR="00202827" w:rsidRPr="007E130D">
              <w:rPr>
                <w:sz w:val="18"/>
                <w:szCs w:val="18"/>
              </w:rPr>
              <w:t> </w:t>
            </w:r>
            <w:r w:rsidR="003F5F76" w:rsidRPr="007E130D">
              <w:rPr>
                <w:sz w:val="18"/>
                <w:szCs w:val="18"/>
              </w:rPr>
              <w:t>2021</w:t>
            </w:r>
          </w:p>
        </w:tc>
        <w:tc>
          <w:tcPr>
            <w:tcW w:w="708" w:type="pct"/>
            <w:tcBorders>
              <w:top w:val="single" w:sz="4" w:space="0" w:color="auto"/>
              <w:left w:val="single" w:sz="4" w:space="0" w:color="auto"/>
              <w:bottom w:val="single" w:sz="4" w:space="0" w:color="auto"/>
              <w:right w:val="single" w:sz="4" w:space="0" w:color="auto"/>
            </w:tcBorders>
            <w:vAlign w:val="center"/>
            <w:hideMark/>
          </w:tcPr>
          <w:p w14:paraId="2E4AE892" w14:textId="77777777" w:rsidR="003F5F76" w:rsidRPr="007E130D" w:rsidRDefault="003F5F76" w:rsidP="00EF328D">
            <w:pPr>
              <w:pStyle w:val="Tabletext"/>
              <w:jc w:val="center"/>
              <w:rPr>
                <w:b/>
                <w:bCs/>
                <w:sz w:val="18"/>
                <w:szCs w:val="18"/>
              </w:rPr>
            </w:pPr>
            <w:r w:rsidRPr="007E130D">
              <w:rPr>
                <w:b/>
                <w:bCs/>
                <w:sz w:val="18"/>
                <w:szCs w:val="18"/>
              </w:rPr>
              <w:t>RRS-21-</w:t>
            </w:r>
            <w:r w:rsidR="00175E49" w:rsidRPr="007E130D">
              <w:rPr>
                <w:b/>
                <w:bCs/>
                <w:sz w:val="18"/>
                <w:szCs w:val="18"/>
              </w:rPr>
              <w:t>Amériques</w:t>
            </w:r>
          </w:p>
        </w:tc>
        <w:tc>
          <w:tcPr>
            <w:tcW w:w="421" w:type="pct"/>
            <w:tcBorders>
              <w:top w:val="single" w:sz="4" w:space="0" w:color="auto"/>
              <w:left w:val="single" w:sz="4" w:space="0" w:color="auto"/>
              <w:bottom w:val="single" w:sz="4" w:space="0" w:color="auto"/>
              <w:right w:val="single" w:sz="4" w:space="0" w:color="auto"/>
            </w:tcBorders>
            <w:vAlign w:val="center"/>
            <w:hideMark/>
          </w:tcPr>
          <w:p w14:paraId="0AC8E296" w14:textId="07E6F30A" w:rsidR="003F5F76" w:rsidRPr="007E130D" w:rsidRDefault="00C70CE4" w:rsidP="00EF328D">
            <w:pPr>
              <w:pStyle w:val="Tabletext"/>
              <w:jc w:val="center"/>
              <w:rPr>
                <w:bCs/>
                <w:sz w:val="18"/>
                <w:szCs w:val="18"/>
              </w:rPr>
            </w:pPr>
            <w:r w:rsidRPr="007E130D">
              <w:rPr>
                <w:sz w:val="18"/>
                <w:szCs w:val="18"/>
              </w:rPr>
              <w:t>Réunion électronique</w:t>
            </w:r>
          </w:p>
        </w:tc>
        <w:tc>
          <w:tcPr>
            <w:tcW w:w="490" w:type="pct"/>
            <w:tcBorders>
              <w:top w:val="single" w:sz="4" w:space="0" w:color="auto"/>
              <w:left w:val="single" w:sz="4" w:space="0" w:color="auto"/>
              <w:bottom w:val="single" w:sz="4" w:space="0" w:color="auto"/>
              <w:right w:val="single" w:sz="4" w:space="0" w:color="auto"/>
            </w:tcBorders>
            <w:vAlign w:val="center"/>
            <w:hideMark/>
          </w:tcPr>
          <w:p w14:paraId="57A95B26" w14:textId="77777777" w:rsidR="003F5F76" w:rsidRPr="007E130D" w:rsidRDefault="003F5F76" w:rsidP="00EF328D">
            <w:pPr>
              <w:pStyle w:val="Tabletext"/>
              <w:jc w:val="center"/>
              <w:rPr>
                <w:sz w:val="18"/>
                <w:szCs w:val="18"/>
              </w:rPr>
            </w:pPr>
            <w:r w:rsidRPr="007E130D">
              <w:rPr>
                <w:sz w:val="18"/>
                <w:szCs w:val="18"/>
              </w:rPr>
              <w:t>−</w:t>
            </w:r>
          </w:p>
        </w:tc>
        <w:tc>
          <w:tcPr>
            <w:tcW w:w="834" w:type="pct"/>
            <w:tcBorders>
              <w:top w:val="single" w:sz="4" w:space="0" w:color="auto"/>
              <w:left w:val="single" w:sz="4" w:space="0" w:color="auto"/>
              <w:bottom w:val="single" w:sz="4" w:space="0" w:color="auto"/>
              <w:right w:val="single" w:sz="4" w:space="0" w:color="auto"/>
            </w:tcBorders>
            <w:vAlign w:val="center"/>
            <w:hideMark/>
          </w:tcPr>
          <w:p w14:paraId="171AA5A9" w14:textId="42067D55" w:rsidR="003F5F76" w:rsidRPr="007E130D" w:rsidRDefault="00C70CE4" w:rsidP="00EF328D">
            <w:pPr>
              <w:pStyle w:val="Tabletext"/>
              <w:jc w:val="center"/>
              <w:rPr>
                <w:sz w:val="18"/>
                <w:szCs w:val="18"/>
              </w:rPr>
            </w:pPr>
            <w:r w:rsidRPr="007E130D">
              <w:rPr>
                <w:sz w:val="18"/>
                <w:szCs w:val="18"/>
              </w:rPr>
              <w:t xml:space="preserve">Commission interaméricaine des télécommunications </w:t>
            </w:r>
            <w:r w:rsidR="003F5F76" w:rsidRPr="007E130D">
              <w:rPr>
                <w:sz w:val="18"/>
                <w:szCs w:val="18"/>
              </w:rPr>
              <w:t>(CITEL)</w:t>
            </w:r>
          </w:p>
          <w:p w14:paraId="74520A99" w14:textId="77777777" w:rsidR="003F5F76" w:rsidRPr="007E130D" w:rsidRDefault="00C70CE4" w:rsidP="00EF328D">
            <w:pPr>
              <w:pStyle w:val="Tabletext"/>
              <w:spacing w:before="120"/>
              <w:jc w:val="center"/>
              <w:rPr>
                <w:sz w:val="18"/>
                <w:szCs w:val="18"/>
              </w:rPr>
            </w:pPr>
            <w:r w:rsidRPr="007E130D">
              <w:rPr>
                <w:sz w:val="18"/>
                <w:szCs w:val="18"/>
              </w:rPr>
              <w:t xml:space="preserve">Agence nationale du spectre de la Colombie </w:t>
            </w:r>
            <w:r w:rsidR="003F5F76" w:rsidRPr="007E130D">
              <w:rPr>
                <w:sz w:val="18"/>
                <w:szCs w:val="18"/>
              </w:rPr>
              <w:t>(ANE)</w:t>
            </w:r>
          </w:p>
          <w:p w14:paraId="0A6D975B" w14:textId="041E1531" w:rsidR="003F5F76" w:rsidRPr="007E130D" w:rsidRDefault="00C70CE4" w:rsidP="00EF328D">
            <w:pPr>
              <w:pStyle w:val="Tabletext"/>
              <w:spacing w:before="120"/>
              <w:jc w:val="center"/>
              <w:rPr>
                <w:sz w:val="18"/>
                <w:szCs w:val="18"/>
              </w:rPr>
            </w:pPr>
            <w:r w:rsidRPr="007E130D">
              <w:rPr>
                <w:sz w:val="18"/>
                <w:szCs w:val="18"/>
              </w:rPr>
              <w:t>Bureau de l</w:t>
            </w:r>
            <w:r w:rsidR="00EF328D" w:rsidRPr="007E130D">
              <w:rPr>
                <w:sz w:val="18"/>
                <w:szCs w:val="18"/>
              </w:rPr>
              <w:t>'</w:t>
            </w:r>
            <w:r w:rsidRPr="007E130D">
              <w:rPr>
                <w:sz w:val="18"/>
                <w:szCs w:val="18"/>
              </w:rPr>
              <w:t>UIT pour la région Amériques</w:t>
            </w:r>
          </w:p>
        </w:tc>
        <w:tc>
          <w:tcPr>
            <w:tcW w:w="735" w:type="pct"/>
            <w:tcBorders>
              <w:top w:val="single" w:sz="4" w:space="0" w:color="auto"/>
              <w:left w:val="single" w:sz="4" w:space="0" w:color="auto"/>
              <w:bottom w:val="single" w:sz="4" w:space="0" w:color="auto"/>
              <w:right w:val="single" w:sz="4" w:space="0" w:color="auto"/>
            </w:tcBorders>
            <w:vAlign w:val="center"/>
            <w:hideMark/>
          </w:tcPr>
          <w:p w14:paraId="295436A2" w14:textId="77777777" w:rsidR="003F5F76" w:rsidRPr="007E130D" w:rsidRDefault="00C70CE4" w:rsidP="00EF328D">
            <w:pPr>
              <w:pStyle w:val="Tabletext"/>
              <w:jc w:val="center"/>
              <w:rPr>
                <w:sz w:val="18"/>
                <w:szCs w:val="18"/>
              </w:rPr>
            </w:pPr>
            <w:r w:rsidRPr="007E130D">
              <w:rPr>
                <w:sz w:val="18"/>
                <w:szCs w:val="18"/>
              </w:rPr>
              <w:t>Gestion moderne du spectre dans la région</w:t>
            </w:r>
          </w:p>
        </w:tc>
        <w:tc>
          <w:tcPr>
            <w:tcW w:w="246" w:type="pct"/>
            <w:tcBorders>
              <w:top w:val="single" w:sz="4" w:space="0" w:color="auto"/>
              <w:left w:val="single" w:sz="4" w:space="0" w:color="auto"/>
              <w:bottom w:val="single" w:sz="4" w:space="0" w:color="auto"/>
              <w:right w:val="single" w:sz="4" w:space="0" w:color="auto"/>
            </w:tcBorders>
            <w:vAlign w:val="center"/>
            <w:hideMark/>
          </w:tcPr>
          <w:p w14:paraId="1EC09DA6" w14:textId="77777777" w:rsidR="003F5F76" w:rsidRPr="007E130D" w:rsidRDefault="003F5F76" w:rsidP="00EF328D">
            <w:pPr>
              <w:pStyle w:val="Tabletext"/>
              <w:jc w:val="center"/>
              <w:rPr>
                <w:sz w:val="18"/>
                <w:szCs w:val="18"/>
              </w:rPr>
            </w:pPr>
            <w:r w:rsidRPr="007E130D">
              <w:rPr>
                <w:sz w:val="18"/>
                <w:szCs w:val="18"/>
              </w:rPr>
              <w:t>S</w:t>
            </w:r>
          </w:p>
        </w:tc>
        <w:tc>
          <w:tcPr>
            <w:tcW w:w="490" w:type="pct"/>
            <w:tcBorders>
              <w:top w:val="single" w:sz="4" w:space="0" w:color="auto"/>
              <w:left w:val="single" w:sz="4" w:space="0" w:color="auto"/>
              <w:bottom w:val="single" w:sz="4" w:space="0" w:color="auto"/>
              <w:right w:val="single" w:sz="4" w:space="0" w:color="auto"/>
            </w:tcBorders>
            <w:vAlign w:val="center"/>
            <w:hideMark/>
          </w:tcPr>
          <w:p w14:paraId="5E6CB701" w14:textId="77777777" w:rsidR="003F5F76" w:rsidRPr="007E130D" w:rsidRDefault="003F5F76" w:rsidP="00EF328D">
            <w:pPr>
              <w:pStyle w:val="Tabletext"/>
              <w:jc w:val="center"/>
              <w:rPr>
                <w:sz w:val="18"/>
                <w:szCs w:val="18"/>
              </w:rPr>
            </w:pPr>
            <w:r w:rsidRPr="007E130D">
              <w:rPr>
                <w:sz w:val="18"/>
                <w:szCs w:val="18"/>
              </w:rPr>
              <w:t>238/49</w:t>
            </w:r>
          </w:p>
        </w:tc>
        <w:tc>
          <w:tcPr>
            <w:tcW w:w="441" w:type="pct"/>
            <w:tcBorders>
              <w:top w:val="single" w:sz="4" w:space="0" w:color="auto"/>
              <w:left w:val="single" w:sz="4" w:space="0" w:color="auto"/>
              <w:bottom w:val="single" w:sz="4" w:space="0" w:color="auto"/>
              <w:right w:val="single" w:sz="4" w:space="0" w:color="auto"/>
            </w:tcBorders>
            <w:vAlign w:val="center"/>
          </w:tcPr>
          <w:p w14:paraId="0BB58911" w14:textId="77777777" w:rsidR="003F5F76" w:rsidRPr="007E130D" w:rsidDel="007F228A" w:rsidRDefault="00C70CE4" w:rsidP="00EF328D">
            <w:pPr>
              <w:pStyle w:val="Tabletext"/>
              <w:jc w:val="center"/>
              <w:rPr>
                <w:sz w:val="18"/>
                <w:szCs w:val="18"/>
              </w:rPr>
            </w:pPr>
            <w:r w:rsidRPr="007E130D">
              <w:rPr>
                <w:sz w:val="18"/>
                <w:szCs w:val="18"/>
              </w:rPr>
              <w:t>sans objet</w:t>
            </w:r>
          </w:p>
        </w:tc>
      </w:tr>
      <w:tr w:rsidR="00E13E91" w:rsidRPr="007E130D" w14:paraId="2D78FBF1" w14:textId="77777777" w:rsidTr="007E130D">
        <w:trPr>
          <w:jc w:val="center"/>
        </w:trPr>
        <w:tc>
          <w:tcPr>
            <w:tcW w:w="635" w:type="pct"/>
            <w:tcBorders>
              <w:top w:val="single" w:sz="4" w:space="0" w:color="auto"/>
              <w:left w:val="single" w:sz="4" w:space="0" w:color="auto"/>
              <w:bottom w:val="single" w:sz="4" w:space="0" w:color="auto"/>
              <w:right w:val="single" w:sz="4" w:space="0" w:color="auto"/>
            </w:tcBorders>
            <w:vAlign w:val="center"/>
          </w:tcPr>
          <w:p w14:paraId="23F6327A" w14:textId="77777777" w:rsidR="003F5F76" w:rsidRPr="007E130D" w:rsidRDefault="003F5F76" w:rsidP="006D0224">
            <w:pPr>
              <w:pStyle w:val="Tabletext"/>
              <w:jc w:val="center"/>
              <w:rPr>
                <w:sz w:val="18"/>
                <w:szCs w:val="18"/>
              </w:rPr>
            </w:pPr>
            <w:r w:rsidRPr="007E130D">
              <w:rPr>
                <w:sz w:val="18"/>
                <w:szCs w:val="18"/>
              </w:rPr>
              <w:t>5-16 juillet 2021</w:t>
            </w:r>
          </w:p>
        </w:tc>
        <w:tc>
          <w:tcPr>
            <w:tcW w:w="708" w:type="pct"/>
            <w:tcBorders>
              <w:top w:val="single" w:sz="4" w:space="0" w:color="auto"/>
              <w:left w:val="single" w:sz="4" w:space="0" w:color="auto"/>
              <w:bottom w:val="single" w:sz="4" w:space="0" w:color="auto"/>
              <w:right w:val="single" w:sz="4" w:space="0" w:color="auto"/>
            </w:tcBorders>
            <w:vAlign w:val="center"/>
            <w:hideMark/>
          </w:tcPr>
          <w:p w14:paraId="36FB3921" w14:textId="77777777" w:rsidR="003F5F76" w:rsidRPr="007E130D" w:rsidRDefault="003F5F76" w:rsidP="00EF328D">
            <w:pPr>
              <w:pStyle w:val="Tabletext"/>
              <w:keepNext/>
              <w:keepLines/>
              <w:jc w:val="center"/>
              <w:rPr>
                <w:b/>
                <w:bCs/>
                <w:sz w:val="18"/>
                <w:szCs w:val="18"/>
              </w:rPr>
            </w:pPr>
            <w:r w:rsidRPr="007E130D">
              <w:rPr>
                <w:b/>
                <w:bCs/>
                <w:sz w:val="18"/>
                <w:szCs w:val="18"/>
              </w:rPr>
              <w:t>RRS-21-</w:t>
            </w:r>
            <w:r w:rsidR="00175E49" w:rsidRPr="007E130D">
              <w:rPr>
                <w:b/>
                <w:bCs/>
                <w:sz w:val="18"/>
                <w:szCs w:val="18"/>
              </w:rPr>
              <w:t>Afrique</w:t>
            </w:r>
          </w:p>
        </w:tc>
        <w:tc>
          <w:tcPr>
            <w:tcW w:w="421" w:type="pct"/>
            <w:tcBorders>
              <w:top w:val="single" w:sz="4" w:space="0" w:color="auto"/>
              <w:left w:val="single" w:sz="4" w:space="0" w:color="auto"/>
              <w:bottom w:val="single" w:sz="4" w:space="0" w:color="auto"/>
              <w:right w:val="single" w:sz="4" w:space="0" w:color="auto"/>
            </w:tcBorders>
            <w:vAlign w:val="center"/>
            <w:hideMark/>
          </w:tcPr>
          <w:p w14:paraId="5ECB736A" w14:textId="77777777" w:rsidR="003F5F76" w:rsidRPr="007E130D" w:rsidRDefault="00C70CE4" w:rsidP="00EF328D">
            <w:pPr>
              <w:pStyle w:val="Tabletext"/>
              <w:keepNext/>
              <w:keepLines/>
              <w:jc w:val="center"/>
              <w:rPr>
                <w:bCs/>
                <w:sz w:val="18"/>
                <w:szCs w:val="18"/>
              </w:rPr>
            </w:pPr>
            <w:r w:rsidRPr="007E130D">
              <w:rPr>
                <w:bCs/>
                <w:sz w:val="18"/>
                <w:szCs w:val="18"/>
              </w:rPr>
              <w:t>Réunion électronique</w:t>
            </w:r>
          </w:p>
        </w:tc>
        <w:tc>
          <w:tcPr>
            <w:tcW w:w="490" w:type="pct"/>
            <w:tcBorders>
              <w:top w:val="single" w:sz="4" w:space="0" w:color="auto"/>
              <w:left w:val="single" w:sz="4" w:space="0" w:color="auto"/>
              <w:bottom w:val="single" w:sz="4" w:space="0" w:color="auto"/>
              <w:right w:val="single" w:sz="4" w:space="0" w:color="auto"/>
            </w:tcBorders>
            <w:vAlign w:val="center"/>
            <w:hideMark/>
          </w:tcPr>
          <w:p w14:paraId="3E178DD6" w14:textId="77777777" w:rsidR="003F5F76" w:rsidRPr="007E130D" w:rsidRDefault="003F5F76" w:rsidP="00EF328D">
            <w:pPr>
              <w:pStyle w:val="Tabletext"/>
              <w:keepNext/>
              <w:keepLines/>
              <w:jc w:val="center"/>
              <w:rPr>
                <w:sz w:val="18"/>
                <w:szCs w:val="18"/>
              </w:rPr>
            </w:pPr>
            <w:r w:rsidRPr="007E130D">
              <w:rPr>
                <w:sz w:val="18"/>
                <w:szCs w:val="18"/>
              </w:rPr>
              <w:t>−</w:t>
            </w:r>
          </w:p>
        </w:tc>
        <w:tc>
          <w:tcPr>
            <w:tcW w:w="834" w:type="pct"/>
            <w:tcBorders>
              <w:top w:val="single" w:sz="4" w:space="0" w:color="auto"/>
              <w:left w:val="single" w:sz="4" w:space="0" w:color="auto"/>
              <w:bottom w:val="single" w:sz="4" w:space="0" w:color="auto"/>
              <w:right w:val="single" w:sz="4" w:space="0" w:color="auto"/>
            </w:tcBorders>
            <w:vAlign w:val="center"/>
            <w:hideMark/>
          </w:tcPr>
          <w:p w14:paraId="28A92CE6" w14:textId="77777777" w:rsidR="003F5F76" w:rsidRPr="007E130D" w:rsidRDefault="00175E49" w:rsidP="00EF328D">
            <w:pPr>
              <w:pStyle w:val="Tabletext"/>
              <w:keepNext/>
              <w:keepLines/>
              <w:jc w:val="center"/>
              <w:rPr>
                <w:sz w:val="18"/>
                <w:szCs w:val="18"/>
              </w:rPr>
            </w:pPr>
            <w:r w:rsidRPr="007E130D">
              <w:rPr>
                <w:sz w:val="18"/>
                <w:szCs w:val="18"/>
              </w:rPr>
              <w:t>Union africaine des télécommunications (UAT)</w:t>
            </w:r>
          </w:p>
          <w:p w14:paraId="7D2C4B71" w14:textId="77777777" w:rsidR="003F5F76" w:rsidRPr="007E130D" w:rsidRDefault="00175E49" w:rsidP="00EF328D">
            <w:pPr>
              <w:pStyle w:val="Tabletext"/>
              <w:keepNext/>
              <w:keepLines/>
              <w:spacing w:before="120"/>
              <w:jc w:val="center"/>
              <w:rPr>
                <w:sz w:val="18"/>
                <w:szCs w:val="18"/>
              </w:rPr>
            </w:pPr>
            <w:r w:rsidRPr="007E130D">
              <w:rPr>
                <w:sz w:val="18"/>
                <w:szCs w:val="18"/>
              </w:rPr>
              <w:t>Bureau de l'UIT pour la région Afrique</w:t>
            </w:r>
          </w:p>
        </w:tc>
        <w:tc>
          <w:tcPr>
            <w:tcW w:w="735" w:type="pct"/>
            <w:tcBorders>
              <w:top w:val="single" w:sz="4" w:space="0" w:color="auto"/>
              <w:left w:val="single" w:sz="4" w:space="0" w:color="auto"/>
              <w:bottom w:val="single" w:sz="4" w:space="0" w:color="auto"/>
              <w:right w:val="single" w:sz="4" w:space="0" w:color="auto"/>
            </w:tcBorders>
            <w:vAlign w:val="center"/>
            <w:hideMark/>
          </w:tcPr>
          <w:p w14:paraId="275730BA" w14:textId="0E02F049" w:rsidR="003F5F76" w:rsidRPr="007E130D" w:rsidRDefault="00C70CE4" w:rsidP="00EF328D">
            <w:pPr>
              <w:pStyle w:val="Tabletext"/>
              <w:keepNext/>
              <w:keepLines/>
              <w:jc w:val="center"/>
              <w:rPr>
                <w:sz w:val="18"/>
                <w:szCs w:val="18"/>
              </w:rPr>
            </w:pPr>
            <w:r w:rsidRPr="007E130D">
              <w:rPr>
                <w:sz w:val="18"/>
                <w:szCs w:val="18"/>
              </w:rPr>
              <w:t>Tendances dans le secteur des r</w:t>
            </w:r>
            <w:r w:rsidR="003F5F76" w:rsidRPr="007E130D">
              <w:rPr>
                <w:sz w:val="18"/>
                <w:szCs w:val="18"/>
              </w:rPr>
              <w:t xml:space="preserve">adiocommunications: </w:t>
            </w:r>
            <w:r w:rsidRPr="007E130D">
              <w:rPr>
                <w:sz w:val="18"/>
                <w:szCs w:val="18"/>
              </w:rPr>
              <w:t>enjeux et perspectives pour la région</w:t>
            </w:r>
          </w:p>
        </w:tc>
        <w:tc>
          <w:tcPr>
            <w:tcW w:w="246" w:type="pct"/>
            <w:tcBorders>
              <w:top w:val="single" w:sz="4" w:space="0" w:color="auto"/>
              <w:left w:val="single" w:sz="4" w:space="0" w:color="auto"/>
              <w:bottom w:val="single" w:sz="4" w:space="0" w:color="auto"/>
              <w:right w:val="single" w:sz="4" w:space="0" w:color="auto"/>
            </w:tcBorders>
            <w:vAlign w:val="center"/>
            <w:hideMark/>
          </w:tcPr>
          <w:p w14:paraId="56F52104" w14:textId="77777777" w:rsidR="003F5F76" w:rsidRPr="007E130D" w:rsidRDefault="003F5F76" w:rsidP="00EF328D">
            <w:pPr>
              <w:pStyle w:val="Tabletext"/>
              <w:keepNext/>
              <w:keepLines/>
              <w:jc w:val="center"/>
              <w:rPr>
                <w:sz w:val="18"/>
                <w:szCs w:val="18"/>
              </w:rPr>
            </w:pPr>
            <w:r w:rsidRPr="007E130D">
              <w:rPr>
                <w:sz w:val="18"/>
                <w:szCs w:val="18"/>
              </w:rPr>
              <w:t>E &amp; F</w:t>
            </w:r>
          </w:p>
        </w:tc>
        <w:tc>
          <w:tcPr>
            <w:tcW w:w="490" w:type="pct"/>
            <w:tcBorders>
              <w:top w:val="single" w:sz="4" w:space="0" w:color="auto"/>
              <w:left w:val="single" w:sz="4" w:space="0" w:color="auto"/>
              <w:bottom w:val="single" w:sz="4" w:space="0" w:color="auto"/>
              <w:right w:val="single" w:sz="4" w:space="0" w:color="auto"/>
            </w:tcBorders>
            <w:vAlign w:val="center"/>
            <w:hideMark/>
          </w:tcPr>
          <w:p w14:paraId="1500814E" w14:textId="77777777" w:rsidR="003F5F76" w:rsidRPr="007E130D" w:rsidRDefault="003F5F76" w:rsidP="00EF328D">
            <w:pPr>
              <w:pStyle w:val="Tabletext"/>
              <w:keepNext/>
              <w:keepLines/>
              <w:jc w:val="center"/>
              <w:rPr>
                <w:sz w:val="18"/>
                <w:szCs w:val="18"/>
              </w:rPr>
            </w:pPr>
            <w:r w:rsidRPr="007E130D">
              <w:rPr>
                <w:sz w:val="18"/>
                <w:szCs w:val="18"/>
              </w:rPr>
              <w:t>217/68</w:t>
            </w:r>
          </w:p>
        </w:tc>
        <w:tc>
          <w:tcPr>
            <w:tcW w:w="441" w:type="pct"/>
            <w:tcBorders>
              <w:top w:val="single" w:sz="4" w:space="0" w:color="auto"/>
              <w:left w:val="single" w:sz="4" w:space="0" w:color="auto"/>
              <w:bottom w:val="single" w:sz="4" w:space="0" w:color="auto"/>
              <w:right w:val="single" w:sz="4" w:space="0" w:color="auto"/>
            </w:tcBorders>
            <w:vAlign w:val="center"/>
          </w:tcPr>
          <w:p w14:paraId="4F6D418F" w14:textId="77777777" w:rsidR="003F5F76" w:rsidRPr="007E130D" w:rsidDel="002832A3" w:rsidRDefault="00C70CE4" w:rsidP="00EF328D">
            <w:pPr>
              <w:pStyle w:val="Tabletext"/>
              <w:keepNext/>
              <w:keepLines/>
              <w:jc w:val="center"/>
              <w:rPr>
                <w:sz w:val="18"/>
                <w:szCs w:val="18"/>
              </w:rPr>
            </w:pPr>
            <w:r w:rsidRPr="007E130D">
              <w:rPr>
                <w:sz w:val="18"/>
                <w:szCs w:val="18"/>
              </w:rPr>
              <w:t>sans objet</w:t>
            </w:r>
          </w:p>
        </w:tc>
      </w:tr>
      <w:tr w:rsidR="00E13E91" w:rsidRPr="007E130D" w14:paraId="31CB3831" w14:textId="77777777" w:rsidTr="007E130D">
        <w:trPr>
          <w:jc w:val="center"/>
        </w:trPr>
        <w:tc>
          <w:tcPr>
            <w:tcW w:w="635" w:type="pct"/>
            <w:tcBorders>
              <w:top w:val="single" w:sz="4" w:space="0" w:color="auto"/>
              <w:left w:val="single" w:sz="4" w:space="0" w:color="auto"/>
              <w:bottom w:val="single" w:sz="4" w:space="0" w:color="auto"/>
              <w:right w:val="single" w:sz="4" w:space="0" w:color="auto"/>
            </w:tcBorders>
            <w:vAlign w:val="center"/>
          </w:tcPr>
          <w:p w14:paraId="15662319" w14:textId="77777777" w:rsidR="003F5F76" w:rsidRPr="007E130D" w:rsidRDefault="003F5F76" w:rsidP="00EF328D">
            <w:pPr>
              <w:pStyle w:val="Tabletext"/>
              <w:jc w:val="center"/>
              <w:rPr>
                <w:sz w:val="18"/>
                <w:szCs w:val="18"/>
              </w:rPr>
            </w:pPr>
            <w:r w:rsidRPr="007E130D">
              <w:rPr>
                <w:sz w:val="18"/>
                <w:szCs w:val="18"/>
              </w:rPr>
              <w:t>11-22 octobre 2021</w:t>
            </w:r>
          </w:p>
        </w:tc>
        <w:tc>
          <w:tcPr>
            <w:tcW w:w="708" w:type="pct"/>
            <w:tcBorders>
              <w:top w:val="single" w:sz="4" w:space="0" w:color="auto"/>
              <w:left w:val="single" w:sz="4" w:space="0" w:color="auto"/>
              <w:bottom w:val="single" w:sz="4" w:space="0" w:color="auto"/>
              <w:right w:val="single" w:sz="4" w:space="0" w:color="auto"/>
            </w:tcBorders>
            <w:vAlign w:val="center"/>
            <w:hideMark/>
          </w:tcPr>
          <w:p w14:paraId="0A5D21B2" w14:textId="330E7F5E" w:rsidR="003F5F76" w:rsidRPr="007E130D" w:rsidRDefault="003F5F76" w:rsidP="00EF328D">
            <w:pPr>
              <w:pStyle w:val="Tabletext"/>
              <w:jc w:val="center"/>
              <w:rPr>
                <w:b/>
                <w:bCs/>
                <w:sz w:val="18"/>
                <w:szCs w:val="18"/>
              </w:rPr>
            </w:pPr>
            <w:r w:rsidRPr="007E130D">
              <w:rPr>
                <w:b/>
                <w:bCs/>
                <w:sz w:val="18"/>
                <w:szCs w:val="18"/>
              </w:rPr>
              <w:t>RRS-21-</w:t>
            </w:r>
            <w:r w:rsidR="00175E49" w:rsidRPr="007E130D">
              <w:rPr>
                <w:b/>
                <w:bCs/>
                <w:sz w:val="18"/>
                <w:szCs w:val="18"/>
              </w:rPr>
              <w:t>Asie</w:t>
            </w:r>
            <w:r w:rsidR="006D0224" w:rsidRPr="007E130D">
              <w:rPr>
                <w:b/>
                <w:bCs/>
                <w:sz w:val="18"/>
                <w:szCs w:val="18"/>
              </w:rPr>
              <w:noBreakHyphen/>
            </w:r>
            <w:r w:rsidR="00175E49" w:rsidRPr="007E130D">
              <w:rPr>
                <w:b/>
                <w:bCs/>
                <w:sz w:val="18"/>
                <w:szCs w:val="18"/>
              </w:rPr>
              <w:t>Pacifique</w:t>
            </w:r>
          </w:p>
        </w:tc>
        <w:tc>
          <w:tcPr>
            <w:tcW w:w="421" w:type="pct"/>
            <w:tcBorders>
              <w:top w:val="single" w:sz="4" w:space="0" w:color="auto"/>
              <w:left w:val="single" w:sz="4" w:space="0" w:color="auto"/>
              <w:bottom w:val="single" w:sz="4" w:space="0" w:color="auto"/>
              <w:right w:val="single" w:sz="4" w:space="0" w:color="auto"/>
            </w:tcBorders>
            <w:vAlign w:val="center"/>
            <w:hideMark/>
          </w:tcPr>
          <w:p w14:paraId="31E25234" w14:textId="77777777" w:rsidR="003F5F76" w:rsidRPr="007E130D" w:rsidRDefault="00C70CE4" w:rsidP="00EF328D">
            <w:pPr>
              <w:pStyle w:val="Tabletext"/>
              <w:jc w:val="center"/>
              <w:rPr>
                <w:bCs/>
                <w:sz w:val="18"/>
                <w:szCs w:val="18"/>
              </w:rPr>
            </w:pPr>
            <w:r w:rsidRPr="007E130D">
              <w:rPr>
                <w:bCs/>
                <w:sz w:val="18"/>
                <w:szCs w:val="18"/>
              </w:rPr>
              <w:t>Réunion électronique</w:t>
            </w:r>
          </w:p>
        </w:tc>
        <w:tc>
          <w:tcPr>
            <w:tcW w:w="490" w:type="pct"/>
            <w:tcBorders>
              <w:top w:val="single" w:sz="4" w:space="0" w:color="auto"/>
              <w:left w:val="single" w:sz="4" w:space="0" w:color="auto"/>
              <w:bottom w:val="single" w:sz="4" w:space="0" w:color="auto"/>
              <w:right w:val="single" w:sz="4" w:space="0" w:color="auto"/>
            </w:tcBorders>
            <w:vAlign w:val="center"/>
            <w:hideMark/>
          </w:tcPr>
          <w:p w14:paraId="527852A1" w14:textId="77777777" w:rsidR="003F5F76" w:rsidRPr="007E130D" w:rsidRDefault="003F5F76" w:rsidP="00EF328D">
            <w:pPr>
              <w:pStyle w:val="Tabletext"/>
              <w:jc w:val="center"/>
              <w:rPr>
                <w:sz w:val="18"/>
                <w:szCs w:val="18"/>
              </w:rPr>
            </w:pPr>
            <w:r w:rsidRPr="007E130D">
              <w:rPr>
                <w:sz w:val="18"/>
                <w:szCs w:val="18"/>
              </w:rPr>
              <w:t>−</w:t>
            </w:r>
          </w:p>
        </w:tc>
        <w:tc>
          <w:tcPr>
            <w:tcW w:w="834" w:type="pct"/>
            <w:tcBorders>
              <w:top w:val="single" w:sz="4" w:space="0" w:color="auto"/>
              <w:left w:val="single" w:sz="4" w:space="0" w:color="auto"/>
              <w:bottom w:val="single" w:sz="4" w:space="0" w:color="auto"/>
              <w:right w:val="single" w:sz="4" w:space="0" w:color="auto"/>
            </w:tcBorders>
            <w:vAlign w:val="center"/>
            <w:hideMark/>
          </w:tcPr>
          <w:p w14:paraId="6D06DE1A" w14:textId="62D0B4F9" w:rsidR="00175E49" w:rsidRPr="007E130D" w:rsidRDefault="00175E49" w:rsidP="00EF328D">
            <w:pPr>
              <w:pStyle w:val="Tabletext"/>
              <w:jc w:val="center"/>
              <w:rPr>
                <w:sz w:val="18"/>
                <w:szCs w:val="18"/>
              </w:rPr>
            </w:pPr>
            <w:r w:rsidRPr="007E130D">
              <w:rPr>
                <w:sz w:val="18"/>
                <w:szCs w:val="18"/>
              </w:rPr>
              <w:t>Télécommunauté Asie</w:t>
            </w:r>
            <w:r w:rsidR="00202827" w:rsidRPr="007E130D">
              <w:rPr>
                <w:sz w:val="18"/>
                <w:szCs w:val="18"/>
              </w:rPr>
              <w:noBreakHyphen/>
            </w:r>
            <w:r w:rsidRPr="007E130D">
              <w:rPr>
                <w:sz w:val="18"/>
                <w:szCs w:val="18"/>
              </w:rPr>
              <w:t>Pacifique (APT)</w:t>
            </w:r>
          </w:p>
          <w:p w14:paraId="3B836FB3" w14:textId="77777777" w:rsidR="003F5F76" w:rsidRPr="007E130D" w:rsidRDefault="00175E49" w:rsidP="00EF328D">
            <w:pPr>
              <w:pStyle w:val="Tabletext"/>
              <w:jc w:val="center"/>
              <w:rPr>
                <w:sz w:val="18"/>
                <w:szCs w:val="18"/>
              </w:rPr>
            </w:pPr>
            <w:r w:rsidRPr="007E130D">
              <w:rPr>
                <w:sz w:val="18"/>
                <w:szCs w:val="18"/>
              </w:rPr>
              <w:t>Bureau de l'UIT pour la région Asie</w:t>
            </w:r>
            <w:r w:rsidRPr="007E130D">
              <w:rPr>
                <w:sz w:val="18"/>
                <w:szCs w:val="18"/>
              </w:rPr>
              <w:noBreakHyphen/>
              <w:t>Pacifique</w:t>
            </w:r>
          </w:p>
        </w:tc>
        <w:tc>
          <w:tcPr>
            <w:tcW w:w="735" w:type="pct"/>
            <w:tcBorders>
              <w:top w:val="single" w:sz="4" w:space="0" w:color="auto"/>
              <w:left w:val="single" w:sz="4" w:space="0" w:color="auto"/>
              <w:bottom w:val="single" w:sz="4" w:space="0" w:color="auto"/>
              <w:right w:val="single" w:sz="4" w:space="0" w:color="auto"/>
            </w:tcBorders>
            <w:vAlign w:val="center"/>
            <w:hideMark/>
          </w:tcPr>
          <w:p w14:paraId="3C61015E" w14:textId="21C8E229" w:rsidR="003F5F76" w:rsidRPr="007E130D" w:rsidRDefault="00E07522" w:rsidP="00EF328D">
            <w:pPr>
              <w:pStyle w:val="Tabletext"/>
              <w:jc w:val="center"/>
              <w:rPr>
                <w:sz w:val="18"/>
                <w:szCs w:val="18"/>
              </w:rPr>
            </w:pPr>
            <w:r w:rsidRPr="007E130D">
              <w:rPr>
                <w:sz w:val="18"/>
                <w:szCs w:val="18"/>
              </w:rPr>
              <w:t>Tendances dans le secteur des radiocommunications: enjeux et perspectives pour la région</w:t>
            </w:r>
          </w:p>
        </w:tc>
        <w:tc>
          <w:tcPr>
            <w:tcW w:w="246" w:type="pct"/>
            <w:tcBorders>
              <w:top w:val="single" w:sz="4" w:space="0" w:color="auto"/>
              <w:left w:val="single" w:sz="4" w:space="0" w:color="auto"/>
              <w:bottom w:val="single" w:sz="4" w:space="0" w:color="auto"/>
              <w:right w:val="single" w:sz="4" w:space="0" w:color="auto"/>
            </w:tcBorders>
            <w:vAlign w:val="center"/>
            <w:hideMark/>
          </w:tcPr>
          <w:p w14:paraId="707E36BB" w14:textId="77777777" w:rsidR="003F5F76" w:rsidRPr="007E130D" w:rsidRDefault="003F5F76" w:rsidP="00EF328D">
            <w:pPr>
              <w:pStyle w:val="Tabletext"/>
              <w:jc w:val="center"/>
              <w:rPr>
                <w:sz w:val="18"/>
                <w:szCs w:val="18"/>
              </w:rPr>
            </w:pPr>
            <w:r w:rsidRPr="007E130D">
              <w:rPr>
                <w:sz w:val="18"/>
                <w:szCs w:val="18"/>
              </w:rPr>
              <w:t>E</w:t>
            </w:r>
          </w:p>
        </w:tc>
        <w:tc>
          <w:tcPr>
            <w:tcW w:w="490" w:type="pct"/>
            <w:tcBorders>
              <w:top w:val="single" w:sz="4" w:space="0" w:color="auto"/>
              <w:left w:val="single" w:sz="4" w:space="0" w:color="auto"/>
              <w:bottom w:val="single" w:sz="4" w:space="0" w:color="auto"/>
              <w:right w:val="single" w:sz="4" w:space="0" w:color="auto"/>
            </w:tcBorders>
            <w:vAlign w:val="center"/>
            <w:hideMark/>
          </w:tcPr>
          <w:p w14:paraId="35069DFE" w14:textId="77777777" w:rsidR="003F5F76" w:rsidRPr="007E130D" w:rsidRDefault="003F5F76" w:rsidP="00EF328D">
            <w:pPr>
              <w:pStyle w:val="Tabletext"/>
              <w:jc w:val="center"/>
              <w:rPr>
                <w:sz w:val="18"/>
                <w:szCs w:val="18"/>
              </w:rPr>
            </w:pPr>
            <w:r w:rsidRPr="007E130D">
              <w:rPr>
                <w:sz w:val="18"/>
                <w:szCs w:val="18"/>
              </w:rPr>
              <w:t>287/58</w:t>
            </w:r>
          </w:p>
        </w:tc>
        <w:tc>
          <w:tcPr>
            <w:tcW w:w="441" w:type="pct"/>
            <w:tcBorders>
              <w:top w:val="single" w:sz="4" w:space="0" w:color="auto"/>
              <w:left w:val="single" w:sz="4" w:space="0" w:color="auto"/>
              <w:bottom w:val="single" w:sz="4" w:space="0" w:color="auto"/>
              <w:right w:val="single" w:sz="4" w:space="0" w:color="auto"/>
            </w:tcBorders>
            <w:vAlign w:val="center"/>
          </w:tcPr>
          <w:p w14:paraId="59E7EF11" w14:textId="77777777" w:rsidR="003F5F76" w:rsidRPr="007E130D" w:rsidDel="002832A3" w:rsidRDefault="00C70CE4" w:rsidP="00EF328D">
            <w:pPr>
              <w:pStyle w:val="Tabletext"/>
              <w:jc w:val="center"/>
              <w:rPr>
                <w:sz w:val="18"/>
                <w:szCs w:val="18"/>
              </w:rPr>
            </w:pPr>
            <w:r w:rsidRPr="007E130D">
              <w:rPr>
                <w:sz w:val="18"/>
                <w:szCs w:val="18"/>
              </w:rPr>
              <w:t>sans objet</w:t>
            </w:r>
          </w:p>
        </w:tc>
      </w:tr>
      <w:tr w:rsidR="003F5F76" w:rsidRPr="007E130D" w14:paraId="5871B837" w14:textId="77777777" w:rsidTr="00E13E91">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37818C" w14:textId="77777777" w:rsidR="003F5F76" w:rsidRPr="007E130D" w:rsidRDefault="003F5F76" w:rsidP="00202827">
            <w:pPr>
              <w:pStyle w:val="Tabletext"/>
              <w:keepNext/>
              <w:jc w:val="center"/>
              <w:rPr>
                <w:b/>
                <w:bCs/>
                <w:sz w:val="18"/>
                <w:szCs w:val="18"/>
              </w:rPr>
            </w:pPr>
            <w:r w:rsidRPr="007E130D">
              <w:rPr>
                <w:b/>
                <w:bCs/>
                <w:sz w:val="18"/>
                <w:szCs w:val="18"/>
              </w:rPr>
              <w:lastRenderedPageBreak/>
              <w:t>2022</w:t>
            </w:r>
          </w:p>
        </w:tc>
      </w:tr>
      <w:tr w:rsidR="00E13E91" w:rsidRPr="007E130D" w14:paraId="697737E2" w14:textId="77777777" w:rsidTr="007E130D">
        <w:trPr>
          <w:jc w:val="center"/>
        </w:trPr>
        <w:tc>
          <w:tcPr>
            <w:tcW w:w="635" w:type="pct"/>
            <w:tcBorders>
              <w:top w:val="single" w:sz="4" w:space="0" w:color="auto"/>
              <w:left w:val="single" w:sz="4" w:space="0" w:color="auto"/>
              <w:bottom w:val="single" w:sz="4" w:space="0" w:color="auto"/>
              <w:right w:val="single" w:sz="4" w:space="0" w:color="auto"/>
            </w:tcBorders>
            <w:vAlign w:val="center"/>
          </w:tcPr>
          <w:p w14:paraId="1DB50673" w14:textId="77777777" w:rsidR="00175E49" w:rsidRPr="007E130D" w:rsidRDefault="00175E49" w:rsidP="00EF328D">
            <w:pPr>
              <w:pStyle w:val="Tabletext"/>
              <w:jc w:val="center"/>
              <w:rPr>
                <w:sz w:val="18"/>
                <w:szCs w:val="18"/>
              </w:rPr>
            </w:pPr>
            <w:r w:rsidRPr="007E130D">
              <w:rPr>
                <w:sz w:val="18"/>
                <w:szCs w:val="18"/>
              </w:rPr>
              <w:t>13-24 mars 2022</w:t>
            </w:r>
          </w:p>
        </w:tc>
        <w:tc>
          <w:tcPr>
            <w:tcW w:w="708" w:type="pct"/>
            <w:tcBorders>
              <w:top w:val="single" w:sz="4" w:space="0" w:color="auto"/>
              <w:left w:val="single" w:sz="4" w:space="0" w:color="auto"/>
              <w:bottom w:val="single" w:sz="4" w:space="0" w:color="auto"/>
              <w:right w:val="single" w:sz="4" w:space="0" w:color="auto"/>
            </w:tcBorders>
            <w:vAlign w:val="center"/>
            <w:hideMark/>
          </w:tcPr>
          <w:p w14:paraId="44C535E8" w14:textId="7A3EF7C2" w:rsidR="00175E49" w:rsidRPr="007E130D" w:rsidRDefault="00175E49" w:rsidP="00EF328D">
            <w:pPr>
              <w:pStyle w:val="Tabletext"/>
              <w:jc w:val="center"/>
              <w:rPr>
                <w:b/>
                <w:bCs/>
                <w:sz w:val="18"/>
                <w:szCs w:val="18"/>
              </w:rPr>
            </w:pPr>
            <w:r w:rsidRPr="007E130D">
              <w:rPr>
                <w:b/>
                <w:bCs/>
                <w:sz w:val="18"/>
                <w:szCs w:val="18"/>
              </w:rPr>
              <w:t>RRS-22-États</w:t>
            </w:r>
            <w:r w:rsidR="006D0224" w:rsidRPr="007E130D">
              <w:rPr>
                <w:b/>
                <w:bCs/>
                <w:sz w:val="18"/>
                <w:szCs w:val="18"/>
              </w:rPr>
              <w:t> </w:t>
            </w:r>
            <w:r w:rsidRPr="007E130D">
              <w:rPr>
                <w:b/>
                <w:bCs/>
                <w:sz w:val="18"/>
                <w:szCs w:val="18"/>
              </w:rPr>
              <w:t>arabes</w:t>
            </w:r>
          </w:p>
        </w:tc>
        <w:tc>
          <w:tcPr>
            <w:tcW w:w="421" w:type="pct"/>
            <w:tcBorders>
              <w:top w:val="single" w:sz="4" w:space="0" w:color="auto"/>
              <w:left w:val="single" w:sz="4" w:space="0" w:color="auto"/>
              <w:bottom w:val="single" w:sz="4" w:space="0" w:color="auto"/>
              <w:right w:val="single" w:sz="4" w:space="0" w:color="auto"/>
            </w:tcBorders>
            <w:vAlign w:val="center"/>
            <w:hideMark/>
          </w:tcPr>
          <w:p w14:paraId="5CB1CDBC" w14:textId="77777777" w:rsidR="00175E49" w:rsidRPr="007E130D" w:rsidRDefault="00C70CE4" w:rsidP="00EF328D">
            <w:pPr>
              <w:pStyle w:val="Tabletext"/>
              <w:jc w:val="center"/>
              <w:rPr>
                <w:bCs/>
                <w:sz w:val="18"/>
                <w:szCs w:val="18"/>
              </w:rPr>
            </w:pPr>
            <w:r w:rsidRPr="007E130D">
              <w:rPr>
                <w:bCs/>
                <w:sz w:val="18"/>
                <w:szCs w:val="18"/>
              </w:rPr>
              <w:t>Réunion électronique</w:t>
            </w:r>
          </w:p>
        </w:tc>
        <w:tc>
          <w:tcPr>
            <w:tcW w:w="490" w:type="pct"/>
            <w:tcBorders>
              <w:top w:val="single" w:sz="4" w:space="0" w:color="auto"/>
              <w:left w:val="single" w:sz="4" w:space="0" w:color="auto"/>
              <w:bottom w:val="single" w:sz="4" w:space="0" w:color="auto"/>
              <w:right w:val="single" w:sz="4" w:space="0" w:color="auto"/>
            </w:tcBorders>
            <w:vAlign w:val="center"/>
            <w:hideMark/>
          </w:tcPr>
          <w:p w14:paraId="2C2E97F0" w14:textId="77777777" w:rsidR="00175E49" w:rsidRPr="007E130D" w:rsidRDefault="00175E49" w:rsidP="00EF328D">
            <w:pPr>
              <w:pStyle w:val="Tabletext"/>
              <w:jc w:val="center"/>
              <w:rPr>
                <w:sz w:val="18"/>
                <w:szCs w:val="18"/>
              </w:rPr>
            </w:pPr>
            <w:r w:rsidRPr="007E130D">
              <w:rPr>
                <w:sz w:val="18"/>
                <w:szCs w:val="18"/>
              </w:rPr>
              <w:t>−</w:t>
            </w:r>
          </w:p>
        </w:tc>
        <w:tc>
          <w:tcPr>
            <w:tcW w:w="834" w:type="pct"/>
            <w:tcBorders>
              <w:top w:val="single" w:sz="4" w:space="0" w:color="auto"/>
              <w:left w:val="single" w:sz="4" w:space="0" w:color="auto"/>
              <w:bottom w:val="single" w:sz="4" w:space="0" w:color="auto"/>
              <w:right w:val="single" w:sz="4" w:space="0" w:color="auto"/>
            </w:tcBorders>
            <w:vAlign w:val="center"/>
            <w:hideMark/>
          </w:tcPr>
          <w:p w14:paraId="795B2029" w14:textId="58D8D9A8" w:rsidR="00175E49" w:rsidRPr="007E130D" w:rsidRDefault="00175E49" w:rsidP="00EF328D">
            <w:pPr>
              <w:pStyle w:val="Tabletext"/>
              <w:jc w:val="center"/>
              <w:rPr>
                <w:sz w:val="18"/>
                <w:szCs w:val="18"/>
              </w:rPr>
            </w:pPr>
            <w:r w:rsidRPr="007E130D">
              <w:rPr>
                <w:sz w:val="18"/>
                <w:szCs w:val="18"/>
              </w:rPr>
              <w:t>Groupe chargé de la gestion du spectre dans les États arabes</w:t>
            </w:r>
            <w:r w:rsidR="00EF328D" w:rsidRPr="007E130D">
              <w:rPr>
                <w:sz w:val="18"/>
                <w:szCs w:val="18"/>
              </w:rPr>
              <w:t xml:space="preserve"> (</w:t>
            </w:r>
            <w:r w:rsidRPr="007E130D">
              <w:rPr>
                <w:sz w:val="18"/>
                <w:szCs w:val="18"/>
              </w:rPr>
              <w:t>ASMG</w:t>
            </w:r>
            <w:r w:rsidR="00EF328D" w:rsidRPr="007E130D">
              <w:rPr>
                <w:sz w:val="18"/>
                <w:szCs w:val="18"/>
              </w:rPr>
              <w:t>)</w:t>
            </w:r>
          </w:p>
          <w:p w14:paraId="37EDC266" w14:textId="17EC3940" w:rsidR="00175E49" w:rsidRPr="007E130D" w:rsidRDefault="00175E49" w:rsidP="00EF328D">
            <w:pPr>
              <w:pStyle w:val="Tabletext"/>
              <w:spacing w:before="120"/>
              <w:jc w:val="center"/>
              <w:rPr>
                <w:sz w:val="18"/>
                <w:szCs w:val="18"/>
              </w:rPr>
            </w:pPr>
            <w:r w:rsidRPr="007E130D">
              <w:rPr>
                <w:sz w:val="18"/>
                <w:szCs w:val="18"/>
              </w:rPr>
              <w:t>Bureau de l'UIT pour la région des États</w:t>
            </w:r>
            <w:r w:rsidR="00202827" w:rsidRPr="007E130D">
              <w:rPr>
                <w:sz w:val="18"/>
                <w:szCs w:val="18"/>
              </w:rPr>
              <w:t> </w:t>
            </w:r>
            <w:r w:rsidRPr="007E130D">
              <w:rPr>
                <w:sz w:val="18"/>
                <w:szCs w:val="18"/>
              </w:rPr>
              <w:t>arabes</w:t>
            </w:r>
          </w:p>
        </w:tc>
        <w:tc>
          <w:tcPr>
            <w:tcW w:w="735" w:type="pct"/>
            <w:tcBorders>
              <w:top w:val="single" w:sz="4" w:space="0" w:color="auto"/>
              <w:left w:val="single" w:sz="4" w:space="0" w:color="auto"/>
              <w:bottom w:val="single" w:sz="4" w:space="0" w:color="auto"/>
              <w:right w:val="single" w:sz="4" w:space="0" w:color="auto"/>
            </w:tcBorders>
            <w:vAlign w:val="center"/>
            <w:hideMark/>
          </w:tcPr>
          <w:p w14:paraId="3747A67C" w14:textId="3298F6DE" w:rsidR="00175E49" w:rsidRPr="007E130D" w:rsidRDefault="00E07522" w:rsidP="00202827">
            <w:pPr>
              <w:pStyle w:val="Tabletext"/>
              <w:keepNext/>
              <w:keepLines/>
              <w:jc w:val="center"/>
              <w:rPr>
                <w:sz w:val="18"/>
                <w:szCs w:val="18"/>
              </w:rPr>
            </w:pPr>
            <w:r w:rsidRPr="007E130D">
              <w:rPr>
                <w:sz w:val="18"/>
                <w:szCs w:val="18"/>
              </w:rPr>
              <w:t>Tendances dans le secteur des radiocommunications: enjeux et perspectives pour la région</w:t>
            </w:r>
          </w:p>
        </w:tc>
        <w:tc>
          <w:tcPr>
            <w:tcW w:w="246" w:type="pct"/>
            <w:tcBorders>
              <w:top w:val="single" w:sz="4" w:space="0" w:color="auto"/>
              <w:left w:val="single" w:sz="4" w:space="0" w:color="auto"/>
              <w:bottom w:val="single" w:sz="4" w:space="0" w:color="auto"/>
              <w:right w:val="single" w:sz="4" w:space="0" w:color="auto"/>
            </w:tcBorders>
            <w:vAlign w:val="center"/>
            <w:hideMark/>
          </w:tcPr>
          <w:p w14:paraId="52CABE4F" w14:textId="77777777" w:rsidR="00175E49" w:rsidRPr="007E130D" w:rsidRDefault="00175E49" w:rsidP="00EF328D">
            <w:pPr>
              <w:pStyle w:val="Tabletext"/>
              <w:jc w:val="center"/>
              <w:rPr>
                <w:sz w:val="18"/>
                <w:szCs w:val="18"/>
              </w:rPr>
            </w:pPr>
            <w:r w:rsidRPr="007E130D">
              <w:rPr>
                <w:sz w:val="18"/>
                <w:szCs w:val="18"/>
              </w:rPr>
              <w:t>A &amp; E</w:t>
            </w:r>
          </w:p>
        </w:tc>
        <w:tc>
          <w:tcPr>
            <w:tcW w:w="490" w:type="pct"/>
            <w:tcBorders>
              <w:top w:val="single" w:sz="4" w:space="0" w:color="auto"/>
              <w:left w:val="single" w:sz="4" w:space="0" w:color="auto"/>
              <w:bottom w:val="single" w:sz="4" w:space="0" w:color="auto"/>
              <w:right w:val="single" w:sz="4" w:space="0" w:color="auto"/>
            </w:tcBorders>
            <w:vAlign w:val="center"/>
            <w:hideMark/>
          </w:tcPr>
          <w:p w14:paraId="46F3BFAE" w14:textId="77777777" w:rsidR="00175E49" w:rsidRPr="007E130D" w:rsidRDefault="00175E49" w:rsidP="00EF328D">
            <w:pPr>
              <w:pStyle w:val="Tabletext"/>
              <w:jc w:val="center"/>
              <w:rPr>
                <w:sz w:val="18"/>
                <w:szCs w:val="18"/>
              </w:rPr>
            </w:pPr>
            <w:r w:rsidRPr="007E130D">
              <w:rPr>
                <w:sz w:val="18"/>
                <w:szCs w:val="18"/>
              </w:rPr>
              <w:t>185/51</w:t>
            </w:r>
          </w:p>
        </w:tc>
        <w:tc>
          <w:tcPr>
            <w:tcW w:w="441" w:type="pct"/>
            <w:tcBorders>
              <w:top w:val="single" w:sz="4" w:space="0" w:color="auto"/>
              <w:left w:val="single" w:sz="4" w:space="0" w:color="auto"/>
              <w:bottom w:val="single" w:sz="4" w:space="0" w:color="auto"/>
              <w:right w:val="single" w:sz="4" w:space="0" w:color="auto"/>
            </w:tcBorders>
            <w:vAlign w:val="center"/>
          </w:tcPr>
          <w:p w14:paraId="100D4E08" w14:textId="77777777" w:rsidR="00175E49" w:rsidRPr="007E130D" w:rsidDel="002456D8" w:rsidRDefault="00C70CE4" w:rsidP="00EF328D">
            <w:pPr>
              <w:pStyle w:val="Tabletext"/>
              <w:jc w:val="center"/>
              <w:rPr>
                <w:sz w:val="18"/>
                <w:szCs w:val="18"/>
              </w:rPr>
            </w:pPr>
            <w:r w:rsidRPr="007E130D">
              <w:rPr>
                <w:sz w:val="18"/>
                <w:szCs w:val="18"/>
              </w:rPr>
              <w:t>sans objet</w:t>
            </w:r>
          </w:p>
        </w:tc>
      </w:tr>
      <w:tr w:rsidR="00E13E91" w:rsidRPr="007E130D" w14:paraId="050338AB" w14:textId="77777777" w:rsidTr="007E130D">
        <w:trPr>
          <w:jc w:val="center"/>
        </w:trPr>
        <w:tc>
          <w:tcPr>
            <w:tcW w:w="635" w:type="pct"/>
            <w:tcBorders>
              <w:top w:val="single" w:sz="4" w:space="0" w:color="auto"/>
              <w:left w:val="single" w:sz="4" w:space="0" w:color="auto"/>
              <w:bottom w:val="single" w:sz="4" w:space="0" w:color="auto"/>
              <w:right w:val="single" w:sz="4" w:space="0" w:color="auto"/>
            </w:tcBorders>
            <w:vAlign w:val="center"/>
          </w:tcPr>
          <w:p w14:paraId="1DA7D509" w14:textId="3E2522F0" w:rsidR="00175E49" w:rsidRPr="007E130D" w:rsidRDefault="00175E49" w:rsidP="00EF328D">
            <w:pPr>
              <w:pStyle w:val="Tabletext"/>
              <w:jc w:val="center"/>
              <w:rPr>
                <w:sz w:val="18"/>
                <w:szCs w:val="18"/>
              </w:rPr>
            </w:pPr>
            <w:r w:rsidRPr="007E130D">
              <w:rPr>
                <w:sz w:val="18"/>
                <w:szCs w:val="18"/>
              </w:rPr>
              <w:t>du 30 août au</w:t>
            </w:r>
            <w:r w:rsidR="00E13E91" w:rsidRPr="007E130D">
              <w:rPr>
                <w:sz w:val="18"/>
                <w:szCs w:val="18"/>
              </w:rPr>
              <w:t> </w:t>
            </w:r>
            <w:r w:rsidRPr="007E130D">
              <w:rPr>
                <w:sz w:val="18"/>
                <w:szCs w:val="18"/>
              </w:rPr>
              <w:t>8</w:t>
            </w:r>
            <w:r w:rsidR="00E13E91" w:rsidRPr="007E130D">
              <w:rPr>
                <w:sz w:val="18"/>
                <w:szCs w:val="18"/>
              </w:rPr>
              <w:t> </w:t>
            </w:r>
            <w:r w:rsidRPr="007E130D">
              <w:rPr>
                <w:sz w:val="18"/>
                <w:szCs w:val="18"/>
              </w:rPr>
              <w:t>septembre 2022</w:t>
            </w:r>
          </w:p>
        </w:tc>
        <w:tc>
          <w:tcPr>
            <w:tcW w:w="708" w:type="pct"/>
            <w:tcBorders>
              <w:top w:val="single" w:sz="4" w:space="0" w:color="auto"/>
              <w:left w:val="single" w:sz="4" w:space="0" w:color="auto"/>
              <w:bottom w:val="single" w:sz="4" w:space="0" w:color="auto"/>
              <w:right w:val="single" w:sz="4" w:space="0" w:color="auto"/>
            </w:tcBorders>
            <w:vAlign w:val="center"/>
            <w:hideMark/>
          </w:tcPr>
          <w:p w14:paraId="4AA47E61" w14:textId="77777777" w:rsidR="00175E49" w:rsidRPr="007E130D" w:rsidRDefault="00175E49" w:rsidP="00EF328D">
            <w:pPr>
              <w:pStyle w:val="Tabletext"/>
              <w:jc w:val="center"/>
              <w:rPr>
                <w:b/>
                <w:bCs/>
                <w:sz w:val="18"/>
                <w:szCs w:val="18"/>
              </w:rPr>
            </w:pPr>
            <w:r w:rsidRPr="007E130D">
              <w:rPr>
                <w:b/>
                <w:bCs/>
                <w:sz w:val="18"/>
                <w:szCs w:val="18"/>
              </w:rPr>
              <w:t>RRS-22-Europe</w:t>
            </w:r>
          </w:p>
        </w:tc>
        <w:tc>
          <w:tcPr>
            <w:tcW w:w="421" w:type="pct"/>
            <w:tcBorders>
              <w:top w:val="single" w:sz="4" w:space="0" w:color="auto"/>
              <w:left w:val="single" w:sz="4" w:space="0" w:color="auto"/>
              <w:bottom w:val="single" w:sz="4" w:space="0" w:color="auto"/>
              <w:right w:val="single" w:sz="4" w:space="0" w:color="auto"/>
            </w:tcBorders>
            <w:vAlign w:val="center"/>
            <w:hideMark/>
          </w:tcPr>
          <w:p w14:paraId="23912D5A" w14:textId="77777777" w:rsidR="00175E49" w:rsidRPr="007E130D" w:rsidRDefault="00C70CE4" w:rsidP="00EF328D">
            <w:pPr>
              <w:pStyle w:val="Tabletext"/>
              <w:jc w:val="center"/>
              <w:rPr>
                <w:bCs/>
                <w:sz w:val="18"/>
                <w:szCs w:val="18"/>
              </w:rPr>
            </w:pPr>
            <w:r w:rsidRPr="007E130D">
              <w:rPr>
                <w:bCs/>
                <w:sz w:val="18"/>
                <w:szCs w:val="18"/>
              </w:rPr>
              <w:t>Réunion électronique</w:t>
            </w:r>
          </w:p>
        </w:tc>
        <w:tc>
          <w:tcPr>
            <w:tcW w:w="490" w:type="pct"/>
            <w:tcBorders>
              <w:top w:val="single" w:sz="4" w:space="0" w:color="auto"/>
              <w:left w:val="single" w:sz="4" w:space="0" w:color="auto"/>
              <w:bottom w:val="single" w:sz="4" w:space="0" w:color="auto"/>
              <w:right w:val="single" w:sz="4" w:space="0" w:color="auto"/>
            </w:tcBorders>
            <w:vAlign w:val="center"/>
            <w:hideMark/>
          </w:tcPr>
          <w:p w14:paraId="13858E92" w14:textId="77777777" w:rsidR="00175E49" w:rsidRPr="007E130D" w:rsidRDefault="00175E49" w:rsidP="00EF328D">
            <w:pPr>
              <w:pStyle w:val="Tabletext"/>
              <w:jc w:val="center"/>
              <w:rPr>
                <w:sz w:val="18"/>
                <w:szCs w:val="18"/>
              </w:rPr>
            </w:pPr>
            <w:r w:rsidRPr="007E130D">
              <w:rPr>
                <w:sz w:val="18"/>
                <w:szCs w:val="18"/>
              </w:rPr>
              <w:t>−</w:t>
            </w:r>
          </w:p>
        </w:tc>
        <w:tc>
          <w:tcPr>
            <w:tcW w:w="834" w:type="pct"/>
            <w:tcBorders>
              <w:top w:val="single" w:sz="4" w:space="0" w:color="auto"/>
              <w:left w:val="single" w:sz="4" w:space="0" w:color="auto"/>
              <w:bottom w:val="single" w:sz="4" w:space="0" w:color="auto"/>
              <w:right w:val="single" w:sz="4" w:space="0" w:color="auto"/>
            </w:tcBorders>
            <w:vAlign w:val="center"/>
            <w:hideMark/>
          </w:tcPr>
          <w:p w14:paraId="05BB2559" w14:textId="5D86AE83" w:rsidR="00175E49" w:rsidRPr="007E130D" w:rsidRDefault="00E07522" w:rsidP="00EF328D">
            <w:pPr>
              <w:pStyle w:val="Tabletext"/>
              <w:jc w:val="center"/>
              <w:rPr>
                <w:sz w:val="18"/>
                <w:szCs w:val="18"/>
              </w:rPr>
            </w:pPr>
            <w:r w:rsidRPr="007E130D">
              <w:rPr>
                <w:sz w:val="18"/>
                <w:szCs w:val="18"/>
              </w:rPr>
              <w:t>Bureau régional de l</w:t>
            </w:r>
            <w:r w:rsidR="000C4CDD" w:rsidRPr="007E130D">
              <w:rPr>
                <w:sz w:val="18"/>
                <w:szCs w:val="18"/>
              </w:rPr>
              <w:t>'</w:t>
            </w:r>
            <w:r w:rsidRPr="007E130D">
              <w:rPr>
                <w:sz w:val="18"/>
                <w:szCs w:val="18"/>
              </w:rPr>
              <w:t>UIT pour l</w:t>
            </w:r>
            <w:r w:rsidR="000C4CDD" w:rsidRPr="007E130D">
              <w:rPr>
                <w:sz w:val="18"/>
                <w:szCs w:val="18"/>
              </w:rPr>
              <w:t>'</w:t>
            </w:r>
            <w:r w:rsidRPr="007E130D">
              <w:rPr>
                <w:sz w:val="18"/>
                <w:szCs w:val="18"/>
              </w:rPr>
              <w:t>Europe</w:t>
            </w:r>
          </w:p>
        </w:tc>
        <w:tc>
          <w:tcPr>
            <w:tcW w:w="735" w:type="pct"/>
            <w:tcBorders>
              <w:top w:val="single" w:sz="4" w:space="0" w:color="auto"/>
              <w:left w:val="single" w:sz="4" w:space="0" w:color="auto"/>
              <w:bottom w:val="single" w:sz="4" w:space="0" w:color="auto"/>
              <w:right w:val="single" w:sz="4" w:space="0" w:color="auto"/>
            </w:tcBorders>
            <w:vAlign w:val="center"/>
            <w:hideMark/>
          </w:tcPr>
          <w:p w14:paraId="7794848C" w14:textId="77777777" w:rsidR="00175E49" w:rsidRPr="007E130D" w:rsidRDefault="00E07522" w:rsidP="00EF328D">
            <w:pPr>
              <w:pStyle w:val="Tabletext"/>
              <w:jc w:val="center"/>
              <w:rPr>
                <w:sz w:val="18"/>
                <w:szCs w:val="18"/>
              </w:rPr>
            </w:pPr>
            <w:r w:rsidRPr="007E130D">
              <w:rPr>
                <w:sz w:val="18"/>
                <w:szCs w:val="18"/>
              </w:rPr>
              <w:t>Gestion du spectre</w:t>
            </w:r>
          </w:p>
        </w:tc>
        <w:tc>
          <w:tcPr>
            <w:tcW w:w="246" w:type="pct"/>
            <w:tcBorders>
              <w:top w:val="single" w:sz="4" w:space="0" w:color="auto"/>
              <w:left w:val="single" w:sz="4" w:space="0" w:color="auto"/>
              <w:bottom w:val="single" w:sz="4" w:space="0" w:color="auto"/>
              <w:right w:val="single" w:sz="4" w:space="0" w:color="auto"/>
            </w:tcBorders>
            <w:vAlign w:val="center"/>
            <w:hideMark/>
          </w:tcPr>
          <w:p w14:paraId="17ADD810" w14:textId="77777777" w:rsidR="00175E49" w:rsidRPr="007E130D" w:rsidRDefault="00175E49" w:rsidP="00EF328D">
            <w:pPr>
              <w:pStyle w:val="Tabletext"/>
              <w:jc w:val="center"/>
              <w:rPr>
                <w:sz w:val="18"/>
                <w:szCs w:val="18"/>
              </w:rPr>
            </w:pPr>
            <w:r w:rsidRPr="007E130D">
              <w:rPr>
                <w:sz w:val="18"/>
                <w:szCs w:val="18"/>
              </w:rPr>
              <w:t>E</w:t>
            </w:r>
          </w:p>
        </w:tc>
        <w:tc>
          <w:tcPr>
            <w:tcW w:w="490" w:type="pct"/>
            <w:tcBorders>
              <w:top w:val="single" w:sz="4" w:space="0" w:color="auto"/>
              <w:left w:val="single" w:sz="4" w:space="0" w:color="auto"/>
              <w:bottom w:val="single" w:sz="4" w:space="0" w:color="auto"/>
              <w:right w:val="single" w:sz="4" w:space="0" w:color="auto"/>
            </w:tcBorders>
            <w:vAlign w:val="center"/>
            <w:hideMark/>
          </w:tcPr>
          <w:p w14:paraId="03469231" w14:textId="77777777" w:rsidR="00175E49" w:rsidRPr="007E130D" w:rsidRDefault="00175E49" w:rsidP="00EF328D">
            <w:pPr>
              <w:pStyle w:val="Tabletext"/>
              <w:jc w:val="center"/>
              <w:rPr>
                <w:sz w:val="18"/>
                <w:szCs w:val="18"/>
              </w:rPr>
            </w:pPr>
            <w:r w:rsidRPr="007E130D">
              <w:rPr>
                <w:sz w:val="18"/>
                <w:szCs w:val="18"/>
              </w:rPr>
              <w:t>286/83</w:t>
            </w:r>
          </w:p>
        </w:tc>
        <w:tc>
          <w:tcPr>
            <w:tcW w:w="441" w:type="pct"/>
            <w:tcBorders>
              <w:top w:val="single" w:sz="4" w:space="0" w:color="auto"/>
              <w:left w:val="single" w:sz="4" w:space="0" w:color="auto"/>
              <w:bottom w:val="single" w:sz="4" w:space="0" w:color="auto"/>
              <w:right w:val="single" w:sz="4" w:space="0" w:color="auto"/>
            </w:tcBorders>
            <w:vAlign w:val="center"/>
          </w:tcPr>
          <w:p w14:paraId="45631401" w14:textId="77777777" w:rsidR="00175E49" w:rsidRPr="007E130D" w:rsidDel="003D5530" w:rsidRDefault="00C70CE4" w:rsidP="00EF328D">
            <w:pPr>
              <w:pStyle w:val="Tabletext"/>
              <w:jc w:val="center"/>
              <w:rPr>
                <w:sz w:val="18"/>
                <w:szCs w:val="18"/>
              </w:rPr>
            </w:pPr>
            <w:r w:rsidRPr="007E130D">
              <w:rPr>
                <w:sz w:val="18"/>
                <w:szCs w:val="18"/>
              </w:rPr>
              <w:t>sans objet</w:t>
            </w:r>
          </w:p>
        </w:tc>
      </w:tr>
      <w:tr w:rsidR="00E13E91" w:rsidRPr="007E130D" w14:paraId="6DA38011" w14:textId="77777777" w:rsidTr="007E130D">
        <w:trPr>
          <w:jc w:val="center"/>
        </w:trPr>
        <w:tc>
          <w:tcPr>
            <w:tcW w:w="635" w:type="pct"/>
            <w:tcBorders>
              <w:top w:val="single" w:sz="4" w:space="0" w:color="auto"/>
              <w:left w:val="single" w:sz="4" w:space="0" w:color="auto"/>
              <w:bottom w:val="single" w:sz="4" w:space="0" w:color="auto"/>
              <w:right w:val="single" w:sz="4" w:space="0" w:color="auto"/>
            </w:tcBorders>
            <w:vAlign w:val="center"/>
          </w:tcPr>
          <w:p w14:paraId="67A1BB7B" w14:textId="77777777" w:rsidR="00175E49" w:rsidRPr="007E130D" w:rsidRDefault="00175E49" w:rsidP="00202827">
            <w:pPr>
              <w:pStyle w:val="Tabletext"/>
              <w:jc w:val="center"/>
              <w:rPr>
                <w:sz w:val="18"/>
                <w:szCs w:val="18"/>
              </w:rPr>
            </w:pPr>
            <w:r w:rsidRPr="007E130D">
              <w:rPr>
                <w:sz w:val="18"/>
                <w:szCs w:val="18"/>
              </w:rPr>
              <w:t>15-20 décembre 2022</w:t>
            </w:r>
          </w:p>
        </w:tc>
        <w:tc>
          <w:tcPr>
            <w:tcW w:w="708" w:type="pct"/>
            <w:tcBorders>
              <w:top w:val="single" w:sz="4" w:space="0" w:color="auto"/>
              <w:left w:val="single" w:sz="4" w:space="0" w:color="auto"/>
              <w:bottom w:val="single" w:sz="4" w:space="0" w:color="auto"/>
              <w:right w:val="single" w:sz="4" w:space="0" w:color="auto"/>
            </w:tcBorders>
            <w:vAlign w:val="center"/>
          </w:tcPr>
          <w:p w14:paraId="42A242D6" w14:textId="7DED0EF2" w:rsidR="00175E49" w:rsidRPr="007E130D" w:rsidRDefault="00175E49" w:rsidP="004E4493">
            <w:pPr>
              <w:pStyle w:val="Tabletext"/>
              <w:keepNext/>
              <w:keepLines/>
              <w:jc w:val="center"/>
              <w:rPr>
                <w:b/>
                <w:bCs/>
                <w:sz w:val="18"/>
                <w:szCs w:val="18"/>
              </w:rPr>
            </w:pPr>
            <w:r w:rsidRPr="007E130D">
              <w:rPr>
                <w:b/>
                <w:bCs/>
                <w:sz w:val="18"/>
                <w:szCs w:val="18"/>
              </w:rPr>
              <w:t>RRS-22-Asie</w:t>
            </w:r>
            <w:r w:rsidR="006D0224" w:rsidRPr="007E130D">
              <w:rPr>
                <w:b/>
                <w:bCs/>
                <w:sz w:val="18"/>
                <w:szCs w:val="18"/>
              </w:rPr>
              <w:noBreakHyphen/>
            </w:r>
            <w:r w:rsidRPr="007E130D">
              <w:rPr>
                <w:b/>
                <w:bCs/>
                <w:sz w:val="18"/>
                <w:szCs w:val="18"/>
              </w:rPr>
              <w:t>Pacifique</w:t>
            </w:r>
          </w:p>
        </w:tc>
        <w:tc>
          <w:tcPr>
            <w:tcW w:w="421" w:type="pct"/>
            <w:tcBorders>
              <w:top w:val="single" w:sz="4" w:space="0" w:color="auto"/>
              <w:left w:val="single" w:sz="4" w:space="0" w:color="auto"/>
              <w:bottom w:val="single" w:sz="4" w:space="0" w:color="auto"/>
              <w:right w:val="single" w:sz="4" w:space="0" w:color="auto"/>
            </w:tcBorders>
            <w:vAlign w:val="center"/>
          </w:tcPr>
          <w:p w14:paraId="65EAEDD2" w14:textId="77777777" w:rsidR="00175E49" w:rsidRPr="007E130D" w:rsidRDefault="00175E49" w:rsidP="004E4493">
            <w:pPr>
              <w:pStyle w:val="Tabletext"/>
              <w:keepNext/>
              <w:keepLines/>
              <w:jc w:val="center"/>
              <w:rPr>
                <w:bCs/>
                <w:sz w:val="18"/>
                <w:szCs w:val="18"/>
              </w:rPr>
            </w:pPr>
            <w:r w:rsidRPr="007E130D">
              <w:rPr>
                <w:sz w:val="18"/>
                <w:szCs w:val="18"/>
              </w:rPr>
              <w:t xml:space="preserve">Nadi </w:t>
            </w:r>
            <w:r w:rsidR="00E07522" w:rsidRPr="007E130D">
              <w:rPr>
                <w:sz w:val="18"/>
                <w:szCs w:val="18"/>
              </w:rPr>
              <w:t>(</w:t>
            </w:r>
            <w:r w:rsidRPr="007E130D">
              <w:rPr>
                <w:sz w:val="18"/>
                <w:szCs w:val="18"/>
              </w:rPr>
              <w:t>Fi</w:t>
            </w:r>
            <w:r w:rsidR="00E07522" w:rsidRPr="007E130D">
              <w:rPr>
                <w:sz w:val="18"/>
                <w:szCs w:val="18"/>
              </w:rPr>
              <w:t>d</w:t>
            </w:r>
            <w:r w:rsidRPr="007E130D">
              <w:rPr>
                <w:sz w:val="18"/>
                <w:szCs w:val="18"/>
              </w:rPr>
              <w:t>ji</w:t>
            </w:r>
            <w:r w:rsidR="00E07522" w:rsidRPr="007E130D">
              <w:rPr>
                <w:sz w:val="18"/>
                <w:szCs w:val="18"/>
              </w:rPr>
              <w:t>)</w:t>
            </w:r>
          </w:p>
        </w:tc>
        <w:tc>
          <w:tcPr>
            <w:tcW w:w="490" w:type="pct"/>
            <w:tcBorders>
              <w:top w:val="single" w:sz="4" w:space="0" w:color="auto"/>
              <w:left w:val="single" w:sz="4" w:space="0" w:color="auto"/>
              <w:bottom w:val="single" w:sz="4" w:space="0" w:color="auto"/>
              <w:right w:val="single" w:sz="4" w:space="0" w:color="auto"/>
            </w:tcBorders>
            <w:vAlign w:val="center"/>
          </w:tcPr>
          <w:p w14:paraId="00B28894" w14:textId="6E16AC37" w:rsidR="00175E49" w:rsidRPr="007E130D" w:rsidRDefault="00414F7A" w:rsidP="004E4493">
            <w:pPr>
              <w:pStyle w:val="Tabletext"/>
              <w:keepNext/>
              <w:keepLines/>
              <w:jc w:val="center"/>
              <w:rPr>
                <w:sz w:val="18"/>
                <w:szCs w:val="18"/>
              </w:rPr>
            </w:pPr>
            <w:hyperlink r:id="rId74" w:history="1">
              <w:r w:rsidR="00E07522" w:rsidRPr="007E130D">
                <w:rPr>
                  <w:rStyle w:val="Hyperlink"/>
                  <w:sz w:val="18"/>
                  <w:szCs w:val="18"/>
                </w:rPr>
                <w:t>Ministère des communications</w:t>
              </w:r>
            </w:hyperlink>
            <w:r w:rsidR="00E07522" w:rsidRPr="007E130D">
              <w:rPr>
                <w:sz w:val="18"/>
                <w:szCs w:val="18"/>
              </w:rPr>
              <w:t xml:space="preserve"> (MOC) de Fidji</w:t>
            </w:r>
          </w:p>
        </w:tc>
        <w:tc>
          <w:tcPr>
            <w:tcW w:w="834" w:type="pct"/>
            <w:tcBorders>
              <w:top w:val="single" w:sz="4" w:space="0" w:color="auto"/>
              <w:left w:val="single" w:sz="4" w:space="0" w:color="auto"/>
              <w:bottom w:val="single" w:sz="4" w:space="0" w:color="auto"/>
              <w:right w:val="single" w:sz="4" w:space="0" w:color="auto"/>
            </w:tcBorders>
            <w:vAlign w:val="center"/>
          </w:tcPr>
          <w:p w14:paraId="5C2E4FD5" w14:textId="77777777" w:rsidR="00175E49" w:rsidRPr="007E130D" w:rsidRDefault="00414F7A" w:rsidP="004E4493">
            <w:pPr>
              <w:pStyle w:val="Tabletext"/>
              <w:keepNext/>
              <w:keepLines/>
              <w:jc w:val="center"/>
              <w:rPr>
                <w:color w:val="444444"/>
                <w:sz w:val="18"/>
                <w:szCs w:val="18"/>
                <w:shd w:val="clear" w:color="auto" w:fill="FFFFFF"/>
              </w:rPr>
            </w:pPr>
            <w:hyperlink r:id="rId75" w:tgtFrame="_blank" w:history="1">
              <w:r w:rsidR="00175E49" w:rsidRPr="007E130D">
                <w:rPr>
                  <w:rStyle w:val="Hyperlink"/>
                  <w:sz w:val="18"/>
                  <w:szCs w:val="18"/>
                </w:rPr>
                <w:t>Pacific Islands Telecommunications Association (PITA)</w:t>
              </w:r>
            </w:hyperlink>
          </w:p>
          <w:p w14:paraId="77B995D0" w14:textId="4A1F1748" w:rsidR="00E07522" w:rsidRPr="007E130D" w:rsidRDefault="00414F7A" w:rsidP="004E4493">
            <w:pPr>
              <w:pStyle w:val="Tabletext"/>
              <w:keepNext/>
              <w:keepLines/>
              <w:spacing w:before="120"/>
              <w:jc w:val="center"/>
              <w:rPr>
                <w:sz w:val="18"/>
                <w:szCs w:val="18"/>
              </w:rPr>
            </w:pPr>
            <w:hyperlink r:id="rId76" w:history="1">
              <w:r w:rsidR="00E07522" w:rsidRPr="007E130D">
                <w:rPr>
                  <w:rStyle w:val="Hyperlink"/>
                  <w:sz w:val="18"/>
                  <w:szCs w:val="18"/>
                </w:rPr>
                <w:t>Département des infrastructures, des transports, du développement régional, de la communication et des arts</w:t>
              </w:r>
            </w:hyperlink>
            <w:r w:rsidR="00E07522" w:rsidRPr="007E130D">
              <w:rPr>
                <w:sz w:val="18"/>
                <w:szCs w:val="18"/>
              </w:rPr>
              <w:t xml:space="preserve"> (DITRDCA) du Gouvernement australien</w:t>
            </w:r>
          </w:p>
          <w:p w14:paraId="365A7805" w14:textId="25CD05D1" w:rsidR="00175E49" w:rsidRPr="007E130D" w:rsidRDefault="00175E49" w:rsidP="004E4493">
            <w:pPr>
              <w:pStyle w:val="Tabletext"/>
              <w:keepNext/>
              <w:keepLines/>
              <w:spacing w:before="120"/>
              <w:jc w:val="center"/>
              <w:rPr>
                <w:sz w:val="18"/>
                <w:szCs w:val="18"/>
              </w:rPr>
            </w:pPr>
            <w:r w:rsidRPr="007E130D">
              <w:rPr>
                <w:sz w:val="18"/>
                <w:szCs w:val="18"/>
              </w:rPr>
              <w:t>Bureau de l'UIT pour la région Asie</w:t>
            </w:r>
            <w:r w:rsidRPr="007E130D">
              <w:rPr>
                <w:sz w:val="18"/>
                <w:szCs w:val="18"/>
              </w:rPr>
              <w:noBreakHyphen/>
              <w:t>Pacifique</w:t>
            </w:r>
          </w:p>
        </w:tc>
        <w:tc>
          <w:tcPr>
            <w:tcW w:w="735" w:type="pct"/>
            <w:tcBorders>
              <w:top w:val="single" w:sz="4" w:space="0" w:color="auto"/>
              <w:left w:val="single" w:sz="4" w:space="0" w:color="auto"/>
              <w:bottom w:val="single" w:sz="4" w:space="0" w:color="auto"/>
              <w:right w:val="single" w:sz="4" w:space="0" w:color="auto"/>
            </w:tcBorders>
            <w:vAlign w:val="center"/>
          </w:tcPr>
          <w:p w14:paraId="47BB1DCD" w14:textId="5244EEB3" w:rsidR="00175E49" w:rsidRPr="007E130D" w:rsidRDefault="00E07522" w:rsidP="004E4493">
            <w:pPr>
              <w:pStyle w:val="Tabletext"/>
              <w:keepNext/>
              <w:keepLines/>
              <w:jc w:val="center"/>
              <w:rPr>
                <w:sz w:val="18"/>
                <w:szCs w:val="18"/>
              </w:rPr>
            </w:pPr>
            <w:r w:rsidRPr="007E130D">
              <w:rPr>
                <w:sz w:val="18"/>
                <w:szCs w:val="18"/>
              </w:rPr>
              <w:t>Tendances dans le secteur des radiocommunications: enjeux et perspectives pour la région Asie</w:t>
            </w:r>
            <w:r w:rsidR="00202827" w:rsidRPr="007E130D">
              <w:rPr>
                <w:sz w:val="18"/>
                <w:szCs w:val="18"/>
              </w:rPr>
              <w:noBreakHyphen/>
            </w:r>
            <w:r w:rsidRPr="007E130D">
              <w:rPr>
                <w:sz w:val="18"/>
                <w:szCs w:val="18"/>
              </w:rPr>
              <w:t>Pacifique</w:t>
            </w:r>
          </w:p>
        </w:tc>
        <w:tc>
          <w:tcPr>
            <w:tcW w:w="246" w:type="pct"/>
            <w:tcBorders>
              <w:top w:val="single" w:sz="4" w:space="0" w:color="auto"/>
              <w:left w:val="single" w:sz="4" w:space="0" w:color="auto"/>
              <w:bottom w:val="single" w:sz="4" w:space="0" w:color="auto"/>
              <w:right w:val="single" w:sz="4" w:space="0" w:color="auto"/>
            </w:tcBorders>
            <w:vAlign w:val="center"/>
          </w:tcPr>
          <w:p w14:paraId="70730DF9" w14:textId="77777777" w:rsidR="00175E49" w:rsidRPr="007E130D" w:rsidRDefault="00175E49" w:rsidP="004E4493">
            <w:pPr>
              <w:pStyle w:val="Tabletext"/>
              <w:keepNext/>
              <w:keepLines/>
              <w:jc w:val="center"/>
              <w:rPr>
                <w:sz w:val="18"/>
                <w:szCs w:val="18"/>
              </w:rPr>
            </w:pPr>
            <w:r w:rsidRPr="007E130D">
              <w:rPr>
                <w:sz w:val="18"/>
                <w:szCs w:val="18"/>
              </w:rPr>
              <w:t>E</w:t>
            </w:r>
          </w:p>
        </w:tc>
        <w:tc>
          <w:tcPr>
            <w:tcW w:w="490" w:type="pct"/>
            <w:tcBorders>
              <w:top w:val="single" w:sz="4" w:space="0" w:color="auto"/>
              <w:left w:val="single" w:sz="4" w:space="0" w:color="auto"/>
              <w:bottom w:val="single" w:sz="4" w:space="0" w:color="auto"/>
              <w:right w:val="single" w:sz="4" w:space="0" w:color="auto"/>
            </w:tcBorders>
            <w:vAlign w:val="center"/>
          </w:tcPr>
          <w:p w14:paraId="08EBF4C2" w14:textId="77777777" w:rsidR="00175E49" w:rsidRPr="007E130D" w:rsidRDefault="00175E49" w:rsidP="004E4493">
            <w:pPr>
              <w:pStyle w:val="Tabletext"/>
              <w:keepNext/>
              <w:keepLines/>
              <w:jc w:val="center"/>
              <w:rPr>
                <w:sz w:val="18"/>
                <w:szCs w:val="18"/>
              </w:rPr>
            </w:pPr>
            <w:r w:rsidRPr="007E130D">
              <w:rPr>
                <w:sz w:val="18"/>
                <w:szCs w:val="18"/>
              </w:rPr>
              <w:t>80/40</w:t>
            </w:r>
          </w:p>
        </w:tc>
        <w:tc>
          <w:tcPr>
            <w:tcW w:w="441" w:type="pct"/>
            <w:tcBorders>
              <w:top w:val="single" w:sz="4" w:space="0" w:color="auto"/>
              <w:left w:val="single" w:sz="4" w:space="0" w:color="auto"/>
              <w:bottom w:val="single" w:sz="4" w:space="0" w:color="auto"/>
              <w:right w:val="single" w:sz="4" w:space="0" w:color="auto"/>
            </w:tcBorders>
            <w:vAlign w:val="center"/>
          </w:tcPr>
          <w:p w14:paraId="5F196E26" w14:textId="7C150FE8" w:rsidR="00175E49" w:rsidRPr="007E130D" w:rsidRDefault="00175E49" w:rsidP="004E4493">
            <w:pPr>
              <w:pStyle w:val="Tabletext"/>
              <w:keepNext/>
              <w:keepLines/>
              <w:jc w:val="center"/>
              <w:rPr>
                <w:sz w:val="18"/>
                <w:szCs w:val="18"/>
              </w:rPr>
            </w:pPr>
            <w:r w:rsidRPr="007E130D">
              <w:rPr>
                <w:sz w:val="18"/>
                <w:szCs w:val="18"/>
              </w:rPr>
              <w:t>11 (</w:t>
            </w:r>
            <w:r w:rsidR="00E07522" w:rsidRPr="007E130D">
              <w:rPr>
                <w:sz w:val="18"/>
                <w:szCs w:val="18"/>
              </w:rPr>
              <w:t xml:space="preserve">financées et </w:t>
            </w:r>
            <w:r w:rsidR="00634D8F" w:rsidRPr="007E130D">
              <w:rPr>
                <w:sz w:val="18"/>
                <w:szCs w:val="18"/>
              </w:rPr>
              <w:t>accordées</w:t>
            </w:r>
            <w:r w:rsidR="00E07522" w:rsidRPr="007E130D">
              <w:rPr>
                <w:sz w:val="18"/>
                <w:szCs w:val="18"/>
              </w:rPr>
              <w:t xml:space="preserve"> par le BR et le DITRDCA d</w:t>
            </w:r>
            <w:r w:rsidR="000C4CDD" w:rsidRPr="007E130D">
              <w:rPr>
                <w:sz w:val="18"/>
                <w:szCs w:val="18"/>
              </w:rPr>
              <w:t>'</w:t>
            </w:r>
            <w:r w:rsidR="00E07522" w:rsidRPr="007E130D">
              <w:rPr>
                <w:sz w:val="18"/>
                <w:szCs w:val="18"/>
              </w:rPr>
              <w:t>Australie</w:t>
            </w:r>
            <w:r w:rsidRPr="007E130D">
              <w:rPr>
                <w:sz w:val="18"/>
                <w:szCs w:val="18"/>
              </w:rPr>
              <w:t>)</w:t>
            </w:r>
          </w:p>
        </w:tc>
      </w:tr>
      <w:tr w:rsidR="00175E49" w:rsidRPr="007E130D" w14:paraId="0966F770" w14:textId="77777777" w:rsidTr="00E13E91">
        <w:trPr>
          <w:jc w:val="center"/>
        </w:trPr>
        <w:tc>
          <w:tcPr>
            <w:tcW w:w="4559" w:type="pct"/>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4750B55" w14:textId="77777777" w:rsidR="00175E49" w:rsidRPr="007E130D" w:rsidRDefault="00175E49" w:rsidP="00EF328D">
            <w:pPr>
              <w:pStyle w:val="Tabletext"/>
              <w:jc w:val="center"/>
              <w:rPr>
                <w:b/>
                <w:bCs/>
                <w:sz w:val="18"/>
                <w:szCs w:val="18"/>
              </w:rPr>
            </w:pPr>
            <w:r w:rsidRPr="007E130D">
              <w:rPr>
                <w:b/>
                <w:bCs/>
                <w:sz w:val="18"/>
                <w:szCs w:val="18"/>
              </w:rPr>
              <w:t>2023</w:t>
            </w:r>
          </w:p>
        </w:tc>
        <w:tc>
          <w:tcPr>
            <w:tcW w:w="4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4078CD" w14:textId="77777777" w:rsidR="00175E49" w:rsidRPr="007E130D" w:rsidRDefault="00175E49" w:rsidP="00EF328D">
            <w:pPr>
              <w:pStyle w:val="Tabletext"/>
              <w:jc w:val="center"/>
              <w:rPr>
                <w:b/>
                <w:bCs/>
                <w:sz w:val="18"/>
                <w:szCs w:val="18"/>
              </w:rPr>
            </w:pPr>
          </w:p>
        </w:tc>
      </w:tr>
      <w:tr w:rsidR="00E13E91" w:rsidRPr="007E130D" w14:paraId="0CD6727E" w14:textId="77777777" w:rsidTr="007E130D">
        <w:trPr>
          <w:jc w:val="center"/>
        </w:trPr>
        <w:tc>
          <w:tcPr>
            <w:tcW w:w="635" w:type="pct"/>
            <w:tcBorders>
              <w:top w:val="single" w:sz="4" w:space="0" w:color="auto"/>
              <w:left w:val="single" w:sz="4" w:space="0" w:color="auto"/>
              <w:bottom w:val="single" w:sz="4" w:space="0" w:color="auto"/>
              <w:right w:val="single" w:sz="4" w:space="0" w:color="auto"/>
            </w:tcBorders>
            <w:vAlign w:val="center"/>
          </w:tcPr>
          <w:p w14:paraId="4E2F488C" w14:textId="77777777" w:rsidR="00175E49" w:rsidRPr="007E130D" w:rsidRDefault="00175E49" w:rsidP="00EF328D">
            <w:pPr>
              <w:pStyle w:val="Tabletext"/>
              <w:jc w:val="center"/>
              <w:rPr>
                <w:sz w:val="18"/>
                <w:szCs w:val="18"/>
              </w:rPr>
            </w:pPr>
            <w:r w:rsidRPr="007E130D">
              <w:rPr>
                <w:sz w:val="18"/>
                <w:szCs w:val="18"/>
              </w:rPr>
              <w:t>8-12 mai 2023</w:t>
            </w:r>
          </w:p>
        </w:tc>
        <w:tc>
          <w:tcPr>
            <w:tcW w:w="708" w:type="pct"/>
            <w:tcBorders>
              <w:top w:val="single" w:sz="4" w:space="0" w:color="auto"/>
              <w:left w:val="single" w:sz="4" w:space="0" w:color="auto"/>
              <w:bottom w:val="single" w:sz="4" w:space="0" w:color="auto"/>
              <w:right w:val="single" w:sz="4" w:space="0" w:color="auto"/>
            </w:tcBorders>
            <w:vAlign w:val="center"/>
            <w:hideMark/>
          </w:tcPr>
          <w:p w14:paraId="06FEF9EE" w14:textId="77777777" w:rsidR="00175E49" w:rsidRPr="007E130D" w:rsidRDefault="00175E49" w:rsidP="00EF328D">
            <w:pPr>
              <w:pStyle w:val="Tabletext"/>
              <w:jc w:val="center"/>
              <w:rPr>
                <w:b/>
                <w:bCs/>
                <w:sz w:val="18"/>
                <w:szCs w:val="18"/>
              </w:rPr>
            </w:pPr>
            <w:r w:rsidRPr="007E130D">
              <w:rPr>
                <w:b/>
                <w:bCs/>
                <w:sz w:val="18"/>
                <w:szCs w:val="18"/>
              </w:rPr>
              <w:t>RRS-23-Amériques</w:t>
            </w:r>
          </w:p>
        </w:tc>
        <w:tc>
          <w:tcPr>
            <w:tcW w:w="421" w:type="pct"/>
            <w:tcBorders>
              <w:top w:val="single" w:sz="4" w:space="0" w:color="auto"/>
              <w:left w:val="single" w:sz="4" w:space="0" w:color="auto"/>
              <w:bottom w:val="single" w:sz="4" w:space="0" w:color="auto"/>
              <w:right w:val="single" w:sz="4" w:space="0" w:color="auto"/>
            </w:tcBorders>
            <w:vAlign w:val="center"/>
            <w:hideMark/>
          </w:tcPr>
          <w:p w14:paraId="7EC6D57B" w14:textId="77777777" w:rsidR="00175E49" w:rsidRPr="007E130D" w:rsidRDefault="00E07522" w:rsidP="00EF328D">
            <w:pPr>
              <w:pStyle w:val="Tabletext"/>
              <w:jc w:val="center"/>
              <w:rPr>
                <w:bCs/>
                <w:sz w:val="18"/>
                <w:szCs w:val="18"/>
              </w:rPr>
            </w:pPr>
            <w:r w:rsidRPr="007E130D">
              <w:rPr>
                <w:bCs/>
                <w:sz w:val="18"/>
                <w:szCs w:val="18"/>
              </w:rPr>
              <w:t xml:space="preserve">La </w:t>
            </w:r>
            <w:r w:rsidR="00175E49" w:rsidRPr="007E130D">
              <w:rPr>
                <w:bCs/>
                <w:sz w:val="18"/>
                <w:szCs w:val="18"/>
              </w:rPr>
              <w:t>Havan</w:t>
            </w:r>
            <w:r w:rsidRPr="007E130D">
              <w:rPr>
                <w:bCs/>
                <w:sz w:val="18"/>
                <w:szCs w:val="18"/>
              </w:rPr>
              <w:t>e</w:t>
            </w:r>
            <w:r w:rsidR="00175E49" w:rsidRPr="007E130D">
              <w:rPr>
                <w:bCs/>
                <w:sz w:val="18"/>
                <w:szCs w:val="18"/>
              </w:rPr>
              <w:t>, Cuba</w:t>
            </w:r>
          </w:p>
        </w:tc>
        <w:tc>
          <w:tcPr>
            <w:tcW w:w="490" w:type="pct"/>
            <w:tcBorders>
              <w:top w:val="single" w:sz="4" w:space="0" w:color="auto"/>
              <w:left w:val="single" w:sz="4" w:space="0" w:color="auto"/>
              <w:bottom w:val="single" w:sz="4" w:space="0" w:color="auto"/>
              <w:right w:val="single" w:sz="4" w:space="0" w:color="auto"/>
            </w:tcBorders>
            <w:vAlign w:val="center"/>
            <w:hideMark/>
          </w:tcPr>
          <w:p w14:paraId="2CF8CE77" w14:textId="77777777" w:rsidR="00175E49" w:rsidRPr="007E130D" w:rsidRDefault="00414F7A" w:rsidP="00EF328D">
            <w:pPr>
              <w:pStyle w:val="Tabletext"/>
              <w:jc w:val="center"/>
              <w:rPr>
                <w:rStyle w:val="Hyperlink"/>
                <w:sz w:val="18"/>
                <w:szCs w:val="18"/>
              </w:rPr>
            </w:pPr>
            <w:hyperlink r:id="rId77" w:history="1">
              <w:r w:rsidR="00175E49" w:rsidRPr="007E130D">
                <w:rPr>
                  <w:rStyle w:val="Hyperlink"/>
                  <w:sz w:val="18"/>
                  <w:szCs w:val="18"/>
                </w:rPr>
                <w:t xml:space="preserve">Ministerio de Comunicaciones </w:t>
              </w:r>
              <w:r w:rsidR="00E07522" w:rsidRPr="007E130D">
                <w:rPr>
                  <w:rStyle w:val="Hyperlink"/>
                  <w:sz w:val="18"/>
                  <w:szCs w:val="18"/>
                </w:rPr>
                <w:t>de</w:t>
              </w:r>
              <w:r w:rsidR="00175E49" w:rsidRPr="007E130D">
                <w:rPr>
                  <w:rStyle w:val="Hyperlink"/>
                  <w:sz w:val="18"/>
                  <w:szCs w:val="18"/>
                </w:rPr>
                <w:t xml:space="preserve"> Cuba</w:t>
              </w:r>
            </w:hyperlink>
          </w:p>
        </w:tc>
        <w:tc>
          <w:tcPr>
            <w:tcW w:w="834" w:type="pct"/>
            <w:tcBorders>
              <w:top w:val="single" w:sz="4" w:space="0" w:color="auto"/>
              <w:left w:val="single" w:sz="4" w:space="0" w:color="auto"/>
              <w:bottom w:val="single" w:sz="4" w:space="0" w:color="auto"/>
              <w:right w:val="single" w:sz="4" w:space="0" w:color="auto"/>
            </w:tcBorders>
            <w:vAlign w:val="center"/>
          </w:tcPr>
          <w:p w14:paraId="60156B98" w14:textId="77777777" w:rsidR="00175E49" w:rsidRPr="007E130D" w:rsidRDefault="00414F7A" w:rsidP="00202827">
            <w:pPr>
              <w:pStyle w:val="Tabletext"/>
              <w:keepNext/>
              <w:keepLines/>
              <w:jc w:val="center"/>
              <w:rPr>
                <w:sz w:val="18"/>
                <w:szCs w:val="18"/>
              </w:rPr>
            </w:pPr>
            <w:hyperlink r:id="rId78" w:tgtFrame="_blank" w:history="1">
              <w:r w:rsidR="00175E49" w:rsidRPr="007E130D">
                <w:rPr>
                  <w:rStyle w:val="Hyperlink"/>
                  <w:sz w:val="18"/>
                  <w:szCs w:val="18"/>
                </w:rPr>
                <w:t>Comisión Técnica Regional de Telecomunicaciones</w:t>
              </w:r>
            </w:hyperlink>
          </w:p>
          <w:p w14:paraId="30CD812F" w14:textId="77777777" w:rsidR="00175E49" w:rsidRPr="007E130D" w:rsidRDefault="00175E49" w:rsidP="004E4493">
            <w:pPr>
              <w:pStyle w:val="Tabletext"/>
              <w:spacing w:before="120"/>
              <w:jc w:val="center"/>
              <w:rPr>
                <w:sz w:val="18"/>
                <w:szCs w:val="18"/>
              </w:rPr>
            </w:pPr>
            <w:r w:rsidRPr="007E130D">
              <w:rPr>
                <w:sz w:val="18"/>
                <w:szCs w:val="18"/>
              </w:rPr>
              <w:t>Bureau de l'UIT pour la région Amériques</w:t>
            </w:r>
          </w:p>
        </w:tc>
        <w:tc>
          <w:tcPr>
            <w:tcW w:w="735" w:type="pct"/>
            <w:tcBorders>
              <w:top w:val="single" w:sz="4" w:space="0" w:color="auto"/>
              <w:left w:val="single" w:sz="4" w:space="0" w:color="auto"/>
              <w:bottom w:val="single" w:sz="4" w:space="0" w:color="auto"/>
              <w:right w:val="single" w:sz="4" w:space="0" w:color="auto"/>
            </w:tcBorders>
            <w:vAlign w:val="center"/>
            <w:hideMark/>
          </w:tcPr>
          <w:p w14:paraId="56E1AF2E" w14:textId="6A0CE412" w:rsidR="00175E49" w:rsidRPr="007E130D" w:rsidRDefault="00E07522" w:rsidP="00EF328D">
            <w:pPr>
              <w:pStyle w:val="Tabletext"/>
              <w:jc w:val="center"/>
              <w:rPr>
                <w:sz w:val="18"/>
                <w:szCs w:val="18"/>
              </w:rPr>
            </w:pPr>
            <w:r w:rsidRPr="007E130D">
              <w:rPr>
                <w:sz w:val="18"/>
                <w:szCs w:val="18"/>
              </w:rPr>
              <w:t>Gestion du spectre: enjeux pour la région Amérique</w:t>
            </w:r>
          </w:p>
        </w:tc>
        <w:tc>
          <w:tcPr>
            <w:tcW w:w="246" w:type="pct"/>
            <w:tcBorders>
              <w:top w:val="single" w:sz="4" w:space="0" w:color="auto"/>
              <w:left w:val="single" w:sz="4" w:space="0" w:color="auto"/>
              <w:bottom w:val="single" w:sz="4" w:space="0" w:color="auto"/>
              <w:right w:val="single" w:sz="4" w:space="0" w:color="auto"/>
            </w:tcBorders>
            <w:vAlign w:val="center"/>
            <w:hideMark/>
          </w:tcPr>
          <w:p w14:paraId="2B0A6003" w14:textId="77777777" w:rsidR="00175E49" w:rsidRPr="007E130D" w:rsidRDefault="00175E49" w:rsidP="00EF328D">
            <w:pPr>
              <w:pStyle w:val="Tabletext"/>
              <w:jc w:val="center"/>
              <w:rPr>
                <w:sz w:val="18"/>
                <w:szCs w:val="18"/>
              </w:rPr>
            </w:pPr>
            <w:r w:rsidRPr="007E130D">
              <w:rPr>
                <w:sz w:val="18"/>
                <w:szCs w:val="18"/>
              </w:rPr>
              <w:t>S</w:t>
            </w:r>
          </w:p>
        </w:tc>
        <w:tc>
          <w:tcPr>
            <w:tcW w:w="490" w:type="pct"/>
            <w:tcBorders>
              <w:top w:val="single" w:sz="4" w:space="0" w:color="auto"/>
              <w:left w:val="single" w:sz="4" w:space="0" w:color="auto"/>
              <w:bottom w:val="single" w:sz="4" w:space="0" w:color="auto"/>
              <w:right w:val="single" w:sz="4" w:space="0" w:color="auto"/>
            </w:tcBorders>
            <w:vAlign w:val="center"/>
            <w:hideMark/>
          </w:tcPr>
          <w:p w14:paraId="481226EF" w14:textId="77777777" w:rsidR="00175E49" w:rsidRPr="007E130D" w:rsidRDefault="00175E49" w:rsidP="00EF328D">
            <w:pPr>
              <w:pStyle w:val="Tabletext"/>
              <w:jc w:val="center"/>
              <w:rPr>
                <w:sz w:val="18"/>
                <w:szCs w:val="18"/>
              </w:rPr>
            </w:pPr>
            <w:r w:rsidRPr="007E130D">
              <w:rPr>
                <w:sz w:val="18"/>
                <w:szCs w:val="18"/>
              </w:rPr>
              <w:t>87/26</w:t>
            </w:r>
          </w:p>
        </w:tc>
        <w:tc>
          <w:tcPr>
            <w:tcW w:w="441" w:type="pct"/>
            <w:tcBorders>
              <w:top w:val="single" w:sz="4" w:space="0" w:color="auto"/>
              <w:left w:val="single" w:sz="4" w:space="0" w:color="auto"/>
              <w:bottom w:val="single" w:sz="4" w:space="0" w:color="auto"/>
              <w:right w:val="single" w:sz="4" w:space="0" w:color="auto"/>
            </w:tcBorders>
            <w:vAlign w:val="center"/>
          </w:tcPr>
          <w:p w14:paraId="7B6C827A" w14:textId="77777777" w:rsidR="00175E49" w:rsidRPr="007E130D" w:rsidDel="00A35D37" w:rsidRDefault="00175E49" w:rsidP="00EF328D">
            <w:pPr>
              <w:pStyle w:val="Tabletext"/>
              <w:jc w:val="center"/>
              <w:rPr>
                <w:sz w:val="18"/>
                <w:szCs w:val="18"/>
              </w:rPr>
            </w:pPr>
            <w:r w:rsidRPr="007E130D">
              <w:rPr>
                <w:sz w:val="18"/>
                <w:szCs w:val="18"/>
              </w:rPr>
              <w:t>3</w:t>
            </w:r>
          </w:p>
        </w:tc>
      </w:tr>
      <w:tr w:rsidR="00E13E91" w:rsidRPr="007E130D" w14:paraId="43BA8A9A" w14:textId="77777777" w:rsidTr="007E130D">
        <w:trPr>
          <w:jc w:val="center"/>
        </w:trPr>
        <w:tc>
          <w:tcPr>
            <w:tcW w:w="635" w:type="pct"/>
            <w:tcBorders>
              <w:top w:val="single" w:sz="4" w:space="0" w:color="auto"/>
              <w:left w:val="single" w:sz="4" w:space="0" w:color="auto"/>
              <w:bottom w:val="single" w:sz="4" w:space="0" w:color="auto"/>
              <w:right w:val="single" w:sz="4" w:space="0" w:color="auto"/>
            </w:tcBorders>
            <w:vAlign w:val="center"/>
          </w:tcPr>
          <w:p w14:paraId="19F2FC1B" w14:textId="77777777" w:rsidR="00175E49" w:rsidRPr="007E130D" w:rsidRDefault="00175E49" w:rsidP="00EF328D">
            <w:pPr>
              <w:pStyle w:val="Tabletext"/>
              <w:jc w:val="center"/>
              <w:rPr>
                <w:sz w:val="18"/>
                <w:szCs w:val="18"/>
              </w:rPr>
            </w:pPr>
            <w:r w:rsidRPr="007E130D">
              <w:rPr>
                <w:sz w:val="18"/>
                <w:szCs w:val="18"/>
              </w:rPr>
              <w:t>20-23 juin 2023</w:t>
            </w:r>
          </w:p>
        </w:tc>
        <w:tc>
          <w:tcPr>
            <w:tcW w:w="708" w:type="pct"/>
            <w:tcBorders>
              <w:top w:val="single" w:sz="4" w:space="0" w:color="auto"/>
              <w:left w:val="single" w:sz="4" w:space="0" w:color="auto"/>
              <w:bottom w:val="single" w:sz="4" w:space="0" w:color="auto"/>
              <w:right w:val="single" w:sz="4" w:space="0" w:color="auto"/>
            </w:tcBorders>
            <w:vAlign w:val="center"/>
            <w:hideMark/>
          </w:tcPr>
          <w:p w14:paraId="19BE515B" w14:textId="77777777" w:rsidR="00175E49" w:rsidRPr="007E130D" w:rsidRDefault="00175E49" w:rsidP="00EF328D">
            <w:pPr>
              <w:pStyle w:val="Tabletext"/>
              <w:jc w:val="center"/>
              <w:rPr>
                <w:b/>
                <w:bCs/>
                <w:sz w:val="18"/>
                <w:szCs w:val="18"/>
              </w:rPr>
            </w:pPr>
            <w:r w:rsidRPr="007E130D">
              <w:rPr>
                <w:b/>
                <w:bCs/>
                <w:sz w:val="18"/>
                <w:szCs w:val="18"/>
              </w:rPr>
              <w:t>RRS-23-Afrique</w:t>
            </w:r>
          </w:p>
        </w:tc>
        <w:tc>
          <w:tcPr>
            <w:tcW w:w="421" w:type="pct"/>
            <w:tcBorders>
              <w:top w:val="single" w:sz="4" w:space="0" w:color="auto"/>
              <w:left w:val="single" w:sz="4" w:space="0" w:color="auto"/>
              <w:bottom w:val="single" w:sz="4" w:space="0" w:color="auto"/>
              <w:right w:val="single" w:sz="4" w:space="0" w:color="auto"/>
            </w:tcBorders>
            <w:vAlign w:val="center"/>
            <w:hideMark/>
          </w:tcPr>
          <w:p w14:paraId="3543D6B8" w14:textId="77777777" w:rsidR="00175E49" w:rsidRPr="007E130D" w:rsidRDefault="00175E49" w:rsidP="00EF328D">
            <w:pPr>
              <w:pStyle w:val="Tabletext"/>
              <w:jc w:val="center"/>
              <w:rPr>
                <w:bCs/>
                <w:sz w:val="18"/>
                <w:szCs w:val="18"/>
              </w:rPr>
            </w:pPr>
            <w:r w:rsidRPr="007E130D">
              <w:rPr>
                <w:bCs/>
                <w:sz w:val="18"/>
                <w:szCs w:val="18"/>
              </w:rPr>
              <w:t>Brazzaville, Congo</w:t>
            </w:r>
          </w:p>
        </w:tc>
        <w:tc>
          <w:tcPr>
            <w:tcW w:w="490" w:type="pct"/>
            <w:tcBorders>
              <w:top w:val="single" w:sz="4" w:space="0" w:color="auto"/>
              <w:left w:val="single" w:sz="4" w:space="0" w:color="auto"/>
              <w:bottom w:val="single" w:sz="4" w:space="0" w:color="auto"/>
              <w:right w:val="single" w:sz="4" w:space="0" w:color="auto"/>
            </w:tcBorders>
            <w:vAlign w:val="center"/>
            <w:hideMark/>
          </w:tcPr>
          <w:p w14:paraId="06910F56" w14:textId="0C2EB7A4" w:rsidR="00175E49" w:rsidRPr="007E130D" w:rsidRDefault="00414F7A" w:rsidP="00EF328D">
            <w:pPr>
              <w:pStyle w:val="Tabletext"/>
              <w:jc w:val="center"/>
              <w:rPr>
                <w:sz w:val="18"/>
                <w:szCs w:val="18"/>
              </w:rPr>
            </w:pPr>
            <w:hyperlink r:id="rId79" w:tgtFrame="_blank" w:history="1">
              <w:r w:rsidR="00175E49" w:rsidRPr="007E130D">
                <w:rPr>
                  <w:rStyle w:val="Hyperlink"/>
                  <w:sz w:val="18"/>
                  <w:szCs w:val="18"/>
                </w:rPr>
                <w:t>Agence de Régulation des Postes et des Communications Électroniques</w:t>
              </w:r>
            </w:hyperlink>
            <w:r w:rsidR="00175E49" w:rsidRPr="007E130D">
              <w:rPr>
                <w:color w:val="444444"/>
                <w:sz w:val="18"/>
                <w:szCs w:val="18"/>
                <w:shd w:val="clear" w:color="auto" w:fill="FFFFFF"/>
              </w:rPr>
              <w:br/>
              <w:t>(ARPCE)</w:t>
            </w:r>
          </w:p>
        </w:tc>
        <w:tc>
          <w:tcPr>
            <w:tcW w:w="834" w:type="pct"/>
            <w:tcBorders>
              <w:top w:val="single" w:sz="4" w:space="0" w:color="auto"/>
              <w:left w:val="single" w:sz="4" w:space="0" w:color="auto"/>
              <w:bottom w:val="single" w:sz="4" w:space="0" w:color="auto"/>
              <w:right w:val="single" w:sz="4" w:space="0" w:color="auto"/>
            </w:tcBorders>
            <w:vAlign w:val="center"/>
            <w:hideMark/>
          </w:tcPr>
          <w:p w14:paraId="06061C74" w14:textId="3F417E31" w:rsidR="00E07522" w:rsidRPr="007E130D" w:rsidRDefault="00414F7A" w:rsidP="00EF328D">
            <w:pPr>
              <w:pStyle w:val="Tabletext"/>
              <w:jc w:val="center"/>
              <w:rPr>
                <w:sz w:val="18"/>
                <w:szCs w:val="18"/>
              </w:rPr>
            </w:pPr>
            <w:hyperlink r:id="rId80" w:history="1">
              <w:r w:rsidR="00E07522" w:rsidRPr="007E130D">
                <w:rPr>
                  <w:rStyle w:val="Hyperlink"/>
                  <w:sz w:val="18"/>
                  <w:szCs w:val="18"/>
                </w:rPr>
                <w:t>Initiative de politique et de régulation pour le numérique en Afrique</w:t>
              </w:r>
            </w:hyperlink>
            <w:r w:rsidR="00E07522" w:rsidRPr="007E130D">
              <w:rPr>
                <w:sz w:val="18"/>
                <w:szCs w:val="18"/>
              </w:rPr>
              <w:t xml:space="preserve"> (PRIDA)</w:t>
            </w:r>
          </w:p>
          <w:p w14:paraId="337E492F" w14:textId="39B83FC3" w:rsidR="00E07522" w:rsidRPr="007E130D" w:rsidRDefault="00414F7A" w:rsidP="004E4493">
            <w:pPr>
              <w:pStyle w:val="Tabletext"/>
              <w:spacing w:before="120"/>
              <w:jc w:val="center"/>
              <w:rPr>
                <w:sz w:val="18"/>
                <w:szCs w:val="18"/>
              </w:rPr>
            </w:pPr>
            <w:hyperlink r:id="rId81" w:history="1">
              <w:r w:rsidR="00E07522" w:rsidRPr="007E130D">
                <w:rPr>
                  <w:rStyle w:val="Hyperlink"/>
                  <w:sz w:val="18"/>
                  <w:szCs w:val="18"/>
                </w:rPr>
                <w:t>Union africaine des télécommunications</w:t>
              </w:r>
            </w:hyperlink>
            <w:r w:rsidR="00E07522" w:rsidRPr="007E130D">
              <w:rPr>
                <w:sz w:val="18"/>
                <w:szCs w:val="18"/>
              </w:rPr>
              <w:t xml:space="preserve"> (UAT)</w:t>
            </w:r>
          </w:p>
          <w:p w14:paraId="0ECA6F03" w14:textId="77777777" w:rsidR="00175E49" w:rsidRPr="007E130D" w:rsidRDefault="00175E49" w:rsidP="004E4493">
            <w:pPr>
              <w:pStyle w:val="Tabletext"/>
              <w:spacing w:before="120"/>
              <w:jc w:val="center"/>
              <w:rPr>
                <w:sz w:val="18"/>
                <w:szCs w:val="18"/>
              </w:rPr>
            </w:pPr>
            <w:r w:rsidRPr="007E130D">
              <w:rPr>
                <w:sz w:val="18"/>
                <w:szCs w:val="18"/>
              </w:rPr>
              <w:t>Bureau de l'UIT pour la région Afrique</w:t>
            </w:r>
          </w:p>
        </w:tc>
        <w:tc>
          <w:tcPr>
            <w:tcW w:w="735" w:type="pct"/>
            <w:tcBorders>
              <w:top w:val="single" w:sz="4" w:space="0" w:color="auto"/>
              <w:left w:val="single" w:sz="4" w:space="0" w:color="auto"/>
              <w:bottom w:val="single" w:sz="4" w:space="0" w:color="auto"/>
              <w:right w:val="single" w:sz="4" w:space="0" w:color="auto"/>
            </w:tcBorders>
            <w:vAlign w:val="center"/>
          </w:tcPr>
          <w:p w14:paraId="453D982A" w14:textId="4B62E368" w:rsidR="00175E49" w:rsidRPr="007E130D" w:rsidRDefault="00E07522" w:rsidP="00202827">
            <w:pPr>
              <w:pStyle w:val="Tabletext"/>
              <w:jc w:val="center"/>
              <w:rPr>
                <w:sz w:val="18"/>
                <w:szCs w:val="18"/>
              </w:rPr>
            </w:pPr>
            <w:r w:rsidRPr="007E130D">
              <w:rPr>
                <w:sz w:val="18"/>
                <w:szCs w:val="18"/>
              </w:rPr>
              <w:t xml:space="preserve">Atelier </w:t>
            </w:r>
            <w:r w:rsidR="00175E49" w:rsidRPr="007E130D">
              <w:rPr>
                <w:sz w:val="18"/>
                <w:szCs w:val="18"/>
              </w:rPr>
              <w:t>U</w:t>
            </w:r>
            <w:r w:rsidRPr="007E130D">
              <w:rPr>
                <w:sz w:val="18"/>
                <w:szCs w:val="18"/>
              </w:rPr>
              <w:t>IT</w:t>
            </w:r>
            <w:r w:rsidR="00175E49" w:rsidRPr="007E130D">
              <w:rPr>
                <w:sz w:val="18"/>
                <w:szCs w:val="18"/>
              </w:rPr>
              <w:t xml:space="preserve">-PRIDA: </w:t>
            </w:r>
            <w:r w:rsidRPr="007E130D">
              <w:rPr>
                <w:sz w:val="18"/>
                <w:szCs w:val="18"/>
              </w:rPr>
              <w:t>Le</w:t>
            </w:r>
            <w:r w:rsidR="00202827" w:rsidRPr="007E130D">
              <w:rPr>
                <w:sz w:val="18"/>
                <w:szCs w:val="18"/>
              </w:rPr>
              <w:t> </w:t>
            </w:r>
            <w:r w:rsidRPr="007E130D">
              <w:rPr>
                <w:sz w:val="18"/>
                <w:szCs w:val="18"/>
              </w:rPr>
              <w:t>large bande hertzien (de Terre et par satellite)</w:t>
            </w:r>
          </w:p>
        </w:tc>
        <w:tc>
          <w:tcPr>
            <w:tcW w:w="246" w:type="pct"/>
            <w:tcBorders>
              <w:top w:val="single" w:sz="4" w:space="0" w:color="auto"/>
              <w:left w:val="single" w:sz="4" w:space="0" w:color="auto"/>
              <w:bottom w:val="single" w:sz="4" w:space="0" w:color="auto"/>
              <w:right w:val="single" w:sz="4" w:space="0" w:color="auto"/>
            </w:tcBorders>
            <w:vAlign w:val="center"/>
            <w:hideMark/>
          </w:tcPr>
          <w:p w14:paraId="67036AF5" w14:textId="77777777" w:rsidR="00175E49" w:rsidRPr="007E130D" w:rsidRDefault="00175E49" w:rsidP="00EF328D">
            <w:pPr>
              <w:pStyle w:val="Tabletext"/>
              <w:jc w:val="center"/>
              <w:rPr>
                <w:sz w:val="18"/>
                <w:szCs w:val="18"/>
              </w:rPr>
            </w:pPr>
            <w:r w:rsidRPr="007E130D">
              <w:rPr>
                <w:sz w:val="18"/>
                <w:szCs w:val="18"/>
              </w:rPr>
              <w:t>E &amp; F</w:t>
            </w:r>
          </w:p>
        </w:tc>
        <w:tc>
          <w:tcPr>
            <w:tcW w:w="490" w:type="pct"/>
            <w:tcBorders>
              <w:top w:val="single" w:sz="4" w:space="0" w:color="auto"/>
              <w:left w:val="single" w:sz="4" w:space="0" w:color="auto"/>
              <w:bottom w:val="single" w:sz="4" w:space="0" w:color="auto"/>
              <w:right w:val="single" w:sz="4" w:space="0" w:color="auto"/>
            </w:tcBorders>
            <w:vAlign w:val="center"/>
            <w:hideMark/>
          </w:tcPr>
          <w:p w14:paraId="092B21D5" w14:textId="77777777" w:rsidR="00175E49" w:rsidRPr="007E130D" w:rsidRDefault="00175E49" w:rsidP="00EF328D">
            <w:pPr>
              <w:pStyle w:val="Tabletext"/>
              <w:jc w:val="center"/>
              <w:rPr>
                <w:sz w:val="18"/>
                <w:szCs w:val="18"/>
              </w:rPr>
            </w:pPr>
            <w:r w:rsidRPr="007E130D">
              <w:rPr>
                <w:sz w:val="18"/>
                <w:szCs w:val="18"/>
              </w:rPr>
              <w:t>103/46</w:t>
            </w:r>
          </w:p>
        </w:tc>
        <w:tc>
          <w:tcPr>
            <w:tcW w:w="441" w:type="pct"/>
            <w:tcBorders>
              <w:top w:val="single" w:sz="4" w:space="0" w:color="auto"/>
              <w:left w:val="single" w:sz="4" w:space="0" w:color="auto"/>
              <w:bottom w:val="single" w:sz="4" w:space="0" w:color="auto"/>
              <w:right w:val="single" w:sz="4" w:space="0" w:color="auto"/>
            </w:tcBorders>
            <w:vAlign w:val="center"/>
          </w:tcPr>
          <w:p w14:paraId="56BDA046" w14:textId="77777777" w:rsidR="00175E49" w:rsidRPr="007E130D" w:rsidDel="00940AB8" w:rsidRDefault="00175E49" w:rsidP="00EF328D">
            <w:pPr>
              <w:pStyle w:val="Tabletext"/>
              <w:jc w:val="center"/>
              <w:rPr>
                <w:sz w:val="18"/>
                <w:szCs w:val="18"/>
              </w:rPr>
            </w:pPr>
            <w:r w:rsidRPr="007E130D">
              <w:rPr>
                <w:sz w:val="18"/>
                <w:szCs w:val="18"/>
              </w:rPr>
              <w:t>11 (</w:t>
            </w:r>
            <w:r w:rsidR="00E07522" w:rsidRPr="007E130D">
              <w:rPr>
                <w:sz w:val="18"/>
                <w:szCs w:val="18"/>
              </w:rPr>
              <w:t xml:space="preserve">financées et </w:t>
            </w:r>
            <w:r w:rsidR="00634D8F" w:rsidRPr="007E130D">
              <w:rPr>
                <w:sz w:val="18"/>
                <w:szCs w:val="18"/>
              </w:rPr>
              <w:t>accordées</w:t>
            </w:r>
            <w:r w:rsidR="00E07522" w:rsidRPr="007E130D">
              <w:rPr>
                <w:sz w:val="18"/>
                <w:szCs w:val="18"/>
              </w:rPr>
              <w:t xml:space="preserve"> par le BR et PRIDA (UE))</w:t>
            </w:r>
          </w:p>
        </w:tc>
      </w:tr>
    </w:tbl>
    <w:p w14:paraId="6664025F" w14:textId="70527F24" w:rsidR="00A82EF2" w:rsidRPr="007E130D" w:rsidRDefault="00A82EF2" w:rsidP="00E13E91">
      <w:pPr>
        <w:ind w:left="-142" w:right="-171"/>
        <w:sectPr w:rsidR="00A82EF2" w:rsidRPr="007E130D" w:rsidSect="00960B1C">
          <w:pgSz w:w="16840" w:h="11907" w:orient="landscape" w:code="9"/>
          <w:pgMar w:top="1134" w:right="1418" w:bottom="1134" w:left="1418" w:header="720" w:footer="720" w:gutter="0"/>
          <w:paperSrc w:first="15" w:other="15"/>
          <w:cols w:space="720"/>
          <w:docGrid w:linePitch="326"/>
        </w:sectPr>
      </w:pPr>
      <w:r w:rsidRPr="007E130D">
        <w:t>Le BR</w:t>
      </w:r>
      <w:r w:rsidR="00634D8F" w:rsidRPr="007E130D">
        <w:t>, avec ses partenaires régionaux,</w:t>
      </w:r>
      <w:r w:rsidRPr="007E130D">
        <w:t xml:space="preserve"> a accordé </w:t>
      </w:r>
      <w:r w:rsidR="00634D8F" w:rsidRPr="007E130D">
        <w:t>11 bourses complètes et 24</w:t>
      </w:r>
      <w:r w:rsidRPr="007E130D">
        <w:t xml:space="preserve"> bourses partielles pour la participation aux séminaires RRS (une bourse par pays remplissant les conditions requises).</w:t>
      </w:r>
    </w:p>
    <w:p w14:paraId="25BBDAD8" w14:textId="77777777" w:rsidR="00A82EF2" w:rsidRPr="007E130D" w:rsidRDefault="00A82EF2" w:rsidP="00130B4A">
      <w:pPr>
        <w:pStyle w:val="Heading3"/>
      </w:pPr>
      <w:bookmarkStart w:id="228" w:name="_Toc424047604"/>
      <w:bookmarkStart w:id="229" w:name="_Toc426463262"/>
      <w:bookmarkStart w:id="230" w:name="_Toc19880081"/>
      <w:bookmarkStart w:id="231" w:name="_Toc147328837"/>
      <w:r w:rsidRPr="007E130D">
        <w:lastRenderedPageBreak/>
        <w:t>6.2.2</w:t>
      </w:r>
      <w:r w:rsidRPr="007E130D">
        <w:tab/>
      </w:r>
      <w:bookmarkEnd w:id="228"/>
      <w:r w:rsidRPr="007E130D">
        <w:t>Autres manifestations</w:t>
      </w:r>
      <w:bookmarkEnd w:id="229"/>
      <w:bookmarkEnd w:id="230"/>
      <w:bookmarkEnd w:id="231"/>
    </w:p>
    <w:p w14:paraId="32C74C43" w14:textId="5328690E" w:rsidR="00A82EF2" w:rsidRPr="007E130D" w:rsidRDefault="00A82EF2" w:rsidP="00B20AC9">
      <w:pPr>
        <w:spacing w:before="100"/>
      </w:pPr>
      <w:r w:rsidRPr="007E130D">
        <w:t>Un appui a en outre été apporté pour d'autres séminaires de l'UIT sur des questions telles que la gestion du spectre, les applications des radiocommunications spatiales, la préparation de la CMR</w:t>
      </w:r>
      <w:r w:rsidRPr="007E130D">
        <w:noBreakHyphen/>
      </w:r>
      <w:r w:rsidR="00175E49" w:rsidRPr="007E130D">
        <w:t>23</w:t>
      </w:r>
      <w:r w:rsidRPr="007E130D">
        <w:t xml:space="preserve">, etc. Les manifestations organisées au sein de l'UIT-R peuvent être consultées à l'adresse suivante: </w:t>
      </w:r>
      <w:hyperlink r:id="rId82" w:history="1">
        <w:r w:rsidRPr="007E130D">
          <w:rPr>
            <w:rStyle w:val="Hyperlink"/>
          </w:rPr>
          <w:t>http://www.itu.int/ITU-R/go/seminars</w:t>
        </w:r>
      </w:hyperlink>
      <w:r w:rsidRPr="007E130D">
        <w:t>.</w:t>
      </w:r>
    </w:p>
    <w:p w14:paraId="22C57E3C" w14:textId="77777777" w:rsidR="00A82EF2" w:rsidRPr="007E130D" w:rsidRDefault="00A82EF2" w:rsidP="00B20AC9">
      <w:pPr>
        <w:spacing w:before="100"/>
      </w:pPr>
      <w:r w:rsidRPr="007E130D">
        <w:t>Parmi les autres manifestations organisées pendant cette période, on citera les suivantes:</w:t>
      </w:r>
    </w:p>
    <w:p w14:paraId="0D8879C0" w14:textId="015FDE38" w:rsidR="00A82EF2" w:rsidRPr="007E130D" w:rsidRDefault="00A82EF2" w:rsidP="004E4493">
      <w:pPr>
        <w:pStyle w:val="enumlev1"/>
      </w:pPr>
      <w:r w:rsidRPr="007E130D">
        <w:t>–</w:t>
      </w:r>
      <w:r w:rsidRPr="007E130D">
        <w:tab/>
        <w:t xml:space="preserve">Atelier sur </w:t>
      </w:r>
      <w:r w:rsidR="005B5EC0" w:rsidRPr="007E130D">
        <w:t>l'UIT au service de l'espace</w:t>
      </w:r>
      <w:r w:rsidR="004E4493" w:rsidRPr="007E130D">
        <w:t>.</w:t>
      </w:r>
    </w:p>
    <w:p w14:paraId="3A8E96A9" w14:textId="55DCBAF9" w:rsidR="00175E49" w:rsidRPr="007E130D" w:rsidRDefault="00175E49" w:rsidP="004E4493">
      <w:pPr>
        <w:pStyle w:val="enumlev1"/>
      </w:pPr>
      <w:r w:rsidRPr="007E130D">
        <w:t>–</w:t>
      </w:r>
      <w:r w:rsidRPr="007E130D">
        <w:tab/>
      </w:r>
      <w:r w:rsidR="00721A9D" w:rsidRPr="007E130D">
        <w:t>Atelier UIT sur les bandes de fréquences pour les IMT-2020 et au-delà</w:t>
      </w:r>
      <w:r w:rsidRPr="007E130D">
        <w:t xml:space="preserve">: </w:t>
      </w:r>
      <w:r w:rsidR="00721A9D" w:rsidRPr="007E130D">
        <w:t>favoriser les utilisations commerciales et innovantes</w:t>
      </w:r>
      <w:r w:rsidR="004E4493" w:rsidRPr="007E130D">
        <w:t>.</w:t>
      </w:r>
    </w:p>
    <w:p w14:paraId="0B369C07" w14:textId="64779497" w:rsidR="00A82EF2" w:rsidRPr="007E130D" w:rsidRDefault="00A82EF2" w:rsidP="004E4493">
      <w:pPr>
        <w:pStyle w:val="enumlev1"/>
      </w:pPr>
      <w:r w:rsidRPr="007E130D">
        <w:t>–</w:t>
      </w:r>
      <w:r w:rsidRPr="007E130D">
        <w:tab/>
      </w:r>
      <w:r w:rsidR="00721A9D" w:rsidRPr="007E130D">
        <w:t>Séminaires régionaux de l'UIT pour les r</w:t>
      </w:r>
      <w:r w:rsidRPr="007E130D">
        <w:t>égion</w:t>
      </w:r>
      <w:r w:rsidR="00721A9D" w:rsidRPr="007E130D">
        <w:t xml:space="preserve">s Afrique, Amériques, Asie-Pacifique, </w:t>
      </w:r>
      <w:r w:rsidR="004E4493" w:rsidRPr="007E130D">
        <w:t>É</w:t>
      </w:r>
      <w:r w:rsidR="00721A9D" w:rsidRPr="007E130D">
        <w:t>tats arabes et Europe</w:t>
      </w:r>
      <w:r w:rsidRPr="007E130D">
        <w:t xml:space="preserve"> en vue de la CMR-</w:t>
      </w:r>
      <w:r w:rsidR="00175E49" w:rsidRPr="007E130D">
        <w:t>23</w:t>
      </w:r>
      <w:r w:rsidR="004E4493" w:rsidRPr="007E130D">
        <w:t>.</w:t>
      </w:r>
    </w:p>
    <w:p w14:paraId="18F5DA9D" w14:textId="1383F461" w:rsidR="001C06BB" w:rsidRPr="007E130D" w:rsidRDefault="001C06BB" w:rsidP="004E4493">
      <w:pPr>
        <w:pStyle w:val="enumlev1"/>
      </w:pPr>
      <w:r w:rsidRPr="007E130D">
        <w:t>–</w:t>
      </w:r>
      <w:r w:rsidRPr="007E130D">
        <w:tab/>
      </w:r>
      <w:r w:rsidR="00721A9D" w:rsidRPr="007E130D">
        <w:t xml:space="preserve">Ateliers </w:t>
      </w:r>
      <w:r w:rsidRPr="007E130D">
        <w:t>U</w:t>
      </w:r>
      <w:r w:rsidR="00721A9D" w:rsidRPr="007E130D">
        <w:t>IT</w:t>
      </w:r>
      <w:r w:rsidRPr="007E130D">
        <w:t xml:space="preserve"> PRIDA</w:t>
      </w:r>
      <w:r w:rsidR="004E4493" w:rsidRPr="007E130D">
        <w:t>.</w:t>
      </w:r>
    </w:p>
    <w:p w14:paraId="2AD076DA" w14:textId="4842E536" w:rsidR="001C06BB" w:rsidRPr="007E130D" w:rsidRDefault="001C06BB" w:rsidP="004E4493">
      <w:pPr>
        <w:pStyle w:val="enumlev1"/>
      </w:pPr>
      <w:r w:rsidRPr="007E130D">
        <w:t>–</w:t>
      </w:r>
      <w:r w:rsidRPr="007E130D">
        <w:tab/>
      </w:r>
      <w:r w:rsidR="00721A9D" w:rsidRPr="007E130D">
        <w:t>Ateliers UIT</w:t>
      </w:r>
      <w:r w:rsidRPr="007E130D">
        <w:t>-ITSO</w:t>
      </w:r>
      <w:r w:rsidR="004E4493" w:rsidRPr="007E130D">
        <w:t>.</w:t>
      </w:r>
    </w:p>
    <w:p w14:paraId="1A6C5D6B" w14:textId="26D24EB7" w:rsidR="001C06BB" w:rsidRPr="007E130D" w:rsidRDefault="001C06BB" w:rsidP="004E4493">
      <w:pPr>
        <w:pStyle w:val="enumlev1"/>
      </w:pPr>
      <w:r w:rsidRPr="007E130D">
        <w:t>–</w:t>
      </w:r>
      <w:r w:rsidRPr="007E130D">
        <w:tab/>
      </w:r>
      <w:r w:rsidR="00721A9D" w:rsidRPr="007E130D">
        <w:t>Atelier conjoint Commission d</w:t>
      </w:r>
      <w:r w:rsidR="004E4493" w:rsidRPr="007E130D">
        <w:t>'</w:t>
      </w:r>
      <w:r w:rsidR="00721A9D" w:rsidRPr="007E130D">
        <w:t>études 6 de l</w:t>
      </w:r>
      <w:r w:rsidR="004E4493" w:rsidRPr="007E130D">
        <w:t>'</w:t>
      </w:r>
      <w:r w:rsidR="00721A9D" w:rsidRPr="007E130D">
        <w:t>UIT-R et UER sur le thème «La radiodiffusion en période de crise»</w:t>
      </w:r>
      <w:r w:rsidR="004E4493" w:rsidRPr="007E130D">
        <w:t>.</w:t>
      </w:r>
    </w:p>
    <w:p w14:paraId="4A488BA4" w14:textId="3A55D016" w:rsidR="001C06BB" w:rsidRPr="007E130D" w:rsidRDefault="001C06BB" w:rsidP="004E4493">
      <w:pPr>
        <w:pStyle w:val="enumlev1"/>
      </w:pPr>
      <w:r w:rsidRPr="007E130D">
        <w:t>–</w:t>
      </w:r>
      <w:r w:rsidRPr="007E130D">
        <w:tab/>
      </w:r>
      <w:r w:rsidR="00721A9D" w:rsidRPr="007E130D">
        <w:t>Webinaire de la Commission d</w:t>
      </w:r>
      <w:r w:rsidR="004E4493" w:rsidRPr="007E130D">
        <w:t>'</w:t>
      </w:r>
      <w:r w:rsidR="00721A9D" w:rsidRPr="007E130D">
        <w:t>études 6 de l</w:t>
      </w:r>
      <w:r w:rsidR="004E4493" w:rsidRPr="007E130D">
        <w:t>'</w:t>
      </w:r>
      <w:r w:rsidR="00721A9D" w:rsidRPr="007E130D">
        <w:t>UIT-R sur le thème «Systèmes de radiodiffusion prenant en compte l</w:t>
      </w:r>
      <w:r w:rsidR="004E4493" w:rsidRPr="007E130D">
        <w:t>'</w:t>
      </w:r>
      <w:r w:rsidR="00721A9D" w:rsidRPr="007E130D">
        <w:t>énergie»</w:t>
      </w:r>
      <w:r w:rsidR="004E4493" w:rsidRPr="007E130D">
        <w:t>.</w:t>
      </w:r>
    </w:p>
    <w:p w14:paraId="1B2AAF60" w14:textId="77777777" w:rsidR="00A82EF2" w:rsidRPr="007E130D" w:rsidRDefault="00A82EF2" w:rsidP="004E4493">
      <w:pPr>
        <w:pStyle w:val="Heading2"/>
      </w:pPr>
      <w:bookmarkStart w:id="232" w:name="_Toc19880082"/>
      <w:bookmarkStart w:id="233" w:name="_Toc147328838"/>
      <w:r w:rsidRPr="007E130D">
        <w:t>6.3</w:t>
      </w:r>
      <w:r w:rsidRPr="007E130D">
        <w:tab/>
        <w:t xml:space="preserve">Communication et </w:t>
      </w:r>
      <w:r w:rsidRPr="007E130D">
        <w:rPr>
          <w:color w:val="000000"/>
        </w:rPr>
        <w:t>sensibilisation</w:t>
      </w:r>
      <w:bookmarkEnd w:id="232"/>
      <w:bookmarkEnd w:id="233"/>
    </w:p>
    <w:p w14:paraId="4F96A65A" w14:textId="77777777" w:rsidR="00A82EF2" w:rsidRPr="007E130D" w:rsidRDefault="00A82EF2" w:rsidP="00B20AC9">
      <w:pPr>
        <w:pStyle w:val="Heading3"/>
      </w:pPr>
      <w:bookmarkStart w:id="234" w:name="_Toc424047606"/>
      <w:bookmarkStart w:id="235" w:name="_Toc426463264"/>
      <w:bookmarkStart w:id="236" w:name="_Toc19880083"/>
      <w:bookmarkStart w:id="237" w:name="_Toc147328839"/>
      <w:r w:rsidRPr="007E130D">
        <w:t>6.3.1</w:t>
      </w:r>
      <w:r w:rsidRPr="007E130D">
        <w:tab/>
      </w:r>
      <w:bookmarkEnd w:id="234"/>
      <w:r w:rsidRPr="007E130D">
        <w:t>Membres</w:t>
      </w:r>
      <w:bookmarkEnd w:id="235"/>
      <w:bookmarkEnd w:id="236"/>
      <w:bookmarkEnd w:id="237"/>
    </w:p>
    <w:p w14:paraId="6178B88A" w14:textId="51E10E6D" w:rsidR="00A82EF2" w:rsidRPr="007E130D" w:rsidRDefault="00A82EF2" w:rsidP="00B20AC9">
      <w:r w:rsidRPr="007E130D">
        <w:rPr>
          <w:szCs w:val="24"/>
        </w:rPr>
        <w:t>Le Tableau 6.3.1-1 indique l'évolution</w:t>
      </w:r>
      <w:r w:rsidRPr="007E130D">
        <w:t xml:space="preserve"> du nombre de Membres du Secteur de l'UIT-R, d'Associés et d'établissements universitaires participant aux travaux de ce Secteur au cours de la période comprise entre janvier </w:t>
      </w:r>
      <w:r w:rsidR="001C06BB" w:rsidRPr="007E130D">
        <w:t xml:space="preserve">2020 </w:t>
      </w:r>
      <w:r w:rsidRPr="007E130D">
        <w:t xml:space="preserve">et août </w:t>
      </w:r>
      <w:r w:rsidR="001C06BB" w:rsidRPr="007E130D">
        <w:t>2023</w:t>
      </w:r>
      <w:r w:rsidRPr="007E130D">
        <w:t>.</w:t>
      </w:r>
    </w:p>
    <w:p w14:paraId="6F4C6AE9" w14:textId="77777777" w:rsidR="00A82EF2" w:rsidRPr="007E130D" w:rsidRDefault="00A82EF2" w:rsidP="004E4493">
      <w:pPr>
        <w:pStyle w:val="TableNo"/>
      </w:pPr>
      <w:r w:rsidRPr="007E130D">
        <w:t>TABLEAU 6.3.1-1</w:t>
      </w:r>
    </w:p>
    <w:p w14:paraId="61AE523F" w14:textId="41F357DF" w:rsidR="00A82EF2" w:rsidRPr="007E130D" w:rsidRDefault="00A82EF2" w:rsidP="004E4493">
      <w:pPr>
        <w:pStyle w:val="Tabletitle"/>
      </w:pPr>
      <w:r w:rsidRPr="007E130D">
        <w:t xml:space="preserve">Évolution du nombre de Membres du Secteur de l'UIT-R depuis </w:t>
      </w:r>
      <w:r w:rsidR="001C06BB" w:rsidRPr="007E130D">
        <w:t>2020</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0"/>
        <w:gridCol w:w="932"/>
        <w:gridCol w:w="933"/>
        <w:gridCol w:w="933"/>
        <w:gridCol w:w="940"/>
        <w:gridCol w:w="1418"/>
        <w:gridCol w:w="1439"/>
      </w:tblGrid>
      <w:tr w:rsidR="001C06BB" w:rsidRPr="007E130D" w14:paraId="6EFF2C7A" w14:textId="77777777" w:rsidTr="009024E5">
        <w:trPr>
          <w:trHeight w:val="315"/>
          <w:jc w:val="center"/>
        </w:trPr>
        <w:tc>
          <w:tcPr>
            <w:tcW w:w="2840" w:type="dxa"/>
            <w:noWrap/>
            <w:tcMar>
              <w:top w:w="0" w:type="dxa"/>
              <w:left w:w="108" w:type="dxa"/>
              <w:bottom w:w="0" w:type="dxa"/>
              <w:right w:w="108" w:type="dxa"/>
            </w:tcMar>
            <w:vAlign w:val="center"/>
            <w:hideMark/>
          </w:tcPr>
          <w:p w14:paraId="77962069" w14:textId="77777777" w:rsidR="001C06BB" w:rsidRPr="007E130D" w:rsidRDefault="001C06BB" w:rsidP="00B20AC9">
            <w:pPr>
              <w:pStyle w:val="Tablehead"/>
            </w:pPr>
            <w:r w:rsidRPr="007E130D">
              <w:t> </w:t>
            </w:r>
          </w:p>
        </w:tc>
        <w:tc>
          <w:tcPr>
            <w:tcW w:w="932" w:type="dxa"/>
            <w:vAlign w:val="center"/>
          </w:tcPr>
          <w:p w14:paraId="55666111" w14:textId="77777777" w:rsidR="001C06BB" w:rsidRPr="007E130D" w:rsidRDefault="001C06BB" w:rsidP="00B20AC9">
            <w:pPr>
              <w:pStyle w:val="Tablehead"/>
              <w:rPr>
                <w:bCs/>
              </w:rPr>
            </w:pPr>
            <w:r w:rsidRPr="007E130D">
              <w:t>2020</w:t>
            </w:r>
          </w:p>
        </w:tc>
        <w:tc>
          <w:tcPr>
            <w:tcW w:w="933" w:type="dxa"/>
            <w:vAlign w:val="center"/>
          </w:tcPr>
          <w:p w14:paraId="53A6AC01" w14:textId="77777777" w:rsidR="001C06BB" w:rsidRPr="007E130D" w:rsidRDefault="001C06BB" w:rsidP="00B20AC9">
            <w:pPr>
              <w:pStyle w:val="Tablehead"/>
              <w:rPr>
                <w:bCs/>
              </w:rPr>
            </w:pPr>
            <w:r w:rsidRPr="007E130D">
              <w:t>2021</w:t>
            </w:r>
          </w:p>
        </w:tc>
        <w:tc>
          <w:tcPr>
            <w:tcW w:w="933" w:type="dxa"/>
            <w:vAlign w:val="center"/>
          </w:tcPr>
          <w:p w14:paraId="3C21929B" w14:textId="77777777" w:rsidR="001C06BB" w:rsidRPr="007E130D" w:rsidRDefault="001C06BB" w:rsidP="00B20AC9">
            <w:pPr>
              <w:pStyle w:val="Tablehead"/>
              <w:rPr>
                <w:bCs/>
              </w:rPr>
            </w:pPr>
            <w:r w:rsidRPr="007E130D">
              <w:t>2022</w:t>
            </w:r>
          </w:p>
        </w:tc>
        <w:tc>
          <w:tcPr>
            <w:tcW w:w="940" w:type="dxa"/>
            <w:noWrap/>
            <w:tcMar>
              <w:top w:w="0" w:type="dxa"/>
              <w:left w:w="108" w:type="dxa"/>
              <w:bottom w:w="0" w:type="dxa"/>
              <w:right w:w="108" w:type="dxa"/>
            </w:tcMar>
            <w:vAlign w:val="center"/>
          </w:tcPr>
          <w:p w14:paraId="6F0221E4" w14:textId="77777777" w:rsidR="001C06BB" w:rsidRPr="007E130D" w:rsidRDefault="001C06BB" w:rsidP="00B20AC9">
            <w:pPr>
              <w:pStyle w:val="Tablehead"/>
              <w:rPr>
                <w:bCs/>
              </w:rPr>
            </w:pPr>
            <w:r w:rsidRPr="007E130D">
              <w:t>2023*</w:t>
            </w:r>
          </w:p>
        </w:tc>
        <w:tc>
          <w:tcPr>
            <w:tcW w:w="1418" w:type="dxa"/>
            <w:noWrap/>
            <w:tcMar>
              <w:top w:w="0" w:type="dxa"/>
              <w:left w:w="108" w:type="dxa"/>
              <w:bottom w:w="0" w:type="dxa"/>
              <w:right w:w="108" w:type="dxa"/>
            </w:tcMar>
            <w:vAlign w:val="center"/>
          </w:tcPr>
          <w:p w14:paraId="3FDB2303" w14:textId="77777777" w:rsidR="001C06BB" w:rsidRPr="007E130D" w:rsidRDefault="001C06BB" w:rsidP="00B20AC9">
            <w:pPr>
              <w:pStyle w:val="Tablehead"/>
              <w:rPr>
                <w:bCs/>
              </w:rPr>
            </w:pPr>
            <w:r w:rsidRPr="007E130D">
              <w:t>2020/2023</w:t>
            </w:r>
          </w:p>
        </w:tc>
        <w:tc>
          <w:tcPr>
            <w:tcW w:w="1439" w:type="dxa"/>
            <w:noWrap/>
            <w:tcMar>
              <w:top w:w="0" w:type="dxa"/>
              <w:left w:w="108" w:type="dxa"/>
              <w:bottom w:w="0" w:type="dxa"/>
              <w:right w:w="108" w:type="dxa"/>
            </w:tcMar>
            <w:vAlign w:val="center"/>
            <w:hideMark/>
          </w:tcPr>
          <w:p w14:paraId="54DAF53E" w14:textId="77777777" w:rsidR="001C06BB" w:rsidRPr="007E130D" w:rsidRDefault="001C06BB" w:rsidP="00B20AC9">
            <w:pPr>
              <w:pStyle w:val="Tablehead"/>
              <w:rPr>
                <w:bCs/>
              </w:rPr>
            </w:pPr>
            <w:r w:rsidRPr="007E130D">
              <w:rPr>
                <w:bCs/>
              </w:rPr>
              <w:t>Augmentation en pourcentage</w:t>
            </w:r>
          </w:p>
        </w:tc>
      </w:tr>
      <w:tr w:rsidR="001C06BB" w:rsidRPr="007E130D" w14:paraId="49EAC2DC" w14:textId="77777777" w:rsidTr="001C06BB">
        <w:trPr>
          <w:trHeight w:val="315"/>
          <w:jc w:val="center"/>
        </w:trPr>
        <w:tc>
          <w:tcPr>
            <w:tcW w:w="2840" w:type="dxa"/>
            <w:noWrap/>
            <w:tcMar>
              <w:top w:w="0" w:type="dxa"/>
              <w:left w:w="108" w:type="dxa"/>
              <w:bottom w:w="0" w:type="dxa"/>
              <w:right w:w="108" w:type="dxa"/>
            </w:tcMar>
            <w:vAlign w:val="bottom"/>
            <w:hideMark/>
          </w:tcPr>
          <w:p w14:paraId="4E5A462C" w14:textId="77777777" w:rsidR="001C06BB" w:rsidRPr="007E130D" w:rsidRDefault="001C06BB" w:rsidP="00B20AC9">
            <w:pPr>
              <w:pStyle w:val="Tabletext"/>
              <w:rPr>
                <w:b/>
              </w:rPr>
            </w:pPr>
            <w:r w:rsidRPr="007E130D">
              <w:rPr>
                <w:b/>
                <w:bCs/>
              </w:rPr>
              <w:t>Membres de Secteur</w:t>
            </w:r>
          </w:p>
        </w:tc>
        <w:tc>
          <w:tcPr>
            <w:tcW w:w="932" w:type="dxa"/>
            <w:vAlign w:val="center"/>
          </w:tcPr>
          <w:p w14:paraId="7842D794" w14:textId="77777777" w:rsidR="001C06BB" w:rsidRPr="007E130D" w:rsidRDefault="001C06BB" w:rsidP="00B20AC9">
            <w:pPr>
              <w:pStyle w:val="Tabletext"/>
              <w:jc w:val="center"/>
            </w:pPr>
            <w:r w:rsidRPr="007E130D">
              <w:t>274</w:t>
            </w:r>
          </w:p>
        </w:tc>
        <w:tc>
          <w:tcPr>
            <w:tcW w:w="933" w:type="dxa"/>
          </w:tcPr>
          <w:p w14:paraId="3755418D" w14:textId="77777777" w:rsidR="001C06BB" w:rsidRPr="007E130D" w:rsidRDefault="001C06BB" w:rsidP="00B20AC9">
            <w:pPr>
              <w:pStyle w:val="Tabletext"/>
              <w:jc w:val="center"/>
            </w:pPr>
            <w:r w:rsidRPr="007E130D">
              <w:t>277</w:t>
            </w:r>
          </w:p>
        </w:tc>
        <w:tc>
          <w:tcPr>
            <w:tcW w:w="933" w:type="dxa"/>
          </w:tcPr>
          <w:p w14:paraId="5CC09091" w14:textId="77777777" w:rsidR="001C06BB" w:rsidRPr="007E130D" w:rsidRDefault="001C06BB" w:rsidP="00B20AC9">
            <w:pPr>
              <w:pStyle w:val="Tabletext"/>
              <w:jc w:val="center"/>
            </w:pPr>
            <w:r w:rsidRPr="007E130D">
              <w:t>277</w:t>
            </w:r>
          </w:p>
        </w:tc>
        <w:tc>
          <w:tcPr>
            <w:tcW w:w="940" w:type="dxa"/>
            <w:noWrap/>
            <w:tcMar>
              <w:top w:w="0" w:type="dxa"/>
              <w:left w:w="108" w:type="dxa"/>
              <w:bottom w:w="0" w:type="dxa"/>
              <w:right w:w="108" w:type="dxa"/>
            </w:tcMar>
            <w:vAlign w:val="center"/>
          </w:tcPr>
          <w:p w14:paraId="6276FC6A" w14:textId="77777777" w:rsidR="001C06BB" w:rsidRPr="007E130D" w:rsidRDefault="001C06BB" w:rsidP="00B20AC9">
            <w:pPr>
              <w:pStyle w:val="Tabletext"/>
              <w:jc w:val="center"/>
            </w:pPr>
            <w:r w:rsidRPr="007E130D">
              <w:t>280</w:t>
            </w:r>
          </w:p>
        </w:tc>
        <w:tc>
          <w:tcPr>
            <w:tcW w:w="1418" w:type="dxa"/>
            <w:noWrap/>
            <w:tcMar>
              <w:top w:w="0" w:type="dxa"/>
              <w:left w:w="108" w:type="dxa"/>
              <w:bottom w:w="0" w:type="dxa"/>
              <w:right w:w="108" w:type="dxa"/>
            </w:tcMar>
            <w:vAlign w:val="center"/>
          </w:tcPr>
          <w:p w14:paraId="09BE6460" w14:textId="77777777" w:rsidR="001C06BB" w:rsidRPr="007E130D" w:rsidRDefault="001C06BB" w:rsidP="00B20AC9">
            <w:pPr>
              <w:pStyle w:val="Tabletext"/>
              <w:jc w:val="center"/>
            </w:pPr>
            <w:r w:rsidRPr="007E130D">
              <w:t>+6</w:t>
            </w:r>
          </w:p>
        </w:tc>
        <w:tc>
          <w:tcPr>
            <w:tcW w:w="1439" w:type="dxa"/>
            <w:noWrap/>
            <w:tcMar>
              <w:top w:w="0" w:type="dxa"/>
              <w:left w:w="108" w:type="dxa"/>
              <w:bottom w:w="0" w:type="dxa"/>
              <w:right w:w="108" w:type="dxa"/>
            </w:tcMar>
            <w:vAlign w:val="center"/>
          </w:tcPr>
          <w:p w14:paraId="681D5FA2" w14:textId="77777777" w:rsidR="001C06BB" w:rsidRPr="007E130D" w:rsidRDefault="001C06BB" w:rsidP="00B20AC9">
            <w:pPr>
              <w:pStyle w:val="Tabletext"/>
              <w:jc w:val="center"/>
            </w:pPr>
            <w:r w:rsidRPr="007E130D">
              <w:t>2,2%</w:t>
            </w:r>
          </w:p>
        </w:tc>
      </w:tr>
      <w:tr w:rsidR="001C06BB" w:rsidRPr="007E130D" w14:paraId="533A5A82" w14:textId="77777777" w:rsidTr="001C06BB">
        <w:trPr>
          <w:trHeight w:val="315"/>
          <w:jc w:val="center"/>
        </w:trPr>
        <w:tc>
          <w:tcPr>
            <w:tcW w:w="2840" w:type="dxa"/>
            <w:noWrap/>
            <w:tcMar>
              <w:top w:w="0" w:type="dxa"/>
              <w:left w:w="108" w:type="dxa"/>
              <w:bottom w:w="0" w:type="dxa"/>
              <w:right w:w="108" w:type="dxa"/>
            </w:tcMar>
            <w:vAlign w:val="bottom"/>
            <w:hideMark/>
          </w:tcPr>
          <w:p w14:paraId="4E42592C" w14:textId="77777777" w:rsidR="001C06BB" w:rsidRPr="007E130D" w:rsidRDefault="001C06BB" w:rsidP="00B20AC9">
            <w:pPr>
              <w:pStyle w:val="Tabletext"/>
              <w:rPr>
                <w:b/>
              </w:rPr>
            </w:pPr>
            <w:r w:rsidRPr="007E130D">
              <w:rPr>
                <w:rFonts w:asciiTheme="majorBidi" w:hAnsiTheme="majorBidi" w:cstheme="majorBidi"/>
                <w:b/>
                <w:bCs/>
                <w:color w:val="000000"/>
                <w:lang w:eastAsia="zh-CN"/>
              </w:rPr>
              <w:t>Associés</w:t>
            </w:r>
          </w:p>
        </w:tc>
        <w:tc>
          <w:tcPr>
            <w:tcW w:w="932" w:type="dxa"/>
            <w:vAlign w:val="center"/>
          </w:tcPr>
          <w:p w14:paraId="6263D25C" w14:textId="77777777" w:rsidR="001C06BB" w:rsidRPr="007E130D" w:rsidRDefault="001C06BB" w:rsidP="00B20AC9">
            <w:pPr>
              <w:pStyle w:val="Tabletext"/>
              <w:jc w:val="center"/>
            </w:pPr>
            <w:r w:rsidRPr="007E130D">
              <w:t>20</w:t>
            </w:r>
          </w:p>
        </w:tc>
        <w:tc>
          <w:tcPr>
            <w:tcW w:w="933" w:type="dxa"/>
          </w:tcPr>
          <w:p w14:paraId="2A8A0A69" w14:textId="77777777" w:rsidR="001C06BB" w:rsidRPr="007E130D" w:rsidRDefault="001C06BB" w:rsidP="00B20AC9">
            <w:pPr>
              <w:pStyle w:val="Tabletext"/>
              <w:jc w:val="center"/>
            </w:pPr>
            <w:r w:rsidRPr="007E130D">
              <w:t>26</w:t>
            </w:r>
          </w:p>
        </w:tc>
        <w:tc>
          <w:tcPr>
            <w:tcW w:w="933" w:type="dxa"/>
          </w:tcPr>
          <w:p w14:paraId="0CBE22B5" w14:textId="77777777" w:rsidR="001C06BB" w:rsidRPr="007E130D" w:rsidRDefault="001C06BB" w:rsidP="00B20AC9">
            <w:pPr>
              <w:pStyle w:val="Tabletext"/>
              <w:jc w:val="center"/>
            </w:pPr>
            <w:r w:rsidRPr="007E130D">
              <w:t>37</w:t>
            </w:r>
          </w:p>
        </w:tc>
        <w:tc>
          <w:tcPr>
            <w:tcW w:w="940" w:type="dxa"/>
            <w:noWrap/>
            <w:tcMar>
              <w:top w:w="0" w:type="dxa"/>
              <w:left w:w="108" w:type="dxa"/>
              <w:bottom w:w="0" w:type="dxa"/>
              <w:right w:w="108" w:type="dxa"/>
            </w:tcMar>
            <w:vAlign w:val="center"/>
          </w:tcPr>
          <w:p w14:paraId="754634F2" w14:textId="77777777" w:rsidR="001C06BB" w:rsidRPr="007E130D" w:rsidRDefault="001C06BB" w:rsidP="00B20AC9">
            <w:pPr>
              <w:pStyle w:val="Tabletext"/>
              <w:jc w:val="center"/>
            </w:pPr>
            <w:r w:rsidRPr="007E130D">
              <w:t>42</w:t>
            </w:r>
          </w:p>
        </w:tc>
        <w:tc>
          <w:tcPr>
            <w:tcW w:w="1418" w:type="dxa"/>
            <w:noWrap/>
            <w:tcMar>
              <w:top w:w="0" w:type="dxa"/>
              <w:left w:w="108" w:type="dxa"/>
              <w:bottom w:w="0" w:type="dxa"/>
              <w:right w:w="108" w:type="dxa"/>
            </w:tcMar>
            <w:vAlign w:val="center"/>
          </w:tcPr>
          <w:p w14:paraId="216A14C9" w14:textId="77777777" w:rsidR="001C06BB" w:rsidRPr="007E130D" w:rsidRDefault="001C06BB" w:rsidP="00B20AC9">
            <w:pPr>
              <w:pStyle w:val="Tabletext"/>
              <w:jc w:val="center"/>
            </w:pPr>
            <w:r w:rsidRPr="007E130D">
              <w:t>+22</w:t>
            </w:r>
          </w:p>
        </w:tc>
        <w:tc>
          <w:tcPr>
            <w:tcW w:w="1439" w:type="dxa"/>
            <w:noWrap/>
            <w:tcMar>
              <w:top w:w="0" w:type="dxa"/>
              <w:left w:w="108" w:type="dxa"/>
              <w:bottom w:w="0" w:type="dxa"/>
              <w:right w:w="108" w:type="dxa"/>
            </w:tcMar>
            <w:vAlign w:val="center"/>
          </w:tcPr>
          <w:p w14:paraId="7DAC3A02" w14:textId="77777777" w:rsidR="001C06BB" w:rsidRPr="007E130D" w:rsidRDefault="001C06BB" w:rsidP="00B20AC9">
            <w:pPr>
              <w:pStyle w:val="Tabletext"/>
              <w:jc w:val="center"/>
            </w:pPr>
            <w:r w:rsidRPr="007E130D">
              <w:t xml:space="preserve">+110% </w:t>
            </w:r>
            <w:r w:rsidRPr="007E130D">
              <w:rPr>
                <w:vertAlign w:val="superscript"/>
              </w:rPr>
              <w:t>**</w:t>
            </w:r>
          </w:p>
        </w:tc>
      </w:tr>
      <w:tr w:rsidR="001C06BB" w:rsidRPr="007E130D" w14:paraId="314F097D" w14:textId="77777777" w:rsidTr="001C06BB">
        <w:trPr>
          <w:trHeight w:val="315"/>
          <w:jc w:val="center"/>
        </w:trPr>
        <w:tc>
          <w:tcPr>
            <w:tcW w:w="2840" w:type="dxa"/>
            <w:tcBorders>
              <w:bottom w:val="single" w:sz="4" w:space="0" w:color="auto"/>
            </w:tcBorders>
            <w:noWrap/>
            <w:tcMar>
              <w:top w:w="0" w:type="dxa"/>
              <w:left w:w="108" w:type="dxa"/>
              <w:bottom w:w="0" w:type="dxa"/>
              <w:right w:w="108" w:type="dxa"/>
            </w:tcMar>
            <w:vAlign w:val="bottom"/>
            <w:hideMark/>
          </w:tcPr>
          <w:p w14:paraId="00AF09C4" w14:textId="77777777" w:rsidR="001C06BB" w:rsidRPr="007E130D" w:rsidRDefault="001C06BB" w:rsidP="00B20AC9">
            <w:pPr>
              <w:pStyle w:val="Tabletext"/>
              <w:rPr>
                <w:b/>
              </w:rPr>
            </w:pPr>
            <w:r w:rsidRPr="007E130D">
              <w:rPr>
                <w:rFonts w:asciiTheme="majorBidi" w:hAnsiTheme="majorBidi" w:cstheme="majorBidi"/>
                <w:b/>
                <w:bCs/>
                <w:color w:val="000000"/>
                <w:lang w:eastAsia="zh-CN"/>
              </w:rPr>
              <w:t>Établissements universitaires</w:t>
            </w:r>
          </w:p>
        </w:tc>
        <w:tc>
          <w:tcPr>
            <w:tcW w:w="932" w:type="dxa"/>
            <w:tcBorders>
              <w:bottom w:val="single" w:sz="4" w:space="0" w:color="auto"/>
            </w:tcBorders>
            <w:vAlign w:val="center"/>
          </w:tcPr>
          <w:p w14:paraId="56166431" w14:textId="77777777" w:rsidR="001C06BB" w:rsidRPr="007E130D" w:rsidRDefault="001C06BB" w:rsidP="00B20AC9">
            <w:pPr>
              <w:pStyle w:val="Tabletext"/>
              <w:jc w:val="center"/>
            </w:pPr>
            <w:r w:rsidRPr="007E130D">
              <w:t>159</w:t>
            </w:r>
          </w:p>
        </w:tc>
        <w:tc>
          <w:tcPr>
            <w:tcW w:w="933" w:type="dxa"/>
            <w:tcBorders>
              <w:bottom w:val="single" w:sz="4" w:space="0" w:color="auto"/>
            </w:tcBorders>
          </w:tcPr>
          <w:p w14:paraId="340E8A4A" w14:textId="77777777" w:rsidR="001C06BB" w:rsidRPr="007E130D" w:rsidRDefault="001C06BB" w:rsidP="00B20AC9">
            <w:pPr>
              <w:pStyle w:val="Tabletext"/>
              <w:jc w:val="center"/>
            </w:pPr>
            <w:r w:rsidRPr="007E130D">
              <w:t>158</w:t>
            </w:r>
          </w:p>
        </w:tc>
        <w:tc>
          <w:tcPr>
            <w:tcW w:w="933" w:type="dxa"/>
            <w:tcBorders>
              <w:bottom w:val="single" w:sz="4" w:space="0" w:color="auto"/>
            </w:tcBorders>
          </w:tcPr>
          <w:p w14:paraId="2CDBF9B3" w14:textId="77777777" w:rsidR="001C06BB" w:rsidRPr="007E130D" w:rsidRDefault="001C06BB" w:rsidP="00B20AC9">
            <w:pPr>
              <w:pStyle w:val="Tabletext"/>
              <w:jc w:val="center"/>
            </w:pPr>
            <w:r w:rsidRPr="007E130D">
              <w:t>170</w:t>
            </w:r>
          </w:p>
        </w:tc>
        <w:tc>
          <w:tcPr>
            <w:tcW w:w="940" w:type="dxa"/>
            <w:tcBorders>
              <w:bottom w:val="single" w:sz="4" w:space="0" w:color="auto"/>
            </w:tcBorders>
            <w:noWrap/>
            <w:tcMar>
              <w:top w:w="0" w:type="dxa"/>
              <w:left w:w="108" w:type="dxa"/>
              <w:bottom w:w="0" w:type="dxa"/>
              <w:right w:w="108" w:type="dxa"/>
            </w:tcMar>
            <w:vAlign w:val="center"/>
          </w:tcPr>
          <w:p w14:paraId="0E070014" w14:textId="77777777" w:rsidR="001C06BB" w:rsidRPr="007E130D" w:rsidRDefault="001C06BB" w:rsidP="00B20AC9">
            <w:pPr>
              <w:pStyle w:val="Tabletext"/>
              <w:jc w:val="center"/>
            </w:pPr>
            <w:r w:rsidRPr="007E130D">
              <w:t>168</w:t>
            </w:r>
          </w:p>
        </w:tc>
        <w:tc>
          <w:tcPr>
            <w:tcW w:w="1418" w:type="dxa"/>
            <w:tcBorders>
              <w:bottom w:val="single" w:sz="4" w:space="0" w:color="auto"/>
            </w:tcBorders>
            <w:noWrap/>
            <w:tcMar>
              <w:top w:w="0" w:type="dxa"/>
              <w:left w:w="108" w:type="dxa"/>
              <w:bottom w:w="0" w:type="dxa"/>
              <w:right w:w="108" w:type="dxa"/>
            </w:tcMar>
            <w:vAlign w:val="center"/>
          </w:tcPr>
          <w:p w14:paraId="3D9AADA6" w14:textId="77777777" w:rsidR="001C06BB" w:rsidRPr="007E130D" w:rsidRDefault="001C06BB" w:rsidP="00B20AC9">
            <w:pPr>
              <w:pStyle w:val="Tabletext"/>
              <w:jc w:val="center"/>
            </w:pPr>
            <w:r w:rsidRPr="007E130D">
              <w:t>+9</w:t>
            </w:r>
          </w:p>
        </w:tc>
        <w:tc>
          <w:tcPr>
            <w:tcW w:w="1439" w:type="dxa"/>
            <w:tcBorders>
              <w:bottom w:val="single" w:sz="4" w:space="0" w:color="auto"/>
            </w:tcBorders>
            <w:noWrap/>
            <w:tcMar>
              <w:top w:w="0" w:type="dxa"/>
              <w:left w:w="108" w:type="dxa"/>
              <w:bottom w:w="0" w:type="dxa"/>
              <w:right w:w="108" w:type="dxa"/>
            </w:tcMar>
            <w:vAlign w:val="center"/>
          </w:tcPr>
          <w:p w14:paraId="72047D7D" w14:textId="77777777" w:rsidR="001C06BB" w:rsidRPr="007E130D" w:rsidRDefault="001C06BB" w:rsidP="00B20AC9">
            <w:pPr>
              <w:pStyle w:val="Tabletext"/>
              <w:jc w:val="center"/>
            </w:pPr>
            <w:r w:rsidRPr="007E130D">
              <w:t>+5,7%</w:t>
            </w:r>
          </w:p>
        </w:tc>
      </w:tr>
      <w:tr w:rsidR="001C06BB" w:rsidRPr="007E130D" w14:paraId="6F179B27" w14:textId="77777777" w:rsidTr="001C06BB">
        <w:trPr>
          <w:trHeight w:val="315"/>
          <w:jc w:val="center"/>
        </w:trPr>
        <w:tc>
          <w:tcPr>
            <w:tcW w:w="9435" w:type="dxa"/>
            <w:gridSpan w:val="7"/>
            <w:tcBorders>
              <w:left w:val="nil"/>
              <w:bottom w:val="nil"/>
              <w:right w:val="nil"/>
            </w:tcBorders>
            <w:noWrap/>
            <w:tcMar>
              <w:top w:w="0" w:type="dxa"/>
              <w:left w:w="108" w:type="dxa"/>
              <w:bottom w:w="0" w:type="dxa"/>
              <w:right w:w="108" w:type="dxa"/>
            </w:tcMar>
            <w:vAlign w:val="bottom"/>
          </w:tcPr>
          <w:p w14:paraId="402BDB99" w14:textId="31BA306C" w:rsidR="001C06BB" w:rsidRPr="007E130D" w:rsidRDefault="001C06BB" w:rsidP="00B20AC9">
            <w:pPr>
              <w:pStyle w:val="Tablelegend"/>
            </w:pPr>
            <w:r w:rsidRPr="007E130D">
              <w:t>*</w:t>
            </w:r>
            <w:r w:rsidRPr="007E130D">
              <w:tab/>
              <w:t>Jusqu'en juillet 2023</w:t>
            </w:r>
            <w:r w:rsidR="00E13E91" w:rsidRPr="007E130D">
              <w:t>.</w:t>
            </w:r>
          </w:p>
          <w:p w14:paraId="6D945897" w14:textId="77777777" w:rsidR="001C06BB" w:rsidRPr="007E130D" w:rsidRDefault="001C06BB" w:rsidP="00B20AC9">
            <w:pPr>
              <w:pStyle w:val="Tablelegend"/>
            </w:pPr>
            <w:r w:rsidRPr="007E130D">
              <w:t>**</w:t>
            </w:r>
            <w:r w:rsidRPr="007E130D">
              <w:tab/>
            </w:r>
            <w:r w:rsidR="00721A9D" w:rsidRPr="007E130D">
              <w:t>La catégorie des Associés a connu un bond de 110% entre 2020 et 2023 suite à l'introduction des PME dans la catégorie des Associés de l'UIT-R afin d'aider les petites organisations à rejoindre l'UIT-R au sein d'une Commission d'études spécifique</w:t>
            </w:r>
            <w:r w:rsidRPr="007E130D">
              <w:t>.</w:t>
            </w:r>
          </w:p>
        </w:tc>
      </w:tr>
    </w:tbl>
    <w:p w14:paraId="77A82292" w14:textId="77777777" w:rsidR="00A82EF2" w:rsidRPr="007E130D" w:rsidRDefault="00A82EF2" w:rsidP="00E13E91">
      <w:pPr>
        <w:pStyle w:val="Heading3"/>
        <w:spacing w:before="240"/>
      </w:pPr>
      <w:bookmarkStart w:id="238" w:name="_Toc424047607"/>
      <w:bookmarkStart w:id="239" w:name="_Toc426463265"/>
      <w:bookmarkStart w:id="240" w:name="_Toc19880084"/>
      <w:bookmarkStart w:id="241" w:name="_Toc147328840"/>
      <w:r w:rsidRPr="007E130D">
        <w:t>6.3.2</w:t>
      </w:r>
      <w:r w:rsidRPr="007E130D">
        <w:tab/>
        <w:t>Communication et promotion</w:t>
      </w:r>
      <w:bookmarkEnd w:id="238"/>
      <w:bookmarkEnd w:id="239"/>
      <w:bookmarkEnd w:id="240"/>
      <w:bookmarkEnd w:id="241"/>
    </w:p>
    <w:p w14:paraId="0843418A" w14:textId="25758393" w:rsidR="00A82EF2" w:rsidRPr="007E130D" w:rsidRDefault="00A82EF2" w:rsidP="00B20AC9">
      <w:pPr>
        <w:spacing w:before="100"/>
      </w:pPr>
      <w:r w:rsidRPr="007E130D">
        <w:t>Afin que l'UIT-R reste en phase avec ses objectifs stratégiques (renforcer l'image de marque et valoriser la réputation du Secteur, mobiliser les parties prenantes, internes et externes, faire participer ceux qui soutiennent le Secteur et défendre les intérêts des membres), le Bureau travaille en étroite collaboration avec la Division de la communication institutionnelle (CCD) et le Bureau de</w:t>
      </w:r>
      <w:r w:rsidR="00D0382F" w:rsidRPr="007E130D">
        <w:t>s relations avec la</w:t>
      </w:r>
      <w:r w:rsidRPr="007E130D">
        <w:t xml:space="preserve"> presse </w:t>
      </w:r>
      <w:r w:rsidR="00D0382F" w:rsidRPr="007E130D">
        <w:t xml:space="preserve">et les médias </w:t>
      </w:r>
      <w:r w:rsidRPr="007E130D">
        <w:t xml:space="preserve">de l'UIT, le Département des relations avec les membres et </w:t>
      </w:r>
      <w:r w:rsidRPr="007E130D">
        <w:lastRenderedPageBreak/>
        <w:t xml:space="preserve">d'autres départements concernés du Secrétariat général. Dans le cadre de cette collaboration, plusieurs réunions intersectorielles de l'UIT ont été organisées: </w:t>
      </w:r>
      <w:r w:rsidR="007F0501" w:rsidRPr="007E130D">
        <w:t xml:space="preserve">mécanisme de coordination intersectorielle, Journée du numérique au service des ODD, </w:t>
      </w:r>
      <w:r w:rsidRPr="007E130D">
        <w:t xml:space="preserve">Groupe spécial sur </w:t>
      </w:r>
      <w:r w:rsidR="007F0501" w:rsidRPr="007E130D">
        <w:t xml:space="preserve">le </w:t>
      </w:r>
      <w:r w:rsidRPr="007E130D">
        <w:t>SMSI</w:t>
      </w:r>
      <w:r w:rsidR="007F0501" w:rsidRPr="007E130D">
        <w:t xml:space="preserve"> et les ODD</w:t>
      </w:r>
      <w:r w:rsidRPr="007E130D">
        <w:t xml:space="preserve">, groupes </w:t>
      </w:r>
      <w:r w:rsidR="007F0501" w:rsidRPr="007E130D">
        <w:t>sur la communication institutionnelle</w:t>
      </w:r>
      <w:r w:rsidRPr="007E130D">
        <w:t xml:space="preserve">, </w:t>
      </w:r>
      <w:r w:rsidR="007F0501" w:rsidRPr="007E130D">
        <w:t>Comité de rédaction des Nouvelles de l</w:t>
      </w:r>
      <w:r w:rsidR="004E4493" w:rsidRPr="007E130D">
        <w:t>'</w:t>
      </w:r>
      <w:r w:rsidR="007F0501" w:rsidRPr="007E130D">
        <w:t xml:space="preserve">UIT, </w:t>
      </w:r>
      <w:r w:rsidRPr="007E130D">
        <w:t>Comité de</w:t>
      </w:r>
      <w:r w:rsidR="007F0501" w:rsidRPr="007E130D">
        <w:t xml:space="preserve"> rédaction du site web de l'UIT</w:t>
      </w:r>
      <w:r w:rsidRPr="007E130D">
        <w:t xml:space="preserve"> et Groupe spécial sur les questions de genre.</w:t>
      </w:r>
    </w:p>
    <w:p w14:paraId="17360069" w14:textId="7612D746" w:rsidR="00A82EF2" w:rsidRPr="007E130D" w:rsidRDefault="007F0501" w:rsidP="00B20AC9">
      <w:pPr>
        <w:spacing w:before="100"/>
      </w:pPr>
      <w:r w:rsidRPr="007E130D">
        <w:t xml:space="preserve">Les articles ci-après des Nouvelles de l'UIT, dont la publication est prévue sur le </w:t>
      </w:r>
      <w:hyperlink r:id="rId83" w:anchor="/fr" w:history="1">
        <w:r w:rsidRPr="007E130D">
          <w:rPr>
            <w:rStyle w:val="Hyperlink"/>
          </w:rPr>
          <w:t>pôle de l'UIT</w:t>
        </w:r>
      </w:hyperlink>
      <w:r w:rsidRPr="007E130D">
        <w:t xml:space="preserve"> (WordPress) pour préparer les éditions spéciales de la CMR-23, seront publiés avant, pendant ou après la conférence</w:t>
      </w:r>
      <w:r w:rsidR="00A82EF2" w:rsidRPr="007E130D">
        <w:t>:</w:t>
      </w:r>
    </w:p>
    <w:p w14:paraId="2D6E20EA" w14:textId="676FA936" w:rsidR="001C06BB" w:rsidRPr="007E130D" w:rsidRDefault="001C06BB" w:rsidP="00B20AC9">
      <w:pPr>
        <w:pStyle w:val="enumlev1"/>
      </w:pPr>
      <w:r w:rsidRPr="007E130D">
        <w:t>–</w:t>
      </w:r>
      <w:r w:rsidRPr="007E130D">
        <w:tab/>
      </w:r>
      <w:hyperlink r:id="rId84" w:anchor="/fr" w:history="1">
        <w:r w:rsidR="00761787" w:rsidRPr="007E130D">
          <w:rPr>
            <w:rStyle w:val="Hyperlink"/>
          </w:rPr>
          <w:t>CMR-23: le compte à rebours a commencé</w:t>
        </w:r>
        <w:r w:rsidRPr="007E130D">
          <w:rPr>
            <w:rStyle w:val="Hyperlink"/>
          </w:rPr>
          <w:t xml:space="preserve">, </w:t>
        </w:r>
        <w:r w:rsidR="003244C9" w:rsidRPr="007E130D">
          <w:rPr>
            <w:rStyle w:val="Hyperlink"/>
          </w:rPr>
          <w:t>N°</w:t>
        </w:r>
        <w:r w:rsidRPr="007E130D">
          <w:rPr>
            <w:rStyle w:val="Hyperlink"/>
          </w:rPr>
          <w:t xml:space="preserve"> 1, 2023</w:t>
        </w:r>
      </w:hyperlink>
      <w:r w:rsidR="004E4493" w:rsidRPr="007E130D">
        <w:t>.</w:t>
      </w:r>
    </w:p>
    <w:p w14:paraId="74F18141" w14:textId="6AAE06DA" w:rsidR="001C06BB" w:rsidRPr="007E130D" w:rsidRDefault="001C06BB" w:rsidP="00B20AC9">
      <w:pPr>
        <w:pStyle w:val="enumlev1"/>
        <w:rPr>
          <w:lang w:eastAsia="en-GB"/>
        </w:rPr>
      </w:pPr>
      <w:r w:rsidRPr="007E130D">
        <w:t>–</w:t>
      </w:r>
      <w:r w:rsidRPr="007E130D">
        <w:tab/>
      </w:r>
      <w:hyperlink r:id="rId85" w:anchor="/fr" w:history="1">
        <w:r w:rsidR="004B621F" w:rsidRPr="007E130D">
          <w:rPr>
            <w:rStyle w:val="Hyperlink"/>
          </w:rPr>
          <w:t>L</w:t>
        </w:r>
        <w:r w:rsidR="000155F8" w:rsidRPr="007E130D">
          <w:rPr>
            <w:rStyle w:val="Hyperlink"/>
          </w:rPr>
          <w:t xml:space="preserve">'avenir du </w:t>
        </w:r>
        <w:r w:rsidR="00484B48" w:rsidRPr="007E130D">
          <w:rPr>
            <w:rStyle w:val="Hyperlink"/>
          </w:rPr>
          <w:t>t</w:t>
        </w:r>
        <w:r w:rsidR="000155F8" w:rsidRPr="007E130D">
          <w:rPr>
            <w:rStyle w:val="Hyperlink"/>
          </w:rPr>
          <w:t xml:space="preserve">emps universel </w:t>
        </w:r>
        <w:r w:rsidR="00484B48" w:rsidRPr="007E130D">
          <w:rPr>
            <w:rStyle w:val="Hyperlink"/>
          </w:rPr>
          <w:t>c</w:t>
        </w:r>
        <w:r w:rsidR="004B621F" w:rsidRPr="007E130D">
          <w:rPr>
            <w:rStyle w:val="Hyperlink"/>
          </w:rPr>
          <w:t>oordonné, N° 2, 2023</w:t>
        </w:r>
      </w:hyperlink>
      <w:r w:rsidR="004E4493" w:rsidRPr="007E130D">
        <w:t>.</w:t>
      </w:r>
    </w:p>
    <w:p w14:paraId="6FF8890E" w14:textId="4E2C72EE" w:rsidR="001C06BB" w:rsidRPr="007E130D" w:rsidRDefault="001C06BB" w:rsidP="00B20AC9">
      <w:pPr>
        <w:pStyle w:val="enumlev1"/>
        <w:rPr>
          <w:lang w:eastAsia="en-GB"/>
        </w:rPr>
      </w:pPr>
      <w:r w:rsidRPr="007E130D">
        <w:t>–</w:t>
      </w:r>
      <w:r w:rsidRPr="007E130D">
        <w:tab/>
      </w:r>
      <w:hyperlink r:id="rId86" w:anchor="/fr" w:history="1">
        <w:r w:rsidR="00187F3A" w:rsidRPr="007E130D">
          <w:rPr>
            <w:rStyle w:val="Hyperlink"/>
          </w:rPr>
          <w:t>Terre, mer et ondes, N°</w:t>
        </w:r>
        <w:r w:rsidR="00226F47" w:rsidRPr="007E130D">
          <w:rPr>
            <w:rStyle w:val="Hyperlink"/>
          </w:rPr>
          <w:t xml:space="preserve"> </w:t>
        </w:r>
        <w:r w:rsidR="00187F3A" w:rsidRPr="007E130D">
          <w:rPr>
            <w:rStyle w:val="Hyperlink"/>
          </w:rPr>
          <w:t>3, 2023</w:t>
        </w:r>
      </w:hyperlink>
      <w:r w:rsidR="004E4493" w:rsidRPr="007E130D">
        <w:t>.</w:t>
      </w:r>
    </w:p>
    <w:p w14:paraId="2CAED466" w14:textId="1A41F040" w:rsidR="001C06BB" w:rsidRPr="007E130D" w:rsidRDefault="001C06BB" w:rsidP="00B20AC9">
      <w:pPr>
        <w:pStyle w:val="enumlev1"/>
        <w:rPr>
          <w:lang w:eastAsia="en-GB"/>
        </w:rPr>
      </w:pPr>
      <w:r w:rsidRPr="007E130D">
        <w:t>–</w:t>
      </w:r>
      <w:r w:rsidRPr="007E130D">
        <w:tab/>
      </w:r>
      <w:r w:rsidRPr="007E130D">
        <w:rPr>
          <w:lang w:eastAsia="en-GB"/>
        </w:rPr>
        <w:t>Services</w:t>
      </w:r>
      <w:r w:rsidR="00226F47" w:rsidRPr="007E130D">
        <w:rPr>
          <w:lang w:eastAsia="en-GB"/>
        </w:rPr>
        <w:t xml:space="preserve"> scientifiques</w:t>
      </w:r>
      <w:r w:rsidRPr="007E130D">
        <w:rPr>
          <w:lang w:eastAsia="en-GB"/>
        </w:rPr>
        <w:t>, N</w:t>
      </w:r>
      <w:r w:rsidR="00226F47" w:rsidRPr="007E130D">
        <w:rPr>
          <w:lang w:eastAsia="en-GB"/>
        </w:rPr>
        <w:t>°</w:t>
      </w:r>
      <w:r w:rsidRPr="007E130D">
        <w:rPr>
          <w:lang w:eastAsia="en-GB"/>
        </w:rPr>
        <w:t xml:space="preserve"> 4, 2023</w:t>
      </w:r>
      <w:r w:rsidR="004E4493" w:rsidRPr="007E130D">
        <w:rPr>
          <w:lang w:eastAsia="en-GB"/>
        </w:rPr>
        <w:t>.</w:t>
      </w:r>
    </w:p>
    <w:p w14:paraId="4A171FB3" w14:textId="6EAA8E48" w:rsidR="001C06BB" w:rsidRPr="007E130D" w:rsidRDefault="001C06BB" w:rsidP="00B20AC9">
      <w:pPr>
        <w:pStyle w:val="enumlev1"/>
      </w:pPr>
      <w:r w:rsidRPr="007E130D">
        <w:t>–</w:t>
      </w:r>
      <w:r w:rsidRPr="007E130D">
        <w:tab/>
      </w:r>
      <w:r w:rsidRPr="007E130D">
        <w:rPr>
          <w:lang w:eastAsia="en-GB"/>
        </w:rPr>
        <w:t>S</w:t>
      </w:r>
      <w:r w:rsidR="00226F47" w:rsidRPr="007E130D">
        <w:rPr>
          <w:lang w:eastAsia="en-GB"/>
        </w:rPr>
        <w:t>ervices scientifiques</w:t>
      </w:r>
      <w:r w:rsidRPr="007E130D">
        <w:rPr>
          <w:lang w:eastAsia="en-GB"/>
        </w:rPr>
        <w:t xml:space="preserve"> (</w:t>
      </w:r>
      <w:r w:rsidR="006A320F" w:rsidRPr="007E130D">
        <w:rPr>
          <w:lang w:eastAsia="en-GB"/>
        </w:rPr>
        <w:t>télédétection</w:t>
      </w:r>
      <w:r w:rsidRPr="007E130D">
        <w:rPr>
          <w:lang w:eastAsia="en-GB"/>
        </w:rPr>
        <w:t>), N</w:t>
      </w:r>
      <w:r w:rsidR="006A320F" w:rsidRPr="007E130D">
        <w:rPr>
          <w:lang w:eastAsia="en-GB"/>
        </w:rPr>
        <w:t>°</w:t>
      </w:r>
      <w:r w:rsidRPr="007E130D">
        <w:rPr>
          <w:lang w:eastAsia="en-GB"/>
        </w:rPr>
        <w:t xml:space="preserve"> 5, 2023</w:t>
      </w:r>
      <w:r w:rsidR="004E4493" w:rsidRPr="007E130D">
        <w:rPr>
          <w:lang w:eastAsia="en-GB"/>
        </w:rPr>
        <w:t>.</w:t>
      </w:r>
    </w:p>
    <w:p w14:paraId="7427FD47" w14:textId="2021417E" w:rsidR="001C06BB" w:rsidRPr="007E130D" w:rsidRDefault="001C06BB" w:rsidP="00B20AC9">
      <w:pPr>
        <w:pStyle w:val="enumlev1"/>
        <w:rPr>
          <w:lang w:eastAsia="en-GB"/>
        </w:rPr>
      </w:pPr>
      <w:r w:rsidRPr="007E130D">
        <w:t>–</w:t>
      </w:r>
      <w:r w:rsidRPr="007E130D">
        <w:tab/>
      </w:r>
      <w:r w:rsidR="006A320F" w:rsidRPr="007E130D">
        <w:t xml:space="preserve">Résultats de la CMR-23, </w:t>
      </w:r>
      <w:r w:rsidRPr="007E130D">
        <w:rPr>
          <w:lang w:eastAsia="en-GB"/>
        </w:rPr>
        <w:t>N</w:t>
      </w:r>
      <w:r w:rsidR="006A320F" w:rsidRPr="007E130D">
        <w:rPr>
          <w:lang w:eastAsia="en-GB"/>
        </w:rPr>
        <w:t>°</w:t>
      </w:r>
      <w:r w:rsidRPr="007E130D">
        <w:rPr>
          <w:lang w:eastAsia="en-GB"/>
        </w:rPr>
        <w:t xml:space="preserve"> 1, 2024</w:t>
      </w:r>
      <w:r w:rsidR="004E4493" w:rsidRPr="007E130D">
        <w:rPr>
          <w:lang w:eastAsia="en-GB"/>
        </w:rPr>
        <w:t>.</w:t>
      </w:r>
    </w:p>
    <w:p w14:paraId="3D2C722C" w14:textId="36DA3074" w:rsidR="001C06BB" w:rsidRPr="007E130D" w:rsidRDefault="001C06BB" w:rsidP="00B20AC9">
      <w:pPr>
        <w:pStyle w:val="enumlev1"/>
        <w:rPr>
          <w:lang w:eastAsia="en-GB"/>
        </w:rPr>
      </w:pPr>
      <w:r w:rsidRPr="007E130D">
        <w:t>–</w:t>
      </w:r>
      <w:r w:rsidRPr="007E130D">
        <w:tab/>
      </w:r>
      <w:r w:rsidR="006A320F" w:rsidRPr="007E130D">
        <w:rPr>
          <w:lang w:eastAsia="en-GB"/>
        </w:rPr>
        <w:t>Gestion du spectre lunaire</w:t>
      </w:r>
      <w:r w:rsidRPr="007E130D">
        <w:rPr>
          <w:lang w:eastAsia="en-GB"/>
        </w:rPr>
        <w:t>, N</w:t>
      </w:r>
      <w:r w:rsidR="006A320F" w:rsidRPr="007E130D">
        <w:rPr>
          <w:lang w:eastAsia="en-GB"/>
        </w:rPr>
        <w:t>°</w:t>
      </w:r>
      <w:r w:rsidRPr="007E130D">
        <w:rPr>
          <w:lang w:eastAsia="en-GB"/>
        </w:rPr>
        <w:t xml:space="preserve"> 2, 2024</w:t>
      </w:r>
      <w:r w:rsidR="004E4493" w:rsidRPr="007E130D">
        <w:rPr>
          <w:lang w:eastAsia="en-GB"/>
        </w:rPr>
        <w:t>.</w:t>
      </w:r>
    </w:p>
    <w:p w14:paraId="6D24D2AE" w14:textId="77777777" w:rsidR="001C06BB" w:rsidRPr="007E130D" w:rsidRDefault="006A320F" w:rsidP="00B20AC9">
      <w:pPr>
        <w:pStyle w:val="enumlev1"/>
        <w:ind w:left="0" w:firstLine="0"/>
      </w:pPr>
      <w:r w:rsidRPr="007E130D">
        <w:t>Les activités suivantes ont été organisées pour créer une image de marque et renforcer la visibilité et la réputation</w:t>
      </w:r>
      <w:r w:rsidR="001C06BB" w:rsidRPr="007E130D">
        <w:t>:</w:t>
      </w:r>
    </w:p>
    <w:p w14:paraId="38B34F1A" w14:textId="6EE255F6" w:rsidR="001C06BB" w:rsidRPr="007E130D" w:rsidRDefault="001C06BB" w:rsidP="00B20AC9">
      <w:pPr>
        <w:pStyle w:val="enumlev1"/>
      </w:pPr>
      <w:r w:rsidRPr="007E130D">
        <w:t>–</w:t>
      </w:r>
      <w:r w:rsidRPr="007E130D">
        <w:tab/>
      </w:r>
      <w:r w:rsidR="006A320F" w:rsidRPr="007E130D">
        <w:t>L'</w:t>
      </w:r>
      <w:hyperlink r:id="rId87" w:anchor="/fr" w:history="1">
        <w:r w:rsidR="006A320F" w:rsidRPr="007E130D">
          <w:rPr>
            <w:rStyle w:val="Hyperlink"/>
          </w:rPr>
          <w:t>exposition sur la radio de l</w:t>
        </w:r>
        <w:r w:rsidR="004E4493" w:rsidRPr="007E130D">
          <w:rPr>
            <w:rStyle w:val="Hyperlink"/>
          </w:rPr>
          <w:t>'</w:t>
        </w:r>
        <w:r w:rsidR="006A320F" w:rsidRPr="007E130D">
          <w:rPr>
            <w:rStyle w:val="Hyperlink"/>
          </w:rPr>
          <w:t>avenir</w:t>
        </w:r>
      </w:hyperlink>
      <w:r w:rsidR="006A320F" w:rsidRPr="007E130D">
        <w:t>, organisée du 27 mars au 6 avril 2023 parallèlement à la RPC23-2, a constitué un moment fort. Elle était ouverte au public et l'entrée était gratuite à l'espace Jeanne Hirsch du CICG, à Genève (Suisse).</w:t>
      </w:r>
    </w:p>
    <w:p w14:paraId="51EE75E1" w14:textId="3ADA310E" w:rsidR="001C06BB" w:rsidRPr="007E130D" w:rsidRDefault="001C06BB" w:rsidP="00B20AC9">
      <w:pPr>
        <w:pStyle w:val="enumlev1"/>
      </w:pPr>
      <w:r w:rsidRPr="007E130D">
        <w:t>–</w:t>
      </w:r>
      <w:r w:rsidRPr="007E130D">
        <w:tab/>
      </w:r>
      <w:r w:rsidR="006A320F" w:rsidRPr="007E130D">
        <w:t xml:space="preserve">En 2020, la série </w:t>
      </w:r>
      <w:r w:rsidR="004E4493" w:rsidRPr="007E130D">
        <w:t>«</w:t>
      </w:r>
      <w:r w:rsidR="006A320F" w:rsidRPr="007E130D">
        <w:t xml:space="preserve">Best of </w:t>
      </w:r>
      <w:hyperlink r:id="rId88" w:history="1">
        <w:r w:rsidR="006A320F" w:rsidRPr="007E130D">
          <w:rPr>
            <w:rStyle w:val="Hyperlink"/>
          </w:rPr>
          <w:t>WRS ONLINE 2020</w:t>
        </w:r>
      </w:hyperlink>
      <w:r w:rsidR="004E4493" w:rsidRPr="007E130D">
        <w:t>»</w:t>
      </w:r>
      <w:r w:rsidR="006A320F" w:rsidRPr="007E130D">
        <w:t xml:space="preserve"> pour la visibilité et le renforcement des capacités a été créée à la suite du Séminaire mondial des radiocommunications 2020 (WRS-20) qui a été présenté sous la forme d</w:t>
      </w:r>
      <w:r w:rsidR="000C4CDD" w:rsidRPr="007E130D">
        <w:t>'</w:t>
      </w:r>
      <w:r w:rsidR="006A320F" w:rsidRPr="007E130D">
        <w:t>une manifestation en ligne de deux semaines où, pour la première fois, les sessions plénières du séminaire étaient ouvertes à tous, y compris aux entités qui ne sont pas membres du Secteur des radiocommunications (UIT-R).</w:t>
      </w:r>
    </w:p>
    <w:p w14:paraId="442D25FC" w14:textId="77777777" w:rsidR="00A82EF2" w:rsidRPr="007E130D" w:rsidRDefault="00A82EF2" w:rsidP="00B20AC9">
      <w:pPr>
        <w:pStyle w:val="Heading3"/>
      </w:pPr>
      <w:bookmarkStart w:id="242" w:name="_Toc19880085"/>
      <w:bookmarkStart w:id="243" w:name="_Toc147328841"/>
      <w:r w:rsidRPr="007E130D">
        <w:t>6.3.3</w:t>
      </w:r>
      <w:r w:rsidRPr="007E130D">
        <w:tab/>
        <w:t>Gestion du web</w:t>
      </w:r>
      <w:bookmarkEnd w:id="242"/>
      <w:bookmarkEnd w:id="243"/>
    </w:p>
    <w:p w14:paraId="131707F2" w14:textId="5CBFF108" w:rsidR="00A82EF2" w:rsidRPr="007E130D" w:rsidRDefault="00A82EF2" w:rsidP="00B20AC9">
      <w:pPr>
        <w:spacing w:before="100"/>
      </w:pPr>
      <w:bookmarkStart w:id="244" w:name="lt_pId1403"/>
      <w:r w:rsidRPr="007E130D">
        <w:t>Le BR a continué de servir les objectifs stratégiques du Secteur de l'UIT-R, en publiant des communications sur les pages d'accueil du site web du BR (</w:t>
      </w:r>
      <w:hyperlink r:id="rId89" w:history="1">
        <w:r w:rsidRPr="007E130D">
          <w:rPr>
            <w:rStyle w:val="Hyperlink"/>
          </w:rPr>
          <w:t>www.itu.int/ITU-R/</w:t>
        </w:r>
      </w:hyperlink>
      <w:r w:rsidRPr="007E130D">
        <w:t>), qui est régulièrement actualisé en fonction des travaux entrepris par le Secteur et, dans la mesure du possible, dans les six langues officielles de l'UIT.</w:t>
      </w:r>
      <w:r w:rsidR="001C06BB" w:rsidRPr="007E130D">
        <w:t xml:space="preserve"> </w:t>
      </w:r>
      <w:r w:rsidR="003F3768" w:rsidRPr="007E130D">
        <w:t>Un certain nombre de sites web de conférences, de séminaires et de sites web importants ont été déplacés vers WordPress, comme suit: Conférence mondiale des radiocommunications 2023 (</w:t>
      </w:r>
      <w:hyperlink r:id="rId90" w:history="1">
        <w:r w:rsidR="003F3768" w:rsidRPr="007E130D">
          <w:rPr>
            <w:rStyle w:val="Hyperlink"/>
          </w:rPr>
          <w:t>CMR-23</w:t>
        </w:r>
      </w:hyperlink>
      <w:r w:rsidR="003F3768" w:rsidRPr="007E130D">
        <w:t>), Assemblée des radiocommunications 2023 (</w:t>
      </w:r>
      <w:hyperlink r:id="rId91" w:history="1">
        <w:r w:rsidR="003F3768" w:rsidRPr="007E130D">
          <w:rPr>
            <w:rStyle w:val="Hyperlink"/>
          </w:rPr>
          <w:t>AR-23</w:t>
        </w:r>
      </w:hyperlink>
      <w:r w:rsidR="003F3768" w:rsidRPr="007E130D">
        <w:t>), Réseau des femmes pour la CMR-23 (</w:t>
      </w:r>
      <w:hyperlink r:id="rId92" w:history="1">
        <w:r w:rsidR="003F3768" w:rsidRPr="007E130D">
          <w:rPr>
            <w:rStyle w:val="Hyperlink"/>
          </w:rPr>
          <w:t>NOW4WRC23</w:t>
        </w:r>
      </w:hyperlink>
      <w:r w:rsidR="003F3768" w:rsidRPr="007E130D">
        <w:t xml:space="preserve">), </w:t>
      </w:r>
      <w:hyperlink r:id="rId93" w:anchor="/fr" w:history="1">
        <w:r w:rsidR="003F3768" w:rsidRPr="007E130D">
          <w:rPr>
            <w:rStyle w:val="Hyperlink"/>
          </w:rPr>
          <w:t>Exposition «La radio de l</w:t>
        </w:r>
        <w:r w:rsidR="004E4493" w:rsidRPr="007E130D">
          <w:rPr>
            <w:rStyle w:val="Hyperlink"/>
          </w:rPr>
          <w:t>'</w:t>
        </w:r>
        <w:r w:rsidR="003F3768" w:rsidRPr="007E130D">
          <w:rPr>
            <w:rStyle w:val="Hyperlink"/>
          </w:rPr>
          <w:t>avenir maintenant» 2023</w:t>
        </w:r>
      </w:hyperlink>
      <w:r w:rsidR="003F3768" w:rsidRPr="007E130D">
        <w:t xml:space="preserve">, </w:t>
      </w:r>
      <w:hyperlink r:id="rId94" w:history="1">
        <w:r w:rsidR="003F3768" w:rsidRPr="007E130D">
          <w:rPr>
            <w:rStyle w:val="Hyperlink"/>
          </w:rPr>
          <w:t>Séminaire mondial des radiocommunications 2022 (WRS-22)</w:t>
        </w:r>
      </w:hyperlink>
      <w:r w:rsidR="003F3768" w:rsidRPr="007E130D">
        <w:t xml:space="preserve">, </w:t>
      </w:r>
      <w:hyperlink r:id="rId95" w:history="1">
        <w:r w:rsidR="003F3768" w:rsidRPr="007E130D">
          <w:rPr>
            <w:rStyle w:val="Hyperlink"/>
          </w:rPr>
          <w:t>Journée mondiale de la radio 2022</w:t>
        </w:r>
      </w:hyperlink>
      <w:r w:rsidR="003F3768" w:rsidRPr="007E130D">
        <w:t xml:space="preserve"> (WRD-22). Les avantages de la migration vers WordPress sont une interface conviviale, une gestion du contenu rapide et facile à éditer et une réactivité adaptée aux mobiles</w:t>
      </w:r>
      <w:r w:rsidR="001C06BB" w:rsidRPr="007E130D">
        <w:t>.</w:t>
      </w:r>
    </w:p>
    <w:p w14:paraId="759888C1" w14:textId="29F156C5" w:rsidR="00A82EF2" w:rsidRPr="007E130D" w:rsidRDefault="00A82EF2" w:rsidP="00B20AC9">
      <w:bookmarkStart w:id="245" w:name="lt_pId1404"/>
      <w:bookmarkEnd w:id="244"/>
      <w:r w:rsidRPr="007E130D">
        <w:t>Le service des communications de l'UIT</w:t>
      </w:r>
      <w:r w:rsidRPr="007E130D">
        <w:noBreakHyphen/>
        <w:t xml:space="preserve">R a continué de diffuser des informations </w:t>
      </w:r>
      <w:r w:rsidR="00076665" w:rsidRPr="007E130D">
        <w:t>au moyen</w:t>
      </w:r>
      <w:r w:rsidR="007370BF" w:rsidRPr="007E130D">
        <w:t xml:space="preserve"> </w:t>
      </w:r>
      <w:r w:rsidR="00076665" w:rsidRPr="007E130D">
        <w:t>d</w:t>
      </w:r>
      <w:r w:rsidR="004E4493" w:rsidRPr="007E130D">
        <w:t>'</w:t>
      </w:r>
      <w:r w:rsidR="007370BF" w:rsidRPr="007E130D">
        <w:t>articles</w:t>
      </w:r>
      <w:r w:rsidR="00076665" w:rsidRPr="007E130D">
        <w:t xml:space="preserve"> publiés</w:t>
      </w:r>
      <w:r w:rsidR="007370BF" w:rsidRPr="007E130D">
        <w:t xml:space="preserve"> sur le </w:t>
      </w:r>
      <w:hyperlink r:id="rId96" w:anchor="/fr" w:history="1">
        <w:r w:rsidR="007370BF" w:rsidRPr="007E130D">
          <w:rPr>
            <w:rStyle w:val="Hyperlink"/>
          </w:rPr>
          <w:t>pôle de l</w:t>
        </w:r>
        <w:r w:rsidR="004E4493" w:rsidRPr="007E130D">
          <w:rPr>
            <w:rStyle w:val="Hyperlink"/>
          </w:rPr>
          <w:t>'</w:t>
        </w:r>
        <w:r w:rsidR="007370BF" w:rsidRPr="007E130D">
          <w:rPr>
            <w:rStyle w:val="Hyperlink"/>
          </w:rPr>
          <w:t>UIT</w:t>
        </w:r>
      </w:hyperlink>
      <w:r w:rsidR="007370BF" w:rsidRPr="007E130D">
        <w:t xml:space="preserve"> et via </w:t>
      </w:r>
      <w:r w:rsidRPr="007E130D">
        <w:t xml:space="preserve">les réseaux sociaux par le biais de la </w:t>
      </w:r>
      <w:hyperlink r:id="rId97" w:history="1">
        <w:r w:rsidR="007370BF" w:rsidRPr="007E130D">
          <w:rPr>
            <w:rStyle w:val="Hyperlink"/>
          </w:rPr>
          <w:t>salle de presse twitter de l</w:t>
        </w:r>
        <w:r w:rsidR="004E4493" w:rsidRPr="007E130D">
          <w:rPr>
            <w:rStyle w:val="Hyperlink"/>
          </w:rPr>
          <w:t>'</w:t>
        </w:r>
        <w:r w:rsidR="007370BF" w:rsidRPr="007E130D">
          <w:rPr>
            <w:rStyle w:val="Hyperlink"/>
          </w:rPr>
          <w:t>UIT-R</w:t>
        </w:r>
      </w:hyperlink>
      <w:r w:rsidRPr="007E130D">
        <w:t>,</w:t>
      </w:r>
      <w:bookmarkEnd w:id="245"/>
      <w:r w:rsidRPr="007E130D">
        <w:t xml:space="preserve"> principalement à l'intention des Membres de l'UIT, des participants et délégués aux commissions d'études de l'UIT-R, des établissements universitaires participant aux travaux, des revues techniques spécialisées, des instituts de recherche, des médias, du personnel de l'UIT et du grand public.</w:t>
      </w:r>
    </w:p>
    <w:p w14:paraId="77C35D01" w14:textId="6613D622" w:rsidR="001C06BB" w:rsidRPr="007E130D" w:rsidRDefault="00A82EF2" w:rsidP="00130B4A">
      <w:pPr>
        <w:keepNext/>
        <w:keepLines/>
      </w:pPr>
      <w:r w:rsidRPr="007E130D">
        <w:lastRenderedPageBreak/>
        <w:t xml:space="preserve">Le </w:t>
      </w:r>
      <w:hyperlink r:id="rId98" w:history="1">
        <w:r w:rsidRPr="007E130D">
          <w:rPr>
            <w:rStyle w:val="Hyperlink"/>
          </w:rPr>
          <w:t>coin du Directeur du BR</w:t>
        </w:r>
      </w:hyperlink>
      <w:r w:rsidRPr="007E130D">
        <w:t xml:space="preserve"> a été réorganisé</w:t>
      </w:r>
      <w:r w:rsidR="00076665" w:rsidRPr="007E130D">
        <w:t xml:space="preserve"> en 2022 pour mettre à jour la biographie du Directeur suite à sa réélection à la PP-22. Il comprend des blogs publiés sous son nom ainsi que des magazines et des articles des Nouvelles de l'UIT qui se concentrent sur les travaux du Bureau. Il contient en outre des photos, des allocutions et présentations, </w:t>
      </w:r>
      <w:r w:rsidRPr="007E130D">
        <w:t>ainsi que le calendrier, des vidéos et des photos des réunions.</w:t>
      </w:r>
    </w:p>
    <w:p w14:paraId="1CD3EA2C" w14:textId="6C922FB9" w:rsidR="00A82EF2" w:rsidRPr="007E130D" w:rsidRDefault="00A82EF2" w:rsidP="00B20AC9">
      <w:r w:rsidRPr="007E130D">
        <w:t xml:space="preserve">Une </w:t>
      </w:r>
      <w:hyperlink r:id="rId99" w:history="1">
        <w:r w:rsidRPr="007E130D">
          <w:rPr>
            <w:rStyle w:val="Hyperlink"/>
          </w:rPr>
          <w:t>Salle de presse de la CMR-</w:t>
        </w:r>
      </w:hyperlink>
      <w:r w:rsidR="001C06BB" w:rsidRPr="007E130D">
        <w:rPr>
          <w:rStyle w:val="Hyperlink"/>
        </w:rPr>
        <w:t>23</w:t>
      </w:r>
      <w:r w:rsidRPr="007E130D">
        <w:t xml:space="preserve"> a été mise en place à l'intention des membres, des délégués, des exposants, des médias et du grand public, etc., afin de les tenir informés des enjeux examinés et des questions qui feront l'objet de décisions lors de la Conférence mondiale des radiocommunications de 20</w:t>
      </w:r>
      <w:r w:rsidR="009024E5" w:rsidRPr="007E130D">
        <w:t>23</w:t>
      </w:r>
      <w:r w:rsidRPr="007E130D">
        <w:t xml:space="preserve"> (</w:t>
      </w:r>
      <w:hyperlink r:id="rId100" w:history="1">
        <w:r w:rsidRPr="007E130D">
          <w:rPr>
            <w:rStyle w:val="Hyperlink"/>
          </w:rPr>
          <w:t>CMR-</w:t>
        </w:r>
      </w:hyperlink>
      <w:r w:rsidR="009024E5" w:rsidRPr="007E130D">
        <w:rPr>
          <w:rStyle w:val="Hyperlink"/>
        </w:rPr>
        <w:t>23</w:t>
      </w:r>
      <w:r w:rsidR="00D1394A" w:rsidRPr="007E130D">
        <w:t xml:space="preserve">). </w:t>
      </w:r>
      <w:r w:rsidR="00D1394A" w:rsidRPr="007E130D">
        <w:rPr>
          <w:color w:val="000000"/>
        </w:rPr>
        <w:t>Le hashtag suivant</w:t>
      </w:r>
      <w:r w:rsidRPr="007E130D">
        <w:rPr>
          <w:color w:val="000000"/>
        </w:rPr>
        <w:t xml:space="preserve"> sur les réseaux sociaux </w:t>
      </w:r>
      <w:r w:rsidR="00D1394A" w:rsidRPr="007E130D">
        <w:rPr>
          <w:color w:val="000000"/>
        </w:rPr>
        <w:t>a été créé</w:t>
      </w:r>
      <w:r w:rsidRPr="007E130D">
        <w:rPr>
          <w:color w:val="000000"/>
        </w:rPr>
        <w:t>:</w:t>
      </w:r>
      <w:r w:rsidRPr="007E130D">
        <w:t xml:space="preserve"> </w:t>
      </w:r>
      <w:hyperlink r:id="rId101" w:history="1">
        <w:r w:rsidRPr="007E130D">
          <w:rPr>
            <w:rStyle w:val="Hyperlink"/>
          </w:rPr>
          <w:t>#ITUWRC</w:t>
        </w:r>
      </w:hyperlink>
      <w:r w:rsidR="00D1394A" w:rsidRPr="007E130D">
        <w:t>.</w:t>
      </w:r>
    </w:p>
    <w:p w14:paraId="08CB68BD" w14:textId="77777777" w:rsidR="00A82EF2" w:rsidRPr="007E130D" w:rsidRDefault="00A82EF2" w:rsidP="00B20AC9">
      <w:pPr>
        <w:pStyle w:val="Heading3"/>
      </w:pPr>
      <w:bookmarkStart w:id="246" w:name="_Toc424047609"/>
      <w:bookmarkStart w:id="247" w:name="_Toc426463267"/>
      <w:bookmarkStart w:id="248" w:name="_Toc19880086"/>
      <w:bookmarkStart w:id="249" w:name="_Toc147328842"/>
      <w:r w:rsidRPr="007E130D">
        <w:t>6.3.4</w:t>
      </w:r>
      <w:r w:rsidRPr="007E130D">
        <w:tab/>
        <w:t>Questions les plus fréquemment posées (FAQ)</w:t>
      </w:r>
      <w:bookmarkEnd w:id="246"/>
      <w:bookmarkEnd w:id="247"/>
      <w:r w:rsidRPr="007E130D">
        <w:t xml:space="preserve"> et documents d'information</w:t>
      </w:r>
      <w:bookmarkEnd w:id="248"/>
      <w:bookmarkEnd w:id="249"/>
    </w:p>
    <w:p w14:paraId="7E7DCA76" w14:textId="77777777" w:rsidR="00A82EF2" w:rsidRPr="007E130D" w:rsidRDefault="00A82EF2" w:rsidP="00B20AC9">
      <w:r w:rsidRPr="007E130D">
        <w:t xml:space="preserve">Le BR continue d'actualiser à intervalles réguliers les </w:t>
      </w:r>
      <w:r w:rsidRPr="007E130D">
        <w:rPr>
          <w:color w:val="000000"/>
        </w:rPr>
        <w:t>diverses foires aux questions</w:t>
      </w:r>
      <w:r w:rsidRPr="007E130D">
        <w:t xml:space="preserve"> </w:t>
      </w:r>
      <w:r w:rsidRPr="007E130D">
        <w:rPr>
          <w:color w:val="000000"/>
        </w:rPr>
        <w:t xml:space="preserve">(FAQ). </w:t>
      </w:r>
      <w:r w:rsidRPr="007E130D">
        <w:t xml:space="preserve">Ces rubriques, </w:t>
      </w:r>
      <w:r w:rsidRPr="007E130D">
        <w:rPr>
          <w:color w:val="000000"/>
        </w:rPr>
        <w:t>qui peuvent être consultées par les médias, le secteur privé ainsi que le grand public, portent actuellement sur les thèmes suivants:</w:t>
      </w:r>
    </w:p>
    <w:p w14:paraId="3ACD0CB9" w14:textId="424AA2B4" w:rsidR="00A82EF2" w:rsidRPr="007E130D" w:rsidRDefault="00A82EF2" w:rsidP="00B20AC9">
      <w:pPr>
        <w:pStyle w:val="enumlev1"/>
      </w:pPr>
      <w:r w:rsidRPr="007E130D">
        <w:t>–</w:t>
      </w:r>
      <w:r w:rsidRPr="007E130D">
        <w:tab/>
      </w:r>
      <w:r w:rsidR="00C40B0F" w:rsidRPr="007E130D">
        <w:t>R</w:t>
      </w:r>
      <w:r w:rsidRPr="007E130D">
        <w:t>èglement des radiocommunications (RR), commissions d'études (CE) de</w:t>
      </w:r>
      <w:r w:rsidR="00C40B0F" w:rsidRPr="007E130D">
        <w:t> </w:t>
      </w:r>
      <w:r w:rsidRPr="007E130D">
        <w:t>l'UIT</w:t>
      </w:r>
      <w:r w:rsidR="00C40B0F" w:rsidRPr="007E130D">
        <w:noBreakHyphen/>
      </w:r>
      <w:r w:rsidRPr="007E130D">
        <w:t>R,</w:t>
      </w:r>
      <w:r w:rsidR="00C40B0F" w:rsidRPr="007E130D">
        <w:t> </w:t>
      </w:r>
      <w:r w:rsidRPr="007E130D">
        <w:t>RRB, GCR, BR</w:t>
      </w:r>
      <w:r w:rsidR="00C40B0F" w:rsidRPr="007E130D">
        <w:t>;</w:t>
      </w:r>
    </w:p>
    <w:p w14:paraId="676DF8C9" w14:textId="566E1F14" w:rsidR="00A82EF2" w:rsidRPr="007E130D" w:rsidRDefault="00A82EF2" w:rsidP="00B20AC9">
      <w:pPr>
        <w:pStyle w:val="enumlev1"/>
      </w:pPr>
      <w:r w:rsidRPr="007E130D">
        <w:t>–</w:t>
      </w:r>
      <w:r w:rsidRPr="007E130D">
        <w:tab/>
      </w:r>
      <w:r w:rsidR="00C40B0F" w:rsidRPr="007E130D">
        <w:t>T</w:t>
      </w:r>
      <w:r w:rsidRPr="007E130D">
        <w:t xml:space="preserve">élécommunications mobiles internationales (IMT) et </w:t>
      </w:r>
      <w:r w:rsidRPr="007E130D">
        <w:rPr>
          <w:color w:val="000000"/>
        </w:rPr>
        <w:t>accès hertzien large bande</w:t>
      </w:r>
      <w:r w:rsidR="00C40B0F" w:rsidRPr="007E130D">
        <w:rPr>
          <w:color w:val="000000"/>
        </w:rPr>
        <w:t>;</w:t>
      </w:r>
    </w:p>
    <w:p w14:paraId="01B90133" w14:textId="1BDF2F74" w:rsidR="00A82EF2" w:rsidRPr="007E130D" w:rsidRDefault="00A82EF2" w:rsidP="00B20AC9">
      <w:pPr>
        <w:pStyle w:val="enumlev1"/>
      </w:pPr>
      <w:r w:rsidRPr="007E130D">
        <w:t>––</w:t>
      </w:r>
      <w:r w:rsidRPr="007E130D">
        <w:tab/>
      </w:r>
      <w:r w:rsidR="00C40B0F" w:rsidRPr="007E130D">
        <w:t>f</w:t>
      </w:r>
      <w:r w:rsidRPr="007E130D">
        <w:t>iches de notification de réseaux à satellite et procédures connexes</w:t>
      </w:r>
      <w:r w:rsidR="00C40B0F" w:rsidRPr="007E130D">
        <w:t>.</w:t>
      </w:r>
    </w:p>
    <w:p w14:paraId="316FB4EE" w14:textId="2C8E4806" w:rsidR="00A82EF2" w:rsidRPr="007E130D" w:rsidRDefault="00A82EF2" w:rsidP="00B20AC9">
      <w:r w:rsidRPr="007E130D">
        <w:rPr>
          <w:color w:val="000000"/>
        </w:rPr>
        <w:t xml:space="preserve">Ces FAQ sont accessibles en ligne sur la page web de l'UIT-R (en haut à droite de l'écran) </w:t>
      </w:r>
      <w:r w:rsidRPr="007E130D">
        <w:t>(</w:t>
      </w:r>
      <w:hyperlink r:id="rId102">
        <w:r w:rsidR="009024E5" w:rsidRPr="007E130D">
          <w:rPr>
            <w:rStyle w:val="Hyperlink"/>
          </w:rPr>
          <w:t>http://www.itu.int/en/ITU-R/Pages/default.aspx</w:t>
        </w:r>
      </w:hyperlink>
      <w:r w:rsidRPr="007E130D">
        <w:t>).</w:t>
      </w:r>
    </w:p>
    <w:p w14:paraId="257CD92B" w14:textId="77777777" w:rsidR="00A82EF2" w:rsidRPr="007E130D" w:rsidRDefault="00A82EF2" w:rsidP="00B20AC9">
      <w:r w:rsidRPr="007E130D">
        <w:t xml:space="preserve">En plus de la FAQ, le BR </w:t>
      </w:r>
      <w:r w:rsidR="005E4B7D" w:rsidRPr="007E130D">
        <w:t>met à jour régulièrement</w:t>
      </w:r>
      <w:r w:rsidRPr="007E130D">
        <w:t xml:space="preserve"> des </w:t>
      </w:r>
      <w:r w:rsidRPr="007E130D">
        <w:rPr>
          <w:color w:val="000000"/>
        </w:rPr>
        <w:t>documents d'information sur les principaux thèmes qui intéressent les médias</w:t>
      </w:r>
      <w:r w:rsidRPr="007E130D">
        <w:t>, à savoir:</w:t>
      </w:r>
    </w:p>
    <w:p w14:paraId="41A414C6" w14:textId="69BE600A" w:rsidR="00A82EF2" w:rsidRPr="007E130D" w:rsidRDefault="00A82EF2" w:rsidP="00B20AC9">
      <w:pPr>
        <w:pStyle w:val="enumlev1"/>
      </w:pPr>
      <w:r w:rsidRPr="007E130D">
        <w:t>–</w:t>
      </w:r>
      <w:r w:rsidRPr="007E130D">
        <w:tab/>
      </w:r>
      <w:hyperlink r:id="rId103" w:history="1">
        <w:r w:rsidRPr="007E130D">
          <w:rPr>
            <w:rStyle w:val="Hyperlink"/>
          </w:rPr>
          <w:t>5G – Technologies mobiles de cinquième génération (IMT-2020 et au-delà)</w:t>
        </w:r>
      </w:hyperlink>
      <w:r w:rsidR="00C40B0F" w:rsidRPr="007E130D">
        <w:rPr>
          <w:rStyle w:val="Hyperlink"/>
          <w:color w:val="auto"/>
          <w:u w:val="none"/>
        </w:rPr>
        <w:t>;</w:t>
      </w:r>
    </w:p>
    <w:p w14:paraId="4EBDB4B7" w14:textId="2A9034D0" w:rsidR="00A82EF2" w:rsidRPr="007E130D" w:rsidRDefault="00A82EF2" w:rsidP="00B20AC9">
      <w:pPr>
        <w:pStyle w:val="enumlev1"/>
      </w:pPr>
      <w:r w:rsidRPr="007E130D">
        <w:t>–</w:t>
      </w:r>
      <w:r w:rsidRPr="007E130D">
        <w:tab/>
      </w:r>
      <w:hyperlink r:id="rId104" w:history="1">
        <w:r w:rsidR="009B5F97" w:rsidRPr="007E130D">
          <w:rPr>
            <w:rStyle w:val="Hyperlink"/>
          </w:rPr>
          <w:t>Systèmes utilisant des plates-formes à haute altitude (</w:t>
        </w:r>
        <w:r w:rsidR="007E130D" w:rsidRPr="007E130D">
          <w:rPr>
            <w:rStyle w:val="Hyperlink"/>
          </w:rPr>
          <w:t>HAPS</w:t>
        </w:r>
        <w:r w:rsidR="009B5F97" w:rsidRPr="007E130D">
          <w:rPr>
            <w:rStyle w:val="Hyperlink"/>
          </w:rPr>
          <w:t>)</w:t>
        </w:r>
      </w:hyperlink>
    </w:p>
    <w:p w14:paraId="5ECAA094" w14:textId="6CADA18A" w:rsidR="00A82EF2" w:rsidRPr="007E130D" w:rsidRDefault="00A82EF2" w:rsidP="00B20AC9">
      <w:pPr>
        <w:pStyle w:val="enumlev1"/>
      </w:pPr>
      <w:r w:rsidRPr="007E130D">
        <w:t>–</w:t>
      </w:r>
      <w:r w:rsidRPr="007E130D">
        <w:tab/>
      </w:r>
      <w:hyperlink r:id="rId105" w:history="1">
        <w:r w:rsidR="009B5F97" w:rsidRPr="007E130D">
          <w:rPr>
            <w:rStyle w:val="Hyperlink"/>
          </w:rPr>
          <w:t>C</w:t>
        </w:r>
        <w:r w:rsidRPr="007E130D">
          <w:rPr>
            <w:rStyle w:val="Hyperlink"/>
          </w:rPr>
          <w:t>ommissions d'études de l'UIT</w:t>
        </w:r>
        <w:r w:rsidR="009024E5" w:rsidRPr="007E130D">
          <w:rPr>
            <w:rStyle w:val="Hyperlink"/>
          </w:rPr>
          <w:t xml:space="preserve"> </w:t>
        </w:r>
        <w:r w:rsidR="0013248A" w:rsidRPr="007E130D">
          <w:rPr>
            <w:rStyle w:val="Hyperlink"/>
          </w:rPr>
          <w:t>qui élaborent des normes par consensus</w:t>
        </w:r>
      </w:hyperlink>
    </w:p>
    <w:p w14:paraId="1E7F2E47" w14:textId="6EE3397B" w:rsidR="00A82EF2" w:rsidRPr="007E130D" w:rsidRDefault="00A82EF2" w:rsidP="00B20AC9">
      <w:pPr>
        <w:pStyle w:val="enumlev1"/>
      </w:pPr>
      <w:r w:rsidRPr="007E130D">
        <w:t>–</w:t>
      </w:r>
      <w:r w:rsidRPr="007E130D">
        <w:tab/>
      </w:r>
      <w:hyperlink r:id="rId106" w:history="1">
        <w:r w:rsidRPr="007E130D">
          <w:rPr>
            <w:rStyle w:val="Hyperlink"/>
          </w:rPr>
          <w:t>UIT-R: Gérer le spectre des fréquences radioélectriques dans l'intérêt de l'humanité tout entière</w:t>
        </w:r>
      </w:hyperlink>
    </w:p>
    <w:p w14:paraId="101F0B79" w14:textId="3DBE9C4B" w:rsidR="009024E5" w:rsidRPr="007E130D" w:rsidRDefault="009024E5" w:rsidP="00B20AC9">
      <w:pPr>
        <w:pStyle w:val="enumlev1"/>
      </w:pPr>
      <w:r w:rsidRPr="007E130D">
        <w:t>–</w:t>
      </w:r>
      <w:r w:rsidRPr="007E130D">
        <w:tab/>
      </w:r>
      <w:r w:rsidR="009B5F97" w:rsidRPr="007E130D">
        <w:t>G</w:t>
      </w:r>
      <w:r w:rsidR="0013248A" w:rsidRPr="007E130D">
        <w:t>arantir la sécurité des personnes et des navires en mer par les radiocommunications</w:t>
      </w:r>
    </w:p>
    <w:p w14:paraId="1207E4D8" w14:textId="1F9E82B1" w:rsidR="00A82EF2" w:rsidRPr="007E130D" w:rsidRDefault="00A82EF2" w:rsidP="00B20AC9">
      <w:pPr>
        <w:pStyle w:val="enumlev1"/>
      </w:pPr>
      <w:r w:rsidRPr="007E130D">
        <w:t>–</w:t>
      </w:r>
      <w:r w:rsidRPr="007E130D">
        <w:tab/>
      </w:r>
      <w:hyperlink r:id="rId107" w:history="1">
        <w:r w:rsidR="009B5F97" w:rsidRPr="007E130D">
          <w:rPr>
            <w:rStyle w:val="Hyperlink"/>
          </w:rPr>
          <w:t>Q</w:t>
        </w:r>
        <w:r w:rsidRPr="007E130D">
          <w:rPr>
            <w:rStyle w:val="Hyperlink"/>
          </w:rPr>
          <w:t>uestions relatives aux satellites: stations terriennes en mouvement (ESIM)</w:t>
        </w:r>
      </w:hyperlink>
    </w:p>
    <w:p w14:paraId="53E2FBAC" w14:textId="44677A92" w:rsidR="00A82EF2" w:rsidRPr="007E130D" w:rsidRDefault="00A82EF2" w:rsidP="00B20AC9">
      <w:pPr>
        <w:pStyle w:val="enumlev1"/>
      </w:pPr>
      <w:r w:rsidRPr="007E130D">
        <w:t>–</w:t>
      </w:r>
      <w:r w:rsidRPr="007E130D">
        <w:tab/>
      </w:r>
      <w:hyperlink r:id="rId108" w:history="1">
        <w:r w:rsidR="009B5F97" w:rsidRPr="007E130D">
          <w:rPr>
            <w:rStyle w:val="Hyperlink"/>
          </w:rPr>
          <w:t>Questions relatives aux satellites: systèmes à satellites non OSG du SFS</w:t>
        </w:r>
      </w:hyperlink>
    </w:p>
    <w:p w14:paraId="45DDE115" w14:textId="2C750C5E" w:rsidR="00A82EF2" w:rsidRPr="007E130D" w:rsidRDefault="00A82EF2" w:rsidP="00B20AC9">
      <w:pPr>
        <w:pStyle w:val="enumlev1"/>
        <w:rPr>
          <w:rStyle w:val="Hyperlink"/>
          <w:color w:val="auto"/>
          <w:u w:val="none"/>
        </w:rPr>
      </w:pPr>
      <w:r w:rsidRPr="007E130D">
        <w:t>–</w:t>
      </w:r>
      <w:r w:rsidRPr="007E130D">
        <w:tab/>
      </w:r>
      <w:hyperlink r:id="rId109" w:history="1">
        <w:r w:rsidR="009B5F97" w:rsidRPr="007E130D">
          <w:rPr>
            <w:rStyle w:val="Hyperlink"/>
          </w:rPr>
          <w:t>Q</w:t>
        </w:r>
        <w:r w:rsidRPr="007E130D">
          <w:rPr>
            <w:rStyle w:val="Hyperlink"/>
          </w:rPr>
          <w:t>uest</w:t>
        </w:r>
        <w:r w:rsidR="0013248A" w:rsidRPr="007E130D">
          <w:rPr>
            <w:rStyle w:val="Hyperlink"/>
          </w:rPr>
          <w:t>ions relatives aux satellites: p</w:t>
        </w:r>
        <w:r w:rsidRPr="007E130D">
          <w:rPr>
            <w:rStyle w:val="Hyperlink"/>
          </w:rPr>
          <w:t>etits satellites: nanosatellites et picosatellites – Missions de courte durée</w:t>
        </w:r>
      </w:hyperlink>
    </w:p>
    <w:p w14:paraId="6C10B62C" w14:textId="390CDC86" w:rsidR="009024E5" w:rsidRPr="007E130D" w:rsidRDefault="009024E5" w:rsidP="00B20AC9">
      <w:pPr>
        <w:pStyle w:val="enumlev1"/>
      </w:pPr>
      <w:r w:rsidRPr="007E130D">
        <w:t>–</w:t>
      </w:r>
      <w:r w:rsidRPr="007E130D">
        <w:tab/>
      </w:r>
      <w:r w:rsidR="009B5F97" w:rsidRPr="007E130D">
        <w:t>Q</w:t>
      </w:r>
      <w:r w:rsidR="0013248A" w:rsidRPr="007E130D">
        <w:t>uestions relatives aux satellites: réglementation des systèmes à satellites, fiches de notification et procédures connexes</w:t>
      </w:r>
    </w:p>
    <w:p w14:paraId="5829A421" w14:textId="44A2AC80" w:rsidR="009024E5" w:rsidRPr="007E130D" w:rsidRDefault="009024E5" w:rsidP="00B20AC9">
      <w:pPr>
        <w:pStyle w:val="enumlev1"/>
      </w:pPr>
      <w:r w:rsidRPr="007E130D">
        <w:t>–</w:t>
      </w:r>
      <w:r w:rsidRPr="007E130D">
        <w:tab/>
      </w:r>
      <w:r w:rsidR="009B5F97" w:rsidRPr="007E130D">
        <w:t>B</w:t>
      </w:r>
      <w:r w:rsidR="0013248A" w:rsidRPr="007E130D">
        <w:t>rouillages radioélectriques</w:t>
      </w:r>
    </w:p>
    <w:p w14:paraId="508A606D" w14:textId="07B02EA2" w:rsidR="009024E5" w:rsidRPr="007E130D" w:rsidRDefault="009024E5" w:rsidP="00B20AC9">
      <w:pPr>
        <w:pStyle w:val="enumlev1"/>
      </w:pPr>
      <w:r w:rsidRPr="007E130D">
        <w:t>–</w:t>
      </w:r>
      <w:r w:rsidRPr="007E130D">
        <w:tab/>
      </w:r>
      <w:r w:rsidR="009B5F97" w:rsidRPr="007E130D">
        <w:t>C</w:t>
      </w:r>
      <w:r w:rsidR="0013248A" w:rsidRPr="007E130D">
        <w:t>hangements climatiques</w:t>
      </w:r>
    </w:p>
    <w:p w14:paraId="67A218A7" w14:textId="64865A50" w:rsidR="0013248A" w:rsidRPr="007E130D" w:rsidRDefault="009024E5" w:rsidP="00B20AC9">
      <w:pPr>
        <w:pStyle w:val="enumlev1"/>
      </w:pPr>
      <w:r w:rsidRPr="007E130D">
        <w:t>–</w:t>
      </w:r>
      <w:r w:rsidRPr="007E130D">
        <w:tab/>
      </w:r>
      <w:r w:rsidR="009B5F97" w:rsidRPr="007E130D">
        <w:t>E</w:t>
      </w:r>
      <w:r w:rsidR="0013248A" w:rsidRPr="007E130D">
        <w:t>xposition des personnes aux champs électromagnétiques et santé</w:t>
      </w:r>
    </w:p>
    <w:p w14:paraId="09DD3C5E" w14:textId="77777777" w:rsidR="00A82EF2" w:rsidRPr="007E130D" w:rsidRDefault="00A82EF2" w:rsidP="00130B4A">
      <w:pPr>
        <w:pStyle w:val="Heading1"/>
      </w:pPr>
      <w:bookmarkStart w:id="250" w:name="_Toc426463268"/>
      <w:bookmarkStart w:id="251" w:name="_Toc19880087"/>
      <w:bookmarkStart w:id="252" w:name="_Toc147328843"/>
      <w:r w:rsidRPr="007E130D">
        <w:lastRenderedPageBreak/>
        <w:t>7</w:t>
      </w:r>
      <w:r w:rsidRPr="007E130D">
        <w:tab/>
        <w:t>Assistance fournie aux États Membres</w:t>
      </w:r>
      <w:bookmarkEnd w:id="250"/>
      <w:bookmarkEnd w:id="251"/>
      <w:bookmarkEnd w:id="252"/>
    </w:p>
    <w:p w14:paraId="076191BB" w14:textId="77777777" w:rsidR="00A82EF2" w:rsidRPr="007E130D" w:rsidRDefault="00A82EF2" w:rsidP="00130B4A">
      <w:pPr>
        <w:pStyle w:val="Heading2"/>
      </w:pPr>
      <w:bookmarkStart w:id="253" w:name="_Toc19880088"/>
      <w:bookmarkStart w:id="254" w:name="_Toc147328844"/>
      <w:r w:rsidRPr="007E130D">
        <w:t>7.1</w:t>
      </w:r>
      <w:r w:rsidRPr="007E130D">
        <w:tab/>
        <w:t>Assistance fournie aux administrations des pays en développement</w:t>
      </w:r>
      <w:bookmarkEnd w:id="253"/>
      <w:bookmarkEnd w:id="254"/>
    </w:p>
    <w:p w14:paraId="45207386" w14:textId="1F5A412C" w:rsidR="00A82EF2" w:rsidRPr="007E130D" w:rsidRDefault="00A82EF2" w:rsidP="00130B4A">
      <w:pPr>
        <w:keepNext/>
        <w:keepLines/>
      </w:pPr>
      <w:r w:rsidRPr="007E130D">
        <w:t>Entre la CMR-</w:t>
      </w:r>
      <w:r w:rsidR="009024E5" w:rsidRPr="007E130D">
        <w:t>19</w:t>
      </w:r>
      <w:r w:rsidRPr="007E130D">
        <w:t xml:space="preserve"> et la CMR-</w:t>
      </w:r>
      <w:r w:rsidR="009024E5" w:rsidRPr="007E130D">
        <w:t>23</w:t>
      </w:r>
      <w:r w:rsidRPr="007E130D">
        <w:t>, le Bureau a fourni une assistance aux administrations des pays en développement dans les domaines suivants:</w:t>
      </w:r>
    </w:p>
    <w:p w14:paraId="08FCA530" w14:textId="77777777" w:rsidR="00A82EF2" w:rsidRPr="007E130D" w:rsidRDefault="00A82EF2" w:rsidP="00130B4A">
      <w:pPr>
        <w:pStyle w:val="enumlev1"/>
        <w:keepNext/>
        <w:keepLines/>
      </w:pPr>
      <w:r w:rsidRPr="007E130D">
        <w:t>–</w:t>
      </w:r>
      <w:r w:rsidRPr="007E130D">
        <w:tab/>
        <w:t>soutien des activités de gestion du spectre au niveau national et fourniture d'une assistance technique dans le domaine des radiocommunications spatiales;</w:t>
      </w:r>
    </w:p>
    <w:p w14:paraId="5F59DD2E" w14:textId="77777777" w:rsidR="00A82EF2" w:rsidRPr="007E130D" w:rsidRDefault="00A82EF2" w:rsidP="00B20AC9">
      <w:pPr>
        <w:pStyle w:val="enumlev1"/>
      </w:pPr>
      <w:r w:rsidRPr="007E130D">
        <w:t>–</w:t>
      </w:r>
      <w:r w:rsidRPr="007E130D">
        <w:tab/>
        <w:t xml:space="preserve">participation aux réunions des groupes de coordination régionaux, conformément à l'Article </w:t>
      </w:r>
      <w:r w:rsidRPr="007E130D">
        <w:rPr>
          <w:b/>
          <w:bCs/>
        </w:rPr>
        <w:t>12</w:t>
      </w:r>
      <w:r w:rsidRPr="007E130D">
        <w:t xml:space="preserve"> du Règlement des radiocommunications;</w:t>
      </w:r>
    </w:p>
    <w:p w14:paraId="15871723" w14:textId="77777777" w:rsidR="00A82EF2" w:rsidRPr="007E130D" w:rsidRDefault="00A82EF2" w:rsidP="00B20AC9">
      <w:pPr>
        <w:pStyle w:val="enumlev1"/>
      </w:pPr>
      <w:r w:rsidRPr="007E130D">
        <w:t>–</w:t>
      </w:r>
      <w:r w:rsidRPr="007E130D">
        <w:tab/>
        <w:t>fourniture d'une assistance concernant la gestion des fréquences à long terme et les attributions au large bande mobile (IMT);</w:t>
      </w:r>
    </w:p>
    <w:p w14:paraId="7A8F62FE" w14:textId="77777777" w:rsidR="00A82EF2" w:rsidRPr="007E130D" w:rsidRDefault="00A82EF2" w:rsidP="00B20AC9">
      <w:pPr>
        <w:pStyle w:val="enumlev1"/>
      </w:pPr>
      <w:r w:rsidRPr="007E130D">
        <w:t>–</w:t>
      </w:r>
      <w:r w:rsidRPr="007E130D">
        <w:tab/>
        <w:t>fourniture d'avis et d'une assistance technique pour le passage à la radiodiffusion télévisuelle numérique et la répartition du dividende numérique;</w:t>
      </w:r>
    </w:p>
    <w:p w14:paraId="69D59CD6" w14:textId="17C8CEE4" w:rsidR="00A82EF2" w:rsidRPr="007E130D" w:rsidRDefault="00A82EF2" w:rsidP="00B20AC9">
      <w:pPr>
        <w:pStyle w:val="enumlev1"/>
      </w:pPr>
      <w:bookmarkStart w:id="255" w:name="lt_pId1270"/>
      <w:r w:rsidRPr="007E130D">
        <w:t>–</w:t>
      </w:r>
      <w:r w:rsidRPr="007E130D">
        <w:tab/>
        <w:t>participation à des séminaires de renforcement des capacités sur les télécommunications par satellite</w:t>
      </w:r>
      <w:bookmarkEnd w:id="255"/>
      <w:r w:rsidR="00752EA7" w:rsidRPr="007E130D">
        <w:t>;</w:t>
      </w:r>
    </w:p>
    <w:p w14:paraId="42EEB39B" w14:textId="0124A2FE" w:rsidR="009024E5" w:rsidRPr="007E130D" w:rsidRDefault="009024E5" w:rsidP="00B20AC9">
      <w:pPr>
        <w:pStyle w:val="enumlev1"/>
      </w:pPr>
      <w:r w:rsidRPr="007E130D">
        <w:t>–</w:t>
      </w:r>
      <w:r w:rsidRPr="007E130D">
        <w:tab/>
      </w:r>
      <w:r w:rsidR="00356975" w:rsidRPr="007E130D">
        <w:t>fourniture d</w:t>
      </w:r>
      <w:r w:rsidR="000C4CDD" w:rsidRPr="007E130D">
        <w:t>'</w:t>
      </w:r>
      <w:r w:rsidR="00356975" w:rsidRPr="007E130D">
        <w:t xml:space="preserve">une assistance concernant les procédures de coordination prévues aux numéros </w:t>
      </w:r>
      <w:r w:rsidRPr="007E130D">
        <w:rPr>
          <w:b/>
          <w:bCs/>
        </w:rPr>
        <w:t>9.18</w:t>
      </w:r>
      <w:r w:rsidRPr="007E130D">
        <w:t xml:space="preserve">, </w:t>
      </w:r>
      <w:r w:rsidRPr="007E130D">
        <w:rPr>
          <w:b/>
          <w:bCs/>
        </w:rPr>
        <w:t>9.19</w:t>
      </w:r>
      <w:r w:rsidRPr="007E130D">
        <w:t xml:space="preserve"> </w:t>
      </w:r>
      <w:r w:rsidR="00356975" w:rsidRPr="007E130D">
        <w:t>et</w:t>
      </w:r>
      <w:r w:rsidRPr="007E130D">
        <w:t xml:space="preserve"> </w:t>
      </w:r>
      <w:r w:rsidRPr="007E130D">
        <w:rPr>
          <w:b/>
          <w:bCs/>
        </w:rPr>
        <w:t>9.21</w:t>
      </w:r>
      <w:r w:rsidR="00356975" w:rsidRPr="007E130D">
        <w:rPr>
          <w:bCs/>
        </w:rPr>
        <w:t xml:space="preserve"> du RR</w:t>
      </w:r>
      <w:r w:rsidRPr="007E130D">
        <w:t>;</w:t>
      </w:r>
    </w:p>
    <w:p w14:paraId="5A6D106E" w14:textId="7DAD0513" w:rsidR="009024E5" w:rsidRPr="007E130D" w:rsidRDefault="009024E5" w:rsidP="00B20AC9">
      <w:pPr>
        <w:pStyle w:val="enumlev1"/>
      </w:pPr>
      <w:r w:rsidRPr="007E130D">
        <w:t>–</w:t>
      </w:r>
      <w:r w:rsidRPr="007E130D">
        <w:tab/>
      </w:r>
      <w:r w:rsidR="00356975" w:rsidRPr="007E130D">
        <w:t>fourniture d</w:t>
      </w:r>
      <w:r w:rsidR="00752EA7" w:rsidRPr="007E130D">
        <w:t>'</w:t>
      </w:r>
      <w:r w:rsidR="00356975" w:rsidRPr="007E130D">
        <w:t xml:space="preserve">une </w:t>
      </w:r>
      <w:r w:rsidR="00777463" w:rsidRPr="007E130D">
        <w:t>assistance</w:t>
      </w:r>
      <w:r w:rsidR="00356975" w:rsidRPr="007E130D">
        <w:t xml:space="preserve"> concernant les procédures de modification du Plan </w:t>
      </w:r>
      <w:r w:rsidR="00777463" w:rsidRPr="007E130D">
        <w:t>dans le cadre de l</w:t>
      </w:r>
      <w:r w:rsidR="00752EA7" w:rsidRPr="007E130D">
        <w:t>'</w:t>
      </w:r>
      <w:r w:rsidR="00777463" w:rsidRPr="007E130D">
        <w:t>Accord</w:t>
      </w:r>
      <w:r w:rsidR="009B5F97" w:rsidRPr="007E130D">
        <w:t xml:space="preserve"> GE06</w:t>
      </w:r>
      <w:r w:rsidRPr="007E130D">
        <w:t>;</w:t>
      </w:r>
    </w:p>
    <w:p w14:paraId="251C44F9" w14:textId="2605B55C" w:rsidR="009024E5" w:rsidRPr="007E130D" w:rsidRDefault="009024E5" w:rsidP="00B20AC9">
      <w:pPr>
        <w:pStyle w:val="enumlev1"/>
      </w:pPr>
      <w:r w:rsidRPr="007E130D">
        <w:t>–</w:t>
      </w:r>
      <w:r w:rsidRPr="007E130D">
        <w:tab/>
      </w:r>
      <w:r w:rsidR="002C5A21" w:rsidRPr="007E130D">
        <w:t>fourniture d</w:t>
      </w:r>
      <w:r w:rsidR="000C4CDD" w:rsidRPr="007E130D">
        <w:t>'</w:t>
      </w:r>
      <w:r w:rsidR="002C5A21" w:rsidRPr="007E130D">
        <w:t>une assistance concernant l</w:t>
      </w:r>
      <w:r w:rsidR="00752EA7" w:rsidRPr="007E130D">
        <w:t>'</w:t>
      </w:r>
      <w:r w:rsidR="002C5A21" w:rsidRPr="007E130D">
        <w:t>assignation des indicatifs d</w:t>
      </w:r>
      <w:r w:rsidR="000C4CDD" w:rsidRPr="007E130D">
        <w:t>'</w:t>
      </w:r>
      <w:r w:rsidR="002C5A21" w:rsidRPr="007E130D">
        <w:t>appel et des identités</w:t>
      </w:r>
      <w:r w:rsidR="001352BA" w:rsidRPr="007E130D">
        <w:t> </w:t>
      </w:r>
      <w:r w:rsidR="002C5A21" w:rsidRPr="007E130D">
        <w:t>MMSI</w:t>
      </w:r>
      <w:r w:rsidRPr="007E130D">
        <w:t>;</w:t>
      </w:r>
    </w:p>
    <w:p w14:paraId="488EC558" w14:textId="0DB5B774" w:rsidR="009024E5" w:rsidRPr="007E130D" w:rsidRDefault="009024E5" w:rsidP="00B20AC9">
      <w:pPr>
        <w:pStyle w:val="enumlev1"/>
      </w:pPr>
      <w:r w:rsidRPr="007E130D">
        <w:t>–</w:t>
      </w:r>
      <w:r w:rsidRPr="007E130D">
        <w:tab/>
      </w:r>
      <w:r w:rsidR="002C5A21" w:rsidRPr="007E130D">
        <w:t>fourniture d</w:t>
      </w:r>
      <w:r w:rsidR="00752EA7" w:rsidRPr="007E130D">
        <w:t>'</w:t>
      </w:r>
      <w:r w:rsidR="002C5A21" w:rsidRPr="007E130D">
        <w:t xml:space="preserve">une assistance concernant les procédures applicables au domaine spatial décrites dans la </w:t>
      </w:r>
      <w:r w:rsidRPr="007E130D">
        <w:t>section 2.6;</w:t>
      </w:r>
    </w:p>
    <w:p w14:paraId="2835A659" w14:textId="11DC3134" w:rsidR="009024E5" w:rsidRPr="007E130D" w:rsidRDefault="009024E5" w:rsidP="00B20AC9">
      <w:pPr>
        <w:pStyle w:val="enumlev1"/>
      </w:pPr>
      <w:r w:rsidRPr="007E130D">
        <w:t>–</w:t>
      </w:r>
      <w:r w:rsidRPr="007E130D">
        <w:tab/>
      </w:r>
      <w:r w:rsidR="002C5A21" w:rsidRPr="007E130D">
        <w:t>fourniture d</w:t>
      </w:r>
      <w:r w:rsidR="00752EA7" w:rsidRPr="007E130D">
        <w:t>'</w:t>
      </w:r>
      <w:r w:rsidR="002C5A21" w:rsidRPr="007E130D">
        <w:t>une assistance ciblée concernant la mise en œuvre de la Résolution</w:t>
      </w:r>
      <w:r w:rsidRPr="007E130D">
        <w:t xml:space="preserve"> </w:t>
      </w:r>
      <w:r w:rsidRPr="007E130D">
        <w:rPr>
          <w:b/>
          <w:bCs/>
        </w:rPr>
        <w:t>559 (CMR-19)</w:t>
      </w:r>
      <w:r w:rsidRPr="007E130D">
        <w:t xml:space="preserve"> (</w:t>
      </w:r>
      <w:r w:rsidR="002C5A21" w:rsidRPr="007E130D">
        <w:t>voir</w:t>
      </w:r>
      <w:r w:rsidRPr="007E130D">
        <w:t xml:space="preserve"> section 2.3.1.2).</w:t>
      </w:r>
    </w:p>
    <w:p w14:paraId="2D3B74F5" w14:textId="77777777" w:rsidR="00A82EF2" w:rsidRPr="007E130D" w:rsidRDefault="00A82EF2" w:rsidP="00B20AC9">
      <w:pPr>
        <w:pStyle w:val="Heading2"/>
      </w:pPr>
      <w:bookmarkStart w:id="256" w:name="_Toc424047612"/>
      <w:bookmarkStart w:id="257" w:name="_Toc426463270"/>
      <w:bookmarkStart w:id="258" w:name="_Toc19880089"/>
      <w:bookmarkStart w:id="259" w:name="_Toc147328845"/>
      <w:r w:rsidRPr="007E130D">
        <w:rPr>
          <w:bCs/>
        </w:rPr>
        <w:t>7.2</w:t>
      </w:r>
      <w:r w:rsidRPr="007E130D">
        <w:tab/>
        <w:t>Assistance aux groupes régionaux</w:t>
      </w:r>
      <w:bookmarkEnd w:id="256"/>
      <w:bookmarkEnd w:id="257"/>
      <w:bookmarkEnd w:id="258"/>
      <w:bookmarkEnd w:id="259"/>
    </w:p>
    <w:p w14:paraId="5D029F90" w14:textId="45B6329F" w:rsidR="009024E5" w:rsidRPr="007E130D" w:rsidRDefault="00F95281" w:rsidP="00B20AC9">
      <w:pPr>
        <w:rPr>
          <w:rFonts w:cstheme="minorHAnsi"/>
        </w:rPr>
      </w:pPr>
      <w:r w:rsidRPr="007E130D">
        <w:t>En 2021-2022, le BR a analysé en profondeur une série de documents et de recommandations relatifs au spectre élaborés par l'Union africaine des télécommunications (UAT)</w:t>
      </w:r>
      <w:r w:rsidR="007B1F0B" w:rsidRPr="007E130D">
        <w:t xml:space="preserve"> et a proposé d</w:t>
      </w:r>
      <w:r w:rsidR="000C4CDD" w:rsidRPr="007E130D">
        <w:t>'</w:t>
      </w:r>
      <w:r w:rsidR="007B1F0B" w:rsidRPr="007E130D">
        <w:t>y apporter des modifications pertinentes. Il s</w:t>
      </w:r>
      <w:r w:rsidR="000C4CDD" w:rsidRPr="007E130D">
        <w:t>'</w:t>
      </w:r>
      <w:r w:rsidR="007B1F0B" w:rsidRPr="007E130D">
        <w:t>agit notamment de documents relatifs à</w:t>
      </w:r>
      <w:r w:rsidRPr="007E130D">
        <w:t xml:space="preserve"> l'attribution du spe</w:t>
      </w:r>
      <w:r w:rsidR="007B1F0B" w:rsidRPr="007E130D">
        <w:t>ctre en Afrique, de</w:t>
      </w:r>
      <w:r w:rsidRPr="007E130D">
        <w:t xml:space="preserve"> recommandations de l'UAT-R sur la mise </w:t>
      </w:r>
      <w:r w:rsidR="007B1F0B" w:rsidRPr="007E130D">
        <w:t>en œuvre de la 5G en Afrique, de documents relatifs à l</w:t>
      </w:r>
      <w:r w:rsidR="000C4CDD" w:rsidRPr="007E130D">
        <w:t>'</w:t>
      </w:r>
      <w:r w:rsidRPr="007E130D">
        <w:t>état de la radiodiffusio</w:t>
      </w:r>
      <w:r w:rsidR="007B1F0B" w:rsidRPr="007E130D">
        <w:t>n sonore numérique en Afrique et de</w:t>
      </w:r>
      <w:r w:rsidRPr="007E130D">
        <w:t xml:space="preserve"> recommandations relatives à la gestion du spectre (sur l'octroi de licences, la gestion du spectre, l'évo</w:t>
      </w:r>
      <w:r w:rsidR="007B1F0B" w:rsidRPr="007E130D">
        <w:t>lution du spectre).</w:t>
      </w:r>
    </w:p>
    <w:p w14:paraId="48B038DE" w14:textId="77777777" w:rsidR="009024E5" w:rsidRPr="007E130D" w:rsidRDefault="007B1F0B" w:rsidP="00B20AC9">
      <w:r w:rsidRPr="007E130D">
        <w:rPr>
          <w:rFonts w:cstheme="minorHAnsi"/>
        </w:rPr>
        <w:t xml:space="preserve">Le Bureau a participé activement à diverses activités dans le cadre de l'Initiative </w:t>
      </w:r>
      <w:r w:rsidR="00537877" w:rsidRPr="007E130D">
        <w:rPr>
          <w:rFonts w:cstheme="minorHAnsi"/>
        </w:rPr>
        <w:t>de</w:t>
      </w:r>
      <w:r w:rsidRPr="007E130D">
        <w:rPr>
          <w:rFonts w:cstheme="minorHAnsi"/>
        </w:rPr>
        <w:t xml:space="preserve"> politique et </w:t>
      </w:r>
      <w:r w:rsidR="00537877" w:rsidRPr="007E130D">
        <w:rPr>
          <w:rFonts w:cstheme="minorHAnsi"/>
        </w:rPr>
        <w:t xml:space="preserve">de régulation pour le numérique en </w:t>
      </w:r>
      <w:r w:rsidRPr="007E130D">
        <w:rPr>
          <w:rFonts w:cstheme="minorHAnsi"/>
        </w:rPr>
        <w:t>Afrique (PRIDA) de l'Union africaine, de l'Union européenne et de l'UIT. Parmi ces activités, on peut citer</w:t>
      </w:r>
      <w:r w:rsidR="009024E5" w:rsidRPr="007E130D">
        <w:t>:</w:t>
      </w:r>
    </w:p>
    <w:p w14:paraId="2B828985" w14:textId="635C1386" w:rsidR="009024E5" w:rsidRPr="007E130D" w:rsidRDefault="009024E5" w:rsidP="00B20AC9">
      <w:pPr>
        <w:pStyle w:val="enumlev1"/>
        <w:rPr>
          <w:rFonts w:cs="Calibri"/>
        </w:rPr>
      </w:pPr>
      <w:r w:rsidRPr="007E130D">
        <w:t>–</w:t>
      </w:r>
      <w:r w:rsidRPr="007E130D">
        <w:tab/>
      </w:r>
      <w:r w:rsidR="0067145E" w:rsidRPr="007E130D">
        <w:t>un atelier de renforcement des capacités sur la gestion moderne du spectre et le logiciel de gestion du spectre de l'UIT pour les pays en développement (SMS4DC), mai 2020</w:t>
      </w:r>
      <w:r w:rsidR="00752EA7" w:rsidRPr="007E130D">
        <w:t>;</w:t>
      </w:r>
    </w:p>
    <w:p w14:paraId="49E28A3C" w14:textId="3AC82349" w:rsidR="009024E5" w:rsidRPr="007E130D" w:rsidRDefault="009024E5" w:rsidP="00B20AC9">
      <w:pPr>
        <w:pStyle w:val="enumlev1"/>
      </w:pPr>
      <w:r w:rsidRPr="007E130D">
        <w:t>–</w:t>
      </w:r>
      <w:r w:rsidRPr="007E130D">
        <w:tab/>
      </w:r>
      <w:r w:rsidR="0067145E" w:rsidRPr="007E130D">
        <w:t>un atelier de renforcement des capacités sur l'Internet des objets et les services numériques, août 2020</w:t>
      </w:r>
      <w:r w:rsidR="00752EA7" w:rsidRPr="007E130D">
        <w:t>;</w:t>
      </w:r>
    </w:p>
    <w:p w14:paraId="12DDEE40" w14:textId="020E6894" w:rsidR="009024E5" w:rsidRPr="007E130D" w:rsidRDefault="009024E5" w:rsidP="00B20AC9">
      <w:pPr>
        <w:pStyle w:val="enumlev1"/>
      </w:pPr>
      <w:r w:rsidRPr="007E130D">
        <w:t>–</w:t>
      </w:r>
      <w:r w:rsidRPr="007E130D">
        <w:tab/>
      </w:r>
      <w:r w:rsidR="003A62EA" w:rsidRPr="007E130D">
        <w:t>une réunion du C</w:t>
      </w:r>
      <w:r w:rsidR="00284F18" w:rsidRPr="007E130D">
        <w:t>omité technique en ligne, novembre 2020</w:t>
      </w:r>
      <w:r w:rsidR="00752EA7" w:rsidRPr="007E130D">
        <w:t>;</w:t>
      </w:r>
    </w:p>
    <w:p w14:paraId="6709C78B" w14:textId="4DE5FC31" w:rsidR="009024E5" w:rsidRPr="007E130D" w:rsidRDefault="009024E5" w:rsidP="00B20AC9">
      <w:pPr>
        <w:pStyle w:val="enumlev1"/>
      </w:pPr>
      <w:r w:rsidRPr="007E130D">
        <w:t>–</w:t>
      </w:r>
      <w:r w:rsidRPr="007E130D">
        <w:tab/>
      </w:r>
      <w:r w:rsidR="00284F18" w:rsidRPr="007E130D">
        <w:t>un atelier en ligne pour la validation des rapports techniques et des lignes directrices,</w:t>
      </w:r>
      <w:r w:rsidR="00752EA7" w:rsidRPr="007E130D">
        <w:t> </w:t>
      </w:r>
      <w:r w:rsidR="00284F18" w:rsidRPr="007E130D">
        <w:t>9</w:t>
      </w:r>
      <w:r w:rsidR="00752EA7" w:rsidRPr="007E130D">
        <w:noBreakHyphen/>
      </w:r>
      <w:r w:rsidR="00284F18" w:rsidRPr="007E130D">
        <w:t>11 mars 2021</w:t>
      </w:r>
      <w:r w:rsidRPr="007E130D">
        <w:t>.</w:t>
      </w:r>
    </w:p>
    <w:p w14:paraId="7D390578" w14:textId="4F420989" w:rsidR="009024E5" w:rsidRPr="007E130D" w:rsidRDefault="009024E5" w:rsidP="00B20AC9">
      <w:pPr>
        <w:pStyle w:val="enumlev1"/>
      </w:pPr>
      <w:r w:rsidRPr="007E130D">
        <w:lastRenderedPageBreak/>
        <w:t>–</w:t>
      </w:r>
      <w:r w:rsidRPr="007E130D">
        <w:tab/>
      </w:r>
      <w:r w:rsidR="00284F18" w:rsidRPr="007E130D">
        <w:t>un atelier en ligne sur l</w:t>
      </w:r>
      <w:r w:rsidR="000C4CDD" w:rsidRPr="007E130D">
        <w:t>'</w:t>
      </w:r>
      <w:r w:rsidR="00284F18" w:rsidRPr="007E130D">
        <w:t xml:space="preserve">élaboration </w:t>
      </w:r>
      <w:r w:rsidR="003A62EA" w:rsidRPr="007E130D">
        <w:t>du T</w:t>
      </w:r>
      <w:r w:rsidR="00284F18" w:rsidRPr="007E130D">
        <w:t xml:space="preserve">ableau national </w:t>
      </w:r>
      <w:r w:rsidR="003A62EA" w:rsidRPr="007E130D">
        <w:t>d</w:t>
      </w:r>
      <w:r w:rsidR="000C4CDD" w:rsidRPr="007E130D">
        <w:t>'</w:t>
      </w:r>
      <w:r w:rsidR="003A62EA" w:rsidRPr="007E130D">
        <w:t>attribution des bandes de</w:t>
      </w:r>
      <w:r w:rsidR="00284F18" w:rsidRPr="007E130D">
        <w:t xml:space="preserve"> fréquences, mai 2021</w:t>
      </w:r>
      <w:r w:rsidR="00752EA7" w:rsidRPr="007E130D">
        <w:t>;</w:t>
      </w:r>
    </w:p>
    <w:p w14:paraId="0F93D4F7" w14:textId="49D74E33" w:rsidR="009024E5" w:rsidRPr="007E130D" w:rsidRDefault="009024E5" w:rsidP="00B20AC9">
      <w:pPr>
        <w:pStyle w:val="enumlev1"/>
      </w:pPr>
      <w:r w:rsidRPr="007E130D">
        <w:t>–</w:t>
      </w:r>
      <w:r w:rsidRPr="007E130D">
        <w:tab/>
      </w:r>
      <w:r w:rsidR="003A62EA" w:rsidRPr="007E130D">
        <w:t>un atelier en ligne sur la méthode de calcul harmonisée pour l'Afrique (HCM4A), novembre 2021</w:t>
      </w:r>
      <w:r w:rsidR="00752EA7" w:rsidRPr="007E130D">
        <w:t>;</w:t>
      </w:r>
    </w:p>
    <w:p w14:paraId="355DD1B0" w14:textId="1D8C8431" w:rsidR="009024E5" w:rsidRPr="007E130D" w:rsidRDefault="009024E5" w:rsidP="00B20AC9">
      <w:pPr>
        <w:pStyle w:val="enumlev1"/>
      </w:pPr>
      <w:r w:rsidRPr="007E130D">
        <w:t>–</w:t>
      </w:r>
      <w:r w:rsidRPr="007E130D">
        <w:tab/>
      </w:r>
      <w:r w:rsidR="003A62EA" w:rsidRPr="007E130D">
        <w:t>une réunion en ligne des coordonnateurs</w:t>
      </w:r>
      <w:r w:rsidRPr="007E130D">
        <w:t>, octobre 2021</w:t>
      </w:r>
      <w:r w:rsidR="00752EA7" w:rsidRPr="007E130D">
        <w:t>;</w:t>
      </w:r>
    </w:p>
    <w:p w14:paraId="6B420B20" w14:textId="5B864D66" w:rsidR="009024E5" w:rsidRPr="007E130D" w:rsidRDefault="009024E5" w:rsidP="00B20AC9">
      <w:pPr>
        <w:pStyle w:val="enumlev1"/>
      </w:pPr>
      <w:r w:rsidRPr="007E130D">
        <w:t>–</w:t>
      </w:r>
      <w:r w:rsidRPr="007E130D">
        <w:tab/>
      </w:r>
      <w:r w:rsidR="003A62EA" w:rsidRPr="007E130D">
        <w:t>une réunion du Comité technique</w:t>
      </w:r>
      <w:r w:rsidRPr="007E130D">
        <w:t>, juin 2022</w:t>
      </w:r>
      <w:r w:rsidR="00752EA7" w:rsidRPr="007E130D">
        <w:t>;</w:t>
      </w:r>
    </w:p>
    <w:p w14:paraId="5FB1C1AF" w14:textId="70B2F69F" w:rsidR="009024E5" w:rsidRPr="007E130D" w:rsidRDefault="009024E5" w:rsidP="00B20AC9">
      <w:pPr>
        <w:pStyle w:val="enumlev1"/>
      </w:pPr>
      <w:r w:rsidRPr="007E130D">
        <w:t>–</w:t>
      </w:r>
      <w:r w:rsidRPr="007E130D">
        <w:tab/>
      </w:r>
      <w:r w:rsidR="003A62EA" w:rsidRPr="007E130D">
        <w:t>une formation sur les services de communications aéronautiques et maritimes,</w:t>
      </w:r>
      <w:r w:rsidR="00752EA7" w:rsidRPr="007E130D">
        <w:t> </w:t>
      </w:r>
      <w:r w:rsidR="003A62EA" w:rsidRPr="007E130D">
        <w:t>avril</w:t>
      </w:r>
      <w:r w:rsidR="00752EA7" w:rsidRPr="007E130D">
        <w:t> </w:t>
      </w:r>
      <w:r w:rsidR="003A62EA" w:rsidRPr="007E130D">
        <w:t>2023 (en anglais)</w:t>
      </w:r>
      <w:r w:rsidR="00752EA7" w:rsidRPr="007E130D">
        <w:t>;</w:t>
      </w:r>
    </w:p>
    <w:p w14:paraId="4160488A" w14:textId="77777777" w:rsidR="009024E5" w:rsidRPr="007E130D" w:rsidRDefault="009024E5" w:rsidP="00B20AC9">
      <w:pPr>
        <w:pStyle w:val="enumlev1"/>
      </w:pPr>
      <w:r w:rsidRPr="007E130D">
        <w:t>–</w:t>
      </w:r>
      <w:r w:rsidRPr="007E130D">
        <w:tab/>
      </w:r>
      <w:r w:rsidR="003A62EA" w:rsidRPr="007E130D">
        <w:t>une formation sur les services de communications aéronautiques et maritimes, mai 2023 (en français)</w:t>
      </w:r>
      <w:r w:rsidRPr="007E130D">
        <w:t>.</w:t>
      </w:r>
    </w:p>
    <w:p w14:paraId="25CBBA8A" w14:textId="6E491EBA" w:rsidR="009024E5" w:rsidRPr="007E130D" w:rsidRDefault="003A62EA" w:rsidP="00B20AC9">
      <w:pPr>
        <w:pStyle w:val="enumlev1"/>
        <w:ind w:left="0" w:firstLine="0"/>
      </w:pPr>
      <w:r w:rsidRPr="007E130D">
        <w:t>Le Bureau a également participé à plusieurs ateliers organisés par l'ATU ou la SADC sur la mise en</w:t>
      </w:r>
      <w:r w:rsidR="00752EA7" w:rsidRPr="007E130D">
        <w:t> </w:t>
      </w:r>
      <w:r w:rsidR="00130B4A" w:rsidRPr="007E130D">
        <w:t>œ</w:t>
      </w:r>
      <w:r w:rsidRPr="007E130D">
        <w:t xml:space="preserve">uvre de la Résolution </w:t>
      </w:r>
      <w:r w:rsidRPr="007E130D">
        <w:rPr>
          <w:b/>
          <w:bCs/>
        </w:rPr>
        <w:t>559 (CMR-19)</w:t>
      </w:r>
      <w:r w:rsidRPr="007E130D">
        <w:t xml:space="preserve"> et d'autres procédures applicables au domaine spatial (voir section 2.3.1.2).</w:t>
      </w:r>
    </w:p>
    <w:p w14:paraId="13C002E6" w14:textId="77777777" w:rsidR="00A82EF2" w:rsidRPr="007E130D" w:rsidRDefault="00A82EF2" w:rsidP="00B20AC9">
      <w:pPr>
        <w:pStyle w:val="Heading2"/>
      </w:pPr>
      <w:bookmarkStart w:id="260" w:name="_Toc19090149"/>
      <w:bookmarkStart w:id="261" w:name="_Toc19880090"/>
      <w:bookmarkStart w:id="262" w:name="_Toc147328846"/>
      <w:r w:rsidRPr="007E130D">
        <w:t>7.3</w:t>
      </w:r>
      <w:r w:rsidRPr="007E130D">
        <w:tab/>
      </w:r>
      <w:bookmarkEnd w:id="260"/>
      <w:r w:rsidRPr="007E130D">
        <w:t>Assistance fournie à d'autres groupes de pays</w:t>
      </w:r>
      <w:bookmarkEnd w:id="261"/>
      <w:bookmarkEnd w:id="262"/>
    </w:p>
    <w:p w14:paraId="483BDEF6" w14:textId="2E9E38B8" w:rsidR="00A82EF2" w:rsidRPr="007E130D" w:rsidRDefault="00A82EF2" w:rsidP="00B20AC9">
      <w:pPr>
        <w:pStyle w:val="Heading3"/>
      </w:pPr>
      <w:bookmarkStart w:id="263" w:name="_Toc19090150"/>
      <w:bookmarkStart w:id="264" w:name="_Toc147328847"/>
      <w:bookmarkStart w:id="265" w:name="_Toc19880091"/>
      <w:r w:rsidRPr="007E130D">
        <w:t>7.3.1</w:t>
      </w:r>
      <w:r w:rsidRPr="007E130D">
        <w:tab/>
        <w:t xml:space="preserve">Assistance fournie aux administrations </w:t>
      </w:r>
      <w:bookmarkEnd w:id="263"/>
      <w:r w:rsidRPr="007E130D">
        <w:t xml:space="preserve">de la </w:t>
      </w:r>
      <w:r w:rsidRPr="007E130D">
        <w:rPr>
          <w:color w:val="000000"/>
        </w:rPr>
        <w:t xml:space="preserve">région </w:t>
      </w:r>
      <w:r w:rsidR="00BA591F" w:rsidRPr="007E130D">
        <w:rPr>
          <w:color w:val="000000"/>
        </w:rPr>
        <w:t>Afrique</w:t>
      </w:r>
      <w:bookmarkEnd w:id="264"/>
      <w:bookmarkEnd w:id="265"/>
    </w:p>
    <w:p w14:paraId="3BE5600E" w14:textId="03374E5C" w:rsidR="00A82EF2" w:rsidRPr="007E130D" w:rsidRDefault="00762A03" w:rsidP="00752EA7">
      <w:r w:rsidRPr="007E130D">
        <w:t>En 2019-2022, le Bureau des radiocommunications, en collaboration avec l'Union africaine des télécommunications (UAT), a organisé et mené à bi</w:t>
      </w:r>
      <w:r w:rsidR="00E833B2" w:rsidRPr="007E130D">
        <w:t>en le projet d'optimisation du P</w:t>
      </w:r>
      <w:r w:rsidRPr="007E130D">
        <w:t>lan GE84 pour l'Afrique.</w:t>
      </w:r>
    </w:p>
    <w:p w14:paraId="69A2C702" w14:textId="77777777" w:rsidR="00E833B2" w:rsidRPr="007E130D" w:rsidRDefault="00E833B2" w:rsidP="00752EA7">
      <w:r w:rsidRPr="007E130D">
        <w:t>Le projet visait à assurer une utilisation efficace et équitable de la bande (MF) 87,5-108 MHz pour la radiodiffusion sonore analogique et à trouver de nouvelles fréquences pour la radiodiffusion en modulation de fréquence pour les administrations africaines.</w:t>
      </w:r>
    </w:p>
    <w:p w14:paraId="24B99456" w14:textId="1B430E13" w:rsidR="00E833B2" w:rsidRPr="007E130D" w:rsidRDefault="00E833B2" w:rsidP="00752EA7">
      <w:pPr>
        <w:rPr>
          <w:b/>
        </w:rPr>
      </w:pPr>
      <w:bookmarkStart w:id="266" w:name="_Toc426463275"/>
      <w:bookmarkStart w:id="267" w:name="_Toc19880093"/>
      <w:r w:rsidRPr="007E130D">
        <w:t>Cette assistance a été fournie dans le cadre de plusieurs ateliers préparatoires et de trois réunions virtuelles de coordination des fréquences, qui ont eu lieu entre février 2021 et janvier 2022. Elle a permis de satisfaire environ 85% des besoins en fréquences, soit 18 326 canaux de radiodiffusion en modulation de fréquence coordonnés avec succès.</w:t>
      </w:r>
    </w:p>
    <w:p w14:paraId="7E7C5D56" w14:textId="77777777" w:rsidR="00A82EF2" w:rsidRPr="007E130D" w:rsidRDefault="00A82EF2" w:rsidP="00B20AC9">
      <w:pPr>
        <w:pStyle w:val="Heading2"/>
      </w:pPr>
      <w:bookmarkStart w:id="268" w:name="_Toc147328848"/>
      <w:r w:rsidRPr="007E130D">
        <w:t>7.4</w:t>
      </w:r>
      <w:r w:rsidRPr="007E130D">
        <w:tab/>
        <w:t>Traitement des cas de brouillages préjudiciables</w:t>
      </w:r>
      <w:bookmarkEnd w:id="266"/>
      <w:bookmarkEnd w:id="267"/>
      <w:bookmarkEnd w:id="268"/>
    </w:p>
    <w:p w14:paraId="0415B1FE" w14:textId="77777777" w:rsidR="00A82EF2" w:rsidRPr="007E130D" w:rsidRDefault="00A82EF2" w:rsidP="00B20AC9">
      <w:pPr>
        <w:pStyle w:val="Heading3"/>
      </w:pPr>
      <w:bookmarkStart w:id="269" w:name="_Toc19880094"/>
      <w:bookmarkStart w:id="270" w:name="_Toc147328849"/>
      <w:r w:rsidRPr="007E130D">
        <w:rPr>
          <w:bCs/>
        </w:rPr>
        <w:t>7.4.1</w:t>
      </w:r>
      <w:r w:rsidRPr="007E130D">
        <w:rPr>
          <w:bCs/>
        </w:rPr>
        <w:tab/>
      </w:r>
      <w:r w:rsidRPr="007E130D">
        <w:t>Aperçu général</w:t>
      </w:r>
      <w:bookmarkEnd w:id="269"/>
      <w:bookmarkEnd w:id="270"/>
    </w:p>
    <w:p w14:paraId="4F5A1997" w14:textId="77777777" w:rsidR="00A82EF2" w:rsidRPr="007E130D" w:rsidRDefault="00A82EF2" w:rsidP="00B20AC9">
      <w:r w:rsidRPr="007E130D">
        <w:t xml:space="preserve">En application des procédures prévues dans l'Article </w:t>
      </w:r>
      <w:r w:rsidRPr="007E130D">
        <w:rPr>
          <w:b/>
          <w:bCs/>
        </w:rPr>
        <w:t>15</w:t>
      </w:r>
      <w:r w:rsidRPr="007E130D">
        <w:t xml:space="preserve"> du Règlement des radiocommunications, le Bureau a traité dans les plus brefs délais tous les cas de brouillage préjudiciable qui lui avaient été signalés, notamment lorsqu'ils portaient sur des services ayant trait à la sécurité de la vie humaine. Chaque cas signalé est normalement traité par le Bureau dans les 48 heures qui suivent sa réception. Quelques cas ont été soumis au RRB, à la demande d'administrations dont les services avaient été brouillés. Dans certains cas, le Bureau a reçu une déclaration de la part d'administrations affectées, indiquant que les cas avaient été résolus. On trouvera dans le Tableau 7.4.1-1 des données statistiques sur les systèmes de Terre, et dans le Tableau 7.4.1-2 des données statistiques sur les cas concernant les services spatiaux.</w:t>
      </w:r>
    </w:p>
    <w:p w14:paraId="4F26E9C1" w14:textId="22E26EB3" w:rsidR="002D5D29" w:rsidRPr="007E130D" w:rsidRDefault="002D5D29">
      <w:pPr>
        <w:tabs>
          <w:tab w:val="clear" w:pos="1134"/>
          <w:tab w:val="clear" w:pos="1871"/>
          <w:tab w:val="clear" w:pos="2268"/>
        </w:tabs>
        <w:overflowPunct/>
        <w:autoSpaceDE/>
        <w:autoSpaceDN/>
        <w:adjustRightInd/>
        <w:spacing w:before="0"/>
        <w:textAlignment w:val="auto"/>
      </w:pPr>
      <w:r w:rsidRPr="007E130D">
        <w:br w:type="page"/>
      </w:r>
    </w:p>
    <w:p w14:paraId="4E949829" w14:textId="77777777" w:rsidR="00A82EF2" w:rsidRPr="007E130D" w:rsidRDefault="00A82EF2" w:rsidP="00130B4A">
      <w:pPr>
        <w:pStyle w:val="TableNo"/>
        <w:keepLines/>
      </w:pPr>
      <w:r w:rsidRPr="007E130D">
        <w:lastRenderedPageBreak/>
        <w:t>TableAU 7.4.1-1</w:t>
      </w:r>
    </w:p>
    <w:p w14:paraId="359E42B9" w14:textId="0D5D6D33" w:rsidR="00A82EF2" w:rsidRPr="007E130D" w:rsidRDefault="00A82EF2" w:rsidP="00130B4A">
      <w:pPr>
        <w:pStyle w:val="Tabletitle"/>
      </w:pPr>
      <w:r w:rsidRPr="007E130D">
        <w:t>Données statistiques concernant le traitement des cas de brouillages</w:t>
      </w:r>
      <w:r w:rsidR="00752EA7" w:rsidRPr="007E130D">
        <w:br/>
      </w:r>
      <w:r w:rsidRPr="007E130D">
        <w:t>préjudiciables</w:t>
      </w:r>
      <w:r w:rsidR="00752EA7" w:rsidRPr="007E130D">
        <w:t xml:space="preserve"> </w:t>
      </w:r>
      <w:r w:rsidRPr="007E130D">
        <w:t>ayant des incidences sur les services de Terre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418"/>
        <w:gridCol w:w="992"/>
        <w:gridCol w:w="992"/>
        <w:gridCol w:w="766"/>
        <w:gridCol w:w="1576"/>
      </w:tblGrid>
      <w:tr w:rsidR="00C911BF" w:rsidRPr="007E130D" w14:paraId="64E12C6A" w14:textId="77777777" w:rsidTr="00752EA7">
        <w:trPr>
          <w:cantSplit/>
          <w:jc w:val="center"/>
        </w:trPr>
        <w:tc>
          <w:tcPr>
            <w:tcW w:w="4111" w:type="dxa"/>
            <w:tcBorders>
              <w:top w:val="nil"/>
              <w:left w:val="nil"/>
            </w:tcBorders>
          </w:tcPr>
          <w:p w14:paraId="13728748" w14:textId="77777777" w:rsidR="00C911BF" w:rsidRPr="007E130D" w:rsidRDefault="00C911BF" w:rsidP="002D5D29">
            <w:pPr>
              <w:keepLines/>
            </w:pPr>
          </w:p>
        </w:tc>
        <w:tc>
          <w:tcPr>
            <w:tcW w:w="1418" w:type="dxa"/>
          </w:tcPr>
          <w:p w14:paraId="2BBC80FE" w14:textId="77777777" w:rsidR="00C911BF" w:rsidRPr="007E130D" w:rsidRDefault="00C911BF" w:rsidP="00130B4A">
            <w:pPr>
              <w:pStyle w:val="Tablehead"/>
              <w:keepLines/>
            </w:pPr>
            <w:r w:rsidRPr="007E130D">
              <w:t>2019</w:t>
            </w:r>
          </w:p>
        </w:tc>
        <w:tc>
          <w:tcPr>
            <w:tcW w:w="992" w:type="dxa"/>
          </w:tcPr>
          <w:p w14:paraId="79AD4DB6" w14:textId="77777777" w:rsidR="00C911BF" w:rsidRPr="007E130D" w:rsidRDefault="00C911BF" w:rsidP="00130B4A">
            <w:pPr>
              <w:pStyle w:val="Tablehead"/>
              <w:keepLines/>
            </w:pPr>
            <w:r w:rsidRPr="007E130D">
              <w:t>2020</w:t>
            </w:r>
          </w:p>
        </w:tc>
        <w:tc>
          <w:tcPr>
            <w:tcW w:w="992" w:type="dxa"/>
          </w:tcPr>
          <w:p w14:paraId="088B3D3A" w14:textId="77777777" w:rsidR="00C911BF" w:rsidRPr="007E130D" w:rsidRDefault="00C911BF" w:rsidP="00130B4A">
            <w:pPr>
              <w:pStyle w:val="Tablehead"/>
              <w:keepLines/>
            </w:pPr>
            <w:r w:rsidRPr="007E130D">
              <w:t>2021</w:t>
            </w:r>
          </w:p>
        </w:tc>
        <w:tc>
          <w:tcPr>
            <w:tcW w:w="766" w:type="dxa"/>
          </w:tcPr>
          <w:p w14:paraId="60B88228" w14:textId="77777777" w:rsidR="00C911BF" w:rsidRPr="007E130D" w:rsidDel="00BD3B26" w:rsidRDefault="00C911BF" w:rsidP="00130B4A">
            <w:pPr>
              <w:pStyle w:val="Tablehead"/>
              <w:keepLines/>
            </w:pPr>
            <w:r w:rsidRPr="007E130D">
              <w:t>2022</w:t>
            </w:r>
          </w:p>
        </w:tc>
        <w:tc>
          <w:tcPr>
            <w:tcW w:w="1576" w:type="dxa"/>
          </w:tcPr>
          <w:p w14:paraId="21661931" w14:textId="77777777" w:rsidR="00C911BF" w:rsidRPr="007E130D" w:rsidRDefault="00C911BF" w:rsidP="00130B4A">
            <w:pPr>
              <w:pStyle w:val="Tablehead"/>
              <w:keepLines/>
            </w:pPr>
            <w:r w:rsidRPr="007E130D">
              <w:t>2023 (jusqu'au 30 juin)</w:t>
            </w:r>
          </w:p>
        </w:tc>
      </w:tr>
      <w:tr w:rsidR="00C911BF" w:rsidRPr="007E130D" w14:paraId="2261CA2E" w14:textId="77777777" w:rsidTr="00752EA7">
        <w:trPr>
          <w:cantSplit/>
          <w:jc w:val="center"/>
        </w:trPr>
        <w:tc>
          <w:tcPr>
            <w:tcW w:w="4111" w:type="dxa"/>
          </w:tcPr>
          <w:p w14:paraId="2D71C084" w14:textId="77777777" w:rsidR="00C911BF" w:rsidRPr="007E130D" w:rsidRDefault="00C911BF" w:rsidP="002D5D29">
            <w:pPr>
              <w:pStyle w:val="Tabletext"/>
            </w:pPr>
            <w:r w:rsidRPr="007E130D">
              <w:t>Nombre de cas soumis au BR pour information</w:t>
            </w:r>
          </w:p>
        </w:tc>
        <w:tc>
          <w:tcPr>
            <w:tcW w:w="1418" w:type="dxa"/>
            <w:vAlign w:val="center"/>
          </w:tcPr>
          <w:p w14:paraId="7FF351E7" w14:textId="77777777" w:rsidR="00C911BF" w:rsidRPr="007E130D" w:rsidRDefault="00C911BF" w:rsidP="00130B4A">
            <w:pPr>
              <w:pStyle w:val="Tabletext"/>
              <w:keepNext/>
              <w:keepLines/>
              <w:jc w:val="center"/>
            </w:pPr>
            <w:r w:rsidRPr="007E130D">
              <w:t>41</w:t>
            </w:r>
          </w:p>
        </w:tc>
        <w:tc>
          <w:tcPr>
            <w:tcW w:w="992" w:type="dxa"/>
            <w:vAlign w:val="center"/>
          </w:tcPr>
          <w:p w14:paraId="349A15D6" w14:textId="77777777" w:rsidR="00C911BF" w:rsidRPr="007E130D" w:rsidRDefault="00C911BF" w:rsidP="00130B4A">
            <w:pPr>
              <w:pStyle w:val="Tabletext"/>
              <w:keepNext/>
              <w:keepLines/>
              <w:jc w:val="center"/>
            </w:pPr>
            <w:r w:rsidRPr="007E130D">
              <w:t>46</w:t>
            </w:r>
          </w:p>
        </w:tc>
        <w:tc>
          <w:tcPr>
            <w:tcW w:w="992" w:type="dxa"/>
            <w:vAlign w:val="center"/>
          </w:tcPr>
          <w:p w14:paraId="16448398" w14:textId="77777777" w:rsidR="00C911BF" w:rsidRPr="007E130D" w:rsidRDefault="00C911BF" w:rsidP="00130B4A">
            <w:pPr>
              <w:pStyle w:val="Tabletext"/>
              <w:keepNext/>
              <w:keepLines/>
              <w:jc w:val="center"/>
            </w:pPr>
            <w:r w:rsidRPr="007E130D">
              <w:t>37</w:t>
            </w:r>
          </w:p>
        </w:tc>
        <w:tc>
          <w:tcPr>
            <w:tcW w:w="766" w:type="dxa"/>
          </w:tcPr>
          <w:p w14:paraId="5D791152" w14:textId="77777777" w:rsidR="00C911BF" w:rsidRPr="007E130D" w:rsidRDefault="00C911BF" w:rsidP="00130B4A">
            <w:pPr>
              <w:pStyle w:val="Tabletext"/>
              <w:keepNext/>
              <w:keepLines/>
              <w:jc w:val="center"/>
            </w:pPr>
            <w:r w:rsidRPr="007E130D">
              <w:t>32</w:t>
            </w:r>
          </w:p>
        </w:tc>
        <w:tc>
          <w:tcPr>
            <w:tcW w:w="1576" w:type="dxa"/>
            <w:vAlign w:val="center"/>
          </w:tcPr>
          <w:p w14:paraId="089A4BFC" w14:textId="77777777" w:rsidR="00C911BF" w:rsidRPr="007E130D" w:rsidRDefault="00C911BF" w:rsidP="00130B4A">
            <w:pPr>
              <w:pStyle w:val="Tabletext"/>
              <w:keepNext/>
              <w:keepLines/>
              <w:jc w:val="center"/>
            </w:pPr>
            <w:r w:rsidRPr="007E130D">
              <w:t>42</w:t>
            </w:r>
          </w:p>
        </w:tc>
      </w:tr>
      <w:tr w:rsidR="00C911BF" w:rsidRPr="007E130D" w14:paraId="2B98AA37" w14:textId="77777777" w:rsidTr="00752EA7">
        <w:trPr>
          <w:cantSplit/>
          <w:jc w:val="center"/>
        </w:trPr>
        <w:tc>
          <w:tcPr>
            <w:tcW w:w="4111" w:type="dxa"/>
          </w:tcPr>
          <w:p w14:paraId="1C961311" w14:textId="77777777" w:rsidR="00C911BF" w:rsidRPr="007E130D" w:rsidRDefault="00C911BF" w:rsidP="00B20AC9">
            <w:pPr>
              <w:pStyle w:val="Tabletext"/>
            </w:pPr>
            <w:r w:rsidRPr="007E130D">
              <w:t>Cas d'assistance fournie aux administrations</w:t>
            </w:r>
          </w:p>
        </w:tc>
        <w:tc>
          <w:tcPr>
            <w:tcW w:w="1418" w:type="dxa"/>
            <w:vAlign w:val="center"/>
          </w:tcPr>
          <w:p w14:paraId="44662A2C" w14:textId="77777777" w:rsidR="00C911BF" w:rsidRPr="007E130D" w:rsidRDefault="00C911BF" w:rsidP="00B20AC9">
            <w:pPr>
              <w:pStyle w:val="Tabletext"/>
              <w:jc w:val="center"/>
            </w:pPr>
            <w:r w:rsidRPr="007E130D">
              <w:t>27</w:t>
            </w:r>
          </w:p>
        </w:tc>
        <w:tc>
          <w:tcPr>
            <w:tcW w:w="992" w:type="dxa"/>
            <w:vAlign w:val="center"/>
          </w:tcPr>
          <w:p w14:paraId="1E6CC044" w14:textId="77777777" w:rsidR="00C911BF" w:rsidRPr="007E130D" w:rsidRDefault="00C911BF" w:rsidP="00B20AC9">
            <w:pPr>
              <w:pStyle w:val="Tabletext"/>
              <w:jc w:val="center"/>
            </w:pPr>
            <w:r w:rsidRPr="007E130D">
              <w:t>20</w:t>
            </w:r>
          </w:p>
        </w:tc>
        <w:tc>
          <w:tcPr>
            <w:tcW w:w="992" w:type="dxa"/>
            <w:vAlign w:val="center"/>
          </w:tcPr>
          <w:p w14:paraId="4D18A1DB" w14:textId="77777777" w:rsidR="00C911BF" w:rsidRPr="007E130D" w:rsidRDefault="00C911BF" w:rsidP="00B20AC9">
            <w:pPr>
              <w:pStyle w:val="Tabletext"/>
              <w:jc w:val="center"/>
            </w:pPr>
            <w:r w:rsidRPr="007E130D">
              <w:t>16</w:t>
            </w:r>
          </w:p>
        </w:tc>
        <w:tc>
          <w:tcPr>
            <w:tcW w:w="766" w:type="dxa"/>
          </w:tcPr>
          <w:p w14:paraId="45062E64" w14:textId="77777777" w:rsidR="00C911BF" w:rsidRPr="007E130D" w:rsidRDefault="00C911BF" w:rsidP="00B20AC9">
            <w:pPr>
              <w:pStyle w:val="Tabletext"/>
              <w:jc w:val="center"/>
            </w:pPr>
            <w:r w:rsidRPr="007E130D">
              <w:t>17</w:t>
            </w:r>
          </w:p>
        </w:tc>
        <w:tc>
          <w:tcPr>
            <w:tcW w:w="1576" w:type="dxa"/>
            <w:vAlign w:val="center"/>
          </w:tcPr>
          <w:p w14:paraId="192E9862" w14:textId="77777777" w:rsidR="00C911BF" w:rsidRPr="007E130D" w:rsidRDefault="00C911BF" w:rsidP="00B20AC9">
            <w:pPr>
              <w:pStyle w:val="Tabletext"/>
              <w:jc w:val="center"/>
            </w:pPr>
            <w:r w:rsidRPr="007E130D">
              <w:t>9</w:t>
            </w:r>
          </w:p>
        </w:tc>
      </w:tr>
    </w:tbl>
    <w:p w14:paraId="470C000B" w14:textId="6AC18D56" w:rsidR="00C40B0F" w:rsidRPr="007E130D" w:rsidRDefault="00C40B0F" w:rsidP="00C40B0F">
      <w:pPr>
        <w:pStyle w:val="TableNo"/>
      </w:pPr>
      <w:bookmarkStart w:id="271" w:name="_Hlk147388501"/>
      <w:r w:rsidRPr="007E130D">
        <w:t>Tableau 7.4.1-2</w:t>
      </w:r>
      <w:bookmarkEnd w:id="271"/>
    </w:p>
    <w:p w14:paraId="569FA17D" w14:textId="39B7462D" w:rsidR="00A82EF2" w:rsidRPr="007E130D" w:rsidRDefault="00A82EF2" w:rsidP="00752EA7">
      <w:pPr>
        <w:pStyle w:val="Tabletitle"/>
        <w:spacing w:before="120"/>
      </w:pPr>
      <w:r w:rsidRPr="007E130D">
        <w:t>Données statistiques concernant le traitement des cas de brouillages</w:t>
      </w:r>
      <w:r w:rsidR="00752EA7" w:rsidRPr="007E130D">
        <w:br/>
      </w:r>
      <w:r w:rsidRPr="007E130D">
        <w:t>préjudiciables ayant des incidences sur les services spatiaux</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9"/>
        <w:gridCol w:w="1134"/>
        <w:gridCol w:w="1134"/>
        <w:gridCol w:w="1134"/>
        <w:gridCol w:w="2238"/>
      </w:tblGrid>
      <w:tr w:rsidR="00C911BF" w:rsidRPr="007E130D" w14:paraId="2B1E7F2A" w14:textId="77777777" w:rsidTr="00C911BF">
        <w:trPr>
          <w:cantSplit/>
          <w:jc w:val="center"/>
        </w:trPr>
        <w:tc>
          <w:tcPr>
            <w:tcW w:w="0" w:type="auto"/>
            <w:tcBorders>
              <w:top w:val="nil"/>
              <w:left w:val="nil"/>
            </w:tcBorders>
          </w:tcPr>
          <w:p w14:paraId="45032BF3" w14:textId="77777777" w:rsidR="00C911BF" w:rsidRPr="007E130D" w:rsidRDefault="00C911BF" w:rsidP="00B20AC9"/>
        </w:tc>
        <w:tc>
          <w:tcPr>
            <w:tcW w:w="1134" w:type="dxa"/>
            <w:vAlign w:val="center"/>
          </w:tcPr>
          <w:p w14:paraId="25B9E691" w14:textId="77777777" w:rsidR="00C911BF" w:rsidRPr="007E130D" w:rsidRDefault="00C911BF" w:rsidP="00B20AC9">
            <w:pPr>
              <w:pStyle w:val="Tablehead"/>
              <w:keepNext w:val="0"/>
            </w:pPr>
            <w:r w:rsidRPr="007E130D">
              <w:rPr>
                <w:rFonts w:ascii="Times New Roman Bold" w:hAnsi="Times New Roman Bold" w:cs="Times New Roman Bold"/>
              </w:rPr>
              <w:t>2020</w:t>
            </w:r>
          </w:p>
        </w:tc>
        <w:tc>
          <w:tcPr>
            <w:tcW w:w="1134" w:type="dxa"/>
            <w:vAlign w:val="center"/>
          </w:tcPr>
          <w:p w14:paraId="67CF019F" w14:textId="77777777" w:rsidR="00C911BF" w:rsidRPr="007E130D" w:rsidRDefault="00C911BF" w:rsidP="00B20AC9">
            <w:pPr>
              <w:pStyle w:val="Tablehead"/>
              <w:keepNext w:val="0"/>
            </w:pPr>
            <w:r w:rsidRPr="007E130D">
              <w:rPr>
                <w:rFonts w:ascii="Times New Roman Bold" w:hAnsi="Times New Roman Bold" w:cs="Times New Roman Bold"/>
              </w:rPr>
              <w:t>2021</w:t>
            </w:r>
          </w:p>
        </w:tc>
        <w:tc>
          <w:tcPr>
            <w:tcW w:w="1134" w:type="dxa"/>
            <w:vAlign w:val="center"/>
          </w:tcPr>
          <w:p w14:paraId="0B7E0C67" w14:textId="77777777" w:rsidR="00C911BF" w:rsidRPr="007E130D" w:rsidRDefault="00C911BF" w:rsidP="00B20AC9">
            <w:pPr>
              <w:pStyle w:val="Tablehead"/>
              <w:keepNext w:val="0"/>
            </w:pPr>
            <w:r w:rsidRPr="007E130D">
              <w:rPr>
                <w:rFonts w:ascii="Times New Roman Bold" w:hAnsi="Times New Roman Bold" w:cs="Times New Roman Bold"/>
              </w:rPr>
              <w:t>2022</w:t>
            </w:r>
          </w:p>
        </w:tc>
        <w:tc>
          <w:tcPr>
            <w:tcW w:w="2238" w:type="dxa"/>
            <w:shd w:val="clear" w:color="auto" w:fill="auto"/>
          </w:tcPr>
          <w:p w14:paraId="7DAE8483" w14:textId="3417B388" w:rsidR="00C911BF" w:rsidRPr="007E130D" w:rsidRDefault="00C911BF" w:rsidP="00B20AC9">
            <w:pPr>
              <w:pStyle w:val="Tablehead"/>
              <w:keepNext w:val="0"/>
            </w:pPr>
            <w:r w:rsidRPr="007E130D">
              <w:t>2023 (fin mai)</w:t>
            </w:r>
          </w:p>
        </w:tc>
      </w:tr>
      <w:tr w:rsidR="00C911BF" w:rsidRPr="007E130D" w14:paraId="67E72D67" w14:textId="77777777" w:rsidTr="00960B1C">
        <w:trPr>
          <w:cantSplit/>
          <w:jc w:val="center"/>
        </w:trPr>
        <w:tc>
          <w:tcPr>
            <w:tcW w:w="0" w:type="auto"/>
          </w:tcPr>
          <w:p w14:paraId="4C01458D" w14:textId="77777777" w:rsidR="00C911BF" w:rsidRPr="007E130D" w:rsidRDefault="00C911BF" w:rsidP="00B20AC9">
            <w:pPr>
              <w:pStyle w:val="Tabletext"/>
            </w:pPr>
            <w:r w:rsidRPr="007E130D">
              <w:t>Nombre de cas soumis au BR pour information</w:t>
            </w:r>
          </w:p>
        </w:tc>
        <w:tc>
          <w:tcPr>
            <w:tcW w:w="1134" w:type="dxa"/>
          </w:tcPr>
          <w:p w14:paraId="67D5FD26" w14:textId="77777777" w:rsidR="00C911BF" w:rsidRPr="007E130D" w:rsidRDefault="00C911BF" w:rsidP="00B20AC9">
            <w:pPr>
              <w:pStyle w:val="Tabletext"/>
              <w:jc w:val="center"/>
            </w:pPr>
            <w:r w:rsidRPr="007E130D">
              <w:t>56</w:t>
            </w:r>
          </w:p>
        </w:tc>
        <w:tc>
          <w:tcPr>
            <w:tcW w:w="1134" w:type="dxa"/>
          </w:tcPr>
          <w:p w14:paraId="175D8D39" w14:textId="77777777" w:rsidR="00C911BF" w:rsidRPr="007E130D" w:rsidRDefault="00C911BF" w:rsidP="00B20AC9">
            <w:pPr>
              <w:pStyle w:val="Tabletext"/>
              <w:jc w:val="center"/>
            </w:pPr>
            <w:r w:rsidRPr="007E130D">
              <w:t>51</w:t>
            </w:r>
          </w:p>
        </w:tc>
        <w:tc>
          <w:tcPr>
            <w:tcW w:w="1134" w:type="dxa"/>
          </w:tcPr>
          <w:p w14:paraId="7AFF8531" w14:textId="77777777" w:rsidR="00C911BF" w:rsidRPr="007E130D" w:rsidRDefault="00C911BF" w:rsidP="00B20AC9">
            <w:pPr>
              <w:pStyle w:val="Tabletext"/>
              <w:jc w:val="center"/>
            </w:pPr>
            <w:r w:rsidRPr="007E130D">
              <w:t>30</w:t>
            </w:r>
          </w:p>
        </w:tc>
        <w:tc>
          <w:tcPr>
            <w:tcW w:w="2238" w:type="dxa"/>
            <w:shd w:val="clear" w:color="auto" w:fill="auto"/>
          </w:tcPr>
          <w:p w14:paraId="37A59F90" w14:textId="77777777" w:rsidR="00C911BF" w:rsidRPr="007E130D" w:rsidRDefault="00C911BF" w:rsidP="00B20AC9">
            <w:pPr>
              <w:pStyle w:val="Tabletext"/>
              <w:jc w:val="center"/>
            </w:pPr>
            <w:r w:rsidRPr="007E130D">
              <w:t>21</w:t>
            </w:r>
          </w:p>
        </w:tc>
      </w:tr>
      <w:tr w:rsidR="00C911BF" w:rsidRPr="007E130D" w14:paraId="1918D11E" w14:textId="77777777" w:rsidTr="00960B1C">
        <w:trPr>
          <w:cantSplit/>
          <w:jc w:val="center"/>
        </w:trPr>
        <w:tc>
          <w:tcPr>
            <w:tcW w:w="0" w:type="auto"/>
          </w:tcPr>
          <w:p w14:paraId="2AC5BD4F" w14:textId="77777777" w:rsidR="00C911BF" w:rsidRPr="007E130D" w:rsidRDefault="00C911BF" w:rsidP="00B20AC9">
            <w:pPr>
              <w:pStyle w:val="Tabletext"/>
            </w:pPr>
            <w:r w:rsidRPr="007E130D">
              <w:t>Cas de demande d'assistance au BR</w:t>
            </w:r>
          </w:p>
        </w:tc>
        <w:tc>
          <w:tcPr>
            <w:tcW w:w="1134" w:type="dxa"/>
          </w:tcPr>
          <w:p w14:paraId="7EFC40F5" w14:textId="77777777" w:rsidR="00C911BF" w:rsidRPr="007E130D" w:rsidRDefault="00C911BF" w:rsidP="00B20AC9">
            <w:pPr>
              <w:pStyle w:val="Tabletext"/>
              <w:jc w:val="center"/>
            </w:pPr>
            <w:r w:rsidRPr="007E130D">
              <w:t>33</w:t>
            </w:r>
          </w:p>
        </w:tc>
        <w:tc>
          <w:tcPr>
            <w:tcW w:w="1134" w:type="dxa"/>
          </w:tcPr>
          <w:p w14:paraId="2E54FF3A" w14:textId="77777777" w:rsidR="00C911BF" w:rsidRPr="007E130D" w:rsidRDefault="00C911BF" w:rsidP="00B20AC9">
            <w:pPr>
              <w:pStyle w:val="Tabletext"/>
              <w:jc w:val="center"/>
            </w:pPr>
            <w:r w:rsidRPr="007E130D">
              <w:t>9</w:t>
            </w:r>
          </w:p>
        </w:tc>
        <w:tc>
          <w:tcPr>
            <w:tcW w:w="1134" w:type="dxa"/>
          </w:tcPr>
          <w:p w14:paraId="0DD0103E" w14:textId="77777777" w:rsidR="00C911BF" w:rsidRPr="007E130D" w:rsidRDefault="00C911BF" w:rsidP="00B20AC9">
            <w:pPr>
              <w:pStyle w:val="Tabletext"/>
              <w:jc w:val="center"/>
            </w:pPr>
            <w:r w:rsidRPr="007E130D">
              <w:t>26</w:t>
            </w:r>
          </w:p>
        </w:tc>
        <w:tc>
          <w:tcPr>
            <w:tcW w:w="2238" w:type="dxa"/>
            <w:shd w:val="clear" w:color="auto" w:fill="auto"/>
          </w:tcPr>
          <w:p w14:paraId="020BC889" w14:textId="77777777" w:rsidR="00C911BF" w:rsidRPr="007E130D" w:rsidRDefault="00C911BF" w:rsidP="00B20AC9">
            <w:pPr>
              <w:pStyle w:val="Tabletext"/>
              <w:jc w:val="center"/>
            </w:pPr>
            <w:r w:rsidRPr="007E130D">
              <w:t>3</w:t>
            </w:r>
          </w:p>
        </w:tc>
      </w:tr>
    </w:tbl>
    <w:p w14:paraId="681B18DB" w14:textId="77777777" w:rsidR="00725585" w:rsidRPr="007E130D" w:rsidRDefault="00725585" w:rsidP="002D5D29">
      <w:pPr>
        <w:spacing w:before="240"/>
        <w:rPr>
          <w:b/>
        </w:rPr>
      </w:pPr>
      <w:bookmarkStart w:id="272" w:name="_Toc19880095"/>
      <w:r w:rsidRPr="007E130D">
        <w:t xml:space="preserve">Le résumé des cas particuliers de brouillages préjudiciables affectant les services spatiaux signalés au Bureau entre la CMR-19 et la CMR-23, les mesures prises en conséquence et les suggestions faites à la CMR-23, y compris la nécessité de traiter le cas critique de brouillages causés au service de sécurité SRNS, sont présentés dans la </w:t>
      </w:r>
      <w:r w:rsidR="00E964E1" w:rsidRPr="007E130D">
        <w:t>partie 2 du présent Rapport du D</w:t>
      </w:r>
      <w:r w:rsidRPr="007E130D">
        <w:t>irecteur à la conférence.</w:t>
      </w:r>
    </w:p>
    <w:p w14:paraId="729579CC" w14:textId="77777777" w:rsidR="008E41F4" w:rsidRPr="007E130D" w:rsidRDefault="008E41F4" w:rsidP="00B20AC9">
      <w:pPr>
        <w:pStyle w:val="Heading3"/>
      </w:pPr>
      <w:bookmarkStart w:id="273" w:name="_Toc147328850"/>
      <w:r w:rsidRPr="007E130D">
        <w:t>7.4.2</w:t>
      </w:r>
      <w:r w:rsidRPr="007E130D">
        <w:tab/>
      </w:r>
      <w:r w:rsidR="00501116" w:rsidRPr="007E130D">
        <w:t>Activités à caractère général visant à prévenir et à atténuer les brouillages affectant les services spatiaux</w:t>
      </w:r>
      <w:bookmarkEnd w:id="273"/>
    </w:p>
    <w:p w14:paraId="6B6E8B0E" w14:textId="77777777" w:rsidR="008E41F4" w:rsidRPr="007E130D" w:rsidRDefault="008E41F4" w:rsidP="00752EA7">
      <w:pPr>
        <w:pStyle w:val="Heading4"/>
        <w:rPr>
          <w:rFonts w:asciiTheme="majorBidi" w:hAnsiTheme="majorBidi" w:cstheme="majorBidi"/>
          <w:szCs w:val="24"/>
        </w:rPr>
      </w:pPr>
      <w:r w:rsidRPr="007E130D">
        <w:t>7.4.2.1</w:t>
      </w:r>
      <w:r w:rsidRPr="007E130D">
        <w:tab/>
      </w:r>
      <w:r w:rsidR="00501116" w:rsidRPr="007E130D">
        <w:t>Système international de contrôle des émissions</w:t>
      </w:r>
    </w:p>
    <w:p w14:paraId="0AD99359" w14:textId="0DF517E4" w:rsidR="008E41F4" w:rsidRPr="007E130D" w:rsidRDefault="008E41F4" w:rsidP="00752EA7">
      <w:r w:rsidRPr="007E130D">
        <w:t xml:space="preserve">Durant cette période de quatre ans, l'UIT a signé des accords de coopération avec les Administrations </w:t>
      </w:r>
      <w:r w:rsidR="00501116" w:rsidRPr="007E130D">
        <w:t>du Brésil et d</w:t>
      </w:r>
      <w:r w:rsidR="000C4CDD" w:rsidRPr="007E130D">
        <w:t>'</w:t>
      </w:r>
      <w:r w:rsidR="00501116" w:rsidRPr="007E130D">
        <w:t>Oman, étendant le système à d</w:t>
      </w:r>
      <w:r w:rsidR="000C4CDD" w:rsidRPr="007E130D">
        <w:t>'</w:t>
      </w:r>
      <w:r w:rsidR="00501116" w:rsidRPr="007E130D">
        <w:t>autres régions, en plus de mémorandums d</w:t>
      </w:r>
      <w:r w:rsidR="000C4CDD" w:rsidRPr="007E130D">
        <w:t>'</w:t>
      </w:r>
      <w:r w:rsidR="00501116" w:rsidRPr="007E130D">
        <w:t xml:space="preserve">accord déjà signés avec les Administrations du </w:t>
      </w:r>
      <w:r w:rsidRPr="007E130D">
        <w:t>Bélarus, de la Chine, de l'Allemagne, de la Corée, du Pakistan et du Vietnam, concernant l'utilisation d'installations de contrôle des émissions pour les services spatiaux.</w:t>
      </w:r>
    </w:p>
    <w:p w14:paraId="57F6692A" w14:textId="67F4928B" w:rsidR="00DF7440" w:rsidRPr="007E130D" w:rsidRDefault="00DF7440" w:rsidP="00752EA7">
      <w:r w:rsidRPr="007E130D">
        <w:t xml:space="preserve">Dans le cadre de ces accords de coopération, il sera possible d'effectuer des mesures concernant les cas de brouillages préjudiciables pour lesquels une administration demande l'assistance du Bureau au titre de l'Article </w:t>
      </w:r>
      <w:r w:rsidRPr="007E130D">
        <w:rPr>
          <w:b/>
          <w:bCs/>
        </w:rPr>
        <w:t>15</w:t>
      </w:r>
      <w:r w:rsidRPr="007E130D">
        <w:t xml:space="preserve"> ou du numéro </w:t>
      </w:r>
      <w:r w:rsidRPr="007E130D">
        <w:rPr>
          <w:b/>
          <w:bCs/>
        </w:rPr>
        <w:t>13.2</w:t>
      </w:r>
      <w:r w:rsidRPr="007E130D">
        <w:t xml:space="preserve"> du Règlement des radiocommunications, ainsi que dans les cas où des brouillages résultant de problèmes de coordination sont signalés (Article</w:t>
      </w:r>
      <w:r w:rsidR="000C4CDD" w:rsidRPr="007E130D">
        <w:t> </w:t>
      </w:r>
      <w:r w:rsidRPr="007E130D">
        <w:rPr>
          <w:b/>
          <w:bCs/>
        </w:rPr>
        <w:t>11</w:t>
      </w:r>
      <w:r w:rsidRPr="007E130D">
        <w:t>,</w:t>
      </w:r>
      <w:r w:rsidR="000C4CDD" w:rsidRPr="007E130D">
        <w:t> </w:t>
      </w:r>
      <w:r w:rsidRPr="007E130D">
        <w:t>numéro </w:t>
      </w:r>
      <w:r w:rsidRPr="007E130D">
        <w:rPr>
          <w:b/>
          <w:bCs/>
        </w:rPr>
        <w:t>11.41</w:t>
      </w:r>
      <w:r w:rsidRPr="007E130D">
        <w:t>).</w:t>
      </w:r>
    </w:p>
    <w:p w14:paraId="232D5410" w14:textId="44868C87" w:rsidR="00DF7440" w:rsidRPr="007E130D" w:rsidRDefault="00D62259" w:rsidP="00752EA7">
      <w:r w:rsidRPr="007E130D">
        <w:t>Dans le cadre de l'assistance fournie par le Bureau dans ce domaine aux administrations affectées par des brouillages préjudiciables, deux installations de surveillance de l'espace ont été utilisées et ont contribué efficacement à la résolution de cas de brouillages préjudiciables affectant des satellites géostationnaires depuis la CMR-19.</w:t>
      </w:r>
    </w:p>
    <w:p w14:paraId="1CFEC18E" w14:textId="395AF9F6" w:rsidR="00DF7440" w:rsidRPr="007E130D" w:rsidRDefault="00D62259" w:rsidP="00752EA7">
      <w:r w:rsidRPr="007E130D">
        <w:t>En réponse à la Résolution 186 (Rév. Bucarest</w:t>
      </w:r>
      <w:r w:rsidR="002D5D29" w:rsidRPr="007E130D">
        <w:t>,</w:t>
      </w:r>
      <w:r w:rsidRPr="007E130D">
        <w:t xml:space="preserve"> 2022) de la Conférence de plénipotentiaires, le Bureau a créé un nouveau site web dédié aux activités de contrôle </w:t>
      </w:r>
      <w:r w:rsidR="000E633D" w:rsidRPr="007E130D">
        <w:t xml:space="preserve">des émissions radioélectriques </w:t>
      </w:r>
      <w:r w:rsidR="00D218D3" w:rsidRPr="007E130D">
        <w:t>pour les services spatiaux</w:t>
      </w:r>
      <w:r w:rsidRPr="007E130D">
        <w:t xml:space="preserve"> où des informations techniques et administratives, y compris des copies des </w:t>
      </w:r>
      <w:r w:rsidR="000E633D" w:rsidRPr="007E130D">
        <w:t>mémorandums</w:t>
      </w:r>
      <w:r w:rsidRPr="007E130D">
        <w:t xml:space="preserve"> d'accord signés et des détails sur les installations de </w:t>
      </w:r>
      <w:r w:rsidR="000E633D" w:rsidRPr="007E130D">
        <w:t xml:space="preserve">contrôle des émissions </w:t>
      </w:r>
      <w:r w:rsidR="00D218D3" w:rsidRPr="007E130D">
        <w:t>pour les services spatiaux</w:t>
      </w:r>
      <w:r w:rsidR="000E633D" w:rsidRPr="007E130D">
        <w:t>, sont disponibles pour les M</w:t>
      </w:r>
      <w:r w:rsidRPr="007E130D">
        <w:t xml:space="preserve">embres. La page web est accessible </w:t>
      </w:r>
      <w:hyperlink r:id="rId110" w:history="1">
        <w:r w:rsidRPr="007E130D">
          <w:rPr>
            <w:rStyle w:val="Hyperlink"/>
          </w:rPr>
          <w:t>ici</w:t>
        </w:r>
      </w:hyperlink>
      <w:r w:rsidRPr="007E130D">
        <w:t>.</w:t>
      </w:r>
    </w:p>
    <w:p w14:paraId="745432F5" w14:textId="208E82D2" w:rsidR="00DF7440" w:rsidRPr="007E130D" w:rsidRDefault="00DF7440" w:rsidP="00B20AC9">
      <w:pPr>
        <w:pStyle w:val="Heading4"/>
      </w:pPr>
      <w:r w:rsidRPr="007E130D">
        <w:lastRenderedPageBreak/>
        <w:t>7.4.2.2</w:t>
      </w:r>
      <w:r w:rsidRPr="007E130D">
        <w:tab/>
      </w:r>
      <w:r w:rsidR="002567E0" w:rsidRPr="007E130D">
        <w:t>Manifestations consacrées aux satellites de l</w:t>
      </w:r>
      <w:r w:rsidR="000C4CDD" w:rsidRPr="007E130D">
        <w:t>'</w:t>
      </w:r>
      <w:r w:rsidR="002567E0" w:rsidRPr="007E130D">
        <w:t>UIT</w:t>
      </w:r>
    </w:p>
    <w:p w14:paraId="5D33E10E" w14:textId="77777777" w:rsidR="00DF7440" w:rsidRPr="007E130D" w:rsidRDefault="002567E0" w:rsidP="000C4CDD">
      <w:r w:rsidRPr="007E130D">
        <w:t>Pendant la pandémie, l</w:t>
      </w:r>
      <w:r w:rsidR="008F6402" w:rsidRPr="007E130D">
        <w:t xml:space="preserve">'UIT a organisé des </w:t>
      </w:r>
      <w:r w:rsidRPr="007E130D">
        <w:t>réunions virtuelle</w:t>
      </w:r>
      <w:r w:rsidR="008F6402" w:rsidRPr="007E130D">
        <w:t xml:space="preserve">s </w:t>
      </w:r>
      <w:r w:rsidRPr="007E130D">
        <w:t>rassemblant</w:t>
      </w:r>
      <w:r w:rsidR="008F6402" w:rsidRPr="007E130D">
        <w:t xml:space="preserve"> de</w:t>
      </w:r>
      <w:r w:rsidRPr="007E130D">
        <w:t>s</w:t>
      </w:r>
      <w:r w:rsidR="008F6402" w:rsidRPr="007E130D">
        <w:t xml:space="preserve"> régulateurs, d</w:t>
      </w:r>
      <w:r w:rsidRPr="007E130D">
        <w:t xml:space="preserve">es </w:t>
      </w:r>
      <w:r w:rsidR="008F6402" w:rsidRPr="007E130D">
        <w:t>opérateurs de systèmes à satellites, d</w:t>
      </w:r>
      <w:r w:rsidRPr="007E130D">
        <w:t xml:space="preserve">es </w:t>
      </w:r>
      <w:r w:rsidR="008F6402" w:rsidRPr="007E130D">
        <w:t>agences spatiales et de</w:t>
      </w:r>
      <w:r w:rsidRPr="007E130D">
        <w:t>s</w:t>
      </w:r>
      <w:r w:rsidR="008F6402" w:rsidRPr="007E130D">
        <w:t xml:space="preserve"> représentants du secteur des télécommunications par satellite, afin d'attirer l'attention sur la situation actuelle des brouillages radioélectriques, sur le fait qu'il est important d'éviter les brouillages préjudiciables conformément aux procédures énoncées dans le Règlement des radiocommunications et de diffuser des informations sur les techniques les plus récentes dans les domaines du contrôle des émissions pour les services spatiaux et de la détection, de la géolocalisation et de l'atténuation des brouillages.</w:t>
      </w:r>
    </w:p>
    <w:p w14:paraId="2A4DC043" w14:textId="49AA6455" w:rsidR="008F6402" w:rsidRPr="007E130D" w:rsidRDefault="00D218D3" w:rsidP="000C4CDD">
      <w:r w:rsidRPr="007E130D">
        <w:t>Une série de webinaires consacrés aux satellites auxquels ont assisté plus de 4 500 participants de</w:t>
      </w:r>
      <w:r w:rsidR="000C4CDD" w:rsidRPr="007E130D">
        <w:t> </w:t>
      </w:r>
      <w:r w:rsidRPr="007E130D">
        <w:t xml:space="preserve">122 pays est disponible </w:t>
      </w:r>
      <w:hyperlink r:id="rId111" w:history="1">
        <w:r w:rsidRPr="007E130D">
          <w:rPr>
            <w:rStyle w:val="Hyperlink"/>
          </w:rPr>
          <w:t>ici</w:t>
        </w:r>
      </w:hyperlink>
      <w:r w:rsidR="008F6402" w:rsidRPr="007E130D">
        <w:t>.</w:t>
      </w:r>
    </w:p>
    <w:p w14:paraId="03D58C95" w14:textId="2AD05245" w:rsidR="008F6402" w:rsidRPr="007E130D" w:rsidRDefault="00D218D3" w:rsidP="000C4CDD">
      <w:pPr>
        <w:rPr>
          <w:rStyle w:val="Hyperlink"/>
          <w:color w:val="auto"/>
          <w:u w:val="none"/>
        </w:rPr>
      </w:pPr>
      <w:r w:rsidRPr="007E130D">
        <w:t>L'UIT participe régulièrement aux réunions annuelles sur le contrôle international des émissions spatiales (ISRMM) et a organisé la 21</w:t>
      </w:r>
      <w:r w:rsidR="000C4CDD" w:rsidRPr="007E130D">
        <w:t>ème</w:t>
      </w:r>
      <w:r w:rsidRPr="007E130D">
        <w:t xml:space="preserve"> ISRMM en septembre 2021. Le lien vers la manifestation et les exposés est disponible </w:t>
      </w:r>
      <w:hyperlink r:id="rId112" w:history="1">
        <w:r w:rsidRPr="007E130D">
          <w:rPr>
            <w:rStyle w:val="Hyperlink"/>
          </w:rPr>
          <w:t>ici</w:t>
        </w:r>
      </w:hyperlink>
      <w:r w:rsidRPr="007E130D">
        <w:t xml:space="preserve">. </w:t>
      </w:r>
    </w:p>
    <w:p w14:paraId="327ED31F" w14:textId="7A5DD8E4" w:rsidR="008F6402" w:rsidRPr="007E130D" w:rsidRDefault="008F6402" w:rsidP="00B20AC9">
      <w:pPr>
        <w:pStyle w:val="Heading4"/>
      </w:pPr>
      <w:r w:rsidRPr="007E130D">
        <w:t>7.4.2.3</w:t>
      </w:r>
      <w:r w:rsidRPr="007E130D">
        <w:tab/>
      </w:r>
      <w:r w:rsidR="00D218D3" w:rsidRPr="007E130D">
        <w:t>Recommandations de l</w:t>
      </w:r>
      <w:r w:rsidR="000C4CDD" w:rsidRPr="007E130D">
        <w:t>'</w:t>
      </w:r>
      <w:r w:rsidR="00D218D3" w:rsidRPr="007E130D">
        <w:t>UIT-R</w:t>
      </w:r>
    </w:p>
    <w:p w14:paraId="46761F6F" w14:textId="344C532E" w:rsidR="008F6402" w:rsidRPr="007E130D" w:rsidRDefault="00772E84" w:rsidP="00B20AC9">
      <w:r w:rsidRPr="007E130D">
        <w:t xml:space="preserve">Le Bureau des radiocommunications a contribué à l'élaboration et à l'adoption de la première norme internationale à utiliser pour signaler les brouillages concernant les services spatiaux: la Recommandation </w:t>
      </w:r>
      <w:hyperlink r:id="rId113" w:history="1">
        <w:r w:rsidRPr="007E130D">
          <w:rPr>
            <w:rStyle w:val="Hyperlink"/>
          </w:rPr>
          <w:t>UIT</w:t>
        </w:r>
        <w:r w:rsidR="000C4CDD" w:rsidRPr="007E130D">
          <w:rPr>
            <w:rStyle w:val="Hyperlink"/>
          </w:rPr>
          <w:t>-</w:t>
        </w:r>
        <w:r w:rsidRPr="007E130D">
          <w:rPr>
            <w:rStyle w:val="Hyperlink"/>
          </w:rPr>
          <w:t>R SM.2149</w:t>
        </w:r>
      </w:hyperlink>
      <w:r w:rsidRPr="007E130D">
        <w:t>.</w:t>
      </w:r>
    </w:p>
    <w:p w14:paraId="3CA0B0A1" w14:textId="77777777" w:rsidR="008F6402" w:rsidRPr="007E130D" w:rsidRDefault="00772E84" w:rsidP="000C4CDD">
      <w:r w:rsidRPr="007E130D">
        <w:t xml:space="preserve">Cette Recommandation fournit des orientations sur des éléments supplémentaires concernant l'utilisation de l'Appendice </w:t>
      </w:r>
      <w:r w:rsidRPr="007E130D">
        <w:rPr>
          <w:b/>
          <w:bCs/>
        </w:rPr>
        <w:t>10</w:t>
      </w:r>
      <w:r w:rsidRPr="007E130D">
        <w:t xml:space="preserve"> du Règlement des radiocommunications pour transmettre des renseignements relatifs aux brouillages préjudiciables </w:t>
      </w:r>
      <w:r w:rsidR="00B03535" w:rsidRPr="007E130D">
        <w:t>affectant les</w:t>
      </w:r>
      <w:r w:rsidRPr="007E130D">
        <w:t xml:space="preserve"> services de radiocommunications spatiales</w:t>
      </w:r>
      <w:r w:rsidR="008F6402" w:rsidRPr="007E130D">
        <w:t>.</w:t>
      </w:r>
    </w:p>
    <w:p w14:paraId="7BA4D904" w14:textId="02A7FE0D" w:rsidR="008F6402" w:rsidRPr="007E130D" w:rsidRDefault="0085379B" w:rsidP="000C4CDD">
      <w:r w:rsidRPr="007E130D">
        <w:t>En outre, il décrit les différents scénarios de brouillage possibles, en incorporant l</w:t>
      </w:r>
      <w:r w:rsidR="00B03535" w:rsidRPr="007E130D">
        <w:t xml:space="preserve">e sens </w:t>
      </w:r>
      <w:r w:rsidRPr="007E130D">
        <w:t>espace ver</w:t>
      </w:r>
      <w:r w:rsidR="00B03535" w:rsidRPr="007E130D">
        <w:t>s espace et le sens espace vers T</w:t>
      </w:r>
      <w:r w:rsidRPr="007E130D">
        <w:t xml:space="preserve">erre (constellation non OSG vers station </w:t>
      </w:r>
      <w:r w:rsidR="00B03535" w:rsidRPr="007E130D">
        <w:t>terrienne</w:t>
      </w:r>
      <w:r w:rsidRPr="007E130D">
        <w:t xml:space="preserve"> associée OSG) pour tenir compte des cas possibles</w:t>
      </w:r>
      <w:r w:rsidR="00B03535" w:rsidRPr="007E130D">
        <w:t xml:space="preserve"> de dépassement des</w:t>
      </w:r>
      <w:r w:rsidRPr="007E130D">
        <w:t xml:space="preserve"> limites </w:t>
      </w:r>
      <w:r w:rsidR="00B03535" w:rsidRPr="007E130D">
        <w:t>d</w:t>
      </w:r>
      <w:r w:rsidR="000C4CDD" w:rsidRPr="007E130D">
        <w:t>'</w:t>
      </w:r>
      <w:r w:rsidR="00B03535" w:rsidRPr="007E130D">
        <w:t>epfd visées dans l'A</w:t>
      </w:r>
      <w:r w:rsidRPr="007E130D">
        <w:t xml:space="preserve">rticle </w:t>
      </w:r>
      <w:r w:rsidRPr="007E130D">
        <w:rPr>
          <w:b/>
          <w:bCs/>
        </w:rPr>
        <w:t>22</w:t>
      </w:r>
      <w:r w:rsidR="00B03535" w:rsidRPr="007E130D">
        <w:t>.</w:t>
      </w:r>
    </w:p>
    <w:p w14:paraId="7E26680F" w14:textId="0C18ECFC" w:rsidR="008F6402" w:rsidRPr="007E130D" w:rsidRDefault="00B03535" w:rsidP="000C4CDD">
      <w:r w:rsidRPr="007E130D">
        <w:t>Cette recommandation de l'UIT-R considère également l'application en ligne intitulée «Système de notification et de règlement des cas de brouillages causés par les systèmes à satellites» (SIRRS)</w:t>
      </w:r>
      <w:r w:rsidR="00170088" w:rsidRPr="007E130D">
        <w:t xml:space="preserve"> </w:t>
      </w:r>
      <w:r w:rsidRPr="007E130D">
        <w:t xml:space="preserve">élaborée par le Bureau comme le mécanisme privilégié (conformément à la </w:t>
      </w:r>
      <w:hyperlink r:id="rId114" w:history="1">
        <w:r w:rsidRPr="007E130D">
          <w:rPr>
            <w:rStyle w:val="Hyperlink"/>
          </w:rPr>
          <w:t>Lettre circulaire</w:t>
        </w:r>
        <w:r w:rsidR="00170088" w:rsidRPr="007E130D">
          <w:rPr>
            <w:rStyle w:val="Hyperlink"/>
          </w:rPr>
          <w:t> </w:t>
        </w:r>
        <w:r w:rsidRPr="007E130D">
          <w:rPr>
            <w:rStyle w:val="Hyperlink"/>
          </w:rPr>
          <w:t>CR/435</w:t>
        </w:r>
      </w:hyperlink>
      <w:r w:rsidRPr="007E130D">
        <w:t>) pour les soumissions officielles de rapports et les échanges ultérieurs d'informations concernant les cas de brouillages préjudiciables affectant les services spatiaux.</w:t>
      </w:r>
    </w:p>
    <w:p w14:paraId="22730029" w14:textId="0C4F2B78" w:rsidR="00A82EF2" w:rsidRPr="007E130D" w:rsidRDefault="00A82EF2" w:rsidP="00B20AC9">
      <w:pPr>
        <w:pStyle w:val="Heading3"/>
        <w:rPr>
          <w:lang w:bidi="ar-EG"/>
        </w:rPr>
      </w:pPr>
      <w:bookmarkStart w:id="274" w:name="_Toc147328851"/>
      <w:r w:rsidRPr="007E130D">
        <w:rPr>
          <w:rFonts w:asciiTheme="majorBidi" w:hAnsiTheme="majorBidi" w:cstheme="majorBidi"/>
          <w:szCs w:val="24"/>
        </w:rPr>
        <w:t>7.4.</w:t>
      </w:r>
      <w:r w:rsidR="008F6402" w:rsidRPr="007E130D">
        <w:rPr>
          <w:rFonts w:asciiTheme="majorBidi" w:hAnsiTheme="majorBidi" w:cstheme="majorBidi"/>
          <w:szCs w:val="24"/>
        </w:rPr>
        <w:t>3</w:t>
      </w:r>
      <w:r w:rsidRPr="007E130D">
        <w:tab/>
        <w:t>Évolution de la situation concernant des cas particuliers de brouillages pr</w:t>
      </w:r>
      <w:r w:rsidRPr="007E130D">
        <w:rPr>
          <w:lang w:bidi="ar-EG"/>
        </w:rPr>
        <w:t>éjudiciables</w:t>
      </w:r>
      <w:bookmarkEnd w:id="272"/>
      <w:bookmarkEnd w:id="274"/>
    </w:p>
    <w:p w14:paraId="30D9F059" w14:textId="1DFCD692" w:rsidR="00A82EF2" w:rsidRPr="007E130D" w:rsidRDefault="00A82EF2" w:rsidP="00B20AC9">
      <w:pPr>
        <w:pStyle w:val="Heading4"/>
      </w:pPr>
      <w:r w:rsidRPr="007E130D">
        <w:t>7.4.</w:t>
      </w:r>
      <w:r w:rsidR="008F6402" w:rsidRPr="007E130D">
        <w:t>3</w:t>
      </w:r>
      <w:r w:rsidRPr="007E130D">
        <w:t>.1</w:t>
      </w:r>
      <w:r w:rsidRPr="007E130D">
        <w:tab/>
        <w:t xml:space="preserve">Brouillages préjudiciables </w:t>
      </w:r>
      <w:r w:rsidRPr="007E130D">
        <w:rPr>
          <w:color w:val="000000"/>
        </w:rPr>
        <w:t>causés par l'Italie aux services de radiodiffusion (sonore et télévisuelle) des pays voisins</w:t>
      </w:r>
    </w:p>
    <w:p w14:paraId="33E65CCD" w14:textId="77777777" w:rsidR="008F6402" w:rsidRPr="007E130D" w:rsidRDefault="007B227B" w:rsidP="00B20AC9">
      <w:r w:rsidRPr="007E130D">
        <w:t xml:space="preserve">Après des efforts considérables entrepris par l'Administration italienne, les </w:t>
      </w:r>
      <w:r w:rsidR="003E7E68" w:rsidRPr="007E130D">
        <w:t xml:space="preserve">problèmes de </w:t>
      </w:r>
      <w:r w:rsidRPr="007E130D">
        <w:t xml:space="preserve">brouillages causés aux stations de télévision numérique </w:t>
      </w:r>
      <w:r w:rsidR="003E7E68" w:rsidRPr="007E130D">
        <w:t>des pays voisins sont considérés comme résolus</w:t>
      </w:r>
      <w:r w:rsidR="008F6402" w:rsidRPr="007E130D">
        <w:t>.</w:t>
      </w:r>
    </w:p>
    <w:p w14:paraId="2782EF7A" w14:textId="77777777" w:rsidR="00A82EF2" w:rsidRPr="007E130D" w:rsidRDefault="00A82EF2" w:rsidP="00B20AC9">
      <w:r w:rsidRPr="007E130D">
        <w:t xml:space="preserve">S'agissant de la radiodiffusion sonore </w:t>
      </w:r>
      <w:r w:rsidR="003E7E68" w:rsidRPr="007E130D">
        <w:t>DAB et MF</w:t>
      </w:r>
      <w:r w:rsidRPr="007E130D">
        <w:t>, le BR continue de suivre de près les cas de brouillages préjudiciables causés par des stations de radiodiffusion sonore de l'Italie aux pays voisins et de présenter des rapports sur l'évolution de ces cas à chaque réunion du RRB.</w:t>
      </w:r>
    </w:p>
    <w:p w14:paraId="6529EE57" w14:textId="3BEFC143" w:rsidR="00A82EF2" w:rsidRPr="007E130D" w:rsidRDefault="00A82EF2" w:rsidP="00F224F0">
      <w:pPr>
        <w:keepLines/>
      </w:pPr>
      <w:r w:rsidRPr="007E130D">
        <w:lastRenderedPageBreak/>
        <w:t xml:space="preserve">À la demande du RRB, le Bureau a pris part à des réunions multilatérales entre l'Italie et les administrations des pays voisins. </w:t>
      </w:r>
      <w:r w:rsidR="003E7E68" w:rsidRPr="007E130D">
        <w:t>Depuis la CMR-19, c</w:t>
      </w:r>
      <w:r w:rsidRPr="007E130D">
        <w:t>es réunions ont eu lieu</w:t>
      </w:r>
      <w:r w:rsidR="003E7E68" w:rsidRPr="007E130D">
        <w:t xml:space="preserve"> virtuellement</w:t>
      </w:r>
      <w:r w:rsidRPr="007E130D">
        <w:t xml:space="preserve"> </w:t>
      </w:r>
      <w:r w:rsidR="008F6402" w:rsidRPr="007E130D">
        <w:t>en</w:t>
      </w:r>
      <w:r w:rsidR="000C4CDD" w:rsidRPr="007E130D">
        <w:t> </w:t>
      </w:r>
      <w:r w:rsidR="008F6402" w:rsidRPr="007E130D">
        <w:t>juin</w:t>
      </w:r>
      <w:r w:rsidR="000C4CDD" w:rsidRPr="007E130D">
        <w:t> </w:t>
      </w:r>
      <w:r w:rsidR="008F6402" w:rsidRPr="007E130D">
        <w:t xml:space="preserve">2021 et juin 2022, </w:t>
      </w:r>
      <w:r w:rsidR="003E7E68" w:rsidRPr="007E130D">
        <w:t>et sous la forme d</w:t>
      </w:r>
      <w:r w:rsidR="000C4CDD" w:rsidRPr="007E130D">
        <w:t>'</w:t>
      </w:r>
      <w:r w:rsidR="003E7E68" w:rsidRPr="007E130D">
        <w:t xml:space="preserve">une manifestation hybride en juin </w:t>
      </w:r>
      <w:r w:rsidR="008F6402" w:rsidRPr="007E130D">
        <w:t>2023</w:t>
      </w:r>
      <w:r w:rsidRPr="007E130D">
        <w:t xml:space="preserve">. Elles ont offert l'occasion d'évaluer la situation et </w:t>
      </w:r>
      <w:r w:rsidRPr="007E130D">
        <w:rPr>
          <w:color w:val="000000"/>
        </w:rPr>
        <w:t>d'étudier les solutions envisageables</w:t>
      </w:r>
      <w:r w:rsidRPr="007E130D">
        <w:t xml:space="preserve"> pour résoudre le problème des brouillages préjudiciables causés aux pays voisins par des stations de radiodiffusion sonore de l'Italie dans la bande d'ondes métriques.</w:t>
      </w:r>
    </w:p>
    <w:p w14:paraId="14A96357" w14:textId="77777777" w:rsidR="00A82EF2" w:rsidRPr="007E130D" w:rsidRDefault="00A82EF2" w:rsidP="00B20AC9">
      <w:r w:rsidRPr="007E130D">
        <w:t xml:space="preserve">Pour ce qui est de la radiodiffusion sonore MF, quelques administrations ont indiqué que peu de progrès avaient été accomplis, tandis que d'autres ont fait observer que la situation restait inchangée. </w:t>
      </w:r>
      <w:r w:rsidRPr="007E130D">
        <w:rPr>
          <w:color w:val="000000"/>
        </w:rPr>
        <w:t>Le règlement définitif de ce problème prendra semble-t-il encore un certain temps.</w:t>
      </w:r>
      <w:r w:rsidR="008F6402" w:rsidRPr="007E130D">
        <w:t xml:space="preserve"> </w:t>
      </w:r>
      <w:r w:rsidR="003E7E68" w:rsidRPr="007E130D">
        <w:rPr>
          <w:color w:val="000000"/>
        </w:rPr>
        <w:t>L'Italie a fait part de l'adoption récente d'une loi et de la création d'un groupe de travail chargé d'étudier la situation concernant la radiodiffusion MF et de proposer des solutions.</w:t>
      </w:r>
    </w:p>
    <w:p w14:paraId="4154AB04" w14:textId="77777777" w:rsidR="008F6402" w:rsidRPr="007E130D" w:rsidRDefault="0074407F" w:rsidP="00B20AC9">
      <w:pPr>
        <w:rPr>
          <w:color w:val="000000"/>
        </w:rPr>
      </w:pPr>
      <w:r w:rsidRPr="007E130D">
        <w:rPr>
          <w:color w:val="000000"/>
        </w:rPr>
        <w:t xml:space="preserve">L'une des solutions appliquées par le groupe de travail était l'abandon par les émetteurs uniques ou les réseaux de la radiodiffusion MF et la transition vers la radiodiffusion DAB en échange de points au classement au titre de l'attribution DAB utilisée (licence). À cet égard, l'Italie avait lancé un appel à manifestation d'intérêt dans quatre régions (Sardaigne, Latium, Émilie-Romagne, Marches) afin d'enregistrer les radiodiffuseurs disposés à libérer des fréquences MF de leur propre gré conformément aux mesures d'incitation proposées dans un premier temps, l'appel devant ensuite être étendu au reste de l'Italie avant la fin de l'année. Le </w:t>
      </w:r>
      <w:r w:rsidR="00AC7D7F" w:rsidRPr="007E130D">
        <w:rPr>
          <w:color w:val="000000"/>
        </w:rPr>
        <w:t>g</w:t>
      </w:r>
      <w:r w:rsidRPr="007E130D">
        <w:rPr>
          <w:color w:val="000000"/>
        </w:rPr>
        <w:t>roupe de travail avait examiné, entre autres, une proposition visant à l'adoption d'une nouvelle loi concernant l'arrêt des émetteurs MF moyennant un soutien financier. La faisabilité de cette proposition serait étudiée au cours des prochains mois avec les instances publiques concernées.</w:t>
      </w:r>
    </w:p>
    <w:p w14:paraId="68318AF2" w14:textId="692EA1E2" w:rsidR="003E7E68" w:rsidRPr="007E130D" w:rsidRDefault="003E7E68" w:rsidP="00B20AC9">
      <w:pPr>
        <w:rPr>
          <w:color w:val="000000"/>
        </w:rPr>
      </w:pPr>
      <w:r w:rsidRPr="007E130D">
        <w:rPr>
          <w:color w:val="000000"/>
        </w:rPr>
        <w:t xml:space="preserve">En ce qui concerne la radiodiffusion T-DAB, l'Administration italienne a signé des accords avec la plupart des pays voisins. Des discussions sont toujours en cours avec la Slovénie pour parachever et signer </w:t>
      </w:r>
      <w:r w:rsidR="0041205F" w:rsidRPr="007E130D">
        <w:rPr>
          <w:color w:val="000000"/>
        </w:rPr>
        <w:t>l</w:t>
      </w:r>
      <w:r w:rsidR="000C4CDD" w:rsidRPr="007E130D">
        <w:rPr>
          <w:color w:val="000000"/>
        </w:rPr>
        <w:t>'</w:t>
      </w:r>
      <w:r w:rsidRPr="007E130D">
        <w:rPr>
          <w:color w:val="000000"/>
        </w:rPr>
        <w:t>Accord entre les pays du littoral adriatique et de la mer Ionienne</w:t>
      </w:r>
      <w:r w:rsidR="006C1FE2" w:rsidRPr="007E130D">
        <w:rPr>
          <w:color w:val="000000"/>
        </w:rPr>
        <w:t>.</w:t>
      </w:r>
    </w:p>
    <w:p w14:paraId="4FAC6597" w14:textId="5C6249E0" w:rsidR="00A82EF2" w:rsidRPr="007E130D" w:rsidRDefault="00A82EF2" w:rsidP="00B20AC9">
      <w:pPr>
        <w:rPr>
          <w:color w:val="000000"/>
        </w:rPr>
      </w:pPr>
      <w:r w:rsidRPr="007E130D">
        <w:rPr>
          <w:color w:val="000000"/>
        </w:rPr>
        <w:t>Tous les rapports connexes sur le contrôle des émissions et les rapports de brouillage que reçoit le BR sont accessibles sur le site web de l'UIT à l'adresse:</w:t>
      </w:r>
      <w:r w:rsidRPr="007E130D">
        <w:t xml:space="preserve"> </w:t>
      </w:r>
      <w:hyperlink r:id="rId115" w:history="1">
        <w:r w:rsidRPr="007E130D">
          <w:rPr>
            <w:rStyle w:val="Hyperlink"/>
          </w:rPr>
          <w:t>http://www.itu.int/md/R11-MMHI-SP/en</w:t>
        </w:r>
      </w:hyperlink>
      <w:r w:rsidRPr="007E130D">
        <w:t>.</w:t>
      </w:r>
    </w:p>
    <w:p w14:paraId="23C23F7A" w14:textId="77777777" w:rsidR="00A82EF2" w:rsidRPr="007E130D" w:rsidRDefault="00A82EF2" w:rsidP="00B20AC9">
      <w:pPr>
        <w:pStyle w:val="Heading1"/>
      </w:pPr>
      <w:bookmarkStart w:id="275" w:name="_Toc19880096"/>
      <w:bookmarkStart w:id="276" w:name="_Toc147328852"/>
      <w:r w:rsidRPr="007E130D">
        <w:t>8</w:t>
      </w:r>
      <w:r w:rsidRPr="007E130D">
        <w:tab/>
        <w:t>Coopération</w:t>
      </w:r>
      <w:bookmarkEnd w:id="275"/>
      <w:bookmarkEnd w:id="276"/>
    </w:p>
    <w:p w14:paraId="6E09FB31" w14:textId="77777777" w:rsidR="00A82EF2" w:rsidRPr="007E130D" w:rsidRDefault="00A82EF2" w:rsidP="00B20AC9">
      <w:pPr>
        <w:pStyle w:val="Heading2"/>
      </w:pPr>
      <w:bookmarkStart w:id="277" w:name="_Toc19880097"/>
      <w:bookmarkStart w:id="278" w:name="_Toc147328853"/>
      <w:r w:rsidRPr="007E130D">
        <w:t>8.1</w:t>
      </w:r>
      <w:r w:rsidRPr="007E130D">
        <w:tab/>
        <w:t>Coopération avec l'UIT</w:t>
      </w:r>
      <w:r w:rsidRPr="007E130D">
        <w:noBreakHyphen/>
        <w:t>D</w:t>
      </w:r>
      <w:bookmarkEnd w:id="277"/>
      <w:bookmarkEnd w:id="278"/>
    </w:p>
    <w:p w14:paraId="0FF678C5" w14:textId="45A6DB09" w:rsidR="00A82EF2" w:rsidRPr="007E130D" w:rsidRDefault="00292E74" w:rsidP="00B20AC9">
      <w:r w:rsidRPr="007E130D">
        <w:t>L</w:t>
      </w:r>
      <w:r w:rsidR="00A82EF2" w:rsidRPr="007E130D">
        <w:t>e BR a entretenu une collaboration étroite avec le BDT sur les questions présentant un intérêt mutuel pour l'UIT-R et l'UIT-D. Le BR a participé aux réunions pertinentes des commissions d'études et des Groupes du Rapporteur de l'UIT-D ainsi que du GCDT, lorsque les activités de liaison portaient sur des thèmes comme la gestion du spectre, la radiodiffusion numérique, le passage de l'analogique au numérique, le passage aux IMT et la mise en œuvre des IMT et les technologies d'accès hertzien large bande.</w:t>
      </w:r>
    </w:p>
    <w:p w14:paraId="7D83DBAE" w14:textId="50618658" w:rsidR="0074407F" w:rsidRPr="007E130D" w:rsidRDefault="00EC6D18" w:rsidP="00B20AC9">
      <w:r w:rsidRPr="007E130D">
        <w:t>Afin de faciliter la collaboration en utilisant les mécanismes existants, le Département des commissions d</w:t>
      </w:r>
      <w:r w:rsidR="000C4CDD" w:rsidRPr="007E130D">
        <w:t>'</w:t>
      </w:r>
      <w:r w:rsidRPr="007E130D">
        <w:t>études du BR fournit des résumés des réalisations récentes de ses commissions d</w:t>
      </w:r>
      <w:r w:rsidR="000C4CDD" w:rsidRPr="007E130D">
        <w:t>'</w:t>
      </w:r>
      <w:r w:rsidRPr="007E130D">
        <w:t>études ou de ses groupes de travail aux commissions d</w:t>
      </w:r>
      <w:r w:rsidR="000C4CDD" w:rsidRPr="007E130D">
        <w:t>'</w:t>
      </w:r>
      <w:r w:rsidRPr="007E130D">
        <w:t>études de l'UIT-D concernées en tenant à jour tous les résultats récemment approuvés</w:t>
      </w:r>
      <w:r w:rsidR="0074407F" w:rsidRPr="007E130D">
        <w:t>.</w:t>
      </w:r>
      <w:r w:rsidR="0074407F" w:rsidRPr="007E130D">
        <w:rPr>
          <w:rFonts w:eastAsia="Calibri"/>
        </w:rPr>
        <w:t xml:space="preserve"> </w:t>
      </w:r>
      <w:r w:rsidR="0074407F" w:rsidRPr="007E130D">
        <w:t xml:space="preserve">Ces renseignements sont publiés régulièrement sur le </w:t>
      </w:r>
      <w:hyperlink r:id="rId116" w:history="1">
        <w:r w:rsidR="0074407F" w:rsidRPr="007E130D">
          <w:rPr>
            <w:rStyle w:val="Hyperlink"/>
          </w:rPr>
          <w:t>site web des CE de l'UIT-R</w:t>
        </w:r>
      </w:hyperlink>
      <w:r w:rsidR="0074407F" w:rsidRPr="007E130D">
        <w:t>. Le fichier correspondant contient une liste des textes approuvés récemment, par ordre chronologique pour la période d'études 2019-2023, ainsi qu'une brève description du contenu de chaque document. Le Département des commissions d'études du BR a établi une correspondance avec les questions confiées aux commissions d'études de l'UIT-D et/ou de l'UIT-T pour lesquelles chaque document de l'UIT-R pourrait présenter un intérêt.</w:t>
      </w:r>
      <w:r w:rsidRPr="007E130D">
        <w:t xml:space="preserve"> Cela permet également d'éviter les doubles emplois et d'utiliser les résultats des travaux effectués par les commissions d'études de l'UIT-R.</w:t>
      </w:r>
    </w:p>
    <w:p w14:paraId="468F924E" w14:textId="77777777" w:rsidR="00A82EF2" w:rsidRPr="007E130D" w:rsidRDefault="00A82EF2" w:rsidP="00B20AC9">
      <w:r w:rsidRPr="007E130D">
        <w:lastRenderedPageBreak/>
        <w:t>En réponse à des demandes du BDT, des experts de l'UIT-R et du BR ont participé à des séminaires et ateliers de l'UIT organisés par l'UIT-D.</w:t>
      </w:r>
    </w:p>
    <w:p w14:paraId="0CEC89FD" w14:textId="612B9ADB" w:rsidR="00A82EF2" w:rsidRPr="007E130D" w:rsidRDefault="00EC6D18" w:rsidP="00B20AC9">
      <w:r w:rsidRPr="007E130D">
        <w:t>De plus</w:t>
      </w:r>
      <w:r w:rsidR="00A82EF2" w:rsidRPr="007E130D">
        <w:t>, le BR continue de s'employer à informer les membres de l'UIT et à leur prêter une assistance, en particulier dans les pays en développement, pour l'examen des sujets se rapportant à des questions de radiocommunication. À cette fin, le BR organise un certain nombre d'ateliers, de séminaires et de réunions consacrés au spectre des fréquences ou y participe, et d'activités en matière de renforc</w:t>
      </w:r>
      <w:r w:rsidRPr="007E130D">
        <w:t>ement des capacités, y compris des sessions de formation</w:t>
      </w:r>
      <w:r w:rsidR="00A82EF2" w:rsidRPr="007E130D">
        <w:t>.</w:t>
      </w:r>
      <w:r w:rsidRPr="007E130D">
        <w:t xml:space="preserve"> Par exemple, la formation nationale IMT-2020/5G du BDT/BR s</w:t>
      </w:r>
      <w:r w:rsidR="000C4CDD" w:rsidRPr="007E130D">
        <w:t>'</w:t>
      </w:r>
      <w:r w:rsidRPr="007E130D">
        <w:t>est déroulée dans quatre pays de la CEI, à savoir l'Azerbaïdjan, le Kirghizstan, le Kazakhstan et l'Ouzbékistan en 2022.</w:t>
      </w:r>
    </w:p>
    <w:p w14:paraId="6976659B" w14:textId="77777777" w:rsidR="00A82EF2" w:rsidRPr="007E130D" w:rsidRDefault="00A82EF2" w:rsidP="00B20AC9">
      <w:pPr>
        <w:pStyle w:val="Heading3"/>
      </w:pPr>
      <w:bookmarkStart w:id="279" w:name="_Toc19880098"/>
      <w:bookmarkStart w:id="280" w:name="_Toc147328854"/>
      <w:r w:rsidRPr="007E130D">
        <w:t>8.1.1</w:t>
      </w:r>
      <w:r w:rsidRPr="007E130D">
        <w:tab/>
        <w:t>GSR</w:t>
      </w:r>
      <w:bookmarkEnd w:id="279"/>
      <w:bookmarkEnd w:id="280"/>
    </w:p>
    <w:p w14:paraId="7E24DC12" w14:textId="568E27BA" w:rsidR="00A82EF2" w:rsidRPr="007E130D" w:rsidRDefault="00A82EF2" w:rsidP="00B20AC9">
      <w:pPr>
        <w:rPr>
          <w:color w:val="000000"/>
        </w:rPr>
      </w:pPr>
      <w:r w:rsidRPr="007E130D">
        <w:rPr>
          <w:color w:val="000000"/>
        </w:rPr>
        <w:t xml:space="preserve">Conscient de l'importance de la fourniture d'une assistance spécialisée aux États Membres, le BR continue de mettre à la disposition du BDT des compétences techniques sur les aspects relatifs à la gestion du spectre, à la radiodiffusion numérique et au dividende numérique. Le BR a contribué aux </w:t>
      </w:r>
      <w:r w:rsidRPr="007E130D">
        <w:t xml:space="preserve">travaux </w:t>
      </w:r>
      <w:r w:rsidRPr="007E130D">
        <w:rPr>
          <w:color w:val="000000"/>
        </w:rPr>
        <w:t>du Colloque mondial des régulateurs de l'UIT(en</w:t>
      </w:r>
      <w:r w:rsidR="0074407F" w:rsidRPr="007E130D">
        <w:t xml:space="preserve"> 2020, 2021 et 2022</w:t>
      </w:r>
      <w:r w:rsidRPr="007E130D">
        <w:t>)</w:t>
      </w:r>
      <w:r w:rsidRPr="007E130D">
        <w:rPr>
          <w:color w:val="000000"/>
        </w:rPr>
        <w:t>, en organisant des sessions relatives à la gestion du spectre et en y participant.</w:t>
      </w:r>
    </w:p>
    <w:p w14:paraId="671BACE7" w14:textId="77777777" w:rsidR="00A82EF2" w:rsidRPr="007E130D" w:rsidRDefault="00A82EF2" w:rsidP="000C4CDD">
      <w:pPr>
        <w:pStyle w:val="Heading3"/>
      </w:pPr>
      <w:bookmarkStart w:id="281" w:name="_Toc19880099"/>
      <w:bookmarkStart w:id="282" w:name="_Toc147328855"/>
      <w:r w:rsidRPr="007E130D">
        <w:t>8.1.2</w:t>
      </w:r>
      <w:r w:rsidRPr="007E130D">
        <w:tab/>
        <w:t>Enquête sur les</w:t>
      </w:r>
      <w:r w:rsidRPr="007E130D">
        <w:rPr>
          <w:color w:val="000000"/>
        </w:rPr>
        <w:t xml:space="preserve"> TIC</w:t>
      </w:r>
      <w:r w:rsidRPr="007E130D">
        <w:t xml:space="preserve"> et portail «</w:t>
      </w:r>
      <w:r w:rsidRPr="007E130D">
        <w:rPr>
          <w:color w:val="000000"/>
        </w:rPr>
        <w:t>L'œil sur les TIC»</w:t>
      </w:r>
      <w:bookmarkEnd w:id="281"/>
      <w:bookmarkEnd w:id="282"/>
    </w:p>
    <w:p w14:paraId="2BC4F841" w14:textId="77777777" w:rsidR="00A82EF2" w:rsidRPr="007E130D" w:rsidRDefault="00A82EF2" w:rsidP="00B20AC9">
      <w:r w:rsidRPr="007E130D">
        <w:t>Le portail «L'œil sur les TIC», et l'enquête qui lui est associée, constituent un outil essentiel pour collecter des données auprès des administrations sur des paramètres relatifs aux TIC. Le BDT suit chaque année l'évolution de ces données et en présente les résultats de manière logique sur le portail consacré aux statistiques. Afin de tirer parti de la plate-forme existante, à savoir le portail «L'œil sur les TIC», le BR a coopéré avec le BDT afin de développer l'enquête actuelle et d'y intégrer un chapitre sur des données essentielles axées sur le spectre (enchères, plafonnement, technologies mobiles/normes applicables au service mobile, octroi de licences pour l'exploitation du spectre). Le chapitre consacré au spectre a été élaboré par le BR et publié pour la première fois en 2013 dans l'enquête sur les TIC. Le BR a continué de travailler en étroite collaboration avec le BDT aux fins de la collecte, du traitement et de la diffusion des données relatives à ce chapitre.</w:t>
      </w:r>
    </w:p>
    <w:p w14:paraId="3E74A364" w14:textId="26C643EA" w:rsidR="00A82EF2" w:rsidRPr="007E130D" w:rsidRDefault="002558F3" w:rsidP="00B20AC9">
      <w:r w:rsidRPr="007E130D">
        <w:t xml:space="preserve">Ce chapitre comprend une nouvelle section avec des </w:t>
      </w:r>
      <w:r w:rsidR="003A7413" w:rsidRPr="007E130D">
        <w:t>IFP sur l'attribution et l</w:t>
      </w:r>
      <w:r w:rsidR="000C4CDD" w:rsidRPr="007E130D">
        <w:t>'</w:t>
      </w:r>
      <w:r w:rsidR="003A7413" w:rsidRPr="007E130D">
        <w:t>assignation au niveau national</w:t>
      </w:r>
      <w:r w:rsidRPr="007E130D">
        <w:t xml:space="preserve"> de fréquences </w:t>
      </w:r>
      <w:r w:rsidR="003A7413" w:rsidRPr="007E130D">
        <w:t xml:space="preserve">pour les </w:t>
      </w:r>
      <w:r w:rsidRPr="007E130D">
        <w:t>IMT, élaborés conjointement par le BR et le BDT. La collecte de données nationales es</w:t>
      </w:r>
      <w:r w:rsidR="003A7413" w:rsidRPr="007E130D">
        <w:t>t toujours en cours</w:t>
      </w:r>
      <w:r w:rsidR="00A82EF2" w:rsidRPr="007E130D">
        <w:t>.</w:t>
      </w:r>
    </w:p>
    <w:p w14:paraId="1BACFBA3" w14:textId="77777777" w:rsidR="00A82EF2" w:rsidRPr="007E130D" w:rsidRDefault="00A82EF2" w:rsidP="00B20AC9">
      <w:pPr>
        <w:pStyle w:val="Heading3"/>
      </w:pPr>
      <w:bookmarkStart w:id="283" w:name="lt_pId1329"/>
      <w:bookmarkStart w:id="284" w:name="_Toc19880100"/>
      <w:bookmarkStart w:id="285" w:name="_Toc147328856"/>
      <w:r w:rsidRPr="007E130D">
        <w:t>8.1.3</w:t>
      </w:r>
      <w:bookmarkStart w:id="286" w:name="lt_pId1330"/>
      <w:bookmarkEnd w:id="283"/>
      <w:r w:rsidRPr="007E130D">
        <w:tab/>
        <w:t>Colloque sur les indicateurs des télécommunications/TIC dans le monde (WTIS)</w:t>
      </w:r>
      <w:bookmarkEnd w:id="284"/>
      <w:bookmarkEnd w:id="286"/>
      <w:bookmarkEnd w:id="285"/>
    </w:p>
    <w:p w14:paraId="563E5A8E" w14:textId="77777777" w:rsidR="00A82EF2" w:rsidRPr="007E130D" w:rsidRDefault="00A82EF2" w:rsidP="000C4CDD">
      <w:r w:rsidRPr="007E130D">
        <w:t>Le BR a coopéré avec le BDT en ce qui concerne les indicateurs et les définitions pour la collecte de données sur les technologies mobiles large bande, en particulier lorsqu'il est fait référence à des normes.</w:t>
      </w:r>
    </w:p>
    <w:p w14:paraId="6D87C5FD" w14:textId="42E7146A" w:rsidR="0074407F" w:rsidRPr="007E130D" w:rsidRDefault="003A7413" w:rsidP="000C4CDD">
      <w:r w:rsidRPr="007E130D">
        <w:t>Le WTIS 2020 s'est tenu en ligne du 1er au 3 décembre 2020. Le BR et le BDT ont soutenu conjointement les discussions relatives à l</w:t>
      </w:r>
      <w:r w:rsidR="000C4CDD" w:rsidRPr="007E130D">
        <w:t>'</w:t>
      </w:r>
      <w:r w:rsidRPr="007E130D">
        <w:t>attribution et à l</w:t>
      </w:r>
      <w:r w:rsidR="000C4CDD" w:rsidRPr="007E130D">
        <w:t>'</w:t>
      </w:r>
      <w:r w:rsidRPr="007E130D">
        <w:t xml:space="preserve">assignation au niveau national </w:t>
      </w:r>
      <w:r w:rsidR="00A82EF2" w:rsidRPr="007E130D">
        <w:t>de fréquences pour les IMT.</w:t>
      </w:r>
    </w:p>
    <w:p w14:paraId="0CC37F76" w14:textId="77777777" w:rsidR="003A7413" w:rsidRPr="007E130D" w:rsidRDefault="003A7413" w:rsidP="000C4CDD">
      <w:r w:rsidRPr="007E130D">
        <w:t>Le WTIS n'a eu lieu ni en 2021 ni en 2022.</w:t>
      </w:r>
    </w:p>
    <w:p w14:paraId="42FD91C8" w14:textId="1F283111" w:rsidR="0074407F" w:rsidRPr="007E130D" w:rsidRDefault="003A7413" w:rsidP="000C4CDD">
      <w:r w:rsidRPr="007E130D">
        <w:t>En 2023, l'ordre du jour de la WTIS ne comprenait aucune session sur les questions relatives au spectre.</w:t>
      </w:r>
    </w:p>
    <w:p w14:paraId="14CE7D2D" w14:textId="77777777" w:rsidR="00A82EF2" w:rsidRPr="007E130D" w:rsidRDefault="00A82EF2" w:rsidP="00B20AC9">
      <w:pPr>
        <w:pStyle w:val="Heading3"/>
      </w:pPr>
      <w:bookmarkStart w:id="287" w:name="_Toc19880101"/>
      <w:bookmarkStart w:id="288" w:name="_Toc147328857"/>
      <w:r w:rsidRPr="007E130D">
        <w:t>8.1.4</w:t>
      </w:r>
      <w:r w:rsidRPr="007E130D">
        <w:tab/>
        <w:t>Programme de formation à la gestion du spectre (SMTP)</w:t>
      </w:r>
      <w:bookmarkEnd w:id="287"/>
      <w:bookmarkEnd w:id="288"/>
    </w:p>
    <w:p w14:paraId="50A4E0D1" w14:textId="2D2DCEFF" w:rsidR="00A82EF2" w:rsidRPr="007E130D" w:rsidRDefault="00A82EF2" w:rsidP="00B20AC9">
      <w:r w:rsidRPr="007E130D">
        <w:t xml:space="preserve">Depuis 2013, le BR participe activement à un projet commun avec le BDT qui vise à perfectionner le Programme de formation sur la gestion du spectre (SMPT) durant ses différentes phases (conception, élaboration de ressources didactiques, examen par les pairs, </w:t>
      </w:r>
      <w:r w:rsidR="0074407F" w:rsidRPr="007E130D">
        <w:rPr>
          <w:color w:val="000000"/>
        </w:rPr>
        <w:t>et essai pilote</w:t>
      </w:r>
      <w:r w:rsidR="00292E74" w:rsidRPr="007E130D">
        <w:rPr>
          <w:color w:val="000000"/>
        </w:rPr>
        <w:t>)</w:t>
      </w:r>
      <w:r w:rsidR="0074407F" w:rsidRPr="007E130D">
        <w:rPr>
          <w:color w:val="000000"/>
        </w:rPr>
        <w:t xml:space="preserve">. Plusieurs </w:t>
      </w:r>
      <w:r w:rsidR="0074407F" w:rsidRPr="007E130D">
        <w:rPr>
          <w:color w:val="000000"/>
        </w:rPr>
        <w:lastRenderedPageBreak/>
        <w:t>mises à jour ont été apportées au fil des ans et le BR a effectué régulièrement un examen des ressources qui composent la version actuelle du Programme SMTP. Des mises à jour ont été apportées récemment afin de prendre en considération les résultats de la CMR-19 et de l'AR-19.</w:t>
      </w:r>
    </w:p>
    <w:p w14:paraId="605197FA" w14:textId="77777777" w:rsidR="0074407F" w:rsidRPr="007E130D" w:rsidRDefault="0074407F" w:rsidP="00B20AC9">
      <w:r w:rsidRPr="007E130D">
        <w:t>Étant donné les ressources nécessaires pour tenir/mettre à jour cet outil et de son importance pour de nombreuses administrations, des discussions sont en cours au sein du BDT pour vérifier si le Programme SMTP pourrait être encore amélioré ou transféré sur un outil différent.</w:t>
      </w:r>
    </w:p>
    <w:p w14:paraId="35403ACC" w14:textId="77777777" w:rsidR="00A82EF2" w:rsidRPr="007E130D" w:rsidRDefault="00A82EF2" w:rsidP="00B20AC9">
      <w:pPr>
        <w:pStyle w:val="Heading2"/>
      </w:pPr>
      <w:bookmarkStart w:id="289" w:name="_Toc19880102"/>
      <w:bookmarkStart w:id="290" w:name="_Toc147328858"/>
      <w:r w:rsidRPr="007E130D">
        <w:t>8.2</w:t>
      </w:r>
      <w:r w:rsidRPr="007E130D">
        <w:tab/>
        <w:t>Coopération avec l'UIT-T</w:t>
      </w:r>
      <w:bookmarkEnd w:id="289"/>
      <w:bookmarkEnd w:id="290"/>
    </w:p>
    <w:p w14:paraId="7C1C69F0" w14:textId="5BD983C8" w:rsidR="00A82EF2" w:rsidRPr="007E130D" w:rsidRDefault="00A82EF2" w:rsidP="00B20AC9">
      <w:r w:rsidRPr="007E130D">
        <w:t xml:space="preserve">Outre les changements climatiques et les communications d'urgence, diverses questions présentent un intérêt mutuel pour l'UIT-R et l'UIT-T, notamment les IMT à l'horizon 2020, les effets de l'exposition des personnes aux fréquences radioélectriques, les systèmes de télécommunication à courants porteurs en ligne, les systèmes de transport intelligents, </w:t>
      </w:r>
      <w:r w:rsidR="003D577C" w:rsidRPr="007E130D">
        <w:t>les véhicules connectés automatisés, l</w:t>
      </w:r>
      <w:r w:rsidR="000C4CDD" w:rsidRPr="007E130D">
        <w:t>'</w:t>
      </w:r>
      <w:r w:rsidR="003D577C" w:rsidRPr="007E130D">
        <w:t>Internet des objets, l</w:t>
      </w:r>
      <w:r w:rsidR="000C4CDD" w:rsidRPr="007E130D">
        <w:t>'</w:t>
      </w:r>
      <w:r w:rsidR="003D577C" w:rsidRPr="007E130D">
        <w:t xml:space="preserve">intelligence artificielle, </w:t>
      </w:r>
      <w:r w:rsidRPr="007E130D">
        <w:t>la politique commune en matière de brevets et les droits de propriété intellectuelle et l'accessibilité des supports audiovisuels.</w:t>
      </w:r>
    </w:p>
    <w:p w14:paraId="6919277A" w14:textId="7593ED33" w:rsidR="00A82EF2" w:rsidRPr="007E130D" w:rsidRDefault="00A82EF2" w:rsidP="00B20AC9">
      <w:r w:rsidRPr="007E130D">
        <w:t xml:space="preserve">En conséquence, une </w:t>
      </w:r>
      <w:r w:rsidRPr="007E130D">
        <w:rPr>
          <w:color w:val="000000"/>
        </w:rPr>
        <w:t>coordination étroite est toujours nécessaire</w:t>
      </w:r>
      <w:r w:rsidRPr="007E130D">
        <w:t xml:space="preserve"> sur les diverses questions actuellement examinées par l'UIT-T qui empiètent sur des questions de radiocommunication, afin de réduire les risques de double emploi, de chevauchement et de redondance des travaux</w:t>
      </w:r>
      <w:r w:rsidR="000C4CDD" w:rsidRPr="007E130D">
        <w:t>:</w:t>
      </w:r>
    </w:p>
    <w:p w14:paraId="050C66F0" w14:textId="3EA910E1" w:rsidR="00A82EF2" w:rsidRPr="007E130D" w:rsidRDefault="00A82EF2" w:rsidP="00B20AC9">
      <w:pPr>
        <w:pStyle w:val="enumlev1"/>
      </w:pPr>
      <w:r w:rsidRPr="007E130D">
        <w:t>–</w:t>
      </w:r>
      <w:r w:rsidRPr="007E130D">
        <w:tab/>
      </w:r>
      <w:r w:rsidRPr="007E130D">
        <w:rPr>
          <w:color w:val="000000"/>
        </w:rPr>
        <w:t>Des représentants du BR ont assisté à l'Assemblée mondiale de normalisation des télécommunications de 20</w:t>
      </w:r>
      <w:r w:rsidR="0074407F" w:rsidRPr="007E130D">
        <w:rPr>
          <w:color w:val="000000"/>
        </w:rPr>
        <w:t>20</w:t>
      </w:r>
      <w:r w:rsidRPr="007E130D">
        <w:t>.</w:t>
      </w:r>
    </w:p>
    <w:p w14:paraId="47D5C314" w14:textId="76F96266" w:rsidR="00A82EF2" w:rsidRPr="007E130D" w:rsidRDefault="00A82EF2" w:rsidP="00B20AC9">
      <w:pPr>
        <w:pStyle w:val="enumlev1"/>
      </w:pPr>
      <w:r w:rsidRPr="007E130D">
        <w:t>–</w:t>
      </w:r>
      <w:r w:rsidRPr="007E130D">
        <w:tab/>
      </w:r>
      <w:r w:rsidRPr="007E130D">
        <w:rPr>
          <w:color w:val="000000"/>
        </w:rPr>
        <w:t>Le BR était également représenté aux conférences universitaires Kaléidoscope organisées par l'UIT-T</w:t>
      </w:r>
      <w:r w:rsidR="0074407F" w:rsidRPr="007E130D">
        <w:rPr>
          <w:color w:val="000000"/>
        </w:rPr>
        <w:t xml:space="preserve"> en 2020</w:t>
      </w:r>
      <w:r w:rsidRPr="007E130D">
        <w:rPr>
          <w:color w:val="000000"/>
        </w:rPr>
        <w:t>.</w:t>
      </w:r>
    </w:p>
    <w:p w14:paraId="6EA9B173" w14:textId="77777777" w:rsidR="00A82EF2" w:rsidRPr="007E130D" w:rsidRDefault="00A82EF2" w:rsidP="00B20AC9">
      <w:pPr>
        <w:pStyle w:val="Heading2"/>
      </w:pPr>
      <w:bookmarkStart w:id="291" w:name="_Toc19880103"/>
      <w:bookmarkStart w:id="292" w:name="_Toc147328859"/>
      <w:r w:rsidRPr="007E130D">
        <w:t>8.3</w:t>
      </w:r>
      <w:r w:rsidRPr="007E130D">
        <w:tab/>
        <w:t>Coopération avec les organisations internationales et régionales</w:t>
      </w:r>
      <w:bookmarkEnd w:id="291"/>
      <w:bookmarkEnd w:id="292"/>
    </w:p>
    <w:p w14:paraId="7F098B26" w14:textId="77777777" w:rsidR="0074407F" w:rsidRPr="007E130D" w:rsidRDefault="00A82EF2" w:rsidP="00B20AC9">
      <w:r w:rsidRPr="007E130D">
        <w:rPr>
          <w:color w:val="000000"/>
        </w:rPr>
        <w:t xml:space="preserve">Le Bureau a continué de maintenir une coopération étroite avec des </w:t>
      </w:r>
      <w:r w:rsidRPr="007E130D">
        <w:t>organisations internationales ou régionales, avec les objectifs suivants:</w:t>
      </w:r>
    </w:p>
    <w:p w14:paraId="2C2C331B" w14:textId="7D8C90B6" w:rsidR="0074407F" w:rsidRPr="007E130D" w:rsidRDefault="000C4CDD" w:rsidP="00B20AC9">
      <w:pPr>
        <w:pStyle w:val="enumlev1"/>
      </w:pPr>
      <w:r w:rsidRPr="007E130D">
        <w:t>1)</w:t>
      </w:r>
      <w:r w:rsidR="0074407F" w:rsidRPr="007E130D">
        <w:tab/>
      </w:r>
      <w:r w:rsidR="00A82EF2" w:rsidRPr="007E130D">
        <w:t>encourager le dialogue entre organismes ayant des intérêts communs;</w:t>
      </w:r>
    </w:p>
    <w:p w14:paraId="36B167DA" w14:textId="5A96DC9D" w:rsidR="0074407F" w:rsidRPr="007E130D" w:rsidRDefault="000C4CDD" w:rsidP="00B20AC9">
      <w:pPr>
        <w:pStyle w:val="enumlev1"/>
      </w:pPr>
      <w:r w:rsidRPr="007E130D">
        <w:t>2)</w:t>
      </w:r>
      <w:r w:rsidR="0074407F" w:rsidRPr="007E130D">
        <w:tab/>
      </w:r>
      <w:r w:rsidR="00A82EF2" w:rsidRPr="007E130D">
        <w:t>améliorer la coordination afin de mieux préparer des manifestations comme les CMR; et</w:t>
      </w:r>
    </w:p>
    <w:p w14:paraId="4EE9F641" w14:textId="0E54E93C" w:rsidR="00A82EF2" w:rsidRPr="007E130D" w:rsidRDefault="000C4CDD" w:rsidP="00B20AC9">
      <w:pPr>
        <w:pStyle w:val="enumlev1"/>
      </w:pPr>
      <w:r w:rsidRPr="007E130D">
        <w:t>3)</w:t>
      </w:r>
      <w:r w:rsidR="0074407F" w:rsidRPr="007E130D">
        <w:tab/>
      </w:r>
      <w:r w:rsidR="00A82EF2" w:rsidRPr="007E130D">
        <w:t>tenir l'UIT-R informé des activités pertinentes menées par d'autres organisations, afin de conférer un caractère plus stratégique à la planification des programmes de travail.</w:t>
      </w:r>
    </w:p>
    <w:p w14:paraId="0098F036" w14:textId="6A846CAD" w:rsidR="00A82EF2" w:rsidRPr="007E130D" w:rsidRDefault="00A82EF2" w:rsidP="00B20AC9">
      <w:r w:rsidRPr="007E130D">
        <w:t xml:space="preserve">Le Bureau continue de travailler en coopération étroite </w:t>
      </w:r>
      <w:r w:rsidR="003D577C" w:rsidRPr="007E130D">
        <w:t xml:space="preserve">notamment, mais non exclusivement, </w:t>
      </w:r>
      <w:r w:rsidRPr="007E130D">
        <w:t xml:space="preserve">avec les organisations internationales ou régionales </w:t>
      </w:r>
      <w:r w:rsidR="003D577C" w:rsidRPr="007E130D">
        <w:t>suivantes</w:t>
      </w:r>
      <w:r w:rsidR="00082282" w:rsidRPr="007E130D">
        <w:t>:</w:t>
      </w:r>
    </w:p>
    <w:p w14:paraId="0643FDDE" w14:textId="00E67C14" w:rsidR="00082282" w:rsidRPr="007E130D" w:rsidRDefault="00082282" w:rsidP="00B20AC9">
      <w:pPr>
        <w:pStyle w:val="enumlev1"/>
      </w:pPr>
      <w:r w:rsidRPr="007E130D">
        <w:t>−</w:t>
      </w:r>
      <w:r w:rsidRPr="007E130D">
        <w:tab/>
      </w:r>
      <w:r w:rsidR="00C7169E" w:rsidRPr="007E130D">
        <w:t>l</w:t>
      </w:r>
      <w:r w:rsidR="000C4CDD" w:rsidRPr="007E130D">
        <w:t>'</w:t>
      </w:r>
      <w:r w:rsidRPr="007E130D">
        <w:t xml:space="preserve">APT, </w:t>
      </w:r>
      <w:r w:rsidR="00C7169E" w:rsidRPr="007E130D">
        <w:t>l</w:t>
      </w:r>
      <w:r w:rsidR="000C4CDD" w:rsidRPr="007E130D">
        <w:t>'</w:t>
      </w:r>
      <w:r w:rsidRPr="007E130D">
        <w:t xml:space="preserve">ASMG, </w:t>
      </w:r>
      <w:r w:rsidR="00C7169E" w:rsidRPr="007E130D">
        <w:t>l</w:t>
      </w:r>
      <w:r w:rsidR="000C4CDD" w:rsidRPr="007E130D">
        <w:t>'</w:t>
      </w:r>
      <w:r w:rsidRPr="007E130D">
        <w:t>U</w:t>
      </w:r>
      <w:r w:rsidR="003D577C" w:rsidRPr="007E130D">
        <w:t>AT</w:t>
      </w:r>
      <w:r w:rsidRPr="007E130D">
        <w:t xml:space="preserve">, </w:t>
      </w:r>
      <w:r w:rsidR="00C7169E" w:rsidRPr="007E130D">
        <w:t xml:space="preserve">la </w:t>
      </w:r>
      <w:r w:rsidRPr="007E130D">
        <w:t xml:space="preserve">CEPT, </w:t>
      </w:r>
      <w:r w:rsidR="00C7169E" w:rsidRPr="007E130D">
        <w:t xml:space="preserve">la </w:t>
      </w:r>
      <w:r w:rsidRPr="007E130D">
        <w:t xml:space="preserve">CITEL </w:t>
      </w:r>
      <w:r w:rsidR="003D577C" w:rsidRPr="007E130D">
        <w:t>et</w:t>
      </w:r>
      <w:r w:rsidRPr="007E130D">
        <w:t xml:space="preserve"> </w:t>
      </w:r>
      <w:r w:rsidR="00C7169E" w:rsidRPr="007E130D">
        <w:t xml:space="preserve">la </w:t>
      </w:r>
      <w:r w:rsidRPr="007E130D">
        <w:t xml:space="preserve">RCC </w:t>
      </w:r>
      <w:r w:rsidR="003D577C" w:rsidRPr="007E130D">
        <w:t>pour la coordination régionale et les questions relatives à l</w:t>
      </w:r>
      <w:r w:rsidR="000C4CDD" w:rsidRPr="007E130D">
        <w:t>'</w:t>
      </w:r>
      <w:r w:rsidR="003D577C" w:rsidRPr="007E130D">
        <w:t>utilisation du spectre</w:t>
      </w:r>
      <w:r w:rsidRPr="007E130D">
        <w:t>;</w:t>
      </w:r>
    </w:p>
    <w:p w14:paraId="796EF49B" w14:textId="0D2F7823" w:rsidR="00082282" w:rsidRPr="007E130D" w:rsidRDefault="00082282" w:rsidP="00B20AC9">
      <w:pPr>
        <w:pStyle w:val="enumlev1"/>
      </w:pPr>
      <w:r w:rsidRPr="007E130D">
        <w:t>−</w:t>
      </w:r>
      <w:r w:rsidRPr="007E130D">
        <w:tab/>
      </w:r>
      <w:r w:rsidR="00C7169E" w:rsidRPr="007E130D">
        <w:t>l</w:t>
      </w:r>
      <w:r w:rsidR="000C4CDD" w:rsidRPr="007E130D">
        <w:t>'</w:t>
      </w:r>
      <w:r w:rsidRPr="007E130D">
        <w:t xml:space="preserve">ABU, </w:t>
      </w:r>
      <w:r w:rsidR="00C7169E" w:rsidRPr="007E130D">
        <w:t>l</w:t>
      </w:r>
      <w:r w:rsidR="000C4CDD" w:rsidRPr="007E130D">
        <w:t>'</w:t>
      </w:r>
      <w:r w:rsidRPr="007E130D">
        <w:t xml:space="preserve">ASBU, </w:t>
      </w:r>
      <w:r w:rsidR="00C7169E" w:rsidRPr="007E130D">
        <w:t>l</w:t>
      </w:r>
      <w:r w:rsidR="000C4CDD" w:rsidRPr="007E130D">
        <w:t>'</w:t>
      </w:r>
      <w:r w:rsidRPr="007E130D">
        <w:t>U</w:t>
      </w:r>
      <w:r w:rsidR="003D577C" w:rsidRPr="007E130D">
        <w:t>ER</w:t>
      </w:r>
      <w:r w:rsidRPr="007E130D">
        <w:t xml:space="preserve">, </w:t>
      </w:r>
      <w:r w:rsidR="00C7169E" w:rsidRPr="007E130D">
        <w:t>l</w:t>
      </w:r>
      <w:r w:rsidR="000C4CDD" w:rsidRPr="007E130D">
        <w:t>'</w:t>
      </w:r>
      <w:r w:rsidRPr="007E130D">
        <w:t xml:space="preserve">ETSI, </w:t>
      </w:r>
      <w:r w:rsidR="00C7169E" w:rsidRPr="007E130D">
        <w:t xml:space="preserve">la </w:t>
      </w:r>
      <w:r w:rsidRPr="007E130D">
        <w:t xml:space="preserve">HFCC </w:t>
      </w:r>
      <w:r w:rsidR="003D577C" w:rsidRPr="007E130D">
        <w:t>et</w:t>
      </w:r>
      <w:r w:rsidRPr="007E130D">
        <w:t xml:space="preserve"> </w:t>
      </w:r>
      <w:r w:rsidR="00C7169E" w:rsidRPr="007E130D">
        <w:t xml:space="preserve">le </w:t>
      </w:r>
      <w:r w:rsidRPr="007E130D">
        <w:t xml:space="preserve">SMPT </w:t>
      </w:r>
      <w:r w:rsidR="003D577C" w:rsidRPr="007E130D">
        <w:t xml:space="preserve">pour les questions </w:t>
      </w:r>
      <w:r w:rsidR="00C7169E" w:rsidRPr="007E130D">
        <w:t xml:space="preserve">de </w:t>
      </w:r>
      <w:r w:rsidR="003D577C" w:rsidRPr="007E130D">
        <w:t>diffusion;</w:t>
      </w:r>
    </w:p>
    <w:p w14:paraId="30AAC42C" w14:textId="096D9F73" w:rsidR="00082282" w:rsidRPr="007E130D" w:rsidRDefault="00082282" w:rsidP="00B20AC9">
      <w:pPr>
        <w:pStyle w:val="enumlev1"/>
      </w:pPr>
      <w:r w:rsidRPr="007E130D">
        <w:t>−</w:t>
      </w:r>
      <w:r w:rsidRPr="007E130D">
        <w:tab/>
      </w:r>
      <w:r w:rsidR="00C7169E" w:rsidRPr="007E130D">
        <w:t>l</w:t>
      </w:r>
      <w:r w:rsidR="000C4CDD" w:rsidRPr="007E130D">
        <w:t>'</w:t>
      </w:r>
      <w:r w:rsidRPr="007E130D">
        <w:t xml:space="preserve">ITSO, </w:t>
      </w:r>
      <w:r w:rsidR="00C7169E" w:rsidRPr="007E130D">
        <w:t xml:space="preserve">la </w:t>
      </w:r>
      <w:r w:rsidRPr="007E130D">
        <w:t xml:space="preserve">ESOA, </w:t>
      </w:r>
      <w:r w:rsidR="00C7169E" w:rsidRPr="007E130D">
        <w:t xml:space="preserve">le </w:t>
      </w:r>
      <w:r w:rsidRPr="007E130D">
        <w:t xml:space="preserve">GVF, </w:t>
      </w:r>
      <w:r w:rsidR="00C7169E" w:rsidRPr="007E130D">
        <w:t xml:space="preserve">la </w:t>
      </w:r>
      <w:r w:rsidRPr="007E130D">
        <w:t xml:space="preserve">GSMA, </w:t>
      </w:r>
      <w:r w:rsidR="00C7169E" w:rsidRPr="007E130D">
        <w:t xml:space="preserve">la </w:t>
      </w:r>
      <w:r w:rsidRPr="007E130D">
        <w:t>GSOA</w:t>
      </w:r>
      <w:r w:rsidR="00C7169E" w:rsidRPr="007E130D">
        <w:t xml:space="preserve"> et</w:t>
      </w:r>
      <w:r w:rsidRPr="007E130D">
        <w:t xml:space="preserve"> </w:t>
      </w:r>
      <w:r w:rsidR="00C7169E" w:rsidRPr="007E130D">
        <w:t xml:space="preserve">la </w:t>
      </w:r>
      <w:r w:rsidRPr="007E130D">
        <w:t xml:space="preserve">GSA </w:t>
      </w:r>
      <w:r w:rsidR="003D577C" w:rsidRPr="007E130D">
        <w:t>pour l</w:t>
      </w:r>
      <w:r w:rsidR="000C4CDD" w:rsidRPr="007E130D">
        <w:t>'</w:t>
      </w:r>
      <w:r w:rsidR="003D577C" w:rsidRPr="007E130D">
        <w:t>utilisation de systèmes et services particuliers de radiocommunication;</w:t>
      </w:r>
    </w:p>
    <w:p w14:paraId="223488C1" w14:textId="4DFF14BC" w:rsidR="00082282" w:rsidRPr="007E130D" w:rsidRDefault="00082282" w:rsidP="00B20AC9">
      <w:pPr>
        <w:pStyle w:val="enumlev1"/>
      </w:pPr>
      <w:r w:rsidRPr="007E130D">
        <w:t>−</w:t>
      </w:r>
      <w:r w:rsidRPr="007E130D">
        <w:tab/>
      </w:r>
      <w:r w:rsidR="00C7169E" w:rsidRPr="007E130D">
        <w:t xml:space="preserve">le partenariat </w:t>
      </w:r>
      <w:r w:rsidRPr="007E130D">
        <w:t xml:space="preserve">3GPP, </w:t>
      </w:r>
      <w:r w:rsidR="00C7169E" w:rsidRPr="007E130D">
        <w:t>l</w:t>
      </w:r>
      <w:r w:rsidR="000C4CDD" w:rsidRPr="007E130D">
        <w:t>'</w:t>
      </w:r>
      <w:r w:rsidRPr="007E130D">
        <w:t xml:space="preserve">IEEE </w:t>
      </w:r>
      <w:r w:rsidR="00C7169E" w:rsidRPr="007E130D">
        <w:t>ainsi que plusieurs organisations régionales de normalisation pour les activités du Groupe de collaboration pour la normalisation mondiale (GSC);</w:t>
      </w:r>
    </w:p>
    <w:p w14:paraId="546F1380" w14:textId="1B47807D" w:rsidR="00082282" w:rsidRPr="007E130D" w:rsidRDefault="00082282" w:rsidP="00B20AC9">
      <w:pPr>
        <w:pStyle w:val="enumlev1"/>
      </w:pPr>
      <w:r w:rsidRPr="007E130D">
        <w:t>−</w:t>
      </w:r>
      <w:r w:rsidRPr="007E130D">
        <w:tab/>
        <w:t>l'Organisation météorologique mondiale</w:t>
      </w:r>
      <w:r w:rsidR="00C7169E" w:rsidRPr="007E130D">
        <w:t xml:space="preserve"> (OMM)</w:t>
      </w:r>
      <w:r w:rsidRPr="007E130D">
        <w:t>, l'Organisation mondiale de la santé</w:t>
      </w:r>
      <w:r w:rsidR="00C7169E" w:rsidRPr="007E130D">
        <w:t xml:space="preserve"> (OMS)</w:t>
      </w:r>
      <w:r w:rsidRPr="007E130D">
        <w:t>, l'ISO et la CEI (y compris le CISPR), le Groupe de coordination des fréquences spatiales</w:t>
      </w:r>
      <w:r w:rsidR="00C7169E" w:rsidRPr="007E130D">
        <w:t>, l</w:t>
      </w:r>
      <w:r w:rsidR="000C4CDD" w:rsidRPr="007E130D">
        <w:t>'</w:t>
      </w:r>
      <w:r w:rsidR="00C7169E" w:rsidRPr="007E130D">
        <w:t xml:space="preserve">Union radio-scientifique internationale (URSI) </w:t>
      </w:r>
      <w:r w:rsidRPr="007E130D">
        <w:t>et plusieurs autres organisations</w:t>
      </w:r>
      <w:r w:rsidR="00C7169E" w:rsidRPr="007E130D">
        <w:t>,</w:t>
      </w:r>
      <w:r w:rsidRPr="007E130D">
        <w:t xml:space="preserve"> </w:t>
      </w:r>
      <w:r w:rsidR="00C7169E" w:rsidRPr="007E130D">
        <w:t>en fonction des besoins, pour assurer la liaison avec les activités des commissions d'études</w:t>
      </w:r>
      <w:r w:rsidRPr="007E130D">
        <w:t>;</w:t>
      </w:r>
    </w:p>
    <w:p w14:paraId="444C08F7" w14:textId="69E9955A" w:rsidR="00082282" w:rsidRPr="007E130D" w:rsidRDefault="00082282" w:rsidP="00B20AC9">
      <w:pPr>
        <w:pStyle w:val="enumlev1"/>
      </w:pPr>
      <w:r w:rsidRPr="007E130D">
        <w:lastRenderedPageBreak/>
        <w:t>−</w:t>
      </w:r>
      <w:r w:rsidRPr="007E130D">
        <w:tab/>
        <w:t>le Comité des utilisations pacifiques de l'espace extra</w:t>
      </w:r>
      <w:r w:rsidRPr="007E130D">
        <w:noBreakHyphen/>
        <w:t xml:space="preserve">atmosphérique des Nations Unies (UN-COPUOS), </w:t>
      </w:r>
      <w:r w:rsidR="00C7169E" w:rsidRPr="007E130D">
        <w:t>Commission économique des Nations Unies pour l'Europe (CEE</w:t>
      </w:r>
      <w:r w:rsidR="000C4CDD" w:rsidRPr="007E130D">
        <w:noBreakHyphen/>
      </w:r>
      <w:r w:rsidR="00C7169E" w:rsidRPr="007E130D">
        <w:t>ONU</w:t>
      </w:r>
      <w:r w:rsidR="009431B0" w:rsidRPr="007E130D">
        <w:t>)</w:t>
      </w:r>
      <w:r w:rsidR="00C7169E" w:rsidRPr="007E130D">
        <w:t xml:space="preserve">, </w:t>
      </w:r>
      <w:r w:rsidRPr="007E130D">
        <w:t xml:space="preserve">l'Organisation maritime internationale (OMI), l'Organisation internationale des télécommunications mobiles par satellite (IMSO), </w:t>
      </w:r>
      <w:r w:rsidR="000E07E3" w:rsidRPr="007E130D">
        <w:t xml:space="preserve">le Bureau international des poids et mesures (BIPM), </w:t>
      </w:r>
      <w:r w:rsidRPr="007E130D">
        <w:t>l'Organisation internationale des télécommunications par satellite (ITSO), COSPAS-SARSAT, le Comité international de la Croix-Rouge (CICR) et l'Organisation de l'aviation civile internationale (OACI) en ce qui concerne l'application des textes de l'UIT ayant valeur de traité. Des experts du BR ont également participé à diverses réunions de ces organisations.</w:t>
      </w:r>
    </w:p>
    <w:p w14:paraId="3F4D05A5" w14:textId="724B5399" w:rsidR="00082282" w:rsidRPr="007E130D" w:rsidRDefault="00082282" w:rsidP="00B20AC9">
      <w:pPr>
        <w:jc w:val="center"/>
      </w:pPr>
      <w:r w:rsidRPr="007E130D">
        <w:t>______________</w:t>
      </w:r>
    </w:p>
    <w:sectPr w:rsidR="00082282" w:rsidRPr="007E130D" w:rsidSect="00082282">
      <w:headerReference w:type="default" r:id="rId117"/>
      <w:footerReference w:type="even" r:id="rId118"/>
      <w:footerReference w:type="default" r:id="rId119"/>
      <w:footerReference w:type="first" r:id="rId1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75BC" w14:textId="77777777" w:rsidR="004473C8" w:rsidRDefault="004473C8">
      <w:r>
        <w:separator/>
      </w:r>
    </w:p>
  </w:endnote>
  <w:endnote w:type="continuationSeparator" w:id="0">
    <w:p w14:paraId="54602906" w14:textId="77777777" w:rsidR="004473C8" w:rsidRDefault="0044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812E" w14:textId="7378A58C" w:rsidR="00C70CE4" w:rsidRPr="00AC7D7F" w:rsidRDefault="00C70CE4">
    <w:pPr>
      <w:rPr>
        <w:lang w:val="pt-BR"/>
      </w:rPr>
    </w:pPr>
    <w:r>
      <w:fldChar w:fldCharType="begin"/>
    </w:r>
    <w:r w:rsidRPr="00AC7D7F">
      <w:rPr>
        <w:lang w:val="pt-BR"/>
      </w:rPr>
      <w:instrText xml:space="preserve"> FILENAME \p  \* MERGEFORMAT </w:instrText>
    </w:r>
    <w:r>
      <w:fldChar w:fldCharType="separate"/>
    </w:r>
    <w:r w:rsidRPr="00AC7D7F">
      <w:rPr>
        <w:noProof/>
        <w:lang w:val="pt-BR"/>
      </w:rPr>
      <w:t>P:\FRA\ITU-R\CONF-R\CMR19\000\004ADD01F.docx</w:t>
    </w:r>
    <w:r>
      <w:fldChar w:fldCharType="end"/>
    </w:r>
    <w:r w:rsidRPr="00AC7D7F">
      <w:rPr>
        <w:lang w:val="pt-BR"/>
      </w:rPr>
      <w:tab/>
    </w:r>
    <w:r>
      <w:fldChar w:fldCharType="begin"/>
    </w:r>
    <w:r>
      <w:instrText xml:space="preserve"> SAVEDATE \@ DD.MM.YY </w:instrText>
    </w:r>
    <w:r>
      <w:fldChar w:fldCharType="separate"/>
    </w:r>
    <w:r w:rsidR="00292E74">
      <w:rPr>
        <w:noProof/>
      </w:rPr>
      <w:t>09.10.23</w:t>
    </w:r>
    <w:r>
      <w:fldChar w:fldCharType="end"/>
    </w:r>
    <w:r w:rsidRPr="00AC7D7F">
      <w:rPr>
        <w:lang w:val="pt-BR"/>
      </w:rPr>
      <w:tab/>
    </w:r>
    <w:r>
      <w:fldChar w:fldCharType="begin"/>
    </w:r>
    <w:r>
      <w:instrText xml:space="preserve"> PRINTDATE \@ DD.MM.YY </w:instrText>
    </w:r>
    <w:r>
      <w:fldChar w:fldCharType="separate"/>
    </w:r>
    <w:r>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BAC" w14:textId="4B4E9882" w:rsidR="00C70CE4" w:rsidRPr="00AC7D7F" w:rsidRDefault="00C70CE4" w:rsidP="003E5E3D">
    <w:pPr>
      <w:pStyle w:val="Footer"/>
      <w:rPr>
        <w:lang w:val="pt-BR"/>
      </w:rPr>
    </w:pPr>
    <w:r>
      <w:fldChar w:fldCharType="begin"/>
    </w:r>
    <w:r w:rsidRPr="00AC7D7F">
      <w:rPr>
        <w:lang w:val="pt-BR"/>
      </w:rPr>
      <w:instrText xml:space="preserve"> FILENAME \p  \* MERGEFORMAT </w:instrText>
    </w:r>
    <w:r>
      <w:fldChar w:fldCharType="separate"/>
    </w:r>
    <w:r w:rsidR="008464B6">
      <w:rPr>
        <w:lang w:val="pt-BR"/>
      </w:rPr>
      <w:t>P:\FRA\ITU-R\CONF-R\CMR23\000\004ADD01F.docx</w:t>
    </w:r>
    <w:r>
      <w:fldChar w:fldCharType="end"/>
    </w:r>
    <w:r w:rsidRPr="00AC7D7F">
      <w:rPr>
        <w:lang w:val="pt-BR"/>
      </w:rPr>
      <w:t xml:space="preserve"> (526995)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2308" w14:textId="0B234A24" w:rsidR="00C70CE4" w:rsidRPr="00AC7D7F" w:rsidRDefault="00C70CE4" w:rsidP="003E5E3D">
    <w:pPr>
      <w:pStyle w:val="Footer"/>
      <w:rPr>
        <w:lang w:val="pt-BR"/>
      </w:rPr>
    </w:pPr>
    <w:r>
      <w:fldChar w:fldCharType="begin"/>
    </w:r>
    <w:r w:rsidRPr="00AC7D7F">
      <w:rPr>
        <w:lang w:val="pt-BR"/>
      </w:rPr>
      <w:instrText xml:space="preserve"> FILENAME \p  \* MERGEFORMAT </w:instrText>
    </w:r>
    <w:r>
      <w:fldChar w:fldCharType="separate"/>
    </w:r>
    <w:r w:rsidR="00B20AC9">
      <w:rPr>
        <w:lang w:val="pt-BR"/>
      </w:rPr>
      <w:t>P:\FRA\ITU-R\CONF-R\CMR23\000\004ADD01F.docx</w:t>
    </w:r>
    <w:r>
      <w:fldChar w:fldCharType="end"/>
    </w:r>
    <w:r w:rsidRPr="00AC7D7F">
      <w:rPr>
        <w:lang w:val="pt-BR"/>
      </w:rPr>
      <w:t xml:space="preserve"> (526995)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BD0F" w14:textId="69810050" w:rsidR="00C70CE4" w:rsidRPr="00AC7D7F" w:rsidRDefault="00C70CE4">
    <w:pPr>
      <w:rPr>
        <w:lang w:val="pt-BR"/>
      </w:rPr>
    </w:pPr>
    <w:r>
      <w:fldChar w:fldCharType="begin"/>
    </w:r>
    <w:r w:rsidRPr="00AC7D7F">
      <w:rPr>
        <w:lang w:val="pt-BR"/>
      </w:rPr>
      <w:instrText xml:space="preserve"> FILENAME \p  \* MERGEFORMAT </w:instrText>
    </w:r>
    <w:r>
      <w:fldChar w:fldCharType="separate"/>
    </w:r>
    <w:r w:rsidRPr="00AC7D7F">
      <w:rPr>
        <w:noProof/>
        <w:lang w:val="pt-BR"/>
      </w:rPr>
      <w:t>P:\TRAD\F\ITU-R\CONF-R\CMR23\000\004ADD01FMontage.docx</w:t>
    </w:r>
    <w:r>
      <w:fldChar w:fldCharType="end"/>
    </w:r>
    <w:r w:rsidRPr="00AC7D7F">
      <w:rPr>
        <w:lang w:val="pt-BR"/>
      </w:rPr>
      <w:tab/>
    </w:r>
    <w:r>
      <w:fldChar w:fldCharType="begin"/>
    </w:r>
    <w:r>
      <w:instrText xml:space="preserve"> SAVEDATE \@ DD.MM.YY </w:instrText>
    </w:r>
    <w:r>
      <w:fldChar w:fldCharType="separate"/>
    </w:r>
    <w:r w:rsidR="00292E74">
      <w:rPr>
        <w:noProof/>
      </w:rPr>
      <w:t>09.10.23</w:t>
    </w:r>
    <w:r>
      <w:fldChar w:fldCharType="end"/>
    </w:r>
    <w:r w:rsidRPr="00AC7D7F">
      <w:rPr>
        <w:lang w:val="pt-BR"/>
      </w:rPr>
      <w:tab/>
    </w:r>
    <w:r>
      <w:fldChar w:fldCharType="begin"/>
    </w:r>
    <w:r>
      <w:instrText xml:space="preserve"> PRINTDATE \@ DD.MM.YY </w:instrText>
    </w:r>
    <w:r>
      <w:fldChar w:fldCharType="separate"/>
    </w:r>
    <w:r>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93" w:name="_Hlk147297463"/>
  <w:p w14:paraId="0D59FADF" w14:textId="13A5ACCB" w:rsidR="00C70CE4" w:rsidRPr="00AC7D7F" w:rsidRDefault="00C70CE4" w:rsidP="003E5E3D">
    <w:pPr>
      <w:pStyle w:val="Footer"/>
      <w:rPr>
        <w:lang w:val="pt-BR"/>
      </w:rPr>
    </w:pPr>
    <w:r>
      <w:fldChar w:fldCharType="begin"/>
    </w:r>
    <w:r w:rsidRPr="00AC7D7F">
      <w:rPr>
        <w:lang w:val="pt-BR"/>
      </w:rPr>
      <w:instrText xml:space="preserve"> FILENAME \p  \* MERGEFORMAT </w:instrText>
    </w:r>
    <w:r>
      <w:fldChar w:fldCharType="separate"/>
    </w:r>
    <w:r w:rsidR="00B20AC9">
      <w:rPr>
        <w:lang w:val="pt-BR"/>
      </w:rPr>
      <w:t>P:\FRA\ITU-R\CONF-R\CMR23\000\004ADD01F.docx</w:t>
    </w:r>
    <w:r>
      <w:fldChar w:fldCharType="end"/>
    </w:r>
    <w:r w:rsidRPr="00AC7D7F">
      <w:rPr>
        <w:lang w:val="pt-BR"/>
      </w:rPr>
      <w:t xml:space="preserve"> (526995)</w:t>
    </w:r>
    <w:bookmarkEnd w:id="293"/>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F0ED" w14:textId="77777777" w:rsidR="00C70CE4" w:rsidRPr="00AC7D7F" w:rsidRDefault="00C70CE4" w:rsidP="003E5E3D">
    <w:pPr>
      <w:pStyle w:val="Footer"/>
      <w:rPr>
        <w:lang w:val="pt-BR"/>
      </w:rPr>
    </w:pPr>
    <w:r>
      <w:fldChar w:fldCharType="begin"/>
    </w:r>
    <w:r w:rsidRPr="00AC7D7F">
      <w:rPr>
        <w:lang w:val="pt-BR"/>
      </w:rPr>
      <w:instrText xml:space="preserve"> FILENAME \p  \* MERGEFORMAT </w:instrText>
    </w:r>
    <w:r>
      <w:fldChar w:fldCharType="separate"/>
    </w:r>
    <w:r w:rsidRPr="00AC7D7F">
      <w:rPr>
        <w:lang w:val="pt-BR"/>
      </w:rPr>
      <w:t>P:\TRAD\F\ITU-R\CONF-R\CMR23\000\004ADD01FMontage.docx</w:t>
    </w:r>
    <w:r>
      <w:fldChar w:fldCharType="end"/>
    </w:r>
    <w:r w:rsidRPr="00AC7D7F">
      <w:rPr>
        <w:lang w:val="pt-BR"/>
      </w:rPr>
      <w:t xml:space="preserve"> (526995)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8B68" w14:textId="77777777" w:rsidR="004473C8" w:rsidRDefault="004473C8">
      <w:r>
        <w:rPr>
          <w:b/>
        </w:rPr>
        <w:t>_______________</w:t>
      </w:r>
    </w:p>
  </w:footnote>
  <w:footnote w:type="continuationSeparator" w:id="0">
    <w:p w14:paraId="460908B3" w14:textId="77777777" w:rsidR="004473C8" w:rsidRDefault="004473C8">
      <w:r>
        <w:continuationSeparator/>
      </w:r>
    </w:p>
  </w:footnote>
  <w:footnote w:id="1">
    <w:p w14:paraId="7053046E" w14:textId="17CA02B8" w:rsidR="00C70CE4" w:rsidRPr="00E10004" w:rsidRDefault="00C70CE4" w:rsidP="00A51CF4">
      <w:pPr>
        <w:tabs>
          <w:tab w:val="clear" w:pos="1134"/>
          <w:tab w:val="left" w:pos="284"/>
        </w:tabs>
        <w:rPr>
          <w:lang w:val="fr-CH"/>
        </w:rPr>
      </w:pPr>
      <w:r>
        <w:rPr>
          <w:rStyle w:val="FootnoteReference"/>
        </w:rPr>
        <w:footnoteRef/>
      </w:r>
      <w:r>
        <w:rPr>
          <w:lang w:val="fr-CH"/>
        </w:rPr>
        <w:tab/>
      </w:r>
      <w:r w:rsidRPr="00203A6D">
        <w:rPr>
          <w:lang w:val="fr-CH"/>
        </w:rPr>
        <w:t>La puissance surfacique équivalente est définie a</w:t>
      </w:r>
      <w:r w:rsidRPr="008618E6">
        <w:rPr>
          <w:lang w:val="fr-CH"/>
        </w:rPr>
        <w:t xml:space="preserve">u numéro </w:t>
      </w:r>
      <w:r w:rsidRPr="008618E6">
        <w:rPr>
          <w:b/>
          <w:bCs/>
          <w:lang w:val="fr-CH"/>
        </w:rPr>
        <w:t>22.5C.1</w:t>
      </w:r>
      <w:r w:rsidRPr="008618E6">
        <w:rPr>
          <w:lang w:val="fr-CH"/>
        </w:rPr>
        <w:t xml:space="preserve"> du</w:t>
      </w:r>
      <w:r>
        <w:rPr>
          <w:lang w:val="fr-CH"/>
        </w:rPr>
        <w:t xml:space="preserve"> RR.</w:t>
      </w:r>
      <w:r w:rsidRPr="00203A6D">
        <w:rPr>
          <w:lang w:val="fr-CH"/>
        </w:rPr>
        <w:t xml:space="preserve"> </w:t>
      </w:r>
      <w:r w:rsidRPr="00E10004">
        <w:rPr>
          <w:lang w:val="fr-CH"/>
        </w:rPr>
        <w:t>S</w:t>
      </w:r>
      <w:r>
        <w:rPr>
          <w:lang w:val="fr-CH"/>
        </w:rPr>
        <w:t>'</w:t>
      </w:r>
      <w:r w:rsidRPr="00E10004">
        <w:rPr>
          <w:lang w:val="fr-CH"/>
        </w:rPr>
        <w:t>agissant des valeurs de la puissance surfacique, les valeurs de l</w:t>
      </w:r>
      <w:r>
        <w:rPr>
          <w:lang w:val="fr-CH"/>
        </w:rPr>
        <w:t>'</w:t>
      </w:r>
      <w:r w:rsidRPr="00E10004">
        <w:rPr>
          <w:lang w:val="fr-CH"/>
        </w:rPr>
        <w:t xml:space="preserve">epfd sont </w:t>
      </w:r>
      <w:r>
        <w:rPr>
          <w:lang w:val="fr-CH"/>
        </w:rPr>
        <w:t xml:space="preserve">corrélées </w:t>
      </w:r>
      <w:r w:rsidRPr="00E10004">
        <w:rPr>
          <w:lang w:val="fr-CH"/>
        </w:rPr>
        <w:t>à la puissance de brouillage,</w:t>
      </w:r>
      <w:r>
        <w:rPr>
          <w:lang w:val="fr-CH"/>
        </w:rPr>
        <w:t xml:space="preserve"> </w:t>
      </w:r>
      <w:r w:rsidRPr="00E10004">
        <w:rPr>
          <w:lang w:val="fr-CH"/>
        </w:rPr>
        <w:t>I</w:t>
      </w:r>
      <w:r w:rsidRPr="00E10004">
        <w:rPr>
          <w:vertAlign w:val="subscript"/>
          <w:lang w:val="fr-CH"/>
        </w:rPr>
        <w:t>tot</w:t>
      </w:r>
      <w:r w:rsidRPr="00E10004">
        <w:rPr>
          <w:lang w:val="fr-CH"/>
        </w:rPr>
        <w:t>,</w:t>
      </w:r>
      <w:r>
        <w:rPr>
          <w:lang w:val="fr-CH"/>
        </w:rPr>
        <w:t xml:space="preserve"> mesurée à la </w:t>
      </w:r>
      <w:r w:rsidRPr="005F6C72">
        <w:rPr>
          <w:lang w:val="fr-CH"/>
        </w:rPr>
        <w:t xml:space="preserve">sortie de l'antenne de réception au moyen de la formule: </w:t>
      </w:r>
      <w:bookmarkStart w:id="53" w:name="_Hlk147299933"/>
      <w:r w:rsidRPr="00BD02F1">
        <w:rPr>
          <w:lang w:val="fr-CH"/>
        </w:rPr>
        <w:t>I</w:t>
      </w:r>
      <w:r w:rsidRPr="00BD02F1">
        <w:rPr>
          <w:vertAlign w:val="subscript"/>
          <w:lang w:val="fr-CH"/>
        </w:rPr>
        <w:t>tot</w:t>
      </w:r>
      <w:r w:rsidR="0046787D" w:rsidRPr="00BD02F1">
        <w:rPr>
          <w:lang w:val="fr-CH"/>
        </w:rPr>
        <w:t> </w:t>
      </w:r>
      <w:r w:rsidRPr="00BD02F1">
        <w:rPr>
          <w:lang w:val="fr-CH"/>
        </w:rPr>
        <w:t>=</w:t>
      </w:r>
      <w:r w:rsidR="0046787D" w:rsidRPr="00BD02F1">
        <w:rPr>
          <w:lang w:val="fr-CH"/>
        </w:rPr>
        <w:t> </w:t>
      </w:r>
      <w:r w:rsidRPr="00BD02F1">
        <w:rPr>
          <w:lang w:val="fr-CH"/>
        </w:rPr>
        <w:t>epfd</w:t>
      </w:r>
      <w:r w:rsidR="0046787D" w:rsidRPr="00BD02F1">
        <w:rPr>
          <w:lang w:val="fr-CH"/>
        </w:rPr>
        <w:t> − </w:t>
      </w:r>
      <w:r w:rsidRPr="00BD02F1">
        <w:t>10log(4</w:t>
      </w:r>
      <w:r w:rsidRPr="00BD02F1">
        <w:sym w:font="Symbol" w:char="F070"/>
      </w:r>
      <w:r w:rsidRPr="00BD02F1">
        <w:t>/</w:t>
      </w:r>
      <w:r w:rsidRPr="00BD02F1">
        <w:sym w:font="Symbol" w:char="F06C"/>
      </w:r>
      <w:r w:rsidRPr="00BD02F1">
        <w:rPr>
          <w:vertAlign w:val="superscript"/>
        </w:rPr>
        <w:t>2</w:t>
      </w:r>
      <w:r w:rsidRPr="00BD02F1">
        <w:t>)</w:t>
      </w:r>
      <w:r w:rsidR="00A51CF4" w:rsidRPr="00BD02F1">
        <w:t> </w:t>
      </w:r>
      <w:r w:rsidRPr="00BD02F1">
        <w:rPr>
          <w:lang w:val="fr-CH"/>
        </w:rPr>
        <w:t>+</w:t>
      </w:r>
      <w:r w:rsidR="00A51CF4" w:rsidRPr="00BD02F1">
        <w:rPr>
          <w:lang w:val="fr-CH"/>
        </w:rPr>
        <w:t> </w:t>
      </w:r>
      <w:r w:rsidRPr="00BD02F1">
        <w:rPr>
          <w:lang w:val="fr-CH"/>
        </w:rPr>
        <w:t>G</w:t>
      </w:r>
      <w:r w:rsidRPr="00BD02F1">
        <w:rPr>
          <w:vertAlign w:val="subscript"/>
          <w:lang w:val="fr-CH"/>
        </w:rPr>
        <w:t>r,max</w:t>
      </w:r>
      <w:bookmarkEnd w:id="53"/>
      <w:r w:rsidRPr="005F6C72">
        <w:rPr>
          <w:lang w:val="fr-CH"/>
        </w:rPr>
        <w:t xml:space="preserve"> où</w:t>
      </w:r>
      <w:r>
        <w:rPr>
          <w:lang w:val="fr-CH"/>
        </w:rPr>
        <w:t xml:space="preserve"> </w:t>
      </w:r>
      <w:r w:rsidRPr="00E10004">
        <w:rPr>
          <w:lang w:val="fr-CH"/>
        </w:rPr>
        <w:t>G</w:t>
      </w:r>
      <w:r w:rsidRPr="00E10004">
        <w:rPr>
          <w:vertAlign w:val="subscript"/>
          <w:lang w:val="fr-CH"/>
        </w:rPr>
        <w:t>r,max</w:t>
      </w:r>
      <w:r>
        <w:rPr>
          <w:lang w:val="fr-CH"/>
        </w:rPr>
        <w:t xml:space="preserve"> est le gain maximal </w:t>
      </w:r>
      <w:r w:rsidRPr="00E10004">
        <w:rPr>
          <w:lang w:val="fr-CH"/>
        </w:rPr>
        <w:t>(</w:t>
      </w:r>
      <w:r>
        <w:rPr>
          <w:lang w:val="fr-CH"/>
        </w:rPr>
        <w:t>e</w:t>
      </w:r>
      <w:r w:rsidRPr="00E10004">
        <w:rPr>
          <w:lang w:val="fr-CH"/>
        </w:rPr>
        <w:t xml:space="preserve">n dBi) </w:t>
      </w:r>
      <w:r>
        <w:rPr>
          <w:lang w:val="fr-CH"/>
        </w:rPr>
        <w:t>de l'antenne de la station de réception.</w:t>
      </w:r>
    </w:p>
  </w:footnote>
  <w:footnote w:id="2">
    <w:p w14:paraId="3BDDF602" w14:textId="29133440" w:rsidR="00C70CE4" w:rsidRPr="000F7A1B" w:rsidRDefault="00C70CE4" w:rsidP="0035723C">
      <w:pPr>
        <w:pStyle w:val="FootnoteText"/>
      </w:pPr>
      <w:r w:rsidRPr="00E946DB">
        <w:rPr>
          <w:rStyle w:val="FootnoteReference"/>
        </w:rPr>
        <w:footnoteRef/>
      </w:r>
      <w:r>
        <w:tab/>
      </w:r>
      <w:r w:rsidRPr="000F7A1B">
        <w:t xml:space="preserve">Par ailleurs, la CMR-19 n'a pas adopté de disposition spécifique concernant l'application de la Section II de l'Article </w:t>
      </w:r>
      <w:r w:rsidRPr="000F7A1B">
        <w:rPr>
          <w:b/>
          <w:bCs/>
        </w:rPr>
        <w:t>9</w:t>
      </w:r>
      <w:r w:rsidRPr="000F7A1B">
        <w:t xml:space="preserve"> aux systèmes à satellites non géo</w:t>
      </w:r>
      <w:r>
        <w:t>stationnaires notifiés avant le </w:t>
      </w:r>
      <w:r w:rsidRPr="000F7A1B">
        <w:t>23</w:t>
      </w:r>
      <w:r>
        <w:t> </w:t>
      </w:r>
      <w:r w:rsidRPr="000F7A1B">
        <w:t>novembre</w:t>
      </w:r>
      <w:r w:rsidR="009D07AE">
        <w:t> </w:t>
      </w:r>
      <w:r w:rsidRPr="000F7A1B">
        <w:t xml:space="preserve">2019 dans les bandes de fréquences </w:t>
      </w:r>
      <w:r>
        <w:t>37,5-42,5 GHz, 47,2-50,2 GHz et </w:t>
      </w:r>
      <w:r w:rsidRPr="000F7A1B">
        <w:t>50,4</w:t>
      </w:r>
      <w:r>
        <w:noBreakHyphen/>
      </w:r>
      <w:r w:rsidRPr="000F7A1B">
        <w:t>51,4</w:t>
      </w:r>
      <w:r>
        <w:t> </w:t>
      </w:r>
      <w:r w:rsidRPr="000F7A1B">
        <w:t xml:space="preserve">GHz. Par conséquent, il n'y a pas de procédure de coordination entre ces systèmes au titre du numéro </w:t>
      </w:r>
      <w:r w:rsidRPr="000F7A1B">
        <w:rPr>
          <w:b/>
          <w:bCs/>
        </w:rPr>
        <w:t>9.12</w:t>
      </w:r>
      <w:r w:rsidRPr="00496438">
        <w:t xml:space="preserve"> </w:t>
      </w:r>
      <w:r>
        <w:rPr>
          <w:bCs/>
        </w:rPr>
        <w:t>du RR</w:t>
      </w:r>
      <w:r w:rsidRPr="000F7A1B">
        <w:t xml:space="preserve">, mais une coordination au titre du numéro </w:t>
      </w:r>
      <w:r w:rsidRPr="000F7A1B">
        <w:rPr>
          <w:b/>
          <w:bCs/>
        </w:rPr>
        <w:t>9.12</w:t>
      </w:r>
      <w:r w:rsidRPr="000F7A1B">
        <w:t xml:space="preserve"> </w:t>
      </w:r>
      <w:r>
        <w:t xml:space="preserve">du RR </w:t>
      </w:r>
      <w:r w:rsidRPr="000F7A1B">
        <w:t xml:space="preserve">doit être effectuée pour les demandes de coordination reçues à </w:t>
      </w:r>
      <w:r>
        <w:t xml:space="preserve">compter </w:t>
      </w:r>
      <w:r w:rsidRPr="000F7A1B">
        <w:t xml:space="preserve">du 23 novembre 2019 </w:t>
      </w:r>
      <w:r>
        <w:t>vis-à-vis d</w:t>
      </w:r>
      <w:r w:rsidRPr="000F7A1B">
        <w:t>es assignations de fréquence notifiées dans ces bandes de fréquences avant la fin de la CMR-19</w:t>
      </w:r>
      <w:r w:rsidRPr="000F7A1B">
        <w:rPr>
          <w:rFonts w:asciiTheme="majorBidi" w:hAnsiTheme="majorBidi" w:cstheme="majorBidi"/>
        </w:rPr>
        <w:t>.</w:t>
      </w:r>
    </w:p>
  </w:footnote>
  <w:footnote w:id="3">
    <w:p w14:paraId="4D3382EB" w14:textId="77777777" w:rsidR="00C70CE4" w:rsidRPr="00F60257" w:rsidRDefault="00C70CE4" w:rsidP="00B473A2">
      <w:pPr>
        <w:tabs>
          <w:tab w:val="clear" w:pos="1134"/>
          <w:tab w:val="left" w:pos="284"/>
        </w:tabs>
      </w:pPr>
      <w:r w:rsidRPr="00091AB4">
        <w:rPr>
          <w:rStyle w:val="FootnoteReference"/>
          <w:szCs w:val="18"/>
        </w:rPr>
        <w:footnoteRef/>
      </w:r>
      <w:r>
        <w:tab/>
      </w:r>
      <w:r w:rsidRPr="00F60257">
        <w:t xml:space="preserve">L'Administration autrichienne s'est mise en rapport avec le Bureau au sujet de la mise en œuvre de la Résolution </w:t>
      </w:r>
      <w:r w:rsidRPr="00F60257">
        <w:rPr>
          <w:b/>
          <w:bCs/>
        </w:rPr>
        <w:t>559 (CMR-19)</w:t>
      </w:r>
      <w:r w:rsidRPr="00F60257">
        <w:t>.</w:t>
      </w:r>
    </w:p>
  </w:footnote>
  <w:footnote w:id="4">
    <w:p w14:paraId="4C324331" w14:textId="77777777" w:rsidR="00C70CE4" w:rsidRPr="006C78E5" w:rsidRDefault="00C70CE4" w:rsidP="00141017">
      <w:pPr>
        <w:tabs>
          <w:tab w:val="clear" w:pos="1134"/>
          <w:tab w:val="left" w:pos="284"/>
        </w:tabs>
      </w:pPr>
      <w:r w:rsidRPr="00F60257">
        <w:rPr>
          <w:rStyle w:val="FootnoteReference"/>
          <w:szCs w:val="18"/>
        </w:rPr>
        <w:footnoteRef/>
      </w:r>
      <w:r w:rsidRPr="00F60257">
        <w:tab/>
        <w:t>L'Administration du Danemark a demandé l'assistance du Bureau afin de trouver une position orbitale appropriée. Le Bureau a répondu à cette demande le 28 avril 2020.</w:t>
      </w:r>
    </w:p>
  </w:footnote>
  <w:footnote w:id="5">
    <w:p w14:paraId="3F489621" w14:textId="4F57B5F8" w:rsidR="00C70CE4" w:rsidRPr="00CC1A34" w:rsidRDefault="00C70CE4" w:rsidP="00B04B51">
      <w:pPr>
        <w:pStyle w:val="FootnoteText"/>
        <w:ind w:left="255" w:hanging="255"/>
        <w:rPr>
          <w:sz w:val="20"/>
          <w:lang w:val="fr-CH"/>
        </w:rPr>
      </w:pPr>
      <w:r>
        <w:rPr>
          <w:rStyle w:val="FootnoteReference"/>
        </w:rPr>
        <w:footnoteRef/>
      </w:r>
      <w:r w:rsidRPr="00CC1A34">
        <w:rPr>
          <w:lang w:val="fr-CH"/>
        </w:rPr>
        <w:tab/>
      </w:r>
      <w:r>
        <w:rPr>
          <w:color w:val="000000"/>
        </w:rPr>
        <w:t xml:space="preserve">Cette colonne comprend les cas soumis jusqu'à la fin </w:t>
      </w:r>
      <w:r>
        <w:rPr>
          <w:lang w:val="fr-CH"/>
        </w:rPr>
        <w:t>juin 2023</w:t>
      </w:r>
      <w:r w:rsidRPr="00CC1A34">
        <w:rPr>
          <w:lang w:val="fr-CH"/>
        </w:rPr>
        <w:t>.</w:t>
      </w:r>
    </w:p>
  </w:footnote>
  <w:footnote w:id="6">
    <w:p w14:paraId="5EB435F8" w14:textId="77777777" w:rsidR="00C70CE4" w:rsidRPr="00746052" w:rsidRDefault="00C70CE4" w:rsidP="00B04B51">
      <w:pPr>
        <w:pStyle w:val="FootnoteText"/>
        <w:ind w:left="255" w:hanging="255"/>
        <w:rPr>
          <w:sz w:val="20"/>
          <w:lang w:val="fr-CH"/>
        </w:rPr>
      </w:pPr>
      <w:r>
        <w:rPr>
          <w:rStyle w:val="FootnoteReference"/>
        </w:rPr>
        <w:footnoteRef/>
      </w:r>
      <w:r w:rsidRPr="00746052">
        <w:rPr>
          <w:lang w:val="fr-CH"/>
        </w:rPr>
        <w:tab/>
      </w:r>
      <w:r>
        <w:t>La différence entre le nombre de demandes reçues et le nombre de demandes traitées tient au fait que le traitement de demandes reçues au cours d'une année a parfois été achevé l'année suivante</w:t>
      </w:r>
      <w:r w:rsidRPr="00746052">
        <w:rPr>
          <w:sz w:val="20"/>
          <w:lang w:val="fr-CH"/>
        </w:rPr>
        <w:t>.</w:t>
      </w:r>
    </w:p>
  </w:footnote>
  <w:footnote w:id="7">
    <w:p w14:paraId="42875DF6" w14:textId="0381F183" w:rsidR="00C70CE4" w:rsidRPr="00880215" w:rsidRDefault="00C70CE4" w:rsidP="006246EF">
      <w:pPr>
        <w:pStyle w:val="FootnoteText"/>
      </w:pPr>
      <w:r>
        <w:rPr>
          <w:rStyle w:val="FootnoteReference"/>
        </w:rPr>
        <w:footnoteRef/>
      </w:r>
      <w:r w:rsidRPr="00880215">
        <w:tab/>
      </w:r>
      <w:r>
        <w:rPr>
          <w:color w:val="000000"/>
        </w:rPr>
        <w:t xml:space="preserve">Cette colonne comprend les cas soumis jusqu'à la fin </w:t>
      </w:r>
      <w:r>
        <w:rPr>
          <w:lang w:val="fr-CH"/>
        </w:rPr>
        <w:t>juin 2023</w:t>
      </w:r>
      <w:r w:rsidRPr="00880215">
        <w:t>.</w:t>
      </w:r>
    </w:p>
  </w:footnote>
  <w:footnote w:id="8">
    <w:p w14:paraId="5E2C6B4D" w14:textId="42E66642" w:rsidR="00C70CE4" w:rsidRPr="00880215" w:rsidRDefault="00C70CE4">
      <w:pPr>
        <w:pStyle w:val="FootnoteText"/>
      </w:pPr>
      <w:r>
        <w:rPr>
          <w:rStyle w:val="FootnoteReference"/>
        </w:rPr>
        <w:footnoteRef/>
      </w:r>
      <w:r w:rsidRPr="00880215">
        <w:tab/>
      </w:r>
      <w:r>
        <w:rPr>
          <w:color w:val="000000"/>
        </w:rPr>
        <w:t xml:space="preserve">Cette colonne comprend les cas soumis jusqu'à la fin </w:t>
      </w:r>
      <w:r>
        <w:rPr>
          <w:lang w:val="fr-CH"/>
        </w:rPr>
        <w:t>juin 2023</w:t>
      </w:r>
      <w:r w:rsidRPr="0088021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B020" w14:textId="77777777" w:rsidR="00C70CE4" w:rsidRDefault="00C70CE4" w:rsidP="004F1F8E">
    <w:pPr>
      <w:pStyle w:val="Header"/>
    </w:pPr>
    <w:r>
      <w:fldChar w:fldCharType="begin"/>
    </w:r>
    <w:r>
      <w:instrText xml:space="preserve"> PAGE </w:instrText>
    </w:r>
    <w:r>
      <w:fldChar w:fldCharType="separate"/>
    </w:r>
    <w:r>
      <w:rPr>
        <w:noProof/>
      </w:rPr>
      <w:t>2</w:t>
    </w:r>
    <w:r>
      <w:fldChar w:fldCharType="end"/>
    </w:r>
  </w:p>
  <w:p w14:paraId="53168B46" w14:textId="77777777" w:rsidR="00C70CE4" w:rsidRDefault="00C70CE4" w:rsidP="00587A4E">
    <w:pPr>
      <w:pStyle w:val="Header"/>
    </w:pPr>
    <w:r>
      <w:t>WRC23/4(Add.1)-F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EB1" w14:textId="77777777" w:rsidR="00C70CE4" w:rsidRDefault="00C70CE4" w:rsidP="004F1F8E">
    <w:pPr>
      <w:pStyle w:val="Header"/>
    </w:pPr>
    <w:r>
      <w:fldChar w:fldCharType="begin"/>
    </w:r>
    <w:r>
      <w:instrText xml:space="preserve"> PAGE </w:instrText>
    </w:r>
    <w:r>
      <w:fldChar w:fldCharType="separate"/>
    </w:r>
    <w:r>
      <w:rPr>
        <w:noProof/>
      </w:rPr>
      <w:t>2</w:t>
    </w:r>
    <w:r>
      <w:fldChar w:fldCharType="end"/>
    </w:r>
  </w:p>
  <w:p w14:paraId="191DDDFA" w14:textId="77777777" w:rsidR="00C70CE4" w:rsidRDefault="00C70CE4" w:rsidP="00587A4E">
    <w:pPr>
      <w:pStyle w:val="Header"/>
    </w:pPr>
    <w:r>
      <w:t>WRC23/4(Add.1)-F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228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700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EC16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67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4241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769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1CA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AEA7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B454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3E2938"/>
    <w:lvl w:ilvl="0">
      <w:start w:val="1"/>
      <w:numFmt w:val="bullet"/>
      <w:lvlText w:val=""/>
      <w:lvlJc w:val="left"/>
      <w:pPr>
        <w:tabs>
          <w:tab w:val="num" w:pos="360"/>
        </w:tabs>
        <w:ind w:left="360" w:hanging="360"/>
      </w:pPr>
      <w:rPr>
        <w:rFonts w:ascii="Symbol" w:hAnsi="Symbol" w:hint="default"/>
      </w:rPr>
    </w:lvl>
  </w:abstractNum>
  <w:num w:numId="1" w16cid:durableId="2000038337">
    <w:abstractNumId w:val="9"/>
  </w:num>
  <w:num w:numId="2" w16cid:durableId="785345729">
    <w:abstractNumId w:val="7"/>
  </w:num>
  <w:num w:numId="3" w16cid:durableId="130099774">
    <w:abstractNumId w:val="6"/>
  </w:num>
  <w:num w:numId="4" w16cid:durableId="1410232478">
    <w:abstractNumId w:val="5"/>
  </w:num>
  <w:num w:numId="5" w16cid:durableId="487793085">
    <w:abstractNumId w:val="4"/>
  </w:num>
  <w:num w:numId="6" w16cid:durableId="1702513874">
    <w:abstractNumId w:val="8"/>
  </w:num>
  <w:num w:numId="7" w16cid:durableId="392045732">
    <w:abstractNumId w:val="3"/>
  </w:num>
  <w:num w:numId="8" w16cid:durableId="1568493587">
    <w:abstractNumId w:val="2"/>
  </w:num>
  <w:num w:numId="9" w16cid:durableId="840194338">
    <w:abstractNumId w:val="1"/>
  </w:num>
  <w:num w:numId="10" w16cid:durableId="1786998638">
    <w:abstractNumId w:val="0"/>
  </w:num>
  <w:num w:numId="11" w16cid:durableId="83961460">
    <w:abstractNumId w:val="9"/>
  </w:num>
  <w:num w:numId="12" w16cid:durableId="1680422589">
    <w:abstractNumId w:val="7"/>
  </w:num>
  <w:num w:numId="13" w16cid:durableId="498546699">
    <w:abstractNumId w:val="6"/>
  </w:num>
  <w:num w:numId="14" w16cid:durableId="247151496">
    <w:abstractNumId w:val="5"/>
  </w:num>
  <w:num w:numId="15" w16cid:durableId="1889803192">
    <w:abstractNumId w:val="4"/>
  </w:num>
  <w:num w:numId="16" w16cid:durableId="568656142">
    <w:abstractNumId w:val="8"/>
  </w:num>
  <w:num w:numId="17" w16cid:durableId="1606040044">
    <w:abstractNumId w:val="3"/>
  </w:num>
  <w:num w:numId="18" w16cid:durableId="440078906">
    <w:abstractNumId w:val="2"/>
  </w:num>
  <w:num w:numId="19" w16cid:durableId="773355672">
    <w:abstractNumId w:val="1"/>
  </w:num>
  <w:num w:numId="20" w16cid:durableId="1248074908">
    <w:abstractNumId w:val="0"/>
  </w:num>
  <w:num w:numId="21" w16cid:durableId="2055688344">
    <w:abstractNumId w:val="9"/>
  </w:num>
  <w:num w:numId="22" w16cid:durableId="638847244">
    <w:abstractNumId w:val="7"/>
  </w:num>
  <w:num w:numId="23" w16cid:durableId="1504197220">
    <w:abstractNumId w:val="6"/>
  </w:num>
  <w:num w:numId="24" w16cid:durableId="541600309">
    <w:abstractNumId w:val="5"/>
  </w:num>
  <w:num w:numId="25" w16cid:durableId="1288657605">
    <w:abstractNumId w:val="4"/>
  </w:num>
  <w:num w:numId="26" w16cid:durableId="810951054">
    <w:abstractNumId w:val="8"/>
  </w:num>
  <w:num w:numId="27" w16cid:durableId="1902673086">
    <w:abstractNumId w:val="3"/>
  </w:num>
  <w:num w:numId="28" w16cid:durableId="908540004">
    <w:abstractNumId w:val="2"/>
  </w:num>
  <w:num w:numId="29" w16cid:durableId="535433219">
    <w:abstractNumId w:val="1"/>
  </w:num>
  <w:num w:numId="30" w16cid:durableId="506947164">
    <w:abstractNumId w:val="0"/>
  </w:num>
  <w:num w:numId="31" w16cid:durableId="609241941">
    <w:abstractNumId w:val="9"/>
  </w:num>
  <w:num w:numId="32" w16cid:durableId="1354382747">
    <w:abstractNumId w:val="7"/>
  </w:num>
  <w:num w:numId="33" w16cid:durableId="663121293">
    <w:abstractNumId w:val="6"/>
  </w:num>
  <w:num w:numId="34" w16cid:durableId="1278483509">
    <w:abstractNumId w:val="5"/>
  </w:num>
  <w:num w:numId="35" w16cid:durableId="1661929783">
    <w:abstractNumId w:val="4"/>
  </w:num>
  <w:num w:numId="36" w16cid:durableId="1072897902">
    <w:abstractNumId w:val="8"/>
  </w:num>
  <w:num w:numId="37" w16cid:durableId="885990246">
    <w:abstractNumId w:val="3"/>
  </w:num>
  <w:num w:numId="38" w16cid:durableId="721517253">
    <w:abstractNumId w:val="2"/>
  </w:num>
  <w:num w:numId="39" w16cid:durableId="1471897289">
    <w:abstractNumId w:val="1"/>
  </w:num>
  <w:num w:numId="40" w16cid:durableId="32096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17"/>
    <w:rsid w:val="00001916"/>
    <w:rsid w:val="0000234B"/>
    <w:rsid w:val="0000542A"/>
    <w:rsid w:val="000114E0"/>
    <w:rsid w:val="000155F8"/>
    <w:rsid w:val="00015AED"/>
    <w:rsid w:val="00016648"/>
    <w:rsid w:val="000201CC"/>
    <w:rsid w:val="000202E1"/>
    <w:rsid w:val="00030F7C"/>
    <w:rsid w:val="00034C54"/>
    <w:rsid w:val="0003522F"/>
    <w:rsid w:val="00041C47"/>
    <w:rsid w:val="00046CC3"/>
    <w:rsid w:val="000510FB"/>
    <w:rsid w:val="00065EDA"/>
    <w:rsid w:val="00067582"/>
    <w:rsid w:val="00070D47"/>
    <w:rsid w:val="00073B15"/>
    <w:rsid w:val="00076665"/>
    <w:rsid w:val="00077AD9"/>
    <w:rsid w:val="000802A0"/>
    <w:rsid w:val="00080E2C"/>
    <w:rsid w:val="00082048"/>
    <w:rsid w:val="00082282"/>
    <w:rsid w:val="00082D7D"/>
    <w:rsid w:val="000839A1"/>
    <w:rsid w:val="000847AD"/>
    <w:rsid w:val="000851CA"/>
    <w:rsid w:val="000860CE"/>
    <w:rsid w:val="00090762"/>
    <w:rsid w:val="000960FB"/>
    <w:rsid w:val="000A469E"/>
    <w:rsid w:val="000A4755"/>
    <w:rsid w:val="000B01B3"/>
    <w:rsid w:val="000B2E0C"/>
    <w:rsid w:val="000B3951"/>
    <w:rsid w:val="000B3D0C"/>
    <w:rsid w:val="000B6A07"/>
    <w:rsid w:val="000B79B5"/>
    <w:rsid w:val="000C4CDD"/>
    <w:rsid w:val="000C7D2E"/>
    <w:rsid w:val="000D03FE"/>
    <w:rsid w:val="000D2C0E"/>
    <w:rsid w:val="000D6329"/>
    <w:rsid w:val="000E07E3"/>
    <w:rsid w:val="000E633D"/>
    <w:rsid w:val="000E7E74"/>
    <w:rsid w:val="000F1BFA"/>
    <w:rsid w:val="000F3420"/>
    <w:rsid w:val="00100103"/>
    <w:rsid w:val="00104550"/>
    <w:rsid w:val="00104B4D"/>
    <w:rsid w:val="001059C7"/>
    <w:rsid w:val="00106D64"/>
    <w:rsid w:val="00111E69"/>
    <w:rsid w:val="001167B9"/>
    <w:rsid w:val="001267A0"/>
    <w:rsid w:val="00130B4A"/>
    <w:rsid w:val="00131032"/>
    <w:rsid w:val="00131F40"/>
    <w:rsid w:val="00132323"/>
    <w:rsid w:val="0013248A"/>
    <w:rsid w:val="00134655"/>
    <w:rsid w:val="001352BA"/>
    <w:rsid w:val="00136EF7"/>
    <w:rsid w:val="00141017"/>
    <w:rsid w:val="00141882"/>
    <w:rsid w:val="00143BDB"/>
    <w:rsid w:val="00147FAA"/>
    <w:rsid w:val="00155F3B"/>
    <w:rsid w:val="00156620"/>
    <w:rsid w:val="00160C64"/>
    <w:rsid w:val="00164335"/>
    <w:rsid w:val="001646EE"/>
    <w:rsid w:val="00170040"/>
    <w:rsid w:val="00170088"/>
    <w:rsid w:val="001710E5"/>
    <w:rsid w:val="00175E49"/>
    <w:rsid w:val="00182CF9"/>
    <w:rsid w:val="00184D9A"/>
    <w:rsid w:val="00187F3A"/>
    <w:rsid w:val="0019352B"/>
    <w:rsid w:val="001960D0"/>
    <w:rsid w:val="001A34F3"/>
    <w:rsid w:val="001B0BA7"/>
    <w:rsid w:val="001B2197"/>
    <w:rsid w:val="001B6C66"/>
    <w:rsid w:val="001B7E4A"/>
    <w:rsid w:val="001C06BB"/>
    <w:rsid w:val="001D04CA"/>
    <w:rsid w:val="001D1EAC"/>
    <w:rsid w:val="001F27A4"/>
    <w:rsid w:val="00202827"/>
    <w:rsid w:val="00203628"/>
    <w:rsid w:val="0021237E"/>
    <w:rsid w:val="002164D4"/>
    <w:rsid w:val="00216867"/>
    <w:rsid w:val="00224BBD"/>
    <w:rsid w:val="00226F47"/>
    <w:rsid w:val="00227EF1"/>
    <w:rsid w:val="00232FD2"/>
    <w:rsid w:val="00251607"/>
    <w:rsid w:val="00252AA9"/>
    <w:rsid w:val="002558F3"/>
    <w:rsid w:val="002567E0"/>
    <w:rsid w:val="00261A51"/>
    <w:rsid w:val="00264FB3"/>
    <w:rsid w:val="00265CB8"/>
    <w:rsid w:val="00272EBF"/>
    <w:rsid w:val="00277BC8"/>
    <w:rsid w:val="00284F18"/>
    <w:rsid w:val="002871B8"/>
    <w:rsid w:val="00292E74"/>
    <w:rsid w:val="00296B86"/>
    <w:rsid w:val="002A0827"/>
    <w:rsid w:val="002A4622"/>
    <w:rsid w:val="002A475E"/>
    <w:rsid w:val="002A74B7"/>
    <w:rsid w:val="002B17E5"/>
    <w:rsid w:val="002B74A6"/>
    <w:rsid w:val="002C0EBF"/>
    <w:rsid w:val="002C10E7"/>
    <w:rsid w:val="002C4921"/>
    <w:rsid w:val="002C59C6"/>
    <w:rsid w:val="002C5A21"/>
    <w:rsid w:val="002C5FCD"/>
    <w:rsid w:val="002D089D"/>
    <w:rsid w:val="002D42C2"/>
    <w:rsid w:val="002D5D29"/>
    <w:rsid w:val="002E47C4"/>
    <w:rsid w:val="0030030C"/>
    <w:rsid w:val="00301850"/>
    <w:rsid w:val="00301E8E"/>
    <w:rsid w:val="00304686"/>
    <w:rsid w:val="003055D1"/>
    <w:rsid w:val="00315AFE"/>
    <w:rsid w:val="003244C9"/>
    <w:rsid w:val="00324DF1"/>
    <w:rsid w:val="00325E4A"/>
    <w:rsid w:val="00332259"/>
    <w:rsid w:val="00334348"/>
    <w:rsid w:val="00336C74"/>
    <w:rsid w:val="00341AAB"/>
    <w:rsid w:val="00350138"/>
    <w:rsid w:val="00355C26"/>
    <w:rsid w:val="00356975"/>
    <w:rsid w:val="0035723C"/>
    <w:rsid w:val="003606A6"/>
    <w:rsid w:val="0036650C"/>
    <w:rsid w:val="003673ED"/>
    <w:rsid w:val="003749BC"/>
    <w:rsid w:val="00376F56"/>
    <w:rsid w:val="00382474"/>
    <w:rsid w:val="00382A38"/>
    <w:rsid w:val="0038575D"/>
    <w:rsid w:val="003A051E"/>
    <w:rsid w:val="003A53A1"/>
    <w:rsid w:val="003A583E"/>
    <w:rsid w:val="003A62EA"/>
    <w:rsid w:val="003A7413"/>
    <w:rsid w:val="003B748C"/>
    <w:rsid w:val="003C418C"/>
    <w:rsid w:val="003C72E5"/>
    <w:rsid w:val="003D4E09"/>
    <w:rsid w:val="003D5023"/>
    <w:rsid w:val="003D577C"/>
    <w:rsid w:val="003E1035"/>
    <w:rsid w:val="003E112B"/>
    <w:rsid w:val="003E5E3D"/>
    <w:rsid w:val="003E6FC1"/>
    <w:rsid w:val="003E7E68"/>
    <w:rsid w:val="003F3768"/>
    <w:rsid w:val="003F49AA"/>
    <w:rsid w:val="003F5F76"/>
    <w:rsid w:val="003F6E77"/>
    <w:rsid w:val="00407ACD"/>
    <w:rsid w:val="00407C06"/>
    <w:rsid w:val="0041052C"/>
    <w:rsid w:val="0041205F"/>
    <w:rsid w:val="004128D3"/>
    <w:rsid w:val="00414F7A"/>
    <w:rsid w:val="004168B4"/>
    <w:rsid w:val="00416F68"/>
    <w:rsid w:val="00423477"/>
    <w:rsid w:val="00434655"/>
    <w:rsid w:val="00446D4F"/>
    <w:rsid w:val="004473C8"/>
    <w:rsid w:val="00447474"/>
    <w:rsid w:val="0045327C"/>
    <w:rsid w:val="00457428"/>
    <w:rsid w:val="00466211"/>
    <w:rsid w:val="004663A4"/>
    <w:rsid w:val="0046787D"/>
    <w:rsid w:val="00475363"/>
    <w:rsid w:val="00484B48"/>
    <w:rsid w:val="00487108"/>
    <w:rsid w:val="004910F8"/>
    <w:rsid w:val="00492A7E"/>
    <w:rsid w:val="00492C07"/>
    <w:rsid w:val="00496438"/>
    <w:rsid w:val="004A4237"/>
    <w:rsid w:val="004A7D21"/>
    <w:rsid w:val="004B54EB"/>
    <w:rsid w:val="004B621F"/>
    <w:rsid w:val="004B71D4"/>
    <w:rsid w:val="004C68D6"/>
    <w:rsid w:val="004D01FC"/>
    <w:rsid w:val="004E27EC"/>
    <w:rsid w:val="004E28C3"/>
    <w:rsid w:val="004E2E6E"/>
    <w:rsid w:val="004E41B1"/>
    <w:rsid w:val="004E4493"/>
    <w:rsid w:val="004F1F8E"/>
    <w:rsid w:val="00501116"/>
    <w:rsid w:val="00501881"/>
    <w:rsid w:val="00501C96"/>
    <w:rsid w:val="005107AE"/>
    <w:rsid w:val="00512050"/>
    <w:rsid w:val="00515C6B"/>
    <w:rsid w:val="005179A0"/>
    <w:rsid w:val="0052706F"/>
    <w:rsid w:val="0053295C"/>
    <w:rsid w:val="0053721E"/>
    <w:rsid w:val="00537877"/>
    <w:rsid w:val="0054289B"/>
    <w:rsid w:val="005507C2"/>
    <w:rsid w:val="00550FDD"/>
    <w:rsid w:val="005569C4"/>
    <w:rsid w:val="00560E3D"/>
    <w:rsid w:val="005637BE"/>
    <w:rsid w:val="005665BF"/>
    <w:rsid w:val="00576043"/>
    <w:rsid w:val="00577404"/>
    <w:rsid w:val="005810A5"/>
    <w:rsid w:val="00584FF8"/>
    <w:rsid w:val="00586CF2"/>
    <w:rsid w:val="00587A4E"/>
    <w:rsid w:val="00593C08"/>
    <w:rsid w:val="005954DA"/>
    <w:rsid w:val="00595D2C"/>
    <w:rsid w:val="00595E59"/>
    <w:rsid w:val="0059634F"/>
    <w:rsid w:val="005A3393"/>
    <w:rsid w:val="005A3888"/>
    <w:rsid w:val="005A51B8"/>
    <w:rsid w:val="005B0AB6"/>
    <w:rsid w:val="005B2942"/>
    <w:rsid w:val="005B548C"/>
    <w:rsid w:val="005B5EC0"/>
    <w:rsid w:val="005C1D7F"/>
    <w:rsid w:val="005C3768"/>
    <w:rsid w:val="005C6C3F"/>
    <w:rsid w:val="005D54CC"/>
    <w:rsid w:val="005E174A"/>
    <w:rsid w:val="005E4B7D"/>
    <w:rsid w:val="005F6C72"/>
    <w:rsid w:val="00600E5F"/>
    <w:rsid w:val="00607788"/>
    <w:rsid w:val="00613635"/>
    <w:rsid w:val="0062001A"/>
    <w:rsid w:val="0062093D"/>
    <w:rsid w:val="006219D3"/>
    <w:rsid w:val="006246EF"/>
    <w:rsid w:val="006301F9"/>
    <w:rsid w:val="00634D8F"/>
    <w:rsid w:val="00637ECF"/>
    <w:rsid w:val="0064141D"/>
    <w:rsid w:val="0064153B"/>
    <w:rsid w:val="00641AD3"/>
    <w:rsid w:val="00644233"/>
    <w:rsid w:val="00647B07"/>
    <w:rsid w:val="00647B59"/>
    <w:rsid w:val="0065069B"/>
    <w:rsid w:val="00654430"/>
    <w:rsid w:val="00654E39"/>
    <w:rsid w:val="0066307A"/>
    <w:rsid w:val="00663FB1"/>
    <w:rsid w:val="00665EFC"/>
    <w:rsid w:val="0067145E"/>
    <w:rsid w:val="006742AF"/>
    <w:rsid w:val="00692ED9"/>
    <w:rsid w:val="00697944"/>
    <w:rsid w:val="006A320F"/>
    <w:rsid w:val="006A65B5"/>
    <w:rsid w:val="006A7A00"/>
    <w:rsid w:val="006B33A8"/>
    <w:rsid w:val="006C1FE2"/>
    <w:rsid w:val="006D0224"/>
    <w:rsid w:val="006E7948"/>
    <w:rsid w:val="006F0B21"/>
    <w:rsid w:val="006F1849"/>
    <w:rsid w:val="006F2A62"/>
    <w:rsid w:val="006F7F9D"/>
    <w:rsid w:val="00701BAE"/>
    <w:rsid w:val="007040D8"/>
    <w:rsid w:val="0072018F"/>
    <w:rsid w:val="00721A9D"/>
    <w:rsid w:val="007227A9"/>
    <w:rsid w:val="00725585"/>
    <w:rsid w:val="007279E1"/>
    <w:rsid w:val="00730E95"/>
    <w:rsid w:val="007370BF"/>
    <w:rsid w:val="00737DF6"/>
    <w:rsid w:val="00740316"/>
    <w:rsid w:val="00741DC1"/>
    <w:rsid w:val="0074407F"/>
    <w:rsid w:val="007441F8"/>
    <w:rsid w:val="00744748"/>
    <w:rsid w:val="00752D37"/>
    <w:rsid w:val="00752EA7"/>
    <w:rsid w:val="00761787"/>
    <w:rsid w:val="00762A03"/>
    <w:rsid w:val="0076389F"/>
    <w:rsid w:val="00763A08"/>
    <w:rsid w:val="0076447E"/>
    <w:rsid w:val="007677F6"/>
    <w:rsid w:val="00772E84"/>
    <w:rsid w:val="00774362"/>
    <w:rsid w:val="00777463"/>
    <w:rsid w:val="00787255"/>
    <w:rsid w:val="0079209B"/>
    <w:rsid w:val="007951E5"/>
    <w:rsid w:val="007A04E8"/>
    <w:rsid w:val="007A0EB2"/>
    <w:rsid w:val="007B1F0B"/>
    <w:rsid w:val="007B227B"/>
    <w:rsid w:val="007B50F8"/>
    <w:rsid w:val="007D1701"/>
    <w:rsid w:val="007E130D"/>
    <w:rsid w:val="007F0501"/>
    <w:rsid w:val="007F7E81"/>
    <w:rsid w:val="008057B7"/>
    <w:rsid w:val="008114C3"/>
    <w:rsid w:val="00826EBF"/>
    <w:rsid w:val="0083433F"/>
    <w:rsid w:val="00840C40"/>
    <w:rsid w:val="00842597"/>
    <w:rsid w:val="0084553F"/>
    <w:rsid w:val="00845CC7"/>
    <w:rsid w:val="008464B6"/>
    <w:rsid w:val="0085191A"/>
    <w:rsid w:val="0085379B"/>
    <w:rsid w:val="00856BB1"/>
    <w:rsid w:val="008572E2"/>
    <w:rsid w:val="008574AB"/>
    <w:rsid w:val="008618E6"/>
    <w:rsid w:val="00864195"/>
    <w:rsid w:val="008671A6"/>
    <w:rsid w:val="00880215"/>
    <w:rsid w:val="008A3120"/>
    <w:rsid w:val="008C000E"/>
    <w:rsid w:val="008C3FC2"/>
    <w:rsid w:val="008D3E5A"/>
    <w:rsid w:val="008D41BE"/>
    <w:rsid w:val="008D58D3"/>
    <w:rsid w:val="008D6821"/>
    <w:rsid w:val="008E400E"/>
    <w:rsid w:val="008E41F4"/>
    <w:rsid w:val="008F6402"/>
    <w:rsid w:val="00902213"/>
    <w:rsid w:val="009024E5"/>
    <w:rsid w:val="00912F7E"/>
    <w:rsid w:val="00923064"/>
    <w:rsid w:val="009232E4"/>
    <w:rsid w:val="00923703"/>
    <w:rsid w:val="009241D6"/>
    <w:rsid w:val="00933868"/>
    <w:rsid w:val="00936D25"/>
    <w:rsid w:val="0093761B"/>
    <w:rsid w:val="00941EA5"/>
    <w:rsid w:val="009431B0"/>
    <w:rsid w:val="00951EC6"/>
    <w:rsid w:val="00956303"/>
    <w:rsid w:val="009576FC"/>
    <w:rsid w:val="00960B1C"/>
    <w:rsid w:val="009629E0"/>
    <w:rsid w:val="00965863"/>
    <w:rsid w:val="00966C16"/>
    <w:rsid w:val="009765A8"/>
    <w:rsid w:val="00976EAC"/>
    <w:rsid w:val="00980174"/>
    <w:rsid w:val="00982AF7"/>
    <w:rsid w:val="00982F53"/>
    <w:rsid w:val="009870E9"/>
    <w:rsid w:val="0098732F"/>
    <w:rsid w:val="0099534D"/>
    <w:rsid w:val="009B5F97"/>
    <w:rsid w:val="009B7873"/>
    <w:rsid w:val="009C0CB2"/>
    <w:rsid w:val="009C3AA6"/>
    <w:rsid w:val="009C7E7C"/>
    <w:rsid w:val="009D07AE"/>
    <w:rsid w:val="009D2E7A"/>
    <w:rsid w:val="009D3C83"/>
    <w:rsid w:val="009D479E"/>
    <w:rsid w:val="009E2D48"/>
    <w:rsid w:val="009E5ADE"/>
    <w:rsid w:val="009E648F"/>
    <w:rsid w:val="00A00473"/>
    <w:rsid w:val="00A03C9B"/>
    <w:rsid w:val="00A37E71"/>
    <w:rsid w:val="00A41D0F"/>
    <w:rsid w:val="00A46E90"/>
    <w:rsid w:val="00A50C7F"/>
    <w:rsid w:val="00A51CF4"/>
    <w:rsid w:val="00A606C3"/>
    <w:rsid w:val="00A77140"/>
    <w:rsid w:val="00A773EE"/>
    <w:rsid w:val="00A77EF9"/>
    <w:rsid w:val="00A81345"/>
    <w:rsid w:val="00A8261C"/>
    <w:rsid w:val="00A82EF2"/>
    <w:rsid w:val="00A83115"/>
    <w:rsid w:val="00A83B09"/>
    <w:rsid w:val="00A84541"/>
    <w:rsid w:val="00AB02A6"/>
    <w:rsid w:val="00AB2C37"/>
    <w:rsid w:val="00AB2E54"/>
    <w:rsid w:val="00AB3D29"/>
    <w:rsid w:val="00AC5996"/>
    <w:rsid w:val="00AC7D7F"/>
    <w:rsid w:val="00AD1404"/>
    <w:rsid w:val="00AD2457"/>
    <w:rsid w:val="00AD72E0"/>
    <w:rsid w:val="00AE36A0"/>
    <w:rsid w:val="00AF1128"/>
    <w:rsid w:val="00AF1B78"/>
    <w:rsid w:val="00AF4D4A"/>
    <w:rsid w:val="00AF51A3"/>
    <w:rsid w:val="00AF6692"/>
    <w:rsid w:val="00B00294"/>
    <w:rsid w:val="00B004C8"/>
    <w:rsid w:val="00B00EA9"/>
    <w:rsid w:val="00B03535"/>
    <w:rsid w:val="00B04B51"/>
    <w:rsid w:val="00B10EF3"/>
    <w:rsid w:val="00B14F4B"/>
    <w:rsid w:val="00B16537"/>
    <w:rsid w:val="00B20AC9"/>
    <w:rsid w:val="00B23EDF"/>
    <w:rsid w:val="00B24058"/>
    <w:rsid w:val="00B25A1B"/>
    <w:rsid w:val="00B44787"/>
    <w:rsid w:val="00B45C4C"/>
    <w:rsid w:val="00B473A2"/>
    <w:rsid w:val="00B57853"/>
    <w:rsid w:val="00B64FD0"/>
    <w:rsid w:val="00B701BB"/>
    <w:rsid w:val="00B716B4"/>
    <w:rsid w:val="00B742EC"/>
    <w:rsid w:val="00B84CA5"/>
    <w:rsid w:val="00B84CB9"/>
    <w:rsid w:val="00B90026"/>
    <w:rsid w:val="00B90B62"/>
    <w:rsid w:val="00B93347"/>
    <w:rsid w:val="00B9470E"/>
    <w:rsid w:val="00BA1A3E"/>
    <w:rsid w:val="00BA2A70"/>
    <w:rsid w:val="00BA4460"/>
    <w:rsid w:val="00BA591F"/>
    <w:rsid w:val="00BA6B3E"/>
    <w:rsid w:val="00BA7572"/>
    <w:rsid w:val="00BB0565"/>
    <w:rsid w:val="00BB175B"/>
    <w:rsid w:val="00BB5050"/>
    <w:rsid w:val="00BB617A"/>
    <w:rsid w:val="00BB7490"/>
    <w:rsid w:val="00BD02F1"/>
    <w:rsid w:val="00BD32FF"/>
    <w:rsid w:val="00BE027E"/>
    <w:rsid w:val="00BE03CF"/>
    <w:rsid w:val="00BE141B"/>
    <w:rsid w:val="00BE4215"/>
    <w:rsid w:val="00BF26E7"/>
    <w:rsid w:val="00BF42A8"/>
    <w:rsid w:val="00BF5BFB"/>
    <w:rsid w:val="00C01C69"/>
    <w:rsid w:val="00C12E35"/>
    <w:rsid w:val="00C268DC"/>
    <w:rsid w:val="00C27967"/>
    <w:rsid w:val="00C31301"/>
    <w:rsid w:val="00C3171B"/>
    <w:rsid w:val="00C3678E"/>
    <w:rsid w:val="00C40B0F"/>
    <w:rsid w:val="00C417C0"/>
    <w:rsid w:val="00C44DBE"/>
    <w:rsid w:val="00C476BA"/>
    <w:rsid w:val="00C549F7"/>
    <w:rsid w:val="00C62C17"/>
    <w:rsid w:val="00C66827"/>
    <w:rsid w:val="00C70CE4"/>
    <w:rsid w:val="00C7169E"/>
    <w:rsid w:val="00C72222"/>
    <w:rsid w:val="00C73ADB"/>
    <w:rsid w:val="00C76550"/>
    <w:rsid w:val="00C814B9"/>
    <w:rsid w:val="00C911BF"/>
    <w:rsid w:val="00C9156C"/>
    <w:rsid w:val="00C962C0"/>
    <w:rsid w:val="00CA25EB"/>
    <w:rsid w:val="00CA4215"/>
    <w:rsid w:val="00CB5A66"/>
    <w:rsid w:val="00CB7014"/>
    <w:rsid w:val="00CC4381"/>
    <w:rsid w:val="00CD0525"/>
    <w:rsid w:val="00CD3928"/>
    <w:rsid w:val="00CD516F"/>
    <w:rsid w:val="00CD5707"/>
    <w:rsid w:val="00CE2C8D"/>
    <w:rsid w:val="00CE6A1C"/>
    <w:rsid w:val="00CF5E48"/>
    <w:rsid w:val="00CF5F04"/>
    <w:rsid w:val="00D005D1"/>
    <w:rsid w:val="00D00A6F"/>
    <w:rsid w:val="00D0382F"/>
    <w:rsid w:val="00D052D7"/>
    <w:rsid w:val="00D053E2"/>
    <w:rsid w:val="00D10F06"/>
    <w:rsid w:val="00D1175A"/>
    <w:rsid w:val="00D117D7"/>
    <w:rsid w:val="00D119A7"/>
    <w:rsid w:val="00D11E80"/>
    <w:rsid w:val="00D1394A"/>
    <w:rsid w:val="00D218D3"/>
    <w:rsid w:val="00D253B4"/>
    <w:rsid w:val="00D25FBA"/>
    <w:rsid w:val="00D47B49"/>
    <w:rsid w:val="00D5601F"/>
    <w:rsid w:val="00D560D0"/>
    <w:rsid w:val="00D60351"/>
    <w:rsid w:val="00D6056C"/>
    <w:rsid w:val="00D62259"/>
    <w:rsid w:val="00D6435F"/>
    <w:rsid w:val="00D66EAC"/>
    <w:rsid w:val="00D730DF"/>
    <w:rsid w:val="00D772F0"/>
    <w:rsid w:val="00D77BDC"/>
    <w:rsid w:val="00D81DF3"/>
    <w:rsid w:val="00D8241C"/>
    <w:rsid w:val="00D9484F"/>
    <w:rsid w:val="00D97B7A"/>
    <w:rsid w:val="00DA003F"/>
    <w:rsid w:val="00DA4125"/>
    <w:rsid w:val="00DB4B83"/>
    <w:rsid w:val="00DB5585"/>
    <w:rsid w:val="00DB59D0"/>
    <w:rsid w:val="00DC2CBF"/>
    <w:rsid w:val="00DC3A4E"/>
    <w:rsid w:val="00DC402B"/>
    <w:rsid w:val="00DD40D4"/>
    <w:rsid w:val="00DE0932"/>
    <w:rsid w:val="00DE0C9F"/>
    <w:rsid w:val="00DE42D5"/>
    <w:rsid w:val="00DE4BB2"/>
    <w:rsid w:val="00DF2C7A"/>
    <w:rsid w:val="00DF3192"/>
    <w:rsid w:val="00DF7440"/>
    <w:rsid w:val="00E049F1"/>
    <w:rsid w:val="00E05DC8"/>
    <w:rsid w:val="00E07131"/>
    <w:rsid w:val="00E07522"/>
    <w:rsid w:val="00E1189A"/>
    <w:rsid w:val="00E13E91"/>
    <w:rsid w:val="00E14817"/>
    <w:rsid w:val="00E21D45"/>
    <w:rsid w:val="00E31C31"/>
    <w:rsid w:val="00E37A25"/>
    <w:rsid w:val="00E40B3F"/>
    <w:rsid w:val="00E43F9C"/>
    <w:rsid w:val="00E56BCB"/>
    <w:rsid w:val="00E618FD"/>
    <w:rsid w:val="00E61B7E"/>
    <w:rsid w:val="00E62855"/>
    <w:rsid w:val="00E70A31"/>
    <w:rsid w:val="00E72AEC"/>
    <w:rsid w:val="00E734AD"/>
    <w:rsid w:val="00E77172"/>
    <w:rsid w:val="00E8224C"/>
    <w:rsid w:val="00E833B2"/>
    <w:rsid w:val="00E900EA"/>
    <w:rsid w:val="00E90E78"/>
    <w:rsid w:val="00E964E1"/>
    <w:rsid w:val="00E977A2"/>
    <w:rsid w:val="00EA2658"/>
    <w:rsid w:val="00EA3F38"/>
    <w:rsid w:val="00EA4BE6"/>
    <w:rsid w:val="00EA4F86"/>
    <w:rsid w:val="00EA5AB6"/>
    <w:rsid w:val="00EA74A2"/>
    <w:rsid w:val="00EB14E3"/>
    <w:rsid w:val="00EB2656"/>
    <w:rsid w:val="00EC1C6D"/>
    <w:rsid w:val="00EC2A1E"/>
    <w:rsid w:val="00EC5314"/>
    <w:rsid w:val="00EC6D18"/>
    <w:rsid w:val="00EC71E6"/>
    <w:rsid w:val="00EC7615"/>
    <w:rsid w:val="00ED16AA"/>
    <w:rsid w:val="00ED2707"/>
    <w:rsid w:val="00EE4111"/>
    <w:rsid w:val="00EF2E7A"/>
    <w:rsid w:val="00EF328D"/>
    <w:rsid w:val="00EF662E"/>
    <w:rsid w:val="00F005B5"/>
    <w:rsid w:val="00F06A5D"/>
    <w:rsid w:val="00F148F1"/>
    <w:rsid w:val="00F17E8E"/>
    <w:rsid w:val="00F224F0"/>
    <w:rsid w:val="00F372DE"/>
    <w:rsid w:val="00F401D1"/>
    <w:rsid w:val="00F52D9F"/>
    <w:rsid w:val="00F60257"/>
    <w:rsid w:val="00F63FB7"/>
    <w:rsid w:val="00F7016C"/>
    <w:rsid w:val="00F7314C"/>
    <w:rsid w:val="00F7450B"/>
    <w:rsid w:val="00F75822"/>
    <w:rsid w:val="00F765BE"/>
    <w:rsid w:val="00F93FCE"/>
    <w:rsid w:val="00F95281"/>
    <w:rsid w:val="00F9722E"/>
    <w:rsid w:val="00FA338A"/>
    <w:rsid w:val="00FA3BBF"/>
    <w:rsid w:val="00FA58A8"/>
    <w:rsid w:val="00FB6158"/>
    <w:rsid w:val="00FB67D9"/>
    <w:rsid w:val="00FB71C7"/>
    <w:rsid w:val="00FC0101"/>
    <w:rsid w:val="00FC05C7"/>
    <w:rsid w:val="00FC3C22"/>
    <w:rsid w:val="00FC3F86"/>
    <w:rsid w:val="00FC41F8"/>
    <w:rsid w:val="00FC4ADC"/>
    <w:rsid w:val="00FC7842"/>
    <w:rsid w:val="00FE4E74"/>
    <w:rsid w:val="00FF1C40"/>
    <w:rsid w:val="00FF7385"/>
    <w:rsid w:val="00FF77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23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qFormat/>
    <w:rsid w:val="00FC4ADC"/>
    <w:pPr>
      <w:tabs>
        <w:tab w:val="clear" w:pos="1134"/>
      </w:tabs>
      <w:spacing w:before="200"/>
      <w:outlineLvl w:val="2"/>
    </w:pPr>
    <w:rPr>
      <w:sz w:val="24"/>
    </w:rPr>
  </w:style>
  <w:style w:type="paragraph" w:styleId="Heading4">
    <w:name w:val="heading 4"/>
    <w:basedOn w:val="Heading3"/>
    <w:next w:val="Normal"/>
    <w:link w:val="Heading4Char"/>
    <w:qFormat/>
    <w:rsid w:val="00FC4ADC"/>
    <w:pPr>
      <w:outlineLvl w:val="3"/>
    </w:pPr>
  </w:style>
  <w:style w:type="paragraph" w:styleId="Heading5">
    <w:name w:val="heading 5"/>
    <w:basedOn w:val="Heading4"/>
    <w:next w:val="Normal"/>
    <w:link w:val="Heading5Char"/>
    <w:qFormat/>
    <w:rsid w:val="00FC4ADC"/>
    <w:pPr>
      <w:outlineLvl w:val="4"/>
    </w:pPr>
  </w:style>
  <w:style w:type="paragraph" w:styleId="Heading6">
    <w:name w:val="heading 6"/>
    <w:basedOn w:val="Heading4"/>
    <w:next w:val="Normal"/>
    <w:link w:val="Heading6Char"/>
    <w:qFormat/>
    <w:rsid w:val="00FC4ADC"/>
    <w:pPr>
      <w:outlineLvl w:val="5"/>
    </w:pPr>
  </w:style>
  <w:style w:type="paragraph" w:styleId="Heading7">
    <w:name w:val="heading 7"/>
    <w:basedOn w:val="Heading6"/>
    <w:next w:val="Normal"/>
    <w:link w:val="Heading7Char"/>
    <w:qFormat/>
    <w:rsid w:val="00FC4ADC"/>
    <w:pPr>
      <w:outlineLvl w:val="6"/>
    </w:pPr>
  </w:style>
  <w:style w:type="paragraph" w:styleId="Heading8">
    <w:name w:val="heading 8"/>
    <w:basedOn w:val="Heading6"/>
    <w:next w:val="Normal"/>
    <w:link w:val="Heading8Char"/>
    <w:qFormat/>
    <w:rsid w:val="00FC4ADC"/>
    <w:pPr>
      <w:outlineLvl w:val="7"/>
    </w:pPr>
  </w:style>
  <w:style w:type="paragraph" w:styleId="Heading9">
    <w:name w:val="heading 9"/>
    <w:basedOn w:val="Heading6"/>
    <w:next w:val="Normal"/>
    <w:link w:val="Heading9Char"/>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4">
    <w:name w:val="Title 4"/>
    <w:basedOn w:val="Normal"/>
    <w:rsid w:val="0046787D"/>
    <w:pPr>
      <w:jc w:val="center"/>
    </w:pPr>
  </w:style>
  <w:style w:type="character" w:styleId="EndnoteReference">
    <w:name w:val="endnote reference"/>
    <w:rsid w:val="00FC4ADC"/>
    <w:rPr>
      <w:vertAlign w:val="superscript"/>
    </w:rPr>
  </w:style>
  <w:style w:type="paragraph" w:customStyle="1" w:styleId="enumlev1">
    <w:name w:val="enumlev1"/>
    <w:basedOn w:val="Normal"/>
    <w:link w:val="enumlev1Char"/>
    <w:qFormat/>
    <w:rsid w:val="00FC4ADC"/>
    <w:pPr>
      <w:tabs>
        <w:tab w:val="clear" w:pos="2268"/>
        <w:tab w:val="left" w:pos="2608"/>
        <w:tab w:val="left" w:pos="3345"/>
      </w:tabs>
      <w:spacing w:before="80"/>
      <w:ind w:left="1134" w:hanging="1134"/>
    </w:pPr>
  </w:style>
  <w:style w:type="paragraph" w:customStyle="1" w:styleId="enumlev2">
    <w:name w:val="enumlev2"/>
    <w:basedOn w:val="enumlev1"/>
    <w:uiPriority w:val="99"/>
    <w:rsid w:val="00FC4ADC"/>
    <w:pPr>
      <w:ind w:left="1871" w:hanging="737"/>
    </w:pPr>
  </w:style>
  <w:style w:type="paragraph" w:styleId="NormalIndent">
    <w:name w:val="Normal Indent"/>
    <w:basedOn w:val="Normal"/>
    <w:rsid w:val="00FC4ADC"/>
    <w:pPr>
      <w:ind w:left="1134"/>
    </w:pPr>
  </w:style>
  <w:style w:type="paragraph" w:styleId="Footer">
    <w:name w:val="footer"/>
    <w:basedOn w:val="Normal"/>
    <w:link w:val="FooterChar"/>
    <w:rsid w:val="00FC4ADC"/>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aliases w:val="Appel note de bas de p,Footnote Reference/,Footnote Reference/ + Text 1,Style 12,(NECG) Footnote Reference,Style 124,Footnote symbol,4_G"/>
    <w:rsid w:val="00FC4AD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link w:val="NormalaftertitleChar"/>
    <w:rsid w:val="00FC4ADC"/>
    <w:pPr>
      <w:spacing w:before="280"/>
    </w:pPr>
  </w:style>
  <w:style w:type="character" w:customStyle="1" w:styleId="Appref">
    <w:name w:val="App_ref"/>
    <w:basedOn w:val="DefaultParagraphFont"/>
    <w:rsid w:val="00FC4ADC"/>
  </w:style>
  <w:style w:type="character" w:customStyle="1" w:styleId="Artref">
    <w:name w:val="Art_ref"/>
    <w:basedOn w:val="DefaultParagraphFont"/>
    <w:rsid w:val="00FC4ADC"/>
  </w:style>
  <w:style w:type="paragraph" w:customStyle="1" w:styleId="Figure">
    <w:name w:val="Figure"/>
    <w:basedOn w:val="Normal"/>
    <w:next w:val="Normal"/>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character" w:styleId="PageNumber">
    <w:name w:val="page number"/>
    <w:basedOn w:val="DefaultParagraphFont"/>
    <w:rsid w:val="00FC4ADC"/>
  </w:style>
  <w:style w:type="paragraph" w:styleId="TOC1">
    <w:name w:val="toc 1"/>
    <w:basedOn w:val="Normal"/>
    <w:uiPriority w:val="3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C4ADC"/>
    <w:pPr>
      <w:spacing w:before="120"/>
    </w:pPr>
  </w:style>
  <w:style w:type="paragraph" w:styleId="TOC3">
    <w:name w:val="toc 3"/>
    <w:basedOn w:val="TOC2"/>
    <w:uiPriority w:val="39"/>
    <w:rsid w:val="00FC4ADC"/>
  </w:style>
  <w:style w:type="paragraph" w:styleId="TOC4">
    <w:name w:val="toc 4"/>
    <w:basedOn w:val="TOC3"/>
    <w:uiPriority w:val="39"/>
    <w:rsid w:val="00FC4ADC"/>
  </w:style>
  <w:style w:type="paragraph" w:styleId="TOC5">
    <w:name w:val="toc 5"/>
    <w:basedOn w:val="TOC4"/>
    <w:uiPriority w:val="39"/>
    <w:rsid w:val="00FC4ADC"/>
  </w:style>
  <w:style w:type="paragraph" w:styleId="TOC6">
    <w:name w:val="toc 6"/>
    <w:basedOn w:val="TOC4"/>
    <w:uiPriority w:val="39"/>
    <w:rsid w:val="00FC4ADC"/>
  </w:style>
  <w:style w:type="paragraph" w:styleId="TOC7">
    <w:name w:val="toc 7"/>
    <w:basedOn w:val="TOC4"/>
    <w:uiPriority w:val="39"/>
    <w:rsid w:val="00FC4ADC"/>
  </w:style>
  <w:style w:type="paragraph" w:styleId="TOC8">
    <w:name w:val="toc 8"/>
    <w:basedOn w:val="TOC4"/>
    <w:uiPriority w:val="39"/>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Source">
    <w:name w:val="Source"/>
    <w:basedOn w:val="Normal"/>
    <w:next w:val="Normal"/>
    <w:rsid w:val="00FC4ADC"/>
    <w:pPr>
      <w:spacing w:before="840"/>
      <w:jc w:val="center"/>
    </w:pPr>
    <w:rPr>
      <w:b/>
      <w:sz w:val="28"/>
    </w:rPr>
  </w:style>
  <w:style w:type="character" w:customStyle="1" w:styleId="Tablefreq">
    <w:name w:val="Table_freq"/>
    <w:rsid w:val="00FC4ADC"/>
    <w:rPr>
      <w:b/>
      <w:color w:val="auto"/>
      <w:sz w:val="20"/>
    </w:rPr>
  </w:style>
  <w:style w:type="paragraph" w:customStyle="1" w:styleId="Tabletext">
    <w:name w:val="Table_text"/>
    <w:basedOn w:val="Normal"/>
    <w:link w:val="TabletextChar"/>
    <w:qFormat/>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link w:val="TableNoChar"/>
    <w:rsid w:val="00FC4ADC"/>
    <w:pPr>
      <w:keepNext/>
      <w:spacing w:before="560" w:after="120"/>
      <w:jc w:val="center"/>
    </w:pPr>
    <w:rPr>
      <w:caps/>
      <w:sz w:val="20"/>
    </w:rPr>
  </w:style>
  <w:style w:type="paragraph" w:customStyle="1" w:styleId="Tabletitle">
    <w:name w:val="Table_title"/>
    <w:basedOn w:val="Normal"/>
    <w:next w:val="Tabletext"/>
    <w:link w:val="TabletitleChar"/>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styleId="TOCHeading">
    <w:name w:val="TOC Heading"/>
    <w:basedOn w:val="Heading1"/>
    <w:next w:val="Normal"/>
    <w:uiPriority w:val="39"/>
    <w:unhideWhenUsed/>
    <w:qFormat/>
    <w:rsid w:val="003E6FC1"/>
    <w:pPr>
      <w:spacing w:before="480" w:line="276" w:lineRule="auto"/>
      <w:ind w:left="0" w:firstLine="0"/>
      <w:outlineLvl w:val="9"/>
    </w:pPr>
    <w:rPr>
      <w:rFonts w:asciiTheme="majorHAnsi" w:eastAsiaTheme="majorEastAsia" w:hAnsiTheme="majorHAnsi" w:cstheme="majorBidi"/>
      <w:bCs/>
      <w:color w:val="365F91" w:themeColor="accent1" w:themeShade="BF"/>
      <w:szCs w:val="28"/>
      <w:lang w:val="en-US" w:eastAsia="ja-JP"/>
    </w:rPr>
  </w:style>
  <w:style w:type="character" w:styleId="Hyperlink">
    <w:name w:val="Hyperlink"/>
    <w:basedOn w:val="DefaultParagraphFont"/>
    <w:uiPriority w:val="99"/>
    <w:unhideWhenUsed/>
    <w:rsid w:val="00067582"/>
    <w:rPr>
      <w:color w:val="0000FF" w:themeColor="hyperlink"/>
      <w:u w:val="single"/>
    </w:rPr>
  </w:style>
  <w:style w:type="character" w:styleId="UnresolvedMention">
    <w:name w:val="Unresolved Mention"/>
    <w:basedOn w:val="DefaultParagraphFont"/>
    <w:uiPriority w:val="99"/>
    <w:semiHidden/>
    <w:unhideWhenUsed/>
    <w:rsid w:val="00067582"/>
    <w:rPr>
      <w:color w:val="605E5C"/>
      <w:shd w:val="clear" w:color="auto" w:fill="E1DFDD"/>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25A1B"/>
    <w:rPr>
      <w:rFonts w:ascii="Times New Roman" w:hAnsi="Times New Roman"/>
      <w:sz w:val="24"/>
      <w:lang w:val="fr-FR" w:eastAsia="en-US"/>
    </w:rPr>
  </w:style>
  <w:style w:type="character" w:styleId="FollowedHyperlink">
    <w:name w:val="FollowedHyperlink"/>
    <w:basedOn w:val="DefaultParagraphFont"/>
    <w:semiHidden/>
    <w:unhideWhenUsed/>
    <w:rsid w:val="008E400E"/>
    <w:rPr>
      <w:color w:val="800080" w:themeColor="followedHyperlink"/>
      <w:u w:val="single"/>
    </w:rPr>
  </w:style>
  <w:style w:type="character" w:customStyle="1" w:styleId="TableheadChar">
    <w:name w:val="Table_head Char"/>
    <w:basedOn w:val="DefaultParagraphFont"/>
    <w:link w:val="Tablehead"/>
    <w:qFormat/>
    <w:rsid w:val="008E400E"/>
    <w:rPr>
      <w:rFonts w:ascii="Times New Roman" w:hAnsi="Times New Roman"/>
      <w:b/>
      <w:lang w:val="fr-FR" w:eastAsia="en-US"/>
    </w:rPr>
  </w:style>
  <w:style w:type="character" w:customStyle="1" w:styleId="TabletextChar">
    <w:name w:val="Table_text Char"/>
    <w:basedOn w:val="DefaultParagraphFont"/>
    <w:link w:val="Tabletext"/>
    <w:qFormat/>
    <w:locked/>
    <w:rsid w:val="008E400E"/>
    <w:rPr>
      <w:rFonts w:ascii="Times New Roman" w:hAnsi="Times New Roman"/>
      <w:lang w:val="fr-FR" w:eastAsia="en-US"/>
    </w:rPr>
  </w:style>
  <w:style w:type="character" w:styleId="CommentReference">
    <w:name w:val="annotation reference"/>
    <w:basedOn w:val="DefaultParagraphFont"/>
    <w:semiHidden/>
    <w:unhideWhenUsed/>
    <w:rsid w:val="006F1849"/>
    <w:rPr>
      <w:sz w:val="16"/>
      <w:szCs w:val="16"/>
    </w:rPr>
  </w:style>
  <w:style w:type="paragraph" w:styleId="CommentText">
    <w:name w:val="annotation text"/>
    <w:basedOn w:val="Normal"/>
    <w:link w:val="CommentTextChar"/>
    <w:unhideWhenUsed/>
    <w:rsid w:val="006F1849"/>
    <w:rPr>
      <w:sz w:val="20"/>
    </w:rPr>
  </w:style>
  <w:style w:type="character" w:customStyle="1" w:styleId="CommentTextChar">
    <w:name w:val="Comment Text Char"/>
    <w:basedOn w:val="DefaultParagraphFont"/>
    <w:link w:val="CommentText"/>
    <w:rsid w:val="006F184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F1849"/>
    <w:rPr>
      <w:b/>
      <w:bCs/>
    </w:rPr>
  </w:style>
  <w:style w:type="character" w:customStyle="1" w:styleId="CommentSubjectChar">
    <w:name w:val="Comment Subject Char"/>
    <w:basedOn w:val="CommentTextChar"/>
    <w:link w:val="CommentSubject"/>
    <w:semiHidden/>
    <w:rsid w:val="006F1849"/>
    <w:rPr>
      <w:rFonts w:ascii="Times New Roman" w:hAnsi="Times New Roman"/>
      <w:b/>
      <w:bCs/>
      <w:lang w:val="fr-FR" w:eastAsia="en-US"/>
    </w:rPr>
  </w:style>
  <w:style w:type="table" w:styleId="GridTable4-Accent1">
    <w:name w:val="Grid Table 4 Accent 1"/>
    <w:basedOn w:val="TableNormal"/>
    <w:uiPriority w:val="49"/>
    <w:rsid w:val="007227A9"/>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qFormat/>
    <w:locked/>
    <w:rsid w:val="000B6A07"/>
    <w:rPr>
      <w:rFonts w:ascii="Times New Roman" w:hAnsi="Times New Roman"/>
      <w:b/>
      <w:sz w:val="24"/>
      <w:lang w:val="fr-FR" w:eastAsia="en-US"/>
    </w:rPr>
  </w:style>
  <w:style w:type="character" w:customStyle="1" w:styleId="Heading3Char">
    <w:name w:val="Heading 3 Char"/>
    <w:basedOn w:val="DefaultParagraphFont"/>
    <w:link w:val="Heading3"/>
    <w:locked/>
    <w:rsid w:val="000B6A07"/>
    <w:rPr>
      <w:rFonts w:ascii="Times New Roman" w:hAnsi="Times New Roman"/>
      <w:b/>
      <w:sz w:val="24"/>
      <w:lang w:val="fr-FR" w:eastAsia="en-US"/>
    </w:rPr>
  </w:style>
  <w:style w:type="character" w:customStyle="1" w:styleId="Heading4Char">
    <w:name w:val="Heading 4 Char"/>
    <w:basedOn w:val="DefaultParagraphFont"/>
    <w:link w:val="Heading4"/>
    <w:locked/>
    <w:rsid w:val="000B6A07"/>
    <w:rPr>
      <w:rFonts w:ascii="Times New Roman" w:hAnsi="Times New Roman"/>
      <w:b/>
      <w:sz w:val="24"/>
      <w:lang w:val="fr-FR" w:eastAsia="en-US"/>
    </w:rPr>
  </w:style>
  <w:style w:type="character" w:customStyle="1" w:styleId="enumlev1Char">
    <w:name w:val="enumlev1 Char"/>
    <w:basedOn w:val="DefaultParagraphFont"/>
    <w:link w:val="enumlev1"/>
    <w:rsid w:val="000B6A07"/>
    <w:rPr>
      <w:rFonts w:ascii="Times New Roman" w:hAnsi="Times New Roman"/>
      <w:sz w:val="24"/>
      <w:lang w:val="fr-FR" w:eastAsia="en-US"/>
    </w:rPr>
  </w:style>
  <w:style w:type="character" w:customStyle="1" w:styleId="Heading1Char">
    <w:name w:val="Heading 1 Char"/>
    <w:basedOn w:val="DefaultParagraphFont"/>
    <w:link w:val="Heading1"/>
    <w:rsid w:val="00325E4A"/>
    <w:rPr>
      <w:rFonts w:ascii="Times New Roman" w:hAnsi="Times New Roman"/>
      <w:b/>
      <w:sz w:val="28"/>
      <w:lang w:val="fr-FR" w:eastAsia="en-US"/>
    </w:rPr>
  </w:style>
  <w:style w:type="paragraph" w:styleId="Revision">
    <w:name w:val="Revision"/>
    <w:hidden/>
    <w:uiPriority w:val="99"/>
    <w:semiHidden/>
    <w:rsid w:val="00325E4A"/>
    <w:rPr>
      <w:rFonts w:ascii="Times New Roman" w:hAnsi="Times New Roman"/>
      <w:sz w:val="24"/>
      <w:lang w:val="fr-FR" w:eastAsia="en-US"/>
    </w:rPr>
  </w:style>
  <w:style w:type="table" w:styleId="PlainTable1">
    <w:name w:val="Plain Table 1"/>
    <w:basedOn w:val="TableNormal"/>
    <w:uiPriority w:val="41"/>
    <w:rsid w:val="00840C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9">
    <w:name w:val="toc 9"/>
    <w:basedOn w:val="Normal"/>
    <w:next w:val="Normal"/>
    <w:autoRedefine/>
    <w:uiPriority w:val="39"/>
    <w:unhideWhenUsed/>
    <w:rsid w:val="00FC3F86"/>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kern w:val="2"/>
      <w:sz w:val="22"/>
      <w:szCs w:val="22"/>
      <w:lang w:val="en-GB" w:eastAsia="zh-CN"/>
    </w:rPr>
  </w:style>
  <w:style w:type="character" w:customStyle="1" w:styleId="Heading5Char">
    <w:name w:val="Heading 5 Char"/>
    <w:basedOn w:val="DefaultParagraphFont"/>
    <w:link w:val="Heading5"/>
    <w:rsid w:val="00136EF7"/>
    <w:rPr>
      <w:rFonts w:ascii="Times New Roman" w:hAnsi="Times New Roman"/>
      <w:b/>
      <w:sz w:val="24"/>
      <w:lang w:val="fr-FR" w:eastAsia="en-US"/>
    </w:rPr>
  </w:style>
  <w:style w:type="character" w:customStyle="1" w:styleId="Heading6Char">
    <w:name w:val="Heading 6 Char"/>
    <w:basedOn w:val="DefaultParagraphFont"/>
    <w:link w:val="Heading6"/>
    <w:rsid w:val="00A82EF2"/>
    <w:rPr>
      <w:rFonts w:ascii="Times New Roman" w:hAnsi="Times New Roman"/>
      <w:b/>
      <w:sz w:val="24"/>
      <w:lang w:val="fr-FR" w:eastAsia="en-US"/>
    </w:rPr>
  </w:style>
  <w:style w:type="character" w:customStyle="1" w:styleId="Heading7Char">
    <w:name w:val="Heading 7 Char"/>
    <w:basedOn w:val="DefaultParagraphFont"/>
    <w:link w:val="Heading7"/>
    <w:rsid w:val="00A82EF2"/>
    <w:rPr>
      <w:rFonts w:ascii="Times New Roman" w:hAnsi="Times New Roman"/>
      <w:b/>
      <w:sz w:val="24"/>
      <w:lang w:val="fr-FR" w:eastAsia="en-US"/>
    </w:rPr>
  </w:style>
  <w:style w:type="character" w:customStyle="1" w:styleId="Heading8Char">
    <w:name w:val="Heading 8 Char"/>
    <w:basedOn w:val="DefaultParagraphFont"/>
    <w:link w:val="Heading8"/>
    <w:rsid w:val="00A82EF2"/>
    <w:rPr>
      <w:rFonts w:ascii="Times New Roman" w:hAnsi="Times New Roman"/>
      <w:b/>
      <w:sz w:val="24"/>
      <w:lang w:val="fr-FR" w:eastAsia="en-US"/>
    </w:rPr>
  </w:style>
  <w:style w:type="character" w:customStyle="1" w:styleId="Heading9Char">
    <w:name w:val="Heading 9 Char"/>
    <w:basedOn w:val="DefaultParagraphFont"/>
    <w:link w:val="Heading9"/>
    <w:rsid w:val="00A82EF2"/>
    <w:rPr>
      <w:rFonts w:ascii="Times New Roman" w:hAnsi="Times New Roman"/>
      <w:b/>
      <w:sz w:val="24"/>
      <w:lang w:val="fr-FR" w:eastAsia="en-US"/>
    </w:rPr>
  </w:style>
  <w:style w:type="character" w:customStyle="1" w:styleId="NormalaftertitleChar">
    <w:name w:val="Normal after title Char"/>
    <w:basedOn w:val="DefaultParagraphFont"/>
    <w:link w:val="Normalaftertitle"/>
    <w:rsid w:val="00A82EF2"/>
    <w:rPr>
      <w:rFonts w:ascii="Times New Roman" w:hAnsi="Times New Roman"/>
      <w:sz w:val="24"/>
      <w:lang w:val="fr-FR" w:eastAsia="en-US"/>
    </w:rPr>
  </w:style>
  <w:style w:type="character" w:customStyle="1" w:styleId="FooterChar">
    <w:name w:val="Footer Char"/>
    <w:basedOn w:val="DefaultParagraphFont"/>
    <w:link w:val="Footer"/>
    <w:rsid w:val="00A82EF2"/>
    <w:rPr>
      <w:rFonts w:ascii="Times New Roman" w:hAnsi="Times New Roman"/>
      <w:caps/>
      <w:noProof/>
      <w:sz w:val="16"/>
      <w:lang w:val="fr-FR" w:eastAsia="en-US"/>
    </w:rPr>
  </w:style>
  <w:style w:type="character" w:customStyle="1" w:styleId="TableNoChar">
    <w:name w:val="Table_No Char"/>
    <w:basedOn w:val="DefaultParagraphFont"/>
    <w:link w:val="TableNo"/>
    <w:locked/>
    <w:rsid w:val="00A82EF2"/>
    <w:rPr>
      <w:rFonts w:ascii="Times New Roman" w:hAnsi="Times New Roman"/>
      <w:caps/>
      <w:lang w:val="fr-FR" w:eastAsia="en-US"/>
    </w:rPr>
  </w:style>
  <w:style w:type="character" w:customStyle="1" w:styleId="TabletitleChar">
    <w:name w:val="Table_title Char"/>
    <w:basedOn w:val="DefaultParagraphFont"/>
    <w:link w:val="Tabletitle"/>
    <w:locked/>
    <w:rsid w:val="00A82EF2"/>
    <w:rPr>
      <w:rFonts w:ascii="Times New Roman Bold" w:hAnsi="Times New Roman Bold"/>
      <w:b/>
      <w:lang w:val="fr-FR" w:eastAsia="en-US"/>
    </w:rPr>
  </w:style>
  <w:style w:type="paragraph" w:styleId="BalloonText">
    <w:name w:val="Balloon Text"/>
    <w:basedOn w:val="Normal"/>
    <w:link w:val="BalloonTextChar"/>
    <w:semiHidden/>
    <w:unhideWhenUsed/>
    <w:rsid w:val="00A82E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82EF2"/>
    <w:rPr>
      <w:rFonts w:ascii="Segoe UI" w:hAnsi="Segoe UI" w:cs="Segoe UI"/>
      <w:sz w:val="18"/>
      <w:szCs w:val="18"/>
      <w:lang w:val="fr-FR" w:eastAsia="en-US"/>
    </w:rPr>
  </w:style>
  <w:style w:type="character" w:styleId="Strong">
    <w:name w:val="Strong"/>
    <w:basedOn w:val="DefaultParagraphFont"/>
    <w:uiPriority w:val="22"/>
    <w:qFormat/>
    <w:rsid w:val="00A82EF2"/>
    <w:rPr>
      <w:b/>
      <w:bCs/>
    </w:rPr>
  </w:style>
  <w:style w:type="character" w:styleId="Emphasis">
    <w:name w:val="Emphasis"/>
    <w:basedOn w:val="DefaultParagraphFont"/>
    <w:uiPriority w:val="20"/>
    <w:qFormat/>
    <w:rsid w:val="00A82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07">
      <w:bodyDiv w:val="1"/>
      <w:marLeft w:val="0"/>
      <w:marRight w:val="0"/>
      <w:marTop w:val="0"/>
      <w:marBottom w:val="0"/>
      <w:divBdr>
        <w:top w:val="none" w:sz="0" w:space="0" w:color="auto"/>
        <w:left w:val="none" w:sz="0" w:space="0" w:color="auto"/>
        <w:bottom w:val="none" w:sz="0" w:space="0" w:color="auto"/>
        <w:right w:val="none" w:sz="0" w:space="0" w:color="auto"/>
      </w:divBdr>
    </w:div>
    <w:div w:id="50228651">
      <w:bodyDiv w:val="1"/>
      <w:marLeft w:val="0"/>
      <w:marRight w:val="0"/>
      <w:marTop w:val="0"/>
      <w:marBottom w:val="0"/>
      <w:divBdr>
        <w:top w:val="none" w:sz="0" w:space="0" w:color="auto"/>
        <w:left w:val="none" w:sz="0" w:space="0" w:color="auto"/>
        <w:bottom w:val="none" w:sz="0" w:space="0" w:color="auto"/>
        <w:right w:val="none" w:sz="0" w:space="0" w:color="auto"/>
      </w:divBdr>
    </w:div>
    <w:div w:id="58599339">
      <w:bodyDiv w:val="1"/>
      <w:marLeft w:val="0"/>
      <w:marRight w:val="0"/>
      <w:marTop w:val="0"/>
      <w:marBottom w:val="0"/>
      <w:divBdr>
        <w:top w:val="none" w:sz="0" w:space="0" w:color="auto"/>
        <w:left w:val="none" w:sz="0" w:space="0" w:color="auto"/>
        <w:bottom w:val="none" w:sz="0" w:space="0" w:color="auto"/>
        <w:right w:val="none" w:sz="0" w:space="0" w:color="auto"/>
      </w:divBdr>
    </w:div>
    <w:div w:id="167452144">
      <w:bodyDiv w:val="1"/>
      <w:marLeft w:val="0"/>
      <w:marRight w:val="0"/>
      <w:marTop w:val="0"/>
      <w:marBottom w:val="0"/>
      <w:divBdr>
        <w:top w:val="none" w:sz="0" w:space="0" w:color="auto"/>
        <w:left w:val="none" w:sz="0" w:space="0" w:color="auto"/>
        <w:bottom w:val="none" w:sz="0" w:space="0" w:color="auto"/>
        <w:right w:val="none" w:sz="0" w:space="0" w:color="auto"/>
      </w:divBdr>
    </w:div>
    <w:div w:id="182482535">
      <w:bodyDiv w:val="1"/>
      <w:marLeft w:val="0"/>
      <w:marRight w:val="0"/>
      <w:marTop w:val="0"/>
      <w:marBottom w:val="0"/>
      <w:divBdr>
        <w:top w:val="none" w:sz="0" w:space="0" w:color="auto"/>
        <w:left w:val="none" w:sz="0" w:space="0" w:color="auto"/>
        <w:bottom w:val="none" w:sz="0" w:space="0" w:color="auto"/>
        <w:right w:val="none" w:sz="0" w:space="0" w:color="auto"/>
      </w:divBdr>
    </w:div>
    <w:div w:id="216670773">
      <w:bodyDiv w:val="1"/>
      <w:marLeft w:val="0"/>
      <w:marRight w:val="0"/>
      <w:marTop w:val="0"/>
      <w:marBottom w:val="0"/>
      <w:divBdr>
        <w:top w:val="none" w:sz="0" w:space="0" w:color="auto"/>
        <w:left w:val="none" w:sz="0" w:space="0" w:color="auto"/>
        <w:bottom w:val="none" w:sz="0" w:space="0" w:color="auto"/>
        <w:right w:val="none" w:sz="0" w:space="0" w:color="auto"/>
      </w:divBdr>
    </w:div>
    <w:div w:id="225529106">
      <w:bodyDiv w:val="1"/>
      <w:marLeft w:val="0"/>
      <w:marRight w:val="0"/>
      <w:marTop w:val="0"/>
      <w:marBottom w:val="0"/>
      <w:divBdr>
        <w:top w:val="none" w:sz="0" w:space="0" w:color="auto"/>
        <w:left w:val="none" w:sz="0" w:space="0" w:color="auto"/>
        <w:bottom w:val="none" w:sz="0" w:space="0" w:color="auto"/>
        <w:right w:val="none" w:sz="0" w:space="0" w:color="auto"/>
      </w:divBdr>
    </w:div>
    <w:div w:id="364597032">
      <w:bodyDiv w:val="1"/>
      <w:marLeft w:val="0"/>
      <w:marRight w:val="0"/>
      <w:marTop w:val="0"/>
      <w:marBottom w:val="0"/>
      <w:divBdr>
        <w:top w:val="none" w:sz="0" w:space="0" w:color="auto"/>
        <w:left w:val="none" w:sz="0" w:space="0" w:color="auto"/>
        <w:bottom w:val="none" w:sz="0" w:space="0" w:color="auto"/>
        <w:right w:val="none" w:sz="0" w:space="0" w:color="auto"/>
      </w:divBdr>
    </w:div>
    <w:div w:id="495849987">
      <w:bodyDiv w:val="1"/>
      <w:marLeft w:val="0"/>
      <w:marRight w:val="0"/>
      <w:marTop w:val="0"/>
      <w:marBottom w:val="0"/>
      <w:divBdr>
        <w:top w:val="none" w:sz="0" w:space="0" w:color="auto"/>
        <w:left w:val="none" w:sz="0" w:space="0" w:color="auto"/>
        <w:bottom w:val="none" w:sz="0" w:space="0" w:color="auto"/>
        <w:right w:val="none" w:sz="0" w:space="0" w:color="auto"/>
      </w:divBdr>
    </w:div>
    <w:div w:id="524755037">
      <w:bodyDiv w:val="1"/>
      <w:marLeft w:val="0"/>
      <w:marRight w:val="0"/>
      <w:marTop w:val="0"/>
      <w:marBottom w:val="0"/>
      <w:divBdr>
        <w:top w:val="none" w:sz="0" w:space="0" w:color="auto"/>
        <w:left w:val="none" w:sz="0" w:space="0" w:color="auto"/>
        <w:bottom w:val="none" w:sz="0" w:space="0" w:color="auto"/>
        <w:right w:val="none" w:sz="0" w:space="0" w:color="auto"/>
      </w:divBdr>
    </w:div>
    <w:div w:id="534737580">
      <w:bodyDiv w:val="1"/>
      <w:marLeft w:val="0"/>
      <w:marRight w:val="0"/>
      <w:marTop w:val="0"/>
      <w:marBottom w:val="0"/>
      <w:divBdr>
        <w:top w:val="none" w:sz="0" w:space="0" w:color="auto"/>
        <w:left w:val="none" w:sz="0" w:space="0" w:color="auto"/>
        <w:bottom w:val="none" w:sz="0" w:space="0" w:color="auto"/>
        <w:right w:val="none" w:sz="0" w:space="0" w:color="auto"/>
      </w:divBdr>
    </w:div>
    <w:div w:id="555435013">
      <w:bodyDiv w:val="1"/>
      <w:marLeft w:val="0"/>
      <w:marRight w:val="0"/>
      <w:marTop w:val="0"/>
      <w:marBottom w:val="0"/>
      <w:divBdr>
        <w:top w:val="none" w:sz="0" w:space="0" w:color="auto"/>
        <w:left w:val="none" w:sz="0" w:space="0" w:color="auto"/>
        <w:bottom w:val="none" w:sz="0" w:space="0" w:color="auto"/>
        <w:right w:val="none" w:sz="0" w:space="0" w:color="auto"/>
      </w:divBdr>
    </w:div>
    <w:div w:id="567618699">
      <w:bodyDiv w:val="1"/>
      <w:marLeft w:val="0"/>
      <w:marRight w:val="0"/>
      <w:marTop w:val="0"/>
      <w:marBottom w:val="0"/>
      <w:divBdr>
        <w:top w:val="none" w:sz="0" w:space="0" w:color="auto"/>
        <w:left w:val="none" w:sz="0" w:space="0" w:color="auto"/>
        <w:bottom w:val="none" w:sz="0" w:space="0" w:color="auto"/>
        <w:right w:val="none" w:sz="0" w:space="0" w:color="auto"/>
      </w:divBdr>
    </w:div>
    <w:div w:id="578832612">
      <w:bodyDiv w:val="1"/>
      <w:marLeft w:val="0"/>
      <w:marRight w:val="0"/>
      <w:marTop w:val="0"/>
      <w:marBottom w:val="0"/>
      <w:divBdr>
        <w:top w:val="none" w:sz="0" w:space="0" w:color="auto"/>
        <w:left w:val="none" w:sz="0" w:space="0" w:color="auto"/>
        <w:bottom w:val="none" w:sz="0" w:space="0" w:color="auto"/>
        <w:right w:val="none" w:sz="0" w:space="0" w:color="auto"/>
      </w:divBdr>
    </w:div>
    <w:div w:id="592280188">
      <w:bodyDiv w:val="1"/>
      <w:marLeft w:val="0"/>
      <w:marRight w:val="0"/>
      <w:marTop w:val="0"/>
      <w:marBottom w:val="0"/>
      <w:divBdr>
        <w:top w:val="none" w:sz="0" w:space="0" w:color="auto"/>
        <w:left w:val="none" w:sz="0" w:space="0" w:color="auto"/>
        <w:bottom w:val="none" w:sz="0" w:space="0" w:color="auto"/>
        <w:right w:val="none" w:sz="0" w:space="0" w:color="auto"/>
      </w:divBdr>
    </w:div>
    <w:div w:id="676729641">
      <w:bodyDiv w:val="1"/>
      <w:marLeft w:val="0"/>
      <w:marRight w:val="0"/>
      <w:marTop w:val="0"/>
      <w:marBottom w:val="0"/>
      <w:divBdr>
        <w:top w:val="none" w:sz="0" w:space="0" w:color="auto"/>
        <w:left w:val="none" w:sz="0" w:space="0" w:color="auto"/>
        <w:bottom w:val="none" w:sz="0" w:space="0" w:color="auto"/>
        <w:right w:val="none" w:sz="0" w:space="0" w:color="auto"/>
      </w:divBdr>
    </w:div>
    <w:div w:id="695276428">
      <w:bodyDiv w:val="1"/>
      <w:marLeft w:val="0"/>
      <w:marRight w:val="0"/>
      <w:marTop w:val="0"/>
      <w:marBottom w:val="0"/>
      <w:divBdr>
        <w:top w:val="none" w:sz="0" w:space="0" w:color="auto"/>
        <w:left w:val="none" w:sz="0" w:space="0" w:color="auto"/>
        <w:bottom w:val="none" w:sz="0" w:space="0" w:color="auto"/>
        <w:right w:val="none" w:sz="0" w:space="0" w:color="auto"/>
      </w:divBdr>
    </w:div>
    <w:div w:id="754132013">
      <w:bodyDiv w:val="1"/>
      <w:marLeft w:val="0"/>
      <w:marRight w:val="0"/>
      <w:marTop w:val="0"/>
      <w:marBottom w:val="0"/>
      <w:divBdr>
        <w:top w:val="none" w:sz="0" w:space="0" w:color="auto"/>
        <w:left w:val="none" w:sz="0" w:space="0" w:color="auto"/>
        <w:bottom w:val="none" w:sz="0" w:space="0" w:color="auto"/>
        <w:right w:val="none" w:sz="0" w:space="0" w:color="auto"/>
      </w:divBdr>
    </w:div>
    <w:div w:id="794370347">
      <w:bodyDiv w:val="1"/>
      <w:marLeft w:val="0"/>
      <w:marRight w:val="0"/>
      <w:marTop w:val="0"/>
      <w:marBottom w:val="0"/>
      <w:divBdr>
        <w:top w:val="none" w:sz="0" w:space="0" w:color="auto"/>
        <w:left w:val="none" w:sz="0" w:space="0" w:color="auto"/>
        <w:bottom w:val="none" w:sz="0" w:space="0" w:color="auto"/>
        <w:right w:val="none" w:sz="0" w:space="0" w:color="auto"/>
      </w:divBdr>
    </w:div>
    <w:div w:id="911040509">
      <w:bodyDiv w:val="1"/>
      <w:marLeft w:val="0"/>
      <w:marRight w:val="0"/>
      <w:marTop w:val="0"/>
      <w:marBottom w:val="0"/>
      <w:divBdr>
        <w:top w:val="none" w:sz="0" w:space="0" w:color="auto"/>
        <w:left w:val="none" w:sz="0" w:space="0" w:color="auto"/>
        <w:bottom w:val="none" w:sz="0" w:space="0" w:color="auto"/>
        <w:right w:val="none" w:sz="0" w:space="0" w:color="auto"/>
      </w:divBdr>
    </w:div>
    <w:div w:id="938030071">
      <w:bodyDiv w:val="1"/>
      <w:marLeft w:val="0"/>
      <w:marRight w:val="0"/>
      <w:marTop w:val="0"/>
      <w:marBottom w:val="0"/>
      <w:divBdr>
        <w:top w:val="none" w:sz="0" w:space="0" w:color="auto"/>
        <w:left w:val="none" w:sz="0" w:space="0" w:color="auto"/>
        <w:bottom w:val="none" w:sz="0" w:space="0" w:color="auto"/>
        <w:right w:val="none" w:sz="0" w:space="0" w:color="auto"/>
      </w:divBdr>
    </w:div>
    <w:div w:id="940146533">
      <w:bodyDiv w:val="1"/>
      <w:marLeft w:val="0"/>
      <w:marRight w:val="0"/>
      <w:marTop w:val="0"/>
      <w:marBottom w:val="0"/>
      <w:divBdr>
        <w:top w:val="none" w:sz="0" w:space="0" w:color="auto"/>
        <w:left w:val="none" w:sz="0" w:space="0" w:color="auto"/>
        <w:bottom w:val="none" w:sz="0" w:space="0" w:color="auto"/>
        <w:right w:val="none" w:sz="0" w:space="0" w:color="auto"/>
      </w:divBdr>
    </w:div>
    <w:div w:id="951473859">
      <w:bodyDiv w:val="1"/>
      <w:marLeft w:val="0"/>
      <w:marRight w:val="0"/>
      <w:marTop w:val="0"/>
      <w:marBottom w:val="0"/>
      <w:divBdr>
        <w:top w:val="none" w:sz="0" w:space="0" w:color="auto"/>
        <w:left w:val="none" w:sz="0" w:space="0" w:color="auto"/>
        <w:bottom w:val="none" w:sz="0" w:space="0" w:color="auto"/>
        <w:right w:val="none" w:sz="0" w:space="0" w:color="auto"/>
      </w:divBdr>
    </w:div>
    <w:div w:id="987710031">
      <w:bodyDiv w:val="1"/>
      <w:marLeft w:val="0"/>
      <w:marRight w:val="0"/>
      <w:marTop w:val="0"/>
      <w:marBottom w:val="0"/>
      <w:divBdr>
        <w:top w:val="none" w:sz="0" w:space="0" w:color="auto"/>
        <w:left w:val="none" w:sz="0" w:space="0" w:color="auto"/>
        <w:bottom w:val="none" w:sz="0" w:space="0" w:color="auto"/>
        <w:right w:val="none" w:sz="0" w:space="0" w:color="auto"/>
      </w:divBdr>
    </w:div>
    <w:div w:id="1056779994">
      <w:bodyDiv w:val="1"/>
      <w:marLeft w:val="0"/>
      <w:marRight w:val="0"/>
      <w:marTop w:val="0"/>
      <w:marBottom w:val="0"/>
      <w:divBdr>
        <w:top w:val="none" w:sz="0" w:space="0" w:color="auto"/>
        <w:left w:val="none" w:sz="0" w:space="0" w:color="auto"/>
        <w:bottom w:val="none" w:sz="0" w:space="0" w:color="auto"/>
        <w:right w:val="none" w:sz="0" w:space="0" w:color="auto"/>
      </w:divBdr>
    </w:div>
    <w:div w:id="1075931705">
      <w:bodyDiv w:val="1"/>
      <w:marLeft w:val="0"/>
      <w:marRight w:val="0"/>
      <w:marTop w:val="0"/>
      <w:marBottom w:val="0"/>
      <w:divBdr>
        <w:top w:val="none" w:sz="0" w:space="0" w:color="auto"/>
        <w:left w:val="none" w:sz="0" w:space="0" w:color="auto"/>
        <w:bottom w:val="none" w:sz="0" w:space="0" w:color="auto"/>
        <w:right w:val="none" w:sz="0" w:space="0" w:color="auto"/>
      </w:divBdr>
    </w:div>
    <w:div w:id="1083793170">
      <w:bodyDiv w:val="1"/>
      <w:marLeft w:val="0"/>
      <w:marRight w:val="0"/>
      <w:marTop w:val="0"/>
      <w:marBottom w:val="0"/>
      <w:divBdr>
        <w:top w:val="none" w:sz="0" w:space="0" w:color="auto"/>
        <w:left w:val="none" w:sz="0" w:space="0" w:color="auto"/>
        <w:bottom w:val="none" w:sz="0" w:space="0" w:color="auto"/>
        <w:right w:val="none" w:sz="0" w:space="0" w:color="auto"/>
      </w:divBdr>
    </w:div>
    <w:div w:id="1133523083">
      <w:bodyDiv w:val="1"/>
      <w:marLeft w:val="0"/>
      <w:marRight w:val="0"/>
      <w:marTop w:val="0"/>
      <w:marBottom w:val="0"/>
      <w:divBdr>
        <w:top w:val="none" w:sz="0" w:space="0" w:color="auto"/>
        <w:left w:val="none" w:sz="0" w:space="0" w:color="auto"/>
        <w:bottom w:val="none" w:sz="0" w:space="0" w:color="auto"/>
        <w:right w:val="none" w:sz="0" w:space="0" w:color="auto"/>
      </w:divBdr>
    </w:div>
    <w:div w:id="1157308122">
      <w:bodyDiv w:val="1"/>
      <w:marLeft w:val="0"/>
      <w:marRight w:val="0"/>
      <w:marTop w:val="0"/>
      <w:marBottom w:val="0"/>
      <w:divBdr>
        <w:top w:val="none" w:sz="0" w:space="0" w:color="auto"/>
        <w:left w:val="none" w:sz="0" w:space="0" w:color="auto"/>
        <w:bottom w:val="none" w:sz="0" w:space="0" w:color="auto"/>
        <w:right w:val="none" w:sz="0" w:space="0" w:color="auto"/>
      </w:divBdr>
    </w:div>
    <w:div w:id="1192183035">
      <w:bodyDiv w:val="1"/>
      <w:marLeft w:val="0"/>
      <w:marRight w:val="0"/>
      <w:marTop w:val="0"/>
      <w:marBottom w:val="0"/>
      <w:divBdr>
        <w:top w:val="none" w:sz="0" w:space="0" w:color="auto"/>
        <w:left w:val="none" w:sz="0" w:space="0" w:color="auto"/>
        <w:bottom w:val="none" w:sz="0" w:space="0" w:color="auto"/>
        <w:right w:val="none" w:sz="0" w:space="0" w:color="auto"/>
      </w:divBdr>
    </w:div>
    <w:div w:id="1264651351">
      <w:bodyDiv w:val="1"/>
      <w:marLeft w:val="0"/>
      <w:marRight w:val="0"/>
      <w:marTop w:val="0"/>
      <w:marBottom w:val="0"/>
      <w:divBdr>
        <w:top w:val="none" w:sz="0" w:space="0" w:color="auto"/>
        <w:left w:val="none" w:sz="0" w:space="0" w:color="auto"/>
        <w:bottom w:val="none" w:sz="0" w:space="0" w:color="auto"/>
        <w:right w:val="none" w:sz="0" w:space="0" w:color="auto"/>
      </w:divBdr>
    </w:div>
    <w:div w:id="1268999379">
      <w:bodyDiv w:val="1"/>
      <w:marLeft w:val="0"/>
      <w:marRight w:val="0"/>
      <w:marTop w:val="0"/>
      <w:marBottom w:val="0"/>
      <w:divBdr>
        <w:top w:val="none" w:sz="0" w:space="0" w:color="auto"/>
        <w:left w:val="none" w:sz="0" w:space="0" w:color="auto"/>
        <w:bottom w:val="none" w:sz="0" w:space="0" w:color="auto"/>
        <w:right w:val="none" w:sz="0" w:space="0" w:color="auto"/>
      </w:divBdr>
    </w:div>
    <w:div w:id="1272085439">
      <w:bodyDiv w:val="1"/>
      <w:marLeft w:val="0"/>
      <w:marRight w:val="0"/>
      <w:marTop w:val="0"/>
      <w:marBottom w:val="0"/>
      <w:divBdr>
        <w:top w:val="none" w:sz="0" w:space="0" w:color="auto"/>
        <w:left w:val="none" w:sz="0" w:space="0" w:color="auto"/>
        <w:bottom w:val="none" w:sz="0" w:space="0" w:color="auto"/>
        <w:right w:val="none" w:sz="0" w:space="0" w:color="auto"/>
      </w:divBdr>
    </w:div>
    <w:div w:id="1321351785">
      <w:bodyDiv w:val="1"/>
      <w:marLeft w:val="0"/>
      <w:marRight w:val="0"/>
      <w:marTop w:val="0"/>
      <w:marBottom w:val="0"/>
      <w:divBdr>
        <w:top w:val="none" w:sz="0" w:space="0" w:color="auto"/>
        <w:left w:val="none" w:sz="0" w:space="0" w:color="auto"/>
        <w:bottom w:val="none" w:sz="0" w:space="0" w:color="auto"/>
        <w:right w:val="none" w:sz="0" w:space="0" w:color="auto"/>
      </w:divBdr>
    </w:div>
    <w:div w:id="1372345909">
      <w:bodyDiv w:val="1"/>
      <w:marLeft w:val="0"/>
      <w:marRight w:val="0"/>
      <w:marTop w:val="0"/>
      <w:marBottom w:val="0"/>
      <w:divBdr>
        <w:top w:val="none" w:sz="0" w:space="0" w:color="auto"/>
        <w:left w:val="none" w:sz="0" w:space="0" w:color="auto"/>
        <w:bottom w:val="none" w:sz="0" w:space="0" w:color="auto"/>
        <w:right w:val="none" w:sz="0" w:space="0" w:color="auto"/>
      </w:divBdr>
    </w:div>
    <w:div w:id="1374112212">
      <w:bodyDiv w:val="1"/>
      <w:marLeft w:val="0"/>
      <w:marRight w:val="0"/>
      <w:marTop w:val="0"/>
      <w:marBottom w:val="0"/>
      <w:divBdr>
        <w:top w:val="none" w:sz="0" w:space="0" w:color="auto"/>
        <w:left w:val="none" w:sz="0" w:space="0" w:color="auto"/>
        <w:bottom w:val="none" w:sz="0" w:space="0" w:color="auto"/>
        <w:right w:val="none" w:sz="0" w:space="0" w:color="auto"/>
      </w:divBdr>
    </w:div>
    <w:div w:id="1636056540">
      <w:bodyDiv w:val="1"/>
      <w:marLeft w:val="0"/>
      <w:marRight w:val="0"/>
      <w:marTop w:val="0"/>
      <w:marBottom w:val="0"/>
      <w:divBdr>
        <w:top w:val="none" w:sz="0" w:space="0" w:color="auto"/>
        <w:left w:val="none" w:sz="0" w:space="0" w:color="auto"/>
        <w:bottom w:val="none" w:sz="0" w:space="0" w:color="auto"/>
        <w:right w:val="none" w:sz="0" w:space="0" w:color="auto"/>
      </w:divBdr>
    </w:div>
    <w:div w:id="1661612518">
      <w:bodyDiv w:val="1"/>
      <w:marLeft w:val="0"/>
      <w:marRight w:val="0"/>
      <w:marTop w:val="0"/>
      <w:marBottom w:val="0"/>
      <w:divBdr>
        <w:top w:val="none" w:sz="0" w:space="0" w:color="auto"/>
        <w:left w:val="none" w:sz="0" w:space="0" w:color="auto"/>
        <w:bottom w:val="none" w:sz="0" w:space="0" w:color="auto"/>
        <w:right w:val="none" w:sz="0" w:space="0" w:color="auto"/>
      </w:divBdr>
    </w:div>
    <w:div w:id="1679188573">
      <w:bodyDiv w:val="1"/>
      <w:marLeft w:val="0"/>
      <w:marRight w:val="0"/>
      <w:marTop w:val="0"/>
      <w:marBottom w:val="0"/>
      <w:divBdr>
        <w:top w:val="none" w:sz="0" w:space="0" w:color="auto"/>
        <w:left w:val="none" w:sz="0" w:space="0" w:color="auto"/>
        <w:bottom w:val="none" w:sz="0" w:space="0" w:color="auto"/>
        <w:right w:val="none" w:sz="0" w:space="0" w:color="auto"/>
      </w:divBdr>
    </w:div>
    <w:div w:id="1711689901">
      <w:bodyDiv w:val="1"/>
      <w:marLeft w:val="0"/>
      <w:marRight w:val="0"/>
      <w:marTop w:val="0"/>
      <w:marBottom w:val="0"/>
      <w:divBdr>
        <w:top w:val="none" w:sz="0" w:space="0" w:color="auto"/>
        <w:left w:val="none" w:sz="0" w:space="0" w:color="auto"/>
        <w:bottom w:val="none" w:sz="0" w:space="0" w:color="auto"/>
        <w:right w:val="none" w:sz="0" w:space="0" w:color="auto"/>
      </w:divBdr>
    </w:div>
    <w:div w:id="1778713610">
      <w:bodyDiv w:val="1"/>
      <w:marLeft w:val="0"/>
      <w:marRight w:val="0"/>
      <w:marTop w:val="0"/>
      <w:marBottom w:val="0"/>
      <w:divBdr>
        <w:top w:val="none" w:sz="0" w:space="0" w:color="auto"/>
        <w:left w:val="none" w:sz="0" w:space="0" w:color="auto"/>
        <w:bottom w:val="none" w:sz="0" w:space="0" w:color="auto"/>
        <w:right w:val="none" w:sz="0" w:space="0" w:color="auto"/>
      </w:divBdr>
    </w:div>
    <w:div w:id="1831747686">
      <w:bodyDiv w:val="1"/>
      <w:marLeft w:val="0"/>
      <w:marRight w:val="0"/>
      <w:marTop w:val="0"/>
      <w:marBottom w:val="0"/>
      <w:divBdr>
        <w:top w:val="none" w:sz="0" w:space="0" w:color="auto"/>
        <w:left w:val="none" w:sz="0" w:space="0" w:color="auto"/>
        <w:bottom w:val="none" w:sz="0" w:space="0" w:color="auto"/>
        <w:right w:val="none" w:sz="0" w:space="0" w:color="auto"/>
      </w:divBdr>
    </w:div>
    <w:div w:id="1836188488">
      <w:bodyDiv w:val="1"/>
      <w:marLeft w:val="0"/>
      <w:marRight w:val="0"/>
      <w:marTop w:val="0"/>
      <w:marBottom w:val="0"/>
      <w:divBdr>
        <w:top w:val="none" w:sz="0" w:space="0" w:color="auto"/>
        <w:left w:val="none" w:sz="0" w:space="0" w:color="auto"/>
        <w:bottom w:val="none" w:sz="0" w:space="0" w:color="auto"/>
        <w:right w:val="none" w:sz="0" w:space="0" w:color="auto"/>
      </w:divBdr>
    </w:div>
    <w:div w:id="1876040792">
      <w:bodyDiv w:val="1"/>
      <w:marLeft w:val="0"/>
      <w:marRight w:val="0"/>
      <w:marTop w:val="0"/>
      <w:marBottom w:val="0"/>
      <w:divBdr>
        <w:top w:val="none" w:sz="0" w:space="0" w:color="auto"/>
        <w:left w:val="none" w:sz="0" w:space="0" w:color="auto"/>
        <w:bottom w:val="none" w:sz="0" w:space="0" w:color="auto"/>
        <w:right w:val="none" w:sz="0" w:space="0" w:color="auto"/>
      </w:divBdr>
    </w:div>
    <w:div w:id="1956327292">
      <w:bodyDiv w:val="1"/>
      <w:marLeft w:val="0"/>
      <w:marRight w:val="0"/>
      <w:marTop w:val="0"/>
      <w:marBottom w:val="0"/>
      <w:divBdr>
        <w:top w:val="none" w:sz="0" w:space="0" w:color="auto"/>
        <w:left w:val="none" w:sz="0" w:space="0" w:color="auto"/>
        <w:bottom w:val="none" w:sz="0" w:space="0" w:color="auto"/>
        <w:right w:val="none" w:sz="0" w:space="0" w:color="auto"/>
      </w:divBdr>
    </w:div>
    <w:div w:id="2021227103">
      <w:bodyDiv w:val="1"/>
      <w:marLeft w:val="0"/>
      <w:marRight w:val="0"/>
      <w:marTop w:val="0"/>
      <w:marBottom w:val="0"/>
      <w:divBdr>
        <w:top w:val="none" w:sz="0" w:space="0" w:color="auto"/>
        <w:left w:val="none" w:sz="0" w:space="0" w:color="auto"/>
        <w:bottom w:val="none" w:sz="0" w:space="0" w:color="auto"/>
        <w:right w:val="none" w:sz="0" w:space="0" w:color="auto"/>
      </w:divBdr>
    </w:div>
    <w:div w:id="211061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R-CIR-0414/fr" TargetMode="External"/><Relationship Id="rId117" Type="http://schemas.openxmlformats.org/officeDocument/2006/relationships/header" Target="header2.xml"/><Relationship Id="rId21" Type="http://schemas.openxmlformats.org/officeDocument/2006/relationships/hyperlink" Target="https://www.itu.int/md/R00-CR-CIR-0405/fr" TargetMode="External"/><Relationship Id="rId42" Type="http://schemas.openxmlformats.org/officeDocument/2006/relationships/hyperlink" Target="https://www.itu.int/md/R00-CA-CIR-0246/fr" TargetMode="External"/><Relationship Id="rId47" Type="http://schemas.openxmlformats.org/officeDocument/2006/relationships/hyperlink" Target="https://www.itu.int/ITU-R/go/space-communications" TargetMode="External"/><Relationship Id="rId63" Type="http://schemas.openxmlformats.org/officeDocument/2006/relationships/hyperlink" Target="https://www.itu.int/md/R19-CPM23.2-R-0001/fr" TargetMode="External"/><Relationship Id="rId68" Type="http://schemas.openxmlformats.org/officeDocument/2006/relationships/hyperlink" Target="https://www.itu.int/md/R19-WP7A-C-0076/fr" TargetMode="External"/><Relationship Id="rId84" Type="http://schemas.openxmlformats.org/officeDocument/2006/relationships/hyperlink" Target="https://www.itu.int/hub/publication/s-gen-news-2023-1/" TargetMode="External"/><Relationship Id="rId89" Type="http://schemas.openxmlformats.org/officeDocument/2006/relationships/hyperlink" Target="https://www.itu.int/fr/ITU-R/Pages/default.aspx" TargetMode="External"/><Relationship Id="rId112" Type="http://schemas.openxmlformats.org/officeDocument/2006/relationships/hyperlink" Target="https://www.itu.int/en/ITU-R/space/workshops/ISRMM/Pages/default.aspx" TargetMode="External"/><Relationship Id="rId16" Type="http://schemas.openxmlformats.org/officeDocument/2006/relationships/hyperlink" Target="https://www.itu.int/fr/ITU-R/space/Pages/Statistics.aspx" TargetMode="External"/><Relationship Id="rId107" Type="http://schemas.openxmlformats.org/officeDocument/2006/relationships/hyperlink" Target="https://www.itu.int/fr/mediacentre/backgrounders/Pages/Earth-stations-in-motion-satellite-issues.aspx" TargetMode="External"/><Relationship Id="rId11" Type="http://schemas.openxmlformats.org/officeDocument/2006/relationships/image" Target="media/image3.emf"/><Relationship Id="rId32" Type="http://schemas.openxmlformats.org/officeDocument/2006/relationships/hyperlink" Target="https://www.itu.int/md/R19-WP4A-C-0033/fr" TargetMode="External"/><Relationship Id="rId37" Type="http://schemas.openxmlformats.org/officeDocument/2006/relationships/hyperlink" Target="https://www.itu.int/md/R19-WP4A-C-0522/en" TargetMode="External"/><Relationship Id="rId53" Type="http://schemas.openxmlformats.org/officeDocument/2006/relationships/hyperlink" Target="https://www.itu.int/md/R15-WP4C-C-0094/fr" TargetMode="External"/><Relationship Id="rId58" Type="http://schemas.openxmlformats.org/officeDocument/2006/relationships/chart" Target="charts/chart1.xml"/><Relationship Id="rId74" Type="http://schemas.openxmlformats.org/officeDocument/2006/relationships/hyperlink" Target="http://www.fiji.gov.fj/" TargetMode="External"/><Relationship Id="rId79" Type="http://schemas.openxmlformats.org/officeDocument/2006/relationships/hyperlink" Target="https://www.arpce.cg/" TargetMode="External"/><Relationship Id="rId102" Type="http://schemas.openxmlformats.org/officeDocument/2006/relationships/hyperlink" Target="https://www.itu.int/fr/ITU-R/Pages/default.aspx" TargetMode="External"/><Relationship Id="rId5" Type="http://schemas.openxmlformats.org/officeDocument/2006/relationships/webSettings" Target="webSettings.xml"/><Relationship Id="rId90" Type="http://schemas.openxmlformats.org/officeDocument/2006/relationships/hyperlink" Target="https://www.itu.int/wrc-23/fr/" TargetMode="External"/><Relationship Id="rId95" Type="http://schemas.openxmlformats.org/officeDocument/2006/relationships/hyperlink" Target="https://www.itu.int/wrd-22/" TargetMode="External"/><Relationship Id="rId22" Type="http://schemas.openxmlformats.org/officeDocument/2006/relationships/hyperlink" Target="https://www.itu.int/md/R00-CACE-CIR-1014/fr" TargetMode="External"/><Relationship Id="rId27" Type="http://schemas.openxmlformats.org/officeDocument/2006/relationships/hyperlink" Target="https://www.itu.int/en/ITU-R/space/snl/Pages/UAS.aspx" TargetMode="External"/><Relationship Id="rId43" Type="http://schemas.openxmlformats.org/officeDocument/2006/relationships/image" Target="media/image8.emf"/><Relationship Id="rId48" Type="http://schemas.openxmlformats.org/officeDocument/2006/relationships/image" Target="media/image9.png"/><Relationship Id="rId64" Type="http://schemas.openxmlformats.org/officeDocument/2006/relationships/hyperlink" Target="https://www.itu.int/md/R16-WRC19-C-0550/fr" TargetMode="External"/><Relationship Id="rId69" Type="http://schemas.openxmlformats.org/officeDocument/2006/relationships/hyperlink" Target="https://www.itu.int/md/R23-RA23-C-0006/fr" TargetMode="External"/><Relationship Id="rId113" Type="http://schemas.openxmlformats.org/officeDocument/2006/relationships/hyperlink" Target="https://www.itu.int/rec/R-REC-SM.2149-0-202209-I/fr" TargetMode="External"/><Relationship Id="rId118" Type="http://schemas.openxmlformats.org/officeDocument/2006/relationships/footer" Target="footer4.xml"/><Relationship Id="rId80" Type="http://schemas.openxmlformats.org/officeDocument/2006/relationships/hyperlink" Target="https://prida.africa/fr/" TargetMode="External"/><Relationship Id="rId85" Type="http://schemas.openxmlformats.org/officeDocument/2006/relationships/hyperlink" Target="https://www.itu.int/hub/publication/s-gen-news-2023-2/" TargetMode="External"/><Relationship Id="rId12" Type="http://schemas.openxmlformats.org/officeDocument/2006/relationships/hyperlink" Target="https://www.itu.int/fr/ITU-R/space/Pages/Statistics.aspx" TargetMode="External"/><Relationship Id="rId17" Type="http://schemas.openxmlformats.org/officeDocument/2006/relationships/image" Target="media/image6.emf"/><Relationship Id="rId33" Type="http://schemas.openxmlformats.org/officeDocument/2006/relationships/image" Target="media/image7.emf"/><Relationship Id="rId38" Type="http://schemas.openxmlformats.org/officeDocument/2006/relationships/hyperlink" Target="https://www.itu.int/md/R19-WP4A-C-0844/en" TargetMode="External"/><Relationship Id="rId59" Type="http://schemas.openxmlformats.org/officeDocument/2006/relationships/chart" Target="charts/chart2.xml"/><Relationship Id="rId103" Type="http://schemas.openxmlformats.org/officeDocument/2006/relationships/hyperlink" Target="https://www.itu.int/fr/mediacentre/backgrounders/Pages/5G-fifth-generation-of-mobile-technologies.aspx" TargetMode="External"/><Relationship Id="rId108" Type="http://schemas.openxmlformats.org/officeDocument/2006/relationships/hyperlink" Target="https://www.itu.int/fr/mediacentre/backgrounders/Pages/Non-geostationary-satellite-systems.aspx" TargetMode="External"/><Relationship Id="rId54" Type="http://schemas.openxmlformats.org/officeDocument/2006/relationships/hyperlink" Target="https://www.itu.int/md/R15-WP7B-C-0058/fr" TargetMode="External"/><Relationship Id="rId70" Type="http://schemas.openxmlformats.org/officeDocument/2006/relationships/header" Target="header1.xml"/><Relationship Id="rId75" Type="http://schemas.openxmlformats.org/officeDocument/2006/relationships/hyperlink" Target="https://www.pita.org.fj/" TargetMode="External"/><Relationship Id="rId91" Type="http://schemas.openxmlformats.org/officeDocument/2006/relationships/hyperlink" Target="https://www.itu.int/ra-23/fr/" TargetMode="External"/><Relationship Id="rId96" Type="http://schemas.openxmlformats.org/officeDocument/2006/relationships/hyperlink" Target="https://www.itu.int/hub/new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epfdsupport/resources/" TargetMode="External"/><Relationship Id="rId28" Type="http://schemas.openxmlformats.org/officeDocument/2006/relationships/hyperlink" Target="https://www.itu.int/md/R19-WP4A-C-0850/fr" TargetMode="External"/><Relationship Id="rId49" Type="http://schemas.openxmlformats.org/officeDocument/2006/relationships/hyperlink" Target="https://www.itu.int/itu-r/go/space-submission" TargetMode="External"/><Relationship Id="rId114" Type="http://schemas.openxmlformats.org/officeDocument/2006/relationships/hyperlink" Target="https://www.itu.int/md/R00-CR-CIR-0435/fr" TargetMode="External"/><Relationship Id="rId119" Type="http://schemas.openxmlformats.org/officeDocument/2006/relationships/footer" Target="footer5.xml"/><Relationship Id="rId44" Type="http://schemas.openxmlformats.org/officeDocument/2006/relationships/hyperlink" Target="http://www.itu.int/en/ITU-R/space/Pages/Statistics.aspx" TargetMode="External"/><Relationship Id="rId60" Type="http://schemas.openxmlformats.org/officeDocument/2006/relationships/hyperlink" Target="https://www.itu.int/dms_ties/itu-r/md/19/wp5b/c/R19-WP5B-C-0731!N18!MSW-E.docx" TargetMode="External"/><Relationship Id="rId65" Type="http://schemas.openxmlformats.org/officeDocument/2006/relationships/hyperlink" Target="https://www.itu.int/dms_ties/itu-r/md/19/wp5d/c/R19-WP5D-C-1776!H7!MSW-E.docx" TargetMode="External"/><Relationship Id="rId81" Type="http://schemas.openxmlformats.org/officeDocument/2006/relationships/hyperlink" Target="https://atuuat.africa/" TargetMode="External"/><Relationship Id="rId86" Type="http://schemas.openxmlformats.org/officeDocument/2006/relationships/hyperlink" Target="https://www.itu.int/hub/publication/s-gen-news-2023-3/"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hyperlink" Target="https://www.itu.int/fr/ITU-R/space/Pages/Statistics.aspx" TargetMode="External"/><Relationship Id="rId39" Type="http://schemas.openxmlformats.org/officeDocument/2006/relationships/hyperlink" Target="https://www.itu.int/dms_ties/itu-r/md/19/wp4a/c/R19-WP4A-C-0856!N40!MSW-F.docx" TargetMode="External"/><Relationship Id="rId109" Type="http://schemas.openxmlformats.org/officeDocument/2006/relationships/hyperlink" Target="https://www.itu.int/en/mediacentre/backgrounders/Pages/non-GSO-satellite-systems-with-short-duration-missions.aspx" TargetMode="External"/><Relationship Id="rId34" Type="http://schemas.openxmlformats.org/officeDocument/2006/relationships/hyperlink" Target="https://www.itu.int/fr/ITU-R/space/Pages/Statistics.aspx" TargetMode="External"/><Relationship Id="rId50" Type="http://schemas.openxmlformats.org/officeDocument/2006/relationships/image" Target="media/image10.png"/><Relationship Id="rId55" Type="http://schemas.openxmlformats.org/officeDocument/2006/relationships/hyperlink" Target="https://www.itu.int/md/R15-WP4A-C-0108/fr" TargetMode="External"/><Relationship Id="rId76" Type="http://schemas.openxmlformats.org/officeDocument/2006/relationships/hyperlink" Target="https://www.infrastructure.gov.au/" TargetMode="External"/><Relationship Id="rId97" Type="http://schemas.openxmlformats.org/officeDocument/2006/relationships/hyperlink" Target="https://twitter.com/ITUradiocomms" TargetMode="External"/><Relationship Id="rId104" Type="http://schemas.openxmlformats.org/officeDocument/2006/relationships/hyperlink" Target="https://www.itu.int/fr/mediacentre/backgrounders/Pages/High-altitude-platform-systems.aspx" TargetMode="External"/><Relationship Id="rId120"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footer" Target="footer1.xml"/><Relationship Id="rId92" Type="http://schemas.openxmlformats.org/officeDocument/2006/relationships/hyperlink" Target="https://www.itu.int/now4wrc23/fr/" TargetMode="External"/><Relationship Id="rId2" Type="http://schemas.openxmlformats.org/officeDocument/2006/relationships/numbering" Target="numbering.xml"/><Relationship Id="rId29" Type="http://schemas.openxmlformats.org/officeDocument/2006/relationships/hyperlink" Target="https://www.itu.int/en/ITU-R/software/Pages/space-network-software.aspx" TargetMode="External"/><Relationship Id="rId24" Type="http://schemas.openxmlformats.org/officeDocument/2006/relationships/hyperlink" Target="https://www.itu.int/md/R15-WRC15-C-0416/en" TargetMode="External"/><Relationship Id="rId40" Type="http://schemas.openxmlformats.org/officeDocument/2006/relationships/hyperlink" Target="https://www.itu.int/md/R19-WP4A-C-0856/en" TargetMode="External"/><Relationship Id="rId45" Type="http://schemas.openxmlformats.org/officeDocument/2006/relationships/hyperlink" Target="https://www.itu.int/fr/ITU-R/space/plans/Pages/AP30B.aspx" TargetMode="External"/><Relationship Id="rId66" Type="http://schemas.openxmlformats.org/officeDocument/2006/relationships/hyperlink" Target="https://www.itu.int/md/R16-WRC19-C-0550/fr" TargetMode="External"/><Relationship Id="rId87" Type="http://schemas.openxmlformats.org/officeDocument/2006/relationships/hyperlink" Target="https://www.itu.int/futureradionow/" TargetMode="External"/><Relationship Id="rId110" Type="http://schemas.openxmlformats.org/officeDocument/2006/relationships/hyperlink" Target="https://www.itu.int/en/ITU-R/space/Pages/ITU-Space-RadioMonitoring.aspx" TargetMode="External"/><Relationship Id="rId115" Type="http://schemas.openxmlformats.org/officeDocument/2006/relationships/hyperlink" Target="https://www.itu.int/md/R11-MMHI-SP/fr" TargetMode="External"/><Relationship Id="rId61" Type="http://schemas.openxmlformats.org/officeDocument/2006/relationships/hyperlink" Target="https://www.itu.int/md/R19-WP5B-C-0731/fr" TargetMode="External"/><Relationship Id="rId82" Type="http://schemas.openxmlformats.org/officeDocument/2006/relationships/hyperlink" Target="http://www.itu.int/ITU-R/go/seminars" TargetMode="External"/><Relationship Id="rId19" Type="http://schemas.openxmlformats.org/officeDocument/2006/relationships/hyperlink" Target="https://www.itu.int/en/ITU-R/space/Pages/res35main.aspx" TargetMode="External"/><Relationship Id="rId14" Type="http://schemas.openxmlformats.org/officeDocument/2006/relationships/hyperlink" Target="https://www.itu.int/fr/ITU-R/space/Pages/Statistics.aspx" TargetMode="External"/><Relationship Id="rId30" Type="http://schemas.openxmlformats.org/officeDocument/2006/relationships/hyperlink" Target="https://www.itu.int/en/ITU-R/space/Pages/res609.aspx" TargetMode="External"/><Relationship Id="rId35" Type="http://schemas.openxmlformats.org/officeDocument/2006/relationships/hyperlink" Target="https://www.itu.int/md/R19-WP4A-C-0404/fr" TargetMode="External"/><Relationship Id="rId56" Type="http://schemas.openxmlformats.org/officeDocument/2006/relationships/hyperlink" Target="https://www.itu.int/md/R19-WP4A-C-0841/fr" TargetMode="External"/><Relationship Id="rId77" Type="http://schemas.openxmlformats.org/officeDocument/2006/relationships/hyperlink" Target="https://www.mincom.gob.cu/es" TargetMode="External"/><Relationship Id="rId100" Type="http://schemas.openxmlformats.org/officeDocument/2006/relationships/hyperlink" Target="https://www.itu.int/wrc-23/newsroom/wrc-news/" TargetMode="External"/><Relationship Id="rId105" Type="http://schemas.openxmlformats.org/officeDocument/2006/relationships/hyperlink" Target="https://www.itu.int/fr/mediacentre/backgrounders/Pages/itu-study-groups.aspx" TargetMode="External"/><Relationship Id="rId8" Type="http://schemas.openxmlformats.org/officeDocument/2006/relationships/image" Target="media/image1.jpeg"/><Relationship Id="rId51" Type="http://schemas.openxmlformats.org/officeDocument/2006/relationships/hyperlink" Target="https://www.itu.int/md/R15-WRC15-C-0004/fr" TargetMode="External"/><Relationship Id="rId72" Type="http://schemas.openxmlformats.org/officeDocument/2006/relationships/footer" Target="footer2.xml"/><Relationship Id="rId93" Type="http://schemas.openxmlformats.org/officeDocument/2006/relationships/hyperlink" Target="https://www.itu.int/futureradionow/" TargetMode="External"/><Relationship Id="rId98" Type="http://schemas.openxmlformats.org/officeDocument/2006/relationships/hyperlink" Target="https://www.itu.int/fr/ITU-R/Director/Pages/default.aspx"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itu.int/md/R15-WRC15-C-0505/en" TargetMode="External"/><Relationship Id="rId46" Type="http://schemas.openxmlformats.org/officeDocument/2006/relationships/hyperlink" Target="https://www.itu.int/net/ITU-R/space/snl/sat_relocation/index.asp" TargetMode="External"/><Relationship Id="rId67" Type="http://schemas.openxmlformats.org/officeDocument/2006/relationships/hyperlink" Target="https://www.itu.int/md/R19-WP5D-C-1776/fr" TargetMode="External"/><Relationship Id="rId116" Type="http://schemas.openxmlformats.org/officeDocument/2006/relationships/hyperlink" Target="https://www.itu.int/dms_pub/itu-r/oth/0a/0e/R0A0E0000E80001PDFE.pdf" TargetMode="External"/><Relationship Id="rId20" Type="http://schemas.openxmlformats.org/officeDocument/2006/relationships/hyperlink" Target="http://www.itu.int/ITU-R/go/space-EPFD/en" TargetMode="External"/><Relationship Id="rId41" Type="http://schemas.openxmlformats.org/officeDocument/2006/relationships/hyperlink" Target="http://www.itu.int/fr/ITU-R/space/plans/Pages/AP30-30A.aspx" TargetMode="External"/><Relationship Id="rId62" Type="http://schemas.openxmlformats.org/officeDocument/2006/relationships/hyperlink" Target="https://www.itu.int/md/R00-CA-CIR-0251/en" TargetMode="External"/><Relationship Id="rId83" Type="http://schemas.openxmlformats.org/officeDocument/2006/relationships/hyperlink" Target="https://www.itu.int/hub/" TargetMode="External"/><Relationship Id="rId88" Type="http://schemas.openxmlformats.org/officeDocument/2006/relationships/hyperlink" Target="https://www.itu.int/bestofwrs/fr/" TargetMode="External"/><Relationship Id="rId111" Type="http://schemas.openxmlformats.org/officeDocument/2006/relationships/hyperlink" Target="https://www.itu.int/en/ITU-R/space/workshops/sat-webinars/Pages/default.aspx" TargetMode="External"/><Relationship Id="rId15" Type="http://schemas.openxmlformats.org/officeDocument/2006/relationships/image" Target="media/image5.emf"/><Relationship Id="rId36" Type="http://schemas.openxmlformats.org/officeDocument/2006/relationships/hyperlink" Target="https://www.itu.int/dms_ties/itu-r/md/19/wp4a/c/R19-WP4A-C-0522!N43!MSW-F.docx" TargetMode="External"/><Relationship Id="rId57" Type="http://schemas.openxmlformats.org/officeDocument/2006/relationships/hyperlink" Target="https://www.itu.int/md/R19-WP4A-C-0841/fr" TargetMode="External"/><Relationship Id="rId106" Type="http://schemas.openxmlformats.org/officeDocument/2006/relationships/hyperlink" Target="https://www.itu.int/fr/mediacentre/backgrounders/Pages/itu-r-managing-the-radio-frequency-spectrum-for-the-world.aspx" TargetMode="External"/><Relationship Id="rId10" Type="http://schemas.openxmlformats.org/officeDocument/2006/relationships/hyperlink" Target="https://www.itu.int/en/ITU-R/conferences/wrc/2023/irwsp/Pages/default.aspx" TargetMode="External"/><Relationship Id="rId31" Type="http://schemas.openxmlformats.org/officeDocument/2006/relationships/hyperlink" Target="https://www.itu.int/en/ITU-R/space/Pages/epfdData.aspx" TargetMode="External"/><Relationship Id="rId52" Type="http://schemas.openxmlformats.org/officeDocument/2006/relationships/hyperlink" Target="https://www.itu.int/md/R15-WP4A-C-0051/fr" TargetMode="External"/><Relationship Id="rId73" Type="http://schemas.openxmlformats.org/officeDocument/2006/relationships/footer" Target="footer3.xml"/><Relationship Id="rId78" Type="http://schemas.openxmlformats.org/officeDocument/2006/relationships/hyperlink" Target="https://www.sica.int/comtelca/inicio" TargetMode="External"/><Relationship Id="rId94" Type="http://schemas.openxmlformats.org/officeDocument/2006/relationships/hyperlink" Target="https://www.itu.int/wrs-22/" TargetMode="External"/><Relationship Id="rId99" Type="http://schemas.openxmlformats.org/officeDocument/2006/relationships/hyperlink" Target="https://www.itu.int/wrc-23/newsroom/wrc-news/" TargetMode="External"/><Relationship Id="rId101" Type="http://schemas.openxmlformats.org/officeDocument/2006/relationships/hyperlink" Target="https://twitter.com/hashtag/ITUWRC?src=hash" TargetMode="External"/><Relationship Id="rId1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blue\dfs\pool\FRA\ITU-R\CONF-R\CMR23\000\004ADD01F\Copy%20of%20WRC%202023%20Cost%20Recovery_2308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pool\FRA\ITU-R\CONF-R\CMR23\000\004ADD01F\Copy%20of%20Diagram%20by%20Category_2308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Recettes</a:t>
            </a:r>
            <a:r>
              <a:rPr lang="en-GB" sz="1200" baseline="0"/>
              <a:t> tirées du recouvrement des coûts pour la période 2018-2022</a:t>
            </a:r>
            <a:endParaRPr lang="en-GB" sz="1200"/>
          </a:p>
        </c:rich>
      </c:tx>
      <c:layout>
        <c:manualLayout>
          <c:xMode val="edge"/>
          <c:yMode val="edge"/>
          <c:x val="0.15116705183093945"/>
          <c:y val="1.409194997357759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Values!$A$2</c:f>
              <c:strCache>
                <c:ptCount val="1"/>
                <c:pt idx="0">
                  <c:v>Nombre total de factures établies</c:v>
                </c:pt>
              </c:strCache>
            </c:strRef>
          </c:tx>
          <c:spPr>
            <a:solidFill>
              <a:schemeClr val="accent1"/>
            </a:solidFill>
            <a:ln>
              <a:noFill/>
            </a:ln>
            <a:effectLst/>
          </c:spPr>
          <c:invertIfNegative val="0"/>
          <c:cat>
            <c:numRef>
              <c:f>Values!$B$1:$F$1</c:f>
              <c:numCache>
                <c:formatCode>General</c:formatCode>
                <c:ptCount val="5"/>
                <c:pt idx="0">
                  <c:v>2018</c:v>
                </c:pt>
                <c:pt idx="1">
                  <c:v>2019</c:v>
                </c:pt>
                <c:pt idx="2">
                  <c:v>2020</c:v>
                </c:pt>
                <c:pt idx="3">
                  <c:v>2021</c:v>
                </c:pt>
                <c:pt idx="4">
                  <c:v>2022</c:v>
                </c:pt>
              </c:numCache>
            </c:numRef>
          </c:cat>
          <c:val>
            <c:numRef>
              <c:f>Values!$B$2:$F$2</c:f>
              <c:numCache>
                <c:formatCode>#,##0</c:formatCode>
                <c:ptCount val="5"/>
                <c:pt idx="0">
                  <c:v>16483535</c:v>
                </c:pt>
                <c:pt idx="1">
                  <c:v>13270978</c:v>
                </c:pt>
                <c:pt idx="2">
                  <c:v>16638605</c:v>
                </c:pt>
                <c:pt idx="3">
                  <c:v>12351939</c:v>
                </c:pt>
                <c:pt idx="4">
                  <c:v>10567441</c:v>
                </c:pt>
              </c:numCache>
            </c:numRef>
          </c:val>
          <c:extLst>
            <c:ext xmlns:c16="http://schemas.microsoft.com/office/drawing/2014/chart" uri="{C3380CC4-5D6E-409C-BE32-E72D297353CC}">
              <c16:uniqueId val="{00000000-ADD2-42A7-A059-67116CD88F3C}"/>
            </c:ext>
          </c:extLst>
        </c:ser>
        <c:ser>
          <c:idx val="1"/>
          <c:order val="1"/>
          <c:tx>
            <c:strRef>
              <c:f>Values!$A$3</c:f>
              <c:strCache>
                <c:ptCount val="1"/>
                <c:pt idx="0">
                  <c:v>Franchises</c:v>
                </c:pt>
              </c:strCache>
            </c:strRef>
          </c:tx>
          <c:spPr>
            <a:solidFill>
              <a:srgbClr val="C00000"/>
            </a:solidFill>
            <a:ln>
              <a:noFill/>
            </a:ln>
            <a:effectLst/>
          </c:spPr>
          <c:invertIfNegative val="0"/>
          <c:cat>
            <c:numRef>
              <c:f>Values!$B$1:$F$1</c:f>
              <c:numCache>
                <c:formatCode>General</c:formatCode>
                <c:ptCount val="5"/>
                <c:pt idx="0">
                  <c:v>2018</c:v>
                </c:pt>
                <c:pt idx="1">
                  <c:v>2019</c:v>
                </c:pt>
                <c:pt idx="2">
                  <c:v>2020</c:v>
                </c:pt>
                <c:pt idx="3">
                  <c:v>2021</c:v>
                </c:pt>
                <c:pt idx="4">
                  <c:v>2022</c:v>
                </c:pt>
              </c:numCache>
            </c:numRef>
          </c:cat>
          <c:val>
            <c:numRef>
              <c:f>Values!$B$3:$F$3</c:f>
              <c:numCache>
                <c:formatCode>#,##0</c:formatCode>
                <c:ptCount val="5"/>
                <c:pt idx="0">
                  <c:v>1718453</c:v>
                </c:pt>
                <c:pt idx="1">
                  <c:v>1224222</c:v>
                </c:pt>
                <c:pt idx="2">
                  <c:v>1410093</c:v>
                </c:pt>
                <c:pt idx="3">
                  <c:v>1461379</c:v>
                </c:pt>
                <c:pt idx="4">
                  <c:v>1301909</c:v>
                </c:pt>
              </c:numCache>
            </c:numRef>
          </c:val>
          <c:extLst>
            <c:ext xmlns:c16="http://schemas.microsoft.com/office/drawing/2014/chart" uri="{C3380CC4-5D6E-409C-BE32-E72D297353CC}">
              <c16:uniqueId val="{00000001-ADD2-42A7-A059-67116CD88F3C}"/>
            </c:ext>
          </c:extLst>
        </c:ser>
        <c:dLbls>
          <c:showLegendKey val="0"/>
          <c:showVal val="0"/>
          <c:showCatName val="0"/>
          <c:showSerName val="0"/>
          <c:showPercent val="0"/>
          <c:showBubbleSize val="0"/>
        </c:dLbls>
        <c:gapWidth val="219"/>
        <c:overlap val="-27"/>
        <c:axId val="694673816"/>
        <c:axId val="694674536"/>
      </c:barChart>
      <c:catAx>
        <c:axId val="694673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74536"/>
        <c:crosses val="autoZero"/>
        <c:auto val="1"/>
        <c:lblAlgn val="ctr"/>
        <c:lblOffset val="100"/>
        <c:noMultiLvlLbl val="0"/>
      </c:catAx>
      <c:valAx>
        <c:axId val="694674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73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Répartition</a:t>
            </a:r>
            <a:r>
              <a:rPr lang="en-GB" sz="1200" baseline="0"/>
              <a:t> des recettes tirées du recouvrement des coûts pour la</a:t>
            </a:r>
            <a:br>
              <a:rPr lang="en-GB" sz="1200" baseline="0"/>
            </a:br>
            <a:r>
              <a:rPr lang="en-GB" sz="1200" baseline="0"/>
              <a:t>période 2018-2022 par type de fiche</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Sheet3!$A$2</c:f>
              <c:strCache>
                <c:ptCount val="1"/>
                <c:pt idx="0">
                  <c:v>Publication anticipée des renseignements (API)</c:v>
                </c:pt>
              </c:strCache>
            </c:strRef>
          </c:tx>
          <c:spPr>
            <a:solidFill>
              <a:schemeClr val="accent1"/>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Sheet3!$B$2:$F$2</c:f>
              <c:numCache>
                <c:formatCode>#,##0</c:formatCode>
                <c:ptCount val="5"/>
                <c:pt idx="0">
                  <c:v>84930</c:v>
                </c:pt>
                <c:pt idx="1">
                  <c:v>118560</c:v>
                </c:pt>
                <c:pt idx="2">
                  <c:v>139650</c:v>
                </c:pt>
                <c:pt idx="3">
                  <c:v>153330</c:v>
                </c:pt>
                <c:pt idx="4">
                  <c:v>152190</c:v>
                </c:pt>
              </c:numCache>
            </c:numRef>
          </c:val>
          <c:extLst>
            <c:ext xmlns:c16="http://schemas.microsoft.com/office/drawing/2014/chart" uri="{C3380CC4-5D6E-409C-BE32-E72D297353CC}">
              <c16:uniqueId val="{00000000-4DFE-483B-B77E-4A8DB7515312}"/>
            </c:ext>
          </c:extLst>
        </c:ser>
        <c:ser>
          <c:idx val="1"/>
          <c:order val="1"/>
          <c:tx>
            <c:strRef>
              <c:f>Sheet3!$A$3</c:f>
              <c:strCache>
                <c:ptCount val="1"/>
                <c:pt idx="0">
                  <c:v>Demande de coordination (CR)</c:v>
                </c:pt>
              </c:strCache>
            </c:strRef>
          </c:tx>
          <c:spPr>
            <a:solidFill>
              <a:schemeClr val="accent2"/>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Sheet3!$B$3:$F$3</c:f>
              <c:numCache>
                <c:formatCode>#,##0</c:formatCode>
                <c:ptCount val="5"/>
                <c:pt idx="0">
                  <c:v>8245425</c:v>
                </c:pt>
                <c:pt idx="1">
                  <c:v>6376868</c:v>
                </c:pt>
                <c:pt idx="2">
                  <c:v>7646057</c:v>
                </c:pt>
                <c:pt idx="3">
                  <c:v>5611804</c:v>
                </c:pt>
                <c:pt idx="4">
                  <c:v>4830579</c:v>
                </c:pt>
              </c:numCache>
            </c:numRef>
          </c:val>
          <c:extLst>
            <c:ext xmlns:c16="http://schemas.microsoft.com/office/drawing/2014/chart" uri="{C3380CC4-5D6E-409C-BE32-E72D297353CC}">
              <c16:uniqueId val="{00000001-4DFE-483B-B77E-4A8DB7515312}"/>
            </c:ext>
          </c:extLst>
        </c:ser>
        <c:ser>
          <c:idx val="2"/>
          <c:order val="2"/>
          <c:tx>
            <c:strRef>
              <c:f>Sheet3!$A$4</c:f>
              <c:strCache>
                <c:ptCount val="1"/>
                <c:pt idx="0">
                  <c:v>Notifications (Art. 11) </c:v>
                </c:pt>
              </c:strCache>
            </c:strRef>
          </c:tx>
          <c:spPr>
            <a:solidFill>
              <a:schemeClr val="accent3"/>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Sheet3!$B$4:$F$4</c:f>
              <c:numCache>
                <c:formatCode>#,##0</c:formatCode>
                <c:ptCount val="5"/>
                <c:pt idx="0">
                  <c:v>3276950</c:v>
                </c:pt>
                <c:pt idx="1">
                  <c:v>4126600</c:v>
                </c:pt>
                <c:pt idx="2">
                  <c:v>4227140</c:v>
                </c:pt>
                <c:pt idx="3">
                  <c:v>4307946</c:v>
                </c:pt>
                <c:pt idx="4">
                  <c:v>3781957</c:v>
                </c:pt>
              </c:numCache>
            </c:numRef>
          </c:val>
          <c:extLst>
            <c:ext xmlns:c16="http://schemas.microsoft.com/office/drawing/2014/chart" uri="{C3380CC4-5D6E-409C-BE32-E72D297353CC}">
              <c16:uniqueId val="{00000002-4DFE-483B-B77E-4A8DB7515312}"/>
            </c:ext>
          </c:extLst>
        </c:ser>
        <c:ser>
          <c:idx val="3"/>
          <c:order val="3"/>
          <c:tx>
            <c:strRef>
              <c:f>Sheet3!$A$5</c:f>
              <c:strCache>
                <c:ptCount val="1"/>
                <c:pt idx="0">
                  <c:v>AP30-30A </c:v>
                </c:pt>
              </c:strCache>
            </c:strRef>
          </c:tx>
          <c:spPr>
            <a:solidFill>
              <a:schemeClr val="accent4"/>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Sheet3!$B$5:$F$5</c:f>
              <c:numCache>
                <c:formatCode>#,##0</c:formatCode>
                <c:ptCount val="5"/>
                <c:pt idx="0">
                  <c:v>2404340</c:v>
                </c:pt>
                <c:pt idx="1">
                  <c:v>1282280</c:v>
                </c:pt>
                <c:pt idx="2">
                  <c:v>2704650</c:v>
                </c:pt>
                <c:pt idx="3">
                  <c:v>1012020</c:v>
                </c:pt>
                <c:pt idx="4">
                  <c:v>548530</c:v>
                </c:pt>
              </c:numCache>
            </c:numRef>
          </c:val>
          <c:extLst>
            <c:ext xmlns:c16="http://schemas.microsoft.com/office/drawing/2014/chart" uri="{C3380CC4-5D6E-409C-BE32-E72D297353CC}">
              <c16:uniqueId val="{00000003-4DFE-483B-B77E-4A8DB7515312}"/>
            </c:ext>
          </c:extLst>
        </c:ser>
        <c:ser>
          <c:idx val="4"/>
          <c:order val="4"/>
          <c:tx>
            <c:strRef>
              <c:f>Sheet3!$A$6</c:f>
              <c:strCache>
                <c:ptCount val="1"/>
                <c:pt idx="0">
                  <c:v>Notifications (AP30/30A) </c:v>
                </c:pt>
              </c:strCache>
            </c:strRef>
          </c:tx>
          <c:spPr>
            <a:solidFill>
              <a:schemeClr val="accent5"/>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Sheet3!$B$6:$F$6</c:f>
              <c:numCache>
                <c:formatCode>#,##0</c:formatCode>
                <c:ptCount val="5"/>
                <c:pt idx="0">
                  <c:v>358050</c:v>
                </c:pt>
                <c:pt idx="1">
                  <c:v>201000</c:v>
                </c:pt>
                <c:pt idx="2">
                  <c:v>415800</c:v>
                </c:pt>
                <c:pt idx="3">
                  <c:v>127050</c:v>
                </c:pt>
                <c:pt idx="4">
                  <c:v>57750</c:v>
                </c:pt>
              </c:numCache>
            </c:numRef>
          </c:val>
          <c:extLst>
            <c:ext xmlns:c16="http://schemas.microsoft.com/office/drawing/2014/chart" uri="{C3380CC4-5D6E-409C-BE32-E72D297353CC}">
              <c16:uniqueId val="{00000004-4DFE-483B-B77E-4A8DB7515312}"/>
            </c:ext>
          </c:extLst>
        </c:ser>
        <c:ser>
          <c:idx val="5"/>
          <c:order val="5"/>
          <c:tx>
            <c:strRef>
              <c:f>Sheet3!$A$7</c:f>
              <c:strCache>
                <c:ptCount val="1"/>
                <c:pt idx="0">
                  <c:v>AP30B </c:v>
                </c:pt>
              </c:strCache>
            </c:strRef>
          </c:tx>
          <c:spPr>
            <a:solidFill>
              <a:schemeClr val="accent6"/>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Sheet3!$B$7:$F$7</c:f>
              <c:numCache>
                <c:formatCode>#,##0</c:formatCode>
                <c:ptCount val="5"/>
                <c:pt idx="0">
                  <c:v>1951600</c:v>
                </c:pt>
                <c:pt idx="1">
                  <c:v>983150</c:v>
                </c:pt>
                <c:pt idx="2">
                  <c:v>1241668</c:v>
                </c:pt>
                <c:pt idx="3">
                  <c:v>612509</c:v>
                </c:pt>
                <c:pt idx="4">
                  <c:v>791450</c:v>
                </c:pt>
              </c:numCache>
            </c:numRef>
          </c:val>
          <c:extLst>
            <c:ext xmlns:c16="http://schemas.microsoft.com/office/drawing/2014/chart" uri="{C3380CC4-5D6E-409C-BE32-E72D297353CC}">
              <c16:uniqueId val="{00000005-4DFE-483B-B77E-4A8DB7515312}"/>
            </c:ext>
          </c:extLst>
        </c:ser>
        <c:ser>
          <c:idx val="6"/>
          <c:order val="6"/>
          <c:tx>
            <c:strRef>
              <c:f>Sheet3!$A$8</c:f>
              <c:strCache>
                <c:ptCount val="1"/>
                <c:pt idx="0">
                  <c:v>Notifications (AP30B) </c:v>
                </c:pt>
              </c:strCache>
            </c:strRef>
          </c:tx>
          <c:spPr>
            <a:solidFill>
              <a:schemeClr val="accent1">
                <a:lumMod val="60000"/>
              </a:schemeClr>
            </a:solidFill>
            <a:ln>
              <a:noFill/>
            </a:ln>
            <a:effectLst/>
          </c:spPr>
          <c:invertIfNegative val="0"/>
          <c:cat>
            <c:numRef>
              <c:f>Sheet3!$B$1:$F$1</c:f>
              <c:numCache>
                <c:formatCode>General</c:formatCode>
                <c:ptCount val="5"/>
                <c:pt idx="0">
                  <c:v>2018</c:v>
                </c:pt>
                <c:pt idx="1">
                  <c:v>2019</c:v>
                </c:pt>
                <c:pt idx="2">
                  <c:v>2020</c:v>
                </c:pt>
                <c:pt idx="3">
                  <c:v>2021</c:v>
                </c:pt>
                <c:pt idx="4">
                  <c:v>2022</c:v>
                </c:pt>
              </c:numCache>
            </c:numRef>
          </c:cat>
          <c:val>
            <c:numRef>
              <c:f>Sheet3!$B$8:$F$8</c:f>
              <c:numCache>
                <c:formatCode>#,##0</c:formatCode>
                <c:ptCount val="5"/>
                <c:pt idx="0">
                  <c:v>162240</c:v>
                </c:pt>
                <c:pt idx="1">
                  <c:v>182520</c:v>
                </c:pt>
                <c:pt idx="2">
                  <c:v>263640</c:v>
                </c:pt>
                <c:pt idx="3">
                  <c:v>527280</c:v>
                </c:pt>
                <c:pt idx="4">
                  <c:v>404985</c:v>
                </c:pt>
              </c:numCache>
            </c:numRef>
          </c:val>
          <c:extLst>
            <c:ext xmlns:c16="http://schemas.microsoft.com/office/drawing/2014/chart" uri="{C3380CC4-5D6E-409C-BE32-E72D297353CC}">
              <c16:uniqueId val="{00000006-4DFE-483B-B77E-4A8DB7515312}"/>
            </c:ext>
          </c:extLst>
        </c:ser>
        <c:dLbls>
          <c:showLegendKey val="0"/>
          <c:showVal val="0"/>
          <c:showCatName val="0"/>
          <c:showSerName val="0"/>
          <c:showPercent val="0"/>
          <c:showBubbleSize val="0"/>
        </c:dLbls>
        <c:gapWidth val="150"/>
        <c:overlap val="100"/>
        <c:axId val="1042106208"/>
        <c:axId val="1042104408"/>
      </c:barChart>
      <c:catAx>
        <c:axId val="104210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104408"/>
        <c:crosses val="autoZero"/>
        <c:auto val="1"/>
        <c:lblAlgn val="ctr"/>
        <c:lblOffset val="100"/>
        <c:noMultiLvlLbl val="0"/>
      </c:catAx>
      <c:valAx>
        <c:axId val="1042104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106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6363-FDC3-2745-BA14-0F3F54DB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33686</Words>
  <Characters>192013</Characters>
  <Application>Microsoft Office Word</Application>
  <DocSecurity>0</DocSecurity>
  <Lines>1600</Lines>
  <Paragraphs>450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225249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2023-10-04T05:36:00Z</dcterms:created>
  <dcterms:modified xsi:type="dcterms:W3CDTF">2023-10-09T14:07:00Z</dcterms:modified>
  <cp:category/>
</cp:coreProperties>
</file>