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43444A" w14:paraId="6485443D" w14:textId="77777777" w:rsidTr="007935CE">
        <w:trPr>
          <w:cantSplit/>
        </w:trPr>
        <w:tc>
          <w:tcPr>
            <w:tcW w:w="1418" w:type="dxa"/>
            <w:vAlign w:val="center"/>
          </w:tcPr>
          <w:p w14:paraId="58A11B90"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247E532C" wp14:editId="1D49975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37AB3728" w14:textId="77777777" w:rsidR="0043444A" w:rsidRPr="00DF23FC" w:rsidRDefault="0043444A" w:rsidP="00915398">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2093" w:type="dxa"/>
            <w:vAlign w:val="center"/>
          </w:tcPr>
          <w:p w14:paraId="3E6FDD30" w14:textId="77777777" w:rsidR="0043444A" w:rsidRDefault="00EA505C" w:rsidP="00915398">
            <w:pPr>
              <w:spacing w:before="0" w:line="240" w:lineRule="atLeast"/>
            </w:pPr>
            <w:bookmarkStart w:id="1" w:name="ditulogo"/>
            <w:bookmarkEnd w:id="1"/>
            <w:r>
              <w:rPr>
                <w:noProof/>
              </w:rPr>
              <w:drawing>
                <wp:inline distT="0" distB="0" distL="0" distR="0" wp14:anchorId="2B3F2AEA" wp14:editId="315E0B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43444A" w:rsidRPr="00974431" w14:paraId="7F594D97" w14:textId="77777777" w:rsidTr="0043444A">
        <w:trPr>
          <w:cantSplit/>
        </w:trPr>
        <w:tc>
          <w:tcPr>
            <w:tcW w:w="6911" w:type="dxa"/>
            <w:gridSpan w:val="2"/>
            <w:tcBorders>
              <w:bottom w:val="single" w:sz="12" w:space="0" w:color="auto"/>
            </w:tcBorders>
          </w:tcPr>
          <w:p w14:paraId="6797D523"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46D89F05"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4ADF31FF" w14:textId="77777777" w:rsidTr="0043444A">
        <w:trPr>
          <w:cantSplit/>
        </w:trPr>
        <w:tc>
          <w:tcPr>
            <w:tcW w:w="6911" w:type="dxa"/>
            <w:gridSpan w:val="2"/>
            <w:tcBorders>
              <w:top w:val="single" w:sz="12" w:space="0" w:color="auto"/>
            </w:tcBorders>
          </w:tcPr>
          <w:p w14:paraId="2002A4B3"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207530D5" w14:textId="77777777" w:rsidR="0043444A" w:rsidRPr="00C324A8" w:rsidRDefault="0043444A" w:rsidP="00D91769">
            <w:pPr>
              <w:spacing w:before="0" w:line="240" w:lineRule="atLeast"/>
              <w:rPr>
                <w:rFonts w:ascii="Verdana" w:hAnsi="Verdana"/>
                <w:sz w:val="20"/>
              </w:rPr>
            </w:pPr>
          </w:p>
        </w:tc>
      </w:tr>
      <w:tr w:rsidR="0043444A" w:rsidRPr="00DD2CFF" w14:paraId="1D738D21" w14:textId="77777777" w:rsidTr="0043444A">
        <w:trPr>
          <w:cantSplit/>
          <w:trHeight w:val="23"/>
        </w:trPr>
        <w:tc>
          <w:tcPr>
            <w:tcW w:w="6911" w:type="dxa"/>
            <w:gridSpan w:val="2"/>
            <w:vMerge w:val="restart"/>
          </w:tcPr>
          <w:p w14:paraId="6F8DDC93" w14:textId="77777777" w:rsidR="0043444A" w:rsidRPr="00D91769"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gridSpan w:val="2"/>
          </w:tcPr>
          <w:p w14:paraId="3053E48C" w14:textId="17CA5AD3" w:rsidR="0043444A" w:rsidRPr="00DD2CFF" w:rsidRDefault="00DD2CFF" w:rsidP="00D91769">
            <w:pPr>
              <w:tabs>
                <w:tab w:val="left" w:pos="851"/>
              </w:tabs>
              <w:spacing w:before="0" w:line="240" w:lineRule="atLeast"/>
              <w:rPr>
                <w:rFonts w:ascii="Verdana" w:hAnsi="Verdana"/>
                <w:sz w:val="20"/>
              </w:rPr>
            </w:pPr>
            <w:r w:rsidRPr="00DD2CFF">
              <w:rPr>
                <w:rFonts w:ascii="Verdana" w:hAnsi="Verdana"/>
                <w:b/>
                <w:sz w:val="20"/>
              </w:rPr>
              <w:t>Addendum 1 to</w:t>
            </w:r>
            <w:r w:rsidRPr="00DD2CFF">
              <w:rPr>
                <w:rFonts w:ascii="Verdana" w:hAnsi="Verdana"/>
                <w:b/>
                <w:sz w:val="20"/>
              </w:rPr>
              <w:br/>
            </w:r>
            <w:r w:rsidR="0043444A" w:rsidRPr="00DD2CFF">
              <w:rPr>
                <w:rFonts w:ascii="Verdana" w:hAnsi="Verdana"/>
                <w:b/>
                <w:sz w:val="20"/>
              </w:rPr>
              <w:t xml:space="preserve">Document </w:t>
            </w:r>
            <w:r>
              <w:rPr>
                <w:rFonts w:ascii="Verdana" w:hAnsi="Verdana"/>
                <w:b/>
                <w:sz w:val="20"/>
              </w:rPr>
              <w:t>4</w:t>
            </w:r>
            <w:r w:rsidR="0043444A" w:rsidRPr="00DD2CFF">
              <w:rPr>
                <w:rFonts w:ascii="Verdana" w:hAnsi="Verdana"/>
                <w:b/>
                <w:sz w:val="20"/>
              </w:rPr>
              <w:t>-E</w:t>
            </w:r>
          </w:p>
        </w:tc>
      </w:tr>
      <w:tr w:rsidR="0043444A" w:rsidRPr="00C324A8" w14:paraId="7711148D" w14:textId="77777777" w:rsidTr="0043444A">
        <w:trPr>
          <w:cantSplit/>
          <w:trHeight w:val="23"/>
        </w:trPr>
        <w:tc>
          <w:tcPr>
            <w:tcW w:w="6911" w:type="dxa"/>
            <w:gridSpan w:val="2"/>
            <w:vMerge/>
          </w:tcPr>
          <w:p w14:paraId="74F9DC4A" w14:textId="77777777" w:rsidR="0043444A" w:rsidRPr="00DD2CFF" w:rsidRDefault="0043444A">
            <w:pPr>
              <w:tabs>
                <w:tab w:val="left" w:pos="851"/>
              </w:tabs>
              <w:spacing w:line="240" w:lineRule="atLeast"/>
              <w:rPr>
                <w:rFonts w:ascii="Verdana" w:hAnsi="Verdana"/>
                <w:b/>
                <w:sz w:val="20"/>
              </w:rPr>
            </w:pPr>
            <w:bookmarkStart w:id="5" w:name="ddate" w:colFirst="1" w:colLast="1"/>
            <w:bookmarkEnd w:id="3"/>
            <w:bookmarkEnd w:id="4"/>
          </w:p>
        </w:tc>
        <w:tc>
          <w:tcPr>
            <w:tcW w:w="3120" w:type="dxa"/>
            <w:gridSpan w:val="2"/>
          </w:tcPr>
          <w:p w14:paraId="3084F0A7" w14:textId="2C8EC761" w:rsidR="0043444A" w:rsidRPr="00D91769" w:rsidRDefault="00036EB4" w:rsidP="00A2048C">
            <w:pPr>
              <w:tabs>
                <w:tab w:val="left" w:pos="993"/>
              </w:tabs>
              <w:spacing w:before="0"/>
              <w:rPr>
                <w:rFonts w:ascii="Verdana" w:hAnsi="Verdana"/>
                <w:sz w:val="20"/>
              </w:rPr>
            </w:pPr>
            <w:r w:rsidRPr="00040B10">
              <w:rPr>
                <w:rFonts w:ascii="Verdana" w:hAnsi="Verdana"/>
                <w:b/>
                <w:sz w:val="20"/>
              </w:rPr>
              <w:t>16 August</w:t>
            </w:r>
            <w:r w:rsidR="0043444A" w:rsidRPr="00040B10">
              <w:rPr>
                <w:rFonts w:ascii="Verdana" w:hAnsi="Verdana"/>
                <w:b/>
                <w:sz w:val="20"/>
              </w:rPr>
              <w:t xml:space="preserve"> </w:t>
            </w:r>
            <w:r w:rsidR="00D731F9" w:rsidRPr="00040B10">
              <w:rPr>
                <w:rFonts w:ascii="Verdana" w:hAnsi="Verdana"/>
                <w:b/>
                <w:sz w:val="20"/>
              </w:rPr>
              <w:t>2023</w:t>
            </w:r>
          </w:p>
        </w:tc>
      </w:tr>
      <w:tr w:rsidR="0043444A" w:rsidRPr="00C324A8" w14:paraId="63A70916" w14:textId="77777777" w:rsidTr="0043444A">
        <w:trPr>
          <w:cantSplit/>
          <w:trHeight w:val="23"/>
        </w:trPr>
        <w:tc>
          <w:tcPr>
            <w:tcW w:w="6911" w:type="dxa"/>
            <w:gridSpan w:val="2"/>
            <w:vMerge/>
          </w:tcPr>
          <w:p w14:paraId="654E55EA" w14:textId="77777777" w:rsidR="0043444A" w:rsidRPr="00C324A8" w:rsidRDefault="0043444A">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0942D30B" w14:textId="77777777" w:rsidR="0043444A" w:rsidRPr="00D91769" w:rsidRDefault="0043444A" w:rsidP="00D91769">
            <w:pPr>
              <w:tabs>
                <w:tab w:val="left" w:pos="993"/>
              </w:tabs>
              <w:spacing w:before="0" w:after="120"/>
              <w:rPr>
                <w:rFonts w:ascii="Verdana" w:hAnsi="Verdana"/>
                <w:sz w:val="20"/>
              </w:rPr>
            </w:pPr>
            <w:r>
              <w:rPr>
                <w:rFonts w:ascii="Verdana" w:hAnsi="Verdana"/>
                <w:b/>
                <w:sz w:val="20"/>
              </w:rPr>
              <w:t>Original: English</w:t>
            </w:r>
          </w:p>
        </w:tc>
      </w:tr>
      <w:tr w:rsidR="0043444A" w14:paraId="2035D24E" w14:textId="77777777" w:rsidTr="0043444A">
        <w:trPr>
          <w:cantSplit/>
        </w:trPr>
        <w:tc>
          <w:tcPr>
            <w:tcW w:w="10031" w:type="dxa"/>
            <w:gridSpan w:val="4"/>
          </w:tcPr>
          <w:p w14:paraId="1A1484C2" w14:textId="5E62FD86" w:rsidR="0043444A" w:rsidRDefault="00DD2CFF">
            <w:pPr>
              <w:pStyle w:val="Source"/>
            </w:pPr>
            <w:bookmarkStart w:id="7" w:name="dsource" w:colFirst="0" w:colLast="0"/>
            <w:bookmarkEnd w:id="6"/>
            <w:r w:rsidRPr="00DD2CFF">
              <w:t>Director, Radiocommunication Bureau</w:t>
            </w:r>
          </w:p>
        </w:tc>
      </w:tr>
      <w:tr w:rsidR="0043444A" w14:paraId="4ABD1FEB" w14:textId="77777777" w:rsidTr="0043444A">
        <w:trPr>
          <w:cantSplit/>
        </w:trPr>
        <w:tc>
          <w:tcPr>
            <w:tcW w:w="10031" w:type="dxa"/>
            <w:gridSpan w:val="4"/>
          </w:tcPr>
          <w:p w14:paraId="4BD1CD48" w14:textId="597FBDDB" w:rsidR="0043444A" w:rsidRDefault="00DD2CFF">
            <w:pPr>
              <w:pStyle w:val="Title1"/>
            </w:pPr>
            <w:bookmarkStart w:id="8" w:name="dtitle1" w:colFirst="0" w:colLast="0"/>
            <w:bookmarkEnd w:id="7"/>
            <w:r>
              <w:rPr>
                <w:rStyle w:val="normaltextrun"/>
                <w:caps w:val="0"/>
                <w:color w:val="000000"/>
                <w:szCs w:val="28"/>
                <w:shd w:val="clear" w:color="auto" w:fill="FFFFFF"/>
              </w:rPr>
              <w:t>REPORT OF THE DIRECTOR ON THE ACTIVITIES OF THE RADIOCOMMUNICATION SECTOR</w:t>
            </w:r>
          </w:p>
        </w:tc>
      </w:tr>
      <w:tr w:rsidR="0043444A" w14:paraId="0CB3B5D4" w14:textId="77777777" w:rsidTr="0043444A">
        <w:trPr>
          <w:cantSplit/>
        </w:trPr>
        <w:tc>
          <w:tcPr>
            <w:tcW w:w="10031" w:type="dxa"/>
            <w:gridSpan w:val="4"/>
          </w:tcPr>
          <w:p w14:paraId="547E4F44" w14:textId="14A34EB5" w:rsidR="0043444A" w:rsidRDefault="00DD2CFF">
            <w:pPr>
              <w:pStyle w:val="Title2"/>
            </w:pPr>
            <w:bookmarkStart w:id="9" w:name="dtitle2" w:colFirst="0" w:colLast="0"/>
            <w:bookmarkEnd w:id="8"/>
            <w:r>
              <w:rPr>
                <w:rStyle w:val="normaltextrun"/>
                <w:caps w:val="0"/>
                <w:color w:val="000000"/>
                <w:szCs w:val="28"/>
                <w:shd w:val="clear" w:color="auto" w:fill="FFFFFF"/>
              </w:rPr>
              <w:t>PART 1: ACTIVITIES OF THE RADIOCOMMUNICATION SECTOR IN THE PERIOD BETWEEN WRC-19 AND WRC-23</w:t>
            </w:r>
          </w:p>
        </w:tc>
      </w:tr>
      <w:tr w:rsidR="0043444A" w14:paraId="45446346" w14:textId="77777777" w:rsidTr="0043444A">
        <w:trPr>
          <w:cantSplit/>
        </w:trPr>
        <w:tc>
          <w:tcPr>
            <w:tcW w:w="10031" w:type="dxa"/>
            <w:gridSpan w:val="4"/>
          </w:tcPr>
          <w:p w14:paraId="2EAEF149" w14:textId="77777777" w:rsidR="0043444A" w:rsidRDefault="0043444A">
            <w:pPr>
              <w:pStyle w:val="Title3"/>
            </w:pPr>
            <w:bookmarkStart w:id="10" w:name="dtitle3" w:colFirst="0" w:colLast="0"/>
            <w:bookmarkEnd w:id="9"/>
          </w:p>
          <w:p w14:paraId="65533C7D" w14:textId="77777777" w:rsidR="00FB76E9" w:rsidRPr="00FB76E9" w:rsidRDefault="00FB76E9" w:rsidP="00FB76E9"/>
        </w:tc>
      </w:tr>
    </w:tbl>
    <w:bookmarkEnd w:id="10" w:displacedByCustomXml="next"/>
    <w:sdt>
      <w:sdtPr>
        <w:id w:val="1558435123"/>
        <w:docPartObj>
          <w:docPartGallery w:val="Table of Contents"/>
          <w:docPartUnique/>
        </w:docPartObj>
      </w:sdtPr>
      <w:sdtEndPr>
        <w:rPr>
          <w:noProof/>
        </w:rPr>
      </w:sdtEndPr>
      <w:sdtContent>
        <w:p w14:paraId="116FE673" w14:textId="1DFC8C32" w:rsidR="00C74DA0" w:rsidRDefault="00C74DA0" w:rsidP="00C74DA0">
          <w:pPr>
            <w:rPr>
              <w:lang w:eastAsia="ja-JP"/>
            </w:rPr>
          </w:pPr>
        </w:p>
        <w:p w14:paraId="0CE88D71" w14:textId="77777777" w:rsidR="00C74DA0" w:rsidRDefault="00C74DA0" w:rsidP="004B68BD">
          <w:pPr>
            <w:pStyle w:val="TOCHeading"/>
            <w:jc w:val="center"/>
          </w:pPr>
          <w:r>
            <w:t>Table of Contents</w:t>
          </w:r>
        </w:p>
        <w:p w14:paraId="28D8D3C0" w14:textId="42EFA5D5" w:rsidR="00396AEF" w:rsidRDefault="00C74DA0">
          <w:pPr>
            <w:pStyle w:val="TOC1"/>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\t "Annex_No;1" </w:instrText>
          </w:r>
          <w:r>
            <w:fldChar w:fldCharType="separate"/>
          </w:r>
          <w:hyperlink w:anchor="_Toc143072384" w:history="1">
            <w:r w:rsidR="00396AEF" w:rsidRPr="00AD5DAB">
              <w:rPr>
                <w:rStyle w:val="Hyperlink"/>
                <w:noProof/>
              </w:rPr>
              <w:t>Introduction</w:t>
            </w:r>
            <w:r w:rsidR="00396AEF">
              <w:rPr>
                <w:noProof/>
                <w:webHidden/>
              </w:rPr>
              <w:tab/>
            </w:r>
            <w:r w:rsidR="00396AEF">
              <w:rPr>
                <w:noProof/>
                <w:webHidden/>
              </w:rPr>
              <w:fldChar w:fldCharType="begin"/>
            </w:r>
            <w:r w:rsidR="00396AEF">
              <w:rPr>
                <w:noProof/>
                <w:webHidden/>
              </w:rPr>
              <w:instrText xml:space="preserve"> PAGEREF _Toc143072384 \h </w:instrText>
            </w:r>
            <w:r w:rsidR="00396AEF">
              <w:rPr>
                <w:noProof/>
                <w:webHidden/>
              </w:rPr>
            </w:r>
            <w:r w:rsidR="00396AEF">
              <w:rPr>
                <w:noProof/>
                <w:webHidden/>
              </w:rPr>
              <w:fldChar w:fldCharType="separate"/>
            </w:r>
            <w:r w:rsidR="00396AEF">
              <w:rPr>
                <w:noProof/>
                <w:webHidden/>
              </w:rPr>
              <w:t>5</w:t>
            </w:r>
            <w:r w:rsidR="00396AEF">
              <w:rPr>
                <w:noProof/>
                <w:webHidden/>
              </w:rPr>
              <w:fldChar w:fldCharType="end"/>
            </w:r>
          </w:hyperlink>
        </w:p>
        <w:p w14:paraId="214036B5" w14:textId="59FD3F0D"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385" w:history="1">
            <w:r w:rsidRPr="00AD5DAB">
              <w:rPr>
                <w:rStyle w:val="Hyperlink"/>
                <w:noProof/>
                <w:lang w:val="en-US"/>
              </w:rPr>
              <w:t>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WRC-23 preparations</w:t>
            </w:r>
            <w:r>
              <w:rPr>
                <w:noProof/>
                <w:webHidden/>
              </w:rPr>
              <w:tab/>
            </w:r>
            <w:r>
              <w:rPr>
                <w:noProof/>
                <w:webHidden/>
              </w:rPr>
              <w:fldChar w:fldCharType="begin"/>
            </w:r>
            <w:r>
              <w:rPr>
                <w:noProof/>
                <w:webHidden/>
              </w:rPr>
              <w:instrText xml:space="preserve"> PAGEREF _Toc143072385 \h </w:instrText>
            </w:r>
            <w:r>
              <w:rPr>
                <w:noProof/>
                <w:webHidden/>
              </w:rPr>
            </w:r>
            <w:r>
              <w:rPr>
                <w:noProof/>
                <w:webHidden/>
              </w:rPr>
              <w:fldChar w:fldCharType="separate"/>
            </w:r>
            <w:r>
              <w:rPr>
                <w:noProof/>
                <w:webHidden/>
              </w:rPr>
              <w:t>5</w:t>
            </w:r>
            <w:r>
              <w:rPr>
                <w:noProof/>
                <w:webHidden/>
              </w:rPr>
              <w:fldChar w:fldCharType="end"/>
            </w:r>
          </w:hyperlink>
        </w:p>
        <w:p w14:paraId="377F7BF2" w14:textId="2C1B58FD"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86" w:history="1">
            <w:r w:rsidRPr="00AD5DAB">
              <w:rPr>
                <w:rStyle w:val="Hyperlink"/>
                <w:noProof/>
              </w:rPr>
              <w:t>1.1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BR preparations for WRC</w:t>
            </w:r>
            <w:r w:rsidRPr="00AD5DAB">
              <w:rPr>
                <w:rStyle w:val="Hyperlink"/>
                <w:noProof/>
              </w:rPr>
              <w:noBreakHyphen/>
              <w:t>23</w:t>
            </w:r>
            <w:r>
              <w:rPr>
                <w:noProof/>
                <w:webHidden/>
              </w:rPr>
              <w:tab/>
            </w:r>
            <w:r>
              <w:rPr>
                <w:noProof/>
                <w:webHidden/>
              </w:rPr>
              <w:fldChar w:fldCharType="begin"/>
            </w:r>
            <w:r>
              <w:rPr>
                <w:noProof/>
                <w:webHidden/>
              </w:rPr>
              <w:instrText xml:space="preserve"> PAGEREF _Toc143072386 \h </w:instrText>
            </w:r>
            <w:r>
              <w:rPr>
                <w:noProof/>
                <w:webHidden/>
              </w:rPr>
            </w:r>
            <w:r>
              <w:rPr>
                <w:noProof/>
                <w:webHidden/>
              </w:rPr>
              <w:fldChar w:fldCharType="separate"/>
            </w:r>
            <w:r>
              <w:rPr>
                <w:noProof/>
                <w:webHidden/>
              </w:rPr>
              <w:t>5</w:t>
            </w:r>
            <w:r>
              <w:rPr>
                <w:noProof/>
                <w:webHidden/>
              </w:rPr>
              <w:fldChar w:fldCharType="end"/>
            </w:r>
          </w:hyperlink>
        </w:p>
        <w:p w14:paraId="30C2C39D" w14:textId="666E05CD"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87" w:history="1">
            <w:r w:rsidRPr="00AD5DAB">
              <w:rPr>
                <w:rStyle w:val="Hyperlink"/>
                <w:noProof/>
              </w:rPr>
              <w:t>1.2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Regional preparations in response to Resolution 72 (Rev.WRC</w:t>
            </w:r>
            <w:r w:rsidRPr="00AD5DAB">
              <w:rPr>
                <w:rStyle w:val="Hyperlink"/>
                <w:noProof/>
              </w:rPr>
              <w:noBreakHyphen/>
              <w:t>19)</w:t>
            </w:r>
            <w:r>
              <w:rPr>
                <w:noProof/>
                <w:webHidden/>
              </w:rPr>
              <w:tab/>
            </w:r>
            <w:r>
              <w:rPr>
                <w:noProof/>
                <w:webHidden/>
              </w:rPr>
              <w:fldChar w:fldCharType="begin"/>
            </w:r>
            <w:r>
              <w:rPr>
                <w:noProof/>
                <w:webHidden/>
              </w:rPr>
              <w:instrText xml:space="preserve"> PAGEREF _Toc143072387 \h </w:instrText>
            </w:r>
            <w:r>
              <w:rPr>
                <w:noProof/>
                <w:webHidden/>
              </w:rPr>
            </w:r>
            <w:r>
              <w:rPr>
                <w:noProof/>
                <w:webHidden/>
              </w:rPr>
              <w:fldChar w:fldCharType="separate"/>
            </w:r>
            <w:r>
              <w:rPr>
                <w:noProof/>
                <w:webHidden/>
              </w:rPr>
              <w:t>5</w:t>
            </w:r>
            <w:r>
              <w:rPr>
                <w:noProof/>
                <w:webHidden/>
              </w:rPr>
              <w:fldChar w:fldCharType="end"/>
            </w:r>
          </w:hyperlink>
        </w:p>
        <w:p w14:paraId="3AD72990" w14:textId="575EC77B"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88" w:history="1">
            <w:r w:rsidRPr="00AD5DAB">
              <w:rPr>
                <w:rStyle w:val="Hyperlink"/>
                <w:noProof/>
              </w:rPr>
              <w:t>1.3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ITU-R Study Groups work for WRC</w:t>
            </w:r>
            <w:r w:rsidRPr="00AD5DAB">
              <w:rPr>
                <w:rStyle w:val="Hyperlink"/>
                <w:noProof/>
              </w:rPr>
              <w:noBreakHyphen/>
              <w:t>23</w:t>
            </w:r>
            <w:r>
              <w:rPr>
                <w:noProof/>
                <w:webHidden/>
              </w:rPr>
              <w:tab/>
            </w:r>
            <w:r>
              <w:rPr>
                <w:noProof/>
                <w:webHidden/>
              </w:rPr>
              <w:fldChar w:fldCharType="begin"/>
            </w:r>
            <w:r>
              <w:rPr>
                <w:noProof/>
                <w:webHidden/>
              </w:rPr>
              <w:instrText xml:space="preserve"> PAGEREF _Toc143072388 \h </w:instrText>
            </w:r>
            <w:r>
              <w:rPr>
                <w:noProof/>
                <w:webHidden/>
              </w:rPr>
            </w:r>
            <w:r>
              <w:rPr>
                <w:noProof/>
                <w:webHidden/>
              </w:rPr>
              <w:fldChar w:fldCharType="separate"/>
            </w:r>
            <w:r>
              <w:rPr>
                <w:noProof/>
                <w:webHidden/>
              </w:rPr>
              <w:t>5</w:t>
            </w:r>
            <w:r>
              <w:rPr>
                <w:noProof/>
                <w:webHidden/>
              </w:rPr>
              <w:fldChar w:fldCharType="end"/>
            </w:r>
          </w:hyperlink>
        </w:p>
        <w:p w14:paraId="6B6256BF" w14:textId="54F3CDF1"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389" w:history="1">
            <w:r w:rsidRPr="00AD5DAB">
              <w:rPr>
                <w:rStyle w:val="Hyperlink"/>
                <w:noProof/>
              </w:rPr>
              <w:t>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Application of the Radio Regulations for Spaces services</w:t>
            </w:r>
            <w:r>
              <w:rPr>
                <w:noProof/>
                <w:webHidden/>
              </w:rPr>
              <w:tab/>
            </w:r>
            <w:r>
              <w:rPr>
                <w:noProof/>
                <w:webHidden/>
              </w:rPr>
              <w:fldChar w:fldCharType="begin"/>
            </w:r>
            <w:r>
              <w:rPr>
                <w:noProof/>
                <w:webHidden/>
              </w:rPr>
              <w:instrText xml:space="preserve"> PAGEREF _Toc143072389 \h </w:instrText>
            </w:r>
            <w:r>
              <w:rPr>
                <w:noProof/>
                <w:webHidden/>
              </w:rPr>
            </w:r>
            <w:r>
              <w:rPr>
                <w:noProof/>
                <w:webHidden/>
              </w:rPr>
              <w:fldChar w:fldCharType="separate"/>
            </w:r>
            <w:r>
              <w:rPr>
                <w:noProof/>
                <w:webHidden/>
              </w:rPr>
              <w:t>5</w:t>
            </w:r>
            <w:r>
              <w:rPr>
                <w:noProof/>
                <w:webHidden/>
              </w:rPr>
              <w:fldChar w:fldCharType="end"/>
            </w:r>
          </w:hyperlink>
        </w:p>
        <w:p w14:paraId="36A6CAA2" w14:textId="483EC4A3"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90" w:history="1">
            <w:r w:rsidRPr="00AD5DAB">
              <w:rPr>
                <w:rStyle w:val="Hyperlink"/>
                <w:noProof/>
              </w:rPr>
              <w:t>2.1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Introduction</w:t>
            </w:r>
            <w:r>
              <w:rPr>
                <w:noProof/>
                <w:webHidden/>
              </w:rPr>
              <w:tab/>
            </w:r>
            <w:r>
              <w:rPr>
                <w:noProof/>
                <w:webHidden/>
              </w:rPr>
              <w:fldChar w:fldCharType="begin"/>
            </w:r>
            <w:r>
              <w:rPr>
                <w:noProof/>
                <w:webHidden/>
              </w:rPr>
              <w:instrText xml:space="preserve"> PAGEREF _Toc143072390 \h </w:instrText>
            </w:r>
            <w:r>
              <w:rPr>
                <w:noProof/>
                <w:webHidden/>
              </w:rPr>
            </w:r>
            <w:r>
              <w:rPr>
                <w:noProof/>
                <w:webHidden/>
              </w:rPr>
              <w:fldChar w:fldCharType="separate"/>
            </w:r>
            <w:r>
              <w:rPr>
                <w:noProof/>
                <w:webHidden/>
              </w:rPr>
              <w:t>5</w:t>
            </w:r>
            <w:r>
              <w:rPr>
                <w:noProof/>
                <w:webHidden/>
              </w:rPr>
              <w:fldChar w:fldCharType="end"/>
            </w:r>
          </w:hyperlink>
        </w:p>
        <w:p w14:paraId="37B87C66" w14:textId="5988E613"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91" w:history="1">
            <w:r w:rsidRPr="00AD5DAB">
              <w:rPr>
                <w:rStyle w:val="Hyperlink"/>
                <w:noProof/>
              </w:rPr>
              <w:t>2.2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Processing of notices: non-planned services</w:t>
            </w:r>
            <w:r>
              <w:rPr>
                <w:noProof/>
                <w:webHidden/>
              </w:rPr>
              <w:tab/>
            </w:r>
            <w:r>
              <w:rPr>
                <w:noProof/>
                <w:webHidden/>
              </w:rPr>
              <w:fldChar w:fldCharType="begin"/>
            </w:r>
            <w:r>
              <w:rPr>
                <w:noProof/>
                <w:webHidden/>
              </w:rPr>
              <w:instrText xml:space="preserve"> PAGEREF _Toc143072391 \h </w:instrText>
            </w:r>
            <w:r>
              <w:rPr>
                <w:noProof/>
                <w:webHidden/>
              </w:rPr>
            </w:r>
            <w:r>
              <w:rPr>
                <w:noProof/>
                <w:webHidden/>
              </w:rPr>
              <w:fldChar w:fldCharType="separate"/>
            </w:r>
            <w:r>
              <w:rPr>
                <w:noProof/>
                <w:webHidden/>
              </w:rPr>
              <w:t>6</w:t>
            </w:r>
            <w:r>
              <w:rPr>
                <w:noProof/>
                <w:webHidden/>
              </w:rPr>
              <w:fldChar w:fldCharType="end"/>
            </w:r>
          </w:hyperlink>
        </w:p>
        <w:p w14:paraId="3B891CD6" w14:textId="30AEBD05"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392" w:history="1">
            <w:r w:rsidRPr="00AD5DAB">
              <w:rPr>
                <w:rStyle w:val="Hyperlink"/>
                <w:noProof/>
              </w:rPr>
              <w:t>2.2.1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Advance publication information (API)</w:t>
            </w:r>
            <w:r>
              <w:rPr>
                <w:noProof/>
                <w:webHidden/>
              </w:rPr>
              <w:tab/>
            </w:r>
            <w:r>
              <w:rPr>
                <w:noProof/>
                <w:webHidden/>
              </w:rPr>
              <w:fldChar w:fldCharType="begin"/>
            </w:r>
            <w:r>
              <w:rPr>
                <w:noProof/>
                <w:webHidden/>
              </w:rPr>
              <w:instrText xml:space="preserve"> PAGEREF _Toc143072392 \h </w:instrText>
            </w:r>
            <w:r>
              <w:rPr>
                <w:noProof/>
                <w:webHidden/>
              </w:rPr>
            </w:r>
            <w:r>
              <w:rPr>
                <w:noProof/>
                <w:webHidden/>
              </w:rPr>
              <w:fldChar w:fldCharType="separate"/>
            </w:r>
            <w:r>
              <w:rPr>
                <w:noProof/>
                <w:webHidden/>
              </w:rPr>
              <w:t>7</w:t>
            </w:r>
            <w:r>
              <w:rPr>
                <w:noProof/>
                <w:webHidden/>
              </w:rPr>
              <w:fldChar w:fldCharType="end"/>
            </w:r>
          </w:hyperlink>
        </w:p>
        <w:p w14:paraId="16241809" w14:textId="73C8FE92"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393" w:history="1">
            <w:r w:rsidRPr="00AD5DAB">
              <w:rPr>
                <w:rStyle w:val="Hyperlink"/>
                <w:noProof/>
              </w:rPr>
              <w:t>2.2.2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Coordination requests (CR)</w:t>
            </w:r>
            <w:r>
              <w:rPr>
                <w:noProof/>
                <w:webHidden/>
              </w:rPr>
              <w:tab/>
            </w:r>
            <w:r>
              <w:rPr>
                <w:noProof/>
                <w:webHidden/>
              </w:rPr>
              <w:fldChar w:fldCharType="begin"/>
            </w:r>
            <w:r>
              <w:rPr>
                <w:noProof/>
                <w:webHidden/>
              </w:rPr>
              <w:instrText xml:space="preserve"> PAGEREF _Toc143072393 \h </w:instrText>
            </w:r>
            <w:r>
              <w:rPr>
                <w:noProof/>
                <w:webHidden/>
              </w:rPr>
            </w:r>
            <w:r>
              <w:rPr>
                <w:noProof/>
                <w:webHidden/>
              </w:rPr>
              <w:fldChar w:fldCharType="separate"/>
            </w:r>
            <w:r>
              <w:rPr>
                <w:noProof/>
                <w:webHidden/>
              </w:rPr>
              <w:t>8</w:t>
            </w:r>
            <w:r>
              <w:rPr>
                <w:noProof/>
                <w:webHidden/>
              </w:rPr>
              <w:fldChar w:fldCharType="end"/>
            </w:r>
          </w:hyperlink>
        </w:p>
        <w:p w14:paraId="01BAC007" w14:textId="6C72105D"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394" w:history="1">
            <w:r w:rsidRPr="00AD5DAB">
              <w:rPr>
                <w:rStyle w:val="Hyperlink"/>
                <w:noProof/>
              </w:rPr>
              <w:t>2.2.3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Notification for recording in the Master Register</w:t>
            </w:r>
            <w:r>
              <w:rPr>
                <w:noProof/>
                <w:webHidden/>
              </w:rPr>
              <w:tab/>
            </w:r>
            <w:r>
              <w:rPr>
                <w:noProof/>
                <w:webHidden/>
              </w:rPr>
              <w:fldChar w:fldCharType="begin"/>
            </w:r>
            <w:r>
              <w:rPr>
                <w:noProof/>
                <w:webHidden/>
              </w:rPr>
              <w:instrText xml:space="preserve"> PAGEREF _Toc143072394 \h </w:instrText>
            </w:r>
            <w:r>
              <w:rPr>
                <w:noProof/>
                <w:webHidden/>
              </w:rPr>
            </w:r>
            <w:r>
              <w:rPr>
                <w:noProof/>
                <w:webHidden/>
              </w:rPr>
              <w:fldChar w:fldCharType="separate"/>
            </w:r>
            <w:r>
              <w:rPr>
                <w:noProof/>
                <w:webHidden/>
              </w:rPr>
              <w:t>9</w:t>
            </w:r>
            <w:r>
              <w:rPr>
                <w:noProof/>
                <w:webHidden/>
              </w:rPr>
              <w:fldChar w:fldCharType="end"/>
            </w:r>
          </w:hyperlink>
        </w:p>
        <w:p w14:paraId="74658D34" w14:textId="5F635344"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395" w:history="1">
            <w:r w:rsidRPr="00AD5DAB">
              <w:rPr>
                <w:rStyle w:val="Hyperlink"/>
                <w:noProof/>
              </w:rPr>
              <w:t>2.2.4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 xml:space="preserve">Other </w:t>
            </w:r>
            <w:r w:rsidRPr="00AD5DAB">
              <w:rPr>
                <w:rStyle w:val="Hyperlink"/>
                <w:noProof/>
                <w:lang w:val="en-US"/>
              </w:rPr>
              <w:t xml:space="preserve">Resolutions associated with the processing of notices for </w:t>
            </w:r>
            <w:r w:rsidR="00014DF2">
              <w:rPr>
                <w:rStyle w:val="Hyperlink"/>
                <w:noProof/>
                <w:lang w:val="en-US"/>
              </w:rPr>
              <w:br/>
            </w:r>
            <w:r w:rsidRPr="00AD5DAB">
              <w:rPr>
                <w:rStyle w:val="Hyperlink"/>
                <w:noProof/>
                <w:lang w:val="en-US"/>
              </w:rPr>
              <w:t>non-planned services</w:t>
            </w:r>
            <w:r>
              <w:rPr>
                <w:noProof/>
                <w:webHidden/>
              </w:rPr>
              <w:tab/>
            </w:r>
            <w:r>
              <w:rPr>
                <w:noProof/>
                <w:webHidden/>
              </w:rPr>
              <w:fldChar w:fldCharType="begin"/>
            </w:r>
            <w:r>
              <w:rPr>
                <w:noProof/>
                <w:webHidden/>
              </w:rPr>
              <w:instrText xml:space="preserve"> PAGEREF _Toc143072395 \h </w:instrText>
            </w:r>
            <w:r>
              <w:rPr>
                <w:noProof/>
                <w:webHidden/>
              </w:rPr>
            </w:r>
            <w:r>
              <w:rPr>
                <w:noProof/>
                <w:webHidden/>
              </w:rPr>
              <w:fldChar w:fldCharType="separate"/>
            </w:r>
            <w:r>
              <w:rPr>
                <w:noProof/>
                <w:webHidden/>
              </w:rPr>
              <w:t>12</w:t>
            </w:r>
            <w:r>
              <w:rPr>
                <w:noProof/>
                <w:webHidden/>
              </w:rPr>
              <w:fldChar w:fldCharType="end"/>
            </w:r>
          </w:hyperlink>
        </w:p>
        <w:p w14:paraId="76E6FABA" w14:textId="2B6C6BE8"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96" w:history="1">
            <w:r w:rsidRPr="00AD5DAB">
              <w:rPr>
                <w:rStyle w:val="Hyperlink"/>
                <w:noProof/>
              </w:rPr>
              <w:t>2.3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Processing of notices: planned services</w:t>
            </w:r>
            <w:r>
              <w:rPr>
                <w:noProof/>
                <w:webHidden/>
              </w:rPr>
              <w:tab/>
            </w:r>
            <w:r>
              <w:rPr>
                <w:noProof/>
                <w:webHidden/>
              </w:rPr>
              <w:fldChar w:fldCharType="begin"/>
            </w:r>
            <w:r>
              <w:rPr>
                <w:noProof/>
                <w:webHidden/>
              </w:rPr>
              <w:instrText xml:space="preserve"> PAGEREF _Toc143072396 \h </w:instrText>
            </w:r>
            <w:r>
              <w:rPr>
                <w:noProof/>
                <w:webHidden/>
              </w:rPr>
            </w:r>
            <w:r>
              <w:rPr>
                <w:noProof/>
                <w:webHidden/>
              </w:rPr>
              <w:fldChar w:fldCharType="separate"/>
            </w:r>
            <w:r>
              <w:rPr>
                <w:noProof/>
                <w:webHidden/>
              </w:rPr>
              <w:t>20</w:t>
            </w:r>
            <w:r>
              <w:rPr>
                <w:noProof/>
                <w:webHidden/>
              </w:rPr>
              <w:fldChar w:fldCharType="end"/>
            </w:r>
          </w:hyperlink>
        </w:p>
        <w:p w14:paraId="162DA5A3" w14:textId="2293759A"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397" w:history="1">
            <w:r w:rsidRPr="00AD5DAB">
              <w:rPr>
                <w:rStyle w:val="Hyperlink"/>
                <w:noProof/>
              </w:rPr>
              <w:t>2.3.1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Appendices 30 and 30A</w:t>
            </w:r>
            <w:r>
              <w:rPr>
                <w:noProof/>
                <w:webHidden/>
              </w:rPr>
              <w:tab/>
            </w:r>
            <w:r>
              <w:rPr>
                <w:noProof/>
                <w:webHidden/>
              </w:rPr>
              <w:fldChar w:fldCharType="begin"/>
            </w:r>
            <w:r>
              <w:rPr>
                <w:noProof/>
                <w:webHidden/>
              </w:rPr>
              <w:instrText xml:space="preserve"> PAGEREF _Toc143072397 \h </w:instrText>
            </w:r>
            <w:r>
              <w:rPr>
                <w:noProof/>
                <w:webHidden/>
              </w:rPr>
            </w:r>
            <w:r>
              <w:rPr>
                <w:noProof/>
                <w:webHidden/>
              </w:rPr>
              <w:fldChar w:fldCharType="separate"/>
            </w:r>
            <w:r>
              <w:rPr>
                <w:noProof/>
                <w:webHidden/>
              </w:rPr>
              <w:t>20</w:t>
            </w:r>
            <w:r>
              <w:rPr>
                <w:noProof/>
                <w:webHidden/>
              </w:rPr>
              <w:fldChar w:fldCharType="end"/>
            </w:r>
          </w:hyperlink>
        </w:p>
        <w:p w14:paraId="70381FA0" w14:textId="397A3DB0"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398" w:history="1">
            <w:r w:rsidRPr="00AD5DAB">
              <w:rPr>
                <w:rStyle w:val="Hyperlink"/>
                <w:noProof/>
              </w:rPr>
              <w:t>2.3.2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Appendix 30B</w:t>
            </w:r>
            <w:r>
              <w:rPr>
                <w:noProof/>
                <w:webHidden/>
              </w:rPr>
              <w:tab/>
            </w:r>
            <w:r>
              <w:rPr>
                <w:noProof/>
                <w:webHidden/>
              </w:rPr>
              <w:fldChar w:fldCharType="begin"/>
            </w:r>
            <w:r>
              <w:rPr>
                <w:noProof/>
                <w:webHidden/>
              </w:rPr>
              <w:instrText xml:space="preserve"> PAGEREF _Toc143072398 \h </w:instrText>
            </w:r>
            <w:r>
              <w:rPr>
                <w:noProof/>
                <w:webHidden/>
              </w:rPr>
            </w:r>
            <w:r>
              <w:rPr>
                <w:noProof/>
                <w:webHidden/>
              </w:rPr>
              <w:fldChar w:fldCharType="separate"/>
            </w:r>
            <w:r>
              <w:rPr>
                <w:noProof/>
                <w:webHidden/>
              </w:rPr>
              <w:t>26</w:t>
            </w:r>
            <w:r>
              <w:rPr>
                <w:noProof/>
                <w:webHidden/>
              </w:rPr>
              <w:fldChar w:fldCharType="end"/>
            </w:r>
          </w:hyperlink>
        </w:p>
        <w:p w14:paraId="34222CEB" w14:textId="44B85AB4"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399" w:history="1">
            <w:r w:rsidRPr="00AD5DAB">
              <w:rPr>
                <w:rStyle w:val="Hyperlink"/>
                <w:noProof/>
              </w:rPr>
              <w:t>2.4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Other Resolutions applicable to both planned and non-planned services</w:t>
            </w:r>
            <w:r>
              <w:rPr>
                <w:noProof/>
                <w:webHidden/>
              </w:rPr>
              <w:tab/>
            </w:r>
            <w:r>
              <w:rPr>
                <w:noProof/>
                <w:webHidden/>
              </w:rPr>
              <w:fldChar w:fldCharType="begin"/>
            </w:r>
            <w:r>
              <w:rPr>
                <w:noProof/>
                <w:webHidden/>
              </w:rPr>
              <w:instrText xml:space="preserve"> PAGEREF _Toc143072399 \h </w:instrText>
            </w:r>
            <w:r>
              <w:rPr>
                <w:noProof/>
                <w:webHidden/>
              </w:rPr>
            </w:r>
            <w:r>
              <w:rPr>
                <w:noProof/>
                <w:webHidden/>
              </w:rPr>
              <w:fldChar w:fldCharType="separate"/>
            </w:r>
            <w:r>
              <w:rPr>
                <w:noProof/>
                <w:webHidden/>
              </w:rPr>
              <w:t>30</w:t>
            </w:r>
            <w:r>
              <w:rPr>
                <w:noProof/>
                <w:webHidden/>
              </w:rPr>
              <w:fldChar w:fldCharType="end"/>
            </w:r>
          </w:hyperlink>
        </w:p>
        <w:p w14:paraId="1E220D83" w14:textId="52C3957B"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0" w:history="1">
            <w:r w:rsidRPr="00AD5DAB">
              <w:rPr>
                <w:rStyle w:val="Hyperlink"/>
                <w:noProof/>
              </w:rPr>
              <w:t>2.4.1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40 (Rev.WRC-19)</w:t>
            </w:r>
            <w:r>
              <w:rPr>
                <w:noProof/>
                <w:webHidden/>
              </w:rPr>
              <w:tab/>
            </w:r>
            <w:r>
              <w:rPr>
                <w:noProof/>
                <w:webHidden/>
              </w:rPr>
              <w:fldChar w:fldCharType="begin"/>
            </w:r>
            <w:r>
              <w:rPr>
                <w:noProof/>
                <w:webHidden/>
              </w:rPr>
              <w:instrText xml:space="preserve"> PAGEREF _Toc143072400 \h </w:instrText>
            </w:r>
            <w:r>
              <w:rPr>
                <w:noProof/>
                <w:webHidden/>
              </w:rPr>
            </w:r>
            <w:r>
              <w:rPr>
                <w:noProof/>
                <w:webHidden/>
              </w:rPr>
              <w:fldChar w:fldCharType="separate"/>
            </w:r>
            <w:r>
              <w:rPr>
                <w:noProof/>
                <w:webHidden/>
              </w:rPr>
              <w:t>30</w:t>
            </w:r>
            <w:r>
              <w:rPr>
                <w:noProof/>
                <w:webHidden/>
              </w:rPr>
              <w:fldChar w:fldCharType="end"/>
            </w:r>
          </w:hyperlink>
        </w:p>
        <w:p w14:paraId="1B6D21C6" w14:textId="422E3EE5"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1" w:history="1">
            <w:r w:rsidRPr="00AD5DAB">
              <w:rPr>
                <w:rStyle w:val="Hyperlink"/>
                <w:noProof/>
              </w:rPr>
              <w:t>2.4.2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49 (Rev.WRC</w:t>
            </w:r>
            <w:r w:rsidRPr="00AD5DAB">
              <w:rPr>
                <w:rStyle w:val="Hyperlink"/>
                <w:noProof/>
              </w:rPr>
              <w:noBreakHyphen/>
              <w:t>19) – Due diligence</w:t>
            </w:r>
            <w:r>
              <w:rPr>
                <w:noProof/>
                <w:webHidden/>
              </w:rPr>
              <w:tab/>
            </w:r>
            <w:r>
              <w:rPr>
                <w:noProof/>
                <w:webHidden/>
              </w:rPr>
              <w:fldChar w:fldCharType="begin"/>
            </w:r>
            <w:r>
              <w:rPr>
                <w:noProof/>
                <w:webHidden/>
              </w:rPr>
              <w:instrText xml:space="preserve"> PAGEREF _Toc143072401 \h </w:instrText>
            </w:r>
            <w:r>
              <w:rPr>
                <w:noProof/>
                <w:webHidden/>
              </w:rPr>
            </w:r>
            <w:r>
              <w:rPr>
                <w:noProof/>
                <w:webHidden/>
              </w:rPr>
              <w:fldChar w:fldCharType="separate"/>
            </w:r>
            <w:r>
              <w:rPr>
                <w:noProof/>
                <w:webHidden/>
              </w:rPr>
              <w:t>31</w:t>
            </w:r>
            <w:r>
              <w:rPr>
                <w:noProof/>
                <w:webHidden/>
              </w:rPr>
              <w:fldChar w:fldCharType="end"/>
            </w:r>
          </w:hyperlink>
        </w:p>
        <w:p w14:paraId="44B571D6" w14:textId="470A9018"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2" w:history="1">
            <w:r w:rsidRPr="00AD5DAB">
              <w:rPr>
                <w:rStyle w:val="Hyperlink"/>
                <w:noProof/>
              </w:rPr>
              <w:t>2.4.3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55 (Rev.WRC</w:t>
            </w:r>
            <w:r w:rsidRPr="00AD5DAB">
              <w:rPr>
                <w:rStyle w:val="Hyperlink"/>
                <w:noProof/>
              </w:rPr>
              <w:noBreakHyphen/>
              <w:t>19)</w:t>
            </w:r>
            <w:r>
              <w:rPr>
                <w:noProof/>
                <w:webHidden/>
              </w:rPr>
              <w:tab/>
            </w:r>
            <w:r>
              <w:rPr>
                <w:noProof/>
                <w:webHidden/>
              </w:rPr>
              <w:fldChar w:fldCharType="begin"/>
            </w:r>
            <w:r>
              <w:rPr>
                <w:noProof/>
                <w:webHidden/>
              </w:rPr>
              <w:instrText xml:space="preserve"> PAGEREF _Toc143072402 \h </w:instrText>
            </w:r>
            <w:r>
              <w:rPr>
                <w:noProof/>
                <w:webHidden/>
              </w:rPr>
            </w:r>
            <w:r>
              <w:rPr>
                <w:noProof/>
                <w:webHidden/>
              </w:rPr>
              <w:fldChar w:fldCharType="separate"/>
            </w:r>
            <w:r>
              <w:rPr>
                <w:noProof/>
                <w:webHidden/>
              </w:rPr>
              <w:t>32</w:t>
            </w:r>
            <w:r>
              <w:rPr>
                <w:noProof/>
                <w:webHidden/>
              </w:rPr>
              <w:fldChar w:fldCharType="end"/>
            </w:r>
          </w:hyperlink>
        </w:p>
        <w:p w14:paraId="7FDCEE76" w14:textId="42044D5D"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3" w:history="1">
            <w:r w:rsidRPr="00AD5DAB">
              <w:rPr>
                <w:rStyle w:val="Hyperlink"/>
                <w:noProof/>
              </w:rPr>
              <w:t>2.4.4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907 (Rev.WRC</w:t>
            </w:r>
            <w:r w:rsidRPr="00AD5DAB">
              <w:rPr>
                <w:rStyle w:val="Hyperlink"/>
                <w:noProof/>
              </w:rPr>
              <w:noBreakHyphen/>
              <w:t>15)</w:t>
            </w:r>
            <w:r>
              <w:rPr>
                <w:noProof/>
                <w:webHidden/>
              </w:rPr>
              <w:tab/>
            </w:r>
            <w:r>
              <w:rPr>
                <w:noProof/>
                <w:webHidden/>
              </w:rPr>
              <w:fldChar w:fldCharType="begin"/>
            </w:r>
            <w:r>
              <w:rPr>
                <w:noProof/>
                <w:webHidden/>
              </w:rPr>
              <w:instrText xml:space="preserve"> PAGEREF _Toc143072403 \h </w:instrText>
            </w:r>
            <w:r>
              <w:rPr>
                <w:noProof/>
                <w:webHidden/>
              </w:rPr>
            </w:r>
            <w:r>
              <w:rPr>
                <w:noProof/>
                <w:webHidden/>
              </w:rPr>
              <w:fldChar w:fldCharType="separate"/>
            </w:r>
            <w:r>
              <w:rPr>
                <w:noProof/>
                <w:webHidden/>
              </w:rPr>
              <w:t>32</w:t>
            </w:r>
            <w:r>
              <w:rPr>
                <w:noProof/>
                <w:webHidden/>
              </w:rPr>
              <w:fldChar w:fldCharType="end"/>
            </w:r>
          </w:hyperlink>
        </w:p>
        <w:p w14:paraId="59B52F42" w14:textId="1C5A666B"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04" w:history="1">
            <w:r w:rsidRPr="00AD5DAB">
              <w:rPr>
                <w:rStyle w:val="Hyperlink"/>
                <w:noProof/>
              </w:rPr>
              <w:t>2.4.5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908 (Rev.WRC-15)</w:t>
            </w:r>
            <w:r>
              <w:rPr>
                <w:noProof/>
                <w:webHidden/>
              </w:rPr>
              <w:tab/>
            </w:r>
            <w:r>
              <w:rPr>
                <w:noProof/>
                <w:webHidden/>
              </w:rPr>
              <w:fldChar w:fldCharType="begin"/>
            </w:r>
            <w:r>
              <w:rPr>
                <w:noProof/>
                <w:webHidden/>
              </w:rPr>
              <w:instrText xml:space="preserve"> PAGEREF _Toc143072404 \h </w:instrText>
            </w:r>
            <w:r>
              <w:rPr>
                <w:noProof/>
                <w:webHidden/>
              </w:rPr>
            </w:r>
            <w:r>
              <w:rPr>
                <w:noProof/>
                <w:webHidden/>
              </w:rPr>
              <w:fldChar w:fldCharType="separate"/>
            </w:r>
            <w:r>
              <w:rPr>
                <w:noProof/>
                <w:webHidden/>
              </w:rPr>
              <w:t>33</w:t>
            </w:r>
            <w:r>
              <w:rPr>
                <w:noProof/>
                <w:webHidden/>
              </w:rPr>
              <w:fldChar w:fldCharType="end"/>
            </w:r>
          </w:hyperlink>
        </w:p>
        <w:p w14:paraId="16E2E3B3" w14:textId="2FC686EE"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05" w:history="1">
            <w:r w:rsidRPr="00AD5DAB">
              <w:rPr>
                <w:rStyle w:val="Hyperlink"/>
                <w:noProof/>
              </w:rPr>
              <w:t>2.5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 xml:space="preserve">Treatment of frequency assignments with a bandwidth less than the stated </w:t>
            </w:r>
            <w:r w:rsidR="00176D96">
              <w:rPr>
                <w:rStyle w:val="Hyperlink"/>
                <w:noProof/>
              </w:rPr>
              <w:br/>
            </w:r>
            <w:r w:rsidRPr="00AD5DAB">
              <w:rPr>
                <w:rStyle w:val="Hyperlink"/>
                <w:noProof/>
              </w:rPr>
              <w:t>averaging bandwidth</w:t>
            </w:r>
            <w:r>
              <w:rPr>
                <w:noProof/>
                <w:webHidden/>
              </w:rPr>
              <w:tab/>
            </w:r>
            <w:r>
              <w:rPr>
                <w:noProof/>
                <w:webHidden/>
              </w:rPr>
              <w:fldChar w:fldCharType="begin"/>
            </w:r>
            <w:r>
              <w:rPr>
                <w:noProof/>
                <w:webHidden/>
              </w:rPr>
              <w:instrText xml:space="preserve"> PAGEREF _Toc143072405 \h </w:instrText>
            </w:r>
            <w:r>
              <w:rPr>
                <w:noProof/>
                <w:webHidden/>
              </w:rPr>
            </w:r>
            <w:r>
              <w:rPr>
                <w:noProof/>
                <w:webHidden/>
              </w:rPr>
              <w:fldChar w:fldCharType="separate"/>
            </w:r>
            <w:r>
              <w:rPr>
                <w:noProof/>
                <w:webHidden/>
              </w:rPr>
              <w:t>34</w:t>
            </w:r>
            <w:r>
              <w:rPr>
                <w:noProof/>
                <w:webHidden/>
              </w:rPr>
              <w:fldChar w:fldCharType="end"/>
            </w:r>
          </w:hyperlink>
        </w:p>
        <w:p w14:paraId="19461303" w14:textId="05E65317"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6" w:history="1">
            <w:r w:rsidRPr="00AD5DAB">
              <w:rPr>
                <w:rStyle w:val="Hyperlink"/>
                <w:noProof/>
              </w:rPr>
              <w:t>2.5.1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Implementation of Space validation rules</w:t>
            </w:r>
            <w:r>
              <w:rPr>
                <w:noProof/>
                <w:webHidden/>
              </w:rPr>
              <w:tab/>
            </w:r>
            <w:r>
              <w:rPr>
                <w:noProof/>
                <w:webHidden/>
              </w:rPr>
              <w:fldChar w:fldCharType="begin"/>
            </w:r>
            <w:r>
              <w:rPr>
                <w:noProof/>
                <w:webHidden/>
              </w:rPr>
              <w:instrText xml:space="preserve"> PAGEREF _Toc143072406 \h </w:instrText>
            </w:r>
            <w:r>
              <w:rPr>
                <w:noProof/>
                <w:webHidden/>
              </w:rPr>
            </w:r>
            <w:r>
              <w:rPr>
                <w:noProof/>
                <w:webHidden/>
              </w:rPr>
              <w:fldChar w:fldCharType="separate"/>
            </w:r>
            <w:r>
              <w:rPr>
                <w:noProof/>
                <w:webHidden/>
              </w:rPr>
              <w:t>35</w:t>
            </w:r>
            <w:r>
              <w:rPr>
                <w:noProof/>
                <w:webHidden/>
              </w:rPr>
              <w:fldChar w:fldCharType="end"/>
            </w:r>
          </w:hyperlink>
        </w:p>
        <w:p w14:paraId="30540A6B" w14:textId="383FF4E5"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7" w:history="1">
            <w:r w:rsidRPr="00AD5DAB">
              <w:rPr>
                <w:rStyle w:val="Hyperlink"/>
                <w:noProof/>
              </w:rPr>
              <w:t>2.5.2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New version of GIBC software</w:t>
            </w:r>
            <w:r>
              <w:rPr>
                <w:noProof/>
                <w:webHidden/>
              </w:rPr>
              <w:tab/>
            </w:r>
            <w:r>
              <w:rPr>
                <w:noProof/>
                <w:webHidden/>
              </w:rPr>
              <w:fldChar w:fldCharType="begin"/>
            </w:r>
            <w:r>
              <w:rPr>
                <w:noProof/>
                <w:webHidden/>
              </w:rPr>
              <w:instrText xml:space="preserve"> PAGEREF _Toc143072407 \h </w:instrText>
            </w:r>
            <w:r>
              <w:rPr>
                <w:noProof/>
                <w:webHidden/>
              </w:rPr>
            </w:r>
            <w:r>
              <w:rPr>
                <w:noProof/>
                <w:webHidden/>
              </w:rPr>
              <w:fldChar w:fldCharType="separate"/>
            </w:r>
            <w:r>
              <w:rPr>
                <w:noProof/>
                <w:webHidden/>
              </w:rPr>
              <w:t>35</w:t>
            </w:r>
            <w:r>
              <w:rPr>
                <w:noProof/>
                <w:webHidden/>
              </w:rPr>
              <w:fldChar w:fldCharType="end"/>
            </w:r>
          </w:hyperlink>
        </w:p>
        <w:p w14:paraId="23208AC8" w14:textId="67DE71E6"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08" w:history="1">
            <w:r w:rsidRPr="00AD5DAB">
              <w:rPr>
                <w:rStyle w:val="Hyperlink"/>
                <w:noProof/>
              </w:rPr>
              <w:t>2.5.3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Implementing an on-line pfd verification program (GSO and non-GSO)</w:t>
            </w:r>
            <w:r>
              <w:rPr>
                <w:noProof/>
                <w:webHidden/>
              </w:rPr>
              <w:tab/>
            </w:r>
            <w:r>
              <w:rPr>
                <w:noProof/>
                <w:webHidden/>
              </w:rPr>
              <w:fldChar w:fldCharType="begin"/>
            </w:r>
            <w:r>
              <w:rPr>
                <w:noProof/>
                <w:webHidden/>
              </w:rPr>
              <w:instrText xml:space="preserve"> PAGEREF _Toc143072408 \h </w:instrText>
            </w:r>
            <w:r>
              <w:rPr>
                <w:noProof/>
                <w:webHidden/>
              </w:rPr>
            </w:r>
            <w:r>
              <w:rPr>
                <w:noProof/>
                <w:webHidden/>
              </w:rPr>
              <w:fldChar w:fldCharType="separate"/>
            </w:r>
            <w:r>
              <w:rPr>
                <w:noProof/>
                <w:webHidden/>
              </w:rPr>
              <w:t>35</w:t>
            </w:r>
            <w:r>
              <w:rPr>
                <w:noProof/>
                <w:webHidden/>
              </w:rPr>
              <w:fldChar w:fldCharType="end"/>
            </w:r>
          </w:hyperlink>
        </w:p>
        <w:p w14:paraId="3278E151" w14:textId="7209DCE1"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09" w:history="1">
            <w:r w:rsidRPr="00AD5DAB">
              <w:rPr>
                <w:rStyle w:val="Hyperlink"/>
                <w:noProof/>
              </w:rPr>
              <w:t>2.6</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Special assistance on coordination, notification and Plans</w:t>
            </w:r>
            <w:r>
              <w:rPr>
                <w:noProof/>
                <w:webHidden/>
              </w:rPr>
              <w:tab/>
            </w:r>
            <w:r>
              <w:rPr>
                <w:noProof/>
                <w:webHidden/>
              </w:rPr>
              <w:fldChar w:fldCharType="begin"/>
            </w:r>
            <w:r>
              <w:rPr>
                <w:noProof/>
                <w:webHidden/>
              </w:rPr>
              <w:instrText xml:space="preserve"> PAGEREF _Toc143072409 \h </w:instrText>
            </w:r>
            <w:r>
              <w:rPr>
                <w:noProof/>
                <w:webHidden/>
              </w:rPr>
            </w:r>
            <w:r>
              <w:rPr>
                <w:noProof/>
                <w:webHidden/>
              </w:rPr>
              <w:fldChar w:fldCharType="separate"/>
            </w:r>
            <w:r>
              <w:rPr>
                <w:noProof/>
                <w:webHidden/>
              </w:rPr>
              <w:t>35</w:t>
            </w:r>
            <w:r>
              <w:rPr>
                <w:noProof/>
                <w:webHidden/>
              </w:rPr>
              <w:fldChar w:fldCharType="end"/>
            </w:r>
          </w:hyperlink>
        </w:p>
        <w:p w14:paraId="62689EEA" w14:textId="78A75583"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10" w:history="1">
            <w:r w:rsidRPr="00AD5DAB">
              <w:rPr>
                <w:rStyle w:val="Hyperlink"/>
                <w:noProof/>
              </w:rPr>
              <w:t>2.6.1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Assistance cases for non-planned services</w:t>
            </w:r>
            <w:r>
              <w:rPr>
                <w:noProof/>
                <w:webHidden/>
              </w:rPr>
              <w:tab/>
            </w:r>
            <w:r>
              <w:rPr>
                <w:noProof/>
                <w:webHidden/>
              </w:rPr>
              <w:fldChar w:fldCharType="begin"/>
            </w:r>
            <w:r>
              <w:rPr>
                <w:noProof/>
                <w:webHidden/>
              </w:rPr>
              <w:instrText xml:space="preserve"> PAGEREF _Toc143072410 \h </w:instrText>
            </w:r>
            <w:r>
              <w:rPr>
                <w:noProof/>
                <w:webHidden/>
              </w:rPr>
            </w:r>
            <w:r>
              <w:rPr>
                <w:noProof/>
                <w:webHidden/>
              </w:rPr>
              <w:fldChar w:fldCharType="separate"/>
            </w:r>
            <w:r>
              <w:rPr>
                <w:noProof/>
                <w:webHidden/>
              </w:rPr>
              <w:t>35</w:t>
            </w:r>
            <w:r>
              <w:rPr>
                <w:noProof/>
                <w:webHidden/>
              </w:rPr>
              <w:fldChar w:fldCharType="end"/>
            </w:r>
          </w:hyperlink>
        </w:p>
        <w:p w14:paraId="62A56394" w14:textId="184B4165"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11" w:history="1">
            <w:r w:rsidRPr="00AD5DAB">
              <w:rPr>
                <w:rStyle w:val="Hyperlink"/>
                <w:noProof/>
              </w:rPr>
              <w:t>2.6.2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Assistance cases for Appendices 30, 30A and 30B</w:t>
            </w:r>
            <w:r>
              <w:rPr>
                <w:noProof/>
                <w:webHidden/>
              </w:rPr>
              <w:tab/>
            </w:r>
            <w:r>
              <w:rPr>
                <w:noProof/>
                <w:webHidden/>
              </w:rPr>
              <w:fldChar w:fldCharType="begin"/>
            </w:r>
            <w:r>
              <w:rPr>
                <w:noProof/>
                <w:webHidden/>
              </w:rPr>
              <w:instrText xml:space="preserve"> PAGEREF _Toc143072411 \h </w:instrText>
            </w:r>
            <w:r>
              <w:rPr>
                <w:noProof/>
                <w:webHidden/>
              </w:rPr>
            </w:r>
            <w:r>
              <w:rPr>
                <w:noProof/>
                <w:webHidden/>
              </w:rPr>
              <w:fldChar w:fldCharType="separate"/>
            </w:r>
            <w:r>
              <w:rPr>
                <w:noProof/>
                <w:webHidden/>
              </w:rPr>
              <w:t>36</w:t>
            </w:r>
            <w:r>
              <w:rPr>
                <w:noProof/>
                <w:webHidden/>
              </w:rPr>
              <w:fldChar w:fldCharType="end"/>
            </w:r>
          </w:hyperlink>
        </w:p>
        <w:p w14:paraId="7DEA062B" w14:textId="1FD87C15"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12" w:history="1">
            <w:r w:rsidRPr="00AD5DAB">
              <w:rPr>
                <w:rStyle w:val="Hyperlink"/>
                <w:noProof/>
              </w:rPr>
              <w:t>2.6.3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Request for assistance under § 4.1.10a of Article 4 of Appendices 30/30A</w:t>
            </w:r>
            <w:r>
              <w:rPr>
                <w:noProof/>
                <w:webHidden/>
              </w:rPr>
              <w:tab/>
            </w:r>
            <w:r>
              <w:rPr>
                <w:noProof/>
                <w:webHidden/>
              </w:rPr>
              <w:fldChar w:fldCharType="begin"/>
            </w:r>
            <w:r>
              <w:rPr>
                <w:noProof/>
                <w:webHidden/>
              </w:rPr>
              <w:instrText xml:space="preserve"> PAGEREF _Toc143072412 \h </w:instrText>
            </w:r>
            <w:r>
              <w:rPr>
                <w:noProof/>
                <w:webHidden/>
              </w:rPr>
            </w:r>
            <w:r>
              <w:rPr>
                <w:noProof/>
                <w:webHidden/>
              </w:rPr>
              <w:fldChar w:fldCharType="separate"/>
            </w:r>
            <w:r>
              <w:rPr>
                <w:noProof/>
                <w:webHidden/>
              </w:rPr>
              <w:t>36</w:t>
            </w:r>
            <w:r>
              <w:rPr>
                <w:noProof/>
                <w:webHidden/>
              </w:rPr>
              <w:fldChar w:fldCharType="end"/>
            </w:r>
          </w:hyperlink>
        </w:p>
        <w:p w14:paraId="15FBA4EC" w14:textId="57E54A39"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13" w:history="1">
            <w:r w:rsidRPr="00AD5DAB">
              <w:rPr>
                <w:rStyle w:val="Hyperlink"/>
                <w:noProof/>
              </w:rPr>
              <w:t>2.6.4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Request for assistance under § 6.13 of Article 6 of Appendix 30B</w:t>
            </w:r>
            <w:r>
              <w:rPr>
                <w:noProof/>
                <w:webHidden/>
              </w:rPr>
              <w:tab/>
            </w:r>
            <w:r>
              <w:rPr>
                <w:noProof/>
                <w:webHidden/>
              </w:rPr>
              <w:fldChar w:fldCharType="begin"/>
            </w:r>
            <w:r>
              <w:rPr>
                <w:noProof/>
                <w:webHidden/>
              </w:rPr>
              <w:instrText xml:space="preserve"> PAGEREF _Toc143072413 \h </w:instrText>
            </w:r>
            <w:r>
              <w:rPr>
                <w:noProof/>
                <w:webHidden/>
              </w:rPr>
            </w:r>
            <w:r>
              <w:rPr>
                <w:noProof/>
                <w:webHidden/>
              </w:rPr>
              <w:fldChar w:fldCharType="separate"/>
            </w:r>
            <w:r>
              <w:rPr>
                <w:noProof/>
                <w:webHidden/>
              </w:rPr>
              <w:t>37</w:t>
            </w:r>
            <w:r>
              <w:rPr>
                <w:noProof/>
                <w:webHidden/>
              </w:rPr>
              <w:fldChar w:fldCharType="end"/>
            </w:r>
          </w:hyperlink>
        </w:p>
        <w:p w14:paraId="71F2AA9A" w14:textId="6E33209D"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14" w:history="1">
            <w:r w:rsidRPr="00AD5DAB">
              <w:rPr>
                <w:rStyle w:val="Hyperlink"/>
                <w:noProof/>
              </w:rPr>
              <w:t>2.7</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 xml:space="preserve">Cost recovery for processing satellite network filings </w:t>
            </w:r>
            <w:r w:rsidR="00176D96">
              <w:rPr>
                <w:rStyle w:val="Hyperlink"/>
                <w:noProof/>
              </w:rPr>
              <w:br/>
            </w:r>
            <w:r w:rsidRPr="00AD5DAB">
              <w:rPr>
                <w:rStyle w:val="Hyperlink"/>
                <w:noProof/>
              </w:rPr>
              <w:t>(Council Decision 482)</w:t>
            </w:r>
            <w:r>
              <w:rPr>
                <w:noProof/>
                <w:webHidden/>
              </w:rPr>
              <w:tab/>
            </w:r>
            <w:r>
              <w:rPr>
                <w:noProof/>
                <w:webHidden/>
              </w:rPr>
              <w:fldChar w:fldCharType="begin"/>
            </w:r>
            <w:r>
              <w:rPr>
                <w:noProof/>
                <w:webHidden/>
              </w:rPr>
              <w:instrText xml:space="preserve"> PAGEREF _Toc143072414 \h </w:instrText>
            </w:r>
            <w:r>
              <w:rPr>
                <w:noProof/>
                <w:webHidden/>
              </w:rPr>
            </w:r>
            <w:r>
              <w:rPr>
                <w:noProof/>
                <w:webHidden/>
              </w:rPr>
              <w:fldChar w:fldCharType="separate"/>
            </w:r>
            <w:r>
              <w:rPr>
                <w:noProof/>
                <w:webHidden/>
              </w:rPr>
              <w:t>37</w:t>
            </w:r>
            <w:r>
              <w:rPr>
                <w:noProof/>
                <w:webHidden/>
              </w:rPr>
              <w:fldChar w:fldCharType="end"/>
            </w:r>
          </w:hyperlink>
        </w:p>
        <w:p w14:paraId="0587D0FB" w14:textId="76F9B135"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415" w:history="1">
            <w:r w:rsidRPr="00AD5DAB">
              <w:rPr>
                <w:rStyle w:val="Hyperlink"/>
                <w:noProof/>
                <w:lang w:val="en-US"/>
              </w:rPr>
              <w:t>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Application</w:t>
            </w:r>
            <w:r w:rsidRPr="00AD5DAB">
              <w:rPr>
                <w:rStyle w:val="Hyperlink"/>
                <w:noProof/>
                <w:lang w:val="en-US"/>
              </w:rPr>
              <w:t xml:space="preserve"> of the Radio Regulations for terrestrial services</w:t>
            </w:r>
            <w:r>
              <w:rPr>
                <w:noProof/>
                <w:webHidden/>
              </w:rPr>
              <w:tab/>
            </w:r>
            <w:r>
              <w:rPr>
                <w:noProof/>
                <w:webHidden/>
              </w:rPr>
              <w:fldChar w:fldCharType="begin"/>
            </w:r>
            <w:r>
              <w:rPr>
                <w:noProof/>
                <w:webHidden/>
              </w:rPr>
              <w:instrText xml:space="preserve"> PAGEREF _Toc143072415 \h </w:instrText>
            </w:r>
            <w:r>
              <w:rPr>
                <w:noProof/>
                <w:webHidden/>
              </w:rPr>
            </w:r>
            <w:r>
              <w:rPr>
                <w:noProof/>
                <w:webHidden/>
              </w:rPr>
              <w:fldChar w:fldCharType="separate"/>
            </w:r>
            <w:r>
              <w:rPr>
                <w:noProof/>
                <w:webHidden/>
              </w:rPr>
              <w:t>38</w:t>
            </w:r>
            <w:r>
              <w:rPr>
                <w:noProof/>
                <w:webHidden/>
              </w:rPr>
              <w:fldChar w:fldCharType="end"/>
            </w:r>
          </w:hyperlink>
        </w:p>
        <w:p w14:paraId="4668EA8D" w14:textId="5C6818BD"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16" w:history="1">
            <w:r w:rsidRPr="00AD5DAB">
              <w:rPr>
                <w:rStyle w:val="Hyperlink"/>
                <w:noProof/>
              </w:rPr>
              <w:t>3.1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General observations</w:t>
            </w:r>
            <w:r>
              <w:rPr>
                <w:noProof/>
                <w:webHidden/>
              </w:rPr>
              <w:tab/>
            </w:r>
            <w:r>
              <w:rPr>
                <w:noProof/>
                <w:webHidden/>
              </w:rPr>
              <w:fldChar w:fldCharType="begin"/>
            </w:r>
            <w:r>
              <w:rPr>
                <w:noProof/>
                <w:webHidden/>
              </w:rPr>
              <w:instrText xml:space="preserve"> PAGEREF _Toc143072416 \h </w:instrText>
            </w:r>
            <w:r>
              <w:rPr>
                <w:noProof/>
                <w:webHidden/>
              </w:rPr>
            </w:r>
            <w:r>
              <w:rPr>
                <w:noProof/>
                <w:webHidden/>
              </w:rPr>
              <w:fldChar w:fldCharType="separate"/>
            </w:r>
            <w:r>
              <w:rPr>
                <w:noProof/>
                <w:webHidden/>
              </w:rPr>
              <w:t>38</w:t>
            </w:r>
            <w:r>
              <w:rPr>
                <w:noProof/>
                <w:webHidden/>
              </w:rPr>
              <w:fldChar w:fldCharType="end"/>
            </w:r>
          </w:hyperlink>
        </w:p>
        <w:p w14:paraId="41FAF3FF" w14:textId="13BE15F8"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17" w:history="1">
            <w:r w:rsidRPr="00AD5DAB">
              <w:rPr>
                <w:rStyle w:val="Hyperlink"/>
                <w:noProof/>
              </w:rPr>
              <w:t>3.2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Coordination requests pertaining to terrestrial services</w:t>
            </w:r>
            <w:r>
              <w:rPr>
                <w:noProof/>
                <w:webHidden/>
              </w:rPr>
              <w:tab/>
            </w:r>
            <w:r>
              <w:rPr>
                <w:noProof/>
                <w:webHidden/>
              </w:rPr>
              <w:fldChar w:fldCharType="begin"/>
            </w:r>
            <w:r>
              <w:rPr>
                <w:noProof/>
                <w:webHidden/>
              </w:rPr>
              <w:instrText xml:space="preserve"> PAGEREF _Toc143072417 \h </w:instrText>
            </w:r>
            <w:r>
              <w:rPr>
                <w:noProof/>
                <w:webHidden/>
              </w:rPr>
            </w:r>
            <w:r>
              <w:rPr>
                <w:noProof/>
                <w:webHidden/>
              </w:rPr>
              <w:fldChar w:fldCharType="separate"/>
            </w:r>
            <w:r>
              <w:rPr>
                <w:noProof/>
                <w:webHidden/>
              </w:rPr>
              <w:t>39</w:t>
            </w:r>
            <w:r>
              <w:rPr>
                <w:noProof/>
                <w:webHidden/>
              </w:rPr>
              <w:fldChar w:fldCharType="end"/>
            </w:r>
          </w:hyperlink>
        </w:p>
        <w:p w14:paraId="536F5022" w14:textId="2F0B8583"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18" w:history="1">
            <w:r w:rsidRPr="00AD5DAB">
              <w:rPr>
                <w:rStyle w:val="Hyperlink"/>
                <w:noProof/>
              </w:rPr>
              <w:t>3.3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Plan modification procedures for terrestrial services</w:t>
            </w:r>
            <w:r>
              <w:rPr>
                <w:noProof/>
                <w:webHidden/>
              </w:rPr>
              <w:tab/>
            </w:r>
            <w:r>
              <w:rPr>
                <w:noProof/>
                <w:webHidden/>
              </w:rPr>
              <w:fldChar w:fldCharType="begin"/>
            </w:r>
            <w:r>
              <w:rPr>
                <w:noProof/>
                <w:webHidden/>
              </w:rPr>
              <w:instrText xml:space="preserve"> PAGEREF _Toc143072418 \h </w:instrText>
            </w:r>
            <w:r>
              <w:rPr>
                <w:noProof/>
                <w:webHidden/>
              </w:rPr>
            </w:r>
            <w:r>
              <w:rPr>
                <w:noProof/>
                <w:webHidden/>
              </w:rPr>
              <w:fldChar w:fldCharType="separate"/>
            </w:r>
            <w:r>
              <w:rPr>
                <w:noProof/>
                <w:webHidden/>
              </w:rPr>
              <w:t>40</w:t>
            </w:r>
            <w:r>
              <w:rPr>
                <w:noProof/>
                <w:webHidden/>
              </w:rPr>
              <w:fldChar w:fldCharType="end"/>
            </w:r>
          </w:hyperlink>
        </w:p>
        <w:p w14:paraId="706201AA" w14:textId="321E159F"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19" w:history="1">
            <w:r w:rsidRPr="00AD5DAB">
              <w:rPr>
                <w:rStyle w:val="Hyperlink"/>
                <w:noProof/>
              </w:rPr>
              <w:t>3.4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Notification, examination, recording and other regulatory procedures</w:t>
            </w:r>
            <w:r>
              <w:rPr>
                <w:noProof/>
                <w:webHidden/>
              </w:rPr>
              <w:tab/>
            </w:r>
            <w:r>
              <w:rPr>
                <w:noProof/>
                <w:webHidden/>
              </w:rPr>
              <w:fldChar w:fldCharType="begin"/>
            </w:r>
            <w:r>
              <w:rPr>
                <w:noProof/>
                <w:webHidden/>
              </w:rPr>
              <w:instrText xml:space="preserve"> PAGEREF _Toc143072419 \h </w:instrText>
            </w:r>
            <w:r>
              <w:rPr>
                <w:noProof/>
                <w:webHidden/>
              </w:rPr>
            </w:r>
            <w:r>
              <w:rPr>
                <w:noProof/>
                <w:webHidden/>
              </w:rPr>
              <w:fldChar w:fldCharType="separate"/>
            </w:r>
            <w:r>
              <w:rPr>
                <w:noProof/>
                <w:webHidden/>
              </w:rPr>
              <w:t>40</w:t>
            </w:r>
            <w:r>
              <w:rPr>
                <w:noProof/>
                <w:webHidden/>
              </w:rPr>
              <w:fldChar w:fldCharType="end"/>
            </w:r>
          </w:hyperlink>
        </w:p>
        <w:p w14:paraId="7AE6C460" w14:textId="4D5E1676"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0" w:history="1">
            <w:r w:rsidRPr="00AD5DAB">
              <w:rPr>
                <w:rStyle w:val="Hyperlink"/>
                <w:noProof/>
              </w:rPr>
              <w:t>3.4.1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Notification procedure (Article 11 of the Radio Regulations)</w:t>
            </w:r>
            <w:r>
              <w:rPr>
                <w:noProof/>
                <w:webHidden/>
              </w:rPr>
              <w:tab/>
            </w:r>
            <w:r>
              <w:rPr>
                <w:noProof/>
                <w:webHidden/>
              </w:rPr>
              <w:fldChar w:fldCharType="begin"/>
            </w:r>
            <w:r>
              <w:rPr>
                <w:noProof/>
                <w:webHidden/>
              </w:rPr>
              <w:instrText xml:space="preserve"> PAGEREF _Toc143072420 \h </w:instrText>
            </w:r>
            <w:r>
              <w:rPr>
                <w:noProof/>
                <w:webHidden/>
              </w:rPr>
            </w:r>
            <w:r>
              <w:rPr>
                <w:noProof/>
                <w:webHidden/>
              </w:rPr>
              <w:fldChar w:fldCharType="separate"/>
            </w:r>
            <w:r>
              <w:rPr>
                <w:noProof/>
                <w:webHidden/>
              </w:rPr>
              <w:t>40</w:t>
            </w:r>
            <w:r>
              <w:rPr>
                <w:noProof/>
                <w:webHidden/>
              </w:rPr>
              <w:fldChar w:fldCharType="end"/>
            </w:r>
          </w:hyperlink>
        </w:p>
        <w:p w14:paraId="02088D31" w14:textId="10E09862"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1" w:history="1">
            <w:r w:rsidRPr="00AD5DAB">
              <w:rPr>
                <w:rStyle w:val="Hyperlink"/>
                <w:noProof/>
              </w:rPr>
              <w:t>3.4.2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Processing of submissions for HF broadcasting schedules</w:t>
            </w:r>
            <w:r>
              <w:rPr>
                <w:noProof/>
                <w:webHidden/>
              </w:rPr>
              <w:tab/>
            </w:r>
            <w:r>
              <w:rPr>
                <w:noProof/>
                <w:webHidden/>
              </w:rPr>
              <w:fldChar w:fldCharType="begin"/>
            </w:r>
            <w:r>
              <w:rPr>
                <w:noProof/>
                <w:webHidden/>
              </w:rPr>
              <w:instrText xml:space="preserve"> PAGEREF _Toc143072421 \h </w:instrText>
            </w:r>
            <w:r>
              <w:rPr>
                <w:noProof/>
                <w:webHidden/>
              </w:rPr>
            </w:r>
            <w:r>
              <w:rPr>
                <w:noProof/>
                <w:webHidden/>
              </w:rPr>
              <w:fldChar w:fldCharType="separate"/>
            </w:r>
            <w:r>
              <w:rPr>
                <w:noProof/>
                <w:webHidden/>
              </w:rPr>
              <w:t>41</w:t>
            </w:r>
            <w:r>
              <w:rPr>
                <w:noProof/>
                <w:webHidden/>
              </w:rPr>
              <w:fldChar w:fldCharType="end"/>
            </w:r>
          </w:hyperlink>
        </w:p>
        <w:p w14:paraId="1D1D3D16" w14:textId="084A367D"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22" w:history="1">
            <w:r w:rsidRPr="00AD5DAB">
              <w:rPr>
                <w:rStyle w:val="Hyperlink"/>
                <w:noProof/>
              </w:rPr>
              <w:t>3.5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Other regulatory procedures pertaining to terrestrial services</w:t>
            </w:r>
            <w:r>
              <w:rPr>
                <w:noProof/>
                <w:webHidden/>
              </w:rPr>
              <w:tab/>
            </w:r>
            <w:r>
              <w:rPr>
                <w:noProof/>
                <w:webHidden/>
              </w:rPr>
              <w:fldChar w:fldCharType="begin"/>
            </w:r>
            <w:r>
              <w:rPr>
                <w:noProof/>
                <w:webHidden/>
              </w:rPr>
              <w:instrText xml:space="preserve"> PAGEREF _Toc143072422 \h </w:instrText>
            </w:r>
            <w:r>
              <w:rPr>
                <w:noProof/>
                <w:webHidden/>
              </w:rPr>
            </w:r>
            <w:r>
              <w:rPr>
                <w:noProof/>
                <w:webHidden/>
              </w:rPr>
              <w:fldChar w:fldCharType="separate"/>
            </w:r>
            <w:r>
              <w:rPr>
                <w:noProof/>
                <w:webHidden/>
              </w:rPr>
              <w:t>42</w:t>
            </w:r>
            <w:r>
              <w:rPr>
                <w:noProof/>
                <w:webHidden/>
              </w:rPr>
              <w:fldChar w:fldCharType="end"/>
            </w:r>
          </w:hyperlink>
        </w:p>
        <w:p w14:paraId="05BD35E3" w14:textId="59C53D79"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3" w:history="1">
            <w:r w:rsidRPr="00AD5DAB">
              <w:rPr>
                <w:rStyle w:val="Hyperlink"/>
                <w:noProof/>
              </w:rPr>
              <w:t>3.5.1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12 (WRC-12)</w:t>
            </w:r>
            <w:r>
              <w:rPr>
                <w:noProof/>
                <w:webHidden/>
              </w:rPr>
              <w:tab/>
            </w:r>
            <w:r>
              <w:rPr>
                <w:noProof/>
                <w:webHidden/>
              </w:rPr>
              <w:fldChar w:fldCharType="begin"/>
            </w:r>
            <w:r>
              <w:rPr>
                <w:noProof/>
                <w:webHidden/>
              </w:rPr>
              <w:instrText xml:space="preserve"> PAGEREF _Toc143072423 \h </w:instrText>
            </w:r>
            <w:r>
              <w:rPr>
                <w:noProof/>
                <w:webHidden/>
              </w:rPr>
            </w:r>
            <w:r>
              <w:rPr>
                <w:noProof/>
                <w:webHidden/>
              </w:rPr>
              <w:fldChar w:fldCharType="separate"/>
            </w:r>
            <w:r>
              <w:rPr>
                <w:noProof/>
                <w:webHidden/>
              </w:rPr>
              <w:t>42</w:t>
            </w:r>
            <w:r>
              <w:rPr>
                <w:noProof/>
                <w:webHidden/>
              </w:rPr>
              <w:fldChar w:fldCharType="end"/>
            </w:r>
          </w:hyperlink>
        </w:p>
        <w:p w14:paraId="46C8F51F" w14:textId="4FC268F6"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24" w:history="1">
            <w:r w:rsidRPr="00AD5DAB">
              <w:rPr>
                <w:rStyle w:val="Hyperlink"/>
                <w:noProof/>
              </w:rPr>
              <w:t>3.5.2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Resolutions 205 (Rev.WRC-19)</w:t>
            </w:r>
            <w:r>
              <w:rPr>
                <w:noProof/>
                <w:webHidden/>
              </w:rPr>
              <w:tab/>
            </w:r>
            <w:r>
              <w:rPr>
                <w:noProof/>
                <w:webHidden/>
              </w:rPr>
              <w:fldChar w:fldCharType="begin"/>
            </w:r>
            <w:r>
              <w:rPr>
                <w:noProof/>
                <w:webHidden/>
              </w:rPr>
              <w:instrText xml:space="preserve"> PAGEREF _Toc143072424 \h </w:instrText>
            </w:r>
            <w:r>
              <w:rPr>
                <w:noProof/>
                <w:webHidden/>
              </w:rPr>
            </w:r>
            <w:r>
              <w:rPr>
                <w:noProof/>
                <w:webHidden/>
              </w:rPr>
              <w:fldChar w:fldCharType="separate"/>
            </w:r>
            <w:r>
              <w:rPr>
                <w:noProof/>
                <w:webHidden/>
              </w:rPr>
              <w:t>42</w:t>
            </w:r>
            <w:r>
              <w:rPr>
                <w:noProof/>
                <w:webHidden/>
              </w:rPr>
              <w:fldChar w:fldCharType="end"/>
            </w:r>
          </w:hyperlink>
        </w:p>
        <w:p w14:paraId="26706DD2" w14:textId="18255C7E"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5" w:history="1">
            <w:r w:rsidRPr="00AD5DAB">
              <w:rPr>
                <w:rStyle w:val="Hyperlink"/>
                <w:noProof/>
              </w:rPr>
              <w:t>3.5.4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Implementation of Resolution 535 (Rev.WRC-19)</w:t>
            </w:r>
            <w:r>
              <w:rPr>
                <w:noProof/>
                <w:webHidden/>
              </w:rPr>
              <w:tab/>
            </w:r>
            <w:r>
              <w:rPr>
                <w:noProof/>
                <w:webHidden/>
              </w:rPr>
              <w:fldChar w:fldCharType="begin"/>
            </w:r>
            <w:r>
              <w:rPr>
                <w:noProof/>
                <w:webHidden/>
              </w:rPr>
              <w:instrText xml:space="preserve"> PAGEREF _Toc143072425 \h </w:instrText>
            </w:r>
            <w:r>
              <w:rPr>
                <w:noProof/>
                <w:webHidden/>
              </w:rPr>
            </w:r>
            <w:r>
              <w:rPr>
                <w:noProof/>
                <w:webHidden/>
              </w:rPr>
              <w:fldChar w:fldCharType="separate"/>
            </w:r>
            <w:r>
              <w:rPr>
                <w:noProof/>
                <w:webHidden/>
              </w:rPr>
              <w:t>43</w:t>
            </w:r>
            <w:r>
              <w:rPr>
                <w:noProof/>
                <w:webHidden/>
              </w:rPr>
              <w:fldChar w:fldCharType="end"/>
            </w:r>
          </w:hyperlink>
        </w:p>
        <w:p w14:paraId="4231D6AC" w14:textId="64746098"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6" w:history="1">
            <w:r w:rsidRPr="00AD5DAB">
              <w:rPr>
                <w:rStyle w:val="Hyperlink"/>
                <w:noProof/>
              </w:rPr>
              <w:t>3.5.5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Implementation of Resolution 647 (Rev.WRC</w:t>
            </w:r>
            <w:r w:rsidRPr="00AD5DAB">
              <w:rPr>
                <w:rStyle w:val="Hyperlink"/>
                <w:noProof/>
              </w:rPr>
              <w:noBreakHyphen/>
              <w:t>19)</w:t>
            </w:r>
            <w:r>
              <w:rPr>
                <w:noProof/>
                <w:webHidden/>
              </w:rPr>
              <w:tab/>
            </w:r>
            <w:r>
              <w:rPr>
                <w:noProof/>
                <w:webHidden/>
              </w:rPr>
              <w:fldChar w:fldCharType="begin"/>
            </w:r>
            <w:r>
              <w:rPr>
                <w:noProof/>
                <w:webHidden/>
              </w:rPr>
              <w:instrText xml:space="preserve"> PAGEREF _Toc143072426 \h </w:instrText>
            </w:r>
            <w:r>
              <w:rPr>
                <w:noProof/>
                <w:webHidden/>
              </w:rPr>
            </w:r>
            <w:r>
              <w:rPr>
                <w:noProof/>
                <w:webHidden/>
              </w:rPr>
              <w:fldChar w:fldCharType="separate"/>
            </w:r>
            <w:r>
              <w:rPr>
                <w:noProof/>
                <w:webHidden/>
              </w:rPr>
              <w:t>44</w:t>
            </w:r>
            <w:r>
              <w:rPr>
                <w:noProof/>
                <w:webHidden/>
              </w:rPr>
              <w:fldChar w:fldCharType="end"/>
            </w:r>
          </w:hyperlink>
        </w:p>
        <w:p w14:paraId="0D0565F8" w14:textId="3A77242B"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7" w:history="1">
            <w:r w:rsidRPr="00AD5DAB">
              <w:rPr>
                <w:rStyle w:val="Hyperlink"/>
                <w:noProof/>
              </w:rPr>
              <w:t>3.5.6</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 xml:space="preserve">Studies on Resolution 223 (Rev.WRC-19) related to the frequency band </w:t>
            </w:r>
            <w:r w:rsidR="00176D96">
              <w:rPr>
                <w:rStyle w:val="Hyperlink"/>
                <w:noProof/>
              </w:rPr>
              <w:br/>
            </w:r>
            <w:r w:rsidRPr="00AD5DAB">
              <w:rPr>
                <w:rStyle w:val="Hyperlink"/>
                <w:noProof/>
              </w:rPr>
              <w:t>4 800</w:t>
            </w:r>
            <w:r w:rsidRPr="00AD5DAB">
              <w:rPr>
                <w:rStyle w:val="Hyperlink"/>
                <w:noProof/>
              </w:rPr>
              <w:noBreakHyphen/>
              <w:t>4 990 MHz</w:t>
            </w:r>
            <w:r>
              <w:rPr>
                <w:noProof/>
                <w:webHidden/>
              </w:rPr>
              <w:tab/>
            </w:r>
            <w:r>
              <w:rPr>
                <w:noProof/>
                <w:webHidden/>
              </w:rPr>
              <w:fldChar w:fldCharType="begin"/>
            </w:r>
            <w:r>
              <w:rPr>
                <w:noProof/>
                <w:webHidden/>
              </w:rPr>
              <w:instrText xml:space="preserve"> PAGEREF _Toc143072427 \h </w:instrText>
            </w:r>
            <w:r>
              <w:rPr>
                <w:noProof/>
                <w:webHidden/>
              </w:rPr>
            </w:r>
            <w:r>
              <w:rPr>
                <w:noProof/>
                <w:webHidden/>
              </w:rPr>
              <w:fldChar w:fldCharType="separate"/>
            </w:r>
            <w:r>
              <w:rPr>
                <w:noProof/>
                <w:webHidden/>
              </w:rPr>
              <w:t>44</w:t>
            </w:r>
            <w:r>
              <w:rPr>
                <w:noProof/>
                <w:webHidden/>
              </w:rPr>
              <w:fldChar w:fldCharType="end"/>
            </w:r>
          </w:hyperlink>
        </w:p>
        <w:p w14:paraId="23259AA3" w14:textId="0074D36F"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28" w:history="1">
            <w:r w:rsidRPr="00AD5DAB">
              <w:rPr>
                <w:rStyle w:val="Hyperlink"/>
                <w:noProof/>
              </w:rPr>
              <w:t>3.6</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Software development related to the terrestrial services</w:t>
            </w:r>
            <w:r>
              <w:rPr>
                <w:noProof/>
                <w:webHidden/>
              </w:rPr>
              <w:tab/>
            </w:r>
            <w:r>
              <w:rPr>
                <w:noProof/>
                <w:webHidden/>
              </w:rPr>
              <w:fldChar w:fldCharType="begin"/>
            </w:r>
            <w:r>
              <w:rPr>
                <w:noProof/>
                <w:webHidden/>
              </w:rPr>
              <w:instrText xml:space="preserve"> PAGEREF _Toc143072428 \h </w:instrText>
            </w:r>
            <w:r>
              <w:rPr>
                <w:noProof/>
                <w:webHidden/>
              </w:rPr>
            </w:r>
            <w:r>
              <w:rPr>
                <w:noProof/>
                <w:webHidden/>
              </w:rPr>
              <w:fldChar w:fldCharType="separate"/>
            </w:r>
            <w:r>
              <w:rPr>
                <w:noProof/>
                <w:webHidden/>
              </w:rPr>
              <w:t>44</w:t>
            </w:r>
            <w:r>
              <w:rPr>
                <w:noProof/>
                <w:webHidden/>
              </w:rPr>
              <w:fldChar w:fldCharType="end"/>
            </w:r>
          </w:hyperlink>
        </w:p>
        <w:p w14:paraId="74AA13E3" w14:textId="07B3464A"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29" w:history="1">
            <w:r w:rsidRPr="00AD5DAB">
              <w:rPr>
                <w:rStyle w:val="Hyperlink"/>
                <w:noProof/>
              </w:rPr>
              <w:t>3.6.1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 xml:space="preserve">Activities related to software development for processing of terrestrial </w:t>
            </w:r>
            <w:r w:rsidR="00176D96">
              <w:rPr>
                <w:rStyle w:val="Hyperlink"/>
                <w:noProof/>
              </w:rPr>
              <w:br/>
            </w:r>
            <w:r w:rsidRPr="00AD5DAB">
              <w:rPr>
                <w:rStyle w:val="Hyperlink"/>
                <w:noProof/>
              </w:rPr>
              <w:t xml:space="preserve">notifications </w:t>
            </w:r>
            <w:r w:rsidRPr="00AD5DAB">
              <w:rPr>
                <w:rStyle w:val="Hyperlink"/>
                <w:bCs/>
                <w:noProof/>
              </w:rPr>
              <w:t>under TerRaSys</w:t>
            </w:r>
            <w:r>
              <w:rPr>
                <w:noProof/>
                <w:webHidden/>
              </w:rPr>
              <w:tab/>
            </w:r>
            <w:r>
              <w:rPr>
                <w:noProof/>
                <w:webHidden/>
              </w:rPr>
              <w:fldChar w:fldCharType="begin"/>
            </w:r>
            <w:r>
              <w:rPr>
                <w:noProof/>
                <w:webHidden/>
              </w:rPr>
              <w:instrText xml:space="preserve"> PAGEREF _Toc143072429 \h </w:instrText>
            </w:r>
            <w:r>
              <w:rPr>
                <w:noProof/>
                <w:webHidden/>
              </w:rPr>
            </w:r>
            <w:r>
              <w:rPr>
                <w:noProof/>
                <w:webHidden/>
              </w:rPr>
              <w:fldChar w:fldCharType="separate"/>
            </w:r>
            <w:r>
              <w:rPr>
                <w:noProof/>
                <w:webHidden/>
              </w:rPr>
              <w:t>44</w:t>
            </w:r>
            <w:r>
              <w:rPr>
                <w:noProof/>
                <w:webHidden/>
              </w:rPr>
              <w:fldChar w:fldCharType="end"/>
            </w:r>
          </w:hyperlink>
        </w:p>
        <w:p w14:paraId="3BC9DFE7" w14:textId="039C2EFF"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30" w:history="1">
            <w:r w:rsidRPr="00AD5DAB">
              <w:rPr>
                <w:rStyle w:val="Hyperlink"/>
                <w:noProof/>
              </w:rPr>
              <w:t>3.6.2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Activities related to other software developments for processing of terrestrial</w:t>
            </w:r>
            <w:r w:rsidR="00176D96">
              <w:rPr>
                <w:rStyle w:val="Hyperlink"/>
                <w:noProof/>
              </w:rPr>
              <w:br/>
            </w:r>
            <w:r w:rsidRPr="00AD5DAB">
              <w:rPr>
                <w:rStyle w:val="Hyperlink"/>
                <w:noProof/>
              </w:rPr>
              <w:t xml:space="preserve"> notifications</w:t>
            </w:r>
            <w:r>
              <w:rPr>
                <w:noProof/>
                <w:webHidden/>
              </w:rPr>
              <w:tab/>
            </w:r>
            <w:r>
              <w:rPr>
                <w:noProof/>
                <w:webHidden/>
              </w:rPr>
              <w:fldChar w:fldCharType="begin"/>
            </w:r>
            <w:r>
              <w:rPr>
                <w:noProof/>
                <w:webHidden/>
              </w:rPr>
              <w:instrText xml:space="preserve"> PAGEREF _Toc143072430 \h </w:instrText>
            </w:r>
            <w:r>
              <w:rPr>
                <w:noProof/>
                <w:webHidden/>
              </w:rPr>
            </w:r>
            <w:r>
              <w:rPr>
                <w:noProof/>
                <w:webHidden/>
              </w:rPr>
              <w:fldChar w:fldCharType="separate"/>
            </w:r>
            <w:r>
              <w:rPr>
                <w:noProof/>
                <w:webHidden/>
              </w:rPr>
              <w:t>45</w:t>
            </w:r>
            <w:r>
              <w:rPr>
                <w:noProof/>
                <w:webHidden/>
              </w:rPr>
              <w:fldChar w:fldCharType="end"/>
            </w:r>
          </w:hyperlink>
        </w:p>
        <w:p w14:paraId="4A9F853F" w14:textId="7AECEB99"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31" w:history="1">
            <w:r w:rsidRPr="00AD5DAB">
              <w:rPr>
                <w:rStyle w:val="Hyperlink"/>
                <w:noProof/>
              </w:rPr>
              <w:t>3.6.3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Other software related activities</w:t>
            </w:r>
            <w:r>
              <w:rPr>
                <w:noProof/>
                <w:webHidden/>
              </w:rPr>
              <w:tab/>
            </w:r>
            <w:r>
              <w:rPr>
                <w:noProof/>
                <w:webHidden/>
              </w:rPr>
              <w:fldChar w:fldCharType="begin"/>
            </w:r>
            <w:r>
              <w:rPr>
                <w:noProof/>
                <w:webHidden/>
              </w:rPr>
              <w:instrText xml:space="preserve"> PAGEREF _Toc143072431 \h </w:instrText>
            </w:r>
            <w:r>
              <w:rPr>
                <w:noProof/>
                <w:webHidden/>
              </w:rPr>
            </w:r>
            <w:r>
              <w:rPr>
                <w:noProof/>
                <w:webHidden/>
              </w:rPr>
              <w:fldChar w:fldCharType="separate"/>
            </w:r>
            <w:r>
              <w:rPr>
                <w:noProof/>
                <w:webHidden/>
              </w:rPr>
              <w:t>45</w:t>
            </w:r>
            <w:r>
              <w:rPr>
                <w:noProof/>
                <w:webHidden/>
              </w:rPr>
              <w:fldChar w:fldCharType="end"/>
            </w:r>
          </w:hyperlink>
        </w:p>
        <w:p w14:paraId="64C7A40A" w14:textId="2B6FE6E5"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432" w:history="1">
            <w:r w:rsidRPr="00AD5DAB">
              <w:rPr>
                <w:rStyle w:val="Hyperlink"/>
                <w:noProof/>
              </w:rPr>
              <w:t>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Study Groups</w:t>
            </w:r>
            <w:r>
              <w:rPr>
                <w:noProof/>
                <w:webHidden/>
              </w:rPr>
              <w:tab/>
            </w:r>
            <w:r>
              <w:rPr>
                <w:noProof/>
                <w:webHidden/>
              </w:rPr>
              <w:fldChar w:fldCharType="begin"/>
            </w:r>
            <w:r>
              <w:rPr>
                <w:noProof/>
                <w:webHidden/>
              </w:rPr>
              <w:instrText xml:space="preserve"> PAGEREF _Toc143072432 \h </w:instrText>
            </w:r>
            <w:r>
              <w:rPr>
                <w:noProof/>
                <w:webHidden/>
              </w:rPr>
            </w:r>
            <w:r>
              <w:rPr>
                <w:noProof/>
                <w:webHidden/>
              </w:rPr>
              <w:fldChar w:fldCharType="separate"/>
            </w:r>
            <w:r>
              <w:rPr>
                <w:noProof/>
                <w:webHidden/>
              </w:rPr>
              <w:t>45</w:t>
            </w:r>
            <w:r>
              <w:rPr>
                <w:noProof/>
                <w:webHidden/>
              </w:rPr>
              <w:fldChar w:fldCharType="end"/>
            </w:r>
          </w:hyperlink>
        </w:p>
        <w:p w14:paraId="59ED11E3" w14:textId="7132C6B6"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33" w:history="1">
            <w:r w:rsidRPr="00AD5DAB">
              <w:rPr>
                <w:rStyle w:val="Hyperlink"/>
                <w:noProof/>
              </w:rPr>
              <w:t>4.1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BR support for Study Groups activities</w:t>
            </w:r>
            <w:r>
              <w:rPr>
                <w:noProof/>
                <w:webHidden/>
              </w:rPr>
              <w:tab/>
            </w:r>
            <w:r>
              <w:rPr>
                <w:noProof/>
                <w:webHidden/>
              </w:rPr>
              <w:fldChar w:fldCharType="begin"/>
            </w:r>
            <w:r>
              <w:rPr>
                <w:noProof/>
                <w:webHidden/>
              </w:rPr>
              <w:instrText xml:space="preserve"> PAGEREF _Toc143072433 \h </w:instrText>
            </w:r>
            <w:r>
              <w:rPr>
                <w:noProof/>
                <w:webHidden/>
              </w:rPr>
            </w:r>
            <w:r>
              <w:rPr>
                <w:noProof/>
                <w:webHidden/>
              </w:rPr>
              <w:fldChar w:fldCharType="separate"/>
            </w:r>
            <w:r>
              <w:rPr>
                <w:noProof/>
                <w:webHidden/>
              </w:rPr>
              <w:t>45</w:t>
            </w:r>
            <w:r>
              <w:rPr>
                <w:noProof/>
                <w:webHidden/>
              </w:rPr>
              <w:fldChar w:fldCharType="end"/>
            </w:r>
          </w:hyperlink>
        </w:p>
        <w:p w14:paraId="76D40DC6" w14:textId="04C9BA74"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34" w:history="1">
            <w:r w:rsidRPr="00AD5DAB">
              <w:rPr>
                <w:rStyle w:val="Hyperlink"/>
                <w:noProof/>
              </w:rPr>
              <w:t>4.2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Response to the results of RA-19</w:t>
            </w:r>
            <w:r>
              <w:rPr>
                <w:noProof/>
                <w:webHidden/>
              </w:rPr>
              <w:tab/>
            </w:r>
            <w:r>
              <w:rPr>
                <w:noProof/>
                <w:webHidden/>
              </w:rPr>
              <w:fldChar w:fldCharType="begin"/>
            </w:r>
            <w:r>
              <w:rPr>
                <w:noProof/>
                <w:webHidden/>
              </w:rPr>
              <w:instrText xml:space="preserve"> PAGEREF _Toc143072434 \h </w:instrText>
            </w:r>
            <w:r>
              <w:rPr>
                <w:noProof/>
                <w:webHidden/>
              </w:rPr>
            </w:r>
            <w:r>
              <w:rPr>
                <w:noProof/>
                <w:webHidden/>
              </w:rPr>
              <w:fldChar w:fldCharType="separate"/>
            </w:r>
            <w:r>
              <w:rPr>
                <w:noProof/>
                <w:webHidden/>
              </w:rPr>
              <w:t>46</w:t>
            </w:r>
            <w:r>
              <w:rPr>
                <w:noProof/>
                <w:webHidden/>
              </w:rPr>
              <w:fldChar w:fldCharType="end"/>
            </w:r>
          </w:hyperlink>
        </w:p>
        <w:p w14:paraId="40215CBE" w14:textId="5D32D4E6"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35" w:history="1">
            <w:r w:rsidRPr="00AD5DAB">
              <w:rPr>
                <w:rStyle w:val="Hyperlink"/>
                <w:noProof/>
              </w:rPr>
              <w:t>4.3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Preparatory work for WRC</w:t>
            </w:r>
            <w:r w:rsidRPr="00AD5DAB">
              <w:rPr>
                <w:rStyle w:val="Hyperlink"/>
                <w:noProof/>
              </w:rPr>
              <w:noBreakHyphen/>
              <w:t>23</w:t>
            </w:r>
            <w:r>
              <w:rPr>
                <w:noProof/>
                <w:webHidden/>
              </w:rPr>
              <w:tab/>
            </w:r>
            <w:r>
              <w:rPr>
                <w:noProof/>
                <w:webHidden/>
              </w:rPr>
              <w:fldChar w:fldCharType="begin"/>
            </w:r>
            <w:r>
              <w:rPr>
                <w:noProof/>
                <w:webHidden/>
              </w:rPr>
              <w:instrText xml:space="preserve"> PAGEREF _Toc143072435 \h </w:instrText>
            </w:r>
            <w:r>
              <w:rPr>
                <w:noProof/>
                <w:webHidden/>
              </w:rPr>
            </w:r>
            <w:r>
              <w:rPr>
                <w:noProof/>
                <w:webHidden/>
              </w:rPr>
              <w:fldChar w:fldCharType="separate"/>
            </w:r>
            <w:r>
              <w:rPr>
                <w:noProof/>
                <w:webHidden/>
              </w:rPr>
              <w:t>46</w:t>
            </w:r>
            <w:r>
              <w:rPr>
                <w:noProof/>
                <w:webHidden/>
              </w:rPr>
              <w:fldChar w:fldCharType="end"/>
            </w:r>
          </w:hyperlink>
        </w:p>
        <w:p w14:paraId="5AEFA995" w14:textId="62AD2FFA"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36" w:history="1">
            <w:r w:rsidRPr="00AD5DAB">
              <w:rPr>
                <w:rStyle w:val="Hyperlink"/>
                <w:noProof/>
              </w:rPr>
              <w:t>4.3.1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General information</w:t>
            </w:r>
            <w:r>
              <w:rPr>
                <w:noProof/>
                <w:webHidden/>
              </w:rPr>
              <w:tab/>
            </w:r>
            <w:r>
              <w:rPr>
                <w:noProof/>
                <w:webHidden/>
              </w:rPr>
              <w:fldChar w:fldCharType="begin"/>
            </w:r>
            <w:r>
              <w:rPr>
                <w:noProof/>
                <w:webHidden/>
              </w:rPr>
              <w:instrText xml:space="preserve"> PAGEREF _Toc143072436 \h </w:instrText>
            </w:r>
            <w:r>
              <w:rPr>
                <w:noProof/>
                <w:webHidden/>
              </w:rPr>
            </w:r>
            <w:r>
              <w:rPr>
                <w:noProof/>
                <w:webHidden/>
              </w:rPr>
              <w:fldChar w:fldCharType="separate"/>
            </w:r>
            <w:r>
              <w:rPr>
                <w:noProof/>
                <w:webHidden/>
              </w:rPr>
              <w:t>46</w:t>
            </w:r>
            <w:r>
              <w:rPr>
                <w:noProof/>
                <w:webHidden/>
              </w:rPr>
              <w:fldChar w:fldCharType="end"/>
            </w:r>
          </w:hyperlink>
        </w:p>
        <w:p w14:paraId="37499AB0" w14:textId="3E33C5ED"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37" w:history="1">
            <w:r w:rsidRPr="00AD5DAB">
              <w:rPr>
                <w:rStyle w:val="Hyperlink"/>
                <w:noProof/>
              </w:rPr>
              <w:t>4.3.2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Studies of the RR No. 21.5 issue</w:t>
            </w:r>
            <w:r>
              <w:rPr>
                <w:noProof/>
                <w:webHidden/>
              </w:rPr>
              <w:tab/>
            </w:r>
            <w:r>
              <w:rPr>
                <w:noProof/>
                <w:webHidden/>
              </w:rPr>
              <w:fldChar w:fldCharType="begin"/>
            </w:r>
            <w:r>
              <w:rPr>
                <w:noProof/>
                <w:webHidden/>
              </w:rPr>
              <w:instrText xml:space="preserve"> PAGEREF _Toc143072437 \h </w:instrText>
            </w:r>
            <w:r>
              <w:rPr>
                <w:noProof/>
                <w:webHidden/>
              </w:rPr>
            </w:r>
            <w:r>
              <w:rPr>
                <w:noProof/>
                <w:webHidden/>
              </w:rPr>
              <w:fldChar w:fldCharType="separate"/>
            </w:r>
            <w:r>
              <w:rPr>
                <w:noProof/>
                <w:webHidden/>
              </w:rPr>
              <w:t>47</w:t>
            </w:r>
            <w:r>
              <w:rPr>
                <w:noProof/>
                <w:webHidden/>
              </w:rPr>
              <w:fldChar w:fldCharType="end"/>
            </w:r>
          </w:hyperlink>
        </w:p>
        <w:p w14:paraId="1DC01873" w14:textId="3C22400F"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38" w:history="1">
            <w:r w:rsidRPr="00AD5DAB">
              <w:rPr>
                <w:rStyle w:val="Hyperlink"/>
                <w:noProof/>
              </w:rPr>
              <w:t>4.3.3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Resolution 655 (WRC-15)</w:t>
            </w:r>
            <w:r>
              <w:rPr>
                <w:noProof/>
                <w:webHidden/>
              </w:rPr>
              <w:tab/>
            </w:r>
            <w:r>
              <w:rPr>
                <w:noProof/>
                <w:webHidden/>
              </w:rPr>
              <w:fldChar w:fldCharType="begin"/>
            </w:r>
            <w:r>
              <w:rPr>
                <w:noProof/>
                <w:webHidden/>
              </w:rPr>
              <w:instrText xml:space="preserve"> PAGEREF _Toc143072438 \h </w:instrText>
            </w:r>
            <w:r>
              <w:rPr>
                <w:noProof/>
                <w:webHidden/>
              </w:rPr>
            </w:r>
            <w:r>
              <w:rPr>
                <w:noProof/>
                <w:webHidden/>
              </w:rPr>
              <w:fldChar w:fldCharType="separate"/>
            </w:r>
            <w:r>
              <w:rPr>
                <w:noProof/>
                <w:webHidden/>
              </w:rPr>
              <w:t>48</w:t>
            </w:r>
            <w:r>
              <w:rPr>
                <w:noProof/>
                <w:webHidden/>
              </w:rPr>
              <w:fldChar w:fldCharType="end"/>
            </w:r>
          </w:hyperlink>
        </w:p>
        <w:p w14:paraId="6D76A454" w14:textId="336880AE"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39" w:history="1">
            <w:r w:rsidRPr="00AD5DAB">
              <w:rPr>
                <w:rStyle w:val="Hyperlink"/>
                <w:noProof/>
              </w:rPr>
              <w:t>4.4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Recommendations, Handbooks and Reports</w:t>
            </w:r>
            <w:r>
              <w:rPr>
                <w:noProof/>
                <w:webHidden/>
              </w:rPr>
              <w:tab/>
            </w:r>
            <w:r>
              <w:rPr>
                <w:noProof/>
                <w:webHidden/>
              </w:rPr>
              <w:fldChar w:fldCharType="begin"/>
            </w:r>
            <w:r>
              <w:rPr>
                <w:noProof/>
                <w:webHidden/>
              </w:rPr>
              <w:instrText xml:space="preserve"> PAGEREF _Toc143072439 \h </w:instrText>
            </w:r>
            <w:r>
              <w:rPr>
                <w:noProof/>
                <w:webHidden/>
              </w:rPr>
            </w:r>
            <w:r>
              <w:rPr>
                <w:noProof/>
                <w:webHidden/>
              </w:rPr>
              <w:fldChar w:fldCharType="separate"/>
            </w:r>
            <w:r>
              <w:rPr>
                <w:noProof/>
                <w:webHidden/>
              </w:rPr>
              <w:t>48</w:t>
            </w:r>
            <w:r>
              <w:rPr>
                <w:noProof/>
                <w:webHidden/>
              </w:rPr>
              <w:fldChar w:fldCharType="end"/>
            </w:r>
          </w:hyperlink>
        </w:p>
        <w:p w14:paraId="7B8B1F53" w14:textId="21EC8D52"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40" w:history="1">
            <w:r w:rsidRPr="00AD5DAB">
              <w:rPr>
                <w:rStyle w:val="Hyperlink"/>
                <w:noProof/>
              </w:rPr>
              <w:t>4.5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Liaison with ITU</w:t>
            </w:r>
            <w:r w:rsidRPr="00AD5DAB">
              <w:rPr>
                <w:rStyle w:val="Hyperlink"/>
                <w:noProof/>
              </w:rPr>
              <w:noBreakHyphen/>
              <w:t>D and ITU</w:t>
            </w:r>
            <w:r w:rsidRPr="00AD5DAB">
              <w:rPr>
                <w:rStyle w:val="Hyperlink"/>
                <w:noProof/>
              </w:rPr>
              <w:noBreakHyphen/>
              <w:t>T</w:t>
            </w:r>
            <w:r>
              <w:rPr>
                <w:noProof/>
                <w:webHidden/>
              </w:rPr>
              <w:tab/>
            </w:r>
            <w:r>
              <w:rPr>
                <w:noProof/>
                <w:webHidden/>
              </w:rPr>
              <w:fldChar w:fldCharType="begin"/>
            </w:r>
            <w:r>
              <w:rPr>
                <w:noProof/>
                <w:webHidden/>
              </w:rPr>
              <w:instrText xml:space="preserve"> PAGEREF _Toc143072440 \h </w:instrText>
            </w:r>
            <w:r>
              <w:rPr>
                <w:noProof/>
                <w:webHidden/>
              </w:rPr>
            </w:r>
            <w:r>
              <w:rPr>
                <w:noProof/>
                <w:webHidden/>
              </w:rPr>
              <w:fldChar w:fldCharType="separate"/>
            </w:r>
            <w:r>
              <w:rPr>
                <w:noProof/>
                <w:webHidden/>
              </w:rPr>
              <w:t>48</w:t>
            </w:r>
            <w:r>
              <w:rPr>
                <w:noProof/>
                <w:webHidden/>
              </w:rPr>
              <w:fldChar w:fldCharType="end"/>
            </w:r>
          </w:hyperlink>
        </w:p>
        <w:p w14:paraId="233DBA40" w14:textId="5C854878"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41" w:history="1">
            <w:r w:rsidRPr="00AD5DAB">
              <w:rPr>
                <w:rStyle w:val="Hyperlink"/>
                <w:noProof/>
              </w:rPr>
              <w:t>4.6</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Liaison and collaboration with other organizations</w:t>
            </w:r>
            <w:r>
              <w:rPr>
                <w:noProof/>
                <w:webHidden/>
              </w:rPr>
              <w:tab/>
            </w:r>
            <w:r>
              <w:rPr>
                <w:noProof/>
                <w:webHidden/>
              </w:rPr>
              <w:fldChar w:fldCharType="begin"/>
            </w:r>
            <w:r>
              <w:rPr>
                <w:noProof/>
                <w:webHidden/>
              </w:rPr>
              <w:instrText xml:space="preserve"> PAGEREF _Toc143072441 \h </w:instrText>
            </w:r>
            <w:r>
              <w:rPr>
                <w:noProof/>
                <w:webHidden/>
              </w:rPr>
            </w:r>
            <w:r>
              <w:rPr>
                <w:noProof/>
                <w:webHidden/>
              </w:rPr>
              <w:fldChar w:fldCharType="separate"/>
            </w:r>
            <w:r>
              <w:rPr>
                <w:noProof/>
                <w:webHidden/>
              </w:rPr>
              <w:t>48</w:t>
            </w:r>
            <w:r>
              <w:rPr>
                <w:noProof/>
                <w:webHidden/>
              </w:rPr>
              <w:fldChar w:fldCharType="end"/>
            </w:r>
          </w:hyperlink>
        </w:p>
        <w:p w14:paraId="121EEFE9" w14:textId="7689FBFF"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42" w:history="1">
            <w:r w:rsidRPr="00AD5DAB">
              <w:rPr>
                <w:rStyle w:val="Hyperlink"/>
                <w:noProof/>
              </w:rPr>
              <w:t>4.7</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Support to membership</w:t>
            </w:r>
            <w:r>
              <w:rPr>
                <w:noProof/>
                <w:webHidden/>
              </w:rPr>
              <w:tab/>
            </w:r>
            <w:r>
              <w:rPr>
                <w:noProof/>
                <w:webHidden/>
              </w:rPr>
              <w:fldChar w:fldCharType="begin"/>
            </w:r>
            <w:r>
              <w:rPr>
                <w:noProof/>
                <w:webHidden/>
              </w:rPr>
              <w:instrText xml:space="preserve"> PAGEREF _Toc143072442 \h </w:instrText>
            </w:r>
            <w:r>
              <w:rPr>
                <w:noProof/>
                <w:webHidden/>
              </w:rPr>
            </w:r>
            <w:r>
              <w:rPr>
                <w:noProof/>
                <w:webHidden/>
              </w:rPr>
              <w:fldChar w:fldCharType="separate"/>
            </w:r>
            <w:r>
              <w:rPr>
                <w:noProof/>
                <w:webHidden/>
              </w:rPr>
              <w:t>49</w:t>
            </w:r>
            <w:r>
              <w:rPr>
                <w:noProof/>
                <w:webHidden/>
              </w:rPr>
              <w:fldChar w:fldCharType="end"/>
            </w:r>
          </w:hyperlink>
        </w:p>
        <w:p w14:paraId="47E67C22" w14:textId="6A610339"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43" w:history="1">
            <w:r w:rsidRPr="00AD5DAB">
              <w:rPr>
                <w:rStyle w:val="Hyperlink"/>
                <w:noProof/>
              </w:rPr>
              <w:t>4.8</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Statistics regarding meetings, documentation and finalized texts</w:t>
            </w:r>
            <w:r>
              <w:rPr>
                <w:noProof/>
                <w:webHidden/>
              </w:rPr>
              <w:tab/>
            </w:r>
            <w:r>
              <w:rPr>
                <w:noProof/>
                <w:webHidden/>
              </w:rPr>
              <w:fldChar w:fldCharType="begin"/>
            </w:r>
            <w:r>
              <w:rPr>
                <w:noProof/>
                <w:webHidden/>
              </w:rPr>
              <w:instrText xml:space="preserve"> PAGEREF _Toc143072443 \h </w:instrText>
            </w:r>
            <w:r>
              <w:rPr>
                <w:noProof/>
                <w:webHidden/>
              </w:rPr>
            </w:r>
            <w:r>
              <w:rPr>
                <w:noProof/>
                <w:webHidden/>
              </w:rPr>
              <w:fldChar w:fldCharType="separate"/>
            </w:r>
            <w:r>
              <w:rPr>
                <w:noProof/>
                <w:webHidden/>
              </w:rPr>
              <w:t>49</w:t>
            </w:r>
            <w:r>
              <w:rPr>
                <w:noProof/>
                <w:webHidden/>
              </w:rPr>
              <w:fldChar w:fldCharType="end"/>
            </w:r>
          </w:hyperlink>
        </w:p>
        <w:p w14:paraId="703510EC" w14:textId="5ECE69C4"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444" w:history="1">
            <w:r w:rsidRPr="00AD5DAB">
              <w:rPr>
                <w:rStyle w:val="Hyperlink"/>
                <w:noProof/>
              </w:rPr>
              <w:t>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Radiocommunication Advisory Group</w:t>
            </w:r>
            <w:r>
              <w:rPr>
                <w:noProof/>
                <w:webHidden/>
              </w:rPr>
              <w:tab/>
            </w:r>
            <w:r>
              <w:rPr>
                <w:noProof/>
                <w:webHidden/>
              </w:rPr>
              <w:fldChar w:fldCharType="begin"/>
            </w:r>
            <w:r>
              <w:rPr>
                <w:noProof/>
                <w:webHidden/>
              </w:rPr>
              <w:instrText xml:space="preserve"> PAGEREF _Toc143072444 \h </w:instrText>
            </w:r>
            <w:r>
              <w:rPr>
                <w:noProof/>
                <w:webHidden/>
              </w:rPr>
            </w:r>
            <w:r>
              <w:rPr>
                <w:noProof/>
                <w:webHidden/>
              </w:rPr>
              <w:fldChar w:fldCharType="separate"/>
            </w:r>
            <w:r>
              <w:rPr>
                <w:noProof/>
                <w:webHidden/>
              </w:rPr>
              <w:t>49</w:t>
            </w:r>
            <w:r>
              <w:rPr>
                <w:noProof/>
                <w:webHidden/>
              </w:rPr>
              <w:fldChar w:fldCharType="end"/>
            </w:r>
          </w:hyperlink>
        </w:p>
        <w:p w14:paraId="3ED70F24" w14:textId="6D755D9E"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445" w:history="1">
            <w:r w:rsidRPr="00AD5DAB">
              <w:rPr>
                <w:rStyle w:val="Hyperlink"/>
                <w:noProof/>
              </w:rPr>
              <w:t>6</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Publications, seminars/workshops, communication and outreach</w:t>
            </w:r>
            <w:r>
              <w:rPr>
                <w:noProof/>
                <w:webHidden/>
              </w:rPr>
              <w:tab/>
            </w:r>
            <w:r>
              <w:rPr>
                <w:noProof/>
                <w:webHidden/>
              </w:rPr>
              <w:fldChar w:fldCharType="begin"/>
            </w:r>
            <w:r>
              <w:rPr>
                <w:noProof/>
                <w:webHidden/>
              </w:rPr>
              <w:instrText xml:space="preserve"> PAGEREF _Toc143072445 \h </w:instrText>
            </w:r>
            <w:r>
              <w:rPr>
                <w:noProof/>
                <w:webHidden/>
              </w:rPr>
            </w:r>
            <w:r>
              <w:rPr>
                <w:noProof/>
                <w:webHidden/>
              </w:rPr>
              <w:fldChar w:fldCharType="separate"/>
            </w:r>
            <w:r>
              <w:rPr>
                <w:noProof/>
                <w:webHidden/>
              </w:rPr>
              <w:t>49</w:t>
            </w:r>
            <w:r>
              <w:rPr>
                <w:noProof/>
                <w:webHidden/>
              </w:rPr>
              <w:fldChar w:fldCharType="end"/>
            </w:r>
          </w:hyperlink>
        </w:p>
        <w:p w14:paraId="5B6CB703" w14:textId="313DE547"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46" w:history="1">
            <w:r w:rsidRPr="00AD5DAB">
              <w:rPr>
                <w:rStyle w:val="Hyperlink"/>
                <w:noProof/>
              </w:rPr>
              <w:t>6.1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Publications</w:t>
            </w:r>
            <w:r>
              <w:rPr>
                <w:noProof/>
                <w:webHidden/>
              </w:rPr>
              <w:tab/>
            </w:r>
            <w:r>
              <w:rPr>
                <w:noProof/>
                <w:webHidden/>
              </w:rPr>
              <w:fldChar w:fldCharType="begin"/>
            </w:r>
            <w:r>
              <w:rPr>
                <w:noProof/>
                <w:webHidden/>
              </w:rPr>
              <w:instrText xml:space="preserve"> PAGEREF _Toc143072446 \h </w:instrText>
            </w:r>
            <w:r>
              <w:rPr>
                <w:noProof/>
                <w:webHidden/>
              </w:rPr>
            </w:r>
            <w:r>
              <w:rPr>
                <w:noProof/>
                <w:webHidden/>
              </w:rPr>
              <w:fldChar w:fldCharType="separate"/>
            </w:r>
            <w:r>
              <w:rPr>
                <w:noProof/>
                <w:webHidden/>
              </w:rPr>
              <w:t>49</w:t>
            </w:r>
            <w:r>
              <w:rPr>
                <w:noProof/>
                <w:webHidden/>
              </w:rPr>
              <w:fldChar w:fldCharType="end"/>
            </w:r>
          </w:hyperlink>
        </w:p>
        <w:p w14:paraId="74B5CD3F" w14:textId="53D83D27"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47" w:history="1">
            <w:r w:rsidRPr="00AD5DAB">
              <w:rPr>
                <w:rStyle w:val="Hyperlink"/>
                <w:noProof/>
              </w:rPr>
              <w:t>6.1.1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Regulatory publications</w:t>
            </w:r>
            <w:r>
              <w:rPr>
                <w:noProof/>
                <w:webHidden/>
              </w:rPr>
              <w:tab/>
            </w:r>
            <w:r>
              <w:rPr>
                <w:noProof/>
                <w:webHidden/>
              </w:rPr>
              <w:fldChar w:fldCharType="begin"/>
            </w:r>
            <w:r>
              <w:rPr>
                <w:noProof/>
                <w:webHidden/>
              </w:rPr>
              <w:instrText xml:space="preserve"> PAGEREF _Toc143072447 \h </w:instrText>
            </w:r>
            <w:r>
              <w:rPr>
                <w:noProof/>
                <w:webHidden/>
              </w:rPr>
            </w:r>
            <w:r>
              <w:rPr>
                <w:noProof/>
                <w:webHidden/>
              </w:rPr>
              <w:fldChar w:fldCharType="separate"/>
            </w:r>
            <w:r>
              <w:rPr>
                <w:noProof/>
                <w:webHidden/>
              </w:rPr>
              <w:t>49</w:t>
            </w:r>
            <w:r>
              <w:rPr>
                <w:noProof/>
                <w:webHidden/>
              </w:rPr>
              <w:fldChar w:fldCharType="end"/>
            </w:r>
          </w:hyperlink>
        </w:p>
        <w:p w14:paraId="7D8FDDF2" w14:textId="105413DF"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48" w:history="1">
            <w:r w:rsidRPr="00AD5DAB">
              <w:rPr>
                <w:rStyle w:val="Hyperlink"/>
                <w:noProof/>
              </w:rPr>
              <w:t>6.1.2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Service publications</w:t>
            </w:r>
            <w:r>
              <w:rPr>
                <w:noProof/>
                <w:webHidden/>
              </w:rPr>
              <w:tab/>
            </w:r>
            <w:r>
              <w:rPr>
                <w:noProof/>
                <w:webHidden/>
              </w:rPr>
              <w:fldChar w:fldCharType="begin"/>
            </w:r>
            <w:r>
              <w:rPr>
                <w:noProof/>
                <w:webHidden/>
              </w:rPr>
              <w:instrText xml:space="preserve"> PAGEREF _Toc143072448 \h </w:instrText>
            </w:r>
            <w:r>
              <w:rPr>
                <w:noProof/>
                <w:webHidden/>
              </w:rPr>
            </w:r>
            <w:r>
              <w:rPr>
                <w:noProof/>
                <w:webHidden/>
              </w:rPr>
              <w:fldChar w:fldCharType="separate"/>
            </w:r>
            <w:r>
              <w:rPr>
                <w:noProof/>
                <w:webHidden/>
              </w:rPr>
              <w:t>50</w:t>
            </w:r>
            <w:r>
              <w:rPr>
                <w:noProof/>
                <w:webHidden/>
              </w:rPr>
              <w:fldChar w:fldCharType="end"/>
            </w:r>
          </w:hyperlink>
        </w:p>
        <w:p w14:paraId="13429B0E" w14:textId="26CD8216"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49" w:history="1">
            <w:r w:rsidRPr="00AD5DAB">
              <w:rPr>
                <w:rStyle w:val="Hyperlink"/>
                <w:noProof/>
              </w:rPr>
              <w:t>6.1.3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Study Groups and other publications</w:t>
            </w:r>
            <w:r>
              <w:rPr>
                <w:noProof/>
                <w:webHidden/>
              </w:rPr>
              <w:tab/>
            </w:r>
            <w:r>
              <w:rPr>
                <w:noProof/>
                <w:webHidden/>
              </w:rPr>
              <w:fldChar w:fldCharType="begin"/>
            </w:r>
            <w:r>
              <w:rPr>
                <w:noProof/>
                <w:webHidden/>
              </w:rPr>
              <w:instrText xml:space="preserve"> PAGEREF _Toc143072449 \h </w:instrText>
            </w:r>
            <w:r>
              <w:rPr>
                <w:noProof/>
                <w:webHidden/>
              </w:rPr>
            </w:r>
            <w:r>
              <w:rPr>
                <w:noProof/>
                <w:webHidden/>
              </w:rPr>
              <w:fldChar w:fldCharType="separate"/>
            </w:r>
            <w:r>
              <w:rPr>
                <w:noProof/>
                <w:webHidden/>
              </w:rPr>
              <w:t>51</w:t>
            </w:r>
            <w:r>
              <w:rPr>
                <w:noProof/>
                <w:webHidden/>
              </w:rPr>
              <w:fldChar w:fldCharType="end"/>
            </w:r>
          </w:hyperlink>
        </w:p>
        <w:p w14:paraId="7D433196" w14:textId="69FFF85E"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0" w:history="1">
            <w:r w:rsidRPr="00AD5DAB">
              <w:rPr>
                <w:rStyle w:val="Hyperlink"/>
                <w:noProof/>
              </w:rPr>
              <w:t>6.1.4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ITU-R Publications Downloads</w:t>
            </w:r>
            <w:r>
              <w:rPr>
                <w:noProof/>
                <w:webHidden/>
              </w:rPr>
              <w:tab/>
            </w:r>
            <w:r>
              <w:rPr>
                <w:noProof/>
                <w:webHidden/>
              </w:rPr>
              <w:fldChar w:fldCharType="begin"/>
            </w:r>
            <w:r>
              <w:rPr>
                <w:noProof/>
                <w:webHidden/>
              </w:rPr>
              <w:instrText xml:space="preserve"> PAGEREF _Toc143072450 \h </w:instrText>
            </w:r>
            <w:r>
              <w:rPr>
                <w:noProof/>
                <w:webHidden/>
              </w:rPr>
            </w:r>
            <w:r>
              <w:rPr>
                <w:noProof/>
                <w:webHidden/>
              </w:rPr>
              <w:fldChar w:fldCharType="separate"/>
            </w:r>
            <w:r>
              <w:rPr>
                <w:noProof/>
                <w:webHidden/>
              </w:rPr>
              <w:t>52</w:t>
            </w:r>
            <w:r>
              <w:rPr>
                <w:noProof/>
                <w:webHidden/>
              </w:rPr>
              <w:fldChar w:fldCharType="end"/>
            </w:r>
          </w:hyperlink>
        </w:p>
        <w:p w14:paraId="15D24EF7" w14:textId="294BEC1E"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1" w:history="1">
            <w:r w:rsidRPr="00AD5DAB">
              <w:rPr>
                <w:rStyle w:val="Hyperlink"/>
                <w:noProof/>
              </w:rPr>
              <w:t>6.1.5</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Navigation and analysis tools for ITU-R electronic publications</w:t>
            </w:r>
            <w:r>
              <w:rPr>
                <w:noProof/>
                <w:webHidden/>
              </w:rPr>
              <w:tab/>
            </w:r>
            <w:r>
              <w:rPr>
                <w:noProof/>
                <w:webHidden/>
              </w:rPr>
              <w:fldChar w:fldCharType="begin"/>
            </w:r>
            <w:r>
              <w:rPr>
                <w:noProof/>
                <w:webHidden/>
              </w:rPr>
              <w:instrText xml:space="preserve"> PAGEREF _Toc143072451 \h </w:instrText>
            </w:r>
            <w:r>
              <w:rPr>
                <w:noProof/>
                <w:webHidden/>
              </w:rPr>
            </w:r>
            <w:r>
              <w:rPr>
                <w:noProof/>
                <w:webHidden/>
              </w:rPr>
              <w:fldChar w:fldCharType="separate"/>
            </w:r>
            <w:r>
              <w:rPr>
                <w:noProof/>
                <w:webHidden/>
              </w:rPr>
              <w:t>55</w:t>
            </w:r>
            <w:r>
              <w:rPr>
                <w:noProof/>
                <w:webHidden/>
              </w:rPr>
              <w:fldChar w:fldCharType="end"/>
            </w:r>
          </w:hyperlink>
        </w:p>
        <w:p w14:paraId="402C1CCB" w14:textId="20FC1F6E"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52" w:history="1">
            <w:r w:rsidRPr="00AD5DAB">
              <w:rPr>
                <w:rStyle w:val="Hyperlink"/>
                <w:noProof/>
                <w:lang w:val="en-US"/>
              </w:rPr>
              <w:t>6.2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Seminars and workshops</w:t>
            </w:r>
            <w:r>
              <w:rPr>
                <w:noProof/>
                <w:webHidden/>
              </w:rPr>
              <w:tab/>
            </w:r>
            <w:r>
              <w:rPr>
                <w:noProof/>
                <w:webHidden/>
              </w:rPr>
              <w:fldChar w:fldCharType="begin"/>
            </w:r>
            <w:r>
              <w:rPr>
                <w:noProof/>
                <w:webHidden/>
              </w:rPr>
              <w:instrText xml:space="preserve"> PAGEREF _Toc143072452 \h </w:instrText>
            </w:r>
            <w:r>
              <w:rPr>
                <w:noProof/>
                <w:webHidden/>
              </w:rPr>
            </w:r>
            <w:r>
              <w:rPr>
                <w:noProof/>
                <w:webHidden/>
              </w:rPr>
              <w:fldChar w:fldCharType="separate"/>
            </w:r>
            <w:r>
              <w:rPr>
                <w:noProof/>
                <w:webHidden/>
              </w:rPr>
              <w:t>55</w:t>
            </w:r>
            <w:r>
              <w:rPr>
                <w:noProof/>
                <w:webHidden/>
              </w:rPr>
              <w:fldChar w:fldCharType="end"/>
            </w:r>
          </w:hyperlink>
        </w:p>
        <w:p w14:paraId="77596106" w14:textId="2598BF8D"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3" w:history="1">
            <w:r w:rsidRPr="00AD5DAB">
              <w:rPr>
                <w:rStyle w:val="Hyperlink"/>
                <w:noProof/>
              </w:rPr>
              <w:t>6.2.1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World and Regional Radiocommunication Seminars (WRS, RRS)</w:t>
            </w:r>
            <w:r>
              <w:rPr>
                <w:noProof/>
                <w:webHidden/>
              </w:rPr>
              <w:tab/>
            </w:r>
            <w:r>
              <w:rPr>
                <w:noProof/>
                <w:webHidden/>
              </w:rPr>
              <w:fldChar w:fldCharType="begin"/>
            </w:r>
            <w:r>
              <w:rPr>
                <w:noProof/>
                <w:webHidden/>
              </w:rPr>
              <w:instrText xml:space="preserve"> PAGEREF _Toc143072453 \h </w:instrText>
            </w:r>
            <w:r>
              <w:rPr>
                <w:noProof/>
                <w:webHidden/>
              </w:rPr>
            </w:r>
            <w:r>
              <w:rPr>
                <w:noProof/>
                <w:webHidden/>
              </w:rPr>
              <w:fldChar w:fldCharType="separate"/>
            </w:r>
            <w:r>
              <w:rPr>
                <w:noProof/>
                <w:webHidden/>
              </w:rPr>
              <w:t>55</w:t>
            </w:r>
            <w:r>
              <w:rPr>
                <w:noProof/>
                <w:webHidden/>
              </w:rPr>
              <w:fldChar w:fldCharType="end"/>
            </w:r>
          </w:hyperlink>
        </w:p>
        <w:p w14:paraId="3AEC15BF" w14:textId="5BE10481"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4" w:history="1">
            <w:r w:rsidRPr="00AD5DAB">
              <w:rPr>
                <w:rStyle w:val="Hyperlink"/>
                <w:noProof/>
              </w:rPr>
              <w:t>6.2.2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Other Events</w:t>
            </w:r>
            <w:r>
              <w:rPr>
                <w:noProof/>
                <w:webHidden/>
              </w:rPr>
              <w:tab/>
            </w:r>
            <w:r>
              <w:rPr>
                <w:noProof/>
                <w:webHidden/>
              </w:rPr>
              <w:fldChar w:fldCharType="begin"/>
            </w:r>
            <w:r>
              <w:rPr>
                <w:noProof/>
                <w:webHidden/>
              </w:rPr>
              <w:instrText xml:space="preserve"> PAGEREF _Toc143072454 \h </w:instrText>
            </w:r>
            <w:r>
              <w:rPr>
                <w:noProof/>
                <w:webHidden/>
              </w:rPr>
            </w:r>
            <w:r>
              <w:rPr>
                <w:noProof/>
                <w:webHidden/>
              </w:rPr>
              <w:fldChar w:fldCharType="separate"/>
            </w:r>
            <w:r>
              <w:rPr>
                <w:noProof/>
                <w:webHidden/>
              </w:rPr>
              <w:t>61</w:t>
            </w:r>
            <w:r>
              <w:rPr>
                <w:noProof/>
                <w:webHidden/>
              </w:rPr>
              <w:fldChar w:fldCharType="end"/>
            </w:r>
          </w:hyperlink>
        </w:p>
        <w:p w14:paraId="0E0B0FE4" w14:textId="4C6DEB81"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55" w:history="1">
            <w:r w:rsidRPr="00AD5DAB">
              <w:rPr>
                <w:rStyle w:val="Hyperlink"/>
                <w:noProof/>
                <w:lang w:val="en-US"/>
              </w:rPr>
              <w:t>6.3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Communication and Outreach</w:t>
            </w:r>
            <w:r>
              <w:rPr>
                <w:noProof/>
                <w:webHidden/>
              </w:rPr>
              <w:tab/>
            </w:r>
            <w:r>
              <w:rPr>
                <w:noProof/>
                <w:webHidden/>
              </w:rPr>
              <w:fldChar w:fldCharType="begin"/>
            </w:r>
            <w:r>
              <w:rPr>
                <w:noProof/>
                <w:webHidden/>
              </w:rPr>
              <w:instrText xml:space="preserve"> PAGEREF _Toc143072455 \h </w:instrText>
            </w:r>
            <w:r>
              <w:rPr>
                <w:noProof/>
                <w:webHidden/>
              </w:rPr>
            </w:r>
            <w:r>
              <w:rPr>
                <w:noProof/>
                <w:webHidden/>
              </w:rPr>
              <w:fldChar w:fldCharType="separate"/>
            </w:r>
            <w:r>
              <w:rPr>
                <w:noProof/>
                <w:webHidden/>
              </w:rPr>
              <w:t>61</w:t>
            </w:r>
            <w:r>
              <w:rPr>
                <w:noProof/>
                <w:webHidden/>
              </w:rPr>
              <w:fldChar w:fldCharType="end"/>
            </w:r>
          </w:hyperlink>
        </w:p>
        <w:p w14:paraId="596D4697" w14:textId="4B5376A5"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6" w:history="1">
            <w:r w:rsidRPr="00AD5DAB">
              <w:rPr>
                <w:rStyle w:val="Hyperlink"/>
                <w:noProof/>
                <w:lang w:val="en-US"/>
              </w:rPr>
              <w:t>6.3.1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Membership</w:t>
            </w:r>
            <w:r>
              <w:rPr>
                <w:noProof/>
                <w:webHidden/>
              </w:rPr>
              <w:tab/>
            </w:r>
            <w:r>
              <w:rPr>
                <w:noProof/>
                <w:webHidden/>
              </w:rPr>
              <w:fldChar w:fldCharType="begin"/>
            </w:r>
            <w:r>
              <w:rPr>
                <w:noProof/>
                <w:webHidden/>
              </w:rPr>
              <w:instrText xml:space="preserve"> PAGEREF _Toc143072456 \h </w:instrText>
            </w:r>
            <w:r>
              <w:rPr>
                <w:noProof/>
                <w:webHidden/>
              </w:rPr>
            </w:r>
            <w:r>
              <w:rPr>
                <w:noProof/>
                <w:webHidden/>
              </w:rPr>
              <w:fldChar w:fldCharType="separate"/>
            </w:r>
            <w:r>
              <w:rPr>
                <w:noProof/>
                <w:webHidden/>
              </w:rPr>
              <w:t>61</w:t>
            </w:r>
            <w:r>
              <w:rPr>
                <w:noProof/>
                <w:webHidden/>
              </w:rPr>
              <w:fldChar w:fldCharType="end"/>
            </w:r>
          </w:hyperlink>
        </w:p>
        <w:p w14:paraId="5039E180" w14:textId="1690770F"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7" w:history="1">
            <w:r w:rsidRPr="00AD5DAB">
              <w:rPr>
                <w:rStyle w:val="Hyperlink"/>
                <w:noProof/>
              </w:rPr>
              <w:t>6.3.2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Communication and Promotion</w:t>
            </w:r>
            <w:r>
              <w:rPr>
                <w:noProof/>
                <w:webHidden/>
              </w:rPr>
              <w:tab/>
            </w:r>
            <w:r>
              <w:rPr>
                <w:noProof/>
                <w:webHidden/>
              </w:rPr>
              <w:fldChar w:fldCharType="begin"/>
            </w:r>
            <w:r>
              <w:rPr>
                <w:noProof/>
                <w:webHidden/>
              </w:rPr>
              <w:instrText xml:space="preserve"> PAGEREF _Toc143072457 \h </w:instrText>
            </w:r>
            <w:r>
              <w:rPr>
                <w:noProof/>
                <w:webHidden/>
              </w:rPr>
            </w:r>
            <w:r>
              <w:rPr>
                <w:noProof/>
                <w:webHidden/>
              </w:rPr>
              <w:fldChar w:fldCharType="separate"/>
            </w:r>
            <w:r>
              <w:rPr>
                <w:noProof/>
                <w:webHidden/>
              </w:rPr>
              <w:t>61</w:t>
            </w:r>
            <w:r>
              <w:rPr>
                <w:noProof/>
                <w:webHidden/>
              </w:rPr>
              <w:fldChar w:fldCharType="end"/>
            </w:r>
          </w:hyperlink>
        </w:p>
        <w:p w14:paraId="578CD2C0" w14:textId="7FB0849E"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8" w:history="1">
            <w:r w:rsidRPr="00AD5DAB">
              <w:rPr>
                <w:rStyle w:val="Hyperlink"/>
                <w:noProof/>
              </w:rPr>
              <w:t>6.3.3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Web management</w:t>
            </w:r>
            <w:r>
              <w:rPr>
                <w:noProof/>
                <w:webHidden/>
              </w:rPr>
              <w:tab/>
            </w:r>
            <w:r>
              <w:rPr>
                <w:noProof/>
                <w:webHidden/>
              </w:rPr>
              <w:fldChar w:fldCharType="begin"/>
            </w:r>
            <w:r>
              <w:rPr>
                <w:noProof/>
                <w:webHidden/>
              </w:rPr>
              <w:instrText xml:space="preserve"> PAGEREF _Toc143072458 \h </w:instrText>
            </w:r>
            <w:r>
              <w:rPr>
                <w:noProof/>
                <w:webHidden/>
              </w:rPr>
            </w:r>
            <w:r>
              <w:rPr>
                <w:noProof/>
                <w:webHidden/>
              </w:rPr>
              <w:fldChar w:fldCharType="separate"/>
            </w:r>
            <w:r>
              <w:rPr>
                <w:noProof/>
                <w:webHidden/>
              </w:rPr>
              <w:t>62</w:t>
            </w:r>
            <w:r>
              <w:rPr>
                <w:noProof/>
                <w:webHidden/>
              </w:rPr>
              <w:fldChar w:fldCharType="end"/>
            </w:r>
          </w:hyperlink>
        </w:p>
        <w:p w14:paraId="507DF521" w14:textId="30CCE1C1"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59" w:history="1">
            <w:r w:rsidRPr="00AD5DAB">
              <w:rPr>
                <w:rStyle w:val="Hyperlink"/>
                <w:noProof/>
              </w:rPr>
              <w:t>6.3.4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Frequently Asked Questions (FAQ) and Backgrounders</w:t>
            </w:r>
            <w:r>
              <w:rPr>
                <w:noProof/>
                <w:webHidden/>
              </w:rPr>
              <w:tab/>
            </w:r>
            <w:r>
              <w:rPr>
                <w:noProof/>
                <w:webHidden/>
              </w:rPr>
              <w:fldChar w:fldCharType="begin"/>
            </w:r>
            <w:r>
              <w:rPr>
                <w:noProof/>
                <w:webHidden/>
              </w:rPr>
              <w:instrText xml:space="preserve"> PAGEREF _Toc143072459 \h </w:instrText>
            </w:r>
            <w:r>
              <w:rPr>
                <w:noProof/>
                <w:webHidden/>
              </w:rPr>
            </w:r>
            <w:r>
              <w:rPr>
                <w:noProof/>
                <w:webHidden/>
              </w:rPr>
              <w:fldChar w:fldCharType="separate"/>
            </w:r>
            <w:r>
              <w:rPr>
                <w:noProof/>
                <w:webHidden/>
              </w:rPr>
              <w:t>62</w:t>
            </w:r>
            <w:r>
              <w:rPr>
                <w:noProof/>
                <w:webHidden/>
              </w:rPr>
              <w:fldChar w:fldCharType="end"/>
            </w:r>
          </w:hyperlink>
        </w:p>
        <w:p w14:paraId="0B31C39D" w14:textId="7C4E1763"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460" w:history="1">
            <w:r w:rsidRPr="00AD5DAB">
              <w:rPr>
                <w:rStyle w:val="Hyperlink"/>
                <w:noProof/>
              </w:rPr>
              <w:t>7</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Assistance to Member States</w:t>
            </w:r>
            <w:r>
              <w:rPr>
                <w:noProof/>
                <w:webHidden/>
              </w:rPr>
              <w:tab/>
            </w:r>
            <w:r>
              <w:rPr>
                <w:noProof/>
                <w:webHidden/>
              </w:rPr>
              <w:fldChar w:fldCharType="begin"/>
            </w:r>
            <w:r>
              <w:rPr>
                <w:noProof/>
                <w:webHidden/>
              </w:rPr>
              <w:instrText xml:space="preserve"> PAGEREF _Toc143072460 \h </w:instrText>
            </w:r>
            <w:r>
              <w:rPr>
                <w:noProof/>
                <w:webHidden/>
              </w:rPr>
            </w:r>
            <w:r>
              <w:rPr>
                <w:noProof/>
                <w:webHidden/>
              </w:rPr>
              <w:fldChar w:fldCharType="separate"/>
            </w:r>
            <w:r>
              <w:rPr>
                <w:noProof/>
                <w:webHidden/>
              </w:rPr>
              <w:t>63</w:t>
            </w:r>
            <w:r>
              <w:rPr>
                <w:noProof/>
                <w:webHidden/>
              </w:rPr>
              <w:fldChar w:fldCharType="end"/>
            </w:r>
          </w:hyperlink>
        </w:p>
        <w:p w14:paraId="0F2A2299" w14:textId="3B40B247"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61" w:history="1">
            <w:r w:rsidRPr="00AD5DAB">
              <w:rPr>
                <w:rStyle w:val="Hyperlink"/>
                <w:noProof/>
              </w:rPr>
              <w:t>7.1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Assistance to administrations of developing countries</w:t>
            </w:r>
            <w:r>
              <w:rPr>
                <w:noProof/>
                <w:webHidden/>
              </w:rPr>
              <w:tab/>
            </w:r>
            <w:r>
              <w:rPr>
                <w:noProof/>
                <w:webHidden/>
              </w:rPr>
              <w:fldChar w:fldCharType="begin"/>
            </w:r>
            <w:r>
              <w:rPr>
                <w:noProof/>
                <w:webHidden/>
              </w:rPr>
              <w:instrText xml:space="preserve"> PAGEREF _Toc143072461 \h </w:instrText>
            </w:r>
            <w:r>
              <w:rPr>
                <w:noProof/>
                <w:webHidden/>
              </w:rPr>
            </w:r>
            <w:r>
              <w:rPr>
                <w:noProof/>
                <w:webHidden/>
              </w:rPr>
              <w:fldChar w:fldCharType="separate"/>
            </w:r>
            <w:r>
              <w:rPr>
                <w:noProof/>
                <w:webHidden/>
              </w:rPr>
              <w:t>63</w:t>
            </w:r>
            <w:r>
              <w:rPr>
                <w:noProof/>
                <w:webHidden/>
              </w:rPr>
              <w:fldChar w:fldCharType="end"/>
            </w:r>
          </w:hyperlink>
        </w:p>
        <w:p w14:paraId="5E7E02C6" w14:textId="0B81F600"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62" w:history="1">
            <w:r w:rsidRPr="00AD5DAB">
              <w:rPr>
                <w:rStyle w:val="Hyperlink"/>
                <w:bCs/>
                <w:noProof/>
              </w:rPr>
              <w:t>7.2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Assistance to Regional Groups</w:t>
            </w:r>
            <w:r>
              <w:rPr>
                <w:noProof/>
                <w:webHidden/>
              </w:rPr>
              <w:tab/>
            </w:r>
            <w:r>
              <w:rPr>
                <w:noProof/>
                <w:webHidden/>
              </w:rPr>
              <w:fldChar w:fldCharType="begin"/>
            </w:r>
            <w:r>
              <w:rPr>
                <w:noProof/>
                <w:webHidden/>
              </w:rPr>
              <w:instrText xml:space="preserve"> PAGEREF _Toc143072462 \h </w:instrText>
            </w:r>
            <w:r>
              <w:rPr>
                <w:noProof/>
                <w:webHidden/>
              </w:rPr>
            </w:r>
            <w:r>
              <w:rPr>
                <w:noProof/>
                <w:webHidden/>
              </w:rPr>
              <w:fldChar w:fldCharType="separate"/>
            </w:r>
            <w:r>
              <w:rPr>
                <w:noProof/>
                <w:webHidden/>
              </w:rPr>
              <w:t>64</w:t>
            </w:r>
            <w:r>
              <w:rPr>
                <w:noProof/>
                <w:webHidden/>
              </w:rPr>
              <w:fldChar w:fldCharType="end"/>
            </w:r>
          </w:hyperlink>
        </w:p>
        <w:p w14:paraId="233D52CD" w14:textId="11580751"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63" w:history="1">
            <w:r w:rsidRPr="00AD5DAB">
              <w:rPr>
                <w:rStyle w:val="Hyperlink"/>
                <w:noProof/>
              </w:rPr>
              <w:t>7.3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Assistance to other groups of countries</w:t>
            </w:r>
            <w:r>
              <w:rPr>
                <w:noProof/>
                <w:webHidden/>
              </w:rPr>
              <w:tab/>
            </w:r>
            <w:r>
              <w:rPr>
                <w:noProof/>
                <w:webHidden/>
              </w:rPr>
              <w:fldChar w:fldCharType="begin"/>
            </w:r>
            <w:r>
              <w:rPr>
                <w:noProof/>
                <w:webHidden/>
              </w:rPr>
              <w:instrText xml:space="preserve"> PAGEREF _Toc143072463 \h </w:instrText>
            </w:r>
            <w:r>
              <w:rPr>
                <w:noProof/>
                <w:webHidden/>
              </w:rPr>
            </w:r>
            <w:r>
              <w:rPr>
                <w:noProof/>
                <w:webHidden/>
              </w:rPr>
              <w:fldChar w:fldCharType="separate"/>
            </w:r>
            <w:r>
              <w:rPr>
                <w:noProof/>
                <w:webHidden/>
              </w:rPr>
              <w:t>64</w:t>
            </w:r>
            <w:r>
              <w:rPr>
                <w:noProof/>
                <w:webHidden/>
              </w:rPr>
              <w:fldChar w:fldCharType="end"/>
            </w:r>
          </w:hyperlink>
        </w:p>
        <w:p w14:paraId="029E5965" w14:textId="60ADB767"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64" w:history="1">
            <w:r w:rsidRPr="00AD5DAB">
              <w:rPr>
                <w:rStyle w:val="Hyperlink"/>
                <w:noProof/>
              </w:rPr>
              <w:t>7.3.1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Assistance to the administrations of the African Region</w:t>
            </w:r>
            <w:r>
              <w:rPr>
                <w:noProof/>
                <w:webHidden/>
              </w:rPr>
              <w:tab/>
            </w:r>
            <w:r>
              <w:rPr>
                <w:noProof/>
                <w:webHidden/>
              </w:rPr>
              <w:fldChar w:fldCharType="begin"/>
            </w:r>
            <w:r>
              <w:rPr>
                <w:noProof/>
                <w:webHidden/>
              </w:rPr>
              <w:instrText xml:space="preserve"> PAGEREF _Toc143072464 \h </w:instrText>
            </w:r>
            <w:r>
              <w:rPr>
                <w:noProof/>
                <w:webHidden/>
              </w:rPr>
            </w:r>
            <w:r>
              <w:rPr>
                <w:noProof/>
                <w:webHidden/>
              </w:rPr>
              <w:fldChar w:fldCharType="separate"/>
            </w:r>
            <w:r>
              <w:rPr>
                <w:noProof/>
                <w:webHidden/>
              </w:rPr>
              <w:t>64</w:t>
            </w:r>
            <w:r>
              <w:rPr>
                <w:noProof/>
                <w:webHidden/>
              </w:rPr>
              <w:fldChar w:fldCharType="end"/>
            </w:r>
          </w:hyperlink>
        </w:p>
        <w:p w14:paraId="0FD81FC8" w14:textId="0C207152"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65" w:history="1">
            <w:r w:rsidRPr="00AD5DAB">
              <w:rPr>
                <w:rStyle w:val="Hyperlink"/>
                <w:noProof/>
              </w:rPr>
              <w:t>7.4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Treatment of cases of harmful interference</w:t>
            </w:r>
            <w:r>
              <w:rPr>
                <w:noProof/>
                <w:webHidden/>
              </w:rPr>
              <w:tab/>
            </w:r>
            <w:r>
              <w:rPr>
                <w:noProof/>
                <w:webHidden/>
              </w:rPr>
              <w:fldChar w:fldCharType="begin"/>
            </w:r>
            <w:r>
              <w:rPr>
                <w:noProof/>
                <w:webHidden/>
              </w:rPr>
              <w:instrText xml:space="preserve"> PAGEREF _Toc143072465 \h </w:instrText>
            </w:r>
            <w:r>
              <w:rPr>
                <w:noProof/>
                <w:webHidden/>
              </w:rPr>
            </w:r>
            <w:r>
              <w:rPr>
                <w:noProof/>
                <w:webHidden/>
              </w:rPr>
              <w:fldChar w:fldCharType="separate"/>
            </w:r>
            <w:r>
              <w:rPr>
                <w:noProof/>
                <w:webHidden/>
              </w:rPr>
              <w:t>64</w:t>
            </w:r>
            <w:r>
              <w:rPr>
                <w:noProof/>
                <w:webHidden/>
              </w:rPr>
              <w:fldChar w:fldCharType="end"/>
            </w:r>
          </w:hyperlink>
        </w:p>
        <w:p w14:paraId="7147F5F3" w14:textId="2844D85A"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66" w:history="1">
            <w:r w:rsidRPr="00AD5DAB">
              <w:rPr>
                <w:rStyle w:val="Hyperlink"/>
                <w:noProof/>
              </w:rPr>
              <w:t>7.4.1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General overview</w:t>
            </w:r>
            <w:r>
              <w:rPr>
                <w:noProof/>
                <w:webHidden/>
              </w:rPr>
              <w:tab/>
            </w:r>
            <w:r>
              <w:rPr>
                <w:noProof/>
                <w:webHidden/>
              </w:rPr>
              <w:fldChar w:fldCharType="begin"/>
            </w:r>
            <w:r>
              <w:rPr>
                <w:noProof/>
                <w:webHidden/>
              </w:rPr>
              <w:instrText xml:space="preserve"> PAGEREF _Toc143072466 \h </w:instrText>
            </w:r>
            <w:r>
              <w:rPr>
                <w:noProof/>
                <w:webHidden/>
              </w:rPr>
            </w:r>
            <w:r>
              <w:rPr>
                <w:noProof/>
                <w:webHidden/>
              </w:rPr>
              <w:fldChar w:fldCharType="separate"/>
            </w:r>
            <w:r>
              <w:rPr>
                <w:noProof/>
                <w:webHidden/>
              </w:rPr>
              <w:t>64</w:t>
            </w:r>
            <w:r>
              <w:rPr>
                <w:noProof/>
                <w:webHidden/>
              </w:rPr>
              <w:fldChar w:fldCharType="end"/>
            </w:r>
          </w:hyperlink>
        </w:p>
        <w:p w14:paraId="70B36841" w14:textId="19C3A343"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67" w:history="1">
            <w:r w:rsidRPr="00AD5DAB">
              <w:rPr>
                <w:rStyle w:val="Hyperlink"/>
                <w:noProof/>
              </w:rPr>
              <w:t>7.4.2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 xml:space="preserve">General activities aimed at preventing and mitigating interference affecting </w:t>
            </w:r>
            <w:r w:rsidR="00176D96">
              <w:rPr>
                <w:rStyle w:val="Hyperlink"/>
                <w:noProof/>
              </w:rPr>
              <w:br/>
            </w:r>
            <w:r w:rsidRPr="00AD5DAB">
              <w:rPr>
                <w:rStyle w:val="Hyperlink"/>
                <w:noProof/>
              </w:rPr>
              <w:t>space services</w:t>
            </w:r>
            <w:r>
              <w:rPr>
                <w:noProof/>
                <w:webHidden/>
              </w:rPr>
              <w:tab/>
            </w:r>
            <w:r>
              <w:rPr>
                <w:noProof/>
                <w:webHidden/>
              </w:rPr>
              <w:fldChar w:fldCharType="begin"/>
            </w:r>
            <w:r>
              <w:rPr>
                <w:noProof/>
                <w:webHidden/>
              </w:rPr>
              <w:instrText xml:space="preserve"> PAGEREF _Toc143072467 \h </w:instrText>
            </w:r>
            <w:r>
              <w:rPr>
                <w:noProof/>
                <w:webHidden/>
              </w:rPr>
            </w:r>
            <w:r>
              <w:rPr>
                <w:noProof/>
                <w:webHidden/>
              </w:rPr>
              <w:fldChar w:fldCharType="separate"/>
            </w:r>
            <w:r>
              <w:rPr>
                <w:noProof/>
                <w:webHidden/>
              </w:rPr>
              <w:t>65</w:t>
            </w:r>
            <w:r>
              <w:rPr>
                <w:noProof/>
                <w:webHidden/>
              </w:rPr>
              <w:fldChar w:fldCharType="end"/>
            </w:r>
          </w:hyperlink>
        </w:p>
        <w:p w14:paraId="2DB384EB" w14:textId="34B2E763"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68" w:history="1">
            <w:r w:rsidRPr="00AD5DAB">
              <w:rPr>
                <w:rStyle w:val="Hyperlink"/>
                <w:noProof/>
              </w:rPr>
              <w:t>7.4.3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Developments regarding specific cases of harmful interference</w:t>
            </w:r>
            <w:r>
              <w:rPr>
                <w:noProof/>
                <w:webHidden/>
              </w:rPr>
              <w:tab/>
            </w:r>
            <w:r>
              <w:rPr>
                <w:noProof/>
                <w:webHidden/>
              </w:rPr>
              <w:fldChar w:fldCharType="begin"/>
            </w:r>
            <w:r>
              <w:rPr>
                <w:noProof/>
                <w:webHidden/>
              </w:rPr>
              <w:instrText xml:space="preserve"> PAGEREF _Toc143072468 \h </w:instrText>
            </w:r>
            <w:r>
              <w:rPr>
                <w:noProof/>
                <w:webHidden/>
              </w:rPr>
            </w:r>
            <w:r>
              <w:rPr>
                <w:noProof/>
                <w:webHidden/>
              </w:rPr>
              <w:fldChar w:fldCharType="separate"/>
            </w:r>
            <w:r>
              <w:rPr>
                <w:noProof/>
                <w:webHidden/>
              </w:rPr>
              <w:t>66</w:t>
            </w:r>
            <w:r>
              <w:rPr>
                <w:noProof/>
                <w:webHidden/>
              </w:rPr>
              <w:fldChar w:fldCharType="end"/>
            </w:r>
          </w:hyperlink>
        </w:p>
        <w:p w14:paraId="5AFEF639" w14:textId="20DA9C13" w:rsidR="00396AEF" w:rsidRDefault="00396AEF">
          <w:pPr>
            <w:pStyle w:val="TOC1"/>
            <w:rPr>
              <w:rFonts w:asciiTheme="minorHAnsi" w:eastAsiaTheme="minorEastAsia" w:hAnsiTheme="minorHAnsi" w:cstheme="minorBidi"/>
              <w:noProof/>
              <w:kern w:val="2"/>
              <w:sz w:val="22"/>
              <w:szCs w:val="22"/>
              <w:lang w:eastAsia="en-GB"/>
              <w14:ligatures w14:val="standardContextual"/>
            </w:rPr>
          </w:pPr>
          <w:hyperlink w:anchor="_Toc143072469" w:history="1">
            <w:r w:rsidRPr="00AD5DAB">
              <w:rPr>
                <w:rStyle w:val="Hyperlink"/>
                <w:noProof/>
                <w:lang w:val="en-US"/>
              </w:rPr>
              <w:t>8</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Cooperation</w:t>
            </w:r>
            <w:r>
              <w:rPr>
                <w:noProof/>
                <w:webHidden/>
              </w:rPr>
              <w:tab/>
            </w:r>
            <w:r>
              <w:rPr>
                <w:noProof/>
                <w:webHidden/>
              </w:rPr>
              <w:fldChar w:fldCharType="begin"/>
            </w:r>
            <w:r>
              <w:rPr>
                <w:noProof/>
                <w:webHidden/>
              </w:rPr>
              <w:instrText xml:space="preserve"> PAGEREF _Toc143072469 \h </w:instrText>
            </w:r>
            <w:r>
              <w:rPr>
                <w:noProof/>
                <w:webHidden/>
              </w:rPr>
            </w:r>
            <w:r>
              <w:rPr>
                <w:noProof/>
                <w:webHidden/>
              </w:rPr>
              <w:fldChar w:fldCharType="separate"/>
            </w:r>
            <w:r>
              <w:rPr>
                <w:noProof/>
                <w:webHidden/>
              </w:rPr>
              <w:t>67</w:t>
            </w:r>
            <w:r>
              <w:rPr>
                <w:noProof/>
                <w:webHidden/>
              </w:rPr>
              <w:fldChar w:fldCharType="end"/>
            </w:r>
          </w:hyperlink>
        </w:p>
        <w:p w14:paraId="0238D429" w14:textId="1109946C"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70" w:history="1">
            <w:r w:rsidRPr="00AD5DAB">
              <w:rPr>
                <w:rStyle w:val="Hyperlink"/>
                <w:noProof/>
                <w:lang w:val="en-US"/>
              </w:rPr>
              <w:t>8.1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lang w:val="en-US"/>
              </w:rPr>
              <w:t>Cooperation with ITU</w:t>
            </w:r>
            <w:r w:rsidRPr="00AD5DAB">
              <w:rPr>
                <w:rStyle w:val="Hyperlink"/>
                <w:noProof/>
                <w:lang w:val="en-US"/>
              </w:rPr>
              <w:noBreakHyphen/>
              <w:t>D</w:t>
            </w:r>
            <w:r>
              <w:rPr>
                <w:noProof/>
                <w:webHidden/>
              </w:rPr>
              <w:tab/>
            </w:r>
            <w:r>
              <w:rPr>
                <w:noProof/>
                <w:webHidden/>
              </w:rPr>
              <w:fldChar w:fldCharType="begin"/>
            </w:r>
            <w:r>
              <w:rPr>
                <w:noProof/>
                <w:webHidden/>
              </w:rPr>
              <w:instrText xml:space="preserve"> PAGEREF _Toc143072470 \h </w:instrText>
            </w:r>
            <w:r>
              <w:rPr>
                <w:noProof/>
                <w:webHidden/>
              </w:rPr>
            </w:r>
            <w:r>
              <w:rPr>
                <w:noProof/>
                <w:webHidden/>
              </w:rPr>
              <w:fldChar w:fldCharType="separate"/>
            </w:r>
            <w:r>
              <w:rPr>
                <w:noProof/>
                <w:webHidden/>
              </w:rPr>
              <w:t>67</w:t>
            </w:r>
            <w:r>
              <w:rPr>
                <w:noProof/>
                <w:webHidden/>
              </w:rPr>
              <w:fldChar w:fldCharType="end"/>
            </w:r>
          </w:hyperlink>
        </w:p>
        <w:p w14:paraId="592FC823" w14:textId="6D2C920B"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71" w:history="1">
            <w:r w:rsidRPr="00AD5DAB">
              <w:rPr>
                <w:rStyle w:val="Hyperlink"/>
                <w:noProof/>
              </w:rPr>
              <w:t>8.1.1</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GSR</w:t>
            </w:r>
            <w:r>
              <w:rPr>
                <w:noProof/>
                <w:webHidden/>
              </w:rPr>
              <w:tab/>
            </w:r>
            <w:r>
              <w:rPr>
                <w:noProof/>
                <w:webHidden/>
              </w:rPr>
              <w:fldChar w:fldCharType="begin"/>
            </w:r>
            <w:r>
              <w:rPr>
                <w:noProof/>
                <w:webHidden/>
              </w:rPr>
              <w:instrText xml:space="preserve"> PAGEREF _Toc143072471 \h </w:instrText>
            </w:r>
            <w:r>
              <w:rPr>
                <w:noProof/>
                <w:webHidden/>
              </w:rPr>
            </w:r>
            <w:r>
              <w:rPr>
                <w:noProof/>
                <w:webHidden/>
              </w:rPr>
              <w:fldChar w:fldCharType="separate"/>
            </w:r>
            <w:r>
              <w:rPr>
                <w:noProof/>
                <w:webHidden/>
              </w:rPr>
              <w:t>67</w:t>
            </w:r>
            <w:r>
              <w:rPr>
                <w:noProof/>
                <w:webHidden/>
              </w:rPr>
              <w:fldChar w:fldCharType="end"/>
            </w:r>
          </w:hyperlink>
        </w:p>
        <w:p w14:paraId="191DDD1B" w14:textId="302C8A11"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72" w:history="1">
            <w:r w:rsidRPr="00AD5DAB">
              <w:rPr>
                <w:rStyle w:val="Hyperlink"/>
                <w:noProof/>
              </w:rPr>
              <w:t>8.1.2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ICT Survey and ICT Eye</w:t>
            </w:r>
            <w:r>
              <w:rPr>
                <w:noProof/>
                <w:webHidden/>
              </w:rPr>
              <w:tab/>
            </w:r>
            <w:r>
              <w:rPr>
                <w:noProof/>
                <w:webHidden/>
              </w:rPr>
              <w:fldChar w:fldCharType="begin"/>
            </w:r>
            <w:r>
              <w:rPr>
                <w:noProof/>
                <w:webHidden/>
              </w:rPr>
              <w:instrText xml:space="preserve"> PAGEREF _Toc143072472 \h </w:instrText>
            </w:r>
            <w:r>
              <w:rPr>
                <w:noProof/>
                <w:webHidden/>
              </w:rPr>
            </w:r>
            <w:r>
              <w:rPr>
                <w:noProof/>
                <w:webHidden/>
              </w:rPr>
              <w:fldChar w:fldCharType="separate"/>
            </w:r>
            <w:r>
              <w:rPr>
                <w:noProof/>
                <w:webHidden/>
              </w:rPr>
              <w:t>67</w:t>
            </w:r>
            <w:r>
              <w:rPr>
                <w:noProof/>
                <w:webHidden/>
              </w:rPr>
              <w:fldChar w:fldCharType="end"/>
            </w:r>
          </w:hyperlink>
        </w:p>
        <w:p w14:paraId="29B81EFD" w14:textId="40B1CE62"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73" w:history="1">
            <w:r w:rsidRPr="00AD5DAB">
              <w:rPr>
                <w:rStyle w:val="Hyperlink"/>
                <w:noProof/>
              </w:rPr>
              <w:t>8.1.3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World Telecommunication/ICT Indicators Symposium, WTIS</w:t>
            </w:r>
            <w:r>
              <w:rPr>
                <w:noProof/>
                <w:webHidden/>
              </w:rPr>
              <w:tab/>
            </w:r>
            <w:r>
              <w:rPr>
                <w:noProof/>
                <w:webHidden/>
              </w:rPr>
              <w:fldChar w:fldCharType="begin"/>
            </w:r>
            <w:r>
              <w:rPr>
                <w:noProof/>
                <w:webHidden/>
              </w:rPr>
              <w:instrText xml:space="preserve"> PAGEREF _Toc143072473 \h </w:instrText>
            </w:r>
            <w:r>
              <w:rPr>
                <w:noProof/>
                <w:webHidden/>
              </w:rPr>
            </w:r>
            <w:r>
              <w:rPr>
                <w:noProof/>
                <w:webHidden/>
              </w:rPr>
              <w:fldChar w:fldCharType="separate"/>
            </w:r>
            <w:r>
              <w:rPr>
                <w:noProof/>
                <w:webHidden/>
              </w:rPr>
              <w:t>68</w:t>
            </w:r>
            <w:r>
              <w:rPr>
                <w:noProof/>
                <w:webHidden/>
              </w:rPr>
              <w:fldChar w:fldCharType="end"/>
            </w:r>
          </w:hyperlink>
        </w:p>
        <w:p w14:paraId="1789A302" w14:textId="279DE86E" w:rsidR="00396AEF" w:rsidRDefault="00396AEF">
          <w:pPr>
            <w:pStyle w:val="TOC3"/>
            <w:rPr>
              <w:rFonts w:asciiTheme="minorHAnsi" w:eastAsiaTheme="minorEastAsia" w:hAnsiTheme="minorHAnsi" w:cstheme="minorBidi"/>
              <w:noProof/>
              <w:kern w:val="2"/>
              <w:sz w:val="22"/>
              <w:szCs w:val="22"/>
              <w:lang w:eastAsia="en-GB"/>
              <w14:ligatures w14:val="standardContextual"/>
            </w:rPr>
          </w:pPr>
          <w:hyperlink w:anchor="_Toc143072474" w:history="1">
            <w:r w:rsidRPr="00AD5DAB">
              <w:rPr>
                <w:rStyle w:val="Hyperlink"/>
                <w:noProof/>
              </w:rPr>
              <w:t>8.1.4</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Spectrum Management Training Programme (SMTP)</w:t>
            </w:r>
            <w:r>
              <w:rPr>
                <w:noProof/>
                <w:webHidden/>
              </w:rPr>
              <w:tab/>
            </w:r>
            <w:r>
              <w:rPr>
                <w:noProof/>
                <w:webHidden/>
              </w:rPr>
              <w:fldChar w:fldCharType="begin"/>
            </w:r>
            <w:r>
              <w:rPr>
                <w:noProof/>
                <w:webHidden/>
              </w:rPr>
              <w:instrText xml:space="preserve"> PAGEREF _Toc143072474 \h </w:instrText>
            </w:r>
            <w:r>
              <w:rPr>
                <w:noProof/>
                <w:webHidden/>
              </w:rPr>
            </w:r>
            <w:r>
              <w:rPr>
                <w:noProof/>
                <w:webHidden/>
              </w:rPr>
              <w:fldChar w:fldCharType="separate"/>
            </w:r>
            <w:r>
              <w:rPr>
                <w:noProof/>
                <w:webHidden/>
              </w:rPr>
              <w:t>68</w:t>
            </w:r>
            <w:r>
              <w:rPr>
                <w:noProof/>
                <w:webHidden/>
              </w:rPr>
              <w:fldChar w:fldCharType="end"/>
            </w:r>
          </w:hyperlink>
        </w:p>
        <w:p w14:paraId="163F4810" w14:textId="01B94BEB"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75" w:history="1">
            <w:r w:rsidRPr="00AD5DAB">
              <w:rPr>
                <w:rStyle w:val="Hyperlink"/>
                <w:noProof/>
              </w:rPr>
              <w:t>8.2</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Cooperation with ITU-T</w:t>
            </w:r>
            <w:r>
              <w:rPr>
                <w:noProof/>
                <w:webHidden/>
              </w:rPr>
              <w:tab/>
            </w:r>
            <w:r>
              <w:rPr>
                <w:noProof/>
                <w:webHidden/>
              </w:rPr>
              <w:fldChar w:fldCharType="begin"/>
            </w:r>
            <w:r>
              <w:rPr>
                <w:noProof/>
                <w:webHidden/>
              </w:rPr>
              <w:instrText xml:space="preserve"> PAGEREF _Toc143072475 \h </w:instrText>
            </w:r>
            <w:r>
              <w:rPr>
                <w:noProof/>
                <w:webHidden/>
              </w:rPr>
            </w:r>
            <w:r>
              <w:rPr>
                <w:noProof/>
                <w:webHidden/>
              </w:rPr>
              <w:fldChar w:fldCharType="separate"/>
            </w:r>
            <w:r>
              <w:rPr>
                <w:noProof/>
                <w:webHidden/>
              </w:rPr>
              <w:t>68</w:t>
            </w:r>
            <w:r>
              <w:rPr>
                <w:noProof/>
                <w:webHidden/>
              </w:rPr>
              <w:fldChar w:fldCharType="end"/>
            </w:r>
          </w:hyperlink>
        </w:p>
        <w:p w14:paraId="14BC5A78" w14:textId="3FF66FAB" w:rsidR="00396AEF" w:rsidRDefault="00396AEF">
          <w:pPr>
            <w:pStyle w:val="TOC2"/>
            <w:rPr>
              <w:rFonts w:asciiTheme="minorHAnsi" w:eastAsiaTheme="minorEastAsia" w:hAnsiTheme="minorHAnsi" w:cstheme="minorBidi"/>
              <w:noProof/>
              <w:kern w:val="2"/>
              <w:sz w:val="22"/>
              <w:szCs w:val="22"/>
              <w:lang w:eastAsia="en-GB"/>
              <w14:ligatures w14:val="standardContextual"/>
            </w:rPr>
          </w:pPr>
          <w:hyperlink w:anchor="_Toc143072476" w:history="1">
            <w:r w:rsidRPr="00AD5DAB">
              <w:rPr>
                <w:rStyle w:val="Hyperlink"/>
                <w:noProof/>
              </w:rPr>
              <w:t>8.3</w:t>
            </w:r>
            <w:r>
              <w:rPr>
                <w:rFonts w:asciiTheme="minorHAnsi" w:eastAsiaTheme="minorEastAsia" w:hAnsiTheme="minorHAnsi" w:cstheme="minorBidi"/>
                <w:noProof/>
                <w:kern w:val="2"/>
                <w:sz w:val="22"/>
                <w:szCs w:val="22"/>
                <w:lang w:eastAsia="en-GB"/>
                <w14:ligatures w14:val="standardContextual"/>
              </w:rPr>
              <w:tab/>
            </w:r>
            <w:r w:rsidRPr="00AD5DAB">
              <w:rPr>
                <w:rStyle w:val="Hyperlink"/>
                <w:noProof/>
              </w:rPr>
              <w:t>Cooperation with international and regional organizations</w:t>
            </w:r>
            <w:r>
              <w:rPr>
                <w:noProof/>
                <w:webHidden/>
              </w:rPr>
              <w:tab/>
            </w:r>
            <w:r>
              <w:rPr>
                <w:noProof/>
                <w:webHidden/>
              </w:rPr>
              <w:fldChar w:fldCharType="begin"/>
            </w:r>
            <w:r>
              <w:rPr>
                <w:noProof/>
                <w:webHidden/>
              </w:rPr>
              <w:instrText xml:space="preserve"> PAGEREF _Toc143072476 \h </w:instrText>
            </w:r>
            <w:r>
              <w:rPr>
                <w:noProof/>
                <w:webHidden/>
              </w:rPr>
            </w:r>
            <w:r>
              <w:rPr>
                <w:noProof/>
                <w:webHidden/>
              </w:rPr>
              <w:fldChar w:fldCharType="separate"/>
            </w:r>
            <w:r>
              <w:rPr>
                <w:noProof/>
                <w:webHidden/>
              </w:rPr>
              <w:t>68</w:t>
            </w:r>
            <w:r>
              <w:rPr>
                <w:noProof/>
                <w:webHidden/>
              </w:rPr>
              <w:fldChar w:fldCharType="end"/>
            </w:r>
          </w:hyperlink>
        </w:p>
        <w:p w14:paraId="642C7A7A" w14:textId="18E75A1B" w:rsidR="00C74DA0" w:rsidRDefault="00C74DA0" w:rsidP="00C74DA0">
          <w:r>
            <w:fldChar w:fldCharType="end"/>
          </w:r>
        </w:p>
      </w:sdtContent>
    </w:sdt>
    <w:p w14:paraId="196377D5" w14:textId="77777777" w:rsidR="00C74DA0" w:rsidRDefault="00C74DA0" w:rsidP="00C74DA0">
      <w:pPr>
        <w:tabs>
          <w:tab w:val="center" w:pos="4819"/>
        </w:tabs>
        <w:rPr>
          <w:b/>
          <w:sz w:val="28"/>
        </w:rPr>
      </w:pPr>
      <w:r>
        <w:rPr>
          <w:b/>
          <w:sz w:val="28"/>
        </w:rPr>
        <w:br w:type="page"/>
      </w:r>
    </w:p>
    <w:p w14:paraId="17F8F43B" w14:textId="77777777" w:rsidR="00C74DA0" w:rsidRPr="00253BEA" w:rsidRDefault="00C74DA0" w:rsidP="00C74DA0">
      <w:pPr>
        <w:pStyle w:val="Heading1"/>
        <w:rPr>
          <w:highlight w:val="cyan"/>
        </w:rPr>
      </w:pPr>
      <w:bookmarkStart w:id="11" w:name="_Toc418163351"/>
      <w:bookmarkStart w:id="12" w:name="_Toc418232256"/>
      <w:bookmarkStart w:id="13" w:name="_Toc143072384"/>
      <w:r w:rsidRPr="00075945">
        <w:t>Introduction</w:t>
      </w:r>
      <w:bookmarkEnd w:id="11"/>
      <w:bookmarkEnd w:id="12"/>
      <w:bookmarkEnd w:id="13"/>
    </w:p>
    <w:p w14:paraId="44BE4AB5" w14:textId="77777777" w:rsidR="00C74DA0" w:rsidRPr="00075945" w:rsidRDefault="00C74DA0" w:rsidP="00C74DA0">
      <w:r w:rsidRPr="00075945">
        <w:t xml:space="preserve">This Report sets forth details on the activities undertaken by the Radiocommunication Sector since the last World Radiocommunication Conference. It takes into account information provided in Reports previously submitted to both the Radiocommunication Advisory Group and the Council, such as the operational plans for the concerned </w:t>
      </w:r>
      <w:proofErr w:type="gramStart"/>
      <w:r w:rsidRPr="00075945">
        <w:t>time-frame</w:t>
      </w:r>
      <w:proofErr w:type="gramEnd"/>
      <w:r w:rsidRPr="00075945">
        <w:t>.</w:t>
      </w:r>
    </w:p>
    <w:p w14:paraId="5344E256" w14:textId="77777777" w:rsidR="00C74DA0" w:rsidRPr="00A368A6" w:rsidRDefault="00C74DA0" w:rsidP="00C74DA0">
      <w:pPr>
        <w:pStyle w:val="Heading1"/>
        <w:rPr>
          <w:lang w:val="en-US"/>
        </w:rPr>
      </w:pPr>
      <w:bookmarkStart w:id="14" w:name="_Toc143072385"/>
      <w:r w:rsidRPr="00A368A6">
        <w:rPr>
          <w:lang w:val="en-US"/>
        </w:rPr>
        <w:t>1</w:t>
      </w:r>
      <w:r w:rsidRPr="00A368A6">
        <w:rPr>
          <w:lang w:val="en-US"/>
        </w:rPr>
        <w:tab/>
        <w:t>WRC-</w:t>
      </w:r>
      <w:r>
        <w:rPr>
          <w:lang w:val="en-US"/>
        </w:rPr>
        <w:t>23</w:t>
      </w:r>
      <w:r w:rsidRPr="00A368A6">
        <w:rPr>
          <w:lang w:val="en-US"/>
        </w:rPr>
        <w:t xml:space="preserve"> preparations</w:t>
      </w:r>
      <w:bookmarkEnd w:id="14"/>
      <w:r>
        <w:rPr>
          <w:lang w:val="en-US"/>
        </w:rPr>
        <w:t xml:space="preserve"> </w:t>
      </w:r>
    </w:p>
    <w:p w14:paraId="14ABDC41" w14:textId="77777777" w:rsidR="00C74DA0" w:rsidRPr="00A368A6" w:rsidRDefault="00C74DA0" w:rsidP="00C74DA0">
      <w:pPr>
        <w:pStyle w:val="Heading2"/>
      </w:pPr>
      <w:bookmarkStart w:id="15" w:name="_Toc143072386"/>
      <w:r w:rsidRPr="00A368A6">
        <w:t>1.1</w:t>
      </w:r>
      <w:r w:rsidRPr="00A368A6">
        <w:tab/>
        <w:t>BR preparations for WRC</w:t>
      </w:r>
      <w:r w:rsidRPr="00A368A6">
        <w:noBreakHyphen/>
      </w:r>
      <w:r>
        <w:t>23</w:t>
      </w:r>
      <w:bookmarkEnd w:id="15"/>
    </w:p>
    <w:p w14:paraId="202D6961" w14:textId="77777777" w:rsidR="00C74DA0" w:rsidRPr="00A368A6" w:rsidRDefault="00C74DA0" w:rsidP="00C74DA0">
      <w:r w:rsidRPr="00A368A6">
        <w:t>The Bureau’s preparations for WRC</w:t>
      </w:r>
      <w:r w:rsidRPr="00A368A6">
        <w:noBreakHyphen/>
      </w:r>
      <w:r>
        <w:t>23</w:t>
      </w:r>
      <w:r w:rsidRPr="00A368A6">
        <w:t xml:space="preserve"> are following the usual process. The Bureau prepared its Report to the conference pursuant to the provisions of CV180 and item 9 of the agenda. The contributions from Member States are processed in the standard manner and are posted in a timely way on the web. The necessary documents have been prepared for the attention of the Members States (</w:t>
      </w:r>
      <w:proofErr w:type="gramStart"/>
      <w:r w:rsidRPr="00A368A6">
        <w:t>e.g.</w:t>
      </w:r>
      <w:proofErr w:type="gramEnd"/>
      <w:r w:rsidRPr="00A368A6">
        <w:t> CA/2</w:t>
      </w:r>
      <w:r>
        <w:t>6</w:t>
      </w:r>
      <w:r w:rsidRPr="00A368A6">
        <w:t>5, dealing with guidelines and tools for submission of proposals, delegate registration, publication and consultation of documents, etc.).</w:t>
      </w:r>
    </w:p>
    <w:p w14:paraId="093077D2" w14:textId="77777777" w:rsidR="00C74DA0" w:rsidRPr="00A368A6" w:rsidRDefault="00C74DA0" w:rsidP="00C74DA0">
      <w:r w:rsidRPr="00A368A6">
        <w:t>The activities of the Study Groups in preparation for WRC</w:t>
      </w:r>
      <w:r w:rsidRPr="00A368A6">
        <w:noBreakHyphen/>
      </w:r>
      <w:r>
        <w:t>23</w:t>
      </w:r>
      <w:r w:rsidRPr="00A368A6">
        <w:t xml:space="preserve"> are described in Section 4.3.</w:t>
      </w:r>
    </w:p>
    <w:p w14:paraId="23717501" w14:textId="3E500DAF" w:rsidR="00C74DA0" w:rsidRPr="00A368A6" w:rsidRDefault="00C74DA0" w:rsidP="00C74DA0">
      <w:r w:rsidRPr="00A368A6">
        <w:t xml:space="preserve">In </w:t>
      </w:r>
      <w:r w:rsidR="00FB4BEA">
        <w:t xml:space="preserve">accordance </w:t>
      </w:r>
      <w:r w:rsidRPr="00A368A6">
        <w:t>with Decision 5 of the Plenipotentiary Conference (Rev.</w:t>
      </w:r>
      <w:r>
        <w:t xml:space="preserve"> Bucharest</w:t>
      </w:r>
      <w:r w:rsidRPr="00A368A6">
        <w:t>, 20</w:t>
      </w:r>
      <w:r>
        <w:t>22</w:t>
      </w:r>
      <w:r w:rsidRPr="00A368A6">
        <w:t>), it was decided that WRC-</w:t>
      </w:r>
      <w:r>
        <w:t>23</w:t>
      </w:r>
      <w:r w:rsidRPr="00A368A6">
        <w:t xml:space="preserve"> will be conducted in a paperless environment. </w:t>
      </w:r>
      <w:r w:rsidRPr="00A368A6">
        <w:rPr>
          <w:rFonts w:eastAsia="SimSun"/>
        </w:rPr>
        <w:t>All documents will be available electronically on the WRC</w:t>
      </w:r>
      <w:r w:rsidRPr="00A368A6">
        <w:rPr>
          <w:rFonts w:eastAsia="SimSun"/>
        </w:rPr>
        <w:noBreakHyphen/>
      </w:r>
      <w:r>
        <w:rPr>
          <w:rFonts w:eastAsia="SimSun"/>
        </w:rPr>
        <w:t>23</w:t>
      </w:r>
      <w:r w:rsidRPr="00A368A6">
        <w:rPr>
          <w:rFonts w:eastAsia="SimSun"/>
        </w:rPr>
        <w:t xml:space="preserve"> website. In addition, an ITU Sync Application will enable the expeditious download and synchronization of WRC</w:t>
      </w:r>
      <w:r w:rsidRPr="00A368A6">
        <w:rPr>
          <w:rFonts w:eastAsia="SimSun"/>
        </w:rPr>
        <w:noBreakHyphen/>
      </w:r>
      <w:r>
        <w:rPr>
          <w:rFonts w:eastAsia="SimSun"/>
        </w:rPr>
        <w:t>23</w:t>
      </w:r>
      <w:r w:rsidRPr="00A368A6">
        <w:rPr>
          <w:rFonts w:eastAsia="SimSun"/>
        </w:rPr>
        <w:t xml:space="preserve"> documents from the ITU servers.</w:t>
      </w:r>
    </w:p>
    <w:p w14:paraId="52A2664D" w14:textId="77777777" w:rsidR="00C74DA0" w:rsidRPr="00A368A6" w:rsidRDefault="00C74DA0" w:rsidP="00C74DA0">
      <w:pPr>
        <w:pStyle w:val="Heading2"/>
      </w:pPr>
      <w:bookmarkStart w:id="16" w:name="_Toc143072387"/>
      <w:r w:rsidRPr="00A368A6">
        <w:t>1.2</w:t>
      </w:r>
      <w:r w:rsidRPr="00A368A6">
        <w:tab/>
        <w:t>Regional preparations in response to Resolution 72 (Rev.WRC</w:t>
      </w:r>
      <w:r w:rsidRPr="00A368A6">
        <w:noBreakHyphen/>
      </w:r>
      <w:r>
        <w:t>19</w:t>
      </w:r>
      <w:r w:rsidRPr="00A368A6">
        <w:t>)</w:t>
      </w:r>
      <w:bookmarkEnd w:id="16"/>
    </w:p>
    <w:p w14:paraId="3B3B87FE" w14:textId="77777777" w:rsidR="00C74DA0" w:rsidRPr="00A368A6" w:rsidRDefault="00C74DA0" w:rsidP="00C74DA0">
      <w:r w:rsidRPr="00A368A6">
        <w:t>The Bureau organized in Geneva three ITU Inter-regional Workshops on WRC</w:t>
      </w:r>
      <w:r w:rsidRPr="00A368A6">
        <w:noBreakHyphen/>
      </w:r>
      <w:r>
        <w:t>23</w:t>
      </w:r>
      <w:r w:rsidRPr="00A368A6">
        <w:t xml:space="preserve"> preparation, the first one on </w:t>
      </w:r>
      <w:r>
        <w:t>13 to 15 December</w:t>
      </w:r>
      <w:r w:rsidRPr="00A368A6">
        <w:t xml:space="preserve"> 20</w:t>
      </w:r>
      <w:r>
        <w:t>21</w:t>
      </w:r>
      <w:r w:rsidRPr="00A368A6">
        <w:t xml:space="preserve">, the second one </w:t>
      </w:r>
      <w:r>
        <w:t>from 29</w:t>
      </w:r>
      <w:r w:rsidRPr="00A368A6">
        <w:t xml:space="preserve"> November</w:t>
      </w:r>
      <w:r>
        <w:t xml:space="preserve"> to 1 December</w:t>
      </w:r>
      <w:r w:rsidRPr="00A368A6">
        <w:t xml:space="preserve"> 20</w:t>
      </w:r>
      <w:r>
        <w:t>22</w:t>
      </w:r>
      <w:r w:rsidRPr="00A368A6">
        <w:t xml:space="preserve"> and the third one </w:t>
      </w:r>
      <w:r>
        <w:t xml:space="preserve">from 27 to 29 </w:t>
      </w:r>
      <w:r w:rsidRPr="00A368A6">
        <w:t>September 20</w:t>
      </w:r>
      <w:r>
        <w:t>23</w:t>
      </w:r>
      <w:r w:rsidRPr="00A368A6">
        <w:t>.</w:t>
      </w:r>
    </w:p>
    <w:p w14:paraId="75DCE3F3" w14:textId="77777777" w:rsidR="00C74DA0" w:rsidRPr="00A368A6" w:rsidRDefault="00C74DA0" w:rsidP="00C74DA0">
      <w:r w:rsidRPr="00A368A6">
        <w:t xml:space="preserve">See details at </w:t>
      </w:r>
      <w:hyperlink r:id="rId13" w:history="1">
        <w:r w:rsidRPr="00C05C05">
          <w:rPr>
            <w:rStyle w:val="Hyperlink"/>
          </w:rPr>
          <w:t>https://www.itu.int/en/ITU-R/conferences/wrc/2023/irwsp/Pages/default.aspx</w:t>
        </w:r>
      </w:hyperlink>
      <w:r w:rsidRPr="00A368A6">
        <w:t>.</w:t>
      </w:r>
    </w:p>
    <w:p w14:paraId="3621E8D3" w14:textId="77777777" w:rsidR="00C74DA0" w:rsidRPr="00A368A6" w:rsidRDefault="00C74DA0" w:rsidP="00C74DA0">
      <w:r w:rsidRPr="00A368A6">
        <w:t>Staff of the Bureau also participated regularly in WRC</w:t>
      </w:r>
      <w:r w:rsidRPr="00A368A6">
        <w:noBreakHyphen/>
      </w:r>
      <w:r>
        <w:t>23</w:t>
      </w:r>
      <w:r w:rsidRPr="00A368A6">
        <w:t xml:space="preserve"> preparatory meetings of regional organizations, providing information and assistance as necessary.</w:t>
      </w:r>
    </w:p>
    <w:p w14:paraId="4DEDB0C2" w14:textId="77777777" w:rsidR="00C74DA0" w:rsidRPr="00A368A6" w:rsidRDefault="00C74DA0" w:rsidP="00C74DA0">
      <w:pPr>
        <w:pStyle w:val="Heading2"/>
      </w:pPr>
      <w:bookmarkStart w:id="17" w:name="_Toc418163353"/>
      <w:bookmarkStart w:id="18" w:name="_Toc418232257"/>
      <w:bookmarkStart w:id="19" w:name="_Toc143072388"/>
      <w:r w:rsidRPr="00A368A6">
        <w:t>1.3</w:t>
      </w:r>
      <w:r w:rsidRPr="00A368A6">
        <w:tab/>
        <w:t>ITU-R Study Groups work for WRC</w:t>
      </w:r>
      <w:r w:rsidRPr="00A368A6">
        <w:noBreakHyphen/>
      </w:r>
      <w:proofErr w:type="gramStart"/>
      <w:r>
        <w:t>23</w:t>
      </w:r>
      <w:bookmarkEnd w:id="19"/>
      <w:proofErr w:type="gramEnd"/>
    </w:p>
    <w:p w14:paraId="32A2CE9B" w14:textId="77777777" w:rsidR="00C74DA0" w:rsidRDefault="00C74DA0" w:rsidP="00C74DA0">
      <w:r w:rsidRPr="00A368A6">
        <w:t>This activity is reported in Section 4.3 below.</w:t>
      </w:r>
    </w:p>
    <w:p w14:paraId="2ADCD8C4" w14:textId="26EA79E2" w:rsidR="00C74DA0" w:rsidRPr="00C66E29" w:rsidRDefault="00C74DA0" w:rsidP="00C74DA0">
      <w:pPr>
        <w:pStyle w:val="Heading1"/>
      </w:pPr>
      <w:bookmarkStart w:id="20" w:name="_Toc143072389"/>
      <w:r w:rsidRPr="00C66E29">
        <w:t>2</w:t>
      </w:r>
      <w:r w:rsidRPr="00C66E29">
        <w:tab/>
        <w:t>Application of the Radio Regulations for Spaces services</w:t>
      </w:r>
      <w:bookmarkEnd w:id="17"/>
      <w:bookmarkEnd w:id="18"/>
      <w:bookmarkEnd w:id="20"/>
      <w:r>
        <w:t xml:space="preserve"> </w:t>
      </w:r>
    </w:p>
    <w:p w14:paraId="7574A37A" w14:textId="77777777" w:rsidR="00C74DA0" w:rsidRPr="00C66E29" w:rsidRDefault="00C74DA0" w:rsidP="00C74DA0">
      <w:pPr>
        <w:pStyle w:val="Heading2"/>
      </w:pPr>
      <w:bookmarkStart w:id="21" w:name="_Toc418163354"/>
      <w:bookmarkStart w:id="22" w:name="_Toc418232258"/>
      <w:bookmarkStart w:id="23" w:name="_Toc143072390"/>
      <w:r w:rsidRPr="00C66E29">
        <w:t>2.1</w:t>
      </w:r>
      <w:r w:rsidRPr="00C66E29">
        <w:tab/>
        <w:t>Introduction</w:t>
      </w:r>
      <w:bookmarkEnd w:id="21"/>
      <w:bookmarkEnd w:id="22"/>
      <w:bookmarkEnd w:id="23"/>
    </w:p>
    <w:p w14:paraId="16B07C14" w14:textId="77777777" w:rsidR="00C74DA0" w:rsidRPr="00C66E29" w:rsidRDefault="00C74DA0" w:rsidP="00C74DA0">
      <w:bookmarkStart w:id="24" w:name="_Toc418175295"/>
      <w:bookmarkStart w:id="25" w:name="_Toc418175686"/>
      <w:bookmarkStart w:id="26" w:name="_Toc418232259"/>
      <w:r w:rsidRPr="00C66E29">
        <w:t>In the period since WRC</w:t>
      </w:r>
      <w:r w:rsidRPr="00C66E29">
        <w:noBreakHyphen/>
        <w:t>19, there has been a continuing heavy workload for the Space</w:t>
      </w:r>
      <w:bookmarkEnd w:id="24"/>
      <w:bookmarkEnd w:id="25"/>
      <w:bookmarkEnd w:id="26"/>
      <w:r w:rsidRPr="00C66E29">
        <w:t xml:space="preserve"> Services Department in processing notices for non-planned services (Advance Publication, Coordination requests and Notification for entry into the Master Register), including the implementation of WRC</w:t>
      </w:r>
      <w:r w:rsidRPr="00C66E29">
        <w:noBreakHyphen/>
        <w:t xml:space="preserve">19 decisions (in particular Resolution </w:t>
      </w:r>
      <w:r w:rsidRPr="00C66E29">
        <w:rPr>
          <w:b/>
        </w:rPr>
        <w:t xml:space="preserve">32 (WRC-19), </w:t>
      </w:r>
      <w:r w:rsidRPr="00C66E29">
        <w:t xml:space="preserve">Resolution </w:t>
      </w:r>
      <w:r w:rsidRPr="00C66E29">
        <w:rPr>
          <w:b/>
        </w:rPr>
        <w:t>35 (WRC-19)</w:t>
      </w:r>
      <w:r w:rsidRPr="00C66E29">
        <w:t xml:space="preserve">, Resolution </w:t>
      </w:r>
      <w:r w:rsidRPr="00C66E29">
        <w:rPr>
          <w:b/>
        </w:rPr>
        <w:t>40 (Rev. WRC-19)</w:t>
      </w:r>
      <w:r w:rsidRPr="00C66E29">
        <w:t xml:space="preserve">, Resolution </w:t>
      </w:r>
      <w:r w:rsidRPr="00C66E29">
        <w:rPr>
          <w:b/>
        </w:rPr>
        <w:t>169 (WRC-19)</w:t>
      </w:r>
      <w:r w:rsidRPr="00C66E29">
        <w:t xml:space="preserve">, Resolution </w:t>
      </w:r>
      <w:r w:rsidRPr="00C66E29">
        <w:rPr>
          <w:b/>
        </w:rPr>
        <w:t>770 (Rev.WRC</w:t>
      </w:r>
      <w:r w:rsidRPr="00C66E29">
        <w:rPr>
          <w:b/>
        </w:rPr>
        <w:noBreakHyphen/>
        <w:t>19)</w:t>
      </w:r>
      <w:r w:rsidRPr="00C66E29">
        <w:t xml:space="preserve">, Resolution </w:t>
      </w:r>
      <w:r w:rsidRPr="00C66E29">
        <w:rPr>
          <w:b/>
        </w:rPr>
        <w:t>771 (Rev.WRC</w:t>
      </w:r>
      <w:r w:rsidRPr="00C66E29">
        <w:rPr>
          <w:b/>
        </w:rPr>
        <w:noBreakHyphen/>
        <w:t>19</w:t>
      </w:r>
      <w:r w:rsidRPr="00C66E29">
        <w:t>). Similarly, in respect of services subject to Plans, the Radiocommunication Bureau has undertaken substantial work since WRC</w:t>
      </w:r>
      <w:r w:rsidRPr="00C66E29">
        <w:noBreakHyphen/>
        <w:t>19.</w:t>
      </w:r>
    </w:p>
    <w:p w14:paraId="0B94CF61" w14:textId="77777777" w:rsidR="00C74DA0" w:rsidRPr="00C66E29" w:rsidRDefault="00C74DA0" w:rsidP="00C74DA0">
      <w:bookmarkStart w:id="27" w:name="_Toc418175296"/>
      <w:bookmarkStart w:id="28" w:name="_Toc418175687"/>
      <w:bookmarkStart w:id="29" w:name="_Toc418232260"/>
      <w:r w:rsidRPr="00C66E29">
        <w:t>During this period, the objective to meet the regulatory deadlines set up in the Radio</w:t>
      </w:r>
      <w:bookmarkEnd w:id="27"/>
      <w:bookmarkEnd w:id="28"/>
      <w:bookmarkEnd w:id="29"/>
      <w:r w:rsidRPr="00C66E29">
        <w:t xml:space="preserve"> Regulations for processing satellite network filings has generally been achieved in the treatment of all procedures: advance publication of information, coordination requests and notification and recording in the Master Register for non-planned satellite network services, use of </w:t>
      </w:r>
      <w:proofErr w:type="spellStart"/>
      <w:r w:rsidRPr="00C66E29">
        <w:t>guardbands</w:t>
      </w:r>
      <w:proofErr w:type="spellEnd"/>
      <w:r w:rsidRPr="00C66E29">
        <w:t>, modifications or additional uses and notification and recording of frequency assignments to the broadcasting-satellite service and associated feeder links subject to a Plan (</w:t>
      </w:r>
      <w:r w:rsidRPr="00C66E29">
        <w:rPr>
          <w:b/>
        </w:rPr>
        <w:t>AP30/30A</w:t>
      </w:r>
      <w:r w:rsidRPr="00C66E29">
        <w:t>) and conversion of allotments, introduction of additional systems, modification and recording of frequency assignments to the fixed-satellite service subject to a Plan (</w:t>
      </w:r>
      <w:r w:rsidRPr="00C66E29">
        <w:rPr>
          <w:b/>
        </w:rPr>
        <w:t>AP30B</w:t>
      </w:r>
      <w:r w:rsidRPr="00C66E29">
        <w:t xml:space="preserve">). </w:t>
      </w:r>
    </w:p>
    <w:p w14:paraId="66E473FC" w14:textId="443D5BA1" w:rsidR="00C74DA0" w:rsidRPr="00C66E29" w:rsidRDefault="00C74DA0" w:rsidP="00C74DA0">
      <w:bookmarkStart w:id="30" w:name="_Toc418175297"/>
      <w:bookmarkStart w:id="31" w:name="_Toc418175688"/>
      <w:bookmarkStart w:id="32" w:name="_Toc418232261"/>
      <w:r w:rsidRPr="00C66E29">
        <w:t>To ensure that regulatory deadlines set up in the Radio Regulations for processing</w:t>
      </w:r>
      <w:bookmarkEnd w:id="30"/>
      <w:bookmarkEnd w:id="31"/>
      <w:bookmarkEnd w:id="32"/>
      <w:r w:rsidRPr="00C66E29">
        <w:t xml:space="preserve"> satellite network filings continue to be met and that processing backlog situations will not reoccur, staff resources and work have been continuously adapted to the requirements.</w:t>
      </w:r>
    </w:p>
    <w:p w14:paraId="654269C7" w14:textId="77777777" w:rsidR="00C74DA0" w:rsidRPr="00C66E29" w:rsidRDefault="00C74DA0" w:rsidP="00C74DA0">
      <w:r w:rsidRPr="00C66E29">
        <w:t>Full details of these situations are contained in the following paragraphs.</w:t>
      </w:r>
    </w:p>
    <w:p w14:paraId="3FE0F253" w14:textId="77777777" w:rsidR="00C74DA0" w:rsidRPr="00C66E29" w:rsidRDefault="00C74DA0" w:rsidP="00C74DA0">
      <w:pPr>
        <w:pStyle w:val="Heading2"/>
      </w:pPr>
      <w:bookmarkStart w:id="33" w:name="_Toc418163355"/>
      <w:bookmarkStart w:id="34" w:name="_Toc418232262"/>
      <w:bookmarkStart w:id="35" w:name="_Toc143072391"/>
      <w:r w:rsidRPr="00C66E29">
        <w:t>2.2</w:t>
      </w:r>
      <w:r w:rsidRPr="00C66E29">
        <w:tab/>
        <w:t>Processing of notices: non-planned services</w:t>
      </w:r>
      <w:bookmarkEnd w:id="33"/>
      <w:bookmarkEnd w:id="34"/>
      <w:bookmarkEnd w:id="35"/>
    </w:p>
    <w:p w14:paraId="33BD3DBC" w14:textId="77777777" w:rsidR="00C74DA0" w:rsidRPr="00C66E29" w:rsidRDefault="00C74DA0" w:rsidP="00C74DA0">
      <w:r w:rsidRPr="00C66E29">
        <w:t xml:space="preserve">Access to spectrum/orbit resources that are not subject to a Plan is governed by procedures laid down in Articles </w:t>
      </w:r>
      <w:r w:rsidRPr="00C66E29">
        <w:rPr>
          <w:b/>
        </w:rPr>
        <w:t>9</w:t>
      </w:r>
      <w:r w:rsidRPr="00C66E29">
        <w:t xml:space="preserve"> and </w:t>
      </w:r>
      <w:r w:rsidRPr="00C66E29">
        <w:rPr>
          <w:b/>
        </w:rPr>
        <w:t>11</w:t>
      </w:r>
      <w:r w:rsidRPr="00C66E29">
        <w:t xml:space="preserve"> of the Radio Regulations. Two main procedures are contained in these Articles: </w:t>
      </w:r>
    </w:p>
    <w:p w14:paraId="7DF61821" w14:textId="37C686CB" w:rsidR="00C74DA0" w:rsidRPr="00C66E29" w:rsidRDefault="0004226C" w:rsidP="00C74DA0">
      <w:pPr>
        <w:pStyle w:val="enumlev1"/>
        <w:rPr>
          <w:lang w:val="en-US"/>
        </w:rPr>
      </w:pPr>
      <w:r>
        <w:rPr>
          <w:lang w:val="en-US"/>
        </w:rPr>
        <w:t>−</w:t>
      </w:r>
      <w:r w:rsidR="00C74DA0" w:rsidRPr="00C66E29">
        <w:rPr>
          <w:lang w:val="en-US"/>
        </w:rPr>
        <w:tab/>
        <w:t xml:space="preserve">satellite systems not subject to coordination submit Advance Publication Information (API) and Notification information, </w:t>
      </w:r>
    </w:p>
    <w:p w14:paraId="6508AB16" w14:textId="3D620D8F" w:rsidR="00C74DA0" w:rsidRPr="00C66E29" w:rsidRDefault="0004226C" w:rsidP="00C74DA0">
      <w:pPr>
        <w:pStyle w:val="enumlev1"/>
      </w:pPr>
      <w:r>
        <w:rPr>
          <w:lang w:val="en-US"/>
        </w:rPr>
        <w:t>−</w:t>
      </w:r>
      <w:r w:rsidR="00C74DA0" w:rsidRPr="00C66E29">
        <w:rPr>
          <w:lang w:val="en-US"/>
        </w:rPr>
        <w:tab/>
        <w:t>satellite systems subject to coordination submit Coordination Request (CR) and Notification information.</w:t>
      </w:r>
    </w:p>
    <w:p w14:paraId="18986A00" w14:textId="77777777" w:rsidR="00C74DA0" w:rsidRPr="00C66E29" w:rsidRDefault="00C74DA0" w:rsidP="00C74DA0">
      <w:r w:rsidRPr="00C66E29">
        <w:t xml:space="preserve">These procedures constitute a cooperative system, where ITU Member States collaborate to allow satellite systems to operate in space free from radio interference. This cooperative system can broadly be characterized by three main steps: </w:t>
      </w:r>
    </w:p>
    <w:p w14:paraId="2A2730E8" w14:textId="77777777" w:rsidR="00C74DA0" w:rsidRPr="00C66E29" w:rsidRDefault="00C74DA0" w:rsidP="00C74DA0">
      <w:pPr>
        <w:pStyle w:val="enumlev1"/>
        <w:rPr>
          <w:lang w:val="en-US"/>
        </w:rPr>
      </w:pPr>
      <w:r w:rsidRPr="00C66E29">
        <w:rPr>
          <w:lang w:val="en-US"/>
        </w:rPr>
        <w:t>1)</w:t>
      </w:r>
      <w:r w:rsidRPr="00C66E29">
        <w:rPr>
          <w:lang w:val="en-US"/>
        </w:rPr>
        <w:tab/>
        <w:t xml:space="preserve">An ITU Member State sends a description (contained either in an API or a CR) of the radio frequencies planned to be used in a satellite project. The Bureau then examines the conformity of this description with the Radio Regulations and publishes the description and the Bureau’s findings in Special Sections contained in BR IFIC so that all other ITU Member States can examine this project. </w:t>
      </w:r>
    </w:p>
    <w:p w14:paraId="3C8C02E2" w14:textId="2DA8A5CD" w:rsidR="00C74DA0" w:rsidRPr="00C66E29" w:rsidRDefault="00C74DA0" w:rsidP="00C74DA0">
      <w:pPr>
        <w:pStyle w:val="enumlev1"/>
        <w:rPr>
          <w:lang w:val="en-US"/>
        </w:rPr>
      </w:pPr>
      <w:r w:rsidRPr="00C66E29">
        <w:rPr>
          <w:lang w:val="en-US"/>
        </w:rPr>
        <w:t>2)</w:t>
      </w:r>
      <w:r w:rsidRPr="00C66E29">
        <w:rPr>
          <w:lang w:val="en-US"/>
        </w:rPr>
        <w:tab/>
        <w:t xml:space="preserve">Those other Member States considering that this project may affect their existing systems, or those planned and already submitted to the Bureau, contact the initiating ITU Member State </w:t>
      </w:r>
      <w:proofErr w:type="gramStart"/>
      <w:r w:rsidRPr="00C66E29">
        <w:rPr>
          <w:lang w:val="en-US"/>
        </w:rPr>
        <w:t>in order to</w:t>
      </w:r>
      <w:proofErr w:type="gramEnd"/>
      <w:r w:rsidRPr="00C66E29">
        <w:rPr>
          <w:lang w:val="en-US"/>
        </w:rPr>
        <w:t xml:space="preserve"> bilaterally discuss technical solutions to ensure that both systems can coexist without interfering to each other. During these bilateral discussions, “the requesting and responding administrations shall make every possible mutual effort to overcome the difficulties, in a manner acceptable to the parties concerned” (see </w:t>
      </w:r>
      <w:r w:rsidR="005E4466">
        <w:rPr>
          <w:lang w:val="en-US"/>
        </w:rPr>
        <w:t xml:space="preserve">RR </w:t>
      </w:r>
      <w:r w:rsidRPr="00C66E29">
        <w:rPr>
          <w:lang w:val="en-US"/>
        </w:rPr>
        <w:t>No. </w:t>
      </w:r>
      <w:r w:rsidRPr="00C66E29">
        <w:rPr>
          <w:b/>
          <w:bCs/>
          <w:lang w:val="en-US"/>
        </w:rPr>
        <w:t>9.53</w:t>
      </w:r>
      <w:r w:rsidRPr="00C66E29">
        <w:rPr>
          <w:lang w:val="en-US"/>
        </w:rPr>
        <w:t xml:space="preserve">). The Rules of Procedure on </w:t>
      </w:r>
      <w:r w:rsidR="005E4466">
        <w:rPr>
          <w:lang w:val="en-US"/>
        </w:rPr>
        <w:t xml:space="preserve">RR </w:t>
      </w:r>
      <w:r w:rsidRPr="00C66E29">
        <w:rPr>
          <w:lang w:val="en-US"/>
        </w:rPr>
        <w:t xml:space="preserve">No. </w:t>
      </w:r>
      <w:r w:rsidRPr="00C66E29">
        <w:rPr>
          <w:b/>
          <w:bCs/>
          <w:lang w:val="en-US"/>
        </w:rPr>
        <w:t>9.6</w:t>
      </w:r>
      <w:r w:rsidRPr="00C66E29">
        <w:rPr>
          <w:lang w:val="en-US"/>
        </w:rPr>
        <w:t xml:space="preserve"> provide further clarifications about the meaning and purpose of </w:t>
      </w:r>
      <w:r w:rsidR="005E4466">
        <w:rPr>
          <w:lang w:val="en-US"/>
        </w:rPr>
        <w:t xml:space="preserve">RR </w:t>
      </w:r>
      <w:r w:rsidRPr="00C66E29">
        <w:rPr>
          <w:lang w:val="en-US"/>
        </w:rPr>
        <w:t xml:space="preserve">No. </w:t>
      </w:r>
      <w:r w:rsidRPr="00C66E29">
        <w:rPr>
          <w:b/>
          <w:bCs/>
          <w:lang w:val="en-US"/>
        </w:rPr>
        <w:t>9.53</w:t>
      </w:r>
      <w:r w:rsidRPr="00C66E29">
        <w:rPr>
          <w:lang w:val="en-US"/>
        </w:rPr>
        <w:t>:</w:t>
      </w:r>
    </w:p>
    <w:p w14:paraId="62576055" w14:textId="77777777" w:rsidR="00C74DA0" w:rsidRPr="00C66E29" w:rsidRDefault="00C74DA0" w:rsidP="00C74DA0">
      <w:pPr>
        <w:pStyle w:val="enumlev2"/>
        <w:rPr>
          <w:lang w:val="en-US"/>
        </w:rPr>
      </w:pPr>
      <w:r w:rsidRPr="00C66E29">
        <w:rPr>
          <w:lang w:val="en-US"/>
        </w:rPr>
        <w:t>a)</w:t>
      </w:r>
      <w:r w:rsidRPr="00C66E29">
        <w:rPr>
          <w:lang w:val="en-US"/>
        </w:rPr>
        <w:tab/>
        <w:t>“the intent of Nos. </w:t>
      </w:r>
      <w:r w:rsidRPr="00C66E29">
        <w:rPr>
          <w:b/>
          <w:lang w:val="en-US"/>
        </w:rPr>
        <w:t>9.6</w:t>
      </w:r>
      <w:r w:rsidRPr="00C66E29">
        <w:rPr>
          <w:lang w:val="en-US"/>
        </w:rPr>
        <w:t xml:space="preserve"> (</w:t>
      </w:r>
      <w:r w:rsidRPr="00C66E29">
        <w:rPr>
          <w:b/>
          <w:lang w:val="en-US"/>
        </w:rPr>
        <w:t>9.7</w:t>
      </w:r>
      <w:r w:rsidRPr="00C66E29">
        <w:rPr>
          <w:lang w:val="en-US"/>
        </w:rPr>
        <w:t xml:space="preserve"> to </w:t>
      </w:r>
      <w:r w:rsidRPr="00C66E29">
        <w:rPr>
          <w:b/>
          <w:lang w:val="en-US"/>
        </w:rPr>
        <w:t>9.21</w:t>
      </w:r>
      <w:r w:rsidRPr="00C66E29">
        <w:rPr>
          <w:lang w:val="en-US"/>
        </w:rPr>
        <w:t xml:space="preserve">), </w:t>
      </w:r>
      <w:r w:rsidRPr="00C66E29">
        <w:rPr>
          <w:b/>
          <w:lang w:val="en-US"/>
        </w:rPr>
        <w:t>9.27</w:t>
      </w:r>
      <w:r w:rsidRPr="00C66E29">
        <w:rPr>
          <w:lang w:val="en-US"/>
        </w:rPr>
        <w:t xml:space="preserve"> and Appendix </w:t>
      </w:r>
      <w:r w:rsidRPr="00C66E29">
        <w:rPr>
          <w:b/>
          <w:lang w:val="en-US"/>
        </w:rPr>
        <w:t>5</w:t>
      </w:r>
      <w:r w:rsidRPr="00C66E29">
        <w:rPr>
          <w:lang w:val="en-US"/>
        </w:rPr>
        <w:t xml:space="preserve"> is to identify to which administrations a request for coordination is to be addressed, and not to state an order of priorities for rights to a particular orbital position</w:t>
      </w:r>
      <w:proofErr w:type="gramStart"/>
      <w:r w:rsidRPr="00C66E29">
        <w:rPr>
          <w:lang w:val="en-US"/>
        </w:rPr>
        <w:t>”;</w:t>
      </w:r>
      <w:proofErr w:type="gramEnd"/>
    </w:p>
    <w:p w14:paraId="4D177A9D" w14:textId="77777777" w:rsidR="00C74DA0" w:rsidRPr="00C66E29" w:rsidRDefault="00C74DA0" w:rsidP="00C74DA0">
      <w:pPr>
        <w:pStyle w:val="enumlev2"/>
        <w:rPr>
          <w:lang w:val="en-US"/>
        </w:rPr>
      </w:pPr>
      <w:r w:rsidRPr="00C66E29">
        <w:rPr>
          <w:lang w:val="en-US"/>
        </w:rPr>
        <w:t>b)</w:t>
      </w:r>
      <w:r w:rsidRPr="00C66E29">
        <w:rPr>
          <w:lang w:val="en-US"/>
        </w:rPr>
        <w:tab/>
        <w:t xml:space="preserve">“the coordination process is a </w:t>
      </w:r>
      <w:proofErr w:type="gramStart"/>
      <w:r w:rsidRPr="00C66E29">
        <w:rPr>
          <w:lang w:val="en-US"/>
        </w:rPr>
        <w:t>two way</w:t>
      </w:r>
      <w:proofErr w:type="gramEnd"/>
      <w:r w:rsidRPr="00C66E29">
        <w:rPr>
          <w:lang w:val="en-US"/>
        </w:rPr>
        <w:t xml:space="preserve"> process”; and </w:t>
      </w:r>
    </w:p>
    <w:p w14:paraId="18C7BBCB" w14:textId="77777777" w:rsidR="00C74DA0" w:rsidRPr="00C66E29" w:rsidRDefault="00C74DA0" w:rsidP="00C74DA0">
      <w:pPr>
        <w:pStyle w:val="enumlev2"/>
        <w:rPr>
          <w:lang w:val="en-US"/>
        </w:rPr>
      </w:pPr>
      <w:r w:rsidRPr="00C66E29">
        <w:rPr>
          <w:lang w:val="en-US"/>
        </w:rPr>
        <w:t>c)</w:t>
      </w:r>
      <w:r w:rsidRPr="00C66E29">
        <w:rPr>
          <w:lang w:val="en-US"/>
        </w:rPr>
        <w:tab/>
        <w:t>“in the application of Article </w:t>
      </w:r>
      <w:r w:rsidRPr="00C66E29">
        <w:rPr>
          <w:b/>
          <w:lang w:val="en-US"/>
        </w:rPr>
        <w:t>9</w:t>
      </w:r>
      <w:r w:rsidRPr="00C66E29">
        <w:rPr>
          <w:bCs/>
          <w:lang w:val="en-US"/>
        </w:rPr>
        <w:t>,</w:t>
      </w:r>
      <w:r w:rsidRPr="00C66E29">
        <w:rPr>
          <w:lang w:val="en-US"/>
        </w:rPr>
        <w:t xml:space="preserve"> no administration obtains any particular priority as a result of being the first to start either the advance publication phase (Section I of Article </w:t>
      </w:r>
      <w:r w:rsidRPr="00C66E29">
        <w:rPr>
          <w:b/>
          <w:lang w:val="en-US"/>
        </w:rPr>
        <w:t>9</w:t>
      </w:r>
      <w:r w:rsidRPr="00C66E29">
        <w:rPr>
          <w:lang w:val="en-US"/>
        </w:rPr>
        <w:t>) or the request for coordination procedure (Section II of Article </w:t>
      </w:r>
      <w:r w:rsidRPr="00C66E29">
        <w:rPr>
          <w:b/>
          <w:lang w:val="en-US"/>
        </w:rPr>
        <w:t>9</w:t>
      </w:r>
      <w:r w:rsidRPr="00C66E29">
        <w:rPr>
          <w:lang w:val="en-US"/>
        </w:rPr>
        <w:t>)”.</w:t>
      </w:r>
    </w:p>
    <w:p w14:paraId="417C1DA8" w14:textId="16CFA2A0" w:rsidR="00C74DA0" w:rsidRPr="00C66E29" w:rsidRDefault="00C74DA0" w:rsidP="00C74DA0">
      <w:pPr>
        <w:pStyle w:val="enumlev1"/>
        <w:rPr>
          <w:lang w:val="en-US"/>
        </w:rPr>
      </w:pPr>
      <w:r w:rsidRPr="00C66E29">
        <w:rPr>
          <w:lang w:val="en-US"/>
        </w:rPr>
        <w:t>3)</w:t>
      </w:r>
      <w:r w:rsidRPr="00C66E29">
        <w:rPr>
          <w:lang w:val="en-US"/>
        </w:rPr>
        <w:tab/>
        <w:t xml:space="preserve">The legal rights are derived from the notification of frequency assignments and their recording in the MIFR based on the outcome of the abovementioned bilateral discussions (see </w:t>
      </w:r>
      <w:r w:rsidR="005E4466">
        <w:rPr>
          <w:lang w:val="en-US"/>
        </w:rPr>
        <w:t xml:space="preserve">RR </w:t>
      </w:r>
      <w:r w:rsidRPr="00C66E29">
        <w:rPr>
          <w:lang w:val="en-US"/>
        </w:rPr>
        <w:t xml:space="preserve">No. </w:t>
      </w:r>
      <w:r w:rsidRPr="00C66E29">
        <w:rPr>
          <w:b/>
          <w:bCs/>
          <w:lang w:val="en-US"/>
        </w:rPr>
        <w:t>8.1</w:t>
      </w:r>
      <w:r w:rsidRPr="00C66E29">
        <w:rPr>
          <w:lang w:val="en-US"/>
        </w:rPr>
        <w:t xml:space="preserve">, “the international rights and obligations of administrations in respect of their own and other administrations’ frequency assignments (…) shall be derived from the recording of those assignments in the Master International Frequency Register (the Master Register) or from their conformity, where appropriate, with a plan. Such rights shall be conditioned by the provisions of these Regulations and those of any relevant frequency allotment or assignment plan.” and </w:t>
      </w:r>
      <w:r w:rsidR="005E4466">
        <w:rPr>
          <w:lang w:val="en-US"/>
        </w:rPr>
        <w:t xml:space="preserve">RR </w:t>
      </w:r>
      <w:r w:rsidRPr="00C66E29">
        <w:rPr>
          <w:lang w:val="en-US"/>
        </w:rPr>
        <w:t xml:space="preserve">No. </w:t>
      </w:r>
      <w:r w:rsidRPr="00C66E29">
        <w:rPr>
          <w:b/>
          <w:bCs/>
          <w:lang w:val="en-US"/>
        </w:rPr>
        <w:t>8.3</w:t>
      </w:r>
      <w:r w:rsidRPr="00C66E29">
        <w:rPr>
          <w:lang w:val="en-US"/>
        </w:rPr>
        <w:t xml:space="preserve"> “Any frequency assignment recorded in the Master Register with a </w:t>
      </w:r>
      <w:proofErr w:type="spellStart"/>
      <w:r w:rsidRPr="00C66E29">
        <w:rPr>
          <w:lang w:val="en-US"/>
        </w:rPr>
        <w:t>favourable</w:t>
      </w:r>
      <w:proofErr w:type="spellEnd"/>
      <w:r w:rsidRPr="00C66E29">
        <w:rPr>
          <w:lang w:val="en-US"/>
        </w:rPr>
        <w:t xml:space="preserve"> finding under </w:t>
      </w:r>
      <w:r w:rsidR="005E4466">
        <w:rPr>
          <w:lang w:val="en-US"/>
        </w:rPr>
        <w:t xml:space="preserve">RR </w:t>
      </w:r>
      <w:r w:rsidRPr="00C66E29">
        <w:rPr>
          <w:lang w:val="en-US"/>
        </w:rPr>
        <w:t xml:space="preserve">No. </w:t>
      </w:r>
      <w:r w:rsidRPr="00C66E29">
        <w:rPr>
          <w:b/>
          <w:bCs/>
          <w:lang w:val="en-US"/>
        </w:rPr>
        <w:t>11.31</w:t>
      </w:r>
      <w:r w:rsidRPr="00C66E29">
        <w:rPr>
          <w:lang w:val="en-US"/>
        </w:rPr>
        <w:t xml:space="preserve"> shall have the right to international recognition. For such an assignment, this right means that other administrations shall take it into account when making their own assignments, </w:t>
      </w:r>
      <w:proofErr w:type="gramStart"/>
      <w:r w:rsidRPr="00C66E29">
        <w:rPr>
          <w:lang w:val="en-US"/>
        </w:rPr>
        <w:t>in order to</w:t>
      </w:r>
      <w:proofErr w:type="gramEnd"/>
      <w:r w:rsidRPr="00C66E29">
        <w:rPr>
          <w:lang w:val="en-US"/>
        </w:rPr>
        <w:t xml:space="preserve"> avoid harmful interference. In addition, frequency assignments in frequency bands subject to coordination or to a plan shall have a status derived from the application of the procedures relating to the coordination or associated with the plan.”). </w:t>
      </w:r>
      <w:proofErr w:type="gramStart"/>
      <w:r w:rsidRPr="00C66E29">
        <w:rPr>
          <w:lang w:val="en-US"/>
        </w:rPr>
        <w:t>In order to</w:t>
      </w:r>
      <w:proofErr w:type="gramEnd"/>
      <w:r w:rsidRPr="00C66E29">
        <w:rPr>
          <w:lang w:val="en-US"/>
        </w:rPr>
        <w:t xml:space="preserve"> avoid spectrum warehousing, a time limit of 7 years is set to notify and bring into use frequency assignments to space services.</w:t>
      </w:r>
    </w:p>
    <w:p w14:paraId="518A97BD" w14:textId="77777777" w:rsidR="00C74DA0" w:rsidRPr="00C66E29" w:rsidRDefault="00C74DA0" w:rsidP="00C74DA0">
      <w:r w:rsidRPr="00C66E29">
        <w:t>This cooperative system is often referred as “first-come-first-served</w:t>
      </w:r>
      <w:proofErr w:type="gramStart"/>
      <w:r w:rsidRPr="00C66E29">
        <w:t>”</w:t>
      </w:r>
      <w:proofErr w:type="gramEnd"/>
      <w:r w:rsidRPr="00C66E29">
        <w:t xml:space="preserve"> but it should be noted that this expression tends to oversimplify the actual system, which relies on a “first-come-first-served” approach only for the identification of the satellite networks with which a newcomer has to discuss/coordinate. When envisaged as a complete set, the procedures contained in Articles </w:t>
      </w:r>
      <w:r w:rsidRPr="00C66E29">
        <w:rPr>
          <w:b/>
          <w:bCs/>
        </w:rPr>
        <w:t>9</w:t>
      </w:r>
      <w:r w:rsidRPr="00C66E29">
        <w:t xml:space="preserve"> and </w:t>
      </w:r>
      <w:r w:rsidRPr="00C66E29">
        <w:rPr>
          <w:b/>
          <w:bCs/>
        </w:rPr>
        <w:t>11</w:t>
      </w:r>
      <w:r w:rsidRPr="00C66E29">
        <w:t xml:space="preserve"> of the Radio Regulations for the space systems strike a balance between the rights and obligations of incumbents and newcomers.</w:t>
      </w:r>
    </w:p>
    <w:p w14:paraId="4CEC021B" w14:textId="4235513F" w:rsidR="00C74DA0" w:rsidRPr="00C66E29" w:rsidRDefault="00C74DA0" w:rsidP="00C74DA0">
      <w:r w:rsidRPr="00C66E29">
        <w:t xml:space="preserve">Article </w:t>
      </w:r>
      <w:r w:rsidRPr="00C66E29">
        <w:rPr>
          <w:b/>
          <w:bCs/>
        </w:rPr>
        <w:t>11</w:t>
      </w:r>
      <w:r w:rsidRPr="00C66E29">
        <w:t xml:space="preserve"> also contains provisions to address cases where the discussions initiated following the application of Article </w:t>
      </w:r>
      <w:r w:rsidRPr="00C66E29">
        <w:rPr>
          <w:b/>
          <w:bCs/>
        </w:rPr>
        <w:t>9</w:t>
      </w:r>
      <w:r w:rsidRPr="00C66E29">
        <w:t xml:space="preserve"> have not yet been concluded at the time of notification (see </w:t>
      </w:r>
      <w:r w:rsidR="005E4466">
        <w:t xml:space="preserve">RR </w:t>
      </w:r>
      <w:r w:rsidRPr="00C66E29">
        <w:t xml:space="preserve">Nos. </w:t>
      </w:r>
      <w:r w:rsidRPr="00C66E29">
        <w:rPr>
          <w:b/>
          <w:bCs/>
        </w:rPr>
        <w:t>11.32A</w:t>
      </w:r>
      <w:r w:rsidRPr="00C66E29">
        <w:t xml:space="preserve"> and </w:t>
      </w:r>
      <w:r w:rsidRPr="00C66E29">
        <w:rPr>
          <w:b/>
          <w:bCs/>
        </w:rPr>
        <w:t>11.41</w:t>
      </w:r>
      <w:r w:rsidRPr="00C66E29">
        <w:t xml:space="preserve">). Here again, they are based on a balance between the rights and obligations of both the incumbent administration and the new administration. For example, the operations of a satellite recorded under </w:t>
      </w:r>
      <w:r w:rsidR="005E4466">
        <w:t xml:space="preserve">RR </w:t>
      </w:r>
      <w:r w:rsidRPr="00C66E29">
        <w:t xml:space="preserve">No. </w:t>
      </w:r>
      <w:r w:rsidRPr="00C66E29">
        <w:rPr>
          <w:b/>
          <w:bCs/>
        </w:rPr>
        <w:t>11.41</w:t>
      </w:r>
      <w:r w:rsidRPr="00C66E29">
        <w:t xml:space="preserve"> are subject to regulatory conditions set forth in </w:t>
      </w:r>
      <w:r w:rsidR="005E4466">
        <w:t xml:space="preserve">RR </w:t>
      </w:r>
      <w:r w:rsidRPr="00C66E29">
        <w:t xml:space="preserve">No. </w:t>
      </w:r>
      <w:r w:rsidRPr="00C66E29">
        <w:rPr>
          <w:b/>
          <w:bCs/>
        </w:rPr>
        <w:t>11.42</w:t>
      </w:r>
      <w:r w:rsidRPr="00C66E29">
        <w:t xml:space="preserve"> (</w:t>
      </w:r>
      <w:proofErr w:type="gramStart"/>
      <w:r w:rsidRPr="00C66E29">
        <w:t>i.e.</w:t>
      </w:r>
      <w:proofErr w:type="gramEnd"/>
      <w:r w:rsidRPr="00C66E29">
        <w:t xml:space="preserve"> immediate elimination by the new administration of any harmful interference originating from its system) but they are balanced by the requirement for the incumbent administration to provide the particulars relating to the harmful interference (i.e. to gather evidence supporting its claim of an harmful interference event). It should be noted that, while this regulatory framework applies to both geostationary and non-geostationary satellite systems, spectrum monitoring techniques may be more complex in cases involving non-geostationary satellite systems.</w:t>
      </w:r>
    </w:p>
    <w:p w14:paraId="1519947C" w14:textId="77777777" w:rsidR="00C74DA0" w:rsidRPr="00C66E29" w:rsidRDefault="00C74DA0" w:rsidP="00C74DA0">
      <w:r w:rsidRPr="00C66E29">
        <w:t xml:space="preserve">This section provides information about the implementation of these procedures by the Bureau. </w:t>
      </w:r>
    </w:p>
    <w:p w14:paraId="11622840" w14:textId="77777777" w:rsidR="00C74DA0" w:rsidRPr="00C66E29" w:rsidRDefault="00C74DA0" w:rsidP="00C74DA0">
      <w:pPr>
        <w:pStyle w:val="Heading3"/>
      </w:pPr>
      <w:bookmarkStart w:id="36" w:name="_Toc418163356"/>
      <w:bookmarkStart w:id="37" w:name="_Toc418232263"/>
      <w:bookmarkStart w:id="38" w:name="_Toc143072392"/>
      <w:r w:rsidRPr="00C66E29">
        <w:t>2.2.1</w:t>
      </w:r>
      <w:r w:rsidRPr="00C66E29">
        <w:tab/>
        <w:t>Advance publication information (API)</w:t>
      </w:r>
      <w:bookmarkEnd w:id="36"/>
      <w:bookmarkEnd w:id="37"/>
      <w:bookmarkEnd w:id="38"/>
    </w:p>
    <w:p w14:paraId="7DAED27F" w14:textId="5E771702" w:rsidR="00C74DA0" w:rsidRPr="00C66E29" w:rsidRDefault="00C74DA0" w:rsidP="00C74DA0">
      <w:r w:rsidRPr="00C66E29">
        <w:rPr>
          <w:bCs/>
        </w:rPr>
        <w:t>API treatments include mainly the publication as-received on the ITU website, examination whether the network is subject to coordination or not, checking that frequency usage are in accordance with the Table of Frequency Allocation and providing advices to administrations if they are not,  validation for the completeness and correctness of the data, data preparation and publication of the</w:t>
      </w:r>
      <w:r w:rsidRPr="00C66E29">
        <w:rPr>
          <w:b/>
          <w:bCs/>
        </w:rPr>
        <w:t xml:space="preserve"> </w:t>
      </w:r>
      <w:r w:rsidRPr="00C66E29">
        <w:t xml:space="preserve">Special Sections (API/A) in BR IFIC of information received on satellite networks under Article </w:t>
      </w:r>
      <w:r w:rsidRPr="00C66E29">
        <w:rPr>
          <w:b/>
        </w:rPr>
        <w:t>9</w:t>
      </w:r>
      <w:r w:rsidRPr="00C66E29">
        <w:t xml:space="preserve">, Subsection IA; and the API/A Special Sections SUP or MOD as a follow-up to the application of </w:t>
      </w:r>
      <w:r w:rsidR="006373BE">
        <w:t xml:space="preserve">RR </w:t>
      </w:r>
      <w:r w:rsidRPr="00C66E29">
        <w:t>No</w:t>
      </w:r>
      <w:r w:rsidR="006373BE">
        <w:t>s</w:t>
      </w:r>
      <w:r w:rsidRPr="00C66E29">
        <w:t xml:space="preserve">. </w:t>
      </w:r>
      <w:r w:rsidRPr="00C66E29">
        <w:rPr>
          <w:b/>
        </w:rPr>
        <w:t>11.44</w:t>
      </w:r>
      <w:r w:rsidRPr="00C66E29">
        <w:t xml:space="preserve">, </w:t>
      </w:r>
      <w:r w:rsidRPr="00C66E29">
        <w:rPr>
          <w:b/>
        </w:rPr>
        <w:t>11.44.1</w:t>
      </w:r>
      <w:r w:rsidRPr="00C66E29">
        <w:t xml:space="preserve">, </w:t>
      </w:r>
      <w:r w:rsidRPr="00C66E29">
        <w:rPr>
          <w:b/>
        </w:rPr>
        <w:t>9.2B.1</w:t>
      </w:r>
      <w:r w:rsidR="009624B0">
        <w:t>,</w:t>
      </w:r>
      <w:r w:rsidRPr="00C66E29">
        <w:t> </w:t>
      </w:r>
      <w:r w:rsidRPr="00C66E29">
        <w:rPr>
          <w:b/>
        </w:rPr>
        <w:t>9.38.1</w:t>
      </w:r>
      <w:r w:rsidR="009624B0">
        <w:t xml:space="preserve"> and</w:t>
      </w:r>
      <w:r w:rsidRPr="00C66E29">
        <w:t> </w:t>
      </w:r>
      <w:r w:rsidRPr="00C66E29">
        <w:rPr>
          <w:b/>
        </w:rPr>
        <w:t>13.6</w:t>
      </w:r>
      <w:r w:rsidRPr="00C66E29">
        <w:t>.</w:t>
      </w:r>
    </w:p>
    <w:p w14:paraId="36CE5BA2" w14:textId="26A10ECD" w:rsidR="00C74DA0" w:rsidRPr="00C66E29" w:rsidRDefault="00C74DA0" w:rsidP="00C74DA0">
      <w:r w:rsidRPr="00C66E29">
        <w:t xml:space="preserve">After publication of API/A Special Sections, it also includes the treatment of comments submitted under </w:t>
      </w:r>
      <w:r w:rsidR="009624B0">
        <w:t xml:space="preserve">RR </w:t>
      </w:r>
      <w:r w:rsidRPr="00C66E29">
        <w:t xml:space="preserve">No. </w:t>
      </w:r>
      <w:r w:rsidRPr="00C66E29">
        <w:rPr>
          <w:b/>
        </w:rPr>
        <w:t>9.3</w:t>
      </w:r>
      <w:r w:rsidRPr="00C66E29">
        <w:t xml:space="preserve"> which are subsequently published in Special Sections API/B.</w:t>
      </w:r>
    </w:p>
    <w:p w14:paraId="259E1551" w14:textId="0BC1A099" w:rsidR="00C74DA0" w:rsidRPr="00C66E29" w:rsidRDefault="00C74DA0" w:rsidP="00C74DA0">
      <w:r w:rsidRPr="00C66E29">
        <w:t xml:space="preserve">This </w:t>
      </w:r>
      <w:proofErr w:type="gramStart"/>
      <w:r w:rsidRPr="00C66E29">
        <w:t>include</w:t>
      </w:r>
      <w:r w:rsidR="009624B0">
        <w:t>s</w:t>
      </w:r>
      <w:r w:rsidRPr="00C66E29">
        <w:t xml:space="preserve"> also</w:t>
      </w:r>
      <w:proofErr w:type="gramEnd"/>
      <w:r w:rsidRPr="00C66E29">
        <w:t xml:space="preserve"> the publication of notices subject to Resolution </w:t>
      </w:r>
      <w:r w:rsidRPr="00C74DA0">
        <w:rPr>
          <w:b/>
          <w:bCs/>
        </w:rPr>
        <w:t>32 (WRC-19)</w:t>
      </w:r>
      <w:r w:rsidRPr="00C66E29">
        <w:t>.</w:t>
      </w:r>
    </w:p>
    <w:p w14:paraId="3CA4987F" w14:textId="77777777" w:rsidR="00C74DA0" w:rsidRPr="00C66E29" w:rsidRDefault="00C74DA0" w:rsidP="00C74DA0">
      <w:pPr>
        <w:pStyle w:val="Heading4"/>
      </w:pPr>
      <w:r w:rsidRPr="00C66E29">
        <w:t>2.2.1.</w:t>
      </w:r>
      <w:r>
        <w:t>1</w:t>
      </w:r>
      <w:r w:rsidRPr="00C66E29">
        <w:tab/>
        <w:t xml:space="preserve">Treatment time in the processing of requests for API </w:t>
      </w:r>
    </w:p>
    <w:p w14:paraId="117B1256" w14:textId="77777777" w:rsidR="00C74DA0" w:rsidRPr="00C66E29" w:rsidRDefault="00C74DA0" w:rsidP="00C155FA">
      <w:pPr>
        <w:pStyle w:val="Figurewithouttitle"/>
      </w:pPr>
      <w:r>
        <w:rPr>
          <w:noProof/>
        </w:rPr>
        <w:drawing>
          <wp:inline distT="0" distB="0" distL="0" distR="0" wp14:anchorId="498597DD" wp14:editId="251FCE41">
            <wp:extent cx="6120765" cy="3373755"/>
            <wp:effectExtent l="0" t="0" r="0" b="0"/>
            <wp:docPr id="15" name="Picture 15"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diagram, line, plot&#10;&#10;Description automatically generated"/>
                    <pic:cNvPicPr/>
                  </pic:nvPicPr>
                  <pic:blipFill>
                    <a:blip r:embed="rId14"/>
                    <a:stretch>
                      <a:fillRect/>
                    </a:stretch>
                  </pic:blipFill>
                  <pic:spPr>
                    <a:xfrm>
                      <a:off x="0" y="0"/>
                      <a:ext cx="6120765" cy="3373755"/>
                    </a:xfrm>
                    <a:prstGeom prst="rect">
                      <a:avLst/>
                    </a:prstGeom>
                  </pic:spPr>
                </pic:pic>
              </a:graphicData>
            </a:graphic>
          </wp:inline>
        </w:drawing>
      </w:r>
      <w:r w:rsidRPr="00C66E29">
        <w:rPr>
          <w:rFonts w:ascii="Calibri" w:hAnsi="Calibri" w:cs="Calibri"/>
          <w:color w:val="000000"/>
          <w:shd w:val="clear" w:color="auto" w:fill="FFFFFF"/>
          <w:lang w:val="en-US"/>
        </w:rPr>
        <w:br/>
      </w:r>
    </w:p>
    <w:p w14:paraId="397B2AAF" w14:textId="4B804192" w:rsidR="00C74DA0" w:rsidRPr="00C66E29" w:rsidRDefault="00C74DA0" w:rsidP="00C74DA0">
      <w:r w:rsidRPr="00C66E29">
        <w:t xml:space="preserve">The </w:t>
      </w:r>
      <w:r w:rsidR="00C155FA" w:rsidRPr="00C66E29">
        <w:t xml:space="preserve">above </w:t>
      </w:r>
      <w:r w:rsidRPr="00C66E29">
        <w:t>Figure shows the statistics on the treatment time in the processing of requests for API in the 2019</w:t>
      </w:r>
      <w:r>
        <w:t>-2023</w:t>
      </w:r>
      <w:r w:rsidRPr="00C66E29">
        <w:t xml:space="preserve"> period. These statistics are regularly </w:t>
      </w:r>
      <w:proofErr w:type="gramStart"/>
      <w:r w:rsidRPr="00C66E29">
        <w:t>updated</w:t>
      </w:r>
      <w:proofErr w:type="gramEnd"/>
      <w:r w:rsidRPr="00C66E29">
        <w:t xml:space="preserve"> and the latest version may be found at:</w:t>
      </w:r>
      <w:r w:rsidRPr="00C66E29">
        <w:rPr>
          <w:u w:val="single"/>
        </w:rPr>
        <w:t xml:space="preserve"> </w:t>
      </w:r>
      <w:hyperlink r:id="rId15" w:history="1">
        <w:r w:rsidRPr="00C66E29">
          <w:rPr>
            <w:rStyle w:val="Hyperlink"/>
          </w:rPr>
          <w:t>http://www.itu.int/en/ITU-R/space/Pages/Statistics.aspx</w:t>
        </w:r>
      </w:hyperlink>
      <w:r w:rsidRPr="00C66E29">
        <w:t>.</w:t>
      </w:r>
    </w:p>
    <w:p w14:paraId="45215351" w14:textId="77777777" w:rsidR="00C74DA0" w:rsidRPr="00C66E29" w:rsidRDefault="00C74DA0" w:rsidP="00C74DA0">
      <w:pPr>
        <w:pStyle w:val="Heading4"/>
      </w:pPr>
      <w:r w:rsidRPr="00C66E29">
        <w:t>2.2.1.</w:t>
      </w:r>
      <w:r>
        <w:t>2</w:t>
      </w:r>
      <w:r w:rsidRPr="00C66E29">
        <w:tab/>
        <w:t xml:space="preserve">Treatment of API/C </w:t>
      </w:r>
    </w:p>
    <w:p w14:paraId="2A8618CD" w14:textId="77777777" w:rsidR="00C74DA0" w:rsidRPr="00C66E29" w:rsidRDefault="00C74DA0" w:rsidP="00C74DA0">
      <w:r w:rsidRPr="00C66E29">
        <w:t xml:space="preserve">Under RR No. </w:t>
      </w:r>
      <w:r w:rsidRPr="00C66E29">
        <w:rPr>
          <w:b/>
        </w:rPr>
        <w:t>9.1A</w:t>
      </w:r>
      <w:r w:rsidRPr="00C66E29">
        <w:t xml:space="preserve">, the Bureau shall publish a general description of the satellite network or system for advance publication in a Special Section of the BR IFIC based on information sent under RR No. </w:t>
      </w:r>
      <w:r w:rsidRPr="00C66E29">
        <w:rPr>
          <w:b/>
        </w:rPr>
        <w:t>9.30</w:t>
      </w:r>
      <w:r w:rsidRPr="00C66E29">
        <w:t xml:space="preserve">. The Bureau currently publishes </w:t>
      </w:r>
      <w:proofErr w:type="gramStart"/>
      <w:r w:rsidRPr="00C66E29">
        <w:t>these information</w:t>
      </w:r>
      <w:proofErr w:type="gramEnd"/>
      <w:r w:rsidRPr="00C66E29">
        <w:t xml:space="preserve"> for the satellite network or system in an API/C special section in a separate process from the treatment of the request for coordination.</w:t>
      </w:r>
    </w:p>
    <w:p w14:paraId="3C93F0FE" w14:textId="77777777" w:rsidR="00C74DA0" w:rsidRPr="00C66E29" w:rsidRDefault="00C74DA0" w:rsidP="00C74DA0">
      <w:pPr>
        <w:pStyle w:val="Heading3"/>
      </w:pPr>
      <w:bookmarkStart w:id="39" w:name="_Toc418163357"/>
      <w:bookmarkStart w:id="40" w:name="_Toc418232264"/>
      <w:bookmarkStart w:id="41" w:name="_Toc143072393"/>
      <w:r w:rsidRPr="00C66E29">
        <w:t>2.2.2</w:t>
      </w:r>
      <w:r w:rsidRPr="00C66E29">
        <w:tab/>
        <w:t>Coordination requests (CR)</w:t>
      </w:r>
      <w:bookmarkEnd w:id="39"/>
      <w:bookmarkEnd w:id="40"/>
      <w:bookmarkEnd w:id="41"/>
    </w:p>
    <w:p w14:paraId="129121E8" w14:textId="115587CB" w:rsidR="00C74DA0" w:rsidRPr="00C66E29" w:rsidRDefault="00C74DA0" w:rsidP="00C74DA0">
      <w:r w:rsidRPr="00C66E29">
        <w:t xml:space="preserve">CR treatments include the processing of coordination request information submitted to the Bureau under Article </w:t>
      </w:r>
      <w:r w:rsidRPr="004A49E8">
        <w:rPr>
          <w:b/>
          <w:bCs/>
        </w:rPr>
        <w:t>9</w:t>
      </w:r>
      <w:r w:rsidRPr="00C66E29">
        <w:t xml:space="preserve"> and relevant resolutions and appendices of the Radio Regulations, i.e. </w:t>
      </w:r>
      <w:r w:rsidRPr="00C66E29">
        <w:rPr>
          <w:bCs/>
        </w:rPr>
        <w:t>publication as-received on the ITU website</w:t>
      </w:r>
      <w:r w:rsidRPr="00C66E29">
        <w:t xml:space="preserve">, </w:t>
      </w:r>
      <w:r w:rsidRPr="00C66E29">
        <w:rPr>
          <w:bCs/>
        </w:rPr>
        <w:t xml:space="preserve">examination to be sure the network is subject to coordination, </w:t>
      </w:r>
      <w:r w:rsidRPr="00C66E29">
        <w:t xml:space="preserve"> data preparation, validation, communication with the administration where clarification is required, examination (establishment of findings concerning compliance with Radio Regulations, applicable forms of coordination and coordination requirements) and publication of CR/C special sections, the update of databases made available to administrations on the ITU website and correspondence/assistance to administrations. After publication of CR/C Special Sections, it also includes the treatment of requests under </w:t>
      </w:r>
      <w:r w:rsidR="00934DEE">
        <w:t xml:space="preserve">RR </w:t>
      </w:r>
      <w:r w:rsidRPr="00C66E29">
        <w:t xml:space="preserve">No. </w:t>
      </w:r>
      <w:r w:rsidRPr="00C66E29">
        <w:rPr>
          <w:b/>
          <w:bCs/>
        </w:rPr>
        <w:t>9.41</w:t>
      </w:r>
      <w:r w:rsidRPr="00C66E29">
        <w:t xml:space="preserve"> which are subsequently published in Special Sections CR/E and, in accordance with </w:t>
      </w:r>
      <w:r w:rsidR="00934DEE">
        <w:t xml:space="preserve">RR </w:t>
      </w:r>
      <w:r w:rsidRPr="00C66E29">
        <w:t>No. </w:t>
      </w:r>
      <w:r w:rsidRPr="00C66E29">
        <w:rPr>
          <w:b/>
        </w:rPr>
        <w:t>9.53A</w:t>
      </w:r>
      <w:r w:rsidRPr="00C66E29">
        <w:t xml:space="preserve">, processing of comments under </w:t>
      </w:r>
      <w:r w:rsidR="00934DEE">
        <w:t xml:space="preserve">RR </w:t>
      </w:r>
      <w:r w:rsidRPr="00C66E29">
        <w:t xml:space="preserve">No. </w:t>
      </w:r>
      <w:r w:rsidRPr="00C74DA0">
        <w:rPr>
          <w:b/>
          <w:bCs/>
        </w:rPr>
        <w:t>9.52</w:t>
      </w:r>
      <w:r w:rsidRPr="00C66E29">
        <w:t xml:space="preserve"> concerning coordination requests under</w:t>
      </w:r>
      <w:r w:rsidR="00F20208">
        <w:t xml:space="preserve"> RR</w:t>
      </w:r>
      <w:r w:rsidRPr="00C66E29">
        <w:t xml:space="preserve"> Nos. </w:t>
      </w:r>
      <w:r w:rsidRPr="00C66E29">
        <w:rPr>
          <w:b/>
        </w:rPr>
        <w:t>9.11</w:t>
      </w:r>
      <w:r w:rsidRPr="00C66E29">
        <w:t xml:space="preserve"> to </w:t>
      </w:r>
      <w:r w:rsidRPr="00C66E29">
        <w:rPr>
          <w:b/>
        </w:rPr>
        <w:t>9.14</w:t>
      </w:r>
      <w:r w:rsidRPr="00C66E29">
        <w:t xml:space="preserve"> and </w:t>
      </w:r>
      <w:r w:rsidRPr="00C66E29">
        <w:rPr>
          <w:b/>
        </w:rPr>
        <w:t>9.21</w:t>
      </w:r>
      <w:r w:rsidRPr="00C66E29">
        <w:t xml:space="preserve"> (Special Section CR/D).</w:t>
      </w:r>
    </w:p>
    <w:p w14:paraId="64CE8EC1" w14:textId="77777777" w:rsidR="00C74DA0" w:rsidRPr="00C66E29" w:rsidRDefault="00C74DA0" w:rsidP="00C74DA0">
      <w:pPr>
        <w:pStyle w:val="Heading4"/>
      </w:pPr>
      <w:r w:rsidRPr="00C66E29">
        <w:t>2.2.2.</w:t>
      </w:r>
      <w:r>
        <w:t>1</w:t>
      </w:r>
      <w:r w:rsidRPr="00C66E29">
        <w:tab/>
        <w:t>Treatment time in the processing of requests for coordination</w:t>
      </w:r>
    </w:p>
    <w:p w14:paraId="0E9E7CC0" w14:textId="5559CF59" w:rsidR="00C74DA0" w:rsidRDefault="00C74DA0" w:rsidP="00C155FA">
      <w:pPr>
        <w:pStyle w:val="Figurewithouttitle"/>
        <w:rPr>
          <w:noProof/>
        </w:rPr>
      </w:pPr>
      <w:r>
        <w:rPr>
          <w:noProof/>
        </w:rPr>
        <w:drawing>
          <wp:inline distT="0" distB="0" distL="0" distR="0" wp14:anchorId="50386CB4" wp14:editId="1FAF0E1C">
            <wp:extent cx="6120765" cy="3320415"/>
            <wp:effectExtent l="0" t="0" r="0" b="0"/>
            <wp:docPr id="1" name="Picture 1" descr="A picture containing diagram, plot, lin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iagram, plot, line, text&#10;&#10;Description automatically generated"/>
                    <pic:cNvPicPr/>
                  </pic:nvPicPr>
                  <pic:blipFill>
                    <a:blip r:embed="rId16"/>
                    <a:stretch>
                      <a:fillRect/>
                    </a:stretch>
                  </pic:blipFill>
                  <pic:spPr>
                    <a:xfrm>
                      <a:off x="0" y="0"/>
                      <a:ext cx="6120765" cy="3320415"/>
                    </a:xfrm>
                    <a:prstGeom prst="rect">
                      <a:avLst/>
                    </a:prstGeom>
                  </pic:spPr>
                </pic:pic>
              </a:graphicData>
            </a:graphic>
          </wp:inline>
        </w:drawing>
      </w:r>
    </w:p>
    <w:p w14:paraId="63477B45" w14:textId="4FA97D1A" w:rsidR="00C74DA0" w:rsidRPr="00C66E29" w:rsidRDefault="00C74DA0" w:rsidP="00C74DA0">
      <w:pPr>
        <w:rPr>
          <w:u w:val="single"/>
        </w:rPr>
      </w:pPr>
      <w:r w:rsidRPr="00C66E29">
        <w:t>The above Figure shows the statistics on the treatment time in the processing of coordination requests in the 2019</w:t>
      </w:r>
      <w:r>
        <w:t>-2023</w:t>
      </w:r>
      <w:r w:rsidRPr="00C66E29">
        <w:t xml:space="preserve"> period. These statistics are regularly updated</w:t>
      </w:r>
      <w:r w:rsidR="00A91E29">
        <w:t>,</w:t>
      </w:r>
      <w:r w:rsidRPr="00C66E29">
        <w:t xml:space="preserve"> and the latest version may be found at: </w:t>
      </w:r>
      <w:hyperlink r:id="rId17" w:history="1">
        <w:r w:rsidRPr="00C66E29">
          <w:rPr>
            <w:rStyle w:val="Hyperlink"/>
          </w:rPr>
          <w:t>http://www.itu.int/en/ITU-R/space/Pages/Statistics.aspx</w:t>
        </w:r>
      </w:hyperlink>
      <w:r w:rsidRPr="00C66E29">
        <w:rPr>
          <w:u w:val="single"/>
        </w:rPr>
        <w:t>.</w:t>
      </w:r>
    </w:p>
    <w:p w14:paraId="4850FB41" w14:textId="3FFFF8F3" w:rsidR="00C74DA0" w:rsidRPr="00C66E29" w:rsidRDefault="00C74DA0" w:rsidP="00C74DA0">
      <w:pPr>
        <w:pStyle w:val="Heading4"/>
        <w:rPr>
          <w:bCs/>
        </w:rPr>
      </w:pPr>
      <w:r w:rsidRPr="00C66E29">
        <w:t>2.2.2.</w:t>
      </w:r>
      <w:r>
        <w:t>2</w:t>
      </w:r>
      <w:r w:rsidRPr="00C66E29">
        <w:tab/>
        <w:t>Resolution 553 (Rev.WRC-15)</w:t>
      </w:r>
    </w:p>
    <w:p w14:paraId="65C3C9BF" w14:textId="77777777" w:rsidR="00C74DA0" w:rsidRPr="00C66E29" w:rsidRDefault="00C74DA0" w:rsidP="00C74DA0">
      <w:r w:rsidRPr="00C66E29">
        <w:t xml:space="preserve">Pursuant to Resolution </w:t>
      </w:r>
      <w:r w:rsidRPr="00C66E29">
        <w:rPr>
          <w:b/>
        </w:rPr>
        <w:t>553 (Rev.WRC-15)</w:t>
      </w:r>
      <w:r w:rsidRPr="00C66E29">
        <w:t xml:space="preserve">, as of 18 February 2012, the special procedure outlined in the Attachment to the Resolution for processing of coordination request for BSS frequency assignments in </w:t>
      </w:r>
      <w:proofErr w:type="gramStart"/>
      <w:r w:rsidRPr="00C66E29">
        <w:t>Regions</w:t>
      </w:r>
      <w:proofErr w:type="gramEnd"/>
      <w:r w:rsidRPr="00C66E29">
        <w:t xml:space="preserve"> 1 and 3 in the 21.4-22 GHz band has been applied in respect of submissions of administrations meeting the requirements specified in the Attachment. </w:t>
      </w:r>
    </w:p>
    <w:p w14:paraId="231F9C20" w14:textId="77777777" w:rsidR="00C74DA0" w:rsidRPr="00C66E29" w:rsidRDefault="00C74DA0" w:rsidP="00C74DA0">
      <w:pPr>
        <w:rPr>
          <w:i/>
          <w:iCs/>
        </w:rPr>
      </w:pPr>
      <w:r w:rsidRPr="00C66E29">
        <w:t xml:space="preserve">No case of request for applying the special procedure contained in Resolution </w:t>
      </w:r>
      <w:r w:rsidRPr="00C66E29">
        <w:rPr>
          <w:b/>
        </w:rPr>
        <w:t>553 (Rev.WRC-15)</w:t>
      </w:r>
      <w:r w:rsidRPr="00C66E29">
        <w:t xml:space="preserve"> has been received after WRC-19.</w:t>
      </w:r>
    </w:p>
    <w:p w14:paraId="58C484C9" w14:textId="77777777" w:rsidR="00C74DA0" w:rsidRPr="00C66E29" w:rsidRDefault="00C74DA0" w:rsidP="00C74DA0">
      <w:pPr>
        <w:pStyle w:val="Heading3"/>
      </w:pPr>
      <w:bookmarkStart w:id="42" w:name="_Toc418163358"/>
      <w:bookmarkStart w:id="43" w:name="_Toc418232265"/>
      <w:bookmarkStart w:id="44" w:name="_Toc143072394"/>
      <w:r w:rsidRPr="00C66E29">
        <w:t>2.2.3</w:t>
      </w:r>
      <w:r w:rsidRPr="00C66E29">
        <w:tab/>
        <w:t>Notification for recording in the Master Register</w:t>
      </w:r>
      <w:bookmarkEnd w:id="42"/>
      <w:bookmarkEnd w:id="43"/>
      <w:bookmarkEnd w:id="44"/>
    </w:p>
    <w:p w14:paraId="062703A4" w14:textId="7D4CECD2" w:rsidR="00C74DA0" w:rsidRPr="00C66E29" w:rsidRDefault="00C74DA0" w:rsidP="00C74DA0">
      <w:r w:rsidRPr="00C66E29">
        <w:t xml:space="preserve">Tasks related to processing of notification information submitted to the Bureau under Article 11 and relevant resolutions and appendices of the Radio Regulations include the </w:t>
      </w:r>
      <w:r w:rsidRPr="00C66E29">
        <w:rPr>
          <w:bCs/>
        </w:rPr>
        <w:t>publication as-received on the ITU website</w:t>
      </w:r>
      <w:r w:rsidRPr="00C66E29">
        <w:t xml:space="preserve">, verification that all assignments are covered by an API or CR depending on whether the assignments are subject to coordination or not, validation for the completeness and correctness of the data, publication of the information in Part-IS of BR IFIC, examination (data comparison, analysis, establishment of Findings), recording in the MIFR and publication in Part-IIS or -IIIS of BR IFIC, including the update of databases made available to administrations on the ITU website and correspondence/assistance to administrations. </w:t>
      </w:r>
      <w:proofErr w:type="gramStart"/>
      <w:r w:rsidRPr="00C66E29">
        <w:t>Also</w:t>
      </w:r>
      <w:proofErr w:type="gramEnd"/>
      <w:r w:rsidRPr="00C66E29">
        <w:t xml:space="preserve"> part of this activity is the implementation of regulatory deadlines and further actions in order that the Bureau and administrations do not take into account those assignments for which notification under Article </w:t>
      </w:r>
      <w:r w:rsidRPr="00C66E29">
        <w:rPr>
          <w:b/>
          <w:bCs/>
        </w:rPr>
        <w:t>11</w:t>
      </w:r>
      <w:r w:rsidRPr="00C66E29">
        <w:t xml:space="preserve"> has not been received or were not brought into use within the regulatory period as stipulated in Resolution </w:t>
      </w:r>
      <w:r w:rsidRPr="00C66E29">
        <w:rPr>
          <w:b/>
          <w:bCs/>
        </w:rPr>
        <w:t xml:space="preserve">49 </w:t>
      </w:r>
      <w:r w:rsidRPr="00C66E29">
        <w:t xml:space="preserve">and in the provisions of </w:t>
      </w:r>
      <w:r w:rsidR="00A91E29">
        <w:t xml:space="preserve">RR </w:t>
      </w:r>
      <w:r w:rsidRPr="00C66E29">
        <w:t xml:space="preserve">Nos. </w:t>
      </w:r>
      <w:r w:rsidRPr="00C66E29">
        <w:rPr>
          <w:b/>
          <w:bCs/>
        </w:rPr>
        <w:t>11.44/11.44.1</w:t>
      </w:r>
      <w:r w:rsidRPr="00C66E29">
        <w:t xml:space="preserve"> and corresponding Rules of Procedure.</w:t>
      </w:r>
    </w:p>
    <w:p w14:paraId="21C35E48" w14:textId="77777777" w:rsidR="00C74DA0" w:rsidRPr="00C66E29" w:rsidRDefault="00C74DA0" w:rsidP="00C74DA0">
      <w:pPr>
        <w:pStyle w:val="Heading4"/>
      </w:pPr>
      <w:r w:rsidRPr="00C66E29">
        <w:t>2.2.3.</w:t>
      </w:r>
      <w:r>
        <w:t>1</w:t>
      </w:r>
      <w:r w:rsidRPr="00C66E29">
        <w:tab/>
        <w:t xml:space="preserve">Treatment time in the processing of space stations notifications </w:t>
      </w:r>
    </w:p>
    <w:p w14:paraId="3B2B49CF" w14:textId="77777777" w:rsidR="00C155FA" w:rsidRDefault="00C74DA0" w:rsidP="00C155FA">
      <w:pPr>
        <w:pStyle w:val="Figurewithouttitle"/>
      </w:pPr>
      <w:r>
        <w:rPr>
          <w:noProof/>
        </w:rPr>
        <w:drawing>
          <wp:inline distT="0" distB="0" distL="0" distR="0" wp14:anchorId="19BCFE0C" wp14:editId="026ADCD8">
            <wp:extent cx="6120765" cy="3141345"/>
            <wp:effectExtent l="0" t="0" r="0" b="1905"/>
            <wp:docPr id="21" name="Picture 21" descr="A picture containing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iagram, line, plot&#10;&#10;Description automatically generated"/>
                    <pic:cNvPicPr/>
                  </pic:nvPicPr>
                  <pic:blipFill>
                    <a:blip r:embed="rId18"/>
                    <a:stretch>
                      <a:fillRect/>
                    </a:stretch>
                  </pic:blipFill>
                  <pic:spPr>
                    <a:xfrm>
                      <a:off x="0" y="0"/>
                      <a:ext cx="6120765" cy="3141345"/>
                    </a:xfrm>
                    <a:prstGeom prst="rect">
                      <a:avLst/>
                    </a:prstGeom>
                  </pic:spPr>
                </pic:pic>
              </a:graphicData>
            </a:graphic>
          </wp:inline>
        </w:drawing>
      </w:r>
    </w:p>
    <w:p w14:paraId="5F04B05E" w14:textId="06BB6FF5" w:rsidR="00C74DA0" w:rsidRPr="00C66E29" w:rsidRDefault="00C155FA" w:rsidP="00C74DA0">
      <w:r>
        <w:t>T</w:t>
      </w:r>
      <w:r w:rsidR="00C74DA0" w:rsidRPr="00C66E29">
        <w:t>he Figure above shows the statistics on the treatment time in the processing of notification requests of satellite networks in the 2019</w:t>
      </w:r>
      <w:r w:rsidR="00C74DA0">
        <w:t>-2023</w:t>
      </w:r>
      <w:r w:rsidR="00C74DA0" w:rsidRPr="00C66E29">
        <w:t xml:space="preserve"> period. These statistics are regularly </w:t>
      </w:r>
      <w:proofErr w:type="gramStart"/>
      <w:r w:rsidR="00C74DA0" w:rsidRPr="00C66E29">
        <w:t>updated</w:t>
      </w:r>
      <w:proofErr w:type="gramEnd"/>
      <w:r w:rsidR="00C74DA0" w:rsidRPr="00C66E29">
        <w:t xml:space="preserve"> and the latest version may be found at:</w:t>
      </w:r>
      <w:r w:rsidR="00C74DA0" w:rsidRPr="00C66E29">
        <w:rPr>
          <w:color w:val="0000FF"/>
          <w:u w:val="single"/>
        </w:rPr>
        <w:t xml:space="preserve"> </w:t>
      </w:r>
      <w:hyperlink r:id="rId19" w:history="1">
        <w:r w:rsidR="00C74DA0" w:rsidRPr="00C66E29">
          <w:rPr>
            <w:color w:val="0000FF"/>
            <w:u w:val="single"/>
          </w:rPr>
          <w:t>http://www.itu.int/en/ITU-R/space/Pages/Statistics.aspx</w:t>
        </w:r>
      </w:hyperlink>
      <w:r w:rsidR="00C74DA0" w:rsidRPr="00C66E29">
        <w:t>.</w:t>
      </w:r>
    </w:p>
    <w:p w14:paraId="51EEF98A" w14:textId="7E102CC3" w:rsidR="00C74DA0" w:rsidRPr="00C66E29" w:rsidRDefault="00C74DA0" w:rsidP="00C74DA0">
      <w:pPr>
        <w:pStyle w:val="Heading5"/>
      </w:pPr>
      <w:r w:rsidRPr="00C66E29">
        <w:t>2.2.3.</w:t>
      </w:r>
      <w:r>
        <w:t>1</w:t>
      </w:r>
      <w:r w:rsidRPr="00C66E29">
        <w:t>.1</w:t>
      </w:r>
      <w:r w:rsidRPr="00C66E29">
        <w:tab/>
        <w:t xml:space="preserve">Implementation of </w:t>
      </w:r>
      <w:r w:rsidR="00A91E29">
        <w:t xml:space="preserve">RR </w:t>
      </w:r>
      <w:r w:rsidRPr="00C66E29">
        <w:t>Nos. 11.41A and 11.41B</w:t>
      </w:r>
    </w:p>
    <w:p w14:paraId="57E7F27B" w14:textId="0FB5EFAE" w:rsidR="00C74DA0" w:rsidRPr="00C66E29" w:rsidRDefault="00A91E29" w:rsidP="00C74DA0">
      <w:r>
        <w:t xml:space="preserve">RR </w:t>
      </w:r>
      <w:r w:rsidR="00C74DA0" w:rsidRPr="00C66E29">
        <w:t xml:space="preserve">Nos. </w:t>
      </w:r>
      <w:r w:rsidR="00C74DA0" w:rsidRPr="00C66E29">
        <w:rPr>
          <w:b/>
        </w:rPr>
        <w:t>11.41A</w:t>
      </w:r>
      <w:r w:rsidR="00C74DA0" w:rsidRPr="00C66E29">
        <w:t xml:space="preserve"> and </w:t>
      </w:r>
      <w:r w:rsidR="00C74DA0" w:rsidRPr="00C66E29">
        <w:rPr>
          <w:b/>
        </w:rPr>
        <w:t>11.41B</w:t>
      </w:r>
      <w:r w:rsidR="00C74DA0" w:rsidRPr="00C66E29">
        <w:t xml:space="preserve"> specify the conditions for reviewing the findings of an assignment recorded under </w:t>
      </w:r>
      <w:r w:rsidR="00FF180A">
        <w:t xml:space="preserve">RR </w:t>
      </w:r>
      <w:r w:rsidR="00C74DA0" w:rsidRPr="00C66E29">
        <w:t>No. </w:t>
      </w:r>
      <w:r w:rsidR="00C74DA0" w:rsidRPr="00C66E29">
        <w:rPr>
          <w:b/>
        </w:rPr>
        <w:t>11.41</w:t>
      </w:r>
      <w:r w:rsidR="00C74DA0" w:rsidRPr="00C66E29">
        <w:t xml:space="preserve"> due to a change of coordination status. As reported in Circular Letter CR397 of 8 April 2016, the Bureau has fully implemented </w:t>
      </w:r>
      <w:r w:rsidR="00FF180A">
        <w:t xml:space="preserve">RR </w:t>
      </w:r>
      <w:r w:rsidR="00C74DA0" w:rsidRPr="00C66E29">
        <w:t xml:space="preserve">No. </w:t>
      </w:r>
      <w:r w:rsidR="00C74DA0" w:rsidRPr="00C66E29">
        <w:rPr>
          <w:b/>
        </w:rPr>
        <w:t>11.41A</w:t>
      </w:r>
      <w:r w:rsidR="00C74DA0" w:rsidRPr="00C66E29">
        <w:t xml:space="preserve"> for all first notification notices received as of 1 January 2015. The list of frequency assignments to satellite networks which were the basis of </w:t>
      </w:r>
      <w:proofErr w:type="spellStart"/>
      <w:r w:rsidR="00C74DA0" w:rsidRPr="00C66E29">
        <w:t>unfavorable</w:t>
      </w:r>
      <w:proofErr w:type="spellEnd"/>
      <w:r w:rsidR="00C74DA0" w:rsidRPr="00C66E29">
        <w:t xml:space="preserve"> finding under </w:t>
      </w:r>
      <w:r w:rsidR="00FF180A">
        <w:t xml:space="preserve">RR </w:t>
      </w:r>
      <w:r w:rsidR="00C74DA0" w:rsidRPr="00C66E29">
        <w:t>No. </w:t>
      </w:r>
      <w:r w:rsidR="00C74DA0" w:rsidRPr="00C66E29">
        <w:rPr>
          <w:b/>
        </w:rPr>
        <w:t>11.32A</w:t>
      </w:r>
      <w:r w:rsidR="00C74DA0" w:rsidRPr="00C66E29">
        <w:t xml:space="preserve"> to a recorded assignment under </w:t>
      </w:r>
      <w:r w:rsidR="00FF180A">
        <w:t xml:space="preserve">RR </w:t>
      </w:r>
      <w:r w:rsidR="00C74DA0" w:rsidRPr="00C66E29">
        <w:t xml:space="preserve">No. </w:t>
      </w:r>
      <w:r w:rsidR="00C74DA0" w:rsidRPr="00C66E29">
        <w:rPr>
          <w:b/>
        </w:rPr>
        <w:t>11.41</w:t>
      </w:r>
      <w:r w:rsidR="00C74DA0" w:rsidRPr="00C66E29">
        <w:t>, is kept with the notice of the recorded assignment and will be updated whenever these frequency assignments are suppressed.</w:t>
      </w:r>
    </w:p>
    <w:p w14:paraId="784E403B" w14:textId="77777777" w:rsidR="00C74DA0" w:rsidRPr="00C66E29" w:rsidRDefault="00C74DA0" w:rsidP="00C74DA0">
      <w:pPr>
        <w:pStyle w:val="Heading4"/>
      </w:pPr>
      <w:r w:rsidRPr="00C66E29">
        <w:t>2.2.3.</w:t>
      </w:r>
      <w:r>
        <w:t>2</w:t>
      </w:r>
      <w:r w:rsidRPr="00C66E29">
        <w:tab/>
        <w:t>Treatment time in the processing of earth station</w:t>
      </w:r>
      <w:r>
        <w:t>s</w:t>
      </w:r>
      <w:r w:rsidRPr="00C66E29">
        <w:t xml:space="preserve"> notifications</w:t>
      </w:r>
    </w:p>
    <w:p w14:paraId="2AD6D827" w14:textId="77777777" w:rsidR="00C74DA0" w:rsidRPr="00C66E29" w:rsidRDefault="00C74DA0" w:rsidP="00C155FA">
      <w:pPr>
        <w:pStyle w:val="Figurewithouttitle"/>
      </w:pPr>
      <w:r>
        <w:rPr>
          <w:noProof/>
        </w:rPr>
        <w:drawing>
          <wp:inline distT="0" distB="0" distL="0" distR="0" wp14:anchorId="58A6ECB6" wp14:editId="16D3DC56">
            <wp:extent cx="6120765" cy="3254375"/>
            <wp:effectExtent l="0" t="0" r="0" b="3175"/>
            <wp:docPr id="22" name="Picture 22" descr="A picture containing diagram, pl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 plot, line&#10;&#10;Description automatically generated"/>
                    <pic:cNvPicPr/>
                  </pic:nvPicPr>
                  <pic:blipFill>
                    <a:blip r:embed="rId20"/>
                    <a:stretch>
                      <a:fillRect/>
                    </a:stretch>
                  </pic:blipFill>
                  <pic:spPr>
                    <a:xfrm>
                      <a:off x="0" y="0"/>
                      <a:ext cx="6120765" cy="3254375"/>
                    </a:xfrm>
                    <a:prstGeom prst="rect">
                      <a:avLst/>
                    </a:prstGeom>
                  </pic:spPr>
                </pic:pic>
              </a:graphicData>
            </a:graphic>
          </wp:inline>
        </w:drawing>
      </w:r>
    </w:p>
    <w:p w14:paraId="0F2F1D46" w14:textId="51B8A3CD" w:rsidR="00C74DA0" w:rsidRPr="00C66E29" w:rsidRDefault="00C74DA0" w:rsidP="00C74DA0">
      <w:r w:rsidRPr="00C66E29">
        <w:t>The Figure above shows the statistics on the treatment time in the processing of notification requests of earth stations in the 2019</w:t>
      </w:r>
      <w:r>
        <w:t>-2023</w:t>
      </w:r>
      <w:r w:rsidRPr="00C66E29">
        <w:t xml:space="preserve"> period. These statistics are regularly updated</w:t>
      </w:r>
      <w:r w:rsidR="00FF180A">
        <w:t>,</w:t>
      </w:r>
      <w:r w:rsidRPr="00C66E29">
        <w:t xml:space="preserve"> and the latest version may be found at: </w:t>
      </w:r>
      <w:hyperlink r:id="rId21" w:history="1">
        <w:r w:rsidRPr="00C66E29">
          <w:rPr>
            <w:color w:val="0000FF"/>
            <w:u w:val="single"/>
          </w:rPr>
          <w:t>http://www.itu.int/en/ITU-R/space/Pages/Statistics.aspx</w:t>
        </w:r>
      </w:hyperlink>
      <w:r w:rsidRPr="00C66E29">
        <w:t>.</w:t>
      </w:r>
    </w:p>
    <w:p w14:paraId="1D82B663" w14:textId="77777777" w:rsidR="00C74DA0" w:rsidRPr="00C66E29" w:rsidRDefault="00C74DA0" w:rsidP="00C74DA0">
      <w:pPr>
        <w:pStyle w:val="Heading4"/>
      </w:pPr>
      <w:r w:rsidRPr="00C66E29">
        <w:t>2.2.3.</w:t>
      </w:r>
      <w:r>
        <w:t>3</w:t>
      </w:r>
      <w:r w:rsidRPr="00C66E29">
        <w:tab/>
        <w:t>Resolution 4 (Rev.WRC</w:t>
      </w:r>
      <w:r w:rsidRPr="00C66E29">
        <w:noBreakHyphen/>
        <w:t>03)</w:t>
      </w:r>
    </w:p>
    <w:p w14:paraId="3A9BB108" w14:textId="77777777" w:rsidR="00C74DA0" w:rsidRPr="00C66E29" w:rsidRDefault="00C74DA0" w:rsidP="00C74DA0">
      <w:r w:rsidRPr="00C66E29">
        <w:t xml:space="preserve">In accordance with Resolution </w:t>
      </w:r>
      <w:r w:rsidRPr="00C74DA0">
        <w:rPr>
          <w:b/>
          <w:bCs/>
        </w:rPr>
        <w:t>4 (Rev.WRC-03)</w:t>
      </w:r>
      <w:r w:rsidRPr="00C66E29">
        <w:t>, the period of validity of a frequency assignment can be extended and the revised period of validity is published in a Special Section RES</w:t>
      </w:r>
      <w:r w:rsidRPr="00C74DA0">
        <w:rPr>
          <w:b/>
          <w:bCs/>
        </w:rPr>
        <w:t>4</w:t>
      </w:r>
      <w:r w:rsidRPr="00C66E29">
        <w:t xml:space="preserve"> of the Bureau’s International Frequency Information Circular (BR IFIC).</w:t>
      </w:r>
    </w:p>
    <w:p w14:paraId="01E35B2C" w14:textId="77777777" w:rsidR="00C74DA0" w:rsidRPr="00C66E29" w:rsidRDefault="00C74DA0" w:rsidP="00C74DA0">
      <w:r w:rsidRPr="00C66E29">
        <w:t xml:space="preserve">After the expiry of the period of validity of the frequency assignments, in accordance with </w:t>
      </w:r>
      <w:r w:rsidRPr="00C66E29">
        <w:rPr>
          <w:i/>
          <w:iCs/>
        </w:rPr>
        <w:t>resolves</w:t>
      </w:r>
      <w:r w:rsidRPr="00C66E29">
        <w:t xml:space="preserve"> 1.1 of Resolution </w:t>
      </w:r>
      <w:r w:rsidRPr="00C74DA0">
        <w:rPr>
          <w:b/>
          <w:bCs/>
        </w:rPr>
        <w:t>4</w:t>
      </w:r>
      <w:r w:rsidRPr="00C66E29">
        <w:t xml:space="preserve">, the Bureau shall invite the notifying administration to cancel the corresponding frequency assignments if the Bureau has not been informed of the wish of the administrations to extend the original period of operation under </w:t>
      </w:r>
      <w:r w:rsidRPr="00C66E29">
        <w:rPr>
          <w:i/>
          <w:iCs/>
        </w:rPr>
        <w:t>resolves</w:t>
      </w:r>
      <w:r w:rsidRPr="00C66E29">
        <w:t> 1.2 of the same resolution. If no reply is received within three months, the Bureau shall insert a symbol in the Remarks Column of the Master Register to indicate that the assignments are not in conformity with this Resolution.</w:t>
      </w:r>
    </w:p>
    <w:p w14:paraId="0A2D639B" w14:textId="77777777" w:rsidR="00C74DA0" w:rsidRPr="00C66E29" w:rsidRDefault="00C74DA0" w:rsidP="00C74DA0">
      <w:pPr>
        <w:pStyle w:val="TableNo"/>
      </w:pPr>
      <w:r w:rsidRPr="00C66E29">
        <w:t>Table 2.2.3.</w:t>
      </w:r>
      <w:r>
        <w:t>3</w:t>
      </w:r>
      <w:r w:rsidRPr="00C66E29">
        <w:t>-1</w:t>
      </w:r>
    </w:p>
    <w:p w14:paraId="0A52E2C4" w14:textId="77777777" w:rsidR="00C74DA0" w:rsidRPr="00C66E29" w:rsidRDefault="00C74DA0" w:rsidP="00C74DA0">
      <w:pPr>
        <w:pStyle w:val="Tabletitle"/>
      </w:pPr>
      <w:r w:rsidRPr="00C66E29">
        <w:t>Statistics on Resolution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C74DA0" w:rsidRPr="00C66E29" w14:paraId="24CE84F5" w14:textId="77777777">
        <w:trPr>
          <w:tblHeader/>
          <w:jc w:val="center"/>
        </w:trPr>
        <w:tc>
          <w:tcPr>
            <w:tcW w:w="8103" w:type="dxa"/>
            <w:gridSpan w:val="2"/>
            <w:tcMar>
              <w:top w:w="0" w:type="dxa"/>
              <w:left w:w="108" w:type="dxa"/>
              <w:bottom w:w="0" w:type="dxa"/>
              <w:right w:w="108" w:type="dxa"/>
            </w:tcMar>
            <w:vAlign w:val="center"/>
          </w:tcPr>
          <w:p w14:paraId="28D23F2E" w14:textId="77777777" w:rsidR="00C74DA0" w:rsidRPr="00C66E29" w:rsidRDefault="00C74DA0">
            <w:pPr>
              <w:pStyle w:val="Tablehead"/>
            </w:pPr>
            <w:r w:rsidRPr="00C66E29">
              <w:t>Number of RES 4 publications by year</w:t>
            </w:r>
          </w:p>
        </w:tc>
      </w:tr>
      <w:tr w:rsidR="00C74DA0" w:rsidRPr="00C66E29" w14:paraId="52C94935" w14:textId="77777777">
        <w:trPr>
          <w:jc w:val="center"/>
        </w:trPr>
        <w:tc>
          <w:tcPr>
            <w:tcW w:w="5328" w:type="dxa"/>
            <w:tcMar>
              <w:top w:w="0" w:type="dxa"/>
              <w:left w:w="108" w:type="dxa"/>
              <w:bottom w:w="0" w:type="dxa"/>
              <w:right w:w="108" w:type="dxa"/>
            </w:tcMar>
          </w:tcPr>
          <w:p w14:paraId="21CF7543" w14:textId="77777777" w:rsidR="00C74DA0" w:rsidRPr="00C66E29" w:rsidRDefault="00C74DA0">
            <w:pPr>
              <w:pStyle w:val="Tabletext"/>
            </w:pPr>
            <w:r w:rsidRPr="00C66E29">
              <w:t>2010</w:t>
            </w:r>
          </w:p>
        </w:tc>
        <w:tc>
          <w:tcPr>
            <w:tcW w:w="2775" w:type="dxa"/>
            <w:tcMar>
              <w:top w:w="0" w:type="dxa"/>
              <w:left w:w="108" w:type="dxa"/>
              <w:bottom w:w="0" w:type="dxa"/>
              <w:right w:w="108" w:type="dxa"/>
            </w:tcMar>
          </w:tcPr>
          <w:p w14:paraId="2ED23F0B" w14:textId="77777777" w:rsidR="00C74DA0" w:rsidRPr="00C66E29" w:rsidRDefault="00C74DA0">
            <w:pPr>
              <w:pStyle w:val="Tabletext"/>
              <w:jc w:val="center"/>
            </w:pPr>
            <w:r w:rsidRPr="00C66E29">
              <w:t>33</w:t>
            </w:r>
          </w:p>
        </w:tc>
      </w:tr>
      <w:tr w:rsidR="00C74DA0" w:rsidRPr="00C66E29" w14:paraId="5FC2346F" w14:textId="77777777">
        <w:trPr>
          <w:jc w:val="center"/>
        </w:trPr>
        <w:tc>
          <w:tcPr>
            <w:tcW w:w="5328" w:type="dxa"/>
            <w:tcMar>
              <w:top w:w="0" w:type="dxa"/>
              <w:left w:w="108" w:type="dxa"/>
              <w:bottom w:w="0" w:type="dxa"/>
              <w:right w:w="108" w:type="dxa"/>
            </w:tcMar>
          </w:tcPr>
          <w:p w14:paraId="0F0A69A6" w14:textId="77777777" w:rsidR="00C74DA0" w:rsidRPr="00C66E29" w:rsidRDefault="00C74DA0">
            <w:pPr>
              <w:pStyle w:val="Tabletext"/>
            </w:pPr>
            <w:r w:rsidRPr="00C66E29">
              <w:t>2011</w:t>
            </w:r>
          </w:p>
        </w:tc>
        <w:tc>
          <w:tcPr>
            <w:tcW w:w="2775" w:type="dxa"/>
            <w:tcMar>
              <w:top w:w="0" w:type="dxa"/>
              <w:left w:w="108" w:type="dxa"/>
              <w:bottom w:w="0" w:type="dxa"/>
              <w:right w:w="108" w:type="dxa"/>
            </w:tcMar>
          </w:tcPr>
          <w:p w14:paraId="1D83AE4B" w14:textId="77777777" w:rsidR="00C74DA0" w:rsidRPr="00C66E29" w:rsidRDefault="00C74DA0">
            <w:pPr>
              <w:pStyle w:val="Tabletext"/>
              <w:jc w:val="center"/>
            </w:pPr>
            <w:r w:rsidRPr="00C66E29">
              <w:t>51</w:t>
            </w:r>
          </w:p>
        </w:tc>
      </w:tr>
      <w:tr w:rsidR="00C74DA0" w:rsidRPr="00C66E29" w14:paraId="5540DA52" w14:textId="77777777">
        <w:trPr>
          <w:jc w:val="center"/>
        </w:trPr>
        <w:tc>
          <w:tcPr>
            <w:tcW w:w="5328" w:type="dxa"/>
            <w:tcMar>
              <w:top w:w="0" w:type="dxa"/>
              <w:left w:w="108" w:type="dxa"/>
              <w:bottom w:w="0" w:type="dxa"/>
              <w:right w:w="108" w:type="dxa"/>
            </w:tcMar>
          </w:tcPr>
          <w:p w14:paraId="38626137" w14:textId="77777777" w:rsidR="00C74DA0" w:rsidRPr="00C66E29" w:rsidRDefault="00C74DA0">
            <w:pPr>
              <w:pStyle w:val="Tabletext"/>
            </w:pPr>
            <w:r w:rsidRPr="00C66E29">
              <w:t>2012</w:t>
            </w:r>
          </w:p>
        </w:tc>
        <w:tc>
          <w:tcPr>
            <w:tcW w:w="2775" w:type="dxa"/>
            <w:tcMar>
              <w:top w:w="0" w:type="dxa"/>
              <w:left w:w="108" w:type="dxa"/>
              <w:bottom w:w="0" w:type="dxa"/>
              <w:right w:w="108" w:type="dxa"/>
            </w:tcMar>
          </w:tcPr>
          <w:p w14:paraId="31383B1F" w14:textId="77777777" w:rsidR="00C74DA0" w:rsidRPr="00C66E29" w:rsidRDefault="00C74DA0">
            <w:pPr>
              <w:pStyle w:val="Tabletext"/>
              <w:jc w:val="center"/>
            </w:pPr>
            <w:r w:rsidRPr="00C66E29">
              <w:t>66</w:t>
            </w:r>
          </w:p>
        </w:tc>
      </w:tr>
      <w:tr w:rsidR="00C74DA0" w:rsidRPr="00C66E29" w14:paraId="4B317C94" w14:textId="77777777">
        <w:trPr>
          <w:jc w:val="center"/>
        </w:trPr>
        <w:tc>
          <w:tcPr>
            <w:tcW w:w="5328" w:type="dxa"/>
            <w:tcMar>
              <w:top w:w="0" w:type="dxa"/>
              <w:left w:w="108" w:type="dxa"/>
              <w:bottom w:w="0" w:type="dxa"/>
              <w:right w:w="108" w:type="dxa"/>
            </w:tcMar>
          </w:tcPr>
          <w:p w14:paraId="34044F43" w14:textId="77777777" w:rsidR="00C74DA0" w:rsidRPr="00C66E29" w:rsidRDefault="00C74DA0">
            <w:pPr>
              <w:pStyle w:val="Tabletext"/>
            </w:pPr>
            <w:r w:rsidRPr="00C66E29">
              <w:t>2013</w:t>
            </w:r>
          </w:p>
        </w:tc>
        <w:tc>
          <w:tcPr>
            <w:tcW w:w="2775" w:type="dxa"/>
            <w:tcMar>
              <w:top w:w="0" w:type="dxa"/>
              <w:left w:w="108" w:type="dxa"/>
              <w:bottom w:w="0" w:type="dxa"/>
              <w:right w:w="108" w:type="dxa"/>
            </w:tcMar>
          </w:tcPr>
          <w:p w14:paraId="24617E28" w14:textId="77777777" w:rsidR="00C74DA0" w:rsidRPr="00C66E29" w:rsidRDefault="00C74DA0">
            <w:pPr>
              <w:pStyle w:val="Tabletext"/>
              <w:jc w:val="center"/>
            </w:pPr>
            <w:r w:rsidRPr="00C66E29">
              <w:t>67</w:t>
            </w:r>
          </w:p>
        </w:tc>
      </w:tr>
      <w:tr w:rsidR="00C74DA0" w:rsidRPr="00C66E29" w14:paraId="3EBB4002" w14:textId="77777777">
        <w:trPr>
          <w:jc w:val="center"/>
        </w:trPr>
        <w:tc>
          <w:tcPr>
            <w:tcW w:w="5328" w:type="dxa"/>
            <w:tcMar>
              <w:top w:w="0" w:type="dxa"/>
              <w:left w:w="108" w:type="dxa"/>
              <w:bottom w:w="0" w:type="dxa"/>
              <w:right w:w="108" w:type="dxa"/>
            </w:tcMar>
          </w:tcPr>
          <w:p w14:paraId="44850E82" w14:textId="77777777" w:rsidR="00C74DA0" w:rsidRPr="00C66E29" w:rsidRDefault="00C74DA0">
            <w:pPr>
              <w:pStyle w:val="Tabletext"/>
            </w:pPr>
            <w:r w:rsidRPr="00C66E29">
              <w:t xml:space="preserve">2014 </w:t>
            </w:r>
          </w:p>
        </w:tc>
        <w:tc>
          <w:tcPr>
            <w:tcW w:w="2775" w:type="dxa"/>
            <w:tcMar>
              <w:top w:w="0" w:type="dxa"/>
              <w:left w:w="108" w:type="dxa"/>
              <w:bottom w:w="0" w:type="dxa"/>
              <w:right w:w="108" w:type="dxa"/>
            </w:tcMar>
          </w:tcPr>
          <w:p w14:paraId="3F8A7BC6" w14:textId="77777777" w:rsidR="00C74DA0" w:rsidRPr="00C66E29" w:rsidRDefault="00C74DA0">
            <w:pPr>
              <w:pStyle w:val="Tabletext"/>
              <w:jc w:val="center"/>
            </w:pPr>
            <w:r w:rsidRPr="00C66E29">
              <w:t>57</w:t>
            </w:r>
          </w:p>
        </w:tc>
      </w:tr>
      <w:tr w:rsidR="00C74DA0" w:rsidRPr="00C66E29" w14:paraId="7A2529DC" w14:textId="77777777">
        <w:trPr>
          <w:jc w:val="center"/>
        </w:trPr>
        <w:tc>
          <w:tcPr>
            <w:tcW w:w="5328" w:type="dxa"/>
            <w:tcMar>
              <w:top w:w="0" w:type="dxa"/>
              <w:left w:w="108" w:type="dxa"/>
              <w:bottom w:w="0" w:type="dxa"/>
              <w:right w:w="108" w:type="dxa"/>
            </w:tcMar>
          </w:tcPr>
          <w:p w14:paraId="309367D7" w14:textId="77777777" w:rsidR="00C74DA0" w:rsidRPr="00C66E29" w:rsidRDefault="00C74DA0">
            <w:pPr>
              <w:pStyle w:val="Tabletext"/>
            </w:pPr>
            <w:r w:rsidRPr="00C66E29">
              <w:t>2015</w:t>
            </w:r>
          </w:p>
        </w:tc>
        <w:tc>
          <w:tcPr>
            <w:tcW w:w="2775" w:type="dxa"/>
            <w:tcMar>
              <w:top w:w="0" w:type="dxa"/>
              <w:left w:w="108" w:type="dxa"/>
              <w:bottom w:w="0" w:type="dxa"/>
              <w:right w:w="108" w:type="dxa"/>
            </w:tcMar>
          </w:tcPr>
          <w:p w14:paraId="22037827" w14:textId="77777777" w:rsidR="00C74DA0" w:rsidRPr="00C66E29" w:rsidRDefault="00C74DA0">
            <w:pPr>
              <w:pStyle w:val="Tabletext"/>
              <w:jc w:val="center"/>
            </w:pPr>
            <w:r w:rsidRPr="00C66E29">
              <w:t>37</w:t>
            </w:r>
          </w:p>
        </w:tc>
      </w:tr>
      <w:tr w:rsidR="00C74DA0" w:rsidRPr="00C66E29" w14:paraId="6B7FB698" w14:textId="77777777">
        <w:trPr>
          <w:jc w:val="center"/>
        </w:trPr>
        <w:tc>
          <w:tcPr>
            <w:tcW w:w="5328" w:type="dxa"/>
            <w:tcMar>
              <w:top w:w="0" w:type="dxa"/>
              <w:left w:w="108" w:type="dxa"/>
              <w:bottom w:w="0" w:type="dxa"/>
              <w:right w:w="108" w:type="dxa"/>
            </w:tcMar>
          </w:tcPr>
          <w:p w14:paraId="7EC3D7E0" w14:textId="77777777" w:rsidR="00C74DA0" w:rsidRPr="00C66E29" w:rsidRDefault="00C74DA0">
            <w:pPr>
              <w:pStyle w:val="Tabletext"/>
            </w:pPr>
            <w:r w:rsidRPr="00C66E29">
              <w:t>2016</w:t>
            </w:r>
          </w:p>
        </w:tc>
        <w:tc>
          <w:tcPr>
            <w:tcW w:w="2775" w:type="dxa"/>
            <w:tcMar>
              <w:top w:w="0" w:type="dxa"/>
              <w:left w:w="108" w:type="dxa"/>
              <w:bottom w:w="0" w:type="dxa"/>
              <w:right w:w="108" w:type="dxa"/>
            </w:tcMar>
          </w:tcPr>
          <w:p w14:paraId="3A3DAF6D" w14:textId="77777777" w:rsidR="00C74DA0" w:rsidRPr="00C66E29" w:rsidRDefault="00C74DA0">
            <w:pPr>
              <w:pStyle w:val="Tabletext"/>
              <w:jc w:val="center"/>
            </w:pPr>
            <w:r w:rsidRPr="00C66E29">
              <w:t>34</w:t>
            </w:r>
          </w:p>
        </w:tc>
      </w:tr>
      <w:tr w:rsidR="00C74DA0" w:rsidRPr="00C66E29" w14:paraId="38CA07C0" w14:textId="77777777">
        <w:trPr>
          <w:jc w:val="center"/>
        </w:trPr>
        <w:tc>
          <w:tcPr>
            <w:tcW w:w="5328" w:type="dxa"/>
            <w:tcMar>
              <w:top w:w="0" w:type="dxa"/>
              <w:left w:w="108" w:type="dxa"/>
              <w:bottom w:w="0" w:type="dxa"/>
              <w:right w:w="108" w:type="dxa"/>
            </w:tcMar>
          </w:tcPr>
          <w:p w14:paraId="1D8CE8CC" w14:textId="77777777" w:rsidR="00C74DA0" w:rsidRPr="00C66E29" w:rsidRDefault="00C74DA0">
            <w:pPr>
              <w:pStyle w:val="Tabletext"/>
            </w:pPr>
            <w:r w:rsidRPr="00C66E29">
              <w:t>2017</w:t>
            </w:r>
          </w:p>
        </w:tc>
        <w:tc>
          <w:tcPr>
            <w:tcW w:w="2775" w:type="dxa"/>
            <w:tcMar>
              <w:top w:w="0" w:type="dxa"/>
              <w:left w:w="108" w:type="dxa"/>
              <w:bottom w:w="0" w:type="dxa"/>
              <w:right w:w="108" w:type="dxa"/>
            </w:tcMar>
          </w:tcPr>
          <w:p w14:paraId="41CB8C16" w14:textId="77777777" w:rsidR="00C74DA0" w:rsidRPr="00C66E29" w:rsidRDefault="00C74DA0">
            <w:pPr>
              <w:pStyle w:val="Tabletext"/>
              <w:jc w:val="center"/>
            </w:pPr>
            <w:r w:rsidRPr="00C66E29">
              <w:t>37</w:t>
            </w:r>
          </w:p>
        </w:tc>
      </w:tr>
      <w:tr w:rsidR="00C74DA0" w:rsidRPr="00C66E29" w14:paraId="46A96CC7" w14:textId="77777777">
        <w:trPr>
          <w:jc w:val="center"/>
        </w:trPr>
        <w:tc>
          <w:tcPr>
            <w:tcW w:w="5328" w:type="dxa"/>
            <w:tcMar>
              <w:top w:w="0" w:type="dxa"/>
              <w:left w:w="108" w:type="dxa"/>
              <w:bottom w:w="0" w:type="dxa"/>
              <w:right w:w="108" w:type="dxa"/>
            </w:tcMar>
          </w:tcPr>
          <w:p w14:paraId="39982FD6" w14:textId="77777777" w:rsidR="00C74DA0" w:rsidRPr="00C66E29" w:rsidRDefault="00C74DA0">
            <w:pPr>
              <w:pStyle w:val="Tabletext"/>
            </w:pPr>
            <w:r w:rsidRPr="00C66E29">
              <w:t>2018</w:t>
            </w:r>
          </w:p>
        </w:tc>
        <w:tc>
          <w:tcPr>
            <w:tcW w:w="2775" w:type="dxa"/>
            <w:tcMar>
              <w:top w:w="0" w:type="dxa"/>
              <w:left w:w="108" w:type="dxa"/>
              <w:bottom w:w="0" w:type="dxa"/>
              <w:right w:w="108" w:type="dxa"/>
            </w:tcMar>
          </w:tcPr>
          <w:p w14:paraId="1E6FEB7A" w14:textId="77777777" w:rsidR="00C74DA0" w:rsidRPr="00C66E29" w:rsidRDefault="00C74DA0">
            <w:pPr>
              <w:pStyle w:val="Tabletext"/>
              <w:jc w:val="center"/>
            </w:pPr>
            <w:r w:rsidRPr="00C66E29">
              <w:t>43</w:t>
            </w:r>
          </w:p>
        </w:tc>
      </w:tr>
      <w:tr w:rsidR="00C74DA0" w:rsidRPr="00C66E29" w14:paraId="041A9254" w14:textId="77777777">
        <w:trPr>
          <w:jc w:val="center"/>
        </w:trPr>
        <w:tc>
          <w:tcPr>
            <w:tcW w:w="5328" w:type="dxa"/>
            <w:tcMar>
              <w:top w:w="0" w:type="dxa"/>
              <w:left w:w="108" w:type="dxa"/>
              <w:bottom w:w="0" w:type="dxa"/>
              <w:right w:w="108" w:type="dxa"/>
            </w:tcMar>
          </w:tcPr>
          <w:p w14:paraId="6CBEF6BE" w14:textId="77777777" w:rsidR="00C74DA0" w:rsidRPr="00C66E29" w:rsidRDefault="00C74DA0">
            <w:pPr>
              <w:pStyle w:val="Tabletext"/>
            </w:pPr>
            <w:r w:rsidRPr="00C66E29">
              <w:t>2019</w:t>
            </w:r>
          </w:p>
        </w:tc>
        <w:tc>
          <w:tcPr>
            <w:tcW w:w="2775" w:type="dxa"/>
            <w:tcMar>
              <w:top w:w="0" w:type="dxa"/>
              <w:left w:w="108" w:type="dxa"/>
              <w:bottom w:w="0" w:type="dxa"/>
              <w:right w:w="108" w:type="dxa"/>
            </w:tcMar>
          </w:tcPr>
          <w:p w14:paraId="750CB8CD" w14:textId="77777777" w:rsidR="00C74DA0" w:rsidRPr="00C66E29" w:rsidRDefault="00C74DA0">
            <w:pPr>
              <w:pStyle w:val="Tabletext"/>
              <w:jc w:val="center"/>
            </w:pPr>
            <w:r w:rsidRPr="00C66E29">
              <w:t>56</w:t>
            </w:r>
          </w:p>
        </w:tc>
      </w:tr>
      <w:tr w:rsidR="00C74DA0" w:rsidRPr="00C66E29" w14:paraId="3D258555" w14:textId="77777777">
        <w:trPr>
          <w:jc w:val="center"/>
        </w:trPr>
        <w:tc>
          <w:tcPr>
            <w:tcW w:w="5328" w:type="dxa"/>
            <w:tcMar>
              <w:top w:w="0" w:type="dxa"/>
              <w:left w:w="108" w:type="dxa"/>
              <w:bottom w:w="0" w:type="dxa"/>
              <w:right w:w="108" w:type="dxa"/>
            </w:tcMar>
          </w:tcPr>
          <w:p w14:paraId="0A6C4BC1" w14:textId="77777777" w:rsidR="00C74DA0" w:rsidRPr="00C66E29" w:rsidRDefault="00C74DA0">
            <w:pPr>
              <w:pStyle w:val="Tabletext"/>
            </w:pPr>
            <w:r w:rsidRPr="00C66E29">
              <w:t>2020</w:t>
            </w:r>
          </w:p>
        </w:tc>
        <w:tc>
          <w:tcPr>
            <w:tcW w:w="2775" w:type="dxa"/>
            <w:tcMar>
              <w:top w:w="0" w:type="dxa"/>
              <w:left w:w="108" w:type="dxa"/>
              <w:bottom w:w="0" w:type="dxa"/>
              <w:right w:w="108" w:type="dxa"/>
            </w:tcMar>
          </w:tcPr>
          <w:p w14:paraId="77A2D72B" w14:textId="77777777" w:rsidR="00C74DA0" w:rsidRPr="00C66E29" w:rsidRDefault="00C74DA0">
            <w:pPr>
              <w:pStyle w:val="Tabletext"/>
              <w:jc w:val="center"/>
            </w:pPr>
            <w:r w:rsidRPr="00C66E29">
              <w:t>75</w:t>
            </w:r>
          </w:p>
        </w:tc>
      </w:tr>
      <w:tr w:rsidR="00C74DA0" w:rsidRPr="00C66E29" w14:paraId="784DE955" w14:textId="77777777">
        <w:trPr>
          <w:jc w:val="center"/>
        </w:trPr>
        <w:tc>
          <w:tcPr>
            <w:tcW w:w="5328" w:type="dxa"/>
            <w:tcMar>
              <w:top w:w="0" w:type="dxa"/>
              <w:left w:w="108" w:type="dxa"/>
              <w:bottom w:w="0" w:type="dxa"/>
              <w:right w:w="108" w:type="dxa"/>
            </w:tcMar>
          </w:tcPr>
          <w:p w14:paraId="6378D954" w14:textId="77777777" w:rsidR="00C74DA0" w:rsidRPr="00C66E29" w:rsidRDefault="00C74DA0">
            <w:pPr>
              <w:pStyle w:val="Tabletext"/>
            </w:pPr>
            <w:r w:rsidRPr="00C66E29">
              <w:t>2021</w:t>
            </w:r>
          </w:p>
        </w:tc>
        <w:tc>
          <w:tcPr>
            <w:tcW w:w="2775" w:type="dxa"/>
            <w:tcMar>
              <w:top w:w="0" w:type="dxa"/>
              <w:left w:w="108" w:type="dxa"/>
              <w:bottom w:w="0" w:type="dxa"/>
              <w:right w:w="108" w:type="dxa"/>
            </w:tcMar>
          </w:tcPr>
          <w:p w14:paraId="2E366859" w14:textId="77777777" w:rsidR="00C74DA0" w:rsidRPr="00C66E29" w:rsidRDefault="00C74DA0">
            <w:pPr>
              <w:pStyle w:val="Tabletext"/>
              <w:jc w:val="center"/>
            </w:pPr>
            <w:r w:rsidRPr="00C66E29">
              <w:t>42</w:t>
            </w:r>
          </w:p>
        </w:tc>
      </w:tr>
      <w:tr w:rsidR="00C74DA0" w:rsidRPr="00C66E29" w14:paraId="28D36C50" w14:textId="77777777">
        <w:trPr>
          <w:jc w:val="center"/>
        </w:trPr>
        <w:tc>
          <w:tcPr>
            <w:tcW w:w="5328" w:type="dxa"/>
            <w:tcMar>
              <w:top w:w="0" w:type="dxa"/>
              <w:left w:w="108" w:type="dxa"/>
              <w:bottom w:w="0" w:type="dxa"/>
              <w:right w:w="108" w:type="dxa"/>
            </w:tcMar>
          </w:tcPr>
          <w:p w14:paraId="5FFD5B43" w14:textId="77777777" w:rsidR="00C74DA0" w:rsidRPr="00C66E29" w:rsidRDefault="00C74DA0">
            <w:pPr>
              <w:pStyle w:val="Tabletext"/>
            </w:pPr>
            <w:r w:rsidRPr="00C66E29">
              <w:t>2022</w:t>
            </w:r>
          </w:p>
        </w:tc>
        <w:tc>
          <w:tcPr>
            <w:tcW w:w="2775" w:type="dxa"/>
            <w:tcMar>
              <w:top w:w="0" w:type="dxa"/>
              <w:left w:w="108" w:type="dxa"/>
              <w:bottom w:w="0" w:type="dxa"/>
              <w:right w:w="108" w:type="dxa"/>
            </w:tcMar>
          </w:tcPr>
          <w:p w14:paraId="15A2FD13" w14:textId="77777777" w:rsidR="00C74DA0" w:rsidRPr="00C66E29" w:rsidRDefault="00C74DA0">
            <w:pPr>
              <w:pStyle w:val="Tabletext"/>
              <w:jc w:val="center"/>
            </w:pPr>
            <w:r w:rsidRPr="00C66E29">
              <w:t>80</w:t>
            </w:r>
          </w:p>
        </w:tc>
      </w:tr>
      <w:tr w:rsidR="00C74DA0" w:rsidRPr="00C66E29" w14:paraId="11E365F7" w14:textId="77777777">
        <w:trPr>
          <w:jc w:val="center"/>
        </w:trPr>
        <w:tc>
          <w:tcPr>
            <w:tcW w:w="5328" w:type="dxa"/>
            <w:tcMar>
              <w:top w:w="0" w:type="dxa"/>
              <w:left w:w="108" w:type="dxa"/>
              <w:bottom w:w="0" w:type="dxa"/>
              <w:right w:w="108" w:type="dxa"/>
            </w:tcMar>
          </w:tcPr>
          <w:p w14:paraId="51EF0B8F" w14:textId="77777777" w:rsidR="00C74DA0" w:rsidRPr="00C66E29" w:rsidRDefault="00C74DA0">
            <w:pPr>
              <w:pStyle w:val="Tabletext"/>
            </w:pPr>
            <w:r w:rsidRPr="00C66E29">
              <w:t>2023</w:t>
            </w:r>
            <w:r>
              <w:t xml:space="preserve"> (end of May)</w:t>
            </w:r>
          </w:p>
        </w:tc>
        <w:tc>
          <w:tcPr>
            <w:tcW w:w="2775" w:type="dxa"/>
            <w:tcMar>
              <w:top w:w="0" w:type="dxa"/>
              <w:left w:w="108" w:type="dxa"/>
              <w:bottom w:w="0" w:type="dxa"/>
              <w:right w:w="108" w:type="dxa"/>
            </w:tcMar>
          </w:tcPr>
          <w:p w14:paraId="5A9B4643" w14:textId="77777777" w:rsidR="00C74DA0" w:rsidRPr="00C66E29" w:rsidRDefault="00C74DA0">
            <w:pPr>
              <w:pStyle w:val="Tabletext"/>
              <w:jc w:val="center"/>
            </w:pPr>
            <w:r>
              <w:t>4</w:t>
            </w:r>
            <w:r w:rsidRPr="00C66E29">
              <w:t>5</w:t>
            </w:r>
          </w:p>
        </w:tc>
      </w:tr>
      <w:tr w:rsidR="00C74DA0" w:rsidRPr="00C66E29" w14:paraId="23EB3C21" w14:textId="77777777">
        <w:trPr>
          <w:jc w:val="center"/>
        </w:trPr>
        <w:tc>
          <w:tcPr>
            <w:tcW w:w="8103" w:type="dxa"/>
            <w:gridSpan w:val="2"/>
            <w:tcMar>
              <w:top w:w="0" w:type="dxa"/>
              <w:left w:w="108" w:type="dxa"/>
              <w:bottom w:w="0" w:type="dxa"/>
              <w:right w:w="108" w:type="dxa"/>
            </w:tcMar>
            <w:vAlign w:val="center"/>
          </w:tcPr>
          <w:p w14:paraId="5BCB5E3D" w14:textId="77777777" w:rsidR="00C74DA0" w:rsidRPr="00C66E29" w:rsidRDefault="00C74DA0">
            <w:pPr>
              <w:pStyle w:val="Tablehead"/>
            </w:pPr>
            <w:r w:rsidRPr="00C66E29">
              <w:t>Total number of networks recorded as not in conformity with RES 4</w:t>
            </w:r>
          </w:p>
        </w:tc>
      </w:tr>
      <w:tr w:rsidR="00C74DA0" w:rsidRPr="00C66E29" w14:paraId="0FE1D0E5" w14:textId="77777777">
        <w:trPr>
          <w:jc w:val="center"/>
        </w:trPr>
        <w:tc>
          <w:tcPr>
            <w:tcW w:w="5328" w:type="dxa"/>
            <w:tcMar>
              <w:top w:w="0" w:type="dxa"/>
              <w:left w:w="108" w:type="dxa"/>
              <w:bottom w:w="0" w:type="dxa"/>
              <w:right w:w="108" w:type="dxa"/>
            </w:tcMar>
            <w:vAlign w:val="center"/>
          </w:tcPr>
          <w:p w14:paraId="126E7C08" w14:textId="77777777" w:rsidR="00C74DA0" w:rsidRPr="00C66E29" w:rsidRDefault="00C74DA0">
            <w:pPr>
              <w:pStyle w:val="Tabletext"/>
              <w:rPr>
                <w:rFonts w:ascii="Calibri" w:hAnsi="Calibri"/>
              </w:rPr>
            </w:pPr>
            <w:r w:rsidRPr="00C66E29">
              <w:t>As for 1</w:t>
            </w:r>
            <w:r w:rsidRPr="00C66E29">
              <w:rPr>
                <w:vertAlign w:val="superscript"/>
              </w:rPr>
              <w:t>st</w:t>
            </w:r>
            <w:r w:rsidRPr="00C66E29">
              <w:t xml:space="preserve"> August 2019</w:t>
            </w:r>
          </w:p>
        </w:tc>
        <w:tc>
          <w:tcPr>
            <w:tcW w:w="2775" w:type="dxa"/>
            <w:tcMar>
              <w:top w:w="0" w:type="dxa"/>
              <w:left w:w="108" w:type="dxa"/>
              <w:bottom w:w="0" w:type="dxa"/>
              <w:right w:w="108" w:type="dxa"/>
            </w:tcMar>
            <w:vAlign w:val="center"/>
          </w:tcPr>
          <w:p w14:paraId="339901AB" w14:textId="77777777" w:rsidR="00C74DA0" w:rsidRPr="00C66E29" w:rsidRDefault="00C74DA0">
            <w:pPr>
              <w:pStyle w:val="Tabletext"/>
              <w:jc w:val="center"/>
            </w:pPr>
            <w:r w:rsidRPr="00C66E29">
              <w:t>8</w:t>
            </w:r>
          </w:p>
        </w:tc>
      </w:tr>
      <w:tr w:rsidR="00C74DA0" w:rsidRPr="00C66E29" w14:paraId="551C70E1" w14:textId="77777777">
        <w:trPr>
          <w:jc w:val="center"/>
        </w:trPr>
        <w:tc>
          <w:tcPr>
            <w:tcW w:w="8103" w:type="dxa"/>
            <w:gridSpan w:val="2"/>
            <w:tcMar>
              <w:top w:w="0" w:type="dxa"/>
              <w:left w:w="108" w:type="dxa"/>
              <w:bottom w:w="0" w:type="dxa"/>
              <w:right w:w="108" w:type="dxa"/>
            </w:tcMar>
            <w:vAlign w:val="center"/>
          </w:tcPr>
          <w:p w14:paraId="65179783" w14:textId="77777777" w:rsidR="00C74DA0" w:rsidRPr="00C66E29" w:rsidRDefault="00C74DA0">
            <w:pPr>
              <w:pStyle w:val="Tablehead"/>
            </w:pPr>
            <w:r w:rsidRPr="00C66E29">
              <w:t>Period of validity recorded in the Master Register</w:t>
            </w:r>
          </w:p>
        </w:tc>
      </w:tr>
      <w:tr w:rsidR="00C74DA0" w:rsidRPr="00C66E29" w14:paraId="14257354" w14:textId="77777777">
        <w:trPr>
          <w:jc w:val="center"/>
        </w:trPr>
        <w:tc>
          <w:tcPr>
            <w:tcW w:w="5328" w:type="dxa"/>
            <w:tcMar>
              <w:top w:w="0" w:type="dxa"/>
              <w:left w:w="108" w:type="dxa"/>
              <w:bottom w:w="0" w:type="dxa"/>
              <w:right w:w="108" w:type="dxa"/>
            </w:tcMar>
          </w:tcPr>
          <w:p w14:paraId="3F233DFB" w14:textId="77777777" w:rsidR="00C74DA0" w:rsidRPr="00C66E29" w:rsidRDefault="00C74DA0">
            <w:pPr>
              <w:pStyle w:val="Tabletext"/>
            </w:pPr>
            <w:r w:rsidRPr="00C66E29">
              <w:t xml:space="preserve">Minimum </w:t>
            </w:r>
          </w:p>
        </w:tc>
        <w:tc>
          <w:tcPr>
            <w:tcW w:w="2775" w:type="dxa"/>
            <w:tcMar>
              <w:top w:w="0" w:type="dxa"/>
              <w:left w:w="108" w:type="dxa"/>
              <w:bottom w:w="0" w:type="dxa"/>
              <w:right w:w="108" w:type="dxa"/>
            </w:tcMar>
            <w:vAlign w:val="center"/>
          </w:tcPr>
          <w:p w14:paraId="460DA2A5" w14:textId="77777777" w:rsidR="00C74DA0" w:rsidRPr="00C66E29" w:rsidRDefault="00C74DA0">
            <w:pPr>
              <w:pStyle w:val="Tabletext"/>
              <w:jc w:val="center"/>
            </w:pPr>
            <w:r w:rsidRPr="00C66E29">
              <w:t>1 year</w:t>
            </w:r>
          </w:p>
        </w:tc>
      </w:tr>
      <w:tr w:rsidR="00C74DA0" w:rsidRPr="00C66E29" w14:paraId="4893CF96" w14:textId="77777777">
        <w:trPr>
          <w:jc w:val="center"/>
        </w:trPr>
        <w:tc>
          <w:tcPr>
            <w:tcW w:w="5328" w:type="dxa"/>
            <w:tcMar>
              <w:top w:w="0" w:type="dxa"/>
              <w:left w:w="108" w:type="dxa"/>
              <w:bottom w:w="0" w:type="dxa"/>
              <w:right w:w="108" w:type="dxa"/>
            </w:tcMar>
          </w:tcPr>
          <w:p w14:paraId="7BC619C1" w14:textId="77777777" w:rsidR="00C74DA0" w:rsidRPr="00C66E29" w:rsidRDefault="00C74DA0">
            <w:pPr>
              <w:pStyle w:val="Tabletext"/>
            </w:pPr>
            <w:r w:rsidRPr="00C66E29">
              <w:t xml:space="preserve">Maximum </w:t>
            </w:r>
          </w:p>
        </w:tc>
        <w:tc>
          <w:tcPr>
            <w:tcW w:w="2775" w:type="dxa"/>
            <w:tcMar>
              <w:top w:w="0" w:type="dxa"/>
              <w:left w:w="108" w:type="dxa"/>
              <w:bottom w:w="0" w:type="dxa"/>
              <w:right w:w="108" w:type="dxa"/>
            </w:tcMar>
            <w:vAlign w:val="center"/>
          </w:tcPr>
          <w:p w14:paraId="79D702D0" w14:textId="77777777" w:rsidR="00C74DA0" w:rsidRPr="00C66E29" w:rsidRDefault="00C74DA0">
            <w:pPr>
              <w:pStyle w:val="Tabletext"/>
              <w:jc w:val="center"/>
            </w:pPr>
            <w:r w:rsidRPr="00C66E29">
              <w:t>99 years</w:t>
            </w:r>
          </w:p>
        </w:tc>
      </w:tr>
      <w:tr w:rsidR="00C74DA0" w:rsidRPr="00C66E29" w14:paraId="7B27864C" w14:textId="77777777">
        <w:trPr>
          <w:jc w:val="center"/>
        </w:trPr>
        <w:tc>
          <w:tcPr>
            <w:tcW w:w="5328" w:type="dxa"/>
            <w:tcMar>
              <w:top w:w="0" w:type="dxa"/>
              <w:left w:w="108" w:type="dxa"/>
              <w:bottom w:w="0" w:type="dxa"/>
              <w:right w:w="108" w:type="dxa"/>
            </w:tcMar>
          </w:tcPr>
          <w:p w14:paraId="698F883A" w14:textId="77777777" w:rsidR="00C74DA0" w:rsidRPr="00C66E29" w:rsidRDefault="00C74DA0">
            <w:pPr>
              <w:pStyle w:val="Tabletext"/>
            </w:pPr>
            <w:r w:rsidRPr="00C66E29">
              <w:t xml:space="preserve">Average </w:t>
            </w:r>
          </w:p>
        </w:tc>
        <w:tc>
          <w:tcPr>
            <w:tcW w:w="2775" w:type="dxa"/>
            <w:tcMar>
              <w:top w:w="0" w:type="dxa"/>
              <w:left w:w="108" w:type="dxa"/>
              <w:bottom w:w="0" w:type="dxa"/>
              <w:right w:w="108" w:type="dxa"/>
            </w:tcMar>
            <w:vAlign w:val="center"/>
          </w:tcPr>
          <w:p w14:paraId="426A1800" w14:textId="77777777" w:rsidR="00C74DA0" w:rsidRPr="00C66E29" w:rsidRDefault="00C74DA0">
            <w:pPr>
              <w:pStyle w:val="Tabletext"/>
              <w:jc w:val="center"/>
            </w:pPr>
            <w:r w:rsidRPr="00C66E29">
              <w:t>47 years</w:t>
            </w:r>
          </w:p>
        </w:tc>
      </w:tr>
      <w:tr w:rsidR="00C74DA0" w:rsidRPr="00C66E29" w14:paraId="6A9F1685" w14:textId="77777777">
        <w:trPr>
          <w:jc w:val="center"/>
        </w:trPr>
        <w:tc>
          <w:tcPr>
            <w:tcW w:w="8103" w:type="dxa"/>
            <w:gridSpan w:val="2"/>
            <w:tcMar>
              <w:top w:w="0" w:type="dxa"/>
              <w:left w:w="108" w:type="dxa"/>
              <w:bottom w:w="0" w:type="dxa"/>
              <w:right w:w="108" w:type="dxa"/>
            </w:tcMar>
            <w:vAlign w:val="center"/>
          </w:tcPr>
          <w:p w14:paraId="36580AB2" w14:textId="77777777" w:rsidR="00C74DA0" w:rsidRPr="00C66E29" w:rsidRDefault="00C74DA0">
            <w:pPr>
              <w:pStyle w:val="Tablehead"/>
            </w:pPr>
            <w:r w:rsidRPr="00C66E29">
              <w:t>Extension requested by the administrations</w:t>
            </w:r>
          </w:p>
        </w:tc>
      </w:tr>
      <w:tr w:rsidR="00C74DA0" w:rsidRPr="00C66E29" w14:paraId="19B59D89" w14:textId="77777777">
        <w:trPr>
          <w:jc w:val="center"/>
        </w:trPr>
        <w:tc>
          <w:tcPr>
            <w:tcW w:w="5328" w:type="dxa"/>
            <w:tcMar>
              <w:top w:w="0" w:type="dxa"/>
              <w:left w:w="108" w:type="dxa"/>
              <w:bottom w:w="0" w:type="dxa"/>
              <w:right w:w="108" w:type="dxa"/>
            </w:tcMar>
          </w:tcPr>
          <w:p w14:paraId="742FCD92" w14:textId="77777777" w:rsidR="00C74DA0" w:rsidRPr="00C66E29" w:rsidRDefault="00C74DA0">
            <w:pPr>
              <w:pStyle w:val="Tabletext"/>
            </w:pPr>
            <w:r w:rsidRPr="00C66E29">
              <w:t>Minimum</w:t>
            </w:r>
          </w:p>
        </w:tc>
        <w:tc>
          <w:tcPr>
            <w:tcW w:w="2775" w:type="dxa"/>
            <w:tcMar>
              <w:top w:w="0" w:type="dxa"/>
              <w:left w:w="108" w:type="dxa"/>
              <w:bottom w:w="0" w:type="dxa"/>
              <w:right w:w="108" w:type="dxa"/>
            </w:tcMar>
            <w:vAlign w:val="center"/>
          </w:tcPr>
          <w:p w14:paraId="68EE5166" w14:textId="77777777" w:rsidR="00C74DA0" w:rsidRPr="00C66E29" w:rsidRDefault="00C74DA0">
            <w:pPr>
              <w:pStyle w:val="Tabletext"/>
              <w:jc w:val="center"/>
            </w:pPr>
            <w:r w:rsidRPr="00C66E29">
              <w:t>1 year</w:t>
            </w:r>
          </w:p>
        </w:tc>
      </w:tr>
      <w:tr w:rsidR="00C74DA0" w:rsidRPr="00C66E29" w14:paraId="5D23F7FA" w14:textId="77777777">
        <w:trPr>
          <w:jc w:val="center"/>
        </w:trPr>
        <w:tc>
          <w:tcPr>
            <w:tcW w:w="5328" w:type="dxa"/>
            <w:tcMar>
              <w:top w:w="0" w:type="dxa"/>
              <w:left w:w="108" w:type="dxa"/>
              <w:bottom w:w="0" w:type="dxa"/>
              <w:right w:w="108" w:type="dxa"/>
            </w:tcMar>
          </w:tcPr>
          <w:p w14:paraId="67693E53" w14:textId="77777777" w:rsidR="00C74DA0" w:rsidRPr="00C66E29" w:rsidRDefault="00C74DA0">
            <w:pPr>
              <w:pStyle w:val="Tabletext"/>
            </w:pPr>
            <w:r w:rsidRPr="00C66E29">
              <w:t>Maximum</w:t>
            </w:r>
          </w:p>
        </w:tc>
        <w:tc>
          <w:tcPr>
            <w:tcW w:w="2775" w:type="dxa"/>
            <w:shd w:val="clear" w:color="auto" w:fill="auto"/>
            <w:tcMar>
              <w:top w:w="0" w:type="dxa"/>
              <w:left w:w="108" w:type="dxa"/>
              <w:bottom w:w="0" w:type="dxa"/>
              <w:right w:w="108" w:type="dxa"/>
            </w:tcMar>
            <w:vAlign w:val="center"/>
          </w:tcPr>
          <w:p w14:paraId="4B88E0C6" w14:textId="77777777" w:rsidR="00C74DA0" w:rsidRPr="00C66E29" w:rsidRDefault="00C74DA0">
            <w:pPr>
              <w:pStyle w:val="Tabletext"/>
              <w:jc w:val="center"/>
            </w:pPr>
            <w:r w:rsidRPr="00C66E29">
              <w:t>79 years</w:t>
            </w:r>
          </w:p>
        </w:tc>
      </w:tr>
    </w:tbl>
    <w:p w14:paraId="47ED08D0" w14:textId="77777777" w:rsidR="00C74DA0" w:rsidRPr="00C66E29" w:rsidRDefault="00C74DA0" w:rsidP="00C74DA0">
      <w:pPr>
        <w:pStyle w:val="Tablefin"/>
      </w:pPr>
    </w:p>
    <w:p w14:paraId="6B77E8FA" w14:textId="241A5F49" w:rsidR="00C74DA0" w:rsidRPr="00C66E29" w:rsidRDefault="00C74DA0" w:rsidP="00C74DA0">
      <w:r w:rsidRPr="00C66E29">
        <w:t>In line with Circular Letter CR/301</w:t>
      </w:r>
      <w:r>
        <w:t>,</w:t>
      </w:r>
      <w:r w:rsidRPr="00C66E29">
        <w:t xml:space="preserve"> dated 1 May 2009</w:t>
      </w:r>
      <w:r>
        <w:t>,</w:t>
      </w:r>
      <w:r w:rsidRPr="00C66E29">
        <w:t xml:space="preserve"> on the removal of unused satellite network frequency assignments from the MIFR, the Bureau has been sending since the 23 June 2011 a telefax to all administrations that did not reply after the expiry of the period of validity, asking them to provide, in accordance with the provisions of </w:t>
      </w:r>
      <w:r w:rsidR="00FF180A">
        <w:t xml:space="preserve">RR </w:t>
      </w:r>
      <w:r w:rsidRPr="00C66E29">
        <w:t xml:space="preserve">No. </w:t>
      </w:r>
      <w:r w:rsidRPr="00C74DA0">
        <w:rPr>
          <w:b/>
          <w:bCs/>
        </w:rPr>
        <w:t>13.6</w:t>
      </w:r>
      <w:r w:rsidRPr="00C66E29">
        <w:t xml:space="preserve">, evidence of continuous operation of the frequency assignments of the satellite network, or to remove these assignments from the MIFR in case some of them were discontinued. In the absence of information by the notifying administration on the evidence of the continuing use of frequency assignments beyond the recorded period of validity, the Bureau initiate the cancellation of the relevant MIFR entries in accordance with the provisions of </w:t>
      </w:r>
      <w:r w:rsidR="00FF180A">
        <w:t xml:space="preserve">RR </w:t>
      </w:r>
      <w:r w:rsidRPr="00C66E29">
        <w:t xml:space="preserve">No. </w:t>
      </w:r>
      <w:r w:rsidRPr="00FF180A">
        <w:rPr>
          <w:b/>
          <w:bCs/>
        </w:rPr>
        <w:t>13.6</w:t>
      </w:r>
      <w:r w:rsidRPr="00C66E29">
        <w:t xml:space="preserve"> and the associated Rule of procedure.</w:t>
      </w:r>
    </w:p>
    <w:p w14:paraId="7231C1B8" w14:textId="77777777" w:rsidR="00C74DA0" w:rsidRPr="00C66E29" w:rsidRDefault="00C74DA0" w:rsidP="00C74DA0">
      <w:pPr>
        <w:pStyle w:val="Heading3"/>
      </w:pPr>
      <w:bookmarkStart w:id="45" w:name="_Toc143072395"/>
      <w:r w:rsidRPr="00C66E29">
        <w:t>2.2.4</w:t>
      </w:r>
      <w:r w:rsidRPr="00C66E29">
        <w:tab/>
        <w:t xml:space="preserve">Other </w:t>
      </w:r>
      <w:r w:rsidRPr="00C66E29">
        <w:rPr>
          <w:lang w:val="en-US"/>
        </w:rPr>
        <w:t xml:space="preserve">Resolutions associated with the processing of notices for non-planned </w:t>
      </w:r>
      <w:proofErr w:type="gramStart"/>
      <w:r w:rsidRPr="00C66E29">
        <w:rPr>
          <w:lang w:val="en-US"/>
        </w:rPr>
        <w:t>services</w:t>
      </w:r>
      <w:bookmarkEnd w:id="45"/>
      <w:proofErr w:type="gramEnd"/>
    </w:p>
    <w:p w14:paraId="79E19644" w14:textId="77777777" w:rsidR="00C74DA0" w:rsidRPr="001D6B4B" w:rsidRDefault="00C74DA0" w:rsidP="00C74DA0">
      <w:pPr>
        <w:pStyle w:val="Heading4"/>
      </w:pPr>
      <w:r w:rsidRPr="001D6B4B">
        <w:t>2.2.4.1</w:t>
      </w:r>
      <w:r w:rsidRPr="001D6B4B">
        <w:tab/>
        <w:t>Resolution 35 (WRC-19)</w:t>
      </w:r>
    </w:p>
    <w:p w14:paraId="5E4EBA98" w14:textId="77777777" w:rsidR="00C74DA0" w:rsidRPr="00C66E29" w:rsidRDefault="00C74DA0" w:rsidP="00C74DA0">
      <w:pPr>
        <w:rPr>
          <w:lang w:val="en-US"/>
        </w:rPr>
      </w:pPr>
      <w:r w:rsidRPr="00C66E29">
        <w:rPr>
          <w:lang w:val="en-US"/>
        </w:rPr>
        <w:t xml:space="preserve">Resolution </w:t>
      </w:r>
      <w:r w:rsidRPr="00C66E29">
        <w:rPr>
          <w:b/>
          <w:bCs/>
          <w:lang w:val="en-US"/>
        </w:rPr>
        <w:t>35 (WRC-19)</w:t>
      </w:r>
      <w:r w:rsidRPr="00C66E29">
        <w:rPr>
          <w:lang w:val="en-US"/>
        </w:rPr>
        <w:t xml:space="preserve">, “a milestone-based approach for the implementation of frequency assignments to space stations in a non-geostationary-satellite system in specific frequency bands and services” requests administrations to submit the deployment information in accordance with Annex 1, at four stages and for non-geostationary-satellite systems in frequency bands and services listed in the table of the </w:t>
      </w:r>
      <w:r w:rsidRPr="00C74DA0">
        <w:rPr>
          <w:i/>
          <w:iCs/>
          <w:lang w:val="en-US"/>
        </w:rPr>
        <w:t>resolves</w:t>
      </w:r>
      <w:r w:rsidRPr="00C66E29">
        <w:rPr>
          <w:lang w:val="en-US"/>
        </w:rPr>
        <w:t xml:space="preserve"> 1 of this Resolution.</w:t>
      </w:r>
    </w:p>
    <w:p w14:paraId="0D5937DB" w14:textId="77777777" w:rsidR="00C74DA0" w:rsidRPr="00C66E29" w:rsidRDefault="00C74DA0" w:rsidP="00C74DA0">
      <w:pPr>
        <w:rPr>
          <w:lang w:val="en-US"/>
        </w:rPr>
      </w:pPr>
      <w:r w:rsidRPr="00C66E29">
        <w:rPr>
          <w:lang w:val="en-US"/>
        </w:rPr>
        <w:t>The Bureau has developed within the e-submission system an online tool for the notifying Administration to capture or upload the required deployment information.</w:t>
      </w:r>
    </w:p>
    <w:p w14:paraId="32C08FD8" w14:textId="37656E69" w:rsidR="00C74DA0" w:rsidRPr="00C66E29" w:rsidRDefault="00C74DA0" w:rsidP="00C74DA0">
      <w:pPr>
        <w:rPr>
          <w:lang w:val="en-US"/>
        </w:rPr>
      </w:pPr>
      <w:r w:rsidRPr="00C66E29">
        <w:rPr>
          <w:lang w:val="en-US"/>
        </w:rPr>
        <w:t xml:space="preserve">As required under </w:t>
      </w:r>
      <w:r w:rsidRPr="00C74DA0">
        <w:rPr>
          <w:i/>
          <w:iCs/>
          <w:lang w:val="en-US"/>
        </w:rPr>
        <w:t>resolves</w:t>
      </w:r>
      <w:r w:rsidRPr="00C66E29">
        <w:rPr>
          <w:lang w:val="en-US"/>
        </w:rPr>
        <w:t xml:space="preserve"> 5</w:t>
      </w:r>
      <w:r w:rsidRPr="00C74DA0">
        <w:rPr>
          <w:i/>
          <w:iCs/>
          <w:lang w:val="en-US"/>
        </w:rPr>
        <w:t>a)</w:t>
      </w:r>
      <w:r w:rsidRPr="00C66E29">
        <w:rPr>
          <w:lang w:val="en-US"/>
        </w:rPr>
        <w:t xml:space="preserve"> and 10</w:t>
      </w:r>
      <w:r w:rsidRPr="00C74DA0">
        <w:rPr>
          <w:i/>
          <w:iCs/>
          <w:lang w:val="en-US"/>
        </w:rPr>
        <w:t>a)</w:t>
      </w:r>
      <w:r w:rsidRPr="00C66E29">
        <w:rPr>
          <w:lang w:val="en-US"/>
        </w:rPr>
        <w:t xml:space="preserve"> of Resolution </w:t>
      </w:r>
      <w:r w:rsidRPr="00C74DA0">
        <w:rPr>
          <w:b/>
          <w:bCs/>
          <w:lang w:val="en-US"/>
        </w:rPr>
        <w:t>35 (WRC-19)</w:t>
      </w:r>
      <w:r w:rsidRPr="00C66E29">
        <w:rPr>
          <w:lang w:val="en-US"/>
        </w:rPr>
        <w:t>, upon receipt of the deployment information, the Bureau makes this information available “As received</w:t>
      </w:r>
      <w:r>
        <w:rPr>
          <w:lang w:val="en-US"/>
        </w:rPr>
        <w:t>”</w:t>
      </w:r>
      <w:r w:rsidRPr="00C66E29">
        <w:rPr>
          <w:lang w:val="en-US"/>
        </w:rPr>
        <w:t xml:space="preserve"> on the e</w:t>
      </w:r>
      <w:r>
        <w:rPr>
          <w:lang w:val="en-US"/>
        </w:rPr>
        <w:noBreakHyphen/>
      </w:r>
      <w:r w:rsidRPr="00C66E29">
        <w:rPr>
          <w:lang w:val="en-US"/>
        </w:rPr>
        <w:t>submission system. The information made available thereto includes the XML, MDB format of the submission, a report in PDF format, as well as any letter that accompanied the submission.</w:t>
      </w:r>
    </w:p>
    <w:p w14:paraId="205B2FA8" w14:textId="494973EE" w:rsidR="00C74DA0" w:rsidRPr="00C66E29" w:rsidRDefault="00C74DA0" w:rsidP="00C74DA0">
      <w:pPr>
        <w:rPr>
          <w:lang w:val="en-US"/>
        </w:rPr>
      </w:pPr>
      <w:r w:rsidRPr="00C66E29">
        <w:rPr>
          <w:lang w:val="en-US"/>
        </w:rPr>
        <w:t>The RES</w:t>
      </w:r>
      <w:r w:rsidRPr="00C74DA0">
        <w:rPr>
          <w:b/>
          <w:bCs/>
          <w:lang w:val="en-US"/>
        </w:rPr>
        <w:t>35</w:t>
      </w:r>
      <w:r w:rsidRPr="00C66E29">
        <w:rPr>
          <w:lang w:val="en-US"/>
        </w:rPr>
        <w:t xml:space="preserve"> Special sections and the database containing the RES</w:t>
      </w:r>
      <w:r w:rsidRPr="00C74DA0">
        <w:rPr>
          <w:b/>
          <w:bCs/>
          <w:lang w:val="en-US"/>
        </w:rPr>
        <w:t>35</w:t>
      </w:r>
      <w:r w:rsidRPr="00C66E29">
        <w:rPr>
          <w:lang w:val="en-US"/>
        </w:rPr>
        <w:t xml:space="preserve"> information are published on the BR IFIC (Space services) and on the website of the Bureau </w:t>
      </w:r>
      <w:hyperlink r:id="rId22" w:history="1">
        <w:r w:rsidRPr="00C66E29">
          <w:rPr>
            <w:rStyle w:val="Hyperlink"/>
            <w:lang w:val="en-US"/>
          </w:rPr>
          <w:t>https://www.itu.int/en/ITU-R/space/Pages/res35main.aspx</w:t>
        </w:r>
      </w:hyperlink>
      <w:r w:rsidRPr="00C66E29">
        <w:rPr>
          <w:lang w:val="en-US"/>
        </w:rPr>
        <w:t>.</w:t>
      </w:r>
    </w:p>
    <w:p w14:paraId="653FFFDE" w14:textId="21F15DBC" w:rsidR="00C74DA0" w:rsidRPr="00C66E29" w:rsidRDefault="00C74DA0" w:rsidP="00C74DA0">
      <w:pPr>
        <w:rPr>
          <w:lang w:val="en-US"/>
        </w:rPr>
      </w:pPr>
      <w:r w:rsidRPr="00C66E29">
        <w:rPr>
          <w:lang w:val="en-US"/>
        </w:rPr>
        <w:t>By 1 May 2023, the Bureau has received 27 submissions and published 17 Special sections. 4 satellite systems have finished their deployment.</w:t>
      </w:r>
    </w:p>
    <w:p w14:paraId="6347DE8F" w14:textId="43A5BAD5" w:rsidR="00C74DA0" w:rsidRPr="00C66E29" w:rsidRDefault="00C74DA0" w:rsidP="00C74DA0">
      <w:pPr>
        <w:rPr>
          <w:lang w:val="en-US"/>
        </w:rPr>
      </w:pPr>
      <w:r w:rsidRPr="00C66E29">
        <w:rPr>
          <w:lang w:val="en-US"/>
        </w:rPr>
        <w:t xml:space="preserve">The Bureau has published </w:t>
      </w:r>
      <w:r>
        <w:rPr>
          <w:lang w:val="en-US"/>
        </w:rPr>
        <w:t>two</w:t>
      </w:r>
      <w:r w:rsidRPr="00C66E29">
        <w:rPr>
          <w:lang w:val="en-US"/>
        </w:rPr>
        <w:t xml:space="preserve"> Resolution </w:t>
      </w:r>
      <w:r w:rsidRPr="00C74DA0">
        <w:rPr>
          <w:b/>
          <w:bCs/>
          <w:lang w:val="en-US"/>
        </w:rPr>
        <w:t>35</w:t>
      </w:r>
      <w:r w:rsidRPr="00C66E29">
        <w:rPr>
          <w:lang w:val="en-US"/>
        </w:rPr>
        <w:t xml:space="preserve"> Special sections for which the number of space stations declared as deployed under </w:t>
      </w:r>
      <w:r w:rsidRPr="00C74DA0">
        <w:rPr>
          <w:i/>
          <w:iCs/>
          <w:lang w:val="en-US"/>
        </w:rPr>
        <w:t>resolves</w:t>
      </w:r>
      <w:r w:rsidRPr="00C66E29">
        <w:rPr>
          <w:lang w:val="en-US"/>
        </w:rPr>
        <w:t xml:space="preserve"> 7</w:t>
      </w:r>
      <w:r w:rsidRPr="00C74DA0">
        <w:rPr>
          <w:i/>
          <w:iCs/>
          <w:lang w:val="en-US"/>
        </w:rPr>
        <w:t>a)</w:t>
      </w:r>
      <w:r w:rsidRPr="00C66E29">
        <w:rPr>
          <w:lang w:val="en-US"/>
        </w:rPr>
        <w:t xml:space="preserve"> or 8</w:t>
      </w:r>
      <w:r w:rsidRPr="00C74DA0">
        <w:rPr>
          <w:i/>
          <w:iCs/>
          <w:lang w:val="en-US"/>
        </w:rPr>
        <w:t>a)</w:t>
      </w:r>
      <w:r w:rsidRPr="00C66E29">
        <w:rPr>
          <w:lang w:val="en-US"/>
        </w:rPr>
        <w:t xml:space="preserve"> was less than 10% of the total number of satellites indicated in the latest notification information. Hence, the notifying administration submitted under </w:t>
      </w:r>
      <w:r w:rsidRPr="00C74DA0">
        <w:rPr>
          <w:i/>
          <w:iCs/>
          <w:lang w:val="en-US"/>
        </w:rPr>
        <w:t>resolves</w:t>
      </w:r>
      <w:r w:rsidRPr="00C66E29">
        <w:rPr>
          <w:lang w:val="en-US"/>
        </w:rPr>
        <w:t xml:space="preserve"> 11</w:t>
      </w:r>
      <w:r w:rsidRPr="00C74DA0">
        <w:rPr>
          <w:i/>
          <w:iCs/>
          <w:lang w:val="en-US"/>
        </w:rPr>
        <w:t>a)</w:t>
      </w:r>
      <w:r w:rsidRPr="00C66E29">
        <w:rPr>
          <w:lang w:val="en-US"/>
        </w:rPr>
        <w:t xml:space="preserve"> the modifications to the characteristics of the notified recorded frequency assignments such as the modified total number of satellites is not greater than 10 times the number of space stations declared as deployed under </w:t>
      </w:r>
      <w:r w:rsidRPr="00C74DA0">
        <w:rPr>
          <w:i/>
          <w:iCs/>
          <w:lang w:val="en-US"/>
        </w:rPr>
        <w:t>resolves</w:t>
      </w:r>
      <w:r w:rsidRPr="00C66E29">
        <w:rPr>
          <w:lang w:val="en-US"/>
        </w:rPr>
        <w:t xml:space="preserve"> 7</w:t>
      </w:r>
      <w:r w:rsidRPr="00C74DA0">
        <w:rPr>
          <w:i/>
          <w:iCs/>
          <w:lang w:val="en-US"/>
        </w:rPr>
        <w:t>a)</w:t>
      </w:r>
      <w:r w:rsidRPr="00C66E29">
        <w:rPr>
          <w:lang w:val="en-US"/>
        </w:rPr>
        <w:t xml:space="preserve"> or 8</w:t>
      </w:r>
      <w:r w:rsidRPr="00C74DA0">
        <w:rPr>
          <w:i/>
          <w:iCs/>
          <w:lang w:val="en-US"/>
        </w:rPr>
        <w:t>a)</w:t>
      </w:r>
      <w:r w:rsidRPr="00C66E29">
        <w:rPr>
          <w:lang w:val="en-US"/>
        </w:rPr>
        <w:t>.</w:t>
      </w:r>
    </w:p>
    <w:p w14:paraId="5731F7E7" w14:textId="77777777" w:rsidR="00C74DA0" w:rsidRPr="00C66E29" w:rsidRDefault="00C74DA0" w:rsidP="00C74DA0">
      <w:pPr>
        <w:jc w:val="both"/>
      </w:pPr>
      <w:r w:rsidRPr="00C66E29">
        <w:t xml:space="preserve">The status of the Resolution </w:t>
      </w:r>
      <w:r w:rsidRPr="00C74DA0">
        <w:rPr>
          <w:b/>
          <w:bCs/>
        </w:rPr>
        <w:t>35</w:t>
      </w:r>
      <w:r w:rsidRPr="00C66E29">
        <w:t xml:space="preserve"> submissions is regularly reported to the Radio Regulations Board.</w:t>
      </w:r>
    </w:p>
    <w:p w14:paraId="33003E99" w14:textId="77777777" w:rsidR="00C74DA0" w:rsidRPr="001B419A" w:rsidRDefault="00C74DA0" w:rsidP="00C74DA0">
      <w:pPr>
        <w:pStyle w:val="Heading4"/>
      </w:pPr>
      <w:r w:rsidRPr="001B419A">
        <w:t>2.2.4.</w:t>
      </w:r>
      <w:r>
        <w:t>2</w:t>
      </w:r>
      <w:r w:rsidRPr="001B419A">
        <w:tab/>
        <w:t>Resolution 85 (WRC</w:t>
      </w:r>
      <w:r w:rsidRPr="001B419A">
        <w:noBreakHyphen/>
        <w:t xml:space="preserve">03) </w:t>
      </w:r>
    </w:p>
    <w:p w14:paraId="2B6E39B7" w14:textId="13AE30C9" w:rsidR="00C74DA0" w:rsidRPr="003429D4" w:rsidRDefault="00C74DA0" w:rsidP="00C74DA0">
      <w:pPr>
        <w:rPr>
          <w:rFonts w:cstheme="minorHAnsi"/>
        </w:rPr>
      </w:pPr>
      <w:r w:rsidRPr="003429D4">
        <w:rPr>
          <w:rFonts w:cstheme="minorHAnsi"/>
        </w:rPr>
        <w:t xml:space="preserve">Resolution </w:t>
      </w:r>
      <w:r w:rsidRPr="003429D4">
        <w:rPr>
          <w:rFonts w:cstheme="minorHAnsi"/>
          <w:b/>
          <w:bCs/>
        </w:rPr>
        <w:t xml:space="preserve">85 (WRC-03) </w:t>
      </w:r>
      <w:r w:rsidRPr="003429D4">
        <w:rPr>
          <w:rFonts w:cstheme="minorHAnsi"/>
        </w:rPr>
        <w:t>requires the Radiocommunication Bureau to review, once the equivalent power flux-density (</w:t>
      </w:r>
      <w:proofErr w:type="spellStart"/>
      <w:r w:rsidRPr="003429D4">
        <w:rPr>
          <w:rFonts w:cstheme="minorHAnsi"/>
        </w:rPr>
        <w:t>epfd</w:t>
      </w:r>
      <w:proofErr w:type="spellEnd"/>
      <w:r w:rsidRPr="003429D4">
        <w:rPr>
          <w:rFonts w:cstheme="minorHAnsi"/>
          <w:position w:val="6"/>
        </w:rPr>
        <w:footnoteReference w:id="2"/>
      </w:r>
      <w:r w:rsidRPr="003429D4">
        <w:rPr>
          <w:rFonts w:cstheme="minorHAnsi"/>
        </w:rPr>
        <w:t xml:space="preserve">) validation software is available, its findings made in accordance with </w:t>
      </w:r>
      <w:r w:rsidR="00D9652E">
        <w:rPr>
          <w:rFonts w:cstheme="minorHAnsi"/>
        </w:rPr>
        <w:t xml:space="preserve">RR </w:t>
      </w:r>
      <w:r w:rsidRPr="003429D4">
        <w:rPr>
          <w:rFonts w:cstheme="minorHAnsi"/>
        </w:rPr>
        <w:t xml:space="preserve">Nos. </w:t>
      </w:r>
      <w:r w:rsidRPr="003429D4">
        <w:rPr>
          <w:rFonts w:cstheme="minorHAnsi"/>
          <w:b/>
          <w:bCs/>
        </w:rPr>
        <w:t>9.35</w:t>
      </w:r>
      <w:r w:rsidRPr="003429D4">
        <w:rPr>
          <w:rFonts w:cstheme="minorHAnsi"/>
        </w:rPr>
        <w:t xml:space="preserve"> and </w:t>
      </w:r>
      <w:r w:rsidRPr="003429D4">
        <w:rPr>
          <w:rFonts w:cstheme="minorHAnsi"/>
          <w:b/>
          <w:bCs/>
        </w:rPr>
        <w:t>11.31</w:t>
      </w:r>
      <w:r w:rsidRPr="003429D4">
        <w:rPr>
          <w:rFonts w:cstheme="minorHAnsi"/>
        </w:rPr>
        <w:t xml:space="preserve"> for frequency assignments to </w:t>
      </w:r>
      <w:r>
        <w:rPr>
          <w:rFonts w:cstheme="minorHAnsi"/>
        </w:rPr>
        <w:t>non-GSO</w:t>
      </w:r>
      <w:r w:rsidRPr="003429D4">
        <w:rPr>
          <w:rFonts w:cstheme="minorHAnsi"/>
        </w:rPr>
        <w:t xml:space="preserve"> FSS satellite systems against the single-entry </w:t>
      </w:r>
      <w:proofErr w:type="spellStart"/>
      <w:r w:rsidRPr="003429D4">
        <w:rPr>
          <w:rFonts w:cstheme="minorHAnsi"/>
        </w:rPr>
        <w:t>epfd</w:t>
      </w:r>
      <w:proofErr w:type="spellEnd"/>
      <w:r w:rsidRPr="003429D4">
        <w:rPr>
          <w:rFonts w:cstheme="minorHAnsi"/>
        </w:rPr>
        <w:t xml:space="preserve"> limits in Tables </w:t>
      </w:r>
      <w:r w:rsidRPr="00C74DA0">
        <w:rPr>
          <w:rFonts w:cstheme="minorHAnsi"/>
          <w:b/>
          <w:bCs/>
        </w:rPr>
        <w:t>22-1A</w:t>
      </w:r>
      <w:r w:rsidRPr="003429D4">
        <w:rPr>
          <w:rFonts w:cstheme="minorHAnsi"/>
        </w:rPr>
        <w:t xml:space="preserve">, </w:t>
      </w:r>
      <w:r w:rsidRPr="00C74DA0">
        <w:rPr>
          <w:rFonts w:cstheme="minorHAnsi"/>
          <w:b/>
          <w:bCs/>
        </w:rPr>
        <w:t>22-1B</w:t>
      </w:r>
      <w:r w:rsidRPr="003429D4">
        <w:rPr>
          <w:rFonts w:cstheme="minorHAnsi"/>
        </w:rPr>
        <w:t xml:space="preserve">, </w:t>
      </w:r>
      <w:r w:rsidRPr="00C74DA0">
        <w:rPr>
          <w:rFonts w:cstheme="minorHAnsi"/>
          <w:b/>
          <w:bCs/>
        </w:rPr>
        <w:t>22-1C</w:t>
      </w:r>
      <w:r w:rsidRPr="003429D4">
        <w:rPr>
          <w:rFonts w:cstheme="minorHAnsi"/>
        </w:rPr>
        <w:t xml:space="preserve">, </w:t>
      </w:r>
      <w:r w:rsidRPr="00C74DA0">
        <w:rPr>
          <w:rFonts w:cstheme="minorHAnsi"/>
          <w:b/>
          <w:bCs/>
        </w:rPr>
        <w:t>22-1D</w:t>
      </w:r>
      <w:r w:rsidRPr="003429D4">
        <w:rPr>
          <w:rFonts w:cstheme="minorHAnsi"/>
        </w:rPr>
        <w:t xml:space="preserve">, </w:t>
      </w:r>
      <w:r w:rsidRPr="00C74DA0">
        <w:rPr>
          <w:rFonts w:cstheme="minorHAnsi"/>
          <w:b/>
          <w:bCs/>
        </w:rPr>
        <w:t>22-1E</w:t>
      </w:r>
      <w:r w:rsidRPr="003429D4">
        <w:rPr>
          <w:rFonts w:cstheme="minorHAnsi"/>
        </w:rPr>
        <w:t xml:space="preserve">, </w:t>
      </w:r>
      <w:r w:rsidRPr="00C74DA0">
        <w:rPr>
          <w:rFonts w:cstheme="minorHAnsi"/>
          <w:b/>
          <w:bCs/>
        </w:rPr>
        <w:t>22-2</w:t>
      </w:r>
      <w:r w:rsidRPr="003429D4">
        <w:rPr>
          <w:rFonts w:cstheme="minorHAnsi"/>
        </w:rPr>
        <w:t xml:space="preserve"> and </w:t>
      </w:r>
      <w:r w:rsidRPr="00C74DA0">
        <w:rPr>
          <w:rFonts w:cstheme="minorHAnsi"/>
          <w:b/>
          <w:bCs/>
        </w:rPr>
        <w:t>22-3</w:t>
      </w:r>
      <w:r w:rsidRPr="003429D4">
        <w:rPr>
          <w:rFonts w:cstheme="minorHAnsi"/>
        </w:rPr>
        <w:t xml:space="preserve"> in Article </w:t>
      </w:r>
      <w:r w:rsidRPr="003429D4">
        <w:rPr>
          <w:rFonts w:cstheme="minorHAnsi"/>
          <w:b/>
          <w:bCs/>
        </w:rPr>
        <w:t>22</w:t>
      </w:r>
      <w:r w:rsidRPr="003429D4">
        <w:rPr>
          <w:rFonts w:cstheme="minorHAnsi"/>
        </w:rPr>
        <w:t xml:space="preserve"> of the Radio Regulations, and to determine the coordination requirements under </w:t>
      </w:r>
      <w:r w:rsidR="00D9652E">
        <w:rPr>
          <w:rFonts w:cstheme="minorHAnsi"/>
        </w:rPr>
        <w:t xml:space="preserve">RR </w:t>
      </w:r>
      <w:r w:rsidRPr="003429D4">
        <w:rPr>
          <w:rFonts w:cstheme="minorHAnsi"/>
        </w:rPr>
        <w:t xml:space="preserve">Nos. </w:t>
      </w:r>
      <w:r w:rsidRPr="003429D4">
        <w:rPr>
          <w:rFonts w:cstheme="minorHAnsi"/>
          <w:b/>
          <w:bCs/>
        </w:rPr>
        <w:t>9.7A</w:t>
      </w:r>
      <w:r w:rsidRPr="003429D4">
        <w:rPr>
          <w:rFonts w:cstheme="minorHAnsi"/>
        </w:rPr>
        <w:t xml:space="preserve"> and </w:t>
      </w:r>
      <w:r w:rsidRPr="003429D4">
        <w:rPr>
          <w:rFonts w:cstheme="minorHAnsi"/>
          <w:b/>
          <w:bCs/>
        </w:rPr>
        <w:t>9.7B</w:t>
      </w:r>
      <w:r w:rsidRPr="003429D4">
        <w:rPr>
          <w:rFonts w:cstheme="minorHAnsi"/>
        </w:rPr>
        <w:t>.</w:t>
      </w:r>
    </w:p>
    <w:p w14:paraId="3EA8FBEB" w14:textId="122EEF62" w:rsidR="00C74DA0" w:rsidRPr="003429D4" w:rsidRDefault="00C74DA0" w:rsidP="00C74DA0">
      <w:pPr>
        <w:rPr>
          <w:rFonts w:cstheme="minorHAnsi"/>
        </w:rPr>
      </w:pPr>
      <w:r w:rsidRPr="003429D4">
        <w:rPr>
          <w:rFonts w:cstheme="minorHAnsi"/>
        </w:rPr>
        <w:t xml:space="preserve">In Circular Letter CR/414 (6 December 2016), the Bureau informed administrations of the availability of the final version of the software for implementing Recommendation ITU-R S.1503-2 on the ITU website </w:t>
      </w:r>
      <w:hyperlink r:id="rId23" w:history="1">
        <w:r w:rsidRPr="00833587">
          <w:rPr>
            <w:rFonts w:cstheme="minorHAnsi"/>
            <w:color w:val="3333FF"/>
            <w:u w:val="single"/>
          </w:rPr>
          <w:t>www.itu.int/ITU-R/go/space-epfd/en</w:t>
        </w:r>
      </w:hyperlink>
      <w:r w:rsidRPr="003429D4">
        <w:rPr>
          <w:rFonts w:cstheme="minorHAnsi"/>
        </w:rPr>
        <w:t xml:space="preserve"> and on the DVD version of BR IFIC (Space services). The purpose of the circular letter was also to provide administrations and other users with information and guidance on the </w:t>
      </w:r>
      <w:proofErr w:type="spellStart"/>
      <w:r w:rsidRPr="003429D4">
        <w:rPr>
          <w:rFonts w:cstheme="minorHAnsi"/>
        </w:rPr>
        <w:t>epfd</w:t>
      </w:r>
      <w:proofErr w:type="spellEnd"/>
      <w:r w:rsidRPr="003429D4">
        <w:rPr>
          <w:rFonts w:cstheme="minorHAnsi"/>
        </w:rPr>
        <w:t xml:space="preserve"> validation software and implementation of the </w:t>
      </w:r>
      <w:r w:rsidRPr="003429D4">
        <w:rPr>
          <w:rFonts w:cstheme="minorHAnsi"/>
          <w:i/>
          <w:iCs/>
        </w:rPr>
        <w:t>instructs the Director of the Radiocommunication Bureau</w:t>
      </w:r>
      <w:r w:rsidRPr="003429D4">
        <w:rPr>
          <w:rFonts w:cstheme="minorHAnsi"/>
        </w:rPr>
        <w:t xml:space="preserve"> section of Resolution </w:t>
      </w:r>
      <w:r w:rsidRPr="003429D4">
        <w:rPr>
          <w:rFonts w:cstheme="minorHAnsi"/>
          <w:b/>
          <w:bCs/>
        </w:rPr>
        <w:t>85 (WRC-03)</w:t>
      </w:r>
      <w:r w:rsidRPr="003429D4">
        <w:rPr>
          <w:rFonts w:cstheme="minorHAnsi"/>
        </w:rPr>
        <w:t xml:space="preserve">. </w:t>
      </w:r>
    </w:p>
    <w:p w14:paraId="73D5496C" w14:textId="77777777" w:rsidR="00C74DA0" w:rsidRPr="003429D4" w:rsidRDefault="00C74DA0" w:rsidP="00C74DA0">
      <w:pPr>
        <w:rPr>
          <w:rFonts w:cstheme="minorHAnsi"/>
        </w:rPr>
      </w:pPr>
      <w:r w:rsidRPr="003429D4">
        <w:rPr>
          <w:rFonts w:cstheme="minorHAnsi"/>
        </w:rPr>
        <w:t xml:space="preserve">As a </w:t>
      </w:r>
      <w:r>
        <w:rPr>
          <w:rFonts w:cstheme="minorHAnsi"/>
        </w:rPr>
        <w:t>follow-up</w:t>
      </w:r>
      <w:r w:rsidRPr="003429D4">
        <w:rPr>
          <w:rFonts w:cstheme="minorHAnsi"/>
        </w:rPr>
        <w:t xml:space="preserve"> since April 2017, the Bureau in accordance with </w:t>
      </w:r>
      <w:r w:rsidRPr="003429D4">
        <w:rPr>
          <w:rFonts w:cstheme="minorHAnsi"/>
          <w:i/>
          <w:iCs/>
        </w:rPr>
        <w:t>instructs the Director of the Radiocommunication Bureau</w:t>
      </w:r>
      <w:r w:rsidRPr="003429D4">
        <w:rPr>
          <w:rFonts w:cstheme="minorHAnsi"/>
        </w:rPr>
        <w:t xml:space="preserve"> 2 and 3 of Resolution </w:t>
      </w:r>
      <w:r w:rsidRPr="003429D4">
        <w:rPr>
          <w:rFonts w:cstheme="minorHAnsi"/>
          <w:b/>
          <w:bCs/>
        </w:rPr>
        <w:t>85 (WRC-03)</w:t>
      </w:r>
      <w:r w:rsidRPr="003429D4">
        <w:rPr>
          <w:rFonts w:cstheme="minorHAnsi"/>
        </w:rPr>
        <w:t>, the Bureau initiated a review of its findings pursuant to the relevant provisions of the Radio Regulations and the Radio Regulations Board’s Rule of Procedure.</w:t>
      </w:r>
    </w:p>
    <w:p w14:paraId="586EB961" w14:textId="31F0E8FD" w:rsidR="00C74DA0" w:rsidRPr="00E565F8" w:rsidRDefault="00C74DA0" w:rsidP="00833587">
      <w:pPr>
        <w:pStyle w:val="Heading5"/>
      </w:pPr>
      <w:r w:rsidRPr="00E565F8">
        <w:t>2.</w:t>
      </w:r>
      <w:r>
        <w:t>2.4.2</w:t>
      </w:r>
      <w:r w:rsidRPr="00E565F8">
        <w:t>.1</w:t>
      </w:r>
      <w:r w:rsidR="00833587">
        <w:tab/>
      </w:r>
      <w:r w:rsidRPr="00E565F8">
        <w:t xml:space="preserve">Examination under </w:t>
      </w:r>
      <w:r w:rsidR="00833587">
        <w:t xml:space="preserve">RR </w:t>
      </w:r>
      <w:r w:rsidRPr="00E565F8">
        <w:t>No. 9.7B</w:t>
      </w:r>
    </w:p>
    <w:p w14:paraId="2ACAB5E6" w14:textId="77777777" w:rsidR="00C74DA0" w:rsidRPr="003429D4" w:rsidRDefault="00C74DA0" w:rsidP="00833587">
      <w:r w:rsidRPr="003429D4">
        <w:t xml:space="preserve">Following the availability of the Bureau’s </w:t>
      </w:r>
      <w:proofErr w:type="spellStart"/>
      <w:r w:rsidRPr="003429D4">
        <w:t>epfd</w:t>
      </w:r>
      <w:proofErr w:type="spellEnd"/>
      <w:r w:rsidRPr="003429D4">
        <w:t xml:space="preserve"> examination software, and the publication of Circular Letter </w:t>
      </w:r>
      <w:hyperlink r:id="rId24" w:history="1">
        <w:r w:rsidRPr="003429D4">
          <w:rPr>
            <w:rStyle w:val="Hyperlink"/>
            <w:rFonts w:cstheme="minorHAnsi"/>
          </w:rPr>
          <w:t>CR/405</w:t>
        </w:r>
      </w:hyperlink>
      <w:r w:rsidRPr="003429D4">
        <w:t xml:space="preserve"> on 3 June 2016, the Bureau started reviewing coordination requirements under RR No. </w:t>
      </w:r>
      <w:r w:rsidRPr="003429D4">
        <w:rPr>
          <w:b/>
          <w:bCs/>
        </w:rPr>
        <w:t>9.7B</w:t>
      </w:r>
      <w:r w:rsidRPr="003429D4">
        <w:t xml:space="preserve"> for non-GSO satellite systems. </w:t>
      </w:r>
    </w:p>
    <w:p w14:paraId="3DB11577" w14:textId="77777777" w:rsidR="00C74DA0" w:rsidRPr="003429D4" w:rsidRDefault="00C74DA0" w:rsidP="00C74DA0">
      <w:pPr>
        <w:rPr>
          <w:rFonts w:cstheme="minorHAnsi"/>
        </w:rPr>
      </w:pPr>
      <w:proofErr w:type="gramStart"/>
      <w:r w:rsidRPr="003429D4">
        <w:rPr>
          <w:rFonts w:cstheme="minorHAnsi"/>
        </w:rPr>
        <w:t>On the basis of</w:t>
      </w:r>
      <w:proofErr w:type="gramEnd"/>
      <w:r w:rsidRPr="003429D4">
        <w:rPr>
          <w:rFonts w:cstheme="minorHAnsi"/>
        </w:rPr>
        <w:t xml:space="preserve"> RR No. </w:t>
      </w:r>
      <w:r w:rsidRPr="003429D4">
        <w:rPr>
          <w:rFonts w:cstheme="minorHAnsi"/>
          <w:b/>
          <w:bCs/>
        </w:rPr>
        <w:t>9.41</w:t>
      </w:r>
      <w:r w:rsidRPr="003429D4">
        <w:rPr>
          <w:rFonts w:cstheme="minorHAnsi"/>
        </w:rPr>
        <w:t xml:space="preserve">, the Bureau was receiving comments from notifying administrations of very large earth stations (VLES), which were excluded as a result of the Bureau’s review of coordination requirements under RR No. </w:t>
      </w:r>
      <w:r w:rsidRPr="003429D4">
        <w:rPr>
          <w:rFonts w:cstheme="minorHAnsi"/>
          <w:b/>
          <w:bCs/>
        </w:rPr>
        <w:t>9.7B</w:t>
      </w:r>
      <w:r w:rsidRPr="003429D4">
        <w:rPr>
          <w:rFonts w:cstheme="minorHAnsi"/>
        </w:rPr>
        <w:t xml:space="preserve"> for specific non-GSO FSS using the tool based on Recommendation ITU-R S.1503. As this Recommendation is calculating interference into GSO links operating with 0-degree inclination GSO space stations, these comments were indicating that there is still a potential </w:t>
      </w:r>
      <w:r>
        <w:rPr>
          <w:rFonts w:cstheme="minorHAnsi"/>
        </w:rPr>
        <w:t>for</w:t>
      </w:r>
      <w:r w:rsidRPr="003429D4">
        <w:rPr>
          <w:rFonts w:cstheme="minorHAnsi"/>
        </w:rPr>
        <w:t xml:space="preserve"> interference to GSO links operating with a GSO space station having </w:t>
      </w:r>
      <w:r>
        <w:rPr>
          <w:rFonts w:cstheme="minorHAnsi"/>
        </w:rPr>
        <w:t xml:space="preserve">an </w:t>
      </w:r>
      <w:r w:rsidRPr="003429D4">
        <w:rPr>
          <w:rFonts w:cstheme="minorHAnsi"/>
        </w:rPr>
        <w:t xml:space="preserve">inclination of 5 or 8 degrees and thus these excluded stations should remain identified under RR No. </w:t>
      </w:r>
      <w:r w:rsidRPr="003429D4">
        <w:rPr>
          <w:rFonts w:cstheme="minorHAnsi"/>
          <w:b/>
          <w:bCs/>
        </w:rPr>
        <w:t>9.7B.</w:t>
      </w:r>
    </w:p>
    <w:p w14:paraId="4D91590F" w14:textId="77777777" w:rsidR="00C74DA0" w:rsidRPr="003429D4" w:rsidRDefault="00C74DA0" w:rsidP="00C74DA0">
      <w:pPr>
        <w:rPr>
          <w:rFonts w:cstheme="minorHAnsi"/>
        </w:rPr>
      </w:pPr>
      <w:r w:rsidRPr="003429D4">
        <w:rPr>
          <w:rFonts w:cstheme="minorHAnsi"/>
        </w:rPr>
        <w:t>It should be noted that the static method in Recommendation ITU-R S.1714 considers the inclination angle of the GSO space station as an input parameter. Therefore, it was assumed that its application should cover cases of links associated with a GSO space station having a non-zero inclination angle.</w:t>
      </w:r>
    </w:p>
    <w:p w14:paraId="5C1284B1" w14:textId="77777777" w:rsidR="00C74DA0" w:rsidRPr="003429D4" w:rsidRDefault="00C74DA0" w:rsidP="00C74DA0">
      <w:pPr>
        <w:jc w:val="both"/>
        <w:rPr>
          <w:rFonts w:cstheme="minorHAnsi"/>
        </w:rPr>
      </w:pPr>
      <w:r w:rsidRPr="003429D4">
        <w:rPr>
          <w:rFonts w:cstheme="minorHAnsi"/>
        </w:rPr>
        <w:t xml:space="preserve">However, it was brought to the attention of the Bureau that this Recommendation made an incorrect assumption for all non-GSO systems using masks presented in the alpha vs. delta longitude format. </w:t>
      </w:r>
    </w:p>
    <w:p w14:paraId="4D7957E3" w14:textId="77777777" w:rsidR="00C74DA0" w:rsidRPr="00C4533F" w:rsidRDefault="00C74DA0" w:rsidP="00C74DA0">
      <w:pPr>
        <w:rPr>
          <w:rFonts w:cstheme="minorHAnsi"/>
        </w:rPr>
      </w:pPr>
      <w:r w:rsidRPr="00C4533F">
        <w:rPr>
          <w:rFonts w:cstheme="minorHAnsi"/>
        </w:rPr>
        <w:t>The Bureau reported this difficulty to Working Party 4A in February 2021 suggesting improvements to the methodology.</w:t>
      </w:r>
    </w:p>
    <w:p w14:paraId="432D7449" w14:textId="77777777" w:rsidR="00C74DA0" w:rsidRPr="003429D4" w:rsidRDefault="00C74DA0" w:rsidP="00C74DA0">
      <w:pPr>
        <w:jc w:val="both"/>
        <w:rPr>
          <w:rFonts w:cstheme="minorHAnsi"/>
        </w:rPr>
      </w:pPr>
      <w:r w:rsidRPr="003429D4">
        <w:rPr>
          <w:rFonts w:cstheme="minorHAnsi"/>
        </w:rPr>
        <w:t xml:space="preserve">To resolve this potential inconsistency, Study Group 4, at its November 2021 meeting, agreed to submit a revision to this Recommendation for simultaneous adoption and approval by correspondence (PSAA). Following the successful application of the PSAA procedure, this revision was approved on 26 January 2022 (see </w:t>
      </w:r>
      <w:hyperlink r:id="rId25" w:history="1">
        <w:r w:rsidRPr="003429D4">
          <w:rPr>
            <w:rStyle w:val="Hyperlink"/>
            <w:rFonts w:cstheme="minorHAnsi"/>
          </w:rPr>
          <w:t>Administrative Circular CACE/1014</w:t>
        </w:r>
      </w:hyperlink>
      <w:r w:rsidRPr="003429D4">
        <w:rPr>
          <w:rFonts w:cstheme="minorHAnsi"/>
        </w:rPr>
        <w:t xml:space="preserve">). </w:t>
      </w:r>
    </w:p>
    <w:p w14:paraId="41D2DFAC" w14:textId="77777777" w:rsidR="00C74DA0" w:rsidRPr="003429D4" w:rsidRDefault="00C74DA0" w:rsidP="00C74DA0">
      <w:pPr>
        <w:jc w:val="both"/>
        <w:rPr>
          <w:rFonts w:cstheme="minorHAnsi"/>
        </w:rPr>
      </w:pPr>
      <w:r w:rsidRPr="003429D4">
        <w:rPr>
          <w:rFonts w:cstheme="minorHAnsi"/>
        </w:rPr>
        <w:t>Since its approval</w:t>
      </w:r>
      <w:r>
        <w:rPr>
          <w:rFonts w:cstheme="minorHAnsi"/>
        </w:rPr>
        <w:t>,</w:t>
      </w:r>
      <w:r w:rsidRPr="003429D4">
        <w:rPr>
          <w:rFonts w:cstheme="minorHAnsi"/>
        </w:rPr>
        <w:t xml:space="preserve"> the Bureau has started to carry out the review of the coordination requirements under No. </w:t>
      </w:r>
      <w:r w:rsidRPr="003429D4">
        <w:rPr>
          <w:rFonts w:cstheme="minorHAnsi"/>
          <w:b/>
          <w:bCs/>
        </w:rPr>
        <w:t>9.7B</w:t>
      </w:r>
      <w:r w:rsidRPr="003429D4">
        <w:rPr>
          <w:rFonts w:cstheme="minorHAnsi"/>
        </w:rPr>
        <w:t xml:space="preserve"> using the methodology contained in Recommendation ITU-R S.1714-1. This course of action was reported to 89</w:t>
      </w:r>
      <w:r w:rsidRPr="003429D4">
        <w:rPr>
          <w:rFonts w:cstheme="minorHAnsi"/>
          <w:vertAlign w:val="superscript"/>
        </w:rPr>
        <w:t>th</w:t>
      </w:r>
      <w:r w:rsidRPr="003429D4">
        <w:rPr>
          <w:rFonts w:cstheme="minorHAnsi"/>
        </w:rPr>
        <w:t xml:space="preserve"> Meeting of RRB (14-18</w:t>
      </w:r>
      <w:r w:rsidRPr="003429D4">
        <w:rPr>
          <w:rFonts w:cstheme="minorHAnsi"/>
          <w:vertAlign w:val="superscript"/>
        </w:rPr>
        <w:t>th</w:t>
      </w:r>
      <w:r w:rsidRPr="003429D4">
        <w:rPr>
          <w:rFonts w:cstheme="minorHAnsi"/>
        </w:rPr>
        <w:t xml:space="preserve"> March 2022).</w:t>
      </w:r>
    </w:p>
    <w:p w14:paraId="51DBAA71" w14:textId="77777777" w:rsidR="00C74DA0" w:rsidRPr="003429D4" w:rsidRDefault="00C74DA0" w:rsidP="00C74DA0">
      <w:pPr>
        <w:jc w:val="both"/>
        <w:rPr>
          <w:rFonts w:cstheme="minorHAnsi"/>
        </w:rPr>
      </w:pPr>
      <w:r>
        <w:rPr>
          <w:rFonts w:cstheme="minorHAnsi"/>
        </w:rPr>
        <w:t>A new</w:t>
      </w:r>
      <w:r w:rsidRPr="003429D4">
        <w:rPr>
          <w:rFonts w:cstheme="minorHAnsi"/>
        </w:rPr>
        <w:t xml:space="preserve"> software tool called EPFD Static has been developed to provide an analysis using this Recommendation. This tool is offered separately from GIBC software package and can be downloaded here </w:t>
      </w:r>
      <w:hyperlink r:id="rId26" w:history="1">
        <w:r w:rsidRPr="003429D4">
          <w:rPr>
            <w:rStyle w:val="Hyperlink"/>
            <w:rFonts w:cstheme="minorHAnsi"/>
          </w:rPr>
          <w:t>https://www.itu.int/epfdsupport/resources/</w:t>
        </w:r>
      </w:hyperlink>
      <w:r w:rsidRPr="003429D4">
        <w:rPr>
          <w:rFonts w:cstheme="minorHAnsi"/>
        </w:rPr>
        <w:t xml:space="preserve">. </w:t>
      </w:r>
    </w:p>
    <w:p w14:paraId="73268C89" w14:textId="6D4253C9" w:rsidR="00C74DA0" w:rsidRPr="003429D4" w:rsidRDefault="00C74DA0" w:rsidP="00833587">
      <w:pPr>
        <w:pStyle w:val="Heading5"/>
        <w:rPr>
          <w:rFonts w:eastAsia="SimSun"/>
        </w:rPr>
      </w:pPr>
      <w:r>
        <w:rPr>
          <w:rFonts w:eastAsia="SimSun"/>
        </w:rPr>
        <w:t>2.</w:t>
      </w:r>
      <w:r>
        <w:t>2.4.2</w:t>
      </w:r>
      <w:r>
        <w:rPr>
          <w:rFonts w:eastAsia="SimSun"/>
        </w:rPr>
        <w:t>.2</w:t>
      </w:r>
      <w:r w:rsidR="00833587">
        <w:rPr>
          <w:rFonts w:eastAsia="SimSun"/>
        </w:rPr>
        <w:tab/>
      </w:r>
      <w:r w:rsidRPr="003429D4">
        <w:rPr>
          <w:rFonts w:eastAsia="SimSun"/>
        </w:rPr>
        <w:t xml:space="preserve">Implementation of WRC-15 decision and new revisions of Recommendation </w:t>
      </w:r>
      <w:r w:rsidR="00833587" w:rsidRPr="003429D4">
        <w:rPr>
          <w:rFonts w:eastAsia="SimSun"/>
        </w:rPr>
        <w:t>ITU</w:t>
      </w:r>
      <w:r w:rsidR="00833587">
        <w:rPr>
          <w:rFonts w:eastAsia="SimSun"/>
        </w:rPr>
        <w:noBreakHyphen/>
      </w:r>
      <w:r w:rsidR="00833587" w:rsidRPr="003429D4">
        <w:rPr>
          <w:rFonts w:eastAsia="SimSun"/>
        </w:rPr>
        <w:t>R</w:t>
      </w:r>
      <w:r w:rsidR="00833587">
        <w:rPr>
          <w:rFonts w:eastAsia="SimSun"/>
        </w:rPr>
        <w:t> </w:t>
      </w:r>
      <w:r w:rsidRPr="003429D4">
        <w:rPr>
          <w:rFonts w:eastAsia="SimSun"/>
        </w:rPr>
        <w:t>S.1503</w:t>
      </w:r>
    </w:p>
    <w:p w14:paraId="28EA5BA8" w14:textId="5F3D9C90" w:rsidR="00C74DA0" w:rsidRPr="003429D4" w:rsidRDefault="00C74DA0" w:rsidP="00C74DA0">
      <w:pPr>
        <w:rPr>
          <w:rFonts w:eastAsia="SimSun" w:cstheme="minorHAnsi"/>
          <w:bCs/>
        </w:rPr>
      </w:pPr>
      <w:r w:rsidRPr="003429D4">
        <w:rPr>
          <w:rFonts w:eastAsia="SimSun" w:cstheme="minorHAnsi"/>
        </w:rPr>
        <w:t xml:space="preserve">The 2015 World Radiocommunication Conference (WRC-15) reviewed the progress reported by the Director of BR regarding the development of the </w:t>
      </w:r>
      <w:proofErr w:type="spellStart"/>
      <w:r w:rsidRPr="003429D4">
        <w:rPr>
          <w:rFonts w:eastAsia="SimSun" w:cstheme="minorHAnsi"/>
        </w:rPr>
        <w:t>epfd</w:t>
      </w:r>
      <w:proofErr w:type="spellEnd"/>
      <w:r w:rsidRPr="003429D4">
        <w:rPr>
          <w:rFonts w:eastAsia="SimSun" w:cstheme="minorHAnsi"/>
        </w:rPr>
        <w:t xml:space="preserve"> validation software, and at its eighth plenary meeting approved the second report of Committee 5 to the Plenary Meeting (see </w:t>
      </w:r>
      <w:r w:rsidRPr="003429D4">
        <w:rPr>
          <w:rFonts w:eastAsia="SimSun" w:cstheme="minorHAnsi"/>
          <w:color w:val="000000" w:themeColor="text1"/>
        </w:rPr>
        <w:t xml:space="preserve">Documents </w:t>
      </w:r>
      <w:hyperlink r:id="rId27" w:history="1">
        <w:r w:rsidRPr="00833587">
          <w:rPr>
            <w:rStyle w:val="Hyperlink"/>
            <w:rFonts w:eastAsia="SimSun" w:cstheme="minorHAnsi"/>
          </w:rPr>
          <w:t>CMR15/416</w:t>
        </w:r>
      </w:hyperlink>
      <w:r w:rsidRPr="003429D4">
        <w:rPr>
          <w:rFonts w:eastAsia="SimSun" w:cstheme="minorHAnsi"/>
          <w:color w:val="000000" w:themeColor="text1"/>
        </w:rPr>
        <w:t xml:space="preserve"> and </w:t>
      </w:r>
      <w:hyperlink r:id="rId28" w:history="1">
        <w:r w:rsidRPr="00833587">
          <w:rPr>
            <w:rStyle w:val="Hyperlink"/>
            <w:rFonts w:eastAsia="SimSun" w:cstheme="minorHAnsi"/>
          </w:rPr>
          <w:t>CMR15/505</w:t>
        </w:r>
      </w:hyperlink>
      <w:r w:rsidRPr="003429D4">
        <w:rPr>
          <w:rFonts w:eastAsia="SimSun" w:cstheme="minorHAnsi"/>
          <w:color w:val="000000" w:themeColor="text1"/>
        </w:rPr>
        <w:t xml:space="preserve">) indicating </w:t>
      </w:r>
      <w:r w:rsidRPr="003429D4">
        <w:rPr>
          <w:rFonts w:eastAsia="SimSun" w:cstheme="minorHAnsi"/>
        </w:rPr>
        <w:t>that</w:t>
      </w:r>
      <w:r w:rsidRPr="003429D4">
        <w:rPr>
          <w:rFonts w:eastAsia="SimSun" w:cstheme="minorHAnsi"/>
          <w:color w:val="000000" w:themeColor="text1"/>
        </w:rPr>
        <w:t>:</w:t>
      </w:r>
    </w:p>
    <w:p w14:paraId="41CB077C" w14:textId="77777777" w:rsidR="00C74DA0" w:rsidRPr="003429D4" w:rsidRDefault="00C74DA0" w:rsidP="00C74DA0">
      <w:pPr>
        <w:pStyle w:val="enumlev1"/>
        <w:rPr>
          <w:rFonts w:eastAsia="SimSun" w:cstheme="minorHAnsi"/>
          <w:i/>
        </w:rPr>
      </w:pPr>
      <w:r w:rsidRPr="003429D4">
        <w:rPr>
          <w:rFonts w:eastAsia="SimSun" w:cstheme="minorHAnsi"/>
        </w:rPr>
        <w:tab/>
      </w:r>
      <w:r w:rsidRPr="003429D4">
        <w:rPr>
          <w:rFonts w:eastAsia="SimSun" w:cstheme="minorHAnsi"/>
          <w:i/>
        </w:rPr>
        <w:t>“In cases where the software cannot adequately model certain non-geostationary satellite FSS systems, Resolution </w:t>
      </w:r>
      <w:r w:rsidRPr="003429D4">
        <w:rPr>
          <w:rFonts w:eastAsia="SimSun" w:cstheme="minorHAnsi"/>
          <w:b/>
          <w:bCs/>
          <w:i/>
        </w:rPr>
        <w:t>85</w:t>
      </w:r>
      <w:r w:rsidRPr="003429D4">
        <w:rPr>
          <w:rFonts w:eastAsia="SimSun" w:cstheme="minorHAnsi"/>
          <w:i/>
        </w:rPr>
        <w:t xml:space="preserve"> </w:t>
      </w:r>
      <w:r w:rsidRPr="00833587">
        <w:rPr>
          <w:rFonts w:eastAsia="SimSun" w:cstheme="minorHAnsi"/>
          <w:b/>
          <w:bCs/>
          <w:i/>
        </w:rPr>
        <w:t>(WRC-03)</w:t>
      </w:r>
      <w:r w:rsidRPr="003429D4">
        <w:rPr>
          <w:rFonts w:eastAsia="SimSun" w:cstheme="minorHAnsi"/>
          <w:i/>
        </w:rPr>
        <w:t xml:space="preserve"> will continue to be applied until an update to Recommendation ITU-R S.1503 improving the modelling of those non-GSO systems has been agreed within ITU</w:t>
      </w:r>
      <w:r w:rsidRPr="003429D4">
        <w:rPr>
          <w:rFonts w:eastAsia="SimSun" w:cstheme="minorHAnsi"/>
          <w:i/>
        </w:rPr>
        <w:noBreakHyphen/>
        <w:t xml:space="preserve">R and has been implemented in the </w:t>
      </w:r>
      <w:proofErr w:type="spellStart"/>
      <w:r w:rsidRPr="003429D4">
        <w:rPr>
          <w:rFonts w:eastAsia="SimSun" w:cstheme="minorHAnsi"/>
          <w:i/>
        </w:rPr>
        <w:t>epfd</w:t>
      </w:r>
      <w:proofErr w:type="spellEnd"/>
      <w:r w:rsidRPr="003429D4">
        <w:rPr>
          <w:rFonts w:eastAsia="SimSun" w:cstheme="minorHAnsi"/>
          <w:i/>
        </w:rPr>
        <w:t xml:space="preserve"> validation software. This would not preclude the Bureau to undertake verification of the non-GSO FSS systems that can be modelled with the existing version of the software.” </w:t>
      </w:r>
    </w:p>
    <w:p w14:paraId="24EAF684" w14:textId="40C0EF03" w:rsidR="00C74DA0" w:rsidRPr="003429D4" w:rsidRDefault="00C74DA0" w:rsidP="00833587">
      <w:pPr>
        <w:rPr>
          <w:rFonts w:eastAsia="SimSun"/>
        </w:rPr>
      </w:pPr>
      <w:r w:rsidRPr="003429D4">
        <w:rPr>
          <w:rFonts w:eastAsia="SimSun"/>
        </w:rPr>
        <w:t>In accordance with the above decision, the Bureau, upon receipt of an indication that the software cannot adequately model a particular non-geostationary satellite FSS system, refers the case to ITU</w:t>
      </w:r>
      <w:r w:rsidR="00833587">
        <w:rPr>
          <w:rFonts w:eastAsia="SimSun"/>
        </w:rPr>
        <w:noBreakHyphen/>
      </w:r>
      <w:r w:rsidRPr="003429D4">
        <w:rPr>
          <w:rFonts w:eastAsia="SimSun"/>
        </w:rPr>
        <w:t xml:space="preserve">R Study Group 4/Working Party 4A for consideration as to whether further improvements to the Recommendation ITU-R S.1503-2 methodology are required </w:t>
      </w:r>
      <w:proofErr w:type="gramStart"/>
      <w:r w:rsidRPr="003429D4">
        <w:rPr>
          <w:rFonts w:eastAsia="SimSun"/>
        </w:rPr>
        <w:t>in order to</w:t>
      </w:r>
      <w:proofErr w:type="gramEnd"/>
      <w:r w:rsidRPr="003429D4">
        <w:rPr>
          <w:rFonts w:eastAsia="SimSun"/>
        </w:rPr>
        <w:t xml:space="preserve"> model the system adequately. To support this review by the Bureau and Study Group 4/Working Party 4A, further detailed technical description shall be provided, including </w:t>
      </w:r>
      <w:r w:rsidRPr="003429D4">
        <w:rPr>
          <w:rFonts w:eastAsia="SimSun"/>
          <w:i/>
          <w:iCs/>
        </w:rPr>
        <w:t>inter alia</w:t>
      </w:r>
      <w:r w:rsidRPr="003429D4">
        <w:rPr>
          <w:rFonts w:eastAsia="SimSun"/>
        </w:rPr>
        <w:t>:</w:t>
      </w:r>
    </w:p>
    <w:p w14:paraId="64FFF0F4" w14:textId="77777777" w:rsidR="00C74DA0" w:rsidRPr="003429D4" w:rsidRDefault="00C74DA0" w:rsidP="00C74DA0">
      <w:pPr>
        <w:pStyle w:val="enumlev1"/>
        <w:jc w:val="both"/>
        <w:rPr>
          <w:rFonts w:eastAsia="SimSun" w:cstheme="minorHAnsi"/>
          <w:lang w:eastAsia="zh-CN"/>
        </w:rPr>
      </w:pPr>
      <w:r w:rsidRPr="003429D4">
        <w:rPr>
          <w:rFonts w:eastAsia="SimSun" w:cstheme="minorHAnsi"/>
          <w:lang w:eastAsia="zh-CN"/>
        </w:rPr>
        <w:t>1)</w:t>
      </w:r>
      <w:r w:rsidRPr="003429D4">
        <w:rPr>
          <w:rFonts w:eastAsia="SimSun" w:cstheme="minorHAnsi"/>
          <w:lang w:eastAsia="zh-CN"/>
        </w:rPr>
        <w:tab/>
        <w:t xml:space="preserve">the results of calculations using existing EPFD validation </w:t>
      </w:r>
      <w:proofErr w:type="gramStart"/>
      <w:r w:rsidRPr="003429D4">
        <w:rPr>
          <w:rFonts w:eastAsia="SimSun" w:cstheme="minorHAnsi"/>
          <w:lang w:eastAsia="zh-CN"/>
        </w:rPr>
        <w:t>software;</w:t>
      </w:r>
      <w:proofErr w:type="gramEnd"/>
    </w:p>
    <w:p w14:paraId="49CBBA06" w14:textId="77777777" w:rsidR="00C74DA0" w:rsidRPr="003429D4" w:rsidRDefault="00C74DA0" w:rsidP="00C74DA0">
      <w:pPr>
        <w:pStyle w:val="enumlev1"/>
        <w:jc w:val="both"/>
        <w:rPr>
          <w:rFonts w:eastAsia="SimSun" w:cstheme="minorHAnsi"/>
          <w:lang w:eastAsia="zh-CN"/>
        </w:rPr>
      </w:pPr>
      <w:r w:rsidRPr="003429D4">
        <w:rPr>
          <w:rFonts w:eastAsia="SimSun" w:cstheme="minorHAnsi"/>
          <w:lang w:eastAsia="zh-CN"/>
        </w:rPr>
        <w:t>2)</w:t>
      </w:r>
      <w:r w:rsidRPr="003429D4">
        <w:rPr>
          <w:rFonts w:eastAsia="SimSun" w:cstheme="minorHAnsi"/>
          <w:lang w:eastAsia="zh-CN"/>
        </w:rPr>
        <w:tab/>
        <w:t xml:space="preserve">the results of EPFD calculations using simulation software with adequate modelling of the non-geostationary </w:t>
      </w:r>
      <w:proofErr w:type="gramStart"/>
      <w:r w:rsidRPr="003429D4">
        <w:rPr>
          <w:rFonts w:eastAsia="SimSun" w:cstheme="minorHAnsi"/>
          <w:lang w:eastAsia="zh-CN"/>
        </w:rPr>
        <w:t>system;</w:t>
      </w:r>
      <w:proofErr w:type="gramEnd"/>
    </w:p>
    <w:p w14:paraId="27AC5BE9" w14:textId="77777777" w:rsidR="00C74DA0" w:rsidRPr="003429D4" w:rsidRDefault="00C74DA0" w:rsidP="00C74DA0">
      <w:pPr>
        <w:pStyle w:val="enumlev1"/>
        <w:jc w:val="both"/>
        <w:rPr>
          <w:rFonts w:eastAsia="SimSun" w:cstheme="minorHAnsi"/>
        </w:rPr>
      </w:pPr>
      <w:r w:rsidRPr="003429D4">
        <w:rPr>
          <w:rFonts w:eastAsia="SimSun" w:cstheme="minorHAnsi"/>
        </w:rPr>
        <w:t>3)</w:t>
      </w:r>
      <w:r w:rsidRPr="003429D4">
        <w:rPr>
          <w:rFonts w:eastAsia="SimSun" w:cstheme="minorHAnsi"/>
        </w:rPr>
        <w:tab/>
        <w:t xml:space="preserve">identification of </w:t>
      </w:r>
      <w:proofErr w:type="gramStart"/>
      <w:r w:rsidRPr="003429D4">
        <w:rPr>
          <w:rFonts w:eastAsia="SimSun" w:cstheme="minorHAnsi"/>
        </w:rPr>
        <w:t>particular areas</w:t>
      </w:r>
      <w:proofErr w:type="gramEnd"/>
      <w:r w:rsidRPr="003429D4">
        <w:rPr>
          <w:rFonts w:eastAsia="SimSun" w:cstheme="minorHAnsi"/>
        </w:rPr>
        <w:t xml:space="preserve"> of Recommendation ITU-R S.1503-2 that need to be reviewed and improved.</w:t>
      </w:r>
    </w:p>
    <w:p w14:paraId="1A4ECA6B" w14:textId="77777777" w:rsidR="00C74DA0" w:rsidRPr="003429D4" w:rsidRDefault="00C74DA0" w:rsidP="00833587">
      <w:pPr>
        <w:rPr>
          <w:rFonts w:eastAsia="SimSun"/>
        </w:rPr>
      </w:pPr>
      <w:r w:rsidRPr="003429D4">
        <w:rPr>
          <w:rFonts w:eastAsia="SimSun"/>
        </w:rPr>
        <w:t>Study Group 4 reviewed several cases, mainly related to the fact that Recommendation ITU-R S.1503-2 may not precisely model systems with steerable beams and considered a new revision of this Recommendation, which resulted in the adoption of ITU-R Recommendation S.1503-3.</w:t>
      </w:r>
    </w:p>
    <w:p w14:paraId="5BB83D5E" w14:textId="141A3975" w:rsidR="00C74DA0" w:rsidRPr="003429D4" w:rsidRDefault="00C74DA0" w:rsidP="00833587">
      <w:pPr>
        <w:rPr>
          <w:rFonts w:eastAsia="SimSun"/>
        </w:rPr>
      </w:pPr>
      <w:r w:rsidRPr="003429D4">
        <w:rPr>
          <w:rFonts w:eastAsia="SimSun"/>
        </w:rPr>
        <w:t>The Bureau noted that Working Party 4A initiated the development of new revision of Recommendation ITU-R S.1503. With the understanding that normally such revision takes 2 years to complete, and quite significant number of cases pending review with the data submitted in accordance with Recommendation ITU-R S.1503-2, the Bureau considered premature implementation of S.1503-4.</w:t>
      </w:r>
    </w:p>
    <w:p w14:paraId="46171877" w14:textId="3CCB25F5" w:rsidR="00C74DA0" w:rsidRPr="003429D4" w:rsidRDefault="00C74DA0" w:rsidP="00833587">
      <w:pPr>
        <w:rPr>
          <w:rFonts w:eastAsia="SimSun"/>
        </w:rPr>
      </w:pPr>
      <w:r w:rsidRPr="003429D4">
        <w:rPr>
          <w:rFonts w:eastAsia="SimSun"/>
        </w:rPr>
        <w:t>As of mid-2023 revision 4 to Recommendation ITU-R S.1503 is still under study by Working</w:t>
      </w:r>
      <w:r w:rsidR="00AB66C2">
        <w:rPr>
          <w:rFonts w:eastAsia="SimSun"/>
        </w:rPr>
        <w:t> </w:t>
      </w:r>
      <w:r w:rsidRPr="003429D4">
        <w:rPr>
          <w:rFonts w:eastAsia="SimSun"/>
        </w:rPr>
        <w:t>Party</w:t>
      </w:r>
      <w:r w:rsidR="00AB66C2">
        <w:rPr>
          <w:rFonts w:eastAsia="SimSun"/>
        </w:rPr>
        <w:t> </w:t>
      </w:r>
      <w:r w:rsidRPr="003429D4">
        <w:rPr>
          <w:rFonts w:eastAsia="SimSun"/>
        </w:rPr>
        <w:t>4A.</w:t>
      </w:r>
    </w:p>
    <w:p w14:paraId="7F12547C" w14:textId="77777777" w:rsidR="00C74DA0" w:rsidRPr="003429D4" w:rsidRDefault="00C74DA0" w:rsidP="00833587">
      <w:pPr>
        <w:rPr>
          <w:rFonts w:eastAsia="SimSun"/>
        </w:rPr>
      </w:pPr>
      <w:r w:rsidRPr="003429D4">
        <w:rPr>
          <w:rFonts w:eastAsia="SimSun"/>
        </w:rPr>
        <w:t xml:space="preserve">Once new revision is adopted the Bureau will be in position to consider implementing new revision 4 to Recommendation ITU-R S.1503. </w:t>
      </w:r>
    </w:p>
    <w:p w14:paraId="7D400F48" w14:textId="77777777" w:rsidR="00C74DA0" w:rsidRPr="003429D4" w:rsidRDefault="00C74DA0" w:rsidP="00C74DA0">
      <w:pPr>
        <w:jc w:val="both"/>
        <w:rPr>
          <w:rFonts w:eastAsia="SimSun" w:cstheme="minorHAnsi"/>
        </w:rPr>
      </w:pPr>
      <w:r w:rsidRPr="003429D4">
        <w:rPr>
          <w:rFonts w:eastAsia="SimSun" w:cstheme="minorHAnsi"/>
        </w:rPr>
        <w:t xml:space="preserve">WRC-23 will also consider additional changes to RR Appendix </w:t>
      </w:r>
      <w:r w:rsidRPr="003429D4">
        <w:rPr>
          <w:rFonts w:eastAsia="SimSun" w:cstheme="minorHAnsi"/>
          <w:b/>
          <w:bCs/>
        </w:rPr>
        <w:t>4</w:t>
      </w:r>
      <w:r w:rsidRPr="003429D4">
        <w:rPr>
          <w:rFonts w:eastAsia="SimSun" w:cstheme="minorHAnsi"/>
        </w:rPr>
        <w:t xml:space="preserve"> addressing new data elements required for this new version of Recommendation ITU-R S.1503.</w:t>
      </w:r>
    </w:p>
    <w:p w14:paraId="1D972F46" w14:textId="4D1B0CB4" w:rsidR="00C74DA0" w:rsidRPr="003429D4" w:rsidRDefault="00C74DA0" w:rsidP="00C74DA0">
      <w:pPr>
        <w:rPr>
          <w:rFonts w:eastAsia="SimSun" w:cstheme="minorHAnsi"/>
        </w:rPr>
      </w:pPr>
      <w:r w:rsidRPr="003429D4">
        <w:rPr>
          <w:rFonts w:eastAsia="SimSun" w:cstheme="minorHAnsi"/>
        </w:rPr>
        <w:t xml:space="preserve">It should be noted that superseded version of Recommendation ITU-R S.1503-2 is continued to be used by administrations in submitting the data for their non-GSO FSS systems. Therefore, the Bureau will be continuing reviewing previously established qualified </w:t>
      </w:r>
      <w:proofErr w:type="spellStart"/>
      <w:r w:rsidRPr="003429D4">
        <w:rPr>
          <w:rFonts w:eastAsia="SimSun" w:cstheme="minorHAnsi"/>
        </w:rPr>
        <w:t>favorable</w:t>
      </w:r>
      <w:proofErr w:type="spellEnd"/>
      <w:r w:rsidRPr="003429D4">
        <w:rPr>
          <w:rFonts w:eastAsia="SimSun" w:cstheme="minorHAnsi"/>
        </w:rPr>
        <w:t xml:space="preserve"> findings using existing software developed in accordance with version 2 of this Recommendation for all the cases using the data prepared in accordance with this Recommendation.</w:t>
      </w:r>
    </w:p>
    <w:p w14:paraId="4BFD5C7B" w14:textId="42AE2FD0" w:rsidR="00C74DA0" w:rsidRPr="003429D4" w:rsidRDefault="00C74DA0" w:rsidP="009C0B35">
      <w:pPr>
        <w:pStyle w:val="Heading5"/>
        <w:rPr>
          <w:rFonts w:eastAsia="SimSun"/>
        </w:rPr>
      </w:pPr>
      <w:r>
        <w:t>2.2.4.2.3</w:t>
      </w:r>
      <w:r w:rsidR="009C0B35">
        <w:tab/>
      </w:r>
      <w:r w:rsidRPr="003429D4">
        <w:t xml:space="preserve">Summary for the findings review </w:t>
      </w:r>
      <w:proofErr w:type="gramStart"/>
      <w:r w:rsidRPr="003429D4">
        <w:t>process</w:t>
      </w:r>
      <w:proofErr w:type="gramEnd"/>
    </w:p>
    <w:p w14:paraId="51D1C289" w14:textId="77777777" w:rsidR="00C74DA0" w:rsidRPr="003429D4" w:rsidRDefault="00C74DA0" w:rsidP="009C0B35">
      <w:r w:rsidRPr="003429D4">
        <w:t xml:space="preserve">Reviews of findings for satellite networks under Resolution </w:t>
      </w:r>
      <w:r w:rsidRPr="003429D4">
        <w:rPr>
          <w:b/>
          <w:bCs/>
        </w:rPr>
        <w:t>85 (WRC-03)</w:t>
      </w:r>
      <w:r w:rsidRPr="003429D4">
        <w:t xml:space="preserve"> started to be published in BR IFIC 2862 of 23.01.2018. </w:t>
      </w:r>
    </w:p>
    <w:p w14:paraId="7720D22A" w14:textId="77777777" w:rsidR="00C74DA0" w:rsidRPr="003429D4" w:rsidRDefault="00C74DA0" w:rsidP="00C74DA0">
      <w:pPr>
        <w:rPr>
          <w:rFonts w:cstheme="minorHAnsi"/>
        </w:rPr>
      </w:pPr>
      <w:r w:rsidRPr="003429D4">
        <w:rPr>
          <w:rFonts w:cstheme="minorHAnsi"/>
        </w:rPr>
        <w:t>As of mid-2023, reviews of findings were carried out with respect to 122 non-GSO networks/systems with the following results:</w:t>
      </w:r>
    </w:p>
    <w:p w14:paraId="412B91A4" w14:textId="154D8784" w:rsidR="00C74DA0" w:rsidRPr="003429D4" w:rsidRDefault="009C0B35" w:rsidP="009C0B35">
      <w:pPr>
        <w:pStyle w:val="enumlev1"/>
      </w:pPr>
      <w:r>
        <w:t>−</w:t>
      </w:r>
      <w:r>
        <w:tab/>
      </w:r>
      <w:r w:rsidR="00C74DA0" w:rsidRPr="003429D4">
        <w:t xml:space="preserve">99 obtained complete </w:t>
      </w:r>
      <w:proofErr w:type="spellStart"/>
      <w:r w:rsidR="00C74DA0" w:rsidRPr="003429D4">
        <w:t>favorable</w:t>
      </w:r>
      <w:proofErr w:type="spellEnd"/>
      <w:r w:rsidR="00C74DA0" w:rsidRPr="003429D4">
        <w:t xml:space="preserve"> </w:t>
      </w:r>
      <w:proofErr w:type="gramStart"/>
      <w:r w:rsidR="00C74DA0" w:rsidRPr="003429D4">
        <w:t>findings;</w:t>
      </w:r>
      <w:proofErr w:type="gramEnd"/>
    </w:p>
    <w:p w14:paraId="3F7F0823" w14:textId="6224008B" w:rsidR="00C74DA0" w:rsidRPr="003429D4" w:rsidRDefault="009C0B35" w:rsidP="009C0B35">
      <w:pPr>
        <w:pStyle w:val="enumlev1"/>
      </w:pPr>
      <w:r>
        <w:t>−</w:t>
      </w:r>
      <w:r>
        <w:tab/>
      </w:r>
      <w:r w:rsidR="00C74DA0" w:rsidRPr="003429D4">
        <w:t xml:space="preserve">three obtained </w:t>
      </w:r>
      <w:proofErr w:type="spellStart"/>
      <w:r w:rsidR="00C74DA0" w:rsidRPr="003429D4">
        <w:t>unfavorable</w:t>
      </w:r>
      <w:proofErr w:type="spellEnd"/>
      <w:r w:rsidR="00C74DA0" w:rsidRPr="003429D4">
        <w:t xml:space="preserve"> </w:t>
      </w:r>
      <w:proofErr w:type="gramStart"/>
      <w:r w:rsidR="00C74DA0" w:rsidRPr="003429D4">
        <w:t>findings;</w:t>
      </w:r>
      <w:proofErr w:type="gramEnd"/>
    </w:p>
    <w:p w14:paraId="0767EC1A" w14:textId="1A35B070" w:rsidR="00C74DA0" w:rsidRPr="003429D4" w:rsidRDefault="009C0B35" w:rsidP="009C0B35">
      <w:pPr>
        <w:pStyle w:val="enumlev1"/>
      </w:pPr>
      <w:r>
        <w:t>−</w:t>
      </w:r>
      <w:r>
        <w:tab/>
      </w:r>
      <w:r w:rsidR="00C74DA0" w:rsidRPr="003429D4">
        <w:t xml:space="preserve">16 obtained </w:t>
      </w:r>
      <w:proofErr w:type="spellStart"/>
      <w:r w:rsidR="00C74DA0" w:rsidRPr="003429D4">
        <w:t>favorable</w:t>
      </w:r>
      <w:proofErr w:type="spellEnd"/>
      <w:r w:rsidR="00C74DA0" w:rsidRPr="003429D4">
        <w:t xml:space="preserve"> findings except for several frequency assignments that received </w:t>
      </w:r>
      <w:proofErr w:type="spellStart"/>
      <w:r w:rsidR="00C74DA0" w:rsidRPr="003429D4">
        <w:t>unfavorable</w:t>
      </w:r>
      <w:proofErr w:type="spellEnd"/>
      <w:r w:rsidR="00C74DA0" w:rsidRPr="003429D4">
        <w:t xml:space="preserve"> </w:t>
      </w:r>
      <w:proofErr w:type="gramStart"/>
      <w:r w:rsidR="00C74DA0" w:rsidRPr="003429D4">
        <w:t>findings;</w:t>
      </w:r>
      <w:proofErr w:type="gramEnd"/>
      <w:r w:rsidR="00C74DA0" w:rsidRPr="003429D4">
        <w:t xml:space="preserve"> </w:t>
      </w:r>
    </w:p>
    <w:p w14:paraId="38D95C91" w14:textId="18BE674C" w:rsidR="00C74DA0" w:rsidRPr="003429D4" w:rsidRDefault="009C0B35" w:rsidP="009C0B35">
      <w:pPr>
        <w:pStyle w:val="enumlev1"/>
      </w:pPr>
      <w:r>
        <w:t>−</w:t>
      </w:r>
      <w:r>
        <w:tab/>
      </w:r>
      <w:r w:rsidR="00C74DA0" w:rsidRPr="003429D4">
        <w:t xml:space="preserve">four obtained </w:t>
      </w:r>
      <w:proofErr w:type="spellStart"/>
      <w:r w:rsidR="00C74DA0" w:rsidRPr="003429D4">
        <w:t>favorable</w:t>
      </w:r>
      <w:proofErr w:type="spellEnd"/>
      <w:r w:rsidR="00C74DA0" w:rsidRPr="003429D4">
        <w:t xml:space="preserve"> findings for some groups of frequency assignments and qualified </w:t>
      </w:r>
      <w:proofErr w:type="spellStart"/>
      <w:r w:rsidR="00C74DA0" w:rsidRPr="003429D4">
        <w:t>favorable</w:t>
      </w:r>
      <w:proofErr w:type="spellEnd"/>
      <w:r w:rsidR="00C74DA0" w:rsidRPr="003429D4">
        <w:t xml:space="preserve"> findings for some other groups and/or orbital configurations due to the continuous application of Resolution </w:t>
      </w:r>
      <w:r w:rsidR="00C74DA0" w:rsidRPr="003429D4">
        <w:rPr>
          <w:b/>
          <w:bCs/>
        </w:rPr>
        <w:t>85 (WRC-03)</w:t>
      </w:r>
      <w:r w:rsidR="00C74DA0" w:rsidRPr="003429D4">
        <w:t xml:space="preserve"> on request by the notifying administration, as decided by WRC-15 (see Circular Letter </w:t>
      </w:r>
      <w:hyperlink r:id="rId29" w:history="1">
        <w:r w:rsidR="00C74DA0" w:rsidRPr="003429D4">
          <w:rPr>
            <w:rStyle w:val="Hyperlink"/>
            <w:rFonts w:asciiTheme="minorHAnsi" w:hAnsiTheme="minorHAnsi" w:cstheme="minorHAnsi"/>
          </w:rPr>
          <w:t>CR/414</w:t>
        </w:r>
      </w:hyperlink>
      <w:r w:rsidR="00C74DA0" w:rsidRPr="003429D4">
        <w:t xml:space="preserve">). </w:t>
      </w:r>
    </w:p>
    <w:p w14:paraId="05C0E638" w14:textId="77777777" w:rsidR="00C74DA0" w:rsidRPr="003429D4" w:rsidRDefault="00C74DA0" w:rsidP="009C0B35">
      <w:r w:rsidRPr="003429D4">
        <w:t>Progress of the process to review these findings is regularly reported to the Radio Regulations Board.</w:t>
      </w:r>
    </w:p>
    <w:p w14:paraId="544CA704" w14:textId="77777777" w:rsidR="00C74DA0" w:rsidRPr="00C66E29" w:rsidRDefault="00C74DA0" w:rsidP="00C74DA0">
      <w:pPr>
        <w:pStyle w:val="Heading4"/>
      </w:pPr>
      <w:r w:rsidRPr="00C66E29">
        <w:t>2.2.4.3</w:t>
      </w:r>
      <w:r w:rsidRPr="00C66E29">
        <w:tab/>
        <w:t>Resolution 155 (WRC</w:t>
      </w:r>
      <w:r w:rsidRPr="00C66E29">
        <w:noBreakHyphen/>
        <w:t>15)</w:t>
      </w:r>
    </w:p>
    <w:p w14:paraId="1BB038E5" w14:textId="77777777" w:rsidR="00C74DA0" w:rsidRPr="00C66E29" w:rsidRDefault="00C74DA0" w:rsidP="00C74DA0">
      <w:r w:rsidRPr="00C66E29">
        <w:t xml:space="preserve">Resolution </w:t>
      </w:r>
      <w:r w:rsidRPr="00C66E29">
        <w:rPr>
          <w:b/>
          <w:bCs/>
        </w:rPr>
        <w:t>155 (WRC-15)</w:t>
      </w:r>
      <w:r w:rsidRPr="00C66E29">
        <w:t xml:space="preserve"> deals with regulatory provisions related to earth stations on board unmanned aircraft (UA) which operate with geostationary satellite networks in the fixed-satellite service in certain frequency bands not subject to a Plan of Appendices </w:t>
      </w:r>
      <w:r w:rsidRPr="00C66E29">
        <w:rPr>
          <w:b/>
          <w:bCs/>
        </w:rPr>
        <w:t>30</w:t>
      </w:r>
      <w:r w:rsidRPr="00C66E29">
        <w:t xml:space="preserve">, </w:t>
      </w:r>
      <w:r w:rsidRPr="00C66E29">
        <w:rPr>
          <w:b/>
          <w:bCs/>
        </w:rPr>
        <w:t>30A</w:t>
      </w:r>
      <w:r w:rsidRPr="00C66E29">
        <w:t xml:space="preserve"> and </w:t>
      </w:r>
      <w:r w:rsidRPr="00C66E29">
        <w:rPr>
          <w:b/>
          <w:bCs/>
        </w:rPr>
        <w:t>30B</w:t>
      </w:r>
      <w:r w:rsidRPr="00C66E29">
        <w:t xml:space="preserve"> for the control and non-payload communications (CNPC) of unmanned aircraft systems in non-segregated airspaces.</w:t>
      </w:r>
      <w:r>
        <w:t xml:space="preserve"> In accordance with </w:t>
      </w:r>
      <w:r w:rsidRPr="00D5470C">
        <w:rPr>
          <w:i/>
          <w:iCs/>
        </w:rPr>
        <w:t xml:space="preserve">instructs the Director of the Radiocommunication Bureau </w:t>
      </w:r>
      <w:r w:rsidRPr="009C0B35">
        <w:t>3</w:t>
      </w:r>
      <w:r>
        <w:t>, a new class of station code of UG was created for earth stations providing UAS CNPC links and included in the Preface.</w:t>
      </w:r>
    </w:p>
    <w:p w14:paraId="52836702" w14:textId="57EF1C7E" w:rsidR="00C74DA0" w:rsidRPr="00C66E29" w:rsidRDefault="00C74DA0" w:rsidP="009C0B35">
      <w:r w:rsidRPr="00C66E29">
        <w:t xml:space="preserve">As reported to WRC-19, in order to assist the relevant ITU-R studies and in line with </w:t>
      </w:r>
      <w:r w:rsidRPr="00C66E29">
        <w:rPr>
          <w:i/>
          <w:iCs/>
        </w:rPr>
        <w:t>resolves to encourage administrations</w:t>
      </w:r>
      <w:r w:rsidRPr="00C66E29">
        <w:t xml:space="preserve"> 1, the Bureau established a web-based platform for the posting, for information only, of the part of notices “as received” under RR Articles </w:t>
      </w:r>
      <w:r w:rsidRPr="00C66E29">
        <w:rPr>
          <w:b/>
        </w:rPr>
        <w:t>9</w:t>
      </w:r>
      <w:r w:rsidRPr="00C66E29">
        <w:t xml:space="preserve"> or </w:t>
      </w:r>
      <w:r w:rsidRPr="00C66E29">
        <w:rPr>
          <w:b/>
        </w:rPr>
        <w:t>11</w:t>
      </w:r>
      <w:r w:rsidRPr="00C66E29">
        <w:t xml:space="preserve"> for FSS networks for UAS CNPC links or an earth station on board UA communicating with a GSO FSS space station at: </w:t>
      </w:r>
      <w:hyperlink r:id="rId30">
        <w:r w:rsidRPr="36331F3A">
          <w:rPr>
            <w:rStyle w:val="Hyperlink"/>
          </w:rPr>
          <w:t>https://www.itu.int/en/ITU-R/space/snl/Pages/UAS.aspx</w:t>
        </w:r>
      </w:hyperlink>
      <w:r>
        <w:t>.</w:t>
      </w:r>
      <w:r w:rsidRPr="00C66E29">
        <w:t xml:space="preserve"> As </w:t>
      </w:r>
      <w:proofErr w:type="gramStart"/>
      <w:r w:rsidRPr="00C66E29">
        <w:t>at</w:t>
      </w:r>
      <w:proofErr w:type="gramEnd"/>
      <w:r w:rsidRPr="00C66E29">
        <w:t xml:space="preserve"> 1 June 2023, there are 65 satellite networks received </w:t>
      </w:r>
      <w:r w:rsidRPr="009C0B35">
        <w:t xml:space="preserve">from 8 administrations </w:t>
      </w:r>
      <w:r w:rsidRPr="00C66E29">
        <w:t>which contained UG class of stations, and for which the Bureau has extracted the information concerning these stations on the above webpage</w:t>
      </w:r>
      <w:r>
        <w:t>.</w:t>
      </w:r>
    </w:p>
    <w:p w14:paraId="16138BF3" w14:textId="77D69ADA" w:rsidR="00C74DA0" w:rsidRPr="00D33263" w:rsidRDefault="00C74DA0" w:rsidP="009C0B35">
      <w:pPr>
        <w:pStyle w:val="Heading4"/>
      </w:pPr>
      <w:r>
        <w:t>2.2.4.4</w:t>
      </w:r>
      <w:r w:rsidR="009C0B35">
        <w:tab/>
      </w:r>
      <w:r w:rsidRPr="00D33263">
        <w:t>Implementation of Resolution 169 (WRC</w:t>
      </w:r>
      <w:r w:rsidRPr="00D33263">
        <w:noBreakHyphen/>
        <w:t>19)</w:t>
      </w:r>
    </w:p>
    <w:p w14:paraId="06ECA30D" w14:textId="74691133" w:rsidR="00C74DA0" w:rsidRDefault="00C74DA0" w:rsidP="00C74DA0">
      <w:r>
        <w:t xml:space="preserve">Resolution </w:t>
      </w:r>
      <w:r w:rsidRPr="007E1A02">
        <w:rPr>
          <w:b/>
          <w:bCs/>
        </w:rPr>
        <w:t>169 (WRC-19)</w:t>
      </w:r>
      <w:r>
        <w:t xml:space="preserve"> deals with the use of frequency bands 17.7-19.7 GHz and 27.5</w:t>
      </w:r>
      <w:r w:rsidR="009C0B35">
        <w:noBreakHyphen/>
      </w:r>
      <w:r>
        <w:t>29.5</w:t>
      </w:r>
      <w:r w:rsidR="009C0B35">
        <w:t> </w:t>
      </w:r>
      <w:r>
        <w:t>GHz by earth stations in motion communicating with geostationary space stations in the fixed-satellite service.</w:t>
      </w:r>
    </w:p>
    <w:p w14:paraId="3F37DEEC" w14:textId="77777777" w:rsidR="00C74DA0" w:rsidRDefault="00C74DA0" w:rsidP="00C74DA0">
      <w:r>
        <w:t xml:space="preserve">The Bureau issued the Circular Letter CR/461 on 17 June 2020 to provide information and guidance to administrations on the submission and examination of ESIM associated with geostationary FSS space stations in the frequency bands 17.7-19.7 GHz (space-to-Earth) and 27.5-29.5 GHz (Earth-to-space) as from 1 July 2020. This included the introduction of </w:t>
      </w:r>
      <w:bookmarkStart w:id="46" w:name="_Hlk136605849"/>
      <w:r>
        <w:t>3 new classes of stations in Table 3 of the Preface to the BR IFIC (Space Services): UU (land ESIM), UO (Aeronautical ESIM) and US (Maritime ESIM).</w:t>
      </w:r>
    </w:p>
    <w:bookmarkEnd w:id="46"/>
    <w:p w14:paraId="5D6FDC39" w14:textId="075981BC" w:rsidR="00C74DA0" w:rsidRPr="00C316CC" w:rsidRDefault="00C74DA0" w:rsidP="00C74DA0">
      <w:r w:rsidRPr="00C316CC">
        <w:t xml:space="preserve">The Bureau actively participated in the WP 4A meetings and made a contribution to the WP 4A meeting in September 2022 (see Document </w:t>
      </w:r>
      <w:hyperlink r:id="rId31" w:history="1">
        <w:r w:rsidRPr="00716D6B">
          <w:rPr>
            <w:rStyle w:val="Hyperlink"/>
          </w:rPr>
          <w:t>4A/850</w:t>
        </w:r>
      </w:hyperlink>
      <w:r w:rsidRPr="00C316CC">
        <w:t xml:space="preserve">) to assist the membership with the work on the methodology for assessing </w:t>
      </w:r>
      <w:r>
        <w:t xml:space="preserve">the </w:t>
      </w:r>
      <w:r w:rsidRPr="00C316CC">
        <w:t xml:space="preserve">conformity of A-ESIMs with </w:t>
      </w:r>
      <w:proofErr w:type="spellStart"/>
      <w:r w:rsidRPr="00C316CC">
        <w:t>pfd</w:t>
      </w:r>
      <w:proofErr w:type="spellEnd"/>
      <w:r w:rsidRPr="00C316CC">
        <w:t xml:space="preserve"> limits in Part II of Annex 3 the Resolution.</w:t>
      </w:r>
    </w:p>
    <w:p w14:paraId="27606467" w14:textId="77777777" w:rsidR="00C74DA0" w:rsidRDefault="00C74DA0" w:rsidP="00C74DA0">
      <w:r w:rsidRPr="00E46D8F">
        <w:t>The Bureau made necessary changes to its software and database to accommodate the modifications to this Resolution by WRC-1</w:t>
      </w:r>
      <w:r>
        <w:t xml:space="preserve">9, which were available for download at </w:t>
      </w:r>
      <w:hyperlink r:id="rId32" w:history="1">
        <w:r w:rsidRPr="00A851E0">
          <w:rPr>
            <w:rStyle w:val="Hyperlink"/>
          </w:rPr>
          <w:t>http://www.itu.int/ITU-R/go/space-software/en</w:t>
        </w:r>
      </w:hyperlink>
      <w:r>
        <w:t xml:space="preserve"> and also on BR IFIC (Space Services) 2923/23.06.2020 and subsequent publications.</w:t>
      </w:r>
    </w:p>
    <w:p w14:paraId="37F89A43" w14:textId="77777777" w:rsidR="00C74DA0" w:rsidRDefault="00C74DA0" w:rsidP="00C74DA0">
      <w:r>
        <w:t>The Bureau also reminded administrations that characteristics of ESIMs in the frequency bands 17.7-19.7 GHz and 27.5-29.5 GHz were considered receivable by the Bureau only if they were submitted in a submission of a modification to a previously submitted notification notice containing the characteristics of typical earth stations associated with the satellite network with which these ESIM communicate.</w:t>
      </w:r>
    </w:p>
    <w:p w14:paraId="5742C3D2" w14:textId="77777777" w:rsidR="00C74DA0" w:rsidRDefault="00C74DA0" w:rsidP="00C74DA0">
      <w:r>
        <w:t xml:space="preserve">Upon receipt of the notification information containing ESIMs, the Bureau examined these assignments to ensure that the ESIM characteristics were within the envelope characteristics of typical earth stations associated with the satellite network with which these ESIMs communicate. </w:t>
      </w:r>
      <w:proofErr w:type="gramStart"/>
      <w:r>
        <w:t>In the event that</w:t>
      </w:r>
      <w:proofErr w:type="gramEnd"/>
      <w:r>
        <w:t xml:space="preserve"> ESIMs and typical earth stations are submitted together in the same notice, the frequency assignments of ESIMs would be separated and the typical earth stations would be treated first. In line with resolves 1.1.4 and 1.1.1 of Resolution </w:t>
      </w:r>
      <w:r w:rsidRPr="007E1A02">
        <w:rPr>
          <w:b/>
          <w:bCs/>
        </w:rPr>
        <w:t>169 (WRC-19)</w:t>
      </w:r>
      <w:r>
        <w:t>, the frequency assignments of ESIMs would be subsequently treated as a modification with the original date of receipt plus one day.</w:t>
      </w:r>
    </w:p>
    <w:p w14:paraId="375F3412" w14:textId="0FD2C8EA" w:rsidR="00C74DA0" w:rsidRDefault="00C74DA0" w:rsidP="00C74DA0">
      <w:r>
        <w:t xml:space="preserve">In accordance with </w:t>
      </w:r>
      <w:r w:rsidRPr="00CC2985">
        <w:rPr>
          <w:i/>
          <w:iCs/>
        </w:rPr>
        <w:t>resolves</w:t>
      </w:r>
      <w:r>
        <w:t xml:space="preserve"> 1.1.5 and 1.2.5, the Bureau only examines the ESIM assignments with respect to their conformity with resolve 1.1.1 and Part II of Annex 3</w:t>
      </w:r>
      <w:r w:rsidRPr="00457EE7">
        <w:t xml:space="preserve"> </w:t>
      </w:r>
      <w:r>
        <w:t xml:space="preserve">of Resolution </w:t>
      </w:r>
      <w:r w:rsidRPr="007E1A02">
        <w:rPr>
          <w:b/>
          <w:bCs/>
        </w:rPr>
        <w:t>169 (WRC-19)</w:t>
      </w:r>
      <w:r>
        <w:t xml:space="preserve">. Since the Bureau is unable to examine the conformity contained in Part II of Annex 3 due to the lack of methodology, the Bureau formulated qualified favourable findings based on the A.22.a commitment of the administration. Once the studies to determine the methodology to implement Part II of Annex 3 are finalized and the software is available, the Bureau will review its findings in relation to No. </w:t>
      </w:r>
      <w:r w:rsidRPr="00CC2985">
        <w:rPr>
          <w:b/>
          <w:bCs/>
        </w:rPr>
        <w:t>11.31</w:t>
      </w:r>
      <w:r>
        <w:t>.</w:t>
      </w:r>
    </w:p>
    <w:p w14:paraId="5A5D55C7" w14:textId="2E8557A4" w:rsidR="00C74DA0" w:rsidRDefault="00C74DA0" w:rsidP="00C74DA0">
      <w:proofErr w:type="gramStart"/>
      <w:r>
        <w:t>With regard to</w:t>
      </w:r>
      <w:proofErr w:type="gramEnd"/>
      <w:r>
        <w:t xml:space="preserve"> the </w:t>
      </w:r>
      <w:proofErr w:type="spellStart"/>
      <w:r w:rsidR="00CC2985">
        <w:t>e.i.r.p</w:t>
      </w:r>
      <w:proofErr w:type="spellEnd"/>
      <w:r w:rsidR="00CC2985">
        <w:t>.</w:t>
      </w:r>
      <w:r>
        <w:t xml:space="preserve"> density limits in Annex 1 and Part I of Annex 3 of Resolution </w:t>
      </w:r>
      <w:r w:rsidRPr="007E1A02">
        <w:rPr>
          <w:b/>
          <w:bCs/>
        </w:rPr>
        <w:t>169 (WRC</w:t>
      </w:r>
      <w:r w:rsidR="009C0B35">
        <w:rPr>
          <w:b/>
          <w:bCs/>
        </w:rPr>
        <w:noBreakHyphen/>
      </w:r>
      <w:r w:rsidRPr="007E1A02">
        <w:rPr>
          <w:b/>
          <w:bCs/>
        </w:rPr>
        <w:t>19)</w:t>
      </w:r>
      <w:r>
        <w:t xml:space="preserve">, it is considered that conformity with these </w:t>
      </w:r>
      <w:proofErr w:type="spellStart"/>
      <w:r w:rsidR="0001467E">
        <w:t>e.i.r.p</w:t>
      </w:r>
      <w:proofErr w:type="spellEnd"/>
      <w:r w:rsidR="0001467E">
        <w:t xml:space="preserve">. </w:t>
      </w:r>
      <w:r>
        <w:t xml:space="preserve">density limits is assured by a commitment of the administration submitted under A.20.a of Appendix 4. </w:t>
      </w:r>
    </w:p>
    <w:p w14:paraId="49B098D2" w14:textId="77777777" w:rsidR="00C74DA0" w:rsidRDefault="00C74DA0" w:rsidP="00C74DA0">
      <w:r>
        <w:t xml:space="preserve">Pursuant to resolves 1.1.4, 1.1.5, 1.2.5 of Resolution </w:t>
      </w:r>
      <w:r w:rsidRPr="007E1A02">
        <w:rPr>
          <w:b/>
          <w:bCs/>
        </w:rPr>
        <w:t>169 (WRC-19)</w:t>
      </w:r>
      <w:r>
        <w:t>, the Bureau prepared new cover pages</w:t>
      </w:r>
      <w:r w:rsidRPr="00C316CC">
        <w:t>/templates</w:t>
      </w:r>
      <w:r>
        <w:t xml:space="preserve"> for Parts I/II/III-</w:t>
      </w:r>
      <w:r w:rsidRPr="00C316CC">
        <w:t xml:space="preserve">S publications that make specific reference to Resolution </w:t>
      </w:r>
      <w:r w:rsidRPr="007E1A02">
        <w:rPr>
          <w:b/>
          <w:bCs/>
        </w:rPr>
        <w:t>169</w:t>
      </w:r>
      <w:r w:rsidRPr="00C316CC">
        <w:t xml:space="preserve"> to facilitate the receipt and examination of the ESIMs received under</w:t>
      </w:r>
      <w:r>
        <w:t xml:space="preserve"> this Resolution (see Section II of the Preface to the BR IFIC (Space Services)).</w:t>
      </w:r>
    </w:p>
    <w:p w14:paraId="16E38EDA" w14:textId="77777777" w:rsidR="00C74DA0" w:rsidRDefault="00C74DA0" w:rsidP="00C74DA0">
      <w:r w:rsidRPr="00C316CC">
        <w:t xml:space="preserve">As of 5 May 2023, the Bureau has received 10 notification notices containing ESIMs related to Resolution </w:t>
      </w:r>
      <w:r w:rsidRPr="009C0B35">
        <w:rPr>
          <w:b/>
          <w:bCs/>
        </w:rPr>
        <w:t xml:space="preserve">169 (WRC-19) </w:t>
      </w:r>
      <w:r w:rsidRPr="00C316CC">
        <w:t>from 5 Administrations (AUS, NOR, G, J and TUR) and published them using the new cover pages/templates.</w:t>
      </w:r>
    </w:p>
    <w:p w14:paraId="20972283" w14:textId="29D1BADD" w:rsidR="007B665F" w:rsidRDefault="007B665F">
      <w:pPr>
        <w:tabs>
          <w:tab w:val="clear" w:pos="1134"/>
          <w:tab w:val="clear" w:pos="1871"/>
          <w:tab w:val="clear" w:pos="2268"/>
        </w:tabs>
        <w:overflowPunct/>
        <w:autoSpaceDE/>
        <w:autoSpaceDN/>
        <w:adjustRightInd/>
        <w:spacing w:before="0"/>
        <w:textAlignment w:val="auto"/>
      </w:pPr>
      <w:r>
        <w:br w:type="page"/>
      </w:r>
    </w:p>
    <w:p w14:paraId="6DFA6974" w14:textId="77777777" w:rsidR="009C0B35" w:rsidRPr="00C316CC" w:rsidRDefault="009C0B35" w:rsidP="00C74DA0"/>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483"/>
        <w:gridCol w:w="883"/>
        <w:gridCol w:w="1933"/>
        <w:gridCol w:w="794"/>
        <w:gridCol w:w="683"/>
        <w:gridCol w:w="905"/>
        <w:gridCol w:w="594"/>
      </w:tblGrid>
      <w:tr w:rsidR="00C74DA0" w:rsidRPr="00297E1C" w14:paraId="2CCB00F2" w14:textId="77777777">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EBFD84" w14:textId="77777777" w:rsidR="00C74DA0" w:rsidRPr="00297E1C" w:rsidRDefault="00C74DA0" w:rsidP="009C0B35">
            <w:pPr>
              <w:pStyle w:val="Tablehead"/>
              <w:rPr>
                <w:szCs w:val="24"/>
              </w:rPr>
            </w:pPr>
            <w:proofErr w:type="spellStart"/>
            <w:r w:rsidRPr="00297E1C">
              <w:t>ntc_id</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2696CE6" w14:textId="77777777" w:rsidR="00C74DA0" w:rsidRPr="00297E1C" w:rsidRDefault="00C74DA0" w:rsidP="009C0B35">
            <w:pPr>
              <w:pStyle w:val="Tablehead"/>
              <w:rPr>
                <w:szCs w:val="24"/>
              </w:rPr>
            </w:pPr>
            <w:proofErr w:type="spellStart"/>
            <w:r w:rsidRPr="00297E1C">
              <w:t>adm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37305" w14:textId="77777777" w:rsidR="00C74DA0" w:rsidRPr="00297E1C" w:rsidRDefault="00C74DA0" w:rsidP="009C0B35">
            <w:pPr>
              <w:pStyle w:val="Tablehead"/>
              <w:rPr>
                <w:szCs w:val="24"/>
              </w:rPr>
            </w:pPr>
            <w:proofErr w:type="spellStart"/>
            <w:r w:rsidRPr="00297E1C">
              <w:t>ntwk_org</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E05AE2" w14:textId="77777777" w:rsidR="00C74DA0" w:rsidRPr="00297E1C" w:rsidRDefault="00C74DA0" w:rsidP="009C0B35">
            <w:pPr>
              <w:pStyle w:val="Tablehead"/>
              <w:rPr>
                <w:szCs w:val="24"/>
              </w:rPr>
            </w:pPr>
            <w:proofErr w:type="spellStart"/>
            <w:r w:rsidRPr="00297E1C">
              <w:t>sat_name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0B88A9" w14:textId="77777777" w:rsidR="00C74DA0" w:rsidRPr="00297E1C" w:rsidRDefault="00C74DA0" w:rsidP="009C0B35">
            <w:pPr>
              <w:pStyle w:val="Tablehead"/>
              <w:rPr>
                <w:szCs w:val="24"/>
              </w:rPr>
            </w:pPr>
            <w:proofErr w:type="spellStart"/>
            <w:r w:rsidRPr="00297E1C">
              <w:t>ntc_type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869F47" w14:textId="77777777" w:rsidR="00C74DA0" w:rsidRPr="00297E1C" w:rsidRDefault="00C74DA0" w:rsidP="009C0B35">
            <w:pPr>
              <w:pStyle w:val="Tablehead"/>
              <w:rPr>
                <w:szCs w:val="24"/>
              </w:rPr>
            </w:pPr>
            <w:proofErr w:type="spellStart"/>
            <w:r w:rsidRPr="00297E1C">
              <w:t>ntf_rsn</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991F24" w14:textId="77777777" w:rsidR="00C74DA0" w:rsidRPr="00297E1C" w:rsidRDefault="00C74DA0" w:rsidP="009C0B35">
            <w:pPr>
              <w:pStyle w:val="Tablehead"/>
              <w:rPr>
                <w:szCs w:val="24"/>
              </w:rPr>
            </w:pPr>
            <w:proofErr w:type="spellStart"/>
            <w:r w:rsidRPr="00297E1C">
              <w:t>long_nom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4C7255" w14:textId="77777777" w:rsidR="00C74DA0" w:rsidRPr="00297E1C" w:rsidRDefault="00C74DA0" w:rsidP="009C0B35">
            <w:pPr>
              <w:pStyle w:val="Tablehead"/>
              <w:rPr>
                <w:szCs w:val="24"/>
              </w:rPr>
            </w:pPr>
            <w:proofErr w:type="spellStart"/>
            <w:r w:rsidRPr="00297E1C">
              <w:t>st_cur</w:t>
            </w:r>
            <w:proofErr w:type="spellEnd"/>
          </w:p>
        </w:tc>
      </w:tr>
      <w:tr w:rsidR="00C74DA0" w:rsidRPr="00297E1C" w14:paraId="4C0EFA1D"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F00422" w14:textId="77777777" w:rsidR="00C74DA0" w:rsidRPr="00297E1C" w:rsidRDefault="00C74DA0" w:rsidP="009C0B35">
            <w:pPr>
              <w:pStyle w:val="Tabletext"/>
              <w:rPr>
                <w:szCs w:val="24"/>
              </w:rPr>
            </w:pPr>
            <w:r w:rsidRPr="00297E1C">
              <w:t>321500197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DB3304" w14:textId="77777777" w:rsidR="00C74DA0" w:rsidRPr="00297E1C" w:rsidRDefault="00C74DA0" w:rsidP="009C0B35">
            <w:pPr>
              <w:pStyle w:val="Tabletext"/>
              <w:rPr>
                <w:szCs w:val="24"/>
              </w:rPr>
            </w:pPr>
            <w:r w:rsidRPr="00297E1C">
              <w:t>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40EFCF"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C8A07" w14:textId="77777777" w:rsidR="00C74DA0" w:rsidRPr="00297E1C" w:rsidRDefault="00C74DA0" w:rsidP="009C0B35">
            <w:pPr>
              <w:pStyle w:val="Tabletext"/>
              <w:rPr>
                <w:szCs w:val="24"/>
              </w:rPr>
            </w:pPr>
            <w:r w:rsidRPr="00297E1C">
              <w:t>AUS-NBN-3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88005D"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2D71D"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33998" w14:textId="77777777" w:rsidR="00C74DA0" w:rsidRPr="00297E1C" w:rsidRDefault="00C74DA0" w:rsidP="009C0B35">
            <w:pPr>
              <w:pStyle w:val="Tabletext"/>
              <w:jc w:val="right"/>
              <w:rPr>
                <w:szCs w:val="24"/>
              </w:rPr>
            </w:pPr>
            <w:r w:rsidRPr="00297E1C">
              <w:t>140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54FB1" w14:textId="77777777" w:rsidR="00C74DA0" w:rsidRPr="00297E1C" w:rsidRDefault="00C74DA0" w:rsidP="009C0B35">
            <w:pPr>
              <w:pStyle w:val="Tabletext"/>
              <w:rPr>
                <w:szCs w:val="24"/>
              </w:rPr>
            </w:pPr>
            <w:r w:rsidRPr="00297E1C">
              <w:t>20</w:t>
            </w:r>
          </w:p>
        </w:tc>
      </w:tr>
      <w:tr w:rsidR="00C74DA0" w:rsidRPr="00297E1C" w14:paraId="1A46C0B8"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9E08F1" w14:textId="77777777" w:rsidR="00C74DA0" w:rsidRPr="00297E1C" w:rsidRDefault="00C74DA0" w:rsidP="009C0B35">
            <w:pPr>
              <w:pStyle w:val="Tabletext"/>
              <w:rPr>
                <w:szCs w:val="24"/>
              </w:rPr>
            </w:pPr>
            <w:r w:rsidRPr="00297E1C">
              <w:t>321500198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A00A8" w14:textId="77777777" w:rsidR="00C74DA0" w:rsidRPr="00297E1C" w:rsidRDefault="00C74DA0" w:rsidP="009C0B35">
            <w:pPr>
              <w:pStyle w:val="Tabletext"/>
              <w:rPr>
                <w:szCs w:val="24"/>
              </w:rPr>
            </w:pPr>
            <w:r w:rsidRPr="00297E1C">
              <w:t>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8817A8"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004DB6" w14:textId="77777777" w:rsidR="00C74DA0" w:rsidRPr="00297E1C" w:rsidRDefault="00C74DA0" w:rsidP="009C0B35">
            <w:pPr>
              <w:pStyle w:val="Tabletext"/>
              <w:rPr>
                <w:szCs w:val="24"/>
              </w:rPr>
            </w:pPr>
            <w:r w:rsidRPr="00297E1C">
              <w:t>AUS-NBN-4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B23C78"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C6C373"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4F65C" w14:textId="77777777" w:rsidR="00C74DA0" w:rsidRPr="00297E1C" w:rsidRDefault="00C74DA0" w:rsidP="009C0B35">
            <w:pPr>
              <w:pStyle w:val="Tabletext"/>
              <w:jc w:val="right"/>
              <w:rPr>
                <w:szCs w:val="24"/>
              </w:rPr>
            </w:pPr>
            <w:r w:rsidRPr="00297E1C">
              <w:t>145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ABEA41" w14:textId="77777777" w:rsidR="00C74DA0" w:rsidRPr="00297E1C" w:rsidRDefault="00C74DA0" w:rsidP="009C0B35">
            <w:pPr>
              <w:pStyle w:val="Tabletext"/>
              <w:rPr>
                <w:szCs w:val="24"/>
              </w:rPr>
            </w:pPr>
            <w:r w:rsidRPr="00297E1C">
              <w:t>20</w:t>
            </w:r>
          </w:p>
        </w:tc>
      </w:tr>
      <w:tr w:rsidR="00C74DA0" w:rsidRPr="00297E1C" w14:paraId="72660986"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C051F" w14:textId="77777777" w:rsidR="00C74DA0" w:rsidRPr="00297E1C" w:rsidRDefault="00C74DA0" w:rsidP="009C0B35">
            <w:pPr>
              <w:pStyle w:val="Tabletext"/>
              <w:rPr>
                <w:szCs w:val="24"/>
              </w:rPr>
            </w:pPr>
            <w:r w:rsidRPr="00297E1C">
              <w:t>321500251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D4B89" w14:textId="77777777" w:rsidR="00C74DA0" w:rsidRPr="00297E1C" w:rsidRDefault="00C74DA0" w:rsidP="009C0B35">
            <w:pPr>
              <w:pStyle w:val="Tabletext"/>
              <w:rPr>
                <w:szCs w:val="24"/>
              </w:rPr>
            </w:pPr>
            <w:r w:rsidRPr="00297E1C">
              <w:t>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876F02"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A67F5" w14:textId="77777777" w:rsidR="00C74DA0" w:rsidRPr="00297E1C" w:rsidRDefault="00C74DA0" w:rsidP="009C0B35">
            <w:pPr>
              <w:pStyle w:val="Tabletext"/>
              <w:rPr>
                <w:szCs w:val="24"/>
              </w:rPr>
            </w:pPr>
            <w:r w:rsidRPr="00297E1C">
              <w:t>SE-KA-56.5E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2FFBE"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9D86A"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4043C9" w14:textId="77777777" w:rsidR="00C74DA0" w:rsidRPr="00297E1C" w:rsidRDefault="00C74DA0" w:rsidP="009C0B35">
            <w:pPr>
              <w:pStyle w:val="Tabletext"/>
              <w:jc w:val="right"/>
              <w:rPr>
                <w:szCs w:val="24"/>
              </w:rPr>
            </w:pPr>
            <w:r w:rsidRPr="00297E1C">
              <w:t>56.5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75485E" w14:textId="77777777" w:rsidR="00C74DA0" w:rsidRPr="00297E1C" w:rsidRDefault="00C74DA0" w:rsidP="009C0B35">
            <w:pPr>
              <w:pStyle w:val="Tabletext"/>
              <w:rPr>
                <w:szCs w:val="24"/>
              </w:rPr>
            </w:pPr>
            <w:r w:rsidRPr="00297E1C">
              <w:t>20</w:t>
            </w:r>
          </w:p>
        </w:tc>
      </w:tr>
      <w:tr w:rsidR="00C74DA0" w:rsidRPr="00297E1C" w14:paraId="4BD09FC0"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884F8B" w14:textId="77777777" w:rsidR="00C74DA0" w:rsidRPr="00297E1C" w:rsidRDefault="00C74DA0" w:rsidP="009C0B35">
            <w:pPr>
              <w:pStyle w:val="Tabletext"/>
              <w:rPr>
                <w:szCs w:val="24"/>
              </w:rPr>
            </w:pPr>
            <w:r w:rsidRPr="00297E1C">
              <w:t>322500018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6056B2"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AC446"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8BAEC" w14:textId="77777777" w:rsidR="00C74DA0" w:rsidRPr="00297E1C" w:rsidRDefault="00C74DA0" w:rsidP="009C0B35">
            <w:pPr>
              <w:pStyle w:val="Tabletext"/>
              <w:rPr>
                <w:szCs w:val="24"/>
              </w:rPr>
            </w:pPr>
            <w:r w:rsidRPr="00297E1C">
              <w:t>INMARSAT-KA 55W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7D590"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8C962"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1286CC" w14:textId="77777777" w:rsidR="00C74DA0" w:rsidRPr="00297E1C" w:rsidRDefault="00C74DA0" w:rsidP="009C0B35">
            <w:pPr>
              <w:pStyle w:val="Tabletext"/>
              <w:jc w:val="right"/>
              <w:rPr>
                <w:szCs w:val="24"/>
              </w:rPr>
            </w:pPr>
            <w:r w:rsidRPr="00297E1C">
              <w:t>-55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A23EB" w14:textId="77777777" w:rsidR="00C74DA0" w:rsidRPr="00297E1C" w:rsidRDefault="00C74DA0" w:rsidP="009C0B35">
            <w:pPr>
              <w:pStyle w:val="Tabletext"/>
              <w:rPr>
                <w:szCs w:val="24"/>
              </w:rPr>
            </w:pPr>
            <w:r w:rsidRPr="00297E1C">
              <w:t>20</w:t>
            </w:r>
          </w:p>
        </w:tc>
      </w:tr>
      <w:tr w:rsidR="00C74DA0" w:rsidRPr="00297E1C" w14:paraId="3D654036"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8D5721" w14:textId="77777777" w:rsidR="00C74DA0" w:rsidRPr="00297E1C" w:rsidRDefault="00C74DA0" w:rsidP="009C0B35">
            <w:pPr>
              <w:pStyle w:val="Tabletext"/>
              <w:rPr>
                <w:szCs w:val="24"/>
              </w:rPr>
            </w:pPr>
            <w:r w:rsidRPr="00297E1C">
              <w:t>322500019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544050"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34272A"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CF3187" w14:textId="77777777" w:rsidR="00C74DA0" w:rsidRPr="00297E1C" w:rsidRDefault="00C74DA0" w:rsidP="009C0B35">
            <w:pPr>
              <w:pStyle w:val="Tabletext"/>
              <w:rPr>
                <w:szCs w:val="24"/>
              </w:rPr>
            </w:pPr>
            <w:r w:rsidRPr="00297E1C">
              <w:t>INMARSAT-KA 180E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ABD584"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2B221D"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C8816F" w14:textId="77777777" w:rsidR="00C74DA0" w:rsidRPr="00297E1C" w:rsidRDefault="00C74DA0" w:rsidP="009C0B35">
            <w:pPr>
              <w:pStyle w:val="Tabletext"/>
              <w:jc w:val="right"/>
              <w:rPr>
                <w:szCs w:val="24"/>
              </w:rPr>
            </w:pPr>
            <w:r w:rsidRPr="00297E1C">
              <w:t>180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A636F" w14:textId="77777777" w:rsidR="00C74DA0" w:rsidRPr="00297E1C" w:rsidRDefault="00C74DA0" w:rsidP="009C0B35">
            <w:pPr>
              <w:pStyle w:val="Tabletext"/>
              <w:rPr>
                <w:szCs w:val="24"/>
              </w:rPr>
            </w:pPr>
            <w:r w:rsidRPr="00297E1C">
              <w:t>20</w:t>
            </w:r>
          </w:p>
        </w:tc>
      </w:tr>
      <w:tr w:rsidR="00C74DA0" w:rsidRPr="00297E1C" w14:paraId="4C96FCEE"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D3BDE" w14:textId="77777777" w:rsidR="00C74DA0" w:rsidRPr="00297E1C" w:rsidRDefault="00C74DA0" w:rsidP="009C0B35">
            <w:pPr>
              <w:pStyle w:val="Tabletext"/>
              <w:rPr>
                <w:szCs w:val="24"/>
              </w:rPr>
            </w:pPr>
            <w:r w:rsidRPr="00297E1C">
              <w:t>322500020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CEB533"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0A419D"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8406F0" w14:textId="77777777" w:rsidR="00C74DA0" w:rsidRPr="00297E1C" w:rsidRDefault="00C74DA0" w:rsidP="009C0B35">
            <w:pPr>
              <w:pStyle w:val="Tabletext"/>
              <w:rPr>
                <w:szCs w:val="24"/>
              </w:rPr>
            </w:pPr>
            <w:r w:rsidRPr="00297E1C">
              <w:t>INMARSAT-KA 63E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B1C66"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D4E84"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CA1983" w14:textId="77777777" w:rsidR="00C74DA0" w:rsidRPr="00297E1C" w:rsidRDefault="00C74DA0" w:rsidP="009C0B35">
            <w:pPr>
              <w:pStyle w:val="Tabletext"/>
              <w:jc w:val="right"/>
              <w:rPr>
                <w:szCs w:val="24"/>
              </w:rPr>
            </w:pPr>
            <w:r w:rsidRPr="00297E1C">
              <w:t>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17E4C" w14:textId="77777777" w:rsidR="00C74DA0" w:rsidRPr="00297E1C" w:rsidRDefault="00C74DA0" w:rsidP="009C0B35">
            <w:pPr>
              <w:pStyle w:val="Tabletext"/>
              <w:rPr>
                <w:szCs w:val="24"/>
              </w:rPr>
            </w:pPr>
            <w:r w:rsidRPr="00297E1C">
              <w:t>20</w:t>
            </w:r>
          </w:p>
        </w:tc>
      </w:tr>
      <w:tr w:rsidR="00C74DA0" w:rsidRPr="00297E1C" w14:paraId="6568AE56"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20FB3" w14:textId="77777777" w:rsidR="00C74DA0" w:rsidRPr="00297E1C" w:rsidRDefault="00C74DA0" w:rsidP="009C0B35">
            <w:pPr>
              <w:pStyle w:val="Tabletext"/>
              <w:rPr>
                <w:szCs w:val="24"/>
              </w:rPr>
            </w:pPr>
            <w:r w:rsidRPr="00297E1C">
              <w:t>322500090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D12CAE" w14:textId="77777777" w:rsidR="00C74DA0" w:rsidRPr="00297E1C" w:rsidRDefault="00C74DA0" w:rsidP="009C0B35">
            <w:pPr>
              <w:pStyle w:val="Tabletext"/>
              <w:rPr>
                <w:szCs w:val="24"/>
              </w:rPr>
            </w:pPr>
            <w:r w:rsidRPr="00297E1C">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ABE334"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38337C" w14:textId="77777777" w:rsidR="00C74DA0" w:rsidRPr="00297E1C" w:rsidRDefault="00C74DA0" w:rsidP="009C0B35">
            <w:pPr>
              <w:pStyle w:val="Tabletext"/>
              <w:rPr>
                <w:szCs w:val="24"/>
              </w:rPr>
            </w:pPr>
            <w:r w:rsidRPr="00297E1C">
              <w:t>N-SAT-Y12-144E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1BDD9D"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118109"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02E87" w14:textId="77777777" w:rsidR="00C74DA0" w:rsidRPr="00297E1C" w:rsidRDefault="00C74DA0" w:rsidP="009C0B35">
            <w:pPr>
              <w:pStyle w:val="Tabletext"/>
              <w:jc w:val="right"/>
              <w:rPr>
                <w:szCs w:val="24"/>
              </w:rPr>
            </w:pPr>
            <w:r w:rsidRPr="00297E1C">
              <w:t>144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5DF69" w14:textId="77777777" w:rsidR="00C74DA0" w:rsidRPr="00297E1C" w:rsidRDefault="00C74DA0" w:rsidP="009C0B35">
            <w:pPr>
              <w:pStyle w:val="Tabletext"/>
              <w:rPr>
                <w:szCs w:val="24"/>
              </w:rPr>
            </w:pPr>
            <w:r w:rsidRPr="00297E1C">
              <w:t>20</w:t>
            </w:r>
          </w:p>
        </w:tc>
      </w:tr>
      <w:tr w:rsidR="00C74DA0" w:rsidRPr="00297E1C" w14:paraId="7BDF7BB1"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F5085C" w14:textId="77777777" w:rsidR="00C74DA0" w:rsidRPr="00297E1C" w:rsidRDefault="00C74DA0" w:rsidP="009C0B35">
            <w:pPr>
              <w:pStyle w:val="Tabletext"/>
              <w:rPr>
                <w:szCs w:val="24"/>
              </w:rPr>
            </w:pPr>
            <w:r w:rsidRPr="00297E1C">
              <w:t>322500091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E9994" w14:textId="77777777" w:rsidR="00C74DA0" w:rsidRPr="00297E1C" w:rsidRDefault="00C74DA0" w:rsidP="009C0B35">
            <w:pPr>
              <w:pStyle w:val="Tabletext"/>
              <w:rPr>
                <w:szCs w:val="24"/>
              </w:rPr>
            </w:pPr>
            <w:r w:rsidRPr="00297E1C">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66276"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DC1C58" w14:textId="77777777" w:rsidR="00C74DA0" w:rsidRPr="00297E1C" w:rsidRDefault="00C74DA0" w:rsidP="009C0B35">
            <w:pPr>
              <w:pStyle w:val="Tabletext"/>
              <w:rPr>
                <w:szCs w:val="24"/>
              </w:rPr>
            </w:pPr>
            <w:r w:rsidRPr="00297E1C">
              <w:t>N-SAT-Y12-150E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380D6B"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67BD93"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E0AC69" w14:textId="77777777" w:rsidR="00C74DA0" w:rsidRPr="00297E1C" w:rsidRDefault="00C74DA0" w:rsidP="009C0B35">
            <w:pPr>
              <w:pStyle w:val="Tabletext"/>
              <w:jc w:val="right"/>
              <w:rPr>
                <w:szCs w:val="24"/>
              </w:rPr>
            </w:pPr>
            <w:r w:rsidRPr="00297E1C">
              <w:t>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30339" w14:textId="77777777" w:rsidR="00C74DA0" w:rsidRPr="00297E1C" w:rsidRDefault="00C74DA0" w:rsidP="009C0B35">
            <w:pPr>
              <w:pStyle w:val="Tabletext"/>
              <w:rPr>
                <w:szCs w:val="24"/>
              </w:rPr>
            </w:pPr>
            <w:r w:rsidRPr="00297E1C">
              <w:t>20</w:t>
            </w:r>
          </w:p>
        </w:tc>
      </w:tr>
      <w:tr w:rsidR="00C74DA0" w:rsidRPr="00297E1C" w14:paraId="475460FC"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993B46" w14:textId="77777777" w:rsidR="00C74DA0" w:rsidRPr="00297E1C" w:rsidRDefault="00C74DA0" w:rsidP="009C0B35">
            <w:pPr>
              <w:pStyle w:val="Tabletext"/>
              <w:rPr>
                <w:szCs w:val="24"/>
              </w:rPr>
            </w:pPr>
            <w:r w:rsidRPr="00297E1C">
              <w:t>322500092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83BD93" w14:textId="77777777" w:rsidR="00C74DA0" w:rsidRPr="00297E1C" w:rsidRDefault="00C74DA0" w:rsidP="009C0B35">
            <w:pPr>
              <w:pStyle w:val="Tabletext"/>
              <w:rPr>
                <w:szCs w:val="24"/>
              </w:rPr>
            </w:pPr>
            <w:r w:rsidRPr="00297E1C">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0CA5BD"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3F2EBC" w14:textId="77777777" w:rsidR="00C74DA0" w:rsidRPr="00297E1C" w:rsidRDefault="00C74DA0" w:rsidP="009C0B35">
            <w:pPr>
              <w:pStyle w:val="Tabletext"/>
              <w:rPr>
                <w:szCs w:val="24"/>
              </w:rPr>
            </w:pPr>
            <w:r w:rsidRPr="00297E1C">
              <w:t>SUPERBIRD-B2-R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0AB6D"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ED593B"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84DDBD" w14:textId="77777777" w:rsidR="00C74DA0" w:rsidRPr="00297E1C" w:rsidRDefault="00C74DA0" w:rsidP="009C0B35">
            <w:pPr>
              <w:pStyle w:val="Tabletext"/>
              <w:jc w:val="right"/>
              <w:rPr>
                <w:szCs w:val="24"/>
              </w:rPr>
            </w:pPr>
            <w:r w:rsidRPr="00297E1C">
              <w:t>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B6310" w14:textId="77777777" w:rsidR="00C74DA0" w:rsidRPr="00297E1C" w:rsidRDefault="00C74DA0" w:rsidP="009C0B35">
            <w:pPr>
              <w:pStyle w:val="Tabletext"/>
              <w:rPr>
                <w:szCs w:val="24"/>
              </w:rPr>
            </w:pPr>
            <w:r w:rsidRPr="00297E1C">
              <w:t>20</w:t>
            </w:r>
          </w:p>
        </w:tc>
      </w:tr>
      <w:tr w:rsidR="00C74DA0" w:rsidRPr="00297E1C" w14:paraId="749DB7CE" w14:textId="77777777">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198D46" w14:textId="77777777" w:rsidR="00C74DA0" w:rsidRPr="00297E1C" w:rsidRDefault="00C74DA0" w:rsidP="009C0B35">
            <w:pPr>
              <w:pStyle w:val="Tabletext"/>
              <w:rPr>
                <w:szCs w:val="24"/>
              </w:rPr>
            </w:pPr>
            <w:r w:rsidRPr="00297E1C">
              <w:t>323500057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4D7538" w14:textId="77777777" w:rsidR="00C74DA0" w:rsidRPr="00297E1C" w:rsidRDefault="00C74DA0" w:rsidP="009C0B35">
            <w:pPr>
              <w:pStyle w:val="Tabletext"/>
              <w:rPr>
                <w:szCs w:val="24"/>
              </w:rPr>
            </w:pPr>
            <w:r w:rsidRPr="00297E1C">
              <w:t>TUR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96C76D" w14:textId="77777777" w:rsidR="00C74DA0" w:rsidRPr="00297E1C" w:rsidRDefault="00C74DA0" w:rsidP="009C0B35">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D7199" w14:textId="77777777" w:rsidR="00C74DA0" w:rsidRPr="00297E1C" w:rsidRDefault="00C74DA0" w:rsidP="009C0B35">
            <w:pPr>
              <w:pStyle w:val="Tabletext"/>
              <w:rPr>
                <w:szCs w:val="24"/>
              </w:rPr>
            </w:pPr>
            <w:r w:rsidRPr="00297E1C">
              <w:t>TURKSAT-42E-B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BBB9F" w14:textId="77777777" w:rsidR="00C74DA0" w:rsidRPr="00297E1C" w:rsidRDefault="00C74DA0" w:rsidP="009C0B35">
            <w:pPr>
              <w:pStyle w:val="Tabletext"/>
              <w:rPr>
                <w:szCs w:val="24"/>
              </w:rPr>
            </w:pPr>
            <w:r w:rsidRPr="00297E1C">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498FB7" w14:textId="77777777" w:rsidR="00C74DA0" w:rsidRPr="00297E1C" w:rsidRDefault="00C74DA0" w:rsidP="009C0B35">
            <w:pPr>
              <w:pStyle w:val="Tabletext"/>
              <w:rPr>
                <w:szCs w:val="24"/>
              </w:rPr>
            </w:pPr>
            <w:r w:rsidRPr="00297E1C">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1B27DC" w14:textId="77777777" w:rsidR="00C74DA0" w:rsidRPr="00297E1C" w:rsidRDefault="00C74DA0" w:rsidP="009C0B35">
            <w:pPr>
              <w:pStyle w:val="Tabletext"/>
              <w:jc w:val="right"/>
              <w:rPr>
                <w:szCs w:val="24"/>
              </w:rPr>
            </w:pPr>
            <w:r w:rsidRPr="00297E1C">
              <w:t>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D50E98" w14:textId="77777777" w:rsidR="00C74DA0" w:rsidRPr="00297E1C" w:rsidRDefault="00C74DA0" w:rsidP="009C0B35">
            <w:pPr>
              <w:pStyle w:val="Tabletext"/>
              <w:rPr>
                <w:szCs w:val="24"/>
              </w:rPr>
            </w:pPr>
            <w:r w:rsidRPr="00297E1C">
              <w:t>20</w:t>
            </w:r>
          </w:p>
        </w:tc>
      </w:tr>
    </w:tbl>
    <w:p w14:paraId="61A14AD3" w14:textId="77777777" w:rsidR="00C74DA0" w:rsidRDefault="00C74DA0" w:rsidP="009C0B35">
      <w:pPr>
        <w:pStyle w:val="Tablefin"/>
      </w:pPr>
    </w:p>
    <w:p w14:paraId="03C07D90" w14:textId="68B21B63" w:rsidR="00C74DA0" w:rsidRPr="00F51A57" w:rsidRDefault="00C74DA0" w:rsidP="00C74DA0">
      <w:r w:rsidRPr="00F51A57">
        <w:t>These notices contain groups of frequency assignments with the 3 classes</w:t>
      </w:r>
      <w:r>
        <w:t xml:space="preserve"> of station</w:t>
      </w:r>
      <w:r w:rsidRPr="00F51A57">
        <w:t xml:space="preserve"> UU, UO and US. For receiving beams, Bureau had to </w:t>
      </w:r>
      <w:r>
        <w:t>split</w:t>
      </w:r>
      <w:r w:rsidRPr="00F51A57">
        <w:t xml:space="preserve"> the frequency assignment groups into two groups (one group with the class </w:t>
      </w:r>
      <w:r>
        <w:t xml:space="preserve">of station </w:t>
      </w:r>
      <w:r w:rsidRPr="00F51A57">
        <w:t>UO and another group with classes</w:t>
      </w:r>
      <w:r>
        <w:t xml:space="preserve"> of station</w:t>
      </w:r>
      <w:r w:rsidRPr="00F51A57">
        <w:t xml:space="preserve"> UU and US) </w:t>
      </w:r>
      <w:proofErr w:type="gramStart"/>
      <w:r w:rsidRPr="00F51A57">
        <w:t>in order to</w:t>
      </w:r>
      <w:proofErr w:type="gramEnd"/>
      <w:r w:rsidRPr="00F51A57">
        <w:t xml:space="preserve"> formulate the appropriate </w:t>
      </w:r>
      <w:r>
        <w:t>findings</w:t>
      </w:r>
      <w:r w:rsidRPr="00F51A57">
        <w:t xml:space="preserve"> according to the types of ESIM. The groups </w:t>
      </w:r>
      <w:r>
        <w:t xml:space="preserve">of </w:t>
      </w:r>
      <w:r w:rsidRPr="00F51A57">
        <w:t xml:space="preserve">frequency assignment with </w:t>
      </w:r>
      <w:r>
        <w:t>class</w:t>
      </w:r>
      <w:r w:rsidRPr="00F51A57">
        <w:t xml:space="preserve"> </w:t>
      </w:r>
      <w:r>
        <w:t xml:space="preserve">of station </w:t>
      </w:r>
      <w:r w:rsidRPr="00F51A57">
        <w:t xml:space="preserve">UO </w:t>
      </w:r>
      <w:r>
        <w:t xml:space="preserve">are given qualified favourable finding under No. </w:t>
      </w:r>
      <w:r w:rsidRPr="002A0E26">
        <w:rPr>
          <w:b/>
          <w:bCs/>
        </w:rPr>
        <w:t>11.31</w:t>
      </w:r>
      <w:r>
        <w:t xml:space="preserve"> in accordance with resolves </w:t>
      </w:r>
      <w:r w:rsidRPr="002A0E26">
        <w:rPr>
          <w:b/>
          <w:bCs/>
        </w:rPr>
        <w:t>7</w:t>
      </w:r>
      <w:r>
        <w:t xml:space="preserve"> and </w:t>
      </w:r>
      <w:r w:rsidRPr="002A0E26">
        <w:rPr>
          <w:b/>
          <w:bCs/>
        </w:rPr>
        <w:t>8</w:t>
      </w:r>
      <w:r>
        <w:t xml:space="preserve"> of Resolution </w:t>
      </w:r>
      <w:r w:rsidRPr="002A0E26">
        <w:rPr>
          <w:b/>
          <w:bCs/>
        </w:rPr>
        <w:t>169</w:t>
      </w:r>
      <w:r w:rsidR="009C0B35">
        <w:rPr>
          <w:b/>
          <w:bCs/>
        </w:rPr>
        <w:t xml:space="preserve"> </w:t>
      </w:r>
      <w:r w:rsidR="009C0B35" w:rsidRPr="007E1A02">
        <w:rPr>
          <w:b/>
          <w:bCs/>
        </w:rPr>
        <w:t>(WRC-19)</w:t>
      </w:r>
      <w:r>
        <w:t>.</w:t>
      </w:r>
    </w:p>
    <w:p w14:paraId="0A9DA8ED" w14:textId="13D1A5FF" w:rsidR="00C74DA0" w:rsidRDefault="00C74DA0" w:rsidP="00C74DA0">
      <w:r>
        <w:t>A</w:t>
      </w:r>
      <w:r w:rsidRPr="00D62C38">
        <w:t>ll groups</w:t>
      </w:r>
      <w:r>
        <w:t xml:space="preserve"> of frequency assignments</w:t>
      </w:r>
      <w:r w:rsidRPr="00D62C38">
        <w:t xml:space="preserve"> received favourable </w:t>
      </w:r>
      <w:r>
        <w:t>findings</w:t>
      </w:r>
      <w:r w:rsidRPr="00D62C38">
        <w:t xml:space="preserve"> in 8 of the 10 notification</w:t>
      </w:r>
      <w:r>
        <w:t xml:space="preserve"> notices</w:t>
      </w:r>
      <w:r w:rsidRPr="00D62C38">
        <w:t xml:space="preserve">. </w:t>
      </w:r>
      <w:r>
        <w:t>For</w:t>
      </w:r>
      <w:r w:rsidRPr="00D62C38">
        <w:t xml:space="preserve"> </w:t>
      </w:r>
      <w:r>
        <w:t xml:space="preserve">2 notification notices (from AUS), </w:t>
      </w:r>
      <w:r w:rsidRPr="00D62C38">
        <w:t>some groups</w:t>
      </w:r>
      <w:r>
        <w:t xml:space="preserve"> of frequency assignments </w:t>
      </w:r>
      <w:r w:rsidRPr="00D62C38">
        <w:t xml:space="preserve">received unfavourable </w:t>
      </w:r>
      <w:r>
        <w:t xml:space="preserve">findings in accordance with </w:t>
      </w:r>
      <w:r w:rsidRPr="00173797">
        <w:rPr>
          <w:i/>
          <w:iCs/>
        </w:rPr>
        <w:t>resolves</w:t>
      </w:r>
      <w:r>
        <w:t xml:space="preserve"> 1.1.1 of Resolution </w:t>
      </w:r>
      <w:r w:rsidRPr="007E1A02">
        <w:rPr>
          <w:b/>
          <w:bCs/>
        </w:rPr>
        <w:t>169 (WRC-19)</w:t>
      </w:r>
      <w:r>
        <w:t xml:space="preserve"> since the ESIM characteristics are not within the envelope characteristics of typical earth stations associated.</w:t>
      </w:r>
    </w:p>
    <w:p w14:paraId="5D6634A2" w14:textId="77777777" w:rsidR="00C74DA0" w:rsidRPr="00C66E29" w:rsidRDefault="00C74DA0" w:rsidP="00C74DA0">
      <w:pPr>
        <w:pStyle w:val="Heading4"/>
      </w:pPr>
      <w:r w:rsidRPr="00C66E29">
        <w:t>2.2.4.</w:t>
      </w:r>
      <w:r>
        <w:t>5</w:t>
      </w:r>
      <w:r w:rsidRPr="00C66E29">
        <w:tab/>
        <w:t xml:space="preserve">Resolution 552 (Rev.WRC-15) </w:t>
      </w:r>
    </w:p>
    <w:p w14:paraId="34FE0EF5" w14:textId="77777777" w:rsidR="00C74DA0" w:rsidRPr="00C66E29" w:rsidRDefault="00C74DA0" w:rsidP="00C74DA0">
      <w:r w:rsidRPr="00C66E29">
        <w:rPr>
          <w:lang w:val="en-US"/>
        </w:rPr>
        <w:t xml:space="preserve">WRC-15 revised Resolution </w:t>
      </w:r>
      <w:r w:rsidRPr="00C66E29">
        <w:rPr>
          <w:b/>
          <w:bCs/>
          <w:lang w:val="en-US"/>
        </w:rPr>
        <w:t>552</w:t>
      </w:r>
      <w:r w:rsidRPr="00C66E29">
        <w:rPr>
          <w:lang w:val="en-US"/>
        </w:rPr>
        <w:t xml:space="preserve"> </w:t>
      </w:r>
      <w:r w:rsidRPr="00C66E29">
        <w:rPr>
          <w:b/>
          <w:bCs/>
          <w:lang w:val="en-US"/>
        </w:rPr>
        <w:t xml:space="preserve">(Rev.WRC-15) </w:t>
      </w:r>
      <w:r w:rsidRPr="00C66E29">
        <w:rPr>
          <w:lang w:val="en-US"/>
        </w:rPr>
        <w:t xml:space="preserve">on </w:t>
      </w:r>
      <w:r w:rsidRPr="009C0B35">
        <w:rPr>
          <w:i/>
          <w:iCs/>
          <w:lang w:val="en-US"/>
        </w:rPr>
        <w:t>“Long-term access to and development in the band 21.4-22 GHz in Regions 1 and 3”</w:t>
      </w:r>
      <w:r w:rsidRPr="00C66E29">
        <w:rPr>
          <w:lang w:val="en-US"/>
        </w:rPr>
        <w:t>, which requests administrations to provide certain specific information for geostationary-satellite networks in the BSS in the 21.4-22 GHz band and t</w:t>
      </w:r>
      <w:r w:rsidRPr="00C66E29">
        <w:t xml:space="preserve">he Bureau to report to future competent World Radiocommunication Conferences the results of the implementation of this Resolution. </w:t>
      </w:r>
    </w:p>
    <w:p w14:paraId="11909A42" w14:textId="77777777" w:rsidR="00C74DA0" w:rsidRPr="00C66E29" w:rsidRDefault="00C74DA0" w:rsidP="00C74DA0">
      <w:r w:rsidRPr="00C66E29">
        <w:t>The number of submissions received by the Bureau under this Resolution between 2019-2023 are shown in the table below:</w:t>
      </w:r>
    </w:p>
    <w:p w14:paraId="737A93DD" w14:textId="77777777" w:rsidR="00C74DA0" w:rsidRPr="00C66E29" w:rsidRDefault="00C74DA0" w:rsidP="00C74DA0"/>
    <w:tbl>
      <w:tblPr>
        <w:tblW w:w="3867" w:type="dxa"/>
        <w:jc w:val="center"/>
        <w:tblCellMar>
          <w:left w:w="0" w:type="dxa"/>
          <w:right w:w="0" w:type="dxa"/>
        </w:tblCellMar>
        <w:tblLook w:val="04A0" w:firstRow="1" w:lastRow="0" w:firstColumn="1" w:lastColumn="0" w:noHBand="0" w:noVBand="1"/>
      </w:tblPr>
      <w:tblGrid>
        <w:gridCol w:w="1140"/>
        <w:gridCol w:w="2727"/>
      </w:tblGrid>
      <w:tr w:rsidR="00C74DA0" w:rsidRPr="009C0B35" w14:paraId="5802F6EB" w14:textId="77777777">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408786D6" w14:textId="674E60E7" w:rsidR="00C74DA0" w:rsidRPr="009C0B35" w:rsidRDefault="00C74DA0" w:rsidP="009C0B35">
            <w:pPr>
              <w:pStyle w:val="Tablehead"/>
            </w:pPr>
            <w:r w:rsidRPr="009C0B35">
              <w:t>Y</w:t>
            </w:r>
            <w:r w:rsidR="009C0B35" w:rsidRPr="009C0B35">
              <w:t>ear</w:t>
            </w:r>
          </w:p>
        </w:tc>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C9BD5" w14:textId="1FC10712" w:rsidR="00C74DA0" w:rsidRPr="009C0B35" w:rsidRDefault="00C74DA0" w:rsidP="009C0B35">
            <w:pPr>
              <w:pStyle w:val="Tablehead"/>
            </w:pPr>
            <w:r w:rsidRPr="009C0B35">
              <w:t>N</w:t>
            </w:r>
            <w:r w:rsidR="009C0B35" w:rsidRPr="009C0B35">
              <w:t>umber of submissions</w:t>
            </w:r>
          </w:p>
        </w:tc>
      </w:tr>
      <w:tr w:rsidR="00C74DA0" w:rsidRPr="00C66E29" w14:paraId="36A1E16A" w14:textId="77777777">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04C78C96" w14:textId="77777777" w:rsidR="00C74DA0" w:rsidRPr="009C0B35" w:rsidRDefault="00C74DA0" w:rsidP="009C0B35">
            <w:pPr>
              <w:pStyle w:val="Tabletext"/>
              <w:jc w:val="center"/>
            </w:pPr>
            <w:r w:rsidRPr="009C0B35">
              <w:t>2019</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6690997" w14:textId="77777777" w:rsidR="00C74DA0" w:rsidRPr="009C0B35" w:rsidRDefault="00C74DA0" w:rsidP="009C0B35">
            <w:pPr>
              <w:pStyle w:val="Tabletext"/>
              <w:jc w:val="center"/>
            </w:pPr>
            <w:r w:rsidRPr="009C0B35">
              <w:t>6</w:t>
            </w:r>
          </w:p>
        </w:tc>
      </w:tr>
      <w:tr w:rsidR="00C74DA0" w:rsidRPr="00C66E29" w14:paraId="573A6F36" w14:textId="77777777">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7B516736" w14:textId="77777777" w:rsidR="00C74DA0" w:rsidRPr="009C0B35" w:rsidRDefault="00C74DA0" w:rsidP="009C0B35">
            <w:pPr>
              <w:pStyle w:val="Tabletext"/>
              <w:jc w:val="center"/>
            </w:pPr>
            <w:r w:rsidRPr="009C0B35">
              <w:t>2020</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CF17C4C" w14:textId="77777777" w:rsidR="00C74DA0" w:rsidRPr="009C0B35" w:rsidRDefault="00C74DA0" w:rsidP="009C0B35">
            <w:pPr>
              <w:pStyle w:val="Tabletext"/>
              <w:jc w:val="center"/>
            </w:pPr>
            <w:r w:rsidRPr="009C0B35">
              <w:t>2</w:t>
            </w:r>
          </w:p>
        </w:tc>
      </w:tr>
      <w:tr w:rsidR="00C74DA0" w:rsidRPr="00C66E29" w14:paraId="6DFFD314" w14:textId="77777777">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77C95157" w14:textId="77777777" w:rsidR="00C74DA0" w:rsidRPr="009C0B35" w:rsidRDefault="00C74DA0" w:rsidP="009C0B35">
            <w:pPr>
              <w:pStyle w:val="Tabletext"/>
              <w:jc w:val="center"/>
            </w:pPr>
            <w:r w:rsidRPr="009C0B35">
              <w:t>2021</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14277F0" w14:textId="77777777" w:rsidR="00C74DA0" w:rsidRPr="009C0B35" w:rsidRDefault="00C74DA0" w:rsidP="009C0B35">
            <w:pPr>
              <w:pStyle w:val="Tabletext"/>
              <w:jc w:val="center"/>
            </w:pPr>
            <w:r w:rsidRPr="009C0B35">
              <w:t>6</w:t>
            </w:r>
          </w:p>
        </w:tc>
      </w:tr>
      <w:tr w:rsidR="00C74DA0" w:rsidRPr="00C66E29" w14:paraId="7A8481B7" w14:textId="77777777">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0A519C82" w14:textId="77777777" w:rsidR="00C74DA0" w:rsidRPr="009C0B35" w:rsidRDefault="00C74DA0" w:rsidP="009C0B35">
            <w:pPr>
              <w:pStyle w:val="Tabletext"/>
              <w:jc w:val="center"/>
            </w:pPr>
            <w:r w:rsidRPr="009C0B35">
              <w:t>2022</w:t>
            </w:r>
          </w:p>
        </w:tc>
        <w:tc>
          <w:tcPr>
            <w:tcW w:w="27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EDD800" w14:textId="77777777" w:rsidR="00C74DA0" w:rsidRPr="009C0B35" w:rsidRDefault="00C74DA0" w:rsidP="009C0B35">
            <w:pPr>
              <w:pStyle w:val="Tabletext"/>
              <w:jc w:val="center"/>
            </w:pPr>
            <w:r w:rsidRPr="009C0B35">
              <w:t>4</w:t>
            </w:r>
          </w:p>
        </w:tc>
      </w:tr>
      <w:tr w:rsidR="00C74DA0" w:rsidRPr="00C66E29" w14:paraId="3AF3B205" w14:textId="77777777">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871444A" w14:textId="77777777" w:rsidR="00C74DA0" w:rsidRPr="009C0B35" w:rsidRDefault="00C74DA0" w:rsidP="009C0B35">
            <w:pPr>
              <w:pStyle w:val="Tabletext"/>
              <w:jc w:val="center"/>
            </w:pPr>
            <w:r w:rsidRPr="009C0B35">
              <w:t>2023</w:t>
            </w:r>
          </w:p>
        </w:tc>
        <w:tc>
          <w:tcPr>
            <w:tcW w:w="27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5599A2" w14:textId="77777777" w:rsidR="00C74DA0" w:rsidRPr="009C0B35" w:rsidRDefault="00C74DA0" w:rsidP="009C0B35">
            <w:pPr>
              <w:pStyle w:val="Tabletext"/>
              <w:jc w:val="center"/>
            </w:pPr>
            <w:r w:rsidRPr="009C0B35">
              <w:t>1</w:t>
            </w:r>
          </w:p>
        </w:tc>
      </w:tr>
    </w:tbl>
    <w:p w14:paraId="32013F50" w14:textId="77777777" w:rsidR="00C74DA0" w:rsidRDefault="00C74DA0" w:rsidP="009C0B35">
      <w:pPr>
        <w:pStyle w:val="Tablefin"/>
      </w:pPr>
    </w:p>
    <w:p w14:paraId="74E69D33" w14:textId="77777777" w:rsidR="00C74DA0" w:rsidRPr="00C66E29" w:rsidRDefault="00C74DA0" w:rsidP="009C0B35">
      <w:pPr>
        <w:pStyle w:val="Heading4"/>
      </w:pPr>
      <w:r w:rsidRPr="00C66E29">
        <w:t>2.</w:t>
      </w:r>
      <w:r>
        <w:t>2.4.6</w:t>
      </w:r>
      <w:r w:rsidRPr="00C66E29">
        <w:tab/>
        <w:t>Resolution 609 (Rev.WRC</w:t>
      </w:r>
      <w:r w:rsidRPr="00C66E29">
        <w:noBreakHyphen/>
        <w:t>07)</w:t>
      </w:r>
    </w:p>
    <w:p w14:paraId="4E29B61F" w14:textId="54B94DC4" w:rsidR="00C74DA0" w:rsidRPr="00C66E29" w:rsidRDefault="00C74DA0" w:rsidP="00C74DA0">
      <w:r w:rsidRPr="00C66E29">
        <w:t xml:space="preserve">Resolution </w:t>
      </w:r>
      <w:r w:rsidRPr="00C66E29">
        <w:rPr>
          <w:b/>
          <w:bCs/>
        </w:rPr>
        <w:t>609</w:t>
      </w:r>
      <w:r w:rsidRPr="00C66E29">
        <w:t xml:space="preserve"> </w:t>
      </w:r>
      <w:r w:rsidRPr="009C0B35">
        <w:rPr>
          <w:b/>
          <w:bCs/>
        </w:rPr>
        <w:t>(Rev.WRC</w:t>
      </w:r>
      <w:r w:rsidRPr="009C0B35">
        <w:rPr>
          <w:b/>
          <w:bCs/>
        </w:rPr>
        <w:noBreakHyphen/>
        <w:t>07)</w:t>
      </w:r>
      <w:r w:rsidRPr="00C66E29">
        <w:t xml:space="preserve"> instructs the Radiocommunication Bureau to participate to the consultation meetings referred to under </w:t>
      </w:r>
      <w:r w:rsidRPr="00C66E29">
        <w:rPr>
          <w:i/>
          <w:iCs/>
        </w:rPr>
        <w:t>resolves</w:t>
      </w:r>
      <w:r w:rsidRPr="00C66E29">
        <w:t xml:space="preserve"> 6 of this resolution, to determine whether the </w:t>
      </w:r>
      <w:proofErr w:type="spellStart"/>
      <w:r w:rsidRPr="00C66E29">
        <w:t>pfd</w:t>
      </w:r>
      <w:proofErr w:type="spellEnd"/>
      <w:r w:rsidRPr="00C66E29">
        <w:t xml:space="preserve"> level in </w:t>
      </w:r>
      <w:r w:rsidRPr="00C66E29">
        <w:rPr>
          <w:i/>
          <w:iCs/>
        </w:rPr>
        <w:t>recommends</w:t>
      </w:r>
      <w:r w:rsidRPr="00C66E29">
        <w:t xml:space="preserve"> 1 of Recommendation </w:t>
      </w:r>
      <w:r w:rsidRPr="00C66E29">
        <w:rPr>
          <w:b/>
          <w:bCs/>
        </w:rPr>
        <w:t>608</w:t>
      </w:r>
      <w:r w:rsidRPr="00C66E29">
        <w:t xml:space="preserve"> </w:t>
      </w:r>
      <w:r w:rsidRPr="009C0B35">
        <w:rPr>
          <w:b/>
          <w:bCs/>
        </w:rPr>
        <w:t>(Rev.WRC</w:t>
      </w:r>
      <w:r w:rsidRPr="009C0B35">
        <w:rPr>
          <w:b/>
          <w:bCs/>
        </w:rPr>
        <w:noBreakHyphen/>
        <w:t xml:space="preserve">07) </w:t>
      </w:r>
      <w:r w:rsidRPr="00C66E29">
        <w:t xml:space="preserve">is exceeded by any space station that is subject to this resolution, to report the findings of this determination to the participants of these consultation meetings, and to observe carefully results of the </w:t>
      </w:r>
      <w:proofErr w:type="spellStart"/>
      <w:r w:rsidRPr="00C66E29">
        <w:t>epfd</w:t>
      </w:r>
      <w:proofErr w:type="spellEnd"/>
      <w:r w:rsidRPr="00C66E29">
        <w:t xml:space="preserve"> calculation mentioned in </w:t>
      </w:r>
      <w:r w:rsidRPr="00C66E29">
        <w:rPr>
          <w:i/>
          <w:iCs/>
        </w:rPr>
        <w:t>resolves</w:t>
      </w:r>
      <w:r w:rsidRPr="00C66E29">
        <w:t xml:space="preserve"> 1.</w:t>
      </w:r>
    </w:p>
    <w:p w14:paraId="313CA232" w14:textId="77777777" w:rsidR="00C74DA0" w:rsidRPr="00C66E29" w:rsidRDefault="00C74DA0" w:rsidP="00C74DA0">
      <w:pPr>
        <w:rPr>
          <w:szCs w:val="24"/>
        </w:rPr>
      </w:pPr>
      <w:proofErr w:type="gramStart"/>
      <w:r w:rsidRPr="00C66E29">
        <w:rPr>
          <w:szCs w:val="24"/>
        </w:rPr>
        <w:t>In order to</w:t>
      </w:r>
      <w:proofErr w:type="gramEnd"/>
      <w:r w:rsidRPr="00C66E29">
        <w:rPr>
          <w:szCs w:val="24"/>
        </w:rPr>
        <w:t xml:space="preserve"> assist administrations and ensure compliance with the mentioned tasks, the Bureau is actively maintaining an up-to-date list of satellite network filings submitted under Articles </w:t>
      </w:r>
      <w:r w:rsidRPr="00C66E29">
        <w:rPr>
          <w:b/>
          <w:szCs w:val="24"/>
        </w:rPr>
        <w:t>9</w:t>
      </w:r>
      <w:r w:rsidRPr="00C66E29">
        <w:rPr>
          <w:szCs w:val="24"/>
        </w:rPr>
        <w:t xml:space="preserve"> and </w:t>
      </w:r>
      <w:r w:rsidRPr="00C66E29">
        <w:rPr>
          <w:b/>
          <w:szCs w:val="24"/>
        </w:rPr>
        <w:t>11</w:t>
      </w:r>
      <w:r w:rsidRPr="00C66E29">
        <w:rPr>
          <w:szCs w:val="24"/>
        </w:rPr>
        <w:t xml:space="preserve"> that contain RNSS frequency assignments in the 1 164-1 215 MHz band. As of 8 April 2023, this list contains 182 satellite network filings (including CR/C and Part-I/II-S), published in BR IFIC, representing a total of 176 satellite networks or systems from 30 administrations (including intergovernmental organizations</w:t>
      </w:r>
      <w:proofErr w:type="gramStart"/>
      <w:r w:rsidRPr="00C66E29">
        <w:rPr>
          <w:szCs w:val="24"/>
        </w:rPr>
        <w:t>).Among</w:t>
      </w:r>
      <w:proofErr w:type="gramEnd"/>
      <w:r w:rsidRPr="00C66E29">
        <w:rPr>
          <w:szCs w:val="24"/>
        </w:rPr>
        <w:t xml:space="preserve"> these filings, there are 128 GSO and 48 non-GSO satellite networks. The Bureau also maintained a Resolution </w:t>
      </w:r>
      <w:r w:rsidRPr="00C66E29">
        <w:rPr>
          <w:b/>
          <w:bCs/>
          <w:szCs w:val="24"/>
        </w:rPr>
        <w:t>609</w:t>
      </w:r>
      <w:r w:rsidRPr="00C66E29">
        <w:rPr>
          <w:szCs w:val="24"/>
        </w:rPr>
        <w:t xml:space="preserve"> (Rev.WRC</w:t>
      </w:r>
      <w:r w:rsidRPr="00C66E29">
        <w:rPr>
          <w:szCs w:val="24"/>
        </w:rPr>
        <w:noBreakHyphen/>
        <w:t xml:space="preserve">07) webpage and </w:t>
      </w:r>
      <w:proofErr w:type="spellStart"/>
      <w:r w:rsidRPr="00C66E29">
        <w:rPr>
          <w:szCs w:val="24"/>
        </w:rPr>
        <w:t>sharepoint</w:t>
      </w:r>
      <w:proofErr w:type="spellEnd"/>
      <w:r w:rsidRPr="00C66E29">
        <w:rPr>
          <w:szCs w:val="24"/>
        </w:rPr>
        <w:t xml:space="preserve"> site, at </w:t>
      </w:r>
      <w:hyperlink r:id="rId33" w:history="1">
        <w:r w:rsidRPr="00C66E29">
          <w:rPr>
            <w:rStyle w:val="Hyperlink"/>
            <w:szCs w:val="24"/>
          </w:rPr>
          <w:t>https://www.itu.int/en/ITU-R/space/Pages/res609.aspx</w:t>
        </w:r>
      </w:hyperlink>
      <w:r w:rsidRPr="00C66E29">
        <w:rPr>
          <w:rStyle w:val="Hyperlink"/>
          <w:szCs w:val="24"/>
        </w:rPr>
        <w:t xml:space="preserve">, </w:t>
      </w:r>
      <w:r w:rsidRPr="00C66E29">
        <w:rPr>
          <w:szCs w:val="24"/>
        </w:rPr>
        <w:t>for submission and exchange of information between the participants of the consultation meetings as well as for any administration interested in these meetings.</w:t>
      </w:r>
    </w:p>
    <w:p w14:paraId="7E273752" w14:textId="120B6D10" w:rsidR="00C74DA0" w:rsidRPr="00C66E29" w:rsidRDefault="00091AB4" w:rsidP="00C74DA0">
      <w:r>
        <w:t>Nineteen (</w:t>
      </w:r>
      <w:r w:rsidR="00C74DA0" w:rsidRPr="00C66E29">
        <w:t>19</w:t>
      </w:r>
      <w:r>
        <w:t>)</w:t>
      </w:r>
      <w:r w:rsidR="00C74DA0" w:rsidRPr="00C66E29">
        <w:t xml:space="preserve"> Resolution </w:t>
      </w:r>
      <w:r w:rsidR="00C74DA0" w:rsidRPr="00C66E29">
        <w:rPr>
          <w:b/>
        </w:rPr>
        <w:t xml:space="preserve">609 </w:t>
      </w:r>
      <w:r w:rsidR="00C74DA0" w:rsidRPr="00091AB4">
        <w:rPr>
          <w:b/>
        </w:rPr>
        <w:t>(Rev.WRC</w:t>
      </w:r>
      <w:r w:rsidR="00C74DA0" w:rsidRPr="00091AB4">
        <w:rPr>
          <w:b/>
        </w:rPr>
        <w:noBreakHyphen/>
        <w:t>07)</w:t>
      </w:r>
      <w:r w:rsidR="00C74DA0" w:rsidRPr="00C66E29">
        <w:t xml:space="preserve"> Consultation Meetings have been held so far (Geneva-2003, Ottawa-2004, Munich-2005, Bangalore-2006, Xi’an-2007, Correspondence Meeting-2009, Toulouse-2010, Geneva-2011, Tokyo-2012, Los Angeles-2013, Shenzhen-2014, Correspondence Meeting-2015, Auckland-2016, Correspondence Meeting-2017, Abuja-2018, Cyberjaya-2019, Virtual meeting-2020, Virtual meeting-2021, Virtual meeting-2022) for which the Bureau has completed the required actions and published the results in its BR IFIC (the tentative date for the 20</w:t>
      </w:r>
      <w:r w:rsidR="00C74DA0" w:rsidRPr="00C66E29">
        <w:rPr>
          <w:vertAlign w:val="superscript"/>
        </w:rPr>
        <w:t>th</w:t>
      </w:r>
      <w:r w:rsidR="00C74DA0" w:rsidRPr="00C66E29">
        <w:t xml:space="preserve"> Resolution </w:t>
      </w:r>
      <w:r w:rsidR="00C74DA0" w:rsidRPr="00C66E29">
        <w:rPr>
          <w:b/>
          <w:bCs/>
        </w:rPr>
        <w:t>609</w:t>
      </w:r>
      <w:r w:rsidR="00C74DA0" w:rsidRPr="00C66E29">
        <w:t xml:space="preserve"> </w:t>
      </w:r>
      <w:r w:rsidR="00C74DA0" w:rsidRPr="00091AB4">
        <w:rPr>
          <w:b/>
        </w:rPr>
        <w:t>(Rev.WRC</w:t>
      </w:r>
      <w:r w:rsidR="00C74DA0" w:rsidRPr="00091AB4">
        <w:rPr>
          <w:b/>
        </w:rPr>
        <w:noBreakHyphen/>
        <w:t>07)</w:t>
      </w:r>
      <w:r w:rsidR="00C74DA0" w:rsidRPr="00C66E29">
        <w:rPr>
          <w:bCs/>
        </w:rPr>
        <w:t xml:space="preserve"> </w:t>
      </w:r>
      <w:r w:rsidR="00C74DA0" w:rsidRPr="00C66E29">
        <w:t xml:space="preserve">Consultation Meeting is set for 8 September 2023). </w:t>
      </w:r>
    </w:p>
    <w:p w14:paraId="418238DA" w14:textId="27480C45" w:rsidR="00C74DA0" w:rsidRPr="00C66E29" w:rsidRDefault="00C74DA0" w:rsidP="00C74DA0">
      <w:r w:rsidRPr="00C66E29">
        <w:t>Based on the conclusions of the most recent 19</w:t>
      </w:r>
      <w:r w:rsidRPr="00C66E29">
        <w:rPr>
          <w:vertAlign w:val="superscript"/>
        </w:rPr>
        <w:t>th</w:t>
      </w:r>
      <w:r w:rsidRPr="00C66E29">
        <w:t xml:space="preserve"> Resolution </w:t>
      </w:r>
      <w:r w:rsidRPr="00C66E29">
        <w:rPr>
          <w:b/>
        </w:rPr>
        <w:t xml:space="preserve">609 </w:t>
      </w:r>
      <w:r w:rsidRPr="00091AB4">
        <w:rPr>
          <w:b/>
        </w:rPr>
        <w:t>(Rev.WRC</w:t>
      </w:r>
      <w:r w:rsidRPr="00091AB4">
        <w:rPr>
          <w:b/>
        </w:rPr>
        <w:noBreakHyphen/>
        <w:t xml:space="preserve">07) </w:t>
      </w:r>
      <w:r w:rsidRPr="00C66E29">
        <w:t xml:space="preserve">Consultation Meeting in 2022, </w:t>
      </w:r>
      <w:r w:rsidRPr="00C66E29">
        <w:rPr>
          <w:rFonts w:cstheme="minorHAnsi"/>
        </w:rPr>
        <w:t xml:space="preserve">the maximum aggregate </w:t>
      </w:r>
      <w:proofErr w:type="spellStart"/>
      <w:r w:rsidRPr="00C66E29">
        <w:rPr>
          <w:rFonts w:cstheme="minorHAnsi"/>
        </w:rPr>
        <w:t>epfd</w:t>
      </w:r>
      <w:proofErr w:type="spellEnd"/>
      <w:r w:rsidRPr="00C66E29">
        <w:rPr>
          <w:rFonts w:cstheme="minorHAnsi"/>
        </w:rPr>
        <w:t xml:space="preserve"> of the RNSS networks and systems is determined to be no greater than </w:t>
      </w:r>
      <w:r w:rsidRPr="00C66E29">
        <w:rPr>
          <w:rFonts w:cstheme="minorHAnsi"/>
          <w:b/>
          <w:bCs/>
        </w:rPr>
        <w:t>-121.52</w:t>
      </w:r>
      <w:r w:rsidRPr="00C66E29">
        <w:rPr>
          <w:rFonts w:cstheme="minorHAnsi"/>
        </w:rPr>
        <w:t xml:space="preserve"> dB(W/(m2∙MHz)), </w:t>
      </w:r>
      <w:proofErr w:type="gramStart"/>
      <w:r w:rsidRPr="00C66E29">
        <w:rPr>
          <w:rFonts w:cstheme="minorHAnsi"/>
        </w:rPr>
        <w:t>i.e.</w:t>
      </w:r>
      <w:proofErr w:type="gramEnd"/>
      <w:r w:rsidRPr="00C66E29">
        <w:rPr>
          <w:rFonts w:cstheme="minorHAnsi"/>
        </w:rPr>
        <w:t xml:space="preserve"> 0.02 dB below the Resolution </w:t>
      </w:r>
      <w:r w:rsidRPr="00C66E29">
        <w:rPr>
          <w:rFonts w:cstheme="minorHAnsi"/>
          <w:b/>
          <w:bCs/>
        </w:rPr>
        <w:t>609</w:t>
      </w:r>
      <w:r w:rsidRPr="00C66E29">
        <w:rPr>
          <w:rFonts w:cstheme="minorHAnsi"/>
        </w:rPr>
        <w:t xml:space="preserve"> </w:t>
      </w:r>
      <w:r w:rsidR="00091AB4" w:rsidRPr="00091AB4">
        <w:rPr>
          <w:b/>
        </w:rPr>
        <w:t>(Rev.WRC</w:t>
      </w:r>
      <w:r w:rsidR="00091AB4" w:rsidRPr="00091AB4">
        <w:rPr>
          <w:b/>
        </w:rPr>
        <w:noBreakHyphen/>
        <w:t xml:space="preserve">07) </w:t>
      </w:r>
      <w:r w:rsidRPr="00C66E29">
        <w:rPr>
          <w:rFonts w:cstheme="minorHAnsi"/>
        </w:rPr>
        <w:t xml:space="preserve">limit of </w:t>
      </w:r>
      <w:r w:rsidRPr="00C66E29">
        <w:rPr>
          <w:rFonts w:cstheme="minorHAnsi"/>
          <w:b/>
          <w:bCs/>
        </w:rPr>
        <w:t>-121.5</w:t>
      </w:r>
      <w:r w:rsidRPr="00C66E29">
        <w:rPr>
          <w:rFonts w:cstheme="minorHAnsi"/>
        </w:rPr>
        <w:t xml:space="preserve"> dB(W/(m2∙MHz))</w:t>
      </w:r>
      <w:r w:rsidRPr="00C66E29">
        <w:t>. This result is based on the use of worst-case assumptions in terms of interference from RNSS into ARNS.</w:t>
      </w:r>
    </w:p>
    <w:p w14:paraId="3BCBEAF9" w14:textId="334B2009" w:rsidR="00C74DA0" w:rsidRDefault="00C74DA0" w:rsidP="00C74DA0">
      <w:r w:rsidRPr="00C66E29">
        <w:t>The 19</w:t>
      </w:r>
      <w:proofErr w:type="spellStart"/>
      <w:r w:rsidRPr="00C66E29">
        <w:rPr>
          <w:position w:val="6"/>
          <w:sz w:val="18"/>
          <w:szCs w:val="18"/>
        </w:rPr>
        <w:t>th</w:t>
      </w:r>
      <w:proofErr w:type="spellEnd"/>
      <w:r w:rsidRPr="00C66E29">
        <w:t xml:space="preserve"> Resolution </w:t>
      </w:r>
      <w:r w:rsidRPr="00C66E29">
        <w:rPr>
          <w:b/>
        </w:rPr>
        <w:t xml:space="preserve">609 </w:t>
      </w:r>
      <w:r w:rsidRPr="00091AB4">
        <w:rPr>
          <w:b/>
        </w:rPr>
        <w:t>(Rev.WRC</w:t>
      </w:r>
      <w:r w:rsidRPr="00091AB4">
        <w:rPr>
          <w:b/>
        </w:rPr>
        <w:noBreakHyphen/>
        <w:t>07)</w:t>
      </w:r>
      <w:r w:rsidRPr="00C66E29">
        <w:t xml:space="preserve"> Consultation Meetings encouraged the Bureau to continue contacting those administrations with RNSS filings in the 1 164-1 215 MHz band that have not until now participated fully or on a continuing basis to the Resolution </w:t>
      </w:r>
      <w:r w:rsidRPr="00C66E29">
        <w:rPr>
          <w:b/>
          <w:bCs/>
        </w:rPr>
        <w:t>609</w:t>
      </w:r>
      <w:r w:rsidRPr="00C66E29">
        <w:t xml:space="preserve"> </w:t>
      </w:r>
      <w:r w:rsidR="00091AB4" w:rsidRPr="00091AB4">
        <w:rPr>
          <w:b/>
        </w:rPr>
        <w:t>(Rev.WRC</w:t>
      </w:r>
      <w:r w:rsidR="00091AB4" w:rsidRPr="00091AB4">
        <w:rPr>
          <w:b/>
        </w:rPr>
        <w:noBreakHyphen/>
        <w:t xml:space="preserve">07) </w:t>
      </w:r>
      <w:r w:rsidRPr="00C66E29">
        <w:t xml:space="preserve">consultation process in an effort for these administrations to attend when appropriate to the consultation meeting, highlighting the mandatory nature of the Resolution </w:t>
      </w:r>
      <w:r w:rsidRPr="00C66E29">
        <w:rPr>
          <w:b/>
        </w:rPr>
        <w:t xml:space="preserve">609 </w:t>
      </w:r>
      <w:r w:rsidRPr="00091AB4">
        <w:rPr>
          <w:b/>
        </w:rPr>
        <w:t xml:space="preserve">(Rev. WRC-07) </w:t>
      </w:r>
      <w:r w:rsidRPr="00C66E29">
        <w:t>Consultation Meeting for those systems/administrations with concrete plans to operate RNSS systems in the 1 164-1 215 MHz band.</w:t>
      </w:r>
    </w:p>
    <w:p w14:paraId="19021BE4" w14:textId="29C474EF" w:rsidR="00C74DA0" w:rsidRPr="003E5FB3" w:rsidRDefault="00C74DA0" w:rsidP="00091AB4">
      <w:pPr>
        <w:pStyle w:val="Heading4"/>
      </w:pPr>
      <w:r w:rsidRPr="003E5FB3">
        <w:t>2.</w:t>
      </w:r>
      <w:r>
        <w:t>2.4.7</w:t>
      </w:r>
      <w:r w:rsidR="00091AB4">
        <w:tab/>
      </w:r>
      <w:r w:rsidRPr="003E5FB3">
        <w:t>Resolution 770 (WRC</w:t>
      </w:r>
      <w:r w:rsidRPr="003E5FB3">
        <w:noBreakHyphen/>
        <w:t>19)</w:t>
      </w:r>
    </w:p>
    <w:p w14:paraId="00F4AD9C" w14:textId="5FF405D6" w:rsidR="00C74DA0" w:rsidRPr="000D155D" w:rsidRDefault="00C74DA0" w:rsidP="00091AB4">
      <w:r w:rsidRPr="000D155D">
        <w:t xml:space="preserve">Under its agenda item 1.6, WRC-19 adopted provision </w:t>
      </w:r>
      <w:r w:rsidR="00B03F6F">
        <w:t xml:space="preserve">RR </w:t>
      </w:r>
      <w:r w:rsidRPr="000D155D">
        <w:t xml:space="preserve">No. </w:t>
      </w:r>
      <w:r w:rsidRPr="000D155D">
        <w:rPr>
          <w:b/>
          <w:bCs/>
        </w:rPr>
        <w:t>22.5L</w:t>
      </w:r>
      <w:r w:rsidRPr="000D155D">
        <w:t xml:space="preserve"> establishing single-entry limits for non-geostationary-satellite system in the fixed-satellite service in the frequency bands 37.5-39.5 GHz </w:t>
      </w:r>
      <w:r w:rsidRPr="000D155D">
        <w:rPr>
          <w:iCs/>
        </w:rPr>
        <w:t>(space-to-Earth)</w:t>
      </w:r>
      <w:r w:rsidRPr="000D155D">
        <w:t xml:space="preserve">, 39.5-42.5 GHz </w:t>
      </w:r>
      <w:r w:rsidRPr="000D155D">
        <w:rPr>
          <w:iCs/>
        </w:rPr>
        <w:t>(space-to-Earth)</w:t>
      </w:r>
      <w:r w:rsidRPr="000D155D">
        <w:t xml:space="preserve">, 47.2-50.2 GHz </w:t>
      </w:r>
      <w:r w:rsidRPr="000D155D">
        <w:rPr>
          <w:iCs/>
        </w:rPr>
        <w:t>(Earth-to-space)</w:t>
      </w:r>
      <w:r w:rsidRPr="000D155D">
        <w:t xml:space="preserve"> and 50.4-51.4 GHz </w:t>
      </w:r>
      <w:r w:rsidRPr="000D155D">
        <w:rPr>
          <w:iCs/>
        </w:rPr>
        <w:t xml:space="preserve">(Earth-to-space) </w:t>
      </w:r>
      <w:r w:rsidRPr="000D155D">
        <w:t xml:space="preserve">and Resolution </w:t>
      </w:r>
      <w:r w:rsidRPr="000D155D">
        <w:rPr>
          <w:b/>
          <w:bCs/>
        </w:rPr>
        <w:t>770</w:t>
      </w:r>
      <w:r w:rsidRPr="000D155D">
        <w:t xml:space="preserve"> </w:t>
      </w:r>
      <w:r w:rsidRPr="00091AB4">
        <w:rPr>
          <w:b/>
          <w:bCs/>
        </w:rPr>
        <w:t>(WRC-19)</w:t>
      </w:r>
      <w:r w:rsidRPr="000D155D">
        <w:t xml:space="preserve"> “</w:t>
      </w:r>
      <w:r w:rsidRPr="00091AB4">
        <w:rPr>
          <w:i/>
          <w:iCs/>
        </w:rPr>
        <w:t xml:space="preserve">Application of Article </w:t>
      </w:r>
      <w:r w:rsidRPr="00091AB4">
        <w:rPr>
          <w:b/>
          <w:bCs/>
          <w:i/>
          <w:iCs/>
        </w:rPr>
        <w:t>22</w:t>
      </w:r>
      <w:r w:rsidRPr="00091AB4">
        <w:rPr>
          <w:i/>
          <w:iCs/>
        </w:rPr>
        <w:t xml:space="preserve"> of the Radio Regulations to the protection of geostationary fixed-satellite service and broadcasting-satellite service networks from non-geostationary fixed-satellite service systems in the frequency bands 37.5-39.5 GHz, 39.5-42.5 GHz, 47.2-50.2 GHz and 50.4-51.4 GHz”</w:t>
      </w:r>
      <w:r w:rsidRPr="000D155D">
        <w:t xml:space="preserve">. </w:t>
      </w:r>
    </w:p>
    <w:p w14:paraId="45B4DA7E" w14:textId="2CB033F9" w:rsidR="00C74DA0" w:rsidRPr="000D155D" w:rsidRDefault="00C74DA0" w:rsidP="00091AB4">
      <w:r w:rsidRPr="000D155D">
        <w:t>This Resolution contains technical characteristics of generic geostationary satellite reference links (see Annex 1 of the Resolution) and a methodology (see Annex 2 of the Resolution) to determine compliance with</w:t>
      </w:r>
      <w:r w:rsidR="002A2089">
        <w:t xml:space="preserve"> </w:t>
      </w:r>
      <w:proofErr w:type="gramStart"/>
      <w:r w:rsidR="002A2089">
        <w:t xml:space="preserve">RR </w:t>
      </w:r>
      <w:r w:rsidRPr="000D155D">
        <w:t xml:space="preserve"> No.</w:t>
      </w:r>
      <w:proofErr w:type="gramEnd"/>
      <w:r w:rsidRPr="000D155D">
        <w:t xml:space="preserve"> </w:t>
      </w:r>
      <w:r w:rsidRPr="000D155D">
        <w:rPr>
          <w:b/>
          <w:bCs/>
        </w:rPr>
        <w:t>22.5L</w:t>
      </w:r>
      <w:r w:rsidRPr="000D155D">
        <w:t xml:space="preserve">. </w:t>
      </w:r>
    </w:p>
    <w:p w14:paraId="462EDCAE" w14:textId="5111C823" w:rsidR="00C74DA0" w:rsidRPr="000D155D" w:rsidRDefault="00C74DA0" w:rsidP="00091AB4">
      <w:r w:rsidRPr="000D155D">
        <w:t xml:space="preserve">As of mid-2023 the Bureau has received 68 requests for coordination of non-GSO FSS systems subject to </w:t>
      </w:r>
      <w:r w:rsidR="002A2089">
        <w:t xml:space="preserve">RR </w:t>
      </w:r>
      <w:r w:rsidRPr="000D155D">
        <w:t>No</w:t>
      </w:r>
      <w:r w:rsidR="002A2089">
        <w:t>s</w:t>
      </w:r>
      <w:r w:rsidRPr="000D155D">
        <w:t xml:space="preserve">. </w:t>
      </w:r>
      <w:r w:rsidRPr="000D155D">
        <w:rPr>
          <w:b/>
          <w:bCs/>
        </w:rPr>
        <w:t>9.12</w:t>
      </w:r>
      <w:r w:rsidRPr="000D155D">
        <w:t xml:space="preserve"> and </w:t>
      </w:r>
      <w:r w:rsidRPr="000D155D">
        <w:rPr>
          <w:b/>
          <w:bCs/>
        </w:rPr>
        <w:t>22.5L</w:t>
      </w:r>
      <w:r w:rsidRPr="000D155D">
        <w:t xml:space="preserve"> and 18 requests for coordination of non-GSO MSS subject to </w:t>
      </w:r>
      <w:r w:rsidR="002A2089">
        <w:t xml:space="preserve">RR </w:t>
      </w:r>
      <w:r w:rsidRPr="000D155D">
        <w:t xml:space="preserve">No. </w:t>
      </w:r>
      <w:r w:rsidRPr="000D155D">
        <w:rPr>
          <w:b/>
          <w:bCs/>
        </w:rPr>
        <w:t>9.12</w:t>
      </w:r>
      <w:r w:rsidRPr="000D155D">
        <w:t xml:space="preserve"> only.</w:t>
      </w:r>
    </w:p>
    <w:p w14:paraId="0ED4DA67" w14:textId="75E2E490" w:rsidR="00C74DA0" w:rsidRPr="000D155D" w:rsidRDefault="00C74DA0" w:rsidP="00091AB4">
      <w:r w:rsidRPr="000D155D">
        <w:t xml:space="preserve">In case the Bureau would be unable to examine non-GSO FSS systems subject to the single-entry provision given in </w:t>
      </w:r>
      <w:r w:rsidR="002A2089">
        <w:t xml:space="preserve">RR </w:t>
      </w:r>
      <w:r w:rsidRPr="000D155D">
        <w:t xml:space="preserve">No. </w:t>
      </w:r>
      <w:r w:rsidRPr="000D155D">
        <w:rPr>
          <w:b/>
          <w:bCs/>
        </w:rPr>
        <w:t>22.5L</w:t>
      </w:r>
      <w:r w:rsidRPr="000D155D">
        <w:t xml:space="preserve"> due to a lack of available software (as it is currently the case), </w:t>
      </w:r>
      <w:r w:rsidRPr="000D155D">
        <w:rPr>
          <w:i/>
          <w:iCs/>
        </w:rPr>
        <w:t>resolves 3</w:t>
      </w:r>
      <w:r w:rsidRPr="000D155D">
        <w:t xml:space="preserve"> of the Resolution </w:t>
      </w:r>
      <w:r w:rsidRPr="000D155D">
        <w:rPr>
          <w:b/>
          <w:bCs/>
        </w:rPr>
        <w:t>770</w:t>
      </w:r>
      <w:r w:rsidRPr="000D155D">
        <w:t xml:space="preserve"> </w:t>
      </w:r>
      <w:r w:rsidRPr="00091AB4">
        <w:rPr>
          <w:b/>
          <w:bCs/>
        </w:rPr>
        <w:t>(WRC-19)</w:t>
      </w:r>
      <w:r w:rsidRPr="000D155D">
        <w:t xml:space="preserve"> indicates that “the notifying administration shall provide all necessary information sufficient to demonstrate compliance with </w:t>
      </w:r>
      <w:r w:rsidR="002A2089">
        <w:t xml:space="preserve">RR </w:t>
      </w:r>
      <w:r w:rsidRPr="000D155D">
        <w:t xml:space="preserve">No. </w:t>
      </w:r>
      <w:r w:rsidRPr="000D155D">
        <w:rPr>
          <w:b/>
          <w:bCs/>
        </w:rPr>
        <w:t>22.5L</w:t>
      </w:r>
      <w:r w:rsidRPr="000D155D">
        <w:t xml:space="preserve"> and send to the Bureau a commitment that the non-GSO FSS system complies with the limits given in No. </w:t>
      </w:r>
      <w:r w:rsidRPr="000D155D">
        <w:rPr>
          <w:b/>
          <w:bCs/>
        </w:rPr>
        <w:t>22.5L</w:t>
      </w:r>
      <w:r w:rsidRPr="000D155D">
        <w:t xml:space="preserve">” and </w:t>
      </w:r>
      <w:r w:rsidRPr="002A2089">
        <w:rPr>
          <w:i/>
          <w:iCs/>
        </w:rPr>
        <w:t>resolves</w:t>
      </w:r>
      <w:r w:rsidRPr="000D155D">
        <w:t xml:space="preserve"> 4 prescribes “that frequency assignments to non-GSO FSS systems that cannot be assessed under </w:t>
      </w:r>
      <w:r w:rsidRPr="000D155D">
        <w:rPr>
          <w:i/>
          <w:iCs/>
        </w:rPr>
        <w:t>resolves 1</w:t>
      </w:r>
      <w:r w:rsidRPr="000D155D">
        <w:t xml:space="preserve"> shall receive a qualified favourable finding under No. </w:t>
      </w:r>
      <w:r w:rsidRPr="000D155D">
        <w:rPr>
          <w:b/>
          <w:bCs/>
        </w:rPr>
        <w:t>9.35</w:t>
      </w:r>
      <w:r w:rsidRPr="000D155D">
        <w:t xml:space="preserve"> with respect to No. </w:t>
      </w:r>
      <w:r w:rsidRPr="000D155D">
        <w:rPr>
          <w:b/>
          <w:bCs/>
        </w:rPr>
        <w:t>22.5L</w:t>
      </w:r>
      <w:r w:rsidRPr="000D155D">
        <w:t xml:space="preserve"> if </w:t>
      </w:r>
      <w:r w:rsidRPr="000D155D">
        <w:rPr>
          <w:i/>
          <w:iCs/>
        </w:rPr>
        <w:t>resolves 3</w:t>
      </w:r>
      <w:r w:rsidRPr="000D155D">
        <w:t xml:space="preserve"> is satisfied, otherwise the assignments shall receive an unfavourable finding”.</w:t>
      </w:r>
    </w:p>
    <w:p w14:paraId="16CB5712" w14:textId="5CF68A0F" w:rsidR="00C74DA0" w:rsidRPr="000D155D" w:rsidRDefault="00C74DA0" w:rsidP="00091AB4">
      <w:r w:rsidRPr="000D155D">
        <w:t xml:space="preserve">The Bureau sought guidance from </w:t>
      </w:r>
      <w:r>
        <w:t>the Radio Regulations Board</w:t>
      </w:r>
      <w:r w:rsidRPr="000D155D">
        <w:t xml:space="preserve"> at its 84</w:t>
      </w:r>
      <w:r w:rsidRPr="000D155D">
        <w:rPr>
          <w:vertAlign w:val="superscript"/>
        </w:rPr>
        <w:t>th</w:t>
      </w:r>
      <w:r w:rsidRPr="000D155D">
        <w:t xml:space="preserve"> Meeting (6-15 July 2020) what type of information is sufficient to demonstrate compliance with </w:t>
      </w:r>
      <w:r w:rsidR="002D79C2">
        <w:t xml:space="preserve">RR </w:t>
      </w:r>
      <w:r w:rsidRPr="000D155D">
        <w:t xml:space="preserve">No. </w:t>
      </w:r>
      <w:r w:rsidRPr="000D155D">
        <w:rPr>
          <w:b/>
          <w:bCs/>
        </w:rPr>
        <w:t>22.5L</w:t>
      </w:r>
      <w:r w:rsidRPr="000D155D">
        <w:t xml:space="preserve"> </w:t>
      </w:r>
      <w:proofErr w:type="gramStart"/>
      <w:r w:rsidRPr="000D155D">
        <w:t>in order to</w:t>
      </w:r>
      <w:proofErr w:type="gramEnd"/>
      <w:r w:rsidRPr="000D155D">
        <w:t xml:space="preserve"> fulfil </w:t>
      </w:r>
      <w:r w:rsidRPr="000D155D">
        <w:rPr>
          <w:i/>
          <w:iCs/>
        </w:rPr>
        <w:t>resolves 3</w:t>
      </w:r>
      <w:r w:rsidRPr="000D155D">
        <w:t xml:space="preserve"> of Resolution </w:t>
      </w:r>
      <w:r w:rsidRPr="005C44C1">
        <w:rPr>
          <w:b/>
          <w:bCs/>
        </w:rPr>
        <w:t>770 (WRC-19)</w:t>
      </w:r>
      <w:r w:rsidRPr="000D155D">
        <w:t>. The Bureau also included information on potential inconsistencies in this Resolution.</w:t>
      </w:r>
    </w:p>
    <w:p w14:paraId="11D8031E" w14:textId="77777777" w:rsidR="00C74DA0" w:rsidRPr="000D155D" w:rsidRDefault="00C74DA0" w:rsidP="00091AB4">
      <w:r>
        <w:t>A</w:t>
      </w:r>
      <w:r w:rsidRPr="000D155D">
        <w:t>t its 84</w:t>
      </w:r>
      <w:r w:rsidRPr="000D155D">
        <w:rPr>
          <w:vertAlign w:val="superscript"/>
        </w:rPr>
        <w:t>th</w:t>
      </w:r>
      <w:r w:rsidRPr="000D155D">
        <w:t xml:space="preserve"> </w:t>
      </w:r>
      <w:r>
        <w:t>m</w:t>
      </w:r>
      <w:r w:rsidRPr="000D155D">
        <w:t>eeting</w:t>
      </w:r>
      <w:r>
        <w:t>, the Radio Regulations Board</w:t>
      </w:r>
      <w:r w:rsidRPr="000D155D">
        <w:t xml:space="preserve"> noted that:</w:t>
      </w:r>
    </w:p>
    <w:p w14:paraId="26FC4481" w14:textId="56CBB5CB" w:rsidR="00C74DA0" w:rsidRPr="000D155D" w:rsidRDefault="00091AB4" w:rsidP="00091AB4">
      <w:pPr>
        <w:pStyle w:val="enumlev1"/>
      </w:pPr>
      <w:r>
        <w:t>−</w:t>
      </w:r>
      <w:r>
        <w:tab/>
      </w:r>
      <w:r w:rsidR="00C74DA0" w:rsidRPr="000D155D">
        <w:t xml:space="preserve">the software required to examine non-GSO FSS systems subject to the single-entry provision given in RR No. </w:t>
      </w:r>
      <w:r w:rsidR="00C74DA0" w:rsidRPr="00091AB4">
        <w:rPr>
          <w:b/>
          <w:bCs/>
        </w:rPr>
        <w:t>22.5L</w:t>
      </w:r>
      <w:r w:rsidR="00C74DA0" w:rsidRPr="000D155D">
        <w:t xml:space="preserve"> was not </w:t>
      </w:r>
      <w:proofErr w:type="gramStart"/>
      <w:r w:rsidR="00C74DA0" w:rsidRPr="000D155D">
        <w:t>available;</w:t>
      </w:r>
      <w:proofErr w:type="gramEnd"/>
    </w:p>
    <w:p w14:paraId="36DCE1F4" w14:textId="1F879223" w:rsidR="00C74DA0" w:rsidRPr="000D155D" w:rsidRDefault="00091AB4" w:rsidP="00091AB4">
      <w:pPr>
        <w:pStyle w:val="enumlev1"/>
      </w:pPr>
      <w:r>
        <w:t>−</w:t>
      </w:r>
      <w:r>
        <w:tab/>
      </w:r>
      <w:r w:rsidR="00C74DA0" w:rsidRPr="000D155D">
        <w:t>there might be a possible inconsistency in the definition of the parameter N</w:t>
      </w:r>
      <w:r w:rsidR="00C74DA0" w:rsidRPr="00821B33">
        <w:rPr>
          <w:vertAlign w:val="subscript"/>
        </w:rPr>
        <w:t>T</w:t>
      </w:r>
      <w:r w:rsidR="00C74DA0" w:rsidRPr="000D155D">
        <w:t xml:space="preserve"> used in the methodologies contained in Annex 2 to this resolution.</w:t>
      </w:r>
    </w:p>
    <w:p w14:paraId="52D5265B" w14:textId="77777777" w:rsidR="00C74DA0" w:rsidRPr="000D155D" w:rsidRDefault="00C74DA0" w:rsidP="00091AB4">
      <w:r w:rsidRPr="000D155D">
        <w:t xml:space="preserve">Given these circumstances, </w:t>
      </w:r>
      <w:r>
        <w:t>the Board</w:t>
      </w:r>
      <w:r w:rsidRPr="000D155D">
        <w:t xml:space="preserve"> instructed the Bureau to provide qualified favourable findings to notices of non-GSO FSS satellite systems in the 40-50 GHz range subject to Resolution </w:t>
      </w:r>
      <w:r w:rsidRPr="00821B33">
        <w:rPr>
          <w:b/>
          <w:bCs/>
        </w:rPr>
        <w:t>770 (WRC-19)</w:t>
      </w:r>
      <w:r w:rsidRPr="000D155D">
        <w:t xml:space="preserve"> until such time as the above-mentioned issues were resolved, on condition that the notifying administrations provide:</w:t>
      </w:r>
    </w:p>
    <w:p w14:paraId="562D4D4B" w14:textId="32D0B475" w:rsidR="00C74DA0" w:rsidRPr="00091AB4" w:rsidRDefault="00091AB4" w:rsidP="00091AB4">
      <w:pPr>
        <w:pStyle w:val="enumlev1"/>
      </w:pPr>
      <w:r>
        <w:t>−</w:t>
      </w:r>
      <w:r>
        <w:tab/>
      </w:r>
      <w:r w:rsidR="00C74DA0" w:rsidRPr="00091AB4">
        <w:t xml:space="preserve">all the required input </w:t>
      </w:r>
      <w:proofErr w:type="gramStart"/>
      <w:r w:rsidR="00C74DA0" w:rsidRPr="00091AB4">
        <w:t>parameters;</w:t>
      </w:r>
      <w:proofErr w:type="gramEnd"/>
    </w:p>
    <w:p w14:paraId="22FB2717" w14:textId="0BA7BD35" w:rsidR="00C74DA0" w:rsidRPr="00091AB4" w:rsidRDefault="00091AB4" w:rsidP="00091AB4">
      <w:pPr>
        <w:pStyle w:val="enumlev1"/>
      </w:pPr>
      <w:r>
        <w:t>−</w:t>
      </w:r>
      <w:r>
        <w:tab/>
      </w:r>
      <w:r w:rsidR="00C74DA0" w:rsidRPr="00091AB4">
        <w:t xml:space="preserve">a commitment that the notified non-GSO FSS satellite systems comply with RR No. </w:t>
      </w:r>
      <w:r w:rsidR="00C74DA0" w:rsidRPr="00091AB4">
        <w:rPr>
          <w:b/>
          <w:bCs/>
        </w:rPr>
        <w:t>22.5L</w:t>
      </w:r>
      <w:r w:rsidR="00C74DA0" w:rsidRPr="00091AB4">
        <w:t>.</w:t>
      </w:r>
    </w:p>
    <w:p w14:paraId="181765F7" w14:textId="2B41A080" w:rsidR="00C74DA0" w:rsidRPr="000D155D" w:rsidRDefault="00C74DA0" w:rsidP="00091AB4">
      <w:r w:rsidRPr="000D155D">
        <w:t>Following this decision</w:t>
      </w:r>
      <w:r w:rsidR="002D79C2">
        <w:t>,</w:t>
      </w:r>
      <w:r w:rsidRPr="000D155D">
        <w:t xml:space="preserve"> the Bureau was requiring for all submissions subject to</w:t>
      </w:r>
      <w:r w:rsidR="002D79C2">
        <w:t xml:space="preserve"> RR</w:t>
      </w:r>
      <w:r w:rsidRPr="000D155D">
        <w:t xml:space="preserve"> No. </w:t>
      </w:r>
      <w:r w:rsidRPr="000D155D">
        <w:rPr>
          <w:b/>
          <w:bCs/>
        </w:rPr>
        <w:t xml:space="preserve">22.5L </w:t>
      </w:r>
      <w:r w:rsidRPr="000D155D">
        <w:t xml:space="preserve">to provide all the data required for examination under </w:t>
      </w:r>
      <w:r w:rsidR="002D79C2">
        <w:t xml:space="preserve">RR </w:t>
      </w:r>
      <w:r w:rsidRPr="000D155D">
        <w:t>No.</w:t>
      </w:r>
      <w:r w:rsidRPr="000D155D">
        <w:rPr>
          <w:b/>
          <w:bCs/>
        </w:rPr>
        <w:t xml:space="preserve"> 22.5L </w:t>
      </w:r>
      <w:r w:rsidRPr="000D155D">
        <w:t xml:space="preserve">(such as Appendix </w:t>
      </w:r>
      <w:r w:rsidRPr="000D155D">
        <w:rPr>
          <w:b/>
          <w:bCs/>
        </w:rPr>
        <w:t xml:space="preserve">4 </w:t>
      </w:r>
      <w:r w:rsidRPr="000D155D">
        <w:t>A.14, A.4.b.7 etc.).</w:t>
      </w:r>
    </w:p>
    <w:p w14:paraId="54AF6894" w14:textId="77777777" w:rsidR="00C74DA0" w:rsidRPr="000D155D" w:rsidRDefault="00C74DA0" w:rsidP="00091AB4">
      <w:r w:rsidRPr="000D155D">
        <w:t xml:space="preserve">The data submitted in accordance with this decision is published in BR IFIC and on </w:t>
      </w:r>
      <w:proofErr w:type="spellStart"/>
      <w:r w:rsidRPr="000D155D">
        <w:t>epfd</w:t>
      </w:r>
      <w:proofErr w:type="spellEnd"/>
      <w:r w:rsidRPr="000D155D">
        <w:t>-data web page (</w:t>
      </w:r>
      <w:hyperlink r:id="rId34" w:history="1">
        <w:r w:rsidRPr="000D155D">
          <w:rPr>
            <w:rStyle w:val="Hyperlink"/>
            <w:rFonts w:cstheme="minorHAnsi"/>
          </w:rPr>
          <w:t>https://www.itu.int/en/ITU-R/space/Pages/epfdData.aspx</w:t>
        </w:r>
      </w:hyperlink>
      <w:r w:rsidRPr="000D155D">
        <w:t>).</w:t>
      </w:r>
    </w:p>
    <w:p w14:paraId="684BEA47" w14:textId="77777777" w:rsidR="00C74DA0" w:rsidRPr="000D155D" w:rsidRDefault="00C74DA0" w:rsidP="00091AB4">
      <w:r w:rsidRPr="000D155D">
        <w:t xml:space="preserve">The Bureau also reported identified inconsistencies in Resolution </w:t>
      </w:r>
      <w:r w:rsidRPr="00821B33">
        <w:rPr>
          <w:b/>
          <w:bCs/>
        </w:rPr>
        <w:t>770 (WRC-19)</w:t>
      </w:r>
      <w:r w:rsidRPr="000D155D">
        <w:t xml:space="preserve"> to Working Party 4A (Doc. </w:t>
      </w:r>
      <w:hyperlink r:id="rId35" w:history="1">
        <w:r w:rsidRPr="000D155D">
          <w:rPr>
            <w:rStyle w:val="Hyperlink"/>
            <w:rFonts w:cstheme="minorHAnsi"/>
          </w:rPr>
          <w:t>4A/33</w:t>
        </w:r>
      </w:hyperlink>
      <w:r w:rsidRPr="000D155D">
        <w:t>).</w:t>
      </w:r>
    </w:p>
    <w:p w14:paraId="436790F1" w14:textId="0FB72B90" w:rsidR="00C74DA0" w:rsidRPr="000D155D" w:rsidRDefault="00C74DA0" w:rsidP="00091AB4">
      <w:r w:rsidRPr="000D155D">
        <w:t xml:space="preserve">Modifications to this Resolution will be considered by WRC-23 under agenda item 7. In case such inconsistencies in Resolution </w:t>
      </w:r>
      <w:r w:rsidRPr="00821B33">
        <w:rPr>
          <w:b/>
          <w:bCs/>
        </w:rPr>
        <w:t>770 (WRC-19)</w:t>
      </w:r>
      <w:r w:rsidRPr="00821B33">
        <w:t xml:space="preserve"> </w:t>
      </w:r>
      <w:r w:rsidRPr="000D155D">
        <w:t xml:space="preserve">will be resolved by the Conference, the Bureau will be in position to start implementing the required software tools for examination under Resolution </w:t>
      </w:r>
      <w:r w:rsidRPr="00821B33">
        <w:rPr>
          <w:b/>
          <w:bCs/>
        </w:rPr>
        <w:t>770 (WRC-19)</w:t>
      </w:r>
      <w:r w:rsidRPr="000D155D">
        <w:t>.</w:t>
      </w:r>
    </w:p>
    <w:p w14:paraId="77303DA5" w14:textId="18933ABE" w:rsidR="00C74DA0" w:rsidRPr="000D155D" w:rsidRDefault="00C74DA0" w:rsidP="00091AB4">
      <w:r w:rsidRPr="000D155D">
        <w:t xml:space="preserve">The Bureau notes a common concern from the notifying administrations with respect to the previously submitted data required for examination under </w:t>
      </w:r>
      <w:r w:rsidR="002D79C2">
        <w:t xml:space="preserve">RR </w:t>
      </w:r>
      <w:r w:rsidRPr="000D155D">
        <w:t xml:space="preserve">No. </w:t>
      </w:r>
      <w:r w:rsidRPr="000D155D">
        <w:rPr>
          <w:b/>
          <w:bCs/>
        </w:rPr>
        <w:t>22.5L</w:t>
      </w:r>
      <w:r w:rsidRPr="000D155D">
        <w:t xml:space="preserve"> being used for review of qualified </w:t>
      </w:r>
      <w:proofErr w:type="spellStart"/>
      <w:r w:rsidRPr="000D155D">
        <w:t>favorable</w:t>
      </w:r>
      <w:proofErr w:type="spellEnd"/>
      <w:r w:rsidRPr="000D155D">
        <w:t xml:space="preserve"> findings once required software will be implemented. </w:t>
      </w:r>
    </w:p>
    <w:p w14:paraId="10B9E9D1" w14:textId="16862E8C" w:rsidR="00C74DA0" w:rsidRPr="000D155D" w:rsidRDefault="00C74DA0" w:rsidP="00091AB4">
      <w:r w:rsidRPr="000D155D">
        <w:t xml:space="preserve">In this regard, the Bureau is considering </w:t>
      </w:r>
      <w:r w:rsidR="002D79C2" w:rsidRPr="000D155D">
        <w:t>implementing</w:t>
      </w:r>
      <w:r w:rsidRPr="000D155D">
        <w:t xml:space="preserve"> </w:t>
      </w:r>
      <w:r>
        <w:t xml:space="preserve">an </w:t>
      </w:r>
      <w:r w:rsidRPr="000D155D">
        <w:t xml:space="preserve">approach </w:t>
      </w:r>
      <w:proofErr w:type="gramStart"/>
      <w:r w:rsidRPr="000D155D">
        <w:t>similar to</w:t>
      </w:r>
      <w:proofErr w:type="gramEnd"/>
      <w:r w:rsidRPr="000D155D">
        <w:t xml:space="preserve"> the one explained in Circular Letter CR/414 (6 December 2016). In accordance with this approach the Bureau will contact individually each administration having submitted non-geostationary satellite systems in the fixed-satellite service subject to </w:t>
      </w:r>
      <w:r w:rsidR="002D79C2">
        <w:t xml:space="preserve">RR </w:t>
      </w:r>
      <w:r w:rsidRPr="000D155D">
        <w:t xml:space="preserve">No. </w:t>
      </w:r>
      <w:r w:rsidRPr="000D155D">
        <w:rPr>
          <w:b/>
          <w:bCs/>
        </w:rPr>
        <w:t>22.5L</w:t>
      </w:r>
      <w:r w:rsidRPr="000D155D">
        <w:t xml:space="preserve"> and request the administration to update, if needed, within three months information required under examination on </w:t>
      </w:r>
      <w:r w:rsidR="002D79C2">
        <w:t xml:space="preserve">RR </w:t>
      </w:r>
      <w:r w:rsidRPr="000D155D">
        <w:t xml:space="preserve">No. </w:t>
      </w:r>
      <w:r w:rsidRPr="000D155D">
        <w:rPr>
          <w:b/>
          <w:bCs/>
        </w:rPr>
        <w:t>22.5L</w:t>
      </w:r>
      <w:r w:rsidRPr="000D155D">
        <w:t>.</w:t>
      </w:r>
    </w:p>
    <w:p w14:paraId="474BA89A" w14:textId="573CEC13" w:rsidR="00C74DA0" w:rsidRPr="003E5FB3" w:rsidRDefault="00C74DA0" w:rsidP="00091AB4">
      <w:pPr>
        <w:pStyle w:val="Heading4"/>
      </w:pPr>
      <w:bookmarkStart w:id="47" w:name="_Toc35789428"/>
      <w:bookmarkStart w:id="48" w:name="_Toc35857125"/>
      <w:bookmarkStart w:id="49" w:name="_Toc35877760"/>
      <w:bookmarkStart w:id="50" w:name="_Toc35963703"/>
      <w:bookmarkStart w:id="51" w:name="_Toc39649624"/>
      <w:r w:rsidRPr="003E5FB3">
        <w:t>2.</w:t>
      </w:r>
      <w:r>
        <w:t>2.4.8</w:t>
      </w:r>
      <w:r w:rsidR="00091AB4">
        <w:tab/>
      </w:r>
      <w:r w:rsidRPr="003E5FB3">
        <w:t>Resolution 771 (WRC</w:t>
      </w:r>
      <w:r w:rsidRPr="003E5FB3">
        <w:noBreakHyphen/>
        <w:t>19)</w:t>
      </w:r>
    </w:p>
    <w:p w14:paraId="3C900632" w14:textId="77777777" w:rsidR="00C74DA0" w:rsidRPr="000D155D" w:rsidRDefault="00C74DA0" w:rsidP="00091AB4">
      <w:r w:rsidRPr="000D155D">
        <w:t xml:space="preserve">Resolution </w:t>
      </w:r>
      <w:r w:rsidRPr="00142A08">
        <w:rPr>
          <w:b/>
          <w:bCs/>
        </w:rPr>
        <w:t>771 (WRC-19)</w:t>
      </w:r>
      <w:r w:rsidRPr="000D155D">
        <w:t xml:space="preserve"> </w:t>
      </w:r>
      <w:r w:rsidRPr="00091AB4">
        <w:rPr>
          <w:i/>
          <w:iCs/>
        </w:rPr>
        <w:t>“Use of the frequency bands 37.5-42.5 GHz (space-to-Earth) and 47.2-48.9 GHz, 48.9-50.2 GHz and 50.4-51.4 GHz (Earth-to-space) by non-geostationary-satellite systems in the fixed-satellite service and 39.5-40.5 GHz (space-to-Earth) by non-geostationary-satellite systems in the mobile-satellite service”</w:t>
      </w:r>
      <w:r w:rsidRPr="000D155D">
        <w:t xml:space="preserve"> establishes transitional arrangements for non-GSO FSS and MSS systems for which the complete notification information has been received by the Bureau before 23 November 2019.</w:t>
      </w:r>
    </w:p>
    <w:p w14:paraId="7C4A755E" w14:textId="128AB57A" w:rsidR="00C74DA0" w:rsidRPr="000D155D" w:rsidRDefault="00C74DA0" w:rsidP="00091AB4">
      <w:r w:rsidRPr="000D155D">
        <w:t xml:space="preserve">When adopting provisions </w:t>
      </w:r>
      <w:r w:rsidR="002D79C2">
        <w:t xml:space="preserve">RR </w:t>
      </w:r>
      <w:r w:rsidRPr="000D155D">
        <w:t xml:space="preserve">Nos. </w:t>
      </w:r>
      <w:r w:rsidRPr="000D155D">
        <w:rPr>
          <w:b/>
          <w:bCs/>
        </w:rPr>
        <w:t>22.5L</w:t>
      </w:r>
      <w:r w:rsidRPr="000D155D">
        <w:t xml:space="preserve"> and </w:t>
      </w:r>
      <w:r w:rsidRPr="000D155D">
        <w:rPr>
          <w:b/>
          <w:bCs/>
        </w:rPr>
        <w:t>22.5M</w:t>
      </w:r>
      <w:r w:rsidRPr="000D155D">
        <w:t>, WRC-19 did not adopt any specific provision indicating that these two provisions do not apply to non-geostationary satellite systems notified before the end of WRC-19</w:t>
      </w:r>
      <w:r w:rsidRPr="000D155D">
        <w:rPr>
          <w:rStyle w:val="FootnoteReference"/>
          <w:rFonts w:cstheme="minorHAnsi"/>
        </w:rPr>
        <w:footnoteReference w:id="3"/>
      </w:r>
      <w:r w:rsidRPr="000D155D">
        <w:t xml:space="preserve">. As such, </w:t>
      </w:r>
      <w:r w:rsidR="002D79C2">
        <w:t xml:space="preserve">RR </w:t>
      </w:r>
      <w:r w:rsidRPr="000D155D">
        <w:t xml:space="preserve">No. </w:t>
      </w:r>
      <w:r w:rsidRPr="000D155D">
        <w:rPr>
          <w:b/>
          <w:bCs/>
        </w:rPr>
        <w:t>11.50</w:t>
      </w:r>
      <w:r w:rsidRPr="000D155D">
        <w:t xml:space="preserve"> requires the Bureau to review the findings of such systems to check their compliance with </w:t>
      </w:r>
      <w:r w:rsidR="002D79C2">
        <w:t xml:space="preserve">RR </w:t>
      </w:r>
      <w:r w:rsidRPr="000D155D">
        <w:t xml:space="preserve">No. </w:t>
      </w:r>
      <w:r w:rsidRPr="000D155D">
        <w:rPr>
          <w:b/>
          <w:bCs/>
        </w:rPr>
        <w:t>22.5L</w:t>
      </w:r>
      <w:r w:rsidRPr="000D155D">
        <w:t xml:space="preserve">. This is also in line with the </w:t>
      </w:r>
      <w:r w:rsidRPr="000D155D">
        <w:rPr>
          <w:i/>
          <w:iCs/>
        </w:rPr>
        <w:t>instructs the Director of the Radiocommunication Bureau</w:t>
      </w:r>
      <w:r w:rsidRPr="000D155D">
        <w:t xml:space="preserve"> of Resolution </w:t>
      </w:r>
      <w:r w:rsidRPr="000D155D">
        <w:rPr>
          <w:b/>
          <w:bCs/>
        </w:rPr>
        <w:t>770 (WRC-19)</w:t>
      </w:r>
      <w:r w:rsidRPr="000D155D">
        <w:t xml:space="preserve">: </w:t>
      </w:r>
    </w:p>
    <w:p w14:paraId="4F8582BF" w14:textId="77777777" w:rsidR="00C74DA0" w:rsidRPr="000D155D" w:rsidRDefault="00C74DA0" w:rsidP="00C74DA0">
      <w:pPr>
        <w:ind w:left="720"/>
        <w:jc w:val="both"/>
        <w:rPr>
          <w:rFonts w:cstheme="minorHAnsi"/>
        </w:rPr>
      </w:pPr>
      <w:r w:rsidRPr="000D155D">
        <w:rPr>
          <w:rFonts w:cstheme="minorHAnsi"/>
        </w:rPr>
        <w:t>“</w:t>
      </w:r>
      <w:proofErr w:type="gramStart"/>
      <w:r w:rsidRPr="000D155D">
        <w:rPr>
          <w:rFonts w:cstheme="minorHAnsi"/>
          <w:i/>
          <w:iCs/>
        </w:rPr>
        <w:t>to</w:t>
      </w:r>
      <w:proofErr w:type="gramEnd"/>
      <w:r w:rsidRPr="000D155D">
        <w:rPr>
          <w:rFonts w:cstheme="minorHAnsi"/>
          <w:i/>
          <w:iCs/>
        </w:rPr>
        <w:t xml:space="preserve"> review, once the validation software as described in resolves 3 is available, BR's findings made in accordance with Nos. </w:t>
      </w:r>
      <w:r w:rsidRPr="000D155D">
        <w:rPr>
          <w:rFonts w:cstheme="minorHAnsi"/>
          <w:b/>
          <w:bCs/>
          <w:i/>
          <w:iCs/>
        </w:rPr>
        <w:t>9.35</w:t>
      </w:r>
      <w:r w:rsidRPr="000D155D">
        <w:rPr>
          <w:rFonts w:cstheme="minorHAnsi"/>
          <w:i/>
          <w:iCs/>
        </w:rPr>
        <w:t xml:space="preserve"> and </w:t>
      </w:r>
      <w:r w:rsidRPr="000D155D">
        <w:rPr>
          <w:rFonts w:cstheme="minorHAnsi"/>
          <w:b/>
          <w:bCs/>
          <w:i/>
          <w:iCs/>
        </w:rPr>
        <w:t>11.31</w:t>
      </w:r>
      <w:r w:rsidRPr="000D155D">
        <w:rPr>
          <w:rFonts w:cstheme="minorHAnsi"/>
        </w:rPr>
        <w:t xml:space="preserve">” </w:t>
      </w:r>
    </w:p>
    <w:p w14:paraId="4FF5ACEE" w14:textId="72F664DF" w:rsidR="00C74DA0" w:rsidRPr="000D155D" w:rsidRDefault="00C74DA0" w:rsidP="00091AB4">
      <w:r w:rsidRPr="000D155D">
        <w:t xml:space="preserve">Noting that </w:t>
      </w:r>
      <w:r w:rsidRPr="000D155D">
        <w:rPr>
          <w:i/>
          <w:iCs/>
        </w:rPr>
        <w:t>resolves</w:t>
      </w:r>
      <w:r w:rsidRPr="000D155D">
        <w:t xml:space="preserve"> 1 of Resolution </w:t>
      </w:r>
      <w:r w:rsidRPr="000D155D">
        <w:rPr>
          <w:b/>
          <w:bCs/>
        </w:rPr>
        <w:t>771 (WRC-19)</w:t>
      </w:r>
      <w:r w:rsidRPr="000D155D">
        <w:t xml:space="preserve"> indicates that “that frequency assignments to non-GSO networks or systems for which the complete notification information has been received by the Radiocommunication Bureau before 23 November 2019 shall be brought into use before 23 November 2022 or the end of the regulatory period set forth in No. </w:t>
      </w:r>
      <w:r w:rsidRPr="000D155D">
        <w:rPr>
          <w:b/>
          <w:bCs/>
        </w:rPr>
        <w:t>11.44</w:t>
      </w:r>
      <w:r w:rsidRPr="000D155D">
        <w:t xml:space="preserve">, whichever date comes earlier”, the Bureau will conduct the abovementioned review under </w:t>
      </w:r>
      <w:r w:rsidR="00F31BB4">
        <w:t xml:space="preserve">RR </w:t>
      </w:r>
      <w:r w:rsidRPr="000D155D">
        <w:t xml:space="preserve">No. </w:t>
      </w:r>
      <w:r w:rsidRPr="000D155D">
        <w:rPr>
          <w:b/>
          <w:bCs/>
        </w:rPr>
        <w:t>11.50</w:t>
      </w:r>
      <w:r w:rsidRPr="000D155D">
        <w:t xml:space="preserve"> as follows: </w:t>
      </w:r>
    </w:p>
    <w:p w14:paraId="1EF8149C" w14:textId="2FD9425A" w:rsidR="00C74DA0" w:rsidRPr="000D155D" w:rsidRDefault="00091AB4" w:rsidP="00091AB4">
      <w:pPr>
        <w:pStyle w:val="enumlev1"/>
      </w:pPr>
      <w:r>
        <w:t>−</w:t>
      </w:r>
      <w:r>
        <w:tab/>
      </w:r>
      <w:r w:rsidR="00C74DA0" w:rsidRPr="000D155D">
        <w:t xml:space="preserve">When a notifying administration informs the Bureau of the bringing into use of such frequency assignments, the Bureau will request the notifying administration to submit the Appendix </w:t>
      </w:r>
      <w:r w:rsidR="00C74DA0" w:rsidRPr="000D155D">
        <w:rPr>
          <w:b/>
          <w:bCs/>
        </w:rPr>
        <w:t xml:space="preserve">4 </w:t>
      </w:r>
      <w:r w:rsidR="00C74DA0" w:rsidRPr="000D155D">
        <w:t>data that are relevant for the examination of</w:t>
      </w:r>
      <w:r w:rsidR="00F31BB4">
        <w:t xml:space="preserve"> RR</w:t>
      </w:r>
      <w:r w:rsidR="00C74DA0" w:rsidRPr="000D155D">
        <w:t xml:space="preserve"> No. </w:t>
      </w:r>
      <w:r w:rsidR="00C74DA0" w:rsidRPr="000D155D">
        <w:rPr>
          <w:b/>
          <w:bCs/>
        </w:rPr>
        <w:t>22.5L</w:t>
      </w:r>
      <w:r w:rsidR="00C74DA0" w:rsidRPr="000D155D">
        <w:t xml:space="preserve"> (similarly to what the Bureau requests for coordination requests submitted after WRC-19). </w:t>
      </w:r>
    </w:p>
    <w:p w14:paraId="2E3B5899" w14:textId="486003A1" w:rsidR="00C74DA0" w:rsidRPr="000D155D" w:rsidRDefault="00091AB4" w:rsidP="00091AB4">
      <w:pPr>
        <w:pStyle w:val="enumlev1"/>
      </w:pPr>
      <w:r>
        <w:t>−</w:t>
      </w:r>
      <w:r>
        <w:tab/>
      </w:r>
      <w:r w:rsidR="00C74DA0" w:rsidRPr="000D155D">
        <w:t xml:space="preserve">If the notifying administration submits this information, the Bureau will establish a qualified favourable finding since the examination software for </w:t>
      </w:r>
      <w:r w:rsidR="00F31BB4">
        <w:t xml:space="preserve">RR </w:t>
      </w:r>
      <w:r w:rsidR="00C74DA0" w:rsidRPr="000D155D">
        <w:t xml:space="preserve">No. </w:t>
      </w:r>
      <w:r w:rsidR="00C74DA0" w:rsidRPr="000D155D">
        <w:rPr>
          <w:b/>
          <w:bCs/>
        </w:rPr>
        <w:t>22.5L</w:t>
      </w:r>
      <w:r w:rsidR="00C74DA0" w:rsidRPr="000D155D">
        <w:t xml:space="preserve"> is not yet available.</w:t>
      </w:r>
    </w:p>
    <w:p w14:paraId="35C2BAB4" w14:textId="27D86139" w:rsidR="00C74DA0" w:rsidRPr="000D155D" w:rsidRDefault="00091AB4" w:rsidP="00091AB4">
      <w:pPr>
        <w:pStyle w:val="enumlev1"/>
      </w:pPr>
      <w:r>
        <w:t>−</w:t>
      </w:r>
      <w:r>
        <w:tab/>
      </w:r>
      <w:r w:rsidR="00C74DA0" w:rsidRPr="000D155D">
        <w:t>If the notifying administration does not submit the requested information, the Bureau will establish an unfavourable finding.</w:t>
      </w:r>
    </w:p>
    <w:p w14:paraId="1D4F8590" w14:textId="77777777" w:rsidR="00C74DA0" w:rsidRPr="000D155D" w:rsidRDefault="00C74DA0" w:rsidP="00091AB4">
      <w:r w:rsidRPr="000D155D">
        <w:t xml:space="preserve">When the examination software becomes available, a review of the qualified favourable findings will be undertaken. </w:t>
      </w:r>
    </w:p>
    <w:bookmarkEnd w:id="47"/>
    <w:bookmarkEnd w:id="48"/>
    <w:bookmarkEnd w:id="49"/>
    <w:bookmarkEnd w:id="50"/>
    <w:bookmarkEnd w:id="51"/>
    <w:p w14:paraId="0EC39BF0" w14:textId="77777777" w:rsidR="00C74DA0" w:rsidRPr="00091AB4" w:rsidRDefault="00C74DA0" w:rsidP="00091AB4">
      <w:r w:rsidRPr="005978DC">
        <w:rPr>
          <w:bCs/>
        </w:rPr>
        <w:t xml:space="preserve">On 23 November 2019, there were 27 satellite systems having frequency assignments subject to subject to </w:t>
      </w:r>
      <w:r w:rsidRPr="005978DC">
        <w:rPr>
          <w:bCs/>
          <w:i/>
          <w:iCs/>
        </w:rPr>
        <w:t>resolves</w:t>
      </w:r>
      <w:r w:rsidRPr="005978DC">
        <w:rPr>
          <w:bCs/>
        </w:rPr>
        <w:t xml:space="preserve"> 1 of Resolution</w:t>
      </w:r>
      <w:r w:rsidRPr="00091AB4">
        <w:rPr>
          <w:b/>
        </w:rPr>
        <w:t xml:space="preserve"> 771 (WRC-19).</w:t>
      </w:r>
    </w:p>
    <w:p w14:paraId="014209A1" w14:textId="69E9B668" w:rsidR="00C74DA0" w:rsidRPr="005978DC" w:rsidRDefault="00C74DA0" w:rsidP="00091AB4">
      <w:r w:rsidRPr="005978DC">
        <w:t xml:space="preserve">As of mid-2023, the Bureau has received information from notifying administrations that 3 satellite systems have been brought into </w:t>
      </w:r>
      <w:r w:rsidR="00F31BB4" w:rsidRPr="005978DC">
        <w:t>use and</w:t>
      </w:r>
      <w:r w:rsidRPr="005978DC">
        <w:t xml:space="preserve"> is currently in the process of verifying this information.</w:t>
      </w:r>
      <w:r w:rsidR="00091AB4" w:rsidRPr="005978DC">
        <w:rPr>
          <w:rStyle w:val="Artdef"/>
          <w:rFonts w:asciiTheme="minorHAnsi" w:hAnsiTheme="minorHAnsi" w:cstheme="minorHAnsi"/>
        </w:rPr>
        <w:t xml:space="preserve"> </w:t>
      </w:r>
      <w:r w:rsidRPr="005978DC">
        <w:t>The notifying administration of another system requested the RRB to extend the regulatory limit of bringing into use.</w:t>
      </w:r>
    </w:p>
    <w:p w14:paraId="5D7804E2" w14:textId="77777777" w:rsidR="00C74DA0" w:rsidRPr="00091AB4" w:rsidRDefault="00C74DA0" w:rsidP="00091AB4">
      <w:pPr>
        <w:rPr>
          <w:b/>
          <w:bCs/>
        </w:rPr>
      </w:pPr>
      <w:r w:rsidRPr="005978DC">
        <w:t xml:space="preserve">The remaining satellite systems will be suppressed by the Bureau in accordance with </w:t>
      </w:r>
      <w:r w:rsidRPr="005978DC">
        <w:rPr>
          <w:i/>
          <w:iCs/>
        </w:rPr>
        <w:t>resolves</w:t>
      </w:r>
      <w:r w:rsidRPr="005978DC">
        <w:t xml:space="preserve"> 2 of the Resolution</w:t>
      </w:r>
      <w:r w:rsidRPr="00091AB4">
        <w:rPr>
          <w:b/>
          <w:bCs/>
        </w:rPr>
        <w:t xml:space="preserve"> 771 (WRC-19).</w:t>
      </w:r>
    </w:p>
    <w:p w14:paraId="6520B292" w14:textId="77777777" w:rsidR="00C74DA0" w:rsidRPr="00C66E29" w:rsidRDefault="00C74DA0" w:rsidP="00C74DA0">
      <w:pPr>
        <w:pStyle w:val="Heading2"/>
      </w:pPr>
      <w:bookmarkStart w:id="52" w:name="_Toc418163359"/>
      <w:bookmarkStart w:id="53" w:name="_Toc418232266"/>
      <w:bookmarkStart w:id="54" w:name="_Toc143072396"/>
      <w:r w:rsidRPr="00C66E29">
        <w:t>2.3</w:t>
      </w:r>
      <w:r w:rsidRPr="00C66E29">
        <w:tab/>
        <w:t>Processing of notices: planned services</w:t>
      </w:r>
      <w:bookmarkEnd w:id="52"/>
      <w:bookmarkEnd w:id="53"/>
      <w:bookmarkEnd w:id="54"/>
      <w:r w:rsidRPr="00C66E29">
        <w:t xml:space="preserve"> </w:t>
      </w:r>
    </w:p>
    <w:p w14:paraId="326F864C" w14:textId="77777777" w:rsidR="00C74DA0" w:rsidRPr="00C66E29" w:rsidRDefault="00C74DA0" w:rsidP="00C74DA0">
      <w:pPr>
        <w:pStyle w:val="Heading3"/>
      </w:pPr>
      <w:bookmarkStart w:id="55" w:name="_Toc418163360"/>
      <w:bookmarkStart w:id="56" w:name="_Toc418232267"/>
      <w:bookmarkStart w:id="57" w:name="_Toc143072397"/>
      <w:r w:rsidRPr="00C66E29">
        <w:t>2.3.1</w:t>
      </w:r>
      <w:r w:rsidRPr="00C66E29">
        <w:tab/>
        <w:t>Appendices 30 and 30A</w:t>
      </w:r>
      <w:bookmarkEnd w:id="55"/>
      <w:bookmarkEnd w:id="56"/>
      <w:bookmarkEnd w:id="57"/>
    </w:p>
    <w:p w14:paraId="7B7FE3BA" w14:textId="7D2EAB51" w:rsidR="00C74DA0" w:rsidRPr="00C66E29" w:rsidRDefault="00C74DA0" w:rsidP="00091AB4">
      <w:r w:rsidRPr="00C66E29">
        <w:t xml:space="preserve">Tasks under both Appendices comprise the examination and publication of submissions under Articles </w:t>
      </w:r>
      <w:r w:rsidRPr="00C66E29">
        <w:rPr>
          <w:b/>
        </w:rPr>
        <w:t>2A</w:t>
      </w:r>
      <w:r w:rsidRPr="00C66E29">
        <w:t xml:space="preserve">, </w:t>
      </w:r>
      <w:r w:rsidRPr="00C66E29">
        <w:rPr>
          <w:b/>
        </w:rPr>
        <w:t>4</w:t>
      </w:r>
      <w:r w:rsidRPr="00C66E29">
        <w:t xml:space="preserve"> and </w:t>
      </w:r>
      <w:r w:rsidRPr="00C66E29">
        <w:rPr>
          <w:b/>
        </w:rPr>
        <w:t>5</w:t>
      </w:r>
      <w:r w:rsidRPr="00C66E29">
        <w:t xml:space="preserve"> of Appendices </w:t>
      </w:r>
      <w:r w:rsidRPr="00C66E29">
        <w:rPr>
          <w:b/>
        </w:rPr>
        <w:t>30</w:t>
      </w:r>
      <w:r w:rsidRPr="00C66E29">
        <w:t xml:space="preserve"> and </w:t>
      </w:r>
      <w:r w:rsidRPr="00C66E29">
        <w:rPr>
          <w:b/>
        </w:rPr>
        <w:t>30A</w:t>
      </w:r>
      <w:r w:rsidRPr="00C66E29">
        <w:t xml:space="preserve"> (BSS and associated feeder-link Plans), taking also </w:t>
      </w:r>
      <w:r w:rsidRPr="0001467E">
        <w:rPr>
          <w:spacing w:val="-2"/>
        </w:rPr>
        <w:t xml:space="preserve">due account of Resolutions </w:t>
      </w:r>
      <w:r w:rsidRPr="0001467E">
        <w:rPr>
          <w:b/>
          <w:spacing w:val="-2"/>
        </w:rPr>
        <w:t>49 (Rev.WRC</w:t>
      </w:r>
      <w:r w:rsidRPr="0001467E">
        <w:rPr>
          <w:b/>
          <w:spacing w:val="-2"/>
        </w:rPr>
        <w:noBreakHyphen/>
        <w:t>19)</w:t>
      </w:r>
      <w:r w:rsidRPr="0001467E">
        <w:rPr>
          <w:bCs/>
          <w:spacing w:val="-2"/>
        </w:rPr>
        <w:t>,</w:t>
      </w:r>
      <w:r w:rsidRPr="0001467E">
        <w:rPr>
          <w:spacing w:val="-2"/>
        </w:rPr>
        <w:t xml:space="preserve"> </w:t>
      </w:r>
      <w:r w:rsidRPr="0001467E">
        <w:rPr>
          <w:b/>
          <w:spacing w:val="-2"/>
        </w:rPr>
        <w:t>548 (WRC</w:t>
      </w:r>
      <w:r w:rsidRPr="0001467E">
        <w:rPr>
          <w:b/>
          <w:spacing w:val="-2"/>
        </w:rPr>
        <w:noBreakHyphen/>
        <w:t>12)</w:t>
      </w:r>
      <w:r w:rsidRPr="0001467E">
        <w:rPr>
          <w:bCs/>
          <w:spacing w:val="-2"/>
        </w:rPr>
        <w:t>,</w:t>
      </w:r>
      <w:r w:rsidRPr="0001467E">
        <w:rPr>
          <w:b/>
          <w:spacing w:val="-2"/>
        </w:rPr>
        <w:t xml:space="preserve"> 558 (WRC-19)</w:t>
      </w:r>
      <w:r w:rsidRPr="0001467E">
        <w:rPr>
          <w:bCs/>
          <w:spacing w:val="-2"/>
        </w:rPr>
        <w:t xml:space="preserve"> and</w:t>
      </w:r>
      <w:r w:rsidRPr="0001467E">
        <w:rPr>
          <w:b/>
          <w:spacing w:val="-2"/>
        </w:rPr>
        <w:t xml:space="preserve"> 559 (WRC</w:t>
      </w:r>
      <w:r w:rsidR="0001467E" w:rsidRPr="0001467E">
        <w:rPr>
          <w:b/>
          <w:spacing w:val="-2"/>
        </w:rPr>
        <w:noBreakHyphen/>
      </w:r>
      <w:r w:rsidRPr="0001467E">
        <w:rPr>
          <w:b/>
          <w:spacing w:val="-2"/>
        </w:rPr>
        <w:t>19)</w:t>
      </w:r>
      <w:r w:rsidRPr="0001467E">
        <w:rPr>
          <w:spacing w:val="-2"/>
        </w:rPr>
        <w:t>.</w:t>
      </w:r>
      <w:r w:rsidRPr="00C66E29">
        <w:t xml:space="preserve"> </w:t>
      </w:r>
    </w:p>
    <w:p w14:paraId="745059C4" w14:textId="77777777" w:rsidR="00C74DA0" w:rsidRPr="00C66E29" w:rsidRDefault="00C74DA0" w:rsidP="00091AB4">
      <w:r w:rsidRPr="00C66E29">
        <w:t>Under Article </w:t>
      </w:r>
      <w:r w:rsidRPr="00C66E29">
        <w:rPr>
          <w:b/>
        </w:rPr>
        <w:t>4</w:t>
      </w:r>
      <w:r w:rsidRPr="00C66E29">
        <w:t xml:space="preserve">, the Bureau processes requests for modifications to the Region 2 </w:t>
      </w:r>
      <w:proofErr w:type="gramStart"/>
      <w:r w:rsidRPr="00C66E29">
        <w:t>Plan, and</w:t>
      </w:r>
      <w:proofErr w:type="gramEnd"/>
      <w:r w:rsidRPr="00C66E29">
        <w:t xml:space="preserve"> proposed new or modified assignments in the Regions 1 and 3 Lists, submitted by administrations. The characteristics and list of administrations whose frequency assignments </w:t>
      </w:r>
      <w:proofErr w:type="gramStart"/>
      <w:r w:rsidRPr="00C66E29">
        <w:t>are considered to be</w:t>
      </w:r>
      <w:proofErr w:type="gramEnd"/>
      <w:r w:rsidRPr="00C66E29">
        <w:t xml:space="preserve"> affected are published in Part A of a Special Section in BR IFIC. </w:t>
      </w:r>
    </w:p>
    <w:p w14:paraId="4990B681" w14:textId="77777777" w:rsidR="00C74DA0" w:rsidRPr="00C66E29" w:rsidRDefault="00C74DA0" w:rsidP="00091AB4">
      <w:r w:rsidRPr="00C66E29">
        <w:t xml:space="preserve">New or modified assignments entered in the Regions 1 and 3 List or Region 2 Plan </w:t>
      </w:r>
      <w:proofErr w:type="gramStart"/>
      <w:r w:rsidRPr="00C66E29">
        <w:t>as a result of</w:t>
      </w:r>
      <w:proofErr w:type="gramEnd"/>
      <w:r w:rsidRPr="00C66E29">
        <w:t xml:space="preserve"> the successful application of the provisions of Article </w:t>
      </w:r>
      <w:r w:rsidRPr="00C66E29">
        <w:rPr>
          <w:b/>
        </w:rPr>
        <w:t>4</w:t>
      </w:r>
      <w:r w:rsidRPr="00C66E29">
        <w:t xml:space="preserve"> are then published in Part B of a Special Section. The above processing entails acknowledgement of received information, validation, examination and publication of relevant Special Sections, including application of Resolution </w:t>
      </w:r>
      <w:r w:rsidRPr="00C66E29">
        <w:rPr>
          <w:b/>
        </w:rPr>
        <w:t>49</w:t>
      </w:r>
      <w:r w:rsidRPr="00C66E29">
        <w:t>, Council Decision 482 invoicing, correspondence/assistance to administrations, processing of comments (publication of a list of administrations whose agreements are required in Part D of a Special Section</w:t>
      </w:r>
      <w:proofErr w:type="gramStart"/>
      <w:r w:rsidRPr="00C66E29">
        <w:t>)</w:t>
      </w:r>
      <w:proofErr w:type="gramEnd"/>
      <w:r w:rsidRPr="00C66E29">
        <w:t xml:space="preserve"> and the update of databases made available to administrations on the ITU website and in BR IFIC. </w:t>
      </w:r>
    </w:p>
    <w:p w14:paraId="4FB647E8" w14:textId="77777777" w:rsidR="00C74DA0" w:rsidRPr="00C66E29" w:rsidRDefault="00C74DA0" w:rsidP="00091AB4">
      <w:r w:rsidRPr="00C66E29">
        <w:t xml:space="preserve">The Bureau processes notifications submitted under Article </w:t>
      </w:r>
      <w:r w:rsidRPr="00C66E29">
        <w:rPr>
          <w:b/>
        </w:rPr>
        <w:t>5</w:t>
      </w:r>
      <w:r w:rsidRPr="00C66E29">
        <w:t xml:space="preserve"> of these appendices for recording in the Master International Frequency Register, i.e. data acknowledgement, validation, publication of the information in Part I-S of BR IFIC, technical examination (establishment of Findings) and publication in Part II-S or III-S of BR IFIC, recording in the MIFR, including the update of databases made available to all administrations on the ITU website and in BR IFIC. </w:t>
      </w:r>
    </w:p>
    <w:p w14:paraId="1EF16F57" w14:textId="77777777" w:rsidR="00C74DA0" w:rsidRPr="00C66E29" w:rsidRDefault="00C74DA0" w:rsidP="00091AB4">
      <w:r w:rsidRPr="00C66E29">
        <w:t xml:space="preserve">The Bureau also processes requests for coordination of assignments for space operation functions in the </w:t>
      </w:r>
      <w:proofErr w:type="spellStart"/>
      <w:r w:rsidRPr="00C66E29">
        <w:t>guardbands</w:t>
      </w:r>
      <w:proofErr w:type="spellEnd"/>
      <w:r w:rsidRPr="00C66E29">
        <w:t xml:space="preserve"> submitted under Article </w:t>
      </w:r>
      <w:r w:rsidRPr="00C66E29">
        <w:rPr>
          <w:b/>
        </w:rPr>
        <w:t>2A</w:t>
      </w:r>
      <w:r w:rsidRPr="00C66E29">
        <w:t xml:space="preserve"> of these appendices, </w:t>
      </w:r>
      <w:proofErr w:type="gramStart"/>
      <w:r w:rsidRPr="00C66E29">
        <w:t>i.e.</w:t>
      </w:r>
      <w:proofErr w:type="gramEnd"/>
      <w:r w:rsidRPr="00C66E29">
        <w:t xml:space="preserve"> data capture, validation, examination and publication of a Special Section in BR IFIC. </w:t>
      </w:r>
    </w:p>
    <w:p w14:paraId="2F493133" w14:textId="77777777" w:rsidR="00C74DA0" w:rsidRPr="00C66E29" w:rsidRDefault="00C74DA0" w:rsidP="00C74DA0">
      <w:pPr>
        <w:pStyle w:val="Heading4"/>
      </w:pPr>
      <w:r w:rsidRPr="00C66E29">
        <w:t>2.3.1.1</w:t>
      </w:r>
      <w:r w:rsidRPr="00C66E29">
        <w:tab/>
        <w:t xml:space="preserve">Treatment time in the processing of requests for AP30-30A (Article 4 Part A) </w:t>
      </w:r>
    </w:p>
    <w:p w14:paraId="25F14E24" w14:textId="77777777" w:rsidR="00C74DA0" w:rsidRPr="00C66E29" w:rsidRDefault="00C74DA0" w:rsidP="00091AB4">
      <w:pPr>
        <w:pStyle w:val="Figurewithouttitle"/>
      </w:pPr>
      <w:r w:rsidRPr="00091AB4">
        <w:rPr>
          <w:noProof/>
        </w:rPr>
        <w:drawing>
          <wp:inline distT="0" distB="0" distL="0" distR="0" wp14:anchorId="58B88E08" wp14:editId="3B2DAAFD">
            <wp:extent cx="6120765" cy="3152775"/>
            <wp:effectExtent l="0" t="0" r="0" b="9525"/>
            <wp:docPr id="12" name="Picture 12" descr="A picture containing diagram, line, plot,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 line, plot, sketch&#10;&#10;Description automatically generated"/>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120765" cy="3152775"/>
                    </a:xfrm>
                    <a:prstGeom prst="rect">
                      <a:avLst/>
                    </a:prstGeom>
                    <a:noFill/>
                    <a:ln>
                      <a:noFill/>
                    </a:ln>
                  </pic:spPr>
                </pic:pic>
              </a:graphicData>
            </a:graphic>
          </wp:inline>
        </w:drawing>
      </w:r>
    </w:p>
    <w:p w14:paraId="354F8209" w14:textId="61A8C3C6" w:rsidR="00C74DA0" w:rsidRPr="00C66E29" w:rsidRDefault="00C74DA0" w:rsidP="00C74DA0">
      <w:r w:rsidRPr="00C66E29">
        <w:t xml:space="preserve">The Figure </w:t>
      </w:r>
      <w:r w:rsidR="00091AB4" w:rsidRPr="00C66E29">
        <w:t xml:space="preserve">above </w:t>
      </w:r>
      <w:r w:rsidRPr="00C66E29">
        <w:t xml:space="preserve">shows the statistics on the treatment time in the processing of requests for the application of Article </w:t>
      </w:r>
      <w:r w:rsidRPr="006F0FA8">
        <w:rPr>
          <w:bCs/>
        </w:rPr>
        <w:t>4</w:t>
      </w:r>
      <w:r w:rsidRPr="00C66E29">
        <w:t xml:space="preserve"> of Appendices </w:t>
      </w:r>
      <w:r w:rsidRPr="00C66E29">
        <w:rPr>
          <w:b/>
        </w:rPr>
        <w:t>30/30A</w:t>
      </w:r>
      <w:r w:rsidRPr="00C66E29">
        <w:t xml:space="preserve"> in the 2019-2023 period. These statistics are regularly </w:t>
      </w:r>
      <w:proofErr w:type="gramStart"/>
      <w:r w:rsidRPr="00C66E29">
        <w:t>updated</w:t>
      </w:r>
      <w:proofErr w:type="gramEnd"/>
      <w:r w:rsidRPr="00C66E29">
        <w:t xml:space="preserve"> and the latest version may be found at: </w:t>
      </w:r>
      <w:hyperlink r:id="rId38" w:history="1">
        <w:r w:rsidRPr="00C66E29">
          <w:rPr>
            <w:rStyle w:val="Hyperlink"/>
          </w:rPr>
          <w:t>http://www.itu.int/en/ITU-R/space/Pages/Statistics.aspx</w:t>
        </w:r>
      </w:hyperlink>
      <w:r w:rsidRPr="00C66E29">
        <w:t>.</w:t>
      </w:r>
    </w:p>
    <w:p w14:paraId="463C6DA2" w14:textId="77777777" w:rsidR="00C74DA0" w:rsidRPr="00C66E29" w:rsidRDefault="00C74DA0" w:rsidP="00C74DA0">
      <w:pPr>
        <w:pStyle w:val="Heading4"/>
      </w:pPr>
      <w:r w:rsidRPr="00C66E29">
        <w:t>2.3.1.2</w:t>
      </w:r>
      <w:r w:rsidRPr="00C66E29">
        <w:tab/>
        <w:t>Implementation of Resolution 559 (WRC-19)</w:t>
      </w:r>
    </w:p>
    <w:p w14:paraId="1746BBF1" w14:textId="64B582F1" w:rsidR="00C74DA0" w:rsidRPr="00C66E29" w:rsidRDefault="00C74DA0" w:rsidP="00091AB4">
      <w:r w:rsidRPr="00C66E29">
        <w:t xml:space="preserve">WRC-19 adopted Resolution </w:t>
      </w:r>
      <w:r w:rsidRPr="00C66E29">
        <w:rPr>
          <w:b/>
          <w:bCs/>
        </w:rPr>
        <w:t>559</w:t>
      </w:r>
      <w:r w:rsidRPr="00C66E29">
        <w:t xml:space="preserve"> to provide Regions 1 and 3 administrations that are eligible for the special procedure described in that Resolution with the possibility to submit new frequency assignments as a replacement of their national frequency assignments in the Appendices </w:t>
      </w:r>
      <w:r w:rsidRPr="00C66E29">
        <w:rPr>
          <w:b/>
          <w:bCs/>
        </w:rPr>
        <w:t>30</w:t>
      </w:r>
      <w:r w:rsidRPr="00C66E29">
        <w:t xml:space="preserve"> and </w:t>
      </w:r>
      <w:r w:rsidRPr="00C66E29">
        <w:rPr>
          <w:b/>
          <w:bCs/>
        </w:rPr>
        <w:t>30A</w:t>
      </w:r>
      <w:r w:rsidRPr="00C66E29">
        <w:t xml:space="preserve"> Plans, taking advantage of the removal of some limitations in Annex 7 to Appendix </w:t>
      </w:r>
      <w:r w:rsidRPr="00C66E29">
        <w:rPr>
          <w:b/>
          <w:bCs/>
        </w:rPr>
        <w:t>30 (WRC</w:t>
      </w:r>
      <w:r w:rsidR="00091AB4">
        <w:rPr>
          <w:b/>
          <w:bCs/>
        </w:rPr>
        <w:noBreakHyphen/>
      </w:r>
      <w:r w:rsidRPr="00C66E29">
        <w:rPr>
          <w:b/>
          <w:bCs/>
        </w:rPr>
        <w:t>15)</w:t>
      </w:r>
      <w:r w:rsidRPr="00C66E29">
        <w:t>.</w:t>
      </w:r>
    </w:p>
    <w:p w14:paraId="0FA4C919" w14:textId="77777777" w:rsidR="00C74DA0" w:rsidRPr="00C66E29" w:rsidRDefault="00C74DA0" w:rsidP="00091AB4">
      <w:pPr>
        <w:rPr>
          <w:lang w:eastAsia="it-IT"/>
        </w:rPr>
      </w:pPr>
      <w:r w:rsidRPr="00C66E29">
        <w:t xml:space="preserve">In accordance with the instructs the Director of the Radiocommunication Bureau 1 of Resolution </w:t>
      </w:r>
      <w:r w:rsidRPr="00C66E29">
        <w:rPr>
          <w:b/>
          <w:bCs/>
        </w:rPr>
        <w:t>559 (WRC-19)</w:t>
      </w:r>
      <w:r w:rsidRPr="00C66E29">
        <w:t xml:space="preserve"> and “Instructions to the Radiocommunication Bureau in application of revised Annex 7 to RR Appendix </w:t>
      </w:r>
      <w:r w:rsidRPr="00C66E29">
        <w:rPr>
          <w:b/>
          <w:bCs/>
        </w:rPr>
        <w:t>30</w:t>
      </w:r>
      <w:r w:rsidRPr="00C66E29">
        <w:t xml:space="preserve"> and associated Resolutions”, the Bureau identified 55 eligible Administrations based on the Appendices </w:t>
      </w:r>
      <w:r w:rsidRPr="00C66E29">
        <w:rPr>
          <w:b/>
          <w:bCs/>
        </w:rPr>
        <w:t>30</w:t>
      </w:r>
      <w:r w:rsidRPr="00C66E29">
        <w:t xml:space="preserve"> and </w:t>
      </w:r>
      <w:r w:rsidRPr="00C66E29">
        <w:rPr>
          <w:b/>
          <w:bCs/>
        </w:rPr>
        <w:t>30A</w:t>
      </w:r>
      <w:r w:rsidRPr="00C66E29">
        <w:t xml:space="preserve"> master database (SPS_ALL_IFIC2909.mdb) published in the BR IFIC (space services) 2909 of 26 November 2019. </w:t>
      </w:r>
      <w:r w:rsidRPr="00C66E29">
        <w:rPr>
          <w:lang w:eastAsia="it-IT"/>
        </w:rPr>
        <w:t xml:space="preserve">Through Circular Letter CR/455 dated 21 February 2020, the Bureau informed all these Administrations of their eligibility and included a guidance to administrations for the application of </w:t>
      </w:r>
      <w:r w:rsidRPr="00C66E29">
        <w:t xml:space="preserve">Resolution </w:t>
      </w:r>
      <w:r w:rsidRPr="00C66E29">
        <w:rPr>
          <w:b/>
          <w:bCs/>
        </w:rPr>
        <w:t>559 (WRC-19)</w:t>
      </w:r>
      <w:r w:rsidRPr="00C66E29">
        <w:rPr>
          <w:lang w:eastAsia="it-IT"/>
        </w:rPr>
        <w:t xml:space="preserve">. In addition, a dedicated webpage was created on the Bureau’s website to make available the relevant presentations from previous workshops (specifically the step-by-step Resolution 559 application, how to use BR software and how to create a submission), as well as the list of submissions received under </w:t>
      </w:r>
      <w:r w:rsidRPr="00C66E29">
        <w:t xml:space="preserve">Resolution </w:t>
      </w:r>
      <w:r w:rsidRPr="00C66E29">
        <w:rPr>
          <w:b/>
          <w:bCs/>
        </w:rPr>
        <w:t>559 (WRC-19)</w:t>
      </w:r>
      <w:r w:rsidRPr="00C66E29">
        <w:rPr>
          <w:lang w:eastAsia="it-IT"/>
        </w:rPr>
        <w:t>.</w:t>
      </w:r>
    </w:p>
    <w:p w14:paraId="3FC36E91" w14:textId="2DEC43A9" w:rsidR="00C74DA0" w:rsidRPr="00C66E29" w:rsidRDefault="00C74DA0" w:rsidP="00091AB4">
      <w:r w:rsidRPr="00C66E29">
        <w:t xml:space="preserve">In accordance with </w:t>
      </w:r>
      <w:r w:rsidRPr="00C66E29">
        <w:rPr>
          <w:i/>
          <w:iCs/>
        </w:rPr>
        <w:t xml:space="preserve">the instructs the Director of the Radiocommunication Bureau 2 </w:t>
      </w:r>
      <w:r w:rsidRPr="00C66E29">
        <w:t xml:space="preserve">of Resolution </w:t>
      </w:r>
      <w:r w:rsidRPr="00C66E29">
        <w:rPr>
          <w:b/>
          <w:bCs/>
        </w:rPr>
        <w:t>559 (WRC-19)</w:t>
      </w:r>
      <w:r w:rsidRPr="00C66E29">
        <w:t>, the Southern African Development Community (SADC) and the African Telecommunications Union (ATU) invited the Bureau to participate in their special workshops from 13</w:t>
      </w:r>
      <w:r w:rsidRPr="00C66E29">
        <w:rPr>
          <w:vertAlign w:val="superscript"/>
        </w:rPr>
        <w:t>th</w:t>
      </w:r>
      <w:r w:rsidRPr="00C66E29">
        <w:t xml:space="preserve"> to 17</w:t>
      </w:r>
      <w:r w:rsidRPr="00C66E29">
        <w:rPr>
          <w:vertAlign w:val="superscript"/>
        </w:rPr>
        <w:t>th</w:t>
      </w:r>
      <w:r w:rsidRPr="00C66E29">
        <w:t xml:space="preserve"> January 2020 in Luanda, Angola and from 17 to 21 February 2020 in Nairobi – Kenya, respectively. BR staff actively participated in these two workshops and assisted 31 ATU Member States in identifying appropriate new orbital positions/frequency channels and in preparing their requests in compliance with requirements of the special procedure.</w:t>
      </w:r>
    </w:p>
    <w:p w14:paraId="47758A24" w14:textId="30A3E28B" w:rsidR="00C74DA0" w:rsidRPr="00C66E29" w:rsidRDefault="00C74DA0" w:rsidP="00091AB4">
      <w:r w:rsidRPr="00C66E29">
        <w:t>Following the provision of assistance to the above-mentioned two special workshops, the Bureau reported to the 83</w:t>
      </w:r>
      <w:r w:rsidRPr="00C66E29">
        <w:rPr>
          <w:vertAlign w:val="superscript"/>
        </w:rPr>
        <w:t>rd</w:t>
      </w:r>
      <w:r w:rsidRPr="00C66E29">
        <w:t xml:space="preserve"> meeting of the Radio Regulations Board (RRB)</w:t>
      </w:r>
      <w:r w:rsidR="00091AB4">
        <w:t xml:space="preserve"> </w:t>
      </w:r>
      <w:r w:rsidRPr="00C66E29">
        <w:t xml:space="preserve">(25 March 2020) the progress of the implementation of Resolution </w:t>
      </w:r>
      <w:r w:rsidRPr="00C66E29">
        <w:rPr>
          <w:b/>
          <w:bCs/>
        </w:rPr>
        <w:t>559 (WRC-19)</w:t>
      </w:r>
      <w:r w:rsidRPr="00C66E29">
        <w:t xml:space="preserve">, drawing the attention of the members of the Board to the possibility of eligible administrations to withdraw and re-submit a notice as long as the resubmission was received before 21 May 2020; the possible impact of submissions under § 4.1.3 of Appendices </w:t>
      </w:r>
      <w:r w:rsidRPr="00C66E29">
        <w:rPr>
          <w:b/>
          <w:bCs/>
        </w:rPr>
        <w:t>30</w:t>
      </w:r>
      <w:r w:rsidRPr="00C66E29">
        <w:t xml:space="preserve"> and </w:t>
      </w:r>
      <w:r w:rsidRPr="00C66E29">
        <w:rPr>
          <w:b/>
          <w:bCs/>
        </w:rPr>
        <w:t>30A</w:t>
      </w:r>
      <w:r w:rsidRPr="00C66E29">
        <w:t xml:space="preserve"> received before 23 November 2019 (i.e. the date of entry into force of this Resolution) and the corresponding submissions under § 4.1.12 not received before the end of WRC-19.</w:t>
      </w:r>
    </w:p>
    <w:p w14:paraId="03415C47" w14:textId="77777777" w:rsidR="00C74DA0" w:rsidRPr="00C66E29" w:rsidRDefault="00C74DA0" w:rsidP="00091AB4">
      <w:pPr>
        <w:rPr>
          <w:lang w:eastAsia="it-IT"/>
        </w:rPr>
      </w:pPr>
      <w:r w:rsidRPr="00C66E29">
        <w:rPr>
          <w:lang w:eastAsia="it-IT"/>
        </w:rPr>
        <w:t xml:space="preserve">One month before the expiry of the deadline (21 May 2020) for submissions under </w:t>
      </w:r>
      <w:r w:rsidRPr="00C66E29">
        <w:t xml:space="preserve">Resolution </w:t>
      </w:r>
      <w:r w:rsidRPr="00C66E29">
        <w:rPr>
          <w:b/>
          <w:bCs/>
        </w:rPr>
        <w:t>559 (WRC-19)</w:t>
      </w:r>
      <w:r w:rsidRPr="00C66E29">
        <w:rPr>
          <w:lang w:eastAsia="it-IT"/>
        </w:rPr>
        <w:t>, the Bureau sent a reminder to 28 administrations that had not yet submitted their requests. In addition to the 31 ATU Member States for which the Bureau suggested orbital positions/frequency channels during the above-mentioned special workshop for ATU, 15 other Administrations formally requested the assistance of the Bureau to find appropriate orbital slots/frequency channels and to prepare their requests.</w:t>
      </w:r>
    </w:p>
    <w:p w14:paraId="7D7DB10F" w14:textId="77777777" w:rsidR="00C74DA0" w:rsidRPr="00C66E29" w:rsidRDefault="00C74DA0" w:rsidP="00091AB4">
      <w:pPr>
        <w:rPr>
          <w:lang w:eastAsia="it-IT"/>
        </w:rPr>
      </w:pPr>
      <w:r w:rsidRPr="00C66E29">
        <w:rPr>
          <w:lang w:eastAsia="it-IT"/>
        </w:rPr>
        <w:t xml:space="preserve">By 21 May 2020, 42 Administrations out of the 55 eligible Administrations had finally submitted their requests together with downlink and feeder-link notices to the Bureau. Among those submissions, 3 Administrations, namely Madagascar, Seychelles and Mauritius presented a special case: they wished to apply </w:t>
      </w:r>
      <w:r w:rsidRPr="00C66E29">
        <w:t xml:space="preserve">Resolution </w:t>
      </w:r>
      <w:r w:rsidRPr="00C66E29">
        <w:rPr>
          <w:b/>
          <w:bCs/>
        </w:rPr>
        <w:t>559 (WRC-19)</w:t>
      </w:r>
      <w:r w:rsidRPr="00C66E29">
        <w:rPr>
          <w:lang w:eastAsia="it-IT"/>
        </w:rPr>
        <w:t xml:space="preserve">, but technical computations show that there was no suitable solution for them in the parts of the geostationary-satellite orbit (GSO) subject to </w:t>
      </w:r>
      <w:r w:rsidRPr="00C66E29">
        <w:t xml:space="preserve">Resolution </w:t>
      </w:r>
      <w:r w:rsidRPr="00C66E29">
        <w:rPr>
          <w:b/>
          <w:bCs/>
        </w:rPr>
        <w:t>559 (WRC-19)</w:t>
      </w:r>
      <w:r w:rsidRPr="00C66E29">
        <w:rPr>
          <w:lang w:eastAsia="it-IT"/>
        </w:rPr>
        <w:t xml:space="preserve">. In acknowledging their submissions, the Bureau informed these 3 Administrations that the Bureau was not </w:t>
      </w:r>
      <w:proofErr w:type="gramStart"/>
      <w:r w:rsidRPr="00C66E29">
        <w:rPr>
          <w:lang w:eastAsia="it-IT"/>
        </w:rPr>
        <w:t>in a position</w:t>
      </w:r>
      <w:proofErr w:type="gramEnd"/>
      <w:r w:rsidRPr="00C66E29">
        <w:rPr>
          <w:lang w:eastAsia="it-IT"/>
        </w:rPr>
        <w:t xml:space="preserve"> to consider their submissions as in accordance with </w:t>
      </w:r>
      <w:r w:rsidRPr="00C66E29">
        <w:t xml:space="preserve">Resolution </w:t>
      </w:r>
      <w:r w:rsidRPr="00C66E29">
        <w:rPr>
          <w:b/>
          <w:bCs/>
        </w:rPr>
        <w:t>559 (WRC-19)</w:t>
      </w:r>
      <w:r w:rsidRPr="00C66E29">
        <w:t xml:space="preserve"> </w:t>
      </w:r>
      <w:r w:rsidRPr="00C66E29">
        <w:rPr>
          <w:lang w:eastAsia="it-IT"/>
        </w:rPr>
        <w:t xml:space="preserve">because the orbital positions were outside the orbital arcs for which the Annex 7 to Appendix </w:t>
      </w:r>
      <w:r w:rsidRPr="00C66E29">
        <w:rPr>
          <w:b/>
          <w:bCs/>
          <w:lang w:eastAsia="it-IT"/>
        </w:rPr>
        <w:t>30 (Rev.WRC-15)</w:t>
      </w:r>
      <w:r w:rsidRPr="00C66E29">
        <w:rPr>
          <w:lang w:eastAsia="it-IT"/>
        </w:rPr>
        <w:t xml:space="preserve"> limitations were suppressed by WRC-19. Instead, the Bureau considered these submissions as normal applications of the Article 4 procedure of Appendices </w:t>
      </w:r>
      <w:r w:rsidRPr="00C66E29">
        <w:rPr>
          <w:b/>
          <w:bCs/>
          <w:lang w:eastAsia="it-IT"/>
        </w:rPr>
        <w:t>30</w:t>
      </w:r>
      <w:r w:rsidRPr="00C66E29">
        <w:rPr>
          <w:lang w:eastAsia="it-IT"/>
        </w:rPr>
        <w:t xml:space="preserve"> and </w:t>
      </w:r>
      <w:r w:rsidRPr="00C66E29">
        <w:rPr>
          <w:b/>
          <w:bCs/>
          <w:lang w:eastAsia="it-IT"/>
        </w:rPr>
        <w:t>30A</w:t>
      </w:r>
      <w:r w:rsidRPr="00C66E29">
        <w:rPr>
          <w:lang w:eastAsia="it-IT"/>
        </w:rPr>
        <w:t xml:space="preserve"> with the aim of replacing their current degraded BSS Plan assignments.</w:t>
      </w:r>
    </w:p>
    <w:p w14:paraId="59FE7F2A" w14:textId="77777777" w:rsidR="00C74DA0" w:rsidRPr="00C66E29" w:rsidRDefault="00C74DA0" w:rsidP="00091AB4">
      <w:pPr>
        <w:rPr>
          <w:lang w:eastAsia="it-IT"/>
        </w:rPr>
      </w:pPr>
      <w:r w:rsidRPr="00C66E29">
        <w:rPr>
          <w:lang w:eastAsia="it-IT"/>
        </w:rPr>
        <w:t>At the 84</w:t>
      </w:r>
      <w:r w:rsidRPr="00C66E29">
        <w:rPr>
          <w:vertAlign w:val="superscript"/>
          <w:lang w:eastAsia="it-IT"/>
        </w:rPr>
        <w:t>th</w:t>
      </w:r>
      <w:r w:rsidRPr="00C66E29">
        <w:rPr>
          <w:lang w:eastAsia="it-IT"/>
        </w:rPr>
        <w:t xml:space="preserve"> meeting of the Board (6-15 July 2020), the Bureau submitted a report on submissions received in accordance with </w:t>
      </w:r>
      <w:r w:rsidRPr="00C66E29">
        <w:t xml:space="preserve">Resolution </w:t>
      </w:r>
      <w:r w:rsidRPr="00C66E29">
        <w:rPr>
          <w:b/>
          <w:bCs/>
        </w:rPr>
        <w:t>559 (WRC-19)</w:t>
      </w:r>
      <w:r w:rsidRPr="00C66E29">
        <w:t xml:space="preserve"> </w:t>
      </w:r>
      <w:r w:rsidRPr="00C66E29">
        <w:rPr>
          <w:lang w:eastAsia="it-IT"/>
        </w:rPr>
        <w:t xml:space="preserve">and on the analysis of the potential impact from Part A BSS submissions received by the Bureau before 22 May 2020 in </w:t>
      </w:r>
      <w:proofErr w:type="gramStart"/>
      <w:r w:rsidRPr="00C66E29">
        <w:rPr>
          <w:lang w:eastAsia="it-IT"/>
        </w:rPr>
        <w:t>Regions</w:t>
      </w:r>
      <w:proofErr w:type="gramEnd"/>
      <w:r w:rsidRPr="00C66E29">
        <w:rPr>
          <w:lang w:eastAsia="it-IT"/>
        </w:rPr>
        <w:t xml:space="preserve"> 1 and 3 on the reference situation of those Resolution </w:t>
      </w:r>
      <w:r w:rsidRPr="00091AB4">
        <w:rPr>
          <w:b/>
          <w:bCs/>
          <w:lang w:eastAsia="it-IT"/>
        </w:rPr>
        <w:t>559</w:t>
      </w:r>
      <w:r w:rsidRPr="00C66E29">
        <w:rPr>
          <w:lang w:eastAsia="it-IT"/>
        </w:rPr>
        <w:t xml:space="preserve"> submissions. The Bureau also submitted a report on the compatibility amongst Resolution </w:t>
      </w:r>
      <w:r w:rsidRPr="00091AB4">
        <w:rPr>
          <w:b/>
          <w:bCs/>
          <w:lang w:eastAsia="it-IT"/>
        </w:rPr>
        <w:t>559</w:t>
      </w:r>
      <w:r w:rsidRPr="00C66E29">
        <w:rPr>
          <w:lang w:eastAsia="it-IT"/>
        </w:rPr>
        <w:t xml:space="preserve"> submissions and Article 4 submissions from the Administrations of Mauritius, </w:t>
      </w:r>
      <w:proofErr w:type="gramStart"/>
      <w:r w:rsidRPr="00C66E29">
        <w:rPr>
          <w:lang w:eastAsia="it-IT"/>
        </w:rPr>
        <w:t>Seychelles</w:t>
      </w:r>
      <w:proofErr w:type="gramEnd"/>
      <w:r w:rsidRPr="00C66E29">
        <w:rPr>
          <w:lang w:eastAsia="it-IT"/>
        </w:rPr>
        <w:t xml:space="preserve"> and Madagascar. The Bureau also informed the Board that 13 eligible Administrations did not request the application of Resolution </w:t>
      </w:r>
      <w:r w:rsidRPr="00C66E29">
        <w:rPr>
          <w:b/>
          <w:bCs/>
          <w:lang w:eastAsia="it-IT"/>
        </w:rPr>
        <w:t>559 (WRC-19)</w:t>
      </w:r>
      <w:r w:rsidRPr="00C66E29">
        <w:rPr>
          <w:lang w:eastAsia="it-IT"/>
        </w:rPr>
        <w:t xml:space="preserve"> before the expiry of the deadline (21 May 2020), namely, </w:t>
      </w:r>
      <w:r w:rsidRPr="00C66E29">
        <w:rPr>
          <w:i/>
          <w:iCs/>
          <w:lang w:eastAsia="it-IT"/>
        </w:rPr>
        <w:t>Armenia, Austria</w:t>
      </w:r>
      <w:r w:rsidRPr="00C66E29">
        <w:rPr>
          <w:i/>
          <w:iCs/>
          <w:vertAlign w:val="superscript"/>
          <w:lang w:eastAsia="it-IT"/>
        </w:rPr>
        <w:footnoteReference w:id="4"/>
      </w:r>
      <w:r w:rsidRPr="00C66E29">
        <w:rPr>
          <w:i/>
          <w:iCs/>
          <w:lang w:eastAsia="it-IT"/>
        </w:rPr>
        <w:t>, Belgium, Sri Lanka, Comoros, Vatican City State, Denmark</w:t>
      </w:r>
      <w:r w:rsidRPr="00C66E29">
        <w:rPr>
          <w:i/>
          <w:iCs/>
          <w:vertAlign w:val="superscript"/>
          <w:lang w:eastAsia="it-IT"/>
        </w:rPr>
        <w:footnoteReference w:id="5"/>
      </w:r>
      <w:r w:rsidRPr="00C66E29">
        <w:rPr>
          <w:i/>
          <w:iCs/>
          <w:lang w:eastAsia="it-IT"/>
        </w:rPr>
        <w:t>, Equatorial Guinea, Liechtenstein, Maldives, Nepal, Turkmenistan, Yemen</w:t>
      </w:r>
      <w:r w:rsidRPr="00C66E29">
        <w:rPr>
          <w:lang w:eastAsia="it-IT"/>
        </w:rPr>
        <w:t>. In anticipation of possible late requests, the Bureau also assessed what orbital positions, channels and polarisations could be used by these 13 eligible Administrations. The Administrations of Comoros, Equatorial Guinea and Vatican City State submitted the requests after the deadline of 21 May 2020 (between 22 May 2020 and 6 July 2020). However, these late submissions were considered as received by the Bureau on 21 May 2020 based on the decision of the Board at its 84</w:t>
      </w:r>
      <w:r w:rsidRPr="00C66E29">
        <w:rPr>
          <w:vertAlign w:val="superscript"/>
          <w:lang w:eastAsia="it-IT"/>
        </w:rPr>
        <w:t>th</w:t>
      </w:r>
      <w:r w:rsidRPr="00C66E29">
        <w:rPr>
          <w:lang w:eastAsia="it-IT"/>
        </w:rPr>
        <w:t xml:space="preserve"> meeting. </w:t>
      </w:r>
      <w:proofErr w:type="gramStart"/>
      <w:r w:rsidRPr="00C66E29">
        <w:rPr>
          <w:lang w:eastAsia="it-IT"/>
        </w:rPr>
        <w:t>With regard to</w:t>
      </w:r>
      <w:proofErr w:type="gramEnd"/>
      <w:r w:rsidRPr="00C66E29">
        <w:rPr>
          <w:lang w:eastAsia="it-IT"/>
        </w:rPr>
        <w:t xml:space="preserve"> the submissions from the Administrations Mauritius, Seychelles and Madagascar, the Board instructed the Bureau to take into account and process the submissions received from these three Administrations as submissions received under the Article 4 procedure of Appendices </w:t>
      </w:r>
      <w:r w:rsidRPr="00C66E29">
        <w:rPr>
          <w:b/>
          <w:bCs/>
          <w:lang w:eastAsia="it-IT"/>
        </w:rPr>
        <w:t>30</w:t>
      </w:r>
      <w:r w:rsidRPr="00C66E29">
        <w:rPr>
          <w:lang w:eastAsia="it-IT"/>
        </w:rPr>
        <w:t xml:space="preserve"> and </w:t>
      </w:r>
      <w:r w:rsidRPr="00C66E29">
        <w:rPr>
          <w:b/>
          <w:bCs/>
          <w:lang w:eastAsia="it-IT"/>
        </w:rPr>
        <w:t>30A</w:t>
      </w:r>
      <w:r w:rsidRPr="00C66E29">
        <w:rPr>
          <w:lang w:eastAsia="it-IT"/>
        </w:rPr>
        <w:t xml:space="preserve">, while also implementing the same measures adopted by the Board for the treatment of Resolution </w:t>
      </w:r>
      <w:r w:rsidRPr="00091AB4">
        <w:rPr>
          <w:b/>
          <w:bCs/>
          <w:lang w:eastAsia="it-IT"/>
        </w:rPr>
        <w:t>559</w:t>
      </w:r>
      <w:r w:rsidRPr="00C66E29">
        <w:rPr>
          <w:lang w:eastAsia="it-IT"/>
        </w:rPr>
        <w:t xml:space="preserve"> submissions.</w:t>
      </w:r>
    </w:p>
    <w:p w14:paraId="136162A0" w14:textId="77777777" w:rsidR="00C74DA0" w:rsidRPr="00C66E29" w:rsidRDefault="00C74DA0" w:rsidP="00091AB4">
      <w:pPr>
        <w:rPr>
          <w:lang w:eastAsia="it-IT"/>
        </w:rPr>
      </w:pPr>
      <w:r w:rsidRPr="00C66E29">
        <w:rPr>
          <w:lang w:eastAsia="it-IT"/>
        </w:rPr>
        <w:t xml:space="preserve">Based on the assistance provided by the Bureau together with the relevant decisions of the Board, 45 out of the 55 eligible Administrations successfully submitted their requests (each request consisted of one notice for downlink and another notice for feeder-link) in application of the special procedure. Hereafter, submissions under </w:t>
      </w:r>
      <w:r w:rsidRPr="00C66E29">
        <w:t xml:space="preserve">Resolution </w:t>
      </w:r>
      <w:r w:rsidRPr="00C66E29">
        <w:rPr>
          <w:b/>
          <w:bCs/>
        </w:rPr>
        <w:t>559 (WRC-19)</w:t>
      </w:r>
      <w:r w:rsidRPr="00C66E29">
        <w:rPr>
          <w:lang w:eastAsia="it-IT"/>
        </w:rPr>
        <w:t xml:space="preserve"> and under Article 4 of Appendices </w:t>
      </w:r>
      <w:r w:rsidRPr="00C66E29">
        <w:rPr>
          <w:b/>
          <w:bCs/>
          <w:lang w:eastAsia="it-IT"/>
        </w:rPr>
        <w:t>30</w:t>
      </w:r>
      <w:r w:rsidRPr="00C66E29">
        <w:rPr>
          <w:lang w:eastAsia="it-IT"/>
        </w:rPr>
        <w:t xml:space="preserve"> and </w:t>
      </w:r>
      <w:r w:rsidRPr="00C66E29">
        <w:rPr>
          <w:b/>
          <w:bCs/>
          <w:lang w:eastAsia="it-IT"/>
        </w:rPr>
        <w:t>30A</w:t>
      </w:r>
      <w:r w:rsidRPr="00C66E29">
        <w:rPr>
          <w:lang w:eastAsia="it-IT"/>
        </w:rPr>
        <w:t xml:space="preserve"> from the Administrations of Madagascar, Mauritius and Seychelles are referred to as “Res.</w:t>
      </w:r>
      <w:r w:rsidRPr="00091AB4">
        <w:rPr>
          <w:b/>
          <w:bCs/>
          <w:lang w:eastAsia="it-IT"/>
        </w:rPr>
        <w:t>559</w:t>
      </w:r>
      <w:r w:rsidRPr="00C66E29">
        <w:rPr>
          <w:lang w:eastAsia="it-IT"/>
        </w:rPr>
        <w:t xml:space="preserve"> submissions”.</w:t>
      </w:r>
    </w:p>
    <w:p w14:paraId="1A114AFA" w14:textId="77777777" w:rsidR="00C74DA0" w:rsidRDefault="00C74DA0" w:rsidP="00091AB4">
      <w:pPr>
        <w:rPr>
          <w:lang w:eastAsia="it-IT"/>
        </w:rPr>
      </w:pPr>
      <w:r w:rsidRPr="00C66E29">
        <w:rPr>
          <w:lang w:eastAsia="it-IT"/>
        </w:rPr>
        <w:t>The Bureau validated all these Res.</w:t>
      </w:r>
      <w:r w:rsidRPr="00091AB4">
        <w:rPr>
          <w:b/>
          <w:bCs/>
          <w:lang w:eastAsia="it-IT"/>
        </w:rPr>
        <w:t>559</w:t>
      </w:r>
      <w:r w:rsidRPr="00C66E29">
        <w:rPr>
          <w:lang w:eastAsia="it-IT"/>
        </w:rPr>
        <w:t xml:space="preserve"> submissions, examined and published them in 90 Part A Special Sections in BR IFIC 2932 of 27 October 2020. The 4-month commenting period on those Part </w:t>
      </w:r>
      <w:proofErr w:type="gramStart"/>
      <w:r w:rsidRPr="00C66E29">
        <w:rPr>
          <w:lang w:eastAsia="it-IT"/>
        </w:rPr>
        <w:t>A</w:t>
      </w:r>
      <w:proofErr w:type="gramEnd"/>
      <w:r w:rsidRPr="00C66E29">
        <w:rPr>
          <w:lang w:eastAsia="it-IT"/>
        </w:rPr>
        <w:t xml:space="preserve"> Special Sections ended on 27 February 2021. Below is the summary of statistics on the coordination requirements of the 45 Res.</w:t>
      </w:r>
      <w:r w:rsidRPr="00091AB4">
        <w:rPr>
          <w:b/>
          <w:bCs/>
          <w:lang w:eastAsia="it-IT"/>
        </w:rPr>
        <w:t>559</w:t>
      </w:r>
      <w:r w:rsidRPr="00C66E29">
        <w:rPr>
          <w:lang w:eastAsia="it-IT"/>
        </w:rPr>
        <w:t xml:space="preserve"> submissions based on these 90 Special Sections publication.</w:t>
      </w:r>
    </w:p>
    <w:p w14:paraId="63D0AB93" w14:textId="77777777" w:rsidR="00091AB4" w:rsidRPr="00C66E29" w:rsidRDefault="00091AB4" w:rsidP="00091AB4">
      <w:pPr>
        <w:rPr>
          <w:lang w:eastAsia="it-IT"/>
        </w:rPr>
      </w:pPr>
    </w:p>
    <w:tbl>
      <w:tblPr>
        <w:tblStyle w:val="TableGrid"/>
        <w:tblW w:w="9629" w:type="dxa"/>
        <w:tblLook w:val="04A0" w:firstRow="1" w:lastRow="0" w:firstColumn="1" w:lastColumn="0" w:noHBand="0" w:noVBand="1"/>
      </w:tblPr>
      <w:tblGrid>
        <w:gridCol w:w="596"/>
        <w:gridCol w:w="4153"/>
        <w:gridCol w:w="2523"/>
        <w:gridCol w:w="2357"/>
      </w:tblGrid>
      <w:tr w:rsidR="00C74DA0" w:rsidRPr="00C66E29" w14:paraId="2E96195E" w14:textId="77777777">
        <w:tc>
          <w:tcPr>
            <w:tcW w:w="596" w:type="dxa"/>
            <w:vAlign w:val="center"/>
          </w:tcPr>
          <w:p w14:paraId="24760ACD" w14:textId="77777777" w:rsidR="00C74DA0" w:rsidRPr="00C66E29" w:rsidRDefault="00C74DA0" w:rsidP="00091AB4">
            <w:pPr>
              <w:pStyle w:val="Tablehead"/>
            </w:pPr>
          </w:p>
        </w:tc>
        <w:tc>
          <w:tcPr>
            <w:tcW w:w="4153" w:type="dxa"/>
            <w:vAlign w:val="center"/>
          </w:tcPr>
          <w:p w14:paraId="5F8913DE" w14:textId="77777777" w:rsidR="00C74DA0" w:rsidRPr="00C66E29" w:rsidRDefault="00C74DA0" w:rsidP="00091AB4">
            <w:pPr>
              <w:pStyle w:val="Tablehead"/>
            </w:pPr>
            <w:r w:rsidRPr="00C66E29">
              <w:t>Coordination with administrations with</w:t>
            </w:r>
          </w:p>
        </w:tc>
        <w:tc>
          <w:tcPr>
            <w:tcW w:w="2523" w:type="dxa"/>
            <w:vAlign w:val="center"/>
          </w:tcPr>
          <w:p w14:paraId="28CC0ABC" w14:textId="77777777" w:rsidR="00C74DA0" w:rsidRPr="00C66E29" w:rsidRDefault="00C74DA0" w:rsidP="00091AB4">
            <w:pPr>
              <w:pStyle w:val="Tablehead"/>
            </w:pPr>
            <w:r w:rsidRPr="00C66E29">
              <w:t>No. of affected Plan Beams/Satellite networks</w:t>
            </w:r>
          </w:p>
        </w:tc>
        <w:tc>
          <w:tcPr>
            <w:tcW w:w="2357" w:type="dxa"/>
            <w:vAlign w:val="center"/>
          </w:tcPr>
          <w:p w14:paraId="36C49508" w14:textId="77777777" w:rsidR="00C74DA0" w:rsidRPr="00C66E29" w:rsidRDefault="00C74DA0" w:rsidP="00091AB4">
            <w:pPr>
              <w:pStyle w:val="Tablehead"/>
            </w:pPr>
            <w:r w:rsidRPr="00C66E29">
              <w:t>No. of affected Administrations</w:t>
            </w:r>
          </w:p>
        </w:tc>
      </w:tr>
      <w:tr w:rsidR="00C74DA0" w:rsidRPr="00C66E29" w14:paraId="72277C46" w14:textId="77777777">
        <w:tc>
          <w:tcPr>
            <w:tcW w:w="596" w:type="dxa"/>
          </w:tcPr>
          <w:p w14:paraId="4F57ED3C" w14:textId="77777777" w:rsidR="00C74DA0" w:rsidRPr="00C66E29" w:rsidRDefault="00C74DA0" w:rsidP="00091AB4">
            <w:pPr>
              <w:pStyle w:val="Tabletext"/>
            </w:pPr>
            <w:r w:rsidRPr="00C66E29">
              <w:t>1</w:t>
            </w:r>
          </w:p>
        </w:tc>
        <w:tc>
          <w:tcPr>
            <w:tcW w:w="4153" w:type="dxa"/>
          </w:tcPr>
          <w:p w14:paraId="7B34F893" w14:textId="77777777" w:rsidR="00C74DA0" w:rsidRPr="00C66E29" w:rsidRDefault="00C74DA0" w:rsidP="00091AB4">
            <w:pPr>
              <w:pStyle w:val="Tabletext"/>
            </w:pPr>
            <w:r w:rsidRPr="00C66E29">
              <w:t>assignments in the Regions 1 and 3 Plan</w:t>
            </w:r>
          </w:p>
        </w:tc>
        <w:tc>
          <w:tcPr>
            <w:tcW w:w="2523" w:type="dxa"/>
          </w:tcPr>
          <w:p w14:paraId="3A31212E" w14:textId="77777777" w:rsidR="00C74DA0" w:rsidRPr="00C66E29" w:rsidRDefault="00C74DA0" w:rsidP="00091AB4">
            <w:pPr>
              <w:pStyle w:val="Tabletext"/>
              <w:jc w:val="center"/>
            </w:pPr>
            <w:r w:rsidRPr="00C66E29">
              <w:t>44</w:t>
            </w:r>
          </w:p>
        </w:tc>
        <w:tc>
          <w:tcPr>
            <w:tcW w:w="2357" w:type="dxa"/>
          </w:tcPr>
          <w:p w14:paraId="09D2AC45" w14:textId="77777777" w:rsidR="00C74DA0" w:rsidRPr="00C66E29" w:rsidRDefault="00C74DA0" w:rsidP="00091AB4">
            <w:pPr>
              <w:pStyle w:val="Tabletext"/>
              <w:jc w:val="center"/>
            </w:pPr>
            <w:r w:rsidRPr="00C66E29">
              <w:t>31</w:t>
            </w:r>
          </w:p>
        </w:tc>
      </w:tr>
      <w:tr w:rsidR="00C74DA0" w:rsidRPr="00C66E29" w14:paraId="0314839A" w14:textId="77777777">
        <w:tc>
          <w:tcPr>
            <w:tcW w:w="596" w:type="dxa"/>
          </w:tcPr>
          <w:p w14:paraId="6FD785E2" w14:textId="77777777" w:rsidR="00C74DA0" w:rsidRPr="00C66E29" w:rsidRDefault="00C74DA0" w:rsidP="00091AB4">
            <w:pPr>
              <w:pStyle w:val="Tabletext"/>
            </w:pPr>
            <w:r w:rsidRPr="00C66E29">
              <w:t>2</w:t>
            </w:r>
          </w:p>
        </w:tc>
        <w:tc>
          <w:tcPr>
            <w:tcW w:w="4153" w:type="dxa"/>
          </w:tcPr>
          <w:p w14:paraId="3A382411" w14:textId="77777777" w:rsidR="00C74DA0" w:rsidRPr="00C66E29" w:rsidRDefault="00C74DA0" w:rsidP="00091AB4">
            <w:pPr>
              <w:pStyle w:val="Tabletext"/>
            </w:pPr>
            <w:r w:rsidRPr="00C66E29">
              <w:t>assignments in the original Region 2 Plan or of Pending Article 4 in Region 2</w:t>
            </w:r>
          </w:p>
        </w:tc>
        <w:tc>
          <w:tcPr>
            <w:tcW w:w="2523" w:type="dxa"/>
          </w:tcPr>
          <w:p w14:paraId="16CC687C" w14:textId="77777777" w:rsidR="00C74DA0" w:rsidRPr="00C66E29" w:rsidRDefault="00C74DA0" w:rsidP="00091AB4">
            <w:pPr>
              <w:pStyle w:val="Tabletext"/>
              <w:jc w:val="center"/>
            </w:pPr>
            <w:r w:rsidRPr="00C66E29">
              <w:t>5 (Plan) + 5 (Pending)</w:t>
            </w:r>
          </w:p>
        </w:tc>
        <w:tc>
          <w:tcPr>
            <w:tcW w:w="2357" w:type="dxa"/>
          </w:tcPr>
          <w:p w14:paraId="3AD11B63" w14:textId="77777777" w:rsidR="00C74DA0" w:rsidRPr="00C66E29" w:rsidRDefault="00C74DA0" w:rsidP="00091AB4">
            <w:pPr>
              <w:pStyle w:val="Tabletext"/>
              <w:jc w:val="center"/>
            </w:pPr>
            <w:r w:rsidRPr="00C66E29">
              <w:t>6</w:t>
            </w:r>
          </w:p>
        </w:tc>
      </w:tr>
      <w:tr w:rsidR="00C74DA0" w:rsidRPr="00C66E29" w14:paraId="1A7A582A" w14:textId="77777777">
        <w:tc>
          <w:tcPr>
            <w:tcW w:w="596" w:type="dxa"/>
          </w:tcPr>
          <w:p w14:paraId="45096E3B" w14:textId="77777777" w:rsidR="00C74DA0" w:rsidRPr="00C66E29" w:rsidRDefault="00C74DA0" w:rsidP="00091AB4">
            <w:pPr>
              <w:pStyle w:val="Tabletext"/>
            </w:pPr>
            <w:r w:rsidRPr="00C66E29">
              <w:t>3</w:t>
            </w:r>
          </w:p>
        </w:tc>
        <w:tc>
          <w:tcPr>
            <w:tcW w:w="4153" w:type="dxa"/>
          </w:tcPr>
          <w:p w14:paraId="15D6ABA0" w14:textId="77777777" w:rsidR="00C74DA0" w:rsidRPr="00C66E29" w:rsidRDefault="00C74DA0" w:rsidP="00091AB4">
            <w:pPr>
              <w:pStyle w:val="Tabletext"/>
            </w:pPr>
            <w:bookmarkStart w:id="58" w:name="_Hlk82971280"/>
            <w:r w:rsidRPr="00C66E29">
              <w:t>assignments in the List or of Pending Article 4 (Additional uses) in Regions 1 and 3</w:t>
            </w:r>
            <w:bookmarkEnd w:id="58"/>
          </w:p>
        </w:tc>
        <w:tc>
          <w:tcPr>
            <w:tcW w:w="2523" w:type="dxa"/>
          </w:tcPr>
          <w:p w14:paraId="6782C99A" w14:textId="77777777" w:rsidR="00C74DA0" w:rsidRPr="00C66E29" w:rsidRDefault="00C74DA0" w:rsidP="00091AB4">
            <w:pPr>
              <w:pStyle w:val="Tabletext"/>
              <w:jc w:val="center"/>
            </w:pPr>
            <w:r w:rsidRPr="00C66E29">
              <w:t>39 (List) + 46 (Pending)</w:t>
            </w:r>
          </w:p>
        </w:tc>
        <w:tc>
          <w:tcPr>
            <w:tcW w:w="2357" w:type="dxa"/>
          </w:tcPr>
          <w:p w14:paraId="1F7D06CB" w14:textId="77777777" w:rsidR="00C74DA0" w:rsidRPr="00C66E29" w:rsidRDefault="00C74DA0" w:rsidP="00091AB4">
            <w:pPr>
              <w:pStyle w:val="Tabletext"/>
              <w:jc w:val="center"/>
            </w:pPr>
            <w:r w:rsidRPr="00C66E29">
              <w:t>21</w:t>
            </w:r>
          </w:p>
        </w:tc>
      </w:tr>
      <w:tr w:rsidR="00C74DA0" w:rsidRPr="00C66E29" w14:paraId="715B771D" w14:textId="77777777">
        <w:tc>
          <w:tcPr>
            <w:tcW w:w="596" w:type="dxa"/>
          </w:tcPr>
          <w:p w14:paraId="6295027F" w14:textId="77777777" w:rsidR="00C74DA0" w:rsidRPr="00C66E29" w:rsidRDefault="00C74DA0" w:rsidP="00091AB4">
            <w:pPr>
              <w:pStyle w:val="Tabletext"/>
            </w:pPr>
            <w:r w:rsidRPr="00C66E29">
              <w:t>4</w:t>
            </w:r>
          </w:p>
        </w:tc>
        <w:tc>
          <w:tcPr>
            <w:tcW w:w="4153" w:type="dxa"/>
          </w:tcPr>
          <w:p w14:paraId="098DA7AB" w14:textId="77777777" w:rsidR="00C74DA0" w:rsidRPr="00C66E29" w:rsidRDefault="00C74DA0" w:rsidP="00091AB4">
            <w:pPr>
              <w:pStyle w:val="Tabletext"/>
            </w:pPr>
            <w:r w:rsidRPr="00C66E29">
              <w:t>assignments in the terrestrial services</w:t>
            </w:r>
          </w:p>
        </w:tc>
        <w:tc>
          <w:tcPr>
            <w:tcW w:w="2523" w:type="dxa"/>
          </w:tcPr>
          <w:p w14:paraId="1A660352" w14:textId="77777777" w:rsidR="00C74DA0" w:rsidRPr="00C66E29" w:rsidRDefault="00C74DA0" w:rsidP="00091AB4">
            <w:pPr>
              <w:pStyle w:val="Tabletext"/>
              <w:jc w:val="center"/>
            </w:pPr>
            <w:r w:rsidRPr="00C66E29">
              <w:t>–</w:t>
            </w:r>
          </w:p>
        </w:tc>
        <w:tc>
          <w:tcPr>
            <w:tcW w:w="2357" w:type="dxa"/>
          </w:tcPr>
          <w:p w14:paraId="569A1D1B" w14:textId="77777777" w:rsidR="00C74DA0" w:rsidRPr="00C66E29" w:rsidRDefault="00C74DA0" w:rsidP="00091AB4">
            <w:pPr>
              <w:pStyle w:val="Tabletext"/>
              <w:jc w:val="center"/>
            </w:pPr>
            <w:r w:rsidRPr="00C66E29">
              <w:t>9</w:t>
            </w:r>
          </w:p>
        </w:tc>
      </w:tr>
      <w:tr w:rsidR="00C74DA0" w:rsidRPr="00C66E29" w14:paraId="47872564" w14:textId="77777777">
        <w:tc>
          <w:tcPr>
            <w:tcW w:w="596" w:type="dxa"/>
          </w:tcPr>
          <w:p w14:paraId="5CF5795C" w14:textId="77777777" w:rsidR="00C74DA0" w:rsidRPr="00C66E29" w:rsidRDefault="00C74DA0" w:rsidP="00091AB4">
            <w:pPr>
              <w:pStyle w:val="Tabletext"/>
            </w:pPr>
            <w:r w:rsidRPr="00C66E29">
              <w:t>5</w:t>
            </w:r>
          </w:p>
        </w:tc>
        <w:tc>
          <w:tcPr>
            <w:tcW w:w="4153" w:type="dxa"/>
          </w:tcPr>
          <w:p w14:paraId="503DB8EE" w14:textId="77777777" w:rsidR="00C74DA0" w:rsidRPr="00C66E29" w:rsidRDefault="00C74DA0" w:rsidP="00091AB4">
            <w:pPr>
              <w:pStyle w:val="Tabletext"/>
            </w:pPr>
            <w:r w:rsidRPr="00C66E29">
              <w:t>assignments of Article 2A</w:t>
            </w:r>
          </w:p>
        </w:tc>
        <w:tc>
          <w:tcPr>
            <w:tcW w:w="2523" w:type="dxa"/>
          </w:tcPr>
          <w:p w14:paraId="6AEC5BA0" w14:textId="77777777" w:rsidR="00C74DA0" w:rsidRPr="00C66E29" w:rsidRDefault="00C74DA0" w:rsidP="00091AB4">
            <w:pPr>
              <w:pStyle w:val="Tabletext"/>
              <w:jc w:val="center"/>
            </w:pPr>
            <w:r w:rsidRPr="00C66E29">
              <w:t>4</w:t>
            </w:r>
          </w:p>
        </w:tc>
        <w:tc>
          <w:tcPr>
            <w:tcW w:w="2357" w:type="dxa"/>
          </w:tcPr>
          <w:p w14:paraId="0883E8D0" w14:textId="77777777" w:rsidR="00C74DA0" w:rsidRPr="00C66E29" w:rsidRDefault="00C74DA0" w:rsidP="00091AB4">
            <w:pPr>
              <w:pStyle w:val="Tabletext"/>
              <w:jc w:val="center"/>
            </w:pPr>
            <w:r w:rsidRPr="00C66E29">
              <w:t>4</w:t>
            </w:r>
          </w:p>
        </w:tc>
      </w:tr>
      <w:tr w:rsidR="00C74DA0" w:rsidRPr="00C66E29" w14:paraId="3028B152" w14:textId="77777777">
        <w:tc>
          <w:tcPr>
            <w:tcW w:w="596" w:type="dxa"/>
          </w:tcPr>
          <w:p w14:paraId="26B23F27" w14:textId="77777777" w:rsidR="00C74DA0" w:rsidRPr="00C66E29" w:rsidRDefault="00C74DA0" w:rsidP="00091AB4">
            <w:pPr>
              <w:pStyle w:val="Tabletext"/>
            </w:pPr>
            <w:r w:rsidRPr="00C66E29">
              <w:t>6</w:t>
            </w:r>
          </w:p>
        </w:tc>
        <w:tc>
          <w:tcPr>
            <w:tcW w:w="4153" w:type="dxa"/>
          </w:tcPr>
          <w:p w14:paraId="1F2D7C22" w14:textId="77777777" w:rsidR="00C74DA0" w:rsidRPr="00C66E29" w:rsidRDefault="00C74DA0" w:rsidP="00091AB4">
            <w:pPr>
              <w:pStyle w:val="Tabletext"/>
            </w:pPr>
            <w:r w:rsidRPr="00C66E29">
              <w:t>assignments in non-planned services</w:t>
            </w:r>
          </w:p>
        </w:tc>
        <w:tc>
          <w:tcPr>
            <w:tcW w:w="2523" w:type="dxa"/>
          </w:tcPr>
          <w:p w14:paraId="2EFFEA56" w14:textId="77777777" w:rsidR="00C74DA0" w:rsidRPr="00C66E29" w:rsidRDefault="00C74DA0" w:rsidP="00091AB4">
            <w:pPr>
              <w:pStyle w:val="Tabletext"/>
              <w:jc w:val="center"/>
            </w:pPr>
            <w:r w:rsidRPr="00C66E29">
              <w:t>413 (359 in CR/C and 54 in Notification)</w:t>
            </w:r>
          </w:p>
        </w:tc>
        <w:tc>
          <w:tcPr>
            <w:tcW w:w="2357" w:type="dxa"/>
          </w:tcPr>
          <w:p w14:paraId="2ACDB1BF" w14:textId="77777777" w:rsidR="00C74DA0" w:rsidRPr="00C66E29" w:rsidRDefault="00C74DA0" w:rsidP="00091AB4">
            <w:pPr>
              <w:pStyle w:val="Tabletext"/>
              <w:jc w:val="center"/>
            </w:pPr>
            <w:r w:rsidRPr="00C66E29">
              <w:t>35</w:t>
            </w:r>
          </w:p>
        </w:tc>
      </w:tr>
    </w:tbl>
    <w:p w14:paraId="372FA39E" w14:textId="77777777" w:rsidR="00091AB4" w:rsidRDefault="00091AB4" w:rsidP="00091AB4">
      <w:pPr>
        <w:pStyle w:val="Tablefin"/>
        <w:rPr>
          <w:lang w:eastAsia="it-IT"/>
        </w:rPr>
      </w:pPr>
    </w:p>
    <w:p w14:paraId="242774D3" w14:textId="565C8A39" w:rsidR="00C74DA0" w:rsidRPr="00C66E29" w:rsidRDefault="00C74DA0" w:rsidP="00091AB4">
      <w:pPr>
        <w:rPr>
          <w:lang w:eastAsia="it-IT"/>
        </w:rPr>
      </w:pPr>
      <w:r w:rsidRPr="00C66E29">
        <w:rPr>
          <w:lang w:eastAsia="it-IT"/>
        </w:rPr>
        <w:t>In summary, there were 100 Administrations identified as potentially affected involving 1459 coordination cases.</w:t>
      </w:r>
    </w:p>
    <w:p w14:paraId="18B99AEC" w14:textId="77777777" w:rsidR="00C74DA0" w:rsidRPr="00C66E29" w:rsidRDefault="00C74DA0" w:rsidP="00091AB4">
      <w:pPr>
        <w:rPr>
          <w:lang w:eastAsia="it-IT"/>
        </w:rPr>
      </w:pPr>
      <w:proofErr w:type="gramStart"/>
      <w:r w:rsidRPr="00C66E29">
        <w:rPr>
          <w:lang w:eastAsia="it-IT"/>
        </w:rPr>
        <w:t>In order to</w:t>
      </w:r>
      <w:proofErr w:type="gramEnd"/>
      <w:r w:rsidRPr="00C66E29">
        <w:rPr>
          <w:lang w:eastAsia="it-IT"/>
        </w:rPr>
        <w:t xml:space="preserve"> assist their members in preparing for the frequency coordination with the relevant administrations, SADC and ATU organized online special workshops from 27 to 29 January 2021 and 9 to 12 March 2021, respectively. The workshop organized by ATU was extended to all the 45 Res.</w:t>
      </w:r>
      <w:r w:rsidRPr="00D67EE9">
        <w:rPr>
          <w:b/>
          <w:bCs/>
          <w:lang w:eastAsia="it-IT"/>
        </w:rPr>
        <w:t>559</w:t>
      </w:r>
      <w:r w:rsidRPr="00C66E29">
        <w:rPr>
          <w:lang w:eastAsia="it-IT"/>
        </w:rPr>
        <w:t xml:space="preserve"> Administrations. The BR staff actively participated in these special workshops and delivered presentations on the frequency coordination dedicated to Res.</w:t>
      </w:r>
      <w:r w:rsidRPr="00D67EE9">
        <w:rPr>
          <w:b/>
          <w:bCs/>
          <w:lang w:eastAsia="it-IT"/>
        </w:rPr>
        <w:t>559</w:t>
      </w:r>
      <w:r w:rsidRPr="00C66E29">
        <w:rPr>
          <w:lang w:eastAsia="it-IT"/>
        </w:rPr>
        <w:t xml:space="preserve"> submissions.</w:t>
      </w:r>
    </w:p>
    <w:p w14:paraId="2379022A" w14:textId="77777777" w:rsidR="00C74DA0" w:rsidRPr="00C66E29" w:rsidRDefault="00C74DA0" w:rsidP="00091AB4">
      <w:pPr>
        <w:rPr>
          <w:lang w:eastAsia="it-IT"/>
        </w:rPr>
      </w:pPr>
      <w:r w:rsidRPr="00C66E29">
        <w:rPr>
          <w:lang w:eastAsia="it-IT"/>
        </w:rPr>
        <w:t>After the end of the 4-month commenting period on 27 February 2021, all Res.</w:t>
      </w:r>
      <w:r w:rsidRPr="00D67EE9">
        <w:rPr>
          <w:b/>
          <w:bCs/>
          <w:lang w:eastAsia="it-IT"/>
        </w:rPr>
        <w:t>559</w:t>
      </w:r>
      <w:r w:rsidRPr="00C66E29">
        <w:rPr>
          <w:lang w:eastAsia="it-IT"/>
        </w:rPr>
        <w:t xml:space="preserve"> Administrations except the Administrations of Afghanistan, Malta, </w:t>
      </w:r>
      <w:proofErr w:type="gramStart"/>
      <w:r w:rsidRPr="00C66E29">
        <w:rPr>
          <w:lang w:eastAsia="it-IT"/>
        </w:rPr>
        <w:t>Seychelles</w:t>
      </w:r>
      <w:proofErr w:type="gramEnd"/>
      <w:r w:rsidRPr="00C66E29">
        <w:rPr>
          <w:lang w:eastAsia="it-IT"/>
        </w:rPr>
        <w:t xml:space="preserve"> and Equatorial Guinea due to lack of resources, have actively engaged in the frequency coordination with the potentially affected administrations by submitting coordination proposals. In these coordination activities, the Bureau continued </w:t>
      </w:r>
      <w:proofErr w:type="gramStart"/>
      <w:r w:rsidRPr="00C66E29">
        <w:rPr>
          <w:lang w:eastAsia="it-IT"/>
        </w:rPr>
        <w:t>providing assistance to</w:t>
      </w:r>
      <w:proofErr w:type="gramEnd"/>
      <w:r w:rsidRPr="00C66E29">
        <w:rPr>
          <w:lang w:eastAsia="it-IT"/>
        </w:rPr>
        <w:t xml:space="preserve"> both Res.</w:t>
      </w:r>
      <w:r w:rsidRPr="00D67EE9">
        <w:rPr>
          <w:b/>
          <w:bCs/>
          <w:lang w:eastAsia="it-IT"/>
        </w:rPr>
        <w:t>559</w:t>
      </w:r>
      <w:r w:rsidRPr="00C66E29">
        <w:rPr>
          <w:lang w:eastAsia="it-IT"/>
        </w:rPr>
        <w:t xml:space="preserve"> Administrations and affected Administrations with a view to providing a fair coordination solution.</w:t>
      </w:r>
    </w:p>
    <w:p w14:paraId="7454C219" w14:textId="2501FC14" w:rsidR="00C74DA0" w:rsidRPr="00C66E29" w:rsidRDefault="00C74DA0" w:rsidP="00091AB4">
      <w:pPr>
        <w:rPr>
          <w:lang w:eastAsia="it-IT"/>
        </w:rPr>
      </w:pPr>
      <w:r w:rsidRPr="00C66E29">
        <w:rPr>
          <w:lang w:eastAsia="it-IT"/>
        </w:rPr>
        <w:t xml:space="preserve">In response to specific requests of ITU-R Working Party 4A (WP 4A) at its July 2021 meeting, the Bureau submitted to the October-November 2021 meeting of WP 4A a report on the coordination of submissions made in accordance with Resolution </w:t>
      </w:r>
      <w:r w:rsidRPr="00C66E29">
        <w:rPr>
          <w:b/>
          <w:bCs/>
          <w:lang w:eastAsia="it-IT"/>
        </w:rPr>
        <w:t>559 (WRC-19)</w:t>
      </w:r>
      <w:r w:rsidRPr="00C66E29">
        <w:rPr>
          <w:lang w:eastAsia="it-IT"/>
        </w:rPr>
        <w:t xml:space="preserve"> (Document </w:t>
      </w:r>
      <w:hyperlink r:id="rId39" w:history="1">
        <w:r w:rsidRPr="00D67EE9">
          <w:rPr>
            <w:rStyle w:val="Hyperlink"/>
            <w:lang w:eastAsia="it-IT"/>
          </w:rPr>
          <w:t>4A/404</w:t>
        </w:r>
      </w:hyperlink>
      <w:r w:rsidRPr="00C66E29">
        <w:rPr>
          <w:lang w:eastAsia="it-IT"/>
        </w:rPr>
        <w:t xml:space="preserve">). Section 4 of the report contained suggestions of the Bureau for consideration by WP 4A </w:t>
      </w:r>
      <w:proofErr w:type="gramStart"/>
      <w:r w:rsidRPr="00C66E29">
        <w:rPr>
          <w:lang w:eastAsia="it-IT"/>
        </w:rPr>
        <w:t>in order to</w:t>
      </w:r>
      <w:proofErr w:type="gramEnd"/>
      <w:r w:rsidRPr="00C66E29">
        <w:rPr>
          <w:lang w:eastAsia="it-IT"/>
        </w:rPr>
        <w:t xml:space="preserve"> further facilitate the coordination of the Res.</w:t>
      </w:r>
      <w:r w:rsidRPr="00D67EE9">
        <w:rPr>
          <w:b/>
          <w:bCs/>
          <w:lang w:eastAsia="it-IT"/>
        </w:rPr>
        <w:t>559</w:t>
      </w:r>
      <w:r w:rsidRPr="00C66E29">
        <w:rPr>
          <w:lang w:eastAsia="it-IT"/>
        </w:rPr>
        <w:t xml:space="preserve"> submissions. In a Note to the Director of the Bureau (</w:t>
      </w:r>
      <w:hyperlink r:id="rId40" w:history="1">
        <w:r w:rsidRPr="00D67EE9">
          <w:rPr>
            <w:rStyle w:val="Hyperlink"/>
            <w:lang w:eastAsia="it-IT"/>
          </w:rPr>
          <w:t>Annex 43</w:t>
        </w:r>
      </w:hyperlink>
      <w:r w:rsidRPr="00C66E29">
        <w:rPr>
          <w:lang w:eastAsia="it-IT"/>
        </w:rPr>
        <w:t xml:space="preserve"> to Document </w:t>
      </w:r>
      <w:hyperlink r:id="rId41" w:history="1">
        <w:r w:rsidR="00D67EE9">
          <w:rPr>
            <w:rStyle w:val="Hyperlink"/>
            <w:lang w:eastAsia="it-IT"/>
          </w:rPr>
          <w:t>4A/522</w:t>
        </w:r>
      </w:hyperlink>
      <w:r w:rsidRPr="00C66E29">
        <w:rPr>
          <w:lang w:eastAsia="it-IT"/>
        </w:rPr>
        <w:t xml:space="preserve">), WP 4A indicated that it endorsed all of those suggestions and further suggested that the Director of the Bureau brought this endorsement to the attention of the Board for advice and assurance of a transparent approach between now and WRC-23 where a complete report on Resolution </w:t>
      </w:r>
      <w:r w:rsidRPr="00C66E29">
        <w:rPr>
          <w:b/>
          <w:bCs/>
          <w:lang w:eastAsia="it-IT"/>
        </w:rPr>
        <w:t>559 (WRC-19)</w:t>
      </w:r>
      <w:r w:rsidRPr="00C66E29">
        <w:rPr>
          <w:lang w:eastAsia="it-IT"/>
        </w:rPr>
        <w:t xml:space="preserve"> could be submitted by the Board, as part of its report on Resolution </w:t>
      </w:r>
      <w:r w:rsidRPr="00C66E29">
        <w:rPr>
          <w:b/>
          <w:bCs/>
          <w:lang w:eastAsia="it-IT"/>
        </w:rPr>
        <w:t>80 (Rev.WRC-07)</w:t>
      </w:r>
      <w:r w:rsidRPr="00C66E29">
        <w:rPr>
          <w:lang w:eastAsia="it-IT"/>
        </w:rPr>
        <w:t>.</w:t>
      </w:r>
    </w:p>
    <w:p w14:paraId="72A725CD" w14:textId="758BB291" w:rsidR="00C74DA0" w:rsidRDefault="00C74DA0" w:rsidP="00091AB4">
      <w:pPr>
        <w:rPr>
          <w:lang w:eastAsia="it-IT"/>
        </w:rPr>
      </w:pPr>
      <w:r w:rsidRPr="00C66E29">
        <w:rPr>
          <w:lang w:eastAsia="it-IT"/>
        </w:rPr>
        <w:t>Subsequently, the Bureau reported to the 89</w:t>
      </w:r>
      <w:r w:rsidRPr="00C66E29">
        <w:rPr>
          <w:vertAlign w:val="superscript"/>
          <w:lang w:eastAsia="it-IT"/>
        </w:rPr>
        <w:t>th</w:t>
      </w:r>
      <w:r w:rsidRPr="00C66E29">
        <w:rPr>
          <w:lang w:eastAsia="it-IT"/>
        </w:rPr>
        <w:t xml:space="preserve"> meeting of the Board (14 – 18 March 2022) this endorsement of WP</w:t>
      </w:r>
      <w:r w:rsidR="00D67EE9">
        <w:rPr>
          <w:lang w:eastAsia="it-IT"/>
        </w:rPr>
        <w:t> </w:t>
      </w:r>
      <w:r w:rsidRPr="00C66E29">
        <w:rPr>
          <w:lang w:eastAsia="it-IT"/>
        </w:rPr>
        <w:t>4A together with the following 8 coordination cases that have been considered as completed based on this endorsement.</w:t>
      </w:r>
    </w:p>
    <w:p w14:paraId="7B61C08F" w14:textId="77777777" w:rsidR="00C74DA0" w:rsidRPr="00C66E29" w:rsidRDefault="00C74DA0" w:rsidP="00C74DA0">
      <w:pPr>
        <w:pStyle w:val="Default"/>
        <w:spacing w:before="120" w:after="120"/>
        <w:jc w:val="both"/>
        <w:rPr>
          <w:rFonts w:asciiTheme="minorHAnsi" w:hAnsiTheme="minorHAnsi" w:cstheme="minorHAnsi"/>
          <w:sz w:val="22"/>
          <w:szCs w:val="22"/>
          <w:lang w:val="en-GB" w:eastAsia="it-IT"/>
        </w:rPr>
      </w:pPr>
    </w:p>
    <w:tbl>
      <w:tblPr>
        <w:tblStyle w:val="GridTable4-Accent1"/>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6"/>
        <w:gridCol w:w="1403"/>
        <w:gridCol w:w="2033"/>
        <w:gridCol w:w="1462"/>
        <w:gridCol w:w="1952"/>
      </w:tblGrid>
      <w:tr w:rsidR="004B4823" w:rsidRPr="004B4823" w14:paraId="7B456BEA" w14:textId="77777777" w:rsidTr="004B4823">
        <w:trPr>
          <w:cnfStyle w:val="100000000000" w:firstRow="1" w:lastRow="0" w:firstColumn="0" w:lastColumn="0" w:oddVBand="0" w:evenVBand="0" w:oddHBand="0" w:evenHBand="0" w:firstRowFirstColumn="0" w:firstRowLastColumn="0" w:lastRowFirstColumn="0" w:lastRowLastColumn="0"/>
          <w:trHeight w:val="532"/>
          <w:jc w:val="center"/>
        </w:trPr>
        <w:tc>
          <w:tcPr>
            <w:tcW w:w="536" w:type="dxa"/>
            <w:shd w:val="clear" w:color="auto" w:fill="auto"/>
            <w:vAlign w:val="center"/>
            <w:hideMark/>
          </w:tcPr>
          <w:p w14:paraId="70253711" w14:textId="1212FCD7" w:rsidR="00C74DA0" w:rsidRPr="004B4823" w:rsidRDefault="00C74DA0" w:rsidP="00D67EE9">
            <w:pPr>
              <w:pStyle w:val="Tablehead"/>
              <w:rPr>
                <w:color w:val="auto"/>
                <w:lang w:eastAsia="en-GB"/>
              </w:rPr>
            </w:pPr>
            <w:r w:rsidRPr="004B4823">
              <w:rPr>
                <w:color w:val="auto"/>
                <w:lang w:eastAsia="en-GB"/>
              </w:rPr>
              <w:t>No</w:t>
            </w:r>
            <w:r w:rsidR="00D67EE9" w:rsidRPr="004B4823">
              <w:rPr>
                <w:color w:val="auto"/>
                <w:lang w:eastAsia="en-GB"/>
              </w:rPr>
              <w:t>.</w:t>
            </w:r>
          </w:p>
        </w:tc>
        <w:tc>
          <w:tcPr>
            <w:tcW w:w="1403" w:type="dxa"/>
            <w:shd w:val="clear" w:color="auto" w:fill="auto"/>
            <w:vAlign w:val="center"/>
          </w:tcPr>
          <w:p w14:paraId="5EBE7099" w14:textId="77777777" w:rsidR="00C74DA0" w:rsidRPr="004B4823" w:rsidRDefault="00C74DA0" w:rsidP="00D67EE9">
            <w:pPr>
              <w:pStyle w:val="Tablehead"/>
              <w:rPr>
                <w:color w:val="auto"/>
                <w:lang w:eastAsia="en-GB"/>
              </w:rPr>
            </w:pPr>
            <w:r w:rsidRPr="004B4823">
              <w:rPr>
                <w:color w:val="auto"/>
                <w:lang w:eastAsia="en-GB"/>
              </w:rPr>
              <w:t xml:space="preserve">Res.559 </w:t>
            </w:r>
            <w:proofErr w:type="spellStart"/>
            <w:r w:rsidRPr="004B4823">
              <w:rPr>
                <w:color w:val="auto"/>
                <w:lang w:eastAsia="en-GB"/>
              </w:rPr>
              <w:t>Adm</w:t>
            </w:r>
            <w:proofErr w:type="spellEnd"/>
          </w:p>
        </w:tc>
        <w:tc>
          <w:tcPr>
            <w:tcW w:w="2033" w:type="dxa"/>
            <w:shd w:val="clear" w:color="auto" w:fill="auto"/>
            <w:vAlign w:val="center"/>
            <w:hideMark/>
          </w:tcPr>
          <w:p w14:paraId="4AF28D4D" w14:textId="77777777" w:rsidR="00C74DA0" w:rsidRPr="004B4823" w:rsidRDefault="00C74DA0" w:rsidP="00D67EE9">
            <w:pPr>
              <w:pStyle w:val="Tablehead"/>
              <w:rPr>
                <w:color w:val="auto"/>
                <w:lang w:eastAsia="en-GB"/>
              </w:rPr>
            </w:pPr>
            <w:r w:rsidRPr="004B4823">
              <w:rPr>
                <w:color w:val="auto"/>
                <w:lang w:eastAsia="en-GB"/>
              </w:rPr>
              <w:t>Res.559 Submission</w:t>
            </w:r>
          </w:p>
        </w:tc>
        <w:tc>
          <w:tcPr>
            <w:tcW w:w="1462" w:type="dxa"/>
            <w:shd w:val="clear" w:color="auto" w:fill="auto"/>
            <w:vAlign w:val="center"/>
            <w:hideMark/>
          </w:tcPr>
          <w:p w14:paraId="56239624" w14:textId="77777777" w:rsidR="00C74DA0" w:rsidRPr="004B4823" w:rsidRDefault="00C74DA0" w:rsidP="00D67EE9">
            <w:pPr>
              <w:pStyle w:val="Tablehead"/>
              <w:rPr>
                <w:color w:val="auto"/>
                <w:lang w:eastAsia="en-GB"/>
              </w:rPr>
            </w:pPr>
            <w:r w:rsidRPr="004B4823">
              <w:rPr>
                <w:color w:val="auto"/>
                <w:lang w:eastAsia="en-GB"/>
              </w:rPr>
              <w:t xml:space="preserve">Affected </w:t>
            </w:r>
            <w:proofErr w:type="spellStart"/>
            <w:r w:rsidRPr="004B4823">
              <w:rPr>
                <w:color w:val="auto"/>
                <w:lang w:eastAsia="en-GB"/>
              </w:rPr>
              <w:t>Adm</w:t>
            </w:r>
            <w:proofErr w:type="spellEnd"/>
          </w:p>
        </w:tc>
        <w:tc>
          <w:tcPr>
            <w:tcW w:w="1952" w:type="dxa"/>
            <w:shd w:val="clear" w:color="auto" w:fill="auto"/>
            <w:vAlign w:val="center"/>
          </w:tcPr>
          <w:p w14:paraId="2E43D4BF" w14:textId="77777777" w:rsidR="00C74DA0" w:rsidRPr="004B4823" w:rsidRDefault="00C74DA0" w:rsidP="00D67EE9">
            <w:pPr>
              <w:pStyle w:val="Tablehead"/>
              <w:rPr>
                <w:color w:val="auto"/>
                <w:lang w:eastAsia="en-GB"/>
              </w:rPr>
            </w:pPr>
            <w:r w:rsidRPr="004B4823">
              <w:rPr>
                <w:color w:val="auto"/>
                <w:lang w:eastAsia="en-GB"/>
              </w:rPr>
              <w:t>Affected Plan Beam</w:t>
            </w:r>
          </w:p>
        </w:tc>
      </w:tr>
      <w:tr w:rsidR="00C74DA0" w:rsidRPr="00C66E29" w14:paraId="45F48A40" w14:textId="77777777" w:rsidTr="004B4823">
        <w:trPr>
          <w:cnfStyle w:val="000000100000" w:firstRow="0" w:lastRow="0" w:firstColumn="0" w:lastColumn="0" w:oddVBand="0" w:evenVBand="0" w:oddHBand="1" w:evenHBand="0" w:firstRowFirstColumn="0" w:firstRowLastColumn="0" w:lastRowFirstColumn="0" w:lastRowLastColumn="0"/>
          <w:trHeight w:val="385"/>
          <w:jc w:val="center"/>
        </w:trPr>
        <w:tc>
          <w:tcPr>
            <w:tcW w:w="536" w:type="dxa"/>
            <w:shd w:val="clear" w:color="auto" w:fill="auto"/>
            <w:vAlign w:val="center"/>
            <w:hideMark/>
          </w:tcPr>
          <w:p w14:paraId="3149E99E" w14:textId="77777777" w:rsidR="00C74DA0" w:rsidRPr="00C66E29" w:rsidRDefault="00C74DA0" w:rsidP="00D67EE9">
            <w:pPr>
              <w:pStyle w:val="Tabletext"/>
              <w:jc w:val="center"/>
              <w:rPr>
                <w:lang w:eastAsia="en-GB"/>
              </w:rPr>
            </w:pPr>
            <w:r w:rsidRPr="00C66E29">
              <w:rPr>
                <w:lang w:eastAsia="en-GB"/>
              </w:rPr>
              <w:t>1</w:t>
            </w:r>
          </w:p>
        </w:tc>
        <w:tc>
          <w:tcPr>
            <w:tcW w:w="1403" w:type="dxa"/>
            <w:shd w:val="clear" w:color="auto" w:fill="auto"/>
            <w:vAlign w:val="center"/>
          </w:tcPr>
          <w:p w14:paraId="7B9424BE" w14:textId="77777777" w:rsidR="00C74DA0" w:rsidRPr="00C66E29" w:rsidRDefault="00C74DA0" w:rsidP="00D67EE9">
            <w:pPr>
              <w:pStyle w:val="Tabletext"/>
              <w:jc w:val="center"/>
              <w:rPr>
                <w:lang w:eastAsia="en-GB"/>
              </w:rPr>
            </w:pPr>
            <w:r w:rsidRPr="00C66E29">
              <w:rPr>
                <w:lang w:eastAsia="en-GB"/>
              </w:rPr>
              <w:t>BIH</w:t>
            </w:r>
          </w:p>
        </w:tc>
        <w:tc>
          <w:tcPr>
            <w:tcW w:w="2033" w:type="dxa"/>
            <w:shd w:val="clear" w:color="auto" w:fill="auto"/>
            <w:vAlign w:val="center"/>
            <w:hideMark/>
          </w:tcPr>
          <w:p w14:paraId="7D527EC3" w14:textId="77777777" w:rsidR="00C74DA0" w:rsidRPr="00C66E29" w:rsidRDefault="00C74DA0" w:rsidP="00D67EE9">
            <w:pPr>
              <w:pStyle w:val="Tabletext"/>
              <w:jc w:val="center"/>
              <w:rPr>
                <w:lang w:eastAsia="en-GB"/>
              </w:rPr>
            </w:pPr>
            <w:r w:rsidRPr="00C66E29">
              <w:rPr>
                <w:lang w:eastAsia="en-GB"/>
              </w:rPr>
              <w:t>BIH_SAT</w:t>
            </w:r>
          </w:p>
        </w:tc>
        <w:tc>
          <w:tcPr>
            <w:tcW w:w="1462" w:type="dxa"/>
            <w:shd w:val="clear" w:color="auto" w:fill="auto"/>
            <w:vAlign w:val="center"/>
            <w:hideMark/>
          </w:tcPr>
          <w:p w14:paraId="60D5F4DA" w14:textId="77777777" w:rsidR="00C74DA0" w:rsidRPr="00C66E29" w:rsidRDefault="00C74DA0" w:rsidP="00D67EE9">
            <w:pPr>
              <w:pStyle w:val="Tabletext"/>
              <w:jc w:val="center"/>
              <w:rPr>
                <w:lang w:eastAsia="en-GB"/>
              </w:rPr>
            </w:pPr>
            <w:r w:rsidRPr="00C66E29">
              <w:rPr>
                <w:rFonts w:eastAsia="Times New Roman"/>
                <w:lang w:eastAsia="en-GB"/>
              </w:rPr>
              <w:t>LBY</w:t>
            </w:r>
          </w:p>
        </w:tc>
        <w:tc>
          <w:tcPr>
            <w:tcW w:w="1952" w:type="dxa"/>
            <w:shd w:val="clear" w:color="auto" w:fill="auto"/>
            <w:vAlign w:val="center"/>
          </w:tcPr>
          <w:p w14:paraId="0B1F2C56"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LBY__100</w:t>
            </w:r>
          </w:p>
        </w:tc>
      </w:tr>
      <w:tr w:rsidR="00C74DA0" w:rsidRPr="00C66E29" w14:paraId="3D5A0AC3" w14:textId="77777777" w:rsidTr="004B4823">
        <w:trPr>
          <w:trHeight w:val="376"/>
          <w:jc w:val="center"/>
        </w:trPr>
        <w:tc>
          <w:tcPr>
            <w:tcW w:w="536" w:type="dxa"/>
            <w:shd w:val="clear" w:color="auto" w:fill="auto"/>
            <w:vAlign w:val="center"/>
            <w:hideMark/>
          </w:tcPr>
          <w:p w14:paraId="51689D21" w14:textId="77777777" w:rsidR="00C74DA0" w:rsidRPr="00C66E29" w:rsidRDefault="00C74DA0" w:rsidP="00D67EE9">
            <w:pPr>
              <w:pStyle w:val="Tabletext"/>
              <w:jc w:val="center"/>
              <w:rPr>
                <w:lang w:eastAsia="en-GB"/>
              </w:rPr>
            </w:pPr>
            <w:r w:rsidRPr="00C66E29">
              <w:rPr>
                <w:lang w:eastAsia="en-GB"/>
              </w:rPr>
              <w:t>2</w:t>
            </w:r>
          </w:p>
        </w:tc>
        <w:tc>
          <w:tcPr>
            <w:tcW w:w="1403" w:type="dxa"/>
            <w:shd w:val="clear" w:color="auto" w:fill="auto"/>
            <w:vAlign w:val="center"/>
          </w:tcPr>
          <w:p w14:paraId="3560D9B3" w14:textId="77777777" w:rsidR="00C74DA0" w:rsidRPr="00C66E29" w:rsidRDefault="00C74DA0" w:rsidP="00D67EE9">
            <w:pPr>
              <w:pStyle w:val="Tabletext"/>
              <w:jc w:val="center"/>
              <w:rPr>
                <w:lang w:eastAsia="en-GB"/>
              </w:rPr>
            </w:pPr>
            <w:r w:rsidRPr="00C66E29">
              <w:rPr>
                <w:lang w:eastAsia="en-GB"/>
              </w:rPr>
              <w:t>MDA</w:t>
            </w:r>
          </w:p>
        </w:tc>
        <w:tc>
          <w:tcPr>
            <w:tcW w:w="2033" w:type="dxa"/>
            <w:shd w:val="clear" w:color="auto" w:fill="auto"/>
            <w:vAlign w:val="center"/>
            <w:hideMark/>
          </w:tcPr>
          <w:p w14:paraId="5F8C7248" w14:textId="77777777" w:rsidR="00C74DA0" w:rsidRPr="00C66E29" w:rsidRDefault="00C74DA0" w:rsidP="00D67EE9">
            <w:pPr>
              <w:pStyle w:val="Tabletext"/>
              <w:jc w:val="center"/>
              <w:rPr>
                <w:lang w:eastAsia="en-GB"/>
              </w:rPr>
            </w:pPr>
            <w:r w:rsidRPr="00C66E29">
              <w:rPr>
                <w:lang w:eastAsia="en-GB"/>
              </w:rPr>
              <w:t>MDA_SAT</w:t>
            </w:r>
          </w:p>
        </w:tc>
        <w:tc>
          <w:tcPr>
            <w:tcW w:w="1462" w:type="dxa"/>
            <w:shd w:val="clear" w:color="auto" w:fill="auto"/>
            <w:vAlign w:val="center"/>
            <w:hideMark/>
          </w:tcPr>
          <w:p w14:paraId="2A090E39" w14:textId="77777777" w:rsidR="00C74DA0" w:rsidRPr="00C66E29" w:rsidRDefault="00C74DA0" w:rsidP="00D67EE9">
            <w:pPr>
              <w:pStyle w:val="Tabletext"/>
              <w:jc w:val="center"/>
              <w:rPr>
                <w:lang w:eastAsia="en-GB"/>
              </w:rPr>
            </w:pPr>
            <w:r w:rsidRPr="00C66E29">
              <w:rPr>
                <w:rFonts w:eastAsia="Times New Roman"/>
                <w:lang w:eastAsia="en-GB"/>
              </w:rPr>
              <w:t>HNG</w:t>
            </w:r>
          </w:p>
        </w:tc>
        <w:tc>
          <w:tcPr>
            <w:tcW w:w="1952" w:type="dxa"/>
            <w:shd w:val="clear" w:color="auto" w:fill="auto"/>
            <w:vAlign w:val="center"/>
          </w:tcPr>
          <w:p w14:paraId="387360EC"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HNG10601</w:t>
            </w:r>
          </w:p>
        </w:tc>
      </w:tr>
      <w:tr w:rsidR="00C74DA0" w:rsidRPr="00C66E29" w14:paraId="09496B31" w14:textId="77777777" w:rsidTr="004B4823">
        <w:trPr>
          <w:cnfStyle w:val="000000100000" w:firstRow="0" w:lastRow="0" w:firstColumn="0" w:lastColumn="0" w:oddVBand="0" w:evenVBand="0" w:oddHBand="1" w:evenHBand="0" w:firstRowFirstColumn="0" w:firstRowLastColumn="0" w:lastRowFirstColumn="0" w:lastRowLastColumn="0"/>
          <w:trHeight w:val="376"/>
          <w:jc w:val="center"/>
        </w:trPr>
        <w:tc>
          <w:tcPr>
            <w:tcW w:w="536" w:type="dxa"/>
            <w:shd w:val="clear" w:color="auto" w:fill="auto"/>
            <w:vAlign w:val="center"/>
            <w:hideMark/>
          </w:tcPr>
          <w:p w14:paraId="425BAA30" w14:textId="77777777" w:rsidR="00C74DA0" w:rsidRPr="00C66E29" w:rsidRDefault="00C74DA0" w:rsidP="00D67EE9">
            <w:pPr>
              <w:pStyle w:val="Tabletext"/>
              <w:jc w:val="center"/>
              <w:rPr>
                <w:lang w:eastAsia="en-GB"/>
              </w:rPr>
            </w:pPr>
            <w:r w:rsidRPr="00C66E29">
              <w:rPr>
                <w:lang w:eastAsia="en-GB"/>
              </w:rPr>
              <w:t>3</w:t>
            </w:r>
          </w:p>
        </w:tc>
        <w:tc>
          <w:tcPr>
            <w:tcW w:w="1403" w:type="dxa"/>
            <w:shd w:val="clear" w:color="auto" w:fill="auto"/>
            <w:vAlign w:val="center"/>
          </w:tcPr>
          <w:p w14:paraId="519CDAFD" w14:textId="77777777" w:rsidR="00C74DA0" w:rsidRPr="00C66E29" w:rsidRDefault="00C74DA0" w:rsidP="00D67EE9">
            <w:pPr>
              <w:pStyle w:val="Tabletext"/>
              <w:jc w:val="center"/>
              <w:rPr>
                <w:lang w:eastAsia="en-GB"/>
              </w:rPr>
            </w:pPr>
            <w:r w:rsidRPr="00C66E29">
              <w:rPr>
                <w:lang w:eastAsia="en-GB"/>
              </w:rPr>
              <w:t>MDA</w:t>
            </w:r>
          </w:p>
        </w:tc>
        <w:tc>
          <w:tcPr>
            <w:tcW w:w="2033" w:type="dxa"/>
            <w:shd w:val="clear" w:color="auto" w:fill="auto"/>
            <w:vAlign w:val="center"/>
            <w:hideMark/>
          </w:tcPr>
          <w:p w14:paraId="0989F6CD" w14:textId="77777777" w:rsidR="00C74DA0" w:rsidRPr="00C66E29" w:rsidRDefault="00C74DA0" w:rsidP="00D67EE9">
            <w:pPr>
              <w:pStyle w:val="Tabletext"/>
              <w:jc w:val="center"/>
              <w:rPr>
                <w:lang w:eastAsia="en-GB"/>
              </w:rPr>
            </w:pPr>
            <w:r w:rsidRPr="00C66E29">
              <w:rPr>
                <w:lang w:eastAsia="en-GB"/>
              </w:rPr>
              <w:t>MDA_SAT</w:t>
            </w:r>
          </w:p>
        </w:tc>
        <w:tc>
          <w:tcPr>
            <w:tcW w:w="1462" w:type="dxa"/>
            <w:shd w:val="clear" w:color="auto" w:fill="auto"/>
            <w:vAlign w:val="center"/>
            <w:hideMark/>
          </w:tcPr>
          <w:p w14:paraId="0CCDD69D" w14:textId="77777777" w:rsidR="00C74DA0" w:rsidRPr="00C66E29" w:rsidRDefault="00C74DA0" w:rsidP="00D67EE9">
            <w:pPr>
              <w:pStyle w:val="Tabletext"/>
              <w:jc w:val="center"/>
              <w:rPr>
                <w:lang w:eastAsia="en-GB"/>
              </w:rPr>
            </w:pPr>
            <w:r w:rsidRPr="00C66E29">
              <w:rPr>
                <w:rFonts w:eastAsia="Times New Roman"/>
                <w:lang w:eastAsia="en-GB"/>
              </w:rPr>
              <w:t>HRV</w:t>
            </w:r>
          </w:p>
        </w:tc>
        <w:tc>
          <w:tcPr>
            <w:tcW w:w="1952" w:type="dxa"/>
            <w:shd w:val="clear" w:color="auto" w:fill="auto"/>
            <w:vAlign w:val="center"/>
          </w:tcPr>
          <w:p w14:paraId="4FAF0B18"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HRV14801</w:t>
            </w:r>
          </w:p>
        </w:tc>
      </w:tr>
      <w:tr w:rsidR="00C74DA0" w:rsidRPr="00C66E29" w14:paraId="55AA8228" w14:textId="77777777" w:rsidTr="004B4823">
        <w:trPr>
          <w:trHeight w:val="376"/>
          <w:jc w:val="center"/>
        </w:trPr>
        <w:tc>
          <w:tcPr>
            <w:tcW w:w="536" w:type="dxa"/>
            <w:shd w:val="clear" w:color="auto" w:fill="auto"/>
            <w:vAlign w:val="center"/>
            <w:hideMark/>
          </w:tcPr>
          <w:p w14:paraId="60A1F79D" w14:textId="77777777" w:rsidR="00C74DA0" w:rsidRPr="00C66E29" w:rsidRDefault="00C74DA0" w:rsidP="00D67EE9">
            <w:pPr>
              <w:pStyle w:val="Tabletext"/>
              <w:jc w:val="center"/>
              <w:rPr>
                <w:lang w:eastAsia="en-GB"/>
              </w:rPr>
            </w:pPr>
            <w:r w:rsidRPr="00C66E29">
              <w:rPr>
                <w:lang w:eastAsia="en-GB"/>
              </w:rPr>
              <w:t>4</w:t>
            </w:r>
          </w:p>
        </w:tc>
        <w:tc>
          <w:tcPr>
            <w:tcW w:w="1403" w:type="dxa"/>
            <w:shd w:val="clear" w:color="auto" w:fill="auto"/>
            <w:vAlign w:val="center"/>
          </w:tcPr>
          <w:p w14:paraId="40A52072" w14:textId="77777777" w:rsidR="00C74DA0" w:rsidRPr="00C66E29" w:rsidRDefault="00C74DA0" w:rsidP="00D67EE9">
            <w:pPr>
              <w:pStyle w:val="Tabletext"/>
              <w:jc w:val="center"/>
              <w:rPr>
                <w:lang w:eastAsia="en-GB"/>
              </w:rPr>
            </w:pPr>
            <w:r w:rsidRPr="00C66E29">
              <w:rPr>
                <w:lang w:eastAsia="en-GB"/>
              </w:rPr>
              <w:t>MDA</w:t>
            </w:r>
          </w:p>
        </w:tc>
        <w:tc>
          <w:tcPr>
            <w:tcW w:w="2033" w:type="dxa"/>
            <w:shd w:val="clear" w:color="auto" w:fill="auto"/>
            <w:vAlign w:val="center"/>
            <w:hideMark/>
          </w:tcPr>
          <w:p w14:paraId="19DA8A29" w14:textId="77777777" w:rsidR="00C74DA0" w:rsidRPr="00C66E29" w:rsidRDefault="00C74DA0" w:rsidP="00D67EE9">
            <w:pPr>
              <w:pStyle w:val="Tabletext"/>
              <w:jc w:val="center"/>
              <w:rPr>
                <w:lang w:eastAsia="en-GB"/>
              </w:rPr>
            </w:pPr>
            <w:r w:rsidRPr="00C66E29">
              <w:rPr>
                <w:lang w:eastAsia="en-GB"/>
              </w:rPr>
              <w:t>MDA_SAT</w:t>
            </w:r>
          </w:p>
        </w:tc>
        <w:tc>
          <w:tcPr>
            <w:tcW w:w="1462" w:type="dxa"/>
            <w:shd w:val="clear" w:color="auto" w:fill="auto"/>
            <w:vAlign w:val="center"/>
            <w:hideMark/>
          </w:tcPr>
          <w:p w14:paraId="6FF30B14" w14:textId="77777777" w:rsidR="00C74DA0" w:rsidRPr="00C66E29" w:rsidRDefault="00C74DA0" w:rsidP="00D67EE9">
            <w:pPr>
              <w:pStyle w:val="Tabletext"/>
              <w:jc w:val="center"/>
              <w:rPr>
                <w:lang w:eastAsia="en-GB"/>
              </w:rPr>
            </w:pPr>
            <w:r w:rsidRPr="00C66E29">
              <w:rPr>
                <w:rFonts w:eastAsia="Times New Roman"/>
                <w:lang w:eastAsia="en-GB"/>
              </w:rPr>
              <w:t>SVK</w:t>
            </w:r>
          </w:p>
        </w:tc>
        <w:tc>
          <w:tcPr>
            <w:tcW w:w="1952" w:type="dxa"/>
            <w:shd w:val="clear" w:color="auto" w:fill="auto"/>
            <w:vAlign w:val="center"/>
          </w:tcPr>
          <w:p w14:paraId="59FCE358"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SVK14401</w:t>
            </w:r>
          </w:p>
        </w:tc>
      </w:tr>
      <w:tr w:rsidR="00C74DA0" w:rsidRPr="00C66E29" w14:paraId="19224F3E" w14:textId="77777777" w:rsidTr="004B4823">
        <w:trPr>
          <w:cnfStyle w:val="000000100000" w:firstRow="0" w:lastRow="0" w:firstColumn="0" w:lastColumn="0" w:oddVBand="0" w:evenVBand="0" w:oddHBand="1" w:evenHBand="0" w:firstRowFirstColumn="0" w:firstRowLastColumn="0" w:lastRowFirstColumn="0" w:lastRowLastColumn="0"/>
          <w:trHeight w:val="385"/>
          <w:jc w:val="center"/>
        </w:trPr>
        <w:tc>
          <w:tcPr>
            <w:tcW w:w="536" w:type="dxa"/>
            <w:shd w:val="clear" w:color="auto" w:fill="auto"/>
            <w:vAlign w:val="center"/>
            <w:hideMark/>
          </w:tcPr>
          <w:p w14:paraId="0950148C" w14:textId="77777777" w:rsidR="00C74DA0" w:rsidRPr="00C66E29" w:rsidRDefault="00C74DA0" w:rsidP="00D67EE9">
            <w:pPr>
              <w:pStyle w:val="Tabletext"/>
              <w:jc w:val="center"/>
              <w:rPr>
                <w:lang w:eastAsia="en-GB"/>
              </w:rPr>
            </w:pPr>
            <w:r w:rsidRPr="00C66E29">
              <w:rPr>
                <w:lang w:eastAsia="en-GB"/>
              </w:rPr>
              <w:t>5</w:t>
            </w:r>
          </w:p>
        </w:tc>
        <w:tc>
          <w:tcPr>
            <w:tcW w:w="1403" w:type="dxa"/>
            <w:shd w:val="clear" w:color="auto" w:fill="auto"/>
            <w:vAlign w:val="center"/>
          </w:tcPr>
          <w:p w14:paraId="6030F46E" w14:textId="77777777" w:rsidR="00C74DA0" w:rsidRPr="00C66E29" w:rsidRDefault="00C74DA0" w:rsidP="00D67EE9">
            <w:pPr>
              <w:pStyle w:val="Tabletext"/>
              <w:jc w:val="center"/>
              <w:rPr>
                <w:lang w:eastAsia="en-GB"/>
              </w:rPr>
            </w:pPr>
            <w:r w:rsidRPr="00C66E29">
              <w:rPr>
                <w:lang w:eastAsia="en-GB"/>
              </w:rPr>
              <w:t>MKD</w:t>
            </w:r>
          </w:p>
        </w:tc>
        <w:tc>
          <w:tcPr>
            <w:tcW w:w="2033" w:type="dxa"/>
            <w:shd w:val="clear" w:color="auto" w:fill="auto"/>
            <w:vAlign w:val="center"/>
            <w:hideMark/>
          </w:tcPr>
          <w:p w14:paraId="511E1B4B" w14:textId="77777777" w:rsidR="00C74DA0" w:rsidRPr="00C66E29" w:rsidRDefault="00C74DA0" w:rsidP="00D67EE9">
            <w:pPr>
              <w:pStyle w:val="Tabletext"/>
              <w:jc w:val="center"/>
              <w:rPr>
                <w:lang w:eastAsia="en-GB"/>
              </w:rPr>
            </w:pPr>
            <w:r w:rsidRPr="00C66E29">
              <w:rPr>
                <w:lang w:eastAsia="en-GB"/>
              </w:rPr>
              <w:t>MKD_BSS</w:t>
            </w:r>
          </w:p>
        </w:tc>
        <w:tc>
          <w:tcPr>
            <w:tcW w:w="1462" w:type="dxa"/>
            <w:shd w:val="clear" w:color="auto" w:fill="auto"/>
            <w:vAlign w:val="center"/>
            <w:hideMark/>
          </w:tcPr>
          <w:p w14:paraId="0B09E557" w14:textId="77777777" w:rsidR="00C74DA0" w:rsidRPr="00C66E29" w:rsidRDefault="00C74DA0" w:rsidP="00D67EE9">
            <w:pPr>
              <w:pStyle w:val="Tabletext"/>
              <w:jc w:val="center"/>
              <w:rPr>
                <w:lang w:eastAsia="en-GB"/>
              </w:rPr>
            </w:pPr>
            <w:r w:rsidRPr="00C66E29">
              <w:rPr>
                <w:rFonts w:eastAsia="Times New Roman"/>
                <w:lang w:eastAsia="en-GB"/>
              </w:rPr>
              <w:t>HRV</w:t>
            </w:r>
          </w:p>
        </w:tc>
        <w:tc>
          <w:tcPr>
            <w:tcW w:w="1952" w:type="dxa"/>
            <w:shd w:val="clear" w:color="auto" w:fill="auto"/>
            <w:vAlign w:val="center"/>
          </w:tcPr>
          <w:p w14:paraId="15AFECF6"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HRV14801</w:t>
            </w:r>
          </w:p>
        </w:tc>
      </w:tr>
      <w:tr w:rsidR="00C74DA0" w:rsidRPr="00C66E29" w14:paraId="6D6EEE26" w14:textId="77777777" w:rsidTr="004B4823">
        <w:trPr>
          <w:trHeight w:val="277"/>
          <w:jc w:val="center"/>
        </w:trPr>
        <w:tc>
          <w:tcPr>
            <w:tcW w:w="536" w:type="dxa"/>
            <w:shd w:val="clear" w:color="auto" w:fill="auto"/>
            <w:vAlign w:val="center"/>
            <w:hideMark/>
          </w:tcPr>
          <w:p w14:paraId="5446C800" w14:textId="77777777" w:rsidR="00C74DA0" w:rsidRPr="00C66E29" w:rsidRDefault="00C74DA0" w:rsidP="00D67EE9">
            <w:pPr>
              <w:pStyle w:val="Tabletext"/>
              <w:jc w:val="center"/>
              <w:rPr>
                <w:lang w:eastAsia="en-GB"/>
              </w:rPr>
            </w:pPr>
            <w:r w:rsidRPr="00C66E29">
              <w:rPr>
                <w:lang w:eastAsia="en-GB"/>
              </w:rPr>
              <w:t>6</w:t>
            </w:r>
          </w:p>
        </w:tc>
        <w:tc>
          <w:tcPr>
            <w:tcW w:w="1403" w:type="dxa"/>
            <w:shd w:val="clear" w:color="auto" w:fill="auto"/>
            <w:vAlign w:val="center"/>
          </w:tcPr>
          <w:p w14:paraId="3A7396F8" w14:textId="77777777" w:rsidR="00C74DA0" w:rsidRPr="00C66E29" w:rsidRDefault="00C74DA0" w:rsidP="00D67EE9">
            <w:pPr>
              <w:pStyle w:val="Tabletext"/>
              <w:jc w:val="center"/>
              <w:rPr>
                <w:lang w:eastAsia="en-GB"/>
              </w:rPr>
            </w:pPr>
            <w:r w:rsidRPr="00C66E29">
              <w:rPr>
                <w:lang w:eastAsia="en-GB"/>
              </w:rPr>
              <w:t>MKD</w:t>
            </w:r>
          </w:p>
        </w:tc>
        <w:tc>
          <w:tcPr>
            <w:tcW w:w="2033" w:type="dxa"/>
            <w:shd w:val="clear" w:color="auto" w:fill="auto"/>
            <w:vAlign w:val="center"/>
            <w:hideMark/>
          </w:tcPr>
          <w:p w14:paraId="7F73824E" w14:textId="77777777" w:rsidR="00C74DA0" w:rsidRPr="00C66E29" w:rsidRDefault="00C74DA0" w:rsidP="00D67EE9">
            <w:pPr>
              <w:pStyle w:val="Tabletext"/>
              <w:jc w:val="center"/>
              <w:rPr>
                <w:lang w:eastAsia="en-GB"/>
              </w:rPr>
            </w:pPr>
            <w:r w:rsidRPr="00C66E29">
              <w:rPr>
                <w:lang w:eastAsia="en-GB"/>
              </w:rPr>
              <w:t>MKD_BSS</w:t>
            </w:r>
          </w:p>
        </w:tc>
        <w:tc>
          <w:tcPr>
            <w:tcW w:w="1462" w:type="dxa"/>
            <w:shd w:val="clear" w:color="auto" w:fill="auto"/>
            <w:vAlign w:val="center"/>
            <w:hideMark/>
          </w:tcPr>
          <w:p w14:paraId="0D5ADEDA" w14:textId="77777777" w:rsidR="00C74DA0" w:rsidRPr="00C66E29" w:rsidRDefault="00C74DA0" w:rsidP="00D67EE9">
            <w:pPr>
              <w:pStyle w:val="Tabletext"/>
              <w:jc w:val="center"/>
              <w:rPr>
                <w:lang w:eastAsia="en-GB"/>
              </w:rPr>
            </w:pPr>
            <w:r w:rsidRPr="00C66E29">
              <w:rPr>
                <w:rFonts w:eastAsia="Times New Roman"/>
                <w:lang w:eastAsia="en-GB"/>
              </w:rPr>
              <w:t>CZE</w:t>
            </w:r>
          </w:p>
        </w:tc>
        <w:tc>
          <w:tcPr>
            <w:tcW w:w="1952" w:type="dxa"/>
            <w:shd w:val="clear" w:color="auto" w:fill="auto"/>
            <w:vAlign w:val="center"/>
          </w:tcPr>
          <w:p w14:paraId="7224160D"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CZE14401</w:t>
            </w:r>
          </w:p>
        </w:tc>
      </w:tr>
      <w:tr w:rsidR="00C74DA0" w:rsidRPr="00C66E29" w14:paraId="53F7B6DB" w14:textId="77777777" w:rsidTr="004B4823">
        <w:trPr>
          <w:cnfStyle w:val="000000100000" w:firstRow="0" w:lastRow="0" w:firstColumn="0" w:lastColumn="0" w:oddVBand="0" w:evenVBand="0" w:oddHBand="1" w:evenHBand="0" w:firstRowFirstColumn="0" w:firstRowLastColumn="0" w:lastRowFirstColumn="0" w:lastRowLastColumn="0"/>
          <w:trHeight w:val="277"/>
          <w:jc w:val="center"/>
        </w:trPr>
        <w:tc>
          <w:tcPr>
            <w:tcW w:w="536" w:type="dxa"/>
            <w:shd w:val="clear" w:color="auto" w:fill="auto"/>
            <w:vAlign w:val="center"/>
            <w:hideMark/>
          </w:tcPr>
          <w:p w14:paraId="53B32AB4" w14:textId="77777777" w:rsidR="00C74DA0" w:rsidRPr="00C66E29" w:rsidRDefault="00C74DA0" w:rsidP="00D67EE9">
            <w:pPr>
              <w:pStyle w:val="Tabletext"/>
              <w:jc w:val="center"/>
              <w:rPr>
                <w:lang w:eastAsia="en-GB"/>
              </w:rPr>
            </w:pPr>
            <w:r w:rsidRPr="00C66E29">
              <w:rPr>
                <w:lang w:eastAsia="en-GB"/>
              </w:rPr>
              <w:t>7</w:t>
            </w:r>
          </w:p>
        </w:tc>
        <w:tc>
          <w:tcPr>
            <w:tcW w:w="1403" w:type="dxa"/>
            <w:shd w:val="clear" w:color="auto" w:fill="auto"/>
            <w:vAlign w:val="center"/>
          </w:tcPr>
          <w:p w14:paraId="1B7A21D2" w14:textId="77777777" w:rsidR="00C74DA0" w:rsidRPr="00C66E29" w:rsidRDefault="00C74DA0" w:rsidP="00D67EE9">
            <w:pPr>
              <w:pStyle w:val="Tabletext"/>
              <w:jc w:val="center"/>
              <w:rPr>
                <w:lang w:eastAsia="en-GB"/>
              </w:rPr>
            </w:pPr>
            <w:r w:rsidRPr="00C66E29">
              <w:rPr>
                <w:lang w:eastAsia="en-GB"/>
              </w:rPr>
              <w:t>ROU</w:t>
            </w:r>
          </w:p>
        </w:tc>
        <w:tc>
          <w:tcPr>
            <w:tcW w:w="2033" w:type="dxa"/>
            <w:shd w:val="clear" w:color="auto" w:fill="auto"/>
            <w:vAlign w:val="center"/>
            <w:hideMark/>
          </w:tcPr>
          <w:p w14:paraId="37703461" w14:textId="77777777" w:rsidR="00C74DA0" w:rsidRPr="00C66E29" w:rsidRDefault="00C74DA0" w:rsidP="00D67EE9">
            <w:pPr>
              <w:pStyle w:val="Tabletext"/>
              <w:jc w:val="center"/>
              <w:rPr>
                <w:lang w:eastAsia="en-GB"/>
              </w:rPr>
            </w:pPr>
            <w:r w:rsidRPr="00C66E29">
              <w:rPr>
                <w:lang w:eastAsia="en-GB"/>
              </w:rPr>
              <w:t>ROU_SAT</w:t>
            </w:r>
          </w:p>
        </w:tc>
        <w:tc>
          <w:tcPr>
            <w:tcW w:w="1462" w:type="dxa"/>
            <w:shd w:val="clear" w:color="auto" w:fill="auto"/>
            <w:vAlign w:val="center"/>
            <w:hideMark/>
          </w:tcPr>
          <w:p w14:paraId="669644D4"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LBY</w:t>
            </w:r>
          </w:p>
        </w:tc>
        <w:tc>
          <w:tcPr>
            <w:tcW w:w="1952" w:type="dxa"/>
            <w:shd w:val="clear" w:color="auto" w:fill="auto"/>
            <w:vAlign w:val="center"/>
          </w:tcPr>
          <w:p w14:paraId="2DDB5FD2"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LBY__100</w:t>
            </w:r>
          </w:p>
        </w:tc>
      </w:tr>
      <w:tr w:rsidR="00C74DA0" w:rsidRPr="00C66E29" w14:paraId="05976A12" w14:textId="77777777" w:rsidTr="004B4823">
        <w:trPr>
          <w:trHeight w:val="277"/>
          <w:jc w:val="center"/>
        </w:trPr>
        <w:tc>
          <w:tcPr>
            <w:tcW w:w="536" w:type="dxa"/>
            <w:shd w:val="clear" w:color="auto" w:fill="auto"/>
            <w:vAlign w:val="center"/>
            <w:hideMark/>
          </w:tcPr>
          <w:p w14:paraId="612ED8E8" w14:textId="77777777" w:rsidR="00C74DA0" w:rsidRPr="00C66E29" w:rsidRDefault="00C74DA0" w:rsidP="00D67EE9">
            <w:pPr>
              <w:pStyle w:val="Tabletext"/>
              <w:jc w:val="center"/>
              <w:rPr>
                <w:lang w:eastAsia="en-GB"/>
              </w:rPr>
            </w:pPr>
            <w:r w:rsidRPr="00C66E29">
              <w:rPr>
                <w:lang w:eastAsia="en-GB"/>
              </w:rPr>
              <w:t>8</w:t>
            </w:r>
          </w:p>
        </w:tc>
        <w:tc>
          <w:tcPr>
            <w:tcW w:w="1403" w:type="dxa"/>
            <w:shd w:val="clear" w:color="auto" w:fill="auto"/>
            <w:vAlign w:val="center"/>
          </w:tcPr>
          <w:p w14:paraId="5D4424F4" w14:textId="77777777" w:rsidR="00C74DA0" w:rsidRPr="00C66E29" w:rsidRDefault="00C74DA0" w:rsidP="00D67EE9">
            <w:pPr>
              <w:pStyle w:val="Tabletext"/>
              <w:jc w:val="center"/>
              <w:rPr>
                <w:lang w:eastAsia="en-GB"/>
              </w:rPr>
            </w:pPr>
            <w:r w:rsidRPr="00C66E29">
              <w:rPr>
                <w:lang w:eastAsia="en-GB"/>
              </w:rPr>
              <w:t>ZMB</w:t>
            </w:r>
          </w:p>
        </w:tc>
        <w:tc>
          <w:tcPr>
            <w:tcW w:w="2033" w:type="dxa"/>
            <w:shd w:val="clear" w:color="auto" w:fill="auto"/>
            <w:vAlign w:val="center"/>
            <w:hideMark/>
          </w:tcPr>
          <w:p w14:paraId="1A4A9B54" w14:textId="77777777" w:rsidR="00C74DA0" w:rsidRPr="00C66E29" w:rsidRDefault="00C74DA0" w:rsidP="00D67EE9">
            <w:pPr>
              <w:pStyle w:val="Tabletext"/>
              <w:jc w:val="center"/>
              <w:rPr>
                <w:lang w:eastAsia="en-GB"/>
              </w:rPr>
            </w:pPr>
            <w:r w:rsidRPr="00C66E29">
              <w:rPr>
                <w:lang w:eastAsia="en-GB"/>
              </w:rPr>
              <w:t>ZMB_2020</w:t>
            </w:r>
          </w:p>
        </w:tc>
        <w:tc>
          <w:tcPr>
            <w:tcW w:w="1462" w:type="dxa"/>
            <w:shd w:val="clear" w:color="auto" w:fill="auto"/>
            <w:vAlign w:val="center"/>
            <w:hideMark/>
          </w:tcPr>
          <w:p w14:paraId="3B35B491"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LBY</w:t>
            </w:r>
          </w:p>
        </w:tc>
        <w:tc>
          <w:tcPr>
            <w:tcW w:w="1952" w:type="dxa"/>
            <w:shd w:val="clear" w:color="auto" w:fill="auto"/>
            <w:vAlign w:val="center"/>
          </w:tcPr>
          <w:p w14:paraId="165CEA5B" w14:textId="77777777" w:rsidR="00C74DA0" w:rsidRPr="00C66E29" w:rsidRDefault="00C74DA0" w:rsidP="00D67EE9">
            <w:pPr>
              <w:pStyle w:val="Tabletext"/>
              <w:jc w:val="center"/>
              <w:rPr>
                <w:rFonts w:eastAsia="Times New Roman"/>
                <w:lang w:eastAsia="en-GB"/>
              </w:rPr>
            </w:pPr>
            <w:r w:rsidRPr="00C66E29">
              <w:rPr>
                <w:rFonts w:eastAsia="Times New Roman"/>
                <w:lang w:eastAsia="en-GB"/>
              </w:rPr>
              <w:t>LBY__100</w:t>
            </w:r>
          </w:p>
        </w:tc>
      </w:tr>
    </w:tbl>
    <w:p w14:paraId="607DC774" w14:textId="77777777" w:rsidR="00D67EE9" w:rsidRDefault="00D67EE9" w:rsidP="00D67EE9">
      <w:pPr>
        <w:pStyle w:val="Tablefin"/>
      </w:pPr>
    </w:p>
    <w:p w14:paraId="1CCCF32E" w14:textId="20C0A420" w:rsidR="00C74DA0" w:rsidRPr="00C66E29" w:rsidRDefault="00C74DA0" w:rsidP="00D67EE9">
      <w:r w:rsidRPr="00C66E29">
        <w:t xml:space="preserve">Following the endorsement of WP 4A at its October/November 2021 meeting of all the measures suggested by the Bureau to facilitate the coordination of submissions under Resolution </w:t>
      </w:r>
      <w:r w:rsidRPr="00C66E29">
        <w:rPr>
          <w:b/>
          <w:bCs/>
        </w:rPr>
        <w:t>559 (WRC</w:t>
      </w:r>
      <w:r w:rsidR="00D67EE9">
        <w:rPr>
          <w:b/>
          <w:bCs/>
        </w:rPr>
        <w:noBreakHyphen/>
      </w:r>
      <w:r w:rsidRPr="00C66E29">
        <w:rPr>
          <w:b/>
          <w:bCs/>
        </w:rPr>
        <w:t>19)</w:t>
      </w:r>
      <w:r w:rsidRPr="00C66E29">
        <w:t>, the Bureau continued providing update to WP 4A on the progress of the coordination activities for Res.</w:t>
      </w:r>
      <w:r w:rsidRPr="00D67EE9">
        <w:rPr>
          <w:b/>
          <w:bCs/>
        </w:rPr>
        <w:t>559</w:t>
      </w:r>
      <w:r w:rsidRPr="00C66E29">
        <w:t xml:space="preserve"> submissions and invited the relevant administrations to timely and positively respond to the coordination proposals received from the Res.</w:t>
      </w:r>
      <w:r w:rsidRPr="00D67EE9">
        <w:rPr>
          <w:b/>
          <w:bCs/>
        </w:rPr>
        <w:t>559</w:t>
      </w:r>
      <w:r w:rsidRPr="00C66E29">
        <w:t xml:space="preserve"> Administrations.</w:t>
      </w:r>
    </w:p>
    <w:p w14:paraId="7D99FFDA" w14:textId="77777777" w:rsidR="00C74DA0" w:rsidRPr="00C66E29" w:rsidRDefault="00C74DA0" w:rsidP="00D67EE9">
      <w:r w:rsidRPr="00C66E29">
        <w:t>Based on the coordination agreements between Res.</w:t>
      </w:r>
      <w:r w:rsidRPr="00D67EE9">
        <w:rPr>
          <w:b/>
          <w:bCs/>
        </w:rPr>
        <w:t>559</w:t>
      </w:r>
      <w:r w:rsidRPr="00C66E29">
        <w:t xml:space="preserve"> Administrations and the affected Administrations, notably under provisions § 4.1.1 a) and § 4.1.1 b), together with the relevant decisions of the Board at its 89</w:t>
      </w:r>
      <w:r w:rsidRPr="00C66E29">
        <w:rPr>
          <w:vertAlign w:val="superscript"/>
        </w:rPr>
        <w:t>th</w:t>
      </w:r>
      <w:r w:rsidRPr="00C66E29">
        <w:t xml:space="preserve"> meeting, the Bureau reported to 90</w:t>
      </w:r>
      <w:r w:rsidRPr="00C66E29">
        <w:rPr>
          <w:vertAlign w:val="superscript"/>
        </w:rPr>
        <w:t>th</w:t>
      </w:r>
      <w:r w:rsidRPr="00C66E29">
        <w:t xml:space="preserve"> meeting of the Board the statistics on the coordination activities and submitted additional proposals to the Board to further facilitate the coordination of Res.</w:t>
      </w:r>
      <w:r w:rsidRPr="00D67EE9">
        <w:rPr>
          <w:b/>
          <w:bCs/>
        </w:rPr>
        <w:t>559</w:t>
      </w:r>
      <w:r w:rsidRPr="00C66E29">
        <w:t xml:space="preserve"> submissions.</w:t>
      </w:r>
    </w:p>
    <w:p w14:paraId="17F94DBA" w14:textId="6D9FA7D2" w:rsidR="00C74DA0" w:rsidRPr="00C66E29" w:rsidRDefault="00C74DA0" w:rsidP="00D67EE9">
      <w:r w:rsidRPr="00C66E29">
        <w:t>Noting the lower percentage of responses relating to the Regions 1 and 3 Plan compared to responses relating to additional uses, in its updated statistics to WP 4A at its September 2022 meeting, the Bureau also reported detailed information regarding the compatibility between Res.</w:t>
      </w:r>
      <w:r w:rsidRPr="00D67EE9">
        <w:rPr>
          <w:b/>
          <w:bCs/>
        </w:rPr>
        <w:t>559</w:t>
      </w:r>
      <w:r w:rsidRPr="00C66E29">
        <w:t xml:space="preserve"> submissions and the Regions 1 and 3 Plans (Annex 2 to Document </w:t>
      </w:r>
      <w:hyperlink r:id="rId42" w:history="1">
        <w:r w:rsidRPr="00D67EE9">
          <w:rPr>
            <w:rStyle w:val="Hyperlink"/>
          </w:rPr>
          <w:t>4A/844(Rev.1)</w:t>
        </w:r>
      </w:hyperlink>
      <w:r w:rsidRPr="00C66E29">
        <w:t>). Furthermore, the Bureau sought the technical advice of WP 4A to assess in which cases the introduction of those Res.</w:t>
      </w:r>
      <w:r w:rsidRPr="00D67EE9">
        <w:rPr>
          <w:b/>
          <w:bCs/>
        </w:rPr>
        <w:t>559</w:t>
      </w:r>
      <w:r w:rsidRPr="00C66E29">
        <w:t xml:space="preserve"> assignments in the Regions 1 and 3 Plans could be accepted without a need to modify the technical parameters of those Res.</w:t>
      </w:r>
      <w:r w:rsidRPr="00D67EE9">
        <w:rPr>
          <w:b/>
          <w:bCs/>
        </w:rPr>
        <w:t>559</w:t>
      </w:r>
      <w:r w:rsidRPr="00C66E29">
        <w:t xml:space="preserve"> assignments.</w:t>
      </w:r>
    </w:p>
    <w:p w14:paraId="5227920A" w14:textId="1634E0F5" w:rsidR="00C74DA0" w:rsidRPr="00C66E29" w:rsidRDefault="00C74DA0" w:rsidP="00D67EE9">
      <w:r w:rsidRPr="00C66E29">
        <w:t>Based on the Note to the Director of the Bureau from WP 4A (</w:t>
      </w:r>
      <w:hyperlink r:id="rId43" w:history="1">
        <w:r w:rsidRPr="00D67EE9">
          <w:rPr>
            <w:rStyle w:val="Hyperlink"/>
            <w:rFonts w:cstheme="minorHAnsi"/>
          </w:rPr>
          <w:t>Annex 40</w:t>
        </w:r>
      </w:hyperlink>
      <w:r w:rsidRPr="00C66E29">
        <w:t xml:space="preserve"> to Document </w:t>
      </w:r>
      <w:hyperlink r:id="rId44" w:history="1">
        <w:r w:rsidRPr="00D67EE9">
          <w:rPr>
            <w:rStyle w:val="Hyperlink"/>
            <w:rFonts w:cstheme="minorHAnsi"/>
          </w:rPr>
          <w:t>4A/856</w:t>
        </w:r>
      </w:hyperlink>
      <w:r w:rsidRPr="00C66E29">
        <w:t>), the Bureau reported to the 91</w:t>
      </w:r>
      <w:r w:rsidRPr="00C66E29">
        <w:rPr>
          <w:vertAlign w:val="superscript"/>
        </w:rPr>
        <w:t>st</w:t>
      </w:r>
      <w:r w:rsidRPr="00C66E29">
        <w:t xml:space="preserve"> meeting of the Board proposing to consider including in its report on Resolution </w:t>
      </w:r>
      <w:r w:rsidRPr="00C66E29">
        <w:rPr>
          <w:b/>
          <w:bCs/>
        </w:rPr>
        <w:t>559 (WRC-19)</w:t>
      </w:r>
      <w:r w:rsidRPr="00C66E29">
        <w:t xml:space="preserve"> for the consideration of WRC-23 that, for cases where the space-to-Earth single-entry carrier-to-interference ratio is greater than 21 dB and the Earth-to-space single-entry carrier-to- interference ratio is greater than 30 dB, the Res.</w:t>
      </w:r>
      <w:r w:rsidRPr="00D67EE9">
        <w:rPr>
          <w:b/>
          <w:bCs/>
        </w:rPr>
        <w:t>559</w:t>
      </w:r>
      <w:r w:rsidRPr="00C66E29">
        <w:t xml:space="preserve"> submissions and the corresponding Regions 1 and 3 Plan frequency assignments were considered as compatible. In the light of the decisions of the Board at its 90</w:t>
      </w:r>
      <w:r w:rsidRPr="00C66E29">
        <w:rPr>
          <w:vertAlign w:val="superscript"/>
        </w:rPr>
        <w:t>th</w:t>
      </w:r>
      <w:r w:rsidRPr="00C66E29">
        <w:t xml:space="preserve"> meeting, for such compatible cases, in order to preserve the same level of protection of those Regions 1 and 3 Plan frequency assignments from incoming Article 4 submissions, it was also proposed that the reference situation of those Regions 1 and 3 Plan frequency assignments should not be updated when the Res.</w:t>
      </w:r>
      <w:r w:rsidRPr="00D67EE9">
        <w:rPr>
          <w:b/>
          <w:bCs/>
        </w:rPr>
        <w:t>559</w:t>
      </w:r>
      <w:r w:rsidRPr="00C66E29">
        <w:t xml:space="preserve"> frequency assignments in the List would be included in the Plans.</w:t>
      </w:r>
    </w:p>
    <w:p w14:paraId="531A6FAF" w14:textId="77777777" w:rsidR="00C74DA0" w:rsidRPr="00C66E29" w:rsidRDefault="00C74DA0" w:rsidP="00D67EE9">
      <w:pPr>
        <w:rPr>
          <w:lang w:eastAsia="it-IT"/>
        </w:rPr>
      </w:pPr>
      <w:proofErr w:type="gramStart"/>
      <w:r w:rsidRPr="00C66E29">
        <w:rPr>
          <w:lang w:eastAsia="it-IT"/>
        </w:rPr>
        <w:t>In order to</w:t>
      </w:r>
      <w:proofErr w:type="gramEnd"/>
      <w:r w:rsidRPr="00C66E29">
        <w:rPr>
          <w:lang w:eastAsia="it-IT"/>
        </w:rPr>
        <w:t xml:space="preserve"> assist their members in preparing Part B of Res.</w:t>
      </w:r>
      <w:r w:rsidRPr="00D67EE9">
        <w:rPr>
          <w:b/>
          <w:bCs/>
          <w:lang w:eastAsia="it-IT"/>
        </w:rPr>
        <w:t>559</w:t>
      </w:r>
      <w:r w:rsidRPr="00C66E29">
        <w:rPr>
          <w:lang w:eastAsia="it-IT"/>
        </w:rPr>
        <w:t xml:space="preserve"> submissions and the corresponding requests to WRC-23, SADC and ATU organized special workshops from 6 to 9 December 2022 in Gaborone, Botswana and on 13 December 2022, respectively. The online workshop organized by ATU was extended to all the 45 Res.</w:t>
      </w:r>
      <w:r w:rsidRPr="00D67EE9">
        <w:rPr>
          <w:b/>
          <w:bCs/>
          <w:lang w:eastAsia="it-IT"/>
        </w:rPr>
        <w:t>559</w:t>
      </w:r>
      <w:r w:rsidRPr="00C66E29">
        <w:rPr>
          <w:lang w:eastAsia="it-IT"/>
        </w:rPr>
        <w:t xml:space="preserve"> Administrations. The BR staff actively participated in these special workshops and provided the requested assistance.</w:t>
      </w:r>
    </w:p>
    <w:p w14:paraId="383B758D" w14:textId="77777777" w:rsidR="00C74DA0" w:rsidRPr="00C66E29" w:rsidRDefault="00C74DA0" w:rsidP="00D67EE9">
      <w:r w:rsidRPr="00C66E29">
        <w:t>Following these two special workshops, 41 out of the 45 Res.</w:t>
      </w:r>
      <w:r w:rsidRPr="00D67EE9">
        <w:rPr>
          <w:b/>
          <w:bCs/>
        </w:rPr>
        <w:t>559</w:t>
      </w:r>
      <w:r w:rsidRPr="00C66E29">
        <w:t xml:space="preserve"> Administrations have successfully submitted their Part B to the Bureau in January 2023. Due to lack of resources, the Administrations of Afghanistan, Equatorial Guinea, </w:t>
      </w:r>
      <w:proofErr w:type="gramStart"/>
      <w:r w:rsidRPr="00C66E29">
        <w:t>Malta</w:t>
      </w:r>
      <w:proofErr w:type="gramEnd"/>
      <w:r w:rsidRPr="00C66E29">
        <w:t xml:space="preserve"> and Seychelles have not yet started the coordination process with relevant Administrations. The Bureau will continue to assist these administrations to successfully apply Resolution </w:t>
      </w:r>
      <w:r w:rsidRPr="00C66E29">
        <w:rPr>
          <w:b/>
          <w:bCs/>
        </w:rPr>
        <w:t>559 (WRC-19)</w:t>
      </w:r>
      <w:r w:rsidRPr="00C66E29">
        <w:t xml:space="preserve"> by WRC-27.</w:t>
      </w:r>
    </w:p>
    <w:p w14:paraId="5C19680E" w14:textId="77777777" w:rsidR="00C74DA0" w:rsidRPr="00C66E29" w:rsidRDefault="00C74DA0" w:rsidP="00D67EE9">
      <w:pPr>
        <w:rPr>
          <w:rFonts w:eastAsiaTheme="minorEastAsia" w:cstheme="minorHAnsi"/>
          <w:lang w:eastAsia="it-IT"/>
        </w:rPr>
      </w:pPr>
      <w:proofErr w:type="gramStart"/>
      <w:r w:rsidRPr="00C66E29">
        <w:rPr>
          <w:rFonts w:eastAsiaTheme="minorEastAsia" w:cstheme="minorHAnsi"/>
          <w:lang w:eastAsia="it-IT"/>
        </w:rPr>
        <w:t>With regard to</w:t>
      </w:r>
      <w:proofErr w:type="gramEnd"/>
      <w:r w:rsidRPr="00C66E29">
        <w:rPr>
          <w:rFonts w:eastAsiaTheme="minorEastAsia" w:cstheme="minorHAnsi"/>
          <w:lang w:eastAsia="it-IT"/>
        </w:rPr>
        <w:t xml:space="preserve"> the above-mentioned 41 Part B Res.</w:t>
      </w:r>
      <w:r w:rsidRPr="00D67EE9">
        <w:rPr>
          <w:rFonts w:eastAsiaTheme="minorEastAsia" w:cstheme="minorHAnsi"/>
          <w:b/>
          <w:bCs/>
          <w:lang w:eastAsia="it-IT"/>
        </w:rPr>
        <w:t>559</w:t>
      </w:r>
      <w:r w:rsidRPr="00C66E29">
        <w:rPr>
          <w:rFonts w:eastAsiaTheme="minorEastAsia" w:cstheme="minorHAnsi"/>
          <w:lang w:eastAsia="it-IT"/>
        </w:rPr>
        <w:t xml:space="preserve"> submissions, the Bureau validated, examined and published them in the corresponding 82 Part B Special Sections in BR IFIC 2993 of 4 April 2023 for the inclusions of frequency assignments of these 41 Res.</w:t>
      </w:r>
      <w:r w:rsidRPr="00D67EE9">
        <w:rPr>
          <w:rFonts w:eastAsiaTheme="minorEastAsia" w:cstheme="minorHAnsi"/>
          <w:b/>
          <w:bCs/>
          <w:lang w:eastAsia="it-IT"/>
        </w:rPr>
        <w:t>559</w:t>
      </w:r>
      <w:r w:rsidRPr="00C66E29">
        <w:rPr>
          <w:rFonts w:eastAsiaTheme="minorEastAsia" w:cstheme="minorHAnsi"/>
          <w:lang w:eastAsia="it-IT"/>
        </w:rPr>
        <w:t xml:space="preserve"> submissions in the List of additional uses of Appendices </w:t>
      </w:r>
      <w:r w:rsidRPr="00C66E29">
        <w:rPr>
          <w:rFonts w:eastAsiaTheme="minorEastAsia" w:cstheme="minorHAnsi"/>
          <w:b/>
          <w:bCs/>
          <w:lang w:eastAsia="it-IT"/>
        </w:rPr>
        <w:t>30</w:t>
      </w:r>
      <w:r w:rsidRPr="00C66E29">
        <w:rPr>
          <w:rFonts w:eastAsiaTheme="minorEastAsia" w:cstheme="minorHAnsi"/>
          <w:lang w:eastAsia="it-IT"/>
        </w:rPr>
        <w:t xml:space="preserve"> and </w:t>
      </w:r>
      <w:r w:rsidRPr="00C66E29">
        <w:rPr>
          <w:rFonts w:eastAsiaTheme="minorEastAsia" w:cstheme="minorHAnsi"/>
          <w:b/>
          <w:bCs/>
          <w:lang w:eastAsia="it-IT"/>
        </w:rPr>
        <w:t>30A</w:t>
      </w:r>
      <w:r w:rsidRPr="00C66E29">
        <w:rPr>
          <w:rFonts w:eastAsiaTheme="minorEastAsia" w:cstheme="minorHAnsi"/>
          <w:lang w:eastAsia="it-IT"/>
        </w:rPr>
        <w:t xml:space="preserve">. Subsequently, the Bureau informed all the 41 Res.559 Administrations of the publication of their relevant Part B Special Sections and assisted all of them in preparing a corresponding request in accordance with Resolution </w:t>
      </w:r>
      <w:r w:rsidRPr="00C66E29">
        <w:rPr>
          <w:rFonts w:eastAsiaTheme="minorEastAsia" w:cstheme="minorHAnsi"/>
          <w:b/>
          <w:bCs/>
          <w:lang w:eastAsia="it-IT"/>
        </w:rPr>
        <w:t>559 (WRC-19)</w:t>
      </w:r>
      <w:r w:rsidRPr="00C66E29">
        <w:rPr>
          <w:rFonts w:eastAsiaTheme="minorEastAsia" w:cstheme="minorHAnsi"/>
          <w:lang w:eastAsia="it-IT"/>
        </w:rPr>
        <w:t xml:space="preserve"> for submission to WRC-23.</w:t>
      </w:r>
    </w:p>
    <w:p w14:paraId="55B9C603" w14:textId="33A93BB1" w:rsidR="00C74DA0" w:rsidRPr="00C66E29" w:rsidRDefault="00C74DA0" w:rsidP="00D67EE9">
      <w:pPr>
        <w:rPr>
          <w:rFonts w:eastAsiaTheme="minorEastAsia" w:cstheme="minorHAnsi"/>
          <w:lang w:eastAsia="it-IT"/>
        </w:rPr>
      </w:pPr>
      <w:proofErr w:type="gramStart"/>
      <w:r w:rsidRPr="00C66E29">
        <w:rPr>
          <w:rFonts w:eastAsiaTheme="minorEastAsia" w:cstheme="minorHAnsi"/>
          <w:lang w:eastAsia="it-IT"/>
        </w:rPr>
        <w:t>With regard to</w:t>
      </w:r>
      <w:proofErr w:type="gramEnd"/>
      <w:r w:rsidRPr="00C66E29">
        <w:rPr>
          <w:rFonts w:eastAsiaTheme="minorEastAsia" w:cstheme="minorHAnsi"/>
          <w:lang w:eastAsia="it-IT"/>
        </w:rPr>
        <w:t xml:space="preserve"> the technical examination of the 41 Part B submissions, there are a total of 1</w:t>
      </w:r>
      <w:r w:rsidR="00D67EE9">
        <w:rPr>
          <w:rFonts w:eastAsiaTheme="minorEastAsia" w:cstheme="minorHAnsi"/>
          <w:lang w:eastAsia="it-IT"/>
        </w:rPr>
        <w:t> </w:t>
      </w:r>
      <w:r w:rsidRPr="00C66E29">
        <w:rPr>
          <w:rFonts w:eastAsiaTheme="minorEastAsia" w:cstheme="minorHAnsi"/>
          <w:lang w:eastAsia="it-IT"/>
        </w:rPr>
        <w:t>393 frequency coordination cases involved. Thanks to the decisions of RRB, the technical advice of ITU-R WP4A, the active roles of Res.</w:t>
      </w:r>
      <w:r w:rsidRPr="00D67EE9">
        <w:rPr>
          <w:rFonts w:eastAsiaTheme="minorEastAsia" w:cstheme="minorHAnsi"/>
          <w:b/>
          <w:bCs/>
          <w:lang w:eastAsia="it-IT"/>
        </w:rPr>
        <w:t>559</w:t>
      </w:r>
      <w:r w:rsidRPr="00C66E29">
        <w:rPr>
          <w:rFonts w:eastAsiaTheme="minorEastAsia" w:cstheme="minorHAnsi"/>
          <w:lang w:eastAsia="it-IT"/>
        </w:rPr>
        <w:t xml:space="preserve"> Administrations, the spirit of cooperation of the potentially affected Administrations and the assistance of the Bureau, 87.08% of these frequency coordination cases have been completed at the time of this Report. There are 180 frequency coordination cases which are yet to be completed. Statistics of major remaining coordination cases are as follows:</w:t>
      </w:r>
    </w:p>
    <w:p w14:paraId="52EE54A1" w14:textId="77777777" w:rsidR="00C74DA0" w:rsidRPr="00C66E29" w:rsidRDefault="00C74DA0" w:rsidP="00C74DA0">
      <w:pPr>
        <w:tabs>
          <w:tab w:val="left" w:pos="794"/>
          <w:tab w:val="left" w:pos="1191"/>
          <w:tab w:val="left" w:pos="1588"/>
          <w:tab w:val="left" w:pos="1985"/>
        </w:tabs>
        <w:jc w:val="both"/>
        <w:rPr>
          <w:rFonts w:eastAsiaTheme="minorEastAsia" w:cstheme="minorHAnsi"/>
          <w:lang w:eastAsia="it-IT"/>
        </w:rPr>
      </w:pP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C74DA0" w:rsidRPr="00C66E29" w14:paraId="0ACC88C3" w14:textId="77777777">
        <w:trPr>
          <w:jc w:val="center"/>
        </w:trPr>
        <w:tc>
          <w:tcPr>
            <w:tcW w:w="1269" w:type="dxa"/>
            <w:vAlign w:val="center"/>
          </w:tcPr>
          <w:p w14:paraId="1C3181C7" w14:textId="77777777" w:rsidR="00C74DA0" w:rsidRPr="00C66E29" w:rsidRDefault="00C74DA0" w:rsidP="00D67EE9">
            <w:pPr>
              <w:pStyle w:val="Tablehead"/>
              <w:rPr>
                <w:rFonts w:eastAsiaTheme="minorEastAsia"/>
              </w:rPr>
            </w:pPr>
            <w:r w:rsidRPr="00C66E29">
              <w:rPr>
                <w:rFonts w:eastAsiaTheme="minorEastAsia"/>
              </w:rPr>
              <w:t>Total</w:t>
            </w:r>
          </w:p>
        </w:tc>
        <w:tc>
          <w:tcPr>
            <w:tcW w:w="2393" w:type="dxa"/>
            <w:vAlign w:val="center"/>
          </w:tcPr>
          <w:p w14:paraId="324C683D" w14:textId="77777777" w:rsidR="00C74DA0" w:rsidRPr="00C66E29" w:rsidRDefault="00C74DA0" w:rsidP="00D67EE9">
            <w:pPr>
              <w:pStyle w:val="Tablehead"/>
              <w:rPr>
                <w:rFonts w:eastAsiaTheme="minorEastAsia"/>
              </w:rPr>
            </w:pPr>
            <w:r w:rsidRPr="00C66E29">
              <w:rPr>
                <w:rFonts w:eastAsiaTheme="minorEastAsia"/>
              </w:rPr>
              <w:t>Coordination under</w:t>
            </w:r>
          </w:p>
          <w:p w14:paraId="3847C7CC" w14:textId="77777777" w:rsidR="00C74DA0" w:rsidRPr="00C66E29" w:rsidRDefault="00C74DA0" w:rsidP="00D67EE9">
            <w:pPr>
              <w:pStyle w:val="Tablehead"/>
              <w:rPr>
                <w:rFonts w:eastAsiaTheme="minorEastAsia"/>
              </w:rPr>
            </w:pPr>
            <w:r w:rsidRPr="00C66E29">
              <w:rPr>
                <w:rFonts w:eastAsiaTheme="minorEastAsia"/>
              </w:rPr>
              <w:t>A30#4.1.1b)</w:t>
            </w:r>
          </w:p>
        </w:tc>
        <w:tc>
          <w:tcPr>
            <w:tcW w:w="2393" w:type="dxa"/>
            <w:vAlign w:val="center"/>
          </w:tcPr>
          <w:p w14:paraId="34C8BC92" w14:textId="77777777" w:rsidR="00C74DA0" w:rsidRPr="00C66E29" w:rsidRDefault="00C74DA0" w:rsidP="00D67EE9">
            <w:pPr>
              <w:pStyle w:val="Tablehead"/>
              <w:rPr>
                <w:rFonts w:eastAsiaTheme="minorEastAsia"/>
              </w:rPr>
            </w:pPr>
            <w:r w:rsidRPr="00C66E29">
              <w:rPr>
                <w:rFonts w:eastAsiaTheme="minorEastAsia"/>
              </w:rPr>
              <w:t>Coordination under</w:t>
            </w:r>
          </w:p>
          <w:p w14:paraId="13F6F041" w14:textId="77777777" w:rsidR="00C74DA0" w:rsidRPr="00C66E29" w:rsidRDefault="00C74DA0" w:rsidP="00D67EE9">
            <w:pPr>
              <w:pStyle w:val="Tablehead"/>
              <w:rPr>
                <w:rFonts w:eastAsiaTheme="minorEastAsia"/>
              </w:rPr>
            </w:pPr>
            <w:r w:rsidRPr="00C66E29">
              <w:rPr>
                <w:rFonts w:eastAsiaTheme="minorEastAsia"/>
              </w:rPr>
              <w:t>A30#4.1.1e)</w:t>
            </w:r>
          </w:p>
        </w:tc>
        <w:tc>
          <w:tcPr>
            <w:tcW w:w="2393" w:type="dxa"/>
            <w:vAlign w:val="center"/>
          </w:tcPr>
          <w:p w14:paraId="036B9E78" w14:textId="77777777" w:rsidR="00C74DA0" w:rsidRPr="00C66E29" w:rsidRDefault="00C74DA0" w:rsidP="00D67EE9">
            <w:pPr>
              <w:pStyle w:val="Tablehead"/>
              <w:rPr>
                <w:rFonts w:eastAsiaTheme="minorEastAsia"/>
              </w:rPr>
            </w:pPr>
            <w:r w:rsidRPr="00C66E29">
              <w:rPr>
                <w:rFonts w:eastAsiaTheme="minorEastAsia"/>
              </w:rPr>
              <w:t>Coordination under</w:t>
            </w:r>
          </w:p>
          <w:p w14:paraId="52AB258E" w14:textId="77777777" w:rsidR="00C74DA0" w:rsidRPr="00C66E29" w:rsidRDefault="00C74DA0" w:rsidP="00D67EE9">
            <w:pPr>
              <w:pStyle w:val="Tablehead"/>
              <w:rPr>
                <w:rFonts w:eastAsiaTheme="minorEastAsia"/>
              </w:rPr>
            </w:pPr>
            <w:r w:rsidRPr="00C66E29">
              <w:rPr>
                <w:rFonts w:eastAsiaTheme="minorEastAsia"/>
              </w:rPr>
              <w:t>A30A#4.1.1b)</w:t>
            </w:r>
          </w:p>
        </w:tc>
      </w:tr>
      <w:tr w:rsidR="00C74DA0" w:rsidRPr="00C66E29" w14:paraId="4FD5D8FC" w14:textId="77777777">
        <w:trPr>
          <w:jc w:val="center"/>
        </w:trPr>
        <w:tc>
          <w:tcPr>
            <w:tcW w:w="1269" w:type="dxa"/>
            <w:vAlign w:val="center"/>
          </w:tcPr>
          <w:p w14:paraId="63A761F3" w14:textId="77777777" w:rsidR="00C74DA0" w:rsidRPr="00C66E29" w:rsidRDefault="00C74DA0" w:rsidP="00D67EE9">
            <w:pPr>
              <w:pStyle w:val="Tabletext"/>
              <w:jc w:val="center"/>
              <w:rPr>
                <w:rFonts w:eastAsiaTheme="minorEastAsia"/>
              </w:rPr>
            </w:pPr>
            <w:r w:rsidRPr="00C66E29">
              <w:rPr>
                <w:rFonts w:eastAsiaTheme="minorEastAsia"/>
              </w:rPr>
              <w:t>180</w:t>
            </w:r>
          </w:p>
        </w:tc>
        <w:tc>
          <w:tcPr>
            <w:tcW w:w="2393" w:type="dxa"/>
            <w:vAlign w:val="center"/>
          </w:tcPr>
          <w:p w14:paraId="2765A190" w14:textId="77777777" w:rsidR="00C74DA0" w:rsidRPr="00C66E29" w:rsidRDefault="00C74DA0" w:rsidP="00D67EE9">
            <w:pPr>
              <w:pStyle w:val="Tabletext"/>
              <w:jc w:val="center"/>
              <w:rPr>
                <w:rFonts w:eastAsiaTheme="minorEastAsia"/>
              </w:rPr>
            </w:pPr>
            <w:r w:rsidRPr="00C66E29">
              <w:rPr>
                <w:rFonts w:eastAsiaTheme="minorEastAsia"/>
              </w:rPr>
              <w:t>87</w:t>
            </w:r>
          </w:p>
        </w:tc>
        <w:tc>
          <w:tcPr>
            <w:tcW w:w="2393" w:type="dxa"/>
            <w:vAlign w:val="center"/>
          </w:tcPr>
          <w:p w14:paraId="00F3D594" w14:textId="77777777" w:rsidR="00C74DA0" w:rsidRPr="00C66E29" w:rsidRDefault="00C74DA0" w:rsidP="00D67EE9">
            <w:pPr>
              <w:pStyle w:val="Tabletext"/>
              <w:jc w:val="center"/>
              <w:rPr>
                <w:rFonts w:eastAsiaTheme="minorEastAsia"/>
              </w:rPr>
            </w:pPr>
            <w:r w:rsidRPr="00C66E29">
              <w:rPr>
                <w:rFonts w:eastAsiaTheme="minorEastAsia"/>
              </w:rPr>
              <w:t>60</w:t>
            </w:r>
          </w:p>
        </w:tc>
        <w:tc>
          <w:tcPr>
            <w:tcW w:w="2393" w:type="dxa"/>
            <w:vAlign w:val="center"/>
          </w:tcPr>
          <w:p w14:paraId="25552E16" w14:textId="77777777" w:rsidR="00C74DA0" w:rsidRPr="00C66E29" w:rsidRDefault="00C74DA0" w:rsidP="00D67EE9">
            <w:pPr>
              <w:pStyle w:val="Tabletext"/>
              <w:jc w:val="center"/>
              <w:rPr>
                <w:rFonts w:eastAsiaTheme="minorEastAsia"/>
              </w:rPr>
            </w:pPr>
            <w:r w:rsidRPr="00C66E29">
              <w:rPr>
                <w:rFonts w:eastAsiaTheme="minorEastAsia"/>
              </w:rPr>
              <w:t>26</w:t>
            </w:r>
          </w:p>
        </w:tc>
      </w:tr>
      <w:tr w:rsidR="00C74DA0" w:rsidRPr="00C66E29" w14:paraId="4C2BF1CA" w14:textId="77777777">
        <w:trPr>
          <w:jc w:val="center"/>
        </w:trPr>
        <w:tc>
          <w:tcPr>
            <w:tcW w:w="1269" w:type="dxa"/>
            <w:vAlign w:val="center"/>
          </w:tcPr>
          <w:p w14:paraId="59F21C77" w14:textId="77777777" w:rsidR="00C74DA0" w:rsidRPr="00C66E29" w:rsidRDefault="00C74DA0" w:rsidP="00D67EE9">
            <w:pPr>
              <w:pStyle w:val="Tabletext"/>
              <w:jc w:val="center"/>
              <w:rPr>
                <w:rFonts w:eastAsiaTheme="minorEastAsia"/>
              </w:rPr>
            </w:pPr>
            <w:r w:rsidRPr="00C66E29">
              <w:rPr>
                <w:rFonts w:eastAsiaTheme="minorEastAsia"/>
              </w:rPr>
              <w:t>Percentage</w:t>
            </w:r>
          </w:p>
        </w:tc>
        <w:tc>
          <w:tcPr>
            <w:tcW w:w="2393" w:type="dxa"/>
            <w:vAlign w:val="center"/>
          </w:tcPr>
          <w:p w14:paraId="383AEC61" w14:textId="77777777" w:rsidR="00C74DA0" w:rsidRPr="00C66E29" w:rsidRDefault="00C74DA0" w:rsidP="00D67EE9">
            <w:pPr>
              <w:pStyle w:val="Tabletext"/>
              <w:jc w:val="center"/>
              <w:rPr>
                <w:rFonts w:eastAsiaTheme="minorEastAsia"/>
              </w:rPr>
            </w:pPr>
            <w:r w:rsidRPr="00C66E29">
              <w:rPr>
                <w:rFonts w:eastAsiaTheme="minorEastAsia"/>
              </w:rPr>
              <w:t>48.3%</w:t>
            </w:r>
          </w:p>
        </w:tc>
        <w:tc>
          <w:tcPr>
            <w:tcW w:w="2393" w:type="dxa"/>
            <w:vAlign w:val="center"/>
          </w:tcPr>
          <w:p w14:paraId="478B1556" w14:textId="77777777" w:rsidR="00C74DA0" w:rsidRPr="00C66E29" w:rsidRDefault="00C74DA0" w:rsidP="00D67EE9">
            <w:pPr>
              <w:pStyle w:val="Tabletext"/>
              <w:jc w:val="center"/>
              <w:rPr>
                <w:rFonts w:eastAsiaTheme="minorEastAsia"/>
              </w:rPr>
            </w:pPr>
            <w:r w:rsidRPr="00C66E29">
              <w:rPr>
                <w:rFonts w:eastAsiaTheme="minorEastAsia"/>
              </w:rPr>
              <w:t>33.3%</w:t>
            </w:r>
          </w:p>
        </w:tc>
        <w:tc>
          <w:tcPr>
            <w:tcW w:w="2393" w:type="dxa"/>
            <w:vAlign w:val="center"/>
          </w:tcPr>
          <w:p w14:paraId="3DBE64C0" w14:textId="77777777" w:rsidR="00C74DA0" w:rsidRPr="00C66E29" w:rsidRDefault="00C74DA0" w:rsidP="00D67EE9">
            <w:pPr>
              <w:pStyle w:val="Tabletext"/>
              <w:jc w:val="center"/>
              <w:rPr>
                <w:rFonts w:eastAsiaTheme="minorEastAsia"/>
              </w:rPr>
            </w:pPr>
            <w:r w:rsidRPr="00C66E29">
              <w:rPr>
                <w:rFonts w:eastAsiaTheme="minorEastAsia"/>
              </w:rPr>
              <w:t>14.4%</w:t>
            </w:r>
          </w:p>
        </w:tc>
      </w:tr>
    </w:tbl>
    <w:p w14:paraId="2C899C11" w14:textId="77777777" w:rsidR="00D67EE9" w:rsidRDefault="00D67EE9" w:rsidP="00D67EE9">
      <w:pPr>
        <w:pStyle w:val="Tablefin"/>
        <w:rPr>
          <w:rFonts w:eastAsiaTheme="minorEastAsia"/>
          <w:lang w:eastAsia="zh-CN"/>
        </w:rPr>
      </w:pPr>
    </w:p>
    <w:p w14:paraId="4CE7BCA1" w14:textId="1BFF4F15" w:rsidR="00C74DA0" w:rsidRPr="00C66E29" w:rsidRDefault="00C74DA0" w:rsidP="00D67EE9">
      <w:pPr>
        <w:rPr>
          <w:rFonts w:eastAsiaTheme="minorEastAsia"/>
          <w:lang w:eastAsia="zh-CN"/>
        </w:rPr>
      </w:pPr>
      <w:r w:rsidRPr="00C66E29">
        <w:rPr>
          <w:rFonts w:eastAsiaTheme="minorEastAsia"/>
          <w:lang w:eastAsia="zh-CN"/>
        </w:rPr>
        <w:t xml:space="preserve">With respect to the remaining coordination cases under A30A#4.1.1b), the issue is </w:t>
      </w:r>
      <w:proofErr w:type="gramStart"/>
      <w:r w:rsidRPr="00C66E29">
        <w:rPr>
          <w:rFonts w:eastAsiaTheme="minorEastAsia"/>
          <w:lang w:eastAsia="zh-CN"/>
        </w:rPr>
        <w:t>due to the fact that</w:t>
      </w:r>
      <w:proofErr w:type="gramEnd"/>
      <w:r w:rsidRPr="00C66E29">
        <w:rPr>
          <w:rFonts w:eastAsiaTheme="minorEastAsia"/>
          <w:lang w:eastAsia="zh-CN"/>
        </w:rPr>
        <w:t xml:space="preserve"> the potentially affected Appendix </w:t>
      </w:r>
      <w:r w:rsidRPr="00C66E29">
        <w:rPr>
          <w:rFonts w:eastAsiaTheme="minorEastAsia"/>
          <w:b/>
          <w:bCs/>
          <w:lang w:eastAsia="zh-CN"/>
        </w:rPr>
        <w:t>30A</w:t>
      </w:r>
      <w:r w:rsidRPr="00C66E29">
        <w:rPr>
          <w:rFonts w:eastAsiaTheme="minorEastAsia"/>
          <w:lang w:eastAsia="zh-CN"/>
        </w:rPr>
        <w:t xml:space="preserve"> Article 4 submissions have very large or nearly global coverage. This issue is being addressed under Topic F of Agenda item 7 of WRC-23.</w:t>
      </w:r>
    </w:p>
    <w:p w14:paraId="713C5C0E" w14:textId="77777777" w:rsidR="00C74DA0" w:rsidRPr="00C66E29" w:rsidRDefault="00C74DA0" w:rsidP="00D67EE9">
      <w:pPr>
        <w:rPr>
          <w:rFonts w:eastAsiaTheme="minorEastAsia"/>
          <w:lang w:eastAsia="zh-CN"/>
        </w:rPr>
      </w:pPr>
      <w:r w:rsidRPr="00C66E29">
        <w:rPr>
          <w:rFonts w:eastAsiaTheme="minorEastAsia"/>
          <w:lang w:eastAsia="zh-CN"/>
        </w:rPr>
        <w:t>With respect to remaining coordination cases under A30#4.1.1b) and A30#4.</w:t>
      </w:r>
      <w:proofErr w:type="gramStart"/>
      <w:r w:rsidRPr="00C66E29">
        <w:rPr>
          <w:rFonts w:eastAsiaTheme="minorEastAsia"/>
          <w:lang w:eastAsia="zh-CN"/>
        </w:rPr>
        <w:t>1.e</w:t>
      </w:r>
      <w:proofErr w:type="gramEnd"/>
      <w:r w:rsidRPr="00C66E29">
        <w:rPr>
          <w:rFonts w:eastAsiaTheme="minorEastAsia"/>
          <w:lang w:eastAsia="zh-CN"/>
        </w:rPr>
        <w:t>), the main issue is related to two Administrations, which account for 64.4 % of the total number of frequency coordination cases.</w:t>
      </w:r>
    </w:p>
    <w:p w14:paraId="33A470AF" w14:textId="77777777" w:rsidR="00C74DA0" w:rsidRPr="00C66E29" w:rsidRDefault="00C74DA0" w:rsidP="00D67EE9">
      <w:pPr>
        <w:rPr>
          <w:rFonts w:eastAsiaTheme="minorEastAsia"/>
          <w:lang w:eastAsia="zh-CN"/>
        </w:rPr>
      </w:pPr>
      <w:r w:rsidRPr="00C66E29">
        <w:rPr>
          <w:rFonts w:eastAsiaTheme="minorEastAsia"/>
          <w:lang w:eastAsia="zh-CN"/>
        </w:rPr>
        <w:t>The Bureau continues assisting the Administrations concerned in finding solutions to the remaining coordination cases.</w:t>
      </w:r>
    </w:p>
    <w:p w14:paraId="4683BD1F" w14:textId="77777777" w:rsidR="00C74DA0" w:rsidRPr="00C66E29" w:rsidRDefault="00C74DA0" w:rsidP="00D67EE9">
      <w:r w:rsidRPr="00C66E29">
        <w:t xml:space="preserve">During the implementation of </w:t>
      </w:r>
      <w:r w:rsidRPr="00C66E29">
        <w:rPr>
          <w:rFonts w:eastAsiaTheme="minorEastAsia"/>
          <w:lang w:eastAsia="it-IT"/>
        </w:rPr>
        <w:t xml:space="preserve">Resolution </w:t>
      </w:r>
      <w:r w:rsidRPr="00C66E29">
        <w:rPr>
          <w:rFonts w:eastAsiaTheme="minorEastAsia"/>
          <w:b/>
          <w:bCs/>
          <w:lang w:eastAsia="it-IT"/>
        </w:rPr>
        <w:t>559 (WRC-19)</w:t>
      </w:r>
      <w:r w:rsidRPr="00C66E29">
        <w:t>, the Bureau submitted to every meeting of the Board a progress report on its implementation and sought necessary guidance from the Board. It is worth indicating that there has been full collaboration from Administrations concerned in implementing relevant decisions of the Board, notably decisions taken by the Board at its 84</w:t>
      </w:r>
      <w:r w:rsidRPr="00C66E29">
        <w:rPr>
          <w:vertAlign w:val="superscript"/>
        </w:rPr>
        <w:t>th</w:t>
      </w:r>
      <w:r w:rsidRPr="00C66E29">
        <w:t xml:space="preserve"> meeting </w:t>
      </w:r>
      <w:proofErr w:type="gramStart"/>
      <w:r w:rsidRPr="00C66E29">
        <w:t>in order to</w:t>
      </w:r>
      <w:proofErr w:type="gramEnd"/>
      <w:r w:rsidRPr="00C66E29">
        <w:t xml:space="preserve"> protect the reference situation of Res.</w:t>
      </w:r>
      <w:r w:rsidRPr="00D67EE9">
        <w:rPr>
          <w:b/>
          <w:bCs/>
        </w:rPr>
        <w:t>559</w:t>
      </w:r>
      <w:r w:rsidRPr="00C66E29">
        <w:t xml:space="preserve"> submissions from </w:t>
      </w:r>
      <w:r w:rsidRPr="00C66E29">
        <w:rPr>
          <w:b/>
          <w:bCs/>
        </w:rPr>
        <w:t>AP30/30A</w:t>
      </w:r>
      <w:r w:rsidRPr="00C66E29">
        <w:t xml:space="preserve"> submissions with earlier dates of receipt than the one of Res.</w:t>
      </w:r>
      <w:r w:rsidRPr="00D67EE9">
        <w:rPr>
          <w:b/>
          <w:bCs/>
        </w:rPr>
        <w:t>559</w:t>
      </w:r>
      <w:r w:rsidRPr="00C66E29">
        <w:t xml:space="preserve"> submissions.</w:t>
      </w:r>
    </w:p>
    <w:p w14:paraId="46FB160B" w14:textId="77777777" w:rsidR="00C74DA0" w:rsidRPr="00C66E29" w:rsidRDefault="00C74DA0" w:rsidP="00D67EE9">
      <w:r w:rsidRPr="00C66E29">
        <w:t xml:space="preserve">Finally, the Bureau would like to thank the guidance from the Board, the technical advice from ITU-R WP4A and the collaboration from all Administrations concerned including the CEPT and ATU coordinators during the implementation of Resolution </w:t>
      </w:r>
      <w:r w:rsidRPr="00C66E29">
        <w:rPr>
          <w:b/>
          <w:bCs/>
        </w:rPr>
        <w:t>559 (WRC-19)</w:t>
      </w:r>
      <w:r w:rsidRPr="00C66E29">
        <w:t>.</w:t>
      </w:r>
    </w:p>
    <w:p w14:paraId="29897E49" w14:textId="77777777" w:rsidR="00C74DA0" w:rsidRPr="00C66E29" w:rsidRDefault="00C74DA0" w:rsidP="00C74DA0">
      <w:pPr>
        <w:pStyle w:val="Heading4"/>
      </w:pPr>
      <w:bookmarkStart w:id="59" w:name="_Toc418163361"/>
      <w:r w:rsidRPr="00C66E29">
        <w:t>2.3.1.3</w:t>
      </w:r>
      <w:r w:rsidRPr="00C66E29">
        <w:tab/>
        <w:t>Equivalent protection margin (EPM) and overall equivalent protection margin (OEPM) values for the assignments in the Appendices 30 and 30A Plan</w:t>
      </w:r>
      <w:bookmarkEnd w:id="59"/>
      <w:r w:rsidRPr="00C66E29">
        <w:t xml:space="preserve"> </w:t>
      </w:r>
    </w:p>
    <w:p w14:paraId="1ABE8BA4" w14:textId="77777777" w:rsidR="00C74DA0" w:rsidRPr="00C66E29" w:rsidRDefault="00C74DA0" w:rsidP="00BF0888">
      <w:r w:rsidRPr="00C66E29">
        <w:t xml:space="preserve">The current reference situation in terms of EPM for the Regions 1 &amp; 3 Plan Beams and OEPM for Region 2 Plan assignments contained in Appendices </w:t>
      </w:r>
      <w:r w:rsidRPr="00C66E29">
        <w:rPr>
          <w:b/>
          <w:bCs/>
        </w:rPr>
        <w:t xml:space="preserve">30 </w:t>
      </w:r>
      <w:r w:rsidRPr="00C66E29">
        <w:t xml:space="preserve">and </w:t>
      </w:r>
      <w:r w:rsidRPr="00C66E29">
        <w:rPr>
          <w:b/>
          <w:bCs/>
        </w:rPr>
        <w:t xml:space="preserve">30A </w:t>
      </w:r>
      <w:r w:rsidRPr="00C66E29">
        <w:t xml:space="preserve">is provided at </w:t>
      </w:r>
      <w:hyperlink r:id="rId45" w:history="1">
        <w:r w:rsidRPr="00C66E29">
          <w:rPr>
            <w:rStyle w:val="Hyperlink"/>
          </w:rPr>
          <w:t>http://www.itu.int/en/ITU-R/space/plans/Pages/AP30-30A.aspx</w:t>
        </w:r>
      </w:hyperlink>
      <w:r w:rsidRPr="00C66E29">
        <w:t>.</w:t>
      </w:r>
    </w:p>
    <w:p w14:paraId="6357C1FF" w14:textId="77777777" w:rsidR="00C74DA0" w:rsidRPr="00C66E29" w:rsidRDefault="00C74DA0" w:rsidP="00C74DA0">
      <w:pPr>
        <w:pStyle w:val="Heading3"/>
      </w:pPr>
      <w:bookmarkStart w:id="60" w:name="_Toc418163362"/>
      <w:bookmarkStart w:id="61" w:name="_Toc418232268"/>
      <w:bookmarkStart w:id="62" w:name="_Toc143072398"/>
      <w:r w:rsidRPr="00C66E29">
        <w:t>2.3.2</w:t>
      </w:r>
      <w:r w:rsidRPr="00C66E29">
        <w:tab/>
        <w:t>Appendix 30B</w:t>
      </w:r>
      <w:bookmarkEnd w:id="60"/>
      <w:bookmarkEnd w:id="61"/>
      <w:bookmarkEnd w:id="62"/>
    </w:p>
    <w:p w14:paraId="38BA30A0" w14:textId="77777777" w:rsidR="00C74DA0" w:rsidRPr="00C66E29" w:rsidRDefault="00C74DA0" w:rsidP="00BF0888">
      <w:r w:rsidRPr="00C66E29">
        <w:t xml:space="preserve">The processing tasks under this Appendix include the examination and publication of submissions under Articles </w:t>
      </w:r>
      <w:r w:rsidRPr="00C66E29">
        <w:rPr>
          <w:bCs/>
        </w:rPr>
        <w:t>6, 7 and 8</w:t>
      </w:r>
      <w:r w:rsidRPr="00C66E29">
        <w:t xml:space="preserve"> of Appendix </w:t>
      </w:r>
      <w:r w:rsidRPr="00C66E29">
        <w:rPr>
          <w:b/>
          <w:bCs/>
        </w:rPr>
        <w:t>30B</w:t>
      </w:r>
      <w:r w:rsidRPr="00C66E29">
        <w:t xml:space="preserve">. </w:t>
      </w:r>
    </w:p>
    <w:p w14:paraId="59E82D8F" w14:textId="77777777" w:rsidR="00C74DA0" w:rsidRPr="00C66E29" w:rsidRDefault="00C74DA0" w:rsidP="00BF0888">
      <w:r w:rsidRPr="00C66E29">
        <w:t xml:space="preserve">Article </w:t>
      </w:r>
      <w:r w:rsidRPr="00C66E29">
        <w:rPr>
          <w:bCs/>
        </w:rPr>
        <w:t xml:space="preserve">6 </w:t>
      </w:r>
      <w:r w:rsidRPr="00C66E29">
        <w:t xml:space="preserve">of Appendix </w:t>
      </w:r>
      <w:r w:rsidRPr="00C66E29">
        <w:rPr>
          <w:b/>
          <w:bCs/>
        </w:rPr>
        <w:t>30B</w:t>
      </w:r>
      <w:r w:rsidRPr="00C66E29">
        <w:t xml:space="preserve"> and its related Rules of Procedure provide the procedures for the conversion of an allotment into an assignment, for the introduction of an additional system and for the modification of an assignment in the List. The characteristics of the satellite network and list of administrations whose frequency assignments </w:t>
      </w:r>
      <w:proofErr w:type="gramStart"/>
      <w:r w:rsidRPr="00C66E29">
        <w:t>are considered to be</w:t>
      </w:r>
      <w:proofErr w:type="gramEnd"/>
      <w:r w:rsidRPr="00C66E29">
        <w:t xml:space="preserve"> affected are published in a Special Section AP30B/A6A in BR IFIC. New or modified assignments entered in the List </w:t>
      </w:r>
      <w:proofErr w:type="gramStart"/>
      <w:r w:rsidRPr="00C66E29">
        <w:t>as a result of</w:t>
      </w:r>
      <w:proofErr w:type="gramEnd"/>
      <w:r w:rsidRPr="00C66E29">
        <w:t xml:space="preserve"> the successful application of the provisions of Article </w:t>
      </w:r>
      <w:r w:rsidRPr="00C66E29">
        <w:rPr>
          <w:bCs/>
        </w:rPr>
        <w:t>6</w:t>
      </w:r>
      <w:r w:rsidRPr="00C66E29">
        <w:t xml:space="preserve"> are then published in a Special Section AP30B/A6B. The above processing entails data capture of received information, validation, </w:t>
      </w:r>
      <w:proofErr w:type="gramStart"/>
      <w:r w:rsidRPr="00C66E29">
        <w:t>examination</w:t>
      </w:r>
      <w:proofErr w:type="gramEnd"/>
      <w:r w:rsidRPr="00C66E29">
        <w:t xml:space="preserve"> and publication of relevant Special Sections, including application of Resolution </w:t>
      </w:r>
      <w:r w:rsidRPr="00C66E29">
        <w:rPr>
          <w:b/>
          <w:bCs/>
        </w:rPr>
        <w:t>49</w:t>
      </w:r>
      <w:r w:rsidRPr="00C66E29">
        <w:t xml:space="preserve">, invoicing according to Council Decision 482, correspondence/assistance to administrations, processing of comments and the update of databases made available to administrations on the ITU website and in BR IFIC. </w:t>
      </w:r>
    </w:p>
    <w:p w14:paraId="3B28B312" w14:textId="77777777" w:rsidR="00C74DA0" w:rsidRPr="00C66E29" w:rsidRDefault="00C74DA0" w:rsidP="00BF0888">
      <w:r w:rsidRPr="00C66E29">
        <w:t>Article </w:t>
      </w:r>
      <w:r w:rsidRPr="00C66E29">
        <w:rPr>
          <w:bCs/>
        </w:rPr>
        <w:t>7</w:t>
      </w:r>
      <w:r w:rsidRPr="00C66E29">
        <w:t xml:space="preserve"> of the Appendix </w:t>
      </w:r>
      <w:r w:rsidRPr="00C66E29">
        <w:rPr>
          <w:b/>
          <w:bCs/>
        </w:rPr>
        <w:t>30B</w:t>
      </w:r>
      <w:r w:rsidRPr="00C66E29">
        <w:t xml:space="preserve"> and its related Rules of Procedure regulate addition of a new allotment to the Plan for a new Member State of the Union, if any.</w:t>
      </w:r>
    </w:p>
    <w:p w14:paraId="236A9780" w14:textId="77777777" w:rsidR="00C74DA0" w:rsidRPr="00C66E29" w:rsidRDefault="00C74DA0" w:rsidP="00BF0888">
      <w:r w:rsidRPr="00C66E29">
        <w:t xml:space="preserve">Article </w:t>
      </w:r>
      <w:r w:rsidRPr="00C66E29">
        <w:rPr>
          <w:bCs/>
        </w:rPr>
        <w:t>8</w:t>
      </w:r>
      <w:r w:rsidRPr="00C66E29">
        <w:t xml:space="preserve"> and its related Rules of Procedure cover the notification procedure. The Bureau processes notifications submitted under Article </w:t>
      </w:r>
      <w:r w:rsidRPr="00C66E29">
        <w:rPr>
          <w:bCs/>
        </w:rPr>
        <w:t>8</w:t>
      </w:r>
      <w:r w:rsidRPr="00C66E29">
        <w:t xml:space="preserve"> for recording in the Master International Frequency Register, </w:t>
      </w:r>
      <w:proofErr w:type="gramStart"/>
      <w:r w:rsidRPr="00C66E29">
        <w:t>i.e.</w:t>
      </w:r>
      <w:proofErr w:type="gramEnd"/>
      <w:r w:rsidRPr="00C66E29">
        <w:t> data capture, validation, publication of the information in Part I-S of BR IFIC, technical examination (establishment of findings) and publication in Part II-S or III-S of BR IFIC, recording in the MIFR, including the update of databases made available to all administrations on the ITU website and in BR IFIC.</w:t>
      </w:r>
    </w:p>
    <w:p w14:paraId="4B42DACC" w14:textId="41CFF4B6" w:rsidR="00C74DA0" w:rsidRDefault="00C74DA0" w:rsidP="00C74DA0">
      <w:pPr>
        <w:jc w:val="both"/>
      </w:pPr>
      <w:r w:rsidRPr="00C66E29">
        <w:t>Following a request from the Radiocommunication Advisory Group</w:t>
      </w:r>
      <w:r>
        <w:t xml:space="preserve"> (see item 4 of the </w:t>
      </w:r>
      <w:hyperlink r:id="rId46" w:history="1">
        <w:r w:rsidRPr="00A92B84">
          <w:rPr>
            <w:rStyle w:val="Hyperlink"/>
            <w:rFonts w:cstheme="minorBidi"/>
          </w:rPr>
          <w:t>summary of conclusions</w:t>
        </w:r>
      </w:hyperlink>
      <w:r>
        <w:t xml:space="preserve"> of the 26</w:t>
      </w:r>
      <w:r>
        <w:rPr>
          <w:vertAlign w:val="superscript"/>
        </w:rPr>
        <w:t>th</w:t>
      </w:r>
      <w:r>
        <w:t xml:space="preserve"> RAG meeting (15-17 April 2019))</w:t>
      </w:r>
      <w:r w:rsidRPr="00C66E29">
        <w:t xml:space="preserve">, statistics on the notices of satellite networks submitted under § 6.1 of Article 6 of RR Appendix </w:t>
      </w:r>
      <w:r w:rsidRPr="00C66E29">
        <w:rPr>
          <w:b/>
          <w:bCs/>
        </w:rPr>
        <w:t>30B</w:t>
      </w:r>
      <w:r w:rsidRPr="00C66E29">
        <w:t xml:space="preserve"> over the period 2019</w:t>
      </w:r>
      <w:r w:rsidR="004B7D32">
        <w:t>-</w:t>
      </w:r>
      <w:r w:rsidRPr="00C66E29">
        <w:t>2023 are presented below.</w:t>
      </w:r>
    </w:p>
    <w:p w14:paraId="2283A52D" w14:textId="77777777" w:rsidR="00BF0888" w:rsidRPr="00C66E29" w:rsidRDefault="00BF0888" w:rsidP="00C74DA0">
      <w:pPr>
        <w:jc w:val="both"/>
      </w:pPr>
    </w:p>
    <w:p w14:paraId="04BE1FA7" w14:textId="4453C534" w:rsidR="00C74DA0" w:rsidRPr="00C66E29" w:rsidRDefault="00C74DA0" w:rsidP="00BF0888">
      <w:pPr>
        <w:pStyle w:val="Tabletitle"/>
      </w:pPr>
      <w:r w:rsidRPr="00C66E29">
        <w:t xml:space="preserve">Statistics of RR Appendix 30B notices received by the Bureau </w:t>
      </w:r>
      <w:r w:rsidR="00BF0888">
        <w:br/>
      </w:r>
      <w:r w:rsidRPr="00C66E29">
        <w:t>(from January 2019 to May 2023 on a quarterly basis)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476"/>
        <w:gridCol w:w="1361"/>
        <w:gridCol w:w="1316"/>
        <w:gridCol w:w="1315"/>
        <w:gridCol w:w="1165"/>
        <w:gridCol w:w="1446"/>
        <w:gridCol w:w="113"/>
      </w:tblGrid>
      <w:tr w:rsidR="00C74DA0" w:rsidRPr="00BF0888" w14:paraId="11415DE8" w14:textId="77777777">
        <w:trPr>
          <w:gridAfter w:val="1"/>
          <w:wAfter w:w="113" w:type="dxa"/>
          <w:cantSplit/>
          <w:tblHeader/>
          <w:jc w:val="center"/>
        </w:trPr>
        <w:tc>
          <w:tcPr>
            <w:tcW w:w="1555" w:type="dxa"/>
            <w:tcBorders>
              <w:top w:val="single" w:sz="4" w:space="0" w:color="auto"/>
              <w:left w:val="single" w:sz="4" w:space="0" w:color="auto"/>
              <w:bottom w:val="single" w:sz="4" w:space="0" w:color="auto"/>
              <w:right w:val="single" w:sz="4" w:space="0" w:color="auto"/>
            </w:tcBorders>
          </w:tcPr>
          <w:p w14:paraId="462801A9" w14:textId="77777777" w:rsidR="00C74DA0" w:rsidRPr="00BF0888" w:rsidRDefault="00C74DA0" w:rsidP="00BF0888">
            <w:pPr>
              <w:pStyle w:val="Tablehead"/>
              <w:rPr>
                <w:rFonts w:eastAsia="MS Mincho"/>
              </w:rPr>
            </w:pPr>
          </w:p>
        </w:tc>
        <w:tc>
          <w:tcPr>
            <w:tcW w:w="1476" w:type="dxa"/>
            <w:tcBorders>
              <w:top w:val="single" w:sz="4" w:space="0" w:color="auto"/>
              <w:left w:val="single" w:sz="4" w:space="0" w:color="auto"/>
              <w:bottom w:val="single" w:sz="4" w:space="0" w:color="auto"/>
              <w:right w:val="single" w:sz="4" w:space="0" w:color="auto"/>
            </w:tcBorders>
            <w:hideMark/>
          </w:tcPr>
          <w:p w14:paraId="07D48538" w14:textId="77777777" w:rsidR="00C74DA0" w:rsidRPr="00BF0888" w:rsidRDefault="00C74DA0" w:rsidP="00BF0888">
            <w:pPr>
              <w:pStyle w:val="Tablehead"/>
              <w:rPr>
                <w:rFonts w:eastAsia="MS Mincho"/>
              </w:rPr>
            </w:pPr>
            <w:r w:rsidRPr="00BF0888">
              <w:rPr>
                <w:rFonts w:eastAsia="MS Mincho"/>
              </w:rPr>
              <w:t>Request for conversion without change of initial allotment national service area</w:t>
            </w:r>
          </w:p>
        </w:tc>
        <w:tc>
          <w:tcPr>
            <w:tcW w:w="1361" w:type="dxa"/>
            <w:tcBorders>
              <w:top w:val="single" w:sz="4" w:space="0" w:color="auto"/>
              <w:left w:val="single" w:sz="4" w:space="0" w:color="auto"/>
              <w:bottom w:val="single" w:sz="4" w:space="0" w:color="auto"/>
              <w:right w:val="single" w:sz="4" w:space="0" w:color="auto"/>
            </w:tcBorders>
          </w:tcPr>
          <w:p w14:paraId="7F075A21" w14:textId="3DAB92B4" w:rsidR="00C74DA0" w:rsidRPr="00BF0888" w:rsidRDefault="00C74DA0" w:rsidP="00BF0888">
            <w:pPr>
              <w:pStyle w:val="Tablehead"/>
              <w:rPr>
                <w:rFonts w:eastAsia="MS Mincho"/>
              </w:rPr>
            </w:pPr>
            <w:r w:rsidRPr="00BF0888">
              <w:rPr>
                <w:rFonts w:eastAsia="MS Mincho"/>
              </w:rPr>
              <w:t>Request for conversion with changes within the envelop of initial allotment national service area</w:t>
            </w:r>
          </w:p>
        </w:tc>
        <w:tc>
          <w:tcPr>
            <w:tcW w:w="1316" w:type="dxa"/>
            <w:tcBorders>
              <w:top w:val="single" w:sz="4" w:space="0" w:color="auto"/>
              <w:left w:val="single" w:sz="4" w:space="0" w:color="auto"/>
              <w:bottom w:val="single" w:sz="4" w:space="0" w:color="auto"/>
              <w:right w:val="single" w:sz="4" w:space="0" w:color="auto"/>
            </w:tcBorders>
            <w:hideMark/>
          </w:tcPr>
          <w:p w14:paraId="5819AB4F" w14:textId="7A27E971" w:rsidR="00C74DA0" w:rsidRPr="00BF0888" w:rsidRDefault="00C74DA0" w:rsidP="00BF0888">
            <w:pPr>
              <w:pStyle w:val="Tablehead"/>
              <w:rPr>
                <w:rFonts w:eastAsia="MS Mincho"/>
              </w:rPr>
            </w:pPr>
            <w:r w:rsidRPr="00BF0888">
              <w:rPr>
                <w:rFonts w:eastAsia="MS Mincho"/>
              </w:rPr>
              <w:t>Request for conversion with changes outside the envelop of initial allotment national service area</w:t>
            </w:r>
          </w:p>
        </w:tc>
        <w:tc>
          <w:tcPr>
            <w:tcW w:w="1315" w:type="dxa"/>
            <w:tcBorders>
              <w:top w:val="single" w:sz="4" w:space="0" w:color="auto"/>
              <w:left w:val="single" w:sz="4" w:space="0" w:color="auto"/>
              <w:bottom w:val="single" w:sz="4" w:space="0" w:color="auto"/>
              <w:right w:val="single" w:sz="4" w:space="0" w:color="auto"/>
            </w:tcBorders>
            <w:hideMark/>
          </w:tcPr>
          <w:p w14:paraId="6BCDD156" w14:textId="68337D06" w:rsidR="00C74DA0" w:rsidRPr="00BF0888" w:rsidRDefault="00C74DA0" w:rsidP="00BF0888">
            <w:pPr>
              <w:pStyle w:val="Tablehead"/>
              <w:rPr>
                <w:rFonts w:eastAsia="MS Mincho"/>
              </w:rPr>
            </w:pPr>
            <w:r w:rsidRPr="00BF0888">
              <w:rPr>
                <w:rFonts w:eastAsia="MS Mincho"/>
              </w:rPr>
              <w:t>Request for conversion with changes outside the envelop of initial allotment supra national service area</w:t>
            </w:r>
          </w:p>
        </w:tc>
        <w:tc>
          <w:tcPr>
            <w:tcW w:w="11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E4AFB3" w14:textId="1A503B74" w:rsidR="00C74DA0" w:rsidRPr="00BF0888" w:rsidRDefault="00C74DA0" w:rsidP="00BF0888">
            <w:pPr>
              <w:pStyle w:val="Tablehead"/>
              <w:rPr>
                <w:rFonts w:eastAsia="MS Mincho"/>
              </w:rPr>
            </w:pPr>
            <w:r w:rsidRPr="00BF0888">
              <w:rPr>
                <w:rFonts w:eastAsia="MS Mincho"/>
              </w:rPr>
              <w:t>Request for additional use national service area</w:t>
            </w:r>
          </w:p>
        </w:tc>
        <w:tc>
          <w:tcPr>
            <w:tcW w:w="1446" w:type="dxa"/>
            <w:tcBorders>
              <w:top w:val="single" w:sz="4" w:space="0" w:color="auto"/>
              <w:left w:val="single" w:sz="4" w:space="0" w:color="auto"/>
              <w:bottom w:val="single" w:sz="4" w:space="0" w:color="auto"/>
              <w:right w:val="single" w:sz="4" w:space="0" w:color="auto"/>
            </w:tcBorders>
            <w:hideMark/>
          </w:tcPr>
          <w:p w14:paraId="4D354FC0" w14:textId="130596AD" w:rsidR="00C74DA0" w:rsidRPr="00BF0888" w:rsidRDefault="00C74DA0" w:rsidP="00BF0888">
            <w:pPr>
              <w:pStyle w:val="Tablehead"/>
              <w:rPr>
                <w:rFonts w:eastAsia="MS Mincho"/>
              </w:rPr>
            </w:pPr>
            <w:r w:rsidRPr="00BF0888">
              <w:rPr>
                <w:rFonts w:eastAsia="MS Mincho"/>
              </w:rPr>
              <w:t>Request for additional use, with supra national service area and global coverage*)</w:t>
            </w:r>
          </w:p>
        </w:tc>
      </w:tr>
      <w:tr w:rsidR="00C74DA0" w:rsidRPr="00BF0888" w14:paraId="1F923F16"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3BC4901" w14:textId="77777777" w:rsidR="00C74DA0" w:rsidRPr="00BF0888" w:rsidRDefault="00C74DA0" w:rsidP="00BF0888">
            <w:pPr>
              <w:pStyle w:val="Tabletext"/>
              <w:jc w:val="center"/>
              <w:rPr>
                <w:rFonts w:eastAsia="MS Mincho"/>
              </w:rPr>
            </w:pPr>
            <w:r w:rsidRPr="00BF0888">
              <w:rPr>
                <w:rFonts w:eastAsia="MS Mincho"/>
              </w:rPr>
              <w:t>1st Quarter</w:t>
            </w:r>
          </w:p>
          <w:p w14:paraId="394955EC" w14:textId="77777777" w:rsidR="00C74DA0" w:rsidRPr="00BF0888" w:rsidRDefault="00C74DA0" w:rsidP="00BF0888">
            <w:pPr>
              <w:pStyle w:val="Tabletext"/>
              <w:jc w:val="center"/>
              <w:rPr>
                <w:rFonts w:eastAsia="MS Mincho"/>
              </w:rPr>
            </w:pPr>
            <w:r w:rsidRPr="00BF0888">
              <w:rPr>
                <w:rFonts w:eastAsia="MS Mincho"/>
              </w:rPr>
              <w:t>(Jan. – March) 2019</w:t>
            </w:r>
          </w:p>
        </w:tc>
        <w:tc>
          <w:tcPr>
            <w:tcW w:w="1476" w:type="dxa"/>
            <w:tcBorders>
              <w:top w:val="single" w:sz="4" w:space="0" w:color="auto"/>
              <w:left w:val="single" w:sz="4" w:space="0" w:color="auto"/>
              <w:bottom w:val="single" w:sz="4" w:space="0" w:color="auto"/>
              <w:right w:val="single" w:sz="4" w:space="0" w:color="auto"/>
            </w:tcBorders>
            <w:vAlign w:val="center"/>
          </w:tcPr>
          <w:p w14:paraId="4D721F2B" w14:textId="77777777" w:rsidR="00C74DA0" w:rsidRPr="00BF0888" w:rsidRDefault="00C74DA0" w:rsidP="00BF0888">
            <w:pPr>
              <w:pStyle w:val="Tabletext"/>
              <w:jc w:val="center"/>
              <w:rPr>
                <w:rFonts w:eastAsia="MS Mincho"/>
                <w:b/>
                <w:bCs/>
              </w:rPr>
            </w:pPr>
            <w:r w:rsidRPr="00BF0888">
              <w:rPr>
                <w:rFonts w:eastAsia="MS Mincho"/>
                <w:b/>
                <w:bCs/>
              </w:rPr>
              <w:t>1</w:t>
            </w:r>
          </w:p>
          <w:p w14:paraId="2E2285B2" w14:textId="77777777" w:rsidR="00C74DA0" w:rsidRPr="00BF0888" w:rsidRDefault="00C74DA0" w:rsidP="00BF0888">
            <w:pPr>
              <w:pStyle w:val="Tabletext"/>
              <w:jc w:val="center"/>
              <w:rPr>
                <w:rFonts w:eastAsia="MS Mincho"/>
              </w:rPr>
            </w:pPr>
            <w:r w:rsidRPr="00BF0888">
              <w:rPr>
                <w:rFonts w:eastAsia="MS Mincho"/>
              </w:rPr>
              <w:t>(ROU)</w:t>
            </w:r>
          </w:p>
        </w:tc>
        <w:tc>
          <w:tcPr>
            <w:tcW w:w="1361" w:type="dxa"/>
            <w:tcBorders>
              <w:top w:val="single" w:sz="4" w:space="0" w:color="auto"/>
              <w:left w:val="single" w:sz="4" w:space="0" w:color="auto"/>
              <w:bottom w:val="single" w:sz="4" w:space="0" w:color="auto"/>
              <w:right w:val="single" w:sz="4" w:space="0" w:color="auto"/>
            </w:tcBorders>
            <w:vAlign w:val="center"/>
          </w:tcPr>
          <w:p w14:paraId="7D6FC5AB"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43FF2051"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2D878C2F"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4419A8DD"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276FEC32" w14:textId="77777777" w:rsidR="00C74DA0" w:rsidRPr="00BF0888" w:rsidRDefault="00C74DA0" w:rsidP="00BF0888">
            <w:pPr>
              <w:pStyle w:val="Tabletext"/>
              <w:jc w:val="center"/>
              <w:rPr>
                <w:rFonts w:eastAsia="MS Mincho"/>
                <w:b/>
                <w:bCs/>
              </w:rPr>
            </w:pPr>
            <w:r w:rsidRPr="00BF0888">
              <w:rPr>
                <w:rFonts w:eastAsia="MS Mincho"/>
                <w:b/>
                <w:bCs/>
              </w:rPr>
              <w:t>2</w:t>
            </w:r>
          </w:p>
          <w:p w14:paraId="0BC4FFB3" w14:textId="77777777" w:rsidR="00C74DA0" w:rsidRPr="00BF0888" w:rsidRDefault="00C74DA0" w:rsidP="00BF0888">
            <w:pPr>
              <w:pStyle w:val="Tabletext"/>
              <w:jc w:val="center"/>
              <w:rPr>
                <w:rFonts w:eastAsia="MS Mincho"/>
              </w:rPr>
            </w:pPr>
            <w:r w:rsidRPr="00BF0888">
              <w:rPr>
                <w:rFonts w:eastAsia="MS Mincho"/>
              </w:rPr>
              <w:t>(1 (E); 1 (F))</w:t>
            </w:r>
          </w:p>
        </w:tc>
      </w:tr>
      <w:tr w:rsidR="00C74DA0" w:rsidRPr="00BF0888" w14:paraId="010CD15F"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488AE64A" w14:textId="77777777" w:rsidR="00C74DA0" w:rsidRPr="00BF0888" w:rsidRDefault="00C74DA0" w:rsidP="00BF0888">
            <w:pPr>
              <w:pStyle w:val="Tabletext"/>
              <w:jc w:val="center"/>
              <w:rPr>
                <w:rFonts w:eastAsia="MS Mincho"/>
              </w:rPr>
            </w:pPr>
            <w:r w:rsidRPr="00BF0888">
              <w:rPr>
                <w:rFonts w:eastAsia="MS Mincho"/>
              </w:rPr>
              <w:t>2nd Quarter</w:t>
            </w:r>
          </w:p>
          <w:p w14:paraId="13B180AC" w14:textId="77777777" w:rsidR="00C74DA0" w:rsidRPr="00BF0888" w:rsidRDefault="00C74DA0" w:rsidP="00BF0888">
            <w:pPr>
              <w:pStyle w:val="Tabletext"/>
              <w:jc w:val="center"/>
              <w:rPr>
                <w:rFonts w:eastAsia="MS Mincho"/>
              </w:rPr>
            </w:pPr>
            <w:r w:rsidRPr="00BF0888">
              <w:rPr>
                <w:rFonts w:eastAsia="MS Mincho"/>
              </w:rPr>
              <w:t>(Apr. – June) 2019</w:t>
            </w:r>
          </w:p>
        </w:tc>
        <w:tc>
          <w:tcPr>
            <w:tcW w:w="1476" w:type="dxa"/>
            <w:tcBorders>
              <w:top w:val="single" w:sz="4" w:space="0" w:color="auto"/>
              <w:left w:val="single" w:sz="4" w:space="0" w:color="auto"/>
              <w:bottom w:val="single" w:sz="4" w:space="0" w:color="auto"/>
              <w:right w:val="single" w:sz="4" w:space="0" w:color="auto"/>
            </w:tcBorders>
            <w:vAlign w:val="center"/>
          </w:tcPr>
          <w:p w14:paraId="1BA20D85"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32ED6249" w14:textId="77777777" w:rsidR="00C74DA0" w:rsidRPr="00BF0888" w:rsidRDefault="00C74DA0" w:rsidP="00BF0888">
            <w:pPr>
              <w:pStyle w:val="Tabletext"/>
              <w:jc w:val="center"/>
              <w:rPr>
                <w:rFonts w:eastAsia="MS Mincho"/>
                <w:b/>
                <w:bCs/>
              </w:rPr>
            </w:pPr>
            <w:r w:rsidRPr="00BF0888">
              <w:rPr>
                <w:rFonts w:eastAsia="MS Mincho"/>
                <w:b/>
                <w:bCs/>
              </w:rPr>
              <w:t>1</w:t>
            </w:r>
          </w:p>
          <w:p w14:paraId="57E0627C" w14:textId="77777777" w:rsidR="00C74DA0" w:rsidRPr="00BF0888" w:rsidRDefault="00C74DA0" w:rsidP="00BF0888">
            <w:pPr>
              <w:pStyle w:val="Tabletext"/>
              <w:jc w:val="center"/>
              <w:rPr>
                <w:rFonts w:eastAsia="MS Mincho"/>
              </w:rPr>
            </w:pPr>
            <w:r w:rsidRPr="00BF0888">
              <w:rPr>
                <w:rFonts w:eastAsia="MS Mincho"/>
              </w:rPr>
              <w:t>(NPL)</w:t>
            </w:r>
          </w:p>
        </w:tc>
        <w:tc>
          <w:tcPr>
            <w:tcW w:w="1316" w:type="dxa"/>
            <w:tcBorders>
              <w:top w:val="single" w:sz="4" w:space="0" w:color="auto"/>
              <w:left w:val="single" w:sz="4" w:space="0" w:color="auto"/>
              <w:bottom w:val="single" w:sz="4" w:space="0" w:color="auto"/>
              <w:right w:val="single" w:sz="4" w:space="0" w:color="auto"/>
            </w:tcBorders>
            <w:vAlign w:val="center"/>
          </w:tcPr>
          <w:p w14:paraId="562F1253"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6DEEDD7"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11573C55"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5AB23995" w14:textId="77777777" w:rsidR="00C74DA0" w:rsidRPr="00BF0888" w:rsidRDefault="00C74DA0" w:rsidP="00BF0888">
            <w:pPr>
              <w:pStyle w:val="Tabletext"/>
              <w:jc w:val="center"/>
              <w:rPr>
                <w:rFonts w:eastAsia="MS Mincho"/>
                <w:b/>
                <w:bCs/>
              </w:rPr>
            </w:pPr>
            <w:r w:rsidRPr="00BF0888">
              <w:rPr>
                <w:rFonts w:eastAsia="MS Mincho"/>
                <w:b/>
                <w:bCs/>
              </w:rPr>
              <w:t>2</w:t>
            </w:r>
          </w:p>
          <w:p w14:paraId="0257E585" w14:textId="77777777" w:rsidR="00C74DA0" w:rsidRPr="00BF0888" w:rsidRDefault="00C74DA0" w:rsidP="00BF0888">
            <w:pPr>
              <w:pStyle w:val="Tabletext"/>
              <w:jc w:val="center"/>
              <w:rPr>
                <w:rFonts w:eastAsia="MS Mincho"/>
              </w:rPr>
            </w:pPr>
            <w:r w:rsidRPr="00BF0888">
              <w:rPr>
                <w:rFonts w:eastAsia="MS Mincho"/>
              </w:rPr>
              <w:t>(1 (F); 1 (TUR))</w:t>
            </w:r>
          </w:p>
        </w:tc>
      </w:tr>
      <w:tr w:rsidR="00C74DA0" w:rsidRPr="00BF0888" w14:paraId="33EB79BC"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63C8E9E0" w14:textId="77777777" w:rsidR="00C74DA0" w:rsidRPr="00BF0888" w:rsidRDefault="00C74DA0" w:rsidP="00BF0888">
            <w:pPr>
              <w:pStyle w:val="Tabletext"/>
              <w:jc w:val="center"/>
              <w:rPr>
                <w:rFonts w:eastAsia="MS Mincho"/>
              </w:rPr>
            </w:pPr>
            <w:r w:rsidRPr="00BF0888">
              <w:rPr>
                <w:rFonts w:eastAsia="MS Mincho"/>
              </w:rPr>
              <w:t>3rd Quarter</w:t>
            </w:r>
          </w:p>
          <w:p w14:paraId="2DC12856" w14:textId="77777777" w:rsidR="00C74DA0" w:rsidRPr="00BF0888" w:rsidRDefault="00C74DA0" w:rsidP="00BF0888">
            <w:pPr>
              <w:pStyle w:val="Tabletext"/>
              <w:jc w:val="center"/>
              <w:rPr>
                <w:rFonts w:eastAsia="MS Mincho"/>
              </w:rPr>
            </w:pPr>
            <w:r w:rsidRPr="00BF0888">
              <w:rPr>
                <w:rFonts w:eastAsia="MS Mincho"/>
              </w:rPr>
              <w:t>(July – Sept.) 2019</w:t>
            </w:r>
          </w:p>
        </w:tc>
        <w:tc>
          <w:tcPr>
            <w:tcW w:w="1476" w:type="dxa"/>
            <w:tcBorders>
              <w:top w:val="single" w:sz="4" w:space="0" w:color="auto"/>
              <w:left w:val="single" w:sz="4" w:space="0" w:color="auto"/>
              <w:bottom w:val="single" w:sz="4" w:space="0" w:color="auto"/>
              <w:right w:val="single" w:sz="4" w:space="0" w:color="auto"/>
            </w:tcBorders>
            <w:vAlign w:val="center"/>
          </w:tcPr>
          <w:p w14:paraId="66353C8A"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2360570C"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41F823D4"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78345E5"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321D3FC7" w14:textId="77777777" w:rsidR="00C74DA0" w:rsidRPr="00BF0888" w:rsidRDefault="00C74DA0" w:rsidP="00BF0888">
            <w:pPr>
              <w:pStyle w:val="Tabletext"/>
              <w:jc w:val="center"/>
              <w:rPr>
                <w:rFonts w:eastAsia="MS Mincho"/>
                <w:b/>
                <w:bCs/>
              </w:rPr>
            </w:pPr>
            <w:r w:rsidRPr="00BF0888">
              <w:rPr>
                <w:rFonts w:eastAsia="MS Mincho"/>
                <w:b/>
                <w:bCs/>
              </w:rPr>
              <w:t>1</w:t>
            </w:r>
          </w:p>
          <w:p w14:paraId="27248A1D" w14:textId="77777777" w:rsidR="00C74DA0" w:rsidRPr="00BF0888" w:rsidRDefault="00C74DA0" w:rsidP="00BF0888">
            <w:pPr>
              <w:pStyle w:val="Tabletext"/>
              <w:jc w:val="center"/>
              <w:rPr>
                <w:rFonts w:eastAsia="MS Mincho"/>
              </w:rPr>
            </w:pPr>
            <w:r w:rsidRPr="00BF0888">
              <w:rPr>
                <w:rFonts w:eastAsia="MS Mincho"/>
              </w:rPr>
              <w:t>(NPL)</w:t>
            </w:r>
          </w:p>
        </w:tc>
        <w:tc>
          <w:tcPr>
            <w:tcW w:w="1446" w:type="dxa"/>
            <w:tcBorders>
              <w:top w:val="single" w:sz="4" w:space="0" w:color="auto"/>
              <w:left w:val="single" w:sz="4" w:space="0" w:color="auto"/>
              <w:bottom w:val="single" w:sz="4" w:space="0" w:color="auto"/>
              <w:right w:val="single" w:sz="4" w:space="0" w:color="auto"/>
            </w:tcBorders>
            <w:vAlign w:val="center"/>
          </w:tcPr>
          <w:p w14:paraId="3FD345B0" w14:textId="77777777" w:rsidR="00C74DA0" w:rsidRPr="00BF0888" w:rsidRDefault="00C74DA0" w:rsidP="00BF0888">
            <w:pPr>
              <w:pStyle w:val="Tabletext"/>
              <w:jc w:val="center"/>
              <w:rPr>
                <w:rFonts w:eastAsia="MS Mincho"/>
                <w:b/>
                <w:bCs/>
              </w:rPr>
            </w:pPr>
            <w:r w:rsidRPr="00BF0888">
              <w:rPr>
                <w:rFonts w:eastAsia="MS Mincho"/>
                <w:b/>
                <w:bCs/>
              </w:rPr>
              <w:t>3</w:t>
            </w:r>
          </w:p>
          <w:p w14:paraId="272551E6" w14:textId="77777777" w:rsidR="00C74DA0" w:rsidRPr="00BF0888" w:rsidRDefault="00C74DA0" w:rsidP="00BF0888">
            <w:pPr>
              <w:pStyle w:val="Tabletext"/>
              <w:jc w:val="center"/>
              <w:rPr>
                <w:rFonts w:eastAsia="MS Mincho"/>
              </w:rPr>
            </w:pPr>
            <w:r w:rsidRPr="00BF0888">
              <w:rPr>
                <w:rFonts w:eastAsia="MS Mincho"/>
              </w:rPr>
              <w:t>(2 (CHN</w:t>
            </w:r>
            <w:proofErr w:type="gramStart"/>
            <w:r w:rsidRPr="00BF0888">
              <w:rPr>
                <w:rFonts w:eastAsia="MS Mincho"/>
              </w:rPr>
              <w:t>);</w:t>
            </w:r>
            <w:proofErr w:type="gramEnd"/>
          </w:p>
          <w:p w14:paraId="5DC399AD" w14:textId="77777777" w:rsidR="00C74DA0" w:rsidRPr="00BF0888" w:rsidRDefault="00C74DA0" w:rsidP="00BF0888">
            <w:pPr>
              <w:pStyle w:val="Tabletext"/>
              <w:jc w:val="center"/>
              <w:rPr>
                <w:rFonts w:eastAsia="MS Mincho"/>
              </w:rPr>
            </w:pPr>
            <w:r w:rsidRPr="00BF0888">
              <w:rPr>
                <w:rFonts w:eastAsia="MS Mincho"/>
              </w:rPr>
              <w:t>1 (E))</w:t>
            </w:r>
          </w:p>
        </w:tc>
      </w:tr>
      <w:tr w:rsidR="00C74DA0" w:rsidRPr="00BF0888" w14:paraId="573B0A3E"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6BA9ECBF" w14:textId="77777777" w:rsidR="00C74DA0" w:rsidRPr="00BF0888" w:rsidRDefault="00C74DA0" w:rsidP="00BF0888">
            <w:pPr>
              <w:pStyle w:val="Tabletext"/>
              <w:jc w:val="center"/>
              <w:rPr>
                <w:rFonts w:eastAsia="MS Mincho"/>
              </w:rPr>
            </w:pPr>
            <w:r w:rsidRPr="00BF0888">
              <w:rPr>
                <w:rFonts w:eastAsia="MS Mincho"/>
              </w:rPr>
              <w:t>4th Quarter</w:t>
            </w:r>
          </w:p>
          <w:p w14:paraId="70EC5837" w14:textId="77777777" w:rsidR="00C74DA0" w:rsidRPr="00BF0888" w:rsidRDefault="00C74DA0" w:rsidP="00BF0888">
            <w:pPr>
              <w:pStyle w:val="Tabletext"/>
              <w:jc w:val="center"/>
              <w:rPr>
                <w:rFonts w:eastAsia="MS Mincho"/>
              </w:rPr>
            </w:pPr>
            <w:r w:rsidRPr="00BF0888">
              <w:rPr>
                <w:rFonts w:eastAsia="MS Mincho"/>
              </w:rPr>
              <w:t>(Oct. – Dec.) 2019</w:t>
            </w:r>
          </w:p>
        </w:tc>
        <w:tc>
          <w:tcPr>
            <w:tcW w:w="1476" w:type="dxa"/>
            <w:tcBorders>
              <w:top w:val="single" w:sz="4" w:space="0" w:color="auto"/>
              <w:left w:val="single" w:sz="4" w:space="0" w:color="auto"/>
              <w:bottom w:val="single" w:sz="4" w:space="0" w:color="auto"/>
              <w:right w:val="single" w:sz="4" w:space="0" w:color="auto"/>
            </w:tcBorders>
            <w:vAlign w:val="center"/>
          </w:tcPr>
          <w:p w14:paraId="3601277F"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6555142B"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0BF39815"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1B1E04AB"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69A5DFF2"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1B8D403A" w14:textId="77777777" w:rsidR="00C74DA0" w:rsidRPr="004B7D32" w:rsidRDefault="00C74DA0" w:rsidP="00BF0888">
            <w:pPr>
              <w:pStyle w:val="Tabletext"/>
              <w:jc w:val="center"/>
              <w:rPr>
                <w:rFonts w:eastAsia="MS Mincho"/>
                <w:b/>
                <w:lang w:val="pt-BR"/>
              </w:rPr>
            </w:pPr>
            <w:r w:rsidRPr="004B7D32">
              <w:rPr>
                <w:rFonts w:eastAsia="MS Mincho"/>
                <w:b/>
                <w:lang w:val="pt-BR"/>
              </w:rPr>
              <w:t>16</w:t>
            </w:r>
          </w:p>
          <w:p w14:paraId="14E5A779" w14:textId="587233E7" w:rsidR="00C74DA0" w:rsidRPr="004B7D32" w:rsidRDefault="00C74DA0" w:rsidP="00BF0888">
            <w:pPr>
              <w:pStyle w:val="Tabletext"/>
              <w:jc w:val="center"/>
              <w:rPr>
                <w:rFonts w:eastAsia="MS Mincho"/>
                <w:lang w:val="pt-BR"/>
              </w:rPr>
            </w:pPr>
            <w:r w:rsidRPr="004B7D32">
              <w:rPr>
                <w:rFonts w:eastAsia="MS Mincho"/>
                <w:lang w:val="pt-BR"/>
              </w:rPr>
              <w:t>(2 (D); 1 (E);    1 (HOL);</w:t>
            </w:r>
          </w:p>
          <w:p w14:paraId="49567B7D" w14:textId="303E0294" w:rsidR="00C74DA0" w:rsidRPr="004B7D32" w:rsidRDefault="00C74DA0" w:rsidP="00BF0888">
            <w:pPr>
              <w:pStyle w:val="Tabletext"/>
              <w:jc w:val="center"/>
              <w:rPr>
                <w:rFonts w:eastAsia="MS Mincho"/>
                <w:lang w:val="pt-BR"/>
              </w:rPr>
            </w:pPr>
            <w:r w:rsidRPr="004B7D32">
              <w:rPr>
                <w:rFonts w:eastAsia="MS Mincho"/>
                <w:lang w:val="pt-BR"/>
              </w:rPr>
              <w:t>2 (IRN);</w:t>
            </w:r>
          </w:p>
          <w:p w14:paraId="15CC3C89" w14:textId="77777777" w:rsidR="00C74DA0" w:rsidRPr="004B7D32" w:rsidRDefault="00C74DA0" w:rsidP="00BF0888">
            <w:pPr>
              <w:pStyle w:val="Tabletext"/>
              <w:jc w:val="center"/>
              <w:rPr>
                <w:rFonts w:eastAsia="MS Mincho"/>
                <w:lang w:val="pt-BR"/>
              </w:rPr>
            </w:pPr>
            <w:r w:rsidRPr="004B7D32">
              <w:rPr>
                <w:rFonts w:eastAsia="MS Mincho"/>
                <w:lang w:val="pt-BR"/>
              </w:rPr>
              <w:t>2 (PNG); 8 (S))</w:t>
            </w:r>
          </w:p>
        </w:tc>
      </w:tr>
      <w:tr w:rsidR="00C74DA0" w:rsidRPr="00BF0888" w14:paraId="75B33E11"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F04C864" w14:textId="77777777" w:rsidR="00C74DA0" w:rsidRPr="00BF0888" w:rsidRDefault="00C74DA0" w:rsidP="00BF0888">
            <w:pPr>
              <w:pStyle w:val="Tabletext"/>
              <w:jc w:val="center"/>
              <w:rPr>
                <w:rFonts w:eastAsia="MS Mincho"/>
              </w:rPr>
            </w:pPr>
            <w:r w:rsidRPr="00BF0888">
              <w:rPr>
                <w:rFonts w:eastAsia="MS Mincho"/>
              </w:rPr>
              <w:t>1st Quarter</w:t>
            </w:r>
          </w:p>
          <w:p w14:paraId="45884BF7" w14:textId="77777777" w:rsidR="00C74DA0" w:rsidRPr="00BF0888" w:rsidRDefault="00C74DA0" w:rsidP="00BF0888">
            <w:pPr>
              <w:pStyle w:val="Tabletext"/>
              <w:jc w:val="center"/>
              <w:rPr>
                <w:rFonts w:eastAsia="MS Mincho"/>
              </w:rPr>
            </w:pPr>
            <w:r w:rsidRPr="00BF0888">
              <w:rPr>
                <w:rFonts w:eastAsia="MS Mincho"/>
              </w:rPr>
              <w:t>(Jan. – March) 2020</w:t>
            </w:r>
          </w:p>
        </w:tc>
        <w:tc>
          <w:tcPr>
            <w:tcW w:w="1476" w:type="dxa"/>
            <w:tcBorders>
              <w:top w:val="single" w:sz="4" w:space="0" w:color="auto"/>
              <w:left w:val="single" w:sz="4" w:space="0" w:color="auto"/>
              <w:bottom w:val="single" w:sz="4" w:space="0" w:color="auto"/>
              <w:right w:val="single" w:sz="4" w:space="0" w:color="auto"/>
            </w:tcBorders>
            <w:vAlign w:val="center"/>
          </w:tcPr>
          <w:p w14:paraId="18D71FF2" w14:textId="77777777" w:rsidR="00C74DA0" w:rsidRPr="00BF0888" w:rsidRDefault="00C74DA0" w:rsidP="00BF0888">
            <w:pPr>
              <w:pStyle w:val="Tabletext"/>
              <w:jc w:val="center"/>
              <w:rPr>
                <w:rFonts w:eastAsia="MS Mincho"/>
              </w:rPr>
            </w:pPr>
            <w:r w:rsidRPr="00BF0888">
              <w:rPr>
                <w:rFonts w:eastAsia="MS Mincho"/>
                <w:b/>
                <w:bCs/>
              </w:rPr>
              <w:t>1</w:t>
            </w:r>
            <w:r w:rsidRPr="00BF0888">
              <w:rPr>
                <w:rFonts w:eastAsia="MS Mincho"/>
              </w:rPr>
              <w:t xml:space="preserve"> **)</w:t>
            </w:r>
          </w:p>
          <w:p w14:paraId="0FF138E5" w14:textId="77777777" w:rsidR="00C74DA0" w:rsidRPr="00BF0888" w:rsidRDefault="00C74DA0" w:rsidP="00BF0888">
            <w:pPr>
              <w:pStyle w:val="Tabletext"/>
              <w:jc w:val="center"/>
              <w:rPr>
                <w:rFonts w:eastAsia="MS Mincho"/>
              </w:rPr>
            </w:pPr>
            <w:r w:rsidRPr="00BF0888">
              <w:rPr>
                <w:rFonts w:eastAsia="MS Mincho"/>
              </w:rPr>
              <w:t>(SRB)</w:t>
            </w:r>
          </w:p>
        </w:tc>
        <w:tc>
          <w:tcPr>
            <w:tcW w:w="1361" w:type="dxa"/>
            <w:tcBorders>
              <w:top w:val="single" w:sz="4" w:space="0" w:color="auto"/>
              <w:left w:val="single" w:sz="4" w:space="0" w:color="auto"/>
              <w:bottom w:val="single" w:sz="4" w:space="0" w:color="auto"/>
              <w:right w:val="single" w:sz="4" w:space="0" w:color="auto"/>
            </w:tcBorders>
            <w:vAlign w:val="center"/>
          </w:tcPr>
          <w:p w14:paraId="34206296"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972F393"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29F73B80"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0CB262F6" w14:textId="77777777" w:rsidR="00C74DA0" w:rsidRPr="00BF0888" w:rsidRDefault="00C74DA0" w:rsidP="00BF0888">
            <w:pPr>
              <w:pStyle w:val="Tabletext"/>
              <w:jc w:val="center"/>
              <w:rPr>
                <w:rFonts w:eastAsia="MS Mincho"/>
                <w:b/>
                <w:bCs/>
              </w:rPr>
            </w:pPr>
            <w:r w:rsidRPr="00BF0888">
              <w:rPr>
                <w:rFonts w:eastAsia="MS Mincho"/>
                <w:b/>
                <w:bCs/>
              </w:rPr>
              <w:t>2</w:t>
            </w:r>
          </w:p>
          <w:p w14:paraId="328B3975" w14:textId="77777777" w:rsidR="00C74DA0" w:rsidRPr="00BF0888" w:rsidRDefault="00C74DA0" w:rsidP="00BF0888">
            <w:pPr>
              <w:pStyle w:val="Tabletext"/>
              <w:jc w:val="center"/>
              <w:rPr>
                <w:rFonts w:eastAsia="MS Mincho"/>
              </w:rPr>
            </w:pPr>
            <w:r w:rsidRPr="00BF0888">
              <w:rPr>
                <w:rFonts w:eastAsia="MS Mincho"/>
              </w:rPr>
              <w:t>(IND)</w:t>
            </w:r>
          </w:p>
        </w:tc>
        <w:tc>
          <w:tcPr>
            <w:tcW w:w="1446" w:type="dxa"/>
            <w:tcBorders>
              <w:top w:val="single" w:sz="4" w:space="0" w:color="auto"/>
              <w:left w:val="single" w:sz="4" w:space="0" w:color="auto"/>
              <w:bottom w:val="single" w:sz="4" w:space="0" w:color="auto"/>
              <w:right w:val="single" w:sz="4" w:space="0" w:color="auto"/>
            </w:tcBorders>
            <w:vAlign w:val="center"/>
          </w:tcPr>
          <w:p w14:paraId="2227F8ED" w14:textId="77777777" w:rsidR="00C74DA0" w:rsidRPr="00BF0888" w:rsidRDefault="00C74DA0" w:rsidP="00BF0888">
            <w:pPr>
              <w:pStyle w:val="Tabletext"/>
              <w:jc w:val="center"/>
              <w:rPr>
                <w:rFonts w:eastAsia="MS Mincho"/>
                <w:b/>
                <w:bCs/>
              </w:rPr>
            </w:pPr>
            <w:r w:rsidRPr="00BF0888">
              <w:rPr>
                <w:rFonts w:eastAsia="MS Mincho"/>
                <w:b/>
                <w:bCs/>
              </w:rPr>
              <w:t>9</w:t>
            </w:r>
          </w:p>
          <w:p w14:paraId="72855125" w14:textId="55F5C38D" w:rsidR="00C74DA0" w:rsidRPr="00BF0888" w:rsidRDefault="00C74DA0" w:rsidP="00BF0888">
            <w:pPr>
              <w:pStyle w:val="Tabletext"/>
              <w:jc w:val="center"/>
              <w:rPr>
                <w:rFonts w:eastAsia="MS Mincho"/>
              </w:rPr>
            </w:pPr>
            <w:r w:rsidRPr="00BF0888">
              <w:rPr>
                <w:rFonts w:eastAsia="MS Mincho"/>
              </w:rPr>
              <w:t>(5 (CHN</w:t>
            </w:r>
            <w:proofErr w:type="gramStart"/>
            <w:r w:rsidRPr="00BF0888">
              <w:rPr>
                <w:rFonts w:eastAsia="MS Mincho"/>
              </w:rPr>
              <w:t>);</w:t>
            </w:r>
            <w:proofErr w:type="gramEnd"/>
          </w:p>
          <w:p w14:paraId="7F86E95B" w14:textId="77777777" w:rsidR="00C74DA0" w:rsidRPr="00BF0888" w:rsidRDefault="00C74DA0" w:rsidP="00BF0888">
            <w:pPr>
              <w:pStyle w:val="Tabletext"/>
              <w:jc w:val="center"/>
              <w:rPr>
                <w:rFonts w:eastAsia="MS Mincho"/>
              </w:rPr>
            </w:pPr>
            <w:r w:rsidRPr="00BF0888">
              <w:rPr>
                <w:rFonts w:eastAsia="MS Mincho"/>
              </w:rPr>
              <w:t>3 (F); 1 (MLA))</w:t>
            </w:r>
          </w:p>
        </w:tc>
      </w:tr>
      <w:tr w:rsidR="00C74DA0" w:rsidRPr="00036EB4" w14:paraId="4FE31015"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786115AC" w14:textId="77777777" w:rsidR="00C74DA0" w:rsidRPr="00BF0888" w:rsidRDefault="00C74DA0" w:rsidP="00BF0888">
            <w:pPr>
              <w:pStyle w:val="Tabletext"/>
              <w:jc w:val="center"/>
              <w:rPr>
                <w:rFonts w:eastAsia="MS Mincho"/>
              </w:rPr>
            </w:pPr>
            <w:r w:rsidRPr="00BF0888">
              <w:rPr>
                <w:rFonts w:eastAsia="MS Mincho"/>
              </w:rPr>
              <w:t>2nd Quarter</w:t>
            </w:r>
          </w:p>
          <w:p w14:paraId="3F895F4C" w14:textId="77777777" w:rsidR="00C74DA0" w:rsidRPr="00BF0888" w:rsidRDefault="00C74DA0" w:rsidP="00BF0888">
            <w:pPr>
              <w:pStyle w:val="Tabletext"/>
              <w:jc w:val="center"/>
              <w:rPr>
                <w:rFonts w:eastAsia="MS Mincho"/>
              </w:rPr>
            </w:pPr>
            <w:r w:rsidRPr="00BF0888">
              <w:rPr>
                <w:rFonts w:eastAsia="MS Mincho"/>
              </w:rPr>
              <w:t>(Apr. – June) 2020</w:t>
            </w:r>
          </w:p>
        </w:tc>
        <w:tc>
          <w:tcPr>
            <w:tcW w:w="1476" w:type="dxa"/>
            <w:tcBorders>
              <w:top w:val="single" w:sz="4" w:space="0" w:color="auto"/>
              <w:left w:val="single" w:sz="4" w:space="0" w:color="auto"/>
              <w:bottom w:val="single" w:sz="4" w:space="0" w:color="auto"/>
              <w:right w:val="single" w:sz="4" w:space="0" w:color="auto"/>
            </w:tcBorders>
            <w:vAlign w:val="center"/>
          </w:tcPr>
          <w:p w14:paraId="1419AB2C" w14:textId="77777777" w:rsidR="00C74DA0" w:rsidRPr="00BF0888" w:rsidRDefault="00C74DA0" w:rsidP="00BF0888">
            <w:pPr>
              <w:pStyle w:val="Tabletext"/>
              <w:jc w:val="center"/>
              <w:rPr>
                <w:rFonts w:eastAsia="MS Mincho"/>
              </w:rPr>
            </w:pPr>
            <w:r w:rsidRPr="00BF0888">
              <w:rPr>
                <w:rFonts w:eastAsia="MS Mincho"/>
                <w:b/>
                <w:bCs/>
              </w:rPr>
              <w:t>6</w:t>
            </w:r>
            <w:r w:rsidRPr="00BF0888">
              <w:rPr>
                <w:rFonts w:eastAsia="MS Mincho"/>
              </w:rPr>
              <w:t xml:space="preserve"> **)</w:t>
            </w:r>
          </w:p>
          <w:p w14:paraId="37C8722E" w14:textId="77777777" w:rsidR="00C74DA0" w:rsidRPr="00BF0888" w:rsidRDefault="00C74DA0" w:rsidP="00BF0888">
            <w:pPr>
              <w:pStyle w:val="Tabletext"/>
              <w:jc w:val="center"/>
              <w:rPr>
                <w:rFonts w:eastAsia="MS Mincho"/>
              </w:rPr>
            </w:pPr>
            <w:r w:rsidRPr="00BF0888">
              <w:rPr>
                <w:rFonts w:eastAsia="MS Mincho"/>
              </w:rPr>
              <w:t>(MKD; BIH; MDA; SSD; GEO; HRV)</w:t>
            </w:r>
          </w:p>
        </w:tc>
        <w:tc>
          <w:tcPr>
            <w:tcW w:w="1361" w:type="dxa"/>
            <w:tcBorders>
              <w:top w:val="single" w:sz="4" w:space="0" w:color="auto"/>
              <w:left w:val="single" w:sz="4" w:space="0" w:color="auto"/>
              <w:bottom w:val="single" w:sz="4" w:space="0" w:color="auto"/>
              <w:right w:val="single" w:sz="4" w:space="0" w:color="auto"/>
            </w:tcBorders>
            <w:vAlign w:val="center"/>
          </w:tcPr>
          <w:p w14:paraId="1FD11539" w14:textId="77777777" w:rsidR="00C74DA0" w:rsidRPr="00B35D7C" w:rsidRDefault="00C74DA0" w:rsidP="00BF0888">
            <w:pPr>
              <w:pStyle w:val="Tabletext"/>
              <w:jc w:val="center"/>
              <w:rPr>
                <w:rFonts w:eastAsia="MS Mincho"/>
                <w:b/>
                <w:bCs/>
              </w:rPr>
            </w:pPr>
            <w:r w:rsidRPr="00B35D7C">
              <w:rPr>
                <w:rFonts w:eastAsia="MS Mincho"/>
                <w:b/>
                <w:bCs/>
              </w:rPr>
              <w:t>1</w:t>
            </w:r>
          </w:p>
          <w:p w14:paraId="3327DC43" w14:textId="77777777" w:rsidR="00C74DA0" w:rsidRPr="00BF0888" w:rsidRDefault="00C74DA0" w:rsidP="00BF0888">
            <w:pPr>
              <w:pStyle w:val="Tabletext"/>
              <w:jc w:val="center"/>
              <w:rPr>
                <w:rFonts w:eastAsia="MS Mincho"/>
              </w:rPr>
            </w:pPr>
            <w:r w:rsidRPr="00BF0888">
              <w:rPr>
                <w:rFonts w:eastAsia="MS Mincho"/>
              </w:rPr>
              <w:t>(PAK)</w:t>
            </w:r>
          </w:p>
        </w:tc>
        <w:tc>
          <w:tcPr>
            <w:tcW w:w="1316" w:type="dxa"/>
            <w:tcBorders>
              <w:top w:val="single" w:sz="4" w:space="0" w:color="auto"/>
              <w:left w:val="single" w:sz="4" w:space="0" w:color="auto"/>
              <w:bottom w:val="single" w:sz="4" w:space="0" w:color="auto"/>
              <w:right w:val="single" w:sz="4" w:space="0" w:color="auto"/>
            </w:tcBorders>
            <w:vAlign w:val="center"/>
          </w:tcPr>
          <w:p w14:paraId="1B39C4CB"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123F5A0B"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236E179D"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518C9DAD" w14:textId="77777777" w:rsidR="00C74DA0" w:rsidRPr="004B7D32" w:rsidRDefault="00C74DA0" w:rsidP="00BF0888">
            <w:pPr>
              <w:pStyle w:val="Tabletext"/>
              <w:jc w:val="center"/>
              <w:rPr>
                <w:rFonts w:eastAsia="MS Mincho"/>
                <w:b/>
                <w:lang w:val="pt-BR"/>
              </w:rPr>
            </w:pPr>
            <w:r w:rsidRPr="004B7D32">
              <w:rPr>
                <w:rFonts w:eastAsia="MS Mincho"/>
                <w:b/>
                <w:lang w:val="pt-BR"/>
              </w:rPr>
              <w:t>5</w:t>
            </w:r>
          </w:p>
          <w:p w14:paraId="1A89E62B" w14:textId="505BE59E" w:rsidR="00C74DA0" w:rsidRPr="004B7D32" w:rsidRDefault="00C74DA0" w:rsidP="00BF0888">
            <w:pPr>
              <w:pStyle w:val="Tabletext"/>
              <w:jc w:val="center"/>
              <w:rPr>
                <w:rFonts w:eastAsia="MS Mincho"/>
                <w:lang w:val="pt-BR"/>
              </w:rPr>
            </w:pPr>
            <w:r w:rsidRPr="004B7D32">
              <w:rPr>
                <w:rFonts w:eastAsia="MS Mincho"/>
                <w:lang w:val="pt-BR"/>
              </w:rPr>
              <w:t>(1 (CHN);</w:t>
            </w:r>
          </w:p>
          <w:p w14:paraId="374FBDD0" w14:textId="7084BFBA" w:rsidR="00C74DA0" w:rsidRPr="004B7D32" w:rsidRDefault="00C74DA0" w:rsidP="00BF0888">
            <w:pPr>
              <w:pStyle w:val="Tabletext"/>
              <w:jc w:val="center"/>
              <w:rPr>
                <w:rFonts w:eastAsia="MS Mincho"/>
                <w:lang w:val="pt-BR"/>
              </w:rPr>
            </w:pPr>
            <w:r w:rsidRPr="004B7D32">
              <w:rPr>
                <w:rFonts w:eastAsia="MS Mincho"/>
                <w:lang w:val="pt-BR"/>
              </w:rPr>
              <w:t>1 (E); 1 (F);</w:t>
            </w:r>
          </w:p>
          <w:p w14:paraId="0931A544" w14:textId="2FBC40E7" w:rsidR="00C74DA0" w:rsidRPr="004B7D32" w:rsidRDefault="00C74DA0" w:rsidP="00BF0888">
            <w:pPr>
              <w:pStyle w:val="Tabletext"/>
              <w:jc w:val="center"/>
              <w:rPr>
                <w:rFonts w:eastAsia="MS Mincho"/>
                <w:lang w:val="pt-BR"/>
              </w:rPr>
            </w:pPr>
            <w:r w:rsidRPr="004B7D32">
              <w:rPr>
                <w:rFonts w:eastAsia="MS Mincho"/>
                <w:lang w:val="pt-BR"/>
              </w:rPr>
              <w:t>1 (ISR);</w:t>
            </w:r>
          </w:p>
          <w:p w14:paraId="509DC6DE" w14:textId="77777777" w:rsidR="00C74DA0" w:rsidRPr="004B7D32" w:rsidRDefault="00C74DA0" w:rsidP="00BF0888">
            <w:pPr>
              <w:pStyle w:val="Tabletext"/>
              <w:jc w:val="center"/>
              <w:rPr>
                <w:rFonts w:eastAsia="MS Mincho"/>
                <w:lang w:val="pt-BR"/>
              </w:rPr>
            </w:pPr>
            <w:r w:rsidRPr="004B7D32">
              <w:rPr>
                <w:rFonts w:eastAsia="MS Mincho"/>
                <w:lang w:val="pt-BR"/>
              </w:rPr>
              <w:t>1 (LUX))</w:t>
            </w:r>
          </w:p>
        </w:tc>
      </w:tr>
      <w:tr w:rsidR="00C74DA0" w:rsidRPr="00BF0888" w14:paraId="51B87023"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54ECE2E0" w14:textId="77777777" w:rsidR="00C74DA0" w:rsidRPr="00BF0888" w:rsidRDefault="00C74DA0" w:rsidP="00BF0888">
            <w:pPr>
              <w:pStyle w:val="Tabletext"/>
              <w:jc w:val="center"/>
              <w:rPr>
                <w:rFonts w:eastAsia="MS Mincho"/>
              </w:rPr>
            </w:pPr>
            <w:r w:rsidRPr="00BF0888">
              <w:rPr>
                <w:rFonts w:eastAsia="MS Mincho"/>
              </w:rPr>
              <w:t>3rd Quarter</w:t>
            </w:r>
          </w:p>
          <w:p w14:paraId="1EC87EC6" w14:textId="77777777" w:rsidR="00C74DA0" w:rsidRPr="00BF0888" w:rsidRDefault="00C74DA0" w:rsidP="00BF0888">
            <w:pPr>
              <w:pStyle w:val="Tabletext"/>
              <w:jc w:val="center"/>
              <w:rPr>
                <w:rFonts w:eastAsia="MS Mincho"/>
              </w:rPr>
            </w:pPr>
            <w:r w:rsidRPr="00BF0888">
              <w:rPr>
                <w:rFonts w:eastAsia="MS Mincho"/>
              </w:rPr>
              <w:t>(July – Sept.) 2020</w:t>
            </w:r>
          </w:p>
        </w:tc>
        <w:tc>
          <w:tcPr>
            <w:tcW w:w="1476" w:type="dxa"/>
            <w:tcBorders>
              <w:top w:val="single" w:sz="4" w:space="0" w:color="auto"/>
              <w:left w:val="single" w:sz="4" w:space="0" w:color="auto"/>
              <w:bottom w:val="single" w:sz="4" w:space="0" w:color="auto"/>
              <w:right w:val="single" w:sz="4" w:space="0" w:color="auto"/>
            </w:tcBorders>
            <w:vAlign w:val="center"/>
          </w:tcPr>
          <w:p w14:paraId="0CB42BC7"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77002D75"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CDCDC3C"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1FF9D805"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4EE0F2B6"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26CC011E" w14:textId="77777777" w:rsidR="00C74DA0" w:rsidRPr="00BF0888" w:rsidRDefault="00C74DA0" w:rsidP="00BF0888">
            <w:pPr>
              <w:pStyle w:val="Tabletext"/>
              <w:jc w:val="center"/>
              <w:rPr>
                <w:rFonts w:eastAsia="MS Mincho"/>
                <w:b/>
                <w:bCs/>
              </w:rPr>
            </w:pPr>
            <w:r w:rsidRPr="00BF0888">
              <w:rPr>
                <w:rFonts w:eastAsia="MS Mincho"/>
                <w:b/>
                <w:bCs/>
              </w:rPr>
              <w:t>11</w:t>
            </w:r>
          </w:p>
          <w:p w14:paraId="7B539CEF" w14:textId="77777777" w:rsidR="00C74DA0" w:rsidRPr="00BF0888" w:rsidRDefault="00C74DA0" w:rsidP="00BF0888">
            <w:pPr>
              <w:pStyle w:val="Tabletext"/>
              <w:jc w:val="center"/>
              <w:rPr>
                <w:rFonts w:eastAsia="MS Mincho"/>
              </w:rPr>
            </w:pPr>
            <w:r w:rsidRPr="00BF0888">
              <w:rPr>
                <w:rFonts w:eastAsia="MS Mincho"/>
              </w:rPr>
              <w:t>(1 (D); F (10))</w:t>
            </w:r>
          </w:p>
        </w:tc>
      </w:tr>
      <w:tr w:rsidR="00C74DA0" w:rsidRPr="00BF0888" w14:paraId="7CD32ADC"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2BB2DD89" w14:textId="77777777" w:rsidR="00C74DA0" w:rsidRPr="00BF0888" w:rsidRDefault="00C74DA0" w:rsidP="00BF0888">
            <w:pPr>
              <w:pStyle w:val="Tabletext"/>
              <w:jc w:val="center"/>
              <w:rPr>
                <w:rFonts w:eastAsia="MS Mincho"/>
              </w:rPr>
            </w:pPr>
            <w:r w:rsidRPr="00BF0888">
              <w:rPr>
                <w:rFonts w:eastAsia="MS Mincho"/>
              </w:rPr>
              <w:t>4th Quarter</w:t>
            </w:r>
          </w:p>
          <w:p w14:paraId="07E99D0D" w14:textId="77777777" w:rsidR="00C74DA0" w:rsidRPr="00BF0888" w:rsidRDefault="00C74DA0" w:rsidP="00BF0888">
            <w:pPr>
              <w:pStyle w:val="Tabletext"/>
              <w:jc w:val="center"/>
              <w:rPr>
                <w:rFonts w:eastAsia="MS Mincho"/>
              </w:rPr>
            </w:pPr>
            <w:r w:rsidRPr="00BF0888">
              <w:rPr>
                <w:rFonts w:eastAsia="MS Mincho"/>
              </w:rPr>
              <w:t>(Oct. – Dec.) 2020</w:t>
            </w:r>
          </w:p>
        </w:tc>
        <w:tc>
          <w:tcPr>
            <w:tcW w:w="1476" w:type="dxa"/>
            <w:tcBorders>
              <w:top w:val="single" w:sz="4" w:space="0" w:color="auto"/>
              <w:left w:val="single" w:sz="4" w:space="0" w:color="auto"/>
              <w:bottom w:val="single" w:sz="4" w:space="0" w:color="auto"/>
              <w:right w:val="single" w:sz="4" w:space="0" w:color="auto"/>
            </w:tcBorders>
            <w:vAlign w:val="center"/>
          </w:tcPr>
          <w:p w14:paraId="283AABC1"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6DDBCF25" w14:textId="77777777" w:rsidR="00C74DA0" w:rsidRPr="00BF0888" w:rsidRDefault="00C74DA0" w:rsidP="00BF0888">
            <w:pPr>
              <w:pStyle w:val="Tabletext"/>
              <w:jc w:val="center"/>
              <w:rPr>
                <w:rFonts w:eastAsia="MS Mincho"/>
                <w:b/>
                <w:bCs/>
              </w:rPr>
            </w:pPr>
            <w:r w:rsidRPr="00BF0888">
              <w:rPr>
                <w:rFonts w:eastAsia="MS Mincho"/>
                <w:b/>
                <w:bCs/>
              </w:rPr>
              <w:t>1</w:t>
            </w:r>
          </w:p>
          <w:p w14:paraId="24A6BBF3" w14:textId="77777777" w:rsidR="00C74DA0" w:rsidRPr="00BF0888" w:rsidRDefault="00C74DA0" w:rsidP="00BF0888">
            <w:pPr>
              <w:pStyle w:val="Tabletext"/>
              <w:jc w:val="center"/>
              <w:rPr>
                <w:rFonts w:eastAsia="MS Mincho"/>
              </w:rPr>
            </w:pPr>
            <w:r w:rsidRPr="00BF0888">
              <w:rPr>
                <w:rFonts w:eastAsia="MS Mincho"/>
              </w:rPr>
              <w:t>(KOR)</w:t>
            </w:r>
          </w:p>
        </w:tc>
        <w:tc>
          <w:tcPr>
            <w:tcW w:w="1316" w:type="dxa"/>
            <w:tcBorders>
              <w:top w:val="single" w:sz="4" w:space="0" w:color="auto"/>
              <w:left w:val="single" w:sz="4" w:space="0" w:color="auto"/>
              <w:bottom w:val="single" w:sz="4" w:space="0" w:color="auto"/>
              <w:right w:val="single" w:sz="4" w:space="0" w:color="auto"/>
            </w:tcBorders>
            <w:vAlign w:val="center"/>
          </w:tcPr>
          <w:p w14:paraId="2B851658"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2BB7093C"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27E9FF6A" w14:textId="77777777" w:rsidR="00C74DA0" w:rsidRPr="00BF0888" w:rsidRDefault="00C74DA0" w:rsidP="00BF0888">
            <w:pPr>
              <w:pStyle w:val="Tabletext"/>
              <w:jc w:val="center"/>
              <w:rPr>
                <w:rFonts w:eastAsia="MS Mincho"/>
              </w:rPr>
            </w:pPr>
            <w:r w:rsidRPr="00BF0888">
              <w:rPr>
                <w:rFonts w:eastAsia="MS Mincho"/>
              </w:rPr>
              <w:t>1</w:t>
            </w:r>
          </w:p>
          <w:p w14:paraId="56F85D53" w14:textId="77777777" w:rsidR="00C74DA0" w:rsidRPr="00BF0888" w:rsidRDefault="00C74DA0" w:rsidP="00BF0888">
            <w:pPr>
              <w:pStyle w:val="Tabletext"/>
              <w:jc w:val="center"/>
              <w:rPr>
                <w:rFonts w:eastAsia="MS Mincho"/>
              </w:rPr>
            </w:pPr>
            <w:r w:rsidRPr="00BF0888">
              <w:rPr>
                <w:rFonts w:eastAsia="MS Mincho"/>
              </w:rPr>
              <w:t>(KOR)</w:t>
            </w:r>
          </w:p>
        </w:tc>
        <w:tc>
          <w:tcPr>
            <w:tcW w:w="1446" w:type="dxa"/>
            <w:tcBorders>
              <w:top w:val="single" w:sz="4" w:space="0" w:color="auto"/>
              <w:left w:val="single" w:sz="4" w:space="0" w:color="auto"/>
              <w:bottom w:val="single" w:sz="4" w:space="0" w:color="auto"/>
              <w:right w:val="single" w:sz="4" w:space="0" w:color="auto"/>
            </w:tcBorders>
            <w:vAlign w:val="center"/>
          </w:tcPr>
          <w:p w14:paraId="11210E80" w14:textId="77777777" w:rsidR="00C74DA0" w:rsidRPr="00BF0888" w:rsidRDefault="00C74DA0" w:rsidP="00BF0888">
            <w:pPr>
              <w:pStyle w:val="Tabletext"/>
              <w:jc w:val="center"/>
              <w:rPr>
                <w:rFonts w:eastAsia="MS Mincho"/>
                <w:b/>
                <w:bCs/>
              </w:rPr>
            </w:pPr>
            <w:r w:rsidRPr="00BF0888">
              <w:rPr>
                <w:rFonts w:eastAsia="MS Mincho"/>
                <w:b/>
                <w:bCs/>
              </w:rPr>
              <w:t>2</w:t>
            </w:r>
          </w:p>
          <w:p w14:paraId="3C35F3B5" w14:textId="77777777" w:rsidR="00C74DA0" w:rsidRPr="00BF0888" w:rsidRDefault="00C74DA0" w:rsidP="00BF0888">
            <w:pPr>
              <w:pStyle w:val="Tabletext"/>
              <w:jc w:val="center"/>
              <w:rPr>
                <w:rFonts w:eastAsia="MS Mincho"/>
              </w:rPr>
            </w:pPr>
            <w:r w:rsidRPr="00BF0888">
              <w:rPr>
                <w:rFonts w:eastAsia="MS Mincho"/>
              </w:rPr>
              <w:t>(1 (CHN</w:t>
            </w:r>
            <w:proofErr w:type="gramStart"/>
            <w:r w:rsidRPr="00BF0888">
              <w:rPr>
                <w:rFonts w:eastAsia="MS Mincho"/>
              </w:rPr>
              <w:t xml:space="preserve">);   </w:t>
            </w:r>
            <w:proofErr w:type="gramEnd"/>
            <w:r w:rsidRPr="00BF0888">
              <w:rPr>
                <w:rFonts w:eastAsia="MS Mincho"/>
              </w:rPr>
              <w:t xml:space="preserve">      1 (VEN))</w:t>
            </w:r>
          </w:p>
        </w:tc>
      </w:tr>
      <w:tr w:rsidR="00C74DA0" w:rsidRPr="00BF0888" w14:paraId="71BD0BDF"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4C203E65" w14:textId="77777777" w:rsidR="00C74DA0" w:rsidRPr="00BF0888" w:rsidRDefault="00C74DA0" w:rsidP="00BF0888">
            <w:pPr>
              <w:pStyle w:val="Tabletext"/>
              <w:jc w:val="center"/>
              <w:rPr>
                <w:rFonts w:eastAsia="MS Mincho"/>
              </w:rPr>
            </w:pPr>
            <w:r w:rsidRPr="00BF0888">
              <w:rPr>
                <w:rFonts w:eastAsia="MS Mincho"/>
              </w:rPr>
              <w:t>1st Quarter</w:t>
            </w:r>
          </w:p>
          <w:p w14:paraId="0C0687EE" w14:textId="77777777" w:rsidR="00C74DA0" w:rsidRPr="00BF0888" w:rsidRDefault="00C74DA0" w:rsidP="00BF0888">
            <w:pPr>
              <w:pStyle w:val="Tabletext"/>
              <w:jc w:val="center"/>
              <w:rPr>
                <w:rFonts w:eastAsia="MS Mincho"/>
              </w:rPr>
            </w:pPr>
            <w:r w:rsidRPr="00BF0888">
              <w:rPr>
                <w:rFonts w:eastAsia="MS Mincho"/>
              </w:rPr>
              <w:t>(Jan - March)</w:t>
            </w:r>
          </w:p>
          <w:p w14:paraId="719963C4" w14:textId="77777777" w:rsidR="00C74DA0" w:rsidRPr="00BF0888" w:rsidRDefault="00C74DA0" w:rsidP="00BF0888">
            <w:pPr>
              <w:pStyle w:val="Tabletext"/>
              <w:jc w:val="center"/>
              <w:rPr>
                <w:rFonts w:eastAsia="MS Mincho"/>
              </w:rPr>
            </w:pPr>
            <w:r w:rsidRPr="00BF0888">
              <w:rPr>
                <w:rFonts w:eastAsia="MS Mincho"/>
              </w:rPr>
              <w:t>2021</w:t>
            </w:r>
          </w:p>
        </w:tc>
        <w:tc>
          <w:tcPr>
            <w:tcW w:w="1476" w:type="dxa"/>
            <w:tcBorders>
              <w:top w:val="single" w:sz="4" w:space="0" w:color="auto"/>
              <w:left w:val="single" w:sz="4" w:space="0" w:color="auto"/>
              <w:bottom w:val="single" w:sz="4" w:space="0" w:color="auto"/>
              <w:right w:val="single" w:sz="4" w:space="0" w:color="auto"/>
            </w:tcBorders>
            <w:vAlign w:val="center"/>
          </w:tcPr>
          <w:p w14:paraId="249539C9"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0BD696EF"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42690A2B"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2B7E811"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744EA2D9"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07CA5466" w14:textId="77777777" w:rsidR="00C74DA0" w:rsidRPr="00BF0888" w:rsidRDefault="00C74DA0" w:rsidP="00BF0888">
            <w:pPr>
              <w:pStyle w:val="Tabletext"/>
              <w:jc w:val="center"/>
              <w:rPr>
                <w:rFonts w:eastAsia="MS Mincho"/>
                <w:b/>
                <w:bCs/>
              </w:rPr>
            </w:pPr>
            <w:r w:rsidRPr="00BF0888">
              <w:rPr>
                <w:rFonts w:eastAsia="MS Mincho"/>
                <w:b/>
                <w:bCs/>
              </w:rPr>
              <w:t>9</w:t>
            </w:r>
          </w:p>
          <w:p w14:paraId="78148061" w14:textId="64129AFC" w:rsidR="00C74DA0" w:rsidRPr="00BF0888" w:rsidRDefault="00C74DA0" w:rsidP="00BF0888">
            <w:pPr>
              <w:pStyle w:val="Tabletext"/>
              <w:jc w:val="center"/>
              <w:rPr>
                <w:rFonts w:eastAsia="MS Mincho"/>
              </w:rPr>
            </w:pPr>
            <w:r w:rsidRPr="00BF0888">
              <w:rPr>
                <w:rFonts w:eastAsia="MS Mincho"/>
              </w:rPr>
              <w:t>(4 (F); 3 (J</w:t>
            </w:r>
            <w:proofErr w:type="gramStart"/>
            <w:r w:rsidRPr="00BF0888">
              <w:rPr>
                <w:rFonts w:eastAsia="MS Mincho"/>
              </w:rPr>
              <w:t xml:space="preserve">);   </w:t>
            </w:r>
            <w:proofErr w:type="gramEnd"/>
            <w:r w:rsidRPr="00BF0888">
              <w:rPr>
                <w:rFonts w:eastAsia="MS Mincho"/>
              </w:rPr>
              <w:t xml:space="preserve">   1 (HOL);</w:t>
            </w:r>
          </w:p>
          <w:p w14:paraId="458DF356" w14:textId="77777777" w:rsidR="00C74DA0" w:rsidRPr="00BF0888" w:rsidRDefault="00C74DA0" w:rsidP="00BF0888">
            <w:pPr>
              <w:pStyle w:val="Tabletext"/>
              <w:jc w:val="center"/>
              <w:rPr>
                <w:rFonts w:eastAsia="MS Mincho"/>
              </w:rPr>
            </w:pPr>
            <w:r w:rsidRPr="00BF0888">
              <w:rPr>
                <w:rFonts w:eastAsia="MS Mincho"/>
              </w:rPr>
              <w:t>1 (UAE))</w:t>
            </w:r>
          </w:p>
        </w:tc>
      </w:tr>
      <w:tr w:rsidR="00C74DA0" w:rsidRPr="00F43E48" w14:paraId="4AAD2DB8"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7C7D5DD9" w14:textId="77777777" w:rsidR="00C74DA0" w:rsidRPr="00BF0888" w:rsidRDefault="00C74DA0" w:rsidP="00BF0888">
            <w:pPr>
              <w:pStyle w:val="Tabletext"/>
              <w:jc w:val="center"/>
              <w:rPr>
                <w:rFonts w:eastAsia="MS Mincho"/>
              </w:rPr>
            </w:pPr>
            <w:r w:rsidRPr="00BF0888">
              <w:rPr>
                <w:rFonts w:eastAsia="MS Mincho"/>
              </w:rPr>
              <w:t>2nd Quarter</w:t>
            </w:r>
          </w:p>
          <w:p w14:paraId="70864723" w14:textId="77777777" w:rsidR="00C74DA0" w:rsidRPr="00BF0888" w:rsidRDefault="00C74DA0" w:rsidP="00BF0888">
            <w:pPr>
              <w:pStyle w:val="Tabletext"/>
              <w:jc w:val="center"/>
              <w:rPr>
                <w:rFonts w:eastAsia="MS Mincho"/>
              </w:rPr>
            </w:pPr>
            <w:r w:rsidRPr="00BF0888">
              <w:rPr>
                <w:rFonts w:eastAsia="MS Mincho"/>
              </w:rPr>
              <w:t>(Apr. - June)</w:t>
            </w:r>
          </w:p>
          <w:p w14:paraId="6A640CE9" w14:textId="77777777" w:rsidR="00C74DA0" w:rsidRPr="00BF0888" w:rsidRDefault="00C74DA0" w:rsidP="00BF0888">
            <w:pPr>
              <w:pStyle w:val="Tabletext"/>
              <w:jc w:val="center"/>
              <w:rPr>
                <w:rFonts w:eastAsia="MS Mincho"/>
              </w:rPr>
            </w:pPr>
            <w:r w:rsidRPr="00BF0888">
              <w:rPr>
                <w:rFonts w:eastAsia="MS Mincho"/>
              </w:rPr>
              <w:t>2021</w:t>
            </w:r>
          </w:p>
        </w:tc>
        <w:tc>
          <w:tcPr>
            <w:tcW w:w="1476" w:type="dxa"/>
            <w:tcBorders>
              <w:top w:val="single" w:sz="4" w:space="0" w:color="auto"/>
              <w:left w:val="single" w:sz="4" w:space="0" w:color="auto"/>
              <w:bottom w:val="single" w:sz="4" w:space="0" w:color="auto"/>
              <w:right w:val="single" w:sz="4" w:space="0" w:color="auto"/>
            </w:tcBorders>
            <w:vAlign w:val="center"/>
          </w:tcPr>
          <w:p w14:paraId="1B5048F3" w14:textId="77777777" w:rsidR="00C74DA0" w:rsidRPr="00BF0888" w:rsidRDefault="00C74DA0" w:rsidP="00BF0888">
            <w:pPr>
              <w:pStyle w:val="Tabletext"/>
              <w:jc w:val="center"/>
              <w:rPr>
                <w:rFonts w:eastAsia="MS Mincho"/>
              </w:rPr>
            </w:pPr>
            <w:r w:rsidRPr="00BF0888">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720B40E1" w14:textId="77777777" w:rsidR="00C74DA0" w:rsidRPr="00BF0888" w:rsidRDefault="00C74DA0" w:rsidP="00BF0888">
            <w:pPr>
              <w:pStyle w:val="Tabletext"/>
              <w:jc w:val="center"/>
              <w:rPr>
                <w:rFonts w:eastAsia="MS Mincho"/>
              </w:rPr>
            </w:pPr>
            <w:r w:rsidRPr="00BF0888">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34C4F731" w14:textId="77777777" w:rsidR="00C74DA0" w:rsidRPr="00BF0888" w:rsidRDefault="00C74DA0" w:rsidP="00BF0888">
            <w:pPr>
              <w:pStyle w:val="Tabletext"/>
              <w:jc w:val="center"/>
              <w:rPr>
                <w:rFonts w:eastAsia="MS Mincho"/>
              </w:rPr>
            </w:pPr>
            <w:r w:rsidRPr="00BF0888">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034BEB98" w14:textId="77777777" w:rsidR="00C74DA0" w:rsidRPr="00BF0888" w:rsidRDefault="00C74DA0" w:rsidP="00BF0888">
            <w:pPr>
              <w:pStyle w:val="Tabletext"/>
              <w:jc w:val="center"/>
              <w:rPr>
                <w:rFonts w:eastAsia="MS Mincho"/>
              </w:rPr>
            </w:pPr>
            <w:r w:rsidRPr="00BF0888">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1299E310" w14:textId="77777777" w:rsidR="00C74DA0" w:rsidRPr="00BF0888" w:rsidRDefault="00C74DA0" w:rsidP="00BF0888">
            <w:pPr>
              <w:pStyle w:val="Tabletext"/>
              <w:jc w:val="center"/>
              <w:rPr>
                <w:rFonts w:eastAsia="MS Mincho"/>
              </w:rPr>
            </w:pPr>
            <w:r w:rsidRPr="00BF0888">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34A8A32C" w14:textId="77777777" w:rsidR="00C74DA0" w:rsidRPr="00257EF4" w:rsidRDefault="00C74DA0" w:rsidP="00BF0888">
            <w:pPr>
              <w:pStyle w:val="Tabletext"/>
              <w:jc w:val="center"/>
              <w:rPr>
                <w:rFonts w:eastAsia="MS Mincho"/>
                <w:b/>
                <w:bCs/>
                <w:lang w:val="es-ES"/>
              </w:rPr>
            </w:pPr>
            <w:r w:rsidRPr="00257EF4">
              <w:rPr>
                <w:rFonts w:eastAsia="MS Mincho"/>
                <w:b/>
                <w:bCs/>
                <w:lang w:val="es-ES"/>
              </w:rPr>
              <w:t>12</w:t>
            </w:r>
          </w:p>
          <w:p w14:paraId="4488AEF8" w14:textId="77777777" w:rsidR="00C74DA0" w:rsidRPr="00257EF4" w:rsidRDefault="00C74DA0" w:rsidP="00BF0888">
            <w:pPr>
              <w:pStyle w:val="Tabletext"/>
              <w:jc w:val="center"/>
              <w:rPr>
                <w:rFonts w:eastAsia="MS Mincho"/>
                <w:lang w:val="es-ES"/>
              </w:rPr>
            </w:pPr>
            <w:r w:rsidRPr="00257EF4">
              <w:rPr>
                <w:rFonts w:eastAsia="MS Mincho"/>
                <w:lang w:val="es-ES"/>
              </w:rPr>
              <w:t>(1 (E); 5 (F</w:t>
            </w:r>
            <w:proofErr w:type="gramStart"/>
            <w:r w:rsidRPr="00257EF4">
              <w:rPr>
                <w:rFonts w:eastAsia="MS Mincho"/>
                <w:lang w:val="es-ES"/>
              </w:rPr>
              <w:t xml:space="preserve">);   </w:t>
            </w:r>
            <w:proofErr w:type="gramEnd"/>
            <w:r w:rsidRPr="00257EF4">
              <w:rPr>
                <w:rFonts w:eastAsia="MS Mincho"/>
                <w:lang w:val="es-ES"/>
              </w:rPr>
              <w:t xml:space="preserve">   1 (G); 1 (ISR);          1 (MLA);          1 (QAT);           1 (USA);            1 (UAE))</w:t>
            </w:r>
          </w:p>
        </w:tc>
      </w:tr>
      <w:tr w:rsidR="00C74DA0" w:rsidRPr="00C66E29" w14:paraId="7C4975FF"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70BFCC93" w14:textId="77777777" w:rsidR="00C74DA0" w:rsidRPr="00C66E29" w:rsidRDefault="00C74DA0">
            <w:pPr>
              <w:pStyle w:val="Tabletext"/>
              <w:jc w:val="center"/>
              <w:rPr>
                <w:rFonts w:eastAsia="MS Mincho"/>
              </w:rPr>
            </w:pPr>
            <w:r w:rsidRPr="00C66E29">
              <w:rPr>
                <w:rFonts w:eastAsia="MS Mincho"/>
              </w:rPr>
              <w:t>3</w:t>
            </w:r>
            <w:r w:rsidRPr="00C66E29">
              <w:rPr>
                <w:rFonts w:eastAsia="MS Mincho"/>
                <w:vertAlign w:val="superscript"/>
              </w:rPr>
              <w:t>rd</w:t>
            </w:r>
            <w:r w:rsidRPr="00C66E29">
              <w:rPr>
                <w:rFonts w:eastAsia="MS Mincho"/>
              </w:rPr>
              <w:t xml:space="preserve"> Quarter</w:t>
            </w:r>
          </w:p>
          <w:p w14:paraId="0918105A" w14:textId="77777777" w:rsidR="00C74DA0" w:rsidRPr="00C66E29" w:rsidRDefault="00C74DA0">
            <w:pPr>
              <w:pStyle w:val="Tabletext"/>
              <w:jc w:val="center"/>
              <w:rPr>
                <w:rFonts w:eastAsia="MS Mincho"/>
              </w:rPr>
            </w:pPr>
            <w:r w:rsidRPr="00C66E29">
              <w:rPr>
                <w:rFonts w:eastAsia="MS Mincho"/>
              </w:rPr>
              <w:t>(July – Sept.) 2021</w:t>
            </w:r>
          </w:p>
        </w:tc>
        <w:tc>
          <w:tcPr>
            <w:tcW w:w="1476" w:type="dxa"/>
            <w:tcBorders>
              <w:top w:val="single" w:sz="4" w:space="0" w:color="auto"/>
              <w:left w:val="single" w:sz="4" w:space="0" w:color="auto"/>
              <w:bottom w:val="single" w:sz="4" w:space="0" w:color="auto"/>
              <w:right w:val="single" w:sz="4" w:space="0" w:color="auto"/>
            </w:tcBorders>
            <w:vAlign w:val="center"/>
          </w:tcPr>
          <w:p w14:paraId="7B38045D"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2F0C626A"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09285574"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B62E78E"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4C5A1710" w14:textId="77777777" w:rsidR="00C74DA0" w:rsidRPr="00C66E29" w:rsidRDefault="00C74DA0">
            <w:pPr>
              <w:pStyle w:val="Tabletext"/>
              <w:jc w:val="center"/>
              <w:rPr>
                <w:rFonts w:eastAsia="MS Mincho"/>
                <w:b/>
                <w:bCs/>
              </w:rPr>
            </w:pPr>
            <w:r w:rsidRPr="00C66E29">
              <w:rPr>
                <w:rFonts w:eastAsia="MS Mincho"/>
                <w:b/>
                <w:bCs/>
              </w:rPr>
              <w:t>1</w:t>
            </w:r>
          </w:p>
          <w:p w14:paraId="3733B0FB" w14:textId="77777777" w:rsidR="00C74DA0" w:rsidRPr="00C66E29" w:rsidRDefault="00C74DA0">
            <w:pPr>
              <w:pStyle w:val="Tabletext"/>
              <w:jc w:val="center"/>
              <w:rPr>
                <w:rFonts w:eastAsia="MS Mincho"/>
              </w:rPr>
            </w:pPr>
            <w:r w:rsidRPr="00C66E29">
              <w:rPr>
                <w:rFonts w:eastAsia="MS Mincho"/>
              </w:rPr>
              <w:t>(VEN)</w:t>
            </w:r>
          </w:p>
        </w:tc>
        <w:tc>
          <w:tcPr>
            <w:tcW w:w="1446" w:type="dxa"/>
            <w:tcBorders>
              <w:top w:val="single" w:sz="4" w:space="0" w:color="auto"/>
              <w:left w:val="single" w:sz="4" w:space="0" w:color="auto"/>
              <w:bottom w:val="single" w:sz="4" w:space="0" w:color="auto"/>
              <w:right w:val="single" w:sz="4" w:space="0" w:color="auto"/>
            </w:tcBorders>
            <w:vAlign w:val="center"/>
          </w:tcPr>
          <w:p w14:paraId="551963CD" w14:textId="77777777" w:rsidR="00C74DA0" w:rsidRPr="00C66E29" w:rsidRDefault="00C74DA0">
            <w:pPr>
              <w:pStyle w:val="Tabletext"/>
              <w:jc w:val="center"/>
              <w:rPr>
                <w:rFonts w:eastAsia="MS Mincho"/>
                <w:b/>
                <w:bCs/>
              </w:rPr>
            </w:pPr>
            <w:r w:rsidRPr="00C66E29">
              <w:rPr>
                <w:rFonts w:eastAsia="MS Mincho"/>
                <w:b/>
                <w:bCs/>
              </w:rPr>
              <w:t>7</w:t>
            </w:r>
          </w:p>
          <w:p w14:paraId="4A16886A" w14:textId="77777777" w:rsidR="00C74DA0" w:rsidRPr="00C66E29" w:rsidRDefault="00C74DA0">
            <w:pPr>
              <w:pStyle w:val="Tabletext"/>
              <w:jc w:val="center"/>
              <w:rPr>
                <w:rFonts w:eastAsia="MS Mincho"/>
              </w:rPr>
            </w:pPr>
            <w:r w:rsidRPr="00C66E29">
              <w:rPr>
                <w:rFonts w:eastAsia="MS Mincho"/>
              </w:rPr>
              <w:t>(2 (AUS); 1 (D); 1 (F); 1 (IND</w:t>
            </w:r>
            <w:proofErr w:type="gramStart"/>
            <w:r w:rsidRPr="00C66E29">
              <w:rPr>
                <w:rFonts w:eastAsia="MS Mincho"/>
              </w:rPr>
              <w:t>);</w:t>
            </w:r>
            <w:proofErr w:type="gramEnd"/>
            <w:r w:rsidRPr="00C66E29">
              <w:rPr>
                <w:rFonts w:eastAsia="MS Mincho"/>
              </w:rPr>
              <w:t xml:space="preserve"> </w:t>
            </w:r>
          </w:p>
          <w:p w14:paraId="5D7C1549" w14:textId="77777777" w:rsidR="00C74DA0" w:rsidRPr="00C66E29" w:rsidRDefault="00C74DA0">
            <w:pPr>
              <w:pStyle w:val="Tabletext"/>
              <w:jc w:val="center"/>
              <w:rPr>
                <w:rFonts w:eastAsia="MS Mincho"/>
                <w:b/>
                <w:bCs/>
              </w:rPr>
            </w:pPr>
            <w:r w:rsidRPr="00C66E29">
              <w:rPr>
                <w:rFonts w:eastAsia="MS Mincho"/>
              </w:rPr>
              <w:t xml:space="preserve">2 (S)) </w:t>
            </w:r>
          </w:p>
        </w:tc>
      </w:tr>
      <w:tr w:rsidR="00C74DA0" w:rsidRPr="00C66E29" w14:paraId="48776AB6"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2940A7BB" w14:textId="77777777" w:rsidR="00C74DA0" w:rsidRPr="00C66E29" w:rsidRDefault="00C74DA0">
            <w:pPr>
              <w:pStyle w:val="Tabletext"/>
              <w:jc w:val="center"/>
              <w:rPr>
                <w:rFonts w:eastAsia="MS Mincho"/>
              </w:rPr>
            </w:pPr>
            <w:r w:rsidRPr="00C66E29">
              <w:rPr>
                <w:rFonts w:eastAsia="MS Mincho"/>
              </w:rPr>
              <w:t>4th Quarter</w:t>
            </w:r>
          </w:p>
          <w:p w14:paraId="306F8095" w14:textId="77777777" w:rsidR="00C74DA0" w:rsidRPr="00C66E29" w:rsidRDefault="00C74DA0">
            <w:pPr>
              <w:pStyle w:val="Tabletext"/>
              <w:jc w:val="center"/>
              <w:rPr>
                <w:rFonts w:eastAsia="MS Mincho"/>
              </w:rPr>
            </w:pPr>
            <w:r w:rsidRPr="00C66E29">
              <w:rPr>
                <w:rFonts w:eastAsia="MS Mincho"/>
              </w:rPr>
              <w:t>(Oct. – Dec.) 2021</w:t>
            </w:r>
          </w:p>
        </w:tc>
        <w:tc>
          <w:tcPr>
            <w:tcW w:w="1476" w:type="dxa"/>
            <w:tcBorders>
              <w:top w:val="single" w:sz="4" w:space="0" w:color="auto"/>
              <w:left w:val="single" w:sz="4" w:space="0" w:color="auto"/>
              <w:bottom w:val="single" w:sz="4" w:space="0" w:color="auto"/>
              <w:right w:val="single" w:sz="4" w:space="0" w:color="auto"/>
            </w:tcBorders>
            <w:vAlign w:val="center"/>
          </w:tcPr>
          <w:p w14:paraId="40A4B131"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092E6F35"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56D05E4"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287DA29" w14:textId="77777777" w:rsidR="00C74DA0" w:rsidRPr="00C66E29" w:rsidRDefault="00C74DA0">
            <w:pPr>
              <w:pStyle w:val="Tabletext"/>
              <w:jc w:val="center"/>
              <w:rPr>
                <w:rFonts w:eastAsia="MS Mincho"/>
                <w:b/>
                <w:bCs/>
              </w:rPr>
            </w:pPr>
            <w:r w:rsidRPr="00C66E29">
              <w:rPr>
                <w:rFonts w:eastAsia="MS Mincho"/>
                <w:b/>
                <w:bCs/>
              </w:rPr>
              <w:t>1</w:t>
            </w:r>
          </w:p>
          <w:p w14:paraId="40C94B09" w14:textId="77777777" w:rsidR="00C74DA0" w:rsidRPr="00C66E29" w:rsidRDefault="00C74DA0">
            <w:pPr>
              <w:pStyle w:val="Tabletext"/>
              <w:jc w:val="center"/>
              <w:rPr>
                <w:rFonts w:eastAsia="MS Mincho"/>
              </w:rPr>
            </w:pPr>
            <w:r w:rsidRPr="00C66E29">
              <w:rPr>
                <w:rFonts w:eastAsia="MS Mincho"/>
              </w:rPr>
              <w:t>(I)</w:t>
            </w:r>
          </w:p>
        </w:tc>
        <w:tc>
          <w:tcPr>
            <w:tcW w:w="1165" w:type="dxa"/>
            <w:tcBorders>
              <w:top w:val="single" w:sz="4" w:space="0" w:color="auto"/>
              <w:left w:val="single" w:sz="4" w:space="0" w:color="auto"/>
              <w:bottom w:val="single" w:sz="4" w:space="0" w:color="auto"/>
              <w:right w:val="single" w:sz="4" w:space="0" w:color="auto"/>
            </w:tcBorders>
            <w:vAlign w:val="center"/>
          </w:tcPr>
          <w:p w14:paraId="05506094" w14:textId="77777777" w:rsidR="00C74DA0" w:rsidRPr="00C66E29" w:rsidRDefault="00C74DA0">
            <w:pPr>
              <w:pStyle w:val="Tabletext"/>
              <w:jc w:val="center"/>
              <w:rPr>
                <w:rFonts w:eastAsia="MS Mincho"/>
                <w:b/>
                <w:bCs/>
              </w:rPr>
            </w:pPr>
            <w:r w:rsidRPr="00C66E29">
              <w:rPr>
                <w:rFonts w:eastAsia="MS Mincho"/>
                <w:b/>
                <w:bCs/>
              </w:rPr>
              <w:t>1</w:t>
            </w:r>
          </w:p>
          <w:p w14:paraId="7795CC1A" w14:textId="77777777" w:rsidR="00C74DA0" w:rsidRPr="00C66E29" w:rsidRDefault="00C74DA0">
            <w:pPr>
              <w:pStyle w:val="Tabletext"/>
              <w:jc w:val="center"/>
              <w:rPr>
                <w:rFonts w:eastAsia="MS Mincho"/>
                <w:b/>
                <w:bCs/>
              </w:rPr>
            </w:pPr>
            <w:r w:rsidRPr="00C66E29">
              <w:rPr>
                <w:rFonts w:eastAsia="MS Mincho"/>
              </w:rPr>
              <w:t>(KOR)</w:t>
            </w:r>
          </w:p>
        </w:tc>
        <w:tc>
          <w:tcPr>
            <w:tcW w:w="1446" w:type="dxa"/>
            <w:tcBorders>
              <w:top w:val="single" w:sz="4" w:space="0" w:color="auto"/>
              <w:left w:val="single" w:sz="4" w:space="0" w:color="auto"/>
              <w:bottom w:val="single" w:sz="4" w:space="0" w:color="auto"/>
              <w:right w:val="single" w:sz="4" w:space="0" w:color="auto"/>
            </w:tcBorders>
            <w:vAlign w:val="center"/>
          </w:tcPr>
          <w:p w14:paraId="48C40671" w14:textId="77777777" w:rsidR="00C74DA0" w:rsidRPr="00C66E29" w:rsidRDefault="00C74DA0">
            <w:pPr>
              <w:pStyle w:val="Tabletext"/>
              <w:jc w:val="center"/>
              <w:rPr>
                <w:rFonts w:eastAsia="MS Mincho"/>
                <w:b/>
                <w:bCs/>
              </w:rPr>
            </w:pPr>
            <w:r w:rsidRPr="00C66E29">
              <w:rPr>
                <w:rFonts w:eastAsia="MS Mincho"/>
                <w:b/>
                <w:bCs/>
              </w:rPr>
              <w:t>7</w:t>
            </w:r>
          </w:p>
          <w:p w14:paraId="233806C7" w14:textId="77777777" w:rsidR="00C74DA0" w:rsidRPr="00C66E29" w:rsidRDefault="00C74DA0">
            <w:pPr>
              <w:pStyle w:val="Tabletext"/>
              <w:jc w:val="center"/>
              <w:rPr>
                <w:rFonts w:eastAsia="MS Mincho"/>
              </w:rPr>
            </w:pPr>
            <w:r w:rsidRPr="00C66E29">
              <w:rPr>
                <w:rFonts w:eastAsia="MS Mincho"/>
              </w:rPr>
              <w:t>(1 (CYP); 3 (D</w:t>
            </w:r>
            <w:proofErr w:type="gramStart"/>
            <w:r w:rsidRPr="00C66E29">
              <w:rPr>
                <w:rFonts w:eastAsia="MS Mincho"/>
              </w:rPr>
              <w:t xml:space="preserve">);   </w:t>
            </w:r>
            <w:proofErr w:type="gramEnd"/>
            <w:r w:rsidRPr="00C66E29">
              <w:rPr>
                <w:rFonts w:eastAsia="MS Mincho"/>
              </w:rPr>
              <w:t xml:space="preserve"> 1 (F); 1 (G); </w:t>
            </w:r>
          </w:p>
          <w:p w14:paraId="3768BF15" w14:textId="77777777" w:rsidR="00C74DA0" w:rsidRPr="00C66E29" w:rsidRDefault="00C74DA0">
            <w:pPr>
              <w:pStyle w:val="Tabletext"/>
              <w:jc w:val="center"/>
              <w:rPr>
                <w:rFonts w:eastAsia="MS Mincho"/>
                <w:b/>
                <w:bCs/>
              </w:rPr>
            </w:pPr>
            <w:r w:rsidRPr="00C66E29">
              <w:rPr>
                <w:rFonts w:eastAsia="MS Mincho"/>
              </w:rPr>
              <w:t>1 (HOL))</w:t>
            </w:r>
          </w:p>
        </w:tc>
      </w:tr>
      <w:tr w:rsidR="00C74DA0" w:rsidRPr="00C66E29" w14:paraId="0D87E799"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2845990B" w14:textId="77777777" w:rsidR="00C74DA0" w:rsidRPr="00C66E29" w:rsidRDefault="00C74DA0">
            <w:pPr>
              <w:pStyle w:val="Tabletext"/>
              <w:jc w:val="center"/>
              <w:rPr>
                <w:rFonts w:eastAsia="MS Mincho"/>
              </w:rPr>
            </w:pPr>
            <w:r w:rsidRPr="00C66E29">
              <w:rPr>
                <w:rFonts w:eastAsia="MS Mincho"/>
              </w:rPr>
              <w:t>1st Quarter</w:t>
            </w:r>
          </w:p>
          <w:p w14:paraId="110CF512" w14:textId="77777777" w:rsidR="00C74DA0" w:rsidRPr="00C66E29" w:rsidRDefault="00C74DA0">
            <w:pPr>
              <w:pStyle w:val="Tabletext"/>
              <w:jc w:val="center"/>
              <w:rPr>
                <w:rFonts w:eastAsia="MS Mincho"/>
              </w:rPr>
            </w:pPr>
            <w:r w:rsidRPr="00C66E29">
              <w:rPr>
                <w:rFonts w:eastAsia="MS Mincho"/>
              </w:rPr>
              <w:t>(Jan - March)</w:t>
            </w:r>
          </w:p>
          <w:p w14:paraId="39225E40" w14:textId="77777777" w:rsidR="00C74DA0" w:rsidRPr="00C66E29" w:rsidRDefault="00C74DA0">
            <w:pPr>
              <w:pStyle w:val="Tabletext"/>
              <w:jc w:val="center"/>
              <w:rPr>
                <w:rFonts w:eastAsia="MS Mincho"/>
              </w:rPr>
            </w:pPr>
            <w:r w:rsidRPr="00C66E29">
              <w:rPr>
                <w:rFonts w:eastAsia="MS Mincho"/>
              </w:rPr>
              <w:t>2022</w:t>
            </w:r>
          </w:p>
        </w:tc>
        <w:tc>
          <w:tcPr>
            <w:tcW w:w="1476" w:type="dxa"/>
            <w:tcBorders>
              <w:top w:val="single" w:sz="4" w:space="0" w:color="auto"/>
              <w:left w:val="single" w:sz="4" w:space="0" w:color="auto"/>
              <w:bottom w:val="single" w:sz="4" w:space="0" w:color="auto"/>
              <w:right w:val="single" w:sz="4" w:space="0" w:color="auto"/>
            </w:tcBorders>
            <w:vAlign w:val="center"/>
          </w:tcPr>
          <w:p w14:paraId="76868541"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21B2FDCF"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ABFB6F4"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7DA96CA"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77D7AFA7" w14:textId="77777777" w:rsidR="00C74DA0" w:rsidRPr="00C66E29" w:rsidRDefault="00C74DA0">
            <w:pPr>
              <w:pStyle w:val="Tabletext"/>
              <w:jc w:val="center"/>
              <w:rPr>
                <w:rFonts w:eastAsia="MS Mincho"/>
              </w:rPr>
            </w:pPr>
            <w:r w:rsidRPr="00C66E29">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287A8591" w14:textId="77777777" w:rsidR="00C74DA0" w:rsidRPr="00C66E29" w:rsidRDefault="00C74DA0">
            <w:pPr>
              <w:pStyle w:val="Tabletext"/>
              <w:jc w:val="center"/>
              <w:rPr>
                <w:rFonts w:eastAsia="MS Mincho"/>
                <w:b/>
                <w:bCs/>
              </w:rPr>
            </w:pPr>
            <w:r w:rsidRPr="00C66E29">
              <w:rPr>
                <w:rFonts w:eastAsia="MS Mincho"/>
                <w:b/>
                <w:bCs/>
              </w:rPr>
              <w:t>3</w:t>
            </w:r>
          </w:p>
          <w:p w14:paraId="7F62D4BA" w14:textId="77777777" w:rsidR="00C74DA0" w:rsidRPr="00C66E29" w:rsidRDefault="00C74DA0">
            <w:pPr>
              <w:pStyle w:val="Tabletext"/>
              <w:jc w:val="center"/>
              <w:rPr>
                <w:rFonts w:eastAsia="MS Mincho"/>
                <w:b/>
                <w:bCs/>
              </w:rPr>
            </w:pPr>
            <w:r w:rsidRPr="00C66E29">
              <w:rPr>
                <w:rFonts w:eastAsia="MS Mincho"/>
              </w:rPr>
              <w:t>(2 (F); 1 (PAK))</w:t>
            </w:r>
          </w:p>
        </w:tc>
      </w:tr>
      <w:tr w:rsidR="00C74DA0" w:rsidRPr="00C66E29" w14:paraId="1E00B62A"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31CC8E28" w14:textId="77777777" w:rsidR="00C74DA0" w:rsidRPr="00C66E29" w:rsidRDefault="00C74DA0">
            <w:pPr>
              <w:pStyle w:val="Tabletext"/>
              <w:jc w:val="center"/>
              <w:rPr>
                <w:rFonts w:eastAsia="MS Mincho"/>
              </w:rPr>
            </w:pPr>
            <w:r w:rsidRPr="00C66E29">
              <w:rPr>
                <w:rFonts w:eastAsia="MS Mincho"/>
              </w:rPr>
              <w:t>2nd Quarter</w:t>
            </w:r>
          </w:p>
          <w:p w14:paraId="0F766981" w14:textId="77777777" w:rsidR="00C74DA0" w:rsidRPr="00C66E29" w:rsidRDefault="00C74DA0">
            <w:pPr>
              <w:pStyle w:val="Tabletext"/>
              <w:jc w:val="center"/>
              <w:rPr>
                <w:rFonts w:eastAsia="MS Mincho"/>
              </w:rPr>
            </w:pPr>
            <w:r w:rsidRPr="00C66E29">
              <w:rPr>
                <w:rFonts w:eastAsia="MS Mincho"/>
              </w:rPr>
              <w:t>(Apr. - June)</w:t>
            </w:r>
          </w:p>
          <w:p w14:paraId="4CBA2C97" w14:textId="77777777" w:rsidR="00C74DA0" w:rsidRPr="00C66E29" w:rsidRDefault="00C74DA0">
            <w:pPr>
              <w:pStyle w:val="Tabletext"/>
              <w:jc w:val="center"/>
              <w:rPr>
                <w:rFonts w:eastAsia="MS Mincho"/>
              </w:rPr>
            </w:pPr>
            <w:r w:rsidRPr="00C66E29">
              <w:rPr>
                <w:rFonts w:eastAsia="MS Mincho"/>
              </w:rPr>
              <w:t>2022</w:t>
            </w:r>
          </w:p>
        </w:tc>
        <w:tc>
          <w:tcPr>
            <w:tcW w:w="1476" w:type="dxa"/>
            <w:tcBorders>
              <w:top w:val="single" w:sz="4" w:space="0" w:color="auto"/>
              <w:left w:val="single" w:sz="4" w:space="0" w:color="auto"/>
              <w:bottom w:val="single" w:sz="4" w:space="0" w:color="auto"/>
              <w:right w:val="single" w:sz="4" w:space="0" w:color="auto"/>
            </w:tcBorders>
            <w:vAlign w:val="center"/>
          </w:tcPr>
          <w:p w14:paraId="1D4D7593"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3FA43E47"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1AF5F446"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8A8EA08"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3327357C" w14:textId="77777777" w:rsidR="00C74DA0" w:rsidRPr="00C66E29" w:rsidRDefault="00C74DA0">
            <w:pPr>
              <w:pStyle w:val="Tabletext"/>
              <w:jc w:val="center"/>
              <w:rPr>
                <w:rFonts w:eastAsia="MS Mincho"/>
              </w:rPr>
            </w:pPr>
            <w:r w:rsidRPr="00C66E29">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023BA434" w14:textId="77777777" w:rsidR="00C74DA0" w:rsidRPr="00C66E29" w:rsidRDefault="00C74DA0">
            <w:pPr>
              <w:pStyle w:val="Tabletext"/>
              <w:jc w:val="center"/>
              <w:rPr>
                <w:rFonts w:eastAsia="MS Mincho"/>
                <w:b/>
                <w:bCs/>
              </w:rPr>
            </w:pPr>
            <w:r w:rsidRPr="00C66E29">
              <w:rPr>
                <w:rFonts w:eastAsia="MS Mincho"/>
                <w:b/>
                <w:bCs/>
              </w:rPr>
              <w:t xml:space="preserve">5 </w:t>
            </w:r>
          </w:p>
          <w:p w14:paraId="4516FD50" w14:textId="77777777" w:rsidR="00C74DA0" w:rsidRPr="00C66E29" w:rsidRDefault="00C74DA0">
            <w:pPr>
              <w:pStyle w:val="Tabletext"/>
              <w:jc w:val="center"/>
              <w:rPr>
                <w:rFonts w:eastAsia="MS Mincho"/>
              </w:rPr>
            </w:pPr>
            <w:r w:rsidRPr="00C66E29">
              <w:rPr>
                <w:rFonts w:eastAsia="MS Mincho"/>
              </w:rPr>
              <w:t>(2 (F); 2 (E</w:t>
            </w:r>
            <w:proofErr w:type="gramStart"/>
            <w:r w:rsidRPr="00C66E29">
              <w:rPr>
                <w:rFonts w:eastAsia="MS Mincho"/>
              </w:rPr>
              <w:t xml:space="preserve">);   </w:t>
            </w:r>
            <w:proofErr w:type="gramEnd"/>
            <w:r w:rsidRPr="00C66E29">
              <w:rPr>
                <w:rFonts w:eastAsia="MS Mincho"/>
              </w:rPr>
              <w:t xml:space="preserve">  1 (USA))</w:t>
            </w:r>
          </w:p>
        </w:tc>
      </w:tr>
      <w:tr w:rsidR="00C74DA0" w:rsidRPr="00C66E29" w14:paraId="4E764C60"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1C593A68" w14:textId="77777777" w:rsidR="00C74DA0" w:rsidRPr="00C66E29" w:rsidRDefault="00C74DA0">
            <w:pPr>
              <w:pStyle w:val="Tabletext"/>
              <w:jc w:val="center"/>
              <w:rPr>
                <w:rFonts w:eastAsia="MS Mincho"/>
              </w:rPr>
            </w:pPr>
            <w:r w:rsidRPr="00C66E29">
              <w:rPr>
                <w:rFonts w:eastAsia="MS Mincho"/>
              </w:rPr>
              <w:t>3rd Quarter</w:t>
            </w:r>
          </w:p>
          <w:p w14:paraId="262276C2" w14:textId="77777777" w:rsidR="00C74DA0" w:rsidRPr="00C66E29" w:rsidRDefault="00C74DA0">
            <w:pPr>
              <w:pStyle w:val="Tabletext"/>
              <w:jc w:val="center"/>
              <w:rPr>
                <w:rFonts w:eastAsia="MS Mincho"/>
              </w:rPr>
            </w:pPr>
            <w:r w:rsidRPr="00C66E29">
              <w:rPr>
                <w:rFonts w:eastAsia="MS Mincho"/>
              </w:rPr>
              <w:t>(July + Sept.)</w:t>
            </w:r>
          </w:p>
          <w:p w14:paraId="1332B530" w14:textId="77777777" w:rsidR="00C74DA0" w:rsidRPr="00C66E29" w:rsidRDefault="00C74DA0">
            <w:pPr>
              <w:pStyle w:val="Tabletext"/>
              <w:jc w:val="center"/>
              <w:rPr>
                <w:rFonts w:eastAsia="MS Mincho"/>
              </w:rPr>
            </w:pPr>
            <w:r w:rsidRPr="00C66E29">
              <w:rPr>
                <w:rFonts w:eastAsia="MS Mincho"/>
              </w:rPr>
              <w:t>2022</w:t>
            </w:r>
          </w:p>
        </w:tc>
        <w:tc>
          <w:tcPr>
            <w:tcW w:w="1476" w:type="dxa"/>
            <w:tcBorders>
              <w:top w:val="single" w:sz="4" w:space="0" w:color="auto"/>
              <w:left w:val="single" w:sz="4" w:space="0" w:color="auto"/>
              <w:bottom w:val="single" w:sz="4" w:space="0" w:color="auto"/>
              <w:right w:val="single" w:sz="4" w:space="0" w:color="auto"/>
            </w:tcBorders>
            <w:vAlign w:val="center"/>
          </w:tcPr>
          <w:p w14:paraId="1B5DBB92"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75F18E4D"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4EED1E00"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79A4D3EB"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4362CA1E" w14:textId="77777777" w:rsidR="00C74DA0" w:rsidRPr="00C66E29" w:rsidRDefault="00C74DA0">
            <w:pPr>
              <w:pStyle w:val="Tabletext"/>
              <w:jc w:val="center"/>
              <w:rPr>
                <w:rFonts w:eastAsia="MS Mincho"/>
                <w:b/>
                <w:bCs/>
              </w:rPr>
            </w:pPr>
            <w:r w:rsidRPr="00C66E29">
              <w:rPr>
                <w:rFonts w:eastAsia="MS Mincho"/>
                <w:b/>
                <w:bCs/>
              </w:rPr>
              <w:t xml:space="preserve">4 </w:t>
            </w:r>
          </w:p>
          <w:p w14:paraId="3FF0C288" w14:textId="77777777" w:rsidR="00C74DA0" w:rsidRPr="00C66E29" w:rsidRDefault="00C74DA0">
            <w:pPr>
              <w:pStyle w:val="Tabletext"/>
              <w:jc w:val="center"/>
              <w:rPr>
                <w:rFonts w:eastAsia="MS Mincho"/>
              </w:rPr>
            </w:pPr>
            <w:r w:rsidRPr="00C66E29">
              <w:rPr>
                <w:rFonts w:eastAsia="MS Mincho"/>
              </w:rPr>
              <w:t>(3 (IND</w:t>
            </w:r>
            <w:proofErr w:type="gramStart"/>
            <w:r w:rsidRPr="00C66E29">
              <w:rPr>
                <w:rFonts w:eastAsia="MS Mincho"/>
              </w:rPr>
              <w:t>);</w:t>
            </w:r>
            <w:proofErr w:type="gramEnd"/>
            <w:r w:rsidRPr="00C66E29">
              <w:rPr>
                <w:rFonts w:eastAsia="MS Mincho"/>
              </w:rPr>
              <w:t xml:space="preserve"> </w:t>
            </w:r>
          </w:p>
          <w:p w14:paraId="1263A8E3" w14:textId="77777777" w:rsidR="00C74DA0" w:rsidRPr="00C66E29" w:rsidRDefault="00C74DA0">
            <w:pPr>
              <w:pStyle w:val="Tabletext"/>
              <w:jc w:val="center"/>
              <w:rPr>
                <w:rFonts w:eastAsia="MS Mincho"/>
              </w:rPr>
            </w:pPr>
            <w:r w:rsidRPr="00C66E29">
              <w:rPr>
                <w:rFonts w:eastAsia="MS Mincho"/>
              </w:rPr>
              <w:t>1 (KOR))</w:t>
            </w:r>
          </w:p>
        </w:tc>
        <w:tc>
          <w:tcPr>
            <w:tcW w:w="1446" w:type="dxa"/>
            <w:tcBorders>
              <w:top w:val="single" w:sz="4" w:space="0" w:color="auto"/>
              <w:left w:val="single" w:sz="4" w:space="0" w:color="auto"/>
              <w:bottom w:val="single" w:sz="4" w:space="0" w:color="auto"/>
              <w:right w:val="single" w:sz="4" w:space="0" w:color="auto"/>
            </w:tcBorders>
            <w:vAlign w:val="center"/>
          </w:tcPr>
          <w:p w14:paraId="1452B8E6" w14:textId="77777777" w:rsidR="00C74DA0" w:rsidRPr="00C66E29" w:rsidRDefault="00C74DA0">
            <w:pPr>
              <w:pStyle w:val="Tabletext"/>
              <w:jc w:val="center"/>
              <w:rPr>
                <w:rFonts w:eastAsia="MS Mincho"/>
                <w:b/>
                <w:bCs/>
              </w:rPr>
            </w:pPr>
            <w:r w:rsidRPr="00C66E29">
              <w:rPr>
                <w:rFonts w:eastAsia="MS Mincho"/>
                <w:b/>
                <w:bCs/>
              </w:rPr>
              <w:t>1</w:t>
            </w:r>
          </w:p>
          <w:p w14:paraId="448C1E61" w14:textId="77777777" w:rsidR="00C74DA0" w:rsidRPr="00C66E29" w:rsidRDefault="00C74DA0">
            <w:pPr>
              <w:pStyle w:val="Tabletext"/>
              <w:jc w:val="center"/>
              <w:rPr>
                <w:rFonts w:eastAsia="MS Mincho"/>
              </w:rPr>
            </w:pPr>
            <w:r w:rsidRPr="00C66E29">
              <w:rPr>
                <w:rFonts w:eastAsia="MS Mincho"/>
              </w:rPr>
              <w:t>(1 (B))</w:t>
            </w:r>
          </w:p>
        </w:tc>
      </w:tr>
      <w:tr w:rsidR="00C74DA0" w:rsidRPr="00C66E29" w14:paraId="6ADF0F16"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2B5CD040" w14:textId="77777777" w:rsidR="00C74DA0" w:rsidRPr="00C66E29" w:rsidRDefault="00C74DA0">
            <w:pPr>
              <w:pStyle w:val="Tabletext"/>
              <w:jc w:val="center"/>
              <w:rPr>
                <w:rFonts w:eastAsia="MS Mincho"/>
              </w:rPr>
            </w:pPr>
            <w:r w:rsidRPr="00C66E29">
              <w:rPr>
                <w:rFonts w:eastAsia="MS Mincho"/>
              </w:rPr>
              <w:t>4th Quarter</w:t>
            </w:r>
          </w:p>
          <w:p w14:paraId="22ADE4C5" w14:textId="77777777" w:rsidR="00C74DA0" w:rsidRPr="00C66E29" w:rsidRDefault="00C74DA0">
            <w:pPr>
              <w:pStyle w:val="Tabletext"/>
              <w:jc w:val="center"/>
              <w:rPr>
                <w:rFonts w:eastAsia="MS Mincho"/>
              </w:rPr>
            </w:pPr>
            <w:r w:rsidRPr="00C66E29">
              <w:rPr>
                <w:rFonts w:eastAsia="MS Mincho"/>
              </w:rPr>
              <w:t>(Oct. – Dec.) 2022</w:t>
            </w:r>
          </w:p>
        </w:tc>
        <w:tc>
          <w:tcPr>
            <w:tcW w:w="1476" w:type="dxa"/>
            <w:tcBorders>
              <w:top w:val="single" w:sz="4" w:space="0" w:color="auto"/>
              <w:left w:val="single" w:sz="4" w:space="0" w:color="auto"/>
              <w:bottom w:val="single" w:sz="4" w:space="0" w:color="auto"/>
              <w:right w:val="single" w:sz="4" w:space="0" w:color="auto"/>
            </w:tcBorders>
            <w:vAlign w:val="center"/>
          </w:tcPr>
          <w:p w14:paraId="042E11EB"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76720842" w14:textId="77777777" w:rsidR="00C74DA0" w:rsidRPr="00C66E29" w:rsidRDefault="00C74DA0">
            <w:pPr>
              <w:pStyle w:val="Tabletext"/>
              <w:jc w:val="center"/>
              <w:rPr>
                <w:rFonts w:eastAsia="MS Mincho"/>
                <w:b/>
                <w:bCs/>
              </w:rPr>
            </w:pPr>
            <w:r w:rsidRPr="00C66E29">
              <w:rPr>
                <w:rFonts w:eastAsia="MS Mincho"/>
                <w:b/>
                <w:bCs/>
              </w:rPr>
              <w:t xml:space="preserve">1 </w:t>
            </w:r>
          </w:p>
          <w:p w14:paraId="0FB3CC68" w14:textId="77777777" w:rsidR="00C74DA0" w:rsidRPr="00C66E29" w:rsidRDefault="00C74DA0">
            <w:pPr>
              <w:pStyle w:val="Tabletext"/>
              <w:jc w:val="center"/>
              <w:rPr>
                <w:rFonts w:eastAsia="MS Mincho"/>
              </w:rPr>
            </w:pPr>
            <w:r w:rsidRPr="00C66E29">
              <w:rPr>
                <w:rFonts w:eastAsia="MS Mincho"/>
              </w:rPr>
              <w:t>(MNG)</w:t>
            </w:r>
          </w:p>
        </w:tc>
        <w:tc>
          <w:tcPr>
            <w:tcW w:w="1316" w:type="dxa"/>
            <w:tcBorders>
              <w:top w:val="single" w:sz="4" w:space="0" w:color="auto"/>
              <w:left w:val="single" w:sz="4" w:space="0" w:color="auto"/>
              <w:bottom w:val="single" w:sz="4" w:space="0" w:color="auto"/>
              <w:right w:val="single" w:sz="4" w:space="0" w:color="auto"/>
            </w:tcBorders>
            <w:vAlign w:val="center"/>
          </w:tcPr>
          <w:p w14:paraId="7FB57224"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EE8D067"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748FED09" w14:textId="77777777" w:rsidR="00C74DA0" w:rsidRPr="00C66E29" w:rsidRDefault="00C74DA0">
            <w:pPr>
              <w:pStyle w:val="Tabletext"/>
              <w:jc w:val="center"/>
              <w:rPr>
                <w:rFonts w:eastAsia="MS Mincho"/>
              </w:rPr>
            </w:pPr>
            <w:r w:rsidRPr="00C66E29">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50856895" w14:textId="77777777" w:rsidR="00C74DA0" w:rsidRPr="00C66E29" w:rsidRDefault="00C74DA0">
            <w:pPr>
              <w:pStyle w:val="Tabletext"/>
              <w:jc w:val="center"/>
              <w:rPr>
                <w:rFonts w:eastAsia="MS Mincho"/>
                <w:b/>
                <w:bCs/>
              </w:rPr>
            </w:pPr>
            <w:r w:rsidRPr="00C66E29">
              <w:rPr>
                <w:rFonts w:eastAsia="MS Mincho"/>
                <w:b/>
                <w:bCs/>
              </w:rPr>
              <w:t xml:space="preserve">9 </w:t>
            </w:r>
          </w:p>
          <w:p w14:paraId="2909EEC7" w14:textId="77777777" w:rsidR="00C74DA0" w:rsidRPr="00C66E29" w:rsidRDefault="00C74DA0">
            <w:pPr>
              <w:pStyle w:val="Tabletext"/>
              <w:jc w:val="center"/>
              <w:rPr>
                <w:rFonts w:eastAsia="MS Mincho"/>
              </w:rPr>
            </w:pPr>
            <w:r w:rsidRPr="00C66E29">
              <w:rPr>
                <w:rFonts w:eastAsia="MS Mincho"/>
              </w:rPr>
              <w:t>(1 (D); 2 (LUX); 5 (QAT</w:t>
            </w:r>
            <w:proofErr w:type="gramStart"/>
            <w:r w:rsidRPr="00C66E29">
              <w:rPr>
                <w:rFonts w:eastAsia="MS Mincho"/>
              </w:rPr>
              <w:t>);</w:t>
            </w:r>
            <w:proofErr w:type="gramEnd"/>
            <w:r w:rsidRPr="00C66E29">
              <w:rPr>
                <w:rFonts w:eastAsia="MS Mincho"/>
              </w:rPr>
              <w:t xml:space="preserve"> </w:t>
            </w:r>
          </w:p>
          <w:p w14:paraId="7D1A092D" w14:textId="77777777" w:rsidR="00C74DA0" w:rsidRPr="00C66E29" w:rsidRDefault="00C74DA0">
            <w:pPr>
              <w:pStyle w:val="Tabletext"/>
              <w:jc w:val="center"/>
              <w:rPr>
                <w:rFonts w:eastAsia="MS Mincho"/>
              </w:rPr>
            </w:pPr>
            <w:r w:rsidRPr="00C66E29">
              <w:rPr>
                <w:rFonts w:eastAsia="MS Mincho"/>
              </w:rPr>
              <w:t>1 (USA))</w:t>
            </w:r>
          </w:p>
        </w:tc>
      </w:tr>
      <w:tr w:rsidR="00C74DA0" w:rsidRPr="00F43E48" w14:paraId="2E3A840F"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A52B60F" w14:textId="77777777" w:rsidR="00C74DA0" w:rsidRPr="00C66E29" w:rsidRDefault="00C74DA0">
            <w:pPr>
              <w:pStyle w:val="Tabletext"/>
              <w:jc w:val="center"/>
              <w:rPr>
                <w:rFonts w:eastAsia="MS Mincho"/>
              </w:rPr>
            </w:pPr>
            <w:r w:rsidRPr="00C66E29">
              <w:rPr>
                <w:rFonts w:eastAsia="MS Mincho"/>
              </w:rPr>
              <w:t>1st Quarter</w:t>
            </w:r>
          </w:p>
          <w:p w14:paraId="221F02B1" w14:textId="77777777" w:rsidR="00C74DA0" w:rsidRPr="00C66E29" w:rsidRDefault="00C74DA0">
            <w:pPr>
              <w:pStyle w:val="Tabletext"/>
              <w:jc w:val="center"/>
              <w:rPr>
                <w:rFonts w:eastAsia="MS Mincho"/>
              </w:rPr>
            </w:pPr>
            <w:r w:rsidRPr="00C66E29">
              <w:rPr>
                <w:rFonts w:eastAsia="MS Mincho"/>
              </w:rPr>
              <w:t>(Jan - March)</w:t>
            </w:r>
          </w:p>
          <w:p w14:paraId="1AB6FE58" w14:textId="77777777" w:rsidR="00C74DA0" w:rsidRPr="00C66E29" w:rsidRDefault="00C74DA0">
            <w:pPr>
              <w:pStyle w:val="Tabletext"/>
              <w:jc w:val="center"/>
              <w:rPr>
                <w:rFonts w:eastAsia="MS Mincho"/>
              </w:rPr>
            </w:pPr>
            <w:r w:rsidRPr="00C66E29">
              <w:rPr>
                <w:rFonts w:eastAsia="MS Mincho"/>
              </w:rPr>
              <w:t>2023</w:t>
            </w:r>
          </w:p>
        </w:tc>
        <w:tc>
          <w:tcPr>
            <w:tcW w:w="1476" w:type="dxa"/>
            <w:tcBorders>
              <w:top w:val="single" w:sz="4" w:space="0" w:color="auto"/>
              <w:left w:val="single" w:sz="4" w:space="0" w:color="auto"/>
              <w:bottom w:val="single" w:sz="4" w:space="0" w:color="auto"/>
              <w:right w:val="single" w:sz="4" w:space="0" w:color="auto"/>
            </w:tcBorders>
            <w:vAlign w:val="center"/>
          </w:tcPr>
          <w:p w14:paraId="794838BA"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62B531B4"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C40A33A"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36C2C3EF"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68E375D3" w14:textId="77777777" w:rsidR="00C74DA0" w:rsidRPr="00C66E29" w:rsidRDefault="00C74DA0">
            <w:pPr>
              <w:pStyle w:val="Tabletext"/>
              <w:jc w:val="center"/>
              <w:rPr>
                <w:rFonts w:eastAsia="MS Mincho"/>
              </w:rPr>
            </w:pPr>
            <w:r w:rsidRPr="00C66E29">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792BFCDC" w14:textId="77777777" w:rsidR="00C74DA0" w:rsidRPr="00C66E29" w:rsidRDefault="00C74DA0">
            <w:pPr>
              <w:pStyle w:val="Tabletext"/>
              <w:jc w:val="center"/>
              <w:rPr>
                <w:rFonts w:eastAsia="MS Mincho"/>
                <w:b/>
                <w:bCs/>
                <w:lang w:val="es-ES_tradnl"/>
              </w:rPr>
            </w:pPr>
            <w:r w:rsidRPr="00C66E29">
              <w:rPr>
                <w:rFonts w:eastAsia="MS Mincho"/>
                <w:b/>
                <w:bCs/>
                <w:lang w:val="es-ES_tradnl"/>
              </w:rPr>
              <w:t xml:space="preserve">8 </w:t>
            </w:r>
          </w:p>
          <w:p w14:paraId="279082A1" w14:textId="77777777" w:rsidR="00C74DA0" w:rsidRPr="00C66E29" w:rsidRDefault="00C74DA0">
            <w:pPr>
              <w:pStyle w:val="Tabletext"/>
              <w:jc w:val="center"/>
              <w:rPr>
                <w:rFonts w:eastAsia="MS Mincho"/>
                <w:lang w:val="es-ES_tradnl"/>
              </w:rPr>
            </w:pPr>
            <w:r w:rsidRPr="00C66E29">
              <w:rPr>
                <w:rFonts w:eastAsia="MS Mincho"/>
                <w:lang w:val="es-ES_tradnl"/>
              </w:rPr>
              <w:t xml:space="preserve">(1 (ALG); </w:t>
            </w:r>
          </w:p>
          <w:p w14:paraId="6DF013F5" w14:textId="77777777" w:rsidR="00C74DA0" w:rsidRPr="00C66E29" w:rsidRDefault="00C74DA0">
            <w:pPr>
              <w:pStyle w:val="Tabletext"/>
              <w:jc w:val="center"/>
              <w:rPr>
                <w:rFonts w:eastAsia="MS Mincho"/>
                <w:lang w:val="es-ES_tradnl"/>
              </w:rPr>
            </w:pPr>
            <w:r w:rsidRPr="00C66E29">
              <w:rPr>
                <w:rFonts w:eastAsia="MS Mincho"/>
                <w:lang w:val="es-ES_tradnl"/>
              </w:rPr>
              <w:t>1 (CAN); 2 (E); 3 (F); 1 (USA))</w:t>
            </w:r>
          </w:p>
        </w:tc>
      </w:tr>
      <w:tr w:rsidR="00C74DA0" w:rsidRPr="00C66E29" w14:paraId="5DB74C9F" w14:textId="77777777">
        <w:trPr>
          <w:gridAfter w:val="1"/>
          <w:wAfter w:w="113" w:type="dxa"/>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15E8F637" w14:textId="77777777" w:rsidR="00C74DA0" w:rsidRPr="00C66E29" w:rsidRDefault="00C74DA0">
            <w:pPr>
              <w:pStyle w:val="Tabletext"/>
              <w:jc w:val="center"/>
              <w:rPr>
                <w:rFonts w:eastAsia="MS Mincho"/>
              </w:rPr>
            </w:pPr>
            <w:r w:rsidRPr="00C66E29">
              <w:rPr>
                <w:rFonts w:eastAsia="MS Mincho"/>
              </w:rPr>
              <w:t>2nd Quarter</w:t>
            </w:r>
          </w:p>
          <w:p w14:paraId="253A4964" w14:textId="77777777" w:rsidR="00C74DA0" w:rsidRPr="00C66E29" w:rsidRDefault="00C74DA0">
            <w:pPr>
              <w:pStyle w:val="Tabletext"/>
              <w:jc w:val="center"/>
              <w:rPr>
                <w:rFonts w:eastAsia="MS Mincho"/>
              </w:rPr>
            </w:pPr>
            <w:r w:rsidRPr="00C66E29">
              <w:rPr>
                <w:rFonts w:eastAsia="MS Mincho"/>
              </w:rPr>
              <w:t>(Apr. - May)</w:t>
            </w:r>
          </w:p>
          <w:p w14:paraId="481E37A7" w14:textId="77777777" w:rsidR="00C74DA0" w:rsidRPr="00C66E29" w:rsidRDefault="00C74DA0">
            <w:pPr>
              <w:pStyle w:val="Tabletext"/>
              <w:jc w:val="center"/>
              <w:rPr>
                <w:rFonts w:eastAsia="MS Mincho"/>
              </w:rPr>
            </w:pPr>
            <w:r w:rsidRPr="00C66E29">
              <w:rPr>
                <w:rFonts w:eastAsia="MS Mincho"/>
              </w:rPr>
              <w:t>2023</w:t>
            </w:r>
          </w:p>
        </w:tc>
        <w:tc>
          <w:tcPr>
            <w:tcW w:w="1476" w:type="dxa"/>
            <w:tcBorders>
              <w:top w:val="single" w:sz="4" w:space="0" w:color="auto"/>
              <w:left w:val="single" w:sz="4" w:space="0" w:color="auto"/>
              <w:bottom w:val="single" w:sz="4" w:space="0" w:color="auto"/>
              <w:right w:val="single" w:sz="4" w:space="0" w:color="auto"/>
            </w:tcBorders>
            <w:vAlign w:val="center"/>
          </w:tcPr>
          <w:p w14:paraId="4A49CF98" w14:textId="77777777" w:rsidR="00C74DA0" w:rsidRPr="00C66E29" w:rsidRDefault="00C74DA0">
            <w:pPr>
              <w:pStyle w:val="Tabletext"/>
              <w:jc w:val="center"/>
              <w:rPr>
                <w:rFonts w:eastAsia="MS Mincho"/>
              </w:rPr>
            </w:pPr>
            <w:r w:rsidRPr="00C66E29">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14:paraId="0CADD077" w14:textId="77777777" w:rsidR="00C74DA0" w:rsidRPr="00C66E29" w:rsidRDefault="00C74DA0">
            <w:pPr>
              <w:pStyle w:val="Tabletext"/>
              <w:jc w:val="center"/>
              <w:rPr>
                <w:rFonts w:eastAsia="MS Mincho"/>
              </w:rPr>
            </w:pPr>
            <w:r w:rsidRPr="00C66E29">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03231B55" w14:textId="77777777" w:rsidR="00C74DA0" w:rsidRPr="00C66E29" w:rsidRDefault="00C74DA0">
            <w:pPr>
              <w:pStyle w:val="Tabletext"/>
              <w:jc w:val="center"/>
              <w:rPr>
                <w:rFonts w:eastAsia="MS Mincho"/>
              </w:rPr>
            </w:pPr>
            <w:r w:rsidRPr="00C66E29">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74DC44E5" w14:textId="77777777" w:rsidR="00C74DA0" w:rsidRPr="00C66E29" w:rsidRDefault="00C74DA0">
            <w:pPr>
              <w:pStyle w:val="Tabletext"/>
              <w:jc w:val="center"/>
              <w:rPr>
                <w:rFonts w:eastAsia="MS Mincho"/>
              </w:rPr>
            </w:pPr>
            <w:r w:rsidRPr="00C66E29">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14:paraId="414C0E2A" w14:textId="77777777" w:rsidR="00C74DA0" w:rsidRPr="00C66E29" w:rsidRDefault="00C74DA0">
            <w:pPr>
              <w:pStyle w:val="Tabletext"/>
              <w:jc w:val="center"/>
              <w:rPr>
                <w:rFonts w:eastAsia="MS Mincho"/>
              </w:rPr>
            </w:pPr>
            <w:r w:rsidRPr="00C66E29">
              <w:rPr>
                <w:rFonts w:eastAsia="MS Mincho"/>
              </w:rPr>
              <w:t>0</w:t>
            </w:r>
          </w:p>
        </w:tc>
        <w:tc>
          <w:tcPr>
            <w:tcW w:w="1446" w:type="dxa"/>
            <w:tcBorders>
              <w:top w:val="single" w:sz="4" w:space="0" w:color="auto"/>
              <w:left w:val="single" w:sz="4" w:space="0" w:color="auto"/>
              <w:bottom w:val="single" w:sz="4" w:space="0" w:color="auto"/>
              <w:right w:val="single" w:sz="4" w:space="0" w:color="auto"/>
            </w:tcBorders>
            <w:vAlign w:val="center"/>
          </w:tcPr>
          <w:p w14:paraId="1DC82D50" w14:textId="77777777" w:rsidR="00C74DA0" w:rsidRPr="00C66E29" w:rsidRDefault="00C74DA0">
            <w:pPr>
              <w:pStyle w:val="Tabletext"/>
              <w:jc w:val="center"/>
              <w:rPr>
                <w:rFonts w:eastAsia="MS Mincho"/>
                <w:b/>
                <w:bCs/>
                <w:lang w:val="es-ES_tradnl"/>
              </w:rPr>
            </w:pPr>
            <w:r w:rsidRPr="00C66E29">
              <w:rPr>
                <w:rFonts w:eastAsia="MS Mincho"/>
                <w:b/>
                <w:bCs/>
                <w:lang w:val="es-ES_tradnl"/>
              </w:rPr>
              <w:t xml:space="preserve">1 </w:t>
            </w:r>
          </w:p>
          <w:p w14:paraId="237F178D" w14:textId="77777777" w:rsidR="00C74DA0" w:rsidRPr="00C66E29" w:rsidRDefault="00C74DA0">
            <w:pPr>
              <w:pStyle w:val="Tabletext"/>
              <w:jc w:val="center"/>
              <w:rPr>
                <w:rFonts w:eastAsia="MS Mincho"/>
                <w:b/>
                <w:bCs/>
                <w:lang w:val="es-ES_tradnl"/>
              </w:rPr>
            </w:pPr>
            <w:r w:rsidRPr="00C66E29">
              <w:rPr>
                <w:rFonts w:eastAsia="MS Mincho"/>
                <w:lang w:val="es-ES_tradnl"/>
              </w:rPr>
              <w:t>(1 (F))</w:t>
            </w:r>
          </w:p>
        </w:tc>
      </w:tr>
      <w:tr w:rsidR="00C74DA0" w:rsidRPr="00C66E29" w14:paraId="6D7801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47" w:type="dxa"/>
            <w:gridSpan w:val="8"/>
            <w:shd w:val="clear" w:color="auto" w:fill="FFFFFF"/>
          </w:tcPr>
          <w:p w14:paraId="0498D137" w14:textId="77777777" w:rsidR="00C74DA0" w:rsidRPr="00C66E29" w:rsidRDefault="00C74DA0">
            <w:pPr>
              <w:pStyle w:val="Tablelegend"/>
              <w:rPr>
                <w:rFonts w:cstheme="minorHAnsi"/>
                <w:szCs w:val="18"/>
                <w:lang w:eastAsia="zh-CN"/>
              </w:rPr>
            </w:pPr>
            <w:r w:rsidRPr="00C66E29">
              <w:rPr>
                <w:rFonts w:cstheme="minorHAnsi"/>
                <w:iCs/>
                <w:szCs w:val="18"/>
                <w:lang w:eastAsia="zh-CN"/>
              </w:rPr>
              <w:t>*</w:t>
            </w:r>
            <w:r w:rsidRPr="00C66E29">
              <w:rPr>
                <w:rFonts w:cstheme="minorHAnsi"/>
                <w:szCs w:val="18"/>
                <w:lang w:eastAsia="zh-CN"/>
              </w:rPr>
              <w:t xml:space="preserve"> Notices for additional use with service area and coverage beyond the national territory of notifying administration.</w:t>
            </w:r>
          </w:p>
          <w:p w14:paraId="759EF05C" w14:textId="77777777" w:rsidR="00C74DA0" w:rsidRPr="00C66E29" w:rsidRDefault="00C74DA0">
            <w:pPr>
              <w:pStyle w:val="Tabletext"/>
              <w:rPr>
                <w:rFonts w:cstheme="minorHAnsi"/>
                <w:sz w:val="18"/>
                <w:szCs w:val="18"/>
              </w:rPr>
            </w:pPr>
            <w:r w:rsidRPr="00C66E29">
              <w:rPr>
                <w:rFonts w:cstheme="minorHAnsi"/>
                <w:sz w:val="18"/>
                <w:szCs w:val="18"/>
                <w:lang w:eastAsia="zh-CN"/>
              </w:rPr>
              <w:t xml:space="preserve">** Notices under Article 7 of Appendix </w:t>
            </w:r>
            <w:r w:rsidRPr="00C66E29">
              <w:rPr>
                <w:rFonts w:cstheme="minorHAnsi"/>
                <w:b/>
                <w:bCs/>
                <w:sz w:val="18"/>
                <w:szCs w:val="18"/>
                <w:lang w:eastAsia="zh-CN"/>
              </w:rPr>
              <w:t>30B</w:t>
            </w:r>
            <w:r w:rsidRPr="00C66E29">
              <w:rPr>
                <w:rFonts w:cstheme="minorHAnsi"/>
                <w:sz w:val="18"/>
                <w:szCs w:val="18"/>
                <w:lang w:eastAsia="zh-CN"/>
              </w:rPr>
              <w:t xml:space="preserve"> (request from a new Member State for a new allotment in the Plan).</w:t>
            </w:r>
          </w:p>
        </w:tc>
      </w:tr>
    </w:tbl>
    <w:p w14:paraId="2FD573AF" w14:textId="77777777" w:rsidR="00C74DA0" w:rsidRPr="00C66E29" w:rsidRDefault="00C74DA0" w:rsidP="00BF0888">
      <w:pPr>
        <w:pStyle w:val="Tablefin"/>
      </w:pPr>
    </w:p>
    <w:p w14:paraId="2AC3BC4B" w14:textId="77777777" w:rsidR="00C74DA0" w:rsidRPr="00C66E29" w:rsidRDefault="00C74DA0" w:rsidP="00C74DA0">
      <w:pPr>
        <w:pStyle w:val="Heading4"/>
      </w:pPr>
      <w:r w:rsidRPr="00C66E29">
        <w:t>2.3.2.1</w:t>
      </w:r>
      <w:r w:rsidRPr="00C66E29">
        <w:tab/>
        <w:t>Treatment time in the processing of requests for AP30B</w:t>
      </w:r>
      <w:r w:rsidRPr="00C66E29">
        <w:rPr>
          <w:i/>
          <w:iCs/>
        </w:rPr>
        <w:t xml:space="preserve"> </w:t>
      </w:r>
    </w:p>
    <w:p w14:paraId="321B5A2B" w14:textId="77777777" w:rsidR="00C74DA0" w:rsidRPr="00C66E29" w:rsidRDefault="00C74DA0" w:rsidP="00C74DA0">
      <w:pPr>
        <w:pStyle w:val="Figurewithouttitle"/>
      </w:pPr>
      <w:r w:rsidRPr="00C66E29">
        <w:rPr>
          <w:noProof/>
        </w:rPr>
        <w:drawing>
          <wp:inline distT="0" distB="0" distL="0" distR="0" wp14:anchorId="62057CD5" wp14:editId="0792D7D1">
            <wp:extent cx="5867400" cy="2902527"/>
            <wp:effectExtent l="0" t="0" r="0" b="0"/>
            <wp:docPr id="17" name="Picture 17" descr="A graph with lines and numb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with lines and numbers&#10;&#10;Description automatically generated with low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79913" cy="2908717"/>
                    </a:xfrm>
                    <a:prstGeom prst="rect">
                      <a:avLst/>
                    </a:prstGeom>
                    <a:noFill/>
                  </pic:spPr>
                </pic:pic>
              </a:graphicData>
            </a:graphic>
          </wp:inline>
        </w:drawing>
      </w:r>
      <w:r w:rsidRPr="00C66E29">
        <w:t xml:space="preserve"> </w:t>
      </w:r>
    </w:p>
    <w:p w14:paraId="5E5F040D" w14:textId="7BB616B0" w:rsidR="00C74DA0" w:rsidRPr="00C66E29" w:rsidRDefault="00C74DA0" w:rsidP="00A2231A">
      <w:r w:rsidRPr="00C66E29">
        <w:t xml:space="preserve">The Figure </w:t>
      </w:r>
      <w:r w:rsidR="00A2231A" w:rsidRPr="00C66E29">
        <w:t xml:space="preserve">above </w:t>
      </w:r>
      <w:r w:rsidRPr="00C66E29">
        <w:t xml:space="preserve">shows the statistics on the treatment time in the processing of requests for the application of Articles </w:t>
      </w:r>
      <w:r w:rsidRPr="00C66E29">
        <w:rPr>
          <w:bCs/>
        </w:rPr>
        <w:t>6</w:t>
      </w:r>
      <w:r w:rsidRPr="00C66E29">
        <w:t xml:space="preserve"> and </w:t>
      </w:r>
      <w:r w:rsidRPr="00C66E29">
        <w:rPr>
          <w:bCs/>
        </w:rPr>
        <w:t>7</w:t>
      </w:r>
      <w:r w:rsidRPr="00C66E29">
        <w:t xml:space="preserve"> of Appendix </w:t>
      </w:r>
      <w:r w:rsidRPr="00C66E29">
        <w:rPr>
          <w:b/>
        </w:rPr>
        <w:t>30B</w:t>
      </w:r>
      <w:r w:rsidRPr="00C66E29">
        <w:t xml:space="preserve"> in the 2019-2023 period. These statistics are regularly </w:t>
      </w:r>
      <w:proofErr w:type="gramStart"/>
      <w:r w:rsidRPr="00C66E29">
        <w:t>updated</w:t>
      </w:r>
      <w:proofErr w:type="gramEnd"/>
      <w:r w:rsidRPr="00C66E29">
        <w:t xml:space="preserve"> and the latest version may be found at: </w:t>
      </w:r>
      <w:hyperlink r:id="rId48" w:history="1">
        <w:r w:rsidRPr="00C66E29">
          <w:rPr>
            <w:rStyle w:val="Hyperlink"/>
          </w:rPr>
          <w:t>http://www.itu.int/en/ITU-R/space/Pages/Statistics.aspx</w:t>
        </w:r>
      </w:hyperlink>
      <w:r w:rsidRPr="00C66E29">
        <w:t>.</w:t>
      </w:r>
    </w:p>
    <w:p w14:paraId="7E2B5E28" w14:textId="5B85D3A7" w:rsidR="00C74DA0" w:rsidRPr="00C66E29" w:rsidRDefault="00C74DA0" w:rsidP="00C74DA0">
      <w:pPr>
        <w:pStyle w:val="Heading4"/>
      </w:pPr>
      <w:r w:rsidRPr="00C66E29">
        <w:t>2.3.2.2</w:t>
      </w:r>
      <w:r w:rsidRPr="00C66E29">
        <w:tab/>
        <w:t>Resolution 148 (WRC</w:t>
      </w:r>
      <w:r w:rsidRPr="00C66E29">
        <w:noBreakHyphen/>
        <w:t>07)</w:t>
      </w:r>
    </w:p>
    <w:p w14:paraId="60C812E6" w14:textId="77777777" w:rsidR="00C74DA0" w:rsidRPr="00C66E29" w:rsidRDefault="00C74DA0" w:rsidP="00A2231A">
      <w:r w:rsidRPr="00C66E29">
        <w:t xml:space="preserve">There is nothing to report for the period 2019-2023 in relation to Resolution </w:t>
      </w:r>
      <w:r w:rsidRPr="00C66E29">
        <w:rPr>
          <w:b/>
          <w:bCs/>
        </w:rPr>
        <w:t>148</w:t>
      </w:r>
      <w:r w:rsidRPr="00C66E29">
        <w:t xml:space="preserve"> </w:t>
      </w:r>
      <w:r w:rsidRPr="004B7D32">
        <w:rPr>
          <w:b/>
          <w:bCs/>
        </w:rPr>
        <w:t>(WRC-07)</w:t>
      </w:r>
      <w:r w:rsidRPr="00C66E29">
        <w:t xml:space="preserve"> –Satellite systems formerly listed in Part B of the Plan of Appendix </w:t>
      </w:r>
      <w:r w:rsidRPr="00C66E29">
        <w:rPr>
          <w:b/>
          <w:bCs/>
        </w:rPr>
        <w:t>30B (WARC Orb-88)</w:t>
      </w:r>
      <w:r w:rsidRPr="00C66E29">
        <w:t>.</w:t>
      </w:r>
    </w:p>
    <w:p w14:paraId="7689F0D2" w14:textId="77777777" w:rsidR="00C74DA0" w:rsidRPr="00C66E29" w:rsidRDefault="00C74DA0" w:rsidP="00C74DA0">
      <w:pPr>
        <w:pStyle w:val="Heading4"/>
      </w:pPr>
      <w:r w:rsidRPr="00C66E29">
        <w:t>2.3.2.3</w:t>
      </w:r>
      <w:r w:rsidRPr="00C66E29">
        <w:tab/>
        <w:t>Resolution 149 (Rev.WRC</w:t>
      </w:r>
      <w:r w:rsidRPr="00C66E29">
        <w:noBreakHyphen/>
        <w:t>12)</w:t>
      </w:r>
    </w:p>
    <w:p w14:paraId="24E89E61" w14:textId="0170E91A" w:rsidR="00C74DA0" w:rsidRPr="00C66E29" w:rsidRDefault="00C74DA0" w:rsidP="00A2231A">
      <w:r w:rsidRPr="00C66E29">
        <w:t xml:space="preserve">During period 2019-2023 the Bureau received 7 (seven) submissions from new Member States of the Union which do not have a national allotment in the Plan or an assignment in the List stemming from the conversion of an allotment (subject of Resolution </w:t>
      </w:r>
      <w:r w:rsidRPr="00C66E29">
        <w:rPr>
          <w:b/>
          <w:bCs/>
        </w:rPr>
        <w:t>149 (Rev.WRC</w:t>
      </w:r>
      <w:r w:rsidRPr="00C66E29">
        <w:rPr>
          <w:b/>
          <w:bCs/>
        </w:rPr>
        <w:noBreakHyphen/>
        <w:t xml:space="preserve">12) </w:t>
      </w:r>
      <w:r w:rsidR="00B35D7C">
        <w:t>−</w:t>
      </w:r>
      <w:r w:rsidRPr="00C66E29">
        <w:t xml:space="preserve"> Submissions from new Member States of the Union relating to Appendix </w:t>
      </w:r>
      <w:r w:rsidRPr="00C66E29">
        <w:rPr>
          <w:b/>
          <w:bCs/>
        </w:rPr>
        <w:t>30B</w:t>
      </w:r>
      <w:r w:rsidRPr="00C66E29">
        <w:t xml:space="preserve"> of the Radio Regulations).</w:t>
      </w:r>
    </w:p>
    <w:p w14:paraId="0B10ACE8" w14:textId="77777777" w:rsidR="00C74DA0" w:rsidRDefault="00C74DA0" w:rsidP="00A2231A">
      <w:r w:rsidRPr="00C66E29">
        <w:t>Results of treatment of these submissions may be found in the following Special Sections:</w:t>
      </w:r>
    </w:p>
    <w:p w14:paraId="52F4EFDB" w14:textId="77777777" w:rsidR="00A2231A" w:rsidRPr="00C66E29" w:rsidRDefault="00A2231A" w:rsidP="00A2231A"/>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C74DA0" w:rsidRPr="00C66E29" w14:paraId="04C390FF" w14:textId="77777777" w:rsidTr="00A2231A">
        <w:trPr>
          <w:tblHeader/>
          <w:jc w:val="center"/>
        </w:trPr>
        <w:tc>
          <w:tcPr>
            <w:tcW w:w="1403" w:type="dxa"/>
            <w:shd w:val="clear" w:color="auto" w:fill="auto"/>
            <w:tcMar>
              <w:top w:w="0" w:type="dxa"/>
              <w:left w:w="108" w:type="dxa"/>
              <w:bottom w:w="0" w:type="dxa"/>
              <w:right w:w="108" w:type="dxa"/>
            </w:tcMar>
            <w:hideMark/>
          </w:tcPr>
          <w:p w14:paraId="19C60691" w14:textId="77777777" w:rsidR="00C74DA0" w:rsidRPr="00C66E29" w:rsidRDefault="00C74DA0" w:rsidP="00A2231A">
            <w:pPr>
              <w:pStyle w:val="Tablehead"/>
              <w:rPr>
                <w:lang w:eastAsia="it-IT"/>
              </w:rPr>
            </w:pPr>
            <w:r w:rsidRPr="00C66E29">
              <w:rPr>
                <w:lang w:eastAsia="it-IT"/>
              </w:rPr>
              <w:t>Notifying ADM</w:t>
            </w:r>
          </w:p>
        </w:tc>
        <w:tc>
          <w:tcPr>
            <w:tcW w:w="3118" w:type="dxa"/>
            <w:shd w:val="clear" w:color="auto" w:fill="auto"/>
            <w:tcMar>
              <w:top w:w="0" w:type="dxa"/>
              <w:left w:w="108" w:type="dxa"/>
              <w:bottom w:w="0" w:type="dxa"/>
              <w:right w:w="108" w:type="dxa"/>
            </w:tcMar>
            <w:hideMark/>
          </w:tcPr>
          <w:p w14:paraId="7DFEFCBF" w14:textId="60B505DB" w:rsidR="00C74DA0" w:rsidRPr="00C66E29" w:rsidRDefault="00C74DA0" w:rsidP="00A2231A">
            <w:pPr>
              <w:pStyle w:val="Tablehead"/>
              <w:rPr>
                <w:lang w:eastAsia="it-IT"/>
              </w:rPr>
            </w:pPr>
            <w:r w:rsidRPr="00C66E29">
              <w:rPr>
                <w:lang w:eastAsia="it-IT"/>
              </w:rPr>
              <w:t xml:space="preserve">Network Name </w:t>
            </w:r>
            <w:r w:rsidR="00A2231A">
              <w:rPr>
                <w:lang w:eastAsia="it-IT"/>
              </w:rPr>
              <w:br/>
            </w:r>
            <w:r w:rsidRPr="00C66E29">
              <w:rPr>
                <w:lang w:eastAsia="it-IT"/>
              </w:rPr>
              <w:t>(Orbital position)</w:t>
            </w:r>
          </w:p>
        </w:tc>
        <w:tc>
          <w:tcPr>
            <w:tcW w:w="4536" w:type="dxa"/>
            <w:shd w:val="clear" w:color="auto" w:fill="auto"/>
          </w:tcPr>
          <w:p w14:paraId="58F687C6" w14:textId="3F5F25B5" w:rsidR="00C74DA0" w:rsidRPr="00C66E29" w:rsidRDefault="00C74DA0" w:rsidP="00A2231A">
            <w:pPr>
              <w:pStyle w:val="Tablehead"/>
              <w:rPr>
                <w:lang w:eastAsia="it-IT"/>
              </w:rPr>
            </w:pPr>
            <w:r w:rsidRPr="00C66E29">
              <w:rPr>
                <w:lang w:eastAsia="it-IT"/>
              </w:rPr>
              <w:t>Special Sections</w:t>
            </w:r>
          </w:p>
        </w:tc>
      </w:tr>
      <w:tr w:rsidR="00C74DA0" w:rsidRPr="00C66E29" w14:paraId="28D2701B" w14:textId="77777777">
        <w:trPr>
          <w:jc w:val="center"/>
        </w:trPr>
        <w:tc>
          <w:tcPr>
            <w:tcW w:w="1403" w:type="dxa"/>
            <w:tcMar>
              <w:top w:w="0" w:type="dxa"/>
              <w:left w:w="108" w:type="dxa"/>
              <w:bottom w:w="0" w:type="dxa"/>
              <w:right w:w="108" w:type="dxa"/>
            </w:tcMar>
            <w:hideMark/>
          </w:tcPr>
          <w:p w14:paraId="5D9E46D9" w14:textId="77777777" w:rsidR="00C74DA0" w:rsidRPr="00C66E29" w:rsidRDefault="00C74DA0" w:rsidP="00A2231A">
            <w:pPr>
              <w:pStyle w:val="Tabletext"/>
              <w:jc w:val="center"/>
              <w:rPr>
                <w:rFonts w:eastAsia="Calibri"/>
              </w:rPr>
            </w:pPr>
            <w:r w:rsidRPr="00C66E29">
              <w:rPr>
                <w:rFonts w:eastAsia="Calibri"/>
              </w:rPr>
              <w:t>SRB</w:t>
            </w:r>
          </w:p>
        </w:tc>
        <w:tc>
          <w:tcPr>
            <w:tcW w:w="3118" w:type="dxa"/>
            <w:tcMar>
              <w:top w:w="0" w:type="dxa"/>
              <w:left w:w="108" w:type="dxa"/>
              <w:bottom w:w="0" w:type="dxa"/>
              <w:right w:w="108" w:type="dxa"/>
            </w:tcMar>
            <w:hideMark/>
          </w:tcPr>
          <w:p w14:paraId="1C10E639" w14:textId="77777777" w:rsidR="00C74DA0" w:rsidRPr="00C66E29" w:rsidRDefault="00C74DA0" w:rsidP="00A2231A">
            <w:pPr>
              <w:pStyle w:val="Tabletext"/>
              <w:jc w:val="center"/>
              <w:rPr>
                <w:rFonts w:eastAsia="Calibri"/>
              </w:rPr>
            </w:pPr>
            <w:r w:rsidRPr="00C66E29">
              <w:rPr>
                <w:rFonts w:eastAsia="Calibri"/>
              </w:rPr>
              <w:t>SRB00000 (26.7W)</w:t>
            </w:r>
          </w:p>
        </w:tc>
        <w:tc>
          <w:tcPr>
            <w:tcW w:w="4536" w:type="dxa"/>
            <w:hideMark/>
          </w:tcPr>
          <w:p w14:paraId="3A3F48A3" w14:textId="1BA8ABF8" w:rsidR="00C74DA0" w:rsidRPr="00C66E29" w:rsidRDefault="00C74DA0" w:rsidP="00B35D7C">
            <w:pPr>
              <w:pStyle w:val="Tabletext"/>
              <w:jc w:val="center"/>
              <w:rPr>
                <w:rFonts w:eastAsia="Calibri"/>
              </w:rPr>
            </w:pPr>
            <w:r w:rsidRPr="00C66E29">
              <w:rPr>
                <w:rFonts w:eastAsia="Calibri"/>
              </w:rPr>
              <w:t>AP30B/A6A/605 (IFIC 2936 of 22.12.2020)</w:t>
            </w:r>
          </w:p>
        </w:tc>
      </w:tr>
      <w:tr w:rsidR="00C74DA0" w:rsidRPr="00C66E29" w14:paraId="345B624B" w14:textId="77777777">
        <w:trPr>
          <w:jc w:val="center"/>
        </w:trPr>
        <w:tc>
          <w:tcPr>
            <w:tcW w:w="1403" w:type="dxa"/>
            <w:tcMar>
              <w:top w:w="0" w:type="dxa"/>
              <w:left w:w="108" w:type="dxa"/>
              <w:bottom w:w="0" w:type="dxa"/>
              <w:right w:w="108" w:type="dxa"/>
            </w:tcMar>
          </w:tcPr>
          <w:p w14:paraId="2C237BF3" w14:textId="77777777" w:rsidR="00C74DA0" w:rsidRPr="00C66E29" w:rsidRDefault="00C74DA0" w:rsidP="00A2231A">
            <w:pPr>
              <w:pStyle w:val="Tabletext"/>
              <w:jc w:val="center"/>
              <w:rPr>
                <w:rFonts w:eastAsia="Calibri"/>
              </w:rPr>
            </w:pPr>
            <w:r w:rsidRPr="00C66E29">
              <w:rPr>
                <w:rFonts w:eastAsia="Calibri"/>
              </w:rPr>
              <w:t>MKD</w:t>
            </w:r>
          </w:p>
        </w:tc>
        <w:tc>
          <w:tcPr>
            <w:tcW w:w="3118" w:type="dxa"/>
            <w:tcMar>
              <w:top w:w="0" w:type="dxa"/>
              <w:left w:w="108" w:type="dxa"/>
              <w:bottom w:w="0" w:type="dxa"/>
              <w:right w:w="108" w:type="dxa"/>
            </w:tcMar>
          </w:tcPr>
          <w:p w14:paraId="6856DF55" w14:textId="77777777" w:rsidR="00C74DA0" w:rsidRPr="00C66E29" w:rsidRDefault="00C74DA0" w:rsidP="00A2231A">
            <w:pPr>
              <w:pStyle w:val="Tabletext"/>
              <w:jc w:val="center"/>
              <w:rPr>
                <w:rFonts w:eastAsia="Calibri"/>
              </w:rPr>
            </w:pPr>
            <w:r w:rsidRPr="00C66E29">
              <w:rPr>
                <w:rFonts w:eastAsia="Calibri"/>
              </w:rPr>
              <w:t>MKD00000 (16.7W)</w:t>
            </w:r>
          </w:p>
        </w:tc>
        <w:tc>
          <w:tcPr>
            <w:tcW w:w="4536" w:type="dxa"/>
          </w:tcPr>
          <w:p w14:paraId="67C2B9B6" w14:textId="77777777" w:rsidR="00C74DA0" w:rsidRPr="00C66E29" w:rsidRDefault="00C74DA0" w:rsidP="00A2231A">
            <w:pPr>
              <w:pStyle w:val="Tabletext"/>
              <w:jc w:val="center"/>
              <w:rPr>
                <w:rFonts w:eastAsia="Calibri"/>
              </w:rPr>
            </w:pPr>
            <w:r w:rsidRPr="00C66E29">
              <w:rPr>
                <w:rFonts w:eastAsia="Calibri"/>
              </w:rPr>
              <w:t>AP30B/A6A/606 (IFIC 2938 of 26.01.2021)</w:t>
            </w:r>
          </w:p>
        </w:tc>
      </w:tr>
      <w:tr w:rsidR="00C74DA0" w:rsidRPr="00C66E29" w14:paraId="4B08FD66" w14:textId="77777777">
        <w:trPr>
          <w:jc w:val="center"/>
        </w:trPr>
        <w:tc>
          <w:tcPr>
            <w:tcW w:w="1403" w:type="dxa"/>
            <w:tcMar>
              <w:top w:w="0" w:type="dxa"/>
              <w:left w:w="108" w:type="dxa"/>
              <w:bottom w:w="0" w:type="dxa"/>
              <w:right w:w="108" w:type="dxa"/>
            </w:tcMar>
          </w:tcPr>
          <w:p w14:paraId="30D6B5A8" w14:textId="77777777" w:rsidR="00C74DA0" w:rsidRPr="00C66E29" w:rsidRDefault="00C74DA0" w:rsidP="00A2231A">
            <w:pPr>
              <w:pStyle w:val="Tabletext"/>
              <w:jc w:val="center"/>
              <w:rPr>
                <w:rFonts w:eastAsia="Calibri"/>
              </w:rPr>
            </w:pPr>
            <w:r w:rsidRPr="00C66E29">
              <w:rPr>
                <w:rFonts w:eastAsia="Calibri"/>
              </w:rPr>
              <w:t>BIH</w:t>
            </w:r>
          </w:p>
        </w:tc>
        <w:tc>
          <w:tcPr>
            <w:tcW w:w="3118" w:type="dxa"/>
            <w:tcMar>
              <w:top w:w="0" w:type="dxa"/>
              <w:left w:w="108" w:type="dxa"/>
              <w:bottom w:w="0" w:type="dxa"/>
              <w:right w:w="108" w:type="dxa"/>
            </w:tcMar>
          </w:tcPr>
          <w:p w14:paraId="3803C2C7" w14:textId="77777777" w:rsidR="00C74DA0" w:rsidRPr="00C66E29" w:rsidRDefault="00C74DA0" w:rsidP="00A2231A">
            <w:pPr>
              <w:pStyle w:val="Tabletext"/>
              <w:jc w:val="center"/>
              <w:rPr>
                <w:rFonts w:eastAsia="Calibri"/>
              </w:rPr>
            </w:pPr>
            <w:r w:rsidRPr="00C66E29">
              <w:rPr>
                <w:rFonts w:eastAsia="Calibri"/>
              </w:rPr>
              <w:t>BIH00000 (46.0E)</w:t>
            </w:r>
          </w:p>
        </w:tc>
        <w:tc>
          <w:tcPr>
            <w:tcW w:w="4536" w:type="dxa"/>
          </w:tcPr>
          <w:p w14:paraId="0354107B" w14:textId="77777777" w:rsidR="00C74DA0" w:rsidRPr="00C66E29" w:rsidRDefault="00C74DA0" w:rsidP="00A2231A">
            <w:pPr>
              <w:pStyle w:val="Tabletext"/>
              <w:jc w:val="center"/>
              <w:rPr>
                <w:rFonts w:eastAsia="Calibri"/>
              </w:rPr>
            </w:pPr>
            <w:r w:rsidRPr="00C66E29">
              <w:rPr>
                <w:rFonts w:eastAsia="Calibri"/>
              </w:rPr>
              <w:t>AP30B/A6A/607 (IFIC 2941 of 09.03.2021)</w:t>
            </w:r>
          </w:p>
        </w:tc>
      </w:tr>
      <w:tr w:rsidR="00C74DA0" w:rsidRPr="00C66E29" w14:paraId="4E5FAF07" w14:textId="77777777">
        <w:trPr>
          <w:jc w:val="center"/>
        </w:trPr>
        <w:tc>
          <w:tcPr>
            <w:tcW w:w="1403" w:type="dxa"/>
            <w:tcMar>
              <w:top w:w="0" w:type="dxa"/>
              <w:left w:w="108" w:type="dxa"/>
              <w:bottom w:w="0" w:type="dxa"/>
              <w:right w:w="108" w:type="dxa"/>
            </w:tcMar>
          </w:tcPr>
          <w:p w14:paraId="32EE0D2C" w14:textId="77777777" w:rsidR="00C74DA0" w:rsidRPr="00C66E29" w:rsidRDefault="00C74DA0" w:rsidP="00A2231A">
            <w:pPr>
              <w:pStyle w:val="Tabletext"/>
              <w:jc w:val="center"/>
              <w:rPr>
                <w:rFonts w:eastAsia="Calibri"/>
              </w:rPr>
            </w:pPr>
            <w:r w:rsidRPr="00C66E29">
              <w:rPr>
                <w:rFonts w:eastAsia="Calibri"/>
              </w:rPr>
              <w:t>MDA</w:t>
            </w:r>
          </w:p>
        </w:tc>
        <w:tc>
          <w:tcPr>
            <w:tcW w:w="3118" w:type="dxa"/>
            <w:tcMar>
              <w:top w:w="0" w:type="dxa"/>
              <w:left w:w="108" w:type="dxa"/>
              <w:bottom w:w="0" w:type="dxa"/>
              <w:right w:w="108" w:type="dxa"/>
            </w:tcMar>
          </w:tcPr>
          <w:p w14:paraId="717C16AA" w14:textId="77777777" w:rsidR="00C74DA0" w:rsidRPr="00C66E29" w:rsidRDefault="00C74DA0" w:rsidP="00A2231A">
            <w:pPr>
              <w:pStyle w:val="Tabletext"/>
              <w:jc w:val="center"/>
              <w:rPr>
                <w:rFonts w:eastAsia="Calibri"/>
              </w:rPr>
            </w:pPr>
            <w:r w:rsidRPr="00C66E29">
              <w:rPr>
                <w:rFonts w:eastAsia="Calibri"/>
              </w:rPr>
              <w:t>MDA00000 (75.1E)</w:t>
            </w:r>
          </w:p>
        </w:tc>
        <w:tc>
          <w:tcPr>
            <w:tcW w:w="4536" w:type="dxa"/>
          </w:tcPr>
          <w:p w14:paraId="407E751D" w14:textId="77777777" w:rsidR="00C74DA0" w:rsidRPr="00C66E29" w:rsidRDefault="00C74DA0" w:rsidP="00A2231A">
            <w:pPr>
              <w:pStyle w:val="Tabletext"/>
              <w:jc w:val="center"/>
              <w:rPr>
                <w:rFonts w:eastAsia="Calibri"/>
              </w:rPr>
            </w:pPr>
            <w:r w:rsidRPr="00C66E29">
              <w:rPr>
                <w:rFonts w:eastAsia="Calibri"/>
              </w:rPr>
              <w:t>AP30B/A6A/608 (IFIC 2943 of 06.04.2021)</w:t>
            </w:r>
          </w:p>
        </w:tc>
      </w:tr>
      <w:tr w:rsidR="00C74DA0" w:rsidRPr="00C66E29" w14:paraId="393094AC" w14:textId="77777777">
        <w:trPr>
          <w:jc w:val="center"/>
        </w:trPr>
        <w:tc>
          <w:tcPr>
            <w:tcW w:w="1403" w:type="dxa"/>
            <w:tcMar>
              <w:top w:w="0" w:type="dxa"/>
              <w:left w:w="108" w:type="dxa"/>
              <w:bottom w:w="0" w:type="dxa"/>
              <w:right w:w="108" w:type="dxa"/>
            </w:tcMar>
          </w:tcPr>
          <w:p w14:paraId="47CA830C" w14:textId="77777777" w:rsidR="00C74DA0" w:rsidRPr="00C66E29" w:rsidRDefault="00C74DA0" w:rsidP="00A2231A">
            <w:pPr>
              <w:pStyle w:val="Tabletext"/>
              <w:jc w:val="center"/>
              <w:rPr>
                <w:rFonts w:eastAsia="Calibri"/>
              </w:rPr>
            </w:pPr>
            <w:r w:rsidRPr="00C66E29">
              <w:rPr>
                <w:rFonts w:eastAsia="Calibri"/>
              </w:rPr>
              <w:t>SSD</w:t>
            </w:r>
          </w:p>
        </w:tc>
        <w:tc>
          <w:tcPr>
            <w:tcW w:w="3118" w:type="dxa"/>
            <w:tcMar>
              <w:top w:w="0" w:type="dxa"/>
              <w:left w:w="108" w:type="dxa"/>
              <w:bottom w:w="0" w:type="dxa"/>
              <w:right w:w="108" w:type="dxa"/>
            </w:tcMar>
          </w:tcPr>
          <w:p w14:paraId="3F124597" w14:textId="77777777" w:rsidR="00C74DA0" w:rsidRPr="00C66E29" w:rsidRDefault="00C74DA0" w:rsidP="00A2231A">
            <w:pPr>
              <w:pStyle w:val="Tabletext"/>
              <w:jc w:val="center"/>
              <w:rPr>
                <w:rFonts w:eastAsia="Calibri"/>
              </w:rPr>
            </w:pPr>
            <w:r w:rsidRPr="00C66E29">
              <w:rPr>
                <w:rFonts w:eastAsia="Calibri"/>
              </w:rPr>
              <w:t>SSD00000 (23.9W)</w:t>
            </w:r>
          </w:p>
        </w:tc>
        <w:tc>
          <w:tcPr>
            <w:tcW w:w="4536" w:type="dxa"/>
          </w:tcPr>
          <w:p w14:paraId="3B0490B7" w14:textId="77777777" w:rsidR="00C74DA0" w:rsidRPr="00C66E29" w:rsidRDefault="00C74DA0" w:rsidP="00A2231A">
            <w:pPr>
              <w:pStyle w:val="Tabletext"/>
              <w:jc w:val="center"/>
              <w:rPr>
                <w:rFonts w:eastAsia="Calibri"/>
              </w:rPr>
            </w:pPr>
            <w:r w:rsidRPr="00C66E29">
              <w:rPr>
                <w:rFonts w:eastAsia="Calibri"/>
              </w:rPr>
              <w:t>AP30B/A6A/609 (IFIC 2944 of 20.04.2021)</w:t>
            </w:r>
          </w:p>
        </w:tc>
      </w:tr>
      <w:tr w:rsidR="00C74DA0" w:rsidRPr="00C66E29" w14:paraId="6EE78386" w14:textId="77777777">
        <w:trPr>
          <w:jc w:val="center"/>
        </w:trPr>
        <w:tc>
          <w:tcPr>
            <w:tcW w:w="1403" w:type="dxa"/>
            <w:tcMar>
              <w:top w:w="0" w:type="dxa"/>
              <w:left w:w="108" w:type="dxa"/>
              <w:bottom w:w="0" w:type="dxa"/>
              <w:right w:w="108" w:type="dxa"/>
            </w:tcMar>
          </w:tcPr>
          <w:p w14:paraId="17C45C4F" w14:textId="77777777" w:rsidR="00C74DA0" w:rsidRPr="00C66E29" w:rsidRDefault="00C74DA0" w:rsidP="00A2231A">
            <w:pPr>
              <w:pStyle w:val="Tabletext"/>
              <w:jc w:val="center"/>
              <w:rPr>
                <w:rFonts w:eastAsia="Calibri"/>
              </w:rPr>
            </w:pPr>
            <w:r w:rsidRPr="00C66E29">
              <w:rPr>
                <w:rFonts w:eastAsia="Calibri"/>
              </w:rPr>
              <w:t>GEO</w:t>
            </w:r>
          </w:p>
        </w:tc>
        <w:tc>
          <w:tcPr>
            <w:tcW w:w="3118" w:type="dxa"/>
            <w:tcMar>
              <w:top w:w="0" w:type="dxa"/>
              <w:left w:w="108" w:type="dxa"/>
              <w:bottom w:w="0" w:type="dxa"/>
              <w:right w:w="108" w:type="dxa"/>
            </w:tcMar>
          </w:tcPr>
          <w:p w14:paraId="631603A9" w14:textId="77777777" w:rsidR="00C74DA0" w:rsidRPr="00C66E29" w:rsidRDefault="00C74DA0" w:rsidP="00A2231A">
            <w:pPr>
              <w:pStyle w:val="Tabletext"/>
              <w:jc w:val="center"/>
              <w:rPr>
                <w:rFonts w:eastAsia="Calibri"/>
              </w:rPr>
            </w:pPr>
            <w:r w:rsidRPr="00C66E29">
              <w:rPr>
                <w:rFonts w:eastAsia="Calibri"/>
              </w:rPr>
              <w:t>GEO00000 (78.0E)</w:t>
            </w:r>
          </w:p>
        </w:tc>
        <w:tc>
          <w:tcPr>
            <w:tcW w:w="4536" w:type="dxa"/>
          </w:tcPr>
          <w:p w14:paraId="5E9756BD" w14:textId="77777777" w:rsidR="00C74DA0" w:rsidRPr="00C66E29" w:rsidRDefault="00C74DA0" w:rsidP="00A2231A">
            <w:pPr>
              <w:pStyle w:val="Tabletext"/>
              <w:jc w:val="center"/>
              <w:rPr>
                <w:rFonts w:eastAsia="Calibri"/>
              </w:rPr>
            </w:pPr>
            <w:r w:rsidRPr="00C66E29">
              <w:rPr>
                <w:rFonts w:eastAsia="Calibri"/>
              </w:rPr>
              <w:t>AP30B/A6A/610 (IFIC 2946 of 18.05.2021)</w:t>
            </w:r>
          </w:p>
        </w:tc>
      </w:tr>
      <w:tr w:rsidR="00C74DA0" w:rsidRPr="00C66E29" w14:paraId="7CF4BE70" w14:textId="77777777">
        <w:trPr>
          <w:jc w:val="center"/>
        </w:trPr>
        <w:tc>
          <w:tcPr>
            <w:tcW w:w="1403" w:type="dxa"/>
            <w:tcMar>
              <w:top w:w="0" w:type="dxa"/>
              <w:left w:w="108" w:type="dxa"/>
              <w:bottom w:w="0" w:type="dxa"/>
              <w:right w:w="108" w:type="dxa"/>
            </w:tcMar>
          </w:tcPr>
          <w:p w14:paraId="42AD96FA" w14:textId="77777777" w:rsidR="00C74DA0" w:rsidRPr="00C66E29" w:rsidRDefault="00C74DA0" w:rsidP="00A2231A">
            <w:pPr>
              <w:pStyle w:val="Tabletext"/>
              <w:jc w:val="center"/>
              <w:rPr>
                <w:rFonts w:eastAsia="Calibri"/>
              </w:rPr>
            </w:pPr>
            <w:r w:rsidRPr="00C66E29">
              <w:rPr>
                <w:rFonts w:eastAsia="Calibri"/>
              </w:rPr>
              <w:t>HRV</w:t>
            </w:r>
          </w:p>
        </w:tc>
        <w:tc>
          <w:tcPr>
            <w:tcW w:w="3118" w:type="dxa"/>
            <w:tcMar>
              <w:top w:w="0" w:type="dxa"/>
              <w:left w:w="108" w:type="dxa"/>
              <w:bottom w:w="0" w:type="dxa"/>
              <w:right w:w="108" w:type="dxa"/>
            </w:tcMar>
          </w:tcPr>
          <w:p w14:paraId="1885D2DC" w14:textId="77777777" w:rsidR="00C74DA0" w:rsidRPr="00C66E29" w:rsidRDefault="00C74DA0" w:rsidP="00A2231A">
            <w:pPr>
              <w:pStyle w:val="Tabletext"/>
              <w:jc w:val="center"/>
              <w:rPr>
                <w:rFonts w:eastAsia="Calibri"/>
              </w:rPr>
            </w:pPr>
            <w:r w:rsidRPr="00C66E29">
              <w:rPr>
                <w:rFonts w:eastAsia="Calibri"/>
              </w:rPr>
              <w:t>HRV00000 (63.0E)</w:t>
            </w:r>
          </w:p>
        </w:tc>
        <w:tc>
          <w:tcPr>
            <w:tcW w:w="4536" w:type="dxa"/>
          </w:tcPr>
          <w:p w14:paraId="60F6F3D3" w14:textId="77777777" w:rsidR="00C74DA0" w:rsidRPr="00C66E29" w:rsidRDefault="00C74DA0" w:rsidP="00A2231A">
            <w:pPr>
              <w:pStyle w:val="Tabletext"/>
              <w:jc w:val="center"/>
              <w:rPr>
                <w:rFonts w:eastAsia="Calibri"/>
              </w:rPr>
            </w:pPr>
            <w:r w:rsidRPr="00C66E29">
              <w:rPr>
                <w:rFonts w:eastAsia="Calibri"/>
              </w:rPr>
              <w:t>AP30B/A6A/611 (IFIC 2947 of 01.06.2021)</w:t>
            </w:r>
          </w:p>
        </w:tc>
      </w:tr>
    </w:tbl>
    <w:p w14:paraId="543AD841" w14:textId="77777777" w:rsidR="00C74DA0" w:rsidRPr="00C66E29" w:rsidRDefault="00C74DA0" w:rsidP="00A2231A">
      <w:pPr>
        <w:pStyle w:val="Tablefin"/>
      </w:pPr>
    </w:p>
    <w:p w14:paraId="70872255" w14:textId="77777777" w:rsidR="00C74DA0" w:rsidRPr="00C66E29" w:rsidRDefault="00C74DA0" w:rsidP="00A2231A">
      <w:r w:rsidRPr="00C66E29">
        <w:t>The Radio Regulations Board at its 89</w:t>
      </w:r>
      <w:r w:rsidRPr="00C66E29">
        <w:rPr>
          <w:vertAlign w:val="superscript"/>
        </w:rPr>
        <w:t>th</w:t>
      </w:r>
      <w:r w:rsidRPr="00C66E29">
        <w:t xml:space="preserve"> meeting (14-18 March 2022) instructed the Bureau to implement, as an interim measure until WRC-23, some additional regulatory measures to avoid the further degradation of the aggregate </w:t>
      </w:r>
      <w:r w:rsidRPr="00A2231A">
        <w:rPr>
          <w:i/>
          <w:iCs/>
        </w:rPr>
        <w:t>C/I</w:t>
      </w:r>
      <w:r w:rsidRPr="00C66E29">
        <w:t xml:space="preserve"> </w:t>
      </w:r>
      <w:proofErr w:type="gramStart"/>
      <w:r w:rsidRPr="00C66E29">
        <w:t>levels</w:t>
      </w:r>
      <w:proofErr w:type="gramEnd"/>
      <w:r w:rsidRPr="00C66E29">
        <w:t xml:space="preserve"> of the above-mentioned requests of new Member States.</w:t>
      </w:r>
    </w:p>
    <w:p w14:paraId="0B3D063A" w14:textId="77777777" w:rsidR="00C74DA0" w:rsidRDefault="00C74DA0" w:rsidP="00A2231A">
      <w:r w:rsidRPr="00C66E29">
        <w:t xml:space="preserve">In this connection, the Bureau has proposed, and relevant notifying administrations kindly accepted the measures that help to keep maximum degradation of the aggregate </w:t>
      </w:r>
      <w:r w:rsidRPr="00A2231A">
        <w:rPr>
          <w:i/>
          <w:iCs/>
        </w:rPr>
        <w:t>C/I</w:t>
      </w:r>
      <w:r w:rsidRPr="00C66E29">
        <w:t xml:space="preserve"> value of potential national allotment of the new Member States less than 0.25 </w:t>
      </w:r>
      <w:proofErr w:type="spellStart"/>
      <w:r w:rsidRPr="00C66E29">
        <w:t>dB.</w:t>
      </w:r>
      <w:proofErr w:type="spellEnd"/>
    </w:p>
    <w:p w14:paraId="3281356D" w14:textId="77777777" w:rsidR="00A2231A" w:rsidRPr="00C66E29" w:rsidRDefault="00A2231A" w:rsidP="00A2231A"/>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80"/>
        <w:gridCol w:w="1276"/>
        <w:gridCol w:w="2268"/>
        <w:gridCol w:w="992"/>
        <w:gridCol w:w="2500"/>
      </w:tblGrid>
      <w:tr w:rsidR="00C74DA0" w:rsidRPr="00C66E29" w14:paraId="084161F2" w14:textId="77777777" w:rsidTr="00A2231A">
        <w:trPr>
          <w:cnfStyle w:val="100000000000" w:firstRow="1" w:lastRow="0" w:firstColumn="0" w:lastColumn="0" w:oddVBand="0" w:evenVBand="0" w:oddHBand="0" w:evenHBand="0" w:firstRowFirstColumn="0" w:firstRowLastColumn="0" w:lastRowFirstColumn="0" w:lastRowLastColumn="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248F8D" w14:textId="77777777" w:rsidR="00C74DA0" w:rsidRPr="00A2231A" w:rsidRDefault="00C74DA0" w:rsidP="00A2231A">
            <w:pPr>
              <w:pStyle w:val="Tablehead"/>
              <w:rPr>
                <w:rFonts w:eastAsia="Times New Roman"/>
                <w:b/>
                <w:bCs w:val="0"/>
                <w:color w:val="auto"/>
                <w:szCs w:val="20"/>
                <w:lang w:eastAsia="it-IT"/>
              </w:rPr>
            </w:pPr>
            <w:r w:rsidRPr="00A2231A">
              <w:rPr>
                <w:rFonts w:eastAsia="Times New Roman"/>
                <w:b/>
                <w:bCs w:val="0"/>
                <w:color w:val="auto"/>
                <w:szCs w:val="20"/>
                <w:lang w:eastAsia="it-IT"/>
              </w:rPr>
              <w:t>Potentially affected ADM</w:t>
            </w:r>
          </w:p>
          <w:p w14:paraId="78A3DBB3" w14:textId="77777777" w:rsidR="00C74DA0" w:rsidRPr="00A2231A" w:rsidRDefault="00C74DA0" w:rsidP="00A2231A">
            <w:pPr>
              <w:pStyle w:val="Tablehead"/>
              <w:rPr>
                <w:rFonts w:eastAsia="Times New Roman"/>
                <w:b/>
                <w:bCs w:val="0"/>
                <w:color w:val="auto"/>
                <w:szCs w:val="20"/>
                <w:lang w:eastAsia="it-IT"/>
              </w:rPr>
            </w:pPr>
            <w:r w:rsidRPr="00A2231A">
              <w:rPr>
                <w:rFonts w:eastAsia="Times New Roman"/>
                <w:b/>
                <w:bCs w:val="0"/>
                <w:color w:val="auto"/>
                <w:szCs w:val="20"/>
                <w:lang w:eastAsia="it-IT"/>
              </w:rPr>
              <w:t>(Network name)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306D2B" w14:textId="77777777" w:rsidR="00C74DA0" w:rsidRPr="00A2231A" w:rsidRDefault="00C74DA0" w:rsidP="00A2231A">
            <w:pPr>
              <w:pStyle w:val="Tablehead"/>
              <w:rPr>
                <w:rFonts w:eastAsia="Times New Roman"/>
                <w:b/>
                <w:bCs w:val="0"/>
                <w:color w:val="auto"/>
                <w:szCs w:val="20"/>
                <w:lang w:eastAsia="it-IT"/>
              </w:rPr>
            </w:pPr>
            <w:r w:rsidRPr="00A2231A">
              <w:rPr>
                <w:rFonts w:eastAsia="Times New Roman"/>
                <w:b/>
                <w:bCs w:val="0"/>
                <w:color w:val="auto"/>
                <w:szCs w:val="20"/>
                <w:lang w:eastAsia="it-IT"/>
              </w:rPr>
              <w:t>ADM accepted additional measures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D8F04C" w14:textId="77777777" w:rsidR="00C74DA0" w:rsidRPr="00A2231A" w:rsidRDefault="00C74DA0" w:rsidP="00A2231A">
            <w:pPr>
              <w:pStyle w:val="Tablehead"/>
              <w:rPr>
                <w:rFonts w:eastAsia="Times New Roman"/>
                <w:b/>
                <w:bCs w:val="0"/>
                <w:color w:val="auto"/>
                <w:szCs w:val="20"/>
                <w:lang w:eastAsia="it-IT"/>
              </w:rPr>
            </w:pPr>
            <w:r w:rsidRPr="00A2231A">
              <w:rPr>
                <w:rFonts w:eastAsia="Times New Roman"/>
                <w:b/>
                <w:bCs w:val="0"/>
                <w:color w:val="auto"/>
                <w:szCs w:val="20"/>
                <w:lang w:eastAsia="it-IT"/>
              </w:rPr>
              <w:t>Satellite name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87801C" w14:textId="77777777" w:rsidR="00C74DA0" w:rsidRPr="00A2231A" w:rsidRDefault="00C74DA0" w:rsidP="00A2231A">
            <w:pPr>
              <w:pStyle w:val="Tablehead"/>
              <w:rPr>
                <w:rFonts w:eastAsia="Times New Roman"/>
                <w:b/>
                <w:bCs w:val="0"/>
                <w:color w:val="auto"/>
                <w:szCs w:val="20"/>
                <w:lang w:eastAsia="it-IT"/>
              </w:rPr>
            </w:pPr>
            <w:r w:rsidRPr="00A2231A">
              <w:rPr>
                <w:rFonts w:eastAsia="Times New Roman"/>
                <w:b/>
                <w:bCs w:val="0"/>
                <w:color w:val="auto"/>
                <w:szCs w:val="20"/>
                <w:lang w:eastAsia="it-IT"/>
              </w:rPr>
              <w:t>Orbital Position</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34A663F" w14:textId="77777777" w:rsidR="00C74DA0" w:rsidRPr="00A2231A" w:rsidRDefault="00C74DA0" w:rsidP="00A2231A">
            <w:pPr>
              <w:pStyle w:val="Tablehead"/>
              <w:rPr>
                <w:rFonts w:eastAsia="Times New Roman"/>
                <w:b/>
                <w:bCs w:val="0"/>
                <w:color w:val="auto"/>
                <w:szCs w:val="20"/>
                <w:lang w:eastAsia="it-IT"/>
              </w:rPr>
            </w:pPr>
            <w:r w:rsidRPr="00A2231A">
              <w:rPr>
                <w:rFonts w:eastAsia="Times New Roman"/>
                <w:b/>
                <w:bCs w:val="0"/>
                <w:color w:val="auto"/>
                <w:szCs w:val="20"/>
                <w:lang w:eastAsia="it-IT"/>
              </w:rPr>
              <w:t>Special Sections</w:t>
            </w:r>
          </w:p>
        </w:tc>
      </w:tr>
      <w:tr w:rsidR="00C74DA0" w:rsidRPr="00A2231A" w14:paraId="5F5F7083" w14:textId="77777777" w:rsidTr="00A2231A">
        <w:trPr>
          <w:cnfStyle w:val="000000100000" w:firstRow="0" w:lastRow="0" w:firstColumn="0" w:lastColumn="0" w:oddVBand="0" w:evenVBand="0" w:oddHBand="1" w:evenHBand="0" w:firstRowFirstColumn="0" w:firstRowLastColumn="0" w:lastRowFirstColumn="0" w:lastRowLastColumn="0"/>
          <w:jc w:val="center"/>
        </w:trPr>
        <w:tc>
          <w:tcPr>
            <w:tcW w:w="1980" w:type="dxa"/>
            <w:tcBorders>
              <w:top w:val="single" w:sz="4" w:space="0" w:color="auto"/>
            </w:tcBorders>
            <w:shd w:val="clear" w:color="auto" w:fill="auto"/>
          </w:tcPr>
          <w:p w14:paraId="4F57397C"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BIH (BIH00000 (46.0E))</w:t>
            </w:r>
          </w:p>
        </w:tc>
        <w:tc>
          <w:tcPr>
            <w:tcW w:w="1276" w:type="dxa"/>
            <w:tcBorders>
              <w:top w:val="single" w:sz="4" w:space="0" w:color="auto"/>
            </w:tcBorders>
            <w:shd w:val="clear" w:color="auto" w:fill="auto"/>
          </w:tcPr>
          <w:p w14:paraId="60452934"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BLR</w:t>
            </w:r>
          </w:p>
        </w:tc>
        <w:tc>
          <w:tcPr>
            <w:tcW w:w="2268" w:type="dxa"/>
            <w:tcBorders>
              <w:top w:val="single" w:sz="4" w:space="0" w:color="auto"/>
            </w:tcBorders>
            <w:shd w:val="clear" w:color="auto" w:fill="auto"/>
          </w:tcPr>
          <w:p w14:paraId="584AA3F4"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BLR-FSS2-51.5E</w:t>
            </w:r>
          </w:p>
        </w:tc>
        <w:tc>
          <w:tcPr>
            <w:tcW w:w="992" w:type="dxa"/>
            <w:tcBorders>
              <w:top w:val="single" w:sz="4" w:space="0" w:color="auto"/>
            </w:tcBorders>
            <w:shd w:val="clear" w:color="auto" w:fill="auto"/>
          </w:tcPr>
          <w:p w14:paraId="4280AF57"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51.5 E</w:t>
            </w:r>
          </w:p>
        </w:tc>
        <w:tc>
          <w:tcPr>
            <w:tcW w:w="2500" w:type="dxa"/>
            <w:tcBorders>
              <w:top w:val="single" w:sz="4" w:space="0" w:color="auto"/>
            </w:tcBorders>
            <w:shd w:val="clear" w:color="auto" w:fill="auto"/>
          </w:tcPr>
          <w:p w14:paraId="5DD3856E"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 xml:space="preserve">AP30B/A6B/177 </w:t>
            </w:r>
          </w:p>
          <w:p w14:paraId="16B2AB39"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(IFIC 2972 of 31.05.2022)</w:t>
            </w:r>
          </w:p>
        </w:tc>
      </w:tr>
      <w:tr w:rsidR="00C74DA0" w:rsidRPr="00A2231A" w14:paraId="657170CA" w14:textId="77777777" w:rsidTr="00A2231A">
        <w:trPr>
          <w:jc w:val="center"/>
        </w:trPr>
        <w:tc>
          <w:tcPr>
            <w:tcW w:w="1980" w:type="dxa"/>
            <w:shd w:val="clear" w:color="auto" w:fill="auto"/>
          </w:tcPr>
          <w:p w14:paraId="6B6C4461"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HRV (HRV00000 (63.0E))</w:t>
            </w:r>
          </w:p>
        </w:tc>
        <w:tc>
          <w:tcPr>
            <w:tcW w:w="1276" w:type="dxa"/>
            <w:shd w:val="clear" w:color="auto" w:fill="auto"/>
          </w:tcPr>
          <w:p w14:paraId="33882191"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PNG</w:t>
            </w:r>
          </w:p>
        </w:tc>
        <w:tc>
          <w:tcPr>
            <w:tcW w:w="2268" w:type="dxa"/>
            <w:shd w:val="clear" w:color="auto" w:fill="auto"/>
          </w:tcPr>
          <w:p w14:paraId="087C99E9"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NEW DAWN FSS-3</w:t>
            </w:r>
          </w:p>
        </w:tc>
        <w:tc>
          <w:tcPr>
            <w:tcW w:w="992" w:type="dxa"/>
            <w:shd w:val="clear" w:color="auto" w:fill="auto"/>
          </w:tcPr>
          <w:p w14:paraId="2F293824"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62.0 E</w:t>
            </w:r>
          </w:p>
        </w:tc>
        <w:tc>
          <w:tcPr>
            <w:tcW w:w="2500" w:type="dxa"/>
            <w:shd w:val="clear" w:color="auto" w:fill="auto"/>
          </w:tcPr>
          <w:p w14:paraId="5B5B9544"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 xml:space="preserve">AP30B/A6B/186 </w:t>
            </w:r>
          </w:p>
          <w:p w14:paraId="637A49E3"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(IFIC 2980 of 20.09.2022)</w:t>
            </w:r>
          </w:p>
        </w:tc>
      </w:tr>
      <w:tr w:rsidR="00C74DA0" w:rsidRPr="00A2231A" w14:paraId="15E7FAF7" w14:textId="77777777" w:rsidTr="00A2231A">
        <w:trPr>
          <w:cnfStyle w:val="000000100000" w:firstRow="0" w:lastRow="0" w:firstColumn="0" w:lastColumn="0" w:oddVBand="0" w:evenVBand="0" w:oddHBand="1" w:evenHBand="0" w:firstRowFirstColumn="0" w:firstRowLastColumn="0" w:lastRowFirstColumn="0" w:lastRowLastColumn="0"/>
          <w:jc w:val="center"/>
        </w:trPr>
        <w:tc>
          <w:tcPr>
            <w:tcW w:w="1980" w:type="dxa"/>
            <w:shd w:val="clear" w:color="auto" w:fill="auto"/>
          </w:tcPr>
          <w:p w14:paraId="4C00E1BB"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HRV (HRV00000 (63.0E))</w:t>
            </w:r>
          </w:p>
        </w:tc>
        <w:tc>
          <w:tcPr>
            <w:tcW w:w="1276" w:type="dxa"/>
            <w:shd w:val="clear" w:color="auto" w:fill="auto"/>
          </w:tcPr>
          <w:p w14:paraId="58E08F6F"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IND</w:t>
            </w:r>
          </w:p>
        </w:tc>
        <w:tc>
          <w:tcPr>
            <w:tcW w:w="2268" w:type="dxa"/>
            <w:shd w:val="clear" w:color="auto" w:fill="auto"/>
          </w:tcPr>
          <w:p w14:paraId="39EB809F"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INSAT-PKU63E</w:t>
            </w:r>
          </w:p>
        </w:tc>
        <w:tc>
          <w:tcPr>
            <w:tcW w:w="992" w:type="dxa"/>
            <w:shd w:val="clear" w:color="auto" w:fill="auto"/>
          </w:tcPr>
          <w:p w14:paraId="1AB231CD"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63.0 E</w:t>
            </w:r>
          </w:p>
        </w:tc>
        <w:tc>
          <w:tcPr>
            <w:tcW w:w="2500" w:type="dxa"/>
            <w:shd w:val="clear" w:color="auto" w:fill="auto"/>
          </w:tcPr>
          <w:p w14:paraId="412D3760"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 xml:space="preserve">AP30B/A6B/191 </w:t>
            </w:r>
          </w:p>
          <w:p w14:paraId="7EB236A9"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(IFIC 2987 of 10.01.2023)</w:t>
            </w:r>
          </w:p>
        </w:tc>
      </w:tr>
      <w:tr w:rsidR="00C74DA0" w:rsidRPr="00A2231A" w14:paraId="3AEE5415" w14:textId="77777777" w:rsidTr="00A2231A">
        <w:trPr>
          <w:jc w:val="center"/>
        </w:trPr>
        <w:tc>
          <w:tcPr>
            <w:tcW w:w="1980" w:type="dxa"/>
            <w:shd w:val="clear" w:color="auto" w:fill="auto"/>
          </w:tcPr>
          <w:p w14:paraId="7F939C16"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MKD (MKD00000 (16.7W))</w:t>
            </w:r>
          </w:p>
        </w:tc>
        <w:tc>
          <w:tcPr>
            <w:tcW w:w="1276" w:type="dxa"/>
            <w:shd w:val="clear" w:color="auto" w:fill="auto"/>
          </w:tcPr>
          <w:p w14:paraId="5CD7E756"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G</w:t>
            </w:r>
          </w:p>
        </w:tc>
        <w:tc>
          <w:tcPr>
            <w:tcW w:w="2268" w:type="dxa"/>
            <w:shd w:val="clear" w:color="auto" w:fill="auto"/>
          </w:tcPr>
          <w:p w14:paraId="61D2A515"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UKFSS-18W-A</w:t>
            </w:r>
          </w:p>
        </w:tc>
        <w:tc>
          <w:tcPr>
            <w:tcW w:w="992" w:type="dxa"/>
            <w:shd w:val="clear" w:color="auto" w:fill="auto"/>
          </w:tcPr>
          <w:p w14:paraId="69140479"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18.0W</w:t>
            </w:r>
          </w:p>
        </w:tc>
        <w:tc>
          <w:tcPr>
            <w:tcW w:w="2500" w:type="dxa"/>
            <w:shd w:val="clear" w:color="auto" w:fill="auto"/>
          </w:tcPr>
          <w:p w14:paraId="3FFC7ABC"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 xml:space="preserve">AP30B/A6B/196 </w:t>
            </w:r>
          </w:p>
          <w:p w14:paraId="53FD63E6" w14:textId="77777777" w:rsidR="00C74DA0" w:rsidRPr="00A2231A" w:rsidRDefault="00C74DA0" w:rsidP="00A2231A">
            <w:pPr>
              <w:pStyle w:val="Tabletext"/>
              <w:jc w:val="center"/>
              <w:rPr>
                <w:rFonts w:eastAsia="Calibri" w:cs="Times New Roman"/>
                <w:szCs w:val="20"/>
              </w:rPr>
            </w:pPr>
            <w:r w:rsidRPr="00A2231A">
              <w:rPr>
                <w:rFonts w:eastAsia="Calibri" w:cs="Times New Roman"/>
                <w:szCs w:val="20"/>
              </w:rPr>
              <w:t>(IFIC 2991 of 07.03.2023)</w:t>
            </w:r>
          </w:p>
        </w:tc>
      </w:tr>
    </w:tbl>
    <w:p w14:paraId="641C8830" w14:textId="77777777" w:rsidR="00C74DA0" w:rsidRPr="00C66E29" w:rsidRDefault="00C74DA0" w:rsidP="00A2231A">
      <w:pPr>
        <w:pStyle w:val="Tablefin"/>
      </w:pPr>
    </w:p>
    <w:p w14:paraId="35A17C1E" w14:textId="1E078B2D" w:rsidR="00C74DA0" w:rsidRDefault="00C74DA0" w:rsidP="00A2231A">
      <w:r w:rsidRPr="00C66E29">
        <w:t xml:space="preserve">In addition, Administration of Montenegro has successfully completed the procedure of Article 6 of Appendix </w:t>
      </w:r>
      <w:r w:rsidRPr="00C66E29">
        <w:rPr>
          <w:b/>
          <w:bCs/>
        </w:rPr>
        <w:t>30B</w:t>
      </w:r>
      <w:r w:rsidRPr="00C66E29">
        <w:t xml:space="preserve"> as a new Member State which does not have a national allotment in the Plan or the assignments in the List stemming from the conversion of an allotment. The assignments of this network have been entered into the List of Appendix </w:t>
      </w:r>
      <w:r w:rsidRPr="00C66E29">
        <w:rPr>
          <w:b/>
          <w:bCs/>
        </w:rPr>
        <w:t>30B</w:t>
      </w:r>
      <w:r w:rsidRPr="00C66E29">
        <w:t>.</w:t>
      </w:r>
    </w:p>
    <w:p w14:paraId="30BB473C" w14:textId="77777777" w:rsidR="00A2231A" w:rsidRPr="00C66E29" w:rsidRDefault="00A2231A" w:rsidP="00C74DA0">
      <w:pPr>
        <w:jc w:val="both"/>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C74DA0" w:rsidRPr="00C66E29" w14:paraId="49B48C68" w14:textId="77777777" w:rsidTr="00A2231A">
        <w:trPr>
          <w:tblHeader/>
          <w:jc w:val="center"/>
        </w:trPr>
        <w:tc>
          <w:tcPr>
            <w:tcW w:w="1403" w:type="dxa"/>
            <w:shd w:val="clear" w:color="auto" w:fill="auto"/>
            <w:tcMar>
              <w:top w:w="0" w:type="dxa"/>
              <w:left w:w="108" w:type="dxa"/>
              <w:bottom w:w="0" w:type="dxa"/>
              <w:right w:w="108" w:type="dxa"/>
            </w:tcMar>
            <w:hideMark/>
          </w:tcPr>
          <w:p w14:paraId="0F236D35" w14:textId="77777777" w:rsidR="00C74DA0" w:rsidRPr="00A2231A" w:rsidRDefault="00C74DA0" w:rsidP="00A2231A">
            <w:pPr>
              <w:pStyle w:val="Tablehead"/>
              <w:rPr>
                <w:b w:val="0"/>
                <w:bCs/>
                <w:lang w:eastAsia="it-IT"/>
              </w:rPr>
            </w:pPr>
            <w:r w:rsidRPr="00A2231A">
              <w:rPr>
                <w:bCs/>
                <w:lang w:eastAsia="it-IT"/>
              </w:rPr>
              <w:t>Notifying ADM</w:t>
            </w:r>
          </w:p>
        </w:tc>
        <w:tc>
          <w:tcPr>
            <w:tcW w:w="3118" w:type="dxa"/>
            <w:shd w:val="clear" w:color="auto" w:fill="auto"/>
            <w:tcMar>
              <w:top w:w="0" w:type="dxa"/>
              <w:left w:w="108" w:type="dxa"/>
              <w:bottom w:w="0" w:type="dxa"/>
              <w:right w:w="108" w:type="dxa"/>
            </w:tcMar>
            <w:hideMark/>
          </w:tcPr>
          <w:p w14:paraId="5D2149B7" w14:textId="77777777" w:rsidR="00C74DA0" w:rsidRPr="00A2231A" w:rsidRDefault="00C74DA0" w:rsidP="00A2231A">
            <w:pPr>
              <w:pStyle w:val="Tablehead"/>
              <w:rPr>
                <w:b w:val="0"/>
                <w:bCs/>
                <w:lang w:eastAsia="it-IT"/>
              </w:rPr>
            </w:pPr>
            <w:r w:rsidRPr="00A2231A">
              <w:rPr>
                <w:bCs/>
                <w:lang w:eastAsia="it-IT"/>
              </w:rPr>
              <w:t xml:space="preserve">Network Name </w:t>
            </w:r>
          </w:p>
          <w:p w14:paraId="6115EBE9" w14:textId="77777777" w:rsidR="00C74DA0" w:rsidRPr="00A2231A" w:rsidRDefault="00C74DA0" w:rsidP="00A2231A">
            <w:pPr>
              <w:pStyle w:val="Tablehead"/>
              <w:rPr>
                <w:b w:val="0"/>
                <w:bCs/>
                <w:lang w:eastAsia="it-IT"/>
              </w:rPr>
            </w:pPr>
            <w:r w:rsidRPr="00A2231A">
              <w:rPr>
                <w:bCs/>
                <w:lang w:eastAsia="it-IT"/>
              </w:rPr>
              <w:t>(Orbital position)</w:t>
            </w:r>
          </w:p>
        </w:tc>
        <w:tc>
          <w:tcPr>
            <w:tcW w:w="4536" w:type="dxa"/>
            <w:shd w:val="clear" w:color="auto" w:fill="auto"/>
          </w:tcPr>
          <w:p w14:paraId="21084235" w14:textId="77777777" w:rsidR="00C74DA0" w:rsidRPr="00A2231A" w:rsidRDefault="00C74DA0" w:rsidP="00A2231A">
            <w:pPr>
              <w:pStyle w:val="Tablehead"/>
              <w:rPr>
                <w:b w:val="0"/>
                <w:bCs/>
                <w:lang w:eastAsia="it-IT"/>
              </w:rPr>
            </w:pPr>
            <w:r w:rsidRPr="00A2231A">
              <w:rPr>
                <w:bCs/>
                <w:lang w:eastAsia="it-IT"/>
              </w:rPr>
              <w:t xml:space="preserve">Special Sections </w:t>
            </w:r>
          </w:p>
          <w:p w14:paraId="54E0A8B2" w14:textId="77777777" w:rsidR="00C74DA0" w:rsidRPr="00A2231A" w:rsidRDefault="00C74DA0" w:rsidP="00A2231A">
            <w:pPr>
              <w:pStyle w:val="Tablehead"/>
              <w:rPr>
                <w:b w:val="0"/>
                <w:bCs/>
                <w:lang w:eastAsia="it-IT"/>
              </w:rPr>
            </w:pPr>
          </w:p>
        </w:tc>
      </w:tr>
      <w:tr w:rsidR="00C74DA0" w:rsidRPr="00A2231A" w14:paraId="63A94D20" w14:textId="77777777">
        <w:trPr>
          <w:jc w:val="center"/>
        </w:trPr>
        <w:tc>
          <w:tcPr>
            <w:tcW w:w="1403" w:type="dxa"/>
            <w:tcMar>
              <w:top w:w="0" w:type="dxa"/>
              <w:left w:w="108" w:type="dxa"/>
              <w:bottom w:w="0" w:type="dxa"/>
              <w:right w:w="108" w:type="dxa"/>
            </w:tcMar>
            <w:vAlign w:val="center"/>
            <w:hideMark/>
          </w:tcPr>
          <w:p w14:paraId="2E7B4028" w14:textId="77777777" w:rsidR="00C74DA0" w:rsidRPr="00A2231A" w:rsidRDefault="00C74DA0" w:rsidP="00A2231A">
            <w:pPr>
              <w:pStyle w:val="Tabletext"/>
              <w:jc w:val="center"/>
              <w:rPr>
                <w:rFonts w:eastAsia="Calibri"/>
              </w:rPr>
            </w:pPr>
            <w:r w:rsidRPr="00A2231A">
              <w:rPr>
                <w:rFonts w:eastAsia="Calibri"/>
              </w:rPr>
              <w:t>MNE</w:t>
            </w:r>
          </w:p>
        </w:tc>
        <w:tc>
          <w:tcPr>
            <w:tcW w:w="3118" w:type="dxa"/>
            <w:tcMar>
              <w:top w:w="0" w:type="dxa"/>
              <w:left w:w="108" w:type="dxa"/>
              <w:bottom w:w="0" w:type="dxa"/>
              <w:right w:w="108" w:type="dxa"/>
            </w:tcMar>
            <w:vAlign w:val="center"/>
            <w:hideMark/>
          </w:tcPr>
          <w:p w14:paraId="49591838" w14:textId="77777777" w:rsidR="00C74DA0" w:rsidRPr="00A2231A" w:rsidRDefault="00C74DA0" w:rsidP="00A2231A">
            <w:pPr>
              <w:pStyle w:val="Tabletext"/>
              <w:jc w:val="center"/>
              <w:rPr>
                <w:rFonts w:eastAsia="Calibri"/>
              </w:rPr>
            </w:pPr>
            <w:r w:rsidRPr="00A2231A">
              <w:rPr>
                <w:rFonts w:eastAsia="Calibri"/>
              </w:rPr>
              <w:t>MNE00000 (36.6W)</w:t>
            </w:r>
          </w:p>
        </w:tc>
        <w:tc>
          <w:tcPr>
            <w:tcW w:w="4536" w:type="dxa"/>
            <w:vAlign w:val="center"/>
            <w:hideMark/>
          </w:tcPr>
          <w:p w14:paraId="7A030670" w14:textId="77777777" w:rsidR="00C74DA0" w:rsidRPr="00A2231A" w:rsidRDefault="00C74DA0" w:rsidP="00A2231A">
            <w:pPr>
              <w:pStyle w:val="Tabletext"/>
              <w:jc w:val="center"/>
              <w:rPr>
                <w:rFonts w:eastAsia="Calibri"/>
              </w:rPr>
            </w:pPr>
            <w:r w:rsidRPr="00A2231A">
              <w:rPr>
                <w:rFonts w:eastAsia="Calibri"/>
              </w:rPr>
              <w:t>AP30B/A6B/167 (IFIC 2962 of 11.01.2022)</w:t>
            </w:r>
          </w:p>
          <w:p w14:paraId="611AFEAE" w14:textId="77777777" w:rsidR="00C74DA0" w:rsidRPr="00A2231A" w:rsidRDefault="00C74DA0" w:rsidP="00A2231A">
            <w:pPr>
              <w:pStyle w:val="Tabletext"/>
              <w:jc w:val="center"/>
              <w:rPr>
                <w:rFonts w:eastAsia="Calibri"/>
              </w:rPr>
            </w:pPr>
          </w:p>
        </w:tc>
      </w:tr>
    </w:tbl>
    <w:p w14:paraId="71009E63" w14:textId="77777777" w:rsidR="00C74DA0" w:rsidRPr="00C66E29" w:rsidRDefault="00C74DA0" w:rsidP="00A2231A">
      <w:pPr>
        <w:pStyle w:val="Tablefin"/>
      </w:pPr>
    </w:p>
    <w:p w14:paraId="3FC92D08" w14:textId="07DDC8D6" w:rsidR="00C74DA0" w:rsidRPr="00C66E29" w:rsidRDefault="00C74DA0" w:rsidP="00A2231A">
      <w:r w:rsidRPr="00C66E29">
        <w:t>Thus, this Administration may wish to seek agreement of the Conference for the inclusion in the Plan of a new allotment over its national territory under §</w:t>
      </w:r>
      <w:r w:rsidR="00B35D7C">
        <w:t> </w:t>
      </w:r>
      <w:r w:rsidRPr="00C66E29">
        <w:t xml:space="preserve">6.35 of Article 6 of Appendix </w:t>
      </w:r>
      <w:r w:rsidRPr="00C66E29">
        <w:rPr>
          <w:b/>
          <w:bCs/>
        </w:rPr>
        <w:t>30B</w:t>
      </w:r>
      <w:r w:rsidRPr="00C66E29">
        <w:t>.</w:t>
      </w:r>
    </w:p>
    <w:p w14:paraId="23D1697E" w14:textId="77777777" w:rsidR="00C74DA0" w:rsidRPr="00C66E29" w:rsidRDefault="00C74DA0" w:rsidP="00C74DA0">
      <w:pPr>
        <w:pStyle w:val="Heading4"/>
      </w:pPr>
      <w:r w:rsidRPr="00C66E29">
        <w:t>2.3.2.4</w:t>
      </w:r>
      <w:r w:rsidRPr="00C66E29">
        <w:tab/>
        <w:t>Resolution 170 (WRC</w:t>
      </w:r>
      <w:r w:rsidRPr="00C66E29">
        <w:noBreakHyphen/>
        <w:t>19)</w:t>
      </w:r>
    </w:p>
    <w:p w14:paraId="33C8DB98" w14:textId="77777777" w:rsidR="00C74DA0" w:rsidRPr="00C66E29" w:rsidRDefault="00C74DA0" w:rsidP="00A2231A">
      <w:r w:rsidRPr="00C66E29">
        <w:t xml:space="preserve">Several workshops have been organized by administrations seeking assistance on the application of Resolution </w:t>
      </w:r>
      <w:r w:rsidRPr="00C66E29">
        <w:rPr>
          <w:b/>
          <w:bCs/>
        </w:rPr>
        <w:t>170 (WRC-19)</w:t>
      </w:r>
      <w:r w:rsidRPr="00C66E29">
        <w:t xml:space="preserve"> among other topics. The Bureau provided all assistance as well as clarification requested. Up to this time of the report, there has been no submission received under this resolution.</w:t>
      </w:r>
    </w:p>
    <w:p w14:paraId="3B9D215F" w14:textId="77777777" w:rsidR="00C74DA0" w:rsidRPr="00A2231A" w:rsidRDefault="00C74DA0" w:rsidP="00A2231A">
      <w:pPr>
        <w:pStyle w:val="Heading4"/>
      </w:pPr>
      <w:r w:rsidRPr="00A2231A">
        <w:t>2.3.2.5</w:t>
      </w:r>
      <w:r w:rsidRPr="00A2231A">
        <w:tab/>
        <w:t>Reference situation for the allotment of Appendix 30B</w:t>
      </w:r>
    </w:p>
    <w:p w14:paraId="16161A79" w14:textId="77777777" w:rsidR="00C74DA0" w:rsidRPr="00C66E29" w:rsidRDefault="00C74DA0" w:rsidP="00A2231A">
      <w:pPr>
        <w:rPr>
          <w:rFonts w:eastAsia="SimSun"/>
        </w:rPr>
      </w:pPr>
      <w:r w:rsidRPr="00C66E29">
        <w:t xml:space="preserve">The current reference situation values for all allotments in the FSS Plan is provided at </w:t>
      </w:r>
      <w:hyperlink r:id="rId49" w:history="1">
        <w:r w:rsidRPr="00C66E29">
          <w:rPr>
            <w:rStyle w:val="Hyperlink"/>
            <w:rFonts w:eastAsia="SimSun"/>
          </w:rPr>
          <w:t>http://www.itu.int/en/ITU-R/space/plans/Pages/AP30B.aspx</w:t>
        </w:r>
      </w:hyperlink>
    </w:p>
    <w:p w14:paraId="17BA7C27" w14:textId="77777777" w:rsidR="00C74DA0" w:rsidRDefault="00C74DA0" w:rsidP="00C74DA0">
      <w:pPr>
        <w:pStyle w:val="Heading2"/>
      </w:pPr>
      <w:bookmarkStart w:id="63" w:name="_Toc418163363"/>
      <w:bookmarkStart w:id="64" w:name="_Toc143072399"/>
      <w:r w:rsidRPr="00C66E29">
        <w:t>2.4</w:t>
      </w:r>
      <w:r w:rsidRPr="00C66E29">
        <w:tab/>
      </w:r>
      <w:r>
        <w:t>Other Resolutions applicable to both planned and non-planned services</w:t>
      </w:r>
      <w:bookmarkEnd w:id="64"/>
    </w:p>
    <w:p w14:paraId="6839AF9E" w14:textId="77777777" w:rsidR="00C74DA0" w:rsidRPr="00C66E29" w:rsidRDefault="00C74DA0" w:rsidP="00A2231A">
      <w:pPr>
        <w:pStyle w:val="Heading3"/>
      </w:pPr>
      <w:bookmarkStart w:id="65" w:name="_Toc418232271"/>
      <w:bookmarkStart w:id="66" w:name="_Toc143072400"/>
      <w:r w:rsidRPr="00C66E29">
        <w:t>2.</w:t>
      </w:r>
      <w:r>
        <w:t>4.1</w:t>
      </w:r>
      <w:r w:rsidRPr="00C66E29">
        <w:tab/>
        <w:t>Resolution 40 (</w:t>
      </w:r>
      <w:bookmarkStart w:id="67" w:name="_Hlk138234894"/>
      <w:r>
        <w:t>Rev.</w:t>
      </w:r>
      <w:r w:rsidRPr="00C66E29">
        <w:t>WRC-19</w:t>
      </w:r>
      <w:bookmarkEnd w:id="67"/>
      <w:r w:rsidRPr="00C66E29">
        <w:t>)</w:t>
      </w:r>
      <w:bookmarkEnd w:id="66"/>
    </w:p>
    <w:p w14:paraId="08133D3C" w14:textId="77777777" w:rsidR="00C74DA0" w:rsidRPr="00C66E29" w:rsidRDefault="00C74DA0" w:rsidP="00A2231A">
      <w:r w:rsidRPr="00C66E29">
        <w:t xml:space="preserve">Resolution </w:t>
      </w:r>
      <w:r w:rsidRPr="00C66E29">
        <w:rPr>
          <w:b/>
          <w:bCs/>
        </w:rPr>
        <w:t>40 (Rev.WRC-19)</w:t>
      </w:r>
      <w:r w:rsidRPr="00C66E29">
        <w:t xml:space="preserve"> on the use of one space station to bring frequency assignments to geostationary-satellite networks at different orbital locations into use within a short period of time </w:t>
      </w:r>
      <w:r w:rsidRPr="00C66E29">
        <w:rPr>
          <w:i/>
          <w:iCs/>
        </w:rPr>
        <w:t>instructs</w:t>
      </w:r>
      <w:r w:rsidRPr="00C66E29">
        <w:t xml:space="preserve"> the Radiocommunication Bureau to make available the information provided in </w:t>
      </w:r>
      <w:r w:rsidRPr="00C66E29">
        <w:rPr>
          <w:i/>
          <w:iCs/>
        </w:rPr>
        <w:t>resolves</w:t>
      </w:r>
      <w:r w:rsidRPr="00C66E29">
        <w:t xml:space="preserve"> 1 and 2 on the ITU website within 30 days of its receipt.</w:t>
      </w:r>
    </w:p>
    <w:p w14:paraId="6520CB6F" w14:textId="4035405D" w:rsidR="00C74DA0" w:rsidRPr="00C66E29" w:rsidRDefault="00C74DA0" w:rsidP="00A2231A">
      <w:pPr>
        <w:rPr>
          <w:rFonts w:cstheme="minorHAnsi"/>
          <w:lang w:eastAsia="ja-JP"/>
        </w:rPr>
      </w:pPr>
      <w:r w:rsidRPr="00C66E29">
        <w:rPr>
          <w:lang w:val="en-US"/>
        </w:rPr>
        <w:t xml:space="preserve">During the period from 27 November 2015 to 30 April 2023, the Bureau received </w:t>
      </w:r>
      <w:r w:rsidRPr="00C66E29">
        <w:rPr>
          <w:b/>
          <w:bCs/>
          <w:lang w:val="en-US"/>
        </w:rPr>
        <w:t>833</w:t>
      </w:r>
      <w:r w:rsidRPr="00C66E29">
        <w:rPr>
          <w:lang w:val="en-US"/>
        </w:rPr>
        <w:t xml:space="preserve"> submissions under the provisions of Resolution </w:t>
      </w:r>
      <w:r w:rsidRPr="00C66E29">
        <w:rPr>
          <w:b/>
          <w:bCs/>
          <w:lang w:val="en-US"/>
        </w:rPr>
        <w:t>40 (</w:t>
      </w:r>
      <w:r w:rsidRPr="00B95C7F">
        <w:rPr>
          <w:b/>
          <w:bCs/>
          <w:lang w:val="en-US"/>
        </w:rPr>
        <w:t>Rev.WRC-19</w:t>
      </w:r>
      <w:r w:rsidRPr="00C66E29">
        <w:rPr>
          <w:b/>
          <w:bCs/>
          <w:lang w:val="en-US"/>
        </w:rPr>
        <w:t>)</w:t>
      </w:r>
      <w:r w:rsidRPr="00C66E29">
        <w:rPr>
          <w:lang w:val="en-US"/>
        </w:rPr>
        <w:t>.</w:t>
      </w:r>
      <w:r w:rsidRPr="00C66E29">
        <w:rPr>
          <w:rFonts w:cstheme="minorHAnsi"/>
        </w:rPr>
        <w:t xml:space="preserve"> </w:t>
      </w:r>
      <w:r w:rsidRPr="00C66E29">
        <w:t>Of these submissions, 599 (71.91%) indicated that the bringing into use (or resumption of use) of frequency assignments had been performed without relocating any satellite used in the previous three years for bringing into use (or resuming the use) of frequency assignments at another orbital position and 234 (28.09%) indicated that it had been done following the relocation of a geostationary satellite from an orbital position where it had been used for bringing into use (or resuming the use) of frequency assignments to another satellite network within the three previous years.</w:t>
      </w:r>
    </w:p>
    <w:p w14:paraId="36295AB5" w14:textId="77777777" w:rsidR="00C74DA0" w:rsidRDefault="00C74DA0" w:rsidP="00A2231A">
      <w:r w:rsidRPr="00C66E29">
        <w:t xml:space="preserve">The following table shows the number of Resolution </w:t>
      </w:r>
      <w:r w:rsidRPr="00C66E29">
        <w:rPr>
          <w:b/>
          <w:bCs/>
        </w:rPr>
        <w:t xml:space="preserve">40 </w:t>
      </w:r>
      <w:r w:rsidRPr="00C66E29">
        <w:rPr>
          <w:b/>
          <w:bCs/>
          <w:szCs w:val="24"/>
        </w:rPr>
        <w:t>(Rev.WRC-19)</w:t>
      </w:r>
      <w:r w:rsidRPr="00C66E29">
        <w:rPr>
          <w:b/>
          <w:bCs/>
        </w:rPr>
        <w:t xml:space="preserve"> </w:t>
      </w:r>
      <w:r w:rsidRPr="00C66E29">
        <w:t xml:space="preserve">submissions against the number of orbital positions at which a satellite mentioned in a Resolution </w:t>
      </w:r>
      <w:r w:rsidRPr="00C66E29">
        <w:rPr>
          <w:b/>
          <w:bCs/>
        </w:rPr>
        <w:t xml:space="preserve">40 </w:t>
      </w:r>
      <w:r w:rsidRPr="00C66E29">
        <w:rPr>
          <w:b/>
          <w:bCs/>
          <w:szCs w:val="24"/>
        </w:rPr>
        <w:t>(Rev.WRC-19)</w:t>
      </w:r>
      <w:r w:rsidRPr="00C66E29">
        <w:rPr>
          <w:szCs w:val="24"/>
        </w:rPr>
        <w:t xml:space="preserve"> </w:t>
      </w:r>
      <w:r w:rsidRPr="00C66E29">
        <w:t xml:space="preserve">submission was previously used. </w:t>
      </w:r>
    </w:p>
    <w:p w14:paraId="41D7FDEC" w14:textId="77777777" w:rsidR="00A2231A" w:rsidRPr="00C66E29" w:rsidRDefault="00A2231A" w:rsidP="00A2231A"/>
    <w:tbl>
      <w:tblPr>
        <w:tblStyle w:val="GridTable4-Accent1"/>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268"/>
        <w:gridCol w:w="1417"/>
      </w:tblGrid>
      <w:tr w:rsidR="00A2231A" w:rsidRPr="00A2231A" w14:paraId="3F937013" w14:textId="77777777" w:rsidTr="00A2231A">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hideMark/>
          </w:tcPr>
          <w:p w14:paraId="6B89B57B" w14:textId="77777777" w:rsidR="00C74DA0" w:rsidRPr="00A2231A" w:rsidRDefault="00C74DA0" w:rsidP="00A2231A">
            <w:pPr>
              <w:pStyle w:val="Tablehead"/>
              <w:rPr>
                <w:color w:val="auto"/>
              </w:rPr>
            </w:pPr>
            <w:r w:rsidRPr="00A2231A">
              <w:rPr>
                <w:color w:val="auto"/>
              </w:rPr>
              <w:t>Number of positions at which the satellite was used previously</w:t>
            </w:r>
          </w:p>
        </w:tc>
        <w:tc>
          <w:tcPr>
            <w:tcW w:w="2268" w:type="dxa"/>
            <w:shd w:val="clear" w:color="auto" w:fill="auto"/>
            <w:noWrap/>
            <w:hideMark/>
          </w:tcPr>
          <w:p w14:paraId="1D0426D2" w14:textId="77777777" w:rsidR="00C74DA0" w:rsidRPr="00A2231A" w:rsidRDefault="00C74DA0" w:rsidP="00A2231A">
            <w:pPr>
              <w:pStyle w:val="Tablehead"/>
              <w:cnfStyle w:val="100000000000" w:firstRow="1" w:lastRow="0" w:firstColumn="0" w:lastColumn="0" w:oddVBand="0" w:evenVBand="0" w:oddHBand="0" w:evenHBand="0" w:firstRowFirstColumn="0" w:firstRowLastColumn="0" w:lastRowFirstColumn="0" w:lastRowLastColumn="0"/>
              <w:rPr>
                <w:color w:val="auto"/>
              </w:rPr>
            </w:pPr>
            <w:r w:rsidRPr="00A2231A">
              <w:rPr>
                <w:color w:val="auto"/>
              </w:rPr>
              <w:t>Number of Res. 40 submissions</w:t>
            </w:r>
          </w:p>
        </w:tc>
        <w:tc>
          <w:tcPr>
            <w:tcW w:w="1417" w:type="dxa"/>
            <w:shd w:val="clear" w:color="auto" w:fill="auto"/>
            <w:noWrap/>
            <w:hideMark/>
          </w:tcPr>
          <w:p w14:paraId="435218EF" w14:textId="77777777" w:rsidR="00C74DA0" w:rsidRPr="00A2231A" w:rsidRDefault="00C74DA0" w:rsidP="00A2231A">
            <w:pPr>
              <w:pStyle w:val="Tablehead"/>
              <w:cnfStyle w:val="100000000000" w:firstRow="1" w:lastRow="0" w:firstColumn="0" w:lastColumn="0" w:oddVBand="0" w:evenVBand="0" w:oddHBand="0" w:evenHBand="0" w:firstRowFirstColumn="0" w:firstRowLastColumn="0" w:lastRowFirstColumn="0" w:lastRowLastColumn="0"/>
              <w:rPr>
                <w:color w:val="auto"/>
              </w:rPr>
            </w:pPr>
            <w:r w:rsidRPr="00A2231A">
              <w:rPr>
                <w:color w:val="auto"/>
              </w:rPr>
              <w:t>Percentage</w:t>
            </w:r>
          </w:p>
        </w:tc>
      </w:tr>
      <w:tr w:rsidR="00C74DA0" w:rsidRPr="00C66E29" w14:paraId="1110D88A"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163F6E48" w14:textId="77777777" w:rsidR="00C74DA0" w:rsidRPr="00C66E29" w:rsidRDefault="00C74DA0" w:rsidP="00A2231A">
            <w:pPr>
              <w:pStyle w:val="Tabletext"/>
              <w:jc w:val="center"/>
              <w:rPr>
                <w:b w:val="0"/>
                <w:bCs w:val="0"/>
              </w:rPr>
            </w:pPr>
            <w:r w:rsidRPr="00C66E29">
              <w:t>0</w:t>
            </w:r>
          </w:p>
        </w:tc>
        <w:tc>
          <w:tcPr>
            <w:tcW w:w="0" w:type="dxa"/>
            <w:shd w:val="clear" w:color="auto" w:fill="auto"/>
            <w:noWrap/>
            <w:vAlign w:val="bottom"/>
          </w:tcPr>
          <w:p w14:paraId="1A7690C8"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599</w:t>
            </w:r>
          </w:p>
        </w:tc>
        <w:tc>
          <w:tcPr>
            <w:tcW w:w="0" w:type="dxa"/>
            <w:shd w:val="clear" w:color="auto" w:fill="auto"/>
            <w:noWrap/>
            <w:vAlign w:val="bottom"/>
          </w:tcPr>
          <w:p w14:paraId="519D0D37"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71.91%</w:t>
            </w:r>
          </w:p>
        </w:tc>
      </w:tr>
      <w:tr w:rsidR="00C74DA0" w:rsidRPr="00C66E29" w14:paraId="3109EF3A"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4E4FECA4" w14:textId="77777777" w:rsidR="00C74DA0" w:rsidRPr="00C66E29" w:rsidRDefault="00C74DA0" w:rsidP="00A2231A">
            <w:pPr>
              <w:pStyle w:val="Tabletext"/>
              <w:jc w:val="center"/>
              <w:rPr>
                <w:b w:val="0"/>
                <w:bCs w:val="0"/>
                <w:lang w:eastAsia="en-GB"/>
              </w:rPr>
            </w:pPr>
            <w:r w:rsidRPr="00C66E29">
              <w:t>1</w:t>
            </w:r>
          </w:p>
        </w:tc>
        <w:tc>
          <w:tcPr>
            <w:tcW w:w="0" w:type="dxa"/>
            <w:shd w:val="clear" w:color="auto" w:fill="auto"/>
            <w:noWrap/>
            <w:vAlign w:val="bottom"/>
          </w:tcPr>
          <w:p w14:paraId="6B36267E"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120</w:t>
            </w:r>
          </w:p>
        </w:tc>
        <w:tc>
          <w:tcPr>
            <w:tcW w:w="0" w:type="dxa"/>
            <w:shd w:val="clear" w:color="auto" w:fill="auto"/>
            <w:noWrap/>
            <w:vAlign w:val="bottom"/>
          </w:tcPr>
          <w:p w14:paraId="176FA497"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14.41%</w:t>
            </w:r>
          </w:p>
        </w:tc>
      </w:tr>
      <w:tr w:rsidR="00C74DA0" w:rsidRPr="00C66E29" w14:paraId="34D2950A"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652B4AA7" w14:textId="77777777" w:rsidR="00C74DA0" w:rsidRPr="00C66E29" w:rsidRDefault="00C74DA0" w:rsidP="00A2231A">
            <w:pPr>
              <w:pStyle w:val="Tabletext"/>
              <w:jc w:val="center"/>
              <w:rPr>
                <w:b w:val="0"/>
                <w:bCs w:val="0"/>
                <w:lang w:eastAsia="en-GB"/>
              </w:rPr>
            </w:pPr>
            <w:r w:rsidRPr="00C66E29">
              <w:t>2</w:t>
            </w:r>
          </w:p>
        </w:tc>
        <w:tc>
          <w:tcPr>
            <w:tcW w:w="0" w:type="dxa"/>
            <w:shd w:val="clear" w:color="auto" w:fill="auto"/>
            <w:noWrap/>
            <w:vAlign w:val="bottom"/>
          </w:tcPr>
          <w:p w14:paraId="48DBC68E"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42</w:t>
            </w:r>
          </w:p>
        </w:tc>
        <w:tc>
          <w:tcPr>
            <w:tcW w:w="0" w:type="dxa"/>
            <w:shd w:val="clear" w:color="auto" w:fill="auto"/>
            <w:noWrap/>
            <w:vAlign w:val="bottom"/>
          </w:tcPr>
          <w:p w14:paraId="325CFFEA"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5.04%</w:t>
            </w:r>
          </w:p>
        </w:tc>
      </w:tr>
      <w:tr w:rsidR="00C74DA0" w:rsidRPr="00C66E29" w14:paraId="733D2F47"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0DAC8318" w14:textId="77777777" w:rsidR="00C74DA0" w:rsidRPr="00C66E29" w:rsidRDefault="00C74DA0" w:rsidP="00A2231A">
            <w:pPr>
              <w:pStyle w:val="Tabletext"/>
              <w:jc w:val="center"/>
              <w:rPr>
                <w:b w:val="0"/>
                <w:bCs w:val="0"/>
                <w:lang w:eastAsia="en-GB"/>
              </w:rPr>
            </w:pPr>
            <w:r w:rsidRPr="00C66E29">
              <w:t>3</w:t>
            </w:r>
          </w:p>
        </w:tc>
        <w:tc>
          <w:tcPr>
            <w:tcW w:w="0" w:type="dxa"/>
            <w:shd w:val="clear" w:color="auto" w:fill="auto"/>
            <w:noWrap/>
            <w:vAlign w:val="bottom"/>
          </w:tcPr>
          <w:p w14:paraId="2E2DD6C2"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26</w:t>
            </w:r>
          </w:p>
        </w:tc>
        <w:tc>
          <w:tcPr>
            <w:tcW w:w="0" w:type="dxa"/>
            <w:shd w:val="clear" w:color="auto" w:fill="auto"/>
            <w:noWrap/>
            <w:vAlign w:val="bottom"/>
          </w:tcPr>
          <w:p w14:paraId="2F949C4E"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3.12%</w:t>
            </w:r>
          </w:p>
        </w:tc>
      </w:tr>
      <w:tr w:rsidR="00C74DA0" w:rsidRPr="00C66E29" w14:paraId="64F91245"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0D4BB9EC" w14:textId="77777777" w:rsidR="00C74DA0" w:rsidRPr="00C66E29" w:rsidRDefault="00C74DA0" w:rsidP="00A2231A">
            <w:pPr>
              <w:pStyle w:val="Tabletext"/>
              <w:jc w:val="center"/>
              <w:rPr>
                <w:b w:val="0"/>
                <w:bCs w:val="0"/>
                <w:lang w:eastAsia="en-GB"/>
              </w:rPr>
            </w:pPr>
            <w:r w:rsidRPr="00C66E29">
              <w:t>4</w:t>
            </w:r>
          </w:p>
        </w:tc>
        <w:tc>
          <w:tcPr>
            <w:tcW w:w="0" w:type="dxa"/>
            <w:shd w:val="clear" w:color="auto" w:fill="auto"/>
            <w:noWrap/>
            <w:vAlign w:val="bottom"/>
          </w:tcPr>
          <w:p w14:paraId="2D28416B"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11</w:t>
            </w:r>
          </w:p>
        </w:tc>
        <w:tc>
          <w:tcPr>
            <w:tcW w:w="0" w:type="dxa"/>
            <w:shd w:val="clear" w:color="auto" w:fill="auto"/>
            <w:noWrap/>
            <w:vAlign w:val="bottom"/>
          </w:tcPr>
          <w:p w14:paraId="7C625F90"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1.32%</w:t>
            </w:r>
          </w:p>
        </w:tc>
      </w:tr>
      <w:tr w:rsidR="00C74DA0" w:rsidRPr="00C66E29" w14:paraId="0DF809EA"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423EBDC1" w14:textId="77777777" w:rsidR="00C74DA0" w:rsidRPr="00C66E29" w:rsidRDefault="00C74DA0" w:rsidP="00A2231A">
            <w:pPr>
              <w:pStyle w:val="Tabletext"/>
              <w:jc w:val="center"/>
              <w:rPr>
                <w:b w:val="0"/>
                <w:bCs w:val="0"/>
                <w:lang w:eastAsia="en-GB"/>
              </w:rPr>
            </w:pPr>
            <w:r w:rsidRPr="00C66E29">
              <w:t>5</w:t>
            </w:r>
          </w:p>
        </w:tc>
        <w:tc>
          <w:tcPr>
            <w:tcW w:w="0" w:type="dxa"/>
            <w:shd w:val="clear" w:color="auto" w:fill="auto"/>
            <w:noWrap/>
            <w:vAlign w:val="bottom"/>
          </w:tcPr>
          <w:p w14:paraId="7C026309"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9</w:t>
            </w:r>
          </w:p>
        </w:tc>
        <w:tc>
          <w:tcPr>
            <w:tcW w:w="0" w:type="dxa"/>
            <w:shd w:val="clear" w:color="auto" w:fill="auto"/>
            <w:noWrap/>
            <w:vAlign w:val="bottom"/>
          </w:tcPr>
          <w:p w14:paraId="029E4CE1"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1.08%</w:t>
            </w:r>
          </w:p>
        </w:tc>
      </w:tr>
      <w:tr w:rsidR="00C74DA0" w:rsidRPr="00C66E29" w14:paraId="2A289952"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7FA115FF" w14:textId="77777777" w:rsidR="00C74DA0" w:rsidRPr="00C66E29" w:rsidRDefault="00C74DA0" w:rsidP="00A2231A">
            <w:pPr>
              <w:pStyle w:val="Tabletext"/>
              <w:jc w:val="center"/>
              <w:rPr>
                <w:b w:val="0"/>
                <w:bCs w:val="0"/>
                <w:lang w:eastAsia="en-GB"/>
              </w:rPr>
            </w:pPr>
            <w:r w:rsidRPr="00C66E29">
              <w:t>6</w:t>
            </w:r>
          </w:p>
        </w:tc>
        <w:tc>
          <w:tcPr>
            <w:tcW w:w="0" w:type="dxa"/>
            <w:shd w:val="clear" w:color="auto" w:fill="auto"/>
            <w:noWrap/>
            <w:vAlign w:val="bottom"/>
          </w:tcPr>
          <w:p w14:paraId="61D5CD1F"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7</w:t>
            </w:r>
          </w:p>
        </w:tc>
        <w:tc>
          <w:tcPr>
            <w:tcW w:w="0" w:type="dxa"/>
            <w:shd w:val="clear" w:color="auto" w:fill="auto"/>
            <w:noWrap/>
            <w:vAlign w:val="bottom"/>
          </w:tcPr>
          <w:p w14:paraId="622B1745"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0.84%</w:t>
            </w:r>
          </w:p>
        </w:tc>
      </w:tr>
      <w:tr w:rsidR="00C74DA0" w:rsidRPr="00C66E29" w14:paraId="2F2F7628"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728E9DCD" w14:textId="77777777" w:rsidR="00C74DA0" w:rsidRPr="00C66E29" w:rsidRDefault="00C74DA0" w:rsidP="00A2231A">
            <w:pPr>
              <w:pStyle w:val="Tabletext"/>
              <w:jc w:val="center"/>
              <w:rPr>
                <w:b w:val="0"/>
                <w:bCs w:val="0"/>
                <w:lang w:eastAsia="en-GB"/>
              </w:rPr>
            </w:pPr>
            <w:r w:rsidRPr="00C66E29">
              <w:t>7</w:t>
            </w:r>
          </w:p>
        </w:tc>
        <w:tc>
          <w:tcPr>
            <w:tcW w:w="0" w:type="dxa"/>
            <w:shd w:val="clear" w:color="auto" w:fill="auto"/>
            <w:noWrap/>
            <w:vAlign w:val="bottom"/>
          </w:tcPr>
          <w:p w14:paraId="6448B875"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4</w:t>
            </w:r>
          </w:p>
        </w:tc>
        <w:tc>
          <w:tcPr>
            <w:tcW w:w="0" w:type="dxa"/>
            <w:shd w:val="clear" w:color="auto" w:fill="auto"/>
            <w:noWrap/>
            <w:vAlign w:val="bottom"/>
          </w:tcPr>
          <w:p w14:paraId="54D94B6D"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0.48%</w:t>
            </w:r>
          </w:p>
        </w:tc>
      </w:tr>
      <w:tr w:rsidR="00C74DA0" w:rsidRPr="00C66E29" w14:paraId="6C332F24"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4AD4A30A" w14:textId="77777777" w:rsidR="00C74DA0" w:rsidRPr="00C66E29" w:rsidRDefault="00C74DA0" w:rsidP="00A2231A">
            <w:pPr>
              <w:pStyle w:val="Tabletext"/>
              <w:jc w:val="center"/>
              <w:rPr>
                <w:b w:val="0"/>
                <w:bCs w:val="0"/>
                <w:lang w:eastAsia="en-GB"/>
              </w:rPr>
            </w:pPr>
            <w:r w:rsidRPr="00C66E29">
              <w:t>8</w:t>
            </w:r>
          </w:p>
        </w:tc>
        <w:tc>
          <w:tcPr>
            <w:tcW w:w="0" w:type="dxa"/>
            <w:shd w:val="clear" w:color="auto" w:fill="auto"/>
            <w:noWrap/>
            <w:vAlign w:val="bottom"/>
          </w:tcPr>
          <w:p w14:paraId="5A7F8D8C"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5</w:t>
            </w:r>
          </w:p>
        </w:tc>
        <w:tc>
          <w:tcPr>
            <w:tcW w:w="0" w:type="dxa"/>
            <w:shd w:val="clear" w:color="auto" w:fill="auto"/>
            <w:noWrap/>
            <w:vAlign w:val="bottom"/>
          </w:tcPr>
          <w:p w14:paraId="6A6628AC"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C66E29">
              <w:t>0.60%</w:t>
            </w:r>
          </w:p>
        </w:tc>
      </w:tr>
      <w:tr w:rsidR="00C74DA0" w:rsidRPr="00C66E29" w14:paraId="50A4AF02"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02A45E0F" w14:textId="77777777" w:rsidR="00C74DA0" w:rsidRPr="00C66E29" w:rsidRDefault="00C74DA0" w:rsidP="00A2231A">
            <w:pPr>
              <w:pStyle w:val="Tabletext"/>
              <w:jc w:val="center"/>
              <w:rPr>
                <w:b w:val="0"/>
                <w:bCs w:val="0"/>
                <w:lang w:eastAsia="en-GB"/>
              </w:rPr>
            </w:pPr>
            <w:r w:rsidRPr="00C66E29">
              <w:t>9</w:t>
            </w:r>
          </w:p>
        </w:tc>
        <w:tc>
          <w:tcPr>
            <w:tcW w:w="0" w:type="dxa"/>
            <w:shd w:val="clear" w:color="auto" w:fill="auto"/>
            <w:noWrap/>
            <w:vAlign w:val="bottom"/>
          </w:tcPr>
          <w:p w14:paraId="76B9212A"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3</w:t>
            </w:r>
          </w:p>
        </w:tc>
        <w:tc>
          <w:tcPr>
            <w:tcW w:w="0" w:type="dxa"/>
            <w:shd w:val="clear" w:color="auto" w:fill="auto"/>
            <w:noWrap/>
            <w:vAlign w:val="bottom"/>
          </w:tcPr>
          <w:p w14:paraId="373A3F8C"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C66E29">
              <w:t>0.36%</w:t>
            </w:r>
          </w:p>
        </w:tc>
      </w:tr>
      <w:tr w:rsidR="00C74DA0" w:rsidRPr="00C66E29" w14:paraId="53B5B608"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58DAAEB3" w14:textId="77777777" w:rsidR="00C74DA0" w:rsidRPr="00C66E29" w:rsidRDefault="00C74DA0" w:rsidP="00A2231A">
            <w:pPr>
              <w:pStyle w:val="Tabletext"/>
              <w:jc w:val="center"/>
              <w:rPr>
                <w:b w:val="0"/>
                <w:bCs w:val="0"/>
              </w:rPr>
            </w:pPr>
            <w:r w:rsidRPr="00C66E29">
              <w:t>10</w:t>
            </w:r>
          </w:p>
        </w:tc>
        <w:tc>
          <w:tcPr>
            <w:tcW w:w="0" w:type="dxa"/>
            <w:shd w:val="clear" w:color="auto" w:fill="auto"/>
            <w:noWrap/>
            <w:vAlign w:val="bottom"/>
          </w:tcPr>
          <w:p w14:paraId="586CF419"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pPr>
            <w:r w:rsidRPr="00C66E29">
              <w:t>3</w:t>
            </w:r>
          </w:p>
        </w:tc>
        <w:tc>
          <w:tcPr>
            <w:tcW w:w="0" w:type="dxa"/>
            <w:shd w:val="clear" w:color="auto" w:fill="auto"/>
            <w:noWrap/>
            <w:vAlign w:val="bottom"/>
          </w:tcPr>
          <w:p w14:paraId="66DD5293"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pPr>
            <w:r w:rsidRPr="00C66E29">
              <w:t>0.36%</w:t>
            </w:r>
          </w:p>
        </w:tc>
      </w:tr>
      <w:tr w:rsidR="00C74DA0" w:rsidRPr="00C66E29" w14:paraId="20C71353"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7D152892" w14:textId="77777777" w:rsidR="00C74DA0" w:rsidRPr="00C66E29" w:rsidRDefault="00C74DA0" w:rsidP="00A2231A">
            <w:pPr>
              <w:pStyle w:val="Tabletext"/>
              <w:jc w:val="center"/>
              <w:rPr>
                <w:b w:val="0"/>
                <w:bCs w:val="0"/>
              </w:rPr>
            </w:pPr>
            <w:r w:rsidRPr="00C66E29">
              <w:t>11</w:t>
            </w:r>
          </w:p>
        </w:tc>
        <w:tc>
          <w:tcPr>
            <w:tcW w:w="0" w:type="dxa"/>
            <w:shd w:val="clear" w:color="auto" w:fill="auto"/>
            <w:noWrap/>
            <w:vAlign w:val="bottom"/>
          </w:tcPr>
          <w:p w14:paraId="2FC256CF"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pPr>
            <w:r w:rsidRPr="00C66E29">
              <w:t>2</w:t>
            </w:r>
          </w:p>
        </w:tc>
        <w:tc>
          <w:tcPr>
            <w:tcW w:w="0" w:type="dxa"/>
            <w:shd w:val="clear" w:color="auto" w:fill="auto"/>
            <w:noWrap/>
            <w:vAlign w:val="bottom"/>
          </w:tcPr>
          <w:p w14:paraId="4D892115"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pPr>
            <w:r w:rsidRPr="00C66E29">
              <w:t>0.24%</w:t>
            </w:r>
          </w:p>
        </w:tc>
      </w:tr>
      <w:tr w:rsidR="00C74DA0" w:rsidRPr="00C66E29" w14:paraId="62FD4C35" w14:textId="77777777" w:rsidTr="00A2231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103D11D3" w14:textId="77777777" w:rsidR="00C74DA0" w:rsidRPr="00C66E29" w:rsidRDefault="00C74DA0" w:rsidP="00A2231A">
            <w:pPr>
              <w:pStyle w:val="Tabletext"/>
              <w:jc w:val="center"/>
              <w:rPr>
                <w:b w:val="0"/>
                <w:bCs w:val="0"/>
              </w:rPr>
            </w:pPr>
            <w:r w:rsidRPr="00C66E29">
              <w:t>12</w:t>
            </w:r>
          </w:p>
        </w:tc>
        <w:tc>
          <w:tcPr>
            <w:tcW w:w="0" w:type="dxa"/>
            <w:shd w:val="clear" w:color="auto" w:fill="auto"/>
            <w:noWrap/>
            <w:vAlign w:val="bottom"/>
          </w:tcPr>
          <w:p w14:paraId="11E187BF"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pPr>
            <w:r w:rsidRPr="00C66E29">
              <w:t>1</w:t>
            </w:r>
          </w:p>
        </w:tc>
        <w:tc>
          <w:tcPr>
            <w:tcW w:w="0" w:type="dxa"/>
            <w:shd w:val="clear" w:color="auto" w:fill="auto"/>
            <w:noWrap/>
            <w:vAlign w:val="bottom"/>
          </w:tcPr>
          <w:p w14:paraId="142177CA" w14:textId="77777777" w:rsidR="00C74DA0" w:rsidRPr="00C66E29" w:rsidRDefault="00C74DA0" w:rsidP="00A2231A">
            <w:pPr>
              <w:pStyle w:val="Tabletext"/>
              <w:jc w:val="center"/>
              <w:cnfStyle w:val="000000100000" w:firstRow="0" w:lastRow="0" w:firstColumn="0" w:lastColumn="0" w:oddVBand="0" w:evenVBand="0" w:oddHBand="1" w:evenHBand="0" w:firstRowFirstColumn="0" w:firstRowLastColumn="0" w:lastRowFirstColumn="0" w:lastRowLastColumn="0"/>
            </w:pPr>
            <w:r w:rsidRPr="00C66E29">
              <w:t>0.12%</w:t>
            </w:r>
          </w:p>
        </w:tc>
      </w:tr>
      <w:tr w:rsidR="00C74DA0" w:rsidRPr="00C66E29" w14:paraId="449A944E" w14:textId="77777777" w:rsidTr="00A2231A">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2A618690" w14:textId="77777777" w:rsidR="00C74DA0" w:rsidRPr="00C66E29" w:rsidRDefault="00C74DA0" w:rsidP="00A2231A">
            <w:pPr>
              <w:pStyle w:val="Tabletext"/>
              <w:jc w:val="center"/>
            </w:pPr>
            <w:r w:rsidRPr="00C66E29">
              <w:t>13</w:t>
            </w:r>
          </w:p>
        </w:tc>
        <w:tc>
          <w:tcPr>
            <w:tcW w:w="0" w:type="dxa"/>
            <w:shd w:val="clear" w:color="auto" w:fill="auto"/>
            <w:noWrap/>
            <w:vAlign w:val="bottom"/>
          </w:tcPr>
          <w:p w14:paraId="7A741F12"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pPr>
            <w:r w:rsidRPr="00C66E29">
              <w:t>1</w:t>
            </w:r>
          </w:p>
        </w:tc>
        <w:tc>
          <w:tcPr>
            <w:tcW w:w="0" w:type="dxa"/>
            <w:shd w:val="clear" w:color="auto" w:fill="auto"/>
            <w:noWrap/>
            <w:vAlign w:val="bottom"/>
          </w:tcPr>
          <w:p w14:paraId="53D8F0CC" w14:textId="77777777" w:rsidR="00C74DA0" w:rsidRPr="00C66E29" w:rsidRDefault="00C74DA0" w:rsidP="00A2231A">
            <w:pPr>
              <w:pStyle w:val="Tabletext"/>
              <w:jc w:val="center"/>
              <w:cnfStyle w:val="000000000000" w:firstRow="0" w:lastRow="0" w:firstColumn="0" w:lastColumn="0" w:oddVBand="0" w:evenVBand="0" w:oddHBand="0" w:evenHBand="0" w:firstRowFirstColumn="0" w:firstRowLastColumn="0" w:lastRowFirstColumn="0" w:lastRowLastColumn="0"/>
            </w:pPr>
            <w:r w:rsidRPr="00C66E29">
              <w:t>0.12%</w:t>
            </w:r>
          </w:p>
        </w:tc>
      </w:tr>
    </w:tbl>
    <w:p w14:paraId="79385823" w14:textId="77777777" w:rsidR="00C74DA0" w:rsidRPr="00C66E29" w:rsidRDefault="00C74DA0" w:rsidP="002820E6">
      <w:pPr>
        <w:pStyle w:val="Tablefin"/>
      </w:pPr>
    </w:p>
    <w:p w14:paraId="019A34D3" w14:textId="77777777" w:rsidR="00C74DA0" w:rsidRPr="00C66E29" w:rsidRDefault="00C74DA0" w:rsidP="002820E6">
      <w:r w:rsidRPr="00C66E29">
        <w:rPr>
          <w:b/>
          <w:bCs/>
        </w:rPr>
        <w:t>46</w:t>
      </w:r>
      <w:r w:rsidRPr="00C66E29">
        <w:t xml:space="preserve"> Administrations submitted information under Resolution </w:t>
      </w:r>
      <w:r w:rsidRPr="00C66E29">
        <w:rPr>
          <w:b/>
          <w:bCs/>
        </w:rPr>
        <w:t>40</w:t>
      </w:r>
      <w:r w:rsidRPr="00C66E29">
        <w:t xml:space="preserve"> </w:t>
      </w:r>
      <w:r w:rsidRPr="00C66E29">
        <w:rPr>
          <w:b/>
          <w:bCs/>
        </w:rPr>
        <w:t>(</w:t>
      </w:r>
      <w:r w:rsidRPr="00B95C7F">
        <w:rPr>
          <w:b/>
          <w:bCs/>
        </w:rPr>
        <w:t>Rev.WRC-19</w:t>
      </w:r>
      <w:r w:rsidRPr="00C66E29">
        <w:rPr>
          <w:b/>
          <w:bCs/>
        </w:rPr>
        <w:t>)</w:t>
      </w:r>
      <w:r w:rsidRPr="00C66E29">
        <w:t xml:space="preserve"> and </w:t>
      </w:r>
      <w:r w:rsidRPr="00C66E29">
        <w:rPr>
          <w:b/>
          <w:bCs/>
        </w:rPr>
        <w:t xml:space="preserve">33 </w:t>
      </w:r>
      <w:r w:rsidRPr="00C66E29">
        <w:t>Administrations indicated at least in one of their submissions that the bringing into use was accomplished with a space station that has previously been used to bring into use, or resume the use of, frequency assignments at a different orbital location within three years prior to the date of submission of this information.</w:t>
      </w:r>
    </w:p>
    <w:p w14:paraId="13E92ABE" w14:textId="77777777" w:rsidR="00C74DA0" w:rsidRPr="00C66E29" w:rsidRDefault="00C74DA0" w:rsidP="002820E6">
      <w:r w:rsidRPr="00C66E29">
        <w:rPr>
          <w:lang w:val="en-US"/>
        </w:rPr>
        <w:t xml:space="preserve">The information gathered from the submissions under Resolution </w:t>
      </w:r>
      <w:r w:rsidRPr="00C66E29">
        <w:rPr>
          <w:b/>
          <w:bCs/>
          <w:lang w:val="en-US"/>
        </w:rPr>
        <w:t>40</w:t>
      </w:r>
      <w:r w:rsidRPr="00C66E29">
        <w:rPr>
          <w:lang w:val="en-US"/>
        </w:rPr>
        <w:t xml:space="preserve"> </w:t>
      </w:r>
      <w:r w:rsidRPr="00C66E29">
        <w:rPr>
          <w:b/>
          <w:bCs/>
          <w:lang w:val="en-US"/>
        </w:rPr>
        <w:t>(</w:t>
      </w:r>
      <w:r w:rsidRPr="00B95C7F">
        <w:rPr>
          <w:b/>
          <w:bCs/>
          <w:lang w:val="en-US"/>
        </w:rPr>
        <w:t>Rev.WRC-19</w:t>
      </w:r>
      <w:r w:rsidRPr="00C66E29">
        <w:rPr>
          <w:b/>
          <w:bCs/>
          <w:lang w:val="en-US"/>
        </w:rPr>
        <w:t>)</w:t>
      </w:r>
      <w:r w:rsidRPr="00C66E29">
        <w:rPr>
          <w:lang w:val="en-US"/>
        </w:rPr>
        <w:t xml:space="preserve"> shows that satellites can be used to bring into use frequency assignments at multiple different orbital positions. There is an example of a satellite bringing into use, </w:t>
      </w:r>
      <w:r w:rsidRPr="00C66E29">
        <w:t>or bringing back into use after suspension, frequency assignments at 13 different orbital positions since 27 November 2015.</w:t>
      </w:r>
    </w:p>
    <w:p w14:paraId="73197551" w14:textId="77777777" w:rsidR="00C74DA0" w:rsidRPr="00C66E29" w:rsidRDefault="00C74DA0" w:rsidP="00C74DA0">
      <w:pPr>
        <w:rPr>
          <w:lang w:val="en-US"/>
        </w:rPr>
      </w:pPr>
      <w:r w:rsidRPr="00C66E29">
        <w:rPr>
          <w:lang w:val="en-US"/>
        </w:rPr>
        <w:t xml:space="preserve">All information about the submissions received by the Bureau under Resolution </w:t>
      </w:r>
      <w:r w:rsidRPr="00C66E29">
        <w:rPr>
          <w:b/>
          <w:bCs/>
          <w:lang w:val="en-US"/>
        </w:rPr>
        <w:t>40 (</w:t>
      </w:r>
      <w:r w:rsidRPr="00B95C7F">
        <w:rPr>
          <w:b/>
          <w:bCs/>
          <w:lang w:val="en-US"/>
        </w:rPr>
        <w:t>Rev.WRC-19</w:t>
      </w:r>
      <w:r w:rsidRPr="00C66E29">
        <w:rPr>
          <w:b/>
          <w:bCs/>
          <w:lang w:val="en-US"/>
        </w:rPr>
        <w:t xml:space="preserve">) </w:t>
      </w:r>
      <w:r w:rsidRPr="00C66E29">
        <w:rPr>
          <w:lang w:val="en-US"/>
        </w:rPr>
        <w:t xml:space="preserve">can be found on the following webpage: </w:t>
      </w:r>
      <w:hyperlink r:id="rId50" w:history="1">
        <w:r w:rsidRPr="00C66E29">
          <w:rPr>
            <w:rStyle w:val="Hyperlink"/>
          </w:rPr>
          <w:t>https://www.itu.int/net/ITU-R/space/snl/sat_relocation/index.asp</w:t>
        </w:r>
      </w:hyperlink>
      <w:r w:rsidRPr="00C66E29">
        <w:rPr>
          <w:lang w:val="en-US"/>
        </w:rPr>
        <w:t>.</w:t>
      </w:r>
    </w:p>
    <w:p w14:paraId="32B695E8" w14:textId="77777777" w:rsidR="00C74DA0" w:rsidRDefault="00C74DA0" w:rsidP="002820E6">
      <w:r w:rsidRPr="00C66E29">
        <w:t>These statistics are regularly reported to the Radio Regulations Board.</w:t>
      </w:r>
    </w:p>
    <w:p w14:paraId="21A1AFB0" w14:textId="77777777" w:rsidR="00C74DA0" w:rsidRPr="00C66E29" w:rsidRDefault="00C74DA0" w:rsidP="002820E6">
      <w:pPr>
        <w:pStyle w:val="Heading3"/>
      </w:pPr>
      <w:bookmarkStart w:id="68" w:name="_Toc143072401"/>
      <w:r w:rsidRPr="00C66E29">
        <w:t>2.</w:t>
      </w:r>
      <w:r>
        <w:t>4.2</w:t>
      </w:r>
      <w:r w:rsidRPr="00C66E29">
        <w:tab/>
        <w:t>Resolution 49 (Rev.WRC</w:t>
      </w:r>
      <w:r w:rsidRPr="00C66E29">
        <w:noBreakHyphen/>
        <w:t>1</w:t>
      </w:r>
      <w:r>
        <w:t>9</w:t>
      </w:r>
      <w:r w:rsidRPr="00C66E29">
        <w:t>) – Due diligence</w:t>
      </w:r>
      <w:bookmarkEnd w:id="65"/>
      <w:bookmarkEnd w:id="68"/>
    </w:p>
    <w:p w14:paraId="52DDB493" w14:textId="77777777" w:rsidR="00C74DA0" w:rsidRPr="00C66E29" w:rsidRDefault="00C74DA0" w:rsidP="002820E6">
      <w:r w:rsidRPr="00C66E29">
        <w:t>The Due Diligence Information is published in RES49 Special Sections and made available to administrations in database format within one month of receipt of the submission. See details in the table below for the number of cases received and published.</w:t>
      </w:r>
    </w:p>
    <w:p w14:paraId="1E6549BD" w14:textId="77777777" w:rsidR="00C74DA0" w:rsidRPr="00C66E29" w:rsidRDefault="00C74DA0" w:rsidP="00C74DA0">
      <w:pPr>
        <w:pStyle w:val="TableNo"/>
      </w:pPr>
      <w:r w:rsidRPr="00C66E29">
        <w:t>Table 2.</w:t>
      </w:r>
      <w:r>
        <w:t>6</w:t>
      </w:r>
      <w:r w:rsidRPr="00C66E29">
        <w:t>-1</w:t>
      </w:r>
    </w:p>
    <w:p w14:paraId="2ECAA570" w14:textId="77777777" w:rsidR="00C74DA0" w:rsidRPr="00C66E29" w:rsidRDefault="00C74DA0" w:rsidP="00C74DA0">
      <w:pPr>
        <w:pStyle w:val="Tabletitle"/>
      </w:pPr>
      <w:r w:rsidRPr="00C66E29">
        <w:t>Implementation of Resolution 49 (Rev.WRC</w:t>
      </w:r>
      <w:r w:rsidRPr="00C66E29">
        <w:noBreakHyphen/>
        <w:t xml:space="preserve">19) </w:t>
      </w:r>
    </w:p>
    <w:tbl>
      <w:tblPr>
        <w:tblW w:w="5000" w:type="pct"/>
        <w:tblCellMar>
          <w:left w:w="0" w:type="dxa"/>
          <w:right w:w="0" w:type="dxa"/>
        </w:tblCellMar>
        <w:tblLook w:val="04A0" w:firstRow="1" w:lastRow="0" w:firstColumn="1" w:lastColumn="0" w:noHBand="0" w:noVBand="1"/>
      </w:tblPr>
      <w:tblGrid>
        <w:gridCol w:w="3304"/>
        <w:gridCol w:w="1117"/>
        <w:gridCol w:w="2475"/>
        <w:gridCol w:w="2733"/>
      </w:tblGrid>
      <w:tr w:rsidR="00C74DA0" w:rsidRPr="00C66E29" w14:paraId="260C3492" w14:textId="77777777">
        <w:trPr>
          <w:trHeight w:val="510"/>
        </w:trPr>
        <w:tc>
          <w:tcPr>
            <w:tcW w:w="1716" w:type="pct"/>
            <w:noWrap/>
            <w:tcMar>
              <w:top w:w="0" w:type="dxa"/>
              <w:left w:w="108" w:type="dxa"/>
              <w:bottom w:w="0" w:type="dxa"/>
              <w:right w:w="108" w:type="dxa"/>
            </w:tcMar>
            <w:vAlign w:val="bottom"/>
            <w:hideMark/>
          </w:tcPr>
          <w:p w14:paraId="2F3981FF" w14:textId="77777777" w:rsidR="00C74DA0" w:rsidRPr="00C66E29" w:rsidRDefault="00C74DA0">
            <w:pPr>
              <w:rPr>
                <w:sz w:val="20"/>
                <w:lang w:eastAsia="en-GB"/>
              </w:rPr>
            </w:pPr>
            <w:bookmarkStart w:id="69" w:name="_Toc418232277"/>
          </w:p>
        </w:tc>
        <w:tc>
          <w:tcPr>
            <w:tcW w:w="580"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14:paraId="4C3CD1FA" w14:textId="77777777" w:rsidR="00C74DA0" w:rsidRPr="00C66E29" w:rsidRDefault="00C74DA0">
            <w:pPr>
              <w:pStyle w:val="Tablehead"/>
              <w:rPr>
                <w:rFonts w:ascii="Calibri" w:hAnsi="Calibri" w:cs="Calibri"/>
                <w:sz w:val="22"/>
              </w:rPr>
            </w:pPr>
            <w:r w:rsidRPr="00C66E29">
              <w:t>Year</w:t>
            </w:r>
          </w:p>
        </w:tc>
        <w:tc>
          <w:tcPr>
            <w:tcW w:w="1285"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4504274" w14:textId="77777777" w:rsidR="00C74DA0" w:rsidRPr="00C66E29" w:rsidRDefault="00C74DA0">
            <w:pPr>
              <w:pStyle w:val="Tablehead"/>
              <w:rPr>
                <w:bCs/>
              </w:rPr>
            </w:pPr>
            <w:r w:rsidRPr="00C66E29">
              <w:rPr>
                <w:bCs/>
              </w:rPr>
              <w:t>Due diligence received</w:t>
            </w:r>
          </w:p>
        </w:tc>
        <w:tc>
          <w:tcPr>
            <w:tcW w:w="1419"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1245CB" w14:textId="77777777" w:rsidR="00C74DA0" w:rsidRPr="00C66E29" w:rsidRDefault="00C74DA0">
            <w:pPr>
              <w:pStyle w:val="Tablehead"/>
              <w:rPr>
                <w:rFonts w:ascii="Calibri" w:hAnsi="Calibri" w:cs="Calibri"/>
                <w:bCs/>
              </w:rPr>
            </w:pPr>
            <w:r w:rsidRPr="00C66E29">
              <w:rPr>
                <w:bCs/>
              </w:rPr>
              <w:t>Due diligence published</w:t>
            </w:r>
          </w:p>
        </w:tc>
      </w:tr>
      <w:tr w:rsidR="00C74DA0" w:rsidRPr="00C66E29" w14:paraId="30F79E59" w14:textId="77777777">
        <w:trPr>
          <w:trHeight w:val="315"/>
        </w:trPr>
        <w:tc>
          <w:tcPr>
            <w:tcW w:w="1716" w:type="pct"/>
            <w:noWrap/>
            <w:tcMar>
              <w:top w:w="0" w:type="dxa"/>
              <w:left w:w="108" w:type="dxa"/>
              <w:bottom w:w="0" w:type="dxa"/>
              <w:right w:w="108" w:type="dxa"/>
            </w:tcMar>
            <w:vAlign w:val="bottom"/>
            <w:hideMark/>
          </w:tcPr>
          <w:p w14:paraId="3D4984E1" w14:textId="77777777" w:rsidR="00C74DA0" w:rsidRPr="00C66E29" w:rsidRDefault="00C74DA0">
            <w:pPr>
              <w:rPr>
                <w:b/>
                <w:bCs/>
                <w:color w:val="000000"/>
                <w:sz w:val="20"/>
              </w:rPr>
            </w:pPr>
          </w:p>
        </w:tc>
        <w:tc>
          <w:tcPr>
            <w:tcW w:w="580"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14:paraId="487B7C49" w14:textId="77777777" w:rsidR="00C74DA0" w:rsidRPr="00C66E29" w:rsidRDefault="00C74DA0">
            <w:pPr>
              <w:pStyle w:val="Tablehead"/>
              <w:rPr>
                <w:rFonts w:ascii="Calibri" w:hAnsi="Calibri" w:cs="Calibri"/>
                <w:sz w:val="22"/>
              </w:rPr>
            </w:pPr>
          </w:p>
        </w:tc>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BE079" w14:textId="77777777" w:rsidR="00C74DA0" w:rsidRPr="00C66E29" w:rsidRDefault="00C74DA0">
            <w:pPr>
              <w:pStyle w:val="Tablehead"/>
              <w:rPr>
                <w:bCs/>
              </w:rPr>
            </w:pPr>
            <w:r w:rsidRPr="00C66E29">
              <w:rPr>
                <w:bCs/>
              </w:rPr>
              <w:t>(</w:t>
            </w:r>
            <w:proofErr w:type="gramStart"/>
            <w:r w:rsidRPr="00C66E29">
              <w:rPr>
                <w:bCs/>
              </w:rPr>
              <w:t>number</w:t>
            </w:r>
            <w:proofErr w:type="gramEnd"/>
            <w:r w:rsidRPr="00C66E29">
              <w:rPr>
                <w:bCs/>
              </w:rPr>
              <w:t xml:space="preserve"> of networks)</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F67A3" w14:textId="77777777" w:rsidR="00C74DA0" w:rsidRPr="00C66E29" w:rsidRDefault="00C74DA0">
            <w:pPr>
              <w:pStyle w:val="Tablehead"/>
              <w:rPr>
                <w:rFonts w:ascii="Calibri" w:hAnsi="Calibri" w:cs="Calibri"/>
                <w:bCs/>
              </w:rPr>
            </w:pPr>
            <w:r w:rsidRPr="00C66E29">
              <w:rPr>
                <w:bCs/>
              </w:rPr>
              <w:t>(</w:t>
            </w:r>
            <w:proofErr w:type="gramStart"/>
            <w:r w:rsidRPr="00C66E29">
              <w:rPr>
                <w:bCs/>
              </w:rPr>
              <w:t>number</w:t>
            </w:r>
            <w:proofErr w:type="gramEnd"/>
            <w:r w:rsidRPr="00C66E29">
              <w:rPr>
                <w:bCs/>
              </w:rPr>
              <w:t xml:space="preserve"> of networks)</w:t>
            </w:r>
          </w:p>
        </w:tc>
      </w:tr>
      <w:tr w:rsidR="00C74DA0" w:rsidRPr="00C66E29" w14:paraId="4BE63771" w14:textId="77777777">
        <w:trPr>
          <w:trHeight w:val="300"/>
        </w:trPr>
        <w:tc>
          <w:tcPr>
            <w:tcW w:w="1716"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268296C6" w14:textId="77777777" w:rsidR="00C74DA0" w:rsidRPr="00C66E29" w:rsidRDefault="00C74DA0">
            <w:pPr>
              <w:pStyle w:val="Tabletext"/>
            </w:pPr>
            <w:r w:rsidRPr="00C66E29">
              <w:t>Planned/unplanned services</w:t>
            </w: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7ADEE69E" w14:textId="77777777" w:rsidR="00C74DA0" w:rsidRPr="00C66E29" w:rsidRDefault="00C74DA0">
            <w:pPr>
              <w:pStyle w:val="Tabletext"/>
              <w:jc w:val="center"/>
              <w:rPr>
                <w:sz w:val="22"/>
              </w:rPr>
            </w:pPr>
            <w:r w:rsidRPr="00C66E29">
              <w:t>2019</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5442408C" w14:textId="77777777" w:rsidR="00C74DA0" w:rsidRPr="00C66E29" w:rsidRDefault="00C74DA0">
            <w:pPr>
              <w:pStyle w:val="Tabletext"/>
              <w:jc w:val="center"/>
            </w:pPr>
            <w:r w:rsidRPr="00C66E29">
              <w:t>23/77</w:t>
            </w:r>
          </w:p>
        </w:tc>
        <w:tc>
          <w:tcPr>
            <w:tcW w:w="1419" w:type="pct"/>
            <w:noWrap/>
            <w:tcMar>
              <w:top w:w="0" w:type="dxa"/>
              <w:left w:w="108" w:type="dxa"/>
              <w:bottom w:w="0" w:type="dxa"/>
              <w:right w:w="108" w:type="dxa"/>
            </w:tcMar>
            <w:vAlign w:val="center"/>
            <w:hideMark/>
          </w:tcPr>
          <w:p w14:paraId="0CB30C29" w14:textId="77777777" w:rsidR="00C74DA0" w:rsidRPr="00C66E29" w:rsidRDefault="00C74DA0">
            <w:pPr>
              <w:pStyle w:val="Tabletext"/>
              <w:jc w:val="center"/>
            </w:pPr>
            <w:r w:rsidRPr="00C66E29">
              <w:t>20/80</w:t>
            </w:r>
          </w:p>
        </w:tc>
      </w:tr>
      <w:tr w:rsidR="00C74DA0" w:rsidRPr="00C66E29" w14:paraId="7FE5CBFC" w14:textId="77777777">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9E9CCE1" w14:textId="77777777" w:rsidR="00C74DA0" w:rsidRPr="00C66E29" w:rsidRDefault="00C74DA0">
            <w:pPr>
              <w:pStyle w:val="Tabletex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7965C3FA" w14:textId="77777777" w:rsidR="00C74DA0" w:rsidRPr="00C66E29" w:rsidRDefault="00C74DA0">
            <w:pPr>
              <w:pStyle w:val="Tabletext"/>
              <w:jc w:val="center"/>
            </w:pPr>
            <w:r w:rsidRPr="00C66E29">
              <w:t>2020</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501C51C5" w14:textId="77777777" w:rsidR="00C74DA0" w:rsidRPr="00C66E29" w:rsidRDefault="00C74DA0">
            <w:pPr>
              <w:pStyle w:val="Tabletext"/>
              <w:jc w:val="center"/>
            </w:pPr>
            <w:r w:rsidRPr="00C66E29">
              <w:t>43/59</w:t>
            </w:r>
          </w:p>
        </w:tc>
        <w:tc>
          <w:tcPr>
            <w:tcW w:w="1419" w:type="pct"/>
            <w:noWrap/>
            <w:tcMar>
              <w:top w:w="0" w:type="dxa"/>
              <w:left w:w="108" w:type="dxa"/>
              <w:bottom w:w="0" w:type="dxa"/>
              <w:right w:w="108" w:type="dxa"/>
            </w:tcMar>
            <w:vAlign w:val="center"/>
            <w:hideMark/>
          </w:tcPr>
          <w:p w14:paraId="6979C775" w14:textId="77777777" w:rsidR="00C74DA0" w:rsidRPr="00C66E29" w:rsidRDefault="00C74DA0">
            <w:pPr>
              <w:pStyle w:val="Tabletext"/>
              <w:jc w:val="center"/>
            </w:pPr>
            <w:r w:rsidRPr="00C66E29">
              <w:t>32/68</w:t>
            </w:r>
          </w:p>
        </w:tc>
      </w:tr>
      <w:tr w:rsidR="00C74DA0" w:rsidRPr="00C66E29" w14:paraId="48C74469" w14:textId="77777777">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DCF85BF" w14:textId="77777777" w:rsidR="00C74DA0" w:rsidRPr="00C66E29" w:rsidRDefault="00C74DA0">
            <w:pPr>
              <w:pStyle w:val="Tabletex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0D4ACC54" w14:textId="77777777" w:rsidR="00C74DA0" w:rsidRPr="00C66E29" w:rsidRDefault="00C74DA0">
            <w:pPr>
              <w:pStyle w:val="Tabletext"/>
              <w:jc w:val="center"/>
            </w:pPr>
            <w:r w:rsidRPr="00C66E29">
              <w:t>2021</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098D6120" w14:textId="77777777" w:rsidR="00C74DA0" w:rsidRPr="00C66E29" w:rsidRDefault="00C74DA0">
            <w:pPr>
              <w:pStyle w:val="Tabletext"/>
              <w:jc w:val="center"/>
            </w:pPr>
            <w:r w:rsidRPr="00C66E29">
              <w:t>29/81</w:t>
            </w:r>
          </w:p>
        </w:tc>
        <w:tc>
          <w:tcPr>
            <w:tcW w:w="1419" w:type="pct"/>
            <w:noWrap/>
            <w:tcMar>
              <w:top w:w="0" w:type="dxa"/>
              <w:left w:w="108" w:type="dxa"/>
              <w:bottom w:w="0" w:type="dxa"/>
              <w:right w:w="108" w:type="dxa"/>
            </w:tcMar>
            <w:vAlign w:val="center"/>
            <w:hideMark/>
          </w:tcPr>
          <w:p w14:paraId="0FD3BB5B" w14:textId="77777777" w:rsidR="00C74DA0" w:rsidRPr="00C66E29" w:rsidRDefault="00C74DA0">
            <w:pPr>
              <w:pStyle w:val="Tabletext"/>
              <w:jc w:val="center"/>
            </w:pPr>
            <w:r w:rsidRPr="00C66E29">
              <w:t>39/73</w:t>
            </w:r>
          </w:p>
        </w:tc>
      </w:tr>
      <w:tr w:rsidR="00C74DA0" w:rsidRPr="00C66E29" w14:paraId="6308053D" w14:textId="77777777">
        <w:trPr>
          <w:trHeight w:val="315"/>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F984C62" w14:textId="77777777" w:rsidR="00C74DA0" w:rsidRPr="00C66E29" w:rsidRDefault="00C74DA0">
            <w:pPr>
              <w:pStyle w:val="Tabletex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30B71615" w14:textId="77777777" w:rsidR="00C74DA0" w:rsidRPr="00C66E29" w:rsidRDefault="00C74DA0">
            <w:pPr>
              <w:pStyle w:val="Tabletext"/>
              <w:jc w:val="center"/>
            </w:pPr>
            <w:r w:rsidRPr="00C66E29">
              <w:t>2022</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7AD6EC3B" w14:textId="77777777" w:rsidR="00C74DA0" w:rsidRPr="00C66E29" w:rsidRDefault="00C74DA0">
            <w:pPr>
              <w:pStyle w:val="Tabletext"/>
              <w:jc w:val="center"/>
            </w:pPr>
            <w:r w:rsidRPr="00C66E29">
              <w:t>34/73</w:t>
            </w:r>
          </w:p>
        </w:tc>
        <w:tc>
          <w:tcPr>
            <w:tcW w:w="1419" w:type="pct"/>
            <w:tcBorders>
              <w:top w:val="nil"/>
              <w:left w:val="nil"/>
              <w:bottom w:val="nil"/>
              <w:right w:val="nil"/>
            </w:tcBorders>
            <w:noWrap/>
            <w:tcMar>
              <w:top w:w="0" w:type="dxa"/>
              <w:left w:w="108" w:type="dxa"/>
              <w:bottom w:w="0" w:type="dxa"/>
              <w:right w:w="108" w:type="dxa"/>
            </w:tcMar>
            <w:vAlign w:val="center"/>
            <w:hideMark/>
          </w:tcPr>
          <w:p w14:paraId="22319403" w14:textId="77777777" w:rsidR="00C74DA0" w:rsidRPr="00C66E29" w:rsidRDefault="00C74DA0">
            <w:pPr>
              <w:pStyle w:val="Tabletext"/>
              <w:jc w:val="center"/>
            </w:pPr>
            <w:r w:rsidRPr="00C66E29">
              <w:t>39/58</w:t>
            </w:r>
          </w:p>
        </w:tc>
      </w:tr>
      <w:tr w:rsidR="00C74DA0" w:rsidRPr="00C66E29" w14:paraId="49B5A3F0" w14:textId="77777777">
        <w:trPr>
          <w:trHeight w:val="315"/>
        </w:trPr>
        <w:tc>
          <w:tcPr>
            <w:tcW w:w="171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BDE04F" w14:textId="77777777" w:rsidR="00C74DA0" w:rsidRPr="00C66E29" w:rsidRDefault="00C74DA0">
            <w:pPr>
              <w:pStyle w:val="Tabletext"/>
            </w:pPr>
          </w:p>
        </w:tc>
        <w:tc>
          <w:tcPr>
            <w:tcW w:w="580"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05306CD" w14:textId="77777777" w:rsidR="00C74DA0" w:rsidRPr="00C66E29" w:rsidRDefault="00C74DA0">
            <w:pPr>
              <w:pStyle w:val="Tabletext"/>
              <w:jc w:val="center"/>
            </w:pPr>
            <w:r w:rsidRPr="00C66E29">
              <w:t>2023/5</w:t>
            </w:r>
          </w:p>
        </w:tc>
        <w:tc>
          <w:tcPr>
            <w:tcW w:w="128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C38A09E" w14:textId="77777777" w:rsidR="00C74DA0" w:rsidRPr="00C66E29" w:rsidRDefault="00C74DA0">
            <w:pPr>
              <w:pStyle w:val="Tabletext"/>
              <w:jc w:val="center"/>
            </w:pPr>
            <w:r w:rsidRPr="00C66E29">
              <w:t>2/10</w:t>
            </w:r>
          </w:p>
        </w:tc>
        <w:tc>
          <w:tcPr>
            <w:tcW w:w="1419" w:type="pct"/>
            <w:tcBorders>
              <w:top w:val="nil"/>
              <w:left w:val="nil"/>
              <w:bottom w:val="single" w:sz="8" w:space="0" w:color="auto"/>
              <w:right w:val="nil"/>
            </w:tcBorders>
            <w:noWrap/>
            <w:tcMar>
              <w:top w:w="0" w:type="dxa"/>
              <w:left w:w="108" w:type="dxa"/>
              <w:bottom w:w="0" w:type="dxa"/>
              <w:right w:w="108" w:type="dxa"/>
            </w:tcMar>
            <w:vAlign w:val="center"/>
          </w:tcPr>
          <w:p w14:paraId="1376A571" w14:textId="77777777" w:rsidR="00C74DA0" w:rsidRPr="00C66E29" w:rsidRDefault="00C74DA0">
            <w:pPr>
              <w:pStyle w:val="Tabletext"/>
              <w:jc w:val="center"/>
            </w:pPr>
            <w:r w:rsidRPr="00C66E29">
              <w:t>10/37</w:t>
            </w:r>
          </w:p>
        </w:tc>
      </w:tr>
    </w:tbl>
    <w:p w14:paraId="585EF764" w14:textId="77777777" w:rsidR="00C74DA0" w:rsidRPr="00C66E29" w:rsidRDefault="00C74DA0" w:rsidP="002820E6">
      <w:pPr>
        <w:pStyle w:val="Tablefin"/>
      </w:pPr>
    </w:p>
    <w:p w14:paraId="4E45A2ED" w14:textId="77777777" w:rsidR="00C74DA0" w:rsidRPr="00C66E29" w:rsidRDefault="00C74DA0" w:rsidP="002820E6">
      <w:pPr>
        <w:pStyle w:val="Heading3"/>
      </w:pPr>
      <w:bookmarkStart w:id="70" w:name="_Toc143072402"/>
      <w:r w:rsidRPr="00C66E29">
        <w:t>2.</w:t>
      </w:r>
      <w:r>
        <w:t>4.3</w:t>
      </w:r>
      <w:r w:rsidRPr="00C66E29">
        <w:tab/>
        <w:t>Resolution 55 (Rev.WRC</w:t>
      </w:r>
      <w:r w:rsidRPr="00C66E29">
        <w:noBreakHyphen/>
        <w:t>19)</w:t>
      </w:r>
      <w:bookmarkEnd w:id="69"/>
      <w:bookmarkEnd w:id="70"/>
    </w:p>
    <w:p w14:paraId="608831A4" w14:textId="77777777" w:rsidR="00C74DA0" w:rsidRDefault="00C74DA0" w:rsidP="002820E6">
      <w:bookmarkStart w:id="71" w:name="_Toc418232280"/>
      <w:r w:rsidRPr="00C66E29">
        <w:t xml:space="preserve">Resolution </w:t>
      </w:r>
      <w:r w:rsidRPr="00C66E29">
        <w:rPr>
          <w:b/>
          <w:bCs/>
        </w:rPr>
        <w:t>55 (Rev. WRC-19)</w:t>
      </w:r>
      <w:r w:rsidRPr="00C66E29">
        <w:t xml:space="preserve"> instructs the Bureau “to make available coordination requests and notifications (…) “as received” within 30 days of receipt on its website”. Since the implementation of the online application “e-submissions for Satellite Network Filing”, all notices have been made available consistently within 30 days, and in most cases within 7 days instead of 30 days</w:t>
      </w:r>
      <w:r>
        <w:t>.</w:t>
      </w:r>
    </w:p>
    <w:p w14:paraId="63E54EB9" w14:textId="77777777" w:rsidR="00C74DA0" w:rsidRPr="00C66E29" w:rsidRDefault="00C74DA0" w:rsidP="002820E6">
      <w:pPr>
        <w:pStyle w:val="Heading3"/>
      </w:pPr>
      <w:bookmarkStart w:id="72" w:name="_Toc143072403"/>
      <w:bookmarkEnd w:id="71"/>
      <w:r w:rsidRPr="00C66E29">
        <w:t>2.</w:t>
      </w:r>
      <w:r>
        <w:t>4.4</w:t>
      </w:r>
      <w:r w:rsidRPr="00C66E29">
        <w:tab/>
        <w:t>Resolution 907 (Rev.WRC</w:t>
      </w:r>
      <w:r w:rsidRPr="00C66E29">
        <w:noBreakHyphen/>
        <w:t>15)</w:t>
      </w:r>
      <w:bookmarkEnd w:id="72"/>
      <w:r w:rsidRPr="00C66E29">
        <w:t xml:space="preserve"> </w:t>
      </w:r>
    </w:p>
    <w:p w14:paraId="6F09E97E" w14:textId="77777777" w:rsidR="00C74DA0" w:rsidRPr="00C66E29" w:rsidRDefault="00C74DA0" w:rsidP="00C74DA0">
      <w:r w:rsidRPr="00C66E29">
        <w:t xml:space="preserve">In response to the </w:t>
      </w:r>
      <w:r w:rsidRPr="00C66E29">
        <w:rPr>
          <w:i/>
          <w:iCs/>
        </w:rPr>
        <w:t>instructs the Radiocommunication Bureau</w:t>
      </w:r>
      <w:r w:rsidRPr="00C66E29">
        <w:t xml:space="preserve"> of Resolution </w:t>
      </w:r>
      <w:r w:rsidRPr="00C66E29">
        <w:rPr>
          <w:b/>
        </w:rPr>
        <w:t>907 (Rev.WRC-15)</w:t>
      </w:r>
      <w:r w:rsidRPr="00C66E29">
        <w:t>, the Bureau has developed an online communication platform “e-Communications” to allow administrations to send and receive administrative correspondences related to Space Services through an online interface. This online application encompasses all types of administrative correspondence related to space services between administrations and the Bureau, as well as between administrations.</w:t>
      </w:r>
    </w:p>
    <w:p w14:paraId="6A4F8241" w14:textId="77777777" w:rsidR="00C74DA0" w:rsidRPr="00C66E29" w:rsidRDefault="00C74DA0" w:rsidP="00C74DA0">
      <w:pPr>
        <w:spacing w:before="240"/>
        <w:jc w:val="lowKashida"/>
      </w:pPr>
      <w:r w:rsidRPr="00C66E29">
        <w:t>As informed in the circular letter CR/450 dated 25 October 2019, this application is available for the exchange of administrative correspondence related to space services since 23 October 2019.</w:t>
      </w:r>
    </w:p>
    <w:p w14:paraId="0744DEA5" w14:textId="77777777" w:rsidR="00C74DA0" w:rsidRPr="00C66E29" w:rsidRDefault="00C74DA0" w:rsidP="00C74DA0">
      <w:r w:rsidRPr="00C66E29">
        <w:t xml:space="preserve">Users can get access to this online application as well as a user’s guide at the following webpage within the BR space website: </w:t>
      </w:r>
      <w:hyperlink r:id="rId51" w:history="1">
        <w:r w:rsidRPr="00C66E29">
          <w:rPr>
            <w:rStyle w:val="Hyperlink"/>
          </w:rPr>
          <w:t>https://www.itu.int/ITU-R/go/space-communications</w:t>
        </w:r>
      </w:hyperlink>
      <w:r w:rsidRPr="00C66E29">
        <w:t xml:space="preserve">. </w:t>
      </w:r>
    </w:p>
    <w:p w14:paraId="781E0A0C" w14:textId="77777777" w:rsidR="00C74DA0" w:rsidRPr="00C66E29" w:rsidRDefault="00C74DA0" w:rsidP="00C74DA0">
      <w:r w:rsidRPr="00C66E29">
        <w:t>The system has been operated smoothly and securely since the initial introduction of the system in 2019. In addition, the system has been improved with several new functions continuously according to the needs and convenience for users.</w:t>
      </w:r>
    </w:p>
    <w:p w14:paraId="337471B6" w14:textId="77777777" w:rsidR="00C74DA0" w:rsidRPr="00C66E29" w:rsidRDefault="00C74DA0" w:rsidP="00C74DA0">
      <w:pPr>
        <w:rPr>
          <w:szCs w:val="24"/>
        </w:rPr>
      </w:pPr>
      <w:r w:rsidRPr="00C66E29">
        <w:t xml:space="preserve">The numbers of registered administrations and users are increasing as the picture below. </w:t>
      </w:r>
      <w:r w:rsidRPr="00C66E29">
        <w:rPr>
          <w:szCs w:val="24"/>
          <w:lang w:val="en-US"/>
        </w:rPr>
        <w:t xml:space="preserve">The number of registered Administrations has grown to 147, out of which 126 Administrations have sent correspondence via the system as of </w:t>
      </w:r>
      <w:r>
        <w:rPr>
          <w:szCs w:val="24"/>
          <w:lang w:val="en-US"/>
        </w:rPr>
        <w:t>18</w:t>
      </w:r>
      <w:r w:rsidRPr="00A600F9">
        <w:rPr>
          <w:szCs w:val="24"/>
          <w:vertAlign w:val="superscript"/>
          <w:lang w:val="en-US"/>
        </w:rPr>
        <w:t>th</w:t>
      </w:r>
      <w:r>
        <w:rPr>
          <w:szCs w:val="24"/>
          <w:lang w:val="en-US"/>
        </w:rPr>
        <w:t xml:space="preserve"> June</w:t>
      </w:r>
      <w:r w:rsidRPr="00C66E29">
        <w:rPr>
          <w:szCs w:val="24"/>
          <w:lang w:val="en-US"/>
        </w:rPr>
        <w:t xml:space="preserve"> 2023. The number of communications via e-Communications is increasing and approximately 80 % of correspondence to BR is received from e-Communications system.</w:t>
      </w:r>
    </w:p>
    <w:p w14:paraId="153B16A1" w14:textId="77777777" w:rsidR="00C74DA0" w:rsidRPr="00C66E29" w:rsidRDefault="00C74DA0" w:rsidP="00C74DA0">
      <w:pPr>
        <w:rPr>
          <w:szCs w:val="24"/>
        </w:rPr>
      </w:pPr>
      <w:r w:rsidRPr="00C66E29">
        <w:rPr>
          <w:szCs w:val="24"/>
        </w:rPr>
        <w:t xml:space="preserve">The administrations are encouraged to use the e-Communications system according to </w:t>
      </w:r>
      <w:r w:rsidRPr="00C66E29">
        <w:rPr>
          <w:i/>
          <w:iCs/>
          <w:szCs w:val="24"/>
        </w:rPr>
        <w:t>resolves</w:t>
      </w:r>
      <w:r w:rsidRPr="00C66E29">
        <w:rPr>
          <w:szCs w:val="24"/>
        </w:rPr>
        <w:t xml:space="preserve"> of Resolution </w:t>
      </w:r>
      <w:r w:rsidRPr="00C66E29">
        <w:rPr>
          <w:b/>
        </w:rPr>
        <w:t>907 (Rev.WRC-15)</w:t>
      </w:r>
      <w:r w:rsidRPr="00C66E29">
        <w:rPr>
          <w:szCs w:val="24"/>
        </w:rPr>
        <w:t>. The Bureau envisages that relevant Rules of Procedure may be adopted to make the “e-Communications” system the sole means of communications according to the increased number of Administrations using the system.</w:t>
      </w:r>
    </w:p>
    <w:p w14:paraId="16DFEB38" w14:textId="77777777" w:rsidR="00C74DA0" w:rsidRPr="00C66E29" w:rsidRDefault="00C74DA0" w:rsidP="002820E6">
      <w:pPr>
        <w:pStyle w:val="Figurewithouttitle"/>
        <w:rPr>
          <w:szCs w:val="24"/>
        </w:rPr>
      </w:pPr>
      <w:r>
        <w:rPr>
          <w:noProof/>
        </w:rPr>
        <w:drawing>
          <wp:inline distT="0" distB="0" distL="0" distR="0" wp14:anchorId="276E17A3" wp14:editId="458D9039">
            <wp:extent cx="6120765" cy="3385185"/>
            <wp:effectExtent l="0" t="0" r="0" b="5715"/>
            <wp:docPr id="7" name="Picture 7"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line, plot&#10;&#10;Description automatically generated"/>
                    <pic:cNvPicPr/>
                  </pic:nvPicPr>
                  <pic:blipFill>
                    <a:blip r:embed="rId52"/>
                    <a:stretch>
                      <a:fillRect/>
                    </a:stretch>
                  </pic:blipFill>
                  <pic:spPr>
                    <a:xfrm>
                      <a:off x="0" y="0"/>
                      <a:ext cx="6120765" cy="3385185"/>
                    </a:xfrm>
                    <a:prstGeom prst="rect">
                      <a:avLst/>
                    </a:prstGeom>
                  </pic:spPr>
                </pic:pic>
              </a:graphicData>
            </a:graphic>
          </wp:inline>
        </w:drawing>
      </w:r>
    </w:p>
    <w:p w14:paraId="274F76D2" w14:textId="77777777" w:rsidR="00C74DA0" w:rsidRPr="00C66E29" w:rsidRDefault="00C74DA0" w:rsidP="00C74DA0">
      <w:pPr>
        <w:pStyle w:val="Heading2"/>
      </w:pPr>
      <w:bookmarkStart w:id="73" w:name="_Toc143072404"/>
      <w:r w:rsidRPr="00C66E29">
        <w:t>2.</w:t>
      </w:r>
      <w:r>
        <w:t>4.5</w:t>
      </w:r>
      <w:r w:rsidRPr="00C66E29">
        <w:tab/>
        <w:t>Resolution 908 (Rev.WRC-15)</w:t>
      </w:r>
      <w:bookmarkEnd w:id="73"/>
      <w:r w:rsidRPr="00C66E29">
        <w:t xml:space="preserve"> </w:t>
      </w:r>
    </w:p>
    <w:p w14:paraId="2E8E27F6" w14:textId="77777777" w:rsidR="00C74DA0" w:rsidRPr="00C66E29" w:rsidRDefault="00C74DA0" w:rsidP="00C74DA0">
      <w:r w:rsidRPr="00C66E29">
        <w:t xml:space="preserve">In response to Resolution </w:t>
      </w:r>
      <w:r w:rsidRPr="00C66E29">
        <w:rPr>
          <w:b/>
        </w:rPr>
        <w:t>908 (Rev.WRC-15)</w:t>
      </w:r>
      <w:r w:rsidRPr="00C66E29">
        <w:t>, an online application “e-Submission for Satellite Network Filings” (e-Submission) has been developed to allow administrations to submit their satellite network filings or their comments related to a BR IFIC through an online interface without the need for emails or faxes. This online application was released on 1 August 2018 and encompasses all types of submissions related to satellite networks or systems.</w:t>
      </w:r>
    </w:p>
    <w:p w14:paraId="1E9FE1C2" w14:textId="77777777" w:rsidR="00C74DA0" w:rsidRPr="00C66E29" w:rsidRDefault="00C74DA0" w:rsidP="00C74DA0">
      <w:r w:rsidRPr="00C66E29">
        <w:t xml:space="preserve">As from 1 August 2018, all filings under Articles </w:t>
      </w:r>
      <w:r w:rsidRPr="00C66E29">
        <w:rPr>
          <w:b/>
        </w:rPr>
        <w:t>9</w:t>
      </w:r>
      <w:r w:rsidRPr="00C66E29">
        <w:t xml:space="preserve"> and </w:t>
      </w:r>
      <w:r w:rsidRPr="00C66E29">
        <w:rPr>
          <w:b/>
        </w:rPr>
        <w:t>11</w:t>
      </w:r>
      <w:r w:rsidRPr="00C66E29">
        <w:t xml:space="preserve">, Appendices </w:t>
      </w:r>
      <w:r w:rsidRPr="00C66E29">
        <w:rPr>
          <w:b/>
        </w:rPr>
        <w:t>30</w:t>
      </w:r>
      <w:r w:rsidRPr="00C66E29">
        <w:t xml:space="preserve">, </w:t>
      </w:r>
      <w:r w:rsidRPr="00C66E29">
        <w:rPr>
          <w:b/>
        </w:rPr>
        <w:t>30A</w:t>
      </w:r>
      <w:r w:rsidRPr="00C66E29">
        <w:t xml:space="preserve"> and </w:t>
      </w:r>
      <w:r w:rsidRPr="00C66E29">
        <w:rPr>
          <w:b/>
        </w:rPr>
        <w:t>30B</w:t>
      </w:r>
      <w:r w:rsidRPr="00C66E29">
        <w:t xml:space="preserve"> and Resolutions </w:t>
      </w:r>
      <w:r w:rsidRPr="00C66E29">
        <w:rPr>
          <w:b/>
        </w:rPr>
        <w:t>49 (Rev.WRC-15)</w:t>
      </w:r>
      <w:r w:rsidRPr="00C66E29">
        <w:t xml:space="preserve">, </w:t>
      </w:r>
      <w:r w:rsidRPr="00C66E29">
        <w:rPr>
          <w:b/>
        </w:rPr>
        <w:t>552 (Rev.WRC-15)</w:t>
      </w:r>
      <w:r w:rsidRPr="00C66E29">
        <w:t xml:space="preserve"> and </w:t>
      </w:r>
      <w:r w:rsidRPr="00C66E29">
        <w:rPr>
          <w:b/>
        </w:rPr>
        <w:t>553 (Rev.WRC-15)</w:t>
      </w:r>
      <w:r w:rsidRPr="00C66E29">
        <w:t xml:space="preserve"> in application of the procedures of the Radio Regulations, or comments related to a BR IFIC, were submitted exclusively using the e-Submission web interface available at </w:t>
      </w:r>
      <w:hyperlink r:id="rId53" w:history="1">
        <w:r w:rsidRPr="00C66E29">
          <w:rPr>
            <w:rStyle w:val="Hyperlink"/>
          </w:rPr>
          <w:t>https://www.itu.int/itu-r/go/space-submission</w:t>
        </w:r>
      </w:hyperlink>
      <w:r w:rsidRPr="00C66E29">
        <w:t xml:space="preserve">. </w:t>
      </w:r>
    </w:p>
    <w:p w14:paraId="76A49DB3" w14:textId="77777777" w:rsidR="00C74DA0" w:rsidRPr="00C66E29" w:rsidRDefault="00C74DA0" w:rsidP="00C74DA0">
      <w:r w:rsidRPr="00C66E29">
        <w:t xml:space="preserve">The system has been operated smoothly and securely since the initial introduction of the system. In addition, the system has been improved with several new functions continuously according to the needs for users and the implementation of new regulatory procedures. </w:t>
      </w:r>
    </w:p>
    <w:p w14:paraId="2442CE25" w14:textId="77777777" w:rsidR="00C74DA0" w:rsidRPr="00C66E29" w:rsidRDefault="00C74DA0" w:rsidP="00C74DA0">
      <w:pPr>
        <w:rPr>
          <w:i/>
          <w:iCs/>
        </w:rPr>
      </w:pPr>
      <w:bookmarkStart w:id="74" w:name="_Hlk136618789"/>
      <w:r w:rsidRPr="00C66E29">
        <w:rPr>
          <w:i/>
          <w:iCs/>
        </w:rPr>
        <w:t xml:space="preserve">For example, e-Submission system was updated to accept SNS 9 format and SNS 9.1 format when the new SNS versions were introduced respectively. The e-Submission system was also updated to allow users to capture and submit the information of Resolution </w:t>
      </w:r>
      <w:r w:rsidRPr="002820E6">
        <w:rPr>
          <w:b/>
          <w:bCs/>
          <w:i/>
          <w:iCs/>
        </w:rPr>
        <w:t xml:space="preserve">35 (WRC-19) </w:t>
      </w:r>
      <w:r w:rsidRPr="00C66E29">
        <w:rPr>
          <w:i/>
          <w:iCs/>
        </w:rPr>
        <w:t xml:space="preserve">when the new resolution was implemented. </w:t>
      </w:r>
    </w:p>
    <w:bookmarkEnd w:id="74"/>
    <w:p w14:paraId="31EB2D7F" w14:textId="77777777" w:rsidR="00C74DA0" w:rsidRPr="00C66E29" w:rsidRDefault="00C74DA0" w:rsidP="00C74DA0">
      <w:r w:rsidRPr="00C66E29">
        <w:t>The numbers of registered administrations and users are increasing as the picture below, and at the time of writing this report, 153 administrations and 1 intergovernmental satellite organisation (noting that other such organisation have chosen to be registered as satellite operator of their notifying administration) have registered, totalling 95</w:t>
      </w:r>
      <w:r>
        <w:t>8</w:t>
      </w:r>
      <w:r w:rsidRPr="00C66E29">
        <w:t xml:space="preserve"> individual users including both Administration users and Operator users. </w:t>
      </w:r>
    </w:p>
    <w:p w14:paraId="263D22A0" w14:textId="77777777" w:rsidR="00C74DA0" w:rsidRPr="00C66E29" w:rsidRDefault="00C74DA0" w:rsidP="002820E6">
      <w:pPr>
        <w:pStyle w:val="Figurewithouttitle"/>
      </w:pPr>
      <w:r>
        <w:rPr>
          <w:noProof/>
        </w:rPr>
        <w:drawing>
          <wp:inline distT="0" distB="0" distL="0" distR="0" wp14:anchorId="62E2A389" wp14:editId="2BA8ADE4">
            <wp:extent cx="6120765" cy="3427730"/>
            <wp:effectExtent l="0" t="0" r="0" b="1270"/>
            <wp:docPr id="23" name="Picture 23"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screenshot, line, diagram&#10;&#10;Description automatically generated"/>
                    <pic:cNvPicPr/>
                  </pic:nvPicPr>
                  <pic:blipFill>
                    <a:blip r:embed="rId54"/>
                    <a:stretch>
                      <a:fillRect/>
                    </a:stretch>
                  </pic:blipFill>
                  <pic:spPr>
                    <a:xfrm>
                      <a:off x="0" y="0"/>
                      <a:ext cx="6120765" cy="3427730"/>
                    </a:xfrm>
                    <a:prstGeom prst="rect">
                      <a:avLst/>
                    </a:prstGeom>
                  </pic:spPr>
                </pic:pic>
              </a:graphicData>
            </a:graphic>
          </wp:inline>
        </w:drawing>
      </w:r>
    </w:p>
    <w:p w14:paraId="12662487" w14:textId="77777777" w:rsidR="00C74DA0" w:rsidRDefault="00C74DA0" w:rsidP="00C74DA0">
      <w:r w:rsidRPr="00C66E29">
        <w:t>The Bureau would like to take the opportunity of this report to renew its thanks to the Administration of Japan for the specific assistance in the development of this project.</w:t>
      </w:r>
    </w:p>
    <w:p w14:paraId="0F9EE096" w14:textId="019B87C7" w:rsidR="00C74DA0" w:rsidRPr="00AE6DF1" w:rsidRDefault="00C74DA0" w:rsidP="002820E6">
      <w:pPr>
        <w:pStyle w:val="Heading2"/>
      </w:pPr>
      <w:bookmarkStart w:id="75" w:name="_Toc143072405"/>
      <w:r w:rsidRPr="00AE6DF1">
        <w:t>2.</w:t>
      </w:r>
      <w:r>
        <w:t>5</w:t>
      </w:r>
      <w:r w:rsidR="002820E6">
        <w:tab/>
      </w:r>
      <w:r w:rsidRPr="00B826D8">
        <w:t>Treatment of frequency assignments with a bandwidth less than the stated averaging bandwidth</w:t>
      </w:r>
      <w:bookmarkEnd w:id="75"/>
    </w:p>
    <w:p w14:paraId="5D1A9FF3" w14:textId="77777777" w:rsidR="00C74DA0" w:rsidRPr="00B826D8" w:rsidRDefault="00C74DA0" w:rsidP="002820E6">
      <w:r w:rsidRPr="00B826D8">
        <w:t>The Bureau informed WRC-15 in the Director’s Report (see Section 3.2.5.2.2 of Revision 1 to Addendum 2 to Document </w:t>
      </w:r>
      <w:hyperlink r:id="rId55" w:history="1">
        <w:r w:rsidRPr="00B826D8">
          <w:rPr>
            <w:rStyle w:val="Hyperlink"/>
            <w:rFonts w:cstheme="minorHAnsi"/>
          </w:rPr>
          <w:t>WRC-15/4</w:t>
        </w:r>
      </w:hyperlink>
      <w:r w:rsidRPr="00B826D8">
        <w:t xml:space="preserve">) on </w:t>
      </w:r>
      <w:r w:rsidRPr="00B826D8">
        <w:rPr>
          <w:rFonts w:eastAsia="SimSun"/>
        </w:rPr>
        <w:t>the requirement for administrations to use Recommendation ITU</w:t>
      </w:r>
      <w:r w:rsidRPr="00B826D8">
        <w:rPr>
          <w:rFonts w:eastAsia="SimSun"/>
        </w:rPr>
        <w:noBreakHyphen/>
        <w:t>R SF.675 to calculate the maximum power spectral density</w:t>
      </w:r>
      <w:r w:rsidRPr="00B826D8">
        <w:t xml:space="preserve"> and submit the data in accordance with RR Appendix </w:t>
      </w:r>
      <w:r w:rsidRPr="00B826D8">
        <w:rPr>
          <w:b/>
          <w:bCs/>
        </w:rPr>
        <w:t>4</w:t>
      </w:r>
      <w:r w:rsidRPr="00B826D8">
        <w:t>.</w:t>
      </w:r>
    </w:p>
    <w:p w14:paraId="617715BA" w14:textId="77777777" w:rsidR="00C74DA0" w:rsidRPr="00B826D8" w:rsidRDefault="00C74DA0" w:rsidP="002820E6">
      <w:pPr>
        <w:rPr>
          <w:rFonts w:eastAsia="SimSun"/>
        </w:rPr>
      </w:pPr>
      <w:r w:rsidRPr="00B826D8">
        <w:rPr>
          <w:rFonts w:eastAsia="SimSun"/>
        </w:rPr>
        <w:t xml:space="preserve">Footnote 2 to Tables A, B, C and D of Annex 2 to RR Appendix </w:t>
      </w:r>
      <w:r w:rsidRPr="00B826D8">
        <w:rPr>
          <w:rFonts w:eastAsia="SimSun"/>
          <w:b/>
          <w:bCs/>
        </w:rPr>
        <w:t>4</w:t>
      </w:r>
      <w:r w:rsidRPr="00B826D8">
        <w:rPr>
          <w:rFonts w:eastAsia="SimSun"/>
        </w:rPr>
        <w:t xml:space="preserve"> as modified by WRC</w:t>
      </w:r>
      <w:r w:rsidRPr="00B826D8">
        <w:rPr>
          <w:rFonts w:eastAsia="SimSun"/>
        </w:rPr>
        <w:noBreakHyphen/>
        <w:t>12 indicates to use the most recent version of Recommendation ITU</w:t>
      </w:r>
      <w:r w:rsidRPr="00B826D8">
        <w:rPr>
          <w:rFonts w:eastAsia="SimSun"/>
        </w:rPr>
        <w:noBreakHyphen/>
        <w:t>R SF.675 to calculate the maximum power spectral density of carriers. For the identification of the maximum power spectral density of different type of carriers, it recommends considering the maximum possible number of carriers occupying a given averaging bandwidth.</w:t>
      </w:r>
    </w:p>
    <w:p w14:paraId="3089625A" w14:textId="77777777" w:rsidR="00C74DA0" w:rsidRPr="00B826D8" w:rsidRDefault="00C74DA0" w:rsidP="002820E6">
      <w:pPr>
        <w:rPr>
          <w:rFonts w:eastAsia="SimSun"/>
        </w:rPr>
      </w:pPr>
      <w:r w:rsidRPr="00B826D8">
        <w:rPr>
          <w:rFonts w:eastAsia="SimSun"/>
        </w:rPr>
        <w:t xml:space="preserve">Importance of footnote 2 is that the maximum power density is averaged over the worst 4 kHz for carriers below 15 GHz and 1 MHz for carriers at or above 15 GHz. It is important that administrations follow this footnote when providing RR Appendix </w:t>
      </w:r>
      <w:r w:rsidRPr="00B826D8">
        <w:rPr>
          <w:rFonts w:eastAsia="SimSun"/>
          <w:b/>
          <w:bCs/>
        </w:rPr>
        <w:t>4</w:t>
      </w:r>
      <w:r w:rsidRPr="00B826D8">
        <w:rPr>
          <w:rFonts w:eastAsia="SimSun"/>
        </w:rPr>
        <w:t xml:space="preserve"> data elements for examinations of power limits to lead to findings in compliance with the provisions of the Radio Regulations.</w:t>
      </w:r>
    </w:p>
    <w:p w14:paraId="218EF21C" w14:textId="77777777" w:rsidR="00C74DA0" w:rsidRPr="00B826D8" w:rsidRDefault="00C74DA0" w:rsidP="002820E6">
      <w:pPr>
        <w:rPr>
          <w:rFonts w:eastAsia="SimSun"/>
        </w:rPr>
      </w:pPr>
      <w:r w:rsidRPr="00B826D8">
        <w:rPr>
          <w:rFonts w:eastAsia="SimSun"/>
        </w:rPr>
        <w:t xml:space="preserve">Regarding this requirement, the Bureau observed that, for </w:t>
      </w:r>
      <w:proofErr w:type="gramStart"/>
      <w:r w:rsidRPr="00B826D8">
        <w:rPr>
          <w:rFonts w:eastAsia="SimSun"/>
        </w:rPr>
        <w:t>a large number of</w:t>
      </w:r>
      <w:proofErr w:type="gramEnd"/>
      <w:r w:rsidRPr="00B826D8">
        <w:rPr>
          <w:rFonts w:eastAsia="SimSun"/>
        </w:rPr>
        <w:t xml:space="preserve"> emissions contained in the SRS database having a necessary bandwidth less than the averaging bandwidth, the maximum power density is based on a single carrier occupying the averaging bandwidth. This is contrary to real systems where multiple carrier operations could be envisaged, particularly considering that the frequency assignment group bandwidth far exceeds the necessary bandwidth of an emission for those above-mentioned cases. </w:t>
      </w:r>
    </w:p>
    <w:p w14:paraId="03EAE6BB" w14:textId="77777777" w:rsidR="00C74DA0" w:rsidRPr="00B826D8" w:rsidRDefault="00C74DA0" w:rsidP="002820E6">
      <w:r w:rsidRPr="00B826D8">
        <w:rPr>
          <w:color w:val="000000"/>
        </w:rPr>
        <w:t>WRC-15 suggested that this detailed issue be referred to the appropriate ITU-R Study Group for further consideration.</w:t>
      </w:r>
    </w:p>
    <w:p w14:paraId="65A23D24" w14:textId="5A09C11B" w:rsidR="00C74DA0" w:rsidRPr="00B826D8" w:rsidRDefault="00C74DA0" w:rsidP="002820E6">
      <w:pPr>
        <w:rPr>
          <w:rFonts w:eastAsia="SimSun"/>
        </w:rPr>
      </w:pPr>
      <w:r w:rsidRPr="00B826D8">
        <w:rPr>
          <w:rFonts w:eastAsia="SimSun"/>
        </w:rPr>
        <w:t xml:space="preserve">During the ITU-R Study Cycle 2015-2023, the Bureau presented contributions on this matter explaining the problem, providing status report (see Documents </w:t>
      </w:r>
      <w:hyperlink r:id="rId56" w:history="1">
        <w:r w:rsidRPr="00B826D8">
          <w:rPr>
            <w:rStyle w:val="Hyperlink"/>
            <w:rFonts w:eastAsia="SimSun" w:cstheme="minorHAnsi"/>
          </w:rPr>
          <w:t>4A/51</w:t>
        </w:r>
      </w:hyperlink>
      <w:r w:rsidRPr="00B826D8">
        <w:rPr>
          <w:rFonts w:eastAsia="SimSun"/>
        </w:rPr>
        <w:t>,</w:t>
      </w:r>
      <w:r w:rsidRPr="00B826D8">
        <w:t xml:space="preserve"> </w:t>
      </w:r>
      <w:hyperlink r:id="rId57" w:history="1">
        <w:r w:rsidRPr="00B826D8">
          <w:rPr>
            <w:rStyle w:val="Hyperlink"/>
            <w:rFonts w:cstheme="minorHAnsi"/>
          </w:rPr>
          <w:t>4C/94</w:t>
        </w:r>
      </w:hyperlink>
      <w:r w:rsidRPr="00B826D8">
        <w:t xml:space="preserve">, </w:t>
      </w:r>
      <w:hyperlink r:id="rId58" w:history="1">
        <w:r w:rsidRPr="00B826D8">
          <w:rPr>
            <w:rStyle w:val="Hyperlink"/>
            <w:rFonts w:cstheme="minorHAnsi"/>
          </w:rPr>
          <w:t>7B/58</w:t>
        </w:r>
      </w:hyperlink>
      <w:r w:rsidRPr="00B826D8">
        <w:rPr>
          <w:rStyle w:val="Hyperlink"/>
          <w:rFonts w:cstheme="minorHAnsi"/>
        </w:rPr>
        <w:t>,</w:t>
      </w:r>
      <w:r w:rsidRPr="00B826D8">
        <w:rPr>
          <w:rFonts w:eastAsia="SimSun"/>
        </w:rPr>
        <w:t xml:space="preserve"> </w:t>
      </w:r>
      <w:hyperlink r:id="rId59" w:history="1">
        <w:r w:rsidRPr="00B826D8">
          <w:rPr>
            <w:rStyle w:val="Hyperlink"/>
            <w:rFonts w:eastAsia="SimSun" w:cstheme="minorHAnsi"/>
          </w:rPr>
          <w:t>4A/108</w:t>
        </w:r>
      </w:hyperlink>
      <w:r w:rsidRPr="00B826D8">
        <w:rPr>
          <w:rFonts w:eastAsia="SimSun"/>
        </w:rPr>
        <w:t xml:space="preserve">, </w:t>
      </w:r>
      <w:hyperlink r:id="rId60" w:history="1">
        <w:r w:rsidRPr="00B826D8">
          <w:rPr>
            <w:rStyle w:val="Hyperlink"/>
            <w:rFonts w:eastAsia="SimSun" w:cstheme="minorHAnsi"/>
          </w:rPr>
          <w:t>4A/841</w:t>
        </w:r>
      </w:hyperlink>
      <w:r w:rsidRPr="00B826D8">
        <w:rPr>
          <w:rFonts w:eastAsia="SimSun"/>
        </w:rPr>
        <w:t xml:space="preserve">) and providing new calculation method </w:t>
      </w:r>
      <w:r w:rsidRPr="00B826D8">
        <w:t xml:space="preserve">to derive transmission power used in hard-limit examination </w:t>
      </w:r>
      <w:r w:rsidRPr="00B826D8">
        <w:rPr>
          <w:rFonts w:eastAsia="SimSun"/>
        </w:rPr>
        <w:t xml:space="preserve">(see Documents  </w:t>
      </w:r>
      <w:hyperlink r:id="rId61" w:history="1">
        <w:r w:rsidRPr="00B826D8">
          <w:rPr>
            <w:rStyle w:val="Hyperlink"/>
            <w:rFonts w:eastAsia="SimSun" w:cstheme="minorHAnsi"/>
          </w:rPr>
          <w:t>4A1/841</w:t>
        </w:r>
      </w:hyperlink>
      <w:r w:rsidRPr="00B826D8">
        <w:rPr>
          <w:rFonts w:eastAsia="SimSun"/>
        </w:rPr>
        <w:t>).</w:t>
      </w:r>
    </w:p>
    <w:p w14:paraId="1C108A89" w14:textId="77777777" w:rsidR="00C74DA0" w:rsidRPr="00484BD5" w:rsidRDefault="00C74DA0" w:rsidP="002820E6">
      <w:r w:rsidRPr="00B826D8">
        <w:rPr>
          <w:rFonts w:eastAsia="SimSun"/>
        </w:rPr>
        <w:t>At the same time</w:t>
      </w:r>
      <w:r>
        <w:rPr>
          <w:rFonts w:eastAsia="SimSun"/>
        </w:rPr>
        <w:t>,</w:t>
      </w:r>
      <w:r w:rsidRPr="00B826D8">
        <w:rPr>
          <w:rFonts w:eastAsia="SimSun"/>
        </w:rPr>
        <w:t xml:space="preserve"> the Bureau took additional steps to gradually </w:t>
      </w:r>
      <w:r w:rsidRPr="00B826D8">
        <w:t xml:space="preserve">align </w:t>
      </w:r>
      <w:proofErr w:type="spellStart"/>
      <w:r w:rsidRPr="00B826D8">
        <w:t>pfd</w:t>
      </w:r>
      <w:proofErr w:type="spellEnd"/>
      <w:r w:rsidRPr="00B826D8">
        <w:t xml:space="preserve"> calculation to the calculation method which uses the maximum power definition in accordance with Recommendation ITU-R SF.675.</w:t>
      </w:r>
      <w:r>
        <w:t xml:space="preserve"> </w:t>
      </w:r>
      <w:r w:rsidRPr="00B826D8">
        <w:t>These steps are detailed below.</w:t>
      </w:r>
    </w:p>
    <w:p w14:paraId="419F784B" w14:textId="115FAF4B" w:rsidR="00C74DA0" w:rsidRPr="00484BD5" w:rsidRDefault="00C74DA0" w:rsidP="002820E6">
      <w:pPr>
        <w:pStyle w:val="Heading3"/>
      </w:pPr>
      <w:bookmarkStart w:id="76" w:name="_Toc143072406"/>
      <w:r w:rsidRPr="00484BD5">
        <w:t>2.5.1</w:t>
      </w:r>
      <w:r w:rsidR="002820E6">
        <w:tab/>
      </w:r>
      <w:r w:rsidRPr="00484BD5">
        <w:t>Implementation of Space validation rules</w:t>
      </w:r>
      <w:bookmarkEnd w:id="76"/>
    </w:p>
    <w:p w14:paraId="1DD6BCE0" w14:textId="77777777" w:rsidR="00C74DA0" w:rsidRPr="00B826D8" w:rsidRDefault="00C74DA0" w:rsidP="002820E6">
      <w:r w:rsidRPr="00B826D8">
        <w:t>New validation rules were implemented in the Space Validation software (v. 8.0.5) to issue a warning when an inconsistency between the defined peak power and the power spectral density is detected at the time of preparation of the notice forms for submission of a Request for Coordination or a Notification. These new validation rules have been released in BR IFIC 2842 (04.04.2017).</w:t>
      </w:r>
    </w:p>
    <w:p w14:paraId="521898DE" w14:textId="77777777" w:rsidR="00C74DA0" w:rsidRPr="00B826D8" w:rsidRDefault="00C74DA0" w:rsidP="002820E6">
      <w:pPr>
        <w:rPr>
          <w:b/>
          <w:bCs/>
        </w:rPr>
      </w:pPr>
      <w:r w:rsidRPr="00B826D8">
        <w:t>The goal of these validation checks was to help and remind administrations to use the most recent version of Recommendation ITU-R SF.675 in their calculations of maximum power density.</w:t>
      </w:r>
    </w:p>
    <w:p w14:paraId="14AD5F08" w14:textId="77777777" w:rsidR="00C74DA0" w:rsidRPr="00B826D8" w:rsidRDefault="00C74DA0" w:rsidP="002820E6">
      <w:r w:rsidRPr="00B826D8">
        <w:t>Since the Bureau has implemented the new validation rules, the situation appears to be improving (</w:t>
      </w:r>
      <w:proofErr w:type="gramStart"/>
      <w:r w:rsidRPr="00B826D8">
        <w:t>i.e.</w:t>
      </w:r>
      <w:proofErr w:type="gramEnd"/>
      <w:r w:rsidRPr="00B826D8">
        <w:t xml:space="preserve"> more administrations seem using Recommendation ITU-R SF.675 to calculate maximum power spectral density).</w:t>
      </w:r>
    </w:p>
    <w:p w14:paraId="5A237C56" w14:textId="77777777" w:rsidR="00C74DA0" w:rsidRPr="00B826D8" w:rsidRDefault="00C74DA0" w:rsidP="002820E6">
      <w:r w:rsidRPr="00B826D8">
        <w:t>With new Space Validation rules already in force for 5 years, the Bureau is confident that administrations are more familiar with the requirement to use Recommendation ITU-R SF.675 in the calculation of maximum power density.</w:t>
      </w:r>
    </w:p>
    <w:p w14:paraId="1E65E58E" w14:textId="69E5E22A" w:rsidR="00C74DA0" w:rsidRPr="002820E6" w:rsidRDefault="00C74DA0" w:rsidP="002820E6">
      <w:pPr>
        <w:pStyle w:val="Heading3"/>
      </w:pPr>
      <w:bookmarkStart w:id="77" w:name="_Toc143072407"/>
      <w:r w:rsidRPr="002820E6">
        <w:t>2.5.2</w:t>
      </w:r>
      <w:r w:rsidR="002820E6">
        <w:tab/>
      </w:r>
      <w:r w:rsidRPr="002820E6">
        <w:t>New version of GIBC software</w:t>
      </w:r>
      <w:bookmarkEnd w:id="77"/>
    </w:p>
    <w:p w14:paraId="46244B28" w14:textId="77777777" w:rsidR="00C74DA0" w:rsidRPr="00B826D8" w:rsidRDefault="00C74DA0" w:rsidP="002820E6">
      <w:r w:rsidRPr="00B826D8">
        <w:t xml:space="preserve">New version of GIBC software (v9.1) was released implementing new calculation method aligned with Recommendation ITU-R SF.675. Option was added to GIBC PFD/EIRP </w:t>
      </w:r>
      <w:proofErr w:type="gramStart"/>
      <w:r w:rsidRPr="00B826D8">
        <w:t>GSO ,</w:t>
      </w:r>
      <w:proofErr w:type="gramEnd"/>
      <w:r w:rsidRPr="00B826D8">
        <w:t xml:space="preserve"> GIBC PFD/EIRP NGSO modules responsible for hard-limits validation to calculate transmitted power using Recommendation ITU-R SF.675.</w:t>
      </w:r>
    </w:p>
    <w:p w14:paraId="79641DD0" w14:textId="77777777" w:rsidR="00C74DA0" w:rsidRPr="00B826D8" w:rsidRDefault="00C74DA0" w:rsidP="002820E6">
      <w:r w:rsidRPr="00B826D8">
        <w:t xml:space="preserve">With this additional option an administration can check compliance with RR Article </w:t>
      </w:r>
      <w:r w:rsidRPr="00B826D8">
        <w:rPr>
          <w:b/>
          <w:bCs/>
        </w:rPr>
        <w:t xml:space="preserve">21 </w:t>
      </w:r>
      <w:r w:rsidRPr="00B826D8">
        <w:t>PFD limits using calculation method based on deriving the maximum power definition in accordance with Recommendation ITU-R SF.675.</w:t>
      </w:r>
    </w:p>
    <w:p w14:paraId="10D89E11" w14:textId="4BEEB70F" w:rsidR="00C74DA0" w:rsidRPr="002820E6" w:rsidRDefault="00C74DA0" w:rsidP="002820E6">
      <w:pPr>
        <w:pStyle w:val="Heading3"/>
      </w:pPr>
      <w:bookmarkStart w:id="78" w:name="_Toc143072408"/>
      <w:r w:rsidRPr="002820E6">
        <w:t>2.5.3</w:t>
      </w:r>
      <w:r w:rsidR="002820E6">
        <w:tab/>
      </w:r>
      <w:r w:rsidRPr="002820E6">
        <w:t xml:space="preserve">Implementing an on-line </w:t>
      </w:r>
      <w:proofErr w:type="spellStart"/>
      <w:r w:rsidRPr="002820E6">
        <w:t>pfd</w:t>
      </w:r>
      <w:proofErr w:type="spellEnd"/>
      <w:r w:rsidRPr="002820E6">
        <w:t xml:space="preserve"> verification program (GSO and non-GSO)</w:t>
      </w:r>
      <w:bookmarkEnd w:id="78"/>
    </w:p>
    <w:p w14:paraId="61349C0F" w14:textId="77777777" w:rsidR="00C74DA0" w:rsidRPr="00B826D8" w:rsidRDefault="00C74DA0" w:rsidP="002820E6">
      <w:r w:rsidRPr="00B826D8">
        <w:t xml:space="preserve">The Bureau is currently in the process of implementing an on-line </w:t>
      </w:r>
      <w:proofErr w:type="spellStart"/>
      <w:r w:rsidRPr="00B826D8">
        <w:t>pfd</w:t>
      </w:r>
      <w:proofErr w:type="spellEnd"/>
      <w:r w:rsidRPr="00B826D8">
        <w:t xml:space="preserve"> calculation module (GSO and non-GSO) integrated in e-Submission web application. This module will enable administrations to check </w:t>
      </w:r>
      <w:proofErr w:type="spellStart"/>
      <w:r w:rsidRPr="00B826D8">
        <w:t>pfd</w:t>
      </w:r>
      <w:proofErr w:type="spellEnd"/>
      <w:r w:rsidRPr="00B826D8">
        <w:t xml:space="preserve"> using their prepared SRS and GIMS database at the time of submission. This also would help to avoid the situation when administrations may suddenly receive unfavourable findings when they submit frequency assignments which they consider favourable from </w:t>
      </w:r>
      <w:proofErr w:type="gramStart"/>
      <w:r w:rsidRPr="00B826D8">
        <w:t>past experience</w:t>
      </w:r>
      <w:proofErr w:type="gramEnd"/>
      <w:r w:rsidRPr="00B826D8">
        <w:t>.</w:t>
      </w:r>
    </w:p>
    <w:p w14:paraId="3A53D9E5" w14:textId="77777777" w:rsidR="00C74DA0" w:rsidRPr="00B826D8" w:rsidRDefault="00C74DA0" w:rsidP="002820E6">
      <w:r w:rsidRPr="00B826D8">
        <w:t>The Bureau expects to provide the test functionality of this module within e-Submission platform in the 2</w:t>
      </w:r>
      <w:r w:rsidRPr="00B826D8">
        <w:rPr>
          <w:vertAlign w:val="superscript"/>
        </w:rPr>
        <w:t>nd</w:t>
      </w:r>
      <w:r w:rsidRPr="00B826D8">
        <w:t xml:space="preserve"> half of 2023. Production version is expected to be in place before WRC-23.</w:t>
      </w:r>
    </w:p>
    <w:p w14:paraId="3DDAF5FE" w14:textId="77777777" w:rsidR="00C74DA0" w:rsidRPr="00B826D8" w:rsidRDefault="00C74DA0" w:rsidP="002820E6">
      <w:r w:rsidRPr="00B826D8">
        <w:t xml:space="preserve">With these additional measures in place the Bureau will be prepared to implement the new calculation method for RR Article </w:t>
      </w:r>
      <w:r w:rsidRPr="00B826D8">
        <w:rPr>
          <w:b/>
          <w:bCs/>
        </w:rPr>
        <w:t>21</w:t>
      </w:r>
      <w:r w:rsidRPr="00B826D8">
        <w:t xml:space="preserve"> </w:t>
      </w:r>
      <w:proofErr w:type="spellStart"/>
      <w:r w:rsidRPr="00B826D8">
        <w:t>pfd</w:t>
      </w:r>
      <w:proofErr w:type="spellEnd"/>
      <w:r w:rsidRPr="00B826D8">
        <w:t xml:space="preserve"> limits examination which is to use maximum power spectral density multiplied by the reference bandwidth </w:t>
      </w:r>
      <w:r>
        <w:t>in the case when the reference bandwidth is less or equal to the averaging bandwidth.</w:t>
      </w:r>
    </w:p>
    <w:p w14:paraId="141BD5E9" w14:textId="77777777" w:rsidR="00C74DA0" w:rsidRPr="00B826D8" w:rsidRDefault="00C74DA0" w:rsidP="002820E6">
      <w:r w:rsidRPr="00B826D8">
        <w:t xml:space="preserve">The Bureau will be informing administrations through Circular Letter that the Bureau will apply the modified methodology to the notice received on and after the date of the on-line </w:t>
      </w:r>
      <w:proofErr w:type="spellStart"/>
      <w:r w:rsidRPr="00B826D8">
        <w:t>pfd</w:t>
      </w:r>
      <w:proofErr w:type="spellEnd"/>
      <w:r w:rsidRPr="00B826D8">
        <w:t xml:space="preserve"> tool becoming available, without retroactive application.</w:t>
      </w:r>
    </w:p>
    <w:p w14:paraId="50208096" w14:textId="77777777" w:rsidR="00C74DA0" w:rsidRPr="00C66E29" w:rsidRDefault="00C74DA0" w:rsidP="00C74DA0">
      <w:pPr>
        <w:pStyle w:val="Heading2"/>
      </w:pPr>
      <w:bookmarkStart w:id="79" w:name="_Toc143072409"/>
      <w:r w:rsidRPr="00C66E29">
        <w:t>2.</w:t>
      </w:r>
      <w:r>
        <w:t>6</w:t>
      </w:r>
      <w:r w:rsidRPr="00C66E29">
        <w:tab/>
        <w:t xml:space="preserve">Special assistance on coordination, </w:t>
      </w:r>
      <w:proofErr w:type="gramStart"/>
      <w:r w:rsidRPr="00C66E29">
        <w:t>notification</w:t>
      </w:r>
      <w:proofErr w:type="gramEnd"/>
      <w:r w:rsidRPr="00C66E29">
        <w:t xml:space="preserve"> and Plans</w:t>
      </w:r>
      <w:bookmarkEnd w:id="63"/>
      <w:bookmarkEnd w:id="79"/>
    </w:p>
    <w:p w14:paraId="09F1D1CA" w14:textId="77777777" w:rsidR="00C74DA0" w:rsidRPr="00C66E29" w:rsidRDefault="00C74DA0" w:rsidP="00C74DA0">
      <w:pPr>
        <w:pStyle w:val="Heading3"/>
      </w:pPr>
      <w:bookmarkStart w:id="80" w:name="_Toc418232269"/>
      <w:bookmarkStart w:id="81" w:name="_Toc143072410"/>
      <w:r w:rsidRPr="00C66E29">
        <w:t>2.</w:t>
      </w:r>
      <w:r>
        <w:t>6</w:t>
      </w:r>
      <w:r w:rsidRPr="00C66E29">
        <w:t>.1</w:t>
      </w:r>
      <w:r w:rsidRPr="00C66E29">
        <w:tab/>
        <w:t>Assistance cases for non-planned services</w:t>
      </w:r>
      <w:bookmarkEnd w:id="80"/>
      <w:bookmarkEnd w:id="81"/>
    </w:p>
    <w:p w14:paraId="1D09D6F3" w14:textId="77777777" w:rsidR="00C74DA0" w:rsidRPr="00C66E29" w:rsidRDefault="00C74DA0" w:rsidP="00C74DA0">
      <w:r w:rsidRPr="00C66E29">
        <w:t>Due to the requirement to notify assignments within the 7-year period, administrations increasingly rely on the regulatory assistance by the Bureau under Sub-Sections IIB and IID of Article </w:t>
      </w:r>
      <w:r w:rsidRPr="00C66E29">
        <w:rPr>
          <w:b/>
        </w:rPr>
        <w:t>9</w:t>
      </w:r>
      <w:r w:rsidRPr="00C66E29">
        <w:t xml:space="preserve"> to complete or continue coordination in cases of non-reply or objections without details concerning the assignments that are the reason for objection. Between July 2019 and May 2023, the number of requests for assistance handled were 240 for space stations and 370 for earth stations. The Bureau endeavours to deal with these cases as expeditiously as is consistent with the relevant procedure of Article </w:t>
      </w:r>
      <w:r w:rsidRPr="00C66E29">
        <w:rPr>
          <w:b/>
        </w:rPr>
        <w:t>9</w:t>
      </w:r>
      <w:r w:rsidRPr="00C66E29">
        <w:t xml:space="preserve">. </w:t>
      </w:r>
    </w:p>
    <w:p w14:paraId="1D87F455" w14:textId="77777777" w:rsidR="00C74DA0" w:rsidRPr="00C66E29" w:rsidRDefault="00C74DA0" w:rsidP="00C74DA0">
      <w:r w:rsidRPr="00C66E29">
        <w:t xml:space="preserve">In addition to the regulatory assistance described above, various provisions in the Radio Regulations (notably in Articles </w:t>
      </w:r>
      <w:r w:rsidRPr="00C66E29">
        <w:rPr>
          <w:b/>
        </w:rPr>
        <w:t>7</w:t>
      </w:r>
      <w:r w:rsidRPr="00C66E29">
        <w:t xml:space="preserve"> and </w:t>
      </w:r>
      <w:r w:rsidRPr="00C66E29">
        <w:rPr>
          <w:b/>
        </w:rPr>
        <w:t>13</w:t>
      </w:r>
      <w:r w:rsidRPr="00C66E29">
        <w:t xml:space="preserve">) specify a wide range of possibilities for assisting administrations. This activity requires the identification of the nature of the assistance, identification of procedures and administrations involved and preparation of replies in a timely fashion. The Space Services Department is also involved in </w:t>
      </w:r>
      <w:proofErr w:type="gramStart"/>
      <w:r w:rsidRPr="00C66E29">
        <w:t>a number of</w:t>
      </w:r>
      <w:proofErr w:type="gramEnd"/>
      <w:r w:rsidRPr="00C66E29">
        <w:t xml:space="preserve"> contacts, on a daily basis, with many administrations, operating agencies, private companies and the general public which request assistance, support or clarification concerning the application of regulatory and administrative provisions of the Radio Regulations.</w:t>
      </w:r>
    </w:p>
    <w:p w14:paraId="03B5225F" w14:textId="77777777" w:rsidR="00C74DA0" w:rsidRPr="00C66E29" w:rsidRDefault="00C74DA0" w:rsidP="00C74DA0">
      <w:pPr>
        <w:pStyle w:val="Heading3"/>
      </w:pPr>
      <w:bookmarkStart w:id="82" w:name="_Toc418232270"/>
      <w:bookmarkStart w:id="83" w:name="_Toc143072411"/>
      <w:r w:rsidRPr="00C66E29">
        <w:t>2.</w:t>
      </w:r>
      <w:r>
        <w:t>6</w:t>
      </w:r>
      <w:r w:rsidRPr="00C66E29">
        <w:t>.2</w:t>
      </w:r>
      <w:r w:rsidRPr="00C66E29">
        <w:tab/>
        <w:t>Assistance cases for Appendices 30, 30A and 30B</w:t>
      </w:r>
      <w:bookmarkEnd w:id="82"/>
      <w:bookmarkEnd w:id="83"/>
    </w:p>
    <w:p w14:paraId="56F4408C" w14:textId="77777777" w:rsidR="00C74DA0" w:rsidRPr="00C66E29" w:rsidRDefault="00C74DA0" w:rsidP="002820E6">
      <w:r w:rsidRPr="00C66E29">
        <w:t xml:space="preserve">The Bureau continued to </w:t>
      </w:r>
      <w:proofErr w:type="gramStart"/>
      <w:r w:rsidRPr="00C66E29">
        <w:t>provide assistance to</w:t>
      </w:r>
      <w:proofErr w:type="gramEnd"/>
      <w:r w:rsidRPr="00C66E29">
        <w:t xml:space="preserve"> administrations in application of Appendices </w:t>
      </w:r>
      <w:r w:rsidRPr="00C66E29">
        <w:rPr>
          <w:b/>
          <w:bCs/>
        </w:rPr>
        <w:t>30</w:t>
      </w:r>
      <w:r w:rsidRPr="00C66E29">
        <w:t xml:space="preserve">, </w:t>
      </w:r>
      <w:r w:rsidRPr="00C66E29">
        <w:rPr>
          <w:b/>
          <w:bCs/>
        </w:rPr>
        <w:t>30A</w:t>
      </w:r>
      <w:r w:rsidRPr="00C66E29">
        <w:t xml:space="preserve"> and </w:t>
      </w:r>
      <w:r w:rsidRPr="00C66E29">
        <w:rPr>
          <w:b/>
          <w:bCs/>
        </w:rPr>
        <w:t>30B</w:t>
      </w:r>
      <w:r w:rsidRPr="00C66E29">
        <w:t xml:space="preserve"> and Article </w:t>
      </w:r>
      <w:r w:rsidRPr="00C66E29">
        <w:rPr>
          <w:b/>
          <w:bCs/>
        </w:rPr>
        <w:t>13</w:t>
      </w:r>
      <w:r w:rsidRPr="00C66E29">
        <w:t xml:space="preserve"> of the Radio Regulations including coordination and detailed information concerning the results of the Bureau’s calculations.</w:t>
      </w:r>
    </w:p>
    <w:p w14:paraId="735D10E0" w14:textId="38E86CD6" w:rsidR="00C74DA0" w:rsidRPr="00C66E29" w:rsidRDefault="00C74DA0" w:rsidP="002820E6">
      <w:r w:rsidRPr="00C66E29">
        <w:t xml:space="preserve">The Bureau received many requests for information from various entities including Member States and Sector Members concerning application of these Appendices by e-mail and telephone. The requested information was provided as quickly as possible. Between December 2019 and </w:t>
      </w:r>
      <w:r w:rsidRPr="00C66E29">
        <w:rPr>
          <w:rFonts w:hint="eastAsia"/>
        </w:rPr>
        <w:t>May</w:t>
      </w:r>
      <w:r w:rsidRPr="00C66E29">
        <w:t xml:space="preserve"> 2023 inclusive, the Bureau also processed 153 formal assistance cases from administrations concerning the detailed results of the calculations performed by the Bureau, including different cases of difficulty in applying the procedures of Appendices </w:t>
      </w:r>
      <w:r w:rsidRPr="00C66E29">
        <w:rPr>
          <w:b/>
          <w:bCs/>
        </w:rPr>
        <w:t>30</w:t>
      </w:r>
      <w:r w:rsidRPr="00C66E29">
        <w:t>,</w:t>
      </w:r>
      <w:r w:rsidRPr="00C66E29">
        <w:rPr>
          <w:b/>
          <w:bCs/>
        </w:rPr>
        <w:t xml:space="preserve"> 30A</w:t>
      </w:r>
      <w:r w:rsidRPr="00C66E29">
        <w:t xml:space="preserve"> and </w:t>
      </w:r>
      <w:r w:rsidRPr="00C66E29">
        <w:rPr>
          <w:b/>
          <w:bCs/>
        </w:rPr>
        <w:t>30B</w:t>
      </w:r>
      <w:r w:rsidRPr="00C66E29">
        <w:t xml:space="preserve">, as mentioned in </w:t>
      </w:r>
      <w:r w:rsidR="000B68E3">
        <w:t xml:space="preserve">RR </w:t>
      </w:r>
      <w:r w:rsidRPr="00C66E29">
        <w:rPr>
          <w:rFonts w:cstheme="minorHAnsi"/>
        </w:rPr>
        <w:t xml:space="preserve">No. </w:t>
      </w:r>
      <w:r w:rsidRPr="00C66E29">
        <w:rPr>
          <w:b/>
          <w:bCs/>
        </w:rPr>
        <w:t>13.1</w:t>
      </w:r>
      <w:r w:rsidRPr="00C66E29">
        <w:t xml:space="preserve"> of Article </w:t>
      </w:r>
      <w:r w:rsidRPr="00C66E29">
        <w:rPr>
          <w:b/>
          <w:bCs/>
        </w:rPr>
        <w:t>13</w:t>
      </w:r>
      <w:r w:rsidRPr="00C66E29">
        <w:t xml:space="preserve">, or application of provisions of the Radio Regulations including those under § 4.1.10a of Article 4 of Appendices </w:t>
      </w:r>
      <w:r w:rsidRPr="00C66E29">
        <w:rPr>
          <w:b/>
          <w:bCs/>
        </w:rPr>
        <w:t>30</w:t>
      </w:r>
      <w:r w:rsidRPr="00C66E29">
        <w:t xml:space="preserve"> and </w:t>
      </w:r>
      <w:r w:rsidRPr="00C66E29">
        <w:rPr>
          <w:b/>
          <w:bCs/>
        </w:rPr>
        <w:t>30A</w:t>
      </w:r>
      <w:r w:rsidRPr="00C66E29">
        <w:t xml:space="preserve"> (see § 2.4.3 below) and under § 6.13 of Article 6 of Appendix </w:t>
      </w:r>
      <w:r w:rsidRPr="00C66E29">
        <w:rPr>
          <w:b/>
          <w:bCs/>
        </w:rPr>
        <w:t>30B</w:t>
      </w:r>
      <w:r w:rsidRPr="00C66E29">
        <w:t xml:space="preserve"> (see § 2.4.4 below). The administrations were assisted as requested.</w:t>
      </w:r>
    </w:p>
    <w:p w14:paraId="545D4F4B" w14:textId="77777777" w:rsidR="00C74DA0" w:rsidRPr="00C66E29" w:rsidRDefault="00C74DA0" w:rsidP="00C74DA0">
      <w:pPr>
        <w:pStyle w:val="Heading3"/>
      </w:pPr>
      <w:bookmarkStart w:id="84" w:name="_Toc143072412"/>
      <w:r w:rsidRPr="00C66E29">
        <w:t>2.</w:t>
      </w:r>
      <w:r>
        <w:t>6</w:t>
      </w:r>
      <w:r w:rsidRPr="00C66E29">
        <w:t>.3</w:t>
      </w:r>
      <w:r w:rsidRPr="00C66E29">
        <w:tab/>
        <w:t>Request for assistance under § 4.1.10a of Article 4 of Appendices 30/30A</w:t>
      </w:r>
      <w:bookmarkEnd w:id="84"/>
    </w:p>
    <w:p w14:paraId="1AB7DC12" w14:textId="77777777" w:rsidR="00C74DA0" w:rsidRPr="00C66E29" w:rsidRDefault="00C74DA0" w:rsidP="000C19A8">
      <w:r w:rsidRPr="00C66E29">
        <w:t xml:space="preserve">Provision 4.1.10a of Article 4 of Appendices </w:t>
      </w:r>
      <w:r w:rsidRPr="00C66E29">
        <w:rPr>
          <w:b/>
          <w:bCs/>
        </w:rPr>
        <w:t>30</w:t>
      </w:r>
      <w:r w:rsidRPr="00C66E29">
        <w:t xml:space="preserve"> and </w:t>
      </w:r>
      <w:r w:rsidRPr="00C66E29">
        <w:rPr>
          <w:b/>
          <w:bCs/>
        </w:rPr>
        <w:t>30A</w:t>
      </w:r>
      <w:r w:rsidRPr="00C66E29">
        <w:t xml:space="preserve"> allows a notifying administration to request the Bureau to assist in respect of potentially affected administrations which have not made comments within four-month period to a network published under § 4.1.5 of Article 4 of these Appendices.</w:t>
      </w:r>
    </w:p>
    <w:p w14:paraId="1A8260A1" w14:textId="7EE2D88F" w:rsidR="00C74DA0" w:rsidRPr="00C66E29" w:rsidRDefault="00C74DA0" w:rsidP="000C19A8">
      <w:r w:rsidRPr="00C66E29">
        <w:t>Between December 2019 and May 2023, the Bureau has received 75 requests for assistance under §</w:t>
      </w:r>
      <w:r w:rsidR="000B68E3">
        <w:t> </w:t>
      </w:r>
      <w:r w:rsidRPr="00C66E29">
        <w:t>4.1.10a. The Bureau has sent 458 reminders in accordance with §§ 4.1.10b and 4.1.10c to administrations whose assignments were identified as affected. Since the outbreak of Covid-19, the Bureau has been using emails and e-Communications as the only means to send these reminders (See § 3.2.3.2 of Part 2 for the difficulties encountered from this change). The Bureau made additional efforts in assisting the receiving administrations in reducing the possible difficulties that may arise during the Covid-19 pandemic. The Bureau received 208 replies with decisions from those administrations (including 26 replies received after the 30-days deadline), which is around 45% of all reminders sent, with an increase of 25% than the previous reporting cycle.</w:t>
      </w:r>
    </w:p>
    <w:p w14:paraId="16C1BBE9" w14:textId="0E6CC4EB" w:rsidR="00C74DA0" w:rsidRPr="00C66E29" w:rsidRDefault="00C74DA0" w:rsidP="000C19A8">
      <w:r w:rsidRPr="00C66E29">
        <w:t xml:space="preserve">Provision 4.1.10d of Article 4 of Appendices </w:t>
      </w:r>
      <w:r w:rsidRPr="00C66E29">
        <w:rPr>
          <w:b/>
          <w:bCs/>
        </w:rPr>
        <w:t>30</w:t>
      </w:r>
      <w:r w:rsidRPr="00C66E29">
        <w:t xml:space="preserve"> and </w:t>
      </w:r>
      <w:r w:rsidRPr="00C66E29">
        <w:rPr>
          <w:b/>
          <w:bCs/>
        </w:rPr>
        <w:t>30A</w:t>
      </w:r>
      <w:r w:rsidRPr="00C66E29">
        <w:t xml:space="preserve"> which states that “If no decision is communicated to the Bureau within 30 days after the date of dispatch of the reminder under §</w:t>
      </w:r>
      <w:r w:rsidR="00F5740F">
        <w:t> </w:t>
      </w:r>
      <w:r w:rsidRPr="00C66E29">
        <w:t xml:space="preserve">4.1.10b, it shall be deemed that the administration which has not given a decision has agreed to the proposed assignment” has been applied to those administrations who did not respond within the deadline. A list of non-responding administrations whose assignments in the Regions 1 and 3 Appendices </w:t>
      </w:r>
      <w:r w:rsidRPr="00C66E29">
        <w:rPr>
          <w:b/>
          <w:bCs/>
        </w:rPr>
        <w:t>30</w:t>
      </w:r>
      <w:r w:rsidRPr="00C66E29">
        <w:t xml:space="preserve"> and </w:t>
      </w:r>
      <w:r w:rsidRPr="00C66E29">
        <w:rPr>
          <w:b/>
          <w:bCs/>
        </w:rPr>
        <w:t>30A</w:t>
      </w:r>
      <w:r w:rsidRPr="00C66E29">
        <w:t xml:space="preserve"> Plans may be degraded as a result of these assistance cases by at least one of the proposed networks is the following: AFG, AUT, BGD, BLR, CAF, CPV, EST, GHA, GNB, GUI, HOL, KWT, LBN, LBR, LVA, MLD, MTN, NGR, NRU, PLW, PSE, SRL, STP, TKM, TLS, TON, UZB, VUT and YEM.</w:t>
      </w:r>
    </w:p>
    <w:p w14:paraId="21528EB2" w14:textId="77777777" w:rsidR="00C74DA0" w:rsidRPr="00C66E29" w:rsidRDefault="00C74DA0" w:rsidP="00C74DA0">
      <w:pPr>
        <w:pStyle w:val="Heading3"/>
      </w:pPr>
      <w:bookmarkStart w:id="85" w:name="_Toc143072413"/>
      <w:r w:rsidRPr="00C66E29">
        <w:t>2.</w:t>
      </w:r>
      <w:r>
        <w:t>6</w:t>
      </w:r>
      <w:r w:rsidRPr="00C66E29">
        <w:t>.4</w:t>
      </w:r>
      <w:r w:rsidRPr="00C66E29">
        <w:tab/>
        <w:t>Request for assistance under § 6.13 of Article 6 of Appendix 30B</w:t>
      </w:r>
      <w:bookmarkEnd w:id="85"/>
    </w:p>
    <w:p w14:paraId="77390D37" w14:textId="77777777" w:rsidR="00C74DA0" w:rsidRPr="00C66E29" w:rsidRDefault="00C74DA0" w:rsidP="000C19A8">
      <w:r w:rsidRPr="00C66E29">
        <w:t xml:space="preserve">Provision 6.13 of Article 6 of Appendix </w:t>
      </w:r>
      <w:r w:rsidRPr="00C66E29">
        <w:rPr>
          <w:b/>
          <w:bCs/>
        </w:rPr>
        <w:t>30B</w:t>
      </w:r>
      <w:r w:rsidRPr="00C66E29">
        <w:t xml:space="preserve"> allows a notifying administration to request the Bureau to assist in respect of potentially affected administrations which have not made comments within four-month period to a network published under § 6.7 of Article 6 of that Appendix.</w:t>
      </w:r>
    </w:p>
    <w:p w14:paraId="62BCECEA" w14:textId="77777777" w:rsidR="00C74DA0" w:rsidRPr="00C66E29" w:rsidRDefault="00C74DA0" w:rsidP="000C19A8">
      <w:r w:rsidRPr="00C66E29">
        <w:t>Between December 2019 and May 2023, the Bureau has processed 12 requests for assistance under § 6.13. The Bureau has sent 47 reminders in accordance with §§ 6.14 and 6.14bis to administrations whose allotment(s)/assignments were identified as affected. Since the outbreak of Covid-19, the Bureau has been using emails and e-Communications as the only means to send these reminders (See § 3.2.3.2 of Part 2 for the difficulties encountered from this change). The Bureau made additional efforts in assisting the receiving administrations in reducing the possible difficulties that may arise during the Covid-19 pandemic. The Bureau received 29 replies with decisions from those administrations (including 1 reply received after the 30-day deadline), which is around 62% of all reminders sent, with a 30% increase than the previous reporting cycle.</w:t>
      </w:r>
    </w:p>
    <w:p w14:paraId="04D9C99E" w14:textId="77777777" w:rsidR="00C74DA0" w:rsidRPr="00C66E29" w:rsidRDefault="00C74DA0" w:rsidP="000C19A8">
      <w:r w:rsidRPr="00C66E29">
        <w:t xml:space="preserve">Provision 6.15 of Article 6 of Appendix </w:t>
      </w:r>
      <w:r w:rsidRPr="00C66E29">
        <w:rPr>
          <w:b/>
          <w:bCs/>
        </w:rPr>
        <w:t>30B</w:t>
      </w:r>
      <w:r w:rsidRPr="00C66E29">
        <w:t xml:space="preserve"> which states that “If no decision is communicated to the Bureau within thirty days after the date of dispatch of the reminder under § 6.14, it shall be deemed that the administration which has not given a decision has agreed to the proposed assignment” has been applied to those administrations who did not respond within the deadline. A list of non-responding administrations whose allotment in the Appendix 30B Plan may be degraded as a result of these assistance cases by at least one of the proposed networks is the following: </w:t>
      </w:r>
      <w:proofErr w:type="gramStart"/>
      <w:r w:rsidRPr="00C66E29">
        <w:t>AND,</w:t>
      </w:r>
      <w:proofErr w:type="gramEnd"/>
      <w:r w:rsidRPr="00C66E29">
        <w:t xml:space="preserve"> BLZ, BRU, GNB, KNA, KRE, LBR, MLD, NGR, PHL, PRU, SEY, SRL, URG, UZB, VCT and YEM.</w:t>
      </w:r>
    </w:p>
    <w:p w14:paraId="6D6DAF85" w14:textId="77777777" w:rsidR="00C74DA0" w:rsidRPr="00C66E29" w:rsidRDefault="00C74DA0" w:rsidP="00C74DA0">
      <w:pPr>
        <w:pStyle w:val="Heading2"/>
      </w:pPr>
      <w:bookmarkStart w:id="86" w:name="_Toc418232286"/>
      <w:bookmarkStart w:id="87" w:name="_Toc143072414"/>
      <w:r w:rsidRPr="00C66E29">
        <w:t>2.</w:t>
      </w:r>
      <w:r>
        <w:t>7</w:t>
      </w:r>
      <w:r w:rsidRPr="00C66E29">
        <w:tab/>
        <w:t>Cost recovery for processing satellite network filings</w:t>
      </w:r>
      <w:bookmarkEnd w:id="86"/>
      <w:r>
        <w:t xml:space="preserve"> (</w:t>
      </w:r>
      <w:r w:rsidRPr="00C66E29">
        <w:t>Council Decision 482</w:t>
      </w:r>
      <w:r>
        <w:t>)</w:t>
      </w:r>
      <w:bookmarkEnd w:id="87"/>
    </w:p>
    <w:p w14:paraId="23F363ED" w14:textId="77777777" w:rsidR="00C74DA0" w:rsidRPr="00C66E29" w:rsidRDefault="00C74DA0" w:rsidP="000C19A8">
      <w:pPr>
        <w:rPr>
          <w:lang w:val="en-US"/>
        </w:rPr>
      </w:pPr>
      <w:r w:rsidRPr="00C66E29">
        <w:rPr>
          <w:lang w:val="en-US"/>
        </w:rPr>
        <w:t>In accordance with Council Decision 482 (modified 20</w:t>
      </w:r>
      <w:r>
        <w:rPr>
          <w:lang w:val="en-US"/>
        </w:rPr>
        <w:t>20</w:t>
      </w:r>
      <w:r w:rsidRPr="00C66E29">
        <w:rPr>
          <w:lang w:val="en-US"/>
        </w:rPr>
        <w:t>), the Bureau has been issuing invoices for satellite network filings. The Bureau also tracks the payment status, sends reminder letters as appropriate, and cancels filings wherein the invoices are not received in accordance with the Council Decision. The implementation of Decision 482 (C-05), and subsequently Decision 482 (modified 2012), Decision 482 (modified 2013), Decision 482 (modified 2017), Decision 482 (modified 2018), Decision 482 (modified 2019) and Decision 482 (modified 2020), by the Radiocommunication Bureau did not give rise to any administrative or operational difficulty either internally or with administrations notifying satellite network filings.</w:t>
      </w:r>
    </w:p>
    <w:p w14:paraId="4B4D3012" w14:textId="77777777" w:rsidR="00C74DA0" w:rsidRPr="00C66E29" w:rsidRDefault="00C74DA0" w:rsidP="000C19A8">
      <w:pPr>
        <w:rPr>
          <w:lang w:val="en-US"/>
        </w:rPr>
      </w:pPr>
      <w:r w:rsidRPr="00C66E29">
        <w:rPr>
          <w:lang w:val="en-US"/>
        </w:rPr>
        <w:t>Since the entry into force of Decision 482 (Modified 2019) on 1 July 2019, the Radiocommunication Bureau has received 42 coordination requests of non-geostationary satellite systems exceeding 25 000 units (2 with more than 200 000 units and 1 with 485640 units). It has also received a total of 40 coordination requests of non-geostationary satellite systems including at least two mutually exclusive configurations.</w:t>
      </w:r>
    </w:p>
    <w:p w14:paraId="6B3A0C7C" w14:textId="77777777" w:rsidR="00C74DA0" w:rsidRPr="00C66E29" w:rsidRDefault="00C74DA0" w:rsidP="000C19A8">
      <w:pPr>
        <w:rPr>
          <w:lang w:val="en-US"/>
        </w:rPr>
      </w:pPr>
      <w:r w:rsidRPr="00C66E29">
        <w:rPr>
          <w:lang w:val="en-US"/>
        </w:rPr>
        <w:t xml:space="preserve">Decision 482 was revised at Council session 2020 to address the case of Notification for recording inter-satellite links of a geostationary-satellite space station communicating with a non-geostationary space station provisionally not subject to coordination, which had been previously omitted. Since the entry into force of Decision 482 (Modified 2020) on 1 September 2020, 11 notification notices for the recording </w:t>
      </w:r>
      <w:proofErr w:type="gramStart"/>
      <w:r w:rsidRPr="00C66E29">
        <w:rPr>
          <w:lang w:val="en-US"/>
        </w:rPr>
        <w:t>of  inter</w:t>
      </w:r>
      <w:proofErr w:type="gramEnd"/>
      <w:r w:rsidRPr="00C66E29">
        <w:rPr>
          <w:lang w:val="en-US"/>
        </w:rPr>
        <w:t>-satellite links of a geostationary-satellite space station communicating with a non-geostationary space station provisionally not subject to coordination, have been invoiced under category N4.</w:t>
      </w:r>
    </w:p>
    <w:p w14:paraId="2431409A" w14:textId="77777777" w:rsidR="00C74DA0" w:rsidRPr="00C66E29" w:rsidRDefault="00C74DA0" w:rsidP="000C19A8">
      <w:pPr>
        <w:pStyle w:val="Figurewithouttitle"/>
        <w:rPr>
          <w:lang w:val="en-US"/>
        </w:rPr>
      </w:pPr>
      <w:r w:rsidRPr="00C66E29">
        <w:rPr>
          <w:noProof/>
        </w:rPr>
        <w:drawing>
          <wp:inline distT="0" distB="0" distL="0" distR="0" wp14:anchorId="0123C59F" wp14:editId="5461044E">
            <wp:extent cx="5731510" cy="3446780"/>
            <wp:effectExtent l="0" t="0" r="2540" b="1270"/>
            <wp:docPr id="10" name="Chart 10">
              <a:extLst xmlns:a="http://schemas.openxmlformats.org/drawingml/2006/main">
                <a:ext uri="{FF2B5EF4-FFF2-40B4-BE49-F238E27FC236}">
                  <a16:creationId xmlns:a16="http://schemas.microsoft.com/office/drawing/2014/main" id="{F9DE6864-D851-4CB5-88C5-EF3E3EACC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0882CF7" w14:textId="77777777" w:rsidR="00C74DA0" w:rsidRPr="00C66E29" w:rsidRDefault="00C74DA0" w:rsidP="00C74DA0">
      <w:pPr>
        <w:rPr>
          <w:lang w:val="en-US"/>
        </w:rPr>
      </w:pPr>
    </w:p>
    <w:p w14:paraId="5331AB1D" w14:textId="77777777" w:rsidR="00C74DA0" w:rsidRPr="00C66E29" w:rsidRDefault="00C74DA0" w:rsidP="000C19A8">
      <w:pPr>
        <w:pStyle w:val="Figurewithouttitle"/>
        <w:rPr>
          <w:lang w:val="en-US"/>
        </w:rPr>
      </w:pPr>
      <w:r w:rsidRPr="00C66E29">
        <w:rPr>
          <w:noProof/>
        </w:rPr>
        <w:drawing>
          <wp:inline distT="0" distB="0" distL="0" distR="0" wp14:anchorId="28EF103C" wp14:editId="764EA250">
            <wp:extent cx="5731510" cy="3768090"/>
            <wp:effectExtent l="0" t="0" r="2540" b="3810"/>
            <wp:docPr id="11" name="Chart 11">
              <a:extLst xmlns:a="http://schemas.openxmlformats.org/drawingml/2006/main">
                <a:ext uri="{FF2B5EF4-FFF2-40B4-BE49-F238E27FC236}">
                  <a16:creationId xmlns:a16="http://schemas.microsoft.com/office/drawing/2014/main" id="{50E2CEBA-F2B9-48F7-9DF8-E1F308966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6A44DBD" w14:textId="2823E4CF" w:rsidR="00C74DA0" w:rsidRPr="000451B0" w:rsidRDefault="00C74DA0" w:rsidP="00C74DA0">
      <w:pPr>
        <w:pStyle w:val="Heading1"/>
        <w:rPr>
          <w:lang w:val="en-US"/>
        </w:rPr>
      </w:pPr>
      <w:bookmarkStart w:id="88" w:name="_Toc143072415"/>
      <w:r w:rsidRPr="000451B0">
        <w:rPr>
          <w:lang w:val="en-US"/>
        </w:rPr>
        <w:t>3</w:t>
      </w:r>
      <w:r w:rsidRPr="000451B0">
        <w:rPr>
          <w:lang w:val="en-US"/>
        </w:rPr>
        <w:tab/>
      </w:r>
      <w:r w:rsidRPr="000451B0">
        <w:t>Application</w:t>
      </w:r>
      <w:r w:rsidRPr="000451B0">
        <w:rPr>
          <w:lang w:val="en-US"/>
        </w:rPr>
        <w:t xml:space="preserve"> of the Radio Regulations for terrestrial services</w:t>
      </w:r>
      <w:bookmarkEnd w:id="88"/>
      <w:r>
        <w:rPr>
          <w:lang w:val="en-US"/>
        </w:rPr>
        <w:t xml:space="preserve"> </w:t>
      </w:r>
    </w:p>
    <w:p w14:paraId="3847141E" w14:textId="77777777" w:rsidR="00C74DA0" w:rsidRPr="000451B0" w:rsidRDefault="00C74DA0" w:rsidP="00C74DA0">
      <w:pPr>
        <w:pStyle w:val="Heading2"/>
      </w:pPr>
      <w:bookmarkStart w:id="89" w:name="_Toc143072416"/>
      <w:r w:rsidRPr="000451B0">
        <w:t>3.1</w:t>
      </w:r>
      <w:r w:rsidRPr="000451B0">
        <w:tab/>
        <w:t>General observations</w:t>
      </w:r>
      <w:bookmarkEnd w:id="89"/>
    </w:p>
    <w:p w14:paraId="19DB8F2E" w14:textId="77777777" w:rsidR="00C74DA0" w:rsidRPr="005E22B5" w:rsidRDefault="00C74DA0" w:rsidP="00C74DA0">
      <w:r w:rsidRPr="005E22B5">
        <w:t>In the period between WRC</w:t>
      </w:r>
      <w:r w:rsidRPr="005E22B5">
        <w:noBreakHyphen/>
        <w:t>1</w:t>
      </w:r>
      <w:r>
        <w:t>9</w:t>
      </w:r>
      <w:r w:rsidRPr="005E22B5">
        <w:t xml:space="preserve"> and WRC</w:t>
      </w:r>
      <w:r w:rsidRPr="005E22B5">
        <w:noBreakHyphen/>
      </w:r>
      <w:r>
        <w:t>23</w:t>
      </w:r>
      <w:r w:rsidRPr="005E22B5">
        <w:t xml:space="preserve">, the Bureau dealt with a substantive number of activities related to terrestrial services. These activities included processing and examination of submissions from administrations, mainly frequency assignment notices to stations in terrestrial services, under the relevant provisions of Articles </w:t>
      </w:r>
      <w:r w:rsidRPr="005E22B5">
        <w:rPr>
          <w:b/>
        </w:rPr>
        <w:t>9</w:t>
      </w:r>
      <w:r w:rsidRPr="005E22B5">
        <w:t xml:space="preserve">, </w:t>
      </w:r>
      <w:r w:rsidRPr="005E22B5">
        <w:rPr>
          <w:b/>
        </w:rPr>
        <w:t>11</w:t>
      </w:r>
      <w:r w:rsidRPr="005E22B5">
        <w:t xml:space="preserve">, </w:t>
      </w:r>
      <w:r w:rsidRPr="005E22B5">
        <w:rPr>
          <w:b/>
        </w:rPr>
        <w:t>12</w:t>
      </w:r>
      <w:r w:rsidRPr="005E22B5">
        <w:t xml:space="preserve"> and </w:t>
      </w:r>
      <w:r w:rsidRPr="005E22B5">
        <w:rPr>
          <w:b/>
        </w:rPr>
        <w:t>20</w:t>
      </w:r>
      <w:r w:rsidRPr="005E22B5">
        <w:t xml:space="preserve"> of the RR and various regional agreements. </w:t>
      </w:r>
    </w:p>
    <w:p w14:paraId="171087BE" w14:textId="77777777" w:rsidR="00C74DA0" w:rsidRPr="005E22B5" w:rsidRDefault="00C74DA0" w:rsidP="00C74DA0">
      <w:r w:rsidRPr="005E22B5">
        <w:t xml:space="preserve">In this period, the Bureau examined frequency assignment notices to terrestrial services under two different sets of provisions: under Article </w:t>
      </w:r>
      <w:r w:rsidRPr="005E22B5">
        <w:rPr>
          <w:b/>
        </w:rPr>
        <w:t>11</w:t>
      </w:r>
      <w:r w:rsidRPr="005E22B5">
        <w:t xml:space="preserve"> of the RR (201</w:t>
      </w:r>
      <w:r>
        <w:t>6</w:t>
      </w:r>
      <w:r w:rsidRPr="005E22B5">
        <w:t xml:space="preserve"> edition) for notices received between 2</w:t>
      </w:r>
      <w:r>
        <w:t>3</w:t>
      </w:r>
      <w:r w:rsidRPr="005E22B5">
        <w:t xml:space="preserve"> November </w:t>
      </w:r>
      <w:r>
        <w:t xml:space="preserve">2019 </w:t>
      </w:r>
      <w:r w:rsidRPr="005E22B5">
        <w:t>and 31 December 20</w:t>
      </w:r>
      <w:r>
        <w:t>20</w:t>
      </w:r>
      <w:r w:rsidRPr="005E22B5">
        <w:t>, and under Article </w:t>
      </w:r>
      <w:r w:rsidRPr="00940AF7">
        <w:rPr>
          <w:b/>
        </w:rPr>
        <w:t>11</w:t>
      </w:r>
      <w:r w:rsidRPr="005E22B5">
        <w:t xml:space="preserve"> of the RR (20</w:t>
      </w:r>
      <w:r>
        <w:t>20</w:t>
      </w:r>
      <w:r w:rsidRPr="005E22B5">
        <w:t xml:space="preserve"> edition) for notices received after 31 December 20</w:t>
      </w:r>
      <w:r>
        <w:t>20</w:t>
      </w:r>
      <w:r w:rsidRPr="005E22B5">
        <w:t>. In addition, the submissions related to plan modifications were treated in accordance with the relevant regional agreements.</w:t>
      </w:r>
    </w:p>
    <w:p w14:paraId="7034480E" w14:textId="77777777" w:rsidR="00C74DA0" w:rsidRPr="005E22B5" w:rsidRDefault="00C74DA0" w:rsidP="00C74DA0">
      <w:r w:rsidRPr="005E22B5">
        <w:t>During the reporting period, all regulatory deadlines for processing terrestrial submissions set up in the Radio Regulations and regional agreements have been met.</w:t>
      </w:r>
    </w:p>
    <w:p w14:paraId="20BD3E98" w14:textId="77777777" w:rsidR="00C74DA0" w:rsidRPr="005E22B5" w:rsidRDefault="00C74DA0" w:rsidP="00C74DA0">
      <w:r w:rsidRPr="005E22B5">
        <w:t xml:space="preserve">The activities related to terrestrial services also covered maintenance of the Master Register, worldwide and regional plans, including periodical review of findings of the corresponding assignments, technical and regulatory assistance to administrations, enhancement of terrestrial software, including the notice processing systems </w:t>
      </w:r>
      <w:proofErr w:type="spellStart"/>
      <w:r w:rsidRPr="005E22B5">
        <w:t>TerRaSys</w:t>
      </w:r>
      <w:proofErr w:type="spellEnd"/>
      <w:r w:rsidRPr="005E22B5">
        <w:t xml:space="preserve"> and MARS, web portals and standalone examination tools. These activities are summarised below. </w:t>
      </w:r>
    </w:p>
    <w:p w14:paraId="17170A4A" w14:textId="77777777" w:rsidR="00C74DA0" w:rsidRPr="000451B0" w:rsidRDefault="00C74DA0" w:rsidP="00C74DA0">
      <w:pPr>
        <w:pStyle w:val="Heading2"/>
      </w:pPr>
      <w:bookmarkStart w:id="90" w:name="_Toc143072417"/>
      <w:r w:rsidRPr="000451B0">
        <w:t>3.2</w:t>
      </w:r>
      <w:r w:rsidRPr="000451B0">
        <w:tab/>
        <w:t xml:space="preserve">Coordination requests pertaining to terrestrial </w:t>
      </w:r>
      <w:proofErr w:type="gramStart"/>
      <w:r w:rsidRPr="000451B0">
        <w:t>services</w:t>
      </w:r>
      <w:bookmarkEnd w:id="90"/>
      <w:proofErr w:type="gramEnd"/>
    </w:p>
    <w:p w14:paraId="69F26DC8" w14:textId="77777777" w:rsidR="00C74DA0" w:rsidRPr="000451B0" w:rsidRDefault="00C74DA0" w:rsidP="00C74DA0">
      <w:r w:rsidRPr="000451B0">
        <w:t xml:space="preserve">This activity comprises the processing of all coordination requests pertaining to terrestrial services mainly under No. </w:t>
      </w:r>
      <w:r w:rsidRPr="000451B0">
        <w:rPr>
          <w:b/>
          <w:bCs/>
        </w:rPr>
        <w:t>9.21</w:t>
      </w:r>
      <w:r w:rsidRPr="000451B0">
        <w:t xml:space="preserve"> of the RR, including the regulatory and technical examinations, publication of the relevant Special Section in BR IFIC, monitoring of the procedures and publication of the resulting situation upon expiry of the deadlines through Special Sections in BR IFIC. </w:t>
      </w:r>
    </w:p>
    <w:p w14:paraId="146A74A4" w14:textId="7866AA58" w:rsidR="00C74DA0" w:rsidRPr="00EE13EB" w:rsidRDefault="00C74DA0" w:rsidP="00C74DA0">
      <w:pPr>
        <w:rPr>
          <w:lang w:val="en-US"/>
        </w:rPr>
      </w:pPr>
      <w:r w:rsidRPr="00EE13EB">
        <w:rPr>
          <w:lang w:val="en-US"/>
        </w:rPr>
        <w:t xml:space="preserve">With respect to the cases submitted under </w:t>
      </w:r>
      <w:r w:rsidR="006B0688">
        <w:rPr>
          <w:lang w:val="en-US"/>
        </w:rPr>
        <w:t xml:space="preserve">RR </w:t>
      </w:r>
      <w:r w:rsidRPr="00EE13EB">
        <w:rPr>
          <w:lang w:val="en-US"/>
        </w:rPr>
        <w:t xml:space="preserve">No. </w:t>
      </w:r>
      <w:r w:rsidRPr="00EE13EB">
        <w:rPr>
          <w:b/>
          <w:bCs/>
          <w:lang w:val="en-US"/>
        </w:rPr>
        <w:t>9.21</w:t>
      </w:r>
      <w:r w:rsidRPr="00EE13EB">
        <w:rPr>
          <w:lang w:val="en-US"/>
        </w:rPr>
        <w:t xml:space="preserve">, during the reporting period (2019-2023), </w:t>
      </w:r>
      <w:proofErr w:type="gramStart"/>
      <w:r w:rsidRPr="00EE13EB">
        <w:rPr>
          <w:lang w:val="en-US"/>
        </w:rPr>
        <w:t>all of</w:t>
      </w:r>
      <w:proofErr w:type="gramEnd"/>
      <w:r w:rsidRPr="00EE13EB">
        <w:rPr>
          <w:lang w:val="en-US"/>
        </w:rPr>
        <w:t xml:space="preserve"> the requests for the application of the procedure under </w:t>
      </w:r>
      <w:r w:rsidR="006B0688">
        <w:rPr>
          <w:lang w:val="en-US"/>
        </w:rPr>
        <w:t>R</w:t>
      </w:r>
      <w:r w:rsidR="00F43E48">
        <w:rPr>
          <w:lang w:val="en-US"/>
        </w:rPr>
        <w:t>R</w:t>
      </w:r>
      <w:r w:rsidR="006B0688">
        <w:rPr>
          <w:lang w:val="en-US"/>
        </w:rPr>
        <w:t xml:space="preserve"> </w:t>
      </w:r>
      <w:r w:rsidRPr="00EE13EB">
        <w:rPr>
          <w:lang w:val="en-US"/>
        </w:rPr>
        <w:t xml:space="preserve">No. </w:t>
      </w:r>
      <w:r w:rsidRPr="00EE13EB">
        <w:rPr>
          <w:b/>
          <w:bCs/>
          <w:lang w:val="en-US"/>
        </w:rPr>
        <w:t>9.21</w:t>
      </w:r>
      <w:r w:rsidRPr="00EE13EB">
        <w:rPr>
          <w:lang w:val="en-US"/>
        </w:rPr>
        <w:t xml:space="preserve"> were related to </w:t>
      </w:r>
      <w:r w:rsidR="006B0688">
        <w:rPr>
          <w:lang w:val="en-US"/>
        </w:rPr>
        <w:t xml:space="preserve">RR </w:t>
      </w:r>
      <w:r w:rsidRPr="00EE13EB">
        <w:rPr>
          <w:lang w:val="en-US"/>
        </w:rPr>
        <w:t>Nos. </w:t>
      </w:r>
      <w:r w:rsidRPr="00EE13EB">
        <w:rPr>
          <w:b/>
          <w:lang w:val="en-US"/>
        </w:rPr>
        <w:t>5.177</w:t>
      </w:r>
      <w:r w:rsidRPr="00EE13EB">
        <w:rPr>
          <w:lang w:val="en-US"/>
        </w:rPr>
        <w:t>,</w:t>
      </w:r>
      <w:r w:rsidRPr="00EE13EB">
        <w:rPr>
          <w:b/>
          <w:lang w:val="en-US"/>
        </w:rPr>
        <w:t xml:space="preserve"> 5.316B</w:t>
      </w:r>
      <w:r w:rsidRPr="00EE13EB">
        <w:rPr>
          <w:lang w:val="en-US"/>
        </w:rPr>
        <w:t xml:space="preserve">, </w:t>
      </w:r>
      <w:r w:rsidRPr="00EE13EB">
        <w:rPr>
          <w:b/>
          <w:lang w:val="en-US"/>
        </w:rPr>
        <w:t xml:space="preserve">5.430A </w:t>
      </w:r>
      <w:r w:rsidRPr="00EE13EB">
        <w:rPr>
          <w:lang w:val="en-US"/>
        </w:rPr>
        <w:t>and</w:t>
      </w:r>
      <w:r w:rsidRPr="00EE13EB">
        <w:rPr>
          <w:b/>
          <w:lang w:val="en-US"/>
        </w:rPr>
        <w:t xml:space="preserve"> 5.441B</w:t>
      </w:r>
      <w:r w:rsidRPr="00801E53">
        <w:rPr>
          <w:lang w:val="en-US"/>
        </w:rPr>
        <w:t xml:space="preserve"> </w:t>
      </w:r>
      <w:r w:rsidRPr="00EE13EB">
        <w:rPr>
          <w:lang w:val="en-US"/>
        </w:rPr>
        <w:t xml:space="preserve">(from amongst the </w:t>
      </w:r>
      <w:r w:rsidRPr="00801E53">
        <w:rPr>
          <w:lang w:val="en-US"/>
        </w:rPr>
        <w:t>44</w:t>
      </w:r>
      <w:r w:rsidRPr="00EE13EB">
        <w:rPr>
          <w:lang w:val="en-US"/>
        </w:rPr>
        <w:t xml:space="preserve"> footnotes that are applicable to terrestrial services). </w:t>
      </w:r>
    </w:p>
    <w:p w14:paraId="53096908" w14:textId="77777777" w:rsidR="00C74DA0" w:rsidRPr="000451B0" w:rsidRDefault="00C74DA0" w:rsidP="00C74DA0">
      <w:r w:rsidRPr="000451B0">
        <w:t>Table 3.2-1 summarizes statistics on the Bureau’s activities related to coordination requests pertaining to terrestrial services.</w:t>
      </w:r>
    </w:p>
    <w:p w14:paraId="2B0F2D40" w14:textId="77777777" w:rsidR="00C74DA0" w:rsidRPr="000451B0" w:rsidRDefault="00C74DA0" w:rsidP="00C74DA0">
      <w:pPr>
        <w:pStyle w:val="TableNo"/>
      </w:pPr>
      <w:r w:rsidRPr="000451B0">
        <w:t>Table 3.2-1</w:t>
      </w:r>
    </w:p>
    <w:p w14:paraId="0047C5D3" w14:textId="77777777" w:rsidR="00C74DA0" w:rsidRPr="00EE13EB" w:rsidRDefault="00C74DA0" w:rsidP="00C74DA0">
      <w:pPr>
        <w:pStyle w:val="Tabletitle"/>
        <w:rPr>
          <w:lang w:val="en-US"/>
        </w:rPr>
      </w:pPr>
      <w:r w:rsidRPr="00EE13EB">
        <w:rPr>
          <w:lang w:val="en-US"/>
        </w:rPr>
        <w:t xml:space="preserve">Activities related to coordination requests pertaining to terrestrial </w:t>
      </w:r>
      <w:proofErr w:type="gramStart"/>
      <w:r w:rsidRPr="00EE13EB">
        <w:rPr>
          <w:lang w:val="en-US"/>
        </w:rPr>
        <w:t>services</w:t>
      </w:r>
      <w:proofErr w:type="gramEnd"/>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61"/>
        <w:gridCol w:w="1702"/>
        <w:gridCol w:w="1843"/>
        <w:gridCol w:w="1559"/>
        <w:gridCol w:w="1557"/>
      </w:tblGrid>
      <w:tr w:rsidR="00C74DA0" w:rsidRPr="000451B0" w14:paraId="03D4E087" w14:textId="77777777">
        <w:tc>
          <w:tcPr>
            <w:tcW w:w="745" w:type="pct"/>
            <w:tcBorders>
              <w:top w:val="nil"/>
              <w:left w:val="nil"/>
            </w:tcBorders>
          </w:tcPr>
          <w:p w14:paraId="5C7CCD66" w14:textId="77777777" w:rsidR="00C74DA0" w:rsidRPr="00EE13EB" w:rsidRDefault="00C74DA0">
            <w:pPr>
              <w:spacing w:before="80" w:after="80"/>
              <w:jc w:val="center"/>
              <w:rPr>
                <w:rFonts w:ascii="Times New Roman Bold" w:hAnsi="Times New Roman Bold" w:cs="Times New Roman Bold"/>
                <w:b/>
                <w:sz w:val="20"/>
                <w:lang w:val="en-US"/>
              </w:rPr>
            </w:pPr>
          </w:p>
        </w:tc>
        <w:tc>
          <w:tcPr>
            <w:tcW w:w="849" w:type="pct"/>
          </w:tcPr>
          <w:p w14:paraId="3AE0A02B" w14:textId="77777777" w:rsidR="00C74DA0" w:rsidRPr="000451B0" w:rsidRDefault="00C74DA0">
            <w:pPr>
              <w:pStyle w:val="Tablehead"/>
            </w:pPr>
            <w:r w:rsidRPr="000451B0">
              <w:t>201</w:t>
            </w:r>
            <w:r>
              <w:t>9</w:t>
            </w:r>
          </w:p>
        </w:tc>
        <w:tc>
          <w:tcPr>
            <w:tcW w:w="870" w:type="pct"/>
          </w:tcPr>
          <w:p w14:paraId="566D58E0" w14:textId="77777777" w:rsidR="00C74DA0" w:rsidRPr="000451B0" w:rsidRDefault="00C74DA0">
            <w:pPr>
              <w:pStyle w:val="Tablehead"/>
            </w:pPr>
            <w:r w:rsidRPr="000451B0">
              <w:t>20</w:t>
            </w:r>
            <w:r>
              <w:t>20</w:t>
            </w:r>
          </w:p>
        </w:tc>
        <w:tc>
          <w:tcPr>
            <w:tcW w:w="942" w:type="pct"/>
          </w:tcPr>
          <w:p w14:paraId="3BF77F9D" w14:textId="77777777" w:rsidR="00C74DA0" w:rsidRPr="000451B0" w:rsidRDefault="00C74DA0">
            <w:pPr>
              <w:pStyle w:val="Tablehead"/>
            </w:pPr>
            <w:r w:rsidRPr="000451B0">
              <w:t>20</w:t>
            </w:r>
            <w:r>
              <w:t>21</w:t>
            </w:r>
          </w:p>
        </w:tc>
        <w:tc>
          <w:tcPr>
            <w:tcW w:w="797" w:type="pct"/>
          </w:tcPr>
          <w:p w14:paraId="20E775A4" w14:textId="77777777" w:rsidR="00C74DA0" w:rsidRPr="000451B0" w:rsidDel="00304512" w:rsidRDefault="00C74DA0">
            <w:pPr>
              <w:pStyle w:val="Tablehead"/>
            </w:pPr>
            <w:r w:rsidRPr="000451B0">
              <w:t>20</w:t>
            </w:r>
            <w:r>
              <w:t>22</w:t>
            </w:r>
          </w:p>
        </w:tc>
        <w:tc>
          <w:tcPr>
            <w:tcW w:w="796" w:type="pct"/>
          </w:tcPr>
          <w:p w14:paraId="6A98D29E" w14:textId="77777777" w:rsidR="00C74DA0" w:rsidRPr="000451B0" w:rsidRDefault="00C74DA0">
            <w:pPr>
              <w:pStyle w:val="Tablehead"/>
            </w:pPr>
            <w:r w:rsidRPr="000451B0">
              <w:t>20</w:t>
            </w:r>
            <w:r>
              <w:t>23</w:t>
            </w:r>
            <w:r w:rsidRPr="003E18CC">
              <w:rPr>
                <w:position w:val="6"/>
                <w:sz w:val="16"/>
                <w:szCs w:val="16"/>
              </w:rPr>
              <w:footnoteReference w:id="6"/>
            </w:r>
          </w:p>
        </w:tc>
      </w:tr>
      <w:tr w:rsidR="00C74DA0" w:rsidRPr="000451B0" w14:paraId="19EA8709" w14:textId="77777777">
        <w:tc>
          <w:tcPr>
            <w:tcW w:w="745" w:type="pct"/>
            <w:vAlign w:val="center"/>
          </w:tcPr>
          <w:p w14:paraId="18B64874" w14:textId="77777777" w:rsidR="00C74DA0" w:rsidRPr="000451B0" w:rsidRDefault="00C74DA0">
            <w:pPr>
              <w:pStyle w:val="Tabletext"/>
              <w:jc w:val="center"/>
            </w:pPr>
            <w:r w:rsidRPr="000451B0">
              <w:t>No. of received cases</w:t>
            </w:r>
          </w:p>
        </w:tc>
        <w:tc>
          <w:tcPr>
            <w:tcW w:w="849" w:type="pct"/>
            <w:vAlign w:val="center"/>
          </w:tcPr>
          <w:p w14:paraId="24064077" w14:textId="77777777" w:rsidR="00C74DA0" w:rsidRPr="003E18CC" w:rsidRDefault="00C74DA0">
            <w:pPr>
              <w:pStyle w:val="Tabletext"/>
              <w:jc w:val="center"/>
            </w:pPr>
            <w:r w:rsidRPr="003E18CC">
              <w:t>0</w:t>
            </w:r>
          </w:p>
          <w:p w14:paraId="1EE3E329" w14:textId="77777777" w:rsidR="00C74DA0" w:rsidRPr="003E18CC" w:rsidRDefault="00C74DA0">
            <w:pPr>
              <w:pStyle w:val="Tabletext"/>
              <w:jc w:val="center"/>
            </w:pPr>
            <w:r w:rsidRPr="003E18CC">
              <w:t xml:space="preserve">(Broadcasting services) </w:t>
            </w:r>
            <w:r w:rsidRPr="003E18CC">
              <w:br/>
              <w:t>392</w:t>
            </w:r>
          </w:p>
          <w:p w14:paraId="278E4BC7" w14:textId="77777777" w:rsidR="00C74DA0" w:rsidRPr="003E18CC" w:rsidRDefault="00C74DA0">
            <w:pPr>
              <w:pStyle w:val="Tabletext"/>
              <w:jc w:val="center"/>
            </w:pPr>
            <w:r w:rsidRPr="003E18CC">
              <w:t>(Other services)</w:t>
            </w:r>
          </w:p>
        </w:tc>
        <w:tc>
          <w:tcPr>
            <w:tcW w:w="870" w:type="pct"/>
            <w:vAlign w:val="center"/>
          </w:tcPr>
          <w:p w14:paraId="18FDC765" w14:textId="77777777" w:rsidR="00C74DA0" w:rsidRPr="003E18CC" w:rsidRDefault="00C74DA0">
            <w:pPr>
              <w:pStyle w:val="Tabletext"/>
              <w:jc w:val="center"/>
            </w:pPr>
            <w:r w:rsidRPr="003E18CC">
              <w:t>0</w:t>
            </w:r>
            <w:r w:rsidRPr="003E18CC">
              <w:br/>
              <w:t>(Broadcasting services)</w:t>
            </w:r>
          </w:p>
          <w:p w14:paraId="5AD726B6" w14:textId="1030DDFA" w:rsidR="00C74DA0" w:rsidRDefault="00C74DA0">
            <w:pPr>
              <w:pStyle w:val="Tabletext"/>
              <w:jc w:val="center"/>
            </w:pPr>
            <w:r w:rsidRPr="003E18CC">
              <w:t>1</w:t>
            </w:r>
            <w:r w:rsidR="001F43C1">
              <w:t> </w:t>
            </w:r>
            <w:r w:rsidRPr="003E18CC">
              <w:t>340</w:t>
            </w:r>
          </w:p>
          <w:p w14:paraId="0AF4F6BA" w14:textId="77777777" w:rsidR="00C74DA0" w:rsidRPr="003E18CC" w:rsidRDefault="00C74DA0">
            <w:pPr>
              <w:pStyle w:val="Tabletext"/>
              <w:jc w:val="center"/>
            </w:pPr>
            <w:r w:rsidRPr="003E18CC">
              <w:t>Other services)</w:t>
            </w:r>
          </w:p>
        </w:tc>
        <w:tc>
          <w:tcPr>
            <w:tcW w:w="942" w:type="pct"/>
            <w:vAlign w:val="center"/>
          </w:tcPr>
          <w:p w14:paraId="72A9F28B" w14:textId="77777777" w:rsidR="00C74DA0" w:rsidRPr="003E18CC" w:rsidRDefault="00C74DA0">
            <w:pPr>
              <w:pStyle w:val="Tabletext"/>
              <w:jc w:val="center"/>
            </w:pPr>
            <w:r w:rsidRPr="003E18CC">
              <w:rPr>
                <w:caps/>
              </w:rPr>
              <w:t>0</w:t>
            </w:r>
            <w:r w:rsidRPr="003E18CC">
              <w:rPr>
                <w:caps/>
              </w:rPr>
              <w:br/>
            </w:r>
            <w:r w:rsidRPr="003E18CC">
              <w:t>(Broadcasting services)</w:t>
            </w:r>
          </w:p>
          <w:p w14:paraId="7CCAA871" w14:textId="1AD4BF21" w:rsidR="00C74DA0" w:rsidRPr="003E18CC" w:rsidRDefault="00C74DA0">
            <w:pPr>
              <w:pStyle w:val="Tabletext"/>
              <w:jc w:val="center"/>
              <w:rPr>
                <w:caps/>
              </w:rPr>
            </w:pPr>
            <w:r w:rsidRPr="003E18CC">
              <w:rPr>
                <w:caps/>
              </w:rPr>
              <w:t>1</w:t>
            </w:r>
            <w:r w:rsidR="001F43C1">
              <w:rPr>
                <w:caps/>
              </w:rPr>
              <w:t> </w:t>
            </w:r>
            <w:r w:rsidRPr="003E18CC">
              <w:rPr>
                <w:caps/>
              </w:rPr>
              <w:t>515</w:t>
            </w:r>
            <w:r w:rsidRPr="003E18CC">
              <w:rPr>
                <w:caps/>
              </w:rPr>
              <w:br/>
            </w:r>
            <w:r w:rsidRPr="003E18CC">
              <w:t>(Other services)</w:t>
            </w:r>
          </w:p>
        </w:tc>
        <w:tc>
          <w:tcPr>
            <w:tcW w:w="797" w:type="pct"/>
          </w:tcPr>
          <w:p w14:paraId="05ACF143" w14:textId="77777777" w:rsidR="00C74DA0" w:rsidRPr="003E18CC" w:rsidRDefault="00C74DA0">
            <w:pPr>
              <w:pStyle w:val="Tabletext"/>
              <w:jc w:val="center"/>
            </w:pPr>
            <w:r w:rsidRPr="003E18CC">
              <w:rPr>
                <w:caps/>
              </w:rPr>
              <w:t>2</w:t>
            </w:r>
            <w:r w:rsidRPr="003E18CC">
              <w:rPr>
                <w:caps/>
              </w:rPr>
              <w:br/>
            </w:r>
            <w:r w:rsidRPr="003E18CC">
              <w:t>(Broadcasting services)</w:t>
            </w:r>
          </w:p>
          <w:p w14:paraId="56B054B4" w14:textId="77777777" w:rsidR="00C74DA0" w:rsidRPr="003E18CC" w:rsidRDefault="00C74DA0">
            <w:pPr>
              <w:pStyle w:val="Tabletext"/>
              <w:jc w:val="center"/>
              <w:rPr>
                <w:caps/>
              </w:rPr>
            </w:pPr>
            <w:r w:rsidRPr="003E18CC">
              <w:rPr>
                <w:caps/>
              </w:rPr>
              <w:t>248</w:t>
            </w:r>
            <w:r w:rsidRPr="003E18CC">
              <w:rPr>
                <w:caps/>
              </w:rPr>
              <w:br/>
            </w:r>
            <w:r w:rsidRPr="003E18CC">
              <w:t>(Other services)</w:t>
            </w:r>
          </w:p>
        </w:tc>
        <w:tc>
          <w:tcPr>
            <w:tcW w:w="796" w:type="pct"/>
            <w:vAlign w:val="center"/>
          </w:tcPr>
          <w:p w14:paraId="45AE7487" w14:textId="77777777" w:rsidR="00C74DA0" w:rsidRPr="003E18CC" w:rsidRDefault="00C74DA0">
            <w:pPr>
              <w:pStyle w:val="Tabletext"/>
              <w:jc w:val="center"/>
            </w:pPr>
            <w:r w:rsidRPr="003E18CC">
              <w:rPr>
                <w:caps/>
              </w:rPr>
              <w:t xml:space="preserve"> 0</w:t>
            </w:r>
            <w:r w:rsidRPr="003E18CC">
              <w:rPr>
                <w:caps/>
              </w:rPr>
              <w:br/>
            </w:r>
            <w:r w:rsidRPr="003E18CC">
              <w:t>(Broadcasting services)</w:t>
            </w:r>
          </w:p>
          <w:p w14:paraId="50B9318A" w14:textId="77777777" w:rsidR="00C74DA0" w:rsidRDefault="00C74DA0">
            <w:pPr>
              <w:pStyle w:val="Tabletext"/>
              <w:jc w:val="center"/>
              <w:rPr>
                <w:caps/>
              </w:rPr>
            </w:pPr>
            <w:r w:rsidRPr="003E18CC">
              <w:rPr>
                <w:caps/>
              </w:rPr>
              <w:t>309</w:t>
            </w:r>
          </w:p>
          <w:p w14:paraId="6BAE5472" w14:textId="77777777" w:rsidR="00C74DA0" w:rsidRPr="003E18CC" w:rsidRDefault="00C74DA0">
            <w:pPr>
              <w:pStyle w:val="Tabletext"/>
              <w:jc w:val="center"/>
              <w:rPr>
                <w:caps/>
              </w:rPr>
            </w:pPr>
            <w:r w:rsidRPr="003E18CC">
              <w:t>(Other services)</w:t>
            </w:r>
          </w:p>
        </w:tc>
      </w:tr>
      <w:tr w:rsidR="00C74DA0" w:rsidRPr="000451B0" w14:paraId="71AAF518" w14:textId="77777777">
        <w:tc>
          <w:tcPr>
            <w:tcW w:w="745" w:type="pct"/>
            <w:vAlign w:val="center"/>
          </w:tcPr>
          <w:p w14:paraId="554B3438" w14:textId="77777777" w:rsidR="00C74DA0" w:rsidRPr="000451B0" w:rsidRDefault="00C74DA0">
            <w:pPr>
              <w:pStyle w:val="Tabletext"/>
              <w:jc w:val="center"/>
            </w:pPr>
            <w:r w:rsidRPr="000451B0">
              <w:t>No. of treated cases</w:t>
            </w:r>
            <w:r w:rsidRPr="000451B0">
              <w:rPr>
                <w:position w:val="6"/>
                <w:sz w:val="16"/>
                <w:szCs w:val="16"/>
              </w:rPr>
              <w:footnoteReference w:id="7"/>
            </w:r>
          </w:p>
        </w:tc>
        <w:tc>
          <w:tcPr>
            <w:tcW w:w="849" w:type="pct"/>
            <w:vAlign w:val="center"/>
          </w:tcPr>
          <w:p w14:paraId="411F1AEA" w14:textId="77777777" w:rsidR="00C74DA0" w:rsidRPr="003E18CC" w:rsidRDefault="00C74DA0">
            <w:pPr>
              <w:pStyle w:val="Tabletext"/>
              <w:jc w:val="center"/>
            </w:pPr>
            <w:r w:rsidRPr="003E18CC">
              <w:t>0</w:t>
            </w:r>
            <w:r w:rsidRPr="003E18CC">
              <w:br/>
              <w:t>(Broadcasting services)</w:t>
            </w:r>
            <w:r w:rsidRPr="003E18CC">
              <w:br/>
              <w:t>401</w:t>
            </w:r>
          </w:p>
          <w:p w14:paraId="6158634A" w14:textId="77777777" w:rsidR="00C74DA0" w:rsidRPr="003E18CC" w:rsidRDefault="00C74DA0">
            <w:pPr>
              <w:pStyle w:val="Tabletext"/>
              <w:jc w:val="center"/>
            </w:pPr>
            <w:r w:rsidRPr="003E18CC">
              <w:t>(Other services)</w:t>
            </w:r>
          </w:p>
        </w:tc>
        <w:tc>
          <w:tcPr>
            <w:tcW w:w="870" w:type="pct"/>
            <w:vAlign w:val="center"/>
          </w:tcPr>
          <w:p w14:paraId="16E5F762" w14:textId="77777777" w:rsidR="00C74DA0" w:rsidRPr="003E18CC" w:rsidRDefault="00C74DA0">
            <w:pPr>
              <w:pStyle w:val="Tabletext"/>
              <w:jc w:val="center"/>
            </w:pPr>
            <w:r>
              <w:t>0</w:t>
            </w:r>
            <w:r w:rsidRPr="003E18CC">
              <w:br/>
              <w:t>(Broadcasting services)</w:t>
            </w:r>
          </w:p>
          <w:p w14:paraId="0F503ADA" w14:textId="77777777" w:rsidR="00C74DA0" w:rsidRPr="003E18CC" w:rsidRDefault="00C74DA0">
            <w:pPr>
              <w:pStyle w:val="Tabletext"/>
              <w:jc w:val="center"/>
            </w:pPr>
            <w:r w:rsidRPr="003E18CC">
              <w:t>1 712</w:t>
            </w:r>
            <w:r w:rsidRPr="003E18CC">
              <w:br/>
              <w:t>(Other services)</w:t>
            </w:r>
          </w:p>
        </w:tc>
        <w:tc>
          <w:tcPr>
            <w:tcW w:w="942" w:type="pct"/>
            <w:vAlign w:val="center"/>
          </w:tcPr>
          <w:p w14:paraId="13EE8548" w14:textId="77777777" w:rsidR="00C74DA0" w:rsidRPr="003E18CC" w:rsidRDefault="00C74DA0">
            <w:pPr>
              <w:pStyle w:val="Tabletext"/>
              <w:jc w:val="center"/>
            </w:pPr>
            <w:r w:rsidRPr="003E18CC">
              <w:rPr>
                <w:caps/>
              </w:rPr>
              <w:t>0</w:t>
            </w:r>
            <w:r w:rsidRPr="003E18CC">
              <w:rPr>
                <w:caps/>
              </w:rPr>
              <w:br/>
            </w:r>
            <w:r w:rsidRPr="003E18CC">
              <w:t>(Broadcasting services)</w:t>
            </w:r>
          </w:p>
          <w:p w14:paraId="407BC498" w14:textId="77777777" w:rsidR="00C74DA0" w:rsidRPr="003E18CC" w:rsidRDefault="00C74DA0">
            <w:pPr>
              <w:pStyle w:val="Tabletext"/>
              <w:jc w:val="center"/>
              <w:rPr>
                <w:caps/>
              </w:rPr>
            </w:pPr>
            <w:r w:rsidRPr="003E18CC">
              <w:rPr>
                <w:caps/>
              </w:rPr>
              <w:t>2 425</w:t>
            </w:r>
            <w:r w:rsidRPr="003E18CC">
              <w:rPr>
                <w:caps/>
              </w:rPr>
              <w:br/>
            </w:r>
            <w:r w:rsidRPr="003E18CC">
              <w:t>(Other services)</w:t>
            </w:r>
          </w:p>
        </w:tc>
        <w:tc>
          <w:tcPr>
            <w:tcW w:w="797" w:type="pct"/>
          </w:tcPr>
          <w:p w14:paraId="6731BFDA" w14:textId="77777777" w:rsidR="00C74DA0" w:rsidRPr="003E18CC" w:rsidRDefault="00C74DA0">
            <w:pPr>
              <w:pStyle w:val="Tabletext"/>
              <w:jc w:val="center"/>
            </w:pPr>
            <w:r w:rsidRPr="003E18CC">
              <w:rPr>
                <w:caps/>
              </w:rPr>
              <w:t>2</w:t>
            </w:r>
            <w:r w:rsidRPr="003E18CC">
              <w:rPr>
                <w:caps/>
              </w:rPr>
              <w:br/>
            </w:r>
            <w:r w:rsidRPr="003E18CC">
              <w:t>(Broadcasting services)</w:t>
            </w:r>
          </w:p>
          <w:p w14:paraId="7A99F6B8" w14:textId="77777777" w:rsidR="00C74DA0" w:rsidRPr="003E18CC" w:rsidRDefault="00C74DA0">
            <w:pPr>
              <w:pStyle w:val="Tabletext"/>
              <w:jc w:val="center"/>
              <w:rPr>
                <w:caps/>
              </w:rPr>
            </w:pPr>
            <w:r w:rsidRPr="003E18CC">
              <w:rPr>
                <w:caps/>
              </w:rPr>
              <w:t>1 692</w:t>
            </w:r>
            <w:r w:rsidRPr="003E18CC">
              <w:rPr>
                <w:caps/>
              </w:rPr>
              <w:br/>
            </w:r>
            <w:r w:rsidRPr="003E18CC">
              <w:t>(Other services)</w:t>
            </w:r>
          </w:p>
        </w:tc>
        <w:tc>
          <w:tcPr>
            <w:tcW w:w="796" w:type="pct"/>
            <w:vAlign w:val="center"/>
          </w:tcPr>
          <w:p w14:paraId="7F9AD997" w14:textId="77777777" w:rsidR="00C74DA0" w:rsidRPr="003E18CC" w:rsidRDefault="00C74DA0">
            <w:pPr>
              <w:pStyle w:val="Tabletext"/>
              <w:jc w:val="center"/>
              <w:rPr>
                <w:caps/>
              </w:rPr>
            </w:pPr>
            <w:r w:rsidRPr="003E18CC">
              <w:rPr>
                <w:caps/>
              </w:rPr>
              <w:t>0</w:t>
            </w:r>
            <w:r w:rsidRPr="003E18CC">
              <w:rPr>
                <w:caps/>
              </w:rPr>
              <w:br/>
            </w:r>
            <w:r w:rsidRPr="003E18CC">
              <w:t>(Broadcasting services)</w:t>
            </w:r>
          </w:p>
          <w:p w14:paraId="729A73A8" w14:textId="77777777" w:rsidR="00C74DA0" w:rsidRPr="003E18CC" w:rsidRDefault="00C74DA0">
            <w:pPr>
              <w:pStyle w:val="Tabletext"/>
              <w:jc w:val="center"/>
              <w:rPr>
                <w:caps/>
              </w:rPr>
            </w:pPr>
            <w:r w:rsidRPr="003E18CC">
              <w:rPr>
                <w:caps/>
              </w:rPr>
              <w:t>342</w:t>
            </w:r>
          </w:p>
          <w:p w14:paraId="2A53F356" w14:textId="77777777" w:rsidR="00C74DA0" w:rsidRPr="003E18CC" w:rsidRDefault="00C74DA0">
            <w:pPr>
              <w:pStyle w:val="Tabletext"/>
              <w:jc w:val="center"/>
            </w:pPr>
            <w:r w:rsidRPr="003E18CC">
              <w:t>(Other services)</w:t>
            </w:r>
          </w:p>
        </w:tc>
      </w:tr>
    </w:tbl>
    <w:p w14:paraId="4689852A" w14:textId="77777777" w:rsidR="00C74DA0" w:rsidRDefault="00C74DA0" w:rsidP="000C19A8">
      <w:pPr>
        <w:pStyle w:val="Tablefin"/>
      </w:pPr>
    </w:p>
    <w:p w14:paraId="24C68862" w14:textId="77777777" w:rsidR="00C74DA0" w:rsidRPr="000451B0" w:rsidRDefault="00C74DA0" w:rsidP="00C74DA0">
      <w:r w:rsidRPr="000451B0">
        <w:t>The Bureau processed all these requests within the statutory limits. At the time of preparation of this Report there was no backlog in this activity.</w:t>
      </w:r>
    </w:p>
    <w:p w14:paraId="6F6ACF32" w14:textId="77777777" w:rsidR="00C74DA0" w:rsidRPr="00CA5E54" w:rsidRDefault="00C74DA0" w:rsidP="00C74DA0">
      <w:pPr>
        <w:pStyle w:val="Heading2"/>
      </w:pPr>
      <w:bookmarkStart w:id="91" w:name="_Toc406482620"/>
      <w:bookmarkStart w:id="92" w:name="_Toc438866301"/>
      <w:bookmarkStart w:id="93" w:name="_Toc438867157"/>
      <w:bookmarkStart w:id="94" w:name="_Toc438869401"/>
      <w:bookmarkStart w:id="95" w:name="_Toc438871860"/>
      <w:bookmarkStart w:id="96" w:name="_Toc446469735"/>
      <w:bookmarkStart w:id="97" w:name="_Toc469810331"/>
      <w:bookmarkStart w:id="98" w:name="_Toc143072418"/>
      <w:r w:rsidRPr="00CA5E54">
        <w:t>3.3</w:t>
      </w:r>
      <w:r w:rsidRPr="00CA5E54">
        <w:tab/>
        <w:t xml:space="preserve">Plan modification procedures for terrestrial </w:t>
      </w:r>
      <w:bookmarkEnd w:id="91"/>
      <w:r w:rsidRPr="00CA5E54">
        <w:t>services</w:t>
      </w:r>
      <w:bookmarkEnd w:id="92"/>
      <w:bookmarkEnd w:id="93"/>
      <w:bookmarkEnd w:id="94"/>
      <w:bookmarkEnd w:id="95"/>
      <w:bookmarkEnd w:id="96"/>
      <w:bookmarkEnd w:id="97"/>
      <w:bookmarkEnd w:id="98"/>
    </w:p>
    <w:p w14:paraId="6F9BA8D2" w14:textId="77777777" w:rsidR="00C74DA0" w:rsidRPr="00CA5E54" w:rsidRDefault="00C74DA0" w:rsidP="00C74DA0">
      <w:r w:rsidRPr="00CA5E54">
        <w:rPr>
          <w:b/>
          <w:bCs/>
        </w:rPr>
        <w:t>3.3.1</w:t>
      </w:r>
      <w:r w:rsidRPr="00CA5E54">
        <w:tab/>
        <w:t xml:space="preserve">This activity comprises the processing of submissions under various plan modification procedures, including the relevant coordination and/or compatibility examinations, where appropriate, and publication of the initial and </w:t>
      </w:r>
      <w:proofErr w:type="gramStart"/>
      <w:r w:rsidRPr="00CA5E54">
        <w:t>final results</w:t>
      </w:r>
      <w:proofErr w:type="gramEnd"/>
      <w:r w:rsidRPr="00CA5E54">
        <w:t xml:space="preserve"> in Special Sections. These activities are performed either through </w:t>
      </w:r>
      <w:proofErr w:type="spellStart"/>
      <w:r w:rsidRPr="00CA5E54">
        <w:t>TerRaSys</w:t>
      </w:r>
      <w:proofErr w:type="spellEnd"/>
      <w:r w:rsidRPr="00CA5E54">
        <w:t xml:space="preserve"> (for the AP25 Plan and for the Plans governed by Regional Agreements ST61, GE84, GE89, GE85EMA, GE06A, GE06D and GE06L) or through other standalone systems, not yet integrated in </w:t>
      </w:r>
      <w:proofErr w:type="spellStart"/>
      <w:r w:rsidRPr="00CA5E54">
        <w:t>TerRaSys</w:t>
      </w:r>
      <w:proofErr w:type="spellEnd"/>
      <w:r w:rsidRPr="00CA5E54">
        <w:t xml:space="preserve"> (for the AP26 Plan, as well as for the Plans governed by Regional Agreements GE75, RJ81 and GE85MM). </w:t>
      </w:r>
    </w:p>
    <w:p w14:paraId="41A883A3" w14:textId="77777777" w:rsidR="00C74DA0" w:rsidRDefault="00C74DA0" w:rsidP="00C74DA0">
      <w:r w:rsidRPr="00CA5E54">
        <w:t>The Bureau processed all these requests within the statutory limits. There is no backlog in the treatment of submissions under all these plans. Table 3.3-1 summarizes the Bureau’s activities concerning the processing of submissions for plan modification procedures for terrestrial services.</w:t>
      </w:r>
    </w:p>
    <w:p w14:paraId="3590B515" w14:textId="77777777" w:rsidR="00C74DA0" w:rsidRPr="00CA5E54" w:rsidRDefault="00C74DA0" w:rsidP="00C74DA0">
      <w:pPr>
        <w:pStyle w:val="TableNo"/>
      </w:pPr>
      <w:r w:rsidRPr="00CA5E54">
        <w:t>Table 3.3-1</w:t>
      </w:r>
    </w:p>
    <w:p w14:paraId="0B7FC079" w14:textId="77777777" w:rsidR="00C74DA0" w:rsidRPr="00EE13EB" w:rsidRDefault="00C74DA0" w:rsidP="00C74DA0">
      <w:pPr>
        <w:pStyle w:val="Tabletitle"/>
        <w:rPr>
          <w:lang w:val="en-US"/>
        </w:rPr>
      </w:pPr>
      <w:r w:rsidRPr="00EE13EB">
        <w:rPr>
          <w:lang w:val="en-US"/>
        </w:rPr>
        <w:t xml:space="preserve">Activities related to plan modification procedures pertaining to terrestrial </w:t>
      </w:r>
      <w:proofErr w:type="gramStart"/>
      <w:r w:rsidRPr="00EE13EB">
        <w:rPr>
          <w:lang w:val="en-US"/>
        </w:rPr>
        <w:t>services</w:t>
      </w:r>
      <w:proofErr w:type="gramEnd"/>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3"/>
        <w:gridCol w:w="1535"/>
        <w:gridCol w:w="1404"/>
        <w:gridCol w:w="1535"/>
        <w:gridCol w:w="1537"/>
        <w:gridCol w:w="1535"/>
      </w:tblGrid>
      <w:tr w:rsidR="00C74DA0" w:rsidRPr="00CA5E54" w14:paraId="2BD5BEFE" w14:textId="77777777">
        <w:tc>
          <w:tcPr>
            <w:tcW w:w="1082" w:type="pct"/>
            <w:tcBorders>
              <w:top w:val="nil"/>
              <w:left w:val="nil"/>
              <w:bottom w:val="single" w:sz="8" w:space="0" w:color="auto"/>
            </w:tcBorders>
            <w:vAlign w:val="center"/>
          </w:tcPr>
          <w:p w14:paraId="3F078D44" w14:textId="77777777" w:rsidR="00C74DA0" w:rsidRPr="00EE13EB" w:rsidRDefault="00C74DA0">
            <w:pPr>
              <w:pStyle w:val="Tablehead"/>
              <w:keepNext w:val="0"/>
              <w:rPr>
                <w:lang w:val="en-US"/>
              </w:rPr>
            </w:pPr>
          </w:p>
        </w:tc>
        <w:tc>
          <w:tcPr>
            <w:tcW w:w="797" w:type="pct"/>
            <w:tcBorders>
              <w:bottom w:val="single" w:sz="8" w:space="0" w:color="auto"/>
            </w:tcBorders>
            <w:vAlign w:val="center"/>
          </w:tcPr>
          <w:p w14:paraId="1FC34318" w14:textId="77777777" w:rsidR="00C74DA0" w:rsidRPr="00CA5E54" w:rsidRDefault="00C74DA0">
            <w:pPr>
              <w:pStyle w:val="Tablehead"/>
            </w:pPr>
            <w:r w:rsidRPr="00CA5E54">
              <w:t>201</w:t>
            </w:r>
            <w:r>
              <w:t>9</w:t>
            </w:r>
          </w:p>
        </w:tc>
        <w:tc>
          <w:tcPr>
            <w:tcW w:w="729" w:type="pct"/>
            <w:tcBorders>
              <w:bottom w:val="single" w:sz="8" w:space="0" w:color="auto"/>
            </w:tcBorders>
            <w:vAlign w:val="center"/>
          </w:tcPr>
          <w:p w14:paraId="20F1BDF2" w14:textId="77777777" w:rsidR="00C74DA0" w:rsidRPr="00CA5E54" w:rsidRDefault="00C74DA0">
            <w:pPr>
              <w:pStyle w:val="Tablehead"/>
            </w:pPr>
            <w:r w:rsidRPr="00CA5E54">
              <w:t>20</w:t>
            </w:r>
            <w:r>
              <w:t>20</w:t>
            </w:r>
          </w:p>
        </w:tc>
        <w:tc>
          <w:tcPr>
            <w:tcW w:w="797" w:type="pct"/>
            <w:tcBorders>
              <w:bottom w:val="single" w:sz="8" w:space="0" w:color="auto"/>
            </w:tcBorders>
            <w:vAlign w:val="center"/>
          </w:tcPr>
          <w:p w14:paraId="7510B8AA" w14:textId="77777777" w:rsidR="00C74DA0" w:rsidRPr="00CA5E54" w:rsidRDefault="00C74DA0">
            <w:pPr>
              <w:pStyle w:val="Tablehead"/>
            </w:pPr>
            <w:r w:rsidRPr="00CA5E54">
              <w:t>20</w:t>
            </w:r>
            <w:r>
              <w:t>21</w:t>
            </w:r>
          </w:p>
        </w:tc>
        <w:tc>
          <w:tcPr>
            <w:tcW w:w="798" w:type="pct"/>
            <w:tcBorders>
              <w:bottom w:val="single" w:sz="8" w:space="0" w:color="auto"/>
            </w:tcBorders>
          </w:tcPr>
          <w:p w14:paraId="1D89441A" w14:textId="77777777" w:rsidR="00C74DA0" w:rsidRPr="00CA5E54" w:rsidRDefault="00C74DA0">
            <w:pPr>
              <w:pStyle w:val="Tablehead"/>
            </w:pPr>
            <w:r w:rsidRPr="00CA5E54">
              <w:t>20</w:t>
            </w:r>
            <w:r>
              <w:t>22</w:t>
            </w:r>
          </w:p>
        </w:tc>
        <w:tc>
          <w:tcPr>
            <w:tcW w:w="797" w:type="pct"/>
            <w:tcBorders>
              <w:bottom w:val="single" w:sz="8" w:space="0" w:color="auto"/>
            </w:tcBorders>
            <w:vAlign w:val="center"/>
          </w:tcPr>
          <w:p w14:paraId="3606541D" w14:textId="77777777" w:rsidR="00C74DA0" w:rsidRPr="00CA5E54" w:rsidRDefault="00C74DA0">
            <w:pPr>
              <w:pStyle w:val="Tablehead"/>
            </w:pPr>
            <w:r w:rsidRPr="00CA5E54">
              <w:t>20</w:t>
            </w:r>
            <w:r>
              <w:t>23</w:t>
            </w:r>
            <w:r w:rsidRPr="005C24D4">
              <w:rPr>
                <w:rStyle w:val="FootnoteReference"/>
                <w:sz w:val="16"/>
                <w:szCs w:val="16"/>
              </w:rPr>
              <w:footnoteReference w:id="8"/>
            </w:r>
          </w:p>
        </w:tc>
      </w:tr>
      <w:tr w:rsidR="00C74DA0" w:rsidRPr="00CA5E54" w14:paraId="639D8755" w14:textId="77777777">
        <w:tc>
          <w:tcPr>
            <w:tcW w:w="1082" w:type="pct"/>
            <w:tcBorders>
              <w:bottom w:val="single" w:sz="8" w:space="0" w:color="auto"/>
            </w:tcBorders>
            <w:vAlign w:val="center"/>
          </w:tcPr>
          <w:p w14:paraId="420CE3AD" w14:textId="77777777" w:rsidR="00C74DA0" w:rsidRPr="00CA5E54" w:rsidRDefault="00C74DA0">
            <w:pPr>
              <w:pStyle w:val="Tabletext"/>
              <w:jc w:val="center"/>
            </w:pPr>
            <w:r w:rsidRPr="00CA5E54">
              <w:t>No. of received assignments</w:t>
            </w:r>
          </w:p>
        </w:tc>
        <w:tc>
          <w:tcPr>
            <w:tcW w:w="797" w:type="pct"/>
            <w:tcBorders>
              <w:bottom w:val="single" w:sz="8" w:space="0" w:color="auto"/>
            </w:tcBorders>
            <w:vAlign w:val="center"/>
          </w:tcPr>
          <w:p w14:paraId="03872FAE" w14:textId="77777777" w:rsidR="00C74DA0" w:rsidRPr="003E18CC" w:rsidRDefault="00C74DA0">
            <w:pPr>
              <w:pStyle w:val="Tabletext"/>
              <w:jc w:val="center"/>
            </w:pPr>
            <w:r w:rsidRPr="003E18CC">
              <w:t>8 401</w:t>
            </w:r>
          </w:p>
          <w:p w14:paraId="743CD2CA" w14:textId="77777777" w:rsidR="00C74DA0" w:rsidRPr="003E18CC" w:rsidRDefault="00C74DA0">
            <w:pPr>
              <w:pStyle w:val="Tabletext"/>
              <w:jc w:val="center"/>
            </w:pPr>
            <w:r w:rsidRPr="003E18CC">
              <w:t>(Broadcasting services)</w:t>
            </w:r>
          </w:p>
          <w:p w14:paraId="5C6F9282" w14:textId="77777777" w:rsidR="00C74DA0" w:rsidRPr="003E18CC" w:rsidRDefault="00C74DA0">
            <w:pPr>
              <w:pStyle w:val="Tabletext"/>
              <w:jc w:val="center"/>
            </w:pPr>
            <w:r w:rsidRPr="003E18CC">
              <w:t>380</w:t>
            </w:r>
          </w:p>
          <w:p w14:paraId="3F545A45" w14:textId="77777777" w:rsidR="00C74DA0" w:rsidRPr="003E18CC" w:rsidRDefault="00C74DA0">
            <w:pPr>
              <w:pStyle w:val="Tabletext"/>
              <w:jc w:val="center"/>
            </w:pPr>
            <w:r w:rsidRPr="003E18CC">
              <w:t>(Other services)</w:t>
            </w:r>
          </w:p>
        </w:tc>
        <w:tc>
          <w:tcPr>
            <w:tcW w:w="729" w:type="pct"/>
            <w:tcBorders>
              <w:bottom w:val="single" w:sz="8" w:space="0" w:color="auto"/>
            </w:tcBorders>
            <w:vAlign w:val="center"/>
          </w:tcPr>
          <w:p w14:paraId="2217E920" w14:textId="77777777" w:rsidR="00C74DA0" w:rsidRPr="003E18CC" w:rsidRDefault="00C74DA0">
            <w:pPr>
              <w:pStyle w:val="Tabletext"/>
              <w:jc w:val="center"/>
            </w:pPr>
            <w:r w:rsidRPr="003E18CC">
              <w:t>13 033</w:t>
            </w:r>
          </w:p>
          <w:p w14:paraId="0A574539" w14:textId="77777777" w:rsidR="00C74DA0" w:rsidRPr="003E18CC" w:rsidRDefault="00C74DA0">
            <w:pPr>
              <w:pStyle w:val="Tabletext"/>
              <w:jc w:val="center"/>
            </w:pPr>
            <w:r w:rsidRPr="003E18CC">
              <w:t>(Broadcasting services)</w:t>
            </w:r>
          </w:p>
          <w:p w14:paraId="510751F4" w14:textId="77777777" w:rsidR="00C74DA0" w:rsidRPr="003E18CC" w:rsidRDefault="00C74DA0">
            <w:pPr>
              <w:pStyle w:val="Tabletext"/>
              <w:jc w:val="center"/>
            </w:pPr>
            <w:r w:rsidRPr="003E18CC">
              <w:t>715</w:t>
            </w:r>
          </w:p>
          <w:p w14:paraId="20DFEAF7" w14:textId="77777777" w:rsidR="00C74DA0" w:rsidRPr="003E18CC" w:rsidRDefault="00C74DA0">
            <w:pPr>
              <w:pStyle w:val="Tabletext"/>
              <w:jc w:val="center"/>
            </w:pPr>
            <w:r w:rsidRPr="003E18CC">
              <w:t>(Other services)</w:t>
            </w:r>
          </w:p>
        </w:tc>
        <w:tc>
          <w:tcPr>
            <w:tcW w:w="797" w:type="pct"/>
            <w:tcBorders>
              <w:bottom w:val="single" w:sz="8" w:space="0" w:color="auto"/>
            </w:tcBorders>
            <w:vAlign w:val="center"/>
          </w:tcPr>
          <w:p w14:paraId="4945B9BB" w14:textId="77777777" w:rsidR="00C74DA0" w:rsidRPr="003E18CC" w:rsidRDefault="00C74DA0">
            <w:pPr>
              <w:pStyle w:val="Tabletext"/>
              <w:jc w:val="center"/>
            </w:pPr>
            <w:r w:rsidRPr="003E18CC">
              <w:t>13 723</w:t>
            </w:r>
          </w:p>
          <w:p w14:paraId="12F31706" w14:textId="77777777" w:rsidR="00C74DA0" w:rsidRPr="003E18CC" w:rsidRDefault="00C74DA0">
            <w:pPr>
              <w:pStyle w:val="Tabletext"/>
              <w:jc w:val="center"/>
            </w:pPr>
            <w:r w:rsidRPr="003E18CC">
              <w:t>(Broadcasting services)</w:t>
            </w:r>
          </w:p>
          <w:p w14:paraId="12C6FDBA" w14:textId="77777777" w:rsidR="00C74DA0" w:rsidRPr="003E18CC" w:rsidRDefault="00C74DA0">
            <w:pPr>
              <w:pStyle w:val="Tabletext"/>
              <w:jc w:val="center"/>
            </w:pPr>
            <w:r w:rsidRPr="003E18CC">
              <w:t>3 813</w:t>
            </w:r>
          </w:p>
          <w:p w14:paraId="7700730D" w14:textId="77777777" w:rsidR="00C74DA0" w:rsidRPr="003E18CC" w:rsidRDefault="00C74DA0">
            <w:pPr>
              <w:pStyle w:val="Tabletext"/>
              <w:jc w:val="center"/>
            </w:pPr>
            <w:r w:rsidRPr="003E18CC">
              <w:t>(Other services)</w:t>
            </w:r>
          </w:p>
        </w:tc>
        <w:tc>
          <w:tcPr>
            <w:tcW w:w="798" w:type="pct"/>
            <w:tcBorders>
              <w:bottom w:val="single" w:sz="8" w:space="0" w:color="auto"/>
            </w:tcBorders>
            <w:vAlign w:val="center"/>
          </w:tcPr>
          <w:p w14:paraId="674AB98C" w14:textId="77777777" w:rsidR="00C74DA0" w:rsidRPr="003E18CC" w:rsidRDefault="00C74DA0">
            <w:pPr>
              <w:pStyle w:val="Tabletext"/>
              <w:jc w:val="center"/>
            </w:pPr>
            <w:r w:rsidRPr="003E18CC">
              <w:t>42 462</w:t>
            </w:r>
          </w:p>
          <w:p w14:paraId="38BD2B91" w14:textId="77777777" w:rsidR="00C74DA0" w:rsidRPr="003E18CC" w:rsidRDefault="00C74DA0">
            <w:pPr>
              <w:pStyle w:val="Tabletext"/>
              <w:jc w:val="center"/>
            </w:pPr>
            <w:r w:rsidRPr="003E18CC">
              <w:t>(Broadcasting services)</w:t>
            </w:r>
          </w:p>
          <w:p w14:paraId="4C3D2F3E" w14:textId="77777777" w:rsidR="00C74DA0" w:rsidRPr="003E18CC" w:rsidRDefault="00C74DA0">
            <w:pPr>
              <w:pStyle w:val="Tabletext"/>
              <w:jc w:val="center"/>
            </w:pPr>
            <w:r w:rsidRPr="003E18CC">
              <w:t>590</w:t>
            </w:r>
          </w:p>
          <w:p w14:paraId="624A47FF" w14:textId="77777777" w:rsidR="00C74DA0" w:rsidRPr="003E18CC" w:rsidRDefault="00C74DA0">
            <w:pPr>
              <w:pStyle w:val="Tabletext"/>
              <w:jc w:val="center"/>
            </w:pPr>
            <w:r w:rsidRPr="003E18CC">
              <w:t>(Other services)</w:t>
            </w:r>
          </w:p>
        </w:tc>
        <w:tc>
          <w:tcPr>
            <w:tcW w:w="797" w:type="pct"/>
            <w:tcBorders>
              <w:bottom w:val="single" w:sz="8" w:space="0" w:color="auto"/>
            </w:tcBorders>
            <w:vAlign w:val="center"/>
          </w:tcPr>
          <w:p w14:paraId="56B8DFBF" w14:textId="77777777" w:rsidR="00C74DA0" w:rsidRPr="003E18CC" w:rsidRDefault="00C74DA0">
            <w:pPr>
              <w:pStyle w:val="Tabletext"/>
              <w:jc w:val="center"/>
            </w:pPr>
            <w:r w:rsidRPr="003E18CC">
              <w:t>14 266</w:t>
            </w:r>
          </w:p>
          <w:p w14:paraId="0D6C81A0" w14:textId="77777777" w:rsidR="00C74DA0" w:rsidRPr="003E18CC" w:rsidRDefault="00C74DA0">
            <w:pPr>
              <w:pStyle w:val="Tabletext"/>
              <w:jc w:val="center"/>
            </w:pPr>
            <w:r w:rsidRPr="003E18CC">
              <w:t>(Broadcasting services)</w:t>
            </w:r>
          </w:p>
          <w:p w14:paraId="16B5856F" w14:textId="77777777" w:rsidR="00C74DA0" w:rsidRPr="003E18CC" w:rsidRDefault="00C74DA0">
            <w:pPr>
              <w:pStyle w:val="Tabletext"/>
              <w:jc w:val="center"/>
            </w:pPr>
            <w:r w:rsidRPr="003E18CC">
              <w:t>494</w:t>
            </w:r>
          </w:p>
          <w:p w14:paraId="4CCCB08A" w14:textId="77777777" w:rsidR="00C74DA0" w:rsidRPr="003E18CC" w:rsidRDefault="00C74DA0">
            <w:pPr>
              <w:pStyle w:val="Tabletext"/>
              <w:jc w:val="center"/>
            </w:pPr>
            <w:r w:rsidRPr="003E18CC">
              <w:t>(Other services)</w:t>
            </w:r>
          </w:p>
        </w:tc>
      </w:tr>
      <w:tr w:rsidR="00C74DA0" w:rsidRPr="00CA5E54" w14:paraId="2EAE72C8" w14:textId="77777777">
        <w:tc>
          <w:tcPr>
            <w:tcW w:w="1082" w:type="pct"/>
            <w:tcBorders>
              <w:top w:val="single" w:sz="8" w:space="0" w:color="auto"/>
            </w:tcBorders>
            <w:vAlign w:val="center"/>
          </w:tcPr>
          <w:p w14:paraId="2D5DA29E" w14:textId="77777777" w:rsidR="00C74DA0" w:rsidRPr="00EE13EB" w:rsidRDefault="00C74DA0">
            <w:pPr>
              <w:pStyle w:val="Tabletext"/>
              <w:jc w:val="center"/>
              <w:rPr>
                <w:lang w:val="en-US"/>
              </w:rPr>
            </w:pPr>
            <w:r w:rsidRPr="00EE13EB">
              <w:rPr>
                <w:lang w:val="en-US"/>
              </w:rPr>
              <w:t>No. of assignments/allotments resulting in updates to the relevant Plan</w:t>
            </w:r>
          </w:p>
        </w:tc>
        <w:tc>
          <w:tcPr>
            <w:tcW w:w="797" w:type="pct"/>
            <w:tcBorders>
              <w:top w:val="single" w:sz="8" w:space="0" w:color="auto"/>
            </w:tcBorders>
            <w:vAlign w:val="center"/>
          </w:tcPr>
          <w:p w14:paraId="7C345FF6" w14:textId="77777777" w:rsidR="00C74DA0" w:rsidRDefault="00C74DA0">
            <w:pPr>
              <w:pStyle w:val="Tabletext"/>
              <w:jc w:val="center"/>
              <w:rPr>
                <w:lang w:val="en-US"/>
              </w:rPr>
            </w:pPr>
            <w:r>
              <w:rPr>
                <w:lang w:val="en-US"/>
              </w:rPr>
              <w:t>5 250</w:t>
            </w:r>
          </w:p>
          <w:p w14:paraId="00525509" w14:textId="77777777" w:rsidR="00C74DA0" w:rsidRPr="003E18CC" w:rsidRDefault="00C74DA0">
            <w:pPr>
              <w:pStyle w:val="Tabletext"/>
              <w:jc w:val="center"/>
              <w:rPr>
                <w:lang w:val="en-US"/>
              </w:rPr>
            </w:pPr>
            <w:r w:rsidRPr="003E18CC">
              <w:rPr>
                <w:lang w:val="en-US"/>
              </w:rPr>
              <w:t>(Broadcasting services)</w:t>
            </w:r>
          </w:p>
          <w:p w14:paraId="7194E6B3" w14:textId="77777777" w:rsidR="00C74DA0" w:rsidRPr="003E18CC" w:rsidRDefault="00C74DA0">
            <w:pPr>
              <w:pStyle w:val="Tabletext"/>
              <w:jc w:val="center"/>
              <w:rPr>
                <w:lang w:val="en-US"/>
              </w:rPr>
            </w:pPr>
            <w:r w:rsidRPr="003E18CC">
              <w:rPr>
                <w:lang w:val="en-US"/>
              </w:rPr>
              <w:t xml:space="preserve">356 </w:t>
            </w:r>
          </w:p>
          <w:p w14:paraId="78635637" w14:textId="77777777" w:rsidR="00C74DA0" w:rsidRPr="003E18CC" w:rsidRDefault="00C74DA0">
            <w:pPr>
              <w:pStyle w:val="Tabletext"/>
              <w:jc w:val="center"/>
              <w:rPr>
                <w:lang w:val="en-US"/>
              </w:rPr>
            </w:pPr>
            <w:r w:rsidRPr="003E18CC">
              <w:rPr>
                <w:lang w:val="en-US"/>
              </w:rPr>
              <w:t>(Other services)</w:t>
            </w:r>
          </w:p>
        </w:tc>
        <w:tc>
          <w:tcPr>
            <w:tcW w:w="729" w:type="pct"/>
            <w:tcBorders>
              <w:top w:val="single" w:sz="8" w:space="0" w:color="auto"/>
            </w:tcBorders>
            <w:vAlign w:val="center"/>
          </w:tcPr>
          <w:p w14:paraId="15EF6781" w14:textId="77777777" w:rsidR="00C74DA0" w:rsidRPr="003E18CC" w:rsidRDefault="00C74DA0">
            <w:pPr>
              <w:pStyle w:val="Tabletext"/>
              <w:jc w:val="center"/>
              <w:rPr>
                <w:lang w:val="en-US"/>
              </w:rPr>
            </w:pPr>
            <w:r>
              <w:rPr>
                <w:lang w:val="en-US"/>
              </w:rPr>
              <w:t>7 663</w:t>
            </w:r>
            <w:r w:rsidRPr="003E18CC">
              <w:rPr>
                <w:lang w:val="en-US"/>
              </w:rPr>
              <w:t xml:space="preserve"> (Broadcasting services)</w:t>
            </w:r>
          </w:p>
          <w:p w14:paraId="1C628C84" w14:textId="77777777" w:rsidR="00C74DA0" w:rsidRPr="003E18CC" w:rsidRDefault="00C74DA0">
            <w:pPr>
              <w:pStyle w:val="Tabletext"/>
              <w:jc w:val="center"/>
              <w:rPr>
                <w:lang w:val="en-US"/>
              </w:rPr>
            </w:pPr>
            <w:r w:rsidRPr="003E18CC">
              <w:rPr>
                <w:lang w:val="en-US"/>
              </w:rPr>
              <w:t>147</w:t>
            </w:r>
            <w:r w:rsidRPr="003E18CC">
              <w:rPr>
                <w:lang w:val="en-US"/>
              </w:rPr>
              <w:br/>
              <w:t xml:space="preserve"> (Other services)</w:t>
            </w:r>
          </w:p>
        </w:tc>
        <w:tc>
          <w:tcPr>
            <w:tcW w:w="797" w:type="pct"/>
            <w:tcBorders>
              <w:top w:val="single" w:sz="8" w:space="0" w:color="auto"/>
            </w:tcBorders>
            <w:vAlign w:val="center"/>
          </w:tcPr>
          <w:p w14:paraId="0BB576D4" w14:textId="77777777" w:rsidR="00C74DA0" w:rsidRPr="003E18CC" w:rsidRDefault="00C74DA0">
            <w:pPr>
              <w:pStyle w:val="Tabletext"/>
              <w:keepNext/>
              <w:jc w:val="center"/>
              <w:rPr>
                <w:lang w:val="en-US"/>
              </w:rPr>
            </w:pPr>
            <w:r>
              <w:rPr>
                <w:lang w:val="en-US"/>
              </w:rPr>
              <w:t>10 131</w:t>
            </w:r>
            <w:r w:rsidRPr="003E18CC">
              <w:rPr>
                <w:lang w:val="en-US"/>
              </w:rPr>
              <w:t xml:space="preserve"> (Broadcasting services)</w:t>
            </w:r>
          </w:p>
          <w:p w14:paraId="4B9C5272" w14:textId="77777777" w:rsidR="00C74DA0" w:rsidRPr="003E18CC" w:rsidRDefault="00C74DA0">
            <w:pPr>
              <w:pStyle w:val="Tabletext"/>
              <w:keepNext/>
              <w:jc w:val="center"/>
              <w:rPr>
                <w:lang w:val="en-US"/>
              </w:rPr>
            </w:pPr>
            <w:r w:rsidRPr="003E18CC">
              <w:rPr>
                <w:lang w:val="en-US"/>
              </w:rPr>
              <w:t>257 (Other services)</w:t>
            </w:r>
          </w:p>
        </w:tc>
        <w:tc>
          <w:tcPr>
            <w:tcW w:w="798" w:type="pct"/>
            <w:tcBorders>
              <w:top w:val="single" w:sz="8" w:space="0" w:color="auto"/>
            </w:tcBorders>
          </w:tcPr>
          <w:p w14:paraId="4713B86E" w14:textId="77777777" w:rsidR="00C74DA0" w:rsidRPr="003E18CC" w:rsidRDefault="00C74DA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27 750</w:t>
            </w:r>
            <w:r w:rsidRPr="003E18CC">
              <w:rPr>
                <w:sz w:val="20"/>
                <w:lang w:val="en-US"/>
              </w:rPr>
              <w:t xml:space="preserve"> (Broadcasting services)</w:t>
            </w:r>
          </w:p>
          <w:p w14:paraId="5A9725B5" w14:textId="77777777" w:rsidR="00C74DA0" w:rsidRPr="003E18CC" w:rsidRDefault="00C74DA0">
            <w:pPr>
              <w:pStyle w:val="Tabletext"/>
              <w:keepNext/>
              <w:jc w:val="center"/>
              <w:rPr>
                <w:lang w:val="en-US"/>
              </w:rPr>
            </w:pPr>
            <w:r w:rsidRPr="003E18CC">
              <w:rPr>
                <w:lang w:val="en-US"/>
              </w:rPr>
              <w:t>360 (Other services)</w:t>
            </w:r>
          </w:p>
        </w:tc>
        <w:tc>
          <w:tcPr>
            <w:tcW w:w="797" w:type="pct"/>
            <w:tcBorders>
              <w:top w:val="single" w:sz="8" w:space="0" w:color="auto"/>
            </w:tcBorders>
            <w:vAlign w:val="center"/>
          </w:tcPr>
          <w:p w14:paraId="738E711C" w14:textId="77777777" w:rsidR="00C74DA0" w:rsidRPr="003E18CC" w:rsidRDefault="00C74DA0">
            <w:pPr>
              <w:pStyle w:val="Tabletext"/>
              <w:keepNext/>
              <w:jc w:val="center"/>
              <w:rPr>
                <w:lang w:val="en-US"/>
              </w:rPr>
            </w:pPr>
            <w:r>
              <w:rPr>
                <w:lang w:val="en-US"/>
              </w:rPr>
              <w:t>12 830</w:t>
            </w:r>
            <w:r w:rsidRPr="003E18CC">
              <w:rPr>
                <w:lang w:val="en-US"/>
              </w:rPr>
              <w:t xml:space="preserve"> (Broadcasting services)</w:t>
            </w:r>
          </w:p>
          <w:p w14:paraId="3A962FA4" w14:textId="77777777" w:rsidR="00C74DA0" w:rsidRPr="003E18CC" w:rsidRDefault="00C74DA0">
            <w:pPr>
              <w:pStyle w:val="Tabletext"/>
              <w:keepNext/>
              <w:jc w:val="center"/>
              <w:rPr>
                <w:lang w:val="en-US"/>
              </w:rPr>
            </w:pPr>
            <w:r w:rsidRPr="003E18CC">
              <w:rPr>
                <w:lang w:val="en-US"/>
              </w:rPr>
              <w:t>56 (Other services)</w:t>
            </w:r>
          </w:p>
        </w:tc>
      </w:tr>
    </w:tbl>
    <w:p w14:paraId="75763214" w14:textId="77777777" w:rsidR="00C74DA0" w:rsidRDefault="00C74DA0" w:rsidP="000C19A8">
      <w:pPr>
        <w:pStyle w:val="Tablefin"/>
      </w:pPr>
    </w:p>
    <w:p w14:paraId="526C17C9" w14:textId="77777777" w:rsidR="00C74DA0" w:rsidRPr="00CA5E54" w:rsidRDefault="00C74DA0" w:rsidP="00C74DA0">
      <w:r w:rsidRPr="00CA5E54">
        <w:t xml:space="preserve">The relevant details (the notices under treatment and updated versions of the master copies of the Terrestrial Frequency Assignment and Frequency Allotment Plans), are distributed through the consolidated publication BR IFIC-terrestrial services, which is published every two weeks. These master copies of the plans also include the results of the plan modification procedures that are carried out through standalone systems (outside the </w:t>
      </w:r>
      <w:proofErr w:type="spellStart"/>
      <w:r w:rsidRPr="00CA5E54">
        <w:t>TerRaSys</w:t>
      </w:r>
      <w:proofErr w:type="spellEnd"/>
      <w:r w:rsidRPr="00CA5E54">
        <w:t xml:space="preserve">). </w:t>
      </w:r>
    </w:p>
    <w:p w14:paraId="17D950DD" w14:textId="5CC74220" w:rsidR="00C74DA0" w:rsidRPr="00CA5E54" w:rsidRDefault="00C74DA0" w:rsidP="00C74DA0">
      <w:pPr>
        <w:pStyle w:val="Heading2"/>
      </w:pPr>
      <w:bookmarkStart w:id="99" w:name="_Toc406482619"/>
      <w:bookmarkStart w:id="100" w:name="_Toc438866302"/>
      <w:bookmarkStart w:id="101" w:name="_Toc438867158"/>
      <w:bookmarkStart w:id="102" w:name="_Toc438869402"/>
      <w:bookmarkStart w:id="103" w:name="_Toc438871861"/>
      <w:bookmarkStart w:id="104" w:name="_Toc446469736"/>
      <w:bookmarkStart w:id="105" w:name="_Toc469810332"/>
      <w:bookmarkStart w:id="106" w:name="_Toc406482621"/>
      <w:bookmarkStart w:id="107" w:name="_Toc143072419"/>
      <w:r w:rsidRPr="00CA5E54">
        <w:t>3.4</w:t>
      </w:r>
      <w:r w:rsidRPr="00CA5E54">
        <w:tab/>
        <w:t xml:space="preserve">Notification, examination, recording and other regulatory </w:t>
      </w:r>
      <w:proofErr w:type="gramStart"/>
      <w:r w:rsidRPr="00CA5E54">
        <w:t>procedures</w:t>
      </w:r>
      <w:bookmarkEnd w:id="99"/>
      <w:bookmarkEnd w:id="100"/>
      <w:bookmarkEnd w:id="101"/>
      <w:bookmarkEnd w:id="102"/>
      <w:bookmarkEnd w:id="103"/>
      <w:bookmarkEnd w:id="104"/>
      <w:bookmarkEnd w:id="105"/>
      <w:bookmarkEnd w:id="107"/>
      <w:proofErr w:type="gramEnd"/>
    </w:p>
    <w:p w14:paraId="06FFF5C5" w14:textId="77777777" w:rsidR="00C74DA0" w:rsidRPr="00CA5E54" w:rsidRDefault="00C74DA0" w:rsidP="00C74DA0">
      <w:pPr>
        <w:pStyle w:val="Heading3"/>
      </w:pPr>
      <w:bookmarkStart w:id="108" w:name="_Toc143072420"/>
      <w:r w:rsidRPr="00CA5E54">
        <w:t>3.4.1</w:t>
      </w:r>
      <w:r w:rsidRPr="00CA5E54">
        <w:tab/>
        <w:t>Notification procedure (Article 11 of the Radio Regulations)</w:t>
      </w:r>
      <w:bookmarkEnd w:id="108"/>
    </w:p>
    <w:p w14:paraId="248444FC" w14:textId="1AD4477D" w:rsidR="00C74DA0" w:rsidRPr="005107AA" w:rsidRDefault="00C74DA0" w:rsidP="00C74DA0">
      <w:r w:rsidRPr="00CA5E54">
        <w:rPr>
          <w:b/>
          <w:bCs/>
        </w:rPr>
        <w:t>3.4.1.1</w:t>
      </w:r>
      <w:r w:rsidRPr="00CA5E54">
        <w:tab/>
        <w:t>This activity comprises the processing (i.e.</w:t>
      </w:r>
      <w:r w:rsidR="006B0688">
        <w:t>,</w:t>
      </w:r>
      <w:r w:rsidRPr="00CA5E54">
        <w:t xml:space="preserve"> reception, registering, validation, correspondence, data correction and publication in BR IFIC) of the notices received from administrations, as well as subsequent examination under the relevant provisions of Article </w:t>
      </w:r>
      <w:r w:rsidRPr="00CA5E54">
        <w:rPr>
          <w:b/>
          <w:bCs/>
        </w:rPr>
        <w:t>11</w:t>
      </w:r>
      <w:r w:rsidRPr="00CA5E54">
        <w:t xml:space="preserve"> of the Radio Regulations</w:t>
      </w:r>
      <w:r>
        <w:t>.</w:t>
      </w:r>
      <w:r w:rsidRPr="005107AA">
        <w:t xml:space="preserve"> Table 3.4.1</w:t>
      </w:r>
      <w:r w:rsidRPr="005107AA">
        <w:noBreakHyphen/>
        <w:t>1 summarizes the Bureau’s activities in this respect.</w:t>
      </w:r>
    </w:p>
    <w:p w14:paraId="015736CA" w14:textId="77777777" w:rsidR="00C74DA0" w:rsidRPr="005107AA" w:rsidRDefault="00C74DA0" w:rsidP="00C74DA0">
      <w:pPr>
        <w:pStyle w:val="TableNo"/>
      </w:pPr>
      <w:r w:rsidRPr="005107AA">
        <w:t>Table 3.4.1-1</w:t>
      </w:r>
    </w:p>
    <w:p w14:paraId="09DDA28D" w14:textId="77777777" w:rsidR="00C74DA0" w:rsidRPr="00EE13EB" w:rsidRDefault="00C74DA0" w:rsidP="00C74DA0">
      <w:pPr>
        <w:pStyle w:val="Tabletitle"/>
        <w:rPr>
          <w:lang w:val="en-US"/>
        </w:rPr>
      </w:pPr>
      <w:r w:rsidRPr="00EE13EB">
        <w:rPr>
          <w:lang w:val="en-US"/>
        </w:rPr>
        <w:t xml:space="preserve">Activities related to notification procedures pertaining to terrestrial </w:t>
      </w:r>
      <w:proofErr w:type="gramStart"/>
      <w:r w:rsidRPr="00EE13EB">
        <w:rPr>
          <w:lang w:val="en-US"/>
        </w:rPr>
        <w:t>services</w:t>
      </w:r>
      <w:proofErr w:type="gramEnd"/>
    </w:p>
    <w:tbl>
      <w:tblPr>
        <w:tblW w:w="49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32"/>
        <w:gridCol w:w="1531"/>
        <w:gridCol w:w="1559"/>
        <w:gridCol w:w="1521"/>
        <w:gridCol w:w="1570"/>
        <w:gridCol w:w="1570"/>
      </w:tblGrid>
      <w:tr w:rsidR="00C74DA0" w:rsidRPr="005107AA" w14:paraId="19E3C7A6" w14:textId="77777777">
        <w:trPr>
          <w:cantSplit/>
        </w:trPr>
        <w:tc>
          <w:tcPr>
            <w:tcW w:w="913" w:type="pct"/>
            <w:tcBorders>
              <w:top w:val="nil"/>
              <w:left w:val="nil"/>
              <w:bottom w:val="single" w:sz="4" w:space="0" w:color="auto"/>
              <w:right w:val="single" w:sz="4" w:space="0" w:color="auto"/>
            </w:tcBorders>
            <w:vAlign w:val="center"/>
          </w:tcPr>
          <w:p w14:paraId="16B1B36C" w14:textId="77777777" w:rsidR="00C74DA0" w:rsidRPr="00EE13EB" w:rsidRDefault="00C74DA0">
            <w:pPr>
              <w:pStyle w:val="Tablehead"/>
              <w:rPr>
                <w:lang w:val="en-US"/>
              </w:rPr>
            </w:pPr>
          </w:p>
        </w:tc>
        <w:tc>
          <w:tcPr>
            <w:tcW w:w="807" w:type="pct"/>
            <w:tcBorders>
              <w:top w:val="single" w:sz="4" w:space="0" w:color="auto"/>
              <w:left w:val="single" w:sz="4" w:space="0" w:color="auto"/>
            </w:tcBorders>
            <w:vAlign w:val="center"/>
          </w:tcPr>
          <w:p w14:paraId="3A3CFE0E" w14:textId="77777777" w:rsidR="00C74DA0" w:rsidRPr="005107AA" w:rsidRDefault="00C74DA0">
            <w:pPr>
              <w:pStyle w:val="Tablehead"/>
              <w:rPr>
                <w:bCs/>
              </w:rPr>
            </w:pPr>
            <w:r w:rsidRPr="002249AA">
              <w:t>201</w:t>
            </w:r>
            <w:r w:rsidRPr="4BA0ED07">
              <w:t>9</w:t>
            </w:r>
          </w:p>
        </w:tc>
        <w:tc>
          <w:tcPr>
            <w:tcW w:w="822" w:type="pct"/>
            <w:tcBorders>
              <w:top w:val="single" w:sz="4" w:space="0" w:color="auto"/>
            </w:tcBorders>
            <w:vAlign w:val="center"/>
          </w:tcPr>
          <w:p w14:paraId="50EB29AD" w14:textId="77777777" w:rsidR="00C74DA0" w:rsidRPr="005107AA" w:rsidRDefault="00C74DA0">
            <w:pPr>
              <w:pStyle w:val="Tablehead"/>
              <w:rPr>
                <w:bCs/>
              </w:rPr>
            </w:pPr>
            <w:r w:rsidRPr="002249AA">
              <w:t>20</w:t>
            </w:r>
            <w:r w:rsidRPr="4BA0ED07">
              <w:t>20</w:t>
            </w:r>
          </w:p>
        </w:tc>
        <w:tc>
          <w:tcPr>
            <w:tcW w:w="802" w:type="pct"/>
            <w:tcBorders>
              <w:top w:val="single" w:sz="4" w:space="0" w:color="auto"/>
              <w:right w:val="single" w:sz="4" w:space="0" w:color="auto"/>
            </w:tcBorders>
            <w:vAlign w:val="center"/>
          </w:tcPr>
          <w:p w14:paraId="68AAB80C" w14:textId="77777777" w:rsidR="00C74DA0" w:rsidRPr="005107AA" w:rsidRDefault="00C74DA0">
            <w:pPr>
              <w:pStyle w:val="Tablehead"/>
              <w:rPr>
                <w:bCs/>
              </w:rPr>
            </w:pPr>
            <w:r w:rsidRPr="002249AA">
              <w:t>20</w:t>
            </w:r>
            <w:r w:rsidRPr="4BA0ED07">
              <w:t>21</w:t>
            </w:r>
          </w:p>
        </w:tc>
        <w:tc>
          <w:tcPr>
            <w:tcW w:w="828" w:type="pct"/>
            <w:tcBorders>
              <w:top w:val="single" w:sz="4" w:space="0" w:color="auto"/>
            </w:tcBorders>
          </w:tcPr>
          <w:p w14:paraId="78639B44" w14:textId="77777777" w:rsidR="00C74DA0" w:rsidRPr="005107AA" w:rsidRDefault="00C74DA0">
            <w:pPr>
              <w:pStyle w:val="Tablehead"/>
              <w:rPr>
                <w:bCs/>
              </w:rPr>
            </w:pPr>
            <w:r w:rsidRPr="002249AA">
              <w:t>20</w:t>
            </w:r>
            <w:r w:rsidRPr="4BA0ED07">
              <w:t>22</w:t>
            </w:r>
          </w:p>
        </w:tc>
        <w:tc>
          <w:tcPr>
            <w:tcW w:w="828" w:type="pct"/>
            <w:tcBorders>
              <w:top w:val="single" w:sz="4" w:space="0" w:color="auto"/>
            </w:tcBorders>
            <w:vAlign w:val="center"/>
          </w:tcPr>
          <w:p w14:paraId="20488A06" w14:textId="77777777" w:rsidR="00C74DA0" w:rsidRPr="005107AA" w:rsidRDefault="00C74DA0">
            <w:pPr>
              <w:pStyle w:val="Tablehead"/>
              <w:rPr>
                <w:bCs/>
              </w:rPr>
            </w:pPr>
            <w:r w:rsidRPr="002249AA">
              <w:t>20</w:t>
            </w:r>
            <w:r w:rsidRPr="00563FC9">
              <w:t>23</w:t>
            </w:r>
            <w:r w:rsidRPr="002B2568">
              <w:rPr>
                <w:rStyle w:val="FootnoteReference"/>
                <w:vertAlign w:val="superscript"/>
              </w:rPr>
              <w:footnoteReference w:id="9"/>
            </w:r>
          </w:p>
        </w:tc>
      </w:tr>
      <w:tr w:rsidR="00C74DA0" w:rsidRPr="005107AA" w14:paraId="4E68C728" w14:textId="77777777">
        <w:trPr>
          <w:cantSplit/>
        </w:trPr>
        <w:tc>
          <w:tcPr>
            <w:tcW w:w="913" w:type="pct"/>
            <w:tcBorders>
              <w:top w:val="single" w:sz="4" w:space="0" w:color="auto"/>
              <w:left w:val="single" w:sz="4" w:space="0" w:color="auto"/>
              <w:bottom w:val="single" w:sz="4" w:space="0" w:color="auto"/>
              <w:right w:val="single" w:sz="4" w:space="0" w:color="auto"/>
            </w:tcBorders>
            <w:vAlign w:val="center"/>
          </w:tcPr>
          <w:p w14:paraId="526ED903" w14:textId="77777777" w:rsidR="00C74DA0" w:rsidRPr="002B2568" w:rsidRDefault="00C74DA0">
            <w:pPr>
              <w:pStyle w:val="Tabletext"/>
              <w:jc w:val="center"/>
            </w:pPr>
            <w:r w:rsidRPr="002B2568">
              <w:t>No. of received notices</w:t>
            </w:r>
          </w:p>
        </w:tc>
        <w:tc>
          <w:tcPr>
            <w:tcW w:w="807" w:type="pct"/>
            <w:tcBorders>
              <w:left w:val="single" w:sz="4" w:space="0" w:color="auto"/>
            </w:tcBorders>
            <w:vAlign w:val="center"/>
          </w:tcPr>
          <w:p w14:paraId="01881A4A" w14:textId="77777777" w:rsidR="00C74DA0" w:rsidRPr="002B2568" w:rsidRDefault="00C74DA0">
            <w:pPr>
              <w:pStyle w:val="Tabletext"/>
              <w:jc w:val="center"/>
            </w:pPr>
            <w:r w:rsidRPr="002B2568">
              <w:t>129 349</w:t>
            </w:r>
          </w:p>
        </w:tc>
        <w:tc>
          <w:tcPr>
            <w:tcW w:w="822" w:type="pct"/>
            <w:vAlign w:val="center"/>
          </w:tcPr>
          <w:p w14:paraId="5D654653" w14:textId="77777777" w:rsidR="00C74DA0" w:rsidRPr="002B2568" w:rsidRDefault="00C74DA0">
            <w:pPr>
              <w:pStyle w:val="Tabletext"/>
              <w:jc w:val="center"/>
            </w:pPr>
            <w:r w:rsidRPr="002B2568">
              <w:t>249 715</w:t>
            </w:r>
          </w:p>
        </w:tc>
        <w:tc>
          <w:tcPr>
            <w:tcW w:w="802" w:type="pct"/>
            <w:tcBorders>
              <w:right w:val="single" w:sz="4" w:space="0" w:color="auto"/>
            </w:tcBorders>
            <w:vAlign w:val="center"/>
          </w:tcPr>
          <w:p w14:paraId="1147B5E6" w14:textId="77777777" w:rsidR="00C74DA0" w:rsidRPr="002B2568" w:rsidRDefault="00C74DA0">
            <w:pPr>
              <w:pStyle w:val="Tabletext"/>
              <w:jc w:val="center"/>
            </w:pPr>
            <w:r w:rsidRPr="002B2568">
              <w:t>130 772</w:t>
            </w:r>
          </w:p>
        </w:tc>
        <w:tc>
          <w:tcPr>
            <w:tcW w:w="828" w:type="pct"/>
            <w:vAlign w:val="center"/>
          </w:tcPr>
          <w:p w14:paraId="0719EC09" w14:textId="77777777" w:rsidR="00C74DA0" w:rsidRPr="002B2568" w:rsidRDefault="00C74DA0">
            <w:pPr>
              <w:pStyle w:val="Tabletext"/>
              <w:jc w:val="center"/>
            </w:pPr>
            <w:r w:rsidRPr="002B2568">
              <w:t>75 310</w:t>
            </w:r>
          </w:p>
        </w:tc>
        <w:tc>
          <w:tcPr>
            <w:tcW w:w="828" w:type="pct"/>
            <w:vAlign w:val="center"/>
          </w:tcPr>
          <w:p w14:paraId="0880C095" w14:textId="77777777" w:rsidR="00C74DA0" w:rsidRPr="002B2568" w:rsidRDefault="00C74DA0">
            <w:pPr>
              <w:pStyle w:val="Tabletext"/>
              <w:jc w:val="center"/>
            </w:pPr>
            <w:r w:rsidRPr="002B2568">
              <w:t>62 574</w:t>
            </w:r>
          </w:p>
        </w:tc>
      </w:tr>
      <w:tr w:rsidR="00C74DA0" w:rsidRPr="005107AA" w14:paraId="7410F4EF" w14:textId="77777777">
        <w:trPr>
          <w:cantSplit/>
        </w:trPr>
        <w:tc>
          <w:tcPr>
            <w:tcW w:w="913" w:type="pct"/>
            <w:tcBorders>
              <w:top w:val="single" w:sz="4" w:space="0" w:color="auto"/>
              <w:left w:val="single" w:sz="4" w:space="0" w:color="auto"/>
              <w:bottom w:val="single" w:sz="4" w:space="0" w:color="auto"/>
              <w:right w:val="single" w:sz="4" w:space="0" w:color="auto"/>
            </w:tcBorders>
            <w:vAlign w:val="center"/>
          </w:tcPr>
          <w:p w14:paraId="24AD17C2" w14:textId="77777777" w:rsidR="00C74DA0" w:rsidRPr="002B2568" w:rsidRDefault="00C74DA0">
            <w:pPr>
              <w:pStyle w:val="Tabletext"/>
              <w:jc w:val="center"/>
            </w:pPr>
            <w:r w:rsidRPr="002B2568">
              <w:t>No. of examined notices</w:t>
            </w:r>
          </w:p>
        </w:tc>
        <w:tc>
          <w:tcPr>
            <w:tcW w:w="807" w:type="pct"/>
            <w:tcBorders>
              <w:left w:val="single" w:sz="4" w:space="0" w:color="auto"/>
            </w:tcBorders>
            <w:vAlign w:val="center"/>
          </w:tcPr>
          <w:p w14:paraId="1F75393B" w14:textId="77777777" w:rsidR="00C74DA0" w:rsidRPr="002B2568" w:rsidRDefault="00C74DA0">
            <w:pPr>
              <w:pStyle w:val="Tabletext"/>
              <w:jc w:val="center"/>
            </w:pPr>
            <w:r w:rsidRPr="002B2568">
              <w:t>3254 (Broadcasting services)</w:t>
            </w:r>
          </w:p>
          <w:p w14:paraId="6F215869" w14:textId="77777777" w:rsidR="00C74DA0" w:rsidRPr="002B2568" w:rsidRDefault="00C74DA0">
            <w:pPr>
              <w:pStyle w:val="Tabletext"/>
              <w:jc w:val="center"/>
            </w:pPr>
          </w:p>
          <w:p w14:paraId="6D499506" w14:textId="77777777" w:rsidR="00C74DA0" w:rsidRDefault="00C74DA0">
            <w:pPr>
              <w:pStyle w:val="Tabletext"/>
              <w:jc w:val="center"/>
            </w:pPr>
            <w:r w:rsidRPr="002B2568">
              <w:t xml:space="preserve">83 538 </w:t>
            </w:r>
          </w:p>
          <w:p w14:paraId="3AE70223" w14:textId="77777777" w:rsidR="00C74DA0" w:rsidRPr="002B2568" w:rsidRDefault="00C74DA0">
            <w:pPr>
              <w:pStyle w:val="Tabletext"/>
              <w:jc w:val="center"/>
            </w:pPr>
            <w:r w:rsidRPr="002B2568">
              <w:t>(Other services)</w:t>
            </w:r>
          </w:p>
        </w:tc>
        <w:tc>
          <w:tcPr>
            <w:tcW w:w="822" w:type="pct"/>
            <w:vAlign w:val="center"/>
          </w:tcPr>
          <w:p w14:paraId="4B49D567" w14:textId="77777777" w:rsidR="00C74DA0" w:rsidRPr="002B2568" w:rsidRDefault="00C74DA0">
            <w:pPr>
              <w:pStyle w:val="Tabletext"/>
              <w:jc w:val="center"/>
            </w:pPr>
            <w:r w:rsidRPr="002B2568">
              <w:t>3165</w:t>
            </w:r>
          </w:p>
          <w:p w14:paraId="6A8C9E57" w14:textId="77777777" w:rsidR="00C74DA0" w:rsidRPr="002B2568" w:rsidRDefault="00C74DA0">
            <w:pPr>
              <w:pStyle w:val="Tabletext"/>
              <w:jc w:val="center"/>
            </w:pPr>
            <w:r w:rsidRPr="002B2568">
              <w:t>(Broadcasting services)</w:t>
            </w:r>
          </w:p>
          <w:p w14:paraId="2FA36C36" w14:textId="77777777" w:rsidR="00C74DA0" w:rsidRPr="002B2568" w:rsidRDefault="00C74DA0">
            <w:pPr>
              <w:pStyle w:val="Tabletext"/>
              <w:jc w:val="center"/>
            </w:pPr>
          </w:p>
          <w:p w14:paraId="2B7B3015" w14:textId="77777777" w:rsidR="00C74DA0" w:rsidRDefault="00C74DA0">
            <w:pPr>
              <w:pStyle w:val="Tabletext"/>
              <w:jc w:val="center"/>
            </w:pPr>
            <w:r w:rsidRPr="002B2568">
              <w:t xml:space="preserve">259 307 </w:t>
            </w:r>
          </w:p>
          <w:p w14:paraId="2FF04EA7" w14:textId="77777777" w:rsidR="00C74DA0" w:rsidRPr="002B2568" w:rsidRDefault="00C74DA0">
            <w:pPr>
              <w:pStyle w:val="Tabletext"/>
              <w:jc w:val="center"/>
            </w:pPr>
            <w:r w:rsidRPr="002B2568">
              <w:t>(Other services)</w:t>
            </w:r>
          </w:p>
        </w:tc>
        <w:tc>
          <w:tcPr>
            <w:tcW w:w="802" w:type="pct"/>
            <w:tcBorders>
              <w:right w:val="single" w:sz="4" w:space="0" w:color="auto"/>
            </w:tcBorders>
            <w:vAlign w:val="center"/>
          </w:tcPr>
          <w:p w14:paraId="310618E9" w14:textId="77777777" w:rsidR="00C74DA0" w:rsidRPr="002B2568" w:rsidRDefault="00C74DA0">
            <w:pPr>
              <w:pStyle w:val="Tabletext"/>
              <w:jc w:val="center"/>
            </w:pPr>
            <w:r w:rsidRPr="002B2568">
              <w:t>1509 (Broadcasting services)</w:t>
            </w:r>
          </w:p>
          <w:p w14:paraId="51F67DFB" w14:textId="77777777" w:rsidR="00C74DA0" w:rsidRPr="002B2568" w:rsidRDefault="00C74DA0">
            <w:pPr>
              <w:pStyle w:val="Tabletext"/>
              <w:jc w:val="center"/>
            </w:pPr>
          </w:p>
          <w:p w14:paraId="784BF021" w14:textId="77777777" w:rsidR="00C74DA0" w:rsidRDefault="00C74DA0">
            <w:pPr>
              <w:pStyle w:val="Tabletext"/>
              <w:jc w:val="center"/>
            </w:pPr>
            <w:r w:rsidRPr="002B2568">
              <w:t xml:space="preserve">88 375 </w:t>
            </w:r>
          </w:p>
          <w:p w14:paraId="14481C0D" w14:textId="77777777" w:rsidR="00C74DA0" w:rsidRPr="002B2568" w:rsidRDefault="00C74DA0">
            <w:pPr>
              <w:pStyle w:val="Tabletext"/>
              <w:jc w:val="center"/>
            </w:pPr>
            <w:r w:rsidRPr="002B2568">
              <w:t>(Other services)</w:t>
            </w:r>
          </w:p>
        </w:tc>
        <w:tc>
          <w:tcPr>
            <w:tcW w:w="828" w:type="pct"/>
            <w:vAlign w:val="center"/>
          </w:tcPr>
          <w:p w14:paraId="2D68CE27" w14:textId="77777777" w:rsidR="00C74DA0" w:rsidRPr="002B2568" w:rsidRDefault="00C74DA0">
            <w:pPr>
              <w:pStyle w:val="Tabletext"/>
              <w:jc w:val="center"/>
            </w:pPr>
            <w:r w:rsidRPr="002B2568">
              <w:t>2025</w:t>
            </w:r>
          </w:p>
          <w:p w14:paraId="28B9872F" w14:textId="77777777" w:rsidR="00C74DA0" w:rsidRPr="002B2568" w:rsidRDefault="00C74DA0">
            <w:pPr>
              <w:pStyle w:val="Tabletext"/>
              <w:jc w:val="center"/>
            </w:pPr>
            <w:r w:rsidRPr="002B2568">
              <w:t>(Broadcasting services)</w:t>
            </w:r>
          </w:p>
          <w:p w14:paraId="7083E7D1" w14:textId="77777777" w:rsidR="00C74DA0" w:rsidRPr="002B2568" w:rsidRDefault="00C74DA0">
            <w:pPr>
              <w:pStyle w:val="Tabletext"/>
              <w:jc w:val="center"/>
            </w:pPr>
          </w:p>
          <w:p w14:paraId="0F6143A6" w14:textId="77777777" w:rsidR="00C74DA0" w:rsidRDefault="00C74DA0">
            <w:pPr>
              <w:pStyle w:val="Tabletext"/>
              <w:jc w:val="center"/>
            </w:pPr>
            <w:r w:rsidRPr="002B2568">
              <w:t xml:space="preserve">66 249 </w:t>
            </w:r>
          </w:p>
          <w:p w14:paraId="216D0190" w14:textId="77777777" w:rsidR="00C74DA0" w:rsidRPr="002B2568" w:rsidRDefault="00C74DA0">
            <w:pPr>
              <w:pStyle w:val="Tabletext"/>
              <w:jc w:val="center"/>
            </w:pPr>
            <w:r w:rsidRPr="002B2568">
              <w:t>(Other services)</w:t>
            </w:r>
          </w:p>
        </w:tc>
        <w:tc>
          <w:tcPr>
            <w:tcW w:w="828" w:type="pct"/>
            <w:vAlign w:val="center"/>
          </w:tcPr>
          <w:p w14:paraId="6DE1A503" w14:textId="77777777" w:rsidR="00C74DA0" w:rsidRDefault="00C74DA0">
            <w:pPr>
              <w:pStyle w:val="Tabletext"/>
              <w:jc w:val="center"/>
            </w:pPr>
            <w:r w:rsidRPr="002B2568">
              <w:t>2183</w:t>
            </w:r>
          </w:p>
          <w:p w14:paraId="04844AAC" w14:textId="77777777" w:rsidR="00C74DA0" w:rsidRPr="002B2568" w:rsidRDefault="00C74DA0">
            <w:pPr>
              <w:pStyle w:val="Tabletext"/>
              <w:jc w:val="center"/>
            </w:pPr>
            <w:r w:rsidRPr="002B2568">
              <w:t>(Broadcasting services)</w:t>
            </w:r>
          </w:p>
          <w:p w14:paraId="62314F38" w14:textId="77777777" w:rsidR="00C74DA0" w:rsidRPr="002B2568" w:rsidRDefault="00C74DA0">
            <w:pPr>
              <w:pStyle w:val="Tabletext"/>
              <w:jc w:val="center"/>
            </w:pPr>
          </w:p>
          <w:p w14:paraId="18B91407" w14:textId="77777777" w:rsidR="00C74DA0" w:rsidRDefault="00C74DA0">
            <w:pPr>
              <w:pStyle w:val="Tabletext"/>
              <w:jc w:val="center"/>
            </w:pPr>
            <w:r w:rsidRPr="002B2568">
              <w:t xml:space="preserve">45 034 </w:t>
            </w:r>
          </w:p>
          <w:p w14:paraId="0F420D9D" w14:textId="77777777" w:rsidR="00C74DA0" w:rsidRPr="002B2568" w:rsidRDefault="00C74DA0">
            <w:pPr>
              <w:pStyle w:val="Tabletext"/>
              <w:jc w:val="center"/>
            </w:pPr>
            <w:r w:rsidRPr="002B2568">
              <w:t>(Other services)</w:t>
            </w:r>
          </w:p>
        </w:tc>
      </w:tr>
      <w:tr w:rsidR="00C74DA0" w:rsidRPr="005107AA" w14:paraId="400DC666" w14:textId="77777777">
        <w:trPr>
          <w:cantSplit/>
        </w:trPr>
        <w:tc>
          <w:tcPr>
            <w:tcW w:w="913" w:type="pct"/>
            <w:tcBorders>
              <w:top w:val="single" w:sz="4" w:space="0" w:color="auto"/>
              <w:left w:val="single" w:sz="4" w:space="0" w:color="auto"/>
              <w:bottom w:val="single" w:sz="4" w:space="0" w:color="auto"/>
              <w:right w:val="single" w:sz="4" w:space="0" w:color="auto"/>
            </w:tcBorders>
            <w:vAlign w:val="center"/>
          </w:tcPr>
          <w:p w14:paraId="499157CE" w14:textId="77777777" w:rsidR="00C74DA0" w:rsidRPr="002B2568" w:rsidRDefault="00C74DA0">
            <w:pPr>
              <w:pStyle w:val="Tabletext"/>
              <w:jc w:val="center"/>
              <w:rPr>
                <w:lang w:val="en-US"/>
              </w:rPr>
            </w:pPr>
            <w:r w:rsidRPr="002B2568">
              <w:rPr>
                <w:lang w:val="en-US"/>
              </w:rPr>
              <w:t>No. of notices pending examination (earliest date of receipt)</w:t>
            </w:r>
          </w:p>
        </w:tc>
        <w:tc>
          <w:tcPr>
            <w:tcW w:w="807" w:type="pct"/>
            <w:tcBorders>
              <w:left w:val="single" w:sz="4" w:space="0" w:color="auto"/>
              <w:bottom w:val="single" w:sz="4" w:space="0" w:color="auto"/>
            </w:tcBorders>
            <w:vAlign w:val="center"/>
          </w:tcPr>
          <w:p w14:paraId="67E251BA" w14:textId="77777777" w:rsidR="00C74DA0" w:rsidRPr="002B2568" w:rsidRDefault="00C74DA0">
            <w:pPr>
              <w:pStyle w:val="Tabletext"/>
              <w:jc w:val="center"/>
            </w:pPr>
            <w:r w:rsidRPr="002B2568">
              <w:t>30 342 (Services other than broadcasting)</w:t>
            </w:r>
          </w:p>
          <w:p w14:paraId="706628E1" w14:textId="77777777" w:rsidR="00C74DA0" w:rsidRPr="002B2568" w:rsidRDefault="00C74DA0">
            <w:pPr>
              <w:pStyle w:val="Tabletext"/>
              <w:jc w:val="center"/>
            </w:pPr>
          </w:p>
          <w:p w14:paraId="1A3B378D" w14:textId="77777777" w:rsidR="00C74DA0" w:rsidRPr="002B2568" w:rsidRDefault="00C74DA0">
            <w:pPr>
              <w:pStyle w:val="Tabletext"/>
              <w:jc w:val="center"/>
            </w:pPr>
            <w:r w:rsidRPr="002B2568">
              <w:br/>
              <w:t>24.04.2019</w:t>
            </w:r>
          </w:p>
        </w:tc>
        <w:tc>
          <w:tcPr>
            <w:tcW w:w="822" w:type="pct"/>
            <w:tcBorders>
              <w:bottom w:val="single" w:sz="4" w:space="0" w:color="auto"/>
            </w:tcBorders>
            <w:vAlign w:val="center"/>
          </w:tcPr>
          <w:p w14:paraId="6CCEE0C8" w14:textId="77777777" w:rsidR="00C74DA0" w:rsidRDefault="00C74DA0">
            <w:pPr>
              <w:pStyle w:val="Tabletext"/>
              <w:jc w:val="center"/>
            </w:pPr>
            <w:r w:rsidRPr="002B2568">
              <w:t>12 045</w:t>
            </w:r>
          </w:p>
          <w:p w14:paraId="57923A36" w14:textId="77777777" w:rsidR="00C74DA0" w:rsidRPr="002B2568" w:rsidRDefault="00C74DA0">
            <w:pPr>
              <w:pStyle w:val="Tabletext"/>
              <w:jc w:val="center"/>
            </w:pPr>
            <w:r w:rsidRPr="002B2568">
              <w:t xml:space="preserve"> (Services other than broadcasting)</w:t>
            </w:r>
          </w:p>
          <w:p w14:paraId="1FD016A4" w14:textId="77777777" w:rsidR="00C74DA0" w:rsidRPr="002B2568" w:rsidRDefault="00C74DA0">
            <w:pPr>
              <w:pStyle w:val="Tabletext"/>
              <w:jc w:val="center"/>
            </w:pPr>
          </w:p>
          <w:p w14:paraId="0D015012" w14:textId="77777777" w:rsidR="00C74DA0" w:rsidRPr="002B2568" w:rsidRDefault="00C74DA0">
            <w:pPr>
              <w:pStyle w:val="Tabletext"/>
              <w:jc w:val="center"/>
            </w:pPr>
            <w:r w:rsidRPr="002B2568">
              <w:br/>
              <w:t>07.07.2020</w:t>
            </w:r>
          </w:p>
        </w:tc>
        <w:tc>
          <w:tcPr>
            <w:tcW w:w="802" w:type="pct"/>
            <w:tcBorders>
              <w:bottom w:val="single" w:sz="4" w:space="0" w:color="auto"/>
              <w:right w:val="single" w:sz="4" w:space="0" w:color="auto"/>
            </w:tcBorders>
            <w:vAlign w:val="center"/>
          </w:tcPr>
          <w:p w14:paraId="066988C0" w14:textId="77777777" w:rsidR="00C74DA0" w:rsidRPr="002B2568" w:rsidRDefault="00C74DA0">
            <w:pPr>
              <w:pStyle w:val="Tabletext"/>
              <w:jc w:val="center"/>
            </w:pPr>
            <w:r w:rsidRPr="002B2568">
              <w:t>14 126 (Services other than broadcasting)</w:t>
            </w:r>
          </w:p>
          <w:p w14:paraId="19AFE8CC" w14:textId="77777777" w:rsidR="00C74DA0" w:rsidRPr="002B2568" w:rsidRDefault="00C74DA0">
            <w:pPr>
              <w:pStyle w:val="Tabletext"/>
              <w:jc w:val="center"/>
            </w:pPr>
          </w:p>
          <w:p w14:paraId="0C8292AF" w14:textId="77777777" w:rsidR="00C74DA0" w:rsidRPr="002B2568" w:rsidRDefault="00C74DA0">
            <w:pPr>
              <w:pStyle w:val="Tabletext"/>
              <w:jc w:val="center"/>
            </w:pPr>
            <w:r w:rsidRPr="002B2568">
              <w:br/>
              <w:t>17.08.2021</w:t>
            </w:r>
          </w:p>
        </w:tc>
        <w:tc>
          <w:tcPr>
            <w:tcW w:w="828" w:type="pct"/>
            <w:tcBorders>
              <w:bottom w:val="single" w:sz="4" w:space="0" w:color="auto"/>
            </w:tcBorders>
            <w:vAlign w:val="center"/>
          </w:tcPr>
          <w:p w14:paraId="0841FC60" w14:textId="77777777" w:rsidR="00C74DA0" w:rsidRPr="002B2568" w:rsidRDefault="00C74DA0">
            <w:pPr>
              <w:pStyle w:val="Tabletext"/>
              <w:jc w:val="center"/>
            </w:pPr>
            <w:r w:rsidRPr="002B2568">
              <w:t>13 906</w:t>
            </w:r>
            <w:r w:rsidRPr="002B2568">
              <w:br/>
              <w:t>(Services other than broadcasting)</w:t>
            </w:r>
          </w:p>
          <w:p w14:paraId="667B9636" w14:textId="77777777" w:rsidR="00C74DA0" w:rsidRPr="002B2568" w:rsidRDefault="00C74DA0">
            <w:pPr>
              <w:pStyle w:val="Tabletext"/>
              <w:jc w:val="center"/>
            </w:pPr>
          </w:p>
          <w:p w14:paraId="2E3E7D52" w14:textId="77777777" w:rsidR="00C74DA0" w:rsidRPr="002B2568" w:rsidRDefault="00C74DA0">
            <w:pPr>
              <w:pStyle w:val="Tabletext"/>
              <w:jc w:val="center"/>
            </w:pPr>
            <w:r w:rsidRPr="002B2568">
              <w:br/>
              <w:t>27.07.2022</w:t>
            </w:r>
          </w:p>
        </w:tc>
        <w:tc>
          <w:tcPr>
            <w:tcW w:w="828" w:type="pct"/>
            <w:tcBorders>
              <w:bottom w:val="single" w:sz="4" w:space="0" w:color="auto"/>
            </w:tcBorders>
            <w:vAlign w:val="center"/>
          </w:tcPr>
          <w:p w14:paraId="2E5A7540" w14:textId="77777777" w:rsidR="00C74DA0" w:rsidRPr="002B2568" w:rsidRDefault="00C74DA0">
            <w:pPr>
              <w:pStyle w:val="Tabletext"/>
              <w:jc w:val="center"/>
            </w:pPr>
            <w:r w:rsidRPr="002B2568">
              <w:t>18 931</w:t>
            </w:r>
            <w:r w:rsidRPr="002B2568">
              <w:br/>
              <w:t>(Services other than broadcasting)</w:t>
            </w:r>
          </w:p>
          <w:p w14:paraId="5F50F682" w14:textId="77777777" w:rsidR="00C74DA0" w:rsidRPr="002B2568" w:rsidRDefault="00C74DA0">
            <w:pPr>
              <w:pStyle w:val="Tabletext"/>
              <w:jc w:val="center"/>
            </w:pPr>
            <w:r w:rsidRPr="002B2568">
              <w:br/>
            </w:r>
            <w:r w:rsidRPr="002B2568">
              <w:br/>
              <w:t>09.01.2023</w:t>
            </w:r>
          </w:p>
        </w:tc>
      </w:tr>
    </w:tbl>
    <w:p w14:paraId="5C78E13F" w14:textId="77777777" w:rsidR="000C19A8" w:rsidRDefault="000C19A8" w:rsidP="000C19A8">
      <w:pPr>
        <w:pStyle w:val="Tablefin"/>
      </w:pPr>
    </w:p>
    <w:p w14:paraId="6B81037B" w14:textId="1FB0CB6D" w:rsidR="00C74DA0" w:rsidRPr="005107AA" w:rsidRDefault="00C74DA0" w:rsidP="00C74DA0">
      <w:r w:rsidRPr="005107AA">
        <w:rPr>
          <w:b/>
          <w:bCs/>
        </w:rPr>
        <w:t>3.4.1.2</w:t>
      </w:r>
      <w:r w:rsidRPr="005107AA">
        <w:tab/>
        <w:t>It is also to be noted that, after WRC</w:t>
      </w:r>
      <w:r w:rsidRPr="005107AA">
        <w:noBreakHyphen/>
        <w:t>1</w:t>
      </w:r>
      <w:r>
        <w:t>9</w:t>
      </w:r>
      <w:r w:rsidRPr="005107AA">
        <w:t>, the Bureau carried out the following activities with a view to implementing the relevant decisions of WRC</w:t>
      </w:r>
      <w:r w:rsidRPr="005107AA">
        <w:noBreakHyphen/>
        <w:t>1</w:t>
      </w:r>
      <w:r>
        <w:t>9</w:t>
      </w:r>
      <w:r w:rsidRPr="005107AA">
        <w:t xml:space="preserve"> related to the procedures of notification and recording of terrestrial services: </w:t>
      </w:r>
    </w:p>
    <w:p w14:paraId="4F6F6A03" w14:textId="77777777" w:rsidR="00C74DA0" w:rsidRPr="005107AA" w:rsidRDefault="00C74DA0" w:rsidP="00C74DA0">
      <w:pPr>
        <w:pStyle w:val="enumlev1"/>
      </w:pPr>
      <w:r w:rsidRPr="005107AA">
        <w:t>–</w:t>
      </w:r>
      <w:r w:rsidRPr="005107AA">
        <w:tab/>
        <w:t xml:space="preserve">the existing Rules of Procedure were </w:t>
      </w:r>
      <w:proofErr w:type="gramStart"/>
      <w:r w:rsidRPr="005107AA">
        <w:t>reviewed</w:t>
      </w:r>
      <w:proofErr w:type="gramEnd"/>
      <w:r w:rsidRPr="005107AA">
        <w:t xml:space="preserve"> and appropriate changes were proposed, where necessary, for consideration by the Radio Regulations Board; </w:t>
      </w:r>
    </w:p>
    <w:p w14:paraId="0042D753" w14:textId="77777777" w:rsidR="00C74DA0" w:rsidRPr="005107AA" w:rsidRDefault="00C74DA0" w:rsidP="00C74DA0">
      <w:pPr>
        <w:pStyle w:val="enumlev1"/>
      </w:pPr>
      <w:r w:rsidRPr="005107AA">
        <w:t>–</w:t>
      </w:r>
      <w:r w:rsidRPr="005107AA">
        <w:tab/>
        <w:t xml:space="preserve">all internal procedures were reviewed and several elements of the production chain (validation rules, examination rules, finding system) have been adapted to the modified requirements of the Radio Regulations and to the modified Rules of </w:t>
      </w:r>
      <w:proofErr w:type="gramStart"/>
      <w:r w:rsidRPr="005107AA">
        <w:t>Procedure;</w:t>
      </w:r>
      <w:proofErr w:type="gramEnd"/>
      <w:r w:rsidRPr="005107AA">
        <w:t xml:space="preserve"> </w:t>
      </w:r>
    </w:p>
    <w:p w14:paraId="1F4B43A7" w14:textId="77777777" w:rsidR="00C74DA0" w:rsidRPr="005107AA" w:rsidRDefault="00C74DA0" w:rsidP="00C74DA0">
      <w:pPr>
        <w:pStyle w:val="enumlev1"/>
      </w:pPr>
      <w:r w:rsidRPr="005107AA">
        <w:t>–</w:t>
      </w:r>
      <w:r w:rsidRPr="005107AA">
        <w:tab/>
      </w:r>
      <w:r w:rsidRPr="00811550">
        <w:t xml:space="preserve">Findings of frequency assignments recorded in the Master Register were reviewed </w:t>
      </w:r>
      <w:proofErr w:type="gramStart"/>
      <w:r w:rsidRPr="00811550">
        <w:t>so as to</w:t>
      </w:r>
      <w:proofErr w:type="gramEnd"/>
      <w:r w:rsidRPr="00811550">
        <w:t xml:space="preserve"> reflect the modified conditions established by WRC</w:t>
      </w:r>
      <w:r w:rsidRPr="00811550">
        <w:noBreakHyphen/>
        <w:t>1</w:t>
      </w:r>
      <w:r>
        <w:t>9</w:t>
      </w:r>
      <w:r w:rsidRPr="00811550">
        <w:t>, for example:</w:t>
      </w:r>
    </w:p>
    <w:p w14:paraId="256F0F80" w14:textId="51A3F039" w:rsidR="00C74DA0" w:rsidRPr="003A761D" w:rsidRDefault="003A761D" w:rsidP="003A761D">
      <w:pPr>
        <w:pStyle w:val="enumlev2"/>
      </w:pPr>
      <w:r>
        <w:rPr>
          <w:lang w:val="en-US"/>
        </w:rPr>
        <w:t>•</w:t>
      </w:r>
      <w:r>
        <w:rPr>
          <w:lang w:val="en-US"/>
        </w:rPr>
        <w:tab/>
      </w:r>
      <w:r w:rsidR="00C74DA0" w:rsidRPr="00B259BC">
        <w:rPr>
          <w:lang w:val="en-US"/>
        </w:rPr>
        <w:t xml:space="preserve">the </w:t>
      </w:r>
      <w:r w:rsidR="00C74DA0" w:rsidRPr="003A761D">
        <w:t>assignments to stations in the fixed and mobile services in a number of countries in the bands 4 063-4 123 kHz and 4 130-4 438 kHz (</w:t>
      </w:r>
      <w:r w:rsidR="00F54078">
        <w:t xml:space="preserve">RR </w:t>
      </w:r>
      <w:r w:rsidR="00C74DA0" w:rsidRPr="003A761D">
        <w:t>No.</w:t>
      </w:r>
      <w:r>
        <w:t xml:space="preserve"> </w:t>
      </w:r>
      <w:r w:rsidR="00C74DA0" w:rsidRPr="003A761D">
        <w:rPr>
          <w:b/>
          <w:bCs/>
        </w:rPr>
        <w:t>5.128</w:t>
      </w:r>
      <w:r w:rsidR="00C74DA0" w:rsidRPr="003A761D">
        <w:t>), 132</w:t>
      </w:r>
      <w:r>
        <w:noBreakHyphen/>
      </w:r>
      <w:r w:rsidR="00C74DA0" w:rsidRPr="003A761D">
        <w:t>136 MHz (</w:t>
      </w:r>
      <w:r w:rsidR="00F54078">
        <w:t xml:space="preserve">RR </w:t>
      </w:r>
      <w:r w:rsidR="00C74DA0" w:rsidRPr="003A761D">
        <w:t>No.</w:t>
      </w:r>
      <w:r>
        <w:t xml:space="preserve"> </w:t>
      </w:r>
      <w:r w:rsidR="00C74DA0" w:rsidRPr="003A761D">
        <w:rPr>
          <w:b/>
          <w:bCs/>
        </w:rPr>
        <w:t>5.201</w:t>
      </w:r>
      <w:r w:rsidR="00C74DA0" w:rsidRPr="003A761D">
        <w:t>), 1 621.35-1 626.5 MHz (</w:t>
      </w:r>
      <w:r w:rsidR="00F54078">
        <w:t xml:space="preserve">RR </w:t>
      </w:r>
      <w:r w:rsidR="00C74DA0" w:rsidRPr="003A761D">
        <w:t>No.</w:t>
      </w:r>
      <w:r>
        <w:t xml:space="preserve"> </w:t>
      </w:r>
      <w:r w:rsidR="00C74DA0" w:rsidRPr="003A761D">
        <w:rPr>
          <w:b/>
          <w:bCs/>
        </w:rPr>
        <w:t>5.359</w:t>
      </w:r>
      <w:r w:rsidR="00C74DA0" w:rsidRPr="003A761D">
        <w:t>) and 12.5</w:t>
      </w:r>
      <w:r>
        <w:noBreakHyphen/>
      </w:r>
      <w:r w:rsidR="00C74DA0" w:rsidRPr="003A761D">
        <w:t>12.75</w:t>
      </w:r>
      <w:r>
        <w:t> </w:t>
      </w:r>
      <w:r w:rsidR="00C74DA0" w:rsidRPr="003A761D">
        <w:t>GHz (</w:t>
      </w:r>
      <w:r w:rsidR="00F54078">
        <w:t xml:space="preserve">RR </w:t>
      </w:r>
      <w:r w:rsidR="00C74DA0" w:rsidRPr="003A761D">
        <w:t xml:space="preserve">No. </w:t>
      </w:r>
      <w:r w:rsidR="00C74DA0" w:rsidRPr="003A761D">
        <w:rPr>
          <w:b/>
          <w:bCs/>
        </w:rPr>
        <w:t>5.495</w:t>
      </w:r>
      <w:r w:rsidR="00C74DA0" w:rsidRPr="003A761D">
        <w:t xml:space="preserve">) were suppressed due to the deletion of the respective </w:t>
      </w:r>
      <w:proofErr w:type="gramStart"/>
      <w:r w:rsidR="00C74DA0" w:rsidRPr="003A761D">
        <w:t>allocations;</w:t>
      </w:r>
      <w:proofErr w:type="gramEnd"/>
    </w:p>
    <w:p w14:paraId="30B25B59" w14:textId="19438EC7" w:rsidR="00C74DA0" w:rsidRPr="00B259BC" w:rsidRDefault="003A761D" w:rsidP="003A761D">
      <w:pPr>
        <w:pStyle w:val="enumlev2"/>
        <w:rPr>
          <w:rFonts w:ascii="Calibri" w:hAnsi="Calibri" w:cs="Calibri"/>
          <w:color w:val="000000" w:themeColor="text1"/>
          <w:szCs w:val="24"/>
          <w:lang w:val="en-US" w:eastAsia="zh-CN"/>
        </w:rPr>
      </w:pPr>
      <w:r>
        <w:rPr>
          <w:lang w:val="en-US"/>
        </w:rPr>
        <w:t>•</w:t>
      </w:r>
      <w:r>
        <w:rPr>
          <w:lang w:val="en-US"/>
        </w:rPr>
        <w:tab/>
      </w:r>
      <w:r w:rsidR="00C74DA0" w:rsidRPr="003A761D">
        <w:t xml:space="preserve">in addition, following the modifications of the allocation situations in RR Appendix </w:t>
      </w:r>
      <w:r w:rsidR="00C74DA0" w:rsidRPr="003A761D">
        <w:rPr>
          <w:b/>
          <w:bCs/>
        </w:rPr>
        <w:t>17</w:t>
      </w:r>
      <w:r w:rsidR="00C74DA0" w:rsidRPr="003A761D">
        <w:t>, findings of 51 381 frequency assignments of 146 administrations recorded in the Master</w:t>
      </w:r>
      <w:r w:rsidR="00C74DA0" w:rsidRPr="00B259BC">
        <w:rPr>
          <w:lang w:val="en-US"/>
        </w:rPr>
        <w:t xml:space="preserve"> Register were reviewed </w:t>
      </w:r>
      <w:proofErr w:type="gramStart"/>
      <w:r w:rsidR="00C74DA0" w:rsidRPr="00B259BC">
        <w:rPr>
          <w:lang w:val="en-US"/>
        </w:rPr>
        <w:t>in order to</w:t>
      </w:r>
      <w:proofErr w:type="gramEnd"/>
      <w:r w:rsidR="00C74DA0" w:rsidRPr="00B259BC">
        <w:rPr>
          <w:lang w:val="en-US"/>
        </w:rPr>
        <w:t xml:space="preserve"> check their conformity with the modified channeling arrangement, as well as to other provisions of the RR, applicable to the assignments related to RR Appendix </w:t>
      </w:r>
      <w:r w:rsidR="00C74DA0" w:rsidRPr="00B259BC">
        <w:rPr>
          <w:b/>
          <w:lang w:val="en-US"/>
        </w:rPr>
        <w:t>17</w:t>
      </w:r>
      <w:r w:rsidR="00C74DA0" w:rsidRPr="00B259BC">
        <w:rPr>
          <w:lang w:val="en-US"/>
        </w:rPr>
        <w:t>. As the result 2</w:t>
      </w:r>
      <w:r w:rsidR="00A80D73">
        <w:rPr>
          <w:lang w:val="en-US"/>
        </w:rPr>
        <w:t> </w:t>
      </w:r>
      <w:r w:rsidR="00C74DA0" w:rsidRPr="00B259BC">
        <w:rPr>
          <w:lang w:val="en-US"/>
        </w:rPr>
        <w:t>594 assignments were suppressed and the findings of 18</w:t>
      </w:r>
      <w:r w:rsidR="005812BD">
        <w:rPr>
          <w:lang w:val="en-US"/>
        </w:rPr>
        <w:t> </w:t>
      </w:r>
      <w:r w:rsidR="00C74DA0" w:rsidRPr="00B259BC">
        <w:rPr>
          <w:lang w:val="en-US"/>
        </w:rPr>
        <w:t>516 assignments were reviewed.</w:t>
      </w:r>
      <w:r w:rsidR="00C74DA0" w:rsidRPr="00EE13EB">
        <w:rPr>
          <w:lang w:val="en-US"/>
        </w:rPr>
        <w:t xml:space="preserve"> </w:t>
      </w:r>
    </w:p>
    <w:p w14:paraId="45672180" w14:textId="77777777" w:rsidR="00C74DA0" w:rsidRPr="00DE6BFD" w:rsidRDefault="00C74DA0" w:rsidP="00C74DA0">
      <w:pPr>
        <w:pStyle w:val="Heading3"/>
      </w:pPr>
      <w:bookmarkStart w:id="109" w:name="_Toc143072421"/>
      <w:r w:rsidRPr="00DE6BFD">
        <w:t>3.4.2</w:t>
      </w:r>
      <w:r w:rsidRPr="00DE6BFD">
        <w:tab/>
        <w:t>Processing of submissions for HF broadcasting schedules</w:t>
      </w:r>
      <w:bookmarkEnd w:id="109"/>
    </w:p>
    <w:p w14:paraId="207CFFDF" w14:textId="77777777" w:rsidR="00C74DA0" w:rsidRPr="00DE6BFD" w:rsidRDefault="00C74DA0" w:rsidP="00C74DA0">
      <w:pPr>
        <w:pStyle w:val="Heading4"/>
      </w:pPr>
      <w:r w:rsidRPr="00DE6BFD">
        <w:t>3.4.2.1</w:t>
      </w:r>
      <w:r w:rsidRPr="00DE6BFD">
        <w:tab/>
        <w:t>Application of the procedures of Article 12 of the Radio Regulations</w:t>
      </w:r>
    </w:p>
    <w:p w14:paraId="7670D5B7" w14:textId="77777777" w:rsidR="00C74DA0" w:rsidRPr="00721EF7" w:rsidRDefault="00C74DA0" w:rsidP="00C74DA0">
      <w:pPr>
        <w:rPr>
          <w:rFonts w:cstheme="minorHAnsi"/>
          <w:szCs w:val="24"/>
        </w:rPr>
      </w:pPr>
      <w:r w:rsidRPr="00721EF7">
        <w:rPr>
          <w:rFonts w:cstheme="minorHAnsi"/>
          <w:szCs w:val="24"/>
        </w:rPr>
        <w:t xml:space="preserve">This activity comprises the technical examination of submissions related to HF broadcasting schedules under the procedure of Article 12 of the Radio Regulations, including the identification of incompatibilities. It also comprises the selection of appropriate bands and frequencies when requested by administrations, and the preparation of tentative and final schedules. </w:t>
      </w:r>
    </w:p>
    <w:p w14:paraId="61C3C72A" w14:textId="77777777" w:rsidR="00C74DA0" w:rsidRPr="00DE6BFD" w:rsidRDefault="00C74DA0" w:rsidP="00C74DA0">
      <w:pPr>
        <w:rPr>
          <w:rStyle w:val="normaltextrun"/>
          <w:rFonts w:asciiTheme="majorBidi" w:hAnsiTheme="majorBidi" w:cstheme="majorBidi"/>
          <w:lang w:val="en-US"/>
        </w:rPr>
      </w:pPr>
      <w:r w:rsidRPr="00940AF7">
        <w:rPr>
          <w:iCs/>
          <w:lang w:val="en-US"/>
        </w:rPr>
        <w:t>Starting from January 2019, the CD-ROM publication was discontinued and replaced by free of charge online publication. </w:t>
      </w:r>
      <w:r>
        <w:rPr>
          <w:iCs/>
          <w:lang w:val="en-US"/>
        </w:rPr>
        <w:t>49</w:t>
      </w:r>
      <w:r w:rsidRPr="00940AF7">
        <w:rPr>
          <w:iCs/>
          <w:lang w:val="en-US"/>
        </w:rPr>
        <w:t> online publications were issued in 2019 </w:t>
      </w:r>
      <w:r>
        <w:rPr>
          <w:iCs/>
          <w:lang w:val="en-US"/>
        </w:rPr>
        <w:t xml:space="preserve">– 2023 </w:t>
      </w:r>
      <w:r w:rsidRPr="00940AF7">
        <w:rPr>
          <w:iCs/>
          <w:lang w:val="en-US"/>
        </w:rPr>
        <w:t>by the date of preparation of this document.  The online publication contains, </w:t>
      </w:r>
      <w:r w:rsidRPr="00940AF7">
        <w:rPr>
          <w:i/>
          <w:lang w:val="en-US"/>
        </w:rPr>
        <w:t>inter alia</w:t>
      </w:r>
      <w:r w:rsidRPr="00940AF7">
        <w:rPr>
          <w:iCs/>
          <w:lang w:val="en-US"/>
        </w:rPr>
        <w:t>, HFBC schedules, results of compatibility analysis and the latest version of the HFBC software.</w:t>
      </w:r>
    </w:p>
    <w:p w14:paraId="2EBC6F80" w14:textId="77777777" w:rsidR="00C74DA0" w:rsidRPr="00DE6BFD" w:rsidRDefault="00C74DA0" w:rsidP="00C74DA0">
      <w:r w:rsidRPr="00DE6BFD">
        <w:t>This activity also comprises exchange of correspondence with administrations and regional coordination groups concerning possible improvements to software, update of reference data, improvements in the presentation of calculation results, and maintenance of webpages with the latest software updates and reference data. It also comprises participation of the Bureau in the coordination meetings of the regional coordination groups.</w:t>
      </w:r>
    </w:p>
    <w:p w14:paraId="0E0E41CB" w14:textId="77777777" w:rsidR="00C74DA0" w:rsidRPr="00DE6BFD" w:rsidRDefault="00C74DA0" w:rsidP="00C74DA0">
      <w:r w:rsidRPr="00DE6BFD">
        <w:t>Table 3.4.2</w:t>
      </w:r>
      <w:r>
        <w:t>.1</w:t>
      </w:r>
      <w:r w:rsidRPr="00DE6BFD">
        <w:t>-1 summarizes the Bureau’s activities with respect to the preparation of HFBC schedules.</w:t>
      </w:r>
    </w:p>
    <w:p w14:paraId="53FEB660" w14:textId="77777777" w:rsidR="00C74DA0" w:rsidRPr="00DE6BFD" w:rsidRDefault="00C74DA0" w:rsidP="00C74DA0">
      <w:pPr>
        <w:pStyle w:val="TableNo"/>
      </w:pPr>
      <w:r w:rsidRPr="00DE6BFD">
        <w:t>Table 3.4.2</w:t>
      </w:r>
      <w:r>
        <w:t>.1</w:t>
      </w:r>
      <w:r w:rsidRPr="00DE6BFD">
        <w:t>-1</w:t>
      </w:r>
    </w:p>
    <w:p w14:paraId="6DA77277" w14:textId="77777777" w:rsidR="00C74DA0" w:rsidRPr="00EE13EB" w:rsidRDefault="00C74DA0" w:rsidP="00C74DA0">
      <w:pPr>
        <w:pStyle w:val="Tabletitle"/>
        <w:rPr>
          <w:lang w:val="en-US"/>
        </w:rPr>
      </w:pPr>
      <w:r>
        <w:rPr>
          <w:lang w:val="en-US"/>
        </w:rPr>
        <w:t>P</w:t>
      </w:r>
      <w:r w:rsidRPr="00EE13EB">
        <w:rPr>
          <w:lang w:val="en-US"/>
        </w:rPr>
        <w:t>reparation of HF broadcasting schedules</w:t>
      </w: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2"/>
        <w:gridCol w:w="1560"/>
        <w:gridCol w:w="1415"/>
        <w:gridCol w:w="1561"/>
        <w:gridCol w:w="1559"/>
        <w:gridCol w:w="1559"/>
      </w:tblGrid>
      <w:tr w:rsidR="00C74DA0" w:rsidRPr="00DE6BFD" w14:paraId="62F87AF2" w14:textId="77777777">
        <w:tc>
          <w:tcPr>
            <w:tcW w:w="910" w:type="pct"/>
            <w:tcBorders>
              <w:top w:val="nil"/>
              <w:left w:val="nil"/>
              <w:bottom w:val="single" w:sz="4" w:space="0" w:color="auto"/>
              <w:right w:val="single" w:sz="4" w:space="0" w:color="auto"/>
            </w:tcBorders>
          </w:tcPr>
          <w:p w14:paraId="4BDF2728" w14:textId="77777777" w:rsidR="00C74DA0" w:rsidRPr="00EE13EB" w:rsidRDefault="00C74DA0">
            <w:pPr>
              <w:pStyle w:val="Tablehead"/>
              <w:rPr>
                <w:lang w:val="en-US"/>
              </w:rPr>
            </w:pPr>
          </w:p>
        </w:tc>
        <w:tc>
          <w:tcPr>
            <w:tcW w:w="834" w:type="pct"/>
            <w:tcBorders>
              <w:top w:val="single" w:sz="4" w:space="0" w:color="auto"/>
              <w:left w:val="single" w:sz="4" w:space="0" w:color="auto"/>
            </w:tcBorders>
          </w:tcPr>
          <w:p w14:paraId="4AEE00F9" w14:textId="77777777" w:rsidR="00C74DA0" w:rsidRPr="00DE6BFD" w:rsidRDefault="00C74DA0">
            <w:pPr>
              <w:pStyle w:val="Tablehead"/>
            </w:pPr>
            <w:r w:rsidRPr="00DE6BFD">
              <w:t>201</w:t>
            </w:r>
            <w:r>
              <w:t>9</w:t>
            </w:r>
          </w:p>
        </w:tc>
        <w:tc>
          <w:tcPr>
            <w:tcW w:w="756" w:type="pct"/>
            <w:tcBorders>
              <w:top w:val="single" w:sz="4" w:space="0" w:color="auto"/>
            </w:tcBorders>
          </w:tcPr>
          <w:p w14:paraId="27A82953" w14:textId="77777777" w:rsidR="00C74DA0" w:rsidRPr="00DE6BFD" w:rsidRDefault="00C74DA0">
            <w:pPr>
              <w:pStyle w:val="Tablehead"/>
            </w:pPr>
            <w:r w:rsidRPr="00DE6BFD">
              <w:t>20</w:t>
            </w:r>
            <w:r>
              <w:t>20</w:t>
            </w:r>
          </w:p>
        </w:tc>
        <w:tc>
          <w:tcPr>
            <w:tcW w:w="834" w:type="pct"/>
            <w:tcBorders>
              <w:top w:val="single" w:sz="4" w:space="0" w:color="auto"/>
              <w:right w:val="single" w:sz="4" w:space="0" w:color="auto"/>
            </w:tcBorders>
          </w:tcPr>
          <w:p w14:paraId="794618F6" w14:textId="77777777" w:rsidR="00C74DA0" w:rsidRPr="00DE6BFD" w:rsidRDefault="00C74DA0">
            <w:pPr>
              <w:pStyle w:val="Tablehead"/>
            </w:pPr>
            <w:r w:rsidRPr="00DE6BFD">
              <w:t>20</w:t>
            </w:r>
            <w:r>
              <w:t>21</w:t>
            </w:r>
          </w:p>
        </w:tc>
        <w:tc>
          <w:tcPr>
            <w:tcW w:w="833" w:type="pct"/>
            <w:tcBorders>
              <w:top w:val="single" w:sz="4" w:space="0" w:color="auto"/>
            </w:tcBorders>
          </w:tcPr>
          <w:p w14:paraId="11387DF8" w14:textId="77777777" w:rsidR="00C74DA0" w:rsidRPr="00DE6BFD" w:rsidRDefault="00C74DA0">
            <w:pPr>
              <w:pStyle w:val="Tablehead"/>
            </w:pPr>
            <w:r w:rsidRPr="00DE6BFD">
              <w:t>20</w:t>
            </w:r>
            <w:r>
              <w:t>22</w:t>
            </w:r>
          </w:p>
        </w:tc>
        <w:tc>
          <w:tcPr>
            <w:tcW w:w="833" w:type="pct"/>
            <w:tcBorders>
              <w:top w:val="single" w:sz="4" w:space="0" w:color="auto"/>
            </w:tcBorders>
          </w:tcPr>
          <w:p w14:paraId="3F455C73" w14:textId="77777777" w:rsidR="00C74DA0" w:rsidRPr="00DE6BFD" w:rsidRDefault="00C74DA0">
            <w:pPr>
              <w:pStyle w:val="Tablehead"/>
            </w:pPr>
            <w:r w:rsidRPr="00DE6BFD">
              <w:t>20</w:t>
            </w:r>
            <w:r>
              <w:t>23</w:t>
            </w:r>
            <w:r w:rsidRPr="00DC4CD1">
              <w:rPr>
                <w:vertAlign w:val="superscript"/>
              </w:rPr>
              <w:t>2</w:t>
            </w:r>
            <w:r w:rsidRPr="717DCDEF">
              <w:t xml:space="preserve"> </w:t>
            </w:r>
          </w:p>
        </w:tc>
      </w:tr>
      <w:tr w:rsidR="00C74DA0" w:rsidRPr="00DE6BFD" w14:paraId="33A11B95" w14:textId="77777777">
        <w:tc>
          <w:tcPr>
            <w:tcW w:w="910" w:type="pct"/>
            <w:tcBorders>
              <w:top w:val="single" w:sz="4" w:space="0" w:color="auto"/>
              <w:left w:val="single" w:sz="4" w:space="0" w:color="auto"/>
              <w:bottom w:val="single" w:sz="4" w:space="0" w:color="auto"/>
              <w:right w:val="single" w:sz="4" w:space="0" w:color="auto"/>
            </w:tcBorders>
          </w:tcPr>
          <w:p w14:paraId="71918794" w14:textId="77777777" w:rsidR="00C74DA0" w:rsidRPr="00DE6BFD" w:rsidRDefault="00C74DA0">
            <w:pPr>
              <w:pStyle w:val="Tabletext"/>
            </w:pPr>
            <w:r w:rsidRPr="00DE6BFD">
              <w:t>No. of processed cases</w:t>
            </w:r>
          </w:p>
        </w:tc>
        <w:tc>
          <w:tcPr>
            <w:tcW w:w="834" w:type="pct"/>
            <w:tcBorders>
              <w:left w:val="single" w:sz="4" w:space="0" w:color="auto"/>
              <w:bottom w:val="single" w:sz="4" w:space="0" w:color="auto"/>
            </w:tcBorders>
            <w:vAlign w:val="center"/>
          </w:tcPr>
          <w:p w14:paraId="770B27A8" w14:textId="77777777" w:rsidR="00C74DA0" w:rsidRPr="00721EF7" w:rsidRDefault="00C74DA0">
            <w:pPr>
              <w:pStyle w:val="Tabletext"/>
              <w:jc w:val="center"/>
            </w:pPr>
            <w:r w:rsidRPr="00721EF7">
              <w:rPr>
                <w:rStyle w:val="normaltextrun"/>
              </w:rPr>
              <w:t>37 381</w:t>
            </w:r>
          </w:p>
        </w:tc>
        <w:tc>
          <w:tcPr>
            <w:tcW w:w="756" w:type="pct"/>
            <w:tcBorders>
              <w:bottom w:val="single" w:sz="4" w:space="0" w:color="auto"/>
            </w:tcBorders>
            <w:vAlign w:val="center"/>
          </w:tcPr>
          <w:p w14:paraId="01FD51A5" w14:textId="77777777" w:rsidR="00C74DA0" w:rsidRPr="00721EF7" w:rsidRDefault="00C74DA0">
            <w:pPr>
              <w:pStyle w:val="Tabletext"/>
              <w:jc w:val="center"/>
            </w:pPr>
            <w:r w:rsidRPr="00721EF7">
              <w:rPr>
                <w:rStyle w:val="normaltextrun"/>
              </w:rPr>
              <w:t>32 812</w:t>
            </w:r>
          </w:p>
        </w:tc>
        <w:tc>
          <w:tcPr>
            <w:tcW w:w="834" w:type="pct"/>
            <w:tcBorders>
              <w:bottom w:val="single" w:sz="4" w:space="0" w:color="auto"/>
              <w:right w:val="single" w:sz="4" w:space="0" w:color="auto"/>
            </w:tcBorders>
            <w:vAlign w:val="center"/>
          </w:tcPr>
          <w:p w14:paraId="6E31D2EC" w14:textId="77777777" w:rsidR="00C74DA0" w:rsidRPr="00721EF7" w:rsidRDefault="00C74DA0">
            <w:pPr>
              <w:pStyle w:val="Tabletext"/>
              <w:jc w:val="center"/>
            </w:pPr>
            <w:r w:rsidRPr="00721EF7">
              <w:rPr>
                <w:rStyle w:val="normaltextrun"/>
              </w:rPr>
              <w:t>32 523</w:t>
            </w:r>
          </w:p>
        </w:tc>
        <w:tc>
          <w:tcPr>
            <w:tcW w:w="833" w:type="pct"/>
            <w:tcBorders>
              <w:bottom w:val="single" w:sz="4" w:space="0" w:color="auto"/>
            </w:tcBorders>
            <w:vAlign w:val="center"/>
          </w:tcPr>
          <w:p w14:paraId="0875997B" w14:textId="77777777" w:rsidR="00C74DA0" w:rsidRPr="00721EF7" w:rsidRDefault="00C74DA0">
            <w:pPr>
              <w:pStyle w:val="Tabletext"/>
              <w:jc w:val="center"/>
            </w:pPr>
            <w:r w:rsidRPr="00721EF7">
              <w:rPr>
                <w:rStyle w:val="normaltextrun"/>
              </w:rPr>
              <w:t>31 215</w:t>
            </w:r>
          </w:p>
        </w:tc>
        <w:tc>
          <w:tcPr>
            <w:tcW w:w="833" w:type="pct"/>
            <w:tcBorders>
              <w:bottom w:val="single" w:sz="4" w:space="0" w:color="auto"/>
            </w:tcBorders>
            <w:vAlign w:val="center"/>
          </w:tcPr>
          <w:p w14:paraId="228DC3E6" w14:textId="77777777" w:rsidR="00C74DA0" w:rsidRPr="00721EF7" w:rsidRDefault="00C74DA0">
            <w:pPr>
              <w:pStyle w:val="Tabletext"/>
              <w:jc w:val="center"/>
            </w:pPr>
            <w:r w:rsidRPr="00721EF7">
              <w:rPr>
                <w:rStyle w:val="normaltextrun"/>
              </w:rPr>
              <w:t>12243</w:t>
            </w:r>
          </w:p>
        </w:tc>
      </w:tr>
    </w:tbl>
    <w:p w14:paraId="51F573FA" w14:textId="77777777" w:rsidR="005812BD" w:rsidRDefault="005812BD" w:rsidP="005812BD">
      <w:pPr>
        <w:pStyle w:val="Tablefin"/>
      </w:pPr>
    </w:p>
    <w:p w14:paraId="46ABF27A" w14:textId="29B64EB0" w:rsidR="00C74DA0" w:rsidRPr="00DE6BFD" w:rsidRDefault="00C74DA0" w:rsidP="00C74DA0">
      <w:pPr>
        <w:pStyle w:val="Heading2"/>
      </w:pPr>
      <w:bookmarkStart w:id="110" w:name="_Toc143072422"/>
      <w:r w:rsidRPr="00DE6BFD">
        <w:t>3.</w:t>
      </w:r>
      <w:r>
        <w:t>5</w:t>
      </w:r>
      <w:r w:rsidRPr="00DE6BFD">
        <w:tab/>
        <w:t xml:space="preserve">Other regulatory procedures pertaining to terrestrial </w:t>
      </w:r>
      <w:proofErr w:type="gramStart"/>
      <w:r w:rsidRPr="00DE6BFD">
        <w:t>services</w:t>
      </w:r>
      <w:bookmarkEnd w:id="110"/>
      <w:proofErr w:type="gramEnd"/>
    </w:p>
    <w:p w14:paraId="4D8219DF" w14:textId="77777777" w:rsidR="00C74DA0" w:rsidRPr="00DE6BFD" w:rsidRDefault="00C74DA0" w:rsidP="00C74DA0">
      <w:pPr>
        <w:pStyle w:val="Heading3"/>
      </w:pPr>
      <w:bookmarkStart w:id="111" w:name="_Toc143072423"/>
      <w:bookmarkEnd w:id="106"/>
      <w:r>
        <w:t>3.5.1</w:t>
      </w:r>
      <w:r w:rsidRPr="00DE6BFD">
        <w:tab/>
        <w:t>Resolution 12 (WRC-12)</w:t>
      </w:r>
      <w:bookmarkEnd w:id="111"/>
    </w:p>
    <w:p w14:paraId="13275AE7" w14:textId="77777777" w:rsidR="00C74DA0" w:rsidRPr="00721EF7" w:rsidRDefault="00C74DA0" w:rsidP="00C74DA0">
      <w:pPr>
        <w:rPr>
          <w:rFonts w:cstheme="minorHAnsi"/>
        </w:rPr>
      </w:pPr>
      <w:r w:rsidRPr="00721EF7">
        <w:rPr>
          <w:rFonts w:cstheme="minorHAnsi"/>
        </w:rPr>
        <w:t xml:space="preserve">Resolution </w:t>
      </w:r>
      <w:r w:rsidRPr="005812BD">
        <w:rPr>
          <w:rFonts w:cstheme="minorHAnsi"/>
          <w:b/>
          <w:bCs/>
        </w:rPr>
        <w:t>12 (WRC-12)</w:t>
      </w:r>
      <w:r w:rsidRPr="00721EF7">
        <w:rPr>
          <w:rFonts w:cstheme="minorHAnsi"/>
        </w:rPr>
        <w:t xml:space="preserve"> instructs the Director of the BR to report to the WRC-15 on the progress achieved in the implementation of this Resolution, which deals with assistance and support to Palestine.</w:t>
      </w:r>
    </w:p>
    <w:p w14:paraId="67D7100E" w14:textId="77777777" w:rsidR="00C74DA0" w:rsidRDefault="00C74DA0" w:rsidP="00C74DA0">
      <w:pPr>
        <w:rPr>
          <w:rFonts w:cstheme="minorHAnsi"/>
        </w:rPr>
      </w:pPr>
      <w:r>
        <w:rPr>
          <w:rFonts w:cstheme="minorHAnsi"/>
        </w:rPr>
        <w:t>In 2023 t</w:t>
      </w:r>
      <w:r w:rsidRPr="00721EF7">
        <w:rPr>
          <w:rFonts w:cstheme="minorHAnsi"/>
        </w:rPr>
        <w:t xml:space="preserve">he Bureau assisted Palestine in </w:t>
      </w:r>
      <w:r>
        <w:rPr>
          <w:rFonts w:cstheme="minorHAnsi"/>
        </w:rPr>
        <w:t xml:space="preserve">the </w:t>
      </w:r>
      <w:r w:rsidRPr="00721EF7">
        <w:rPr>
          <w:rFonts w:cstheme="minorHAnsi"/>
        </w:rPr>
        <w:t>revis</w:t>
      </w:r>
      <w:r>
        <w:rPr>
          <w:rFonts w:cstheme="minorHAnsi"/>
        </w:rPr>
        <w:t>ion of its</w:t>
      </w:r>
      <w:r w:rsidRPr="00721EF7">
        <w:rPr>
          <w:rFonts w:cstheme="minorHAnsi"/>
        </w:rPr>
        <w:t xml:space="preserve"> National Table of Frequency </w:t>
      </w:r>
      <w:r>
        <w:rPr>
          <w:rFonts w:cstheme="minorHAnsi"/>
        </w:rPr>
        <w:t>A</w:t>
      </w:r>
      <w:r w:rsidRPr="00721EF7">
        <w:rPr>
          <w:rFonts w:cstheme="minorHAnsi"/>
        </w:rPr>
        <w:t>llocations</w:t>
      </w:r>
      <w:r>
        <w:rPr>
          <w:rFonts w:cstheme="minorHAnsi"/>
        </w:rPr>
        <w:t xml:space="preserve"> and A</w:t>
      </w:r>
      <w:r w:rsidRPr="00721EF7">
        <w:rPr>
          <w:rFonts w:cstheme="minorHAnsi"/>
        </w:rPr>
        <w:t xml:space="preserve">pplications. </w:t>
      </w:r>
    </w:p>
    <w:p w14:paraId="408FD582" w14:textId="77777777" w:rsidR="00C74DA0" w:rsidRPr="00721EF7" w:rsidRDefault="00C74DA0" w:rsidP="00C74DA0">
      <w:pPr>
        <w:rPr>
          <w:rFonts w:cstheme="minorHAnsi"/>
          <w:bCs/>
        </w:rPr>
      </w:pPr>
      <w:r w:rsidRPr="00721EF7">
        <w:rPr>
          <w:lang w:val="en-US"/>
        </w:rPr>
        <w:t xml:space="preserve">There has been no request for assistance from Palestine with respect to notifications of frequency assignments for recording in the MIFR or Plan modification procedures or coordination under RR </w:t>
      </w:r>
      <w:r w:rsidRPr="00721EF7">
        <w:rPr>
          <w:b/>
          <w:lang w:val="en-US"/>
        </w:rPr>
        <w:t>9.21</w:t>
      </w:r>
      <w:r>
        <w:rPr>
          <w:bCs/>
          <w:lang w:val="en-US"/>
        </w:rPr>
        <w:t>.</w:t>
      </w:r>
    </w:p>
    <w:p w14:paraId="68FEAFB2" w14:textId="77777777" w:rsidR="00C74DA0" w:rsidRPr="00DE6BFD" w:rsidRDefault="00C74DA0" w:rsidP="00C74DA0">
      <w:pPr>
        <w:pStyle w:val="Heading2"/>
      </w:pPr>
      <w:bookmarkStart w:id="112" w:name="_Toc143072424"/>
      <w:r w:rsidRPr="00DE6BFD">
        <w:t>3.</w:t>
      </w:r>
      <w:r>
        <w:t>5</w:t>
      </w:r>
      <w:r w:rsidRPr="00DE6BFD">
        <w:t>.2</w:t>
      </w:r>
      <w:r w:rsidRPr="00DE6BFD">
        <w:tab/>
        <w:t>Resolutions 205 (Rev.WRC-1</w:t>
      </w:r>
      <w:r>
        <w:t>9</w:t>
      </w:r>
      <w:r w:rsidRPr="00DE6BFD">
        <w:t>)</w:t>
      </w:r>
      <w:bookmarkEnd w:id="112"/>
      <w:r w:rsidRPr="00DE6BFD">
        <w:t xml:space="preserve"> </w:t>
      </w:r>
    </w:p>
    <w:p w14:paraId="0DA726D8" w14:textId="77777777" w:rsidR="00C74DA0" w:rsidRPr="00CF6993" w:rsidRDefault="00C74DA0" w:rsidP="00C74DA0">
      <w:pPr>
        <w:rPr>
          <w:rFonts w:cstheme="minorHAnsi"/>
          <w:lang w:val="en-US"/>
        </w:rPr>
      </w:pPr>
      <w:r w:rsidRPr="00CF6993">
        <w:rPr>
          <w:rFonts w:cstheme="minorHAnsi"/>
          <w:lang w:val="en-US"/>
        </w:rPr>
        <w:t xml:space="preserve">Resolution </w:t>
      </w:r>
      <w:r w:rsidRPr="00CF6993">
        <w:rPr>
          <w:rFonts w:cstheme="minorHAnsi"/>
          <w:b/>
          <w:bCs/>
          <w:lang w:val="en-US"/>
        </w:rPr>
        <w:t>205 (Rev.WRC-19)</w:t>
      </w:r>
      <w:r w:rsidRPr="00CF6993">
        <w:rPr>
          <w:rFonts w:cstheme="minorHAnsi"/>
          <w:lang w:val="en-US"/>
        </w:rPr>
        <w:t xml:space="preserve"> deals with the protection of the systems operating in the mobile-satellite service in the band 406-406.1 </w:t>
      </w:r>
      <w:proofErr w:type="spellStart"/>
      <w:r w:rsidRPr="00CF6993">
        <w:rPr>
          <w:rFonts w:cstheme="minorHAnsi"/>
          <w:lang w:val="en-US"/>
        </w:rPr>
        <w:t>MHz.</w:t>
      </w:r>
      <w:proofErr w:type="spellEnd"/>
      <w:r w:rsidRPr="00CF6993">
        <w:rPr>
          <w:rFonts w:cstheme="minorHAnsi"/>
          <w:lang w:val="en-US"/>
        </w:rPr>
        <w:t xml:space="preserve"> The Bureau continued to organize special monitoring </w:t>
      </w:r>
      <w:proofErr w:type="spellStart"/>
      <w:r w:rsidRPr="00CF6993">
        <w:rPr>
          <w:rFonts w:cstheme="minorHAnsi"/>
          <w:lang w:val="en-US"/>
        </w:rPr>
        <w:t>programmes</w:t>
      </w:r>
      <w:proofErr w:type="spellEnd"/>
      <w:r w:rsidRPr="00CF6993">
        <w:rPr>
          <w:rFonts w:cstheme="minorHAnsi"/>
          <w:lang w:val="en-US"/>
        </w:rPr>
        <w:t xml:space="preserve"> in the frequency band 406-406.1 MHz and on the impact of unwanted emissions from systems operating in the frequency bands 405.9-406 MHz and 406.1-406.2 MHz on MSS reception in the frequency band 406-406.1 </w:t>
      </w:r>
      <w:proofErr w:type="spellStart"/>
      <w:r w:rsidRPr="00CF6993">
        <w:rPr>
          <w:rFonts w:cstheme="minorHAnsi"/>
          <w:lang w:val="en-US"/>
        </w:rPr>
        <w:t>MHz.</w:t>
      </w:r>
      <w:proofErr w:type="spellEnd"/>
    </w:p>
    <w:p w14:paraId="6089E483" w14:textId="77777777" w:rsidR="00C74DA0" w:rsidRPr="00CF6993" w:rsidRDefault="00C74DA0" w:rsidP="00C74DA0">
      <w:pPr>
        <w:rPr>
          <w:rFonts w:cstheme="minorHAnsi"/>
          <w:lang w:val="en-US"/>
        </w:rPr>
      </w:pPr>
      <w:r w:rsidRPr="00CF6993">
        <w:rPr>
          <w:rFonts w:cstheme="minorHAnsi"/>
          <w:lang w:val="en-US"/>
        </w:rPr>
        <w:t xml:space="preserve">The Bureau continued to ensure the necessary liaison between administrations performing monitoring and the administrations from where unauthorized emissions are generated. As a result of this liaison, several unauthorized emissions ceased. The Bureau also liaised with the COSPAS-SARSAT Secretariat on these issues and participated in the meetings of the Joint Technical Committee of this organization. </w:t>
      </w:r>
    </w:p>
    <w:p w14:paraId="251070B3" w14:textId="5790D620" w:rsidR="00C74DA0" w:rsidRPr="00CF6993" w:rsidRDefault="00C74DA0" w:rsidP="00C74DA0">
      <w:pPr>
        <w:rPr>
          <w:rFonts w:cstheme="minorHAnsi"/>
          <w:highlight w:val="cyan"/>
          <w:lang w:val="en-US"/>
        </w:rPr>
      </w:pPr>
      <w:r w:rsidRPr="00CF6993">
        <w:rPr>
          <w:rFonts w:cstheme="minorHAnsi"/>
          <w:lang w:val="en-US"/>
        </w:rPr>
        <w:t>The monitoring results on the band 406-406.1 MHz and the adjacent bands are summarized in the Table below (rows 3 and 4). For the completeness of the report on the monitoring activities, Table 3.</w:t>
      </w:r>
      <w:r>
        <w:rPr>
          <w:rFonts w:cstheme="minorHAnsi"/>
          <w:lang w:val="en-US"/>
        </w:rPr>
        <w:t>5</w:t>
      </w:r>
      <w:r w:rsidRPr="00CF6993">
        <w:rPr>
          <w:rFonts w:cstheme="minorHAnsi"/>
          <w:lang w:val="en-US"/>
        </w:rPr>
        <w:t>.2-1 below also provides the data on regular monitoring in frequency bands between 2</w:t>
      </w:r>
      <w:r w:rsidR="005812BD">
        <w:rPr>
          <w:rFonts w:cstheme="minorHAnsi"/>
          <w:lang w:val="en-US"/>
        </w:rPr>
        <w:t> </w:t>
      </w:r>
      <w:r w:rsidRPr="00CF6993">
        <w:rPr>
          <w:rFonts w:cstheme="minorHAnsi"/>
          <w:lang w:val="en-US"/>
        </w:rPr>
        <w:t>850</w:t>
      </w:r>
      <w:r w:rsidR="005812BD">
        <w:rPr>
          <w:rFonts w:cstheme="minorHAnsi"/>
          <w:lang w:val="en-US"/>
        </w:rPr>
        <w:t> </w:t>
      </w:r>
      <w:r w:rsidRPr="00CF6993">
        <w:rPr>
          <w:rFonts w:cstheme="minorHAnsi"/>
          <w:lang w:val="en-US"/>
        </w:rPr>
        <w:t>kHz and 28 000 kHz (row 1). All observations from this regular monitoring were processed in a timely manner and were made available on the ITU website.</w:t>
      </w:r>
      <w:r w:rsidRPr="00CF6993">
        <w:rPr>
          <w:rFonts w:cstheme="minorHAnsi"/>
          <w:highlight w:val="cyan"/>
          <w:lang w:val="en-US"/>
        </w:rPr>
        <w:t xml:space="preserve"> </w:t>
      </w:r>
    </w:p>
    <w:p w14:paraId="02C04737" w14:textId="77777777" w:rsidR="00C74DA0" w:rsidRPr="00CF6993" w:rsidRDefault="00C74DA0" w:rsidP="00C74DA0">
      <w:pPr>
        <w:pStyle w:val="TableNo"/>
        <w:rPr>
          <w:rFonts w:cstheme="minorHAnsi"/>
          <w:sz w:val="22"/>
          <w:lang w:val="en-US"/>
        </w:rPr>
      </w:pPr>
      <w:r w:rsidRPr="00CF6993">
        <w:rPr>
          <w:rFonts w:cstheme="minorHAnsi"/>
          <w:sz w:val="22"/>
          <w:lang w:val="en-US"/>
        </w:rPr>
        <w:t>Table 3.</w:t>
      </w:r>
      <w:r>
        <w:rPr>
          <w:rFonts w:cstheme="minorHAnsi"/>
          <w:sz w:val="22"/>
          <w:lang w:val="en-US"/>
        </w:rPr>
        <w:t>5</w:t>
      </w:r>
      <w:r w:rsidRPr="00CF6993">
        <w:rPr>
          <w:rFonts w:cstheme="minorHAnsi"/>
          <w:sz w:val="22"/>
          <w:lang w:val="en-US"/>
        </w:rPr>
        <w:t>.2-1</w:t>
      </w:r>
    </w:p>
    <w:p w14:paraId="2578C7B3" w14:textId="77777777" w:rsidR="00C74DA0" w:rsidRPr="00EE13EB" w:rsidRDefault="00C74DA0" w:rsidP="00C74DA0">
      <w:pPr>
        <w:pStyle w:val="Tabletitle"/>
        <w:rPr>
          <w:lang w:val="en-US"/>
        </w:rPr>
      </w:pPr>
      <w:r w:rsidRPr="00EE13EB">
        <w:rPr>
          <w:lang w:val="en-US"/>
        </w:rPr>
        <w:t>Summary information regarding the treatment of monitoring reports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6"/>
        <w:gridCol w:w="1276"/>
        <w:gridCol w:w="1276"/>
        <w:gridCol w:w="1274"/>
        <w:gridCol w:w="1416"/>
        <w:gridCol w:w="1416"/>
      </w:tblGrid>
      <w:tr w:rsidR="00C74DA0" w:rsidRPr="008640E7" w14:paraId="74514CBE" w14:textId="77777777">
        <w:trPr>
          <w:cantSplit/>
        </w:trPr>
        <w:tc>
          <w:tcPr>
            <w:tcW w:w="1545" w:type="pct"/>
            <w:tcBorders>
              <w:top w:val="nil"/>
              <w:left w:val="nil"/>
              <w:bottom w:val="single" w:sz="4" w:space="0" w:color="auto"/>
              <w:right w:val="single" w:sz="4" w:space="0" w:color="auto"/>
            </w:tcBorders>
            <w:vAlign w:val="center"/>
          </w:tcPr>
          <w:p w14:paraId="2591D2C8" w14:textId="77777777" w:rsidR="00C74DA0" w:rsidRPr="00EE13EB" w:rsidRDefault="00C74DA0">
            <w:pPr>
              <w:pStyle w:val="Tablehead"/>
              <w:rPr>
                <w:lang w:val="en-US"/>
              </w:rPr>
            </w:pPr>
          </w:p>
        </w:tc>
        <w:tc>
          <w:tcPr>
            <w:tcW w:w="662" w:type="pct"/>
            <w:tcBorders>
              <w:top w:val="single" w:sz="4" w:space="0" w:color="auto"/>
              <w:left w:val="single" w:sz="4" w:space="0" w:color="auto"/>
              <w:bottom w:val="single" w:sz="4" w:space="0" w:color="auto"/>
            </w:tcBorders>
            <w:vAlign w:val="center"/>
          </w:tcPr>
          <w:p w14:paraId="66500856" w14:textId="77777777" w:rsidR="00C74DA0" w:rsidRPr="00CF6993" w:rsidRDefault="00C74DA0">
            <w:pPr>
              <w:pStyle w:val="Tablehead"/>
            </w:pPr>
            <w:r w:rsidRPr="00CF6993">
              <w:t>2019</w:t>
            </w:r>
          </w:p>
        </w:tc>
        <w:tc>
          <w:tcPr>
            <w:tcW w:w="662" w:type="pct"/>
            <w:tcBorders>
              <w:top w:val="single" w:sz="4" w:space="0" w:color="auto"/>
              <w:bottom w:val="single" w:sz="4" w:space="0" w:color="auto"/>
            </w:tcBorders>
            <w:vAlign w:val="center"/>
          </w:tcPr>
          <w:p w14:paraId="275CC899" w14:textId="77777777" w:rsidR="00C74DA0" w:rsidRPr="00CF6993" w:rsidRDefault="00C74DA0">
            <w:pPr>
              <w:pStyle w:val="Tablehead"/>
            </w:pPr>
            <w:r w:rsidRPr="00CF6993">
              <w:t>2020</w:t>
            </w:r>
          </w:p>
        </w:tc>
        <w:tc>
          <w:tcPr>
            <w:tcW w:w="661" w:type="pct"/>
            <w:tcBorders>
              <w:top w:val="single" w:sz="4" w:space="0" w:color="auto"/>
              <w:bottom w:val="single" w:sz="4" w:space="0" w:color="auto"/>
              <w:right w:val="single" w:sz="4" w:space="0" w:color="auto"/>
            </w:tcBorders>
            <w:vAlign w:val="center"/>
          </w:tcPr>
          <w:p w14:paraId="2D886B00" w14:textId="77777777" w:rsidR="00C74DA0" w:rsidRPr="00CF6993" w:rsidRDefault="00C74DA0">
            <w:pPr>
              <w:pStyle w:val="Tablehead"/>
            </w:pPr>
            <w:r w:rsidRPr="00CF6993">
              <w:t>2021</w:t>
            </w:r>
          </w:p>
        </w:tc>
        <w:tc>
          <w:tcPr>
            <w:tcW w:w="735" w:type="pct"/>
            <w:tcBorders>
              <w:top w:val="single" w:sz="4" w:space="0" w:color="auto"/>
              <w:bottom w:val="single" w:sz="4" w:space="0" w:color="auto"/>
            </w:tcBorders>
          </w:tcPr>
          <w:p w14:paraId="657DBB89" w14:textId="77777777" w:rsidR="00C74DA0" w:rsidRPr="00CF6993" w:rsidRDefault="00C74DA0">
            <w:pPr>
              <w:pStyle w:val="Tablehead"/>
            </w:pPr>
            <w:r w:rsidRPr="00CF6993">
              <w:t>2022</w:t>
            </w:r>
          </w:p>
        </w:tc>
        <w:tc>
          <w:tcPr>
            <w:tcW w:w="735" w:type="pct"/>
            <w:tcBorders>
              <w:top w:val="single" w:sz="4" w:space="0" w:color="auto"/>
              <w:bottom w:val="single" w:sz="4" w:space="0" w:color="auto"/>
              <w:right w:val="single" w:sz="4" w:space="0" w:color="auto"/>
            </w:tcBorders>
            <w:vAlign w:val="center"/>
          </w:tcPr>
          <w:p w14:paraId="23905D20" w14:textId="54FBEEC2" w:rsidR="00C74DA0" w:rsidRPr="00CF6993" w:rsidRDefault="00C74DA0">
            <w:pPr>
              <w:pStyle w:val="Tablehead"/>
            </w:pPr>
            <w:r w:rsidRPr="00CF6993">
              <w:t>2023</w:t>
            </w:r>
            <w:r w:rsidR="005812BD">
              <w:rPr>
                <w:rStyle w:val="FootnoteReference"/>
                <w:sz w:val="16"/>
                <w:szCs w:val="16"/>
              </w:rPr>
              <w:t>*</w:t>
            </w:r>
          </w:p>
        </w:tc>
      </w:tr>
      <w:tr w:rsidR="00C74DA0" w:rsidRPr="008640E7" w14:paraId="6547D623" w14:textId="77777777">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6DFA1719" w14:textId="69935593" w:rsidR="00C74DA0" w:rsidRPr="00EE13EB" w:rsidRDefault="00C74DA0">
            <w:pPr>
              <w:pStyle w:val="Tabletext"/>
              <w:rPr>
                <w:lang w:val="en-US"/>
              </w:rPr>
            </w:pPr>
            <w:r w:rsidRPr="00EE13EB">
              <w:rPr>
                <w:lang w:val="en-US"/>
              </w:rPr>
              <w:t>Regular monitoring in the bands 2</w:t>
            </w:r>
            <w:r w:rsidR="004B7493">
              <w:rPr>
                <w:lang w:val="en-US"/>
              </w:rPr>
              <w:t> </w:t>
            </w:r>
            <w:r w:rsidRPr="00EE13EB">
              <w:rPr>
                <w:lang w:val="en-US"/>
              </w:rPr>
              <w:t>850 kHz and 28 000 kHz: No. of observations processed</w:t>
            </w:r>
          </w:p>
        </w:tc>
        <w:tc>
          <w:tcPr>
            <w:tcW w:w="662" w:type="pct"/>
            <w:tcBorders>
              <w:top w:val="single" w:sz="4" w:space="0" w:color="auto"/>
              <w:left w:val="single" w:sz="4" w:space="0" w:color="auto"/>
              <w:bottom w:val="single" w:sz="4" w:space="0" w:color="auto"/>
              <w:right w:val="single" w:sz="4" w:space="0" w:color="auto"/>
            </w:tcBorders>
            <w:vAlign w:val="center"/>
          </w:tcPr>
          <w:p w14:paraId="2E550083" w14:textId="77777777" w:rsidR="00C74DA0" w:rsidRPr="00CF6993" w:rsidRDefault="00C74DA0">
            <w:pPr>
              <w:pStyle w:val="Tabletext"/>
              <w:jc w:val="center"/>
            </w:pPr>
            <w:r w:rsidRPr="00CF6993">
              <w:t>30 825</w:t>
            </w:r>
          </w:p>
        </w:tc>
        <w:tc>
          <w:tcPr>
            <w:tcW w:w="662" w:type="pct"/>
            <w:tcBorders>
              <w:top w:val="single" w:sz="4" w:space="0" w:color="auto"/>
              <w:left w:val="single" w:sz="4" w:space="0" w:color="auto"/>
              <w:bottom w:val="single" w:sz="4" w:space="0" w:color="auto"/>
              <w:right w:val="single" w:sz="4" w:space="0" w:color="auto"/>
            </w:tcBorders>
            <w:vAlign w:val="center"/>
          </w:tcPr>
          <w:p w14:paraId="0E0160C2" w14:textId="77777777" w:rsidR="00C74DA0" w:rsidRPr="00CF6993" w:rsidRDefault="00C74DA0">
            <w:pPr>
              <w:pStyle w:val="Tabletext"/>
              <w:jc w:val="center"/>
            </w:pPr>
            <w:r w:rsidRPr="00CF6993">
              <w:t>25 642</w:t>
            </w:r>
          </w:p>
        </w:tc>
        <w:tc>
          <w:tcPr>
            <w:tcW w:w="661" w:type="pct"/>
            <w:tcBorders>
              <w:top w:val="single" w:sz="4" w:space="0" w:color="auto"/>
              <w:left w:val="single" w:sz="4" w:space="0" w:color="auto"/>
              <w:bottom w:val="single" w:sz="4" w:space="0" w:color="auto"/>
              <w:right w:val="single" w:sz="4" w:space="0" w:color="auto"/>
            </w:tcBorders>
            <w:vAlign w:val="center"/>
          </w:tcPr>
          <w:p w14:paraId="65E9AAAC" w14:textId="77777777" w:rsidR="00C74DA0" w:rsidRPr="00CF6993" w:rsidRDefault="00C74DA0">
            <w:pPr>
              <w:pStyle w:val="Tabletext"/>
              <w:jc w:val="center"/>
            </w:pPr>
            <w:r w:rsidRPr="00CF6993">
              <w:t xml:space="preserve">19 868 </w:t>
            </w:r>
          </w:p>
        </w:tc>
        <w:tc>
          <w:tcPr>
            <w:tcW w:w="735" w:type="pct"/>
            <w:tcBorders>
              <w:top w:val="single" w:sz="4" w:space="0" w:color="auto"/>
              <w:left w:val="single" w:sz="4" w:space="0" w:color="auto"/>
              <w:bottom w:val="single" w:sz="4" w:space="0" w:color="auto"/>
              <w:right w:val="single" w:sz="4" w:space="0" w:color="auto"/>
            </w:tcBorders>
            <w:vAlign w:val="center"/>
          </w:tcPr>
          <w:p w14:paraId="50456B2A" w14:textId="77777777" w:rsidR="00C74DA0" w:rsidRPr="00CF6993" w:rsidRDefault="00C74DA0">
            <w:pPr>
              <w:pStyle w:val="Tabletext"/>
              <w:jc w:val="center"/>
            </w:pPr>
            <w:r w:rsidRPr="00CF6993">
              <w:t>23 555</w:t>
            </w:r>
          </w:p>
        </w:tc>
        <w:tc>
          <w:tcPr>
            <w:tcW w:w="735" w:type="pct"/>
            <w:tcBorders>
              <w:top w:val="single" w:sz="4" w:space="0" w:color="auto"/>
              <w:left w:val="single" w:sz="4" w:space="0" w:color="auto"/>
              <w:bottom w:val="single" w:sz="4" w:space="0" w:color="auto"/>
              <w:right w:val="single" w:sz="4" w:space="0" w:color="auto"/>
            </w:tcBorders>
            <w:vAlign w:val="center"/>
          </w:tcPr>
          <w:p w14:paraId="122D0C91" w14:textId="77777777" w:rsidR="00C74DA0" w:rsidRPr="00CF6993" w:rsidRDefault="00C74DA0">
            <w:pPr>
              <w:pStyle w:val="Tabletext"/>
              <w:jc w:val="center"/>
            </w:pPr>
            <w:r w:rsidRPr="00CF6993">
              <w:t>15 165</w:t>
            </w:r>
          </w:p>
        </w:tc>
      </w:tr>
      <w:tr w:rsidR="00C74DA0" w:rsidRPr="008640E7" w14:paraId="0C81DF4E" w14:textId="77777777">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0FEEF727" w14:textId="3BC71CFA" w:rsidR="00C74DA0" w:rsidRPr="00EE13EB" w:rsidRDefault="00C74DA0">
            <w:pPr>
              <w:pStyle w:val="Tabletext"/>
              <w:rPr>
                <w:lang w:val="en-US"/>
              </w:rPr>
            </w:pPr>
            <w:r w:rsidRPr="00EE13EB">
              <w:rPr>
                <w:lang w:val="en-US"/>
              </w:rPr>
              <w:t>Special monitoring under Res.</w:t>
            </w:r>
            <w:r w:rsidRPr="00EE13EB" w:rsidDel="00EB18D3">
              <w:rPr>
                <w:lang w:val="en-US"/>
              </w:rPr>
              <w:t xml:space="preserve"> </w:t>
            </w:r>
            <w:r w:rsidRPr="004B7493">
              <w:rPr>
                <w:b/>
                <w:bCs/>
                <w:lang w:val="en-US"/>
              </w:rPr>
              <w:t>205</w:t>
            </w:r>
            <w:r w:rsidRPr="00EE13EB">
              <w:rPr>
                <w:lang w:val="en-US"/>
              </w:rPr>
              <w:t>: No. of unauthorized emissions in the band 406-406.1</w:t>
            </w:r>
            <w:r w:rsidR="004B7493">
              <w:rPr>
                <w:lang w:val="en-US"/>
              </w:rPr>
              <w:t> </w:t>
            </w:r>
            <w:r w:rsidRPr="00EE13EB">
              <w:rPr>
                <w:lang w:val="en-US"/>
              </w:rPr>
              <w:t>MHz</w:t>
            </w:r>
          </w:p>
        </w:tc>
        <w:tc>
          <w:tcPr>
            <w:tcW w:w="662" w:type="pct"/>
            <w:tcBorders>
              <w:top w:val="single" w:sz="4" w:space="0" w:color="auto"/>
              <w:left w:val="single" w:sz="4" w:space="0" w:color="auto"/>
              <w:bottom w:val="single" w:sz="4" w:space="0" w:color="auto"/>
              <w:right w:val="single" w:sz="4" w:space="0" w:color="auto"/>
            </w:tcBorders>
            <w:vAlign w:val="center"/>
          </w:tcPr>
          <w:p w14:paraId="5D8C3F00" w14:textId="77777777" w:rsidR="00C74DA0" w:rsidRPr="00CF6993" w:rsidRDefault="00C74DA0">
            <w:pPr>
              <w:pStyle w:val="Tabletext"/>
              <w:jc w:val="center"/>
            </w:pPr>
            <w:r w:rsidRPr="00CF6993">
              <w:t>227</w:t>
            </w:r>
          </w:p>
        </w:tc>
        <w:tc>
          <w:tcPr>
            <w:tcW w:w="662" w:type="pct"/>
            <w:tcBorders>
              <w:top w:val="single" w:sz="4" w:space="0" w:color="auto"/>
              <w:left w:val="single" w:sz="4" w:space="0" w:color="auto"/>
              <w:bottom w:val="single" w:sz="4" w:space="0" w:color="auto"/>
              <w:right w:val="single" w:sz="4" w:space="0" w:color="auto"/>
            </w:tcBorders>
            <w:vAlign w:val="center"/>
          </w:tcPr>
          <w:p w14:paraId="6859C6CD" w14:textId="77777777" w:rsidR="00C74DA0" w:rsidRPr="00CF6993" w:rsidRDefault="00C74DA0">
            <w:pPr>
              <w:pStyle w:val="Tabletext"/>
              <w:jc w:val="center"/>
            </w:pPr>
            <w:r w:rsidRPr="00CF6993">
              <w:t>174</w:t>
            </w:r>
          </w:p>
        </w:tc>
        <w:tc>
          <w:tcPr>
            <w:tcW w:w="661" w:type="pct"/>
            <w:tcBorders>
              <w:top w:val="single" w:sz="4" w:space="0" w:color="auto"/>
              <w:left w:val="single" w:sz="4" w:space="0" w:color="auto"/>
              <w:bottom w:val="single" w:sz="4" w:space="0" w:color="auto"/>
              <w:right w:val="single" w:sz="4" w:space="0" w:color="auto"/>
            </w:tcBorders>
            <w:vAlign w:val="center"/>
          </w:tcPr>
          <w:p w14:paraId="572CA493" w14:textId="77777777" w:rsidR="00C74DA0" w:rsidRPr="00CF6993" w:rsidRDefault="00C74DA0">
            <w:pPr>
              <w:pStyle w:val="Tabletext"/>
              <w:jc w:val="center"/>
            </w:pPr>
            <w:r w:rsidRPr="00CF6993">
              <w:t>136</w:t>
            </w:r>
          </w:p>
        </w:tc>
        <w:tc>
          <w:tcPr>
            <w:tcW w:w="735" w:type="pct"/>
            <w:tcBorders>
              <w:top w:val="single" w:sz="4" w:space="0" w:color="auto"/>
              <w:left w:val="single" w:sz="4" w:space="0" w:color="auto"/>
              <w:bottom w:val="single" w:sz="4" w:space="0" w:color="auto"/>
              <w:right w:val="single" w:sz="4" w:space="0" w:color="auto"/>
            </w:tcBorders>
            <w:vAlign w:val="center"/>
          </w:tcPr>
          <w:p w14:paraId="66B29023" w14:textId="77777777" w:rsidR="00C74DA0" w:rsidRPr="00CF6993" w:rsidRDefault="00C74DA0">
            <w:pPr>
              <w:pStyle w:val="Tabletext"/>
              <w:jc w:val="center"/>
            </w:pPr>
            <w:r w:rsidRPr="00CF6993">
              <w:t>387</w:t>
            </w:r>
          </w:p>
        </w:tc>
        <w:tc>
          <w:tcPr>
            <w:tcW w:w="735" w:type="pct"/>
            <w:tcBorders>
              <w:top w:val="single" w:sz="4" w:space="0" w:color="auto"/>
              <w:left w:val="single" w:sz="4" w:space="0" w:color="auto"/>
              <w:bottom w:val="single" w:sz="4" w:space="0" w:color="auto"/>
              <w:right w:val="single" w:sz="4" w:space="0" w:color="auto"/>
            </w:tcBorders>
            <w:vAlign w:val="center"/>
          </w:tcPr>
          <w:p w14:paraId="6B508EC4" w14:textId="77777777" w:rsidR="00C74DA0" w:rsidRPr="00CF6993" w:rsidRDefault="00C74DA0">
            <w:pPr>
              <w:pStyle w:val="Tabletext"/>
              <w:jc w:val="center"/>
            </w:pPr>
            <w:r w:rsidRPr="00CF6993">
              <w:t>312</w:t>
            </w:r>
          </w:p>
        </w:tc>
      </w:tr>
      <w:tr w:rsidR="00C74DA0" w:rsidRPr="008640E7" w14:paraId="4212A524" w14:textId="77777777" w:rsidTr="005812BD">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6D606E9A" w14:textId="77777777" w:rsidR="00C74DA0" w:rsidRPr="00EE13EB" w:rsidRDefault="00C74DA0">
            <w:pPr>
              <w:pStyle w:val="Tabletext"/>
              <w:rPr>
                <w:lang w:val="en-US"/>
              </w:rPr>
            </w:pPr>
            <w:r w:rsidRPr="00EE13EB">
              <w:rPr>
                <w:lang w:val="en-US"/>
              </w:rPr>
              <w:t>Special monitoring under Res.</w:t>
            </w:r>
            <w:r w:rsidRPr="00EE13EB" w:rsidDel="00EB18D3">
              <w:rPr>
                <w:lang w:val="en-US"/>
              </w:rPr>
              <w:t xml:space="preserve"> </w:t>
            </w:r>
            <w:r w:rsidRPr="004B7493">
              <w:rPr>
                <w:b/>
                <w:bCs/>
                <w:lang w:val="en-US"/>
              </w:rPr>
              <w:t>205</w:t>
            </w:r>
            <w:r w:rsidRPr="00EE13EB">
              <w:rPr>
                <w:lang w:val="en-US"/>
              </w:rPr>
              <w:t>: No. of measurements in the bands 405.9-406 MHz and 406.1-406.2 MHz</w:t>
            </w:r>
          </w:p>
        </w:tc>
        <w:tc>
          <w:tcPr>
            <w:tcW w:w="662" w:type="pct"/>
            <w:tcBorders>
              <w:top w:val="single" w:sz="4" w:space="0" w:color="auto"/>
              <w:left w:val="single" w:sz="4" w:space="0" w:color="auto"/>
              <w:bottom w:val="single" w:sz="4" w:space="0" w:color="auto"/>
              <w:right w:val="single" w:sz="4" w:space="0" w:color="auto"/>
            </w:tcBorders>
            <w:vAlign w:val="center"/>
          </w:tcPr>
          <w:p w14:paraId="277FFDC9" w14:textId="77777777" w:rsidR="00C74DA0" w:rsidRPr="00CF6993" w:rsidRDefault="00C74DA0">
            <w:pPr>
              <w:pStyle w:val="Tabletext"/>
              <w:jc w:val="center"/>
            </w:pPr>
            <w:r w:rsidRPr="00CF6993">
              <w:t>26</w:t>
            </w:r>
          </w:p>
        </w:tc>
        <w:tc>
          <w:tcPr>
            <w:tcW w:w="662" w:type="pct"/>
            <w:tcBorders>
              <w:top w:val="single" w:sz="4" w:space="0" w:color="auto"/>
              <w:left w:val="single" w:sz="4" w:space="0" w:color="auto"/>
              <w:bottom w:val="single" w:sz="4" w:space="0" w:color="auto"/>
              <w:right w:val="single" w:sz="4" w:space="0" w:color="auto"/>
            </w:tcBorders>
            <w:vAlign w:val="center"/>
          </w:tcPr>
          <w:p w14:paraId="7437DAF6" w14:textId="77777777" w:rsidR="00C74DA0" w:rsidRPr="00CF6993" w:rsidRDefault="00C74DA0">
            <w:pPr>
              <w:pStyle w:val="Tabletext"/>
              <w:jc w:val="center"/>
            </w:pPr>
            <w:r w:rsidRPr="00CF6993">
              <w:t>0</w:t>
            </w:r>
          </w:p>
        </w:tc>
        <w:tc>
          <w:tcPr>
            <w:tcW w:w="661" w:type="pct"/>
            <w:tcBorders>
              <w:top w:val="single" w:sz="4" w:space="0" w:color="auto"/>
              <w:left w:val="single" w:sz="4" w:space="0" w:color="auto"/>
              <w:bottom w:val="single" w:sz="4" w:space="0" w:color="auto"/>
              <w:right w:val="single" w:sz="4" w:space="0" w:color="auto"/>
            </w:tcBorders>
            <w:vAlign w:val="center"/>
          </w:tcPr>
          <w:p w14:paraId="1DD8127E" w14:textId="77777777" w:rsidR="00C74DA0" w:rsidRPr="00CF6993" w:rsidRDefault="00C74DA0">
            <w:pPr>
              <w:pStyle w:val="Tabletext"/>
              <w:jc w:val="center"/>
            </w:pPr>
            <w:r w:rsidRPr="00CF6993">
              <w:t>55</w:t>
            </w:r>
          </w:p>
        </w:tc>
        <w:tc>
          <w:tcPr>
            <w:tcW w:w="735" w:type="pct"/>
            <w:tcBorders>
              <w:top w:val="single" w:sz="4" w:space="0" w:color="auto"/>
              <w:left w:val="single" w:sz="4" w:space="0" w:color="auto"/>
              <w:bottom w:val="single" w:sz="4" w:space="0" w:color="auto"/>
              <w:right w:val="single" w:sz="4" w:space="0" w:color="auto"/>
            </w:tcBorders>
            <w:vAlign w:val="center"/>
          </w:tcPr>
          <w:p w14:paraId="054A40D2" w14:textId="77777777" w:rsidR="00C74DA0" w:rsidRPr="00CF6993" w:rsidRDefault="00C74DA0">
            <w:pPr>
              <w:pStyle w:val="Tabletext"/>
              <w:jc w:val="center"/>
            </w:pPr>
            <w:r w:rsidRPr="00CF6993">
              <w:t>0</w:t>
            </w:r>
          </w:p>
        </w:tc>
        <w:tc>
          <w:tcPr>
            <w:tcW w:w="735" w:type="pct"/>
            <w:tcBorders>
              <w:top w:val="single" w:sz="4" w:space="0" w:color="auto"/>
              <w:left w:val="single" w:sz="4" w:space="0" w:color="auto"/>
              <w:bottom w:val="single" w:sz="4" w:space="0" w:color="auto"/>
              <w:right w:val="single" w:sz="4" w:space="0" w:color="auto"/>
            </w:tcBorders>
            <w:vAlign w:val="center"/>
          </w:tcPr>
          <w:p w14:paraId="0CA571FD" w14:textId="77777777" w:rsidR="00C74DA0" w:rsidRPr="00CF6993" w:rsidRDefault="00C74DA0">
            <w:pPr>
              <w:pStyle w:val="Tabletext"/>
              <w:jc w:val="center"/>
            </w:pPr>
            <w:r w:rsidRPr="00CF6993">
              <w:t>14</w:t>
            </w:r>
          </w:p>
        </w:tc>
      </w:tr>
      <w:tr w:rsidR="005812BD" w:rsidRPr="008640E7" w14:paraId="4ACD1961" w14:textId="77777777" w:rsidTr="005812BD">
        <w:trPr>
          <w:cantSplit/>
        </w:trPr>
        <w:tc>
          <w:tcPr>
            <w:tcW w:w="5000" w:type="pct"/>
            <w:gridSpan w:val="6"/>
            <w:tcBorders>
              <w:top w:val="single" w:sz="4" w:space="0" w:color="auto"/>
              <w:left w:val="nil"/>
              <w:bottom w:val="nil"/>
              <w:right w:val="nil"/>
            </w:tcBorders>
            <w:vAlign w:val="center"/>
          </w:tcPr>
          <w:p w14:paraId="6A57F133" w14:textId="365E8998" w:rsidR="005812BD" w:rsidRPr="005812BD" w:rsidRDefault="005812BD" w:rsidP="005812BD">
            <w:pPr>
              <w:pStyle w:val="Tablelegend"/>
              <w:rPr>
                <w:highlight w:val="green"/>
                <w:lang w:val="en-US"/>
              </w:rPr>
            </w:pPr>
            <w:r>
              <w:rPr>
                <w:vertAlign w:val="superscript"/>
                <w:lang w:val="en-US"/>
              </w:rPr>
              <w:t xml:space="preserve">* </w:t>
            </w:r>
            <w:r>
              <w:rPr>
                <w:lang w:val="en-US"/>
              </w:rPr>
              <w:t>The</w:t>
            </w:r>
            <w:r w:rsidRPr="00CE57D5">
              <w:rPr>
                <w:lang w:val="en-US"/>
              </w:rPr>
              <w:t xml:space="preserve"> statistics are up to June 2023</w:t>
            </w:r>
          </w:p>
        </w:tc>
      </w:tr>
    </w:tbl>
    <w:p w14:paraId="6F383088" w14:textId="77777777" w:rsidR="005812BD" w:rsidRDefault="005812BD" w:rsidP="005812BD">
      <w:pPr>
        <w:pStyle w:val="Tablefin"/>
        <w:rPr>
          <w:lang w:val="en-US"/>
        </w:rPr>
      </w:pPr>
      <w:bookmarkStart w:id="113" w:name="_Hlk140250720"/>
    </w:p>
    <w:p w14:paraId="65E37742" w14:textId="300948BC" w:rsidR="00C74DA0" w:rsidRPr="000E3764" w:rsidRDefault="00C74DA0" w:rsidP="00C74DA0">
      <w:pPr>
        <w:jc w:val="both"/>
        <w:rPr>
          <w:lang w:val="en-US"/>
        </w:rPr>
      </w:pPr>
      <w:r w:rsidRPr="000E3764">
        <w:rPr>
          <w:b/>
          <w:lang w:val="en-US"/>
        </w:rPr>
        <w:t>3.5.3</w:t>
      </w:r>
      <w:r w:rsidRPr="000E3764">
        <w:rPr>
          <w:rFonts w:cstheme="minorHAnsi"/>
          <w:b/>
          <w:lang w:val="en-US"/>
        </w:rPr>
        <w:tab/>
      </w:r>
      <w:r w:rsidRPr="000E3764">
        <w:rPr>
          <w:b/>
          <w:lang w:val="en-US"/>
        </w:rPr>
        <w:t>Progress on the ITU-R studies of Resolution 427 (WRC-19)</w:t>
      </w:r>
    </w:p>
    <w:bookmarkEnd w:id="113"/>
    <w:p w14:paraId="6262F957" w14:textId="77777777" w:rsidR="00C74DA0" w:rsidRPr="000E3764" w:rsidRDefault="00C74DA0" w:rsidP="005812BD">
      <w:pPr>
        <w:rPr>
          <w:lang w:val="en-US"/>
        </w:rPr>
      </w:pPr>
      <w:r w:rsidRPr="000E3764">
        <w:rPr>
          <w:lang w:val="en-US"/>
        </w:rPr>
        <w:t xml:space="preserve">Resolution </w:t>
      </w:r>
      <w:r w:rsidRPr="000E3764">
        <w:rPr>
          <w:b/>
          <w:lang w:val="en-US"/>
        </w:rPr>
        <w:t>427 (WRC-19)</w:t>
      </w:r>
      <w:r w:rsidRPr="000E3764">
        <w:rPr>
          <w:lang w:val="en-US"/>
        </w:rPr>
        <w:t xml:space="preserve"> instructs the Director of the Radiocommunication Bureau to report to WRC-23 the progress on the ITU-R studies referred to in </w:t>
      </w:r>
      <w:r w:rsidRPr="000E3764">
        <w:rPr>
          <w:i/>
          <w:lang w:val="en-US"/>
        </w:rPr>
        <w:t>resolves</w:t>
      </w:r>
      <w:r w:rsidRPr="000E3764">
        <w:rPr>
          <w:lang w:val="en-US"/>
        </w:rPr>
        <w:t xml:space="preserve"> </w:t>
      </w:r>
      <w:r w:rsidRPr="000E3764">
        <w:rPr>
          <w:i/>
          <w:lang w:val="en-US"/>
        </w:rPr>
        <w:t>to invite the ITU Radiocommunication Sector</w:t>
      </w:r>
      <w:r w:rsidRPr="000E3764">
        <w:rPr>
          <w:lang w:val="en-US"/>
        </w:rPr>
        <w:t xml:space="preserve"> of this Resolution: </w:t>
      </w:r>
      <w:r w:rsidRPr="000E3764">
        <w:rPr>
          <w:rFonts w:eastAsia="Batang"/>
          <w:lang w:val="en-US"/>
        </w:rPr>
        <w:t>“to s</w:t>
      </w:r>
      <w:r w:rsidRPr="000E3764">
        <w:rPr>
          <w:lang w:val="en-US"/>
        </w:rPr>
        <w:t xml:space="preserve">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w:t>
      </w:r>
    </w:p>
    <w:p w14:paraId="0A045AB2" w14:textId="5277CE82" w:rsidR="00C74DA0" w:rsidRPr="00EE13EB" w:rsidRDefault="00C74DA0" w:rsidP="005812BD">
      <w:pPr>
        <w:rPr>
          <w:b/>
          <w:lang w:val="en-US"/>
        </w:rPr>
      </w:pPr>
      <w:r w:rsidRPr="000E3764">
        <w:rPr>
          <w:lang w:val="en-US"/>
        </w:rPr>
        <w:t xml:space="preserve">After WRC-19, at its </w:t>
      </w:r>
      <w:r>
        <w:rPr>
          <w:lang w:val="en-US"/>
        </w:rPr>
        <w:t>30</w:t>
      </w:r>
      <w:r w:rsidRPr="00CE57D5">
        <w:rPr>
          <w:vertAlign w:val="superscript"/>
          <w:lang w:val="en-US"/>
        </w:rPr>
        <w:t>th</w:t>
      </w:r>
      <w:r>
        <w:rPr>
          <w:lang w:val="en-US"/>
        </w:rPr>
        <w:t xml:space="preserve"> </w:t>
      </w:r>
      <w:r w:rsidRPr="000E3764">
        <w:rPr>
          <w:lang w:val="en-US"/>
        </w:rPr>
        <w:t>meeting on 14-25 November 2022, ITU-R Working Party 5B (WP 5B) has initiated work on a working document toward a</w:t>
      </w:r>
      <w:r w:rsidRPr="000E3764">
        <w:rPr>
          <w:lang w:val="en-US" w:eastAsia="ja-JP"/>
        </w:rPr>
        <w:t xml:space="preserve"> preliminary draft new </w:t>
      </w:r>
      <w:hyperlink r:id="rId64" w:history="1">
        <w:r w:rsidRPr="000E3764">
          <w:rPr>
            <w:rStyle w:val="Hyperlink"/>
            <w:rFonts w:cstheme="minorBidi"/>
            <w:lang w:val="en-US" w:eastAsia="ja-JP"/>
          </w:rPr>
          <w:t>Report ITU-R M.[AERO-PROVISIONS]</w:t>
        </w:r>
      </w:hyperlink>
      <w:r w:rsidRPr="000E3764">
        <w:rPr>
          <w:rStyle w:val="Hyperlink"/>
          <w:rFonts w:cstheme="minorBidi"/>
          <w:lang w:val="en-US" w:eastAsia="ja-JP"/>
        </w:rPr>
        <w:t xml:space="preserve"> (</w:t>
      </w:r>
      <w:hyperlink r:id="rId65" w:history="1">
        <w:r w:rsidRPr="000E3764">
          <w:rPr>
            <w:rStyle w:val="Hyperlink"/>
            <w:rFonts w:cstheme="minorBidi"/>
            <w:lang w:val="en-US"/>
          </w:rPr>
          <w:t>Annex 18 to WP 5B Chairman Report</w:t>
        </w:r>
      </w:hyperlink>
      <w:r w:rsidRPr="000E3764">
        <w:rPr>
          <w:lang w:val="en-US"/>
        </w:rPr>
        <w:t>)</w:t>
      </w:r>
      <w:r w:rsidRPr="000E3764">
        <w:rPr>
          <w:lang w:val="en-US" w:eastAsia="ja-JP"/>
        </w:rPr>
        <w:t xml:space="preserve"> </w:t>
      </w:r>
      <w:r w:rsidR="00811068">
        <w:rPr>
          <w:lang w:val="en-US" w:eastAsia="ja-JP"/>
        </w:rPr>
        <w:t>−</w:t>
      </w:r>
      <w:r w:rsidRPr="000E3764">
        <w:rPr>
          <w:lang w:val="en-US" w:eastAsia="ja-JP"/>
        </w:rPr>
        <w:t xml:space="preserve"> Updating provisions related to aeronautical services in the Radio Regulations, </w:t>
      </w:r>
      <w:r w:rsidRPr="000E3764">
        <w:rPr>
          <w:lang w:val="en-US"/>
        </w:rPr>
        <w:t xml:space="preserve">with respect to Resolution </w:t>
      </w:r>
      <w:r w:rsidRPr="000E3764">
        <w:rPr>
          <w:b/>
          <w:lang w:val="en-US"/>
        </w:rPr>
        <w:t>427 (WRC-19)</w:t>
      </w:r>
      <w:r w:rsidRPr="000E3764">
        <w:rPr>
          <w:lang w:val="en-US"/>
        </w:rPr>
        <w:t xml:space="preserve">. In this regard, the International Civil Aviation Organization (ICAO) was invited to provide comments, if any, through a liaison statement. By the time of its last meeting held on 10-21 July 2023 before WRC-23, WP 5B </w:t>
      </w:r>
      <w:r>
        <w:rPr>
          <w:lang w:val="en-US"/>
        </w:rPr>
        <w:t>has</w:t>
      </w:r>
      <w:r w:rsidRPr="000E3764">
        <w:rPr>
          <w:lang w:val="en-US"/>
        </w:rPr>
        <w:t xml:space="preserve"> not receive contributions with respect to the working document and hence it was not updated. </w:t>
      </w:r>
      <w:r w:rsidRPr="00EE13EB">
        <w:rPr>
          <w:lang w:val="en-US"/>
        </w:rPr>
        <w:t xml:space="preserve">    </w:t>
      </w:r>
    </w:p>
    <w:p w14:paraId="64181B34" w14:textId="77777777" w:rsidR="00C74DA0" w:rsidRPr="008640E7" w:rsidRDefault="00C74DA0" w:rsidP="00C74DA0">
      <w:pPr>
        <w:pStyle w:val="Heading3"/>
      </w:pPr>
      <w:bookmarkStart w:id="114" w:name="_Toc143072425"/>
      <w:r w:rsidRPr="008640E7">
        <w:t>3.</w:t>
      </w:r>
      <w:r>
        <w:t>5</w:t>
      </w:r>
      <w:r w:rsidRPr="008640E7">
        <w:t>.</w:t>
      </w:r>
      <w:r>
        <w:t>4</w:t>
      </w:r>
      <w:r w:rsidRPr="008640E7">
        <w:tab/>
        <w:t>Implementation of Resolution 535 (Rev.WRC-1</w:t>
      </w:r>
      <w:r>
        <w:t>9</w:t>
      </w:r>
      <w:r w:rsidRPr="008640E7">
        <w:t>)</w:t>
      </w:r>
      <w:bookmarkEnd w:id="114"/>
      <w:r w:rsidRPr="008640E7">
        <w:t xml:space="preserve"> </w:t>
      </w:r>
    </w:p>
    <w:p w14:paraId="0BD8911B" w14:textId="45A4FE17" w:rsidR="00C74DA0" w:rsidRDefault="00C74DA0" w:rsidP="00C74DA0">
      <w:pPr>
        <w:rPr>
          <w:rFonts w:eastAsiaTheme="minorEastAsia"/>
        </w:rPr>
      </w:pPr>
      <w:r w:rsidRPr="008640E7">
        <w:rPr>
          <w:rFonts w:eastAsiaTheme="minorEastAsia"/>
        </w:rPr>
        <w:t>Resolution</w:t>
      </w:r>
      <w:r w:rsidRPr="008640E7">
        <w:rPr>
          <w:rFonts w:eastAsiaTheme="minorEastAsia"/>
          <w:b/>
        </w:rPr>
        <w:t xml:space="preserve"> 535 (WRC-1</w:t>
      </w:r>
      <w:r>
        <w:rPr>
          <w:rFonts w:eastAsiaTheme="minorEastAsia"/>
          <w:b/>
        </w:rPr>
        <w:t>9</w:t>
      </w:r>
      <w:r w:rsidRPr="008640E7">
        <w:rPr>
          <w:rFonts w:eastAsiaTheme="minorEastAsia"/>
          <w:b/>
        </w:rPr>
        <w:t xml:space="preserve">) </w:t>
      </w:r>
      <w:r>
        <w:rPr>
          <w:rFonts w:eastAsiaTheme="minorEastAsia"/>
        </w:rPr>
        <w:t>deals with</w:t>
      </w:r>
      <w:r w:rsidRPr="008640E7">
        <w:rPr>
          <w:rFonts w:eastAsiaTheme="minorEastAsia"/>
        </w:rPr>
        <w:t xml:space="preserve"> the information needed for the application of Article </w:t>
      </w:r>
      <w:r w:rsidRPr="008640E7">
        <w:rPr>
          <w:rFonts w:eastAsiaTheme="minorEastAsia"/>
          <w:b/>
        </w:rPr>
        <w:t>12</w:t>
      </w:r>
      <w:r w:rsidRPr="008640E7">
        <w:rPr>
          <w:rFonts w:eastAsiaTheme="minorEastAsia"/>
        </w:rPr>
        <w:t xml:space="preserve"> of the Radio Regulations. It </w:t>
      </w:r>
      <w:r w:rsidRPr="008640E7">
        <w:rPr>
          <w:rFonts w:eastAsiaTheme="minorEastAsia"/>
          <w:i/>
          <w:iCs/>
        </w:rPr>
        <w:t>instructs the Director of the Radiocommunication Bureau</w:t>
      </w:r>
      <w:r w:rsidRPr="008640E7">
        <w:rPr>
          <w:rFonts w:eastAsiaTheme="minorEastAsia"/>
        </w:rPr>
        <w:t xml:space="preserve"> in item 2 “to consider improvements to the established arrangements for the preparation, publication and dissemination of the information relating to the application of Article </w:t>
      </w:r>
      <w:r w:rsidRPr="008640E7">
        <w:rPr>
          <w:rFonts w:eastAsiaTheme="minorEastAsia"/>
          <w:b/>
        </w:rPr>
        <w:t>12</w:t>
      </w:r>
      <w:r w:rsidRPr="008640E7">
        <w:rPr>
          <w:rFonts w:eastAsiaTheme="minorEastAsia"/>
        </w:rPr>
        <w:t>, in consultation with administrations and regional coordination groups”.</w:t>
      </w:r>
    </w:p>
    <w:p w14:paraId="0E436BEA" w14:textId="77777777" w:rsidR="00C74DA0" w:rsidRPr="00EE13EB" w:rsidRDefault="00C74DA0" w:rsidP="00C74DA0">
      <w:pPr>
        <w:rPr>
          <w:lang w:val="en-US"/>
        </w:rPr>
      </w:pPr>
      <w:r w:rsidRPr="000E3764">
        <w:rPr>
          <w:lang w:val="en-US"/>
        </w:rPr>
        <w:t>For the preparation of HFBC schedules, all current internal and external BR’s software uses Visual Basic which is no longer supported by Windows</w:t>
      </w:r>
      <w:r>
        <w:rPr>
          <w:lang w:val="en-US"/>
        </w:rPr>
        <w:t xml:space="preserve"> </w:t>
      </w:r>
      <w:r w:rsidRPr="000E3764">
        <w:rPr>
          <w:lang w:val="en-US"/>
        </w:rPr>
        <w:t>10, thus, a re-engineering of the software was initiated on 1 August 2022 to be in line with other existing online terrestrial applications developed on modern technologies. An initial beta version of the new HFBC software (</w:t>
      </w:r>
      <w:proofErr w:type="spellStart"/>
      <w:r w:rsidRPr="000E3764">
        <w:rPr>
          <w:lang w:val="en-US"/>
        </w:rPr>
        <w:t>eHFBC</w:t>
      </w:r>
      <w:proofErr w:type="spellEnd"/>
      <w:r w:rsidRPr="000E3764">
        <w:rPr>
          <w:lang w:val="en-US"/>
        </w:rPr>
        <w:t xml:space="preserve">) </w:t>
      </w:r>
      <w:r>
        <w:rPr>
          <w:lang w:val="en-US"/>
        </w:rPr>
        <w:t>was</w:t>
      </w:r>
      <w:r w:rsidRPr="000E3764">
        <w:rPr>
          <w:lang w:val="en-US"/>
        </w:rPr>
        <w:t xml:space="preserve"> expected to be made available to administrations for their comments </w:t>
      </w:r>
      <w:r>
        <w:rPr>
          <w:lang w:val="en-US"/>
        </w:rPr>
        <w:t>i</w:t>
      </w:r>
      <w:r w:rsidRPr="000E3764">
        <w:rPr>
          <w:lang w:val="en-US"/>
        </w:rPr>
        <w:t>n September 2023.</w:t>
      </w:r>
    </w:p>
    <w:p w14:paraId="4B8F9ED6" w14:textId="77777777" w:rsidR="00C74DA0" w:rsidRPr="008640E7" w:rsidRDefault="00C74DA0" w:rsidP="00C74DA0">
      <w:pPr>
        <w:pStyle w:val="Heading3"/>
      </w:pPr>
      <w:bookmarkStart w:id="115" w:name="_Toc143072426"/>
      <w:r w:rsidRPr="008640E7">
        <w:t>3.</w:t>
      </w:r>
      <w:r>
        <w:t>5</w:t>
      </w:r>
      <w:r w:rsidRPr="008640E7">
        <w:t>.5</w:t>
      </w:r>
      <w:r w:rsidRPr="008640E7">
        <w:tab/>
        <w:t>Implementation of Resolution 647 (</w:t>
      </w:r>
      <w:r>
        <w:t>Rev.</w:t>
      </w:r>
      <w:r w:rsidRPr="008640E7">
        <w:t>WRC</w:t>
      </w:r>
      <w:r w:rsidRPr="008640E7">
        <w:noBreakHyphen/>
      </w:r>
      <w:r>
        <w:t>19</w:t>
      </w:r>
      <w:r w:rsidRPr="008640E7">
        <w:t>)</w:t>
      </w:r>
      <w:bookmarkEnd w:id="115"/>
    </w:p>
    <w:p w14:paraId="5FCD65BC" w14:textId="77777777" w:rsidR="00C74DA0" w:rsidRPr="008640E7" w:rsidRDefault="00C74DA0" w:rsidP="00C74DA0">
      <w:r w:rsidRPr="008640E7">
        <w:t xml:space="preserve">Resolution </w:t>
      </w:r>
      <w:r w:rsidRPr="008640E7">
        <w:rPr>
          <w:b/>
          <w:bCs/>
        </w:rPr>
        <w:t>647</w:t>
      </w:r>
      <w:r w:rsidRPr="008640E7">
        <w:t xml:space="preserve"> </w:t>
      </w:r>
      <w:r w:rsidRPr="008640E7">
        <w:rPr>
          <w:b/>
        </w:rPr>
        <w:t>(Rev.WRC-1</w:t>
      </w:r>
      <w:r>
        <w:rPr>
          <w:b/>
        </w:rPr>
        <w:t>9</w:t>
      </w:r>
      <w:r w:rsidRPr="008640E7">
        <w:rPr>
          <w:b/>
        </w:rPr>
        <w:t>)</w:t>
      </w:r>
      <w:r w:rsidRPr="008640E7">
        <w:t xml:space="preserve">, </w:t>
      </w:r>
      <w:r w:rsidRPr="008640E7">
        <w:rPr>
          <w:i/>
          <w:iCs/>
        </w:rPr>
        <w:t>inter-alia</w:t>
      </w:r>
      <w:r w:rsidRPr="008640E7">
        <w:t xml:space="preserve">, encourages administrations to communicate to BR the relevant up-to-date administration contact information and, where available, the frequencies or frequency bands for use in emergency and disaster relief operations. </w:t>
      </w:r>
    </w:p>
    <w:p w14:paraId="65C4D003" w14:textId="77777777" w:rsidR="00C74DA0" w:rsidRDefault="00C74DA0" w:rsidP="00C74DA0">
      <w:r w:rsidRPr="008640E7">
        <w:t xml:space="preserve">To date, the database contains information received from the following administrations: South Africa, Argentina, Armenia, Saudi Arabia, Bahrain, Belarus, Myanmar, Brunei Darussalam, Canada, Spain, Egypt, Estonia, Finland, Italy, Jordan, Kuwait, Malaysia, New Zealand, Oman, Portugal, Qatar, Seychelles, Slovakia, Syria, Thailand, United Arab Emirates and Uzbekistan for terrestrial services, and Canada, Czech Republic, United Kingdom, Malaysia, </w:t>
      </w:r>
      <w:proofErr w:type="gramStart"/>
      <w:r w:rsidRPr="008640E7">
        <w:t>Romania</w:t>
      </w:r>
      <w:proofErr w:type="gramEnd"/>
      <w:r w:rsidRPr="008640E7">
        <w:t xml:space="preserve"> and Slovakia for space services.</w:t>
      </w:r>
    </w:p>
    <w:p w14:paraId="4A6CE073" w14:textId="7E9D82BB" w:rsidR="00C74DA0" w:rsidRPr="009628E3" w:rsidRDefault="00C74DA0" w:rsidP="00C74DA0">
      <w:pPr>
        <w:pStyle w:val="Heading3"/>
      </w:pPr>
      <w:bookmarkStart w:id="116" w:name="_Toc143072427"/>
      <w:r w:rsidRPr="009628E3">
        <w:t>3.</w:t>
      </w:r>
      <w:r>
        <w:t>5</w:t>
      </w:r>
      <w:r w:rsidRPr="009628E3">
        <w:t>.6</w:t>
      </w:r>
      <w:r w:rsidRPr="009628E3">
        <w:tab/>
        <w:t xml:space="preserve">Studies </w:t>
      </w:r>
      <w:r>
        <w:t xml:space="preserve">on </w:t>
      </w:r>
      <w:r w:rsidRPr="009628E3">
        <w:t>Resolution 223 (Rev.WRC-1</w:t>
      </w:r>
      <w:r>
        <w:t>9</w:t>
      </w:r>
      <w:r w:rsidRPr="009628E3">
        <w:t xml:space="preserve">) related to the </w:t>
      </w:r>
      <w:r w:rsidR="004B68BD">
        <w:t xml:space="preserve">frequency </w:t>
      </w:r>
      <w:r w:rsidRPr="009628E3">
        <w:t>band 4 800</w:t>
      </w:r>
      <w:r w:rsidR="004B68BD">
        <w:noBreakHyphen/>
      </w:r>
      <w:r w:rsidRPr="009628E3">
        <w:t>4 990 </w:t>
      </w:r>
      <w:proofErr w:type="gramStart"/>
      <w:r w:rsidRPr="009628E3">
        <w:t>MHz</w:t>
      </w:r>
      <w:bookmarkEnd w:id="116"/>
      <w:proofErr w:type="gramEnd"/>
    </w:p>
    <w:p w14:paraId="4DEB820E" w14:textId="77777777" w:rsidR="00C74DA0" w:rsidRPr="002D4884" w:rsidRDefault="00C74DA0" w:rsidP="00C74DA0">
      <w:r w:rsidRPr="009628E3">
        <w:t>With respect to the frequency band 4 800</w:t>
      </w:r>
      <w:r>
        <w:t>-</w:t>
      </w:r>
      <w:r w:rsidRPr="009628E3">
        <w:t xml:space="preserve">4 990 MHz, Resolution </w:t>
      </w:r>
      <w:r w:rsidRPr="009628E3">
        <w:rPr>
          <w:b/>
          <w:bCs/>
        </w:rPr>
        <w:t>223 (Rev.WRC-1</w:t>
      </w:r>
      <w:r>
        <w:rPr>
          <w:b/>
          <w:bCs/>
        </w:rPr>
        <w:t>9</w:t>
      </w:r>
      <w:r w:rsidRPr="009628E3">
        <w:rPr>
          <w:b/>
          <w:bCs/>
        </w:rPr>
        <w:t>)</w:t>
      </w:r>
      <w:r w:rsidRPr="009628E3">
        <w:t xml:space="preserve"> </w:t>
      </w:r>
      <w:r w:rsidRPr="009628E3">
        <w:rPr>
          <w:i/>
          <w:iCs/>
        </w:rPr>
        <w:t>invites ITU</w:t>
      </w:r>
      <w:r>
        <w:rPr>
          <w:i/>
          <w:iCs/>
        </w:rPr>
        <w:noBreakHyphen/>
      </w:r>
      <w:r w:rsidRPr="009628E3">
        <w:rPr>
          <w:i/>
          <w:iCs/>
        </w:rPr>
        <w:t>R</w:t>
      </w:r>
      <w:r w:rsidRPr="009628E3">
        <w:t xml:space="preserve">: </w:t>
      </w:r>
      <w:r w:rsidRPr="002D4884">
        <w:rPr>
          <w:lang w:val="en-US"/>
        </w:rPr>
        <w:t>“</w:t>
      </w:r>
      <w:r>
        <w:rPr>
          <w:lang w:val="en-US"/>
        </w:rPr>
        <w:t xml:space="preserve">2 </w:t>
      </w:r>
      <w:r w:rsidRPr="002D4884">
        <w:rPr>
          <w:lang w:val="en-US" w:eastAsia="zh-CN"/>
        </w:rPr>
        <w:t>to study the technical and regulatory conditions for the protection of</w:t>
      </w:r>
      <w:r w:rsidRPr="002D4884">
        <w:rPr>
          <w:lang w:val="en-US"/>
        </w:rPr>
        <w:t xml:space="preserve"> stations of the AMS and the maritime mobile service (MMS) located in international airspace or waters (</w:t>
      </w:r>
      <w:proofErr w:type="gramStart"/>
      <w:r w:rsidRPr="002D4884">
        <w:rPr>
          <w:lang w:val="en-US"/>
        </w:rPr>
        <w:t>i.e.</w:t>
      </w:r>
      <w:proofErr w:type="gramEnd"/>
      <w:r w:rsidRPr="002D4884">
        <w:rPr>
          <w:lang w:val="en-US"/>
        </w:rPr>
        <w:t xml:space="preserve"> outside national territories) and operated </w:t>
      </w:r>
      <w:r w:rsidRPr="002D4884">
        <w:rPr>
          <w:lang w:val="en-US" w:eastAsia="zh-CN"/>
        </w:rPr>
        <w:t>in the frequency band 4 800-4 990 MHz;</w:t>
      </w:r>
      <w:r w:rsidRPr="002D4884">
        <w:rPr>
          <w:lang w:val="en-US"/>
        </w:rPr>
        <w:t>”</w:t>
      </w:r>
    </w:p>
    <w:p w14:paraId="5EE92A9A" w14:textId="77777777" w:rsidR="00C74DA0" w:rsidRPr="002D4884" w:rsidRDefault="00C74DA0" w:rsidP="00C74DA0">
      <w:pPr>
        <w:jc w:val="both"/>
        <w:rPr>
          <w:lang w:val="en-US"/>
        </w:rPr>
      </w:pPr>
      <w:r w:rsidRPr="002D4884">
        <w:rPr>
          <w:lang w:val="en-US"/>
        </w:rPr>
        <w:t xml:space="preserve">WP 5D carried out </w:t>
      </w:r>
      <w:r>
        <w:rPr>
          <w:lang w:val="en-US"/>
        </w:rPr>
        <w:t xml:space="preserve">the relevant </w:t>
      </w:r>
      <w:r w:rsidRPr="002D4884">
        <w:rPr>
          <w:lang w:val="en-US"/>
        </w:rPr>
        <w:t>studies of the issue</w:t>
      </w:r>
      <w:r>
        <w:rPr>
          <w:lang w:val="en-US"/>
        </w:rPr>
        <w:t xml:space="preserve">. They </w:t>
      </w:r>
      <w:r w:rsidRPr="002D4884">
        <w:rPr>
          <w:lang w:val="en-US"/>
        </w:rPr>
        <w:t xml:space="preserve">have been summarized in the Report of the CPM to WRC-23 (see Chapter 1 under AI 1.1) and, therefore, not reproduced in this </w:t>
      </w:r>
      <w:r>
        <w:rPr>
          <w:lang w:val="en-US"/>
        </w:rPr>
        <w:t>document</w:t>
      </w:r>
      <w:r w:rsidRPr="002D4884">
        <w:rPr>
          <w:lang w:val="en-US"/>
        </w:rPr>
        <w:t xml:space="preserve">. </w:t>
      </w:r>
    </w:p>
    <w:p w14:paraId="321435C8" w14:textId="77777777" w:rsidR="00C74DA0" w:rsidRPr="00EE13EB" w:rsidRDefault="00C74DA0" w:rsidP="00C74DA0">
      <w:pPr>
        <w:jc w:val="both"/>
        <w:rPr>
          <w:lang w:val="en-US"/>
        </w:rPr>
      </w:pPr>
      <w:r w:rsidRPr="002D4884">
        <w:rPr>
          <w:lang w:val="en-US"/>
        </w:rPr>
        <w:t xml:space="preserve">During this reporting period there have been 2 883 assignments (1 797 in the fixed service and 1 086 in the mobile service) notified under Article </w:t>
      </w:r>
      <w:r w:rsidRPr="002D4884">
        <w:rPr>
          <w:b/>
          <w:lang w:val="en-US"/>
        </w:rPr>
        <w:t>11</w:t>
      </w:r>
      <w:r w:rsidRPr="002D4884">
        <w:rPr>
          <w:lang w:val="en-US"/>
        </w:rPr>
        <w:t xml:space="preserve"> of the RR in the frequency band 4 800-4 990 MHz and 22 assignments to IMT stations in the mobile service under RR No. </w:t>
      </w:r>
      <w:r w:rsidRPr="002D4884">
        <w:rPr>
          <w:b/>
          <w:lang w:val="en-US"/>
        </w:rPr>
        <w:t>5.441B</w:t>
      </w:r>
      <w:r w:rsidRPr="002D4884">
        <w:rPr>
          <w:lang w:val="en-US"/>
        </w:rPr>
        <w:t>.</w:t>
      </w:r>
    </w:p>
    <w:p w14:paraId="4C5FF958" w14:textId="77777777" w:rsidR="00C74DA0" w:rsidRPr="00771E87" w:rsidRDefault="00C74DA0" w:rsidP="00C74DA0">
      <w:pPr>
        <w:pStyle w:val="Heading2"/>
      </w:pPr>
      <w:bookmarkStart w:id="117" w:name="_Toc143072428"/>
      <w:r w:rsidRPr="00771E87">
        <w:rPr>
          <w:noProof/>
        </w:rPr>
        <w:t>3.</w:t>
      </w:r>
      <w:r>
        <w:rPr>
          <w:noProof/>
        </w:rPr>
        <w:t>6</w:t>
      </w:r>
      <w:r w:rsidRPr="00771E87">
        <w:rPr>
          <w:noProof/>
        </w:rPr>
        <w:tab/>
      </w:r>
      <w:r w:rsidRPr="00771E87">
        <w:t xml:space="preserve">Software development related to the terrestrial </w:t>
      </w:r>
      <w:proofErr w:type="gramStart"/>
      <w:r w:rsidRPr="00771E87">
        <w:t>services</w:t>
      </w:r>
      <w:bookmarkEnd w:id="117"/>
      <w:proofErr w:type="gramEnd"/>
    </w:p>
    <w:p w14:paraId="18ED8DF2" w14:textId="77777777" w:rsidR="00C74DA0" w:rsidRDefault="00C74DA0" w:rsidP="00C74DA0">
      <w:r w:rsidRPr="00771E87">
        <w:t>In the period between WRC</w:t>
      </w:r>
      <w:r w:rsidRPr="00771E87">
        <w:noBreakHyphen/>
        <w:t>12 and WRC</w:t>
      </w:r>
      <w:r w:rsidRPr="00771E87">
        <w:noBreakHyphen/>
        <w:t>15, the software related to terrestrial services was enhanced with additional functionalities and modules</w:t>
      </w:r>
      <w:r>
        <w:t>.</w:t>
      </w:r>
    </w:p>
    <w:p w14:paraId="6C6B42BF" w14:textId="77777777" w:rsidR="00C74DA0" w:rsidRPr="009628E3" w:rsidRDefault="00C74DA0" w:rsidP="00C74DA0">
      <w:pPr>
        <w:pStyle w:val="Heading3"/>
        <w:rPr>
          <w:bCs/>
        </w:rPr>
      </w:pPr>
      <w:bookmarkStart w:id="118" w:name="_Toc143072429"/>
      <w:r w:rsidRPr="009628E3">
        <w:t>3.</w:t>
      </w:r>
      <w:r>
        <w:t>6</w:t>
      </w:r>
      <w:r w:rsidRPr="009628E3">
        <w:t>.1</w:t>
      </w:r>
      <w:r w:rsidRPr="009628E3">
        <w:tab/>
        <w:t>Activities related to software development for processing of terrestrial notifications</w:t>
      </w:r>
      <w:r>
        <w:t xml:space="preserve"> </w:t>
      </w:r>
      <w:r w:rsidRPr="009628E3">
        <w:rPr>
          <w:bCs/>
        </w:rPr>
        <w:t xml:space="preserve">under </w:t>
      </w:r>
      <w:proofErr w:type="spellStart"/>
      <w:proofErr w:type="gramStart"/>
      <w:r w:rsidRPr="009628E3">
        <w:rPr>
          <w:bCs/>
        </w:rPr>
        <w:t>TerRaSys</w:t>
      </w:r>
      <w:bookmarkEnd w:id="118"/>
      <w:proofErr w:type="spellEnd"/>
      <w:proofErr w:type="gramEnd"/>
    </w:p>
    <w:p w14:paraId="69EC7E50" w14:textId="5FE0F29B" w:rsidR="00C74DA0" w:rsidRPr="007F72A1" w:rsidRDefault="00C74DA0" w:rsidP="005812BD">
      <w:pPr>
        <w:pStyle w:val="enumlev1"/>
        <w:rPr>
          <w:lang w:val="en-US"/>
        </w:rPr>
      </w:pPr>
      <w:r w:rsidRPr="009628E3">
        <w:rPr>
          <w:lang w:val="en-US"/>
        </w:rPr>
        <w:t>–</w:t>
      </w:r>
      <w:r>
        <w:rPr>
          <w:lang w:val="en-US"/>
        </w:rPr>
        <w:tab/>
      </w:r>
      <w:r w:rsidRPr="007F72A1">
        <w:rPr>
          <w:lang w:val="en-US"/>
        </w:rPr>
        <w:t>Continued development of the examination module for processing of notices under No.</w:t>
      </w:r>
      <w:r w:rsidR="005812BD">
        <w:rPr>
          <w:lang w:val="en-US"/>
        </w:rPr>
        <w:t> </w:t>
      </w:r>
      <w:r w:rsidRPr="007F72A1">
        <w:rPr>
          <w:b/>
          <w:lang w:val="en-US"/>
        </w:rPr>
        <w:t>9.21</w:t>
      </w:r>
      <w:r w:rsidRPr="007F72A1">
        <w:rPr>
          <w:lang w:val="en-US"/>
        </w:rPr>
        <w:t xml:space="preserve"> in the bands identified for IMT at WRC-</w:t>
      </w:r>
      <w:proofErr w:type="gramStart"/>
      <w:r w:rsidRPr="007F72A1">
        <w:rPr>
          <w:lang w:val="en-US"/>
        </w:rPr>
        <w:t>19;</w:t>
      </w:r>
      <w:proofErr w:type="gramEnd"/>
    </w:p>
    <w:p w14:paraId="30B6B6AE" w14:textId="427DD304" w:rsidR="00C74DA0" w:rsidRPr="007F72A1" w:rsidRDefault="005812BD" w:rsidP="005812BD">
      <w:pPr>
        <w:pStyle w:val="enumlev1"/>
        <w:rPr>
          <w:lang w:val="en-US"/>
        </w:rPr>
      </w:pPr>
      <w:r w:rsidRPr="009628E3">
        <w:rPr>
          <w:lang w:val="en-US"/>
        </w:rPr>
        <w:t>–</w:t>
      </w:r>
      <w:r>
        <w:rPr>
          <w:lang w:val="en-US"/>
        </w:rPr>
        <w:tab/>
      </w:r>
      <w:r w:rsidR="00C74DA0" w:rsidRPr="007F72A1">
        <w:rPr>
          <w:lang w:val="en-US"/>
        </w:rPr>
        <w:t xml:space="preserve">Continued development of </w:t>
      </w:r>
      <w:r w:rsidR="00C74DA0" w:rsidRPr="007F72A1">
        <w:rPr>
          <w:rFonts w:eastAsia="Verdana"/>
          <w:lang w:val="en-US"/>
        </w:rPr>
        <w:t>the software modules for processing HAPS notifications (validation, examination, and publication tools)</w:t>
      </w:r>
      <w:r w:rsidR="00C74DA0" w:rsidRPr="007F72A1">
        <w:rPr>
          <w:lang w:val="en-US"/>
        </w:rPr>
        <w:t xml:space="preserve">. This task also comprises the development of calculation modules for checking technical conditions specified </w:t>
      </w:r>
      <w:r w:rsidR="00C74DA0" w:rsidRPr="007F72A1">
        <w:rPr>
          <w:rFonts w:eastAsia="Verdana"/>
          <w:lang w:val="en-US"/>
        </w:rPr>
        <w:t xml:space="preserve">Resolutions </w:t>
      </w:r>
      <w:r w:rsidR="00C74DA0" w:rsidRPr="007F72A1">
        <w:rPr>
          <w:rFonts w:eastAsia="Verdana"/>
          <w:b/>
          <w:lang w:val="en-US"/>
        </w:rPr>
        <w:t>122 (Rev.WRC-19)</w:t>
      </w:r>
      <w:r w:rsidR="00C74DA0" w:rsidRPr="007F72A1">
        <w:rPr>
          <w:rFonts w:eastAsia="Verdana"/>
          <w:lang w:val="en-US"/>
        </w:rPr>
        <w:t xml:space="preserve">, </w:t>
      </w:r>
      <w:r w:rsidR="00C74DA0" w:rsidRPr="007F72A1">
        <w:rPr>
          <w:rFonts w:eastAsia="Verdana"/>
          <w:b/>
          <w:lang w:val="en-US"/>
        </w:rPr>
        <w:t>145</w:t>
      </w:r>
      <w:r w:rsidR="00C74DA0" w:rsidRPr="007F72A1">
        <w:rPr>
          <w:rFonts w:eastAsia="Verdana"/>
          <w:lang w:val="en-US"/>
        </w:rPr>
        <w:t> </w:t>
      </w:r>
      <w:r w:rsidR="00C74DA0" w:rsidRPr="007F72A1">
        <w:rPr>
          <w:rFonts w:eastAsia="Verdana"/>
          <w:b/>
          <w:lang w:val="en-US"/>
        </w:rPr>
        <w:t>(Rev.WRC-19)</w:t>
      </w:r>
      <w:r w:rsidR="00C74DA0" w:rsidRPr="007F72A1">
        <w:rPr>
          <w:rFonts w:eastAsia="Verdana"/>
          <w:lang w:val="en-US"/>
        </w:rPr>
        <w:t xml:space="preserve">, </w:t>
      </w:r>
      <w:r w:rsidR="00C74DA0" w:rsidRPr="007F72A1">
        <w:rPr>
          <w:rFonts w:eastAsia="Verdana"/>
          <w:b/>
          <w:lang w:val="en-US"/>
        </w:rPr>
        <w:t>165 (WRC-19)</w:t>
      </w:r>
      <w:r w:rsidR="00C74DA0" w:rsidRPr="007F72A1">
        <w:rPr>
          <w:rFonts w:eastAsia="Verdana"/>
          <w:lang w:val="en-US"/>
        </w:rPr>
        <w:t xml:space="preserve">, </w:t>
      </w:r>
      <w:r w:rsidR="00C74DA0" w:rsidRPr="007F72A1">
        <w:rPr>
          <w:rFonts w:eastAsia="Verdana"/>
          <w:b/>
          <w:lang w:val="en-US"/>
        </w:rPr>
        <w:t>166 (WRC-19)</w:t>
      </w:r>
      <w:r w:rsidR="00C74DA0" w:rsidRPr="007F72A1">
        <w:rPr>
          <w:rFonts w:eastAsia="Verdana"/>
          <w:lang w:val="en-US"/>
        </w:rPr>
        <w:t xml:space="preserve">, </w:t>
      </w:r>
      <w:r w:rsidR="00C74DA0" w:rsidRPr="007F72A1">
        <w:rPr>
          <w:rFonts w:eastAsia="Verdana"/>
          <w:b/>
          <w:lang w:val="en-US"/>
        </w:rPr>
        <w:t>167 (WRC-19)</w:t>
      </w:r>
      <w:r w:rsidR="00C74DA0" w:rsidRPr="007F72A1">
        <w:rPr>
          <w:rFonts w:eastAsia="Verdana"/>
          <w:lang w:val="en-US"/>
        </w:rPr>
        <w:t xml:space="preserve">, and </w:t>
      </w:r>
      <w:r w:rsidR="00C74DA0" w:rsidRPr="007F72A1">
        <w:rPr>
          <w:rFonts w:eastAsia="Verdana"/>
          <w:b/>
          <w:lang w:val="en-US"/>
        </w:rPr>
        <w:t>168 (WRC-19)</w:t>
      </w:r>
      <w:r w:rsidR="00C74DA0" w:rsidRPr="007F72A1">
        <w:rPr>
          <w:rFonts w:eastAsia="Verdana"/>
          <w:lang w:val="en-US"/>
        </w:rPr>
        <w:t xml:space="preserve">, </w:t>
      </w:r>
      <w:r w:rsidR="00C74DA0" w:rsidRPr="007F72A1">
        <w:rPr>
          <w:lang w:val="en-US"/>
        </w:rPr>
        <w:t>as well as the corresponding</w:t>
      </w:r>
      <w:r w:rsidR="00C74DA0" w:rsidRPr="007F72A1">
        <w:rPr>
          <w:rFonts w:eastAsia="Verdana"/>
          <w:lang w:val="en-US"/>
        </w:rPr>
        <w:t xml:space="preserve"> </w:t>
      </w:r>
      <w:r w:rsidR="00C74DA0" w:rsidRPr="007F72A1">
        <w:rPr>
          <w:lang w:val="en-US"/>
        </w:rPr>
        <w:t xml:space="preserve">changes in the database and filing </w:t>
      </w:r>
      <w:proofErr w:type="gramStart"/>
      <w:r w:rsidR="00C74DA0" w:rsidRPr="007F72A1">
        <w:rPr>
          <w:lang w:val="en-US"/>
        </w:rPr>
        <w:t>structure</w:t>
      </w:r>
      <w:r w:rsidR="00C74DA0">
        <w:rPr>
          <w:lang w:val="en-US"/>
        </w:rPr>
        <w:t>;</w:t>
      </w:r>
      <w:proofErr w:type="gramEnd"/>
    </w:p>
    <w:p w14:paraId="6C8AEF19" w14:textId="70152993" w:rsidR="00C74DA0" w:rsidRPr="007F72A1" w:rsidRDefault="005812BD" w:rsidP="005812BD">
      <w:pPr>
        <w:pStyle w:val="enumlev1"/>
        <w:rPr>
          <w:lang w:val="en-US"/>
        </w:rPr>
      </w:pPr>
      <w:r w:rsidRPr="009628E3">
        <w:rPr>
          <w:lang w:val="en-US"/>
        </w:rPr>
        <w:t>–</w:t>
      </w:r>
      <w:r>
        <w:rPr>
          <w:lang w:val="en-US"/>
        </w:rPr>
        <w:tab/>
      </w:r>
      <w:r w:rsidR="00C74DA0" w:rsidRPr="007F72A1">
        <w:rPr>
          <w:lang w:val="en-US"/>
        </w:rPr>
        <w:t xml:space="preserve">Continued development of </w:t>
      </w:r>
      <w:r w:rsidR="00C74DA0" w:rsidRPr="007F72A1">
        <w:rPr>
          <w:rFonts w:eastAsia="Verdana"/>
          <w:szCs w:val="24"/>
          <w:lang w:val="en-US"/>
        </w:rPr>
        <w:t xml:space="preserve">the examination software for identification of affected administrations using digital elevation models (DEM) for several frequency bands and </w:t>
      </w:r>
      <w:proofErr w:type="gramStart"/>
      <w:r w:rsidR="00C74DA0" w:rsidRPr="007F72A1">
        <w:rPr>
          <w:rFonts w:eastAsia="Verdana"/>
          <w:szCs w:val="24"/>
          <w:lang w:val="en-US"/>
        </w:rPr>
        <w:t>services</w:t>
      </w:r>
      <w:r w:rsidR="00C74DA0">
        <w:rPr>
          <w:rFonts w:eastAsia="Verdana"/>
          <w:szCs w:val="24"/>
          <w:lang w:val="en-US"/>
        </w:rPr>
        <w:t>;</w:t>
      </w:r>
      <w:proofErr w:type="gramEnd"/>
    </w:p>
    <w:p w14:paraId="290393A3" w14:textId="77777777" w:rsidR="00C74DA0" w:rsidRPr="007F72A1" w:rsidRDefault="00C74DA0" w:rsidP="005812BD">
      <w:pPr>
        <w:pStyle w:val="enumlev1"/>
        <w:rPr>
          <w:b/>
          <w:bCs/>
          <w:lang w:val="en-US"/>
        </w:rPr>
      </w:pPr>
      <w:r w:rsidRPr="379C4DDB">
        <w:rPr>
          <w:lang w:val="en-US"/>
        </w:rPr>
        <w:t>–</w:t>
      </w:r>
      <w:r>
        <w:tab/>
      </w:r>
      <w:r w:rsidRPr="379C4DDB">
        <w:rPr>
          <w:lang w:val="en-US"/>
        </w:rPr>
        <w:t xml:space="preserve">Continued modernization of the </w:t>
      </w:r>
      <w:proofErr w:type="spellStart"/>
      <w:r w:rsidRPr="379C4DDB">
        <w:rPr>
          <w:lang w:val="en-US"/>
        </w:rPr>
        <w:t>TerRaSys</w:t>
      </w:r>
      <w:proofErr w:type="spellEnd"/>
      <w:r w:rsidRPr="379C4DDB">
        <w:rPr>
          <w:lang w:val="en-US"/>
        </w:rPr>
        <w:t xml:space="preserve"> system during the reporting period, including the migration of the terrestrial database to a modern database management system (DBMS), the review of the database structure to accommodate the requirements resulting from WRC-19 decisions, and the rewriting and enhancements of all system modules (processing of notifications, coordination requirements, publication, etc.) using new coding techniques and new features offered by the new DBMS.</w:t>
      </w:r>
    </w:p>
    <w:p w14:paraId="7F0F9F17" w14:textId="77777777" w:rsidR="00C74DA0" w:rsidRDefault="00C74DA0" w:rsidP="00C74DA0">
      <w:pPr>
        <w:pStyle w:val="Heading3"/>
      </w:pPr>
      <w:bookmarkStart w:id="119" w:name="_Toc143072430"/>
      <w:r w:rsidRPr="002B441F">
        <w:t>3.</w:t>
      </w:r>
      <w:r>
        <w:t>6</w:t>
      </w:r>
      <w:r w:rsidRPr="002B441F">
        <w:t>.2</w:t>
      </w:r>
      <w:r w:rsidRPr="002B441F">
        <w:tab/>
        <w:t xml:space="preserve">Activities related </w:t>
      </w:r>
      <w:r w:rsidRPr="00CB4366">
        <w:t>to other software development</w:t>
      </w:r>
      <w:r>
        <w:t>s</w:t>
      </w:r>
      <w:r w:rsidRPr="00CB4366">
        <w:t xml:space="preserve"> for processing of terrestrial </w:t>
      </w:r>
      <w:proofErr w:type="gramStart"/>
      <w:r w:rsidRPr="00CB4366">
        <w:t>notifications</w:t>
      </w:r>
      <w:bookmarkEnd w:id="119"/>
      <w:proofErr w:type="gramEnd"/>
    </w:p>
    <w:p w14:paraId="15572C92" w14:textId="65B4859B" w:rsidR="00C74DA0" w:rsidRPr="000D54BA" w:rsidRDefault="00C74DA0" w:rsidP="005812BD">
      <w:pPr>
        <w:pStyle w:val="enumlev1"/>
        <w:rPr>
          <w:rFonts w:eastAsiaTheme="minorEastAsia"/>
          <w:lang w:val="en-US"/>
        </w:rPr>
      </w:pPr>
      <w:r w:rsidRPr="00CB4366">
        <w:rPr>
          <w:bCs/>
        </w:rPr>
        <w:t>–</w:t>
      </w:r>
      <w:r w:rsidRPr="002B441F">
        <w:rPr>
          <w:b/>
          <w:bCs/>
        </w:rPr>
        <w:tab/>
      </w:r>
      <w:r w:rsidRPr="000D54BA">
        <w:rPr>
          <w:rFonts w:eastAsiaTheme="minorEastAsia"/>
          <w:lang w:val="en-US"/>
        </w:rPr>
        <w:t xml:space="preserve">Deployment of </w:t>
      </w:r>
      <w:proofErr w:type="spellStart"/>
      <w:r w:rsidRPr="000D54BA">
        <w:rPr>
          <w:rFonts w:eastAsiaTheme="minorEastAsia"/>
          <w:lang w:val="en-US"/>
        </w:rPr>
        <w:t>eTerrestrial</w:t>
      </w:r>
      <w:proofErr w:type="spellEnd"/>
      <w:r w:rsidRPr="000D54BA">
        <w:rPr>
          <w:rFonts w:eastAsiaTheme="minorEastAsia"/>
          <w:lang w:val="en-US"/>
        </w:rPr>
        <w:t xml:space="preserve">, as an integrated web platform which provides various tools related to FXM and Broadcasting Terrestrial Services (online queries, validation, </w:t>
      </w:r>
      <w:proofErr w:type="gramStart"/>
      <w:r w:rsidRPr="000D54BA">
        <w:rPr>
          <w:rFonts w:eastAsiaTheme="minorEastAsia"/>
          <w:lang w:val="en-US"/>
        </w:rPr>
        <w:t>calculations</w:t>
      </w:r>
      <w:proofErr w:type="gramEnd"/>
      <w:r w:rsidRPr="000D54BA">
        <w:rPr>
          <w:rFonts w:eastAsiaTheme="minorEastAsia"/>
          <w:lang w:val="en-US"/>
        </w:rPr>
        <w:t xml:space="preserve"> and what-if studies).</w:t>
      </w:r>
    </w:p>
    <w:p w14:paraId="4C559037" w14:textId="020655DF" w:rsidR="00C74DA0" w:rsidRDefault="005812BD" w:rsidP="005812BD">
      <w:pPr>
        <w:pStyle w:val="enumlev1"/>
        <w:rPr>
          <w:rFonts w:eastAsiaTheme="minorEastAsia"/>
        </w:rPr>
      </w:pPr>
      <w:r w:rsidRPr="00CB4366">
        <w:rPr>
          <w:bCs/>
        </w:rPr>
        <w:t>–</w:t>
      </w:r>
      <w:r w:rsidRPr="002B441F">
        <w:rPr>
          <w:b/>
          <w:bCs/>
        </w:rPr>
        <w:tab/>
      </w:r>
      <w:r w:rsidR="00C74DA0" w:rsidRPr="000D54BA">
        <w:rPr>
          <w:rFonts w:eastAsiaTheme="minorEastAsia"/>
        </w:rPr>
        <w:t xml:space="preserve">Deployment of new software packages in </w:t>
      </w:r>
      <w:proofErr w:type="spellStart"/>
      <w:r w:rsidR="00C74DA0" w:rsidRPr="000D54BA">
        <w:rPr>
          <w:rFonts w:eastAsiaTheme="minorEastAsia"/>
        </w:rPr>
        <w:t>eBroadcasting</w:t>
      </w:r>
      <w:proofErr w:type="spellEnd"/>
      <w:r w:rsidR="00C74DA0" w:rsidRPr="000D54BA">
        <w:rPr>
          <w:rFonts w:eastAsiaTheme="minorEastAsia"/>
        </w:rPr>
        <w:t xml:space="preserve"> (</w:t>
      </w:r>
      <w:proofErr w:type="spellStart"/>
      <w:r w:rsidR="00C74DA0" w:rsidRPr="000D54BA">
        <w:rPr>
          <w:rFonts w:eastAsiaTheme="minorEastAsia"/>
        </w:rPr>
        <w:t>eTools</w:t>
      </w:r>
      <w:proofErr w:type="spellEnd"/>
      <w:r w:rsidR="00C74DA0" w:rsidRPr="000D54BA">
        <w:rPr>
          <w:rFonts w:eastAsiaTheme="minorEastAsia"/>
        </w:rPr>
        <w:t xml:space="preserve"> for Broadcasting services, including the GE84 compatibility and optimization tools (see Section 7.1.3), which were enhanced to add the </w:t>
      </w:r>
      <w:r>
        <w:rPr>
          <w:rFonts w:eastAsiaTheme="minorEastAsia"/>
        </w:rPr>
        <w:t xml:space="preserve">Rec. </w:t>
      </w:r>
      <w:r w:rsidR="00C74DA0" w:rsidRPr="000D54BA">
        <w:rPr>
          <w:rFonts w:eastAsiaTheme="minorEastAsia"/>
        </w:rPr>
        <w:t>ITU-R P.1812 propagation model with various Digital Elevation Models (SRTM3, SRTM1 and ASTER</w:t>
      </w:r>
      <w:proofErr w:type="gramStart"/>
      <w:r w:rsidR="00C74DA0" w:rsidRPr="000D54BA">
        <w:rPr>
          <w:rFonts w:eastAsiaTheme="minorEastAsia"/>
        </w:rPr>
        <w:t>)</w:t>
      </w:r>
      <w:r w:rsidR="00C74DA0">
        <w:rPr>
          <w:rFonts w:eastAsiaTheme="minorEastAsia"/>
        </w:rPr>
        <w:t>;</w:t>
      </w:r>
      <w:proofErr w:type="gramEnd"/>
    </w:p>
    <w:p w14:paraId="1E16D0F4" w14:textId="513351F3" w:rsidR="00C74DA0" w:rsidRPr="00050A3F" w:rsidRDefault="005812BD" w:rsidP="005812BD">
      <w:pPr>
        <w:pStyle w:val="enumlev1"/>
        <w:rPr>
          <w:rFonts w:eastAsiaTheme="minorEastAsia"/>
        </w:rPr>
      </w:pPr>
      <w:r w:rsidRPr="00CB4366">
        <w:rPr>
          <w:bCs/>
        </w:rPr>
        <w:t>–</w:t>
      </w:r>
      <w:r w:rsidRPr="002B441F">
        <w:rPr>
          <w:b/>
          <w:bCs/>
        </w:rPr>
        <w:tab/>
      </w:r>
      <w:r w:rsidR="00C74DA0" w:rsidRPr="00050A3F">
        <w:t xml:space="preserve">Completion of </w:t>
      </w:r>
      <w:proofErr w:type="spellStart"/>
      <w:r w:rsidR="00C74DA0" w:rsidRPr="00050A3F">
        <w:t>eQueryFXM</w:t>
      </w:r>
      <w:proofErr w:type="spellEnd"/>
      <w:r w:rsidR="00C74DA0" w:rsidRPr="00050A3F">
        <w:t xml:space="preserve"> under </w:t>
      </w:r>
      <w:proofErr w:type="spellStart"/>
      <w:r w:rsidR="00C74DA0" w:rsidRPr="00050A3F">
        <w:t>eFXM</w:t>
      </w:r>
      <w:proofErr w:type="spellEnd"/>
      <w:r w:rsidR="00C74DA0" w:rsidRPr="00050A3F">
        <w:t xml:space="preserve"> (FXM - fixed and mobile services) platform, which is a web application that provides online access to BR database (MIFR and PLANs) for terrestrial (except broadcasting) services as a part of </w:t>
      </w:r>
      <w:proofErr w:type="spellStart"/>
      <w:r w:rsidR="00C74DA0" w:rsidRPr="00050A3F">
        <w:t>eTerrestrial</w:t>
      </w:r>
      <w:proofErr w:type="spellEnd"/>
      <w:r w:rsidR="00C74DA0" w:rsidRPr="00050A3F">
        <w:t xml:space="preserve"> </w:t>
      </w:r>
      <w:proofErr w:type="gramStart"/>
      <w:r w:rsidR="00C74DA0" w:rsidRPr="00050A3F">
        <w:t>platform</w:t>
      </w:r>
      <w:r w:rsidR="00C74DA0">
        <w:t>;</w:t>
      </w:r>
      <w:proofErr w:type="gramEnd"/>
    </w:p>
    <w:p w14:paraId="775108FC" w14:textId="7C5F64E2" w:rsidR="00C74DA0" w:rsidRPr="00050A3F" w:rsidRDefault="005812BD" w:rsidP="005812BD">
      <w:pPr>
        <w:pStyle w:val="enumlev1"/>
        <w:rPr>
          <w:rFonts w:eastAsiaTheme="minorEastAsia"/>
        </w:rPr>
      </w:pPr>
      <w:r w:rsidRPr="00CB4366">
        <w:rPr>
          <w:bCs/>
        </w:rPr>
        <w:t>–</w:t>
      </w:r>
      <w:r w:rsidRPr="002B441F">
        <w:rPr>
          <w:b/>
          <w:bCs/>
        </w:rPr>
        <w:tab/>
      </w:r>
      <w:r w:rsidR="00C74DA0" w:rsidRPr="00050A3F">
        <w:t xml:space="preserve">Development of </w:t>
      </w:r>
      <w:proofErr w:type="spellStart"/>
      <w:r w:rsidR="00C74DA0" w:rsidRPr="00050A3F">
        <w:t>ePubFXM</w:t>
      </w:r>
      <w:proofErr w:type="spellEnd"/>
      <w:r w:rsidR="00C74DA0" w:rsidRPr="00050A3F">
        <w:t xml:space="preserve">/RR9.21 under </w:t>
      </w:r>
      <w:proofErr w:type="spellStart"/>
      <w:r w:rsidR="00C74DA0" w:rsidRPr="00050A3F">
        <w:t>eFXM</w:t>
      </w:r>
      <w:proofErr w:type="spellEnd"/>
      <w:r w:rsidR="00C74DA0" w:rsidRPr="00050A3F">
        <w:t xml:space="preserve"> platform, which is a web application to provide means to </w:t>
      </w:r>
      <w:proofErr w:type="gramStart"/>
      <w:r w:rsidR="00C74DA0" w:rsidRPr="00050A3F">
        <w:t>consult  Special</w:t>
      </w:r>
      <w:proofErr w:type="gramEnd"/>
      <w:r w:rsidR="00C74DA0" w:rsidRPr="00050A3F">
        <w:t xml:space="preserve"> Sections RR</w:t>
      </w:r>
      <w:r w:rsidR="00C74DA0">
        <w:t xml:space="preserve"> No. </w:t>
      </w:r>
      <w:r w:rsidR="00C74DA0" w:rsidRPr="00050A3F">
        <w:rPr>
          <w:b/>
          <w:bCs/>
        </w:rPr>
        <w:t>9.21</w:t>
      </w:r>
      <w:r w:rsidR="00C74DA0" w:rsidRPr="00050A3F">
        <w:t xml:space="preserve"> related to FXM as a part of </w:t>
      </w:r>
      <w:proofErr w:type="spellStart"/>
      <w:r w:rsidR="00C74DA0" w:rsidRPr="00050A3F">
        <w:t>eTerrestrial</w:t>
      </w:r>
      <w:proofErr w:type="spellEnd"/>
      <w:r w:rsidR="00C74DA0" w:rsidRPr="00050A3F">
        <w:t xml:space="preserve"> platform</w:t>
      </w:r>
      <w:r w:rsidR="00C74DA0">
        <w:t>;</w:t>
      </w:r>
    </w:p>
    <w:p w14:paraId="7DDD4476" w14:textId="72AE2364" w:rsidR="00C74DA0" w:rsidRDefault="005812BD" w:rsidP="005812BD">
      <w:pPr>
        <w:pStyle w:val="enumlev1"/>
        <w:rPr>
          <w:rFonts w:eastAsiaTheme="minorEastAsia"/>
        </w:rPr>
      </w:pPr>
      <w:r w:rsidRPr="00CB4366">
        <w:rPr>
          <w:bCs/>
        </w:rPr>
        <w:t>–</w:t>
      </w:r>
      <w:r w:rsidRPr="002B441F">
        <w:rPr>
          <w:b/>
          <w:bCs/>
        </w:rPr>
        <w:tab/>
      </w:r>
      <w:r w:rsidR="00C74DA0">
        <w:rPr>
          <w:rFonts w:eastAsiaTheme="minorEastAsia"/>
        </w:rPr>
        <w:t>Addition of m</w:t>
      </w:r>
      <w:r w:rsidR="00C74DA0" w:rsidRPr="000D54BA">
        <w:rPr>
          <w:rFonts w:eastAsiaTheme="minorEastAsia"/>
        </w:rPr>
        <w:t xml:space="preserve">aps visualization to all </w:t>
      </w:r>
      <w:proofErr w:type="spellStart"/>
      <w:r w:rsidR="00C74DA0" w:rsidRPr="000D54BA">
        <w:rPr>
          <w:rFonts w:eastAsiaTheme="minorEastAsia"/>
        </w:rPr>
        <w:t>eBroadcasting</w:t>
      </w:r>
      <w:proofErr w:type="spellEnd"/>
      <w:r w:rsidR="00C74DA0" w:rsidRPr="000D54BA">
        <w:rPr>
          <w:rFonts w:eastAsiaTheme="minorEastAsia"/>
        </w:rPr>
        <w:t xml:space="preserve"> services and </w:t>
      </w:r>
      <w:proofErr w:type="spellStart"/>
      <w:r w:rsidR="00C74DA0" w:rsidRPr="000D54BA">
        <w:rPr>
          <w:rFonts w:eastAsiaTheme="minorEastAsia"/>
        </w:rPr>
        <w:t>eMIFR</w:t>
      </w:r>
      <w:proofErr w:type="spellEnd"/>
      <w:r w:rsidR="00C74DA0" w:rsidRPr="000D54BA">
        <w:rPr>
          <w:rFonts w:eastAsiaTheme="minorEastAsia"/>
        </w:rPr>
        <w:t xml:space="preserve"> for the display of </w:t>
      </w:r>
      <w:r w:rsidR="00C74DA0">
        <w:rPr>
          <w:rFonts w:eastAsiaTheme="minorEastAsia"/>
        </w:rPr>
        <w:t xml:space="preserve">geospatial </w:t>
      </w:r>
      <w:r w:rsidR="00C74DA0" w:rsidRPr="000D54BA">
        <w:rPr>
          <w:rFonts w:eastAsiaTheme="minorEastAsia"/>
        </w:rPr>
        <w:t xml:space="preserve">information and coverage/compatibility contours including terrain-based propagation </w:t>
      </w:r>
      <w:proofErr w:type="gramStart"/>
      <w:r w:rsidR="00C74DA0" w:rsidRPr="000D54BA">
        <w:rPr>
          <w:rFonts w:eastAsiaTheme="minorEastAsia"/>
        </w:rPr>
        <w:t>calculations</w:t>
      </w:r>
      <w:r w:rsidR="00C74DA0">
        <w:rPr>
          <w:rFonts w:eastAsiaTheme="minorEastAsia"/>
        </w:rPr>
        <w:t>;</w:t>
      </w:r>
      <w:proofErr w:type="gramEnd"/>
    </w:p>
    <w:p w14:paraId="6BD00A49" w14:textId="1D90A5BF" w:rsidR="00C74DA0" w:rsidRDefault="005812BD" w:rsidP="005812BD">
      <w:pPr>
        <w:pStyle w:val="enumlev1"/>
        <w:rPr>
          <w:rFonts w:eastAsiaTheme="minorEastAsia"/>
        </w:rPr>
      </w:pPr>
      <w:r w:rsidRPr="00CB4366">
        <w:rPr>
          <w:bCs/>
        </w:rPr>
        <w:t>–</w:t>
      </w:r>
      <w:r w:rsidRPr="002B441F">
        <w:rPr>
          <w:b/>
          <w:bCs/>
        </w:rPr>
        <w:tab/>
      </w:r>
      <w:r w:rsidR="00C74DA0">
        <w:rPr>
          <w:rFonts w:eastAsiaTheme="minorEastAsia"/>
        </w:rPr>
        <w:t>Migration of t</w:t>
      </w:r>
      <w:r w:rsidR="00C74DA0" w:rsidRPr="000D54BA">
        <w:rPr>
          <w:rFonts w:eastAsiaTheme="minorEastAsia"/>
        </w:rPr>
        <w:t>he HFBC software Desktop modules to online service and integra</w:t>
      </w:r>
      <w:r w:rsidR="00C74DA0">
        <w:rPr>
          <w:rFonts w:eastAsiaTheme="minorEastAsia"/>
        </w:rPr>
        <w:t>tion</w:t>
      </w:r>
      <w:r w:rsidR="00C74DA0" w:rsidRPr="000D54BA">
        <w:rPr>
          <w:rFonts w:eastAsiaTheme="minorEastAsia"/>
        </w:rPr>
        <w:t xml:space="preserve"> with </w:t>
      </w:r>
      <w:proofErr w:type="spellStart"/>
      <w:r w:rsidR="00C74DA0" w:rsidRPr="000D54BA">
        <w:rPr>
          <w:rFonts w:eastAsiaTheme="minorEastAsia"/>
        </w:rPr>
        <w:t>eTerrestrial</w:t>
      </w:r>
      <w:proofErr w:type="spellEnd"/>
      <w:r w:rsidR="00C74DA0" w:rsidRPr="000D54BA">
        <w:rPr>
          <w:rFonts w:eastAsiaTheme="minorEastAsia"/>
        </w:rPr>
        <w:t xml:space="preserve">. </w:t>
      </w:r>
      <w:r w:rsidR="00C74DA0">
        <w:rPr>
          <w:rFonts w:eastAsiaTheme="minorEastAsia"/>
        </w:rPr>
        <w:t>Its</w:t>
      </w:r>
      <w:r w:rsidR="00C74DA0" w:rsidRPr="000D54BA">
        <w:rPr>
          <w:rFonts w:eastAsiaTheme="minorEastAsia"/>
        </w:rPr>
        <w:t xml:space="preserve"> beta version </w:t>
      </w:r>
      <w:r w:rsidR="00C74DA0">
        <w:rPr>
          <w:rFonts w:eastAsiaTheme="minorEastAsia"/>
        </w:rPr>
        <w:t>was</w:t>
      </w:r>
      <w:r w:rsidR="00C74DA0" w:rsidRPr="000D54BA">
        <w:rPr>
          <w:rFonts w:eastAsiaTheme="minorEastAsia"/>
        </w:rPr>
        <w:t xml:space="preserve"> shared with ITU Membership to collect their input before going in production.</w:t>
      </w:r>
    </w:p>
    <w:p w14:paraId="32154D79" w14:textId="77777777" w:rsidR="00C74DA0" w:rsidRPr="000D54BA" w:rsidRDefault="00C74DA0" w:rsidP="005812BD">
      <w:pPr>
        <w:pStyle w:val="Heading3"/>
        <w:rPr>
          <w:rFonts w:eastAsiaTheme="minorEastAsia"/>
        </w:rPr>
      </w:pPr>
      <w:bookmarkStart w:id="120" w:name="_Toc143072431"/>
      <w:r w:rsidRPr="000D54BA">
        <w:t>3.</w:t>
      </w:r>
      <w:r>
        <w:t>6</w:t>
      </w:r>
      <w:r w:rsidRPr="000D54BA">
        <w:t>.3</w:t>
      </w:r>
      <w:r w:rsidRPr="000D54BA">
        <w:tab/>
        <w:t>Other software related activities</w:t>
      </w:r>
      <w:bookmarkEnd w:id="120"/>
    </w:p>
    <w:p w14:paraId="7649E788" w14:textId="338D8F93" w:rsidR="00C74DA0" w:rsidRPr="005812BD" w:rsidRDefault="005812BD" w:rsidP="005812BD">
      <w:pPr>
        <w:pStyle w:val="enumlev1"/>
        <w:rPr>
          <w:bCs/>
        </w:rPr>
      </w:pPr>
      <w:r w:rsidRPr="00CB4366">
        <w:rPr>
          <w:bCs/>
        </w:rPr>
        <w:t>–</w:t>
      </w:r>
      <w:r w:rsidRPr="002B441F">
        <w:rPr>
          <w:b/>
          <w:bCs/>
        </w:rPr>
        <w:tab/>
      </w:r>
      <w:r w:rsidR="00C74DA0" w:rsidRPr="005812BD">
        <w:rPr>
          <w:bCs/>
        </w:rPr>
        <w:t xml:space="preserve">Continuation of work on a common BR GIS (Geographical Information System). Establishment of the partnership with the UN Cartographic Unit to benefit from UN GIS expertise and resources and to allow easier access to the UN </w:t>
      </w:r>
      <w:proofErr w:type="gramStart"/>
      <w:r w:rsidR="00C74DA0" w:rsidRPr="005812BD">
        <w:rPr>
          <w:bCs/>
        </w:rPr>
        <w:t>maps;</w:t>
      </w:r>
      <w:proofErr w:type="gramEnd"/>
    </w:p>
    <w:p w14:paraId="0C443EAD" w14:textId="6C5556F3" w:rsidR="00C74DA0" w:rsidRPr="005812BD" w:rsidRDefault="005812BD" w:rsidP="005812BD">
      <w:pPr>
        <w:pStyle w:val="enumlev1"/>
        <w:rPr>
          <w:bCs/>
        </w:rPr>
      </w:pPr>
      <w:r w:rsidRPr="00CB4366">
        <w:rPr>
          <w:bCs/>
        </w:rPr>
        <w:t>–</w:t>
      </w:r>
      <w:r w:rsidRPr="002B441F">
        <w:rPr>
          <w:b/>
          <w:bCs/>
        </w:rPr>
        <w:tab/>
      </w:r>
      <w:r w:rsidR="00C74DA0" w:rsidRPr="005812BD">
        <w:rPr>
          <w:bCs/>
        </w:rPr>
        <w:t>Launch of the project on improvement of the Maritime Service Publications. The objective is to create an online sales platform that would allow users and resellers to purchase and download the digital publications and replace, in future, the current CD</w:t>
      </w:r>
      <w:r>
        <w:rPr>
          <w:bCs/>
        </w:rPr>
        <w:noBreakHyphen/>
      </w:r>
      <w:r w:rsidR="00C74DA0" w:rsidRPr="005812BD">
        <w:rPr>
          <w:bCs/>
        </w:rPr>
        <w:t xml:space="preserve">ROM </w:t>
      </w:r>
      <w:proofErr w:type="gramStart"/>
      <w:r w:rsidR="00C74DA0" w:rsidRPr="005812BD">
        <w:rPr>
          <w:bCs/>
        </w:rPr>
        <w:t>format;</w:t>
      </w:r>
      <w:proofErr w:type="gramEnd"/>
    </w:p>
    <w:p w14:paraId="31252679" w14:textId="0E4E2868" w:rsidR="00C74DA0" w:rsidRPr="005812BD" w:rsidRDefault="005812BD" w:rsidP="005812BD">
      <w:pPr>
        <w:pStyle w:val="enumlev1"/>
        <w:rPr>
          <w:bCs/>
        </w:rPr>
      </w:pPr>
      <w:r w:rsidRPr="00CB4366">
        <w:rPr>
          <w:bCs/>
        </w:rPr>
        <w:t>–</w:t>
      </w:r>
      <w:r w:rsidRPr="002B441F">
        <w:rPr>
          <w:b/>
          <w:bCs/>
        </w:rPr>
        <w:tab/>
      </w:r>
      <w:r w:rsidR="00C74DA0" w:rsidRPr="005812BD">
        <w:rPr>
          <w:bCs/>
        </w:rPr>
        <w:t xml:space="preserve">The development of a new online platform for treatment of the reports of harmful interference and infringements, concerning terrestrial services was started. This system is called HITS (Harmful Interference to Terrestrial Services). </w:t>
      </w:r>
      <w:proofErr w:type="gramStart"/>
      <w:r w:rsidR="00C74DA0" w:rsidRPr="005812BD">
        <w:rPr>
          <w:bCs/>
        </w:rPr>
        <w:t>It  will</w:t>
      </w:r>
      <w:proofErr w:type="gramEnd"/>
      <w:r w:rsidR="00C74DA0" w:rsidRPr="005812BD">
        <w:rPr>
          <w:bCs/>
        </w:rPr>
        <w:t xml:space="preserve"> allow administrations to consult the archive of its communications being exchanged with the BR, to submit new Appendix 9 or 10 Reports, to provide supplementary information concerning a case of infringement or harmful interference and to receive the information requiring their attention/action. </w:t>
      </w:r>
    </w:p>
    <w:p w14:paraId="7941CF90" w14:textId="77777777" w:rsidR="00C74DA0" w:rsidRPr="00C14D53" w:rsidRDefault="00C74DA0" w:rsidP="005812BD">
      <w:pPr>
        <w:pStyle w:val="Heading1"/>
      </w:pPr>
      <w:bookmarkStart w:id="121" w:name="_Toc143072432"/>
      <w:r w:rsidRPr="00C14D53">
        <w:t>4</w:t>
      </w:r>
      <w:r w:rsidRPr="00C14D53">
        <w:tab/>
        <w:t>Study Groups</w:t>
      </w:r>
      <w:bookmarkEnd w:id="121"/>
    </w:p>
    <w:p w14:paraId="6CC4BED2" w14:textId="77777777" w:rsidR="00C74DA0" w:rsidRPr="00771E87" w:rsidRDefault="00C74DA0" w:rsidP="00C74DA0">
      <w:pPr>
        <w:pStyle w:val="Heading2"/>
      </w:pPr>
      <w:bookmarkStart w:id="122" w:name="_Toc143072433"/>
      <w:r w:rsidRPr="00771E87">
        <w:t>4.1</w:t>
      </w:r>
      <w:r w:rsidRPr="00771E87">
        <w:tab/>
        <w:t>BR support for Study Group</w:t>
      </w:r>
      <w:r>
        <w:t>s</w:t>
      </w:r>
      <w:r w:rsidRPr="00771E87">
        <w:t xml:space="preserve"> activities</w:t>
      </w:r>
      <w:bookmarkEnd w:id="122"/>
    </w:p>
    <w:p w14:paraId="52D973B3" w14:textId="77777777" w:rsidR="00C74DA0" w:rsidRDefault="00C74DA0" w:rsidP="00C74DA0">
      <w:r w:rsidRPr="008A7B6F">
        <w:t>Since RA-</w:t>
      </w:r>
      <w:r>
        <w:t>19</w:t>
      </w:r>
      <w:r w:rsidRPr="008A7B6F">
        <w:t>, the Radiocommunication Bureau has continued to support the work of six ITU</w:t>
      </w:r>
      <w:r w:rsidRPr="008A7B6F">
        <w:noBreakHyphen/>
        <w:t>R Study Groups, the Coordination Committee for Vocabulary (CCV) and the Conference Preparatory Meeting (CPM). It has contributed to meetings of RAG and subsequently responded to advice offered by RAG concerning Study Group</w:t>
      </w:r>
      <w:r>
        <w:t>s</w:t>
      </w:r>
      <w:r w:rsidRPr="008A7B6F">
        <w:t xml:space="preserve"> and other ITU-R activities (See Section 5). Towards the end of the study period, its responsibilities have also included the preparation for the Radiocommunication Assembly 20</w:t>
      </w:r>
      <w:r>
        <w:t>23</w:t>
      </w:r>
      <w:r w:rsidRPr="008A7B6F">
        <w:t xml:space="preserve"> (RA-</w:t>
      </w:r>
      <w:r>
        <w:t>23</w:t>
      </w:r>
      <w:r w:rsidRPr="008A7B6F">
        <w:t>) and the World Radiocommunication Conference 20</w:t>
      </w:r>
      <w:r>
        <w:t>23</w:t>
      </w:r>
      <w:r w:rsidRPr="008A7B6F">
        <w:t xml:space="preserve"> (WRC</w:t>
      </w:r>
      <w:r w:rsidRPr="008A7B6F">
        <w:noBreakHyphen/>
      </w:r>
      <w:r>
        <w:t>23</w:t>
      </w:r>
      <w:r w:rsidRPr="008A7B6F">
        <w:t>) (See Section 1).</w:t>
      </w:r>
    </w:p>
    <w:p w14:paraId="7B388C24" w14:textId="77777777" w:rsidR="00C74DA0" w:rsidRPr="00771E87" w:rsidRDefault="00C74DA0" w:rsidP="00C74DA0">
      <w:pPr>
        <w:pStyle w:val="Heading2"/>
      </w:pPr>
      <w:bookmarkStart w:id="123" w:name="_Toc143072434"/>
      <w:r w:rsidRPr="00771E87">
        <w:t>4.2</w:t>
      </w:r>
      <w:r w:rsidRPr="00771E87">
        <w:tab/>
        <w:t>Response to the results of RA-</w:t>
      </w:r>
      <w:r>
        <w:t>19</w:t>
      </w:r>
      <w:bookmarkEnd w:id="123"/>
    </w:p>
    <w:p w14:paraId="4365336B" w14:textId="77777777" w:rsidR="00C74DA0" w:rsidRPr="008A7B6F" w:rsidRDefault="00C74DA0" w:rsidP="00C74DA0">
      <w:pPr>
        <w:rPr>
          <w:rFonts w:eastAsiaTheme="minorEastAsia"/>
          <w:lang w:eastAsia="zh-CN"/>
        </w:rPr>
      </w:pPr>
      <w:r w:rsidRPr="008A7B6F">
        <w:rPr>
          <w:rFonts w:eastAsiaTheme="minorEastAsia"/>
          <w:lang w:eastAsia="zh-CN"/>
        </w:rPr>
        <w:t>The Radiocommunication Assembly in 20</w:t>
      </w:r>
      <w:r>
        <w:rPr>
          <w:rFonts w:eastAsiaTheme="minorEastAsia"/>
          <w:lang w:eastAsia="zh-CN"/>
        </w:rPr>
        <w:t>19</w:t>
      </w:r>
      <w:r w:rsidRPr="008A7B6F">
        <w:rPr>
          <w:rFonts w:eastAsiaTheme="minorEastAsia"/>
          <w:lang w:eastAsia="zh-CN"/>
        </w:rPr>
        <w:t xml:space="preserve"> approved the 4</w:t>
      </w:r>
      <w:r>
        <w:rPr>
          <w:rFonts w:eastAsiaTheme="minorEastAsia"/>
          <w:lang w:eastAsia="zh-CN"/>
        </w:rPr>
        <w:t>0</w:t>
      </w:r>
      <w:r w:rsidRPr="008A7B6F">
        <w:rPr>
          <w:rFonts w:eastAsiaTheme="minorEastAsia"/>
          <w:lang w:eastAsia="zh-CN"/>
        </w:rPr>
        <w:t xml:space="preserve"> Resolutions that serve as the basic texts and directives upon which the Study Groups undertake their responsibilities. </w:t>
      </w:r>
    </w:p>
    <w:p w14:paraId="1C7270E8" w14:textId="77777777" w:rsidR="00C74DA0" w:rsidRPr="008A7B6F" w:rsidRDefault="00C74DA0" w:rsidP="00C74DA0">
      <w:pPr>
        <w:rPr>
          <w:rFonts w:eastAsiaTheme="minorEastAsia"/>
          <w:lang w:eastAsia="zh-CN"/>
        </w:rPr>
      </w:pPr>
      <w:r w:rsidRPr="008A7B6F">
        <w:rPr>
          <w:rFonts w:eastAsiaTheme="minorEastAsia"/>
          <w:lang w:eastAsia="zh-CN"/>
        </w:rPr>
        <w:t>Resolutions ITU</w:t>
      </w:r>
      <w:r w:rsidRPr="008A7B6F">
        <w:rPr>
          <w:rFonts w:eastAsiaTheme="minorEastAsia"/>
          <w:lang w:eastAsia="zh-CN"/>
        </w:rPr>
        <w:noBreakHyphen/>
        <w:t>R 4 and 5 provide the structure of the Study Groups and their respective work programmes. These Resolutions were used as the basis for the Study Group</w:t>
      </w:r>
      <w:r>
        <w:rPr>
          <w:rFonts w:eastAsiaTheme="minorEastAsia"/>
          <w:lang w:eastAsia="zh-CN"/>
        </w:rPr>
        <w:t>s</w:t>
      </w:r>
      <w:r w:rsidRPr="008A7B6F">
        <w:rPr>
          <w:rFonts w:eastAsiaTheme="minorEastAsia"/>
          <w:lang w:eastAsia="zh-CN"/>
        </w:rPr>
        <w:t xml:space="preserve"> work during the 20</w:t>
      </w:r>
      <w:r>
        <w:rPr>
          <w:rFonts w:eastAsiaTheme="minorEastAsia"/>
          <w:lang w:eastAsia="zh-CN"/>
        </w:rPr>
        <w:t>19</w:t>
      </w:r>
      <w:r w:rsidRPr="008A7B6F">
        <w:rPr>
          <w:rFonts w:eastAsiaTheme="minorEastAsia"/>
          <w:lang w:eastAsia="zh-CN"/>
        </w:rPr>
        <w:noBreakHyphen/>
        <w:t>20</w:t>
      </w:r>
      <w:r>
        <w:rPr>
          <w:rFonts w:eastAsiaTheme="minorEastAsia"/>
          <w:lang w:eastAsia="zh-CN"/>
        </w:rPr>
        <w:t>23</w:t>
      </w:r>
      <w:r w:rsidRPr="008A7B6F">
        <w:rPr>
          <w:rFonts w:eastAsiaTheme="minorEastAsia"/>
          <w:lang w:eastAsia="zh-CN"/>
        </w:rPr>
        <w:t xml:space="preserve"> study period.</w:t>
      </w:r>
    </w:p>
    <w:p w14:paraId="6D62305F" w14:textId="60AF7E3B" w:rsidR="00C74DA0" w:rsidRPr="008A7B6F" w:rsidRDefault="00C74DA0" w:rsidP="00C74DA0">
      <w:pPr>
        <w:rPr>
          <w:rFonts w:eastAsiaTheme="minorEastAsia"/>
          <w:lang w:eastAsia="zh-CN"/>
        </w:rPr>
      </w:pPr>
      <w:r w:rsidRPr="008A7B6F">
        <w:rPr>
          <w:rFonts w:eastAsiaTheme="minorEastAsia"/>
          <w:lang w:eastAsia="zh-CN"/>
        </w:rPr>
        <w:t>Resolution ITU</w:t>
      </w:r>
      <w:r w:rsidRPr="008A7B6F">
        <w:rPr>
          <w:rFonts w:eastAsiaTheme="minorEastAsia"/>
          <w:lang w:eastAsia="zh-CN"/>
        </w:rPr>
        <w:noBreakHyphen/>
        <w:t>R 9 (Liaison and collaboration with other organizations</w:t>
      </w:r>
      <w:r>
        <w:rPr>
          <w:rFonts w:eastAsiaTheme="minorEastAsia"/>
          <w:lang w:eastAsia="zh-CN"/>
        </w:rPr>
        <w:t xml:space="preserve"> in particular ISO, IEC and CISPR</w:t>
      </w:r>
      <w:r w:rsidRPr="008A7B6F">
        <w:rPr>
          <w:rFonts w:eastAsiaTheme="minorEastAsia"/>
          <w:lang w:eastAsia="zh-CN"/>
        </w:rPr>
        <w:t>) recognizes the need to facilitate coordination and information exchange between ITU</w:t>
      </w:r>
      <w:r w:rsidRPr="008A7B6F">
        <w:rPr>
          <w:rFonts w:eastAsiaTheme="minorEastAsia"/>
          <w:lang w:eastAsia="zh-CN"/>
        </w:rPr>
        <w:noBreakHyphen/>
        <w:t>R and other bodies, particularly those involved with standards development</w:t>
      </w:r>
      <w:r>
        <w:rPr>
          <w:rFonts w:eastAsiaTheme="minorEastAsia"/>
          <w:lang w:eastAsia="zh-CN"/>
        </w:rPr>
        <w:t>, ISO, IEC and CISPR</w:t>
      </w:r>
      <w:r w:rsidRPr="008A7B6F">
        <w:rPr>
          <w:rFonts w:eastAsiaTheme="minorEastAsia"/>
          <w:lang w:eastAsia="zh-CN"/>
        </w:rPr>
        <w:t>.</w:t>
      </w:r>
    </w:p>
    <w:p w14:paraId="6AE6A046" w14:textId="77777777" w:rsidR="00C74DA0" w:rsidRPr="008A7B6F" w:rsidRDefault="00C74DA0" w:rsidP="00C74DA0">
      <w:pPr>
        <w:rPr>
          <w:rFonts w:eastAsiaTheme="minorEastAsia"/>
          <w:lang w:eastAsia="zh-CN"/>
        </w:rPr>
      </w:pPr>
      <w:r w:rsidRPr="008A7B6F">
        <w:rPr>
          <w:rFonts w:eastAsiaTheme="minorEastAsia"/>
          <w:lang w:eastAsia="zh-CN"/>
        </w:rPr>
        <w:t>RA-</w:t>
      </w:r>
      <w:r>
        <w:rPr>
          <w:rFonts w:eastAsiaTheme="minorEastAsia"/>
          <w:lang w:eastAsia="zh-CN"/>
        </w:rPr>
        <w:t>19</w:t>
      </w:r>
      <w:r w:rsidRPr="008A7B6F">
        <w:rPr>
          <w:rFonts w:eastAsiaTheme="minorEastAsia"/>
          <w:lang w:eastAsia="zh-CN"/>
        </w:rPr>
        <w:t xml:space="preserve"> approved several new and revised Resolutions relating to the work of the Study Groups concerning, for example, spectrum management and monitoring, short-range devices, disaster prediction detection mitigation and relief, cognitive radio systems, terrestrial electronic news gathering systems, reduction of energy consumption for environmental protection, Internet of Things, mitigation of climate change, Telecommunication/ICT accessibility, regulatory procedures for small satellites, international public telecommunications via satellite in developing countries, </w:t>
      </w:r>
      <w:r>
        <w:rPr>
          <w:rFonts w:eastAsiaTheme="minorEastAsia"/>
          <w:lang w:eastAsia="zh-CN"/>
        </w:rPr>
        <w:t>principles for the future development of broadcasting as well as the role of the Radiocommunication Bureau in the development of television, sound and multimedia broadcasting. T</w:t>
      </w:r>
      <w:r w:rsidRPr="008A7B6F">
        <w:rPr>
          <w:rFonts w:eastAsiaTheme="minorEastAsia"/>
          <w:lang w:eastAsia="zh-CN"/>
        </w:rPr>
        <w:t>he concerned Study Groups have taken due note of such Resolutions in their work programmes.</w:t>
      </w:r>
    </w:p>
    <w:p w14:paraId="2C9F8FB2" w14:textId="77777777" w:rsidR="00C74DA0" w:rsidRPr="00983A41" w:rsidRDefault="00C74DA0" w:rsidP="00C74DA0">
      <w:pPr>
        <w:pStyle w:val="Heading2"/>
      </w:pPr>
      <w:bookmarkStart w:id="124" w:name="_Toc143072435"/>
      <w:r w:rsidRPr="00983A41">
        <w:t>4.3</w:t>
      </w:r>
      <w:r w:rsidRPr="00983A41">
        <w:tab/>
        <w:t>Preparatory work for WRC</w:t>
      </w:r>
      <w:r w:rsidRPr="00983A41">
        <w:noBreakHyphen/>
      </w:r>
      <w:r>
        <w:t>23</w:t>
      </w:r>
      <w:bookmarkEnd w:id="124"/>
    </w:p>
    <w:p w14:paraId="005879A8" w14:textId="77777777" w:rsidR="00C74DA0" w:rsidRPr="00BA40C8" w:rsidRDefault="00C74DA0" w:rsidP="00EB57F2">
      <w:pPr>
        <w:pStyle w:val="Heading3"/>
      </w:pPr>
      <w:bookmarkStart w:id="125" w:name="_Toc143072436"/>
      <w:r w:rsidRPr="006C013F">
        <w:t>4.3.1</w:t>
      </w:r>
      <w:r w:rsidRPr="006C013F">
        <w:tab/>
        <w:t>General information</w:t>
      </w:r>
      <w:bookmarkEnd w:id="125"/>
    </w:p>
    <w:p w14:paraId="5D3FDB46" w14:textId="59766F90" w:rsidR="00C74DA0" w:rsidRPr="00A20F7B" w:rsidRDefault="00C74DA0" w:rsidP="00C74DA0">
      <w:r w:rsidRPr="00A20F7B">
        <w:t>Study Group</w:t>
      </w:r>
      <w:r>
        <w:t>s</w:t>
      </w:r>
      <w:r w:rsidRPr="00A20F7B">
        <w:t xml:space="preserve"> activit</w:t>
      </w:r>
      <w:r>
        <w:t>y</w:t>
      </w:r>
      <w:r w:rsidRPr="00A20F7B">
        <w:t xml:space="preserve"> in preparation for WRC</w:t>
      </w:r>
      <w:r w:rsidRPr="00A20F7B">
        <w:noBreakHyphen/>
      </w:r>
      <w:r>
        <w:t>23</w:t>
      </w:r>
      <w:r w:rsidRPr="00A20F7B">
        <w:t xml:space="preserve"> w</w:t>
      </w:r>
      <w:r>
        <w:t>as</w:t>
      </w:r>
      <w:r w:rsidRPr="00A20F7B">
        <w:t xml:space="preserve"> conducted through the CPM process, in accordance with Resolution ITU</w:t>
      </w:r>
      <w:r w:rsidRPr="00A20F7B">
        <w:noBreakHyphen/>
        <w:t>R 2-</w:t>
      </w:r>
      <w:r>
        <w:t>8</w:t>
      </w:r>
      <w:r w:rsidRPr="00A20F7B">
        <w:t>.</w:t>
      </w:r>
    </w:p>
    <w:p w14:paraId="75CC03F0" w14:textId="77777777" w:rsidR="00C74DA0" w:rsidRPr="00A20F7B" w:rsidRDefault="00C74DA0" w:rsidP="00C74DA0">
      <w:r w:rsidRPr="00A20F7B">
        <w:t>The first session of the 20</w:t>
      </w:r>
      <w:r>
        <w:t>23</w:t>
      </w:r>
      <w:r w:rsidRPr="00A20F7B">
        <w:t xml:space="preserve"> Conference Preparatory Meeting (CPM</w:t>
      </w:r>
      <w:r>
        <w:t>23</w:t>
      </w:r>
      <w:r w:rsidRPr="00A20F7B">
        <w:t xml:space="preserve">-1) was held </w:t>
      </w:r>
      <w:proofErr w:type="gramStart"/>
      <w:r w:rsidRPr="00A20F7B">
        <w:t xml:space="preserve">in </w:t>
      </w:r>
      <w:r>
        <w:t xml:space="preserve"> Sharm</w:t>
      </w:r>
      <w:proofErr w:type="gramEnd"/>
      <w:r>
        <w:t xml:space="preserve"> </w:t>
      </w:r>
      <w:proofErr w:type="spellStart"/>
      <w:r>
        <w:t>el</w:t>
      </w:r>
      <w:proofErr w:type="spellEnd"/>
      <w:r>
        <w:rPr>
          <w:lang w:val="en-US"/>
        </w:rPr>
        <w:t>-Sheikh (Egypt)</w:t>
      </w:r>
      <w:r w:rsidRPr="00A20F7B">
        <w:t xml:space="preserve"> on </w:t>
      </w:r>
      <w:r>
        <w:t>25-26</w:t>
      </w:r>
      <w:r w:rsidRPr="00A20F7B">
        <w:t xml:space="preserve"> November 20</w:t>
      </w:r>
      <w:r>
        <w:t>19</w:t>
      </w:r>
      <w:r w:rsidRPr="00A20F7B">
        <w:t xml:space="preserve"> to organize the preparatory studies for WRC-</w:t>
      </w:r>
      <w:r>
        <w:t>23</w:t>
      </w:r>
      <w:r w:rsidRPr="00A20F7B">
        <w:t xml:space="preserve">. It also identified studies in preparation for the </w:t>
      </w:r>
      <w:r>
        <w:t xml:space="preserve">subsequent </w:t>
      </w:r>
      <w:r w:rsidRPr="00A20F7B">
        <w:t>WRC. A structure for the CPM Report to WRC-</w:t>
      </w:r>
      <w:r>
        <w:t>23</w:t>
      </w:r>
      <w:r w:rsidRPr="00A20F7B">
        <w:t xml:space="preserve"> was agreed together with a preparatory process, working procedures and a chapter structure. The meeting appointed a Rapporteur</w:t>
      </w:r>
      <w:r>
        <w:t xml:space="preserve"> or Co</w:t>
      </w:r>
      <w:r>
        <w:noBreakHyphen/>
        <w:t>Rapporteurs</w:t>
      </w:r>
      <w:r w:rsidRPr="00A20F7B">
        <w:t xml:space="preserve"> for each chapter to assist the Chairman in managing the development and flow of draft report contributions. The results of CPM</w:t>
      </w:r>
      <w:r>
        <w:t>23</w:t>
      </w:r>
      <w:r w:rsidRPr="00A20F7B">
        <w:t xml:space="preserve">-1 were published in Administrative Circular </w:t>
      </w:r>
      <w:hyperlink r:id="rId66" w:history="1">
        <w:r>
          <w:rPr>
            <w:rStyle w:val="Hyperlink"/>
          </w:rPr>
          <w:t>CA/251</w:t>
        </w:r>
      </w:hyperlink>
      <w:r w:rsidRPr="00A20F7B">
        <w:t xml:space="preserve"> of the Radiocommunication Bureau, dated </w:t>
      </w:r>
      <w:r>
        <w:t xml:space="preserve">19 </w:t>
      </w:r>
      <w:r w:rsidRPr="00A20F7B">
        <w:t>December 20</w:t>
      </w:r>
      <w:r>
        <w:t>19</w:t>
      </w:r>
      <w:r w:rsidRPr="00A20F7B">
        <w:t>.</w:t>
      </w:r>
    </w:p>
    <w:p w14:paraId="2EC011EA" w14:textId="77777777" w:rsidR="00C74DA0" w:rsidRPr="00A20F7B" w:rsidRDefault="00C74DA0" w:rsidP="00C74DA0">
      <w:r w:rsidRPr="00A20F7B">
        <w:t>The ITU-R preparations for WRC-</w:t>
      </w:r>
      <w:r>
        <w:t>23</w:t>
      </w:r>
      <w:r w:rsidRPr="00A20F7B">
        <w:t xml:space="preserve"> were concentrated in the following responsible groups (listed in the order of the Study Groups):</w:t>
      </w:r>
    </w:p>
    <w:p w14:paraId="197BFE13" w14:textId="77777777" w:rsidR="00C74DA0" w:rsidRPr="00A20F7B" w:rsidRDefault="00C74DA0" w:rsidP="00C74DA0">
      <w:r w:rsidRPr="00A20F7B">
        <w:rPr>
          <w:b/>
        </w:rPr>
        <w:t>Study Group 4</w:t>
      </w:r>
      <w:r w:rsidRPr="00A20F7B">
        <w:t xml:space="preserve"> chaired by Mr </w:t>
      </w:r>
      <w:r>
        <w:t>Victor Strelets</w:t>
      </w:r>
      <w:r w:rsidRPr="00A20F7B">
        <w:t xml:space="preserve"> (</w:t>
      </w:r>
      <w:r>
        <w:t>Russian Federation</w:t>
      </w:r>
      <w:r w:rsidRPr="00A20F7B">
        <w:t>), WP 4A chaired by Mr J</w:t>
      </w:r>
      <w:r>
        <w:t>ack</w:t>
      </w:r>
      <w:r w:rsidRPr="00A20F7B">
        <w:t> </w:t>
      </w:r>
      <w:proofErr w:type="spellStart"/>
      <w:r w:rsidRPr="00A20F7B">
        <w:t>Wengryniuk</w:t>
      </w:r>
      <w:proofErr w:type="spellEnd"/>
      <w:r w:rsidRPr="00A20F7B">
        <w:t xml:space="preserve"> (United States of America) and WP 4C chaired by Mr Nobuyuki Kawai (Japan</w:t>
      </w:r>
      <w:proofErr w:type="gramStart"/>
      <w:r w:rsidRPr="00A20F7B">
        <w:t>);</w:t>
      </w:r>
      <w:proofErr w:type="gramEnd"/>
    </w:p>
    <w:p w14:paraId="44CEDDFE" w14:textId="77777777" w:rsidR="00C74DA0" w:rsidRDefault="00C74DA0" w:rsidP="00C74DA0">
      <w:r w:rsidRPr="00021A11">
        <w:rPr>
          <w:b/>
          <w:bCs/>
        </w:rPr>
        <w:t>Study Group 5</w:t>
      </w:r>
      <w:r w:rsidRPr="00021A11">
        <w:t xml:space="preserve"> chaired by Mr M</w:t>
      </w:r>
      <w:r>
        <w:t>artin</w:t>
      </w:r>
      <w:r w:rsidRPr="00021A11">
        <w:t xml:space="preserve"> Fenton (United Kingdom of Great Britain and Northern Ireland), WP 5A chaired by Mr J</w:t>
      </w:r>
      <w:r>
        <w:t>osé</w:t>
      </w:r>
      <w:r w:rsidRPr="00021A11">
        <w:t xml:space="preserve"> Costa (Canada), WP 5B chaired by Mr J</w:t>
      </w:r>
      <w:r>
        <w:t>ohn</w:t>
      </w:r>
      <w:r w:rsidRPr="00021A11">
        <w:t xml:space="preserve"> Mettrop (United Kingdom of Great Britain and Northern Ireland), WP 5C chaired by Mr P</w:t>
      </w:r>
      <w:r>
        <w:t>ietro</w:t>
      </w:r>
      <w:r w:rsidRPr="00021A11">
        <w:t xml:space="preserve"> Nava (Italy), WP 5D chaired by Mr</w:t>
      </w:r>
      <w:r>
        <w:t> </w:t>
      </w:r>
      <w:r w:rsidRPr="00021A11">
        <w:t>S</w:t>
      </w:r>
      <w:r>
        <w:t>tephen </w:t>
      </w:r>
      <w:proofErr w:type="spellStart"/>
      <w:r w:rsidRPr="00021A11">
        <w:t>Blust</w:t>
      </w:r>
      <w:proofErr w:type="spellEnd"/>
      <w:r w:rsidRPr="00021A11">
        <w:t xml:space="preserve"> (United States of America</w:t>
      </w:r>
      <w:proofErr w:type="gramStart"/>
      <w:r w:rsidRPr="00021A11">
        <w:t>);</w:t>
      </w:r>
      <w:proofErr w:type="gramEnd"/>
    </w:p>
    <w:p w14:paraId="4F2730DD" w14:textId="77777777" w:rsidR="00C74DA0" w:rsidRPr="00A20F7B" w:rsidRDefault="00C74DA0" w:rsidP="00C74DA0">
      <w:r w:rsidRPr="00245D02">
        <w:rPr>
          <w:b/>
          <w:bCs/>
        </w:rPr>
        <w:t>Study Group 6</w:t>
      </w:r>
      <w:r>
        <w:t xml:space="preserve"> chaired by Mr Yukihiro Nishida (Japan), Task Group 6/1 chaired by Mr Sergey </w:t>
      </w:r>
      <w:proofErr w:type="spellStart"/>
      <w:r>
        <w:t>Pastukh</w:t>
      </w:r>
      <w:proofErr w:type="spellEnd"/>
      <w:r>
        <w:t xml:space="preserve"> (Russian Federation</w:t>
      </w:r>
      <w:proofErr w:type="gramStart"/>
      <w:r>
        <w:t>);</w:t>
      </w:r>
      <w:proofErr w:type="gramEnd"/>
    </w:p>
    <w:p w14:paraId="2D8A7517" w14:textId="77777777" w:rsidR="00C74DA0" w:rsidRPr="00A20F7B" w:rsidRDefault="00C74DA0" w:rsidP="00C74DA0">
      <w:r w:rsidRPr="00A20F7B">
        <w:rPr>
          <w:b/>
        </w:rPr>
        <w:t>Study Group 7</w:t>
      </w:r>
      <w:r w:rsidRPr="00A20F7B">
        <w:t xml:space="preserve"> chaired by Mr J</w:t>
      </w:r>
      <w:r>
        <w:t>ohn</w:t>
      </w:r>
      <w:r w:rsidRPr="00A20F7B">
        <w:t xml:space="preserve"> </w:t>
      </w:r>
      <w:proofErr w:type="spellStart"/>
      <w:r w:rsidRPr="00A20F7B">
        <w:t>Zuzek</w:t>
      </w:r>
      <w:proofErr w:type="spellEnd"/>
      <w:r w:rsidRPr="00A20F7B">
        <w:t xml:space="preserve"> (United States of America), WP 7B chaired by </w:t>
      </w:r>
      <w:r>
        <w:t>Ms Catherin Sham</w:t>
      </w:r>
      <w:r w:rsidRPr="00A20F7B">
        <w:t xml:space="preserve"> (United States of America) and WP 7C chaired by Mr M. </w:t>
      </w:r>
      <w:proofErr w:type="spellStart"/>
      <w:r w:rsidRPr="00A20F7B">
        <w:t>Dreis</w:t>
      </w:r>
      <w:proofErr w:type="spellEnd"/>
      <w:r w:rsidRPr="00A20F7B">
        <w:t xml:space="preserve"> (German (Federal Republic of)</w:t>
      </w:r>
      <w:proofErr w:type="gramStart"/>
      <w:r w:rsidRPr="00A20F7B">
        <w:t>);</w:t>
      </w:r>
      <w:proofErr w:type="gramEnd"/>
    </w:p>
    <w:p w14:paraId="33BAAEED" w14:textId="77777777" w:rsidR="00C74DA0" w:rsidRPr="00A20F7B" w:rsidRDefault="00C74DA0" w:rsidP="00C74DA0">
      <w:r w:rsidRPr="00A20F7B">
        <w:t>Texts for the draft CPM Report were prepared by the responsible groups identified by CPM</w:t>
      </w:r>
      <w:r>
        <w:t>23</w:t>
      </w:r>
      <w:r w:rsidRPr="00A20F7B">
        <w:noBreakHyphen/>
        <w:t>1 and provided by the Chairmen of these groups to the CPM-</w:t>
      </w:r>
      <w:r>
        <w:t>23</w:t>
      </w:r>
      <w:r w:rsidRPr="00A20F7B">
        <w:t xml:space="preserve"> Chapter </w:t>
      </w:r>
      <w:r>
        <w:t>(Co-)</w:t>
      </w:r>
      <w:r w:rsidRPr="00A20F7B">
        <w:t xml:space="preserve">Rapporteurs. </w:t>
      </w:r>
    </w:p>
    <w:p w14:paraId="1BD57D16" w14:textId="77777777" w:rsidR="00C74DA0" w:rsidRPr="00A20F7B" w:rsidRDefault="00C74DA0" w:rsidP="00C74DA0">
      <w:r w:rsidRPr="00A20F7B">
        <w:t>The work was coordinated by the Chairman of CPM-</w:t>
      </w:r>
      <w:r>
        <w:t>23</w:t>
      </w:r>
      <w:r w:rsidRPr="00A20F7B">
        <w:t>, in consultation with the CPM-</w:t>
      </w:r>
      <w:r>
        <w:t>23</w:t>
      </w:r>
      <w:r w:rsidRPr="00A20F7B">
        <w:t xml:space="preserve"> Management Team, as defined in Sections </w:t>
      </w:r>
      <w:r>
        <w:t xml:space="preserve">A1.3, A1.5 and 1.6 </w:t>
      </w:r>
      <w:r w:rsidRPr="00A20F7B">
        <w:t>of Annex 1 to Resolution ITU-R 2-</w:t>
      </w:r>
      <w:r>
        <w:t>8</w:t>
      </w:r>
      <w:r w:rsidRPr="00A20F7B">
        <w:t xml:space="preserve">. </w:t>
      </w:r>
    </w:p>
    <w:p w14:paraId="682C774D" w14:textId="27959200" w:rsidR="00C74DA0" w:rsidRDefault="00C74DA0" w:rsidP="00C74DA0">
      <w:r w:rsidRPr="00A20F7B">
        <w:t xml:space="preserve">In accordance with Section </w:t>
      </w:r>
      <w:r>
        <w:t>A1.</w:t>
      </w:r>
      <w:r w:rsidRPr="00A20F7B">
        <w:t>6 of Annex 1 to Resolution ITU-R 2-</w:t>
      </w:r>
      <w:r>
        <w:t>8</w:t>
      </w:r>
      <w:r w:rsidRPr="00A20F7B">
        <w:t>, the CPM-</w:t>
      </w:r>
      <w:r>
        <w:t>23</w:t>
      </w:r>
      <w:r w:rsidRPr="00A20F7B">
        <w:t xml:space="preserve"> Management Team meeting was held in Geneva from </w:t>
      </w:r>
      <w:r>
        <w:t>9</w:t>
      </w:r>
      <w:r w:rsidRPr="00A20F7B">
        <w:t xml:space="preserve"> to </w:t>
      </w:r>
      <w:r>
        <w:t>10</w:t>
      </w:r>
      <w:r w:rsidRPr="00A20F7B">
        <w:t xml:space="preserve"> </w:t>
      </w:r>
      <w:r>
        <w:t xml:space="preserve">November </w:t>
      </w:r>
      <w:r w:rsidRPr="00A20F7B">
        <w:t>20</w:t>
      </w:r>
      <w:r>
        <w:t>22</w:t>
      </w:r>
      <w:r w:rsidRPr="00A20F7B">
        <w:t>. It consolidated the draft CPM Report which was made available, in six languages before the deadline stipulated in Resolution ITU-R 2-</w:t>
      </w:r>
      <w:r>
        <w:t>8</w:t>
      </w:r>
      <w:r w:rsidRPr="00A20F7B">
        <w:t xml:space="preserve">, to all Member States and Radiocommunication Sector Members as Document </w:t>
      </w:r>
      <w:hyperlink r:id="rId67" w:history="1">
        <w:r w:rsidRPr="005812BD">
          <w:rPr>
            <w:rStyle w:val="Hyperlink"/>
          </w:rPr>
          <w:t>CPM23</w:t>
        </w:r>
        <w:r w:rsidR="005812BD" w:rsidRPr="005812BD">
          <w:rPr>
            <w:rStyle w:val="Hyperlink"/>
          </w:rPr>
          <w:noBreakHyphen/>
        </w:r>
        <w:r w:rsidRPr="005812BD">
          <w:rPr>
            <w:rStyle w:val="Hyperlink"/>
          </w:rPr>
          <w:t>2/1</w:t>
        </w:r>
      </w:hyperlink>
      <w:r w:rsidRPr="00A20F7B">
        <w:t>.</w:t>
      </w:r>
    </w:p>
    <w:p w14:paraId="0CE9BBAA" w14:textId="77777777" w:rsidR="00C74DA0" w:rsidRPr="00596CC0" w:rsidRDefault="00C74DA0" w:rsidP="00C74DA0">
      <w:r w:rsidRPr="00596CC0">
        <w:t>The Director provided to the second session of CPM</w:t>
      </w:r>
      <w:r w:rsidRPr="000A2869">
        <w:t>-</w:t>
      </w:r>
      <w:r>
        <w:t>23</w:t>
      </w:r>
      <w:r w:rsidRPr="00596CC0">
        <w:t xml:space="preserve"> (CPM</w:t>
      </w:r>
      <w:r>
        <w:t>23</w:t>
      </w:r>
      <w:r w:rsidRPr="00596CC0">
        <w:t>-2) Reports on WRC-</w:t>
      </w:r>
      <w:r>
        <w:t>23</w:t>
      </w:r>
      <w:r w:rsidRPr="00596CC0">
        <w:t xml:space="preserve"> agenda items 2 and 4(see Documents CPM</w:t>
      </w:r>
      <w:r>
        <w:t>23</w:t>
      </w:r>
      <w:r w:rsidRPr="00596CC0">
        <w:t>-2/</w:t>
      </w:r>
      <w:r>
        <w:t>3</w:t>
      </w:r>
      <w:r w:rsidRPr="000A2869">
        <w:t xml:space="preserve"> and 7</w:t>
      </w:r>
      <w:r w:rsidRPr="00596CC0">
        <w:t xml:space="preserve"> respectively).</w:t>
      </w:r>
    </w:p>
    <w:p w14:paraId="7DD11171" w14:textId="77777777" w:rsidR="00C74DA0" w:rsidRPr="00A20F7B" w:rsidRDefault="00C74DA0" w:rsidP="00C74DA0">
      <w:r>
        <w:t>The second session of CPM-23 (CPM23-2)</w:t>
      </w:r>
      <w:r w:rsidRPr="00A20F7B">
        <w:t xml:space="preserve"> met in Geneva from </w:t>
      </w:r>
      <w:r>
        <w:t xml:space="preserve">27 March to 6 April </w:t>
      </w:r>
      <w:r w:rsidRPr="00A20F7B">
        <w:t>20</w:t>
      </w:r>
      <w:r>
        <w:t>23</w:t>
      </w:r>
      <w:r w:rsidRPr="00A20F7B">
        <w:t xml:space="preserve"> under the chairmanship of </w:t>
      </w:r>
      <w:r>
        <w:t xml:space="preserve">Ms Cindy Cook </w:t>
      </w:r>
      <w:r w:rsidRPr="00A20F7B">
        <w:t>(</w:t>
      </w:r>
      <w:r>
        <w:t>Canada</w:t>
      </w:r>
      <w:r w:rsidRPr="00A20F7B">
        <w:t xml:space="preserve">) to consider the draft CPM Report, </w:t>
      </w:r>
      <w:r>
        <w:t xml:space="preserve">the </w:t>
      </w:r>
      <w:r w:rsidRPr="00A20F7B">
        <w:t xml:space="preserve">contributions from the ITU membership and </w:t>
      </w:r>
      <w:r>
        <w:t xml:space="preserve">the </w:t>
      </w:r>
      <w:r w:rsidRPr="00A20F7B">
        <w:t>additional material submitted by the Radiocommunication Bureau.</w:t>
      </w:r>
    </w:p>
    <w:p w14:paraId="58970E17" w14:textId="77777777" w:rsidR="00C74DA0" w:rsidRPr="00983A41" w:rsidRDefault="00C74DA0" w:rsidP="00C74DA0">
      <w:r w:rsidRPr="00A20F7B">
        <w:t>CPM</w:t>
      </w:r>
      <w:r>
        <w:t>23</w:t>
      </w:r>
      <w:r w:rsidRPr="00A20F7B">
        <w:t xml:space="preserve">-2 divided the work amongst </w:t>
      </w:r>
      <w:r>
        <w:t xml:space="preserve">five </w:t>
      </w:r>
      <w:r w:rsidRPr="00A20F7B">
        <w:t>working groups according to the agreed Chapter</w:t>
      </w:r>
      <w:r>
        <w:t>s</w:t>
      </w:r>
      <w:r w:rsidRPr="00A20F7B">
        <w:t xml:space="preserve"> structure. Many sub-groups were also established, including a drafting group of plenary to deal </w:t>
      </w:r>
      <w:proofErr w:type="gramStart"/>
      <w:r w:rsidRPr="00A20F7B">
        <w:t xml:space="preserve">with </w:t>
      </w:r>
      <w:r>
        <w:t xml:space="preserve"> WRC</w:t>
      </w:r>
      <w:proofErr w:type="gramEnd"/>
      <w:r>
        <w:t>-23 agenda item 10</w:t>
      </w:r>
      <w:r w:rsidRPr="00A20F7B">
        <w:t>.</w:t>
      </w:r>
    </w:p>
    <w:p w14:paraId="360473E1" w14:textId="7EDD0218" w:rsidR="00C74DA0" w:rsidRPr="00571A6B" w:rsidRDefault="00C74DA0" w:rsidP="00C74DA0">
      <w:pPr>
        <w:pStyle w:val="TableNo"/>
      </w:pPr>
      <w:r w:rsidRPr="00571A6B">
        <w:t>table 4.3</w:t>
      </w:r>
      <w:r w:rsidR="005812BD">
        <w:t>.1</w:t>
      </w:r>
      <w:r w:rsidRPr="00571A6B">
        <w:t>-1</w:t>
      </w:r>
    </w:p>
    <w:p w14:paraId="63DE4B50" w14:textId="77777777" w:rsidR="00C74DA0" w:rsidRPr="00571A6B" w:rsidRDefault="00C74DA0" w:rsidP="00C74DA0">
      <w:pPr>
        <w:pStyle w:val="Tabletitle"/>
      </w:pPr>
      <w:r w:rsidRPr="00571A6B">
        <w:t>Structure of the CPM</w:t>
      </w:r>
      <w:r>
        <w:t>23</w:t>
      </w:r>
      <w:r w:rsidRPr="00571A6B">
        <w:t>-2 Report</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4245"/>
        <w:gridCol w:w="3126"/>
      </w:tblGrid>
      <w:tr w:rsidR="00C74DA0" w:rsidRPr="00D72E39" w14:paraId="55246394" w14:textId="77777777">
        <w:trPr>
          <w:jc w:val="center"/>
        </w:trPr>
        <w:tc>
          <w:tcPr>
            <w:tcW w:w="1134" w:type="dxa"/>
            <w:vAlign w:val="center"/>
          </w:tcPr>
          <w:p w14:paraId="228A266F" w14:textId="77777777" w:rsidR="00C74DA0" w:rsidRPr="00D72E39" w:rsidRDefault="00C74DA0">
            <w:pPr>
              <w:pStyle w:val="Tablehead"/>
            </w:pPr>
            <w:r w:rsidRPr="00D72E39">
              <w:t>CPM23-2</w:t>
            </w:r>
            <w:r w:rsidRPr="00D72E39">
              <w:br/>
              <w:t>Groups</w:t>
            </w:r>
          </w:p>
        </w:tc>
        <w:tc>
          <w:tcPr>
            <w:tcW w:w="4245" w:type="dxa"/>
            <w:vAlign w:val="center"/>
          </w:tcPr>
          <w:p w14:paraId="28F1229A" w14:textId="77777777" w:rsidR="00C74DA0" w:rsidRPr="00D72E39" w:rsidRDefault="00C74DA0">
            <w:pPr>
              <w:pStyle w:val="Tablehead"/>
            </w:pPr>
            <w:r w:rsidRPr="00D72E39">
              <w:t>Topic</w:t>
            </w:r>
            <w:r w:rsidRPr="00D72E39">
              <w:br/>
              <w:t>(WRC</w:t>
            </w:r>
            <w:r w:rsidRPr="00D72E39">
              <w:noBreakHyphen/>
              <w:t>23 agenda items)</w:t>
            </w:r>
          </w:p>
        </w:tc>
        <w:tc>
          <w:tcPr>
            <w:tcW w:w="3126" w:type="dxa"/>
            <w:vAlign w:val="center"/>
          </w:tcPr>
          <w:p w14:paraId="45C94337" w14:textId="77777777" w:rsidR="00C74DA0" w:rsidRPr="00D72E39" w:rsidRDefault="00C74DA0">
            <w:pPr>
              <w:pStyle w:val="Tablehead"/>
            </w:pPr>
            <w:r w:rsidRPr="00D72E39">
              <w:t>(Co-) Chairperson(s)</w:t>
            </w:r>
          </w:p>
        </w:tc>
      </w:tr>
      <w:tr w:rsidR="00C74DA0" w:rsidRPr="00D72E39" w14:paraId="5CADF4AA" w14:textId="77777777">
        <w:trPr>
          <w:jc w:val="center"/>
        </w:trPr>
        <w:tc>
          <w:tcPr>
            <w:tcW w:w="1134" w:type="dxa"/>
            <w:vAlign w:val="center"/>
          </w:tcPr>
          <w:p w14:paraId="700D135B" w14:textId="77777777" w:rsidR="00C74DA0" w:rsidRPr="00D72E39" w:rsidRDefault="00C74DA0">
            <w:pPr>
              <w:pStyle w:val="Tabletext"/>
              <w:keepNext/>
              <w:keepLines/>
              <w:jc w:val="center"/>
            </w:pPr>
            <w:r w:rsidRPr="00D72E39">
              <w:t>Working Group 1</w:t>
            </w:r>
          </w:p>
        </w:tc>
        <w:tc>
          <w:tcPr>
            <w:tcW w:w="4245" w:type="dxa"/>
            <w:vAlign w:val="center"/>
          </w:tcPr>
          <w:p w14:paraId="40AC8E28" w14:textId="77777777" w:rsidR="00C74DA0" w:rsidRPr="00D72E39" w:rsidRDefault="00C74DA0">
            <w:pPr>
              <w:pStyle w:val="Tabletext"/>
              <w:keepNext/>
              <w:keepLines/>
            </w:pPr>
            <w:r w:rsidRPr="00D72E39">
              <w:t xml:space="preserve">Chapter 1: fixed, </w:t>
            </w:r>
            <w:proofErr w:type="gramStart"/>
            <w:r w:rsidRPr="00D72E39">
              <w:t>mobile</w:t>
            </w:r>
            <w:proofErr w:type="gramEnd"/>
            <w:r w:rsidRPr="00D72E39">
              <w:t xml:space="preserve"> and broadcasting issues </w:t>
            </w:r>
            <w:r>
              <w:br/>
            </w:r>
            <w:r w:rsidRPr="00D72E39">
              <w:t>(1.1, 1.2, 1.3, 1.4, 1.5)</w:t>
            </w:r>
          </w:p>
        </w:tc>
        <w:tc>
          <w:tcPr>
            <w:tcW w:w="3126" w:type="dxa"/>
            <w:vAlign w:val="center"/>
          </w:tcPr>
          <w:p w14:paraId="36D6775D" w14:textId="77777777" w:rsidR="00C74DA0" w:rsidRPr="00D72E39" w:rsidRDefault="00C74DA0">
            <w:pPr>
              <w:pStyle w:val="Tabletext"/>
              <w:tabs>
                <w:tab w:val="clear" w:pos="1134"/>
                <w:tab w:val="left" w:pos="1169"/>
              </w:tabs>
            </w:pPr>
            <w:r w:rsidRPr="00D72E39">
              <w:t xml:space="preserve">Dr H. </w:t>
            </w:r>
            <w:proofErr w:type="spellStart"/>
            <w:r w:rsidRPr="00D72E39">
              <w:t>Atarashi</w:t>
            </w:r>
            <w:proofErr w:type="spellEnd"/>
            <w:r w:rsidRPr="00D72E39">
              <w:t xml:space="preserve"> (J)</w:t>
            </w:r>
            <w:r w:rsidRPr="00D72E39">
              <w:br/>
              <w:t>Mr U.A. Mahmud (NIG)</w:t>
            </w:r>
          </w:p>
        </w:tc>
      </w:tr>
      <w:tr w:rsidR="00C74DA0" w:rsidRPr="00D72E39" w14:paraId="2E6F43BA" w14:textId="77777777">
        <w:trPr>
          <w:jc w:val="center"/>
        </w:trPr>
        <w:tc>
          <w:tcPr>
            <w:tcW w:w="1134" w:type="dxa"/>
            <w:vAlign w:val="center"/>
          </w:tcPr>
          <w:p w14:paraId="188FFB59" w14:textId="77777777" w:rsidR="00C74DA0" w:rsidRPr="00D72E39" w:rsidRDefault="00C74DA0">
            <w:pPr>
              <w:pStyle w:val="Tabletext"/>
              <w:jc w:val="center"/>
            </w:pPr>
            <w:r w:rsidRPr="00D72E39">
              <w:t>Working Group 2</w:t>
            </w:r>
          </w:p>
        </w:tc>
        <w:tc>
          <w:tcPr>
            <w:tcW w:w="4245" w:type="dxa"/>
            <w:vAlign w:val="center"/>
          </w:tcPr>
          <w:p w14:paraId="66AA33C9" w14:textId="77777777" w:rsidR="00C74DA0" w:rsidRPr="00D72E39" w:rsidRDefault="00C74DA0">
            <w:pPr>
              <w:pStyle w:val="Tabletext"/>
            </w:pPr>
            <w:r w:rsidRPr="00D72E39">
              <w:t xml:space="preserve">Chapter 2: aeronautical and maritime issues </w:t>
            </w:r>
            <w:r>
              <w:br/>
            </w:r>
            <w:r w:rsidRPr="00D72E39">
              <w:t>(1.6, 1.7, 1.8, 1.9, 1.10, 1.11)</w:t>
            </w:r>
          </w:p>
        </w:tc>
        <w:tc>
          <w:tcPr>
            <w:tcW w:w="3126" w:type="dxa"/>
            <w:vAlign w:val="center"/>
          </w:tcPr>
          <w:p w14:paraId="2A91978A" w14:textId="77777777" w:rsidR="00C74DA0" w:rsidRPr="00D72E39" w:rsidRDefault="00C74DA0">
            <w:pPr>
              <w:pStyle w:val="Tabletext"/>
              <w:tabs>
                <w:tab w:val="clear" w:pos="1134"/>
                <w:tab w:val="left" w:pos="1169"/>
              </w:tabs>
              <w:rPr>
                <w:rFonts w:eastAsia="SimSun"/>
                <w:lang w:eastAsia="zh-CN"/>
              </w:rPr>
            </w:pPr>
            <w:r w:rsidRPr="00D72E39">
              <w:rPr>
                <w:rFonts w:eastAsia="SimSun"/>
                <w:lang w:eastAsia="zh-CN"/>
              </w:rPr>
              <w:t xml:space="preserve">Mr M. </w:t>
            </w:r>
            <w:proofErr w:type="spellStart"/>
            <w:r w:rsidRPr="00D72E39">
              <w:rPr>
                <w:rFonts w:eastAsia="SimSun"/>
                <w:lang w:eastAsia="zh-CN"/>
              </w:rPr>
              <w:t>Alhassani</w:t>
            </w:r>
            <w:proofErr w:type="spellEnd"/>
            <w:r w:rsidRPr="00D72E39">
              <w:rPr>
                <w:rFonts w:eastAsia="SimSun"/>
                <w:lang w:eastAsia="zh-CN"/>
              </w:rPr>
              <w:t xml:space="preserve"> (UAE)</w:t>
            </w:r>
          </w:p>
        </w:tc>
      </w:tr>
      <w:tr w:rsidR="00C74DA0" w:rsidRPr="00D72E39" w14:paraId="41B77A1D" w14:textId="77777777">
        <w:trPr>
          <w:jc w:val="center"/>
        </w:trPr>
        <w:tc>
          <w:tcPr>
            <w:tcW w:w="1134" w:type="dxa"/>
            <w:vAlign w:val="center"/>
          </w:tcPr>
          <w:p w14:paraId="7D86120E" w14:textId="77777777" w:rsidR="00C74DA0" w:rsidRPr="00D72E39" w:rsidRDefault="00C74DA0">
            <w:pPr>
              <w:pStyle w:val="Tabletext"/>
              <w:jc w:val="center"/>
            </w:pPr>
            <w:r w:rsidRPr="00D72E39">
              <w:t>Working Group 3</w:t>
            </w:r>
          </w:p>
        </w:tc>
        <w:tc>
          <w:tcPr>
            <w:tcW w:w="4245" w:type="dxa"/>
            <w:vAlign w:val="center"/>
          </w:tcPr>
          <w:p w14:paraId="1B6F9AF9" w14:textId="77777777" w:rsidR="00C74DA0" w:rsidRPr="00D72E39" w:rsidRDefault="00C74DA0">
            <w:pPr>
              <w:pStyle w:val="Tabletext"/>
            </w:pPr>
            <w:r w:rsidRPr="00D72E39">
              <w:t xml:space="preserve">Chapter 3: science issues </w:t>
            </w:r>
            <w:r>
              <w:br/>
            </w:r>
            <w:r w:rsidRPr="00D72E39">
              <w:t>(1.12, 1.13, 1.14)</w:t>
            </w:r>
          </w:p>
        </w:tc>
        <w:tc>
          <w:tcPr>
            <w:tcW w:w="3126" w:type="dxa"/>
            <w:vAlign w:val="center"/>
          </w:tcPr>
          <w:p w14:paraId="23990DE9" w14:textId="77777777" w:rsidR="00C74DA0" w:rsidRPr="00D72E39" w:rsidRDefault="00C74DA0">
            <w:pPr>
              <w:pStyle w:val="Tabletext"/>
              <w:tabs>
                <w:tab w:val="clear" w:pos="1134"/>
                <w:tab w:val="left" w:pos="1169"/>
              </w:tabs>
            </w:pPr>
            <w:r w:rsidRPr="00D72E39">
              <w:t>Mr T.A. Bakaus (B)</w:t>
            </w:r>
          </w:p>
        </w:tc>
      </w:tr>
      <w:tr w:rsidR="00C74DA0" w:rsidRPr="00D72E39" w14:paraId="7DD8C953" w14:textId="77777777">
        <w:trPr>
          <w:jc w:val="center"/>
        </w:trPr>
        <w:tc>
          <w:tcPr>
            <w:tcW w:w="1134" w:type="dxa"/>
            <w:vAlign w:val="center"/>
          </w:tcPr>
          <w:p w14:paraId="36D4758A" w14:textId="77777777" w:rsidR="00C74DA0" w:rsidRPr="00D72E39" w:rsidRDefault="00C74DA0">
            <w:pPr>
              <w:pStyle w:val="Tabletext"/>
              <w:jc w:val="center"/>
            </w:pPr>
            <w:r w:rsidRPr="00D72E39">
              <w:t>Working Group 4</w:t>
            </w:r>
          </w:p>
        </w:tc>
        <w:tc>
          <w:tcPr>
            <w:tcW w:w="4245" w:type="dxa"/>
            <w:vAlign w:val="center"/>
          </w:tcPr>
          <w:p w14:paraId="0FAE0228" w14:textId="77777777" w:rsidR="00C74DA0" w:rsidRPr="00D72E39" w:rsidRDefault="00C74DA0">
            <w:pPr>
              <w:pStyle w:val="Tabletext"/>
            </w:pPr>
            <w:r w:rsidRPr="00D72E39">
              <w:t xml:space="preserve">Chapter 4: satellite issues </w:t>
            </w:r>
            <w:r>
              <w:br/>
            </w:r>
            <w:r w:rsidRPr="00D72E39">
              <w:t>(1.15, 1.16, 1.17, 1.18, 1.19, 7 Topics A to K)</w:t>
            </w:r>
          </w:p>
        </w:tc>
        <w:tc>
          <w:tcPr>
            <w:tcW w:w="3126" w:type="dxa"/>
            <w:vAlign w:val="center"/>
          </w:tcPr>
          <w:p w14:paraId="219575E6" w14:textId="77777777" w:rsidR="00C74DA0" w:rsidRPr="00B35D7C" w:rsidRDefault="00C74DA0">
            <w:pPr>
              <w:pStyle w:val="Tabletext"/>
              <w:tabs>
                <w:tab w:val="clear" w:pos="1134"/>
                <w:tab w:val="left" w:pos="1169"/>
              </w:tabs>
              <w:rPr>
                <w:lang w:val="pt-BR"/>
              </w:rPr>
            </w:pPr>
            <w:r w:rsidRPr="00B35D7C">
              <w:rPr>
                <w:lang w:val="pt-BR"/>
              </w:rPr>
              <w:t>Ms L. Ferreira (B)</w:t>
            </w:r>
            <w:r w:rsidRPr="00B35D7C">
              <w:rPr>
                <w:lang w:val="pt-BR"/>
              </w:rPr>
              <w:br/>
              <w:t>Mr G. Kwizera (RRW)</w:t>
            </w:r>
          </w:p>
        </w:tc>
      </w:tr>
      <w:tr w:rsidR="00C74DA0" w:rsidRPr="00D72E39" w14:paraId="5E5F5FE6" w14:textId="77777777">
        <w:trPr>
          <w:jc w:val="center"/>
        </w:trPr>
        <w:tc>
          <w:tcPr>
            <w:tcW w:w="1134" w:type="dxa"/>
            <w:vAlign w:val="center"/>
          </w:tcPr>
          <w:p w14:paraId="00B06E04" w14:textId="77777777" w:rsidR="00C74DA0" w:rsidRPr="00D72E39" w:rsidRDefault="00C74DA0">
            <w:pPr>
              <w:pStyle w:val="Tabletext"/>
              <w:jc w:val="center"/>
            </w:pPr>
            <w:r w:rsidRPr="00D72E39">
              <w:t>Working Group 5</w:t>
            </w:r>
          </w:p>
        </w:tc>
        <w:tc>
          <w:tcPr>
            <w:tcW w:w="4245" w:type="dxa"/>
            <w:vAlign w:val="center"/>
          </w:tcPr>
          <w:p w14:paraId="0B79427C" w14:textId="77777777" w:rsidR="00C74DA0" w:rsidRPr="00D72E39" w:rsidRDefault="00C74DA0">
            <w:pPr>
              <w:pStyle w:val="Tabletext"/>
            </w:pPr>
            <w:r w:rsidRPr="00D72E39">
              <w:t xml:space="preserve">Chapter 5: general issues </w:t>
            </w:r>
            <w:r>
              <w:br/>
            </w:r>
            <w:r w:rsidRPr="00D72E39">
              <w:t>(2, 4, 9.1 Topics a), b), c) and d))</w:t>
            </w:r>
          </w:p>
        </w:tc>
        <w:tc>
          <w:tcPr>
            <w:tcW w:w="3126" w:type="dxa"/>
            <w:vAlign w:val="center"/>
          </w:tcPr>
          <w:p w14:paraId="45F836E9" w14:textId="77777777" w:rsidR="00C74DA0" w:rsidRPr="00D72E39" w:rsidRDefault="00C74DA0">
            <w:pPr>
              <w:pStyle w:val="Tabletext"/>
              <w:tabs>
                <w:tab w:val="clear" w:pos="1134"/>
                <w:tab w:val="left" w:pos="1169"/>
              </w:tabs>
            </w:pPr>
            <w:r w:rsidRPr="00D72E39">
              <w:t>Mr J. Huang (CHN)</w:t>
            </w:r>
          </w:p>
        </w:tc>
      </w:tr>
      <w:tr w:rsidR="00C74DA0" w:rsidRPr="00D72E39" w14:paraId="174CBBCE" w14:textId="77777777">
        <w:trPr>
          <w:jc w:val="center"/>
        </w:trPr>
        <w:tc>
          <w:tcPr>
            <w:tcW w:w="1134" w:type="dxa"/>
            <w:vAlign w:val="center"/>
          </w:tcPr>
          <w:p w14:paraId="0BEED539" w14:textId="77777777" w:rsidR="00C74DA0" w:rsidRPr="00D72E39" w:rsidRDefault="00C74DA0">
            <w:pPr>
              <w:pStyle w:val="Tabletext"/>
              <w:jc w:val="center"/>
            </w:pPr>
            <w:r w:rsidRPr="00D72E39">
              <w:t>Drafting Group of the Plenary</w:t>
            </w:r>
          </w:p>
        </w:tc>
        <w:tc>
          <w:tcPr>
            <w:tcW w:w="4245" w:type="dxa"/>
            <w:vAlign w:val="center"/>
          </w:tcPr>
          <w:p w14:paraId="647696F0" w14:textId="77777777" w:rsidR="00C74DA0" w:rsidRPr="00D72E39" w:rsidRDefault="00C74DA0">
            <w:pPr>
              <w:pStyle w:val="Tabletext"/>
            </w:pPr>
            <w:r w:rsidRPr="00D72E39">
              <w:t>Annex 1 (10)</w:t>
            </w:r>
          </w:p>
        </w:tc>
        <w:tc>
          <w:tcPr>
            <w:tcW w:w="3126" w:type="dxa"/>
            <w:vAlign w:val="center"/>
          </w:tcPr>
          <w:p w14:paraId="34896DF9" w14:textId="77777777" w:rsidR="00C74DA0" w:rsidRPr="00D72E39" w:rsidRDefault="00C74DA0">
            <w:pPr>
              <w:pStyle w:val="Tabletext"/>
              <w:tabs>
                <w:tab w:val="clear" w:pos="1134"/>
                <w:tab w:val="left" w:pos="1169"/>
              </w:tabs>
            </w:pPr>
            <w:r w:rsidRPr="00D72E39">
              <w:t xml:space="preserve">Mr A. </w:t>
            </w:r>
            <w:proofErr w:type="spellStart"/>
            <w:r w:rsidRPr="00D72E39">
              <w:t>Kühn</w:t>
            </w:r>
            <w:proofErr w:type="spellEnd"/>
            <w:r w:rsidRPr="00D72E39">
              <w:t xml:space="preserve"> (D)</w:t>
            </w:r>
          </w:p>
        </w:tc>
      </w:tr>
    </w:tbl>
    <w:p w14:paraId="75CD9936" w14:textId="77777777" w:rsidR="00C74DA0" w:rsidRDefault="00C74DA0" w:rsidP="00C74DA0">
      <w:pPr>
        <w:pStyle w:val="Tablefin"/>
      </w:pPr>
    </w:p>
    <w:p w14:paraId="6B7BA27A" w14:textId="77777777" w:rsidR="00C74DA0" w:rsidRPr="00A20F7B" w:rsidRDefault="00C74DA0" w:rsidP="00C74DA0">
      <w:r w:rsidRPr="00A20F7B">
        <w:t>Since CPM</w:t>
      </w:r>
      <w:r>
        <w:t>23</w:t>
      </w:r>
      <w:r w:rsidRPr="00A20F7B">
        <w:t>-2, the CPM Report has become a contribution to WRC</w:t>
      </w:r>
      <w:r w:rsidRPr="00A20F7B">
        <w:noBreakHyphen/>
      </w:r>
      <w:r>
        <w:t>23</w:t>
      </w:r>
      <w:r w:rsidRPr="00A20F7B">
        <w:t xml:space="preserve"> as Document 3.</w:t>
      </w:r>
    </w:p>
    <w:p w14:paraId="011517E3" w14:textId="77777777" w:rsidR="00C74DA0" w:rsidRPr="00A20F7B" w:rsidRDefault="00C74DA0" w:rsidP="00C74DA0">
      <w:r w:rsidRPr="00A20F7B">
        <w:t xml:space="preserve">The Report comprises </w:t>
      </w:r>
      <w:r>
        <w:t xml:space="preserve">five </w:t>
      </w:r>
      <w:r w:rsidRPr="00A20F7B">
        <w:t xml:space="preserve">Chapters, following the structure described above. </w:t>
      </w:r>
    </w:p>
    <w:p w14:paraId="214212CB" w14:textId="77777777" w:rsidR="00C74DA0" w:rsidRPr="00A20F7B" w:rsidRDefault="00C74DA0" w:rsidP="00C74DA0">
      <w:r w:rsidRPr="00A20F7B">
        <w:t>The Rep</w:t>
      </w:r>
      <w:r>
        <w:t xml:space="preserve">ort also contains in Annex 2 </w:t>
      </w:r>
      <w:r w:rsidRPr="00A20F7B">
        <w:t xml:space="preserve">a list of the ITU-R Recommendations, ITU-R </w:t>
      </w:r>
      <w:proofErr w:type="gramStart"/>
      <w:r w:rsidRPr="00A20F7B">
        <w:t>Reports</w:t>
      </w:r>
      <w:proofErr w:type="gramEnd"/>
      <w:r w:rsidRPr="00A20F7B">
        <w:t xml:space="preserve"> and other publications, including certain draft new or revised Recommendations and Reports, that are referred to in the text of the CPM Report. The final version of this list reflecting the decisions of the Radiocommunication Assembly 20</w:t>
      </w:r>
      <w:r>
        <w:t>23</w:t>
      </w:r>
      <w:r w:rsidRPr="00A20F7B">
        <w:t xml:space="preserve"> will be made available to the World Radiocommunication Conference 20</w:t>
      </w:r>
      <w:r>
        <w:t>23</w:t>
      </w:r>
      <w:r w:rsidRPr="00A20F7B">
        <w:t>.</w:t>
      </w:r>
    </w:p>
    <w:p w14:paraId="7ED7B97B" w14:textId="77777777" w:rsidR="00C74DA0" w:rsidRPr="008E147A" w:rsidRDefault="00C74DA0" w:rsidP="005812BD">
      <w:pPr>
        <w:pStyle w:val="Heading3"/>
      </w:pPr>
      <w:bookmarkStart w:id="126" w:name="_Toc143072437"/>
      <w:r w:rsidRPr="008E147A">
        <w:t>4.3.2</w:t>
      </w:r>
      <w:r w:rsidRPr="008E147A">
        <w:tab/>
        <w:t>Studies of the RR No. 21.5 issue</w:t>
      </w:r>
      <w:bookmarkEnd w:id="126"/>
    </w:p>
    <w:p w14:paraId="34F390D1" w14:textId="77777777" w:rsidR="00C74DA0" w:rsidRPr="008E147A" w:rsidRDefault="00C74DA0" w:rsidP="00C74DA0">
      <w:pPr>
        <w:rPr>
          <w:rFonts w:cstheme="minorHAnsi"/>
          <w:lang w:val="en-US"/>
        </w:rPr>
      </w:pPr>
      <w:r w:rsidRPr="008E147A">
        <w:rPr>
          <w:rFonts w:cstheme="minorHAnsi"/>
          <w:lang w:val="en-US"/>
        </w:rPr>
        <w:t xml:space="preserve">By its Plenary document </w:t>
      </w:r>
      <w:hyperlink r:id="rId68" w:history="1">
        <w:r w:rsidRPr="008E147A">
          <w:rPr>
            <w:rStyle w:val="Hyperlink"/>
            <w:rFonts w:cstheme="minorHAnsi"/>
            <w:lang w:val="en-US"/>
          </w:rPr>
          <w:t>550</w:t>
        </w:r>
      </w:hyperlink>
      <w:r w:rsidRPr="008E147A">
        <w:rPr>
          <w:rFonts w:cstheme="minorHAnsi"/>
          <w:lang w:val="en-US"/>
        </w:rPr>
        <w:t>, WRC-19 invited ITU-R to study, as a matter of urgency, the applicability of the limit specified in No. </w:t>
      </w:r>
      <w:r w:rsidRPr="008E147A">
        <w:rPr>
          <w:rFonts w:cstheme="minorHAnsi"/>
          <w:b/>
          <w:lang w:val="en-US"/>
        </w:rPr>
        <w:t>21.5</w:t>
      </w:r>
      <w:r w:rsidRPr="008E147A">
        <w:rPr>
          <w:rFonts w:cstheme="minorHAnsi"/>
          <w:lang w:val="en-US"/>
        </w:rPr>
        <w:t xml:space="preserve"> of the Radio Regulations to those IMT stations, that use an antenna that consists of an array of active elements</w:t>
      </w:r>
      <w:r w:rsidRPr="008E147A">
        <w:rPr>
          <w:rStyle w:val="FootnoteReference"/>
          <w:rFonts w:cstheme="minorHAnsi"/>
          <w:lang w:val="en-US"/>
        </w:rPr>
        <w:t xml:space="preserve"> </w:t>
      </w:r>
      <w:r w:rsidRPr="008E147A">
        <w:rPr>
          <w:rFonts w:cstheme="minorHAnsi"/>
          <w:lang w:val="en-US"/>
        </w:rPr>
        <w:t xml:space="preserve">(AAS – active antenna system), with a view to </w:t>
      </w:r>
      <w:r w:rsidRPr="008E147A">
        <w:rPr>
          <w:rFonts w:cstheme="minorHAnsi"/>
        </w:rPr>
        <w:t xml:space="preserve">recommend ways for its possible replacement or revision for such stations, </w:t>
      </w:r>
      <w:r w:rsidRPr="008E147A">
        <w:rPr>
          <w:rFonts w:cstheme="minorHAnsi"/>
          <w:lang w:val="en-US"/>
        </w:rPr>
        <w:t xml:space="preserve">as well as any necessary updates to Table </w:t>
      </w:r>
      <w:r w:rsidRPr="008E147A">
        <w:rPr>
          <w:rFonts w:cstheme="minorHAnsi"/>
          <w:b/>
          <w:lang w:val="en-US"/>
        </w:rPr>
        <w:t>21-2</w:t>
      </w:r>
      <w:r w:rsidRPr="008E147A">
        <w:rPr>
          <w:rFonts w:cstheme="minorHAnsi"/>
          <w:lang w:val="en-US"/>
        </w:rPr>
        <w:t xml:space="preserve"> related to terrestrial and space services sharing frequency bands. Furthermore, WRC-19 also invited ITU-R to study, as a matter of urgency, </w:t>
      </w:r>
      <w:r w:rsidRPr="008E147A">
        <w:rPr>
          <w:rFonts w:cstheme="minorHAnsi"/>
          <w:color w:val="000000"/>
          <w:lang w:val="en-US"/>
        </w:rPr>
        <w:t>verification of No. </w:t>
      </w:r>
      <w:r w:rsidRPr="008E147A">
        <w:rPr>
          <w:rFonts w:cstheme="minorHAnsi"/>
          <w:b/>
          <w:bCs/>
          <w:color w:val="000000"/>
          <w:lang w:val="en-US"/>
        </w:rPr>
        <w:t>21.5</w:t>
      </w:r>
      <w:r w:rsidRPr="008E147A">
        <w:rPr>
          <w:rFonts w:cstheme="minorHAnsi"/>
          <w:lang w:val="en-US"/>
        </w:rPr>
        <w:t xml:space="preserve"> regarding the notification of IMT such stations</w:t>
      </w:r>
      <w:r w:rsidRPr="008E147A">
        <w:rPr>
          <w:rFonts w:cstheme="minorHAnsi"/>
        </w:rPr>
        <w:t xml:space="preserve"> </w:t>
      </w:r>
      <w:r w:rsidRPr="008E147A">
        <w:rPr>
          <w:rFonts w:cstheme="minorHAnsi"/>
          <w:lang w:val="en-US"/>
        </w:rPr>
        <w:t>that use an antenna that consists of an AAS, as appropriate.</w:t>
      </w:r>
    </w:p>
    <w:p w14:paraId="7F077E29" w14:textId="77777777" w:rsidR="00C74DA0" w:rsidRPr="008E147A" w:rsidRDefault="00C74DA0" w:rsidP="00C74DA0">
      <w:pPr>
        <w:rPr>
          <w:rFonts w:cstheme="minorHAnsi"/>
          <w:lang w:val="en-US"/>
        </w:rPr>
      </w:pPr>
      <w:r w:rsidRPr="008E147A">
        <w:rPr>
          <w:rFonts w:cstheme="minorHAnsi"/>
          <w:lang w:val="en-US"/>
        </w:rPr>
        <w:t xml:space="preserve">Immediately after WRC-19, CPM23-1 identified Working Party (WP) 5D as the responsible group to carry out the above-mentioned requested studies and to report the results of the studies to the Director of the Radiocommunication Bureau (BR) to be considered as the Director deems appropriate. </w:t>
      </w:r>
      <w:proofErr w:type="gramStart"/>
      <w:r w:rsidRPr="008E147A">
        <w:rPr>
          <w:rFonts w:cstheme="minorHAnsi"/>
          <w:lang w:val="en-US"/>
        </w:rPr>
        <w:t>Taking into account</w:t>
      </w:r>
      <w:proofErr w:type="gramEnd"/>
      <w:r w:rsidRPr="008E147A">
        <w:rPr>
          <w:rFonts w:cstheme="minorHAnsi"/>
          <w:lang w:val="en-US"/>
        </w:rPr>
        <w:t xml:space="preserve"> the CPM23-1 conclusions, the results of these studies were not included in the Report of the CPM to WRC-23.</w:t>
      </w:r>
    </w:p>
    <w:p w14:paraId="5D7FDBBC" w14:textId="42C6F610" w:rsidR="00C74DA0" w:rsidRPr="008E147A" w:rsidRDefault="00C74DA0" w:rsidP="00C74DA0">
      <w:pPr>
        <w:rPr>
          <w:rFonts w:cstheme="minorHAnsi"/>
          <w:lang w:val="en-US"/>
        </w:rPr>
      </w:pPr>
      <w:r w:rsidRPr="008E147A">
        <w:rPr>
          <w:rFonts w:cstheme="minorHAnsi"/>
          <w:lang w:val="en-US"/>
        </w:rPr>
        <w:t xml:space="preserve">WP 5D has studied the </w:t>
      </w:r>
      <w:r w:rsidR="002417DD">
        <w:rPr>
          <w:rFonts w:cstheme="minorHAnsi"/>
          <w:lang w:val="en-US"/>
        </w:rPr>
        <w:t>R</w:t>
      </w:r>
      <w:r w:rsidR="002A28E4">
        <w:rPr>
          <w:rFonts w:cstheme="minorHAnsi"/>
          <w:lang w:val="en-US"/>
        </w:rPr>
        <w:t xml:space="preserve">R </w:t>
      </w:r>
      <w:r w:rsidRPr="008E147A">
        <w:rPr>
          <w:rFonts w:cstheme="minorHAnsi"/>
          <w:lang w:val="en-US"/>
        </w:rPr>
        <w:t>No. </w:t>
      </w:r>
      <w:r w:rsidRPr="008E147A">
        <w:rPr>
          <w:rFonts w:cstheme="minorHAnsi"/>
          <w:b/>
          <w:lang w:val="en-US"/>
        </w:rPr>
        <w:t>21.5</w:t>
      </w:r>
      <w:r w:rsidRPr="008E147A">
        <w:rPr>
          <w:rFonts w:cstheme="minorHAnsi"/>
          <w:lang w:val="en-US"/>
        </w:rPr>
        <w:t xml:space="preserve"> issue in the period February 2020 – June 2023 and, as indicated in the </w:t>
      </w:r>
      <w:hyperlink r:id="rId69" w:history="1">
        <w:r w:rsidRPr="008E147A">
          <w:rPr>
            <w:rStyle w:val="Hyperlink"/>
            <w:rFonts w:cstheme="minorHAnsi"/>
            <w:lang w:val="en-US"/>
          </w:rPr>
          <w:t>final note</w:t>
        </w:r>
      </w:hyperlink>
      <w:r w:rsidRPr="008E147A">
        <w:rPr>
          <w:rFonts w:cstheme="minorHAnsi"/>
          <w:lang w:val="en-US"/>
        </w:rPr>
        <w:t xml:space="preserve"> from this WP to the Director of the BR (see section 7.2 of the WP 5D Chairman’s Report), </w:t>
      </w:r>
      <w:r w:rsidRPr="008E147A">
        <w:rPr>
          <w:rFonts w:cstheme="minorHAnsi"/>
          <w:szCs w:val="24"/>
        </w:rPr>
        <w:t>several aspects and approaches regarding the studies were discussed but no consensus was reached.</w:t>
      </w:r>
      <w:r w:rsidRPr="008E147A">
        <w:rPr>
          <w:rFonts w:cstheme="minorHAnsi"/>
          <w:lang w:val="en-US"/>
        </w:rPr>
        <w:t xml:space="preserve"> </w:t>
      </w:r>
      <w:r w:rsidRPr="008E147A">
        <w:rPr>
          <w:rFonts w:cstheme="minorHAnsi"/>
          <w:szCs w:val="24"/>
        </w:rPr>
        <w:t xml:space="preserve">While not fully reviewed and agreed by WP 5D, Annex 4.5 to the WP 5D Chairman’s Report in Document </w:t>
      </w:r>
      <w:hyperlink r:id="rId70" w:history="1">
        <w:r w:rsidRPr="008E147A">
          <w:rPr>
            <w:rStyle w:val="Hyperlink"/>
            <w:rFonts w:cstheme="minorHAnsi"/>
            <w:szCs w:val="24"/>
          </w:rPr>
          <w:t>5D/1555</w:t>
        </w:r>
      </w:hyperlink>
      <w:r w:rsidRPr="008E147A">
        <w:rPr>
          <w:rFonts w:cstheme="minorHAnsi"/>
          <w:szCs w:val="24"/>
        </w:rPr>
        <w:t xml:space="preserve"> contains a compilation of input documents received. </w:t>
      </w:r>
      <w:r w:rsidR="002B78BA">
        <w:rPr>
          <w:rFonts w:cstheme="minorHAnsi"/>
          <w:szCs w:val="24"/>
        </w:rPr>
        <w:t xml:space="preserve">Statements of some administrations </w:t>
      </w:r>
      <w:r w:rsidR="00A774DF">
        <w:rPr>
          <w:rFonts w:cstheme="minorHAnsi"/>
          <w:szCs w:val="24"/>
        </w:rPr>
        <w:t xml:space="preserve">on the </w:t>
      </w:r>
      <w:r w:rsidR="002A28E4">
        <w:rPr>
          <w:rFonts w:cstheme="minorHAnsi"/>
          <w:szCs w:val="24"/>
        </w:rPr>
        <w:t xml:space="preserve">RR </w:t>
      </w:r>
      <w:r w:rsidR="006F449C" w:rsidRPr="008E147A">
        <w:rPr>
          <w:rFonts w:cstheme="minorHAnsi"/>
          <w:lang w:val="en-US"/>
        </w:rPr>
        <w:t>No. </w:t>
      </w:r>
      <w:r w:rsidR="006F449C" w:rsidRPr="008E147A">
        <w:rPr>
          <w:rFonts w:cstheme="minorHAnsi"/>
          <w:b/>
          <w:lang w:val="en-US"/>
        </w:rPr>
        <w:t>21.5</w:t>
      </w:r>
      <w:r w:rsidR="006F449C" w:rsidRPr="008E147A">
        <w:rPr>
          <w:rFonts w:cstheme="minorHAnsi"/>
          <w:lang w:val="en-US"/>
        </w:rPr>
        <w:t xml:space="preserve"> issue </w:t>
      </w:r>
      <w:r w:rsidR="00A774DF">
        <w:rPr>
          <w:rFonts w:cstheme="minorHAnsi"/>
          <w:szCs w:val="24"/>
        </w:rPr>
        <w:t xml:space="preserve">are contained in </w:t>
      </w:r>
      <w:r w:rsidR="006F449C">
        <w:rPr>
          <w:rFonts w:cstheme="minorHAnsi"/>
          <w:szCs w:val="24"/>
        </w:rPr>
        <w:t xml:space="preserve">Attachment 2 of </w:t>
      </w:r>
      <w:r w:rsidR="00A774DF">
        <w:rPr>
          <w:lang w:eastAsia="ko-KR"/>
        </w:rPr>
        <w:t xml:space="preserve">WP 5D Chairman Report </w:t>
      </w:r>
      <w:hyperlink r:id="rId71" w:history="1">
        <w:r w:rsidR="00A774DF">
          <w:rPr>
            <w:rStyle w:val="Hyperlink"/>
            <w:lang w:eastAsia="ko-KR"/>
          </w:rPr>
          <w:t>5D/1776</w:t>
        </w:r>
      </w:hyperlink>
      <w:r w:rsidR="00A774DF">
        <w:rPr>
          <w:lang w:eastAsia="ko-KR"/>
        </w:rPr>
        <w:t>.</w:t>
      </w:r>
    </w:p>
    <w:p w14:paraId="0D1DAA6B" w14:textId="77777777" w:rsidR="00C74DA0" w:rsidRPr="008E147A" w:rsidRDefault="00C74DA0" w:rsidP="00C74DA0">
      <w:pPr>
        <w:rPr>
          <w:rFonts w:cstheme="minorHAnsi"/>
          <w:lang w:val="en-US"/>
        </w:rPr>
      </w:pPr>
      <w:r w:rsidRPr="008E147A">
        <w:rPr>
          <w:rFonts w:cstheme="minorHAnsi"/>
          <w:szCs w:val="24"/>
        </w:rPr>
        <w:t xml:space="preserve">One of the main points of the discussions was the method of notification of the power delivered to the antenna, i.e., data item 8AA of RR Appendix </w:t>
      </w:r>
      <w:r w:rsidRPr="008E147A">
        <w:rPr>
          <w:rFonts w:cstheme="minorHAnsi"/>
          <w:b/>
          <w:bCs/>
          <w:szCs w:val="24"/>
        </w:rPr>
        <w:t>4</w:t>
      </w:r>
      <w:r w:rsidRPr="008E147A">
        <w:rPr>
          <w:rFonts w:cstheme="minorHAnsi"/>
          <w:szCs w:val="24"/>
        </w:rPr>
        <w:t>, which was mandatory for submission to the BR</w:t>
      </w:r>
      <w:r w:rsidRPr="008E147A">
        <w:rPr>
          <w:rFonts w:cstheme="minorHAnsi"/>
        </w:rPr>
        <w:t>. Some administrations were in favour of considering this data item as the power delivered by a single active element of IMT stations with AAS. Some other administrations believed the total radiated power (TRP) by all active elements of an IMT station with AAS should be notified as data item 8AA.</w:t>
      </w:r>
    </w:p>
    <w:p w14:paraId="461F8CA8" w14:textId="25BB6C1E" w:rsidR="00C74DA0" w:rsidRPr="008E147A" w:rsidRDefault="00C74DA0" w:rsidP="00C74DA0">
      <w:pPr>
        <w:rPr>
          <w:rFonts w:cstheme="minorHAnsi"/>
          <w:lang w:val="en-US"/>
        </w:rPr>
      </w:pPr>
      <w:r w:rsidRPr="008E147A">
        <w:rPr>
          <w:rFonts w:cstheme="minorHAnsi"/>
          <w:lang w:val="en-US"/>
        </w:rPr>
        <w:t xml:space="preserve">It could be also noted that at its June 2022 meeting, the Radio Regulations Board considered </w:t>
      </w:r>
      <w:r w:rsidRPr="008E147A">
        <w:rPr>
          <w:rFonts w:cstheme="minorHAnsi"/>
          <w:color w:val="000000"/>
        </w:rPr>
        <w:t>1</w:t>
      </w:r>
      <w:r w:rsidR="002A28E4">
        <w:rPr>
          <w:rFonts w:cstheme="minorHAnsi"/>
          <w:color w:val="000000"/>
        </w:rPr>
        <w:t> </w:t>
      </w:r>
      <w:r w:rsidRPr="008E147A">
        <w:rPr>
          <w:rFonts w:cstheme="minorHAnsi"/>
          <w:color w:val="000000"/>
        </w:rPr>
        <w:t xml:space="preserve">458 frequency assignments to stations of the land mobile service recorded in the MIFR in the frequency band 24.25-27.5 GHz. Those assignments did not have the identification of IMT stations, and their types of antenna system were not provided. The Board </w:t>
      </w:r>
      <w:hyperlink r:id="rId72" w:history="1">
        <w:r w:rsidRPr="006B7FF0">
          <w:rPr>
            <w:color w:val="000000"/>
          </w:rPr>
          <w:t>decided</w:t>
        </w:r>
      </w:hyperlink>
      <w:r w:rsidRPr="008E147A">
        <w:rPr>
          <w:rFonts w:cstheme="minorHAnsi"/>
          <w:color w:val="000000"/>
        </w:rPr>
        <w:t xml:space="preserve"> to insert a remark to the 1 458 recorded assignments and future frequency assignments to land mobile service stations in the frequency band 24.45-27.5 GHz indicating the need to review such frequency assignments once the methodology for determining item 8AA for IMT stations with AAS was completed and approved. The BR has inserted such remark into the recorded assignments.</w:t>
      </w:r>
    </w:p>
    <w:p w14:paraId="4363F54E" w14:textId="77777777" w:rsidR="00C74DA0" w:rsidRPr="008E147A" w:rsidRDefault="00C74DA0" w:rsidP="005812BD">
      <w:pPr>
        <w:pStyle w:val="Heading3"/>
        <w:rPr>
          <w:rFonts w:ascii="Calibri" w:hAnsi="Calibri" w:cs="Calibri"/>
        </w:rPr>
      </w:pPr>
      <w:bookmarkStart w:id="127" w:name="_Toc143072438"/>
      <w:r w:rsidRPr="008E147A">
        <w:rPr>
          <w:szCs w:val="24"/>
        </w:rPr>
        <w:t>4.3.3</w:t>
      </w:r>
      <w:r w:rsidRPr="008E147A">
        <w:rPr>
          <w:szCs w:val="24"/>
        </w:rPr>
        <w:tab/>
      </w:r>
      <w:r w:rsidRPr="008E147A">
        <w:t>Resolution 655 (WRC-15)</w:t>
      </w:r>
      <w:bookmarkEnd w:id="127"/>
    </w:p>
    <w:p w14:paraId="6CC676DE" w14:textId="5E0DF1F8" w:rsidR="00C74DA0" w:rsidRDefault="00C74DA0" w:rsidP="00C74DA0">
      <w:pPr>
        <w:rPr>
          <w:color w:val="000000"/>
        </w:rPr>
      </w:pPr>
      <w:r w:rsidRPr="008E147A">
        <w:rPr>
          <w:color w:val="000000"/>
        </w:rPr>
        <w:t xml:space="preserve">During the study cycle, the work on this topic has been carried out by WP 7A. Additional information provided by WP 7A can be found on Annex 1 to WP 7A Chairman’s Report (Doc. </w:t>
      </w:r>
      <w:hyperlink r:id="rId73" w:history="1">
        <w:r w:rsidRPr="007B7E09">
          <w:rPr>
            <w:rStyle w:val="Hyperlink"/>
          </w:rPr>
          <w:t>7A/76</w:t>
        </w:r>
      </w:hyperlink>
      <w:r w:rsidRPr="008E147A">
        <w:rPr>
          <w:color w:val="000000"/>
        </w:rPr>
        <w:t xml:space="preserve"> </w:t>
      </w:r>
      <w:r w:rsidR="007B7E09">
        <w:rPr>
          <w:color w:val="000000"/>
        </w:rPr>
        <w:t>(</w:t>
      </w:r>
      <w:r w:rsidRPr="008E147A">
        <w:rPr>
          <w:color w:val="000000"/>
        </w:rPr>
        <w:t>Annex 1</w:t>
      </w:r>
      <w:r w:rsidR="007B7E09">
        <w:rPr>
          <w:color w:val="000000"/>
        </w:rPr>
        <w:t>)</w:t>
      </w:r>
      <w:r w:rsidRPr="008E147A">
        <w:rPr>
          <w:color w:val="000000"/>
        </w:rPr>
        <w:t>).</w:t>
      </w:r>
    </w:p>
    <w:p w14:paraId="14CB1212" w14:textId="77777777" w:rsidR="00C74DA0" w:rsidRPr="00571A6B" w:rsidRDefault="00C74DA0" w:rsidP="00C74DA0">
      <w:pPr>
        <w:pStyle w:val="Heading2"/>
      </w:pPr>
      <w:bookmarkStart w:id="128" w:name="_Toc143072439"/>
      <w:r w:rsidRPr="00571A6B">
        <w:t>4.4</w:t>
      </w:r>
      <w:r w:rsidRPr="00571A6B">
        <w:tab/>
        <w:t>Recommendations, Handbooks and Reports</w:t>
      </w:r>
      <w:bookmarkEnd w:id="128"/>
    </w:p>
    <w:p w14:paraId="4D80F3E9" w14:textId="77777777" w:rsidR="00C74DA0" w:rsidRPr="00571A6B" w:rsidRDefault="00C74DA0" w:rsidP="00C74DA0">
      <w:pPr>
        <w:rPr>
          <w:lang w:eastAsia="en-GB"/>
        </w:rPr>
      </w:pPr>
      <w:r>
        <w:t>As of July</w:t>
      </w:r>
      <w:r w:rsidRPr="00A20F7B">
        <w:t xml:space="preserve"> 20</w:t>
      </w:r>
      <w:r>
        <w:t>23</w:t>
      </w:r>
      <w:r w:rsidRPr="00A20F7B">
        <w:t xml:space="preserve">, around </w:t>
      </w:r>
      <w:r>
        <w:t>134</w:t>
      </w:r>
      <w:r w:rsidRPr="00A20F7B">
        <w:t xml:space="preserve"> new or revised Recommendations and around 1</w:t>
      </w:r>
      <w:r>
        <w:t>0</w:t>
      </w:r>
      <w:r w:rsidRPr="00A20F7B">
        <w:t>0 new or revised Reports have been approved in the 20</w:t>
      </w:r>
      <w:r>
        <w:t>19</w:t>
      </w:r>
      <w:r w:rsidRPr="00A20F7B">
        <w:t>-20</w:t>
      </w:r>
      <w:r>
        <w:t>23</w:t>
      </w:r>
      <w:r w:rsidRPr="00A20F7B">
        <w:t xml:space="preserve"> study period. Many of these have stemmed from studies associated with CPM activities, although a good number reflect the vital “basic” studies that underpin the fundamental work of the Study Groups. </w:t>
      </w:r>
    </w:p>
    <w:p w14:paraId="671A1466" w14:textId="77777777" w:rsidR="00C74DA0" w:rsidRPr="00571A6B" w:rsidRDefault="00C74DA0" w:rsidP="00C74DA0">
      <w:pPr>
        <w:pStyle w:val="Heading2"/>
      </w:pPr>
      <w:bookmarkStart w:id="129" w:name="_Toc143072440"/>
      <w:r w:rsidRPr="00571A6B">
        <w:t>4.5</w:t>
      </w:r>
      <w:r w:rsidRPr="00571A6B">
        <w:tab/>
        <w:t>Liaison with ITU</w:t>
      </w:r>
      <w:r w:rsidRPr="00571A6B">
        <w:noBreakHyphen/>
        <w:t>D and ITU</w:t>
      </w:r>
      <w:r w:rsidRPr="00571A6B">
        <w:noBreakHyphen/>
        <w:t>T</w:t>
      </w:r>
      <w:bookmarkEnd w:id="129"/>
    </w:p>
    <w:p w14:paraId="6E8D7654" w14:textId="77777777" w:rsidR="00C74DA0" w:rsidRPr="00571A6B" w:rsidRDefault="00C74DA0" w:rsidP="00C74DA0">
      <w:r w:rsidRPr="008A02CA">
        <w:t>The BR has been instrumental in supporting ITU</w:t>
      </w:r>
      <w:r w:rsidRPr="008A02CA">
        <w:noBreakHyphen/>
        <w:t>R liaison with ITU</w:t>
      </w:r>
      <w:r w:rsidRPr="008A02CA">
        <w:noBreakHyphen/>
        <w:t>D and ITU</w:t>
      </w:r>
      <w:r w:rsidRPr="008A02CA">
        <w:noBreakHyphen/>
        <w:t xml:space="preserve">T and between the respective Bureaux. Such liaison influences areas of study within the Study Groups and helps to avoid duplication of effort in the three Sectors. See Sections 4.2 and 8 for </w:t>
      </w:r>
      <w:r>
        <w:t>further</w:t>
      </w:r>
      <w:r w:rsidRPr="008A02CA">
        <w:t xml:space="preserve"> detail.</w:t>
      </w:r>
    </w:p>
    <w:p w14:paraId="44015639" w14:textId="77777777" w:rsidR="00C74DA0" w:rsidRPr="00571A6B" w:rsidRDefault="00C74DA0" w:rsidP="00C74DA0">
      <w:pPr>
        <w:pStyle w:val="Heading2"/>
      </w:pPr>
      <w:bookmarkStart w:id="130" w:name="_Toc143072441"/>
      <w:r w:rsidRPr="00571A6B">
        <w:t>4.6</w:t>
      </w:r>
      <w:r w:rsidRPr="00571A6B">
        <w:tab/>
        <w:t>Liaison and collaboration with other organizations</w:t>
      </w:r>
      <w:bookmarkEnd w:id="130"/>
    </w:p>
    <w:p w14:paraId="02559D28" w14:textId="77777777" w:rsidR="00C74DA0" w:rsidRPr="00571A6B" w:rsidRDefault="00C74DA0" w:rsidP="00C74DA0">
      <w:r w:rsidRPr="008A02CA">
        <w:t>Effective collaboration with other organizations has been undertaken within the framework of Resolution ITU</w:t>
      </w:r>
      <w:r w:rsidRPr="008A02CA">
        <w:noBreakHyphen/>
        <w:t>R 9. See Section 8 for further details.</w:t>
      </w:r>
    </w:p>
    <w:p w14:paraId="297AAFD8" w14:textId="77777777" w:rsidR="00C74DA0" w:rsidRPr="00571A6B" w:rsidRDefault="00C74DA0" w:rsidP="00C74DA0">
      <w:pPr>
        <w:pStyle w:val="Heading2"/>
      </w:pPr>
      <w:bookmarkStart w:id="131" w:name="_Toc143072442"/>
      <w:r w:rsidRPr="00571A6B">
        <w:t>4.7</w:t>
      </w:r>
      <w:r w:rsidRPr="00571A6B">
        <w:tab/>
        <w:t>Support to membership</w:t>
      </w:r>
      <w:bookmarkEnd w:id="131"/>
    </w:p>
    <w:p w14:paraId="62B8C0AB" w14:textId="77777777" w:rsidR="00C74DA0" w:rsidRPr="00571A6B" w:rsidRDefault="00C74DA0" w:rsidP="00C74DA0">
      <w:r w:rsidRPr="008A02CA">
        <w:t>During the study period, participants of the ITU</w:t>
      </w:r>
      <w:r w:rsidRPr="008A02CA">
        <w:noBreakHyphen/>
        <w:t>R Study Groups, as well as staff of the BR, have continued to respond to requests for information and guidance on technical issues concerning the work of the Study Groups. Such questions often relate to problems encountered by Members from developing countries who are seeking relevant ITU</w:t>
      </w:r>
      <w:r w:rsidRPr="008A02CA">
        <w:noBreakHyphen/>
        <w:t xml:space="preserve">R </w:t>
      </w:r>
      <w:proofErr w:type="gramStart"/>
      <w:r w:rsidRPr="008A02CA">
        <w:t>texts</w:t>
      </w:r>
      <w:proofErr w:type="gramEnd"/>
      <w:r w:rsidRPr="008A02CA">
        <w:t xml:space="preserve"> or an explanation of the material contained therein. Assistance has also been provided by way of presentations at seminars or workshops (</w:t>
      </w:r>
      <w:r>
        <w:t>s</w:t>
      </w:r>
      <w:r w:rsidRPr="008A02CA">
        <w:t>ee Sections 6 and 9).</w:t>
      </w:r>
    </w:p>
    <w:p w14:paraId="64C450BD" w14:textId="77777777" w:rsidR="00C74DA0" w:rsidRPr="00571A6B" w:rsidRDefault="00C74DA0" w:rsidP="00C74DA0">
      <w:pPr>
        <w:pStyle w:val="Heading2"/>
      </w:pPr>
      <w:bookmarkStart w:id="132" w:name="_Toc143072443"/>
      <w:r w:rsidRPr="00571A6B">
        <w:t>4.8</w:t>
      </w:r>
      <w:r w:rsidRPr="00571A6B">
        <w:tab/>
        <w:t xml:space="preserve">Statistics regarding meetings, documentation and finalized </w:t>
      </w:r>
      <w:proofErr w:type="gramStart"/>
      <w:r w:rsidRPr="00571A6B">
        <w:t>texts</w:t>
      </w:r>
      <w:bookmarkEnd w:id="132"/>
      <w:proofErr w:type="gramEnd"/>
    </w:p>
    <w:p w14:paraId="5A5A3CB9" w14:textId="77777777" w:rsidR="00C74DA0" w:rsidRPr="00571A6B" w:rsidRDefault="00C74DA0" w:rsidP="00C74DA0">
      <w:r w:rsidRPr="00571A6B">
        <w:t>The following figures relate to the study period since RA-</w:t>
      </w:r>
      <w:r>
        <w:t>19 (up to July 2023)</w:t>
      </w:r>
      <w:r w:rsidRPr="00571A6B">
        <w:t>:</w:t>
      </w:r>
    </w:p>
    <w:p w14:paraId="52D86BC8" w14:textId="55B05341" w:rsidR="00C74DA0" w:rsidRPr="00571A6B" w:rsidRDefault="00C74DA0" w:rsidP="00C74DA0">
      <w:pPr>
        <w:pStyle w:val="enumlev1"/>
      </w:pPr>
      <w:r w:rsidRPr="00571A6B">
        <w:t>–</w:t>
      </w:r>
      <w:r w:rsidRPr="00571A6B">
        <w:tab/>
        <w:t xml:space="preserve">Number of documents processed: </w:t>
      </w:r>
      <w:r>
        <w:t>18</w:t>
      </w:r>
      <w:r w:rsidR="005812BD">
        <w:t> </w:t>
      </w:r>
      <w:r>
        <w:t>762</w:t>
      </w:r>
    </w:p>
    <w:p w14:paraId="53ABCB0C" w14:textId="31049C54" w:rsidR="00C74DA0" w:rsidRPr="00571A6B" w:rsidRDefault="00C74DA0" w:rsidP="00C74DA0">
      <w:pPr>
        <w:pStyle w:val="enumlev1"/>
      </w:pPr>
      <w:r w:rsidRPr="00571A6B">
        <w:t>–</w:t>
      </w:r>
      <w:r w:rsidRPr="00571A6B">
        <w:tab/>
        <w:t xml:space="preserve">Number of pages processed: </w:t>
      </w:r>
      <w:r>
        <w:t>283</w:t>
      </w:r>
      <w:r w:rsidR="005812BD">
        <w:t> </w:t>
      </w:r>
      <w:r>
        <w:t>437</w:t>
      </w:r>
    </w:p>
    <w:p w14:paraId="00995AB6" w14:textId="77777777" w:rsidR="00C74DA0" w:rsidRPr="00571A6B" w:rsidRDefault="00C74DA0" w:rsidP="00C74DA0">
      <w:pPr>
        <w:pStyle w:val="enumlev1"/>
        <w:rPr>
          <w:szCs w:val="24"/>
        </w:rPr>
      </w:pPr>
      <w:r w:rsidRPr="00571A6B">
        <w:t>–</w:t>
      </w:r>
      <w:r w:rsidRPr="00571A6B">
        <w:tab/>
      </w:r>
      <w:r w:rsidRPr="00571A6B">
        <w:rPr>
          <w:szCs w:val="24"/>
        </w:rPr>
        <w:t xml:space="preserve">Number of meetings: </w:t>
      </w:r>
      <w:r>
        <w:rPr>
          <w:bCs/>
          <w:szCs w:val="24"/>
        </w:rPr>
        <w:t>182</w:t>
      </w:r>
    </w:p>
    <w:p w14:paraId="1639B94F" w14:textId="77777777" w:rsidR="00C74DA0" w:rsidRPr="00571A6B" w:rsidRDefault="00C74DA0" w:rsidP="00C74DA0">
      <w:pPr>
        <w:pStyle w:val="enumlev1"/>
        <w:rPr>
          <w:szCs w:val="24"/>
        </w:rPr>
      </w:pPr>
      <w:r w:rsidRPr="00571A6B">
        <w:t>–</w:t>
      </w:r>
      <w:r w:rsidRPr="00571A6B">
        <w:tab/>
      </w:r>
      <w:r w:rsidRPr="00571A6B">
        <w:rPr>
          <w:szCs w:val="24"/>
        </w:rPr>
        <w:t xml:space="preserve">Number of meeting days (total): </w:t>
      </w:r>
      <w:r>
        <w:rPr>
          <w:bCs/>
          <w:szCs w:val="24"/>
        </w:rPr>
        <w:t>1 057</w:t>
      </w:r>
    </w:p>
    <w:p w14:paraId="3F86C03A" w14:textId="77777777" w:rsidR="00C74DA0" w:rsidRPr="00571A6B" w:rsidRDefault="00C74DA0" w:rsidP="00C74DA0">
      <w:pPr>
        <w:pStyle w:val="enumlev1"/>
      </w:pPr>
      <w:r w:rsidRPr="00571A6B">
        <w:t>–</w:t>
      </w:r>
      <w:r w:rsidRPr="00571A6B">
        <w:tab/>
        <w:t xml:space="preserve">Average number of participants at SG and WP meetings: </w:t>
      </w:r>
      <w:r>
        <w:t>236</w:t>
      </w:r>
    </w:p>
    <w:p w14:paraId="2F893CB6" w14:textId="77777777" w:rsidR="00C74DA0" w:rsidRPr="00571A6B" w:rsidRDefault="00C74DA0" w:rsidP="00C74DA0">
      <w:pPr>
        <w:pStyle w:val="enumlev1"/>
      </w:pPr>
      <w:r w:rsidRPr="00571A6B">
        <w:t>–</w:t>
      </w:r>
      <w:r w:rsidRPr="00571A6B">
        <w:tab/>
        <w:t xml:space="preserve">Number of Recommendations approved: </w:t>
      </w:r>
      <w:r>
        <w:t>134</w:t>
      </w:r>
    </w:p>
    <w:p w14:paraId="3EEAE6C9" w14:textId="77777777" w:rsidR="00C74DA0" w:rsidRPr="00571A6B" w:rsidRDefault="00C74DA0" w:rsidP="00C74DA0">
      <w:pPr>
        <w:pStyle w:val="enumlev1"/>
      </w:pPr>
      <w:r w:rsidRPr="00571A6B">
        <w:t>–</w:t>
      </w:r>
      <w:r w:rsidRPr="00571A6B">
        <w:tab/>
        <w:t xml:space="preserve">Number of Reports finalized: </w:t>
      </w:r>
      <w:r>
        <w:t>102</w:t>
      </w:r>
    </w:p>
    <w:p w14:paraId="54A49099" w14:textId="77777777" w:rsidR="00C74DA0" w:rsidRPr="00F06ED2" w:rsidRDefault="00C74DA0" w:rsidP="00C74DA0">
      <w:pPr>
        <w:pStyle w:val="enumlev1"/>
      </w:pPr>
      <w:r w:rsidRPr="00571A6B">
        <w:t>–</w:t>
      </w:r>
      <w:r w:rsidRPr="00571A6B">
        <w:tab/>
        <w:t xml:space="preserve">Number of Handbooks finalized: </w:t>
      </w:r>
      <w:r>
        <w:t>4</w:t>
      </w:r>
    </w:p>
    <w:p w14:paraId="484C26C8" w14:textId="77777777" w:rsidR="00C74DA0" w:rsidRPr="00807CD8" w:rsidRDefault="00C74DA0" w:rsidP="00C74DA0">
      <w:pPr>
        <w:pStyle w:val="Heading1"/>
      </w:pPr>
      <w:bookmarkStart w:id="133" w:name="_Toc143072444"/>
      <w:r w:rsidRPr="00807CD8">
        <w:t>5</w:t>
      </w:r>
      <w:r w:rsidRPr="00807CD8">
        <w:tab/>
        <w:t>Radiocommunication Advisory Group</w:t>
      </w:r>
      <w:bookmarkEnd w:id="133"/>
    </w:p>
    <w:p w14:paraId="2C78A165" w14:textId="77777777" w:rsidR="00C74DA0" w:rsidRPr="00B82848" w:rsidRDefault="00C74DA0" w:rsidP="00C74DA0">
      <w:r w:rsidRPr="00B82848">
        <w:t xml:space="preserve">Activities of the Radiocommunication Advisory Group (RAG) are available in Document </w:t>
      </w:r>
      <w:hyperlink r:id="rId74" w:history="1">
        <w:r w:rsidRPr="006C5D47">
          <w:rPr>
            <w:rStyle w:val="Hyperlink"/>
          </w:rPr>
          <w:t>RA</w:t>
        </w:r>
        <w:r>
          <w:rPr>
            <w:rStyle w:val="Hyperlink"/>
          </w:rPr>
          <w:noBreakHyphen/>
        </w:r>
        <w:r w:rsidRPr="006C5D47">
          <w:rPr>
            <w:rStyle w:val="Hyperlink"/>
          </w:rPr>
          <w:t>23/PLEN/6</w:t>
        </w:r>
      </w:hyperlink>
      <w:r w:rsidRPr="006C5D47">
        <w:t>.</w:t>
      </w:r>
    </w:p>
    <w:p w14:paraId="2AD47842" w14:textId="77777777" w:rsidR="00C74DA0" w:rsidRPr="00807CD8" w:rsidRDefault="00C74DA0" w:rsidP="00C74DA0">
      <w:pPr>
        <w:pStyle w:val="Heading1"/>
      </w:pPr>
      <w:bookmarkStart w:id="134" w:name="_Toc418163375"/>
      <w:bookmarkStart w:id="135" w:name="_Toc418232293"/>
      <w:bookmarkStart w:id="136" w:name="_Toc143072445"/>
      <w:r w:rsidRPr="00807CD8">
        <w:t>6</w:t>
      </w:r>
      <w:r w:rsidRPr="00807CD8">
        <w:tab/>
        <w:t xml:space="preserve">Publications, seminars/workshops, </w:t>
      </w:r>
      <w:proofErr w:type="gramStart"/>
      <w:r w:rsidRPr="00807CD8">
        <w:t>communication</w:t>
      </w:r>
      <w:proofErr w:type="gramEnd"/>
      <w:r w:rsidRPr="00807CD8">
        <w:t xml:space="preserve"> and outreach</w:t>
      </w:r>
      <w:bookmarkEnd w:id="134"/>
      <w:bookmarkEnd w:id="135"/>
      <w:bookmarkEnd w:id="136"/>
    </w:p>
    <w:p w14:paraId="34164A47" w14:textId="77777777" w:rsidR="00C74DA0" w:rsidRPr="00807CD8" w:rsidRDefault="00C74DA0" w:rsidP="00C74DA0">
      <w:bookmarkStart w:id="137" w:name="_Toc418163376"/>
      <w:bookmarkStart w:id="138" w:name="_Toc418232294"/>
      <w:r w:rsidRPr="00807CD8">
        <w:t xml:space="preserve">The purpose of the activities relating to publication, organization and participation in seminars and workshops, and more generally communication and outreach, is to ensure that the outputs produced by the activities of the ITU-R Sector (regulations, recommendations, </w:t>
      </w:r>
      <w:proofErr w:type="gramStart"/>
      <w:r w:rsidRPr="00807CD8">
        <w:t>reports</w:t>
      </w:r>
      <w:proofErr w:type="gramEnd"/>
      <w:r w:rsidRPr="00807CD8">
        <w:t xml:space="preserve"> and handbooks) are disseminated worldwide and familiar to the ITU membership, and more generally to all stakeholders on spectrum.</w:t>
      </w:r>
    </w:p>
    <w:p w14:paraId="562C5883" w14:textId="257EC133" w:rsidR="00C74DA0" w:rsidRPr="00807CD8" w:rsidRDefault="00C74DA0" w:rsidP="00C74DA0">
      <w:pPr>
        <w:pStyle w:val="Heading2"/>
      </w:pPr>
      <w:bookmarkStart w:id="139" w:name="_Toc143072446"/>
      <w:r w:rsidRPr="00807CD8">
        <w:t>6.1</w:t>
      </w:r>
      <w:r w:rsidRPr="00807CD8">
        <w:tab/>
        <w:t>Publications</w:t>
      </w:r>
      <w:bookmarkEnd w:id="137"/>
      <w:bookmarkEnd w:id="138"/>
      <w:bookmarkEnd w:id="139"/>
    </w:p>
    <w:p w14:paraId="7E4C87CE" w14:textId="77777777" w:rsidR="00C74DA0" w:rsidRPr="00891D62" w:rsidRDefault="00C74DA0" w:rsidP="00C74DA0">
      <w:pPr>
        <w:pStyle w:val="Heading3"/>
      </w:pPr>
      <w:bookmarkStart w:id="140" w:name="_Toc143072447"/>
      <w:r w:rsidRPr="00891D62">
        <w:t>6.1.1</w:t>
      </w:r>
      <w:r w:rsidRPr="00891D62">
        <w:tab/>
        <w:t>Regulatory publications</w:t>
      </w:r>
      <w:bookmarkEnd w:id="140"/>
      <w:r w:rsidRPr="00891D62">
        <w:t xml:space="preserve"> </w:t>
      </w:r>
    </w:p>
    <w:p w14:paraId="5902F174" w14:textId="31B81531" w:rsidR="00C74DA0" w:rsidRPr="00891D62" w:rsidRDefault="0587B9F4" w:rsidP="00C74DA0">
      <w:r w:rsidRPr="00891D62">
        <w:t>During the 2020-2023 timeframe, the preparation of the regulatory publications followed the standard pattern, as foreseen in the Operational Plan, notabl</w:t>
      </w:r>
      <w:r w:rsidR="00C74DA0" w:rsidRPr="00891D62">
        <w:t>y:</w:t>
      </w:r>
    </w:p>
    <w:p w14:paraId="60F5E6A6" w14:textId="1BCD8008" w:rsidR="00C74DA0" w:rsidRPr="00891D62" w:rsidRDefault="401F5C1C" w:rsidP="253F726D">
      <w:pPr>
        <w:pStyle w:val="enumlev1"/>
        <w:spacing w:line="259" w:lineRule="auto"/>
      </w:pPr>
      <w:r w:rsidRPr="00891D62">
        <w:t>–</w:t>
      </w:r>
      <w:r w:rsidR="00C74DA0" w:rsidRPr="00891D62">
        <w:tab/>
      </w:r>
      <w:r w:rsidR="00C74DA0" w:rsidRPr="00891D62" w:rsidDel="0587B9F4">
        <w:rPr>
          <w:szCs w:val="24"/>
        </w:rPr>
        <w:t>the edition of the Radio Regulations reflecting the changes decided by WRC</w:t>
      </w:r>
      <w:r w:rsidR="00C74DA0" w:rsidRPr="00891D62">
        <w:noBreakHyphen/>
      </w:r>
      <w:r w:rsidR="00C74DA0" w:rsidRPr="00891D62" w:rsidDel="0587B9F4">
        <w:rPr>
          <w:szCs w:val="24"/>
        </w:rPr>
        <w:t xml:space="preserve">19 was published </w:t>
      </w:r>
      <w:r w:rsidR="13F85881" w:rsidRPr="00891D62">
        <w:t xml:space="preserve">in </w:t>
      </w:r>
      <w:r w:rsidR="62EEEB10" w:rsidRPr="00891D62">
        <w:rPr>
          <w:szCs w:val="24"/>
        </w:rPr>
        <w:t>2020</w:t>
      </w:r>
      <w:r w:rsidR="00C74DA0" w:rsidRPr="00891D62" w:rsidDel="0587B9F4">
        <w:rPr>
          <w:szCs w:val="24"/>
        </w:rPr>
        <w:t xml:space="preserve"> in all ITU </w:t>
      </w:r>
      <w:proofErr w:type="gramStart"/>
      <w:r w:rsidR="00C74DA0" w:rsidRPr="00891D62" w:rsidDel="0587B9F4">
        <w:rPr>
          <w:szCs w:val="24"/>
        </w:rPr>
        <w:t>languages;</w:t>
      </w:r>
      <w:proofErr w:type="gramEnd"/>
    </w:p>
    <w:p w14:paraId="549E63A4" w14:textId="0169AC48" w:rsidR="00C74DA0" w:rsidRPr="00891D62" w:rsidRDefault="00C74DA0" w:rsidP="0066340F">
      <w:pPr>
        <w:pStyle w:val="enumlev1"/>
        <w:spacing w:line="259" w:lineRule="auto"/>
      </w:pPr>
      <w:r w:rsidRPr="00891D62">
        <w:t>–</w:t>
      </w:r>
      <w:r w:rsidRPr="00891D62">
        <w:tab/>
        <w:t>the consolidated version of the Rules of Procedure reflecting the WRC</w:t>
      </w:r>
      <w:r w:rsidR="00CC6D46" w:rsidRPr="00891D62">
        <w:t>-</w:t>
      </w:r>
      <w:r w:rsidRPr="00891D62">
        <w:t xml:space="preserve">19 decisions was published </w:t>
      </w:r>
      <w:r w:rsidR="00891D62">
        <w:t>i</w:t>
      </w:r>
      <w:r w:rsidR="6D205001" w:rsidRPr="00891D62">
        <w:t>n 2021</w:t>
      </w:r>
      <w:r w:rsidRPr="00891D62">
        <w:t xml:space="preserve">. Since then, </w:t>
      </w:r>
      <w:r w:rsidR="24D000D5" w:rsidRPr="00891D62">
        <w:t xml:space="preserve">three </w:t>
      </w:r>
      <w:r w:rsidRPr="00891D62">
        <w:t>updates have been published with modifications decided by RRB. The Rules of Procedure and their updates are published in all ITU languages.</w:t>
      </w:r>
    </w:p>
    <w:p w14:paraId="5B6175A6" w14:textId="0CE8A353" w:rsidR="00C74DA0" w:rsidRPr="00891D62" w:rsidRDefault="0587B9F4" w:rsidP="7A9552FD">
      <w:pPr>
        <w:rPr>
          <w:rFonts w:cstheme="minorBidi"/>
        </w:rPr>
      </w:pPr>
      <w:r w:rsidRPr="00891D62">
        <w:rPr>
          <w:rFonts w:cstheme="minorBidi"/>
        </w:rPr>
        <w:t>Table 6.1.1-1 summarizes the Bureau’s activities on statutory publications resulting from the application of the Radio Regulations in the period 2020-2021.</w:t>
      </w:r>
    </w:p>
    <w:p w14:paraId="44EB50CC" w14:textId="77777777" w:rsidR="00C74DA0" w:rsidRPr="00891D62" w:rsidRDefault="00C74DA0" w:rsidP="00C74DA0">
      <w:pPr>
        <w:pStyle w:val="TableNo"/>
      </w:pPr>
      <w:r w:rsidRPr="00891D62">
        <w:t>Table 6.1.1-1</w:t>
      </w:r>
    </w:p>
    <w:p w14:paraId="128786BE" w14:textId="77777777" w:rsidR="00C74DA0" w:rsidRPr="00891D62" w:rsidRDefault="00C74DA0" w:rsidP="00C74DA0">
      <w:pPr>
        <w:pStyle w:val="Tabletitle"/>
      </w:pPr>
      <w:r w:rsidRPr="00891D62">
        <w:t>Summary information regarding the publications resulting from the application of the Radio Regulations</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C74DA0" w:rsidRPr="00891D62" w14:paraId="57FAF96B" w14:textId="77777777">
        <w:trPr>
          <w:cantSplit/>
          <w:jc w:val="center"/>
        </w:trPr>
        <w:tc>
          <w:tcPr>
            <w:tcW w:w="1835" w:type="dxa"/>
            <w:tcBorders>
              <w:top w:val="nil"/>
              <w:left w:val="nil"/>
              <w:bottom w:val="single" w:sz="4" w:space="0" w:color="auto"/>
              <w:right w:val="single" w:sz="4" w:space="0" w:color="auto"/>
            </w:tcBorders>
            <w:vAlign w:val="center"/>
          </w:tcPr>
          <w:p w14:paraId="7448D853" w14:textId="77777777" w:rsidR="00C74DA0" w:rsidRPr="00891D62" w:rsidRDefault="00C74DA0">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14:paraId="299FD5ED" w14:textId="77777777" w:rsidR="00C74DA0" w:rsidRPr="00891D62" w:rsidRDefault="00C74DA0">
            <w:pPr>
              <w:pStyle w:val="Tablehead"/>
              <w:keepNext w:val="0"/>
              <w:rPr>
                <w:rFonts w:asciiTheme="majorBidi" w:hAnsiTheme="majorBidi" w:cstheme="majorBidi"/>
              </w:rPr>
            </w:pPr>
            <w:r w:rsidRPr="00891D62">
              <w:rPr>
                <w:rFonts w:asciiTheme="majorBidi" w:hAnsiTheme="majorBidi" w:cstheme="majorBidi"/>
              </w:rPr>
              <w:t>2020</w:t>
            </w:r>
          </w:p>
        </w:tc>
        <w:tc>
          <w:tcPr>
            <w:tcW w:w="1835" w:type="dxa"/>
            <w:tcBorders>
              <w:top w:val="single" w:sz="4" w:space="0" w:color="auto"/>
              <w:bottom w:val="single" w:sz="4" w:space="0" w:color="auto"/>
              <w:right w:val="single" w:sz="4" w:space="0" w:color="auto"/>
            </w:tcBorders>
            <w:vAlign w:val="center"/>
          </w:tcPr>
          <w:p w14:paraId="73DE9C9E" w14:textId="77777777" w:rsidR="00C74DA0" w:rsidRPr="00891D62" w:rsidRDefault="00C74DA0">
            <w:pPr>
              <w:pStyle w:val="Tablehead"/>
              <w:keepNext w:val="0"/>
              <w:rPr>
                <w:rFonts w:asciiTheme="majorBidi" w:hAnsiTheme="majorBidi" w:cstheme="majorBidi"/>
              </w:rPr>
            </w:pPr>
            <w:r w:rsidRPr="00891D62">
              <w:rPr>
                <w:rFonts w:asciiTheme="majorBidi" w:hAnsiTheme="majorBidi" w:cstheme="majorBidi"/>
              </w:rPr>
              <w:t>2021</w:t>
            </w:r>
          </w:p>
        </w:tc>
        <w:tc>
          <w:tcPr>
            <w:tcW w:w="1835" w:type="dxa"/>
            <w:tcBorders>
              <w:top w:val="single" w:sz="4" w:space="0" w:color="auto"/>
              <w:left w:val="single" w:sz="4" w:space="0" w:color="auto"/>
              <w:bottom w:val="single" w:sz="4" w:space="0" w:color="auto"/>
              <w:right w:val="single" w:sz="4" w:space="0" w:color="auto"/>
            </w:tcBorders>
            <w:vAlign w:val="center"/>
          </w:tcPr>
          <w:p w14:paraId="3E2B4A17" w14:textId="77777777" w:rsidR="00C74DA0" w:rsidRPr="00891D62" w:rsidRDefault="00C74DA0">
            <w:pPr>
              <w:pStyle w:val="Tablehead"/>
              <w:keepNext w:val="0"/>
              <w:rPr>
                <w:rFonts w:asciiTheme="majorBidi" w:hAnsiTheme="majorBidi" w:cstheme="majorBidi"/>
              </w:rPr>
            </w:pPr>
            <w:r w:rsidRPr="00891D62">
              <w:rPr>
                <w:rFonts w:asciiTheme="majorBidi" w:hAnsiTheme="majorBidi" w:cstheme="majorBidi"/>
              </w:rPr>
              <w:t>2022</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DC63564" w14:textId="77777777" w:rsidR="00C74DA0" w:rsidRPr="00891D62" w:rsidRDefault="00C74DA0">
            <w:pPr>
              <w:pStyle w:val="Tablehead"/>
              <w:keepNext w:val="0"/>
              <w:rPr>
                <w:rFonts w:asciiTheme="majorBidi" w:hAnsiTheme="majorBidi" w:cstheme="majorBidi"/>
                <w:vertAlign w:val="superscript"/>
              </w:rPr>
            </w:pPr>
            <w:r w:rsidRPr="00891D62">
              <w:rPr>
                <w:rFonts w:asciiTheme="majorBidi" w:hAnsiTheme="majorBidi" w:cstheme="majorBidi"/>
              </w:rPr>
              <w:t>2023</w:t>
            </w:r>
            <w:r w:rsidRPr="00891D62">
              <w:rPr>
                <w:rFonts w:asciiTheme="majorBidi" w:hAnsiTheme="majorBidi" w:cstheme="majorBidi"/>
                <w:vertAlign w:val="superscript"/>
              </w:rPr>
              <w:t>Note</w:t>
            </w:r>
          </w:p>
        </w:tc>
      </w:tr>
      <w:tr w:rsidR="00C74DA0" w:rsidRPr="00891D62" w14:paraId="34543E20" w14:textId="77777777">
        <w:trPr>
          <w:cantSplit/>
          <w:jc w:val="center"/>
        </w:trPr>
        <w:tc>
          <w:tcPr>
            <w:tcW w:w="1835" w:type="dxa"/>
            <w:tcBorders>
              <w:top w:val="single" w:sz="4" w:space="0" w:color="auto"/>
              <w:left w:val="single" w:sz="4" w:space="0" w:color="auto"/>
            </w:tcBorders>
            <w:vAlign w:val="center"/>
          </w:tcPr>
          <w:p w14:paraId="523F71A2" w14:textId="77777777" w:rsidR="00C74DA0" w:rsidRPr="00891D62" w:rsidRDefault="00C74DA0">
            <w:pPr>
              <w:pStyle w:val="Tabletext"/>
              <w:jc w:val="center"/>
            </w:pPr>
            <w:r w:rsidRPr="00891D62">
              <w:t>BR IFIC (including ILF and all plans)</w:t>
            </w:r>
          </w:p>
        </w:tc>
        <w:tc>
          <w:tcPr>
            <w:tcW w:w="1835" w:type="dxa"/>
            <w:tcBorders>
              <w:top w:val="single" w:sz="4" w:space="0" w:color="auto"/>
              <w:right w:val="single" w:sz="4" w:space="0" w:color="auto"/>
            </w:tcBorders>
            <w:vAlign w:val="center"/>
          </w:tcPr>
          <w:p w14:paraId="66F7460A" w14:textId="77777777" w:rsidR="00C74DA0" w:rsidRPr="00891D62" w:rsidRDefault="00C74DA0">
            <w:pPr>
              <w:pStyle w:val="Tabletext"/>
              <w:jc w:val="center"/>
            </w:pPr>
            <w:r w:rsidRPr="00891D62">
              <w:t>25 issues (on DVD</w:t>
            </w:r>
            <w:r w:rsidRPr="00891D62">
              <w:noBreakHyphen/>
              <w:t>ROM)</w:t>
            </w:r>
          </w:p>
        </w:tc>
        <w:tc>
          <w:tcPr>
            <w:tcW w:w="1835" w:type="dxa"/>
            <w:tcBorders>
              <w:top w:val="single" w:sz="4" w:space="0" w:color="auto"/>
              <w:right w:val="single" w:sz="4" w:space="0" w:color="auto"/>
            </w:tcBorders>
            <w:vAlign w:val="center"/>
          </w:tcPr>
          <w:p w14:paraId="3746E6F1" w14:textId="77777777" w:rsidR="00C74DA0" w:rsidRPr="00891D62" w:rsidRDefault="00C74DA0">
            <w:pPr>
              <w:pStyle w:val="Tabletext"/>
              <w:jc w:val="center"/>
            </w:pPr>
            <w:r w:rsidRPr="00891D62">
              <w:t>25 issues (on DVD</w:t>
            </w:r>
            <w:r w:rsidRPr="00891D62">
              <w:noBreakHyphen/>
              <w:t>ROM)</w:t>
            </w:r>
          </w:p>
        </w:tc>
        <w:tc>
          <w:tcPr>
            <w:tcW w:w="1835" w:type="dxa"/>
            <w:tcBorders>
              <w:top w:val="single" w:sz="4" w:space="0" w:color="auto"/>
              <w:left w:val="single" w:sz="4" w:space="0" w:color="auto"/>
              <w:bottom w:val="single" w:sz="4" w:space="0" w:color="auto"/>
              <w:right w:val="single" w:sz="4" w:space="0" w:color="auto"/>
            </w:tcBorders>
            <w:vAlign w:val="center"/>
          </w:tcPr>
          <w:p w14:paraId="36168850" w14:textId="77777777" w:rsidR="00C74DA0" w:rsidRPr="00891D62" w:rsidRDefault="00C74DA0">
            <w:pPr>
              <w:pStyle w:val="Tabletext"/>
              <w:jc w:val="center"/>
            </w:pPr>
            <w:r w:rsidRPr="00891D62">
              <w:t>25 issues (on DVD</w:t>
            </w:r>
            <w:r w:rsidRPr="00891D62">
              <w:noBreakHyphen/>
              <w:t>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97839F5" w14:textId="77777777" w:rsidR="00C74DA0" w:rsidRPr="00891D62" w:rsidRDefault="00C74DA0">
            <w:pPr>
              <w:pStyle w:val="Tabletext"/>
              <w:jc w:val="center"/>
            </w:pPr>
            <w:r w:rsidRPr="00891D62">
              <w:t>25 issues (on DVD</w:t>
            </w:r>
            <w:r w:rsidRPr="00891D62">
              <w:noBreakHyphen/>
              <w:t>ROM)</w:t>
            </w:r>
          </w:p>
        </w:tc>
      </w:tr>
      <w:tr w:rsidR="00C74DA0" w:rsidRPr="00891D62" w14:paraId="24AC0A82" w14:textId="77777777">
        <w:trPr>
          <w:cantSplit/>
          <w:jc w:val="center"/>
        </w:trPr>
        <w:tc>
          <w:tcPr>
            <w:tcW w:w="1835" w:type="dxa"/>
            <w:tcBorders>
              <w:left w:val="single" w:sz="4" w:space="0" w:color="auto"/>
            </w:tcBorders>
            <w:vAlign w:val="center"/>
          </w:tcPr>
          <w:p w14:paraId="1EE02E77" w14:textId="77777777" w:rsidR="00C74DA0" w:rsidRPr="00891D62" w:rsidRDefault="00C74DA0">
            <w:pPr>
              <w:pStyle w:val="Tabletext"/>
              <w:jc w:val="center"/>
            </w:pPr>
            <w:r w:rsidRPr="00891D62">
              <w:t>HFBC schedules</w:t>
            </w:r>
          </w:p>
        </w:tc>
        <w:tc>
          <w:tcPr>
            <w:tcW w:w="1835" w:type="dxa"/>
            <w:tcBorders>
              <w:right w:val="single" w:sz="4" w:space="0" w:color="auto"/>
            </w:tcBorders>
          </w:tcPr>
          <w:p w14:paraId="196340BB" w14:textId="77777777" w:rsidR="00C74DA0" w:rsidRPr="00891D62" w:rsidRDefault="00C74DA0">
            <w:pPr>
              <w:pStyle w:val="Tabletext"/>
              <w:jc w:val="center"/>
            </w:pPr>
            <w:r w:rsidRPr="00891D62">
              <w:t xml:space="preserve">11 issues </w:t>
            </w:r>
            <w:r w:rsidRPr="00891D62">
              <w:br/>
              <w:t>(online)</w:t>
            </w:r>
          </w:p>
        </w:tc>
        <w:tc>
          <w:tcPr>
            <w:tcW w:w="1835" w:type="dxa"/>
            <w:tcBorders>
              <w:right w:val="single" w:sz="4" w:space="0" w:color="auto"/>
            </w:tcBorders>
          </w:tcPr>
          <w:p w14:paraId="0FB713F0" w14:textId="77777777" w:rsidR="00C74DA0" w:rsidRPr="00891D62" w:rsidRDefault="00C74DA0">
            <w:pPr>
              <w:pStyle w:val="Tabletext"/>
              <w:jc w:val="center"/>
            </w:pPr>
            <w:r w:rsidRPr="00891D62">
              <w:t xml:space="preserve">11 issues </w:t>
            </w:r>
            <w:r w:rsidRPr="00891D62">
              <w:br/>
              <w:t>(online)</w:t>
            </w:r>
          </w:p>
        </w:tc>
        <w:tc>
          <w:tcPr>
            <w:tcW w:w="1835" w:type="dxa"/>
            <w:tcBorders>
              <w:top w:val="single" w:sz="4" w:space="0" w:color="auto"/>
              <w:left w:val="single" w:sz="4" w:space="0" w:color="auto"/>
              <w:bottom w:val="single" w:sz="4" w:space="0" w:color="auto"/>
              <w:right w:val="single" w:sz="4" w:space="0" w:color="auto"/>
            </w:tcBorders>
          </w:tcPr>
          <w:p w14:paraId="7D849508" w14:textId="77777777" w:rsidR="00C74DA0" w:rsidRPr="00891D62" w:rsidRDefault="00C74DA0">
            <w:pPr>
              <w:pStyle w:val="Tabletext"/>
              <w:jc w:val="center"/>
            </w:pPr>
            <w:r w:rsidRPr="00891D62">
              <w:t xml:space="preserve">11 issues </w:t>
            </w:r>
            <w:r w:rsidRPr="00891D62">
              <w:br/>
              <w:t>(online)</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256529C" w14:textId="77777777" w:rsidR="00C74DA0" w:rsidRPr="00891D62" w:rsidRDefault="00C74DA0">
            <w:pPr>
              <w:pStyle w:val="Tabletext"/>
              <w:jc w:val="center"/>
            </w:pPr>
            <w:r w:rsidRPr="00891D62">
              <w:t xml:space="preserve">11 issues </w:t>
            </w:r>
            <w:r w:rsidRPr="00891D62">
              <w:br/>
              <w:t>(online)</w:t>
            </w:r>
          </w:p>
        </w:tc>
      </w:tr>
      <w:tr w:rsidR="00C74DA0" w:rsidRPr="00891D62" w14:paraId="3D93BE0C" w14:textId="77777777" w:rsidTr="005812BD">
        <w:trPr>
          <w:cantSplit/>
          <w:jc w:val="center"/>
        </w:trPr>
        <w:tc>
          <w:tcPr>
            <w:tcW w:w="1835" w:type="dxa"/>
            <w:tcBorders>
              <w:left w:val="single" w:sz="4" w:space="0" w:color="auto"/>
              <w:bottom w:val="single" w:sz="6" w:space="0" w:color="auto"/>
            </w:tcBorders>
            <w:vAlign w:val="center"/>
          </w:tcPr>
          <w:p w14:paraId="771BDCEA" w14:textId="77777777" w:rsidR="00C74DA0" w:rsidRPr="00891D62" w:rsidRDefault="00C74DA0">
            <w:pPr>
              <w:pStyle w:val="Tabletext"/>
              <w:jc w:val="center"/>
            </w:pPr>
            <w:r w:rsidRPr="00891D62">
              <w:t>Preface to the BR IFIC (Space and terrestrial)</w:t>
            </w:r>
          </w:p>
        </w:tc>
        <w:tc>
          <w:tcPr>
            <w:tcW w:w="1835" w:type="dxa"/>
            <w:tcBorders>
              <w:bottom w:val="single" w:sz="6" w:space="0" w:color="auto"/>
              <w:right w:val="single" w:sz="4" w:space="0" w:color="auto"/>
            </w:tcBorders>
            <w:vAlign w:val="center"/>
          </w:tcPr>
          <w:p w14:paraId="02F6E5FD" w14:textId="77777777" w:rsidR="00C74DA0" w:rsidRPr="00891D62" w:rsidRDefault="00C74DA0">
            <w:pPr>
              <w:pStyle w:val="Tabletext"/>
              <w:jc w:val="center"/>
            </w:pPr>
            <w:r w:rsidRPr="00891D62">
              <w:t>25 issues (incorporated within each BR IFIC)</w:t>
            </w:r>
          </w:p>
        </w:tc>
        <w:tc>
          <w:tcPr>
            <w:tcW w:w="1835" w:type="dxa"/>
            <w:tcBorders>
              <w:bottom w:val="single" w:sz="6" w:space="0" w:color="auto"/>
              <w:right w:val="single" w:sz="4" w:space="0" w:color="auto"/>
            </w:tcBorders>
            <w:vAlign w:val="center"/>
          </w:tcPr>
          <w:p w14:paraId="54E1BA74" w14:textId="77777777" w:rsidR="00C74DA0" w:rsidRPr="00891D62" w:rsidRDefault="00C74DA0">
            <w:pPr>
              <w:pStyle w:val="Tabletext"/>
              <w:jc w:val="center"/>
            </w:pPr>
            <w:r w:rsidRPr="00891D62">
              <w:t>25 issues (incorporated within each BR IFIC)</w:t>
            </w:r>
          </w:p>
        </w:tc>
        <w:tc>
          <w:tcPr>
            <w:tcW w:w="1835" w:type="dxa"/>
            <w:tcBorders>
              <w:top w:val="single" w:sz="4" w:space="0" w:color="auto"/>
              <w:left w:val="single" w:sz="4" w:space="0" w:color="auto"/>
              <w:bottom w:val="single" w:sz="6" w:space="0" w:color="auto"/>
              <w:right w:val="single" w:sz="4" w:space="0" w:color="auto"/>
            </w:tcBorders>
            <w:vAlign w:val="center"/>
          </w:tcPr>
          <w:p w14:paraId="72BAE009" w14:textId="77777777" w:rsidR="00C74DA0" w:rsidRPr="00891D62" w:rsidRDefault="00C74DA0">
            <w:pPr>
              <w:pStyle w:val="Tabletext"/>
              <w:jc w:val="center"/>
            </w:pPr>
            <w:r w:rsidRPr="00891D62">
              <w:t>25 issues (incorporated within each BR IFIC)</w:t>
            </w:r>
          </w:p>
        </w:tc>
        <w:tc>
          <w:tcPr>
            <w:tcW w:w="1835" w:type="dxa"/>
            <w:tcBorders>
              <w:top w:val="single" w:sz="4" w:space="0" w:color="auto"/>
              <w:left w:val="single" w:sz="4" w:space="0" w:color="auto"/>
              <w:bottom w:val="single" w:sz="6" w:space="0" w:color="auto"/>
              <w:right w:val="single" w:sz="4" w:space="0" w:color="auto"/>
            </w:tcBorders>
            <w:shd w:val="clear" w:color="auto" w:fill="auto"/>
            <w:vAlign w:val="center"/>
          </w:tcPr>
          <w:p w14:paraId="0631BFB2" w14:textId="77777777" w:rsidR="00C74DA0" w:rsidRPr="00891D62" w:rsidRDefault="00C74DA0">
            <w:pPr>
              <w:pStyle w:val="Tabletext"/>
              <w:jc w:val="center"/>
            </w:pPr>
            <w:r w:rsidRPr="00891D62">
              <w:t>25 issues (incorporated within each BR IFIC)</w:t>
            </w:r>
          </w:p>
        </w:tc>
      </w:tr>
      <w:tr w:rsidR="005812BD" w:rsidRPr="00891D62" w14:paraId="7E6D2AF8" w14:textId="77777777" w:rsidTr="005812BD">
        <w:trPr>
          <w:cantSplit/>
          <w:jc w:val="center"/>
        </w:trPr>
        <w:tc>
          <w:tcPr>
            <w:tcW w:w="9175" w:type="dxa"/>
            <w:gridSpan w:val="5"/>
            <w:tcBorders>
              <w:top w:val="single" w:sz="6" w:space="0" w:color="auto"/>
              <w:left w:val="nil"/>
              <w:bottom w:val="nil"/>
              <w:right w:val="nil"/>
            </w:tcBorders>
            <w:vAlign w:val="center"/>
          </w:tcPr>
          <w:p w14:paraId="29A01C5F" w14:textId="5A2E80D4" w:rsidR="005812BD" w:rsidRPr="00891D62" w:rsidRDefault="005812BD" w:rsidP="005812BD">
            <w:pPr>
              <w:pStyle w:val="Tablelegend"/>
            </w:pPr>
            <w:r w:rsidRPr="00891D62">
              <w:t>Note: the expected number of publications for the entire year 2023.</w:t>
            </w:r>
          </w:p>
        </w:tc>
      </w:tr>
    </w:tbl>
    <w:p w14:paraId="5EEA4878" w14:textId="77777777" w:rsidR="005812BD" w:rsidRPr="00891D62" w:rsidRDefault="005812BD" w:rsidP="005812BD">
      <w:pPr>
        <w:pStyle w:val="Tablefin"/>
      </w:pPr>
    </w:p>
    <w:p w14:paraId="47123793" w14:textId="28123E3C" w:rsidR="00C74DA0" w:rsidRPr="00891D62" w:rsidRDefault="00C74DA0" w:rsidP="005812BD">
      <w:pPr>
        <w:pStyle w:val="Heading3"/>
      </w:pPr>
      <w:bookmarkStart w:id="141" w:name="_Toc143072448"/>
      <w:r w:rsidRPr="00891D62">
        <w:t>6.1.2</w:t>
      </w:r>
      <w:r w:rsidRPr="00891D62">
        <w:tab/>
        <w:t>Service publications</w:t>
      </w:r>
      <w:bookmarkEnd w:id="141"/>
    </w:p>
    <w:p w14:paraId="20EADD84" w14:textId="77777777" w:rsidR="00C74DA0" w:rsidRPr="00891D62" w:rsidRDefault="00C74DA0" w:rsidP="00C74DA0">
      <w:pPr>
        <w:pStyle w:val="Heading4"/>
      </w:pPr>
      <w:r w:rsidRPr="00891D62">
        <w:t>6.1.2.1</w:t>
      </w:r>
      <w:r w:rsidRPr="00891D62">
        <w:tab/>
        <w:t>Background and general observations</w:t>
      </w:r>
    </w:p>
    <w:p w14:paraId="6D40E5FF" w14:textId="77777777" w:rsidR="00C74DA0" w:rsidRPr="00891D62" w:rsidRDefault="00C74DA0" w:rsidP="00C74DA0">
      <w:r w:rsidRPr="00891D62">
        <w:t>The Bureau prepares and issues various service publications, as specified in Article 20 of the Radio Regulations (RR).</w:t>
      </w:r>
    </w:p>
    <w:p w14:paraId="6DC447B1" w14:textId="77777777" w:rsidR="00C74DA0" w:rsidRPr="00891D62" w:rsidRDefault="00C74DA0" w:rsidP="00C74DA0">
      <w:r w:rsidRPr="00891D62">
        <w:t xml:space="preserve">In view of the importance of the operational information contained in the maritime-related service publications, particularly </w:t>
      </w:r>
      <w:proofErr w:type="gramStart"/>
      <w:r w:rsidRPr="00891D62">
        <w:t>with regard to</w:t>
      </w:r>
      <w:proofErr w:type="gramEnd"/>
      <w:r w:rsidRPr="00891D62">
        <w:t xml:space="preserve"> safety, administrations are required to communicate the necessary amendments, as stipulated in No.</w:t>
      </w:r>
      <w:r w:rsidRPr="00891D62">
        <w:rPr>
          <w:b/>
        </w:rPr>
        <w:t xml:space="preserve"> 20.16</w:t>
      </w:r>
      <w:r w:rsidRPr="00891D62">
        <w:t xml:space="preserve"> of the RR.</w:t>
      </w:r>
    </w:p>
    <w:p w14:paraId="1DFF4C69" w14:textId="222F7A71" w:rsidR="00C74DA0" w:rsidRPr="00891D62" w:rsidRDefault="00C74DA0" w:rsidP="00C74DA0">
      <w:r w:rsidRPr="00891D62">
        <w:t>Furthermore, information contained in the maritime-related service publications, in particular the List of Ship Stations and Maritime Mobile Service Identity Assignments (List V), are also used for other administrative procedures (e.g.</w:t>
      </w:r>
      <w:r w:rsidR="002A28E4">
        <w:t>,</w:t>
      </w:r>
      <w:r w:rsidRPr="00891D62">
        <w:t> eligibility for additional MID).</w:t>
      </w:r>
    </w:p>
    <w:p w14:paraId="66231C67" w14:textId="77777777" w:rsidR="00C74DA0" w:rsidRPr="00891D62" w:rsidRDefault="00C74DA0" w:rsidP="00C74DA0">
      <w:pPr>
        <w:pStyle w:val="Heading4"/>
      </w:pPr>
      <w:r w:rsidRPr="00891D62">
        <w:t>6.1.2.2</w:t>
      </w:r>
      <w:r w:rsidRPr="00891D62">
        <w:tab/>
        <w:t>List of Coast Stations and Special Service Stations (List IV)</w:t>
      </w:r>
    </w:p>
    <w:p w14:paraId="6C058776" w14:textId="77777777" w:rsidR="00C74DA0" w:rsidRPr="00891D62" w:rsidRDefault="00C74DA0" w:rsidP="00C74DA0">
      <w:pPr>
        <w:rPr>
          <w:lang w:val="en-US"/>
        </w:rPr>
      </w:pPr>
      <w:r w:rsidRPr="00891D62">
        <w:rPr>
          <w:lang w:val="en-US"/>
        </w:rPr>
        <w:t xml:space="preserve">Two editions of List IV have been prepared during this reporting period. This List contains the information notified to ITU, on coast stations and their services, such as public correspondence (CP), Rescue Coordination </w:t>
      </w:r>
      <w:proofErr w:type="spellStart"/>
      <w:r w:rsidRPr="00891D62">
        <w:rPr>
          <w:lang w:val="en-US"/>
        </w:rPr>
        <w:t>Centres</w:t>
      </w:r>
      <w:proofErr w:type="spellEnd"/>
      <w:r w:rsidRPr="00891D62">
        <w:rPr>
          <w:lang w:val="en-US"/>
        </w:rPr>
        <w:t xml:space="preserve"> (RCC), search and rescue (SAR) agencies, NAVINFO, pilot stations, VTS and AIS stations, etc.</w:t>
      </w:r>
    </w:p>
    <w:p w14:paraId="2B2AB739" w14:textId="77777777" w:rsidR="00C74DA0" w:rsidRPr="00891D62" w:rsidRDefault="00C74DA0" w:rsidP="00C74DA0">
      <w:pPr>
        <w:rPr>
          <w:lang w:val="en-US"/>
        </w:rPr>
      </w:pPr>
      <w:r w:rsidRPr="00891D62">
        <w:rPr>
          <w:lang w:val="en-US"/>
        </w:rPr>
        <w:t>Information pertaining to this list is also made available via the online information system ITU Maritime mobile Access and Retrieval System (MARS).</w:t>
      </w:r>
    </w:p>
    <w:p w14:paraId="20C3DB34" w14:textId="77777777" w:rsidR="00C74DA0" w:rsidRPr="00891D62" w:rsidRDefault="00C74DA0" w:rsidP="00C74DA0">
      <w:pPr>
        <w:rPr>
          <w:lang w:val="en-US"/>
        </w:rPr>
      </w:pPr>
      <w:r w:rsidRPr="00891D62">
        <w:rPr>
          <w:lang w:val="en-US"/>
        </w:rPr>
        <w:t>The Bureau continues to provide, every six months, a compilation of all changes notified to the ITU.</w:t>
      </w:r>
    </w:p>
    <w:p w14:paraId="14BD1709" w14:textId="77777777" w:rsidR="00C74DA0" w:rsidRPr="00891D62" w:rsidRDefault="00C74DA0" w:rsidP="00C74DA0">
      <w:pPr>
        <w:pStyle w:val="Heading4"/>
        <w:rPr>
          <w:lang w:val="en-US"/>
        </w:rPr>
      </w:pPr>
      <w:r w:rsidRPr="00891D62">
        <w:rPr>
          <w:lang w:val="en-US"/>
        </w:rPr>
        <w:t>6.1.2.3</w:t>
      </w:r>
      <w:r w:rsidRPr="00891D62">
        <w:rPr>
          <w:lang w:val="en-US"/>
        </w:rPr>
        <w:tab/>
        <w:t>List of Ship Stations and Maritime Mobile Service Identity Assignments (List V)</w:t>
      </w:r>
    </w:p>
    <w:p w14:paraId="35297023" w14:textId="77777777" w:rsidR="00C74DA0" w:rsidRPr="00891D62" w:rsidRDefault="00C74DA0" w:rsidP="00C74DA0">
      <w:pPr>
        <w:rPr>
          <w:lang w:val="en-US"/>
        </w:rPr>
      </w:pPr>
      <w:r w:rsidRPr="00891D62">
        <w:rPr>
          <w:lang w:val="en-US"/>
        </w:rPr>
        <w:t>Four editions of List V have been prepared during this reporting period. This List contains the information notified to ITU on ship stations, coast stations assigned an MMSI, search and rescue (SAR) aircraft assigned an MMSI, etc.</w:t>
      </w:r>
    </w:p>
    <w:p w14:paraId="11BFCD94" w14:textId="77777777" w:rsidR="00C74DA0" w:rsidRPr="00891D62" w:rsidRDefault="00C74DA0" w:rsidP="00C74DA0">
      <w:pPr>
        <w:rPr>
          <w:lang w:val="en-US"/>
        </w:rPr>
      </w:pPr>
      <w:r w:rsidRPr="00891D62">
        <w:rPr>
          <w:lang w:val="en-US"/>
        </w:rPr>
        <w:t>Information pertaining to this list is also made available via ITU MARS.</w:t>
      </w:r>
    </w:p>
    <w:p w14:paraId="063E5899" w14:textId="77777777" w:rsidR="00C74DA0" w:rsidRPr="00891D62" w:rsidRDefault="00C74DA0" w:rsidP="00C74DA0">
      <w:pPr>
        <w:rPr>
          <w:lang w:val="en-US"/>
        </w:rPr>
      </w:pPr>
      <w:r w:rsidRPr="00891D62">
        <w:rPr>
          <w:lang w:val="en-US"/>
        </w:rPr>
        <w:t>The Bureau continues to provide, every three months, a compilation of all changes notified to the ITU.</w:t>
      </w:r>
    </w:p>
    <w:p w14:paraId="20D9910B" w14:textId="77777777" w:rsidR="00C74DA0" w:rsidRPr="00891D62" w:rsidRDefault="00C74DA0" w:rsidP="00C74DA0">
      <w:pPr>
        <w:pStyle w:val="Heading4"/>
        <w:rPr>
          <w:lang w:val="en-US"/>
        </w:rPr>
      </w:pPr>
      <w:r w:rsidRPr="00891D62">
        <w:rPr>
          <w:lang w:val="en-US"/>
        </w:rPr>
        <w:t>6.1.2.4</w:t>
      </w:r>
      <w:r w:rsidRPr="00891D62">
        <w:rPr>
          <w:lang w:val="en-US"/>
        </w:rPr>
        <w:tab/>
        <w:t xml:space="preserve">List of International Monitoring stations (List VIII) </w:t>
      </w:r>
    </w:p>
    <w:p w14:paraId="559E13F5" w14:textId="1278F5BA" w:rsidR="00C74DA0" w:rsidRPr="00891D62" w:rsidRDefault="00C74DA0" w:rsidP="00C74DA0">
      <w:pPr>
        <w:rPr>
          <w:lang w:val="en-US"/>
        </w:rPr>
      </w:pPr>
      <w:r w:rsidRPr="00891D62">
        <w:rPr>
          <w:lang w:val="en-US"/>
        </w:rPr>
        <w:t>One edition of List VIII has been prepared during this reporting period. This List contains the information notified to BR on International Monitoring Stations (Terrestrial and Space) and the different types of measurements covered by these stations as well as contact information for centralizing offices.</w:t>
      </w:r>
    </w:p>
    <w:p w14:paraId="2C708A5A" w14:textId="77777777" w:rsidR="00C74DA0" w:rsidRPr="00891D62" w:rsidRDefault="00C74DA0" w:rsidP="00C74DA0">
      <w:pPr>
        <w:pStyle w:val="Heading4"/>
        <w:rPr>
          <w:lang w:val="en-US"/>
        </w:rPr>
      </w:pPr>
      <w:r w:rsidRPr="00891D62">
        <w:rPr>
          <w:lang w:val="en-US"/>
        </w:rPr>
        <w:t>6.1.2.5</w:t>
      </w:r>
      <w:r w:rsidRPr="00891D62">
        <w:rPr>
          <w:lang w:val="en-US"/>
        </w:rPr>
        <w:tab/>
        <w:t xml:space="preserve">List of service publications </w:t>
      </w:r>
      <w:proofErr w:type="gramStart"/>
      <w:r w:rsidRPr="00891D62">
        <w:rPr>
          <w:lang w:val="en-US"/>
        </w:rPr>
        <w:t>issued</w:t>
      </w:r>
      <w:proofErr w:type="gramEnd"/>
      <w:r w:rsidRPr="00891D62">
        <w:rPr>
          <w:lang w:val="en-US"/>
        </w:rPr>
        <w:t xml:space="preserve"> </w:t>
      </w:r>
    </w:p>
    <w:p w14:paraId="74786B32" w14:textId="77777777" w:rsidR="00C74DA0" w:rsidRPr="00891D62" w:rsidRDefault="00C74DA0" w:rsidP="00C74DA0">
      <w:pPr>
        <w:rPr>
          <w:lang w:val="en-US"/>
        </w:rPr>
      </w:pPr>
      <w:r w:rsidRPr="00891D62">
        <w:rPr>
          <w:lang w:val="en-US"/>
        </w:rPr>
        <w:t>Table 6.1.2.5-1 below summarizes the different publications prepared and delivered during the period 2020-2023:</w:t>
      </w:r>
    </w:p>
    <w:p w14:paraId="4AB54876" w14:textId="77777777" w:rsidR="00C74DA0" w:rsidRPr="00891D62" w:rsidRDefault="00C74DA0" w:rsidP="00C74DA0">
      <w:pPr>
        <w:pStyle w:val="TableNo"/>
        <w:rPr>
          <w:lang w:val="en-US"/>
        </w:rPr>
      </w:pPr>
      <w:r w:rsidRPr="00891D62">
        <w:rPr>
          <w:lang w:val="en-US"/>
        </w:rPr>
        <w:t>Table 6.1.2.5-1</w:t>
      </w:r>
    </w:p>
    <w:p w14:paraId="27A9B4E7" w14:textId="77777777" w:rsidR="00C74DA0" w:rsidRPr="00891D62" w:rsidRDefault="00C74DA0" w:rsidP="00C74DA0">
      <w:pPr>
        <w:pStyle w:val="Tabletitle"/>
        <w:rPr>
          <w:lang w:val="en-US"/>
        </w:rPr>
      </w:pPr>
      <w:r w:rsidRPr="00891D62">
        <w:rPr>
          <w:lang w:val="en-US"/>
        </w:rPr>
        <w:t>Summary information regarding the service publications issued in the period 2020-2023</w:t>
      </w:r>
    </w:p>
    <w:tbl>
      <w:tblPr>
        <w:tblW w:w="7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375"/>
        <w:gridCol w:w="1275"/>
        <w:gridCol w:w="1275"/>
        <w:gridCol w:w="1275"/>
        <w:gridCol w:w="1274"/>
      </w:tblGrid>
      <w:tr w:rsidR="00C74DA0" w:rsidRPr="00891D62" w14:paraId="618B6292" w14:textId="77777777">
        <w:trPr>
          <w:jc w:val="center"/>
        </w:trPr>
        <w:tc>
          <w:tcPr>
            <w:tcW w:w="2375" w:type="dxa"/>
            <w:tcBorders>
              <w:top w:val="nil"/>
              <w:left w:val="nil"/>
              <w:bottom w:val="single" w:sz="4" w:space="0" w:color="auto"/>
              <w:right w:val="single" w:sz="4" w:space="0" w:color="auto"/>
            </w:tcBorders>
            <w:vAlign w:val="center"/>
          </w:tcPr>
          <w:p w14:paraId="348DDA2F" w14:textId="77777777" w:rsidR="00C74DA0" w:rsidRPr="00891D62" w:rsidRDefault="00C74DA0">
            <w:pPr>
              <w:pStyle w:val="Tablehead"/>
              <w:rPr>
                <w:lang w:val="en-US"/>
              </w:rPr>
            </w:pPr>
          </w:p>
        </w:tc>
        <w:tc>
          <w:tcPr>
            <w:tcW w:w="1275" w:type="dxa"/>
            <w:tcBorders>
              <w:top w:val="single" w:sz="4" w:space="0" w:color="auto"/>
              <w:left w:val="single" w:sz="4" w:space="0" w:color="auto"/>
              <w:bottom w:val="single" w:sz="4" w:space="0" w:color="auto"/>
            </w:tcBorders>
            <w:vAlign w:val="center"/>
          </w:tcPr>
          <w:p w14:paraId="40F815DD" w14:textId="77777777" w:rsidR="00C74DA0" w:rsidRPr="00891D62" w:rsidRDefault="00C74DA0">
            <w:pPr>
              <w:pStyle w:val="Tablehead"/>
            </w:pPr>
            <w:r w:rsidRPr="00891D62">
              <w:t>2020</w:t>
            </w:r>
          </w:p>
        </w:tc>
        <w:tc>
          <w:tcPr>
            <w:tcW w:w="1275" w:type="dxa"/>
            <w:tcBorders>
              <w:top w:val="single" w:sz="4" w:space="0" w:color="auto"/>
              <w:bottom w:val="single" w:sz="4" w:space="0" w:color="auto"/>
            </w:tcBorders>
            <w:vAlign w:val="center"/>
          </w:tcPr>
          <w:p w14:paraId="086BA27E" w14:textId="77777777" w:rsidR="00C74DA0" w:rsidRPr="00891D62" w:rsidRDefault="00C74DA0">
            <w:pPr>
              <w:pStyle w:val="Tablehead"/>
            </w:pPr>
            <w:r w:rsidRPr="00891D62">
              <w:t>2021</w:t>
            </w:r>
          </w:p>
        </w:tc>
        <w:tc>
          <w:tcPr>
            <w:tcW w:w="1275" w:type="dxa"/>
            <w:tcBorders>
              <w:top w:val="single" w:sz="4" w:space="0" w:color="auto"/>
              <w:bottom w:val="single" w:sz="4" w:space="0" w:color="auto"/>
              <w:right w:val="single" w:sz="4" w:space="0" w:color="auto"/>
            </w:tcBorders>
            <w:vAlign w:val="center"/>
          </w:tcPr>
          <w:p w14:paraId="24458222" w14:textId="77777777" w:rsidR="00C74DA0" w:rsidRPr="00891D62" w:rsidRDefault="00C74DA0">
            <w:pPr>
              <w:pStyle w:val="Tablehead"/>
            </w:pPr>
            <w:r w:rsidRPr="00891D62">
              <w:t>2022</w:t>
            </w:r>
          </w:p>
        </w:tc>
        <w:tc>
          <w:tcPr>
            <w:tcW w:w="1274" w:type="dxa"/>
            <w:tcBorders>
              <w:top w:val="single" w:sz="4" w:space="0" w:color="auto"/>
              <w:bottom w:val="single" w:sz="4" w:space="0" w:color="auto"/>
              <w:right w:val="single" w:sz="4" w:space="0" w:color="auto"/>
            </w:tcBorders>
            <w:vAlign w:val="center"/>
          </w:tcPr>
          <w:p w14:paraId="199E1B56" w14:textId="77777777" w:rsidR="00C74DA0" w:rsidRPr="00891D62" w:rsidRDefault="00C74DA0">
            <w:pPr>
              <w:pStyle w:val="Tablehead"/>
            </w:pPr>
            <w:r w:rsidRPr="00891D62">
              <w:t>2023</w:t>
            </w:r>
          </w:p>
        </w:tc>
      </w:tr>
      <w:tr w:rsidR="00C74DA0" w:rsidRPr="00891D62" w14:paraId="3C45F0BA" w14:textId="77777777">
        <w:trPr>
          <w:cantSplit/>
          <w:jc w:val="center"/>
        </w:trPr>
        <w:tc>
          <w:tcPr>
            <w:tcW w:w="2375" w:type="dxa"/>
            <w:tcBorders>
              <w:left w:val="single" w:sz="4" w:space="0" w:color="auto"/>
              <w:bottom w:val="single" w:sz="4" w:space="0" w:color="auto"/>
            </w:tcBorders>
            <w:vAlign w:val="center"/>
          </w:tcPr>
          <w:p w14:paraId="3B515AF3" w14:textId="77777777" w:rsidR="00C74DA0" w:rsidRPr="00891D62" w:rsidRDefault="00C74DA0">
            <w:pPr>
              <w:pStyle w:val="Tabletext"/>
              <w:jc w:val="center"/>
              <w:rPr>
                <w:lang w:val="en-US"/>
              </w:rPr>
            </w:pPr>
            <w:r w:rsidRPr="00891D62">
              <w:rPr>
                <w:lang w:val="en-US"/>
              </w:rPr>
              <w:t>List IV (List of Coast Stations and Special Service Stations)</w:t>
            </w:r>
          </w:p>
        </w:tc>
        <w:tc>
          <w:tcPr>
            <w:tcW w:w="1275" w:type="dxa"/>
            <w:tcBorders>
              <w:bottom w:val="single" w:sz="4" w:space="0" w:color="auto"/>
            </w:tcBorders>
            <w:vAlign w:val="center"/>
          </w:tcPr>
          <w:p w14:paraId="3B1AE2EF" w14:textId="52CA7002" w:rsidR="00C74DA0" w:rsidRPr="00891D62" w:rsidRDefault="002E6D48">
            <w:pPr>
              <w:pStyle w:val="Tabletext"/>
              <w:jc w:val="center"/>
            </w:pPr>
            <w:r>
              <w:t>−</w:t>
            </w:r>
          </w:p>
        </w:tc>
        <w:tc>
          <w:tcPr>
            <w:tcW w:w="1275" w:type="dxa"/>
            <w:tcBorders>
              <w:bottom w:val="single" w:sz="4" w:space="0" w:color="auto"/>
            </w:tcBorders>
            <w:vAlign w:val="center"/>
          </w:tcPr>
          <w:p w14:paraId="1180CFAE" w14:textId="77777777" w:rsidR="00C74DA0" w:rsidRPr="00891D62" w:rsidRDefault="00C74DA0">
            <w:pPr>
              <w:pStyle w:val="Tabletext"/>
              <w:jc w:val="center"/>
            </w:pPr>
            <w:r w:rsidRPr="00891D62">
              <w:t>Edition of 2021</w:t>
            </w:r>
            <w:r w:rsidRPr="00891D62">
              <w:br/>
              <w:t>(December)</w:t>
            </w:r>
          </w:p>
        </w:tc>
        <w:tc>
          <w:tcPr>
            <w:tcW w:w="1275" w:type="dxa"/>
            <w:tcBorders>
              <w:bottom w:val="single" w:sz="4" w:space="0" w:color="auto"/>
              <w:right w:val="single" w:sz="4" w:space="0" w:color="auto"/>
            </w:tcBorders>
            <w:vAlign w:val="center"/>
          </w:tcPr>
          <w:p w14:paraId="15AC0C6C" w14:textId="14DF818F" w:rsidR="00C74DA0" w:rsidRPr="00891D62" w:rsidRDefault="002E6D48">
            <w:pPr>
              <w:pStyle w:val="Tabletext"/>
              <w:jc w:val="center"/>
            </w:pPr>
            <w:r>
              <w:t>−</w:t>
            </w:r>
          </w:p>
        </w:tc>
        <w:tc>
          <w:tcPr>
            <w:tcW w:w="1274" w:type="dxa"/>
            <w:tcBorders>
              <w:bottom w:val="single" w:sz="4" w:space="0" w:color="auto"/>
              <w:right w:val="single" w:sz="4" w:space="0" w:color="auto"/>
            </w:tcBorders>
            <w:vAlign w:val="center"/>
          </w:tcPr>
          <w:p w14:paraId="04654648" w14:textId="77777777" w:rsidR="00C74DA0" w:rsidRPr="00891D62" w:rsidRDefault="00C74DA0">
            <w:pPr>
              <w:pStyle w:val="Tabletext"/>
              <w:jc w:val="center"/>
            </w:pPr>
            <w:r w:rsidRPr="00891D62">
              <w:t>Edition of 2023</w:t>
            </w:r>
            <w:r w:rsidRPr="00891D62">
              <w:br/>
              <w:t>(November)</w:t>
            </w:r>
          </w:p>
        </w:tc>
      </w:tr>
      <w:tr w:rsidR="00C74DA0" w:rsidRPr="00891D62" w14:paraId="12C7B592" w14:textId="77777777">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14:paraId="6230EEBA" w14:textId="77777777" w:rsidR="00C74DA0" w:rsidRPr="00891D62" w:rsidRDefault="00C74DA0">
            <w:pPr>
              <w:pStyle w:val="Tabletext"/>
              <w:jc w:val="center"/>
              <w:rPr>
                <w:lang w:val="en-US"/>
              </w:rPr>
            </w:pPr>
            <w:r w:rsidRPr="00891D62">
              <w:rPr>
                <w:lang w:val="en-US"/>
              </w:rPr>
              <w:t>List V (List of Ship Stations and Maritime Mobile Service Identity Assignments)</w:t>
            </w:r>
          </w:p>
        </w:tc>
        <w:tc>
          <w:tcPr>
            <w:tcW w:w="1275" w:type="dxa"/>
            <w:tcBorders>
              <w:top w:val="single" w:sz="4" w:space="0" w:color="auto"/>
              <w:left w:val="single" w:sz="4" w:space="0" w:color="auto"/>
              <w:bottom w:val="single" w:sz="4" w:space="0" w:color="auto"/>
              <w:right w:val="single" w:sz="4" w:space="0" w:color="auto"/>
            </w:tcBorders>
            <w:vAlign w:val="center"/>
          </w:tcPr>
          <w:p w14:paraId="0A4349A3" w14:textId="77777777" w:rsidR="00C74DA0" w:rsidRPr="00891D62" w:rsidRDefault="00C74DA0">
            <w:pPr>
              <w:pStyle w:val="Tabletext"/>
              <w:jc w:val="center"/>
            </w:pPr>
            <w:r w:rsidRPr="00891D62">
              <w:t>Edition of 2020</w:t>
            </w:r>
            <w:r w:rsidRPr="00891D62">
              <w:br/>
              <w:t>(April)</w:t>
            </w:r>
          </w:p>
        </w:tc>
        <w:tc>
          <w:tcPr>
            <w:tcW w:w="1275" w:type="dxa"/>
            <w:tcBorders>
              <w:top w:val="single" w:sz="4" w:space="0" w:color="auto"/>
              <w:left w:val="single" w:sz="4" w:space="0" w:color="auto"/>
              <w:bottom w:val="single" w:sz="4" w:space="0" w:color="auto"/>
              <w:right w:val="single" w:sz="4" w:space="0" w:color="auto"/>
            </w:tcBorders>
            <w:vAlign w:val="center"/>
          </w:tcPr>
          <w:p w14:paraId="526CB38D" w14:textId="77777777" w:rsidR="00C74DA0" w:rsidRPr="00891D62" w:rsidRDefault="00C74DA0">
            <w:pPr>
              <w:pStyle w:val="Tabletext"/>
              <w:jc w:val="center"/>
            </w:pPr>
            <w:r w:rsidRPr="00891D62">
              <w:t>Edition of 2021</w:t>
            </w:r>
            <w:r w:rsidRPr="00891D62">
              <w:br/>
              <w:t>(April)</w:t>
            </w:r>
          </w:p>
        </w:tc>
        <w:tc>
          <w:tcPr>
            <w:tcW w:w="1275" w:type="dxa"/>
            <w:tcBorders>
              <w:top w:val="single" w:sz="4" w:space="0" w:color="auto"/>
              <w:left w:val="single" w:sz="4" w:space="0" w:color="auto"/>
              <w:bottom w:val="single" w:sz="4" w:space="0" w:color="auto"/>
              <w:right w:val="single" w:sz="4" w:space="0" w:color="auto"/>
            </w:tcBorders>
            <w:vAlign w:val="center"/>
          </w:tcPr>
          <w:p w14:paraId="2F31110C" w14:textId="77777777" w:rsidR="00C74DA0" w:rsidRPr="00891D62" w:rsidRDefault="00C74DA0">
            <w:pPr>
              <w:pStyle w:val="Tabletext"/>
              <w:jc w:val="center"/>
            </w:pPr>
            <w:r w:rsidRPr="00891D62">
              <w:t>Edition of 2022</w:t>
            </w:r>
            <w:r w:rsidRPr="00891D62">
              <w:br/>
              <w:t>(April)</w:t>
            </w:r>
          </w:p>
        </w:tc>
        <w:tc>
          <w:tcPr>
            <w:tcW w:w="1274" w:type="dxa"/>
            <w:tcBorders>
              <w:top w:val="single" w:sz="4" w:space="0" w:color="auto"/>
              <w:left w:val="single" w:sz="4" w:space="0" w:color="auto"/>
              <w:bottom w:val="single" w:sz="4" w:space="0" w:color="auto"/>
              <w:right w:val="single" w:sz="4" w:space="0" w:color="auto"/>
            </w:tcBorders>
            <w:vAlign w:val="center"/>
          </w:tcPr>
          <w:p w14:paraId="0867D79F" w14:textId="77777777" w:rsidR="00C74DA0" w:rsidRPr="00891D62" w:rsidRDefault="00C74DA0">
            <w:pPr>
              <w:pStyle w:val="Tabletext"/>
              <w:jc w:val="center"/>
            </w:pPr>
            <w:r w:rsidRPr="00891D62">
              <w:t>Edition of 2023</w:t>
            </w:r>
            <w:r w:rsidRPr="00891D62">
              <w:br/>
              <w:t>(April)</w:t>
            </w:r>
          </w:p>
        </w:tc>
      </w:tr>
      <w:tr w:rsidR="002E6D48" w:rsidRPr="00891D62" w14:paraId="25BE180E" w14:textId="77777777" w:rsidTr="002E6D48">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14:paraId="128D6E78" w14:textId="77777777" w:rsidR="002E6D48" w:rsidRPr="00891D62" w:rsidRDefault="002E6D48" w:rsidP="002E6D48">
            <w:pPr>
              <w:pStyle w:val="Tabletext"/>
              <w:jc w:val="center"/>
              <w:rPr>
                <w:lang w:val="en-US"/>
              </w:rPr>
            </w:pPr>
            <w:r w:rsidRPr="00891D62">
              <w:rPr>
                <w:lang w:val="en-US"/>
              </w:rPr>
              <w:t>List VIII (List of International Monitoring Stations)</w:t>
            </w:r>
          </w:p>
        </w:tc>
        <w:tc>
          <w:tcPr>
            <w:tcW w:w="1275" w:type="dxa"/>
            <w:tcBorders>
              <w:top w:val="single" w:sz="4" w:space="0" w:color="auto"/>
              <w:left w:val="single" w:sz="4" w:space="0" w:color="auto"/>
              <w:bottom w:val="single" w:sz="4" w:space="0" w:color="auto"/>
              <w:right w:val="single" w:sz="4" w:space="0" w:color="auto"/>
            </w:tcBorders>
            <w:vAlign w:val="center"/>
          </w:tcPr>
          <w:p w14:paraId="56D3AF8F" w14:textId="0D631865" w:rsidR="002E6D48" w:rsidRPr="00891D62" w:rsidRDefault="002E6D48" w:rsidP="002E6D48">
            <w:pPr>
              <w:pStyle w:val="Tabletext"/>
              <w:jc w:val="center"/>
            </w:pPr>
            <w:r w:rsidRPr="00EC1DEB">
              <w:t>−</w:t>
            </w:r>
          </w:p>
        </w:tc>
        <w:tc>
          <w:tcPr>
            <w:tcW w:w="1275" w:type="dxa"/>
            <w:tcBorders>
              <w:top w:val="single" w:sz="4" w:space="0" w:color="auto"/>
              <w:left w:val="single" w:sz="4" w:space="0" w:color="auto"/>
              <w:bottom w:val="single" w:sz="4" w:space="0" w:color="auto"/>
              <w:right w:val="single" w:sz="4" w:space="0" w:color="auto"/>
            </w:tcBorders>
            <w:vAlign w:val="center"/>
          </w:tcPr>
          <w:p w14:paraId="1202E31C" w14:textId="2AD2C9C7" w:rsidR="002E6D48" w:rsidRPr="00891D62" w:rsidRDefault="002E6D48" w:rsidP="002E6D48">
            <w:pPr>
              <w:pStyle w:val="Tabletext"/>
              <w:jc w:val="center"/>
            </w:pPr>
            <w:r w:rsidRPr="00EC1DEB">
              <w:t>−</w:t>
            </w:r>
          </w:p>
        </w:tc>
        <w:tc>
          <w:tcPr>
            <w:tcW w:w="1275" w:type="dxa"/>
            <w:tcBorders>
              <w:top w:val="single" w:sz="4" w:space="0" w:color="auto"/>
              <w:left w:val="single" w:sz="4" w:space="0" w:color="auto"/>
              <w:bottom w:val="single" w:sz="4" w:space="0" w:color="auto"/>
              <w:right w:val="single" w:sz="4" w:space="0" w:color="auto"/>
            </w:tcBorders>
            <w:vAlign w:val="center"/>
          </w:tcPr>
          <w:p w14:paraId="13CF5AB4" w14:textId="77777777" w:rsidR="002E6D48" w:rsidRPr="00891D62" w:rsidRDefault="002E6D48" w:rsidP="002E6D48">
            <w:pPr>
              <w:pStyle w:val="Tabletext"/>
              <w:jc w:val="center"/>
            </w:pPr>
            <w:r w:rsidRPr="00891D62">
              <w:t xml:space="preserve"> Edition of 2022</w:t>
            </w:r>
            <w:r w:rsidRPr="00891D62">
              <w:br/>
              <w:t>(December)</w:t>
            </w:r>
          </w:p>
        </w:tc>
        <w:tc>
          <w:tcPr>
            <w:tcW w:w="1274" w:type="dxa"/>
            <w:tcBorders>
              <w:top w:val="single" w:sz="4" w:space="0" w:color="auto"/>
              <w:left w:val="single" w:sz="4" w:space="0" w:color="auto"/>
              <w:bottom w:val="single" w:sz="4" w:space="0" w:color="auto"/>
              <w:right w:val="single" w:sz="4" w:space="0" w:color="auto"/>
            </w:tcBorders>
            <w:vAlign w:val="center"/>
          </w:tcPr>
          <w:p w14:paraId="14D76158" w14:textId="6044B186" w:rsidR="002E6D48" w:rsidRPr="00891D62" w:rsidRDefault="002E6D48" w:rsidP="002E6D48">
            <w:pPr>
              <w:pStyle w:val="Tabletext"/>
              <w:jc w:val="center"/>
            </w:pPr>
            <w:r>
              <w:t>−</w:t>
            </w:r>
          </w:p>
        </w:tc>
      </w:tr>
      <w:tr w:rsidR="002E6D48" w:rsidRPr="00891D62" w14:paraId="2FE6C215" w14:textId="77777777" w:rsidTr="002E6D48">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14:paraId="08AD9593" w14:textId="77777777" w:rsidR="002E6D48" w:rsidRPr="00891D62" w:rsidRDefault="002E6D48" w:rsidP="002E6D48">
            <w:pPr>
              <w:pStyle w:val="Tabletext"/>
              <w:jc w:val="center"/>
            </w:pPr>
            <w:r w:rsidRPr="00891D62">
              <w:t>Maritime Manual</w:t>
            </w:r>
          </w:p>
        </w:tc>
        <w:tc>
          <w:tcPr>
            <w:tcW w:w="1275" w:type="dxa"/>
            <w:tcBorders>
              <w:top w:val="single" w:sz="4" w:space="0" w:color="auto"/>
              <w:left w:val="single" w:sz="4" w:space="0" w:color="auto"/>
              <w:bottom w:val="single" w:sz="4" w:space="0" w:color="auto"/>
              <w:right w:val="single" w:sz="4" w:space="0" w:color="auto"/>
            </w:tcBorders>
            <w:vAlign w:val="center"/>
          </w:tcPr>
          <w:p w14:paraId="064FDCA2" w14:textId="77777777" w:rsidR="002E6D48" w:rsidRPr="00891D62" w:rsidRDefault="002E6D48" w:rsidP="002E6D48">
            <w:pPr>
              <w:pStyle w:val="Tabletext"/>
              <w:jc w:val="center"/>
            </w:pPr>
            <w:r w:rsidRPr="00891D62">
              <w:t>Edition of 2020</w:t>
            </w:r>
            <w:r w:rsidRPr="00891D62">
              <w:br/>
              <w:t>(November)</w:t>
            </w:r>
          </w:p>
        </w:tc>
        <w:tc>
          <w:tcPr>
            <w:tcW w:w="1275" w:type="dxa"/>
            <w:tcBorders>
              <w:top w:val="single" w:sz="4" w:space="0" w:color="auto"/>
              <w:left w:val="single" w:sz="4" w:space="0" w:color="auto"/>
              <w:bottom w:val="single" w:sz="4" w:space="0" w:color="auto"/>
              <w:right w:val="single" w:sz="4" w:space="0" w:color="auto"/>
            </w:tcBorders>
            <w:vAlign w:val="center"/>
          </w:tcPr>
          <w:p w14:paraId="40CFD71E" w14:textId="1A09F311" w:rsidR="002E6D48" w:rsidRPr="00891D62" w:rsidRDefault="002E6D48" w:rsidP="002E6D48">
            <w:pPr>
              <w:pStyle w:val="Tabletext"/>
              <w:jc w:val="center"/>
            </w:pPr>
            <w:r w:rsidRPr="00030574">
              <w:t>−</w:t>
            </w:r>
          </w:p>
        </w:tc>
        <w:tc>
          <w:tcPr>
            <w:tcW w:w="1275" w:type="dxa"/>
            <w:tcBorders>
              <w:top w:val="single" w:sz="4" w:space="0" w:color="auto"/>
              <w:left w:val="single" w:sz="4" w:space="0" w:color="auto"/>
              <w:bottom w:val="single" w:sz="4" w:space="0" w:color="auto"/>
              <w:right w:val="single" w:sz="4" w:space="0" w:color="auto"/>
            </w:tcBorders>
            <w:vAlign w:val="center"/>
          </w:tcPr>
          <w:p w14:paraId="007C7072" w14:textId="49D62B20" w:rsidR="002E6D48" w:rsidRPr="00891D62" w:rsidRDefault="002E6D48" w:rsidP="002E6D48">
            <w:pPr>
              <w:pStyle w:val="Tabletext"/>
              <w:jc w:val="center"/>
            </w:pPr>
            <w:r w:rsidRPr="00030574">
              <w:t>−</w:t>
            </w:r>
          </w:p>
        </w:tc>
        <w:tc>
          <w:tcPr>
            <w:tcW w:w="1274" w:type="dxa"/>
            <w:tcBorders>
              <w:top w:val="single" w:sz="4" w:space="0" w:color="auto"/>
              <w:left w:val="single" w:sz="4" w:space="0" w:color="auto"/>
              <w:bottom w:val="single" w:sz="4" w:space="0" w:color="auto"/>
              <w:right w:val="single" w:sz="4" w:space="0" w:color="auto"/>
            </w:tcBorders>
            <w:vAlign w:val="center"/>
          </w:tcPr>
          <w:p w14:paraId="40F27106" w14:textId="3AB5BD5C" w:rsidR="002E6D48" w:rsidRPr="00891D62" w:rsidRDefault="002E6D48" w:rsidP="002E6D48">
            <w:pPr>
              <w:pStyle w:val="Tabletext"/>
              <w:jc w:val="center"/>
            </w:pPr>
            <w:r w:rsidRPr="00030574">
              <w:t>−</w:t>
            </w:r>
          </w:p>
        </w:tc>
      </w:tr>
    </w:tbl>
    <w:p w14:paraId="07CCE1F2" w14:textId="77777777" w:rsidR="005812BD" w:rsidRPr="00891D62" w:rsidRDefault="005812BD" w:rsidP="005812BD">
      <w:pPr>
        <w:pStyle w:val="Tablefin"/>
      </w:pPr>
      <w:bookmarkStart w:id="142" w:name="_Toc418163378"/>
      <w:bookmarkStart w:id="143" w:name="_Toc418232296"/>
    </w:p>
    <w:p w14:paraId="42B068D6" w14:textId="53CE4E0A" w:rsidR="00C74DA0" w:rsidRPr="00891D62" w:rsidRDefault="00C74DA0" w:rsidP="00C74DA0">
      <w:pPr>
        <w:pStyle w:val="Heading3"/>
      </w:pPr>
      <w:bookmarkStart w:id="144" w:name="_Toc143072449"/>
      <w:r w:rsidRPr="00891D62">
        <w:t>6.1.3</w:t>
      </w:r>
      <w:r w:rsidRPr="00891D62">
        <w:tab/>
        <w:t>Study Groups and other publications</w:t>
      </w:r>
      <w:bookmarkEnd w:id="142"/>
      <w:bookmarkEnd w:id="143"/>
      <w:bookmarkEnd w:id="144"/>
    </w:p>
    <w:p w14:paraId="04B29EFB" w14:textId="7555BD25" w:rsidR="00C74DA0" w:rsidRPr="00891D62" w:rsidRDefault="00C74DA0" w:rsidP="00C74DA0">
      <w:pPr>
        <w:rPr>
          <w:lang w:val="en-US"/>
        </w:rPr>
      </w:pPr>
      <w:r w:rsidRPr="00891D62">
        <w:t>During the study period 20</w:t>
      </w:r>
      <w:r w:rsidR="12553099" w:rsidRPr="00891D62">
        <w:t>20</w:t>
      </w:r>
      <w:r w:rsidR="4638F85D" w:rsidRPr="00891D62">
        <w:t>-20</w:t>
      </w:r>
      <w:r w:rsidR="0D507521" w:rsidRPr="00891D62">
        <w:t>23</w:t>
      </w:r>
      <w:r w:rsidRPr="00891D62">
        <w:t xml:space="preserve">, the preparation of </w:t>
      </w:r>
      <w:r w:rsidR="4638F85D" w:rsidRPr="00891D62">
        <w:t>ITU</w:t>
      </w:r>
      <w:r w:rsidR="007E3A63" w:rsidRPr="00891D62">
        <w:rPr>
          <w:lang w:val="en-US"/>
        </w:rPr>
        <w:t>-</w:t>
      </w:r>
      <w:r w:rsidR="4638F85D" w:rsidRPr="00891D62">
        <w:t>R</w:t>
      </w:r>
      <w:r w:rsidRPr="00891D62">
        <w:t xml:space="preserve"> Study Groups and other publications followed the standard pattern, as foreseen in the Operational Plan, notably:</w:t>
      </w:r>
    </w:p>
    <w:p w14:paraId="5389B05D" w14:textId="3F119059" w:rsidR="00C74DA0" w:rsidRPr="00891D62" w:rsidRDefault="00C74DA0" w:rsidP="00C74DA0">
      <w:pPr>
        <w:pStyle w:val="enumlev1"/>
      </w:pPr>
      <w:r w:rsidRPr="00891D62">
        <w:t>–</w:t>
      </w:r>
      <w:r w:rsidRPr="00891D62">
        <w:tab/>
        <w:t xml:space="preserve">ITU-R Recommendations: </w:t>
      </w:r>
      <w:r w:rsidR="3C794F90" w:rsidRPr="00891D62">
        <w:t>124</w:t>
      </w:r>
      <w:r w:rsidRPr="00891D62">
        <w:t xml:space="preserve"> were published (posted) on the ITU website in English (E). All Recommendations issued from 2005 to 20</w:t>
      </w:r>
      <w:r w:rsidR="07DC053B" w:rsidRPr="00891D62">
        <w:t>21</w:t>
      </w:r>
      <w:r w:rsidRPr="00891D62">
        <w:t xml:space="preserve"> are available in the six ITU languages (A/C/E/F/R/S), and translation to the remaining five languages is in progress for those Recommendations issued since 20</w:t>
      </w:r>
      <w:r w:rsidR="737178AD" w:rsidRPr="00891D62">
        <w:t>22</w:t>
      </w:r>
      <w:r w:rsidRPr="00891D62">
        <w:t>.</w:t>
      </w:r>
    </w:p>
    <w:p w14:paraId="643FCDEE" w14:textId="59C0DFC8" w:rsidR="00C74DA0" w:rsidRPr="00891D62" w:rsidRDefault="00C74DA0" w:rsidP="00C74DA0">
      <w:pPr>
        <w:pStyle w:val="enumlev1"/>
      </w:pPr>
      <w:r w:rsidRPr="00891D62">
        <w:t>–</w:t>
      </w:r>
      <w:r w:rsidRPr="00891D62">
        <w:tab/>
        <w:t xml:space="preserve">ITU-R Reports: </w:t>
      </w:r>
      <w:r w:rsidR="04E06375" w:rsidRPr="00891D62">
        <w:t>111</w:t>
      </w:r>
      <w:r w:rsidRPr="00891D62">
        <w:t xml:space="preserve"> reports were published (posted) on the ITU website (E) during the period of 20</w:t>
      </w:r>
      <w:r w:rsidR="539F9237" w:rsidRPr="00891D62">
        <w:t>20</w:t>
      </w:r>
      <w:r w:rsidR="4638F85D" w:rsidRPr="00891D62">
        <w:t>-20</w:t>
      </w:r>
      <w:r w:rsidR="146D6606" w:rsidRPr="00891D62">
        <w:t>23</w:t>
      </w:r>
      <w:r w:rsidRPr="00891D62">
        <w:t>.</w:t>
      </w:r>
    </w:p>
    <w:p w14:paraId="7ECBFDBF" w14:textId="77777777" w:rsidR="00C74DA0" w:rsidRPr="00891D62" w:rsidRDefault="00C74DA0" w:rsidP="00C74DA0">
      <w:pPr>
        <w:pStyle w:val="enumlev1"/>
      </w:pPr>
      <w:r w:rsidRPr="00891D62">
        <w:t>–</w:t>
      </w:r>
      <w:r w:rsidRPr="00891D62">
        <w:tab/>
        <w:t xml:space="preserve">ITU-R Handbooks (published; by </w:t>
      </w:r>
      <w:proofErr w:type="gramStart"/>
      <w:r w:rsidRPr="00891D62">
        <w:t>default</w:t>
      </w:r>
      <w:proofErr w:type="gramEnd"/>
      <w:r w:rsidRPr="00891D62">
        <w:t xml:space="preserve"> the English version, unless otherwise indicated):</w:t>
      </w:r>
    </w:p>
    <w:p w14:paraId="5D0251E5" w14:textId="64B44D7F" w:rsidR="31060DE9" w:rsidRPr="00891D62" w:rsidRDefault="1CBF104A" w:rsidP="56A0F693">
      <w:pPr>
        <w:pStyle w:val="enumlev2"/>
      </w:pPr>
      <w:r w:rsidRPr="00891D62">
        <w:t>•</w:t>
      </w:r>
      <w:r w:rsidRPr="00891D62">
        <w:tab/>
      </w:r>
      <w:r w:rsidR="44DA28AB" w:rsidRPr="00891D62">
        <w:t>Land Mobile (including Wireless Access) - Volume 4: Intelligent Transport Systems</w:t>
      </w:r>
      <w:r w:rsidR="0C2373A6" w:rsidRPr="00891D62">
        <w:t xml:space="preserve"> </w:t>
      </w:r>
      <w:r w:rsidR="00A56B96">
        <w:t>(</w:t>
      </w:r>
      <w:r w:rsidR="0C2373A6" w:rsidRPr="00891D62">
        <w:t>Rev. 2021</w:t>
      </w:r>
      <w:r w:rsidR="00A56B96">
        <w:t>)</w:t>
      </w:r>
    </w:p>
    <w:p w14:paraId="62986F75" w14:textId="1DF3F0D4" w:rsidR="1CBF104A" w:rsidRPr="00891D62" w:rsidRDefault="1CBF104A" w:rsidP="56A0F693">
      <w:pPr>
        <w:pStyle w:val="enumlev2"/>
      </w:pPr>
      <w:r w:rsidRPr="00891D62">
        <w:t>•</w:t>
      </w:r>
      <w:r w:rsidRPr="00891D62">
        <w:tab/>
      </w:r>
      <w:r w:rsidR="283266FF" w:rsidRPr="00891D62">
        <w:t>Handbook on International Mobile Telecommunications (IMT)</w:t>
      </w:r>
      <w:r w:rsidR="79C10D13" w:rsidRPr="00891D62">
        <w:t xml:space="preserve"> </w:t>
      </w:r>
      <w:r w:rsidR="00A56B96">
        <w:t>(</w:t>
      </w:r>
      <w:r w:rsidR="79C10D13" w:rsidRPr="00891D62">
        <w:t>Rev. 2022</w:t>
      </w:r>
      <w:r w:rsidR="00A56B96">
        <w:t>)</w:t>
      </w:r>
    </w:p>
    <w:p w14:paraId="100F8A04" w14:textId="6DBEF60F" w:rsidR="1CBF104A" w:rsidRPr="00891D62" w:rsidRDefault="1CBF104A" w:rsidP="56A0F693">
      <w:pPr>
        <w:pStyle w:val="enumlev2"/>
      </w:pPr>
      <w:r w:rsidRPr="00891D62">
        <w:t>•</w:t>
      </w:r>
      <w:r w:rsidRPr="00891D62">
        <w:tab/>
      </w:r>
      <w:r w:rsidR="601BC22A" w:rsidRPr="00891D62">
        <w:t>Handbook on Digital Terrestrial Television Broadcasting networks and systems implementation</w:t>
      </w:r>
      <w:r w:rsidR="1151CE7A" w:rsidRPr="00891D62">
        <w:t xml:space="preserve"> </w:t>
      </w:r>
      <w:r w:rsidR="00A56B96">
        <w:t>(</w:t>
      </w:r>
      <w:r w:rsidR="1151CE7A" w:rsidRPr="00891D62">
        <w:t>Rev. 2021</w:t>
      </w:r>
      <w:r w:rsidR="00A56B96">
        <w:t>)</w:t>
      </w:r>
    </w:p>
    <w:p w14:paraId="5B860787" w14:textId="41F54BA2" w:rsidR="6DF39351" w:rsidRPr="00891D62" w:rsidRDefault="6DF39351" w:rsidP="56A0F693">
      <w:pPr>
        <w:pStyle w:val="enumlev2"/>
      </w:pPr>
      <w:r w:rsidRPr="00891D62">
        <w:t>•</w:t>
      </w:r>
      <w:r w:rsidRPr="00891D62">
        <w:tab/>
      </w:r>
      <w:r w:rsidR="4CAAAD80" w:rsidRPr="00891D62">
        <w:t>A tutorial on frequency adaptive communication systems in the HF bands</w:t>
      </w:r>
      <w:r w:rsidR="49901D47" w:rsidRPr="00891D62">
        <w:t xml:space="preserve"> </w:t>
      </w:r>
      <w:r w:rsidR="00A56B96">
        <w:t>(</w:t>
      </w:r>
      <w:r w:rsidR="49901D47" w:rsidRPr="00891D62">
        <w:t>New 2022</w:t>
      </w:r>
      <w:r w:rsidR="00A56B96">
        <w:t>)</w:t>
      </w:r>
    </w:p>
    <w:p w14:paraId="265725E6" w14:textId="37DC83D8" w:rsidR="00C74DA0" w:rsidRPr="00891D62" w:rsidRDefault="1CBF104A" w:rsidP="00C74DA0">
      <w:pPr>
        <w:pStyle w:val="enumlev2"/>
      </w:pPr>
      <w:r w:rsidRPr="00891D62">
        <w:t>•</w:t>
      </w:r>
      <w:r w:rsidR="005812BD" w:rsidRPr="00891D62">
        <w:tab/>
      </w:r>
      <w:r w:rsidR="21A6729A" w:rsidRPr="00891D62">
        <w:t>Handbook on Small Satellites</w:t>
      </w:r>
      <w:r w:rsidR="0B8C1400" w:rsidRPr="00891D62">
        <w:t xml:space="preserve"> </w:t>
      </w:r>
      <w:r w:rsidR="00A56B96">
        <w:t>(</w:t>
      </w:r>
      <w:r w:rsidR="64FC901D" w:rsidRPr="00891D62">
        <w:t xml:space="preserve">New </w:t>
      </w:r>
      <w:r w:rsidR="21A6729A" w:rsidRPr="00891D62">
        <w:t>September 2023</w:t>
      </w:r>
      <w:r w:rsidR="00A56B96">
        <w:t>)</w:t>
      </w:r>
    </w:p>
    <w:p w14:paraId="0766AF8C" w14:textId="77777777" w:rsidR="00C74DA0" w:rsidRPr="00891D62" w:rsidRDefault="00C74DA0" w:rsidP="00C74DA0">
      <w:pPr>
        <w:pStyle w:val="enumlev1"/>
      </w:pPr>
      <w:r w:rsidRPr="00891D62">
        <w:t>–</w:t>
      </w:r>
      <w:r w:rsidRPr="00891D62">
        <w:tab/>
        <w:t xml:space="preserve">Other publications (A/C/E/F/R/S): </w:t>
      </w:r>
    </w:p>
    <w:p w14:paraId="0969466F" w14:textId="5755CF80" w:rsidR="00C74DA0" w:rsidRPr="00891D62" w:rsidRDefault="23EEC7F7" w:rsidP="00C74DA0">
      <w:pPr>
        <w:pStyle w:val="enumlev2"/>
      </w:pPr>
      <w:r w:rsidRPr="00891D62">
        <w:t>•</w:t>
      </w:r>
      <w:r w:rsidR="005812BD" w:rsidRPr="00891D62">
        <w:tab/>
      </w:r>
      <w:r w:rsidR="10F07641" w:rsidRPr="00891D62">
        <w:t>Book of ITU-R Resolutions 20</w:t>
      </w:r>
      <w:r w:rsidR="40698DCD" w:rsidRPr="00891D62">
        <w:t>19</w:t>
      </w:r>
    </w:p>
    <w:p w14:paraId="26BFC91F" w14:textId="12064528" w:rsidR="00C74DA0" w:rsidRPr="00891D62" w:rsidRDefault="23EEC7F7" w:rsidP="00C74DA0">
      <w:pPr>
        <w:pStyle w:val="enumlev2"/>
      </w:pPr>
      <w:r w:rsidRPr="00891D62">
        <w:t>•</w:t>
      </w:r>
      <w:r w:rsidR="005812BD" w:rsidRPr="00891D62">
        <w:tab/>
      </w:r>
      <w:r w:rsidR="10F07641" w:rsidRPr="00891D62">
        <w:t xml:space="preserve">Provisional </w:t>
      </w:r>
      <w:r w:rsidRPr="00891D62">
        <w:t>F</w:t>
      </w:r>
      <w:r w:rsidR="10F07641" w:rsidRPr="00891D62">
        <w:t>inal Acts WRC-</w:t>
      </w:r>
      <w:r w:rsidR="08BC4343" w:rsidRPr="00891D62">
        <w:t>19</w:t>
      </w:r>
    </w:p>
    <w:p w14:paraId="269377F7" w14:textId="1597D957" w:rsidR="00C74DA0" w:rsidRPr="00891D62" w:rsidRDefault="23EEC7F7" w:rsidP="00C74DA0">
      <w:pPr>
        <w:pStyle w:val="enumlev2"/>
      </w:pPr>
      <w:r w:rsidRPr="00891D62">
        <w:t>•</w:t>
      </w:r>
      <w:r w:rsidR="005812BD" w:rsidRPr="00891D62">
        <w:tab/>
      </w:r>
      <w:r w:rsidR="10F07641" w:rsidRPr="00891D62">
        <w:t>Final Acts WRC-</w:t>
      </w:r>
      <w:r w:rsidR="43F1FE3B" w:rsidRPr="00891D62">
        <w:t>19</w:t>
      </w:r>
    </w:p>
    <w:p w14:paraId="026E0012" w14:textId="7D798EDB" w:rsidR="00C74DA0" w:rsidRPr="00891D62" w:rsidRDefault="23EEC7F7" w:rsidP="0066340F">
      <w:pPr>
        <w:pStyle w:val="enumlev2"/>
        <w:spacing w:line="259" w:lineRule="auto"/>
      </w:pPr>
      <w:r w:rsidRPr="00891D62">
        <w:t>•</w:t>
      </w:r>
      <w:r w:rsidR="005812BD" w:rsidRPr="00891D62">
        <w:tab/>
      </w:r>
      <w:r w:rsidR="10F07641" w:rsidRPr="00891D62">
        <w:t xml:space="preserve">Rules of Procedure </w:t>
      </w:r>
      <w:r w:rsidRPr="00891D62">
        <w:t>–</w:t>
      </w:r>
      <w:r w:rsidR="10F07641" w:rsidRPr="00891D62">
        <w:t xml:space="preserve"> Edition of </w:t>
      </w:r>
      <w:r w:rsidR="15EA8D47" w:rsidRPr="00891D62">
        <w:t>202</w:t>
      </w:r>
      <w:r w:rsidR="14CE5F5E" w:rsidRPr="00891D62">
        <w:t>1</w:t>
      </w:r>
    </w:p>
    <w:p w14:paraId="51057500" w14:textId="3B6A66DD" w:rsidR="00C74DA0" w:rsidRPr="00891D62" w:rsidRDefault="005812BD" w:rsidP="00C74DA0">
      <w:pPr>
        <w:pStyle w:val="enumlev2"/>
      </w:pPr>
      <w:r w:rsidRPr="00891D62">
        <w:t>•</w:t>
      </w:r>
      <w:r w:rsidR="00C74DA0" w:rsidRPr="00891D62">
        <w:tab/>
        <w:t>ITU-R Rules of Procedure 20</w:t>
      </w:r>
      <w:r w:rsidR="1363E88B" w:rsidRPr="00891D62">
        <w:t>21</w:t>
      </w:r>
      <w:r w:rsidRPr="00891D62">
        <w:t>,</w:t>
      </w:r>
      <w:r w:rsidR="00C74DA0" w:rsidRPr="00891D62">
        <w:t xml:space="preserve"> Update 1</w:t>
      </w:r>
    </w:p>
    <w:p w14:paraId="59665F43" w14:textId="7BF8F723" w:rsidR="00C74DA0" w:rsidRPr="00891D62" w:rsidRDefault="005812BD" w:rsidP="00C74DA0">
      <w:pPr>
        <w:pStyle w:val="enumlev2"/>
      </w:pPr>
      <w:r w:rsidRPr="00891D62">
        <w:t>•</w:t>
      </w:r>
      <w:r w:rsidR="00C74DA0" w:rsidRPr="00891D62">
        <w:tab/>
        <w:t>ITU-R Rules of Procedure 20</w:t>
      </w:r>
      <w:r w:rsidR="1A65F5C0" w:rsidRPr="00891D62">
        <w:t>21</w:t>
      </w:r>
      <w:r w:rsidR="00C74DA0" w:rsidRPr="00891D62">
        <w:t>, Update 2</w:t>
      </w:r>
    </w:p>
    <w:p w14:paraId="47616B26" w14:textId="192DE52A" w:rsidR="00C74DA0" w:rsidRPr="00891D62" w:rsidRDefault="005812BD" w:rsidP="00C74DA0">
      <w:pPr>
        <w:pStyle w:val="enumlev2"/>
      </w:pPr>
      <w:r w:rsidRPr="00891D62">
        <w:t>•</w:t>
      </w:r>
      <w:r w:rsidR="00C74DA0" w:rsidRPr="00891D62">
        <w:tab/>
        <w:t>ITU-R Rules of Procedure 20</w:t>
      </w:r>
      <w:r w:rsidR="6F0C58D6" w:rsidRPr="00891D62">
        <w:t>21</w:t>
      </w:r>
      <w:r w:rsidR="00C74DA0" w:rsidRPr="00891D62">
        <w:t>, Update 3</w:t>
      </w:r>
    </w:p>
    <w:p w14:paraId="00617233" w14:textId="13634335" w:rsidR="00C74DA0" w:rsidRPr="00891D62" w:rsidRDefault="0587B9F4" w:rsidP="00C74DA0">
      <w:pPr>
        <w:pStyle w:val="Heading3"/>
      </w:pPr>
      <w:bookmarkStart w:id="145" w:name="_Toc143072450"/>
      <w:r w:rsidRPr="00891D62">
        <w:t>6.1.4</w:t>
      </w:r>
      <w:r w:rsidR="00C74DA0" w:rsidRPr="00891D62">
        <w:tab/>
      </w:r>
      <w:r w:rsidRPr="00891D62">
        <w:t>ITU-R Publications Downloads</w:t>
      </w:r>
      <w:bookmarkEnd w:id="145"/>
    </w:p>
    <w:p w14:paraId="3566CA65" w14:textId="77777777" w:rsidR="00C74DA0" w:rsidRPr="00891D62" w:rsidRDefault="0587B9F4" w:rsidP="00C74DA0">
      <w:pPr>
        <w:rPr>
          <w:lang w:val="en-US"/>
        </w:rPr>
      </w:pPr>
      <w:r w:rsidRPr="00891D62">
        <w:rPr>
          <w:lang w:val="en-US"/>
        </w:rPr>
        <w:t>The free online access policy continues to provide a very large dissemination of ITU regulatory texts and standards to a broader public, especially in developing countries with financial constraints. This wide outreach via free online access is helping to build the visibility of ITU’s mission and reinforce ITU as the global telecommunication authority.</w:t>
      </w:r>
    </w:p>
    <w:p w14:paraId="234AFECD" w14:textId="7188974A" w:rsidR="00C74DA0" w:rsidRPr="00891D62" w:rsidRDefault="00C74DA0" w:rsidP="00C74DA0">
      <w:pPr>
        <w:rPr>
          <w:lang w:val="en-US"/>
        </w:rPr>
      </w:pPr>
      <w:r w:rsidRPr="00891D62">
        <w:rPr>
          <w:lang w:val="en-US"/>
        </w:rPr>
        <w:t xml:space="preserve">ITU-R publications now available free of charge (for download) to the </w:t>
      </w:r>
      <w:proofErr w:type="gramStart"/>
      <w:r w:rsidRPr="00891D62">
        <w:rPr>
          <w:lang w:val="en-US"/>
        </w:rPr>
        <w:t>general public</w:t>
      </w:r>
      <w:proofErr w:type="gramEnd"/>
      <w:r w:rsidRPr="00891D62">
        <w:rPr>
          <w:lang w:val="en-US"/>
        </w:rPr>
        <w:t xml:space="preserve"> on a permanent basis are the following:</w:t>
      </w:r>
    </w:p>
    <w:p w14:paraId="0F1DCB81" w14:textId="2A365047" w:rsidR="00C74DA0" w:rsidRPr="00891D62" w:rsidRDefault="00C74DA0" w:rsidP="00C74DA0">
      <w:pPr>
        <w:pStyle w:val="enumlev1"/>
        <w:rPr>
          <w:lang w:val="en-US"/>
        </w:rPr>
      </w:pPr>
      <w:r w:rsidRPr="00891D62">
        <w:rPr>
          <w:lang w:val="en-US"/>
        </w:rPr>
        <w:t>–</w:t>
      </w:r>
      <w:r w:rsidRPr="00891D62">
        <w:tab/>
      </w:r>
      <w:r w:rsidRPr="00891D62">
        <w:rPr>
          <w:lang w:val="en-US"/>
        </w:rPr>
        <w:t>Radio Regulations, latest version: RR Ed. 20</w:t>
      </w:r>
      <w:r w:rsidR="2DD3FCFA" w:rsidRPr="00891D62">
        <w:rPr>
          <w:lang w:val="en-US"/>
        </w:rPr>
        <w:t>20</w:t>
      </w:r>
      <w:r w:rsidRPr="00891D62">
        <w:rPr>
          <w:lang w:val="en-US"/>
        </w:rPr>
        <w:t>, with decisions from WRC-1</w:t>
      </w:r>
      <w:r w:rsidR="19E0314E" w:rsidRPr="00891D62">
        <w:rPr>
          <w:lang w:val="en-US"/>
        </w:rPr>
        <w:t>9</w:t>
      </w:r>
    </w:p>
    <w:p w14:paraId="0514BCDA" w14:textId="4133D9E5" w:rsidR="00C74DA0" w:rsidRPr="00891D62" w:rsidRDefault="00C74DA0" w:rsidP="00C74DA0">
      <w:pPr>
        <w:pStyle w:val="enumlev1"/>
        <w:rPr>
          <w:lang w:val="en-US"/>
        </w:rPr>
      </w:pPr>
      <w:r w:rsidRPr="00891D62">
        <w:rPr>
          <w:lang w:val="en-US"/>
        </w:rPr>
        <w:t>–</w:t>
      </w:r>
      <w:r w:rsidRPr="00891D62">
        <w:tab/>
      </w:r>
      <w:r w:rsidRPr="00891D62">
        <w:rPr>
          <w:lang w:val="en-US"/>
        </w:rPr>
        <w:t xml:space="preserve">Rules of Procedures, latest version </w:t>
      </w:r>
      <w:proofErr w:type="spellStart"/>
      <w:r w:rsidRPr="00891D62">
        <w:rPr>
          <w:lang w:val="en-US"/>
        </w:rPr>
        <w:t>RoP</w:t>
      </w:r>
      <w:proofErr w:type="spellEnd"/>
      <w:r w:rsidRPr="00891D62">
        <w:rPr>
          <w:lang w:val="en-US"/>
        </w:rPr>
        <w:t xml:space="preserve"> Ed. 20</w:t>
      </w:r>
      <w:r w:rsidR="5198E342" w:rsidRPr="00891D62">
        <w:rPr>
          <w:lang w:val="en-US"/>
        </w:rPr>
        <w:t>21</w:t>
      </w:r>
      <w:r w:rsidRPr="00891D62">
        <w:rPr>
          <w:lang w:val="en-US"/>
        </w:rPr>
        <w:t xml:space="preserve"> +</w:t>
      </w:r>
      <w:r w:rsidR="009B4A18">
        <w:rPr>
          <w:lang w:val="en-US"/>
        </w:rPr>
        <w:t xml:space="preserve"> </w:t>
      </w:r>
      <w:r w:rsidRPr="00891D62">
        <w:rPr>
          <w:lang w:val="en-US"/>
        </w:rPr>
        <w:t xml:space="preserve">Update </w:t>
      </w:r>
      <w:r w:rsidR="6E2E829D" w:rsidRPr="00891D62">
        <w:rPr>
          <w:lang w:val="en-US"/>
        </w:rPr>
        <w:t>3</w:t>
      </w:r>
      <w:r w:rsidR="4638F85D" w:rsidRPr="00891D62">
        <w:rPr>
          <w:lang w:val="en-US"/>
        </w:rPr>
        <w:t xml:space="preserve"> (Ju</w:t>
      </w:r>
      <w:r w:rsidR="6843A314" w:rsidRPr="00891D62">
        <w:rPr>
          <w:lang w:val="en-US"/>
        </w:rPr>
        <w:t>ly</w:t>
      </w:r>
      <w:r w:rsidR="4638F85D" w:rsidRPr="00891D62">
        <w:rPr>
          <w:lang w:val="en-US"/>
        </w:rPr>
        <w:t xml:space="preserve"> 20</w:t>
      </w:r>
      <w:r w:rsidR="78531427" w:rsidRPr="00891D62">
        <w:rPr>
          <w:lang w:val="en-US"/>
        </w:rPr>
        <w:t>23</w:t>
      </w:r>
      <w:r w:rsidRPr="00891D62">
        <w:rPr>
          <w:lang w:val="en-US"/>
        </w:rPr>
        <w:t>)</w:t>
      </w:r>
    </w:p>
    <w:p w14:paraId="079DB863" w14:textId="437F9C04" w:rsidR="00C74DA0" w:rsidRPr="00891D62" w:rsidRDefault="00C74DA0" w:rsidP="00C74DA0">
      <w:pPr>
        <w:pStyle w:val="enumlev1"/>
        <w:rPr>
          <w:lang w:val="en-US"/>
        </w:rPr>
      </w:pPr>
      <w:r w:rsidRPr="00891D62">
        <w:rPr>
          <w:lang w:val="en-US"/>
        </w:rPr>
        <w:t>–</w:t>
      </w:r>
      <w:r w:rsidRPr="00891D62">
        <w:tab/>
      </w:r>
      <w:r w:rsidRPr="00891D62">
        <w:rPr>
          <w:lang w:val="en-US"/>
        </w:rPr>
        <w:t>ITU-R Recommendations (16 Series, 1,</w:t>
      </w:r>
      <w:r w:rsidR="13C8C90E" w:rsidRPr="00891D62">
        <w:rPr>
          <w:lang w:val="en-US"/>
        </w:rPr>
        <w:t>20</w:t>
      </w:r>
      <w:r w:rsidR="4638F85D" w:rsidRPr="00891D62">
        <w:rPr>
          <w:lang w:val="en-US"/>
        </w:rPr>
        <w:t>5</w:t>
      </w:r>
      <w:r w:rsidRPr="00891D62">
        <w:rPr>
          <w:lang w:val="en-US"/>
        </w:rPr>
        <w:t xml:space="preserve"> Recommendations in Force, as</w:t>
      </w:r>
      <w:r w:rsidR="009B4A18">
        <w:rPr>
          <w:lang w:val="en-US"/>
        </w:rPr>
        <w:t xml:space="preserve"> of August </w:t>
      </w:r>
      <w:r w:rsidR="4638F85D" w:rsidRPr="00891D62">
        <w:rPr>
          <w:lang w:val="en-US"/>
        </w:rPr>
        <w:t>20</w:t>
      </w:r>
      <w:r w:rsidR="3913E72E" w:rsidRPr="00891D62">
        <w:rPr>
          <w:lang w:val="en-US"/>
        </w:rPr>
        <w:t>23</w:t>
      </w:r>
      <w:r w:rsidRPr="00891D62">
        <w:rPr>
          <w:lang w:val="en-US"/>
        </w:rPr>
        <w:t>).</w:t>
      </w:r>
    </w:p>
    <w:p w14:paraId="5AFE8D5A" w14:textId="67852894" w:rsidR="00C74DA0" w:rsidRPr="00891D62" w:rsidRDefault="0587B9F4" w:rsidP="7A9552FD">
      <w:pPr>
        <w:pStyle w:val="enumlev1"/>
        <w:rPr>
          <w:lang w:val="en-US"/>
        </w:rPr>
      </w:pPr>
      <w:r w:rsidRPr="00891D62">
        <w:rPr>
          <w:lang w:val="en-US"/>
        </w:rPr>
        <w:t>–</w:t>
      </w:r>
      <w:r w:rsidR="00C74DA0" w:rsidRPr="00891D62">
        <w:tab/>
      </w:r>
      <w:r w:rsidRPr="00891D62">
        <w:rPr>
          <w:lang w:val="en-US"/>
        </w:rPr>
        <w:t xml:space="preserve">ITU-R Reports (13 Series, </w:t>
      </w:r>
      <w:r w:rsidR="5AB0AE04" w:rsidRPr="00891D62">
        <w:rPr>
          <w:lang w:val="en-US"/>
        </w:rPr>
        <w:t>627</w:t>
      </w:r>
      <w:r w:rsidRPr="00891D62">
        <w:rPr>
          <w:lang w:val="en-US"/>
        </w:rPr>
        <w:t xml:space="preserve"> Reports in </w:t>
      </w:r>
      <w:r w:rsidR="00A56B96">
        <w:rPr>
          <w:lang w:val="en-US"/>
        </w:rPr>
        <w:t>f</w:t>
      </w:r>
      <w:r w:rsidRPr="00891D62">
        <w:rPr>
          <w:lang w:val="en-US"/>
        </w:rPr>
        <w:t xml:space="preserve">orce, as </w:t>
      </w:r>
      <w:r w:rsidR="009B4A18">
        <w:rPr>
          <w:lang w:val="en-US"/>
        </w:rPr>
        <w:t>of August</w:t>
      </w:r>
      <w:r w:rsidR="009B4A18" w:rsidRPr="00891D62">
        <w:rPr>
          <w:lang w:val="en-US"/>
        </w:rPr>
        <w:t xml:space="preserve"> </w:t>
      </w:r>
      <w:r w:rsidR="0CD5A9D6" w:rsidRPr="00891D62">
        <w:rPr>
          <w:lang w:val="en-US"/>
        </w:rPr>
        <w:t>20</w:t>
      </w:r>
      <w:r w:rsidR="7DAF3957" w:rsidRPr="00891D62">
        <w:rPr>
          <w:lang w:val="en-US"/>
        </w:rPr>
        <w:t>23</w:t>
      </w:r>
      <w:r w:rsidRPr="00891D62">
        <w:rPr>
          <w:lang w:val="en-US"/>
        </w:rPr>
        <w:t>)</w:t>
      </w:r>
    </w:p>
    <w:p w14:paraId="40E94611" w14:textId="53035773" w:rsidR="00C74DA0" w:rsidRPr="00891D62" w:rsidRDefault="65E43B50" w:rsidP="0066340F">
      <w:pPr>
        <w:pStyle w:val="enumlev1"/>
        <w:spacing w:line="259" w:lineRule="auto"/>
      </w:pPr>
      <w:r w:rsidRPr="00891D62">
        <w:rPr>
          <w:lang w:val="en-US"/>
        </w:rPr>
        <w:t>–</w:t>
      </w:r>
      <w:r w:rsidR="00C74DA0" w:rsidRPr="00891D62">
        <w:tab/>
      </w:r>
      <w:r w:rsidR="0587B9F4" w:rsidRPr="00891D62">
        <w:rPr>
          <w:lang w:val="en-US"/>
        </w:rPr>
        <w:t>ITU-R Handbooks (</w:t>
      </w:r>
      <w:r w:rsidR="459BE79F" w:rsidRPr="00891D62">
        <w:rPr>
          <w:lang w:val="en-US"/>
        </w:rPr>
        <w:t>47</w:t>
      </w:r>
      <w:r w:rsidR="0587B9F4" w:rsidRPr="00891D62">
        <w:rPr>
          <w:lang w:val="en-US"/>
        </w:rPr>
        <w:t xml:space="preserve"> Handbooks)</w:t>
      </w:r>
    </w:p>
    <w:p w14:paraId="5031CDA5" w14:textId="7A72ACF9" w:rsidR="00C74DA0" w:rsidRPr="00891D62" w:rsidRDefault="00C74DA0" w:rsidP="00C74DA0">
      <w:pPr>
        <w:pStyle w:val="Heading4"/>
      </w:pPr>
      <w:r w:rsidRPr="00891D62">
        <w:t>6.1.4.1</w:t>
      </w:r>
      <w:r w:rsidRPr="00891D62">
        <w:tab/>
        <w:t>Radio Regulations and the Rules of Procedure</w:t>
      </w:r>
    </w:p>
    <w:p w14:paraId="66C7DD68" w14:textId="68E95B8E" w:rsidR="008A7265" w:rsidRPr="00891D62" w:rsidRDefault="00C74DA0" w:rsidP="008A7265">
      <w:pPr>
        <w:rPr>
          <w:rFonts w:eastAsiaTheme="minorEastAsia"/>
        </w:rPr>
      </w:pPr>
      <w:r w:rsidRPr="00891D62">
        <w:rPr>
          <w:rFonts w:eastAsiaTheme="minorEastAsia"/>
          <w:lang w:eastAsia="zh-CN"/>
        </w:rPr>
        <w:t>Concerning these regulatory documents, Table 6.1.4.1-1</w:t>
      </w:r>
      <w:r w:rsidR="24655F0F" w:rsidRPr="00891D62">
        <w:rPr>
          <w:rFonts w:eastAsiaTheme="minorEastAsia"/>
          <w:lang w:eastAsia="zh-CN"/>
        </w:rPr>
        <w:t xml:space="preserve"> </w:t>
      </w:r>
      <w:r w:rsidR="24655F0F" w:rsidRPr="00891D62">
        <w:t xml:space="preserve">shows the number of deliveries for the RR‑2016 and RR-2020 editions. Following up on the request of the 2021 RAG meeting, both </w:t>
      </w:r>
      <w:r w:rsidR="004279FE" w:rsidRPr="00891D62">
        <w:t xml:space="preserve">PDF </w:t>
      </w:r>
      <w:r w:rsidR="24655F0F" w:rsidRPr="00891D62">
        <w:t xml:space="preserve">and </w:t>
      </w:r>
      <w:r w:rsidR="7BC770CA" w:rsidRPr="00891D62">
        <w:t>W</w:t>
      </w:r>
      <w:r w:rsidR="74385D07" w:rsidRPr="00891D62">
        <w:t>ord</w:t>
      </w:r>
      <w:r w:rsidR="24655F0F" w:rsidRPr="00891D62">
        <w:t xml:space="preserve"> versions of the RR-2020 edition are available for free download from the ITU website. Table </w:t>
      </w:r>
      <w:r w:rsidR="1CB1AE84" w:rsidRPr="00891D62">
        <w:t>6</w:t>
      </w:r>
      <w:r w:rsidR="24655F0F" w:rsidRPr="00891D62">
        <w:t xml:space="preserve">.1.4.1-2 shows the total number of downloads during the same period for the Rules of Procedure. </w:t>
      </w:r>
    </w:p>
    <w:p w14:paraId="3C15CF4F" w14:textId="77777777" w:rsidR="00C74DA0" w:rsidRPr="00031ABC" w:rsidRDefault="00C74DA0" w:rsidP="00C74DA0">
      <w:pPr>
        <w:pStyle w:val="TableNo"/>
      </w:pPr>
      <w:r w:rsidRPr="00031ABC">
        <w:t>Table 6.1.4.1-1</w:t>
      </w:r>
    </w:p>
    <w:p w14:paraId="62DA521A" w14:textId="4C57A456" w:rsidR="001E1CF0" w:rsidRPr="00031ABC" w:rsidRDefault="47C08C31" w:rsidP="00031ABC">
      <w:pPr>
        <w:pStyle w:val="Tabletitle"/>
      </w:pPr>
      <w:r w:rsidRPr="00031ABC">
        <w:t>Number of deliveries of the Radio Regulations</w:t>
      </w:r>
    </w:p>
    <w:tbl>
      <w:tblPr>
        <w:tblW w:w="0" w:type="auto"/>
        <w:tblLayout w:type="fixed"/>
        <w:tblLook w:val="04A0" w:firstRow="1" w:lastRow="0" w:firstColumn="1" w:lastColumn="0" w:noHBand="0" w:noVBand="1"/>
      </w:tblPr>
      <w:tblGrid>
        <w:gridCol w:w="1920"/>
        <w:gridCol w:w="1932"/>
        <w:gridCol w:w="1926"/>
        <w:gridCol w:w="1926"/>
        <w:gridCol w:w="1920"/>
      </w:tblGrid>
      <w:tr w:rsidR="56A0F693" w:rsidRPr="00031ABC" w14:paraId="339394C8" w14:textId="77777777" w:rsidTr="00031ABC">
        <w:trPr>
          <w:trHeight w:val="525"/>
        </w:trPr>
        <w:tc>
          <w:tcPr>
            <w:tcW w:w="1920" w:type="dxa"/>
            <w:tcBorders>
              <w:top w:val="single" w:sz="8" w:space="0" w:color="FFFFFF" w:themeColor="background1"/>
              <w:left w:val="nil"/>
              <w:bottom w:val="single" w:sz="8" w:space="0" w:color="auto"/>
              <w:right w:val="single" w:sz="8" w:space="0" w:color="auto"/>
            </w:tcBorders>
            <w:shd w:val="clear" w:color="auto" w:fill="FFFFFF" w:themeFill="background1"/>
            <w:tcMar>
              <w:left w:w="108" w:type="dxa"/>
              <w:right w:w="108" w:type="dxa"/>
            </w:tcMar>
            <w:vAlign w:val="center"/>
          </w:tcPr>
          <w:p w14:paraId="46074454" w14:textId="1E4646A9" w:rsidR="56A0F693" w:rsidRPr="00031ABC" w:rsidRDefault="56A0F693" w:rsidP="00031ABC">
            <w:pPr>
              <w:pStyle w:val="Tablehead"/>
              <w:rPr>
                <w:bCs/>
              </w:rPr>
            </w:pP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3C1EDC" w14:textId="17141C76" w:rsidR="56A0F693" w:rsidRPr="00031ABC" w:rsidRDefault="56A0F693" w:rsidP="00031ABC">
            <w:pPr>
              <w:pStyle w:val="Tablehead"/>
              <w:rPr>
                <w:bCs/>
                <w:szCs w:val="19"/>
                <w:lang w:val="en-US"/>
              </w:rPr>
            </w:pPr>
            <w:r w:rsidRPr="00031ABC">
              <w:rPr>
                <w:bCs/>
                <w:szCs w:val="19"/>
                <w:lang w:val="en-US"/>
              </w:rPr>
              <w:t xml:space="preserve">2020 </w:t>
            </w:r>
            <w:r w:rsidRPr="00031ABC">
              <w:rPr>
                <w:bCs/>
              </w:rPr>
              <w:br/>
            </w:r>
            <w:r w:rsidRPr="00031ABC">
              <w:rPr>
                <w:bCs/>
                <w:szCs w:val="19"/>
                <w:lang w:val="en-US"/>
              </w:rPr>
              <w:t xml:space="preserve">(2016 ed and </w:t>
            </w:r>
            <w:r w:rsidR="00756EC8" w:rsidRPr="00031ABC">
              <w:rPr>
                <w:bCs/>
                <w:szCs w:val="19"/>
                <w:lang w:val="en-US"/>
              </w:rPr>
              <w:br/>
            </w:r>
            <w:r w:rsidRPr="00031ABC">
              <w:rPr>
                <w:bCs/>
                <w:szCs w:val="19"/>
                <w:lang w:val="en-US"/>
              </w:rPr>
              <w:t>2020 ed)</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2C849FFD" w14:textId="49B65C73" w:rsidR="56A0F693" w:rsidRPr="00031ABC" w:rsidRDefault="56A0F693" w:rsidP="00031ABC">
            <w:pPr>
              <w:pStyle w:val="Tablehead"/>
              <w:rPr>
                <w:bCs/>
                <w:szCs w:val="19"/>
                <w:lang w:val="en-US"/>
              </w:rPr>
            </w:pPr>
            <w:r w:rsidRPr="00031ABC">
              <w:rPr>
                <w:bCs/>
                <w:szCs w:val="19"/>
                <w:lang w:val="en-US"/>
              </w:rPr>
              <w:t>2021</w:t>
            </w:r>
            <w:r w:rsidRPr="00031ABC">
              <w:rPr>
                <w:bCs/>
              </w:rPr>
              <w:br/>
            </w:r>
            <w:r w:rsidRPr="00031ABC">
              <w:rPr>
                <w:bCs/>
                <w:szCs w:val="19"/>
                <w:lang w:val="en-US"/>
              </w:rPr>
              <w:t>RR-20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7DAA58B9" w14:textId="74058B94" w:rsidR="56A0F693" w:rsidRPr="00031ABC" w:rsidRDefault="56A0F693" w:rsidP="00031ABC">
            <w:pPr>
              <w:pStyle w:val="Tablehead"/>
              <w:rPr>
                <w:bCs/>
                <w:szCs w:val="19"/>
                <w:lang w:val="en-US"/>
              </w:rPr>
            </w:pPr>
            <w:r w:rsidRPr="00031ABC">
              <w:rPr>
                <w:bCs/>
                <w:szCs w:val="19"/>
                <w:lang w:val="en-US"/>
              </w:rPr>
              <w:t>2022</w:t>
            </w:r>
            <w:r w:rsidRPr="00031ABC">
              <w:rPr>
                <w:bCs/>
              </w:rPr>
              <w:br/>
            </w:r>
            <w:r w:rsidRPr="00031ABC">
              <w:rPr>
                <w:bCs/>
                <w:szCs w:val="19"/>
                <w:lang w:val="en-US"/>
              </w:rPr>
              <w:t>RR-20</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33DEC969" w14:textId="13C8AADF" w:rsidR="56A0F693" w:rsidRPr="00031ABC" w:rsidRDefault="56A0F693" w:rsidP="00031ABC">
            <w:pPr>
              <w:pStyle w:val="Tablehead"/>
              <w:rPr>
                <w:bCs/>
                <w:szCs w:val="19"/>
                <w:lang w:val="en-US"/>
              </w:rPr>
            </w:pPr>
            <w:r w:rsidRPr="00031ABC">
              <w:rPr>
                <w:bCs/>
                <w:szCs w:val="19"/>
                <w:lang w:val="en-US"/>
              </w:rPr>
              <w:t>2023</w:t>
            </w:r>
            <w:r w:rsidRPr="00031ABC">
              <w:rPr>
                <w:bCs/>
              </w:rPr>
              <w:br/>
            </w:r>
            <w:r w:rsidRPr="00031ABC">
              <w:rPr>
                <w:bCs/>
                <w:szCs w:val="19"/>
                <w:lang w:val="en-US"/>
              </w:rPr>
              <w:t>RR-20</w:t>
            </w:r>
          </w:p>
        </w:tc>
      </w:tr>
      <w:tr w:rsidR="56A0F693" w:rsidRPr="00031ABC" w14:paraId="67BA81F2" w14:textId="77777777" w:rsidTr="00031ABC">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76CD75" w14:textId="5F737306" w:rsidR="56A0F693" w:rsidRPr="00031ABC" w:rsidRDefault="56A0F693" w:rsidP="00031ABC">
            <w:pPr>
              <w:pStyle w:val="Tablehead"/>
              <w:rPr>
                <w:bCs/>
                <w:lang w:val="en-US"/>
              </w:rPr>
            </w:pPr>
            <w:r w:rsidRPr="00031ABC">
              <w:rPr>
                <w:bCs/>
                <w:lang w:val="en-US"/>
              </w:rPr>
              <w:t>Hard copies sold</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0F3759" w14:textId="5B6EBE86" w:rsidR="56A0F693" w:rsidRPr="00031ABC" w:rsidRDefault="56A0F693" w:rsidP="00031ABC">
            <w:pPr>
              <w:pStyle w:val="Tabletext"/>
              <w:jc w:val="center"/>
              <w:rPr>
                <w:lang w:val="en-US"/>
              </w:rPr>
            </w:pPr>
            <w:r w:rsidRPr="00031ABC">
              <w:rPr>
                <w:lang w:val="en-US"/>
              </w:rPr>
              <w:t>2016 ed: 59</w:t>
            </w:r>
            <w:r w:rsidRPr="00031ABC">
              <w:br/>
            </w:r>
            <w:r w:rsidRPr="00031ABC">
              <w:rPr>
                <w:lang w:val="en-US"/>
              </w:rPr>
              <w:t xml:space="preserve"> 2020 ed: 1 170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7FD94C2F" w14:textId="0367FD5E" w:rsidR="56A0F693" w:rsidRPr="00031ABC" w:rsidRDefault="56A0F693" w:rsidP="00031ABC">
            <w:pPr>
              <w:pStyle w:val="Tabletext"/>
              <w:jc w:val="center"/>
              <w:rPr>
                <w:lang w:val="en-US"/>
              </w:rPr>
            </w:pPr>
            <w:r w:rsidRPr="00031ABC">
              <w:rPr>
                <w:lang w:val="en-US"/>
              </w:rPr>
              <w:t>274</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0A8FCD9F" w14:textId="3FD98C32" w:rsidR="56A0F693" w:rsidRPr="00031ABC" w:rsidRDefault="56A0F693" w:rsidP="00031ABC">
            <w:pPr>
              <w:pStyle w:val="Tabletext"/>
              <w:jc w:val="center"/>
              <w:rPr>
                <w:lang w:val="en-US"/>
              </w:rPr>
            </w:pPr>
            <w:r w:rsidRPr="00031ABC">
              <w:rPr>
                <w:lang w:val="en-US"/>
              </w:rPr>
              <w:t>117</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050ACBB4" w14:textId="3DCEE034" w:rsidR="56A0F693" w:rsidRPr="00031ABC" w:rsidRDefault="56A0F693" w:rsidP="00031ABC">
            <w:pPr>
              <w:pStyle w:val="Tabletext"/>
              <w:jc w:val="center"/>
              <w:rPr>
                <w:lang w:val="en-US"/>
              </w:rPr>
            </w:pPr>
            <w:r w:rsidRPr="00031ABC">
              <w:rPr>
                <w:lang w:val="en-US"/>
              </w:rPr>
              <w:t>N/A</w:t>
            </w:r>
          </w:p>
        </w:tc>
      </w:tr>
      <w:tr w:rsidR="56A0F693" w:rsidRPr="00031ABC" w14:paraId="603DF368" w14:textId="77777777" w:rsidTr="00031ABC">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444F7E" w14:textId="647D38D7" w:rsidR="56A0F693" w:rsidRPr="00031ABC" w:rsidRDefault="56A0F693" w:rsidP="00031ABC">
            <w:pPr>
              <w:pStyle w:val="Tablehead"/>
              <w:rPr>
                <w:bCs/>
                <w:lang w:val="en-US"/>
              </w:rPr>
            </w:pPr>
            <w:proofErr w:type="gramStart"/>
            <w:r w:rsidRPr="00031ABC">
              <w:rPr>
                <w:bCs/>
                <w:lang w:val="en-US"/>
              </w:rPr>
              <w:t>DVD’s</w:t>
            </w:r>
            <w:proofErr w:type="gramEnd"/>
            <w:r w:rsidRPr="00031ABC">
              <w:rPr>
                <w:bCs/>
                <w:lang w:val="en-US"/>
              </w:rPr>
              <w:t xml:space="preserve"> sold</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E775E5" w14:textId="25FF06D6" w:rsidR="56A0F693" w:rsidRPr="00031ABC" w:rsidRDefault="56A0F693" w:rsidP="00031ABC">
            <w:pPr>
              <w:pStyle w:val="Tabletext"/>
              <w:jc w:val="center"/>
              <w:rPr>
                <w:lang w:val="en-US"/>
              </w:rPr>
            </w:pPr>
            <w:r w:rsidRPr="00031ABC">
              <w:rPr>
                <w:lang w:val="en-US"/>
              </w:rPr>
              <w:t xml:space="preserve">2016 ed: 482  </w:t>
            </w:r>
            <w:r w:rsidRPr="00031ABC">
              <w:br/>
            </w:r>
            <w:r w:rsidRPr="00031ABC">
              <w:rPr>
                <w:lang w:val="en-US"/>
              </w:rPr>
              <w:t>2020 ed: 5 061</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19A7DA37" w14:textId="1376EEEC" w:rsidR="56A0F693" w:rsidRPr="00031ABC" w:rsidRDefault="56A0F693" w:rsidP="00031ABC">
            <w:pPr>
              <w:pStyle w:val="Tabletext"/>
              <w:jc w:val="center"/>
              <w:rPr>
                <w:lang w:val="en-US"/>
              </w:rPr>
            </w:pPr>
            <w:r w:rsidRPr="00031ABC">
              <w:rPr>
                <w:lang w:val="en-US"/>
              </w:rPr>
              <w:t>3 855</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5AC90C44" w14:textId="4C283880" w:rsidR="56A0F693" w:rsidRPr="00031ABC" w:rsidRDefault="56A0F693" w:rsidP="00031ABC">
            <w:pPr>
              <w:pStyle w:val="Tabletext"/>
              <w:jc w:val="center"/>
              <w:rPr>
                <w:lang w:val="en-US"/>
              </w:rPr>
            </w:pPr>
            <w:r w:rsidRPr="00031ABC">
              <w:rPr>
                <w:lang w:val="en-US"/>
              </w:rPr>
              <w:t>1</w:t>
            </w:r>
            <w:r w:rsidR="000862BF" w:rsidRPr="00031ABC">
              <w:rPr>
                <w:lang w:val="en-US"/>
              </w:rPr>
              <w:t> </w:t>
            </w:r>
            <w:r w:rsidRPr="00031ABC">
              <w:rPr>
                <w:lang w:val="en-US"/>
              </w:rPr>
              <w:t>638</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1A472D9D" w14:textId="1B959D8F" w:rsidR="56A0F693" w:rsidRPr="00031ABC" w:rsidRDefault="56A0F693" w:rsidP="00031ABC">
            <w:pPr>
              <w:pStyle w:val="Tabletext"/>
              <w:jc w:val="center"/>
              <w:rPr>
                <w:lang w:val="en-US"/>
              </w:rPr>
            </w:pPr>
            <w:r w:rsidRPr="00031ABC">
              <w:rPr>
                <w:lang w:val="en-US"/>
              </w:rPr>
              <w:t>N/A</w:t>
            </w:r>
          </w:p>
        </w:tc>
      </w:tr>
      <w:tr w:rsidR="56A0F693" w:rsidRPr="00031ABC" w14:paraId="0C2A0E18" w14:textId="77777777" w:rsidTr="00031ABC">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A98EFC" w14:textId="59DF85B5" w:rsidR="56A0F693" w:rsidRPr="00031ABC" w:rsidRDefault="56A0F693" w:rsidP="00031ABC">
            <w:pPr>
              <w:pStyle w:val="Tablehead"/>
              <w:rPr>
                <w:bCs/>
                <w:lang w:val="en-US"/>
              </w:rPr>
            </w:pPr>
            <w:r w:rsidRPr="00031ABC">
              <w:rPr>
                <w:bCs/>
                <w:lang w:val="en-US"/>
              </w:rPr>
              <w:t>Free downloads</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2F7A83" w14:textId="42BF6C8C" w:rsidR="56A0F693" w:rsidRPr="00031ABC" w:rsidRDefault="56A0F693" w:rsidP="00031ABC">
            <w:pPr>
              <w:pStyle w:val="Tabletext"/>
              <w:jc w:val="center"/>
              <w:rPr>
                <w:lang w:val="en-US"/>
              </w:rPr>
            </w:pPr>
            <w:r w:rsidRPr="00031ABC">
              <w:rPr>
                <w:lang w:val="en-US"/>
              </w:rPr>
              <w:t xml:space="preserve">2016 ed: 36 416 </w:t>
            </w:r>
            <w:r w:rsidRPr="00031ABC">
              <w:br/>
            </w:r>
            <w:r w:rsidRPr="00031ABC">
              <w:rPr>
                <w:lang w:val="en-US"/>
              </w:rPr>
              <w:t>2020 ed: 4 236</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7AD58E66" w14:textId="4AD739C1" w:rsidR="56A0F693" w:rsidRPr="00031ABC" w:rsidRDefault="56A0F693" w:rsidP="00031ABC">
            <w:pPr>
              <w:pStyle w:val="Tabletext"/>
              <w:jc w:val="center"/>
              <w:rPr>
                <w:lang w:val="en-US"/>
              </w:rPr>
            </w:pPr>
            <w:r w:rsidRPr="00031ABC">
              <w:rPr>
                <w:lang w:val="en-US"/>
              </w:rPr>
              <w:t>18 092</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69C16C1D" w14:textId="059B04F2" w:rsidR="56A0F693" w:rsidRPr="00031ABC" w:rsidRDefault="56A0F693" w:rsidP="00031ABC">
            <w:pPr>
              <w:pStyle w:val="Tabletext"/>
              <w:jc w:val="center"/>
              <w:rPr>
                <w:lang w:val="en-US"/>
              </w:rPr>
            </w:pPr>
            <w:r w:rsidRPr="00031ABC">
              <w:rPr>
                <w:lang w:val="en-US"/>
              </w:rPr>
              <w:t>13</w:t>
            </w:r>
            <w:r w:rsidR="000862BF" w:rsidRPr="00031ABC">
              <w:rPr>
                <w:lang w:val="en-US"/>
              </w:rPr>
              <w:t> </w:t>
            </w:r>
            <w:r w:rsidRPr="00031ABC">
              <w:rPr>
                <w:lang w:val="en-US"/>
              </w:rPr>
              <w:t>467</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3D62B1CF" w14:textId="106565ED" w:rsidR="56A0F693" w:rsidRPr="00031ABC" w:rsidRDefault="56A0F693" w:rsidP="00031ABC">
            <w:pPr>
              <w:pStyle w:val="Tabletext"/>
              <w:jc w:val="center"/>
              <w:rPr>
                <w:lang w:val="en-US"/>
              </w:rPr>
            </w:pPr>
            <w:r w:rsidRPr="00031ABC">
              <w:rPr>
                <w:lang w:val="en-US"/>
              </w:rPr>
              <w:t>15</w:t>
            </w:r>
            <w:r w:rsidR="000862BF" w:rsidRPr="00031ABC">
              <w:rPr>
                <w:lang w:val="en-US"/>
              </w:rPr>
              <w:t> </w:t>
            </w:r>
            <w:r w:rsidRPr="00031ABC">
              <w:rPr>
                <w:lang w:val="en-US"/>
              </w:rPr>
              <w:t>310</w:t>
            </w:r>
          </w:p>
        </w:tc>
      </w:tr>
    </w:tbl>
    <w:p w14:paraId="02055600" w14:textId="77777777" w:rsidR="006A1037" w:rsidRPr="00031ABC" w:rsidRDefault="006A1037" w:rsidP="006A1037">
      <w:pPr>
        <w:pStyle w:val="Tablefin"/>
      </w:pPr>
    </w:p>
    <w:p w14:paraId="46B1D630" w14:textId="74C9EFE7" w:rsidR="2FFF61CB" w:rsidRPr="00F1082A" w:rsidRDefault="2FFF61CB" w:rsidP="56A0F693">
      <w:pPr>
        <w:pStyle w:val="TableNo"/>
      </w:pPr>
      <w:r w:rsidRPr="00F1082A">
        <w:t xml:space="preserve">Table </w:t>
      </w:r>
      <w:r w:rsidR="00C74DA0" w:rsidRPr="00F1082A">
        <w:t>6.1.4.</w:t>
      </w:r>
      <w:r w:rsidRPr="00F1082A">
        <w:t>1-</w:t>
      </w:r>
      <w:r w:rsidR="00C74DA0" w:rsidRPr="00F1082A">
        <w:t>2</w:t>
      </w:r>
    </w:p>
    <w:p w14:paraId="138BFAF8" w14:textId="67F0B1DB" w:rsidR="2FFF61CB" w:rsidRPr="00F1082A" w:rsidRDefault="2FFF61CB" w:rsidP="00031ABC">
      <w:pPr>
        <w:pStyle w:val="Tabletitle"/>
        <w:rPr>
          <w:b w:val="0"/>
        </w:rPr>
      </w:pPr>
      <w:r w:rsidRPr="00F1082A">
        <w:t>The Rules of Procedure (downloads)</w:t>
      </w:r>
    </w:p>
    <w:tbl>
      <w:tblPr>
        <w:tblW w:w="9630" w:type="dxa"/>
        <w:tblLayout w:type="fixed"/>
        <w:tblLook w:val="04A0" w:firstRow="1" w:lastRow="0" w:firstColumn="1" w:lastColumn="0" w:noHBand="0" w:noVBand="1"/>
      </w:tblPr>
      <w:tblGrid>
        <w:gridCol w:w="1926"/>
        <w:gridCol w:w="1926"/>
        <w:gridCol w:w="1926"/>
        <w:gridCol w:w="1926"/>
        <w:gridCol w:w="1926"/>
      </w:tblGrid>
      <w:tr w:rsidR="56A0F693" w:rsidRPr="00F1082A" w14:paraId="3E7DD8AB" w14:textId="77777777" w:rsidTr="00C73D7B">
        <w:trPr>
          <w:trHeight w:val="525"/>
        </w:trPr>
        <w:tc>
          <w:tcPr>
            <w:tcW w:w="1926" w:type="dxa"/>
            <w:tcBorders>
              <w:top w:val="nil"/>
              <w:left w:val="nil"/>
              <w:bottom w:val="single" w:sz="8" w:space="0" w:color="auto"/>
              <w:right w:val="single" w:sz="8" w:space="0" w:color="auto"/>
            </w:tcBorders>
            <w:tcMar>
              <w:left w:w="108" w:type="dxa"/>
              <w:right w:w="108" w:type="dxa"/>
            </w:tcMar>
            <w:vAlign w:val="center"/>
          </w:tcPr>
          <w:p w14:paraId="6B9DF907" w14:textId="564305D6" w:rsidR="56A0F693" w:rsidRPr="00F1082A" w:rsidRDefault="56A0F693" w:rsidP="00031ABC">
            <w:pPr>
              <w:pStyle w:val="Tablehead"/>
              <w:rPr>
                <w:bCs/>
              </w:rPr>
            </w:pP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4D9F5" w14:textId="47D54C22" w:rsidR="56A0F693" w:rsidRPr="00F1082A" w:rsidRDefault="56A0F693" w:rsidP="00031ABC">
            <w:pPr>
              <w:pStyle w:val="Tablehead"/>
              <w:rPr>
                <w:b w:val="0"/>
              </w:rPr>
            </w:pPr>
            <w:r w:rsidRPr="00F1082A">
              <w:rPr>
                <w:bCs/>
              </w:rPr>
              <w:t>2020</w:t>
            </w:r>
          </w:p>
        </w:tc>
        <w:tc>
          <w:tcPr>
            <w:tcW w:w="1926" w:type="dxa"/>
            <w:tcBorders>
              <w:top w:val="single" w:sz="8" w:space="0" w:color="auto"/>
              <w:left w:val="single" w:sz="8" w:space="0" w:color="auto"/>
              <w:bottom w:val="single" w:sz="8" w:space="0" w:color="auto"/>
              <w:right w:val="single" w:sz="8" w:space="0" w:color="auto"/>
            </w:tcBorders>
          </w:tcPr>
          <w:p w14:paraId="15999D67" w14:textId="7A1B84FC" w:rsidR="56A0F693" w:rsidRPr="00F1082A" w:rsidRDefault="56A0F693" w:rsidP="00031ABC">
            <w:pPr>
              <w:pStyle w:val="Tablehead"/>
              <w:rPr>
                <w:b w:val="0"/>
              </w:rPr>
            </w:pPr>
            <w:r w:rsidRPr="00F1082A">
              <w:rPr>
                <w:bCs/>
              </w:rPr>
              <w:t>2021</w:t>
            </w:r>
          </w:p>
        </w:tc>
        <w:tc>
          <w:tcPr>
            <w:tcW w:w="1926" w:type="dxa"/>
            <w:tcBorders>
              <w:top w:val="single" w:sz="8" w:space="0" w:color="auto"/>
              <w:left w:val="single" w:sz="8" w:space="0" w:color="auto"/>
              <w:bottom w:val="single" w:sz="8" w:space="0" w:color="auto"/>
              <w:right w:val="single" w:sz="8" w:space="0" w:color="auto"/>
            </w:tcBorders>
          </w:tcPr>
          <w:p w14:paraId="009FD668" w14:textId="0BD78096" w:rsidR="56A0F693" w:rsidRPr="00F1082A" w:rsidRDefault="56A0F693" w:rsidP="00031ABC">
            <w:pPr>
              <w:pStyle w:val="Tablehead"/>
              <w:rPr>
                <w:b w:val="0"/>
              </w:rPr>
            </w:pPr>
            <w:r w:rsidRPr="00F1082A">
              <w:rPr>
                <w:bCs/>
              </w:rPr>
              <w:t>2022</w:t>
            </w:r>
          </w:p>
        </w:tc>
        <w:tc>
          <w:tcPr>
            <w:tcW w:w="1926" w:type="dxa"/>
            <w:tcBorders>
              <w:top w:val="single" w:sz="8" w:space="0" w:color="auto"/>
              <w:left w:val="single" w:sz="8" w:space="0" w:color="auto"/>
              <w:bottom w:val="single" w:sz="8" w:space="0" w:color="auto"/>
              <w:right w:val="single" w:sz="8" w:space="0" w:color="auto"/>
            </w:tcBorders>
          </w:tcPr>
          <w:p w14:paraId="572C3BD1" w14:textId="6C82578F" w:rsidR="56A0F693" w:rsidRPr="00F1082A" w:rsidRDefault="56A0F693" w:rsidP="00031ABC">
            <w:pPr>
              <w:pStyle w:val="Tablehead"/>
              <w:rPr>
                <w:b w:val="0"/>
              </w:rPr>
            </w:pPr>
            <w:r w:rsidRPr="00F1082A">
              <w:rPr>
                <w:bCs/>
              </w:rPr>
              <w:t>2023</w:t>
            </w:r>
            <w:r w:rsidR="3E875B24" w:rsidRPr="00F1082A">
              <w:rPr>
                <w:bCs/>
              </w:rPr>
              <w:t>*</w:t>
            </w:r>
          </w:p>
        </w:tc>
      </w:tr>
      <w:tr w:rsidR="56A0F693" w:rsidRPr="00F1082A" w14:paraId="56972DA9" w14:textId="77777777" w:rsidTr="00C73D7B">
        <w:trPr>
          <w:trHeight w:val="315"/>
        </w:trPr>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30EE4125" w14:textId="5FDB7FED" w:rsidR="56A0F693" w:rsidRPr="00F1082A" w:rsidRDefault="00F1082A" w:rsidP="00031ABC">
            <w:pPr>
              <w:spacing w:after="120"/>
              <w:jc w:val="center"/>
              <w:rPr>
                <w:b/>
                <w:bCs/>
                <w:color w:val="000000" w:themeColor="text1"/>
                <w:sz w:val="19"/>
                <w:szCs w:val="19"/>
                <w:lang w:val="en-US"/>
              </w:rPr>
            </w:pPr>
            <w:r w:rsidRPr="00F1082A">
              <w:rPr>
                <w:rFonts w:ascii="Times New Roman Bold" w:hAnsi="Times New Roman Bold" w:cs="Times New Roman Bold"/>
                <w:b/>
                <w:bCs/>
                <w:sz w:val="20"/>
              </w:rPr>
              <w:t>Rules of Procedure</w:t>
            </w:r>
            <w:r w:rsidRPr="00F1082A">
              <w:rPr>
                <w:b/>
                <w:bCs/>
                <w:color w:val="000000" w:themeColor="text1"/>
                <w:sz w:val="19"/>
                <w:szCs w:val="19"/>
                <w:lang w:val="en-US"/>
              </w:rPr>
              <w:t xml:space="preserve"> </w:t>
            </w:r>
            <w:r w:rsidR="56A0F693" w:rsidRPr="00F1082A">
              <w:rPr>
                <w:rFonts w:ascii="Times New Roman Bold" w:hAnsi="Times New Roman Bold" w:cs="Times New Roman Bold"/>
                <w:b/>
                <w:bCs/>
                <w:sz w:val="20"/>
              </w:rPr>
              <w:br/>
              <w:t>(</w:t>
            </w:r>
            <w:r w:rsidRPr="00F1082A">
              <w:rPr>
                <w:b/>
                <w:bCs/>
                <w:color w:val="000000" w:themeColor="text1"/>
                <w:sz w:val="19"/>
                <w:szCs w:val="19"/>
                <w:lang w:val="en-US"/>
              </w:rPr>
              <w:t>ROP</w:t>
            </w:r>
            <w:r w:rsidR="56A0F693" w:rsidRPr="00F1082A">
              <w:rPr>
                <w:rFonts w:ascii="Times New Roman Bold" w:hAnsi="Times New Roman Bold" w:cs="Times New Roman Bold"/>
                <w:b/>
                <w:bCs/>
                <w:sz w:val="20"/>
              </w:rPr>
              <w:t>)</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583E521B" w14:textId="39E1F455" w:rsidR="56A0F693" w:rsidRPr="00F1082A" w:rsidRDefault="56A0F693" w:rsidP="00031ABC">
            <w:pPr>
              <w:spacing w:after="120"/>
              <w:jc w:val="center"/>
              <w:rPr>
                <w:color w:val="000000" w:themeColor="text1"/>
                <w:sz w:val="19"/>
                <w:szCs w:val="19"/>
                <w:lang w:val="en-US"/>
              </w:rPr>
            </w:pPr>
            <w:r w:rsidRPr="00F1082A">
              <w:rPr>
                <w:color w:val="000000" w:themeColor="text1"/>
                <w:sz w:val="19"/>
                <w:szCs w:val="19"/>
                <w:lang w:val="en-US"/>
              </w:rPr>
              <w:t>10 882</w:t>
            </w:r>
          </w:p>
        </w:tc>
        <w:tc>
          <w:tcPr>
            <w:tcW w:w="1926" w:type="dxa"/>
            <w:tcBorders>
              <w:top w:val="single" w:sz="8" w:space="0" w:color="auto"/>
              <w:left w:val="single" w:sz="8" w:space="0" w:color="auto"/>
              <w:bottom w:val="single" w:sz="8" w:space="0" w:color="auto"/>
              <w:right w:val="single" w:sz="8" w:space="0" w:color="auto"/>
            </w:tcBorders>
          </w:tcPr>
          <w:p w14:paraId="130BDB97" w14:textId="18FC8401" w:rsidR="56A0F693" w:rsidRPr="00F1082A" w:rsidRDefault="56A0F693" w:rsidP="00031ABC">
            <w:pPr>
              <w:spacing w:after="120"/>
              <w:jc w:val="center"/>
              <w:rPr>
                <w:color w:val="000000" w:themeColor="text1"/>
                <w:sz w:val="19"/>
                <w:szCs w:val="19"/>
                <w:lang w:val="en-US"/>
              </w:rPr>
            </w:pPr>
            <w:r w:rsidRPr="00F1082A">
              <w:rPr>
                <w:color w:val="000000" w:themeColor="text1"/>
                <w:sz w:val="19"/>
                <w:szCs w:val="19"/>
                <w:lang w:val="en-US"/>
              </w:rPr>
              <w:t>10 539</w:t>
            </w:r>
          </w:p>
        </w:tc>
        <w:tc>
          <w:tcPr>
            <w:tcW w:w="1926" w:type="dxa"/>
            <w:tcBorders>
              <w:top w:val="single" w:sz="8" w:space="0" w:color="auto"/>
              <w:left w:val="single" w:sz="8" w:space="0" w:color="auto"/>
              <w:bottom w:val="single" w:sz="8" w:space="0" w:color="auto"/>
              <w:right w:val="single" w:sz="8" w:space="0" w:color="auto"/>
            </w:tcBorders>
          </w:tcPr>
          <w:p w14:paraId="5CF94CA0" w14:textId="505C9C1A" w:rsidR="56A0F693" w:rsidRPr="00F1082A" w:rsidRDefault="56A0F693" w:rsidP="00031ABC">
            <w:pPr>
              <w:spacing w:after="120"/>
              <w:jc w:val="center"/>
              <w:rPr>
                <w:color w:val="000000" w:themeColor="text1"/>
                <w:sz w:val="19"/>
                <w:szCs w:val="19"/>
                <w:lang w:val="en-US"/>
              </w:rPr>
            </w:pPr>
            <w:r w:rsidRPr="00F1082A">
              <w:rPr>
                <w:color w:val="000000" w:themeColor="text1"/>
                <w:sz w:val="19"/>
                <w:szCs w:val="19"/>
                <w:lang w:val="en-US"/>
              </w:rPr>
              <w:t>11</w:t>
            </w:r>
            <w:r w:rsidR="0065275D" w:rsidRPr="00F1082A">
              <w:rPr>
                <w:color w:val="000000" w:themeColor="text1"/>
                <w:sz w:val="19"/>
                <w:szCs w:val="19"/>
                <w:lang w:val="en-US"/>
              </w:rPr>
              <w:t> </w:t>
            </w:r>
            <w:r w:rsidRPr="00F1082A">
              <w:rPr>
                <w:color w:val="000000" w:themeColor="text1"/>
                <w:sz w:val="19"/>
                <w:szCs w:val="19"/>
                <w:lang w:val="en-US"/>
              </w:rPr>
              <w:t>887</w:t>
            </w:r>
          </w:p>
        </w:tc>
        <w:tc>
          <w:tcPr>
            <w:tcW w:w="1926" w:type="dxa"/>
            <w:tcBorders>
              <w:top w:val="single" w:sz="8" w:space="0" w:color="auto"/>
              <w:left w:val="single" w:sz="8" w:space="0" w:color="auto"/>
              <w:bottom w:val="single" w:sz="8" w:space="0" w:color="auto"/>
              <w:right w:val="single" w:sz="8" w:space="0" w:color="auto"/>
            </w:tcBorders>
          </w:tcPr>
          <w:p w14:paraId="3DFD8B9D" w14:textId="243A1924" w:rsidR="64735FB6" w:rsidRPr="00F1082A" w:rsidRDefault="64735FB6" w:rsidP="00031ABC">
            <w:pPr>
              <w:spacing w:after="120" w:line="259" w:lineRule="auto"/>
              <w:jc w:val="center"/>
              <w:rPr>
                <w:sz w:val="19"/>
                <w:szCs w:val="19"/>
                <w:lang w:val="en-US"/>
              </w:rPr>
            </w:pPr>
            <w:r w:rsidRPr="00F1082A">
              <w:rPr>
                <w:sz w:val="19"/>
                <w:szCs w:val="19"/>
                <w:lang w:val="en-US"/>
              </w:rPr>
              <w:t>5</w:t>
            </w:r>
            <w:r w:rsidR="0065275D" w:rsidRPr="00F1082A">
              <w:rPr>
                <w:sz w:val="19"/>
                <w:szCs w:val="19"/>
                <w:lang w:val="en-US"/>
              </w:rPr>
              <w:t> </w:t>
            </w:r>
            <w:r w:rsidRPr="00F1082A">
              <w:rPr>
                <w:sz w:val="19"/>
                <w:szCs w:val="19"/>
                <w:lang w:val="en-US"/>
              </w:rPr>
              <w:t>243</w:t>
            </w:r>
          </w:p>
        </w:tc>
      </w:tr>
    </w:tbl>
    <w:p w14:paraId="22817750" w14:textId="690498C9" w:rsidR="56A0F693" w:rsidRDefault="00866832" w:rsidP="56A0F693">
      <w:pPr>
        <w:pStyle w:val="Tablefin"/>
        <w:rPr>
          <w:highlight w:val="cyan"/>
        </w:rPr>
      </w:pPr>
      <w:r w:rsidRPr="00F1082A">
        <w:rPr>
          <w:sz w:val="18"/>
          <w:szCs w:val="18"/>
        </w:rPr>
        <w:t>*Up to April 2023</w:t>
      </w:r>
    </w:p>
    <w:p w14:paraId="3CCC4B81" w14:textId="17E41612" w:rsidR="00C74DA0" w:rsidRPr="00F9006B" w:rsidRDefault="4638F85D" w:rsidP="00C74DA0">
      <w:pPr>
        <w:pStyle w:val="Heading4"/>
      </w:pPr>
      <w:r w:rsidRPr="00F9006B">
        <w:t>6.1.4.2</w:t>
      </w:r>
      <w:r w:rsidR="00C74DA0" w:rsidRPr="00F9006B">
        <w:tab/>
        <w:t>ITU-R Recommendations</w:t>
      </w:r>
    </w:p>
    <w:p w14:paraId="04795A60" w14:textId="39A34FD0" w:rsidR="00C74DA0" w:rsidRPr="00F9006B" w:rsidRDefault="0587B9F4" w:rsidP="00C74DA0">
      <w:pPr>
        <w:rPr>
          <w:lang w:val="en-US"/>
        </w:rPr>
      </w:pPr>
      <w:r w:rsidRPr="00F9006B">
        <w:rPr>
          <w:lang w:val="en-US"/>
        </w:rPr>
        <w:t>As a result of the free online access policy, ITU-R Recommendations are disseminated worldwide, becoming a universal reference. In a 5</w:t>
      </w:r>
      <w:r w:rsidR="71B6B50C" w:rsidRPr="00F9006B">
        <w:rPr>
          <w:lang w:val="en-US"/>
        </w:rPr>
        <w:t>2</w:t>
      </w:r>
      <w:r w:rsidRPr="00F9006B">
        <w:rPr>
          <w:lang w:val="en-US"/>
        </w:rPr>
        <w:t>-month period (January 20</w:t>
      </w:r>
      <w:r w:rsidR="6C8CFADF" w:rsidRPr="00F9006B">
        <w:rPr>
          <w:lang w:val="en-US"/>
        </w:rPr>
        <w:t>20</w:t>
      </w:r>
      <w:r w:rsidRPr="00F9006B">
        <w:rPr>
          <w:lang w:val="en-US"/>
        </w:rPr>
        <w:t xml:space="preserve"> to </w:t>
      </w:r>
      <w:r w:rsidR="409E83A4" w:rsidRPr="00F9006B">
        <w:rPr>
          <w:lang w:val="en-US"/>
        </w:rPr>
        <w:t>April</w:t>
      </w:r>
      <w:r w:rsidR="0CD5A9D6" w:rsidRPr="00F9006B">
        <w:rPr>
          <w:lang w:val="en-US"/>
        </w:rPr>
        <w:t xml:space="preserve"> 20</w:t>
      </w:r>
      <w:r w:rsidR="17A8FBFD" w:rsidRPr="00F9006B">
        <w:rPr>
          <w:lang w:val="en-US"/>
        </w:rPr>
        <w:t>23</w:t>
      </w:r>
      <w:r w:rsidRPr="00F9006B">
        <w:rPr>
          <w:lang w:val="en-US"/>
        </w:rPr>
        <w:t xml:space="preserve">), </w:t>
      </w:r>
      <w:r w:rsidR="4A9A3552" w:rsidRPr="00F9006B">
        <w:rPr>
          <w:lang w:val="en-US"/>
        </w:rPr>
        <w:t>nearly</w:t>
      </w:r>
      <w:r w:rsidRPr="00F9006B">
        <w:rPr>
          <w:lang w:val="en-US"/>
        </w:rPr>
        <w:t xml:space="preserve"> six million downloads of ITU-R Recommendations from ITU website were recorded. Table 6.1.4.2</w:t>
      </w:r>
      <w:r w:rsidR="006E5640">
        <w:rPr>
          <w:lang w:val="en-US"/>
        </w:rPr>
        <w:t>-</w:t>
      </w:r>
      <w:r w:rsidRPr="00F9006B">
        <w:rPr>
          <w:lang w:val="en-US"/>
        </w:rPr>
        <w:t>1 summarizes their distribution by year and series.</w:t>
      </w:r>
    </w:p>
    <w:p w14:paraId="3E8CC56E" w14:textId="77777777" w:rsidR="00C74DA0" w:rsidRPr="003022B6" w:rsidRDefault="00C74DA0" w:rsidP="00C74DA0">
      <w:pPr>
        <w:pStyle w:val="TableNo"/>
      </w:pPr>
      <w:r w:rsidRPr="003022B6">
        <w:t>Table 6.1.4.2-1</w:t>
      </w:r>
    </w:p>
    <w:p w14:paraId="397EDB69" w14:textId="77777777" w:rsidR="00C74DA0" w:rsidRPr="003022B6" w:rsidRDefault="00C74DA0" w:rsidP="00C74DA0">
      <w:pPr>
        <w:pStyle w:val="Tabletitle"/>
        <w:rPr>
          <w:rFonts w:asciiTheme="majorBidi" w:hAnsiTheme="majorBidi" w:cstheme="majorBidi"/>
          <w:lang w:val="en-US" w:eastAsia="zh-CN"/>
        </w:rPr>
      </w:pPr>
      <w:r w:rsidRPr="003022B6">
        <w:t xml:space="preserve">Distribution of ITU-R Recommendations </w:t>
      </w:r>
    </w:p>
    <w:tbl>
      <w:tblPr>
        <w:tblW w:w="9630" w:type="dxa"/>
        <w:tblLayout w:type="fixed"/>
        <w:tblLook w:val="06A0" w:firstRow="1" w:lastRow="0" w:firstColumn="1" w:lastColumn="0" w:noHBand="1" w:noVBand="1"/>
      </w:tblPr>
      <w:tblGrid>
        <w:gridCol w:w="1605"/>
        <w:gridCol w:w="1605"/>
        <w:gridCol w:w="1605"/>
        <w:gridCol w:w="1605"/>
        <w:gridCol w:w="1605"/>
        <w:gridCol w:w="1605"/>
      </w:tblGrid>
      <w:tr w:rsidR="28F9A725" w:rsidRPr="003022B6" w14:paraId="754242DB"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6AB0C5" w14:textId="6BBBF3A3" w:rsidR="28F9A725" w:rsidRPr="003022B6" w:rsidRDefault="3D87227A" w:rsidP="006E5640">
            <w:pPr>
              <w:pStyle w:val="Tablehead"/>
              <w:rPr>
                <w:bCs/>
              </w:rPr>
            </w:pPr>
            <w:r w:rsidRPr="003022B6">
              <w:rPr>
                <w:bCs/>
              </w:rPr>
              <w:t>Series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21085B" w14:textId="227989E6" w:rsidR="28F9A725" w:rsidRPr="003022B6" w:rsidRDefault="3D87227A" w:rsidP="006E5640">
            <w:pPr>
              <w:pStyle w:val="Tablehead"/>
              <w:rPr>
                <w:bCs/>
              </w:rPr>
            </w:pPr>
            <w:r w:rsidRPr="003022B6">
              <w:rPr>
                <w:bCs/>
              </w:rPr>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D6B126" w14:textId="7E53FA38" w:rsidR="28F9A725" w:rsidRPr="003022B6" w:rsidRDefault="3D87227A" w:rsidP="006E5640">
            <w:pPr>
              <w:pStyle w:val="Tablehead"/>
              <w:rPr>
                <w:bCs/>
              </w:rPr>
            </w:pPr>
            <w:r w:rsidRPr="003022B6">
              <w:rPr>
                <w:bCs/>
              </w:rPr>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B8509F" w14:textId="3D16EC69" w:rsidR="28F9A725" w:rsidRPr="003022B6" w:rsidRDefault="3D87227A" w:rsidP="006E5640">
            <w:pPr>
              <w:pStyle w:val="Tablehead"/>
              <w:rPr>
                <w:bCs/>
              </w:rPr>
            </w:pPr>
            <w:r w:rsidRPr="003022B6">
              <w:rPr>
                <w:bCs/>
              </w:rPr>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0B8E79" w14:textId="44DFF529" w:rsidR="28F9A725" w:rsidRPr="003022B6" w:rsidRDefault="3D87227A" w:rsidP="006E5640">
            <w:pPr>
              <w:pStyle w:val="Tablehead"/>
              <w:rPr>
                <w:bCs/>
              </w:rPr>
            </w:pPr>
            <w:r w:rsidRPr="003022B6">
              <w:rPr>
                <w:bCs/>
              </w:rPr>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0BE2D4" w14:textId="5D5D2F68" w:rsidR="28F9A725" w:rsidRPr="003022B6" w:rsidRDefault="3D87227A" w:rsidP="006E5640">
            <w:pPr>
              <w:pStyle w:val="Tablehead"/>
              <w:rPr>
                <w:b w:val="0"/>
              </w:rPr>
            </w:pPr>
            <w:r w:rsidRPr="003022B6">
              <w:rPr>
                <w:bCs/>
              </w:rPr>
              <w:t>Total</w:t>
            </w:r>
          </w:p>
        </w:tc>
      </w:tr>
      <w:tr w:rsidR="28F9A725" w:rsidRPr="003022B6" w14:paraId="3419CE81"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D8F923" w14:textId="7B63E3CB" w:rsidR="28F9A725" w:rsidRPr="003022B6" w:rsidRDefault="3D87227A" w:rsidP="006E5640">
            <w:pPr>
              <w:pStyle w:val="Tablehead"/>
              <w:rPr>
                <w:bCs/>
              </w:rPr>
            </w:pPr>
            <w:r w:rsidRPr="003022B6">
              <w:rPr>
                <w:bCs/>
              </w:rPr>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3CF4F" w14:textId="6F261D5D" w:rsidR="28F9A725" w:rsidRPr="003022B6" w:rsidRDefault="3D87227A" w:rsidP="006E5640">
            <w:pPr>
              <w:pStyle w:val="Tabletext"/>
              <w:jc w:val="center"/>
            </w:pPr>
            <w:r w:rsidRPr="003022B6">
              <w:t>385</w:t>
            </w:r>
            <w:r w:rsidR="000862BF" w:rsidRPr="003022B6">
              <w:t> </w:t>
            </w:r>
            <w:r w:rsidRPr="003022B6">
              <w:t>614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557667" w14:textId="520B79D6" w:rsidR="28F9A725" w:rsidRPr="003022B6" w:rsidRDefault="3D87227A" w:rsidP="006E5640">
            <w:pPr>
              <w:pStyle w:val="Tabletext"/>
              <w:jc w:val="center"/>
            </w:pPr>
            <w:r w:rsidRPr="003022B6">
              <w:t>410</w:t>
            </w:r>
            <w:r w:rsidR="000862BF" w:rsidRPr="003022B6">
              <w:t> </w:t>
            </w:r>
            <w:r w:rsidRPr="003022B6">
              <w:t>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E7C5B4" w14:textId="6CB6EC00" w:rsidR="28F9A725" w:rsidRPr="003022B6" w:rsidRDefault="3D87227A" w:rsidP="006E5640">
            <w:pPr>
              <w:pStyle w:val="Tabletext"/>
              <w:jc w:val="center"/>
            </w:pPr>
            <w:r w:rsidRPr="003022B6">
              <w:t>347</w:t>
            </w:r>
            <w:r w:rsidR="000862BF" w:rsidRPr="003022B6">
              <w:t> </w:t>
            </w:r>
            <w:r w:rsidRPr="003022B6">
              <w:t>953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76B5F8" w14:textId="0CC6B57A" w:rsidR="28F9A725" w:rsidRPr="003022B6" w:rsidRDefault="3D87227A" w:rsidP="006E5640">
            <w:pPr>
              <w:pStyle w:val="Tabletext"/>
              <w:jc w:val="center"/>
            </w:pPr>
            <w:r w:rsidRPr="003022B6">
              <w:t>149</w:t>
            </w:r>
            <w:r w:rsidR="000862BF" w:rsidRPr="003022B6">
              <w:t> </w:t>
            </w:r>
            <w:r w:rsidRPr="003022B6">
              <w:t>297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6E58EF" w14:textId="02BD2A7B" w:rsidR="28F9A725" w:rsidRPr="003022B6" w:rsidRDefault="3D87227A" w:rsidP="006E5640">
            <w:pPr>
              <w:pStyle w:val="Tabletext"/>
              <w:jc w:val="center"/>
              <w:rPr>
                <w:b/>
                <w:bCs/>
              </w:rPr>
            </w:pPr>
            <w:r w:rsidRPr="003022B6">
              <w:rPr>
                <w:b/>
                <w:bCs/>
              </w:rPr>
              <w:t>1</w:t>
            </w:r>
            <w:r w:rsidR="000862BF" w:rsidRPr="003022B6">
              <w:rPr>
                <w:b/>
                <w:bCs/>
              </w:rPr>
              <w:t> </w:t>
            </w:r>
            <w:r w:rsidRPr="003022B6">
              <w:rPr>
                <w:b/>
                <w:bCs/>
              </w:rPr>
              <w:t>293</w:t>
            </w:r>
            <w:r w:rsidR="000862BF" w:rsidRPr="003022B6">
              <w:rPr>
                <w:b/>
                <w:bCs/>
              </w:rPr>
              <w:t> </w:t>
            </w:r>
            <w:r w:rsidRPr="003022B6">
              <w:rPr>
                <w:b/>
                <w:bCs/>
              </w:rPr>
              <w:t>782</w:t>
            </w:r>
          </w:p>
        </w:tc>
      </w:tr>
      <w:tr w:rsidR="28F9A725" w:rsidRPr="003022B6" w14:paraId="185B1BB2"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38EBB0" w14:textId="3DD95412" w:rsidR="28F9A725" w:rsidRPr="003022B6" w:rsidRDefault="3D87227A" w:rsidP="006E5640">
            <w:pPr>
              <w:pStyle w:val="Tablehead"/>
              <w:rPr>
                <w:bCs/>
              </w:rPr>
            </w:pPr>
            <w:r w:rsidRPr="003022B6">
              <w:rPr>
                <w:bCs/>
              </w:rPr>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CA88CB" w14:textId="55DCF89F" w:rsidR="28F9A725" w:rsidRPr="003022B6" w:rsidRDefault="3D87227A" w:rsidP="006E5640">
            <w:pPr>
              <w:pStyle w:val="Tabletext"/>
              <w:jc w:val="center"/>
            </w:pPr>
            <w:r w:rsidRPr="003022B6">
              <w:t>327</w:t>
            </w:r>
            <w:r w:rsidR="000862BF" w:rsidRPr="003022B6">
              <w:t> </w:t>
            </w:r>
            <w:r w:rsidRPr="003022B6">
              <w:t>720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65C925" w14:textId="586D0E17" w:rsidR="28F9A725" w:rsidRPr="003022B6" w:rsidRDefault="3D87227A" w:rsidP="006E5640">
            <w:pPr>
              <w:pStyle w:val="Tabletext"/>
              <w:jc w:val="center"/>
            </w:pPr>
            <w:r w:rsidRPr="003022B6">
              <w:t>365</w:t>
            </w:r>
            <w:r w:rsidR="000862BF" w:rsidRPr="003022B6">
              <w:t> </w:t>
            </w:r>
            <w:r w:rsidRPr="003022B6">
              <w:t>675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5710F" w14:textId="5493635D" w:rsidR="28F9A725" w:rsidRPr="003022B6" w:rsidRDefault="3D87227A" w:rsidP="006E5640">
            <w:pPr>
              <w:pStyle w:val="Tabletext"/>
              <w:jc w:val="center"/>
            </w:pPr>
            <w:r w:rsidRPr="003022B6">
              <w:t>314</w:t>
            </w:r>
            <w:r w:rsidR="000862BF" w:rsidRPr="003022B6">
              <w:t> </w:t>
            </w:r>
            <w:r w:rsidRPr="003022B6">
              <w:t>920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C2750" w14:textId="733C1BB4" w:rsidR="28F9A725" w:rsidRPr="003022B6" w:rsidRDefault="3D87227A" w:rsidP="006E5640">
            <w:pPr>
              <w:pStyle w:val="Tabletext"/>
              <w:jc w:val="center"/>
            </w:pPr>
            <w:r w:rsidRPr="003022B6">
              <w:t>133</w:t>
            </w:r>
            <w:r w:rsidR="000862BF" w:rsidRPr="003022B6">
              <w:t> </w:t>
            </w:r>
            <w:r w:rsidRPr="003022B6">
              <w:t>495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D24748" w14:textId="464BD60D" w:rsidR="28F9A725" w:rsidRPr="003022B6" w:rsidRDefault="3D87227A" w:rsidP="006E5640">
            <w:pPr>
              <w:pStyle w:val="Tabletext"/>
              <w:jc w:val="center"/>
              <w:rPr>
                <w:b/>
                <w:bCs/>
              </w:rPr>
            </w:pPr>
            <w:r w:rsidRPr="003022B6">
              <w:rPr>
                <w:b/>
                <w:bCs/>
              </w:rPr>
              <w:t>1</w:t>
            </w:r>
            <w:r w:rsidR="000862BF" w:rsidRPr="003022B6">
              <w:rPr>
                <w:b/>
                <w:bCs/>
              </w:rPr>
              <w:t> </w:t>
            </w:r>
            <w:r w:rsidRPr="003022B6">
              <w:rPr>
                <w:b/>
                <w:bCs/>
              </w:rPr>
              <w:t>141</w:t>
            </w:r>
            <w:r w:rsidR="000862BF" w:rsidRPr="003022B6">
              <w:rPr>
                <w:b/>
                <w:bCs/>
              </w:rPr>
              <w:t> </w:t>
            </w:r>
            <w:r w:rsidRPr="003022B6">
              <w:rPr>
                <w:b/>
                <w:bCs/>
              </w:rPr>
              <w:t>810</w:t>
            </w:r>
          </w:p>
        </w:tc>
      </w:tr>
      <w:tr w:rsidR="28F9A725" w:rsidRPr="003022B6" w14:paraId="765169B4"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937813" w14:textId="73604D7B" w:rsidR="28F9A725" w:rsidRPr="003022B6" w:rsidRDefault="3D87227A" w:rsidP="006E5640">
            <w:pPr>
              <w:pStyle w:val="Tablehead"/>
              <w:rPr>
                <w:bCs/>
              </w:rPr>
            </w:pPr>
            <w:r w:rsidRPr="003022B6">
              <w:rPr>
                <w:bCs/>
              </w:rPr>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4B4DDA" w14:textId="470D62D6" w:rsidR="28F9A725" w:rsidRPr="003022B6" w:rsidRDefault="3D87227A" w:rsidP="006E5640">
            <w:pPr>
              <w:pStyle w:val="Tabletext"/>
              <w:jc w:val="center"/>
            </w:pPr>
            <w:r w:rsidRPr="003022B6">
              <w:t>226</w:t>
            </w:r>
            <w:r w:rsidR="000862BF" w:rsidRPr="003022B6">
              <w:t> </w:t>
            </w:r>
            <w:r w:rsidRPr="003022B6">
              <w:t>737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FBF699" w14:textId="40E37AED" w:rsidR="28F9A725" w:rsidRPr="003022B6" w:rsidRDefault="3D87227A" w:rsidP="006E5640">
            <w:pPr>
              <w:pStyle w:val="Tabletext"/>
              <w:jc w:val="center"/>
            </w:pPr>
            <w:r w:rsidRPr="003022B6">
              <w:t>231</w:t>
            </w:r>
            <w:r w:rsidR="000862BF" w:rsidRPr="003022B6">
              <w:t> </w:t>
            </w:r>
            <w:r w:rsidRPr="003022B6">
              <w:t>981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49EE2" w14:textId="3B727E25" w:rsidR="28F9A725" w:rsidRPr="003022B6" w:rsidRDefault="3D87227A" w:rsidP="006E5640">
            <w:pPr>
              <w:pStyle w:val="Tabletext"/>
              <w:jc w:val="center"/>
            </w:pPr>
            <w:r w:rsidRPr="003022B6">
              <w:t>218</w:t>
            </w:r>
            <w:r w:rsidR="000862BF" w:rsidRPr="003022B6">
              <w:t> </w:t>
            </w:r>
            <w:r w:rsidRPr="003022B6">
              <w:t>403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920345" w14:textId="19EC07E6" w:rsidR="28F9A725" w:rsidRPr="003022B6" w:rsidRDefault="3D87227A" w:rsidP="006E5640">
            <w:pPr>
              <w:pStyle w:val="Tabletext"/>
              <w:jc w:val="center"/>
            </w:pPr>
            <w:r w:rsidRPr="003022B6">
              <w:t>96</w:t>
            </w:r>
            <w:r w:rsidR="000862BF" w:rsidRPr="003022B6">
              <w:t> </w:t>
            </w:r>
            <w:r w:rsidRPr="003022B6">
              <w:t>108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847C38" w14:textId="33B35174" w:rsidR="28F9A725" w:rsidRPr="003022B6" w:rsidRDefault="3D87227A" w:rsidP="006E5640">
            <w:pPr>
              <w:pStyle w:val="Tabletext"/>
              <w:jc w:val="center"/>
              <w:rPr>
                <w:b/>
                <w:bCs/>
              </w:rPr>
            </w:pPr>
            <w:r w:rsidRPr="003022B6">
              <w:rPr>
                <w:b/>
                <w:bCs/>
              </w:rPr>
              <w:t>773</w:t>
            </w:r>
            <w:r w:rsidR="000862BF" w:rsidRPr="003022B6">
              <w:rPr>
                <w:b/>
                <w:bCs/>
              </w:rPr>
              <w:t> </w:t>
            </w:r>
            <w:r w:rsidRPr="003022B6">
              <w:rPr>
                <w:b/>
                <w:bCs/>
              </w:rPr>
              <w:t>229</w:t>
            </w:r>
          </w:p>
        </w:tc>
      </w:tr>
      <w:tr w:rsidR="28F9A725" w:rsidRPr="003022B6" w14:paraId="5C6B9265"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87E65" w14:textId="735FAAAB" w:rsidR="28F9A725" w:rsidRPr="003022B6" w:rsidRDefault="3D87227A" w:rsidP="006E5640">
            <w:pPr>
              <w:pStyle w:val="Tablehead"/>
              <w:rPr>
                <w:bCs/>
              </w:rPr>
            </w:pPr>
            <w:r w:rsidRPr="003022B6">
              <w:rPr>
                <w:bCs/>
              </w:rPr>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C4BCAB" w14:textId="7C95D221" w:rsidR="28F9A725" w:rsidRPr="003022B6" w:rsidRDefault="3D87227A" w:rsidP="006E5640">
            <w:pPr>
              <w:pStyle w:val="Tabletext"/>
              <w:jc w:val="center"/>
            </w:pPr>
            <w:r w:rsidRPr="003022B6">
              <w:t>171</w:t>
            </w:r>
            <w:r w:rsidR="000862BF" w:rsidRPr="003022B6">
              <w:t> </w:t>
            </w:r>
            <w:r w:rsidRPr="003022B6">
              <w:t>165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F5AB9B" w14:textId="66C51E30" w:rsidR="28F9A725" w:rsidRPr="003022B6" w:rsidRDefault="3D87227A" w:rsidP="006E5640">
            <w:pPr>
              <w:pStyle w:val="Tabletext"/>
              <w:jc w:val="center"/>
            </w:pPr>
            <w:r w:rsidRPr="003022B6">
              <w:t>196</w:t>
            </w:r>
            <w:r w:rsidR="000862BF" w:rsidRPr="003022B6">
              <w:t> </w:t>
            </w:r>
            <w:r w:rsidRPr="003022B6">
              <w:t>660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F8D829" w14:textId="58F70917" w:rsidR="28F9A725" w:rsidRPr="003022B6" w:rsidRDefault="3D87227A" w:rsidP="006E5640">
            <w:pPr>
              <w:pStyle w:val="Tabletext"/>
              <w:jc w:val="center"/>
            </w:pPr>
            <w:r w:rsidRPr="003022B6">
              <w:t>169</w:t>
            </w:r>
            <w:r w:rsidR="000862BF" w:rsidRPr="003022B6">
              <w:t> </w:t>
            </w:r>
            <w:r w:rsidRPr="003022B6">
              <w:t>755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B42FD" w14:textId="56483D9F" w:rsidR="28F9A725" w:rsidRPr="003022B6" w:rsidRDefault="3D87227A" w:rsidP="006E5640">
            <w:pPr>
              <w:pStyle w:val="Tabletext"/>
              <w:jc w:val="center"/>
            </w:pPr>
            <w:r w:rsidRPr="003022B6">
              <w:t>72</w:t>
            </w:r>
            <w:r w:rsidR="000862BF" w:rsidRPr="003022B6">
              <w:t> </w:t>
            </w:r>
            <w:r w:rsidRPr="003022B6">
              <w:t>166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D3EF59" w14:textId="5AE98858" w:rsidR="28F9A725" w:rsidRPr="003022B6" w:rsidRDefault="3D87227A" w:rsidP="006E5640">
            <w:pPr>
              <w:pStyle w:val="Tabletext"/>
              <w:jc w:val="center"/>
              <w:rPr>
                <w:b/>
                <w:bCs/>
              </w:rPr>
            </w:pPr>
            <w:r w:rsidRPr="003022B6">
              <w:rPr>
                <w:b/>
                <w:bCs/>
              </w:rPr>
              <w:t>609</w:t>
            </w:r>
            <w:r w:rsidR="000862BF" w:rsidRPr="003022B6">
              <w:rPr>
                <w:b/>
                <w:bCs/>
              </w:rPr>
              <w:t> </w:t>
            </w:r>
            <w:r w:rsidRPr="003022B6">
              <w:rPr>
                <w:b/>
                <w:bCs/>
              </w:rPr>
              <w:t>746</w:t>
            </w:r>
          </w:p>
        </w:tc>
      </w:tr>
      <w:tr w:rsidR="28F9A725" w:rsidRPr="003022B6" w14:paraId="5D3837EE"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D18FD2" w14:textId="1A4A2E4A" w:rsidR="28F9A725" w:rsidRPr="003022B6" w:rsidRDefault="3D87227A" w:rsidP="006E5640">
            <w:pPr>
              <w:pStyle w:val="Tablehead"/>
              <w:rPr>
                <w:bCs/>
              </w:rPr>
            </w:pPr>
            <w:r w:rsidRPr="003022B6">
              <w:rPr>
                <w:bCs/>
              </w:rPr>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98922A" w14:textId="7C1022A9" w:rsidR="28F9A725" w:rsidRPr="003022B6" w:rsidRDefault="3D87227A" w:rsidP="006E5640">
            <w:pPr>
              <w:pStyle w:val="Tabletext"/>
              <w:jc w:val="center"/>
            </w:pPr>
            <w:r w:rsidRPr="003022B6">
              <w:t>154672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B80E5E" w14:textId="0CFEB58E" w:rsidR="28F9A725" w:rsidRPr="003022B6" w:rsidRDefault="3D87227A" w:rsidP="006E5640">
            <w:pPr>
              <w:pStyle w:val="Tabletext"/>
              <w:jc w:val="center"/>
            </w:pPr>
            <w:r w:rsidRPr="003022B6">
              <w:t>147</w:t>
            </w:r>
            <w:r w:rsidR="000862BF" w:rsidRPr="003022B6">
              <w:t> </w:t>
            </w:r>
            <w:r w:rsidRPr="003022B6">
              <w:t>667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95E5F6" w14:textId="5DA07B9D" w:rsidR="28F9A725" w:rsidRPr="003022B6" w:rsidRDefault="3D87227A" w:rsidP="006E5640">
            <w:pPr>
              <w:pStyle w:val="Tabletext"/>
              <w:jc w:val="center"/>
            </w:pPr>
            <w:r w:rsidRPr="003022B6">
              <w:t>116</w:t>
            </w:r>
            <w:r w:rsidR="000862BF" w:rsidRPr="003022B6">
              <w:t> </w:t>
            </w:r>
            <w:r w:rsidRPr="003022B6">
              <w:t>539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D86E70" w14:textId="6C657D35" w:rsidR="28F9A725" w:rsidRPr="003022B6" w:rsidRDefault="3D87227A" w:rsidP="006E5640">
            <w:pPr>
              <w:pStyle w:val="Tabletext"/>
              <w:jc w:val="center"/>
            </w:pPr>
            <w:r w:rsidRPr="003022B6">
              <w:t>52</w:t>
            </w:r>
            <w:r w:rsidR="000862BF" w:rsidRPr="003022B6">
              <w:t> </w:t>
            </w:r>
            <w:r w:rsidRPr="003022B6">
              <w:t>449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47570F" w14:textId="418DD4A0" w:rsidR="28F9A725" w:rsidRPr="003022B6" w:rsidRDefault="3D87227A" w:rsidP="006E5640">
            <w:pPr>
              <w:pStyle w:val="Tabletext"/>
              <w:jc w:val="center"/>
              <w:rPr>
                <w:b/>
                <w:bCs/>
              </w:rPr>
            </w:pPr>
            <w:r w:rsidRPr="003022B6">
              <w:rPr>
                <w:b/>
                <w:bCs/>
              </w:rPr>
              <w:t>471327</w:t>
            </w:r>
          </w:p>
        </w:tc>
      </w:tr>
      <w:tr w:rsidR="28F9A725" w:rsidRPr="003022B6" w14:paraId="49A00092"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8D613F" w14:textId="13000914" w:rsidR="28F9A725" w:rsidRPr="003022B6" w:rsidRDefault="3D87227A" w:rsidP="006E5640">
            <w:pPr>
              <w:pStyle w:val="Tablehead"/>
              <w:rPr>
                <w:bCs/>
              </w:rPr>
            </w:pPr>
            <w:r w:rsidRPr="003022B6">
              <w:rPr>
                <w:bCs/>
              </w:rPr>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78BDDF" w14:textId="7D0080E9" w:rsidR="28F9A725" w:rsidRPr="003022B6" w:rsidRDefault="3D87227A" w:rsidP="006E5640">
            <w:pPr>
              <w:pStyle w:val="Tabletext"/>
              <w:jc w:val="center"/>
            </w:pPr>
            <w:r w:rsidRPr="003022B6">
              <w:t>142</w:t>
            </w:r>
            <w:r w:rsidR="000862BF" w:rsidRPr="003022B6">
              <w:t> </w:t>
            </w:r>
            <w:r w:rsidRPr="003022B6">
              <w:t>699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AE7AA6" w14:textId="39D3D6E9" w:rsidR="28F9A725" w:rsidRPr="003022B6" w:rsidRDefault="3D87227A" w:rsidP="006E5640">
            <w:pPr>
              <w:pStyle w:val="Tabletext"/>
              <w:jc w:val="center"/>
            </w:pPr>
            <w:r w:rsidRPr="003022B6">
              <w:t>166</w:t>
            </w:r>
            <w:r w:rsidR="000862BF" w:rsidRPr="003022B6">
              <w:t> </w:t>
            </w:r>
            <w:r w:rsidRPr="003022B6">
              <w:t>563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123859" w14:textId="79D0861C" w:rsidR="28F9A725" w:rsidRPr="003022B6" w:rsidRDefault="3D87227A" w:rsidP="006E5640">
            <w:pPr>
              <w:pStyle w:val="Tabletext"/>
              <w:jc w:val="center"/>
            </w:pPr>
            <w:r w:rsidRPr="003022B6">
              <w:t>143</w:t>
            </w:r>
            <w:r w:rsidR="000862BF" w:rsidRPr="003022B6">
              <w:t> </w:t>
            </w:r>
            <w:r w:rsidRPr="003022B6">
              <w:t>107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E50478" w14:textId="5C83CEFC" w:rsidR="28F9A725" w:rsidRPr="003022B6" w:rsidRDefault="3D87227A" w:rsidP="006E5640">
            <w:pPr>
              <w:pStyle w:val="Tabletext"/>
              <w:jc w:val="center"/>
            </w:pPr>
            <w:r w:rsidRPr="003022B6">
              <w:t>60</w:t>
            </w:r>
            <w:r w:rsidR="000862BF" w:rsidRPr="003022B6">
              <w:t> </w:t>
            </w:r>
            <w:r w:rsidRPr="003022B6">
              <w:t>586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7C8F68" w14:textId="4A4FA1E4" w:rsidR="28F9A725" w:rsidRPr="003022B6" w:rsidRDefault="3D87227A" w:rsidP="006E5640">
            <w:pPr>
              <w:pStyle w:val="Tabletext"/>
              <w:jc w:val="center"/>
              <w:rPr>
                <w:b/>
                <w:bCs/>
              </w:rPr>
            </w:pPr>
            <w:r w:rsidRPr="003022B6">
              <w:rPr>
                <w:b/>
                <w:bCs/>
              </w:rPr>
              <w:t>512</w:t>
            </w:r>
            <w:r w:rsidR="000862BF" w:rsidRPr="003022B6">
              <w:rPr>
                <w:b/>
                <w:bCs/>
              </w:rPr>
              <w:t> </w:t>
            </w:r>
            <w:r w:rsidRPr="003022B6">
              <w:rPr>
                <w:b/>
                <w:bCs/>
              </w:rPr>
              <w:t>955</w:t>
            </w:r>
          </w:p>
        </w:tc>
      </w:tr>
      <w:tr w:rsidR="28F9A725" w:rsidRPr="003022B6" w14:paraId="7759C9C7"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EA3929" w14:textId="3585A86A" w:rsidR="28F9A725" w:rsidRPr="003022B6" w:rsidRDefault="3D87227A" w:rsidP="006E5640">
            <w:pPr>
              <w:pStyle w:val="Tablehead"/>
              <w:rPr>
                <w:bCs/>
              </w:rPr>
            </w:pPr>
            <w:r w:rsidRPr="003022B6">
              <w:rPr>
                <w:bCs/>
              </w:rPr>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3988EB" w14:textId="66798492" w:rsidR="28F9A725" w:rsidRPr="003022B6" w:rsidRDefault="3D87227A" w:rsidP="006E5640">
            <w:pPr>
              <w:pStyle w:val="Tabletext"/>
              <w:jc w:val="center"/>
            </w:pPr>
            <w:r w:rsidRPr="003022B6">
              <w:t>108</w:t>
            </w:r>
            <w:r w:rsidR="000862BF" w:rsidRPr="003022B6">
              <w:t> </w:t>
            </w:r>
            <w:r w:rsidRPr="003022B6">
              <w:t>174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06051B" w14:textId="5944627E" w:rsidR="28F9A725" w:rsidRPr="003022B6" w:rsidRDefault="3D87227A" w:rsidP="006E5640">
            <w:pPr>
              <w:pStyle w:val="Tabletext"/>
              <w:jc w:val="center"/>
            </w:pPr>
            <w:r w:rsidRPr="003022B6">
              <w:t>123</w:t>
            </w:r>
            <w:r w:rsidR="000862BF" w:rsidRPr="003022B6">
              <w:t> </w:t>
            </w:r>
            <w:r w:rsidRPr="003022B6">
              <w:t>593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505685" w14:textId="1781210D" w:rsidR="28F9A725" w:rsidRPr="003022B6" w:rsidRDefault="3D87227A" w:rsidP="006E5640">
            <w:pPr>
              <w:pStyle w:val="Tabletext"/>
              <w:jc w:val="center"/>
            </w:pPr>
            <w:r w:rsidRPr="003022B6">
              <w:t>87</w:t>
            </w:r>
            <w:r w:rsidR="000862BF" w:rsidRPr="003022B6">
              <w:t> </w:t>
            </w:r>
            <w:r w:rsidRPr="003022B6">
              <w:t>801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331967" w14:textId="40570118" w:rsidR="28F9A725" w:rsidRPr="003022B6" w:rsidRDefault="3D87227A" w:rsidP="006E5640">
            <w:pPr>
              <w:pStyle w:val="Tabletext"/>
              <w:jc w:val="center"/>
            </w:pPr>
            <w:r w:rsidRPr="003022B6">
              <w:t>39</w:t>
            </w:r>
            <w:r w:rsidR="000862BF" w:rsidRPr="003022B6">
              <w:t> </w:t>
            </w:r>
            <w:r w:rsidRPr="003022B6">
              <w:t>344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74D044" w14:textId="4E42CB17" w:rsidR="28F9A725" w:rsidRPr="003022B6" w:rsidRDefault="3D87227A" w:rsidP="006E5640">
            <w:pPr>
              <w:pStyle w:val="Tabletext"/>
              <w:jc w:val="center"/>
              <w:rPr>
                <w:b/>
                <w:bCs/>
              </w:rPr>
            </w:pPr>
            <w:r w:rsidRPr="003022B6">
              <w:rPr>
                <w:b/>
                <w:bCs/>
              </w:rPr>
              <w:t>358</w:t>
            </w:r>
            <w:r w:rsidR="000862BF" w:rsidRPr="003022B6">
              <w:rPr>
                <w:b/>
                <w:bCs/>
              </w:rPr>
              <w:t> </w:t>
            </w:r>
            <w:r w:rsidRPr="003022B6">
              <w:rPr>
                <w:b/>
                <w:bCs/>
              </w:rPr>
              <w:t>912</w:t>
            </w:r>
          </w:p>
        </w:tc>
      </w:tr>
      <w:tr w:rsidR="28F9A725" w:rsidRPr="003022B6" w14:paraId="73C1539A"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1B8FA2" w14:textId="5863FD89" w:rsidR="28F9A725" w:rsidRPr="003022B6" w:rsidRDefault="3D87227A" w:rsidP="006E5640">
            <w:pPr>
              <w:pStyle w:val="Tablehead"/>
              <w:rPr>
                <w:bCs/>
              </w:rPr>
            </w:pPr>
            <w:r w:rsidRPr="003022B6">
              <w:rPr>
                <w:bCs/>
              </w:rPr>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39F32E" w14:textId="7BE94428" w:rsidR="28F9A725" w:rsidRPr="003022B6" w:rsidRDefault="3D87227A" w:rsidP="006E5640">
            <w:pPr>
              <w:pStyle w:val="Tabletext"/>
              <w:jc w:val="center"/>
            </w:pPr>
            <w:r w:rsidRPr="003022B6">
              <w:t>46</w:t>
            </w:r>
            <w:r w:rsidR="000862BF" w:rsidRPr="003022B6">
              <w:t> </w:t>
            </w:r>
            <w:r w:rsidRPr="003022B6">
              <w:t>718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727135" w14:textId="58BBD7D1" w:rsidR="28F9A725" w:rsidRPr="003022B6" w:rsidRDefault="3D87227A" w:rsidP="006E5640">
            <w:pPr>
              <w:pStyle w:val="Tabletext"/>
              <w:jc w:val="center"/>
            </w:pPr>
            <w:r w:rsidRPr="003022B6">
              <w:t>43</w:t>
            </w:r>
            <w:r w:rsidR="000862BF" w:rsidRPr="003022B6">
              <w:t> </w:t>
            </w:r>
            <w:r w:rsidRPr="003022B6">
              <w:t>137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3207E0" w14:textId="5A8F6F63" w:rsidR="28F9A725" w:rsidRPr="003022B6" w:rsidRDefault="3D87227A" w:rsidP="006E5640">
            <w:pPr>
              <w:pStyle w:val="Tabletext"/>
              <w:jc w:val="center"/>
            </w:pPr>
            <w:r w:rsidRPr="003022B6">
              <w:t>33</w:t>
            </w:r>
            <w:r w:rsidR="000862BF" w:rsidRPr="003022B6">
              <w:t> </w:t>
            </w:r>
            <w:r w:rsidRPr="003022B6">
              <w:t>274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1CC6A9" w14:textId="609C8310" w:rsidR="28F9A725" w:rsidRPr="003022B6" w:rsidRDefault="3D87227A" w:rsidP="006E5640">
            <w:pPr>
              <w:pStyle w:val="Tabletext"/>
              <w:jc w:val="center"/>
            </w:pPr>
            <w:r w:rsidRPr="003022B6">
              <w:t>16</w:t>
            </w:r>
            <w:r w:rsidR="000862BF" w:rsidRPr="003022B6">
              <w:t> </w:t>
            </w:r>
            <w:r w:rsidRPr="003022B6">
              <w:t>273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5C5ED7" w14:textId="128B9893" w:rsidR="28F9A725" w:rsidRPr="003022B6" w:rsidRDefault="3D87227A" w:rsidP="006E5640">
            <w:pPr>
              <w:pStyle w:val="Tabletext"/>
              <w:jc w:val="center"/>
              <w:rPr>
                <w:b/>
                <w:bCs/>
              </w:rPr>
            </w:pPr>
            <w:r w:rsidRPr="003022B6">
              <w:rPr>
                <w:b/>
                <w:bCs/>
              </w:rPr>
              <w:t>139</w:t>
            </w:r>
            <w:r w:rsidR="000862BF" w:rsidRPr="003022B6">
              <w:rPr>
                <w:b/>
                <w:bCs/>
              </w:rPr>
              <w:t> </w:t>
            </w:r>
            <w:r w:rsidRPr="003022B6">
              <w:rPr>
                <w:b/>
                <w:bCs/>
              </w:rPr>
              <w:t>402</w:t>
            </w:r>
          </w:p>
        </w:tc>
      </w:tr>
      <w:tr w:rsidR="28F9A725" w:rsidRPr="003022B6" w14:paraId="37D16067"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CA0576" w14:textId="4F8E24DE" w:rsidR="28F9A725" w:rsidRPr="003022B6" w:rsidRDefault="3D87227A" w:rsidP="006E5640">
            <w:pPr>
              <w:pStyle w:val="Tablehead"/>
              <w:rPr>
                <w:bCs/>
              </w:rPr>
            </w:pPr>
            <w:r w:rsidRPr="003022B6">
              <w:rPr>
                <w:bCs/>
              </w:rPr>
              <w:t>V</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040F89" w14:textId="430D0637" w:rsidR="28F9A725" w:rsidRPr="003022B6" w:rsidRDefault="3D87227A" w:rsidP="006E5640">
            <w:pPr>
              <w:pStyle w:val="Tabletext"/>
              <w:jc w:val="center"/>
            </w:pPr>
            <w:r w:rsidRPr="003022B6">
              <w:t>40</w:t>
            </w:r>
            <w:r w:rsidR="000862BF" w:rsidRPr="003022B6">
              <w:t> </w:t>
            </w:r>
            <w:r w:rsidRPr="003022B6">
              <w:t>634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6AEADA" w14:textId="54E45E0B" w:rsidR="28F9A725" w:rsidRPr="003022B6" w:rsidRDefault="3D87227A" w:rsidP="006E5640">
            <w:pPr>
              <w:pStyle w:val="Tabletext"/>
              <w:jc w:val="center"/>
            </w:pPr>
            <w:r w:rsidRPr="003022B6">
              <w:t>47</w:t>
            </w:r>
            <w:r w:rsidR="000862BF" w:rsidRPr="003022B6">
              <w:t> </w:t>
            </w:r>
            <w:r w:rsidRPr="003022B6">
              <w:t>032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C8BF11" w14:textId="1DF163D1" w:rsidR="28F9A725" w:rsidRPr="003022B6" w:rsidRDefault="3D87227A" w:rsidP="006E5640">
            <w:pPr>
              <w:pStyle w:val="Tabletext"/>
              <w:jc w:val="center"/>
            </w:pPr>
            <w:r w:rsidRPr="003022B6">
              <w:t>44</w:t>
            </w:r>
            <w:r w:rsidR="000862BF" w:rsidRPr="003022B6">
              <w:t> </w:t>
            </w:r>
            <w:r w:rsidRPr="003022B6">
              <w:t>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633BA8" w14:textId="6EC321F2" w:rsidR="28F9A725" w:rsidRPr="003022B6" w:rsidRDefault="3D87227A" w:rsidP="006E5640">
            <w:pPr>
              <w:pStyle w:val="Tabletext"/>
              <w:jc w:val="center"/>
            </w:pPr>
            <w:r w:rsidRPr="003022B6">
              <w:t>15</w:t>
            </w:r>
            <w:r w:rsidR="000862BF" w:rsidRPr="003022B6">
              <w:t> </w:t>
            </w:r>
            <w:r w:rsidRPr="003022B6">
              <w:t>580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3629D5" w14:textId="1F09AC73" w:rsidR="28F9A725" w:rsidRPr="003022B6" w:rsidRDefault="3D87227A" w:rsidP="006E5640">
            <w:pPr>
              <w:pStyle w:val="Tabletext"/>
              <w:jc w:val="center"/>
              <w:rPr>
                <w:b/>
                <w:bCs/>
              </w:rPr>
            </w:pPr>
            <w:r w:rsidRPr="003022B6">
              <w:rPr>
                <w:b/>
                <w:bCs/>
              </w:rPr>
              <w:t>147</w:t>
            </w:r>
            <w:r w:rsidR="000862BF" w:rsidRPr="003022B6">
              <w:rPr>
                <w:b/>
                <w:bCs/>
              </w:rPr>
              <w:t> </w:t>
            </w:r>
            <w:r w:rsidRPr="003022B6">
              <w:rPr>
                <w:b/>
                <w:bCs/>
              </w:rPr>
              <w:t>953</w:t>
            </w:r>
          </w:p>
        </w:tc>
      </w:tr>
      <w:tr w:rsidR="28F9A725" w:rsidRPr="003022B6" w14:paraId="7E473E74"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EC9065" w14:textId="5024004D" w:rsidR="28F9A725" w:rsidRPr="003022B6" w:rsidRDefault="3D87227A" w:rsidP="006E5640">
            <w:pPr>
              <w:pStyle w:val="Tablehead"/>
              <w:rPr>
                <w:bCs/>
              </w:rPr>
            </w:pPr>
            <w:r w:rsidRPr="003022B6">
              <w:rPr>
                <w:bCs/>
              </w:rPr>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9BC057" w14:textId="14649231" w:rsidR="28F9A725" w:rsidRPr="003022B6" w:rsidRDefault="3D87227A" w:rsidP="006E5640">
            <w:pPr>
              <w:pStyle w:val="Tabletext"/>
              <w:jc w:val="center"/>
            </w:pPr>
            <w:r w:rsidRPr="003022B6">
              <w:t>26</w:t>
            </w:r>
            <w:r w:rsidR="000862BF" w:rsidRPr="003022B6">
              <w:t> </w:t>
            </w:r>
            <w:r w:rsidRPr="003022B6">
              <w:t>816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351144" w14:textId="175C5EB8" w:rsidR="28F9A725" w:rsidRPr="003022B6" w:rsidRDefault="3D87227A" w:rsidP="006E5640">
            <w:pPr>
              <w:pStyle w:val="Tabletext"/>
              <w:jc w:val="center"/>
            </w:pPr>
            <w:r w:rsidRPr="003022B6">
              <w:t>23</w:t>
            </w:r>
            <w:r w:rsidR="000862BF" w:rsidRPr="003022B6">
              <w:t> </w:t>
            </w:r>
            <w:r w:rsidRPr="003022B6">
              <w:t>173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0DADD3" w14:textId="319F5A26" w:rsidR="28F9A725" w:rsidRPr="003022B6" w:rsidRDefault="3D87227A" w:rsidP="006E5640">
            <w:pPr>
              <w:pStyle w:val="Tabletext"/>
              <w:jc w:val="center"/>
            </w:pPr>
            <w:r w:rsidRPr="003022B6">
              <w:t>16</w:t>
            </w:r>
            <w:r w:rsidR="000862BF" w:rsidRPr="003022B6">
              <w:t> </w:t>
            </w:r>
            <w:r w:rsidRPr="003022B6">
              <w:t>489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AEC396" w14:textId="26E9F30A" w:rsidR="28F9A725" w:rsidRPr="003022B6" w:rsidRDefault="3D87227A" w:rsidP="006E5640">
            <w:pPr>
              <w:pStyle w:val="Tabletext"/>
              <w:jc w:val="center"/>
            </w:pPr>
            <w:r w:rsidRPr="003022B6">
              <w:t>7</w:t>
            </w:r>
            <w:r w:rsidR="000862BF" w:rsidRPr="003022B6">
              <w:t> </w:t>
            </w:r>
            <w:r w:rsidRPr="003022B6">
              <w:t>684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3666BA" w14:textId="3729F142" w:rsidR="28F9A725" w:rsidRPr="003022B6" w:rsidRDefault="3D87227A" w:rsidP="006E5640">
            <w:pPr>
              <w:pStyle w:val="Tabletext"/>
              <w:jc w:val="center"/>
              <w:rPr>
                <w:b/>
                <w:bCs/>
              </w:rPr>
            </w:pPr>
            <w:r w:rsidRPr="003022B6">
              <w:rPr>
                <w:b/>
                <w:bCs/>
              </w:rPr>
              <w:t>74</w:t>
            </w:r>
            <w:r w:rsidR="000862BF" w:rsidRPr="003022B6">
              <w:rPr>
                <w:b/>
                <w:bCs/>
              </w:rPr>
              <w:t> </w:t>
            </w:r>
            <w:r w:rsidRPr="003022B6">
              <w:rPr>
                <w:b/>
                <w:bCs/>
              </w:rPr>
              <w:t>162</w:t>
            </w:r>
          </w:p>
        </w:tc>
      </w:tr>
      <w:tr w:rsidR="28F9A725" w:rsidRPr="003022B6" w14:paraId="6C82DB4A"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E99C3D" w14:textId="4175E8E7" w:rsidR="28F9A725" w:rsidRPr="003022B6" w:rsidRDefault="3D87227A" w:rsidP="006E5640">
            <w:pPr>
              <w:pStyle w:val="Tablehead"/>
              <w:rPr>
                <w:bCs/>
              </w:rPr>
            </w:pPr>
            <w:r w:rsidRPr="003022B6">
              <w:rPr>
                <w:bCs/>
              </w:rPr>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6EB783" w14:textId="27D42081" w:rsidR="28F9A725" w:rsidRPr="003022B6" w:rsidRDefault="3D87227A" w:rsidP="006E5640">
            <w:pPr>
              <w:pStyle w:val="Tabletext"/>
              <w:jc w:val="center"/>
            </w:pPr>
            <w:r w:rsidRPr="003022B6">
              <w:t>26</w:t>
            </w:r>
            <w:r w:rsidR="000862BF" w:rsidRPr="003022B6">
              <w:t> </w:t>
            </w:r>
            <w:r w:rsidRPr="003022B6">
              <w:t>823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F0E3CD" w14:textId="36DD10B4" w:rsidR="28F9A725" w:rsidRPr="003022B6" w:rsidRDefault="3D87227A" w:rsidP="006E5640">
            <w:pPr>
              <w:pStyle w:val="Tabletext"/>
              <w:jc w:val="center"/>
            </w:pPr>
            <w:r w:rsidRPr="003022B6">
              <w:t>23</w:t>
            </w:r>
            <w:r w:rsidR="000862BF" w:rsidRPr="003022B6">
              <w:t> </w:t>
            </w:r>
            <w:r w:rsidRPr="003022B6">
              <w:t>253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3B68FB" w14:textId="7EA2C010" w:rsidR="28F9A725" w:rsidRPr="003022B6" w:rsidRDefault="3D87227A" w:rsidP="006E5640">
            <w:pPr>
              <w:pStyle w:val="Tabletext"/>
              <w:jc w:val="center"/>
            </w:pPr>
            <w:r w:rsidRPr="003022B6">
              <w:t>19</w:t>
            </w:r>
            <w:r w:rsidR="000862BF" w:rsidRPr="003022B6">
              <w:t> </w:t>
            </w:r>
            <w:r w:rsidRPr="003022B6">
              <w:t>350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982352" w14:textId="542FB8A6" w:rsidR="28F9A725" w:rsidRPr="003022B6" w:rsidRDefault="3D87227A" w:rsidP="006E5640">
            <w:pPr>
              <w:pStyle w:val="Tabletext"/>
              <w:jc w:val="center"/>
            </w:pPr>
            <w:r w:rsidRPr="003022B6">
              <w:t>8</w:t>
            </w:r>
            <w:r w:rsidR="000862BF" w:rsidRPr="003022B6">
              <w:t> </w:t>
            </w:r>
            <w:r w:rsidRPr="003022B6">
              <w:t>511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F5195" w14:textId="58027BEA" w:rsidR="28F9A725" w:rsidRPr="003022B6" w:rsidRDefault="3D87227A" w:rsidP="006E5640">
            <w:pPr>
              <w:pStyle w:val="Tabletext"/>
              <w:jc w:val="center"/>
              <w:rPr>
                <w:b/>
                <w:bCs/>
              </w:rPr>
            </w:pPr>
            <w:r w:rsidRPr="003022B6">
              <w:rPr>
                <w:b/>
                <w:bCs/>
              </w:rPr>
              <w:t>77</w:t>
            </w:r>
            <w:r w:rsidR="000862BF" w:rsidRPr="003022B6">
              <w:rPr>
                <w:b/>
                <w:bCs/>
              </w:rPr>
              <w:t> </w:t>
            </w:r>
            <w:r w:rsidRPr="003022B6">
              <w:rPr>
                <w:b/>
                <w:bCs/>
              </w:rPr>
              <w:t>937</w:t>
            </w:r>
          </w:p>
        </w:tc>
      </w:tr>
      <w:tr w:rsidR="28F9A725" w:rsidRPr="003022B6" w14:paraId="6F7AA8FB"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DDBB20" w14:textId="65D24AE9" w:rsidR="28F9A725" w:rsidRPr="003022B6" w:rsidRDefault="3D87227A" w:rsidP="006E5640">
            <w:pPr>
              <w:pStyle w:val="Tablehead"/>
              <w:rPr>
                <w:bCs/>
              </w:rPr>
            </w:pPr>
            <w:r w:rsidRPr="003022B6">
              <w:rPr>
                <w:bCs/>
              </w:rPr>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238350" w14:textId="286DD18E" w:rsidR="28F9A725" w:rsidRPr="003022B6" w:rsidRDefault="3D87227A" w:rsidP="006E5640">
            <w:pPr>
              <w:pStyle w:val="Tabletext"/>
              <w:jc w:val="center"/>
            </w:pPr>
            <w:r w:rsidRPr="003022B6">
              <w:t>24</w:t>
            </w:r>
            <w:r w:rsidR="000862BF" w:rsidRPr="003022B6">
              <w:t> </w:t>
            </w:r>
            <w:r w:rsidRPr="003022B6">
              <w:t>077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7A46C9" w14:textId="5AA011F2" w:rsidR="28F9A725" w:rsidRPr="003022B6" w:rsidRDefault="3D87227A" w:rsidP="006E5640">
            <w:pPr>
              <w:pStyle w:val="Tabletext"/>
              <w:jc w:val="center"/>
            </w:pPr>
            <w:r w:rsidRPr="003022B6">
              <w:t>22</w:t>
            </w:r>
            <w:r w:rsidR="000862BF" w:rsidRPr="003022B6">
              <w:t> </w:t>
            </w:r>
            <w:r w:rsidRPr="003022B6">
              <w:t>729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00A1E9" w14:textId="049B0FA7" w:rsidR="28F9A725" w:rsidRPr="003022B6" w:rsidRDefault="3D87227A" w:rsidP="006E5640">
            <w:pPr>
              <w:pStyle w:val="Tabletext"/>
              <w:jc w:val="center"/>
            </w:pPr>
            <w:r w:rsidRPr="003022B6">
              <w:t>18</w:t>
            </w:r>
            <w:r w:rsidR="000862BF" w:rsidRPr="003022B6">
              <w:t> </w:t>
            </w:r>
            <w:r w:rsidRPr="003022B6">
              <w:t>211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2A4965" w14:textId="7B749F16" w:rsidR="28F9A725" w:rsidRPr="003022B6" w:rsidRDefault="3D87227A" w:rsidP="006E5640">
            <w:pPr>
              <w:pStyle w:val="Tabletext"/>
              <w:jc w:val="center"/>
            </w:pPr>
            <w:r w:rsidRPr="003022B6">
              <w:t>8</w:t>
            </w:r>
            <w:r w:rsidR="000862BF" w:rsidRPr="003022B6">
              <w:t> </w:t>
            </w:r>
            <w:r w:rsidRPr="003022B6">
              <w:t>217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BB8E7D" w14:textId="6402C0DC" w:rsidR="28F9A725" w:rsidRPr="003022B6" w:rsidRDefault="3D87227A" w:rsidP="006E5640">
            <w:pPr>
              <w:pStyle w:val="Tabletext"/>
              <w:jc w:val="center"/>
              <w:rPr>
                <w:b/>
                <w:bCs/>
              </w:rPr>
            </w:pPr>
            <w:r w:rsidRPr="003022B6">
              <w:rPr>
                <w:b/>
                <w:bCs/>
              </w:rPr>
              <w:t>73</w:t>
            </w:r>
            <w:r w:rsidR="000862BF" w:rsidRPr="003022B6">
              <w:rPr>
                <w:b/>
                <w:bCs/>
              </w:rPr>
              <w:t> </w:t>
            </w:r>
            <w:r w:rsidRPr="003022B6">
              <w:rPr>
                <w:b/>
                <w:bCs/>
              </w:rPr>
              <w:t>234</w:t>
            </w:r>
          </w:p>
        </w:tc>
      </w:tr>
      <w:tr w:rsidR="28F9A725" w:rsidRPr="003022B6" w14:paraId="695577D5"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6FEEE6" w14:textId="08D489B8" w:rsidR="28F9A725" w:rsidRPr="003022B6" w:rsidRDefault="3D87227A" w:rsidP="006E5640">
            <w:pPr>
              <w:pStyle w:val="Tablehead"/>
              <w:rPr>
                <w:bCs/>
              </w:rPr>
            </w:pPr>
            <w:r w:rsidRPr="003022B6">
              <w:rPr>
                <w:bCs/>
              </w:rPr>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E040D4" w14:textId="56C72108" w:rsidR="28F9A725" w:rsidRPr="003022B6" w:rsidRDefault="3D87227A" w:rsidP="006E5640">
            <w:pPr>
              <w:pStyle w:val="Tabletext"/>
              <w:jc w:val="center"/>
            </w:pPr>
            <w:r w:rsidRPr="003022B6">
              <w:t>19</w:t>
            </w:r>
            <w:r w:rsidR="000862BF" w:rsidRPr="003022B6">
              <w:t> </w:t>
            </w:r>
            <w:r w:rsidRPr="003022B6">
              <w:t>381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EBEC27" w14:textId="4AEF10DC" w:rsidR="28F9A725" w:rsidRPr="003022B6" w:rsidRDefault="3D87227A" w:rsidP="006E5640">
            <w:pPr>
              <w:pStyle w:val="Tabletext"/>
              <w:jc w:val="center"/>
            </w:pPr>
            <w:r w:rsidRPr="003022B6">
              <w:t>16</w:t>
            </w:r>
            <w:r w:rsidR="000862BF" w:rsidRPr="003022B6">
              <w:t> </w:t>
            </w:r>
            <w:r w:rsidRPr="003022B6">
              <w:t>720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FCA968" w14:textId="04280904" w:rsidR="28F9A725" w:rsidRPr="003022B6" w:rsidRDefault="3D87227A" w:rsidP="006E5640">
            <w:pPr>
              <w:pStyle w:val="Tabletext"/>
              <w:jc w:val="center"/>
            </w:pPr>
            <w:r w:rsidRPr="003022B6">
              <w:t>13</w:t>
            </w:r>
            <w:r w:rsidR="000862BF" w:rsidRPr="003022B6">
              <w:t> </w:t>
            </w:r>
            <w:r w:rsidRPr="003022B6">
              <w:t>102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DF53FD" w14:textId="15697C83" w:rsidR="28F9A725" w:rsidRPr="003022B6" w:rsidRDefault="3D87227A" w:rsidP="006E5640">
            <w:pPr>
              <w:pStyle w:val="Tabletext"/>
              <w:jc w:val="center"/>
            </w:pPr>
            <w:r w:rsidRPr="003022B6">
              <w:t>5</w:t>
            </w:r>
            <w:r w:rsidR="000862BF" w:rsidRPr="003022B6">
              <w:t> </w:t>
            </w:r>
            <w:r w:rsidRPr="003022B6">
              <w:t>718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2B94B5" w14:textId="4DC42011" w:rsidR="28F9A725" w:rsidRPr="003022B6" w:rsidRDefault="3D87227A" w:rsidP="006E5640">
            <w:pPr>
              <w:pStyle w:val="Tabletext"/>
              <w:jc w:val="center"/>
              <w:rPr>
                <w:b/>
                <w:bCs/>
              </w:rPr>
            </w:pPr>
            <w:r w:rsidRPr="003022B6">
              <w:rPr>
                <w:b/>
                <w:bCs/>
              </w:rPr>
              <w:t>54</w:t>
            </w:r>
            <w:r w:rsidR="000862BF" w:rsidRPr="003022B6">
              <w:rPr>
                <w:b/>
                <w:bCs/>
              </w:rPr>
              <w:t> </w:t>
            </w:r>
            <w:r w:rsidRPr="003022B6">
              <w:rPr>
                <w:b/>
                <w:bCs/>
              </w:rPr>
              <w:t>921</w:t>
            </w:r>
          </w:p>
        </w:tc>
      </w:tr>
      <w:tr w:rsidR="28F9A725" w:rsidRPr="003022B6" w14:paraId="06AEFB01"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E7E7DF" w14:textId="62617D26" w:rsidR="28F9A725" w:rsidRPr="003022B6" w:rsidRDefault="3D87227A" w:rsidP="006E5640">
            <w:pPr>
              <w:pStyle w:val="Tablehead"/>
              <w:rPr>
                <w:bCs/>
              </w:rPr>
            </w:pPr>
            <w:r w:rsidRPr="003022B6">
              <w:rPr>
                <w:bCs/>
              </w:rPr>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BD4904" w14:textId="586805D7" w:rsidR="28F9A725" w:rsidRPr="003022B6" w:rsidRDefault="3D87227A" w:rsidP="006E5640">
            <w:pPr>
              <w:pStyle w:val="Tabletext"/>
              <w:jc w:val="center"/>
            </w:pPr>
            <w:r w:rsidRPr="003022B6">
              <w:t>17</w:t>
            </w:r>
            <w:r w:rsidR="000862BF" w:rsidRPr="003022B6">
              <w:t> </w:t>
            </w:r>
            <w:r w:rsidRPr="003022B6">
              <w:t>101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814F06" w14:textId="2175FB41" w:rsidR="28F9A725" w:rsidRPr="003022B6" w:rsidRDefault="3D87227A" w:rsidP="006E5640">
            <w:pPr>
              <w:pStyle w:val="Tabletext"/>
              <w:jc w:val="center"/>
            </w:pPr>
            <w:r w:rsidRPr="003022B6">
              <w:t>15</w:t>
            </w:r>
            <w:r w:rsidR="000862BF" w:rsidRPr="003022B6">
              <w:t> </w:t>
            </w:r>
            <w:r w:rsidRPr="003022B6">
              <w:t>009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3E6B9B" w14:textId="57E4E8A5" w:rsidR="28F9A725" w:rsidRPr="003022B6" w:rsidRDefault="3D87227A" w:rsidP="006E5640">
            <w:pPr>
              <w:pStyle w:val="Tabletext"/>
              <w:jc w:val="center"/>
            </w:pPr>
            <w:r w:rsidRPr="003022B6">
              <w:t>9</w:t>
            </w:r>
            <w:r w:rsidR="000862BF" w:rsidRPr="003022B6">
              <w:t> </w:t>
            </w:r>
            <w:r w:rsidRPr="003022B6">
              <w:t>838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88E88D" w14:textId="3BA740DF" w:rsidR="28F9A725" w:rsidRPr="003022B6" w:rsidRDefault="3D87227A" w:rsidP="006E5640">
            <w:pPr>
              <w:pStyle w:val="Tabletext"/>
              <w:jc w:val="center"/>
            </w:pPr>
            <w:r w:rsidRPr="003022B6">
              <w:t>4</w:t>
            </w:r>
            <w:r w:rsidR="000862BF" w:rsidRPr="003022B6">
              <w:t> </w:t>
            </w:r>
            <w:r w:rsidRPr="003022B6">
              <w:t>506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6CC517" w14:textId="00A65148" w:rsidR="28F9A725" w:rsidRPr="003022B6" w:rsidRDefault="3D87227A" w:rsidP="006E5640">
            <w:pPr>
              <w:pStyle w:val="Tabletext"/>
              <w:jc w:val="center"/>
              <w:rPr>
                <w:b/>
                <w:bCs/>
              </w:rPr>
            </w:pPr>
            <w:r w:rsidRPr="003022B6">
              <w:rPr>
                <w:b/>
                <w:bCs/>
              </w:rPr>
              <w:t>46</w:t>
            </w:r>
            <w:r w:rsidR="000862BF" w:rsidRPr="003022B6">
              <w:rPr>
                <w:b/>
                <w:bCs/>
              </w:rPr>
              <w:t> </w:t>
            </w:r>
            <w:r w:rsidRPr="003022B6">
              <w:rPr>
                <w:b/>
                <w:bCs/>
              </w:rPr>
              <w:t>454</w:t>
            </w:r>
          </w:p>
        </w:tc>
      </w:tr>
      <w:tr w:rsidR="28F9A725" w:rsidRPr="003022B6" w14:paraId="1E8AACE3"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301A43" w14:textId="428ACBA9" w:rsidR="28F9A725" w:rsidRPr="003022B6" w:rsidRDefault="3D87227A" w:rsidP="006E5640">
            <w:pPr>
              <w:pStyle w:val="Tablehead"/>
              <w:rPr>
                <w:bCs/>
              </w:rPr>
            </w:pPr>
            <w:r w:rsidRPr="003022B6">
              <w:rPr>
                <w:bCs/>
              </w:rPr>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01E447" w14:textId="3CE9AA07" w:rsidR="28F9A725" w:rsidRPr="003022B6" w:rsidRDefault="3D87227A" w:rsidP="006E5640">
            <w:pPr>
              <w:pStyle w:val="Tabletext"/>
              <w:jc w:val="center"/>
            </w:pPr>
            <w:r w:rsidRPr="003022B6">
              <w:t>12</w:t>
            </w:r>
            <w:r w:rsidR="000862BF" w:rsidRPr="003022B6">
              <w:t> </w:t>
            </w:r>
            <w:r w:rsidRPr="003022B6">
              <w:t>315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0C80EB" w14:textId="472F5633" w:rsidR="28F9A725" w:rsidRPr="003022B6" w:rsidRDefault="3D87227A" w:rsidP="006E5640">
            <w:pPr>
              <w:pStyle w:val="Tabletext"/>
              <w:jc w:val="center"/>
            </w:pPr>
            <w:r w:rsidRPr="003022B6">
              <w:t>10</w:t>
            </w:r>
            <w:r w:rsidR="000862BF" w:rsidRPr="003022B6">
              <w:t> </w:t>
            </w:r>
            <w:r w:rsidRPr="003022B6">
              <w:t>777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51AF2B" w14:textId="66A2C515" w:rsidR="28F9A725" w:rsidRPr="003022B6" w:rsidRDefault="3D87227A" w:rsidP="006E5640">
            <w:pPr>
              <w:pStyle w:val="Tabletext"/>
              <w:jc w:val="center"/>
            </w:pPr>
            <w:r w:rsidRPr="003022B6">
              <w:t>9</w:t>
            </w:r>
            <w:r w:rsidR="000862BF" w:rsidRPr="003022B6">
              <w:t> </w:t>
            </w:r>
            <w:r w:rsidRPr="003022B6">
              <w:t>169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EB9D07" w14:textId="0B535506" w:rsidR="28F9A725" w:rsidRPr="003022B6" w:rsidRDefault="3D87227A" w:rsidP="006E5640">
            <w:pPr>
              <w:pStyle w:val="Tabletext"/>
              <w:jc w:val="center"/>
            </w:pPr>
            <w:r w:rsidRPr="003022B6">
              <w:t>3</w:t>
            </w:r>
            <w:r w:rsidR="000862BF" w:rsidRPr="003022B6">
              <w:t> </w:t>
            </w:r>
            <w:r w:rsidRPr="003022B6">
              <w:t>907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BE57BD" w14:textId="66DE2D53" w:rsidR="28F9A725" w:rsidRPr="003022B6" w:rsidRDefault="3D87227A" w:rsidP="006E5640">
            <w:pPr>
              <w:pStyle w:val="Tabletext"/>
              <w:jc w:val="center"/>
              <w:rPr>
                <w:b/>
                <w:bCs/>
              </w:rPr>
            </w:pPr>
            <w:r w:rsidRPr="003022B6">
              <w:rPr>
                <w:b/>
                <w:bCs/>
              </w:rPr>
              <w:t>36</w:t>
            </w:r>
            <w:r w:rsidR="000862BF" w:rsidRPr="003022B6">
              <w:rPr>
                <w:b/>
                <w:bCs/>
              </w:rPr>
              <w:t> </w:t>
            </w:r>
            <w:r w:rsidRPr="003022B6">
              <w:rPr>
                <w:b/>
                <w:bCs/>
              </w:rPr>
              <w:t>168</w:t>
            </w:r>
          </w:p>
        </w:tc>
      </w:tr>
      <w:tr w:rsidR="28F9A725" w:rsidRPr="003022B6" w14:paraId="14F3231A"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A5193E" w14:textId="0DC2C293" w:rsidR="28F9A725" w:rsidRPr="003022B6" w:rsidRDefault="3D87227A" w:rsidP="006E5640">
            <w:pPr>
              <w:pStyle w:val="Tablehead"/>
              <w:rPr>
                <w:bCs/>
              </w:rPr>
            </w:pPr>
            <w:r w:rsidRPr="003022B6">
              <w:rPr>
                <w:bCs/>
              </w:rPr>
              <w:t>SNG</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C0C37" w14:textId="42282B29" w:rsidR="28F9A725" w:rsidRPr="003022B6" w:rsidRDefault="3D87227A" w:rsidP="006E5640">
            <w:pPr>
              <w:pStyle w:val="Tabletext"/>
              <w:jc w:val="center"/>
            </w:pPr>
            <w:r w:rsidRPr="003022B6">
              <w:t>3</w:t>
            </w:r>
            <w:r w:rsidR="000862BF" w:rsidRPr="003022B6">
              <w:t> </w:t>
            </w:r>
            <w:r w:rsidRPr="003022B6">
              <w:t>319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86C5D0" w14:textId="0C664361" w:rsidR="28F9A725" w:rsidRPr="003022B6" w:rsidRDefault="3D87227A" w:rsidP="006E5640">
            <w:pPr>
              <w:pStyle w:val="Tabletext"/>
              <w:jc w:val="center"/>
            </w:pPr>
            <w:r w:rsidRPr="003022B6">
              <w:t>2</w:t>
            </w:r>
            <w:r w:rsidR="000862BF" w:rsidRPr="003022B6">
              <w:t> </w:t>
            </w:r>
            <w:r w:rsidRPr="003022B6">
              <w:t>548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8A672E" w14:textId="5BACCB7F" w:rsidR="28F9A725" w:rsidRPr="003022B6" w:rsidRDefault="3D87227A" w:rsidP="006E5640">
            <w:pPr>
              <w:pStyle w:val="Tabletext"/>
              <w:jc w:val="center"/>
            </w:pPr>
            <w:r w:rsidRPr="003022B6">
              <w:t>1</w:t>
            </w:r>
            <w:r w:rsidR="000862BF" w:rsidRPr="003022B6">
              <w:t> </w:t>
            </w:r>
            <w:r w:rsidRPr="003022B6">
              <w:t>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9D1B6" w14:textId="377C5794" w:rsidR="28F9A725" w:rsidRPr="003022B6" w:rsidRDefault="3D87227A" w:rsidP="006E5640">
            <w:pPr>
              <w:pStyle w:val="Tabletext"/>
              <w:jc w:val="center"/>
            </w:pPr>
            <w:r w:rsidRPr="003022B6">
              <w:t>1</w:t>
            </w:r>
            <w:r w:rsidR="000862BF" w:rsidRPr="003022B6">
              <w:t> </w:t>
            </w:r>
            <w:r w:rsidRPr="003022B6">
              <w:t>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0F72B8" w14:textId="2168FCD9" w:rsidR="28F9A725" w:rsidRPr="003022B6" w:rsidRDefault="3D87227A" w:rsidP="006E5640">
            <w:pPr>
              <w:pStyle w:val="Tabletext"/>
              <w:jc w:val="center"/>
              <w:rPr>
                <w:b/>
                <w:bCs/>
              </w:rPr>
            </w:pPr>
            <w:r w:rsidRPr="003022B6">
              <w:rPr>
                <w:b/>
                <w:bCs/>
              </w:rPr>
              <w:t>8</w:t>
            </w:r>
            <w:r w:rsidR="000862BF" w:rsidRPr="003022B6">
              <w:rPr>
                <w:b/>
                <w:bCs/>
              </w:rPr>
              <w:t> </w:t>
            </w:r>
            <w:r w:rsidRPr="003022B6">
              <w:rPr>
                <w:b/>
                <w:bCs/>
              </w:rPr>
              <w:t>981</w:t>
            </w:r>
          </w:p>
        </w:tc>
      </w:tr>
      <w:tr w:rsidR="28F9A725" w:rsidRPr="003022B6" w14:paraId="1E91F12A"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1B5375" w14:textId="3547DBBA" w:rsidR="28F9A725" w:rsidRPr="003022B6" w:rsidRDefault="3D87227A" w:rsidP="006E5640">
            <w:pPr>
              <w:pStyle w:val="Tablehead"/>
              <w:rPr>
                <w:bCs/>
              </w:rPr>
            </w:pPr>
            <w:r w:rsidRPr="003022B6">
              <w:rPr>
                <w:bCs/>
              </w:rPr>
              <w:t>IS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8A9B5E" w14:textId="5C962C37" w:rsidR="28F9A725" w:rsidRPr="003022B6" w:rsidRDefault="3D87227A" w:rsidP="006E5640">
            <w:pPr>
              <w:pStyle w:val="Tabletext"/>
              <w:jc w:val="center"/>
            </w:pPr>
            <w:r w:rsidRPr="003022B6">
              <w:t>1</w:t>
            </w:r>
            <w:r w:rsidR="000862BF" w:rsidRPr="003022B6">
              <w:t> </w:t>
            </w:r>
            <w:r w:rsidRPr="003022B6">
              <w:t>280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48E8F" w14:textId="4FED43B5" w:rsidR="28F9A725" w:rsidRPr="003022B6" w:rsidRDefault="3D87227A" w:rsidP="006E5640">
            <w:pPr>
              <w:pStyle w:val="Tabletext"/>
              <w:jc w:val="center"/>
            </w:pPr>
            <w:r w:rsidRPr="003022B6">
              <w:t>1</w:t>
            </w:r>
            <w:r w:rsidR="000862BF" w:rsidRPr="003022B6">
              <w:t> </w:t>
            </w:r>
            <w:r w:rsidRPr="003022B6">
              <w:t>366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22E17B" w14:textId="7EE34D72" w:rsidR="28F9A725" w:rsidRPr="003022B6" w:rsidRDefault="3D87227A" w:rsidP="006E5640">
            <w:pPr>
              <w:pStyle w:val="Tabletext"/>
              <w:jc w:val="center"/>
            </w:pPr>
            <w:r w:rsidRPr="003022B6">
              <w:t>1</w:t>
            </w:r>
            <w:r w:rsidR="000862BF" w:rsidRPr="003022B6">
              <w:t> </w:t>
            </w:r>
            <w:r w:rsidRPr="003022B6">
              <w:t>203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636D5" w14:textId="40A3FC21" w:rsidR="28F9A725" w:rsidRPr="003022B6" w:rsidRDefault="3D87227A" w:rsidP="006E5640">
            <w:pPr>
              <w:pStyle w:val="Tabletext"/>
              <w:jc w:val="center"/>
            </w:pPr>
            <w:r w:rsidRPr="003022B6">
              <w:t>593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815738" w14:textId="265F90FD" w:rsidR="28F9A725" w:rsidRPr="003022B6" w:rsidRDefault="3D87227A" w:rsidP="006E5640">
            <w:pPr>
              <w:pStyle w:val="Tabletext"/>
              <w:jc w:val="center"/>
              <w:rPr>
                <w:b/>
                <w:bCs/>
              </w:rPr>
            </w:pPr>
            <w:r w:rsidRPr="003022B6">
              <w:rPr>
                <w:b/>
                <w:bCs/>
              </w:rPr>
              <w:t>4</w:t>
            </w:r>
            <w:r w:rsidR="000862BF" w:rsidRPr="003022B6">
              <w:rPr>
                <w:b/>
                <w:bCs/>
              </w:rPr>
              <w:t> </w:t>
            </w:r>
            <w:r w:rsidRPr="003022B6">
              <w:rPr>
                <w:b/>
                <w:bCs/>
              </w:rPr>
              <w:t>442</w:t>
            </w:r>
          </w:p>
        </w:tc>
      </w:tr>
      <w:tr w:rsidR="28F9A725" w:rsidRPr="003022B6" w14:paraId="4FCA2B8B" w14:textId="77777777" w:rsidTr="0065275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942D41" w14:textId="08609A0A" w:rsidR="28F9A725" w:rsidRPr="003022B6" w:rsidRDefault="3D87227A" w:rsidP="006E5640">
            <w:pPr>
              <w:pStyle w:val="Tablehead"/>
              <w:rPr>
                <w:bCs/>
              </w:rPr>
            </w:pPr>
            <w:r w:rsidRPr="003022B6">
              <w:rPr>
                <w:bCs/>
              </w:rPr>
              <w:t>PI</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1AADB4" w14:textId="70093B9B" w:rsidR="28F9A725" w:rsidRPr="003022B6" w:rsidRDefault="3D87227A" w:rsidP="006E5640">
            <w:pPr>
              <w:pStyle w:val="Tabletext"/>
              <w:jc w:val="center"/>
            </w:pPr>
            <w:r w:rsidRPr="003022B6">
              <w:t>372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C01D26" w14:textId="49503026" w:rsidR="28F9A725" w:rsidRPr="003022B6" w:rsidRDefault="3D87227A" w:rsidP="006E5640">
            <w:pPr>
              <w:pStyle w:val="Tabletext"/>
              <w:jc w:val="center"/>
            </w:pPr>
            <w:r w:rsidRPr="003022B6">
              <w:t>206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ADBA68" w14:textId="38CC24FF" w:rsidR="28F9A725" w:rsidRPr="003022B6" w:rsidRDefault="3D87227A" w:rsidP="006E5640">
            <w:pPr>
              <w:pStyle w:val="Tabletext"/>
              <w:jc w:val="center"/>
            </w:pPr>
            <w:r w:rsidRPr="003022B6">
              <w:t>143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2BBBF1" w14:textId="622BDE14" w:rsidR="28F9A725" w:rsidRPr="003022B6" w:rsidRDefault="3D87227A" w:rsidP="006E5640">
            <w:pPr>
              <w:pStyle w:val="Tabletext"/>
              <w:jc w:val="center"/>
            </w:pPr>
            <w:r w:rsidRPr="003022B6">
              <w:t>98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578F14" w14:textId="393BAF54" w:rsidR="28F9A725" w:rsidRPr="003022B6" w:rsidRDefault="3D87227A" w:rsidP="006E5640">
            <w:pPr>
              <w:pStyle w:val="Tabletext"/>
              <w:jc w:val="center"/>
              <w:rPr>
                <w:b/>
                <w:bCs/>
              </w:rPr>
            </w:pPr>
            <w:r w:rsidRPr="003022B6">
              <w:rPr>
                <w:b/>
                <w:bCs/>
              </w:rPr>
              <w:t>819</w:t>
            </w:r>
          </w:p>
        </w:tc>
      </w:tr>
      <w:tr w:rsidR="28F9A725" w:rsidRPr="003022B6" w14:paraId="45B8372A" w14:textId="77777777" w:rsidTr="003022B6">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710913" w14:textId="3D4FA098" w:rsidR="28F9A725" w:rsidRPr="003022B6" w:rsidRDefault="3D87227A" w:rsidP="006E5640">
            <w:pPr>
              <w:pStyle w:val="Tablehead"/>
              <w:rPr>
                <w:b w:val="0"/>
              </w:rPr>
            </w:pPr>
            <w:r w:rsidRPr="003022B6">
              <w:rPr>
                <w:bCs/>
              </w:rPr>
              <w:t>Total</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C23FFD" w14:textId="10AB8697" w:rsidR="28F9A725" w:rsidRPr="003022B6" w:rsidRDefault="3D87227A" w:rsidP="006E5640">
            <w:pPr>
              <w:pStyle w:val="Tabletext"/>
              <w:jc w:val="center"/>
              <w:rPr>
                <w:b/>
                <w:bCs/>
              </w:rPr>
            </w:pPr>
            <w:r w:rsidRPr="003022B6">
              <w:rPr>
                <w:b/>
                <w:bCs/>
              </w:rPr>
              <w:t>1</w:t>
            </w:r>
            <w:r w:rsidR="000862BF" w:rsidRPr="003022B6">
              <w:rPr>
                <w:b/>
                <w:bCs/>
              </w:rPr>
              <w:t> </w:t>
            </w:r>
            <w:r w:rsidRPr="003022B6">
              <w:rPr>
                <w:b/>
                <w:bCs/>
              </w:rPr>
              <w:t>735</w:t>
            </w:r>
            <w:r w:rsidR="000862BF" w:rsidRPr="003022B6">
              <w:rPr>
                <w:b/>
                <w:bCs/>
              </w:rPr>
              <w:t> </w:t>
            </w:r>
            <w:r w:rsidRPr="003022B6">
              <w:rPr>
                <w:b/>
                <w:bCs/>
              </w:rPr>
              <w:t>617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579687" w14:textId="0A8CAE42" w:rsidR="28F9A725" w:rsidRPr="003022B6" w:rsidRDefault="3D87227A" w:rsidP="006E5640">
            <w:pPr>
              <w:pStyle w:val="Tabletext"/>
              <w:jc w:val="center"/>
              <w:rPr>
                <w:b/>
                <w:bCs/>
              </w:rPr>
            </w:pPr>
            <w:r w:rsidRPr="003022B6">
              <w:rPr>
                <w:b/>
                <w:bCs/>
              </w:rPr>
              <w:t>1</w:t>
            </w:r>
            <w:r w:rsidR="000862BF" w:rsidRPr="003022B6">
              <w:rPr>
                <w:b/>
                <w:bCs/>
              </w:rPr>
              <w:t> </w:t>
            </w:r>
            <w:r w:rsidRPr="003022B6">
              <w:rPr>
                <w:b/>
                <w:bCs/>
              </w:rPr>
              <w:t>849</w:t>
            </w:r>
            <w:r w:rsidR="000862BF" w:rsidRPr="003022B6">
              <w:rPr>
                <w:b/>
                <w:bCs/>
              </w:rPr>
              <w:t> </w:t>
            </w:r>
            <w:r w:rsidRPr="003022B6">
              <w:rPr>
                <w:b/>
                <w:bCs/>
              </w:rPr>
              <w:t>007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6F81A4" w14:textId="668B5B59" w:rsidR="28F9A725" w:rsidRPr="003022B6" w:rsidRDefault="3D87227A" w:rsidP="006E5640">
            <w:pPr>
              <w:pStyle w:val="Tabletext"/>
              <w:jc w:val="center"/>
              <w:rPr>
                <w:b/>
                <w:bCs/>
              </w:rPr>
            </w:pPr>
            <w:r w:rsidRPr="003022B6">
              <w:rPr>
                <w:b/>
                <w:bCs/>
              </w:rPr>
              <w:t>1</w:t>
            </w:r>
            <w:r w:rsidR="000862BF" w:rsidRPr="003022B6">
              <w:rPr>
                <w:b/>
                <w:bCs/>
              </w:rPr>
              <w:t> </w:t>
            </w:r>
            <w:r w:rsidRPr="003022B6">
              <w:rPr>
                <w:b/>
                <w:bCs/>
              </w:rPr>
              <w:t>565</w:t>
            </w:r>
            <w:r w:rsidR="000862BF" w:rsidRPr="003022B6">
              <w:rPr>
                <w:b/>
                <w:bCs/>
              </w:rPr>
              <w:t> </w:t>
            </w:r>
            <w:r w:rsidRPr="003022B6">
              <w:rPr>
                <w:b/>
                <w:bCs/>
              </w:rPr>
              <w:t>951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FBDE18" w14:textId="39C76AA2" w:rsidR="28F9A725" w:rsidRPr="003022B6" w:rsidRDefault="3D87227A" w:rsidP="006E5640">
            <w:pPr>
              <w:pStyle w:val="Tabletext"/>
              <w:jc w:val="center"/>
              <w:rPr>
                <w:b/>
                <w:bCs/>
              </w:rPr>
            </w:pPr>
            <w:r w:rsidRPr="003022B6">
              <w:rPr>
                <w:b/>
                <w:bCs/>
              </w:rPr>
              <w:t>675</w:t>
            </w:r>
            <w:r w:rsidR="000862BF" w:rsidRPr="003022B6">
              <w:rPr>
                <w:b/>
                <w:bCs/>
              </w:rPr>
              <w:t> </w:t>
            </w:r>
            <w:r w:rsidRPr="003022B6">
              <w:rPr>
                <w:b/>
                <w:bCs/>
              </w:rPr>
              <w:t>659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A21FFB" w14:textId="2A08504A" w:rsidR="28F9A725" w:rsidRPr="003022B6" w:rsidRDefault="3D87227A" w:rsidP="006E5640">
            <w:pPr>
              <w:pStyle w:val="Tabletext"/>
              <w:jc w:val="center"/>
              <w:rPr>
                <w:b/>
                <w:bCs/>
              </w:rPr>
            </w:pPr>
            <w:r w:rsidRPr="003022B6">
              <w:rPr>
                <w:b/>
                <w:bCs/>
              </w:rPr>
              <w:t>5</w:t>
            </w:r>
            <w:r w:rsidR="000862BF" w:rsidRPr="003022B6">
              <w:rPr>
                <w:b/>
                <w:bCs/>
              </w:rPr>
              <w:t> </w:t>
            </w:r>
            <w:r w:rsidRPr="003022B6">
              <w:rPr>
                <w:b/>
                <w:bCs/>
              </w:rPr>
              <w:t>826</w:t>
            </w:r>
            <w:r w:rsidR="000862BF" w:rsidRPr="003022B6">
              <w:rPr>
                <w:b/>
                <w:bCs/>
              </w:rPr>
              <w:t> </w:t>
            </w:r>
            <w:r w:rsidRPr="003022B6">
              <w:rPr>
                <w:b/>
                <w:bCs/>
              </w:rPr>
              <w:t>234</w:t>
            </w:r>
          </w:p>
        </w:tc>
      </w:tr>
      <w:tr w:rsidR="003022B6" w:rsidRPr="003022B6" w14:paraId="15610893" w14:textId="77777777" w:rsidTr="003022B6">
        <w:trPr>
          <w:trHeight w:val="315"/>
        </w:trPr>
        <w:tc>
          <w:tcPr>
            <w:tcW w:w="9630" w:type="dxa"/>
            <w:gridSpan w:val="6"/>
            <w:tcBorders>
              <w:top w:val="single" w:sz="4" w:space="0" w:color="auto"/>
            </w:tcBorders>
            <w:tcMar>
              <w:top w:w="15" w:type="dxa"/>
              <w:left w:w="15" w:type="dxa"/>
              <w:right w:w="15" w:type="dxa"/>
            </w:tcMar>
            <w:vAlign w:val="bottom"/>
          </w:tcPr>
          <w:p w14:paraId="3F5E07E1" w14:textId="6F515938" w:rsidR="003022B6" w:rsidRPr="003022B6" w:rsidRDefault="003022B6" w:rsidP="003022B6">
            <w:pPr>
              <w:pStyle w:val="Tablelegend"/>
              <w:rPr>
                <w:b/>
                <w:bCs/>
              </w:rPr>
            </w:pPr>
            <w:r w:rsidRPr="003022B6">
              <w:t>*Up to April. 2023</w:t>
            </w:r>
          </w:p>
        </w:tc>
      </w:tr>
    </w:tbl>
    <w:p w14:paraId="7A3A9402" w14:textId="5A395CA0" w:rsidR="001E1CF0" w:rsidRPr="00AB1793" w:rsidRDefault="001E1CF0" w:rsidP="001E1CF0">
      <w:pPr>
        <w:pStyle w:val="Tablefin"/>
        <w:rPr>
          <w:highlight w:val="cyan"/>
          <w:lang w:val="en-US"/>
        </w:rPr>
      </w:pPr>
    </w:p>
    <w:p w14:paraId="3D6EF457" w14:textId="704C6444" w:rsidR="00C74DA0" w:rsidRPr="005A3C5A" w:rsidRDefault="00C74DA0" w:rsidP="00C74DA0">
      <w:pPr>
        <w:rPr>
          <w:lang w:val="en-US"/>
        </w:rPr>
      </w:pPr>
      <w:r w:rsidRPr="005A3C5A">
        <w:rPr>
          <w:lang w:val="en-US"/>
        </w:rPr>
        <w:t xml:space="preserve">As indicated in the table, </w:t>
      </w:r>
      <w:r w:rsidR="5DC3C99B" w:rsidRPr="005A3C5A">
        <w:rPr>
          <w:lang w:val="en-US"/>
        </w:rPr>
        <w:t>almost</w:t>
      </w:r>
      <w:r w:rsidR="4638F85D" w:rsidRPr="005A3C5A">
        <w:rPr>
          <w:lang w:val="en-US"/>
        </w:rPr>
        <w:t xml:space="preserve"> </w:t>
      </w:r>
      <w:r w:rsidR="6F7B91EA" w:rsidRPr="005A3C5A">
        <w:rPr>
          <w:lang w:val="en-US"/>
        </w:rPr>
        <w:t>42</w:t>
      </w:r>
      <w:r w:rsidRPr="005A3C5A">
        <w:rPr>
          <w:lang w:val="en-US"/>
        </w:rPr>
        <w:t xml:space="preserve"> per cent of downloads come from </w:t>
      </w:r>
      <w:r w:rsidR="4AFB3CCE" w:rsidRPr="005A3C5A">
        <w:rPr>
          <w:lang w:val="en-US"/>
        </w:rPr>
        <w:t>the</w:t>
      </w:r>
      <w:r w:rsidR="4638F85D" w:rsidRPr="005A3C5A">
        <w:rPr>
          <w:lang w:val="en-US"/>
        </w:rPr>
        <w:t xml:space="preserve"> </w:t>
      </w:r>
      <w:r w:rsidRPr="005A3C5A">
        <w:rPr>
          <w:lang w:val="en-US"/>
        </w:rPr>
        <w:t>Series P and M (Propagation, Mobile), which illustrates the worldwide recognition of ITU-R works on these matters.</w:t>
      </w:r>
    </w:p>
    <w:p w14:paraId="64A0880B" w14:textId="3DAF82E2" w:rsidR="00C74DA0" w:rsidRPr="005A3C5A" w:rsidRDefault="00C74DA0" w:rsidP="00C74DA0">
      <w:pPr>
        <w:pStyle w:val="Heading4"/>
      </w:pPr>
      <w:r w:rsidRPr="005A3C5A">
        <w:t>6.1.4.3</w:t>
      </w:r>
      <w:r w:rsidRPr="005A3C5A">
        <w:tab/>
        <w:t>ITU-R Reports</w:t>
      </w:r>
    </w:p>
    <w:p w14:paraId="7D8FF10C" w14:textId="795B514F" w:rsidR="00C74DA0" w:rsidRPr="005A3C5A" w:rsidRDefault="00C74DA0" w:rsidP="00C74DA0">
      <w:pPr>
        <w:rPr>
          <w:lang w:val="en-US"/>
        </w:rPr>
      </w:pPr>
      <w:r w:rsidRPr="005A3C5A">
        <w:rPr>
          <w:lang w:val="en-US"/>
        </w:rPr>
        <w:t>As ITU-R Recommendations, ITU-R Reports have been promulgated worldwide touching most of the audiences and contributing to good technical practices in certain aspects of radiocommunications. In a 5</w:t>
      </w:r>
      <w:r w:rsidR="3758C58F" w:rsidRPr="005A3C5A">
        <w:rPr>
          <w:lang w:val="en-US"/>
        </w:rPr>
        <w:t>2</w:t>
      </w:r>
      <w:r w:rsidRPr="005A3C5A">
        <w:rPr>
          <w:lang w:val="en-US"/>
        </w:rPr>
        <w:t>-month period (January 20</w:t>
      </w:r>
      <w:r w:rsidR="059572CD" w:rsidRPr="005A3C5A">
        <w:rPr>
          <w:lang w:val="en-US"/>
        </w:rPr>
        <w:t>20</w:t>
      </w:r>
      <w:r w:rsidRPr="005A3C5A">
        <w:rPr>
          <w:lang w:val="en-US"/>
        </w:rPr>
        <w:t xml:space="preserve"> to </w:t>
      </w:r>
      <w:r w:rsidR="171D4941" w:rsidRPr="005A3C5A">
        <w:rPr>
          <w:lang w:val="en-US"/>
        </w:rPr>
        <w:t>April</w:t>
      </w:r>
      <w:r w:rsidR="4638F85D" w:rsidRPr="005A3C5A">
        <w:rPr>
          <w:lang w:val="en-US"/>
        </w:rPr>
        <w:t xml:space="preserve"> 20</w:t>
      </w:r>
      <w:r w:rsidR="36D72E7F" w:rsidRPr="005A3C5A">
        <w:rPr>
          <w:lang w:val="en-US"/>
        </w:rPr>
        <w:t>23</w:t>
      </w:r>
      <w:r w:rsidRPr="005A3C5A">
        <w:rPr>
          <w:lang w:val="en-US"/>
        </w:rPr>
        <w:t xml:space="preserve">), more than 1 million downloads of ITU-R Reports from ITU website were recorded. Table 6.1.4.3-1 summarizes their distribution by year and series. </w:t>
      </w:r>
      <w:proofErr w:type="gramStart"/>
      <w:r w:rsidRPr="005A3C5A">
        <w:rPr>
          <w:lang w:val="en-US"/>
        </w:rPr>
        <w:t>At this time</w:t>
      </w:r>
      <w:proofErr w:type="gramEnd"/>
      <w:r w:rsidRPr="005A3C5A">
        <w:rPr>
          <w:lang w:val="en-US"/>
        </w:rPr>
        <w:t xml:space="preserve">, there are </w:t>
      </w:r>
      <w:r w:rsidR="287DB313" w:rsidRPr="005A3C5A">
        <w:rPr>
          <w:lang w:val="en-US"/>
        </w:rPr>
        <w:t>627</w:t>
      </w:r>
      <w:r w:rsidRPr="005A3C5A">
        <w:rPr>
          <w:lang w:val="en-US"/>
        </w:rPr>
        <w:t xml:space="preserve"> ITU-R Reports in force, hence the yearly average number of downloads is near 500 per Report.</w:t>
      </w:r>
    </w:p>
    <w:p w14:paraId="4C797286" w14:textId="77777777" w:rsidR="00C74DA0" w:rsidRPr="005A3C5A" w:rsidRDefault="00C74DA0" w:rsidP="00C74DA0">
      <w:pPr>
        <w:pStyle w:val="TableNo"/>
      </w:pPr>
      <w:r w:rsidRPr="005A3C5A">
        <w:t>Table 6.1.4.3-1</w:t>
      </w:r>
    </w:p>
    <w:p w14:paraId="6A2B5B97" w14:textId="77777777" w:rsidR="00C74DA0" w:rsidRPr="005A3C5A" w:rsidRDefault="00C74DA0" w:rsidP="00C74DA0">
      <w:pPr>
        <w:pStyle w:val="Tabletitle"/>
        <w:rPr>
          <w:rFonts w:asciiTheme="majorBidi" w:hAnsiTheme="majorBidi" w:cstheme="majorBidi"/>
          <w:lang w:val="en-US" w:eastAsia="zh-CN"/>
        </w:rPr>
      </w:pPr>
      <w:r w:rsidRPr="005A3C5A">
        <w:t>Distribution of ITU-R Reports</w:t>
      </w:r>
    </w:p>
    <w:tbl>
      <w:tblPr>
        <w:tblW w:w="9630" w:type="dxa"/>
        <w:jc w:val="center"/>
        <w:tblLayout w:type="fixed"/>
        <w:tblLook w:val="06A0" w:firstRow="1" w:lastRow="0" w:firstColumn="1" w:lastColumn="0" w:noHBand="1" w:noVBand="1"/>
      </w:tblPr>
      <w:tblGrid>
        <w:gridCol w:w="1605"/>
        <w:gridCol w:w="1605"/>
        <w:gridCol w:w="1605"/>
        <w:gridCol w:w="1605"/>
        <w:gridCol w:w="1605"/>
        <w:gridCol w:w="1605"/>
      </w:tblGrid>
      <w:tr w:rsidR="473061DD" w:rsidRPr="005A3C5A" w14:paraId="359FE987"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ACE551" w14:textId="750C855A" w:rsidR="473061DD" w:rsidRPr="005A3C5A" w:rsidRDefault="5E6A3132" w:rsidP="005A3C5A">
            <w:pPr>
              <w:pStyle w:val="Tablehead"/>
              <w:rPr>
                <w:bCs/>
              </w:rPr>
            </w:pPr>
            <w:r w:rsidRPr="005A3C5A">
              <w:rPr>
                <w:bCs/>
              </w:rPr>
              <w:t>Series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CB1329" w14:textId="0BEFAF0F" w:rsidR="473061DD" w:rsidRPr="005A3C5A" w:rsidRDefault="5E6A3132" w:rsidP="005A3C5A">
            <w:pPr>
              <w:pStyle w:val="Tablehead"/>
              <w:rPr>
                <w:bCs/>
              </w:rPr>
            </w:pPr>
            <w:r w:rsidRPr="005A3C5A">
              <w:rPr>
                <w:bCs/>
              </w:rPr>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3EE628" w14:textId="6A1B7D6C" w:rsidR="473061DD" w:rsidRPr="005A3C5A" w:rsidRDefault="5E6A3132" w:rsidP="005A3C5A">
            <w:pPr>
              <w:pStyle w:val="Tablehead"/>
              <w:rPr>
                <w:bCs/>
              </w:rPr>
            </w:pPr>
            <w:r w:rsidRPr="005A3C5A">
              <w:rPr>
                <w:bCs/>
              </w:rPr>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B1D2C5" w14:textId="624E7A2E" w:rsidR="473061DD" w:rsidRPr="005A3C5A" w:rsidRDefault="5E6A3132" w:rsidP="005A3C5A">
            <w:pPr>
              <w:pStyle w:val="Tablehead"/>
              <w:rPr>
                <w:bCs/>
              </w:rPr>
            </w:pPr>
            <w:r w:rsidRPr="005A3C5A">
              <w:rPr>
                <w:bCs/>
              </w:rPr>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5A2E61" w14:textId="26AD8AF7" w:rsidR="473061DD" w:rsidRPr="005A3C5A" w:rsidRDefault="5E6A3132" w:rsidP="005A3C5A">
            <w:pPr>
              <w:pStyle w:val="Tablehead"/>
              <w:rPr>
                <w:bCs/>
              </w:rPr>
            </w:pPr>
            <w:r w:rsidRPr="005A3C5A">
              <w:rPr>
                <w:bCs/>
              </w:rPr>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3B3D92" w14:textId="11BA3779" w:rsidR="473061DD" w:rsidRPr="005A3C5A" w:rsidRDefault="5E6A3132" w:rsidP="005A3C5A">
            <w:pPr>
              <w:pStyle w:val="Tablehead"/>
              <w:rPr>
                <w:b w:val="0"/>
              </w:rPr>
            </w:pPr>
            <w:r w:rsidRPr="005A3C5A">
              <w:rPr>
                <w:bCs/>
              </w:rPr>
              <w:t>Total</w:t>
            </w:r>
          </w:p>
        </w:tc>
      </w:tr>
      <w:tr w:rsidR="473061DD" w:rsidRPr="005A3C5A" w14:paraId="243BE54E"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5A5FFA" w14:textId="010BB9CE" w:rsidR="473061DD" w:rsidRPr="005A3C5A" w:rsidRDefault="5E6A3132" w:rsidP="005A3C5A">
            <w:pPr>
              <w:pStyle w:val="Tablehead"/>
              <w:rPr>
                <w:bCs/>
              </w:rPr>
            </w:pPr>
            <w:r w:rsidRPr="005A3C5A">
              <w:rPr>
                <w:bCs/>
              </w:rPr>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8C6E0E" w14:textId="57D65C75" w:rsidR="473061DD" w:rsidRPr="005A3C5A" w:rsidRDefault="5E6A3132" w:rsidP="005A3C5A">
            <w:pPr>
              <w:pStyle w:val="Tabletext"/>
              <w:jc w:val="center"/>
            </w:pPr>
            <w:r w:rsidRPr="005A3C5A">
              <w:t>101</w:t>
            </w:r>
            <w:r w:rsidR="000862BF" w:rsidRPr="005A3C5A">
              <w:t> </w:t>
            </w:r>
            <w:r w:rsidRPr="005A3C5A">
              <w:t>965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DC5D73" w14:textId="068FCBA7" w:rsidR="473061DD" w:rsidRPr="005A3C5A" w:rsidRDefault="5E6A3132" w:rsidP="005A3C5A">
            <w:pPr>
              <w:pStyle w:val="Tabletext"/>
              <w:jc w:val="center"/>
            </w:pPr>
            <w:r w:rsidRPr="005A3C5A">
              <w:t>149</w:t>
            </w:r>
            <w:r w:rsidR="000862BF" w:rsidRPr="005A3C5A">
              <w:t> </w:t>
            </w:r>
            <w:r w:rsidRPr="005A3C5A">
              <w:t>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F31E3" w14:textId="03E36A8E" w:rsidR="473061DD" w:rsidRPr="005A3C5A" w:rsidRDefault="5E6A3132" w:rsidP="005A3C5A">
            <w:pPr>
              <w:pStyle w:val="Tabletext"/>
              <w:jc w:val="center"/>
            </w:pPr>
            <w:r w:rsidRPr="005A3C5A">
              <w:t>105</w:t>
            </w:r>
            <w:r w:rsidR="000862BF" w:rsidRPr="005A3C5A">
              <w:t> </w:t>
            </w:r>
            <w:r w:rsidRPr="005A3C5A">
              <w:t>880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6A103A" w14:textId="7216DA84" w:rsidR="473061DD" w:rsidRPr="005A3C5A" w:rsidRDefault="5E6A3132" w:rsidP="005A3C5A">
            <w:pPr>
              <w:pStyle w:val="Tabletext"/>
              <w:jc w:val="center"/>
            </w:pPr>
            <w:r w:rsidRPr="005A3C5A">
              <w:t>40</w:t>
            </w:r>
            <w:r w:rsidR="00A01483" w:rsidRPr="005A3C5A">
              <w:t> </w:t>
            </w:r>
            <w:r w:rsidRPr="005A3C5A">
              <w:t>277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ADE0C1" w14:textId="6998B671" w:rsidR="473061DD" w:rsidRPr="005A3C5A" w:rsidRDefault="5E6A3132" w:rsidP="005A3C5A">
            <w:pPr>
              <w:pStyle w:val="Tabletext"/>
              <w:jc w:val="center"/>
              <w:rPr>
                <w:b/>
                <w:bCs/>
              </w:rPr>
            </w:pPr>
            <w:r w:rsidRPr="005A3C5A">
              <w:rPr>
                <w:b/>
                <w:bCs/>
              </w:rPr>
              <w:t>397</w:t>
            </w:r>
            <w:r w:rsidR="00A01483" w:rsidRPr="005A3C5A">
              <w:rPr>
                <w:b/>
                <w:bCs/>
              </w:rPr>
              <w:t> </w:t>
            </w:r>
            <w:r w:rsidRPr="005A3C5A">
              <w:rPr>
                <w:b/>
                <w:bCs/>
              </w:rPr>
              <w:t>514</w:t>
            </w:r>
          </w:p>
        </w:tc>
      </w:tr>
      <w:tr w:rsidR="473061DD" w:rsidRPr="005A3C5A" w14:paraId="2633DB6F"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403F91" w14:textId="780C8F5A" w:rsidR="473061DD" w:rsidRPr="005A3C5A" w:rsidRDefault="5E6A3132" w:rsidP="005A3C5A">
            <w:pPr>
              <w:pStyle w:val="Tablehead"/>
              <w:rPr>
                <w:bCs/>
              </w:rPr>
            </w:pPr>
            <w:r w:rsidRPr="005A3C5A">
              <w:rPr>
                <w:bCs/>
              </w:rPr>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B4CF31" w14:textId="3F5F2AE6" w:rsidR="473061DD" w:rsidRPr="005A3C5A" w:rsidRDefault="5E6A3132" w:rsidP="005A3C5A">
            <w:pPr>
              <w:pStyle w:val="Tabletext"/>
              <w:jc w:val="center"/>
            </w:pPr>
            <w:r w:rsidRPr="005A3C5A">
              <w:t>105</w:t>
            </w:r>
            <w:r w:rsidR="000862BF" w:rsidRPr="005A3C5A">
              <w:t> </w:t>
            </w:r>
            <w:r w:rsidRPr="005A3C5A">
              <w:t>681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0FC3B2" w14:textId="1BF93C6A" w:rsidR="473061DD" w:rsidRPr="005A3C5A" w:rsidRDefault="5E6A3132" w:rsidP="005A3C5A">
            <w:pPr>
              <w:pStyle w:val="Tabletext"/>
              <w:jc w:val="center"/>
            </w:pPr>
            <w:r w:rsidRPr="005A3C5A">
              <w:t>118</w:t>
            </w:r>
            <w:r w:rsidR="000862BF" w:rsidRPr="005A3C5A">
              <w:t> </w:t>
            </w:r>
            <w:r w:rsidRPr="005A3C5A">
              <w:t>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ED6D18" w14:textId="4B90A684" w:rsidR="473061DD" w:rsidRPr="005A3C5A" w:rsidRDefault="5E6A3132" w:rsidP="005A3C5A">
            <w:pPr>
              <w:pStyle w:val="Tabletext"/>
              <w:jc w:val="center"/>
            </w:pPr>
            <w:r w:rsidRPr="005A3C5A">
              <w:t>102</w:t>
            </w:r>
            <w:r w:rsidR="000862BF" w:rsidRPr="005A3C5A">
              <w:t> </w:t>
            </w:r>
            <w:r w:rsidRPr="005A3C5A">
              <w:t>742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EE0C6C" w14:textId="365F3588" w:rsidR="473061DD" w:rsidRPr="005A3C5A" w:rsidRDefault="5E6A3132" w:rsidP="005A3C5A">
            <w:pPr>
              <w:pStyle w:val="Tabletext"/>
              <w:jc w:val="center"/>
            </w:pPr>
            <w:r w:rsidRPr="005A3C5A">
              <w:t>46</w:t>
            </w:r>
            <w:r w:rsidR="00A01483" w:rsidRPr="005A3C5A">
              <w:t> </w:t>
            </w:r>
            <w:r w:rsidRPr="005A3C5A">
              <w:t>735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4B0426" w14:textId="6CA0B051" w:rsidR="473061DD" w:rsidRPr="005A3C5A" w:rsidRDefault="5E6A3132" w:rsidP="005A3C5A">
            <w:pPr>
              <w:pStyle w:val="Tabletext"/>
              <w:jc w:val="center"/>
              <w:rPr>
                <w:b/>
                <w:bCs/>
              </w:rPr>
            </w:pPr>
            <w:r w:rsidRPr="005A3C5A">
              <w:rPr>
                <w:b/>
                <w:bCs/>
              </w:rPr>
              <w:t>373</w:t>
            </w:r>
            <w:r w:rsidR="00A01483" w:rsidRPr="005A3C5A">
              <w:rPr>
                <w:b/>
                <w:bCs/>
              </w:rPr>
              <w:t> </w:t>
            </w:r>
            <w:r w:rsidRPr="005A3C5A">
              <w:rPr>
                <w:b/>
                <w:bCs/>
              </w:rPr>
              <w:t>943</w:t>
            </w:r>
          </w:p>
        </w:tc>
      </w:tr>
      <w:tr w:rsidR="473061DD" w:rsidRPr="005A3C5A" w14:paraId="58A893B5"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B78E3F" w14:textId="786CFA23" w:rsidR="473061DD" w:rsidRPr="005A3C5A" w:rsidRDefault="5E6A3132" w:rsidP="005A3C5A">
            <w:pPr>
              <w:pStyle w:val="Tablehead"/>
              <w:rPr>
                <w:bCs/>
              </w:rPr>
            </w:pPr>
            <w:r w:rsidRPr="005A3C5A">
              <w:rPr>
                <w:bCs/>
              </w:rPr>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5262BD" w14:textId="08655166" w:rsidR="473061DD" w:rsidRPr="005A3C5A" w:rsidRDefault="5E6A3132" w:rsidP="005A3C5A">
            <w:pPr>
              <w:pStyle w:val="Tabletext"/>
              <w:jc w:val="center"/>
            </w:pPr>
            <w:r w:rsidRPr="005A3C5A">
              <w:t>59</w:t>
            </w:r>
            <w:r w:rsidR="000862BF" w:rsidRPr="005A3C5A">
              <w:t> </w:t>
            </w:r>
            <w:r w:rsidRPr="005A3C5A">
              <w:t>805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7AE44A" w14:textId="3A5EEC1B" w:rsidR="473061DD" w:rsidRPr="005A3C5A" w:rsidRDefault="5E6A3132" w:rsidP="005A3C5A">
            <w:pPr>
              <w:pStyle w:val="Tabletext"/>
              <w:jc w:val="center"/>
            </w:pPr>
            <w:r w:rsidRPr="005A3C5A">
              <w:t>75</w:t>
            </w:r>
            <w:r w:rsidR="000862BF" w:rsidRPr="005A3C5A">
              <w:t> </w:t>
            </w:r>
            <w:r w:rsidRPr="005A3C5A">
              <w:t>168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BD34ED" w14:textId="7AAD65FA" w:rsidR="473061DD" w:rsidRPr="005A3C5A" w:rsidRDefault="5E6A3132" w:rsidP="005A3C5A">
            <w:pPr>
              <w:pStyle w:val="Tabletext"/>
              <w:jc w:val="center"/>
            </w:pPr>
            <w:r w:rsidRPr="005A3C5A">
              <w:t>76</w:t>
            </w:r>
            <w:r w:rsidR="000862BF" w:rsidRPr="005A3C5A">
              <w:t> </w:t>
            </w:r>
            <w:r w:rsidRPr="005A3C5A">
              <w:t>421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067129" w14:textId="0566D35C" w:rsidR="473061DD" w:rsidRPr="005A3C5A" w:rsidRDefault="5E6A3132" w:rsidP="005A3C5A">
            <w:pPr>
              <w:pStyle w:val="Tabletext"/>
              <w:jc w:val="center"/>
            </w:pPr>
            <w:r w:rsidRPr="005A3C5A">
              <w:t>29</w:t>
            </w:r>
            <w:r w:rsidR="00A01483" w:rsidRPr="005A3C5A">
              <w:t> </w:t>
            </w:r>
            <w:r w:rsidRPr="005A3C5A">
              <w:t>716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7DD723" w14:textId="7765C44B" w:rsidR="473061DD" w:rsidRPr="005A3C5A" w:rsidRDefault="5E6A3132" w:rsidP="005A3C5A">
            <w:pPr>
              <w:pStyle w:val="Tabletext"/>
              <w:jc w:val="center"/>
              <w:rPr>
                <w:b/>
                <w:bCs/>
              </w:rPr>
            </w:pPr>
            <w:r w:rsidRPr="005A3C5A">
              <w:rPr>
                <w:b/>
                <w:bCs/>
              </w:rPr>
              <w:t>241</w:t>
            </w:r>
            <w:r w:rsidR="00A01483" w:rsidRPr="005A3C5A">
              <w:rPr>
                <w:b/>
                <w:bCs/>
              </w:rPr>
              <w:t> </w:t>
            </w:r>
            <w:r w:rsidRPr="005A3C5A">
              <w:rPr>
                <w:b/>
                <w:bCs/>
              </w:rPr>
              <w:t>110</w:t>
            </w:r>
          </w:p>
        </w:tc>
      </w:tr>
      <w:tr w:rsidR="473061DD" w:rsidRPr="005A3C5A" w14:paraId="4843166E"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2CEAC" w14:textId="38EA85F4" w:rsidR="473061DD" w:rsidRPr="005A3C5A" w:rsidRDefault="5E6A3132" w:rsidP="005A3C5A">
            <w:pPr>
              <w:pStyle w:val="Tablehead"/>
              <w:rPr>
                <w:bCs/>
              </w:rPr>
            </w:pPr>
            <w:r w:rsidRPr="005A3C5A">
              <w:rPr>
                <w:bCs/>
              </w:rPr>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64A681" w14:textId="0F092F93" w:rsidR="473061DD" w:rsidRPr="005A3C5A" w:rsidRDefault="5E6A3132" w:rsidP="005A3C5A">
            <w:pPr>
              <w:pStyle w:val="Tabletext"/>
              <w:jc w:val="center"/>
            </w:pPr>
            <w:r w:rsidRPr="005A3C5A">
              <w:t>28</w:t>
            </w:r>
            <w:r w:rsidR="000862BF" w:rsidRPr="005A3C5A">
              <w:t> </w:t>
            </w:r>
            <w:r w:rsidRPr="005A3C5A">
              <w:t>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A9688" w14:textId="5851F19B" w:rsidR="473061DD" w:rsidRPr="005A3C5A" w:rsidRDefault="5E6A3132" w:rsidP="005A3C5A">
            <w:pPr>
              <w:pStyle w:val="Tabletext"/>
              <w:jc w:val="center"/>
            </w:pPr>
            <w:r w:rsidRPr="005A3C5A">
              <w:t>35</w:t>
            </w:r>
            <w:r w:rsidR="000862BF" w:rsidRPr="005A3C5A">
              <w:t> </w:t>
            </w:r>
            <w:r w:rsidRPr="005A3C5A">
              <w:t>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33912F" w14:textId="61D2BF81" w:rsidR="473061DD" w:rsidRPr="005A3C5A" w:rsidRDefault="5E6A3132" w:rsidP="005A3C5A">
            <w:pPr>
              <w:pStyle w:val="Tabletext"/>
              <w:jc w:val="center"/>
            </w:pPr>
            <w:r w:rsidRPr="005A3C5A">
              <w:t>30</w:t>
            </w:r>
            <w:r w:rsidR="000862BF" w:rsidRPr="005A3C5A">
              <w:t> </w:t>
            </w:r>
            <w:r w:rsidRPr="005A3C5A">
              <w:t>002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6CCF16" w14:textId="26BC25AD" w:rsidR="473061DD" w:rsidRPr="005A3C5A" w:rsidRDefault="5E6A3132" w:rsidP="005A3C5A">
            <w:pPr>
              <w:pStyle w:val="Tabletext"/>
              <w:jc w:val="center"/>
            </w:pPr>
            <w:r w:rsidRPr="005A3C5A">
              <w:t>11</w:t>
            </w:r>
            <w:r w:rsidR="00A01483" w:rsidRPr="005A3C5A">
              <w:t> </w:t>
            </w:r>
            <w:r w:rsidRPr="005A3C5A">
              <w:t>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3927EE" w14:textId="6C673454" w:rsidR="473061DD" w:rsidRPr="005A3C5A" w:rsidRDefault="5E6A3132" w:rsidP="005A3C5A">
            <w:pPr>
              <w:pStyle w:val="Tabletext"/>
              <w:jc w:val="center"/>
              <w:rPr>
                <w:b/>
                <w:bCs/>
              </w:rPr>
            </w:pPr>
            <w:r w:rsidRPr="005A3C5A">
              <w:rPr>
                <w:b/>
                <w:bCs/>
              </w:rPr>
              <w:t>106</w:t>
            </w:r>
            <w:r w:rsidR="00A01483" w:rsidRPr="005A3C5A">
              <w:rPr>
                <w:b/>
                <w:bCs/>
              </w:rPr>
              <w:t> </w:t>
            </w:r>
            <w:r w:rsidRPr="005A3C5A">
              <w:rPr>
                <w:b/>
                <w:bCs/>
              </w:rPr>
              <w:t>088</w:t>
            </w:r>
          </w:p>
        </w:tc>
      </w:tr>
      <w:tr w:rsidR="473061DD" w:rsidRPr="005A3C5A" w14:paraId="76782DCD"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44FBB1" w14:textId="39277973" w:rsidR="473061DD" w:rsidRPr="005A3C5A" w:rsidRDefault="5E6A3132" w:rsidP="005A3C5A">
            <w:pPr>
              <w:pStyle w:val="Tablehead"/>
              <w:rPr>
                <w:bCs/>
              </w:rPr>
            </w:pPr>
            <w:r w:rsidRPr="005A3C5A">
              <w:rPr>
                <w:bCs/>
              </w:rPr>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5FD74A" w14:textId="254CAD1E" w:rsidR="473061DD" w:rsidRPr="005A3C5A" w:rsidRDefault="5E6A3132" w:rsidP="005A3C5A">
            <w:pPr>
              <w:pStyle w:val="Tabletext"/>
              <w:jc w:val="center"/>
            </w:pPr>
            <w:r w:rsidRPr="005A3C5A">
              <w:t>14</w:t>
            </w:r>
            <w:r w:rsidR="000862BF" w:rsidRPr="005A3C5A">
              <w:t> </w:t>
            </w:r>
            <w:r w:rsidRPr="005A3C5A">
              <w:t>003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C56098" w14:textId="4FEB323E" w:rsidR="473061DD" w:rsidRPr="005A3C5A" w:rsidRDefault="5E6A3132" w:rsidP="005A3C5A">
            <w:pPr>
              <w:pStyle w:val="Tabletext"/>
              <w:jc w:val="center"/>
            </w:pPr>
            <w:r w:rsidRPr="005A3C5A">
              <w:t>16</w:t>
            </w:r>
            <w:r w:rsidR="000862BF" w:rsidRPr="005A3C5A">
              <w:t> </w:t>
            </w:r>
            <w:r w:rsidRPr="005A3C5A">
              <w:t>812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B3E433" w14:textId="792BC4A1" w:rsidR="473061DD" w:rsidRPr="005A3C5A" w:rsidRDefault="5E6A3132" w:rsidP="005A3C5A">
            <w:pPr>
              <w:pStyle w:val="Tabletext"/>
              <w:jc w:val="center"/>
            </w:pPr>
            <w:r w:rsidRPr="005A3C5A">
              <w:t>16</w:t>
            </w:r>
            <w:r w:rsidR="000862BF" w:rsidRPr="005A3C5A">
              <w:t> </w:t>
            </w:r>
            <w:r w:rsidRPr="005A3C5A">
              <w:t>721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06334" w14:textId="3C8DC250" w:rsidR="473061DD" w:rsidRPr="005A3C5A" w:rsidRDefault="5E6A3132" w:rsidP="005A3C5A">
            <w:pPr>
              <w:pStyle w:val="Tabletext"/>
              <w:jc w:val="center"/>
            </w:pPr>
            <w:r w:rsidRPr="005A3C5A">
              <w:t>6</w:t>
            </w:r>
            <w:r w:rsidR="00A01483" w:rsidRPr="005A3C5A">
              <w:t> </w:t>
            </w:r>
            <w:r w:rsidRPr="005A3C5A">
              <w:t>714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C35179" w14:textId="79589D29" w:rsidR="473061DD" w:rsidRPr="005A3C5A" w:rsidRDefault="5E6A3132" w:rsidP="005A3C5A">
            <w:pPr>
              <w:pStyle w:val="Tabletext"/>
              <w:jc w:val="center"/>
              <w:rPr>
                <w:b/>
                <w:bCs/>
              </w:rPr>
            </w:pPr>
            <w:r w:rsidRPr="005A3C5A">
              <w:rPr>
                <w:b/>
                <w:bCs/>
              </w:rPr>
              <w:t>54</w:t>
            </w:r>
            <w:r w:rsidR="00A01483" w:rsidRPr="005A3C5A">
              <w:rPr>
                <w:b/>
                <w:bCs/>
              </w:rPr>
              <w:t> </w:t>
            </w:r>
            <w:r w:rsidRPr="005A3C5A">
              <w:rPr>
                <w:b/>
                <w:bCs/>
              </w:rPr>
              <w:t>250</w:t>
            </w:r>
          </w:p>
        </w:tc>
      </w:tr>
      <w:tr w:rsidR="473061DD" w:rsidRPr="005A3C5A" w14:paraId="6EF828A1"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88AA70" w14:textId="05DC3A13" w:rsidR="473061DD" w:rsidRPr="005A3C5A" w:rsidRDefault="5E6A3132" w:rsidP="005A3C5A">
            <w:pPr>
              <w:pStyle w:val="Tablehead"/>
              <w:rPr>
                <w:bCs/>
              </w:rPr>
            </w:pPr>
            <w:r w:rsidRPr="005A3C5A">
              <w:rPr>
                <w:bCs/>
              </w:rPr>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CDC6C9" w14:textId="50197445" w:rsidR="473061DD" w:rsidRPr="005A3C5A" w:rsidRDefault="5E6A3132" w:rsidP="005A3C5A">
            <w:pPr>
              <w:pStyle w:val="Tabletext"/>
              <w:jc w:val="center"/>
            </w:pPr>
            <w:r w:rsidRPr="005A3C5A">
              <w:t>14</w:t>
            </w:r>
            <w:r w:rsidR="000862BF" w:rsidRPr="005A3C5A">
              <w:t> </w:t>
            </w:r>
            <w:r w:rsidRPr="005A3C5A">
              <w:t>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68C173" w14:textId="538B6E93" w:rsidR="473061DD" w:rsidRPr="005A3C5A" w:rsidRDefault="5E6A3132" w:rsidP="005A3C5A">
            <w:pPr>
              <w:pStyle w:val="Tabletext"/>
              <w:jc w:val="center"/>
            </w:pPr>
            <w:r w:rsidRPr="005A3C5A">
              <w:t>18</w:t>
            </w:r>
            <w:r w:rsidR="000862BF" w:rsidRPr="005A3C5A">
              <w:t> </w:t>
            </w:r>
            <w:r w:rsidRPr="005A3C5A">
              <w:t>142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5CFC5" w14:textId="18A196B4" w:rsidR="473061DD" w:rsidRPr="005A3C5A" w:rsidRDefault="5E6A3132" w:rsidP="005A3C5A">
            <w:pPr>
              <w:pStyle w:val="Tabletext"/>
              <w:jc w:val="center"/>
            </w:pPr>
            <w:r w:rsidRPr="005A3C5A">
              <w:t>15</w:t>
            </w:r>
            <w:r w:rsidR="000862BF" w:rsidRPr="005A3C5A">
              <w:t> </w:t>
            </w:r>
            <w:r w:rsidRPr="005A3C5A">
              <w:t>647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20D745" w14:textId="2288EFAA" w:rsidR="473061DD" w:rsidRPr="005A3C5A" w:rsidRDefault="5E6A3132" w:rsidP="005A3C5A">
            <w:pPr>
              <w:pStyle w:val="Tabletext"/>
              <w:jc w:val="center"/>
            </w:pPr>
            <w:r w:rsidRPr="005A3C5A">
              <w:t>5</w:t>
            </w:r>
            <w:r w:rsidR="00A01483" w:rsidRPr="005A3C5A">
              <w:t> </w:t>
            </w:r>
            <w:r w:rsidRPr="005A3C5A">
              <w:t>646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C00F8B" w14:textId="210D3636" w:rsidR="473061DD" w:rsidRPr="005A3C5A" w:rsidRDefault="5E6A3132" w:rsidP="005A3C5A">
            <w:pPr>
              <w:pStyle w:val="Tabletext"/>
              <w:jc w:val="center"/>
              <w:rPr>
                <w:b/>
                <w:bCs/>
              </w:rPr>
            </w:pPr>
            <w:r w:rsidRPr="005A3C5A">
              <w:rPr>
                <w:b/>
                <w:bCs/>
              </w:rPr>
              <w:t>54</w:t>
            </w:r>
            <w:r w:rsidR="00FD58E8" w:rsidRPr="005A3C5A">
              <w:rPr>
                <w:b/>
                <w:bCs/>
              </w:rPr>
              <w:t> </w:t>
            </w:r>
            <w:r w:rsidRPr="005A3C5A">
              <w:rPr>
                <w:b/>
                <w:bCs/>
              </w:rPr>
              <w:t>220</w:t>
            </w:r>
          </w:p>
        </w:tc>
      </w:tr>
      <w:tr w:rsidR="473061DD" w:rsidRPr="005A3C5A" w14:paraId="53E22D97"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04A117" w14:textId="56DB1C90" w:rsidR="473061DD" w:rsidRPr="005A3C5A" w:rsidRDefault="5E6A3132" w:rsidP="005A3C5A">
            <w:pPr>
              <w:pStyle w:val="Tablehead"/>
              <w:rPr>
                <w:bCs/>
              </w:rPr>
            </w:pPr>
            <w:r w:rsidRPr="005A3C5A">
              <w:rPr>
                <w:bCs/>
              </w:rPr>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494B8B" w14:textId="74A54245" w:rsidR="473061DD" w:rsidRPr="005A3C5A" w:rsidRDefault="5E6A3132" w:rsidP="005A3C5A">
            <w:pPr>
              <w:pStyle w:val="Tabletext"/>
              <w:jc w:val="center"/>
            </w:pPr>
            <w:r w:rsidRPr="005A3C5A">
              <w:t>12</w:t>
            </w:r>
            <w:r w:rsidR="000862BF" w:rsidRPr="005A3C5A">
              <w:t> </w:t>
            </w:r>
            <w:r w:rsidRPr="005A3C5A">
              <w:t>411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4732A2" w14:textId="5DE536D4" w:rsidR="473061DD" w:rsidRPr="005A3C5A" w:rsidRDefault="5E6A3132" w:rsidP="005A3C5A">
            <w:pPr>
              <w:pStyle w:val="Tabletext"/>
              <w:jc w:val="center"/>
            </w:pPr>
            <w:r w:rsidRPr="005A3C5A">
              <w:t>15</w:t>
            </w:r>
            <w:r w:rsidR="000862BF" w:rsidRPr="005A3C5A">
              <w:t> </w:t>
            </w:r>
            <w:r w:rsidRPr="005A3C5A">
              <w:t>138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D38EEC" w14:textId="7ABD8A96" w:rsidR="473061DD" w:rsidRPr="005A3C5A" w:rsidRDefault="5E6A3132" w:rsidP="005A3C5A">
            <w:pPr>
              <w:pStyle w:val="Tabletext"/>
              <w:jc w:val="center"/>
            </w:pPr>
            <w:r w:rsidRPr="005A3C5A">
              <w:t>8</w:t>
            </w:r>
            <w:r w:rsidR="00A01483" w:rsidRPr="005A3C5A">
              <w:t> </w:t>
            </w:r>
            <w:r w:rsidRPr="005A3C5A">
              <w:t>623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074227" w14:textId="79B2B5E1" w:rsidR="473061DD" w:rsidRPr="005A3C5A" w:rsidRDefault="5E6A3132" w:rsidP="005A3C5A">
            <w:pPr>
              <w:pStyle w:val="Tabletext"/>
              <w:jc w:val="center"/>
            </w:pPr>
            <w:r w:rsidRPr="005A3C5A">
              <w:t>3</w:t>
            </w:r>
            <w:r w:rsidR="00A01483" w:rsidRPr="005A3C5A">
              <w:t> </w:t>
            </w:r>
            <w:r w:rsidRPr="005A3C5A">
              <w:t>196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FC67DD" w14:textId="12220A9A" w:rsidR="473061DD" w:rsidRPr="005A3C5A" w:rsidRDefault="5E6A3132" w:rsidP="005A3C5A">
            <w:pPr>
              <w:pStyle w:val="Tabletext"/>
              <w:jc w:val="center"/>
              <w:rPr>
                <w:b/>
                <w:bCs/>
              </w:rPr>
            </w:pPr>
            <w:r w:rsidRPr="005A3C5A">
              <w:rPr>
                <w:b/>
                <w:bCs/>
              </w:rPr>
              <w:t>39</w:t>
            </w:r>
            <w:r w:rsidR="00FD58E8" w:rsidRPr="005A3C5A">
              <w:rPr>
                <w:b/>
                <w:bCs/>
              </w:rPr>
              <w:t> </w:t>
            </w:r>
            <w:r w:rsidRPr="005A3C5A">
              <w:rPr>
                <w:b/>
                <w:bCs/>
              </w:rPr>
              <w:t>368</w:t>
            </w:r>
          </w:p>
        </w:tc>
      </w:tr>
      <w:tr w:rsidR="473061DD" w:rsidRPr="005A3C5A" w14:paraId="35AD5D12"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D0527" w14:textId="459B8491" w:rsidR="473061DD" w:rsidRPr="005A3C5A" w:rsidRDefault="5E6A3132" w:rsidP="005A3C5A">
            <w:pPr>
              <w:pStyle w:val="Tablehead"/>
              <w:rPr>
                <w:bCs/>
              </w:rPr>
            </w:pPr>
            <w:r w:rsidRPr="005A3C5A">
              <w:rPr>
                <w:bCs/>
              </w:rPr>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BE2236" w14:textId="43A97839" w:rsidR="473061DD" w:rsidRPr="005A3C5A" w:rsidRDefault="5E6A3132" w:rsidP="005A3C5A">
            <w:pPr>
              <w:pStyle w:val="Tabletext"/>
              <w:jc w:val="center"/>
            </w:pPr>
            <w:r w:rsidRPr="005A3C5A">
              <w:t>10</w:t>
            </w:r>
            <w:r w:rsidR="000862BF" w:rsidRPr="005A3C5A">
              <w:t> </w:t>
            </w:r>
            <w:r w:rsidRPr="005A3C5A">
              <w:t>001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715BA6" w14:textId="62585032" w:rsidR="473061DD" w:rsidRPr="005A3C5A" w:rsidRDefault="5E6A3132" w:rsidP="005A3C5A">
            <w:pPr>
              <w:pStyle w:val="Tabletext"/>
              <w:jc w:val="center"/>
            </w:pPr>
            <w:r w:rsidRPr="005A3C5A">
              <w:t>9</w:t>
            </w:r>
            <w:r w:rsidR="000862BF" w:rsidRPr="005A3C5A">
              <w:t> </w:t>
            </w:r>
            <w:r w:rsidRPr="005A3C5A">
              <w:t>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77BE97" w14:textId="6C2E6BEA" w:rsidR="473061DD" w:rsidRPr="005A3C5A" w:rsidRDefault="5E6A3132" w:rsidP="005A3C5A">
            <w:pPr>
              <w:pStyle w:val="Tabletext"/>
              <w:jc w:val="center"/>
            </w:pPr>
            <w:r w:rsidRPr="005A3C5A">
              <w:t>9</w:t>
            </w:r>
            <w:r w:rsidR="00A01483" w:rsidRPr="005A3C5A">
              <w:t> </w:t>
            </w:r>
            <w:r w:rsidRPr="005A3C5A">
              <w:t>170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FC623F" w14:textId="652617D0" w:rsidR="473061DD" w:rsidRPr="005A3C5A" w:rsidRDefault="5E6A3132" w:rsidP="005A3C5A">
            <w:pPr>
              <w:pStyle w:val="Tabletext"/>
              <w:jc w:val="center"/>
            </w:pPr>
            <w:r w:rsidRPr="005A3C5A">
              <w:t>3</w:t>
            </w:r>
            <w:r w:rsidR="00A01483" w:rsidRPr="005A3C5A">
              <w:t> </w:t>
            </w:r>
            <w:r w:rsidRPr="005A3C5A">
              <w:t>583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4B904" w14:textId="4BDEE699" w:rsidR="473061DD" w:rsidRPr="005A3C5A" w:rsidRDefault="5E6A3132" w:rsidP="005A3C5A">
            <w:pPr>
              <w:pStyle w:val="Tabletext"/>
              <w:jc w:val="center"/>
              <w:rPr>
                <w:b/>
                <w:bCs/>
              </w:rPr>
            </w:pPr>
            <w:r w:rsidRPr="005A3C5A">
              <w:rPr>
                <w:b/>
                <w:bCs/>
              </w:rPr>
              <w:t>32</w:t>
            </w:r>
            <w:r w:rsidR="00FD58E8" w:rsidRPr="005A3C5A">
              <w:rPr>
                <w:b/>
                <w:bCs/>
              </w:rPr>
              <w:t> </w:t>
            </w:r>
            <w:r w:rsidRPr="005A3C5A">
              <w:rPr>
                <w:b/>
                <w:bCs/>
              </w:rPr>
              <w:t>672</w:t>
            </w:r>
          </w:p>
        </w:tc>
      </w:tr>
      <w:tr w:rsidR="473061DD" w:rsidRPr="005A3C5A" w14:paraId="42E22149"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8F5A70" w14:textId="76FD6211" w:rsidR="473061DD" w:rsidRPr="005A3C5A" w:rsidRDefault="5E6A3132" w:rsidP="005A3C5A">
            <w:pPr>
              <w:pStyle w:val="Tablehead"/>
              <w:rPr>
                <w:bCs/>
              </w:rPr>
            </w:pPr>
            <w:r w:rsidRPr="005A3C5A">
              <w:rPr>
                <w:bCs/>
              </w:rPr>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BCE89B" w14:textId="6B994BCD" w:rsidR="473061DD" w:rsidRPr="005A3C5A" w:rsidRDefault="5E6A3132" w:rsidP="005A3C5A">
            <w:pPr>
              <w:pStyle w:val="Tabletext"/>
              <w:jc w:val="center"/>
            </w:pPr>
            <w:r w:rsidRPr="005A3C5A">
              <w:t>5</w:t>
            </w:r>
            <w:r w:rsidR="000862BF" w:rsidRPr="005A3C5A">
              <w:t> </w:t>
            </w:r>
            <w:r w:rsidRPr="005A3C5A">
              <w:t>547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9327E3" w14:textId="157906A1" w:rsidR="473061DD" w:rsidRPr="005A3C5A" w:rsidRDefault="5E6A3132" w:rsidP="005A3C5A">
            <w:pPr>
              <w:pStyle w:val="Tabletext"/>
              <w:jc w:val="center"/>
            </w:pPr>
            <w:r w:rsidRPr="005A3C5A">
              <w:t>9</w:t>
            </w:r>
            <w:r w:rsidR="000862BF" w:rsidRPr="005A3C5A">
              <w:t> </w:t>
            </w:r>
            <w:r w:rsidRPr="005A3C5A">
              <w:t>042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B931A5" w14:textId="7240E113" w:rsidR="473061DD" w:rsidRPr="005A3C5A" w:rsidRDefault="5E6A3132" w:rsidP="005A3C5A">
            <w:pPr>
              <w:pStyle w:val="Tabletext"/>
              <w:jc w:val="center"/>
            </w:pPr>
            <w:r w:rsidRPr="005A3C5A">
              <w:t>5</w:t>
            </w:r>
            <w:r w:rsidR="00A01483" w:rsidRPr="005A3C5A">
              <w:t> </w:t>
            </w:r>
            <w:r w:rsidRPr="005A3C5A">
              <w:t>346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5B8071" w14:textId="1420AAC1" w:rsidR="473061DD" w:rsidRPr="005A3C5A" w:rsidRDefault="5E6A3132" w:rsidP="005A3C5A">
            <w:pPr>
              <w:pStyle w:val="Tabletext"/>
              <w:jc w:val="center"/>
            </w:pPr>
            <w:r w:rsidRPr="005A3C5A">
              <w:t>2</w:t>
            </w:r>
            <w:r w:rsidR="00A01483" w:rsidRPr="005A3C5A">
              <w:t> </w:t>
            </w:r>
            <w:r w:rsidRPr="005A3C5A">
              <w:t>526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B72B6E" w14:textId="410F8456" w:rsidR="473061DD" w:rsidRPr="005A3C5A" w:rsidRDefault="5E6A3132" w:rsidP="005A3C5A">
            <w:pPr>
              <w:pStyle w:val="Tabletext"/>
              <w:jc w:val="center"/>
              <w:rPr>
                <w:b/>
                <w:bCs/>
              </w:rPr>
            </w:pPr>
            <w:r w:rsidRPr="005A3C5A">
              <w:rPr>
                <w:b/>
                <w:bCs/>
              </w:rPr>
              <w:t>22</w:t>
            </w:r>
            <w:r w:rsidR="00FD58E8" w:rsidRPr="005A3C5A">
              <w:rPr>
                <w:b/>
                <w:bCs/>
              </w:rPr>
              <w:t> </w:t>
            </w:r>
            <w:r w:rsidRPr="005A3C5A">
              <w:rPr>
                <w:b/>
                <w:bCs/>
              </w:rPr>
              <w:t>461</w:t>
            </w:r>
          </w:p>
        </w:tc>
      </w:tr>
      <w:tr w:rsidR="473061DD" w:rsidRPr="005A3C5A" w14:paraId="5C5A1C56"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506F89" w14:textId="33DF7225" w:rsidR="473061DD" w:rsidRPr="005A3C5A" w:rsidRDefault="5E6A3132" w:rsidP="005A3C5A">
            <w:pPr>
              <w:pStyle w:val="Tablehead"/>
              <w:rPr>
                <w:bCs/>
              </w:rPr>
            </w:pPr>
            <w:r w:rsidRPr="005A3C5A">
              <w:rPr>
                <w:bCs/>
              </w:rPr>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1DC346" w14:textId="7C490275" w:rsidR="473061DD" w:rsidRPr="005A3C5A" w:rsidRDefault="5E6A3132" w:rsidP="005A3C5A">
            <w:pPr>
              <w:pStyle w:val="Tabletext"/>
              <w:jc w:val="center"/>
            </w:pPr>
            <w:r w:rsidRPr="005A3C5A">
              <w:t>4</w:t>
            </w:r>
            <w:r w:rsidR="000862BF" w:rsidRPr="005A3C5A">
              <w:t> </w:t>
            </w:r>
            <w:r w:rsidRPr="005A3C5A">
              <w:t>796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216912" w14:textId="58461A80" w:rsidR="473061DD" w:rsidRPr="005A3C5A" w:rsidRDefault="5E6A3132" w:rsidP="005A3C5A">
            <w:pPr>
              <w:pStyle w:val="Tabletext"/>
              <w:jc w:val="center"/>
            </w:pPr>
            <w:r w:rsidRPr="005A3C5A">
              <w:t>6</w:t>
            </w:r>
            <w:r w:rsidR="000862BF" w:rsidRPr="005A3C5A">
              <w:t> </w:t>
            </w:r>
            <w:r w:rsidRPr="005A3C5A">
              <w:t>343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A20C58" w14:textId="1F109C0F" w:rsidR="473061DD" w:rsidRPr="005A3C5A" w:rsidRDefault="5E6A3132" w:rsidP="005A3C5A">
            <w:pPr>
              <w:pStyle w:val="Tabletext"/>
              <w:jc w:val="center"/>
            </w:pPr>
            <w:r w:rsidRPr="005A3C5A">
              <w:t>4</w:t>
            </w:r>
            <w:r w:rsidR="00A01483" w:rsidRPr="005A3C5A">
              <w:t> </w:t>
            </w:r>
            <w:r w:rsidRPr="005A3C5A">
              <w:t>486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66D9C9" w14:textId="58BE64CE" w:rsidR="473061DD" w:rsidRPr="005A3C5A" w:rsidRDefault="5E6A3132" w:rsidP="005A3C5A">
            <w:pPr>
              <w:pStyle w:val="Tabletext"/>
              <w:jc w:val="center"/>
            </w:pPr>
            <w:r w:rsidRPr="005A3C5A">
              <w:t>2</w:t>
            </w:r>
            <w:r w:rsidR="00A01483" w:rsidRPr="005A3C5A">
              <w:t> </w:t>
            </w:r>
            <w:r w:rsidRPr="005A3C5A">
              <w:t>054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F5FCB4" w14:textId="1181940A" w:rsidR="473061DD" w:rsidRPr="005A3C5A" w:rsidRDefault="5E6A3132" w:rsidP="005A3C5A">
            <w:pPr>
              <w:pStyle w:val="Tabletext"/>
              <w:jc w:val="center"/>
              <w:rPr>
                <w:b/>
                <w:bCs/>
              </w:rPr>
            </w:pPr>
            <w:r w:rsidRPr="005A3C5A">
              <w:rPr>
                <w:b/>
                <w:bCs/>
              </w:rPr>
              <w:t>17</w:t>
            </w:r>
            <w:r w:rsidR="00FD58E8" w:rsidRPr="005A3C5A">
              <w:rPr>
                <w:b/>
                <w:bCs/>
              </w:rPr>
              <w:t> </w:t>
            </w:r>
            <w:r w:rsidRPr="005A3C5A">
              <w:rPr>
                <w:b/>
                <w:bCs/>
              </w:rPr>
              <w:t>679</w:t>
            </w:r>
          </w:p>
        </w:tc>
      </w:tr>
      <w:tr w:rsidR="473061DD" w:rsidRPr="005A3C5A" w14:paraId="50811D9C"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85B661" w14:textId="2DAC5B02" w:rsidR="473061DD" w:rsidRPr="005A3C5A" w:rsidRDefault="5E6A3132" w:rsidP="005A3C5A">
            <w:pPr>
              <w:pStyle w:val="Tablehead"/>
              <w:rPr>
                <w:bCs/>
              </w:rPr>
            </w:pPr>
            <w:r w:rsidRPr="005A3C5A">
              <w:rPr>
                <w:bCs/>
              </w:rPr>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AE7E16" w14:textId="2A06FF08" w:rsidR="473061DD" w:rsidRPr="005A3C5A" w:rsidRDefault="5E6A3132" w:rsidP="005A3C5A">
            <w:pPr>
              <w:pStyle w:val="Tabletext"/>
              <w:jc w:val="center"/>
            </w:pPr>
            <w:r w:rsidRPr="005A3C5A">
              <w:t>4</w:t>
            </w:r>
            <w:r w:rsidR="000862BF" w:rsidRPr="005A3C5A">
              <w:t> </w:t>
            </w:r>
            <w:r w:rsidRPr="005A3C5A">
              <w:t>222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FC8BD4" w14:textId="6219D4C4" w:rsidR="473061DD" w:rsidRPr="005A3C5A" w:rsidRDefault="5E6A3132" w:rsidP="005A3C5A">
            <w:pPr>
              <w:pStyle w:val="Tabletext"/>
              <w:jc w:val="center"/>
            </w:pPr>
            <w:r w:rsidRPr="005A3C5A">
              <w:t>4</w:t>
            </w:r>
            <w:r w:rsidR="000862BF" w:rsidRPr="005A3C5A">
              <w:t> </w:t>
            </w:r>
            <w:r w:rsidRPr="005A3C5A">
              <w:t>834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9BD2EA" w14:textId="02543686" w:rsidR="473061DD" w:rsidRPr="005A3C5A" w:rsidRDefault="5E6A3132" w:rsidP="005A3C5A">
            <w:pPr>
              <w:pStyle w:val="Tabletext"/>
              <w:jc w:val="center"/>
            </w:pPr>
            <w:r w:rsidRPr="005A3C5A">
              <w:t>4840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707A4D" w14:textId="64560D45" w:rsidR="473061DD" w:rsidRPr="005A3C5A" w:rsidRDefault="5E6A3132" w:rsidP="005A3C5A">
            <w:pPr>
              <w:pStyle w:val="Tabletext"/>
              <w:jc w:val="center"/>
            </w:pPr>
            <w:r w:rsidRPr="005A3C5A">
              <w:t>2</w:t>
            </w:r>
            <w:r w:rsidR="00A01483" w:rsidRPr="005A3C5A">
              <w:t> </w:t>
            </w:r>
            <w:r w:rsidRPr="005A3C5A">
              <w:t>159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B1C8F5" w14:textId="4086E1A7" w:rsidR="473061DD" w:rsidRPr="005A3C5A" w:rsidRDefault="5E6A3132" w:rsidP="005A3C5A">
            <w:pPr>
              <w:pStyle w:val="Tabletext"/>
              <w:jc w:val="center"/>
              <w:rPr>
                <w:b/>
                <w:bCs/>
              </w:rPr>
            </w:pPr>
            <w:r w:rsidRPr="005A3C5A">
              <w:rPr>
                <w:b/>
                <w:bCs/>
              </w:rPr>
              <w:t>16055</w:t>
            </w:r>
          </w:p>
        </w:tc>
      </w:tr>
      <w:tr w:rsidR="473061DD" w:rsidRPr="005A3C5A" w14:paraId="4B0B5C90"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445DDA" w14:textId="35E5F617" w:rsidR="473061DD" w:rsidRPr="005A3C5A" w:rsidRDefault="5E6A3132" w:rsidP="005A3C5A">
            <w:pPr>
              <w:pStyle w:val="Tablehead"/>
              <w:rPr>
                <w:bCs/>
              </w:rPr>
            </w:pPr>
            <w:r w:rsidRPr="005A3C5A">
              <w:rPr>
                <w:bCs/>
              </w:rPr>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3B1951" w14:textId="105A28C2" w:rsidR="473061DD" w:rsidRPr="005A3C5A" w:rsidRDefault="5E6A3132" w:rsidP="005A3C5A">
            <w:pPr>
              <w:pStyle w:val="Tabletext"/>
              <w:jc w:val="center"/>
            </w:pPr>
            <w:r w:rsidRPr="005A3C5A">
              <w:t>387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ACF77A" w14:textId="4444245C" w:rsidR="473061DD" w:rsidRPr="005A3C5A" w:rsidRDefault="5E6A3132" w:rsidP="005A3C5A">
            <w:pPr>
              <w:pStyle w:val="Tabletext"/>
              <w:jc w:val="center"/>
            </w:pPr>
            <w:r w:rsidRPr="005A3C5A">
              <w:t>397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1E9876" w14:textId="15214C6D" w:rsidR="473061DD" w:rsidRPr="005A3C5A" w:rsidRDefault="5E6A3132" w:rsidP="005A3C5A">
            <w:pPr>
              <w:pStyle w:val="Tabletext"/>
              <w:jc w:val="center"/>
            </w:pPr>
            <w:r w:rsidRPr="005A3C5A">
              <w:t>326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9542C1" w14:textId="50774A63" w:rsidR="473061DD" w:rsidRPr="005A3C5A" w:rsidRDefault="5E6A3132" w:rsidP="005A3C5A">
            <w:pPr>
              <w:pStyle w:val="Tabletext"/>
              <w:jc w:val="center"/>
            </w:pPr>
            <w:r w:rsidRPr="005A3C5A">
              <w:t>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4A529E" w14:textId="16F7174D" w:rsidR="473061DD" w:rsidRPr="005A3C5A" w:rsidRDefault="5E6A3132" w:rsidP="005A3C5A">
            <w:pPr>
              <w:pStyle w:val="Tabletext"/>
              <w:jc w:val="center"/>
              <w:rPr>
                <w:b/>
                <w:bCs/>
              </w:rPr>
            </w:pPr>
            <w:r w:rsidRPr="005A3C5A">
              <w:rPr>
                <w:b/>
                <w:bCs/>
              </w:rPr>
              <w:t>1</w:t>
            </w:r>
            <w:r w:rsidR="00FD58E8" w:rsidRPr="005A3C5A">
              <w:rPr>
                <w:b/>
                <w:bCs/>
              </w:rPr>
              <w:t> </w:t>
            </w:r>
            <w:r w:rsidRPr="005A3C5A">
              <w:rPr>
                <w:b/>
                <w:bCs/>
              </w:rPr>
              <w:t>237</w:t>
            </w:r>
          </w:p>
        </w:tc>
      </w:tr>
      <w:tr w:rsidR="473061DD" w:rsidRPr="005A3C5A" w14:paraId="4D8BC2AC"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C3AD0E" w14:textId="4D924A74" w:rsidR="473061DD" w:rsidRPr="005A3C5A" w:rsidRDefault="5E6A3132" w:rsidP="005A3C5A">
            <w:pPr>
              <w:pStyle w:val="Tablehead"/>
              <w:rPr>
                <w:bCs/>
              </w:rPr>
            </w:pPr>
            <w:r w:rsidRPr="005A3C5A">
              <w:rPr>
                <w:bCs/>
              </w:rPr>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140A7D" w14:textId="04110291" w:rsidR="473061DD" w:rsidRPr="005A3C5A" w:rsidRDefault="5E6A3132" w:rsidP="005A3C5A">
            <w:pPr>
              <w:pStyle w:val="Tabletext"/>
              <w:jc w:val="center"/>
            </w:pPr>
            <w:r w:rsidRPr="005A3C5A">
              <w:t xml:space="preserve"> </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14EDD" w14:textId="532758FD" w:rsidR="473061DD" w:rsidRPr="005A3C5A" w:rsidRDefault="5E6A3132" w:rsidP="005A3C5A">
            <w:pPr>
              <w:pStyle w:val="Tabletext"/>
              <w:jc w:val="center"/>
            </w:pPr>
            <w:r w:rsidRPr="005A3C5A">
              <w:t>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DD904F" w14:textId="3A74E832" w:rsidR="473061DD" w:rsidRPr="005A3C5A" w:rsidRDefault="5E6A3132" w:rsidP="005A3C5A">
            <w:pPr>
              <w:pStyle w:val="Tabletext"/>
              <w:jc w:val="center"/>
            </w:pPr>
            <w:r w:rsidRPr="005A3C5A">
              <w:t>466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52CDB8" w14:textId="624D4BC6" w:rsidR="473061DD" w:rsidRPr="005A3C5A" w:rsidRDefault="5E6A3132" w:rsidP="005A3C5A">
            <w:pPr>
              <w:pStyle w:val="Tabletext"/>
              <w:jc w:val="center"/>
            </w:pPr>
            <w:r w:rsidRPr="005A3C5A">
              <w:t>235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1A5A16" w14:textId="7E5E6E72" w:rsidR="473061DD" w:rsidRPr="005A3C5A" w:rsidRDefault="5E6A3132" w:rsidP="005A3C5A">
            <w:pPr>
              <w:pStyle w:val="Tabletext"/>
              <w:jc w:val="center"/>
              <w:rPr>
                <w:b/>
                <w:bCs/>
              </w:rPr>
            </w:pPr>
            <w:r w:rsidRPr="005A3C5A">
              <w:rPr>
                <w:b/>
                <w:bCs/>
              </w:rPr>
              <w:t>798</w:t>
            </w:r>
          </w:p>
        </w:tc>
      </w:tr>
      <w:tr w:rsidR="473061DD" w:rsidRPr="005A3C5A" w14:paraId="2FCC4C53"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DC0317" w14:textId="4F39A332" w:rsidR="473061DD" w:rsidRPr="005A3C5A" w:rsidRDefault="5E6A3132" w:rsidP="005A3C5A">
            <w:pPr>
              <w:pStyle w:val="Tablehead"/>
              <w:rPr>
                <w:bCs/>
              </w:rPr>
            </w:pPr>
            <w:r w:rsidRPr="005A3C5A">
              <w:rPr>
                <w:bCs/>
              </w:rPr>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C053B" w14:textId="30A9A5AD" w:rsidR="473061DD" w:rsidRPr="005A3C5A" w:rsidRDefault="5E6A3132" w:rsidP="005A3C5A">
            <w:pPr>
              <w:pStyle w:val="Tabletext"/>
              <w:jc w:val="center"/>
            </w:pPr>
            <w:r w:rsidRPr="005A3C5A">
              <w:t>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D22B81" w14:textId="1D5BB90B" w:rsidR="473061DD" w:rsidRPr="005A3C5A" w:rsidRDefault="5E6A3132" w:rsidP="005A3C5A">
            <w:pPr>
              <w:pStyle w:val="Tabletext"/>
              <w:jc w:val="center"/>
            </w:pPr>
            <w:r w:rsidRPr="005A3C5A">
              <w:t>61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A6C6B" w14:textId="3CA7F0EB" w:rsidR="473061DD" w:rsidRPr="005A3C5A" w:rsidRDefault="5E6A3132" w:rsidP="005A3C5A">
            <w:pPr>
              <w:pStyle w:val="Tabletext"/>
              <w:jc w:val="center"/>
            </w:pPr>
            <w:r w:rsidRPr="005A3C5A">
              <w:t>88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6A4E2F" w14:textId="1DD009D2" w:rsidR="473061DD" w:rsidRPr="005A3C5A" w:rsidRDefault="5E6A3132" w:rsidP="005A3C5A">
            <w:pPr>
              <w:pStyle w:val="Tabletext"/>
              <w:jc w:val="center"/>
            </w:pPr>
            <w:r w:rsidRPr="005A3C5A">
              <w:t>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C08759" w14:textId="4AED0BFE" w:rsidR="473061DD" w:rsidRPr="005A3C5A" w:rsidRDefault="5E6A3132" w:rsidP="005A3C5A">
            <w:pPr>
              <w:pStyle w:val="Tabletext"/>
              <w:jc w:val="center"/>
              <w:rPr>
                <w:b/>
                <w:bCs/>
              </w:rPr>
            </w:pPr>
            <w:r w:rsidRPr="005A3C5A">
              <w:rPr>
                <w:b/>
                <w:bCs/>
              </w:rPr>
              <w:t>255</w:t>
            </w:r>
          </w:p>
        </w:tc>
      </w:tr>
      <w:tr w:rsidR="473061DD" w:rsidRPr="005A3C5A" w14:paraId="3FEC5CBB" w14:textId="77777777" w:rsidTr="005A3C5A">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D74C6" w14:textId="10B388F3" w:rsidR="473061DD" w:rsidRPr="005A3C5A" w:rsidRDefault="5E6A3132" w:rsidP="005A3C5A">
            <w:pPr>
              <w:pStyle w:val="Tablehead"/>
              <w:rPr>
                <w:b w:val="0"/>
              </w:rPr>
            </w:pPr>
            <w:r w:rsidRPr="005A3C5A">
              <w:rPr>
                <w:bCs/>
              </w:rPr>
              <w:t>Total</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D80D0A" w14:textId="389EF38B" w:rsidR="473061DD" w:rsidRPr="005A3C5A" w:rsidRDefault="5E6A3132" w:rsidP="005A3C5A">
            <w:pPr>
              <w:pStyle w:val="Tabletext"/>
              <w:jc w:val="center"/>
              <w:rPr>
                <w:b/>
                <w:bCs/>
              </w:rPr>
            </w:pPr>
            <w:r w:rsidRPr="005A3C5A">
              <w:rPr>
                <w:b/>
                <w:bCs/>
              </w:rPr>
              <w:t>362</w:t>
            </w:r>
            <w:r w:rsidR="00FD58E8" w:rsidRPr="005A3C5A">
              <w:rPr>
                <w:b/>
                <w:bCs/>
              </w:rPr>
              <w:t> </w:t>
            </w:r>
            <w:r w:rsidRPr="005A3C5A">
              <w:rPr>
                <w:b/>
                <w:bCs/>
              </w:rPr>
              <w:t>382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4E61A9" w14:textId="63E256DA" w:rsidR="473061DD" w:rsidRPr="005A3C5A" w:rsidRDefault="5E6A3132" w:rsidP="005A3C5A">
            <w:pPr>
              <w:pStyle w:val="Tabletext"/>
              <w:jc w:val="center"/>
              <w:rPr>
                <w:b/>
                <w:bCs/>
              </w:rPr>
            </w:pPr>
            <w:r w:rsidRPr="005A3C5A">
              <w:rPr>
                <w:b/>
                <w:bCs/>
              </w:rPr>
              <w:t>459</w:t>
            </w:r>
            <w:r w:rsidR="00FD58E8" w:rsidRPr="005A3C5A">
              <w:rPr>
                <w:b/>
                <w:bCs/>
              </w:rPr>
              <w:t> </w:t>
            </w:r>
            <w:r w:rsidRPr="005A3C5A">
              <w:rPr>
                <w:b/>
                <w:bCs/>
              </w:rPr>
              <w:t>521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FAC38A" w14:textId="41B224EA" w:rsidR="473061DD" w:rsidRPr="005A3C5A" w:rsidRDefault="5E6A3132" w:rsidP="005A3C5A">
            <w:pPr>
              <w:pStyle w:val="Tabletext"/>
              <w:jc w:val="center"/>
              <w:rPr>
                <w:b/>
                <w:bCs/>
              </w:rPr>
            </w:pPr>
            <w:r w:rsidRPr="005A3C5A">
              <w:rPr>
                <w:b/>
                <w:bCs/>
              </w:rPr>
              <w:t>380</w:t>
            </w:r>
            <w:r w:rsidR="00FD58E8" w:rsidRPr="005A3C5A">
              <w:rPr>
                <w:b/>
                <w:bCs/>
              </w:rPr>
              <w:t> </w:t>
            </w:r>
            <w:r w:rsidRPr="005A3C5A">
              <w:rPr>
                <w:b/>
                <w:bCs/>
              </w:rPr>
              <w:t>758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AB1652" w14:textId="6DA28E43" w:rsidR="473061DD" w:rsidRPr="005A3C5A" w:rsidRDefault="5E6A3132" w:rsidP="005A3C5A">
            <w:pPr>
              <w:pStyle w:val="Tabletext"/>
              <w:jc w:val="center"/>
              <w:rPr>
                <w:b/>
                <w:bCs/>
              </w:rPr>
            </w:pPr>
            <w:r w:rsidRPr="005A3C5A">
              <w:rPr>
                <w:b/>
                <w:bCs/>
              </w:rPr>
              <w:t>154</w:t>
            </w:r>
            <w:r w:rsidR="00FD58E8" w:rsidRPr="005A3C5A">
              <w:rPr>
                <w:b/>
                <w:bCs/>
              </w:rPr>
              <w:t> </w:t>
            </w:r>
            <w:r w:rsidRPr="005A3C5A">
              <w:rPr>
                <w:b/>
                <w:bCs/>
              </w:rPr>
              <w:t>989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165672" w14:textId="602D0E19" w:rsidR="473061DD" w:rsidRPr="005A3C5A" w:rsidRDefault="5E6A3132" w:rsidP="005A3C5A">
            <w:pPr>
              <w:pStyle w:val="Tabletext"/>
              <w:jc w:val="center"/>
              <w:rPr>
                <w:b/>
                <w:bCs/>
              </w:rPr>
            </w:pPr>
            <w:r w:rsidRPr="005A3C5A">
              <w:rPr>
                <w:b/>
                <w:bCs/>
              </w:rPr>
              <w:t>1</w:t>
            </w:r>
            <w:r w:rsidR="00FD58E8" w:rsidRPr="005A3C5A">
              <w:rPr>
                <w:b/>
                <w:bCs/>
              </w:rPr>
              <w:t> </w:t>
            </w:r>
            <w:r w:rsidRPr="005A3C5A">
              <w:rPr>
                <w:b/>
                <w:bCs/>
              </w:rPr>
              <w:t>357</w:t>
            </w:r>
            <w:r w:rsidR="00FD58E8" w:rsidRPr="005A3C5A">
              <w:rPr>
                <w:b/>
                <w:bCs/>
              </w:rPr>
              <w:t> </w:t>
            </w:r>
            <w:r w:rsidRPr="005A3C5A">
              <w:rPr>
                <w:b/>
                <w:bCs/>
              </w:rPr>
              <w:t>650</w:t>
            </w:r>
          </w:p>
        </w:tc>
      </w:tr>
      <w:tr w:rsidR="005A3C5A" w:rsidRPr="005A3C5A" w14:paraId="669086C1" w14:textId="77777777" w:rsidTr="005A3C5A">
        <w:trPr>
          <w:trHeight w:val="300"/>
          <w:jc w:val="center"/>
        </w:trPr>
        <w:tc>
          <w:tcPr>
            <w:tcW w:w="9630" w:type="dxa"/>
            <w:gridSpan w:val="6"/>
            <w:tcBorders>
              <w:top w:val="single" w:sz="4" w:space="0" w:color="auto"/>
            </w:tcBorders>
            <w:tcMar>
              <w:top w:w="15" w:type="dxa"/>
              <w:left w:w="15" w:type="dxa"/>
              <w:right w:w="15" w:type="dxa"/>
            </w:tcMar>
            <w:vAlign w:val="bottom"/>
          </w:tcPr>
          <w:p w14:paraId="7CBFD663" w14:textId="0C2E0937" w:rsidR="005A3C5A" w:rsidRPr="005A3C5A" w:rsidRDefault="005A3C5A" w:rsidP="005A3C5A">
            <w:pPr>
              <w:pStyle w:val="Tablelegend"/>
              <w:rPr>
                <w:b/>
                <w:bCs/>
              </w:rPr>
            </w:pPr>
            <w:r w:rsidRPr="005A3C5A">
              <w:t>*Up to April. 2023</w:t>
            </w:r>
          </w:p>
        </w:tc>
      </w:tr>
    </w:tbl>
    <w:p w14:paraId="4A31F0F5" w14:textId="77777777" w:rsidR="005A3C5A" w:rsidRDefault="005A3C5A" w:rsidP="005A3C5A">
      <w:pPr>
        <w:pStyle w:val="Tablefin"/>
        <w:rPr>
          <w:lang w:val="en-US" w:eastAsia="zh-CN"/>
        </w:rPr>
      </w:pPr>
    </w:p>
    <w:p w14:paraId="7DF1D4B0" w14:textId="00306340" w:rsidR="00C74DA0" w:rsidRPr="005A3C5A" w:rsidRDefault="00C74DA0" w:rsidP="00C74DA0">
      <w:pPr>
        <w:rPr>
          <w:lang w:val="en-US" w:eastAsia="zh-CN"/>
        </w:rPr>
      </w:pPr>
      <w:r w:rsidRPr="005A3C5A">
        <w:rPr>
          <w:lang w:val="en-US" w:eastAsia="zh-CN"/>
        </w:rPr>
        <w:t xml:space="preserve">As indicated in the table, </w:t>
      </w:r>
      <w:r w:rsidR="3528FF6D" w:rsidRPr="005A3C5A">
        <w:rPr>
          <w:lang w:val="en-US" w:eastAsia="zh-CN"/>
        </w:rPr>
        <w:t xml:space="preserve">almost </w:t>
      </w:r>
      <w:r w:rsidR="79EC595D" w:rsidRPr="005A3C5A">
        <w:rPr>
          <w:lang w:val="en-US" w:eastAsia="zh-CN"/>
        </w:rPr>
        <w:t>6</w:t>
      </w:r>
      <w:r w:rsidR="4638F85D" w:rsidRPr="005A3C5A">
        <w:rPr>
          <w:lang w:val="en-US" w:eastAsia="zh-CN"/>
        </w:rPr>
        <w:t>0</w:t>
      </w:r>
      <w:r w:rsidRPr="005A3C5A">
        <w:rPr>
          <w:lang w:val="en-US" w:eastAsia="zh-CN"/>
        </w:rPr>
        <w:t xml:space="preserve"> per cent of downloads are of Series </w:t>
      </w:r>
      <w:r w:rsidR="5314D588" w:rsidRPr="005A3C5A">
        <w:rPr>
          <w:lang w:val="en-US" w:eastAsia="zh-CN"/>
        </w:rPr>
        <w:t>S</w:t>
      </w:r>
      <w:r w:rsidR="4638F85D" w:rsidRPr="005A3C5A">
        <w:rPr>
          <w:lang w:val="en-US" w:eastAsia="zh-CN"/>
        </w:rPr>
        <w:t xml:space="preserve">M </w:t>
      </w:r>
      <w:r w:rsidR="43D71133" w:rsidRPr="005A3C5A">
        <w:rPr>
          <w:lang w:val="en-US" w:eastAsia="zh-CN"/>
        </w:rPr>
        <w:t xml:space="preserve">and </w:t>
      </w:r>
      <w:r w:rsidRPr="005A3C5A">
        <w:rPr>
          <w:lang w:val="en-US" w:eastAsia="zh-CN"/>
        </w:rPr>
        <w:t>M (</w:t>
      </w:r>
      <w:r w:rsidR="14C05A54" w:rsidRPr="005A3C5A">
        <w:rPr>
          <w:lang w:val="en-US" w:eastAsia="zh-CN"/>
        </w:rPr>
        <w:t xml:space="preserve">Spectrum management, </w:t>
      </w:r>
      <w:r w:rsidRPr="005A3C5A">
        <w:rPr>
          <w:lang w:val="en-US" w:eastAsia="zh-CN"/>
        </w:rPr>
        <w:t xml:space="preserve">Mobile), which illustrates the worldwide recognition of ITU-R works on this matter. </w:t>
      </w:r>
    </w:p>
    <w:p w14:paraId="41794F76" w14:textId="365E2B0B" w:rsidR="00C74DA0" w:rsidRPr="005514B3" w:rsidRDefault="00C74DA0" w:rsidP="00C74DA0">
      <w:pPr>
        <w:pStyle w:val="Heading4"/>
      </w:pPr>
      <w:r w:rsidRPr="005514B3">
        <w:t>6.1.4.4</w:t>
      </w:r>
      <w:r w:rsidRPr="005514B3">
        <w:tab/>
        <w:t>ITU-R Handbooks</w:t>
      </w:r>
    </w:p>
    <w:p w14:paraId="0BD5D7D8" w14:textId="7E6C1CD2" w:rsidR="5D4D2018" w:rsidRPr="005514B3" w:rsidRDefault="23A92002" w:rsidP="005514B3">
      <w:pPr>
        <w:spacing w:line="259" w:lineRule="auto"/>
      </w:pPr>
      <w:r w:rsidRPr="005514B3">
        <w:t>ITU-R Handbooks are free to download at the ITU website.</w:t>
      </w:r>
      <w:r w:rsidR="3B7C12F8" w:rsidRPr="005514B3">
        <w:t xml:space="preserve"> </w:t>
      </w:r>
      <w:r w:rsidR="652F514F" w:rsidRPr="005514B3">
        <w:t>M</w:t>
      </w:r>
      <w:r w:rsidR="697BC5F7" w:rsidRPr="005514B3">
        <w:t>ore</w:t>
      </w:r>
      <w:r w:rsidRPr="005514B3">
        <w:t xml:space="preserve"> than 100</w:t>
      </w:r>
      <w:r w:rsidR="005514B3">
        <w:t> </w:t>
      </w:r>
      <w:r w:rsidRPr="005514B3">
        <w:t xml:space="preserve">000 downloads were registered in 2022. Table </w:t>
      </w:r>
      <w:r w:rsidR="664EFB46" w:rsidRPr="005514B3">
        <w:t>6</w:t>
      </w:r>
      <w:r w:rsidRPr="005514B3">
        <w:t>.1.4.4</w:t>
      </w:r>
      <w:r w:rsidR="37596655" w:rsidRPr="005514B3">
        <w:t>-</w:t>
      </w:r>
      <w:r w:rsidRPr="005514B3">
        <w:t>1 provides the distribution of ITU-R Handbooks on spectrum management series as well as other handbooks that are sold.</w:t>
      </w:r>
    </w:p>
    <w:p w14:paraId="68B87B53" w14:textId="7AFFEAEC" w:rsidR="5D4D2018" w:rsidRPr="005514B3" w:rsidRDefault="5D4D2018">
      <w:pPr>
        <w:rPr>
          <w:szCs w:val="24"/>
        </w:rPr>
      </w:pPr>
      <w:proofErr w:type="gramStart"/>
      <w:r w:rsidRPr="005514B3">
        <w:rPr>
          <w:szCs w:val="24"/>
        </w:rPr>
        <w:t>At this time</w:t>
      </w:r>
      <w:proofErr w:type="gramEnd"/>
      <w:r w:rsidRPr="005514B3">
        <w:rPr>
          <w:szCs w:val="24"/>
        </w:rPr>
        <w:t>, a total of 47 ITU-R Handbooks are published including the Spectrum Management Series.</w:t>
      </w:r>
    </w:p>
    <w:p w14:paraId="6407772F" w14:textId="77777777" w:rsidR="00C74DA0" w:rsidRPr="005514B3" w:rsidRDefault="00C74DA0" w:rsidP="001E1CF0">
      <w:pPr>
        <w:pStyle w:val="TableNo"/>
        <w:keepLines/>
      </w:pPr>
      <w:r w:rsidRPr="005514B3">
        <w:t>Table 6.1.4.4-1</w:t>
      </w:r>
    </w:p>
    <w:p w14:paraId="0D74423C" w14:textId="0A0FF9D5" w:rsidR="00C74DA0" w:rsidRPr="005514B3" w:rsidRDefault="00C74DA0" w:rsidP="001E1CF0">
      <w:pPr>
        <w:pStyle w:val="Tabletitle"/>
      </w:pPr>
      <w:r w:rsidRPr="005514B3">
        <w:t>Distribution of ITU-R Handbooks 20</w:t>
      </w:r>
      <w:r w:rsidR="13397766" w:rsidRPr="005514B3">
        <w:t>20</w:t>
      </w:r>
      <w:r w:rsidR="4638F85D" w:rsidRPr="005514B3">
        <w:t>-20</w:t>
      </w:r>
      <w:r w:rsidR="3258891D" w:rsidRPr="005514B3">
        <w:t>23</w:t>
      </w:r>
    </w:p>
    <w:tbl>
      <w:tblPr>
        <w:tblStyle w:val="PlainTable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926"/>
        <w:gridCol w:w="1926"/>
        <w:gridCol w:w="1926"/>
        <w:gridCol w:w="1926"/>
      </w:tblGrid>
      <w:tr w:rsidR="56A0F693" w:rsidRPr="005514B3" w14:paraId="26FFCE34" w14:textId="77777777" w:rsidTr="005514B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019921C6" w14:textId="05C31D2F" w:rsidR="56A0F693" w:rsidRPr="005514B3" w:rsidRDefault="56A0F693" w:rsidP="00213C1B">
            <w:pPr>
              <w:pStyle w:val="Tablehead"/>
              <w:rPr>
                <w:b/>
                <w:lang w:val="en-US"/>
              </w:rPr>
            </w:pPr>
            <w:r w:rsidRPr="005514B3">
              <w:rPr>
                <w:lang w:val="en-US"/>
              </w:rPr>
              <w:t>Handbook</w:t>
            </w:r>
          </w:p>
        </w:tc>
        <w:tc>
          <w:tcPr>
            <w:tcW w:w="1926" w:type="dxa"/>
            <w:tcMar>
              <w:left w:w="108" w:type="dxa"/>
              <w:right w:w="108" w:type="dxa"/>
            </w:tcMar>
          </w:tcPr>
          <w:p w14:paraId="5D2E4DD1" w14:textId="3420DE12" w:rsidR="56A0F693" w:rsidRPr="005514B3" w:rsidRDefault="56A0F693" w:rsidP="00213C1B">
            <w:pPr>
              <w:pStyle w:val="Tablehead"/>
              <w:cnfStyle w:val="100000000000" w:firstRow="1" w:lastRow="0" w:firstColumn="0" w:lastColumn="0" w:oddVBand="0" w:evenVBand="0" w:oddHBand="0" w:evenHBand="0" w:firstRowFirstColumn="0" w:firstRowLastColumn="0" w:lastRowFirstColumn="0" w:lastRowLastColumn="0"/>
              <w:rPr>
                <w:b/>
                <w:lang w:val="en-US"/>
              </w:rPr>
            </w:pPr>
            <w:r w:rsidRPr="005514B3">
              <w:rPr>
                <w:lang w:val="en-US"/>
              </w:rPr>
              <w:t>2020</w:t>
            </w:r>
          </w:p>
        </w:tc>
        <w:tc>
          <w:tcPr>
            <w:tcW w:w="1926" w:type="dxa"/>
            <w:tcMar>
              <w:left w:w="108" w:type="dxa"/>
              <w:right w:w="108" w:type="dxa"/>
            </w:tcMar>
          </w:tcPr>
          <w:p w14:paraId="00C5B29C" w14:textId="59B741C3" w:rsidR="56A0F693" w:rsidRPr="005514B3" w:rsidRDefault="56A0F693" w:rsidP="00213C1B">
            <w:pPr>
              <w:pStyle w:val="Tablehead"/>
              <w:cnfStyle w:val="100000000000" w:firstRow="1" w:lastRow="0" w:firstColumn="0" w:lastColumn="0" w:oddVBand="0" w:evenVBand="0" w:oddHBand="0" w:evenHBand="0" w:firstRowFirstColumn="0" w:firstRowLastColumn="0" w:lastRowFirstColumn="0" w:lastRowLastColumn="0"/>
              <w:rPr>
                <w:b/>
                <w:lang w:val="en-US"/>
              </w:rPr>
            </w:pPr>
            <w:r w:rsidRPr="005514B3">
              <w:rPr>
                <w:lang w:val="en-US"/>
              </w:rPr>
              <w:t>2021</w:t>
            </w:r>
          </w:p>
        </w:tc>
        <w:tc>
          <w:tcPr>
            <w:tcW w:w="1926" w:type="dxa"/>
            <w:tcMar>
              <w:left w:w="108" w:type="dxa"/>
              <w:right w:w="108" w:type="dxa"/>
            </w:tcMar>
          </w:tcPr>
          <w:p w14:paraId="0D327E7A" w14:textId="23A12DB4" w:rsidR="56A0F693" w:rsidRPr="005514B3" w:rsidRDefault="56A0F693" w:rsidP="00213C1B">
            <w:pPr>
              <w:pStyle w:val="Tablehead"/>
              <w:cnfStyle w:val="100000000000" w:firstRow="1" w:lastRow="0" w:firstColumn="0" w:lastColumn="0" w:oddVBand="0" w:evenVBand="0" w:oddHBand="0" w:evenHBand="0" w:firstRowFirstColumn="0" w:firstRowLastColumn="0" w:lastRowFirstColumn="0" w:lastRowLastColumn="0"/>
              <w:rPr>
                <w:b/>
                <w:lang w:val="en-US"/>
              </w:rPr>
            </w:pPr>
            <w:r w:rsidRPr="005514B3">
              <w:rPr>
                <w:lang w:val="en-US"/>
              </w:rPr>
              <w:t>2022</w:t>
            </w:r>
          </w:p>
        </w:tc>
        <w:tc>
          <w:tcPr>
            <w:tcW w:w="1926" w:type="dxa"/>
            <w:tcMar>
              <w:left w:w="108" w:type="dxa"/>
              <w:right w:w="108" w:type="dxa"/>
            </w:tcMar>
          </w:tcPr>
          <w:p w14:paraId="5745980F" w14:textId="539DFC91" w:rsidR="56A0F693" w:rsidRPr="005514B3" w:rsidRDefault="56A0F693" w:rsidP="00213C1B">
            <w:pPr>
              <w:pStyle w:val="Tablehead"/>
              <w:cnfStyle w:val="100000000000" w:firstRow="1" w:lastRow="0" w:firstColumn="0" w:lastColumn="0" w:oddVBand="0" w:evenVBand="0" w:oddHBand="0" w:evenHBand="0" w:firstRowFirstColumn="0" w:firstRowLastColumn="0" w:lastRowFirstColumn="0" w:lastRowLastColumn="0"/>
              <w:rPr>
                <w:b/>
                <w:lang w:val="en-US"/>
              </w:rPr>
            </w:pPr>
            <w:r w:rsidRPr="005514B3">
              <w:rPr>
                <w:lang w:val="en-US"/>
              </w:rPr>
              <w:t>2023</w:t>
            </w:r>
          </w:p>
        </w:tc>
      </w:tr>
      <w:tr w:rsidR="56A0F693" w:rsidRPr="005514B3" w14:paraId="3495A377" w14:textId="77777777" w:rsidTr="005514B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26" w:type="dxa"/>
            <w:shd w:val="clear" w:color="auto" w:fill="FFFFFF" w:themeFill="background1"/>
            <w:tcMar>
              <w:left w:w="108" w:type="dxa"/>
              <w:right w:w="108" w:type="dxa"/>
            </w:tcMar>
          </w:tcPr>
          <w:p w14:paraId="68F1FC44" w14:textId="4BFA0B2D" w:rsidR="56A0F693" w:rsidRPr="005514B3" w:rsidRDefault="56A0F693" w:rsidP="005514B3">
            <w:pPr>
              <w:pStyle w:val="Tablehead"/>
              <w:rPr>
                <w:color w:val="000000" w:themeColor="text1"/>
                <w:lang w:val="en-US"/>
              </w:rPr>
            </w:pPr>
            <w:r w:rsidRPr="005514B3">
              <w:rPr>
                <w:b/>
                <w:color w:val="000000" w:themeColor="text1"/>
                <w:lang w:val="en-US"/>
              </w:rPr>
              <w:t>Spectrum Management Series (hard copies sold)</w:t>
            </w:r>
          </w:p>
        </w:tc>
        <w:tc>
          <w:tcPr>
            <w:tcW w:w="1926" w:type="dxa"/>
            <w:shd w:val="clear" w:color="auto" w:fill="FFFFFF" w:themeFill="background1"/>
            <w:tcMar>
              <w:left w:w="108" w:type="dxa"/>
              <w:right w:w="108" w:type="dxa"/>
            </w:tcMar>
          </w:tcPr>
          <w:p w14:paraId="641C5F63" w14:textId="2691934D"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514B3">
              <w:rPr>
                <w:color w:val="000000" w:themeColor="text1"/>
                <w:lang w:val="en-US"/>
              </w:rPr>
              <w:t>3</w:t>
            </w:r>
          </w:p>
        </w:tc>
        <w:tc>
          <w:tcPr>
            <w:tcW w:w="1926" w:type="dxa"/>
            <w:shd w:val="clear" w:color="auto" w:fill="FFFFFF" w:themeFill="background1"/>
            <w:tcMar>
              <w:left w:w="108" w:type="dxa"/>
              <w:right w:w="108" w:type="dxa"/>
            </w:tcMar>
          </w:tcPr>
          <w:p w14:paraId="31B7D7C5" w14:textId="780C9421"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514B3">
              <w:rPr>
                <w:color w:val="000000" w:themeColor="text1"/>
                <w:lang w:val="en-US"/>
              </w:rPr>
              <w:t>5</w:t>
            </w:r>
          </w:p>
        </w:tc>
        <w:tc>
          <w:tcPr>
            <w:tcW w:w="1926" w:type="dxa"/>
            <w:shd w:val="clear" w:color="auto" w:fill="FFFFFF" w:themeFill="background1"/>
            <w:tcMar>
              <w:left w:w="108" w:type="dxa"/>
              <w:right w:w="108" w:type="dxa"/>
            </w:tcMar>
          </w:tcPr>
          <w:p w14:paraId="7736752B" w14:textId="4AB3E190"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514B3">
              <w:rPr>
                <w:color w:val="000000" w:themeColor="text1"/>
                <w:lang w:val="en-US"/>
              </w:rPr>
              <w:t>0</w:t>
            </w:r>
          </w:p>
        </w:tc>
        <w:tc>
          <w:tcPr>
            <w:tcW w:w="1926" w:type="dxa"/>
            <w:shd w:val="clear" w:color="auto" w:fill="FFFFFF" w:themeFill="background1"/>
            <w:tcMar>
              <w:left w:w="108" w:type="dxa"/>
              <w:right w:w="108" w:type="dxa"/>
            </w:tcMar>
          </w:tcPr>
          <w:p w14:paraId="71953F16" w14:textId="45BA83B8"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514B3">
              <w:rPr>
                <w:color w:val="000000" w:themeColor="text1"/>
                <w:lang w:val="en-US"/>
              </w:rPr>
              <w:t>NA</w:t>
            </w:r>
          </w:p>
        </w:tc>
      </w:tr>
      <w:tr w:rsidR="56A0F693" w:rsidRPr="005514B3" w14:paraId="15D3CC10" w14:textId="77777777" w:rsidTr="005514B3">
        <w:trPr>
          <w:trHeight w:val="435"/>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539749AC" w14:textId="3CE0F6DC" w:rsidR="56A0F693" w:rsidRPr="005514B3" w:rsidRDefault="56A0F693" w:rsidP="005514B3">
            <w:pPr>
              <w:pStyle w:val="Tablehead"/>
              <w:rPr>
                <w:lang w:val="en-US"/>
              </w:rPr>
            </w:pPr>
            <w:r w:rsidRPr="005514B3">
              <w:rPr>
                <w:b/>
                <w:lang w:val="en-US"/>
              </w:rPr>
              <w:t>Other Handbooks (hard copies sold)</w:t>
            </w:r>
          </w:p>
        </w:tc>
        <w:tc>
          <w:tcPr>
            <w:tcW w:w="1926" w:type="dxa"/>
            <w:tcMar>
              <w:left w:w="108" w:type="dxa"/>
              <w:right w:w="108" w:type="dxa"/>
            </w:tcMar>
          </w:tcPr>
          <w:p w14:paraId="24F49A63" w14:textId="0E93B1DC"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sidRPr="005514B3">
              <w:rPr>
                <w:lang w:val="en-US"/>
              </w:rPr>
              <w:t>4</w:t>
            </w:r>
          </w:p>
        </w:tc>
        <w:tc>
          <w:tcPr>
            <w:tcW w:w="1926" w:type="dxa"/>
            <w:tcMar>
              <w:left w:w="108" w:type="dxa"/>
              <w:right w:w="108" w:type="dxa"/>
            </w:tcMar>
          </w:tcPr>
          <w:p w14:paraId="697754BD" w14:textId="7F6E30C3"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sidRPr="005514B3">
              <w:rPr>
                <w:lang w:val="en-US"/>
              </w:rPr>
              <w:t>5</w:t>
            </w:r>
          </w:p>
        </w:tc>
        <w:tc>
          <w:tcPr>
            <w:tcW w:w="1926" w:type="dxa"/>
            <w:tcMar>
              <w:left w:w="108" w:type="dxa"/>
              <w:right w:w="108" w:type="dxa"/>
            </w:tcMar>
          </w:tcPr>
          <w:p w14:paraId="702A0F6F" w14:textId="2601D06B"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sidRPr="005514B3">
              <w:rPr>
                <w:lang w:val="en-US"/>
              </w:rPr>
              <w:t>4</w:t>
            </w:r>
          </w:p>
        </w:tc>
        <w:tc>
          <w:tcPr>
            <w:tcW w:w="1926" w:type="dxa"/>
            <w:tcMar>
              <w:left w:w="108" w:type="dxa"/>
              <w:right w:w="108" w:type="dxa"/>
            </w:tcMar>
          </w:tcPr>
          <w:p w14:paraId="4CCF57A0" w14:textId="7F653262"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sidRPr="005514B3">
              <w:rPr>
                <w:lang w:val="en-US"/>
              </w:rPr>
              <w:t>NA</w:t>
            </w:r>
          </w:p>
        </w:tc>
      </w:tr>
      <w:tr w:rsidR="56A0F693" w:rsidRPr="005514B3" w14:paraId="5B23A3F5" w14:textId="77777777" w:rsidTr="005514B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4374399E" w14:textId="06243A34" w:rsidR="56A0F693" w:rsidRPr="005514B3" w:rsidRDefault="56A0F693" w:rsidP="005514B3">
            <w:pPr>
              <w:pStyle w:val="Tablehead"/>
              <w:rPr>
                <w:lang w:val="en-US"/>
              </w:rPr>
            </w:pPr>
            <w:r w:rsidRPr="005514B3">
              <w:rPr>
                <w:b/>
                <w:lang w:val="en-US"/>
              </w:rPr>
              <w:t>GRAND TOTAL</w:t>
            </w:r>
          </w:p>
        </w:tc>
        <w:tc>
          <w:tcPr>
            <w:tcW w:w="1926" w:type="dxa"/>
            <w:tcMar>
              <w:left w:w="108" w:type="dxa"/>
              <w:right w:w="108" w:type="dxa"/>
            </w:tcMar>
          </w:tcPr>
          <w:p w14:paraId="01DFBEB1" w14:textId="73198A4E"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7</w:t>
            </w:r>
          </w:p>
        </w:tc>
        <w:tc>
          <w:tcPr>
            <w:tcW w:w="1926" w:type="dxa"/>
            <w:tcMar>
              <w:left w:w="108" w:type="dxa"/>
              <w:right w:w="108" w:type="dxa"/>
            </w:tcMar>
          </w:tcPr>
          <w:p w14:paraId="35DA964F" w14:textId="0BBCE88C"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10</w:t>
            </w:r>
          </w:p>
        </w:tc>
        <w:tc>
          <w:tcPr>
            <w:tcW w:w="1926" w:type="dxa"/>
            <w:tcMar>
              <w:left w:w="108" w:type="dxa"/>
              <w:right w:w="108" w:type="dxa"/>
            </w:tcMar>
          </w:tcPr>
          <w:p w14:paraId="5CDF8D6E" w14:textId="3315E4C2"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4</w:t>
            </w:r>
          </w:p>
        </w:tc>
        <w:tc>
          <w:tcPr>
            <w:tcW w:w="1926" w:type="dxa"/>
            <w:tcMar>
              <w:left w:w="108" w:type="dxa"/>
              <w:right w:w="108" w:type="dxa"/>
            </w:tcMar>
          </w:tcPr>
          <w:p w14:paraId="25CE267A" w14:textId="61668103"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w:t>
            </w:r>
          </w:p>
        </w:tc>
      </w:tr>
      <w:tr w:rsidR="56A0F693" w:rsidRPr="005514B3" w14:paraId="3D628DE7" w14:textId="77777777" w:rsidTr="005514B3">
        <w:trPr>
          <w:trHeight w:val="255"/>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4A9118C3" w14:textId="01C799D4" w:rsidR="56A0F693" w:rsidRPr="005514B3" w:rsidRDefault="56A0F693" w:rsidP="005514B3">
            <w:pPr>
              <w:pStyle w:val="Tablehead"/>
              <w:rPr>
                <w:lang w:val="en-US"/>
              </w:rPr>
            </w:pPr>
            <w:r w:rsidRPr="005514B3">
              <w:rPr>
                <w:b/>
                <w:lang w:val="en-US"/>
              </w:rPr>
              <w:t xml:space="preserve"> </w:t>
            </w:r>
          </w:p>
        </w:tc>
        <w:tc>
          <w:tcPr>
            <w:tcW w:w="1926" w:type="dxa"/>
            <w:tcMar>
              <w:left w:w="108" w:type="dxa"/>
              <w:right w:w="108" w:type="dxa"/>
            </w:tcMar>
          </w:tcPr>
          <w:p w14:paraId="2995D0F5" w14:textId="0E4B695D"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b/>
                <w:bCs/>
                <w:lang w:val="en-US"/>
              </w:rPr>
            </w:pPr>
          </w:p>
        </w:tc>
        <w:tc>
          <w:tcPr>
            <w:tcW w:w="1926" w:type="dxa"/>
            <w:tcMar>
              <w:left w:w="108" w:type="dxa"/>
              <w:right w:w="108" w:type="dxa"/>
            </w:tcMar>
          </w:tcPr>
          <w:p w14:paraId="3C72EE5C" w14:textId="7E15DBBD"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b/>
                <w:bCs/>
                <w:lang w:val="en-US"/>
              </w:rPr>
            </w:pPr>
          </w:p>
        </w:tc>
        <w:tc>
          <w:tcPr>
            <w:tcW w:w="1926" w:type="dxa"/>
            <w:tcMar>
              <w:left w:w="108" w:type="dxa"/>
              <w:right w:w="108" w:type="dxa"/>
            </w:tcMar>
          </w:tcPr>
          <w:p w14:paraId="58F7631C" w14:textId="279BE264"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b/>
                <w:bCs/>
                <w:lang w:val="en-US"/>
              </w:rPr>
            </w:pPr>
          </w:p>
        </w:tc>
        <w:tc>
          <w:tcPr>
            <w:tcW w:w="1926" w:type="dxa"/>
            <w:tcMar>
              <w:left w:w="108" w:type="dxa"/>
              <w:right w:w="108" w:type="dxa"/>
            </w:tcMar>
          </w:tcPr>
          <w:p w14:paraId="1A2FD884" w14:textId="2248CC34" w:rsidR="56A0F693" w:rsidRPr="005514B3" w:rsidRDefault="56A0F693" w:rsidP="005514B3">
            <w:pPr>
              <w:pStyle w:val="Tabletext"/>
              <w:jc w:val="center"/>
              <w:cnfStyle w:val="000000000000" w:firstRow="0" w:lastRow="0" w:firstColumn="0" w:lastColumn="0" w:oddVBand="0" w:evenVBand="0" w:oddHBand="0" w:evenHBand="0" w:firstRowFirstColumn="0" w:firstRowLastColumn="0" w:lastRowFirstColumn="0" w:lastRowLastColumn="0"/>
              <w:rPr>
                <w:b/>
                <w:bCs/>
                <w:lang w:val="en-US"/>
              </w:rPr>
            </w:pPr>
          </w:p>
        </w:tc>
      </w:tr>
      <w:tr w:rsidR="56A0F693" w:rsidRPr="005514B3" w14:paraId="0D9D1AD8" w14:textId="77777777" w:rsidTr="005514B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tcMar>
              <w:left w:w="108" w:type="dxa"/>
              <w:right w:w="108" w:type="dxa"/>
            </w:tcMar>
          </w:tcPr>
          <w:p w14:paraId="3B690923" w14:textId="2FAA548A" w:rsidR="56A0F693" w:rsidRPr="005514B3" w:rsidRDefault="56A0F693" w:rsidP="005514B3">
            <w:pPr>
              <w:pStyle w:val="Tablehead"/>
              <w:rPr>
                <w:lang w:val="en-US"/>
              </w:rPr>
            </w:pPr>
            <w:r w:rsidRPr="005514B3">
              <w:rPr>
                <w:b/>
                <w:lang w:val="en-US"/>
              </w:rPr>
              <w:t>FREE downloads</w:t>
            </w:r>
          </w:p>
        </w:tc>
        <w:tc>
          <w:tcPr>
            <w:tcW w:w="1926" w:type="dxa"/>
            <w:tcBorders>
              <w:bottom w:val="single" w:sz="4" w:space="0" w:color="auto"/>
            </w:tcBorders>
            <w:tcMar>
              <w:left w:w="108" w:type="dxa"/>
              <w:right w:w="108" w:type="dxa"/>
            </w:tcMar>
          </w:tcPr>
          <w:p w14:paraId="62FABFDD" w14:textId="158BFCA6"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79 961</w:t>
            </w:r>
          </w:p>
        </w:tc>
        <w:tc>
          <w:tcPr>
            <w:tcW w:w="1926" w:type="dxa"/>
            <w:tcBorders>
              <w:bottom w:val="single" w:sz="4" w:space="0" w:color="auto"/>
            </w:tcBorders>
            <w:tcMar>
              <w:left w:w="108" w:type="dxa"/>
              <w:right w:w="108" w:type="dxa"/>
            </w:tcMar>
          </w:tcPr>
          <w:p w14:paraId="783111F2" w14:textId="2640D62B" w:rsidR="56A0F693" w:rsidRPr="005514B3" w:rsidRDefault="56A0F693"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126 201</w:t>
            </w:r>
          </w:p>
        </w:tc>
        <w:tc>
          <w:tcPr>
            <w:tcW w:w="1926" w:type="dxa"/>
            <w:tcBorders>
              <w:bottom w:val="single" w:sz="4" w:space="0" w:color="auto"/>
            </w:tcBorders>
            <w:tcMar>
              <w:left w:w="108" w:type="dxa"/>
              <w:right w:w="108" w:type="dxa"/>
            </w:tcMar>
          </w:tcPr>
          <w:p w14:paraId="4962A703" w14:textId="3FEDBEE4" w:rsidR="56A0F693" w:rsidRPr="005514B3" w:rsidRDefault="2D64C03F"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134</w:t>
            </w:r>
            <w:r w:rsidR="47A6735E" w:rsidRPr="005514B3">
              <w:rPr>
                <w:b/>
                <w:bCs/>
                <w:color w:val="000000" w:themeColor="text1"/>
                <w:lang w:val="en-US"/>
              </w:rPr>
              <w:t xml:space="preserve"> </w:t>
            </w:r>
            <w:r w:rsidRPr="005514B3">
              <w:rPr>
                <w:b/>
                <w:bCs/>
                <w:color w:val="000000" w:themeColor="text1"/>
                <w:lang w:val="en-US"/>
              </w:rPr>
              <w:t>159</w:t>
            </w:r>
          </w:p>
        </w:tc>
        <w:tc>
          <w:tcPr>
            <w:tcW w:w="1926" w:type="dxa"/>
            <w:tcBorders>
              <w:bottom w:val="single" w:sz="4" w:space="0" w:color="auto"/>
            </w:tcBorders>
            <w:tcMar>
              <w:left w:w="108" w:type="dxa"/>
              <w:right w:w="108" w:type="dxa"/>
            </w:tcMar>
          </w:tcPr>
          <w:p w14:paraId="48CE8C70" w14:textId="18A6BEE3" w:rsidR="56A0F693" w:rsidRPr="005514B3" w:rsidRDefault="15C3F9BC" w:rsidP="005514B3">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lang w:val="en-US"/>
              </w:rPr>
            </w:pPr>
            <w:r w:rsidRPr="005514B3">
              <w:rPr>
                <w:b/>
                <w:bCs/>
                <w:color w:val="000000" w:themeColor="text1"/>
                <w:lang w:val="en-US"/>
              </w:rPr>
              <w:t>48</w:t>
            </w:r>
            <w:r w:rsidR="51DFF471" w:rsidRPr="005514B3">
              <w:rPr>
                <w:b/>
                <w:bCs/>
                <w:color w:val="000000" w:themeColor="text1"/>
                <w:lang w:val="en-US"/>
              </w:rPr>
              <w:t xml:space="preserve"> </w:t>
            </w:r>
            <w:r w:rsidRPr="005514B3">
              <w:rPr>
                <w:b/>
                <w:bCs/>
                <w:color w:val="000000" w:themeColor="text1"/>
                <w:lang w:val="en-US"/>
              </w:rPr>
              <w:t>175</w:t>
            </w:r>
          </w:p>
        </w:tc>
      </w:tr>
      <w:tr w:rsidR="005514B3" w:rsidRPr="005514B3" w14:paraId="021C2A58" w14:textId="77777777" w:rsidTr="005514B3">
        <w:trPr>
          <w:trHeight w:val="255"/>
        </w:trPr>
        <w:tc>
          <w:tcPr>
            <w:cnfStyle w:val="001000000000" w:firstRow="0" w:lastRow="0" w:firstColumn="1" w:lastColumn="0" w:oddVBand="0" w:evenVBand="0" w:oddHBand="0" w:evenHBand="0" w:firstRowFirstColumn="0" w:firstRowLastColumn="0" w:lastRowFirstColumn="0" w:lastRowLastColumn="0"/>
            <w:tcW w:w="9630" w:type="dxa"/>
            <w:gridSpan w:val="5"/>
            <w:tcBorders>
              <w:left w:val="nil"/>
              <w:bottom w:val="nil"/>
              <w:right w:val="nil"/>
            </w:tcBorders>
            <w:shd w:val="clear" w:color="auto" w:fill="auto"/>
            <w:tcMar>
              <w:left w:w="108" w:type="dxa"/>
              <w:right w:w="108" w:type="dxa"/>
            </w:tcMar>
          </w:tcPr>
          <w:p w14:paraId="164F7A86" w14:textId="1C915CC3" w:rsidR="005514B3" w:rsidRPr="005514B3" w:rsidRDefault="005514B3" w:rsidP="005514B3">
            <w:pPr>
              <w:pStyle w:val="Tablelegend"/>
              <w:rPr>
                <w:b w:val="0"/>
                <w:bCs w:val="0"/>
                <w:color w:val="000000" w:themeColor="text1"/>
                <w:lang w:val="en-US"/>
              </w:rPr>
            </w:pPr>
            <w:r w:rsidRPr="005514B3">
              <w:rPr>
                <w:b w:val="0"/>
                <w:bCs w:val="0"/>
              </w:rPr>
              <w:t>*Up to April. 2023</w:t>
            </w:r>
          </w:p>
        </w:tc>
      </w:tr>
    </w:tbl>
    <w:p w14:paraId="136B0FD8" w14:textId="77777777" w:rsidR="005514B3" w:rsidRDefault="005514B3" w:rsidP="005514B3">
      <w:pPr>
        <w:pStyle w:val="Tablefin"/>
      </w:pPr>
    </w:p>
    <w:p w14:paraId="1C31917F" w14:textId="36CE6328" w:rsidR="00C74DA0" w:rsidRPr="00CF1429" w:rsidRDefault="00C74DA0" w:rsidP="00C74DA0">
      <w:pPr>
        <w:pStyle w:val="Heading3"/>
      </w:pPr>
      <w:bookmarkStart w:id="146" w:name="_Toc143072451"/>
      <w:r w:rsidRPr="00CF1429">
        <w:t>6.1.5</w:t>
      </w:r>
      <w:r w:rsidRPr="00CF1429">
        <w:tab/>
        <w:t>Navigation and analysis tools for ITU-R electronic publications</w:t>
      </w:r>
      <w:bookmarkEnd w:id="146"/>
    </w:p>
    <w:p w14:paraId="34A77558" w14:textId="77777777" w:rsidR="00C74DA0" w:rsidRPr="00150947" w:rsidRDefault="00C74DA0" w:rsidP="00C74DA0">
      <w:pPr>
        <w:pStyle w:val="Heading4"/>
      </w:pPr>
      <w:r w:rsidRPr="00150947">
        <w:t>6.1.5.1</w:t>
      </w:r>
      <w:r w:rsidRPr="00150947">
        <w:tab/>
        <w:t>Radio Regulations tools</w:t>
      </w:r>
    </w:p>
    <w:p w14:paraId="174D9138" w14:textId="77777777" w:rsidR="00C74DA0" w:rsidRPr="00150947" w:rsidRDefault="00C74DA0" w:rsidP="00C74DA0">
      <w:r w:rsidRPr="00150947">
        <w:t>The Bureau has developed software tools to facilitate the use and review of the Radio Regulations and it continues to update and maintain them:</w:t>
      </w:r>
    </w:p>
    <w:p w14:paraId="15C8BDD1" w14:textId="20460E01" w:rsidR="00C74DA0" w:rsidRPr="00150947" w:rsidRDefault="00C74DA0" w:rsidP="00F62908">
      <w:pPr>
        <w:pStyle w:val="enumlev1"/>
      </w:pPr>
      <w:r w:rsidRPr="00150947">
        <w:t>a)</w:t>
      </w:r>
      <w:r w:rsidRPr="00150947">
        <w:tab/>
        <w:t xml:space="preserve">The current version of the Radio Regulation Navigation Tool, which was released during Q2-2022, incorporates the most recent corpus of texts (RR 2020, ITU-R Recommendations, Rules of Procedure 2021 </w:t>
      </w:r>
      <w:r w:rsidR="00F62908" w:rsidRPr="00150947">
        <w:t>R</w:t>
      </w:r>
      <w:r w:rsidRPr="00150947">
        <w:t>ev.2). This version is available for download and purchase at the ITU sales website. Until the 1</w:t>
      </w:r>
      <w:r w:rsidRPr="00150947">
        <w:rPr>
          <w:vertAlign w:val="superscript"/>
        </w:rPr>
        <w:t>st</w:t>
      </w:r>
      <w:r w:rsidRPr="00150947">
        <w:t xml:space="preserve"> of January 2024, yearly free updates will be released to incorporate the latest versions of the </w:t>
      </w:r>
      <w:proofErr w:type="spellStart"/>
      <w:r w:rsidRPr="00150947">
        <w:t>RoP</w:t>
      </w:r>
      <w:proofErr w:type="spellEnd"/>
      <w:r w:rsidRPr="00150947">
        <w:t xml:space="preserve"> when available.</w:t>
      </w:r>
    </w:p>
    <w:p w14:paraId="5126BA0D" w14:textId="14DCAAC2" w:rsidR="00C74DA0" w:rsidRPr="00CF1429" w:rsidRDefault="00C74DA0" w:rsidP="00F62908">
      <w:pPr>
        <w:pStyle w:val="enumlev1"/>
      </w:pPr>
      <w:r w:rsidRPr="00150947">
        <w:t>b)</w:t>
      </w:r>
      <w:r w:rsidRPr="00150947">
        <w:tab/>
        <w:t>The software tool to conduct a detailed search and analysis of the Table of Frequency Allocations in Article 5 of the Radio Regulations, enables filtering and reformatting by frequency range, service, category of service, footnote, country, etc. The tool has been updated based on the outcomes of the WRC-19 and the RR 2020 Edition to introduce the changes in the frequency allocations, country footnotes, and related references to associated Resolutions and Recommendations. The updated package also includes links to the relevant ITU-R Recommendations referenced in RR5, as well as the latest version of the relevant Rules of Procedure. The package is now also equipped with a utility to extract the National Table of Frequency Allocations for a specific country as it results from combining the various provisions of RR</w:t>
      </w:r>
      <w:r w:rsidR="00F62908" w:rsidRPr="00150947">
        <w:t xml:space="preserve"> Article </w:t>
      </w:r>
      <w:r w:rsidRPr="00150947">
        <w:rPr>
          <w:b/>
          <w:bCs/>
        </w:rPr>
        <w:t>5</w:t>
      </w:r>
      <w:r w:rsidRPr="00150947">
        <w:t>. Throughout the reporting period, the tool was enhanced to link with various provisions in the various articles of the RR. It was demonstrated during various Radiocommunication Regional Seminars. It is available for purchase at the ITU sales website. All software and data updates will be provided regularly and freely to the subscribers, until the WRC-23 and the release of the new version of the Radio Regulations.</w:t>
      </w:r>
    </w:p>
    <w:p w14:paraId="55BC72FB" w14:textId="77777777" w:rsidR="00C74DA0" w:rsidRPr="00CF1429" w:rsidRDefault="00C74DA0" w:rsidP="00C74DA0">
      <w:pPr>
        <w:pStyle w:val="Heading2"/>
        <w:rPr>
          <w:lang w:val="en-US"/>
        </w:rPr>
      </w:pPr>
      <w:bookmarkStart w:id="147" w:name="_Toc143072452"/>
      <w:r w:rsidRPr="00CF1429">
        <w:rPr>
          <w:lang w:val="en-US"/>
        </w:rPr>
        <w:t>6.2</w:t>
      </w:r>
      <w:r w:rsidRPr="00CF1429">
        <w:rPr>
          <w:lang w:val="en-US"/>
        </w:rPr>
        <w:tab/>
        <w:t>Seminars and workshops</w:t>
      </w:r>
      <w:bookmarkEnd w:id="147"/>
    </w:p>
    <w:p w14:paraId="3993D8B5" w14:textId="77777777" w:rsidR="00C74DA0" w:rsidRPr="00CF1429" w:rsidRDefault="00C74DA0" w:rsidP="00C74DA0">
      <w:pPr>
        <w:pStyle w:val="Heading3"/>
      </w:pPr>
      <w:bookmarkStart w:id="148" w:name="_Toc143072453"/>
      <w:r w:rsidRPr="00CF1429">
        <w:t>6.2.1</w:t>
      </w:r>
      <w:r w:rsidRPr="00CF1429">
        <w:tab/>
        <w:t>World and Regional Radiocommunication Seminars (WRS, RRS)</w:t>
      </w:r>
      <w:bookmarkEnd w:id="148"/>
    </w:p>
    <w:p w14:paraId="77ED6334" w14:textId="2FE1B9E9" w:rsidR="00C74DA0" w:rsidRPr="00CF1429" w:rsidRDefault="00C74DA0" w:rsidP="00C74DA0">
      <w:r w:rsidRPr="00CF1429">
        <w:t>Following WRC-</w:t>
      </w:r>
      <w:r>
        <w:t>19</w:t>
      </w:r>
      <w:r w:rsidRPr="00CF1429">
        <w:t>, BR started (as of January 20</w:t>
      </w:r>
      <w:r>
        <w:t>20</w:t>
      </w:r>
      <w:r w:rsidRPr="00CF1429">
        <w:t>) a new intra-WRCs World and Regional Radio Seminars cycle, aimed at disseminating worldwide the revision of the Radio Regulations made by WRC-15 and the associated Rules of Procedure. This cycle encompasses the biennial World Radio Seminars, WRS, complemented by a set of Regional Radio Seminars, RRS. An analysis of the participation in WRSs and RRSs from 20</w:t>
      </w:r>
      <w:r>
        <w:t>20</w:t>
      </w:r>
      <w:r w:rsidRPr="00CF1429">
        <w:t>-20</w:t>
      </w:r>
      <w:r>
        <w:t xml:space="preserve">22 </w:t>
      </w:r>
      <w:r w:rsidRPr="00CF1429">
        <w:t>shows that these two types of seminars complement each other, as follows</w:t>
      </w:r>
      <w:r w:rsidR="008E374B">
        <w:t>:</w:t>
      </w:r>
    </w:p>
    <w:p w14:paraId="6903BEB8" w14:textId="77777777" w:rsidR="00C74DA0" w:rsidRPr="00CF1429" w:rsidRDefault="00C74DA0" w:rsidP="00C74DA0">
      <w:pPr>
        <w:pStyle w:val="enumlev1"/>
      </w:pPr>
      <w:r>
        <w:t>–</w:t>
      </w:r>
      <w:r w:rsidRPr="00CF1429">
        <w:tab/>
        <w:t>In two WRS</w:t>
      </w:r>
      <w:r>
        <w:t>s</w:t>
      </w:r>
      <w:r w:rsidRPr="00CF1429">
        <w:t xml:space="preserve">: </w:t>
      </w:r>
      <w:r>
        <w:t xml:space="preserve">1 773 </w:t>
      </w:r>
      <w:r w:rsidRPr="00CF1429">
        <w:t>participants from over 1</w:t>
      </w:r>
      <w:r>
        <w:t>56</w:t>
      </w:r>
      <w:r w:rsidRPr="00CF1429">
        <w:t xml:space="preserve"> countries </w:t>
      </w:r>
    </w:p>
    <w:p w14:paraId="4FB88A5C" w14:textId="77777777" w:rsidR="00C74DA0" w:rsidRPr="00CF1429" w:rsidRDefault="00C74DA0" w:rsidP="00C74DA0">
      <w:pPr>
        <w:pStyle w:val="enumlev1"/>
      </w:pPr>
      <w:r>
        <w:t>–</w:t>
      </w:r>
      <w:r w:rsidRPr="00CF1429">
        <w:tab/>
        <w:t xml:space="preserve">In eleven RRSs: </w:t>
      </w:r>
      <w:r>
        <w:t xml:space="preserve">1 906 </w:t>
      </w:r>
      <w:r w:rsidRPr="00CF1429">
        <w:t xml:space="preserve">participants from over </w:t>
      </w:r>
      <w:r>
        <w:t>165</w:t>
      </w:r>
      <w:r w:rsidRPr="00CF1429">
        <w:t xml:space="preserve"> countries </w:t>
      </w:r>
    </w:p>
    <w:p w14:paraId="75A0CC60" w14:textId="77777777" w:rsidR="00C74DA0" w:rsidRPr="00CF1429" w:rsidRDefault="00C74DA0" w:rsidP="00C74DA0">
      <w:pPr>
        <w:rPr>
          <w:rFonts w:asciiTheme="majorBidi" w:hAnsiTheme="majorBidi" w:cstheme="majorBidi"/>
        </w:rPr>
      </w:pPr>
      <w:r w:rsidRPr="332A43AC">
        <w:rPr>
          <w:rFonts w:asciiTheme="majorBidi" w:hAnsiTheme="majorBidi" w:cstheme="majorBidi"/>
        </w:rPr>
        <w:t>Total: 13 seminars, 3 039 participants from over 180 countries.</w:t>
      </w:r>
    </w:p>
    <w:p w14:paraId="34CD80BA" w14:textId="77777777" w:rsidR="00C74DA0" w:rsidRPr="00CF1429" w:rsidRDefault="00C74DA0" w:rsidP="00C74DA0">
      <w:pPr>
        <w:rPr>
          <w:rFonts w:asciiTheme="majorBidi" w:hAnsiTheme="majorBidi" w:cstheme="majorBidi"/>
          <w:highlight w:val="cyan"/>
        </w:rPr>
      </w:pPr>
      <w:r w:rsidRPr="332A43AC">
        <w:rPr>
          <w:rFonts w:asciiTheme="majorBidi" w:hAnsiTheme="majorBidi" w:cstheme="majorBidi"/>
        </w:rPr>
        <w:t>During this period the BR provided 25 fellowships for RRSs held physically and 23 fellowships for WRSs (one per administration for eligible countries).</w:t>
      </w:r>
    </w:p>
    <w:p w14:paraId="4AD0312B" w14:textId="53905E0B" w:rsidR="00C74DA0" w:rsidRPr="00CF1429" w:rsidRDefault="00C74DA0" w:rsidP="00C74DA0">
      <w:pPr>
        <w:pStyle w:val="Heading4"/>
      </w:pPr>
      <w:r w:rsidRPr="00CF1429">
        <w:t>6.2.1.1</w:t>
      </w:r>
      <w:r w:rsidR="00F62908">
        <w:tab/>
      </w:r>
      <w:r w:rsidRPr="00CF1429">
        <w:t>World Radiocommunication Seminars (WRS)</w:t>
      </w:r>
    </w:p>
    <w:p w14:paraId="2FFB110B" w14:textId="77777777" w:rsidR="00C74DA0" w:rsidRPr="00896AF6" w:rsidRDefault="00C74DA0" w:rsidP="00C74DA0">
      <w:pPr>
        <w:rPr>
          <w:lang w:val="en-US"/>
        </w:rPr>
      </w:pPr>
      <w:r w:rsidRPr="00896AF6">
        <w:rPr>
          <w:lang w:val="en-US"/>
        </w:rPr>
        <w:t>World Radiocommunication Seminars focused on the regulatory aspects of the use of the radio-frequency spectrum and satellite orbits, in particular the application of the provisions of the ITU Radio Regulations</w:t>
      </w:r>
      <w:r>
        <w:rPr>
          <w:lang w:val="en-US"/>
        </w:rPr>
        <w:t>.</w:t>
      </w:r>
    </w:p>
    <w:p w14:paraId="4DC9A557" w14:textId="77777777" w:rsidR="00C74DA0" w:rsidRDefault="00C74DA0" w:rsidP="00C74DA0">
      <w:pPr>
        <w:rPr>
          <w:lang w:val="en-US"/>
        </w:rPr>
      </w:pPr>
      <w:r w:rsidRPr="00CF1429">
        <w:rPr>
          <w:lang w:val="en-US"/>
        </w:rPr>
        <w:t>Since WRC-</w:t>
      </w:r>
      <w:r>
        <w:rPr>
          <w:lang w:val="en-US"/>
        </w:rPr>
        <w:t>19</w:t>
      </w:r>
      <w:r w:rsidRPr="00CF1429">
        <w:rPr>
          <w:lang w:val="en-US"/>
        </w:rPr>
        <w:t xml:space="preserve">, the biennial World Radiocommunication Seminar were held </w:t>
      </w:r>
      <w:r>
        <w:rPr>
          <w:lang w:val="en-US"/>
        </w:rPr>
        <w:t>online</w:t>
      </w:r>
      <w:r w:rsidRPr="00CF1429">
        <w:rPr>
          <w:lang w:val="en-US"/>
        </w:rPr>
        <w:t>:</w:t>
      </w:r>
    </w:p>
    <w:p w14:paraId="4BD8EC59" w14:textId="77777777" w:rsidR="00C74DA0" w:rsidRPr="00CF1429" w:rsidRDefault="00C74DA0" w:rsidP="00C74DA0">
      <w:pPr>
        <w:pStyle w:val="enumlev1"/>
      </w:pPr>
      <w:r w:rsidRPr="00CF1429">
        <w:rPr>
          <w:bCs/>
          <w:iCs/>
        </w:rPr>
        <w:t>–</w:t>
      </w:r>
      <w:r w:rsidRPr="00CF1429">
        <w:rPr>
          <w:bCs/>
          <w:iCs/>
        </w:rPr>
        <w:tab/>
      </w:r>
      <w:r w:rsidRPr="00CF1429">
        <w:rPr>
          <w:b/>
          <w:bCs/>
          <w:iCs/>
        </w:rPr>
        <w:t>WRS-</w:t>
      </w:r>
      <w:r>
        <w:rPr>
          <w:b/>
          <w:bCs/>
          <w:iCs/>
        </w:rPr>
        <w:t>20</w:t>
      </w:r>
      <w:r w:rsidRPr="00CF1429">
        <w:t xml:space="preserve">, from </w:t>
      </w:r>
      <w:r>
        <w:t xml:space="preserve">30 November </w:t>
      </w:r>
      <w:r w:rsidRPr="00CF1429">
        <w:t>to 1</w:t>
      </w:r>
      <w:r>
        <w:t>1</w:t>
      </w:r>
      <w:r w:rsidRPr="00CF1429">
        <w:t xml:space="preserve"> December 20</w:t>
      </w:r>
      <w:r>
        <w:t>20</w:t>
      </w:r>
      <w:r w:rsidRPr="00CF1429">
        <w:t xml:space="preserve">, attended by </w:t>
      </w:r>
      <w:r>
        <w:t xml:space="preserve">2 183 </w:t>
      </w:r>
      <w:r w:rsidRPr="00CF1429">
        <w:t>participants from 1</w:t>
      </w:r>
      <w:r>
        <w:t>5</w:t>
      </w:r>
      <w:r w:rsidRPr="00CF1429">
        <w:t xml:space="preserve">9 </w:t>
      </w:r>
      <w:proofErr w:type="gramStart"/>
      <w:r w:rsidRPr="00CF1429">
        <w:t>countries;</w:t>
      </w:r>
      <w:proofErr w:type="gramEnd"/>
    </w:p>
    <w:p w14:paraId="5BEFE1D4" w14:textId="77777777" w:rsidR="00C74DA0" w:rsidRPr="00CF1429" w:rsidRDefault="00C74DA0" w:rsidP="00C74DA0">
      <w:pPr>
        <w:pStyle w:val="enumlev1"/>
      </w:pPr>
      <w:r w:rsidRPr="00CF1429">
        <w:rPr>
          <w:bCs/>
          <w:iCs/>
        </w:rPr>
        <w:t>–</w:t>
      </w:r>
      <w:r w:rsidRPr="00CF1429">
        <w:rPr>
          <w:bCs/>
          <w:iCs/>
        </w:rPr>
        <w:tab/>
      </w:r>
      <w:r w:rsidRPr="00CF1429">
        <w:rPr>
          <w:b/>
          <w:bCs/>
          <w:iCs/>
        </w:rPr>
        <w:t>WRS-</w:t>
      </w:r>
      <w:r>
        <w:rPr>
          <w:b/>
          <w:bCs/>
          <w:iCs/>
        </w:rPr>
        <w:t>22</w:t>
      </w:r>
      <w:r w:rsidRPr="00CF1429">
        <w:t xml:space="preserve">, from </w:t>
      </w:r>
      <w:r>
        <w:t xml:space="preserve">24 to 28 October </w:t>
      </w:r>
      <w:r w:rsidRPr="00CF1429">
        <w:t>20</w:t>
      </w:r>
      <w:r>
        <w:t>22</w:t>
      </w:r>
      <w:r w:rsidRPr="00CF1429">
        <w:t xml:space="preserve">, attended by </w:t>
      </w:r>
      <w:r>
        <w:t xml:space="preserve">540 </w:t>
      </w:r>
      <w:r w:rsidRPr="00CF1429">
        <w:t xml:space="preserve">participants from </w:t>
      </w:r>
      <w:r>
        <w:t>123</w:t>
      </w:r>
      <w:r w:rsidRPr="00CF1429">
        <w:t xml:space="preserve"> countries.</w:t>
      </w:r>
    </w:p>
    <w:p w14:paraId="1CB77781" w14:textId="77777777" w:rsidR="00C74DA0" w:rsidRPr="00FF2498" w:rsidRDefault="00C74DA0" w:rsidP="00C74DA0">
      <w:pPr>
        <w:rPr>
          <w:lang w:val="en-US"/>
        </w:rPr>
      </w:pPr>
      <w:r w:rsidRPr="00933574">
        <w:rPr>
          <w:b/>
          <w:bCs/>
          <w:lang w:val="en-US"/>
        </w:rPr>
        <w:t>WRS-20</w:t>
      </w:r>
      <w:r w:rsidRPr="00FF2498">
        <w:rPr>
          <w:lang w:val="en-US"/>
        </w:rPr>
        <w:t xml:space="preserve"> was initially planned for the 1st week of December</w:t>
      </w:r>
      <w:r>
        <w:rPr>
          <w:lang w:val="en-US"/>
        </w:rPr>
        <w:t xml:space="preserve"> 2020</w:t>
      </w:r>
      <w:r w:rsidRPr="00FF2498">
        <w:rPr>
          <w:lang w:val="en-US"/>
        </w:rPr>
        <w:t xml:space="preserve"> in Geneva, but due to the travel restrictions related to the</w:t>
      </w:r>
      <w:r>
        <w:rPr>
          <w:lang w:val="en-US"/>
        </w:rPr>
        <w:t xml:space="preserve"> Covid-19</w:t>
      </w:r>
      <w:r w:rsidRPr="00FF2498">
        <w:rPr>
          <w:lang w:val="en-US"/>
        </w:rPr>
        <w:t xml:space="preserve"> pandemic, WRS changed to a virtual format, with the following changes:</w:t>
      </w:r>
    </w:p>
    <w:p w14:paraId="45706282" w14:textId="03E0C3DE" w:rsidR="00C74DA0" w:rsidRPr="00FF2498" w:rsidRDefault="00C74DA0" w:rsidP="00C74DA0">
      <w:pPr>
        <w:pStyle w:val="enumlev1"/>
        <w:rPr>
          <w:lang w:val="en-US"/>
        </w:rPr>
      </w:pPr>
      <w:r w:rsidRPr="00FF2498">
        <w:rPr>
          <w:lang w:val="en-US"/>
        </w:rPr>
        <w:t>–</w:t>
      </w:r>
      <w:r w:rsidRPr="00FF2498">
        <w:rPr>
          <w:lang w:val="en-US"/>
        </w:rPr>
        <w:tab/>
        <w:t>WRS-20 was presented over 2 weeks, i.e., from 30 November to 11 December, with 3</w:t>
      </w:r>
      <w:r w:rsidR="00F23199">
        <w:rPr>
          <w:lang w:val="en-US"/>
        </w:rPr>
        <w:noBreakHyphen/>
      </w:r>
      <w:r w:rsidRPr="00FF2498">
        <w:rPr>
          <w:lang w:val="en-US"/>
        </w:rPr>
        <w:t>hour sessions daily,</w:t>
      </w:r>
    </w:p>
    <w:p w14:paraId="037FFC7B" w14:textId="77777777" w:rsidR="00C74DA0" w:rsidRPr="00FF2498" w:rsidRDefault="00C74DA0" w:rsidP="00C74DA0">
      <w:pPr>
        <w:pStyle w:val="enumlev1"/>
        <w:rPr>
          <w:lang w:val="en-US"/>
        </w:rPr>
      </w:pPr>
      <w:r w:rsidRPr="00FF2498">
        <w:rPr>
          <w:lang w:val="en-US"/>
        </w:rPr>
        <w:t>–</w:t>
      </w:r>
      <w:r w:rsidRPr="00FF2498">
        <w:rPr>
          <w:lang w:val="en-US"/>
        </w:rPr>
        <w:tab/>
        <w:t>to accommodate participants in different time zones worldwide, WRS-20 sessions were presented twice each day:</w:t>
      </w:r>
    </w:p>
    <w:p w14:paraId="6005B9B2" w14:textId="6BD6BFB8" w:rsidR="00C74DA0" w:rsidRPr="00FF2498" w:rsidRDefault="00F62908" w:rsidP="00C74DA0">
      <w:pPr>
        <w:pStyle w:val="enumlev2"/>
        <w:rPr>
          <w:lang w:val="en-US"/>
        </w:rPr>
      </w:pPr>
      <w:r>
        <w:rPr>
          <w:lang w:val="en-US"/>
        </w:rPr>
        <w:t>•</w:t>
      </w:r>
      <w:r w:rsidR="00C74DA0" w:rsidRPr="00FF2498">
        <w:rPr>
          <w:lang w:val="en-US"/>
        </w:rPr>
        <w:tab/>
        <w:t xml:space="preserve">Morning sessions (Geneva time) were presented for participants in the Asia-Pacific, and East and Southern Africa Regions, </w:t>
      </w:r>
    </w:p>
    <w:p w14:paraId="56B1D8A6" w14:textId="42C6DF0B" w:rsidR="00C74DA0" w:rsidRPr="00FF2498" w:rsidRDefault="00F62908" w:rsidP="00C74DA0">
      <w:pPr>
        <w:pStyle w:val="enumlev2"/>
        <w:rPr>
          <w:lang w:val="en-US"/>
        </w:rPr>
      </w:pPr>
      <w:r>
        <w:rPr>
          <w:lang w:val="en-US"/>
        </w:rPr>
        <w:t>•</w:t>
      </w:r>
      <w:r w:rsidR="00C74DA0" w:rsidRPr="00FF2498">
        <w:rPr>
          <w:lang w:val="en-US"/>
        </w:rPr>
        <w:tab/>
        <w:t>Afternoon sessions (Geneva time) were presented for participants in the Americas, Europe, CIS, Arab States, and West Africa Regions.</w:t>
      </w:r>
    </w:p>
    <w:p w14:paraId="7FD14339" w14:textId="77777777" w:rsidR="00C74DA0" w:rsidRPr="00FF2498" w:rsidRDefault="00C74DA0" w:rsidP="00C74DA0">
      <w:pPr>
        <w:pStyle w:val="enumlev1"/>
        <w:rPr>
          <w:lang w:val="en-US"/>
        </w:rPr>
      </w:pPr>
      <w:r w:rsidRPr="00FF2498">
        <w:rPr>
          <w:lang w:val="en-US"/>
        </w:rPr>
        <w:t>–</w:t>
      </w:r>
      <w:r w:rsidRPr="00FF2498">
        <w:rPr>
          <w:lang w:val="en-US"/>
        </w:rPr>
        <w:tab/>
        <w:t>Recordings of the seminar sessions were also made available on the event website.</w:t>
      </w:r>
    </w:p>
    <w:p w14:paraId="1A0CE9A1" w14:textId="77777777" w:rsidR="00C74DA0" w:rsidRPr="00933574" w:rsidRDefault="00C74DA0" w:rsidP="00C74DA0">
      <w:pPr>
        <w:pStyle w:val="enumlev1"/>
        <w:rPr>
          <w:lang w:val="en-US"/>
        </w:rPr>
      </w:pPr>
      <w:r w:rsidRPr="00FF2498">
        <w:rPr>
          <w:lang w:val="en-US"/>
        </w:rPr>
        <w:t>–</w:t>
      </w:r>
      <w:r w:rsidRPr="00FF2498">
        <w:rPr>
          <w:lang w:val="en-US"/>
        </w:rPr>
        <w:tab/>
      </w:r>
      <w:r w:rsidRPr="00933574">
        <w:rPr>
          <w:lang w:val="en-US"/>
        </w:rPr>
        <w:t>The second week, limited to ITU members only, featured basic training workshops on how to use ITU-developed tools for frequency notifications and technical examinations. Web tutorial exercises enabled participants to master both the procedures and the software that the ITU Radiocommunication Sector (ITU-R) uses to process filings. Participants were able to alternate between space and terrestrial services.</w:t>
      </w:r>
    </w:p>
    <w:p w14:paraId="7C6B8C24" w14:textId="25797912" w:rsidR="00C74DA0" w:rsidRDefault="00C74DA0" w:rsidP="00C74DA0">
      <w:pPr>
        <w:spacing w:line="257" w:lineRule="auto"/>
        <w:rPr>
          <w:szCs w:val="24"/>
        </w:rPr>
      </w:pPr>
      <w:r w:rsidRPr="00933574">
        <w:rPr>
          <w:b/>
          <w:bCs/>
          <w:szCs w:val="24"/>
        </w:rPr>
        <w:t>WRS-22</w:t>
      </w:r>
      <w:r w:rsidRPr="00765D54">
        <w:rPr>
          <w:szCs w:val="24"/>
        </w:rPr>
        <w:t xml:space="preserve"> </w:t>
      </w:r>
      <w:r w:rsidRPr="00933574">
        <w:rPr>
          <w:b/>
          <w:bCs/>
          <w:szCs w:val="24"/>
        </w:rPr>
        <w:t>Plenary</w:t>
      </w:r>
      <w:r w:rsidR="00BD6051">
        <w:rPr>
          <w:b/>
          <w:bCs/>
          <w:szCs w:val="24"/>
        </w:rPr>
        <w:t xml:space="preserve"> </w:t>
      </w:r>
      <w:r w:rsidR="00BD6051" w:rsidRPr="00BD6051">
        <w:rPr>
          <w:szCs w:val="24"/>
        </w:rPr>
        <w:t>was</w:t>
      </w:r>
      <w:r w:rsidRPr="00765D54">
        <w:rPr>
          <w:szCs w:val="24"/>
        </w:rPr>
        <w:t xml:space="preserve"> held as a physical meeting with remote participation</w:t>
      </w:r>
      <w:r>
        <w:rPr>
          <w:szCs w:val="24"/>
        </w:rPr>
        <w:t>.</w:t>
      </w:r>
      <w:r w:rsidRPr="00765D54">
        <w:rPr>
          <w:szCs w:val="24"/>
        </w:rPr>
        <w:t xml:space="preserve"> </w:t>
      </w:r>
    </w:p>
    <w:p w14:paraId="44EC4C4C" w14:textId="77777777" w:rsidR="00C74DA0" w:rsidRDefault="00C74DA0" w:rsidP="00C74DA0">
      <w:r w:rsidRPr="00933574">
        <w:rPr>
          <w:b/>
          <w:bCs/>
          <w:szCs w:val="24"/>
        </w:rPr>
        <w:t>WRS-22 Terrestrial and Space Workshops</w:t>
      </w:r>
      <w:r>
        <w:rPr>
          <w:szCs w:val="24"/>
        </w:rPr>
        <w:t xml:space="preserve"> were held in parallel and organized as physical meetings only and were limited to participation by ITU-R membership. </w:t>
      </w:r>
      <w:r w:rsidRPr="00F4776D">
        <w:rPr>
          <w:szCs w:val="24"/>
        </w:rPr>
        <w:t xml:space="preserve">During the </w:t>
      </w:r>
      <w:r>
        <w:rPr>
          <w:szCs w:val="24"/>
        </w:rPr>
        <w:t xml:space="preserve">four-day </w:t>
      </w:r>
      <w:r w:rsidRPr="00F4776D">
        <w:rPr>
          <w:szCs w:val="24"/>
        </w:rPr>
        <w:t>WRS</w:t>
      </w:r>
      <w:r>
        <w:rPr>
          <w:szCs w:val="24"/>
        </w:rPr>
        <w:noBreakHyphen/>
      </w:r>
      <w:r w:rsidRPr="00F4776D">
        <w:rPr>
          <w:szCs w:val="24"/>
        </w:rPr>
        <w:t>22 space and terrestrial workshops</w:t>
      </w:r>
      <w:r>
        <w:rPr>
          <w:szCs w:val="24"/>
        </w:rPr>
        <w:t>,</w:t>
      </w:r>
      <w:r w:rsidRPr="00F4776D">
        <w:rPr>
          <w:szCs w:val="24"/>
        </w:rPr>
        <w:t xml:space="preserve"> participants received hands-on experience with ITU notification procedures</w:t>
      </w:r>
      <w:r>
        <w:rPr>
          <w:szCs w:val="24"/>
        </w:rPr>
        <w:t>,</w:t>
      </w:r>
      <w:r w:rsidRPr="00F4776D">
        <w:rPr>
          <w:szCs w:val="24"/>
        </w:rPr>
        <w:t xml:space="preserve"> as well as with the software, databases and electronic publications made available by the Radiocommunication Bureau to the ITU membership. Tailored sessions were also available for both beginners and advanced users of BR software tools. </w:t>
      </w:r>
      <w:r>
        <w:rPr>
          <w:szCs w:val="24"/>
        </w:rPr>
        <w:t>The sessions were mainly conducted in English and French.</w:t>
      </w:r>
      <w:r w:rsidRPr="00DB5AF7">
        <w:rPr>
          <w:szCs w:val="24"/>
        </w:rPr>
        <w:t xml:space="preserve"> </w:t>
      </w:r>
      <w:r>
        <w:rPr>
          <w:szCs w:val="24"/>
        </w:rPr>
        <w:t>BR granted 23 fellowships for WRS-22</w:t>
      </w:r>
      <w:r w:rsidRPr="00CF1429">
        <w:rPr>
          <w:lang w:val="en-US"/>
        </w:rPr>
        <w:t>.</w:t>
      </w:r>
    </w:p>
    <w:p w14:paraId="3837C5F8" w14:textId="77777777" w:rsidR="00C74DA0" w:rsidRPr="00933574" w:rsidRDefault="00C74DA0" w:rsidP="008E374B">
      <w:pPr>
        <w:spacing w:line="257" w:lineRule="auto"/>
        <w:rPr>
          <w:szCs w:val="24"/>
        </w:rPr>
      </w:pPr>
      <w:r>
        <w:rPr>
          <w:szCs w:val="24"/>
        </w:rPr>
        <w:t>N</w:t>
      </w:r>
      <w:proofErr w:type="spellStart"/>
      <w:r w:rsidRPr="00FF2498">
        <w:rPr>
          <w:lang w:val="en-US"/>
        </w:rPr>
        <w:t>oting</w:t>
      </w:r>
      <w:proofErr w:type="spellEnd"/>
      <w:r w:rsidRPr="00FF2498">
        <w:rPr>
          <w:lang w:val="en-US"/>
        </w:rPr>
        <w:t xml:space="preserve"> that more and more people are using and deploying radiocommunication systems and considering the BR role to inform all individuals and organizations worldwide about the Radio Regulations and how to implement them, for the first tim</w:t>
      </w:r>
      <w:r>
        <w:rPr>
          <w:lang w:val="en-US"/>
        </w:rPr>
        <w:t xml:space="preserve">e during both events, </w:t>
      </w:r>
      <w:r w:rsidRPr="00933574">
        <w:rPr>
          <w:lang w:val="en-US"/>
        </w:rPr>
        <w:t xml:space="preserve">the WRS Plenary sessions were opened to </w:t>
      </w:r>
      <w:r>
        <w:rPr>
          <w:lang w:val="en-US"/>
        </w:rPr>
        <w:t>public audience</w:t>
      </w:r>
      <w:r w:rsidRPr="00FF2498">
        <w:rPr>
          <w:lang w:val="en-US"/>
        </w:rPr>
        <w:t>, no matter whether they are members of ITU or not.</w:t>
      </w:r>
    </w:p>
    <w:p w14:paraId="4EB28413" w14:textId="77777777" w:rsidR="00C74DA0" w:rsidRPr="00250258" w:rsidRDefault="00C74DA0" w:rsidP="00C74DA0">
      <w:pPr>
        <w:pStyle w:val="Heading4"/>
      </w:pPr>
      <w:r w:rsidRPr="00250258">
        <w:t>6.2.1.2</w:t>
      </w:r>
      <w:r w:rsidRPr="00250258">
        <w:tab/>
        <w:t>Regional Radiocommunication Seminars (RRS)</w:t>
      </w:r>
    </w:p>
    <w:p w14:paraId="3181A398" w14:textId="77777777" w:rsidR="00C74DA0" w:rsidRPr="00250258" w:rsidRDefault="00C74DA0" w:rsidP="00C74DA0">
      <w:pPr>
        <w:rPr>
          <w:lang w:val="en-US"/>
        </w:rPr>
      </w:pPr>
      <w:r w:rsidRPr="00250258">
        <w:rPr>
          <w:lang w:val="en-US"/>
        </w:rPr>
        <w:t>As a complement to the biennial Word Radiocommunication Seminars, the BR has implemented a strategy for regional outreach through the organization of yearly cycles of Regional Radiocommunication Seminars (RRS), held in different regions worldwide, fostering human capacity building on the use of the radio-frequency spectrum and the satellite orbits, and</w:t>
      </w:r>
      <w:proofErr w:type="gramStart"/>
      <w:r w:rsidRPr="00250258">
        <w:rPr>
          <w:lang w:val="en-US"/>
        </w:rPr>
        <w:t>, in particular, the</w:t>
      </w:r>
      <w:proofErr w:type="gramEnd"/>
      <w:r w:rsidRPr="00250258">
        <w:rPr>
          <w:lang w:val="en-US"/>
        </w:rPr>
        <w:t xml:space="preserve"> application of the provisions of the ITU Radio Regulations. </w:t>
      </w:r>
    </w:p>
    <w:p w14:paraId="556DDE20" w14:textId="77777777" w:rsidR="00C74DA0" w:rsidRPr="00250258" w:rsidRDefault="00C74DA0" w:rsidP="00C74DA0">
      <w:pPr>
        <w:rPr>
          <w:lang w:val="en-US"/>
        </w:rPr>
      </w:pPr>
      <w:r w:rsidRPr="00250258">
        <w:rPr>
          <w:lang w:val="en-US"/>
        </w:rPr>
        <w:t>Regional seminars include theoretical sessions and workshops on terrestrial and space services, which may be in parallel or in series according to the specific requirements of the region. RRSs are complemented with a one-day forum, dedicated to spectrum-related topics of particular interest to the region.</w:t>
      </w:r>
    </w:p>
    <w:p w14:paraId="72EF5EA5" w14:textId="77777777" w:rsidR="00C74DA0" w:rsidRDefault="00C74DA0" w:rsidP="00C74DA0">
      <w:pPr>
        <w:rPr>
          <w:lang w:val="en-US"/>
        </w:rPr>
      </w:pPr>
      <w:r w:rsidRPr="00250258">
        <w:rPr>
          <w:lang w:val="en-US"/>
        </w:rPr>
        <w:t>Table 6.2.</w:t>
      </w:r>
      <w:r>
        <w:rPr>
          <w:lang w:val="en-US"/>
        </w:rPr>
        <w:t>1.</w:t>
      </w:r>
      <w:r w:rsidRPr="00250258">
        <w:rPr>
          <w:lang w:val="en-US"/>
        </w:rPr>
        <w:t>2-1 provides a summary of the eleven RRS</w:t>
      </w:r>
      <w:r>
        <w:rPr>
          <w:lang w:val="en-US"/>
        </w:rPr>
        <w:t>s</w:t>
      </w:r>
      <w:r w:rsidRPr="00250258">
        <w:rPr>
          <w:lang w:val="en-US"/>
        </w:rPr>
        <w:t xml:space="preserve"> which were held since WRC-</w:t>
      </w:r>
      <w:r>
        <w:rPr>
          <w:lang w:val="en-US"/>
        </w:rPr>
        <w:t>23</w:t>
      </w:r>
      <w:r w:rsidRPr="00250258">
        <w:rPr>
          <w:lang w:val="en-US"/>
        </w:rPr>
        <w:t xml:space="preserve">. These seminars were </w:t>
      </w:r>
      <w:r>
        <w:rPr>
          <w:lang w:val="en-US"/>
        </w:rPr>
        <w:t xml:space="preserve">mainly conducted online during the Covid-19 Pandemic and later </w:t>
      </w:r>
      <w:r w:rsidRPr="00250258">
        <w:rPr>
          <w:lang w:val="en-US"/>
        </w:rPr>
        <w:t>hosted by the</w:t>
      </w:r>
      <w:r>
        <w:rPr>
          <w:lang w:val="en-US"/>
        </w:rPr>
        <w:t xml:space="preserve"> administrations</w:t>
      </w:r>
      <w:r w:rsidRPr="00250258">
        <w:rPr>
          <w:lang w:val="en-US"/>
        </w:rPr>
        <w:t xml:space="preserve">, the </w:t>
      </w:r>
      <w:proofErr w:type="gramStart"/>
      <w:r w:rsidRPr="00250258">
        <w:rPr>
          <w:lang w:val="en-US"/>
        </w:rPr>
        <w:t>regulator</w:t>
      </w:r>
      <w:proofErr w:type="gramEnd"/>
      <w:r w:rsidRPr="00250258">
        <w:rPr>
          <w:lang w:val="en-US"/>
        </w:rPr>
        <w:t xml:space="preserve"> or the spectrum management authority in the country, in cooperation with the relevant regional organizations and the ITU regional/areas offices.</w:t>
      </w:r>
    </w:p>
    <w:p w14:paraId="640EC4CB" w14:textId="77777777" w:rsidR="00C74DA0" w:rsidRDefault="00C74DA0" w:rsidP="00C74DA0">
      <w:pPr>
        <w:rPr>
          <w:lang w:val="en-US"/>
        </w:rPr>
        <w:sectPr w:rsidR="00C74DA0" w:rsidSect="004B68BD">
          <w:headerReference w:type="even" r:id="rId75"/>
          <w:headerReference w:type="default" r:id="rId76"/>
          <w:footerReference w:type="even" r:id="rId77"/>
          <w:pgSz w:w="11907" w:h="16840" w:code="9"/>
          <w:pgMar w:top="1418" w:right="1134" w:bottom="851" w:left="1134" w:header="720" w:footer="720" w:gutter="0"/>
          <w:paperSrc w:first="15" w:other="15"/>
          <w:cols w:space="720"/>
          <w:titlePg/>
          <w:docGrid w:linePitch="326"/>
        </w:sectPr>
      </w:pPr>
    </w:p>
    <w:p w14:paraId="25A08C78" w14:textId="77777777" w:rsidR="00C74DA0" w:rsidRPr="00AE4FDA" w:rsidRDefault="00C74DA0" w:rsidP="00BD6051">
      <w:pPr>
        <w:pStyle w:val="TableNo"/>
        <w:spacing w:before="120"/>
        <w:rPr>
          <w:lang w:val="en-US"/>
        </w:rPr>
      </w:pPr>
      <w:r w:rsidRPr="00AE4FDA">
        <w:rPr>
          <w:lang w:val="en-US"/>
        </w:rPr>
        <w:t>Table 6.2.1</w:t>
      </w:r>
      <w:r>
        <w:rPr>
          <w:lang w:val="en-US"/>
        </w:rPr>
        <w:t>.2</w:t>
      </w:r>
      <w:r w:rsidRPr="00AE4FDA">
        <w:rPr>
          <w:lang w:val="en-US"/>
        </w:rPr>
        <w:t>-1</w:t>
      </w:r>
    </w:p>
    <w:p w14:paraId="1B39A094" w14:textId="77777777" w:rsidR="00C74DA0" w:rsidRPr="00AE4FDA" w:rsidRDefault="00C74DA0" w:rsidP="00C74DA0">
      <w:pPr>
        <w:pStyle w:val="Tabletitle"/>
        <w:rPr>
          <w:lang w:val="en-US"/>
        </w:rPr>
      </w:pPr>
      <w:r w:rsidRPr="00AE4FDA">
        <w:rPr>
          <w:lang w:val="en-US"/>
        </w:rPr>
        <w:t>ITU Regional Radiocommunication Seminars (20</w:t>
      </w:r>
      <w:r>
        <w:rPr>
          <w:lang w:val="en-US"/>
        </w:rPr>
        <w:t>20</w:t>
      </w:r>
      <w:r w:rsidRPr="00AE4FDA">
        <w:rPr>
          <w:lang w:val="en-US"/>
        </w:rPr>
        <w:t>-20</w:t>
      </w:r>
      <w:r>
        <w:rPr>
          <w:lang w:val="en-US"/>
        </w:rPr>
        <w:t>23</w:t>
      </w:r>
      <w:r w:rsidRPr="00AE4FDA">
        <w:rPr>
          <w:lang w:val="en-US"/>
        </w:rPr>
        <w:t>)</w:t>
      </w:r>
    </w:p>
    <w:tbl>
      <w:tblPr>
        <w:tblStyle w:val="TableGrid"/>
        <w:tblW w:w="5000" w:type="pct"/>
        <w:jc w:val="center"/>
        <w:tblLook w:val="04A0" w:firstRow="1" w:lastRow="0" w:firstColumn="1" w:lastColumn="0" w:noHBand="0" w:noVBand="1"/>
      </w:tblPr>
      <w:tblGrid>
        <w:gridCol w:w="1449"/>
        <w:gridCol w:w="1717"/>
        <w:gridCol w:w="1081"/>
        <w:gridCol w:w="1583"/>
        <w:gridCol w:w="1726"/>
        <w:gridCol w:w="3039"/>
        <w:gridCol w:w="1057"/>
        <w:gridCol w:w="1456"/>
        <w:gridCol w:w="1453"/>
      </w:tblGrid>
      <w:tr w:rsidR="00C74DA0" w:rsidRPr="004B4823" w14:paraId="4CFB371E" w14:textId="77777777" w:rsidTr="004B4823">
        <w:trPr>
          <w:tblHeader/>
          <w:jc w:val="center"/>
        </w:trPr>
        <w:tc>
          <w:tcPr>
            <w:tcW w:w="499" w:type="pct"/>
            <w:tcBorders>
              <w:top w:val="single" w:sz="4" w:space="0" w:color="auto"/>
              <w:left w:val="single" w:sz="4" w:space="0" w:color="auto"/>
              <w:bottom w:val="single" w:sz="4" w:space="0" w:color="auto"/>
              <w:right w:val="single" w:sz="4" w:space="0" w:color="auto"/>
            </w:tcBorders>
            <w:vAlign w:val="center"/>
            <w:hideMark/>
          </w:tcPr>
          <w:p w14:paraId="0CD1FE19" w14:textId="77777777" w:rsidR="00C74DA0" w:rsidRPr="004B4823" w:rsidRDefault="00C74DA0">
            <w:pPr>
              <w:jc w:val="center"/>
              <w:rPr>
                <w:rFonts w:asciiTheme="majorBidi" w:hAnsiTheme="majorBidi" w:cstheme="majorBidi"/>
                <w:b/>
                <w:bCs/>
                <w:sz w:val="18"/>
                <w:szCs w:val="18"/>
                <w:lang w:val="en-US" w:eastAsia="zh-CN"/>
              </w:rPr>
            </w:pPr>
            <w:r w:rsidRPr="004B4823">
              <w:rPr>
                <w:rFonts w:asciiTheme="majorBidi" w:hAnsiTheme="majorBidi" w:cstheme="majorBidi"/>
                <w:b/>
                <w:bCs/>
                <w:sz w:val="18"/>
                <w:szCs w:val="18"/>
                <w:lang w:val="en-US"/>
              </w:rPr>
              <w:t>Date</w:t>
            </w:r>
          </w:p>
        </w:tc>
        <w:tc>
          <w:tcPr>
            <w:tcW w:w="591" w:type="pct"/>
            <w:tcBorders>
              <w:top w:val="single" w:sz="4" w:space="0" w:color="auto"/>
              <w:left w:val="single" w:sz="4" w:space="0" w:color="auto"/>
              <w:bottom w:val="single" w:sz="4" w:space="0" w:color="auto"/>
              <w:right w:val="single" w:sz="4" w:space="0" w:color="auto"/>
            </w:tcBorders>
            <w:vAlign w:val="center"/>
            <w:hideMark/>
          </w:tcPr>
          <w:p w14:paraId="6F0DBEA0" w14:textId="77777777" w:rsidR="00C74DA0" w:rsidRPr="004B4823" w:rsidRDefault="00C74DA0">
            <w:pPr>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w:t>
            </w:r>
          </w:p>
        </w:tc>
        <w:tc>
          <w:tcPr>
            <w:tcW w:w="364" w:type="pct"/>
            <w:tcBorders>
              <w:top w:val="single" w:sz="4" w:space="0" w:color="auto"/>
              <w:left w:val="single" w:sz="4" w:space="0" w:color="auto"/>
              <w:bottom w:val="single" w:sz="4" w:space="0" w:color="auto"/>
              <w:right w:val="single" w:sz="4" w:space="0" w:color="auto"/>
            </w:tcBorders>
            <w:vAlign w:val="center"/>
            <w:hideMark/>
          </w:tcPr>
          <w:p w14:paraId="7D56ED24" w14:textId="77777777" w:rsidR="00C74DA0" w:rsidRPr="004B4823" w:rsidRDefault="00C74DA0">
            <w:pPr>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Place</w:t>
            </w:r>
          </w:p>
        </w:tc>
        <w:tc>
          <w:tcPr>
            <w:tcW w:w="545" w:type="pct"/>
            <w:tcBorders>
              <w:top w:val="single" w:sz="4" w:space="0" w:color="auto"/>
              <w:left w:val="single" w:sz="4" w:space="0" w:color="auto"/>
              <w:bottom w:val="single" w:sz="4" w:space="0" w:color="auto"/>
              <w:right w:val="single" w:sz="4" w:space="0" w:color="auto"/>
            </w:tcBorders>
            <w:vAlign w:val="center"/>
            <w:hideMark/>
          </w:tcPr>
          <w:p w14:paraId="0AD48960" w14:textId="77777777" w:rsidR="00C74DA0" w:rsidRPr="004B4823" w:rsidRDefault="00C74DA0">
            <w:pPr>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Host</w:t>
            </w:r>
          </w:p>
        </w:tc>
        <w:tc>
          <w:tcPr>
            <w:tcW w:w="591" w:type="pct"/>
            <w:tcBorders>
              <w:top w:val="single" w:sz="4" w:space="0" w:color="auto"/>
              <w:left w:val="single" w:sz="4" w:space="0" w:color="auto"/>
              <w:bottom w:val="single" w:sz="4" w:space="0" w:color="auto"/>
              <w:right w:val="single" w:sz="4" w:space="0" w:color="auto"/>
            </w:tcBorders>
            <w:vAlign w:val="center"/>
            <w:hideMark/>
          </w:tcPr>
          <w:p w14:paraId="16A6CEC4" w14:textId="77777777" w:rsidR="00C74DA0" w:rsidRPr="004B4823" w:rsidRDefault="00C74DA0">
            <w:pPr>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Cooperation</w:t>
            </w:r>
          </w:p>
        </w:tc>
        <w:tc>
          <w:tcPr>
            <w:tcW w:w="1045" w:type="pct"/>
            <w:tcBorders>
              <w:top w:val="single" w:sz="4" w:space="0" w:color="auto"/>
              <w:left w:val="single" w:sz="4" w:space="0" w:color="auto"/>
              <w:bottom w:val="single" w:sz="4" w:space="0" w:color="auto"/>
              <w:right w:val="single" w:sz="4" w:space="0" w:color="auto"/>
            </w:tcBorders>
            <w:vAlign w:val="center"/>
            <w:hideMark/>
          </w:tcPr>
          <w:p w14:paraId="1856F319" w14:textId="77777777" w:rsidR="00C74DA0" w:rsidRPr="004B4823" w:rsidRDefault="00C74DA0">
            <w:pPr>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Forum Topics</w:t>
            </w:r>
          </w:p>
        </w:tc>
        <w:tc>
          <w:tcPr>
            <w:tcW w:w="364" w:type="pct"/>
            <w:tcBorders>
              <w:top w:val="single" w:sz="4" w:space="0" w:color="auto"/>
              <w:left w:val="single" w:sz="4" w:space="0" w:color="auto"/>
              <w:bottom w:val="single" w:sz="4" w:space="0" w:color="auto"/>
              <w:right w:val="single" w:sz="4" w:space="0" w:color="auto"/>
            </w:tcBorders>
            <w:vAlign w:val="center"/>
            <w:hideMark/>
          </w:tcPr>
          <w:p w14:paraId="5AB8BAE8" w14:textId="77777777" w:rsidR="00C74DA0" w:rsidRPr="004B4823" w:rsidRDefault="00C74DA0">
            <w:pPr>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Languages</w:t>
            </w:r>
          </w:p>
        </w:tc>
        <w:tc>
          <w:tcPr>
            <w:tcW w:w="501" w:type="pct"/>
            <w:tcBorders>
              <w:top w:val="single" w:sz="4" w:space="0" w:color="auto"/>
              <w:left w:val="single" w:sz="4" w:space="0" w:color="auto"/>
              <w:bottom w:val="single" w:sz="4" w:space="0" w:color="auto"/>
              <w:right w:val="single" w:sz="4" w:space="0" w:color="auto"/>
            </w:tcBorders>
            <w:vAlign w:val="center"/>
            <w:hideMark/>
          </w:tcPr>
          <w:p w14:paraId="7BE7324A" w14:textId="77777777" w:rsidR="00C74DA0" w:rsidRPr="004B4823" w:rsidRDefault="00C74DA0">
            <w:pPr>
              <w:spacing w:after="120"/>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Participants/</w:t>
            </w:r>
            <w:r w:rsidRPr="004B4823">
              <w:rPr>
                <w:rFonts w:asciiTheme="majorBidi" w:hAnsiTheme="majorBidi" w:cstheme="majorBidi"/>
                <w:b/>
                <w:bCs/>
                <w:sz w:val="18"/>
                <w:szCs w:val="18"/>
                <w:lang w:val="en-US"/>
              </w:rPr>
              <w:br/>
              <w:t>administrations</w:t>
            </w:r>
          </w:p>
        </w:tc>
        <w:tc>
          <w:tcPr>
            <w:tcW w:w="501" w:type="pct"/>
            <w:tcBorders>
              <w:top w:val="single" w:sz="4" w:space="0" w:color="auto"/>
              <w:left w:val="single" w:sz="4" w:space="0" w:color="auto"/>
              <w:bottom w:val="single" w:sz="4" w:space="0" w:color="auto"/>
              <w:right w:val="single" w:sz="4" w:space="0" w:color="auto"/>
            </w:tcBorders>
          </w:tcPr>
          <w:p w14:paraId="6F81432E" w14:textId="77777777" w:rsidR="00C74DA0" w:rsidRPr="004B4823" w:rsidRDefault="00C74DA0">
            <w:pPr>
              <w:spacing w:after="120"/>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Fellowships</w:t>
            </w:r>
          </w:p>
        </w:tc>
      </w:tr>
      <w:tr w:rsidR="00C74DA0" w:rsidRPr="004B4823" w14:paraId="7650C077" w14:textId="77777777" w:rsidTr="004B482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7E5A08" w14:textId="77777777" w:rsidR="00C74DA0" w:rsidRPr="004B4823" w:rsidRDefault="00C74DA0" w:rsidP="00BD6051">
            <w:pPr>
              <w:spacing w:after="120"/>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2020</w:t>
            </w:r>
          </w:p>
        </w:tc>
      </w:tr>
      <w:tr w:rsidR="00C74DA0" w:rsidRPr="004B4823" w14:paraId="713598FC"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12F49416" w14:textId="77777777" w:rsidR="00C74DA0" w:rsidRPr="004B4823" w:rsidRDefault="00C74DA0">
            <w:pPr>
              <w:rPr>
                <w:rFonts w:asciiTheme="majorBidi" w:hAnsiTheme="majorBidi" w:cstheme="majorBidi"/>
                <w:sz w:val="18"/>
                <w:szCs w:val="18"/>
                <w:lang w:val="en-US"/>
              </w:rPr>
            </w:pPr>
            <w:r w:rsidRPr="004B4823">
              <w:rPr>
                <w:rFonts w:asciiTheme="majorBidi" w:hAnsiTheme="majorBidi" w:cstheme="majorBidi"/>
                <w:sz w:val="18"/>
                <w:szCs w:val="18"/>
                <w:lang w:val="en-US"/>
              </w:rPr>
              <w:t>13-24 July 2020</w:t>
            </w:r>
          </w:p>
        </w:tc>
        <w:tc>
          <w:tcPr>
            <w:tcW w:w="591" w:type="pct"/>
            <w:tcBorders>
              <w:top w:val="single" w:sz="4" w:space="0" w:color="auto"/>
              <w:left w:val="single" w:sz="4" w:space="0" w:color="auto"/>
              <w:bottom w:val="single" w:sz="4" w:space="0" w:color="auto"/>
              <w:right w:val="single" w:sz="4" w:space="0" w:color="auto"/>
            </w:tcBorders>
            <w:vAlign w:val="center"/>
            <w:hideMark/>
          </w:tcPr>
          <w:p w14:paraId="4BE1D766"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RRS-20-Americas</w:t>
            </w:r>
          </w:p>
        </w:tc>
        <w:tc>
          <w:tcPr>
            <w:tcW w:w="364" w:type="pct"/>
            <w:tcBorders>
              <w:top w:val="single" w:sz="4" w:space="0" w:color="auto"/>
              <w:left w:val="single" w:sz="4" w:space="0" w:color="auto"/>
              <w:bottom w:val="single" w:sz="4" w:space="0" w:color="auto"/>
              <w:right w:val="single" w:sz="4" w:space="0" w:color="auto"/>
            </w:tcBorders>
            <w:vAlign w:val="center"/>
            <w:hideMark/>
          </w:tcPr>
          <w:p w14:paraId="321141DE" w14:textId="77777777" w:rsidR="00C74DA0" w:rsidRPr="004B4823" w:rsidRDefault="00C74DA0">
            <w:pPr>
              <w:jc w:val="center"/>
              <w:rPr>
                <w:rFonts w:asciiTheme="majorBidi" w:hAnsiTheme="majorBidi" w:cstheme="majorBidi"/>
                <w:bCs/>
                <w:sz w:val="18"/>
                <w:szCs w:val="18"/>
                <w:lang w:val="en-US"/>
              </w:rPr>
            </w:pPr>
            <w:r w:rsidRPr="004B4823">
              <w:rPr>
                <w:rFonts w:asciiTheme="majorBidi" w:hAnsiTheme="majorBidi" w:cstheme="majorBidi"/>
                <w:bCs/>
                <w:sz w:val="18"/>
                <w:szCs w:val="18"/>
                <w:lang w:val="en-US"/>
              </w:rPr>
              <w:t>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5B18A502" w14:textId="77777777" w:rsidR="00C74DA0" w:rsidRPr="004B4823" w:rsidRDefault="00C74DA0">
            <w:pPr>
              <w:jc w:val="center"/>
              <w:rPr>
                <w:rFonts w:asciiTheme="majorBidi" w:hAnsiTheme="majorBidi" w:cstheme="majorBidi"/>
                <w:sz w:val="18"/>
                <w:szCs w:val="18"/>
                <w:lang w:val="es-ES_tradnl"/>
              </w:rPr>
            </w:pPr>
            <w:r w:rsidRPr="004B4823">
              <w:rPr>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5B7F22E1"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Caribbean Telecommunications Union (CTU)ITU Americas Office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3769F3D2" w14:textId="77777777" w:rsidR="00C74DA0" w:rsidRPr="004B4823" w:rsidRDefault="00C74DA0">
            <w:pPr>
              <w:spacing w:after="120"/>
              <w:jc w:val="center"/>
              <w:rPr>
                <w:rFonts w:asciiTheme="majorBidi" w:hAnsiTheme="majorBidi" w:cstheme="majorBidi"/>
                <w:sz w:val="18"/>
                <w:szCs w:val="18"/>
                <w:lang w:val="en-US"/>
              </w:rPr>
            </w:pPr>
            <w:r w:rsidRPr="004B4823">
              <w:rPr>
                <w:rFonts w:asciiTheme="majorBidi" w:hAnsiTheme="majorBidi" w:cstheme="majorBidi"/>
                <w:sz w:val="18"/>
                <w:szCs w:val="18"/>
                <w:lang w:val="en-US"/>
              </w:rPr>
              <w:t xml:space="preserve">WRC-19 </w:t>
            </w:r>
            <w:proofErr w:type="gramStart"/>
            <w:r w:rsidRPr="004B4823">
              <w:rPr>
                <w:rFonts w:asciiTheme="majorBidi" w:hAnsiTheme="majorBidi" w:cstheme="majorBidi"/>
                <w:sz w:val="18"/>
                <w:szCs w:val="18"/>
                <w:lang w:val="en-US"/>
              </w:rPr>
              <w:t>Outcomes :</w:t>
            </w:r>
            <w:proofErr w:type="gramEnd"/>
            <w:r w:rsidRPr="004B4823">
              <w:rPr>
                <w:rFonts w:asciiTheme="majorBidi" w:hAnsiTheme="majorBidi" w:cstheme="majorBidi"/>
                <w:sz w:val="18"/>
                <w:szCs w:val="18"/>
                <w:lang w:val="en-US"/>
              </w:rPr>
              <w:t xml:space="preserve"> Challenges and opportunities for the Region</w:t>
            </w:r>
          </w:p>
        </w:tc>
        <w:tc>
          <w:tcPr>
            <w:tcW w:w="364" w:type="pct"/>
            <w:tcBorders>
              <w:top w:val="single" w:sz="4" w:space="0" w:color="auto"/>
              <w:left w:val="single" w:sz="4" w:space="0" w:color="auto"/>
              <w:bottom w:val="single" w:sz="4" w:space="0" w:color="auto"/>
              <w:right w:val="single" w:sz="4" w:space="0" w:color="auto"/>
            </w:tcBorders>
            <w:vAlign w:val="center"/>
            <w:hideMark/>
          </w:tcPr>
          <w:p w14:paraId="76BB9035"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E</w:t>
            </w:r>
          </w:p>
        </w:tc>
        <w:tc>
          <w:tcPr>
            <w:tcW w:w="501" w:type="pct"/>
            <w:tcBorders>
              <w:top w:val="single" w:sz="4" w:space="0" w:color="auto"/>
              <w:left w:val="single" w:sz="4" w:space="0" w:color="auto"/>
              <w:bottom w:val="single" w:sz="4" w:space="0" w:color="auto"/>
              <w:right w:val="single" w:sz="4" w:space="0" w:color="auto"/>
            </w:tcBorders>
            <w:vAlign w:val="center"/>
            <w:hideMark/>
          </w:tcPr>
          <w:p w14:paraId="1498480E"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350/38</w:t>
            </w:r>
          </w:p>
        </w:tc>
        <w:tc>
          <w:tcPr>
            <w:tcW w:w="501" w:type="pct"/>
            <w:tcBorders>
              <w:top w:val="single" w:sz="4" w:space="0" w:color="auto"/>
              <w:left w:val="single" w:sz="4" w:space="0" w:color="auto"/>
              <w:bottom w:val="single" w:sz="4" w:space="0" w:color="auto"/>
              <w:right w:val="single" w:sz="4" w:space="0" w:color="auto"/>
            </w:tcBorders>
            <w:vAlign w:val="center"/>
          </w:tcPr>
          <w:p w14:paraId="3110EBDF" w14:textId="77777777" w:rsidR="00C74DA0" w:rsidRPr="004B4823" w:rsidDel="00203E0B"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6C228F6B"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303AE69F" w14:textId="77777777" w:rsidR="00C74DA0" w:rsidRPr="004B4823" w:rsidRDefault="00C74DA0">
            <w:pPr>
              <w:rPr>
                <w:rFonts w:asciiTheme="majorBidi" w:hAnsiTheme="majorBidi" w:cstheme="majorBidi"/>
                <w:sz w:val="18"/>
                <w:szCs w:val="18"/>
                <w:lang w:val="en-US"/>
              </w:rPr>
            </w:pPr>
            <w:r w:rsidRPr="004B4823">
              <w:rPr>
                <w:rFonts w:asciiTheme="majorBidi" w:hAnsiTheme="majorBidi" w:cstheme="majorBidi"/>
                <w:sz w:val="18"/>
                <w:szCs w:val="18"/>
                <w:lang w:val="en-US"/>
              </w:rPr>
              <w:t>19-30 October 2020</w:t>
            </w:r>
          </w:p>
        </w:tc>
        <w:tc>
          <w:tcPr>
            <w:tcW w:w="591" w:type="pct"/>
            <w:tcBorders>
              <w:top w:val="single" w:sz="4" w:space="0" w:color="auto"/>
              <w:left w:val="single" w:sz="4" w:space="0" w:color="auto"/>
              <w:bottom w:val="single" w:sz="4" w:space="0" w:color="auto"/>
              <w:right w:val="single" w:sz="4" w:space="0" w:color="auto"/>
            </w:tcBorders>
            <w:vAlign w:val="center"/>
            <w:hideMark/>
          </w:tcPr>
          <w:p w14:paraId="5EAE2AF7"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RRS-20-Asia-Pacific</w:t>
            </w:r>
          </w:p>
        </w:tc>
        <w:tc>
          <w:tcPr>
            <w:tcW w:w="364" w:type="pct"/>
            <w:tcBorders>
              <w:top w:val="single" w:sz="4" w:space="0" w:color="auto"/>
              <w:left w:val="single" w:sz="4" w:space="0" w:color="auto"/>
              <w:bottom w:val="single" w:sz="4" w:space="0" w:color="auto"/>
              <w:right w:val="single" w:sz="4" w:space="0" w:color="auto"/>
            </w:tcBorders>
            <w:vAlign w:val="center"/>
            <w:hideMark/>
          </w:tcPr>
          <w:p w14:paraId="5AB33154"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bCs/>
                <w:sz w:val="18"/>
                <w:szCs w:val="18"/>
                <w:lang w:val="en-US"/>
              </w:rPr>
              <w:t>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27783710" w14:textId="77777777" w:rsidR="00C74DA0" w:rsidRPr="004B4823" w:rsidRDefault="00C74DA0">
            <w:pPr>
              <w:jc w:val="center"/>
              <w:rPr>
                <w:rFonts w:asciiTheme="majorBidi" w:hAnsiTheme="majorBidi" w:cstheme="majorBidi"/>
                <w:color w:val="444444"/>
                <w:sz w:val="18"/>
                <w:szCs w:val="18"/>
                <w:shd w:val="clear" w:color="auto" w:fill="FFFFFF"/>
                <w:lang w:val="en-US"/>
              </w:rPr>
            </w:pPr>
            <w:r w:rsidRPr="004B4823">
              <w:rPr>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49E52898"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 xml:space="preserve">Asia-Pacific </w:t>
            </w:r>
            <w:proofErr w:type="spellStart"/>
            <w:r w:rsidRPr="004B4823">
              <w:rPr>
                <w:rFonts w:asciiTheme="majorBidi" w:hAnsiTheme="majorBidi" w:cstheme="majorBidi"/>
                <w:sz w:val="18"/>
                <w:szCs w:val="18"/>
                <w:lang w:val="en-US"/>
              </w:rPr>
              <w:t>Telecommunity</w:t>
            </w:r>
            <w:proofErr w:type="spellEnd"/>
            <w:r w:rsidRPr="004B4823">
              <w:rPr>
                <w:rFonts w:asciiTheme="majorBidi" w:hAnsiTheme="majorBidi" w:cstheme="majorBidi"/>
                <w:sz w:val="18"/>
                <w:szCs w:val="18"/>
                <w:lang w:val="en-US"/>
              </w:rPr>
              <w:t xml:space="preserve"> (APT)</w:t>
            </w:r>
          </w:p>
          <w:p w14:paraId="77532981" w14:textId="77777777" w:rsidR="00C74DA0" w:rsidRPr="004B4823" w:rsidRDefault="00C74DA0">
            <w:pPr>
              <w:jc w:val="center"/>
              <w:rPr>
                <w:rFonts w:asciiTheme="majorBidi" w:hAnsiTheme="majorBidi" w:cstheme="majorBidi"/>
                <w:sz w:val="18"/>
                <w:szCs w:val="18"/>
                <w:lang w:val="en-US"/>
              </w:rPr>
            </w:pPr>
          </w:p>
          <w:p w14:paraId="4C6C3558"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ITU Asia and the Pacific Office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6E4757FE" w14:textId="77777777" w:rsidR="00C74DA0" w:rsidRPr="004B4823" w:rsidRDefault="00C74DA0">
            <w:pPr>
              <w:spacing w:after="120"/>
              <w:jc w:val="center"/>
              <w:rPr>
                <w:rFonts w:asciiTheme="majorBidi" w:hAnsiTheme="majorBidi" w:cstheme="majorBidi"/>
                <w:sz w:val="18"/>
                <w:szCs w:val="18"/>
                <w:lang w:val="en-US"/>
              </w:rPr>
            </w:pPr>
            <w:r w:rsidRPr="004B4823">
              <w:rPr>
                <w:rFonts w:asciiTheme="majorBidi" w:hAnsiTheme="majorBidi" w:cstheme="majorBidi"/>
                <w:sz w:val="18"/>
                <w:szCs w:val="18"/>
                <w:lang w:val="en-US"/>
              </w:rPr>
              <w:t>WRC-19 Outcomes: Challenges and opportunities for the Region</w:t>
            </w:r>
          </w:p>
        </w:tc>
        <w:tc>
          <w:tcPr>
            <w:tcW w:w="364" w:type="pct"/>
            <w:tcBorders>
              <w:top w:val="single" w:sz="4" w:space="0" w:color="auto"/>
              <w:left w:val="single" w:sz="4" w:space="0" w:color="auto"/>
              <w:bottom w:val="single" w:sz="4" w:space="0" w:color="auto"/>
              <w:right w:val="single" w:sz="4" w:space="0" w:color="auto"/>
            </w:tcBorders>
            <w:vAlign w:val="center"/>
            <w:hideMark/>
          </w:tcPr>
          <w:p w14:paraId="4207A21C"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E</w:t>
            </w:r>
          </w:p>
        </w:tc>
        <w:tc>
          <w:tcPr>
            <w:tcW w:w="501" w:type="pct"/>
            <w:tcBorders>
              <w:top w:val="single" w:sz="4" w:space="0" w:color="auto"/>
              <w:left w:val="single" w:sz="4" w:space="0" w:color="auto"/>
              <w:bottom w:val="single" w:sz="4" w:space="0" w:color="auto"/>
              <w:right w:val="single" w:sz="4" w:space="0" w:color="auto"/>
            </w:tcBorders>
            <w:vAlign w:val="center"/>
            <w:hideMark/>
          </w:tcPr>
          <w:p w14:paraId="39E2E94F"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300/30</w:t>
            </w:r>
          </w:p>
        </w:tc>
        <w:tc>
          <w:tcPr>
            <w:tcW w:w="501" w:type="pct"/>
            <w:tcBorders>
              <w:top w:val="single" w:sz="4" w:space="0" w:color="auto"/>
              <w:left w:val="single" w:sz="4" w:space="0" w:color="auto"/>
              <w:bottom w:val="single" w:sz="4" w:space="0" w:color="auto"/>
              <w:right w:val="single" w:sz="4" w:space="0" w:color="auto"/>
            </w:tcBorders>
            <w:vAlign w:val="center"/>
          </w:tcPr>
          <w:p w14:paraId="511D4D12" w14:textId="77777777" w:rsidR="00C74DA0" w:rsidRPr="004B4823" w:rsidDel="00203E0B"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5AA25062" w14:textId="77777777" w:rsidTr="004B482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E4DA96" w14:textId="77777777" w:rsidR="00C74DA0" w:rsidRPr="004B4823" w:rsidRDefault="00C74DA0" w:rsidP="00BD6051">
            <w:pPr>
              <w:spacing w:after="120"/>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2021</w:t>
            </w:r>
          </w:p>
        </w:tc>
      </w:tr>
      <w:tr w:rsidR="00C74DA0" w:rsidRPr="004B4823" w14:paraId="63082E5E"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1FF299AB" w14:textId="77777777" w:rsidR="00C74DA0" w:rsidRPr="004B4823" w:rsidRDefault="00C74DA0">
            <w:pPr>
              <w:rPr>
                <w:rFonts w:asciiTheme="majorBidi" w:hAnsiTheme="majorBidi" w:cstheme="majorBidi"/>
                <w:sz w:val="18"/>
                <w:szCs w:val="18"/>
                <w:lang w:val="en-US"/>
              </w:rPr>
            </w:pPr>
            <w:r w:rsidRPr="004B4823">
              <w:rPr>
                <w:rFonts w:asciiTheme="majorBidi" w:hAnsiTheme="majorBidi" w:cstheme="majorBidi"/>
                <w:sz w:val="18"/>
                <w:szCs w:val="18"/>
              </w:rPr>
              <w:t>26 April to 7 May 2021</w:t>
            </w:r>
          </w:p>
        </w:tc>
        <w:tc>
          <w:tcPr>
            <w:tcW w:w="591" w:type="pct"/>
            <w:tcBorders>
              <w:top w:val="single" w:sz="4" w:space="0" w:color="auto"/>
              <w:left w:val="single" w:sz="4" w:space="0" w:color="auto"/>
              <w:bottom w:val="single" w:sz="4" w:space="0" w:color="auto"/>
              <w:right w:val="single" w:sz="4" w:space="0" w:color="auto"/>
            </w:tcBorders>
            <w:vAlign w:val="center"/>
            <w:hideMark/>
          </w:tcPr>
          <w:p w14:paraId="38FDF556"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RRS-21-Americas</w:t>
            </w:r>
          </w:p>
        </w:tc>
        <w:tc>
          <w:tcPr>
            <w:tcW w:w="364" w:type="pct"/>
            <w:tcBorders>
              <w:top w:val="single" w:sz="4" w:space="0" w:color="auto"/>
              <w:left w:val="single" w:sz="4" w:space="0" w:color="auto"/>
              <w:bottom w:val="single" w:sz="4" w:space="0" w:color="auto"/>
              <w:right w:val="single" w:sz="4" w:space="0" w:color="auto"/>
            </w:tcBorders>
            <w:vAlign w:val="center"/>
            <w:hideMark/>
          </w:tcPr>
          <w:p w14:paraId="01B9B146" w14:textId="77777777" w:rsidR="00C74DA0" w:rsidRPr="004B4823" w:rsidRDefault="00C74DA0">
            <w:pPr>
              <w:jc w:val="center"/>
              <w:rPr>
                <w:rFonts w:asciiTheme="majorBidi" w:hAnsiTheme="majorBidi" w:cstheme="majorBidi"/>
                <w:bCs/>
                <w:sz w:val="18"/>
                <w:szCs w:val="18"/>
                <w:lang w:val="en-US"/>
              </w:rPr>
            </w:pPr>
            <w:r w:rsidRPr="004B4823">
              <w:rPr>
                <w:rFonts w:asciiTheme="majorBidi" w:hAnsiTheme="majorBidi" w:cstheme="majorBidi"/>
                <w:sz w:val="18"/>
                <w:szCs w:val="18"/>
              </w:rPr>
              <w:t xml:space="preserve"> 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4BD2736A" w14:textId="77777777" w:rsidR="00C74DA0" w:rsidRPr="004B4823" w:rsidRDefault="00C74DA0">
            <w:pPr>
              <w:spacing w:after="120"/>
              <w:jc w:val="center"/>
              <w:rPr>
                <w:rFonts w:asciiTheme="majorBidi" w:hAnsiTheme="majorBidi" w:cstheme="majorBidi"/>
                <w:sz w:val="18"/>
                <w:szCs w:val="18"/>
                <w:lang w:val="fr-CH"/>
              </w:rPr>
            </w:pPr>
            <w:r w:rsidRPr="004B4823">
              <w:rPr>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63A2910F" w14:textId="77777777" w:rsidR="00C74DA0" w:rsidRPr="004B4823" w:rsidRDefault="00C74DA0">
            <w:pPr>
              <w:jc w:val="center"/>
              <w:rPr>
                <w:rFonts w:asciiTheme="majorBidi" w:hAnsiTheme="majorBidi" w:cstheme="majorBidi"/>
                <w:sz w:val="18"/>
                <w:szCs w:val="18"/>
                <w:lang w:val="en-US"/>
              </w:rPr>
            </w:pPr>
            <w:r w:rsidRPr="004B4823">
              <w:rPr>
                <w:sz w:val="18"/>
                <w:szCs w:val="18"/>
              </w:rPr>
              <w:t xml:space="preserve"> </w:t>
            </w:r>
            <w:r w:rsidRPr="004B4823">
              <w:rPr>
                <w:rFonts w:asciiTheme="majorBidi" w:hAnsiTheme="majorBidi" w:cstheme="majorBidi"/>
                <w:sz w:val="18"/>
                <w:szCs w:val="18"/>
                <w:lang w:val="en-US"/>
              </w:rPr>
              <w:t xml:space="preserve">Inter-American Telecommunication Commission (CITEL) </w:t>
            </w:r>
          </w:p>
          <w:p w14:paraId="6EA3DE56"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 xml:space="preserve"> Colombian National Spectrum Agency (ANE)</w:t>
            </w:r>
          </w:p>
          <w:p w14:paraId="1F958D0B"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ITU Americas Office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4750A5F4"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Modern spectrum management in the Region</w:t>
            </w:r>
          </w:p>
        </w:tc>
        <w:tc>
          <w:tcPr>
            <w:tcW w:w="364" w:type="pct"/>
            <w:tcBorders>
              <w:top w:val="single" w:sz="4" w:space="0" w:color="auto"/>
              <w:left w:val="single" w:sz="4" w:space="0" w:color="auto"/>
              <w:bottom w:val="single" w:sz="4" w:space="0" w:color="auto"/>
              <w:right w:val="single" w:sz="4" w:space="0" w:color="auto"/>
            </w:tcBorders>
            <w:vAlign w:val="center"/>
            <w:hideMark/>
          </w:tcPr>
          <w:p w14:paraId="7BFB5C00"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S</w:t>
            </w:r>
          </w:p>
        </w:tc>
        <w:tc>
          <w:tcPr>
            <w:tcW w:w="501" w:type="pct"/>
            <w:tcBorders>
              <w:top w:val="single" w:sz="4" w:space="0" w:color="auto"/>
              <w:left w:val="single" w:sz="4" w:space="0" w:color="auto"/>
              <w:bottom w:val="single" w:sz="4" w:space="0" w:color="auto"/>
              <w:right w:val="single" w:sz="4" w:space="0" w:color="auto"/>
            </w:tcBorders>
            <w:vAlign w:val="center"/>
            <w:hideMark/>
          </w:tcPr>
          <w:p w14:paraId="75056E72"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238/49</w:t>
            </w:r>
          </w:p>
        </w:tc>
        <w:tc>
          <w:tcPr>
            <w:tcW w:w="501" w:type="pct"/>
            <w:tcBorders>
              <w:top w:val="single" w:sz="4" w:space="0" w:color="auto"/>
              <w:left w:val="single" w:sz="4" w:space="0" w:color="auto"/>
              <w:bottom w:val="single" w:sz="4" w:space="0" w:color="auto"/>
              <w:right w:val="single" w:sz="4" w:space="0" w:color="auto"/>
            </w:tcBorders>
            <w:vAlign w:val="center"/>
          </w:tcPr>
          <w:p w14:paraId="6C6B14C1" w14:textId="77777777" w:rsidR="00C74DA0" w:rsidRPr="004B4823" w:rsidDel="007F228A"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462C3C5A"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4BE7A889" w14:textId="77777777" w:rsidR="00C74DA0" w:rsidRPr="004B4823" w:rsidRDefault="00C74DA0">
            <w:pPr>
              <w:rPr>
                <w:rFonts w:asciiTheme="majorBidi" w:hAnsiTheme="majorBidi" w:cstheme="majorBidi"/>
                <w:sz w:val="18"/>
                <w:szCs w:val="18"/>
                <w:lang w:val="en-US"/>
              </w:rPr>
            </w:pPr>
            <w:r w:rsidRPr="004B4823">
              <w:rPr>
                <w:rFonts w:asciiTheme="majorBidi" w:hAnsiTheme="majorBidi" w:cstheme="majorBidi"/>
                <w:sz w:val="18"/>
                <w:szCs w:val="18"/>
              </w:rPr>
              <w:t>5-16 July 2021</w:t>
            </w:r>
          </w:p>
        </w:tc>
        <w:tc>
          <w:tcPr>
            <w:tcW w:w="591" w:type="pct"/>
            <w:tcBorders>
              <w:top w:val="single" w:sz="4" w:space="0" w:color="auto"/>
              <w:left w:val="single" w:sz="4" w:space="0" w:color="auto"/>
              <w:bottom w:val="single" w:sz="4" w:space="0" w:color="auto"/>
              <w:right w:val="single" w:sz="4" w:space="0" w:color="auto"/>
            </w:tcBorders>
            <w:vAlign w:val="center"/>
            <w:hideMark/>
          </w:tcPr>
          <w:p w14:paraId="11396830"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RRS-21-Africa</w:t>
            </w:r>
          </w:p>
        </w:tc>
        <w:tc>
          <w:tcPr>
            <w:tcW w:w="364" w:type="pct"/>
            <w:tcBorders>
              <w:top w:val="single" w:sz="4" w:space="0" w:color="auto"/>
              <w:left w:val="single" w:sz="4" w:space="0" w:color="auto"/>
              <w:bottom w:val="single" w:sz="4" w:space="0" w:color="auto"/>
              <w:right w:val="single" w:sz="4" w:space="0" w:color="auto"/>
            </w:tcBorders>
            <w:vAlign w:val="center"/>
            <w:hideMark/>
          </w:tcPr>
          <w:p w14:paraId="625EB9CD" w14:textId="77777777" w:rsidR="00C74DA0" w:rsidRPr="004B4823" w:rsidRDefault="00C74DA0">
            <w:pPr>
              <w:jc w:val="center"/>
              <w:rPr>
                <w:rFonts w:asciiTheme="majorBidi" w:hAnsiTheme="majorBidi" w:cstheme="majorBidi"/>
                <w:bCs/>
                <w:sz w:val="18"/>
                <w:szCs w:val="18"/>
                <w:lang w:val="en-US"/>
              </w:rPr>
            </w:pPr>
            <w:r w:rsidRPr="004B4823">
              <w:rPr>
                <w:rFonts w:asciiTheme="majorBidi" w:hAnsiTheme="majorBidi" w:cstheme="majorBidi"/>
                <w:bCs/>
                <w:sz w:val="18"/>
                <w:szCs w:val="18"/>
                <w:lang w:val="en-US"/>
              </w:rPr>
              <w:t>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670AC86F" w14:textId="77777777" w:rsidR="00C74DA0" w:rsidRPr="004B4823" w:rsidRDefault="00C74DA0">
            <w:pPr>
              <w:jc w:val="center"/>
              <w:rPr>
                <w:rFonts w:asciiTheme="majorBidi" w:hAnsiTheme="majorBidi" w:cstheme="majorBidi"/>
                <w:sz w:val="18"/>
                <w:szCs w:val="18"/>
                <w:lang w:val="es-ES_tradnl"/>
              </w:rPr>
            </w:pPr>
            <w:r w:rsidRPr="004B4823">
              <w:rPr>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23B837CC" w14:textId="77777777" w:rsidR="00C74DA0" w:rsidRPr="004B4823" w:rsidRDefault="00C74DA0">
            <w:pPr>
              <w:spacing w:after="120"/>
              <w:jc w:val="center"/>
              <w:rPr>
                <w:rFonts w:asciiTheme="majorBidi" w:hAnsiTheme="majorBidi" w:cstheme="majorBidi"/>
                <w:sz w:val="18"/>
                <w:szCs w:val="18"/>
                <w:lang w:val="en-US"/>
              </w:rPr>
            </w:pPr>
            <w:r w:rsidRPr="004B4823">
              <w:rPr>
                <w:sz w:val="18"/>
                <w:szCs w:val="18"/>
              </w:rPr>
              <w:t xml:space="preserve"> </w:t>
            </w:r>
            <w:r w:rsidRPr="004B4823">
              <w:rPr>
                <w:rFonts w:asciiTheme="majorBidi" w:hAnsiTheme="majorBidi" w:cstheme="majorBidi"/>
                <w:sz w:val="18"/>
                <w:szCs w:val="18"/>
                <w:lang w:val="en-US"/>
              </w:rPr>
              <w:t>African Telecommunications Union (ATU)</w:t>
            </w:r>
          </w:p>
          <w:p w14:paraId="6D414F0B" w14:textId="77777777" w:rsidR="00C74DA0" w:rsidRPr="004B4823" w:rsidRDefault="00C74DA0">
            <w:pPr>
              <w:spacing w:after="120"/>
              <w:jc w:val="center"/>
              <w:rPr>
                <w:rFonts w:asciiTheme="majorBidi" w:hAnsiTheme="majorBidi" w:cstheme="majorBidi"/>
                <w:sz w:val="18"/>
                <w:szCs w:val="18"/>
                <w:lang w:val="en-US"/>
              </w:rPr>
            </w:pPr>
          </w:p>
          <w:p w14:paraId="7D825333" w14:textId="77777777" w:rsidR="00C74DA0" w:rsidRPr="004B4823" w:rsidRDefault="00C74DA0">
            <w:pPr>
              <w:spacing w:after="120"/>
              <w:jc w:val="center"/>
              <w:rPr>
                <w:rFonts w:asciiTheme="majorBidi" w:hAnsiTheme="majorBidi" w:cstheme="majorBidi"/>
                <w:sz w:val="18"/>
                <w:szCs w:val="18"/>
                <w:lang w:val="en-US"/>
              </w:rPr>
            </w:pPr>
            <w:r w:rsidRPr="004B4823">
              <w:rPr>
                <w:rFonts w:asciiTheme="majorBidi" w:hAnsiTheme="majorBidi" w:cstheme="majorBidi"/>
                <w:sz w:val="18"/>
                <w:szCs w:val="18"/>
                <w:lang w:val="en-US"/>
              </w:rPr>
              <w:t>ITU Africa Office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0BBED5A0"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Radiocommunications Trends: Opportunities and challenges for the Region</w:t>
            </w:r>
          </w:p>
        </w:tc>
        <w:tc>
          <w:tcPr>
            <w:tcW w:w="364" w:type="pct"/>
            <w:tcBorders>
              <w:top w:val="single" w:sz="4" w:space="0" w:color="auto"/>
              <w:left w:val="single" w:sz="4" w:space="0" w:color="auto"/>
              <w:bottom w:val="single" w:sz="4" w:space="0" w:color="auto"/>
              <w:right w:val="single" w:sz="4" w:space="0" w:color="auto"/>
            </w:tcBorders>
            <w:vAlign w:val="center"/>
            <w:hideMark/>
          </w:tcPr>
          <w:p w14:paraId="3316059C"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E &amp; F</w:t>
            </w:r>
          </w:p>
        </w:tc>
        <w:tc>
          <w:tcPr>
            <w:tcW w:w="501" w:type="pct"/>
            <w:tcBorders>
              <w:top w:val="single" w:sz="4" w:space="0" w:color="auto"/>
              <w:left w:val="single" w:sz="4" w:space="0" w:color="auto"/>
              <w:bottom w:val="single" w:sz="4" w:space="0" w:color="auto"/>
              <w:right w:val="single" w:sz="4" w:space="0" w:color="auto"/>
            </w:tcBorders>
            <w:vAlign w:val="center"/>
            <w:hideMark/>
          </w:tcPr>
          <w:p w14:paraId="6EE20B22"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217/68</w:t>
            </w:r>
          </w:p>
        </w:tc>
        <w:tc>
          <w:tcPr>
            <w:tcW w:w="501" w:type="pct"/>
            <w:tcBorders>
              <w:top w:val="single" w:sz="4" w:space="0" w:color="auto"/>
              <w:left w:val="single" w:sz="4" w:space="0" w:color="auto"/>
              <w:bottom w:val="single" w:sz="4" w:space="0" w:color="auto"/>
              <w:right w:val="single" w:sz="4" w:space="0" w:color="auto"/>
            </w:tcBorders>
            <w:vAlign w:val="center"/>
          </w:tcPr>
          <w:p w14:paraId="70D212E8" w14:textId="77777777" w:rsidR="00C74DA0" w:rsidRPr="004B4823" w:rsidDel="002832A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00C5B082"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2A141C18" w14:textId="795DD93E" w:rsidR="00C74DA0" w:rsidRPr="004B4823" w:rsidRDefault="00C74DA0">
            <w:pPr>
              <w:rPr>
                <w:rFonts w:asciiTheme="majorBidi" w:hAnsiTheme="majorBidi" w:cstheme="majorBidi"/>
                <w:sz w:val="18"/>
                <w:szCs w:val="18"/>
                <w:lang w:val="en-US"/>
              </w:rPr>
            </w:pPr>
            <w:r w:rsidRPr="004B4823">
              <w:rPr>
                <w:rFonts w:asciiTheme="majorBidi" w:hAnsiTheme="majorBidi" w:cstheme="majorBidi"/>
                <w:sz w:val="18"/>
                <w:szCs w:val="18"/>
              </w:rPr>
              <w:t>11-22 Oct</w:t>
            </w:r>
            <w:r w:rsidR="004B4823">
              <w:rPr>
                <w:rFonts w:asciiTheme="majorBidi" w:hAnsiTheme="majorBidi" w:cstheme="majorBidi"/>
                <w:sz w:val="18"/>
                <w:szCs w:val="18"/>
              </w:rPr>
              <w:t xml:space="preserve">. </w:t>
            </w:r>
            <w:r w:rsidRPr="004B4823">
              <w:rPr>
                <w:rFonts w:asciiTheme="majorBidi" w:hAnsiTheme="majorBidi" w:cstheme="majorBidi"/>
                <w:sz w:val="18"/>
                <w:szCs w:val="18"/>
              </w:rPr>
              <w:t>2021</w:t>
            </w:r>
          </w:p>
        </w:tc>
        <w:tc>
          <w:tcPr>
            <w:tcW w:w="591" w:type="pct"/>
            <w:tcBorders>
              <w:top w:val="single" w:sz="4" w:space="0" w:color="auto"/>
              <w:left w:val="single" w:sz="4" w:space="0" w:color="auto"/>
              <w:bottom w:val="single" w:sz="4" w:space="0" w:color="auto"/>
              <w:right w:val="single" w:sz="4" w:space="0" w:color="auto"/>
            </w:tcBorders>
            <w:vAlign w:val="center"/>
            <w:hideMark/>
          </w:tcPr>
          <w:p w14:paraId="60867E90"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RRS-21-Asia-Pacific</w:t>
            </w:r>
          </w:p>
        </w:tc>
        <w:tc>
          <w:tcPr>
            <w:tcW w:w="364" w:type="pct"/>
            <w:tcBorders>
              <w:top w:val="single" w:sz="4" w:space="0" w:color="auto"/>
              <w:left w:val="single" w:sz="4" w:space="0" w:color="auto"/>
              <w:bottom w:val="single" w:sz="4" w:space="0" w:color="auto"/>
              <w:right w:val="single" w:sz="4" w:space="0" w:color="auto"/>
            </w:tcBorders>
            <w:vAlign w:val="center"/>
            <w:hideMark/>
          </w:tcPr>
          <w:p w14:paraId="22B23CD8" w14:textId="77777777" w:rsidR="00C74DA0" w:rsidRPr="004B4823" w:rsidRDefault="00C74DA0">
            <w:pPr>
              <w:jc w:val="center"/>
              <w:rPr>
                <w:rFonts w:asciiTheme="majorBidi" w:hAnsiTheme="majorBidi" w:cstheme="majorBidi"/>
                <w:bCs/>
                <w:sz w:val="18"/>
                <w:szCs w:val="18"/>
                <w:lang w:val="en-US"/>
              </w:rPr>
            </w:pPr>
            <w:r w:rsidRPr="004B4823">
              <w:rPr>
                <w:rFonts w:asciiTheme="majorBidi" w:hAnsiTheme="majorBidi" w:cstheme="majorBidi"/>
                <w:bCs/>
                <w:sz w:val="18"/>
                <w:szCs w:val="18"/>
                <w:lang w:val="en-US"/>
              </w:rPr>
              <w:t>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2AD4FED7" w14:textId="77777777" w:rsidR="00C74DA0" w:rsidRPr="004B4823" w:rsidRDefault="00C74DA0">
            <w:pPr>
              <w:spacing w:after="120"/>
              <w:jc w:val="center"/>
              <w:rPr>
                <w:rFonts w:asciiTheme="majorBidi" w:hAnsiTheme="majorBidi" w:cstheme="majorBidi"/>
                <w:sz w:val="18"/>
                <w:szCs w:val="18"/>
                <w:lang w:val="en-US"/>
              </w:rPr>
            </w:pPr>
            <w:r w:rsidRPr="004B4823">
              <w:rPr>
                <w:rFonts w:cs="Times New Roman"/>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484145D0"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 xml:space="preserve">Asia-Pacific </w:t>
            </w:r>
            <w:proofErr w:type="spellStart"/>
            <w:r w:rsidRPr="004B4823">
              <w:rPr>
                <w:rFonts w:asciiTheme="majorBidi" w:hAnsiTheme="majorBidi" w:cstheme="majorBidi"/>
                <w:sz w:val="18"/>
                <w:szCs w:val="18"/>
                <w:lang w:val="en-US"/>
              </w:rPr>
              <w:t>Telecommunity</w:t>
            </w:r>
            <w:proofErr w:type="spellEnd"/>
            <w:r w:rsidRPr="004B4823">
              <w:rPr>
                <w:rFonts w:asciiTheme="majorBidi" w:hAnsiTheme="majorBidi" w:cstheme="majorBidi"/>
                <w:sz w:val="18"/>
                <w:szCs w:val="18"/>
                <w:lang w:val="en-US"/>
              </w:rPr>
              <w:t xml:space="preserve"> (APT)</w:t>
            </w:r>
          </w:p>
          <w:p w14:paraId="0B200FE3"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 xml:space="preserve">ITU </w:t>
            </w:r>
            <w:proofErr w:type="spellStart"/>
            <w:r w:rsidRPr="004B4823">
              <w:rPr>
                <w:rFonts w:asciiTheme="majorBidi" w:hAnsiTheme="majorBidi" w:cstheme="majorBidi"/>
                <w:sz w:val="18"/>
                <w:szCs w:val="18"/>
                <w:lang w:val="en-US"/>
              </w:rPr>
              <w:t>Asia&amp;Pacific</w:t>
            </w:r>
            <w:proofErr w:type="spellEnd"/>
            <w:r w:rsidRPr="004B4823">
              <w:rPr>
                <w:rFonts w:asciiTheme="majorBidi" w:hAnsiTheme="majorBidi" w:cstheme="majorBidi"/>
                <w:sz w:val="18"/>
                <w:szCs w:val="18"/>
                <w:lang w:val="en-US"/>
              </w:rPr>
              <w:t xml:space="preserve"> Office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680E2A57" w14:textId="77777777" w:rsidR="00C74DA0" w:rsidRPr="004B4823" w:rsidRDefault="00C74DA0">
            <w:pPr>
              <w:jc w:val="center"/>
              <w:rPr>
                <w:rFonts w:asciiTheme="majorBidi" w:hAnsiTheme="majorBidi" w:cstheme="majorBidi"/>
                <w:sz w:val="18"/>
                <w:szCs w:val="18"/>
                <w:lang w:val="en-US"/>
              </w:rPr>
            </w:pPr>
            <w:r w:rsidRPr="004B4823">
              <w:rPr>
                <w:sz w:val="18"/>
                <w:szCs w:val="18"/>
              </w:rPr>
              <w:t xml:space="preserve"> </w:t>
            </w:r>
            <w:r w:rsidRPr="004B4823">
              <w:rPr>
                <w:rFonts w:asciiTheme="majorBidi" w:hAnsiTheme="majorBidi" w:cstheme="majorBidi"/>
                <w:sz w:val="18"/>
                <w:szCs w:val="18"/>
                <w:lang w:val="en-US"/>
              </w:rPr>
              <w:t>Radiocommunications Trends: Opportunities and Challenges for the Region</w:t>
            </w:r>
          </w:p>
        </w:tc>
        <w:tc>
          <w:tcPr>
            <w:tcW w:w="364" w:type="pct"/>
            <w:tcBorders>
              <w:top w:val="single" w:sz="4" w:space="0" w:color="auto"/>
              <w:left w:val="single" w:sz="4" w:space="0" w:color="auto"/>
              <w:bottom w:val="single" w:sz="4" w:space="0" w:color="auto"/>
              <w:right w:val="single" w:sz="4" w:space="0" w:color="auto"/>
            </w:tcBorders>
            <w:vAlign w:val="center"/>
            <w:hideMark/>
          </w:tcPr>
          <w:p w14:paraId="027B3243"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E</w:t>
            </w:r>
          </w:p>
        </w:tc>
        <w:tc>
          <w:tcPr>
            <w:tcW w:w="501" w:type="pct"/>
            <w:tcBorders>
              <w:top w:val="single" w:sz="4" w:space="0" w:color="auto"/>
              <w:left w:val="single" w:sz="4" w:space="0" w:color="auto"/>
              <w:bottom w:val="single" w:sz="4" w:space="0" w:color="auto"/>
              <w:right w:val="single" w:sz="4" w:space="0" w:color="auto"/>
            </w:tcBorders>
            <w:vAlign w:val="center"/>
            <w:hideMark/>
          </w:tcPr>
          <w:p w14:paraId="4B43E1F9"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287/58</w:t>
            </w:r>
          </w:p>
        </w:tc>
        <w:tc>
          <w:tcPr>
            <w:tcW w:w="501" w:type="pct"/>
            <w:tcBorders>
              <w:top w:val="single" w:sz="4" w:space="0" w:color="auto"/>
              <w:left w:val="single" w:sz="4" w:space="0" w:color="auto"/>
              <w:bottom w:val="single" w:sz="4" w:space="0" w:color="auto"/>
              <w:right w:val="single" w:sz="4" w:space="0" w:color="auto"/>
            </w:tcBorders>
            <w:vAlign w:val="center"/>
          </w:tcPr>
          <w:p w14:paraId="0640D8B1" w14:textId="77777777" w:rsidR="00C74DA0" w:rsidRPr="004B4823" w:rsidDel="002832A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191904FC" w14:textId="77777777" w:rsidTr="004B482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11132A" w14:textId="77777777" w:rsidR="00C74DA0" w:rsidRPr="004B4823" w:rsidRDefault="00C74DA0" w:rsidP="00BD6051">
            <w:pPr>
              <w:spacing w:after="120"/>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2022</w:t>
            </w:r>
          </w:p>
        </w:tc>
      </w:tr>
      <w:tr w:rsidR="00C74DA0" w:rsidRPr="004B4823" w14:paraId="3700DC58"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tcPr>
          <w:p w14:paraId="6FE0E480" w14:textId="77777777" w:rsidR="00C74DA0" w:rsidRPr="004B4823" w:rsidRDefault="00C74DA0">
            <w:pPr>
              <w:rPr>
                <w:rFonts w:asciiTheme="majorBidi" w:hAnsiTheme="majorBidi" w:cstheme="majorBidi"/>
                <w:sz w:val="18"/>
                <w:szCs w:val="18"/>
                <w:lang w:val="en-US"/>
              </w:rPr>
            </w:pPr>
            <w:r w:rsidRPr="004B4823">
              <w:rPr>
                <w:rFonts w:asciiTheme="majorBidi" w:hAnsiTheme="majorBidi" w:cstheme="majorBidi"/>
                <w:sz w:val="18"/>
                <w:szCs w:val="18"/>
              </w:rPr>
              <w:t>13-24 March 2022</w:t>
            </w:r>
          </w:p>
        </w:tc>
        <w:tc>
          <w:tcPr>
            <w:tcW w:w="591" w:type="pct"/>
            <w:tcBorders>
              <w:top w:val="single" w:sz="4" w:space="0" w:color="auto"/>
              <w:left w:val="single" w:sz="4" w:space="0" w:color="auto"/>
              <w:bottom w:val="single" w:sz="4" w:space="0" w:color="auto"/>
              <w:right w:val="single" w:sz="4" w:space="0" w:color="auto"/>
            </w:tcBorders>
            <w:vAlign w:val="center"/>
            <w:hideMark/>
          </w:tcPr>
          <w:p w14:paraId="21AB021B"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RRS-22-Arab States</w:t>
            </w:r>
          </w:p>
        </w:tc>
        <w:tc>
          <w:tcPr>
            <w:tcW w:w="364" w:type="pct"/>
            <w:tcBorders>
              <w:top w:val="single" w:sz="4" w:space="0" w:color="auto"/>
              <w:left w:val="single" w:sz="4" w:space="0" w:color="auto"/>
              <w:bottom w:val="single" w:sz="4" w:space="0" w:color="auto"/>
              <w:right w:val="single" w:sz="4" w:space="0" w:color="auto"/>
            </w:tcBorders>
            <w:vAlign w:val="center"/>
            <w:hideMark/>
          </w:tcPr>
          <w:p w14:paraId="387C862C" w14:textId="77777777" w:rsidR="00C74DA0" w:rsidRPr="004B4823" w:rsidRDefault="00C74DA0">
            <w:pPr>
              <w:jc w:val="center"/>
              <w:rPr>
                <w:rFonts w:asciiTheme="majorBidi" w:hAnsiTheme="majorBidi" w:cstheme="majorBidi"/>
                <w:bCs/>
                <w:sz w:val="18"/>
                <w:szCs w:val="18"/>
                <w:lang w:val="en-US"/>
              </w:rPr>
            </w:pPr>
            <w:r w:rsidRPr="004B4823">
              <w:rPr>
                <w:rFonts w:asciiTheme="majorBidi" w:hAnsiTheme="majorBidi" w:cstheme="majorBidi"/>
                <w:bCs/>
                <w:sz w:val="18"/>
                <w:szCs w:val="18"/>
                <w:lang w:val="en-US"/>
              </w:rPr>
              <w:t>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1C3420F3" w14:textId="77777777" w:rsidR="00C74DA0" w:rsidRPr="004B4823" w:rsidRDefault="00C74DA0">
            <w:pPr>
              <w:jc w:val="center"/>
              <w:rPr>
                <w:rFonts w:asciiTheme="majorBidi" w:hAnsiTheme="majorBidi" w:cstheme="majorBidi"/>
                <w:sz w:val="18"/>
                <w:szCs w:val="18"/>
                <w:lang w:val="en-US"/>
              </w:rPr>
            </w:pPr>
            <w:r w:rsidRPr="004B4823">
              <w:rPr>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16E0D163"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Arab Spectrum Management Group (ASMG)</w:t>
            </w:r>
          </w:p>
          <w:p w14:paraId="49CD84E7"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ITU Regional Office for Arab States</w:t>
            </w:r>
          </w:p>
        </w:tc>
        <w:tc>
          <w:tcPr>
            <w:tcW w:w="1045" w:type="pct"/>
            <w:tcBorders>
              <w:top w:val="single" w:sz="4" w:space="0" w:color="auto"/>
              <w:left w:val="single" w:sz="4" w:space="0" w:color="auto"/>
              <w:bottom w:val="single" w:sz="4" w:space="0" w:color="auto"/>
              <w:right w:val="single" w:sz="4" w:space="0" w:color="auto"/>
            </w:tcBorders>
            <w:vAlign w:val="center"/>
            <w:hideMark/>
          </w:tcPr>
          <w:p w14:paraId="6C7065C3" w14:textId="77777777" w:rsidR="00C74DA0" w:rsidRPr="004B4823" w:rsidRDefault="00C74DA0">
            <w:pPr>
              <w:spacing w:after="120"/>
              <w:jc w:val="center"/>
              <w:rPr>
                <w:rFonts w:asciiTheme="majorBidi" w:hAnsiTheme="majorBidi" w:cstheme="majorBidi"/>
                <w:sz w:val="18"/>
                <w:szCs w:val="18"/>
                <w:lang w:val="en-US"/>
              </w:rPr>
            </w:pPr>
            <w:r w:rsidRPr="004B4823">
              <w:rPr>
                <w:sz w:val="18"/>
                <w:szCs w:val="18"/>
              </w:rPr>
              <w:t xml:space="preserve"> </w:t>
            </w:r>
            <w:r w:rsidRPr="004B4823">
              <w:rPr>
                <w:rFonts w:asciiTheme="majorBidi" w:hAnsiTheme="majorBidi" w:cstheme="majorBidi"/>
                <w:sz w:val="18"/>
                <w:szCs w:val="18"/>
                <w:lang w:val="en-US"/>
              </w:rPr>
              <w:t>Radiocommunications Trends: Opportunities and challenges for the Region</w:t>
            </w:r>
          </w:p>
        </w:tc>
        <w:tc>
          <w:tcPr>
            <w:tcW w:w="364" w:type="pct"/>
            <w:tcBorders>
              <w:top w:val="single" w:sz="4" w:space="0" w:color="auto"/>
              <w:left w:val="single" w:sz="4" w:space="0" w:color="auto"/>
              <w:bottom w:val="single" w:sz="4" w:space="0" w:color="auto"/>
              <w:right w:val="single" w:sz="4" w:space="0" w:color="auto"/>
            </w:tcBorders>
            <w:vAlign w:val="center"/>
            <w:hideMark/>
          </w:tcPr>
          <w:p w14:paraId="2EFCCD7F" w14:textId="77777777" w:rsidR="00C74DA0" w:rsidRPr="004B4823" w:rsidRDefault="00C74DA0">
            <w:pPr>
              <w:jc w:val="center"/>
              <w:rPr>
                <w:rFonts w:asciiTheme="majorBidi" w:hAnsiTheme="majorBidi" w:cstheme="majorBidi"/>
                <w:sz w:val="18"/>
                <w:szCs w:val="18"/>
                <w:lang w:val="en-US"/>
              </w:rPr>
            </w:pPr>
            <w:r w:rsidRPr="004B4823">
              <w:rPr>
                <w:sz w:val="18"/>
                <w:szCs w:val="18"/>
              </w:rPr>
              <w:t xml:space="preserve">A &amp; </w:t>
            </w:r>
            <w:r w:rsidRPr="004B4823">
              <w:rPr>
                <w:rFonts w:asciiTheme="majorBidi" w:hAnsiTheme="majorBidi" w:cstheme="majorBidi"/>
                <w:sz w:val="18"/>
                <w:szCs w:val="18"/>
                <w:lang w:val="en-US"/>
              </w:rPr>
              <w:t>E</w:t>
            </w:r>
          </w:p>
        </w:tc>
        <w:tc>
          <w:tcPr>
            <w:tcW w:w="501" w:type="pct"/>
            <w:tcBorders>
              <w:top w:val="single" w:sz="4" w:space="0" w:color="auto"/>
              <w:left w:val="single" w:sz="4" w:space="0" w:color="auto"/>
              <w:bottom w:val="single" w:sz="4" w:space="0" w:color="auto"/>
              <w:right w:val="single" w:sz="4" w:space="0" w:color="auto"/>
            </w:tcBorders>
            <w:vAlign w:val="center"/>
            <w:hideMark/>
          </w:tcPr>
          <w:p w14:paraId="33644B18"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185/51</w:t>
            </w:r>
          </w:p>
        </w:tc>
        <w:tc>
          <w:tcPr>
            <w:tcW w:w="501" w:type="pct"/>
            <w:tcBorders>
              <w:top w:val="single" w:sz="4" w:space="0" w:color="auto"/>
              <w:left w:val="single" w:sz="4" w:space="0" w:color="auto"/>
              <w:bottom w:val="single" w:sz="4" w:space="0" w:color="auto"/>
              <w:right w:val="single" w:sz="4" w:space="0" w:color="auto"/>
            </w:tcBorders>
            <w:vAlign w:val="center"/>
          </w:tcPr>
          <w:p w14:paraId="29A195E9" w14:textId="77777777" w:rsidR="00C74DA0" w:rsidRPr="004B4823" w:rsidDel="002456D8"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4563F6EE"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tcPr>
          <w:p w14:paraId="3711E77F" w14:textId="3DE81FE2" w:rsidR="00C74DA0" w:rsidRPr="004B4823" w:rsidRDefault="00C74DA0">
            <w:pPr>
              <w:rPr>
                <w:rFonts w:asciiTheme="majorBidi" w:hAnsiTheme="majorBidi" w:cstheme="majorBidi"/>
                <w:sz w:val="18"/>
                <w:szCs w:val="18"/>
              </w:rPr>
            </w:pPr>
            <w:r w:rsidRPr="004B4823">
              <w:rPr>
                <w:rFonts w:asciiTheme="majorBidi" w:hAnsiTheme="majorBidi" w:cstheme="majorBidi"/>
                <w:sz w:val="18"/>
                <w:szCs w:val="18"/>
              </w:rPr>
              <w:t>30 Aug</w:t>
            </w:r>
            <w:r w:rsidR="004B4823">
              <w:rPr>
                <w:rFonts w:asciiTheme="majorBidi" w:hAnsiTheme="majorBidi" w:cstheme="majorBidi"/>
                <w:sz w:val="18"/>
                <w:szCs w:val="18"/>
              </w:rPr>
              <w:t>.</w:t>
            </w:r>
            <w:r w:rsidRPr="004B4823">
              <w:rPr>
                <w:rFonts w:asciiTheme="majorBidi" w:hAnsiTheme="majorBidi" w:cstheme="majorBidi"/>
                <w:sz w:val="18"/>
                <w:szCs w:val="18"/>
              </w:rPr>
              <w:t xml:space="preserve"> to 8 Sept. 2022</w:t>
            </w:r>
          </w:p>
        </w:tc>
        <w:tc>
          <w:tcPr>
            <w:tcW w:w="591" w:type="pct"/>
            <w:tcBorders>
              <w:top w:val="single" w:sz="4" w:space="0" w:color="auto"/>
              <w:left w:val="single" w:sz="4" w:space="0" w:color="auto"/>
              <w:bottom w:val="single" w:sz="4" w:space="0" w:color="auto"/>
              <w:right w:val="single" w:sz="4" w:space="0" w:color="auto"/>
            </w:tcBorders>
            <w:vAlign w:val="center"/>
            <w:hideMark/>
          </w:tcPr>
          <w:p w14:paraId="44EAD093"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RRS-22-Europe</w:t>
            </w:r>
          </w:p>
        </w:tc>
        <w:tc>
          <w:tcPr>
            <w:tcW w:w="364" w:type="pct"/>
            <w:tcBorders>
              <w:top w:val="single" w:sz="4" w:space="0" w:color="auto"/>
              <w:left w:val="single" w:sz="4" w:space="0" w:color="auto"/>
              <w:bottom w:val="single" w:sz="4" w:space="0" w:color="auto"/>
              <w:right w:val="single" w:sz="4" w:space="0" w:color="auto"/>
            </w:tcBorders>
            <w:vAlign w:val="center"/>
            <w:hideMark/>
          </w:tcPr>
          <w:p w14:paraId="7F505E48" w14:textId="77777777" w:rsidR="00C74DA0" w:rsidRPr="004B4823" w:rsidRDefault="00C74DA0">
            <w:pPr>
              <w:jc w:val="center"/>
              <w:rPr>
                <w:rFonts w:asciiTheme="majorBidi" w:hAnsiTheme="majorBidi" w:cstheme="majorBidi"/>
                <w:bCs/>
                <w:sz w:val="18"/>
                <w:szCs w:val="18"/>
                <w:lang w:val="en-US"/>
              </w:rPr>
            </w:pPr>
            <w:r w:rsidRPr="004B4823">
              <w:rPr>
                <w:rFonts w:asciiTheme="majorBidi" w:hAnsiTheme="majorBidi" w:cstheme="majorBidi"/>
                <w:bCs/>
                <w:sz w:val="18"/>
                <w:szCs w:val="18"/>
                <w:lang w:val="en-US"/>
              </w:rPr>
              <w:t>E-meeting</w:t>
            </w:r>
          </w:p>
        </w:tc>
        <w:tc>
          <w:tcPr>
            <w:tcW w:w="545" w:type="pct"/>
            <w:tcBorders>
              <w:top w:val="single" w:sz="4" w:space="0" w:color="auto"/>
              <w:left w:val="single" w:sz="4" w:space="0" w:color="auto"/>
              <w:bottom w:val="single" w:sz="4" w:space="0" w:color="auto"/>
              <w:right w:val="single" w:sz="4" w:space="0" w:color="auto"/>
            </w:tcBorders>
            <w:vAlign w:val="center"/>
            <w:hideMark/>
          </w:tcPr>
          <w:p w14:paraId="493DE9EA" w14:textId="77777777" w:rsidR="00C74DA0" w:rsidRPr="004B4823" w:rsidRDefault="00C74DA0">
            <w:pPr>
              <w:spacing w:after="120"/>
              <w:jc w:val="center"/>
              <w:rPr>
                <w:rFonts w:asciiTheme="majorBidi" w:hAnsiTheme="majorBidi" w:cstheme="majorBidi"/>
                <w:sz w:val="18"/>
                <w:szCs w:val="18"/>
                <w:lang w:val="es-ES"/>
              </w:rPr>
            </w:pPr>
            <w:r w:rsidRPr="004B4823">
              <w:rPr>
                <w:sz w:val="18"/>
                <w:szCs w:val="18"/>
              </w:rPr>
              <w:t>−</w:t>
            </w:r>
          </w:p>
        </w:tc>
        <w:tc>
          <w:tcPr>
            <w:tcW w:w="591" w:type="pct"/>
            <w:tcBorders>
              <w:top w:val="single" w:sz="4" w:space="0" w:color="auto"/>
              <w:left w:val="single" w:sz="4" w:space="0" w:color="auto"/>
              <w:bottom w:val="single" w:sz="4" w:space="0" w:color="auto"/>
              <w:right w:val="single" w:sz="4" w:space="0" w:color="auto"/>
            </w:tcBorders>
            <w:vAlign w:val="center"/>
            <w:hideMark/>
          </w:tcPr>
          <w:p w14:paraId="6743964A" w14:textId="2FD9DDC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ITU Regional Office for Europe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26E97E62"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Spectrum Management</w:t>
            </w:r>
          </w:p>
        </w:tc>
        <w:tc>
          <w:tcPr>
            <w:tcW w:w="364" w:type="pct"/>
            <w:tcBorders>
              <w:top w:val="single" w:sz="4" w:space="0" w:color="auto"/>
              <w:left w:val="single" w:sz="4" w:space="0" w:color="auto"/>
              <w:bottom w:val="single" w:sz="4" w:space="0" w:color="auto"/>
              <w:right w:val="single" w:sz="4" w:space="0" w:color="auto"/>
            </w:tcBorders>
            <w:vAlign w:val="center"/>
            <w:hideMark/>
          </w:tcPr>
          <w:p w14:paraId="66A245D9"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E</w:t>
            </w:r>
          </w:p>
        </w:tc>
        <w:tc>
          <w:tcPr>
            <w:tcW w:w="501" w:type="pct"/>
            <w:tcBorders>
              <w:top w:val="single" w:sz="4" w:space="0" w:color="auto"/>
              <w:left w:val="single" w:sz="4" w:space="0" w:color="auto"/>
              <w:bottom w:val="single" w:sz="4" w:space="0" w:color="auto"/>
              <w:right w:val="single" w:sz="4" w:space="0" w:color="auto"/>
            </w:tcBorders>
            <w:vAlign w:val="center"/>
            <w:hideMark/>
          </w:tcPr>
          <w:p w14:paraId="7A5E8446"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286/83</w:t>
            </w:r>
          </w:p>
        </w:tc>
        <w:tc>
          <w:tcPr>
            <w:tcW w:w="501" w:type="pct"/>
            <w:tcBorders>
              <w:top w:val="single" w:sz="4" w:space="0" w:color="auto"/>
              <w:left w:val="single" w:sz="4" w:space="0" w:color="auto"/>
              <w:bottom w:val="single" w:sz="4" w:space="0" w:color="auto"/>
              <w:right w:val="single" w:sz="4" w:space="0" w:color="auto"/>
            </w:tcBorders>
            <w:vAlign w:val="center"/>
          </w:tcPr>
          <w:p w14:paraId="17056798" w14:textId="77777777" w:rsidR="00C74DA0" w:rsidRPr="004B4823" w:rsidDel="003D5530"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N/A</w:t>
            </w:r>
          </w:p>
        </w:tc>
      </w:tr>
      <w:tr w:rsidR="00C74DA0" w:rsidRPr="004B4823" w14:paraId="051B8546"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tcPr>
          <w:p w14:paraId="2704D198" w14:textId="77777777" w:rsidR="00C74DA0" w:rsidRPr="004B4823" w:rsidRDefault="00C74DA0">
            <w:pPr>
              <w:rPr>
                <w:rFonts w:asciiTheme="majorBidi" w:hAnsiTheme="majorBidi" w:cstheme="majorBidi"/>
                <w:sz w:val="18"/>
                <w:szCs w:val="18"/>
              </w:rPr>
            </w:pPr>
            <w:r w:rsidRPr="004B4823">
              <w:rPr>
                <w:rFonts w:asciiTheme="majorBidi" w:hAnsiTheme="majorBidi" w:cstheme="majorBidi"/>
                <w:sz w:val="18"/>
                <w:szCs w:val="18"/>
              </w:rPr>
              <w:t>15-20 Dec. 2022</w:t>
            </w:r>
          </w:p>
        </w:tc>
        <w:tc>
          <w:tcPr>
            <w:tcW w:w="591" w:type="pct"/>
            <w:tcBorders>
              <w:top w:val="single" w:sz="4" w:space="0" w:color="auto"/>
              <w:left w:val="single" w:sz="4" w:space="0" w:color="auto"/>
              <w:bottom w:val="single" w:sz="4" w:space="0" w:color="auto"/>
              <w:right w:val="single" w:sz="4" w:space="0" w:color="auto"/>
            </w:tcBorders>
          </w:tcPr>
          <w:p w14:paraId="7EE9727B" w14:textId="77777777" w:rsidR="00C74DA0" w:rsidRPr="004B4823" w:rsidRDefault="00C74DA0">
            <w:pPr>
              <w:rPr>
                <w:rFonts w:asciiTheme="majorBidi" w:hAnsiTheme="majorBidi" w:cstheme="majorBidi"/>
                <w:b/>
                <w:bCs/>
                <w:sz w:val="18"/>
                <w:szCs w:val="18"/>
                <w:lang w:val="en-US"/>
              </w:rPr>
            </w:pPr>
            <w:r w:rsidRPr="004B4823">
              <w:rPr>
                <w:rFonts w:asciiTheme="majorBidi" w:hAnsiTheme="majorBidi" w:cstheme="majorBidi"/>
                <w:b/>
                <w:bCs/>
                <w:sz w:val="18"/>
                <w:szCs w:val="18"/>
              </w:rPr>
              <w:t>RRS-22-Asia-Pacific</w:t>
            </w:r>
          </w:p>
        </w:tc>
        <w:tc>
          <w:tcPr>
            <w:tcW w:w="364" w:type="pct"/>
            <w:tcBorders>
              <w:top w:val="single" w:sz="4" w:space="0" w:color="auto"/>
              <w:left w:val="single" w:sz="4" w:space="0" w:color="auto"/>
              <w:bottom w:val="single" w:sz="4" w:space="0" w:color="auto"/>
              <w:right w:val="single" w:sz="4" w:space="0" w:color="auto"/>
            </w:tcBorders>
          </w:tcPr>
          <w:p w14:paraId="5CD9D6B6" w14:textId="77777777" w:rsidR="00C74DA0" w:rsidRPr="004B4823" w:rsidRDefault="00C74DA0">
            <w:pPr>
              <w:jc w:val="center"/>
              <w:rPr>
                <w:rFonts w:asciiTheme="majorBidi" w:hAnsiTheme="majorBidi" w:cstheme="majorBidi"/>
                <w:bCs/>
                <w:sz w:val="18"/>
                <w:szCs w:val="18"/>
                <w:lang w:val="en-US"/>
              </w:rPr>
            </w:pPr>
            <w:r w:rsidRPr="004B4823">
              <w:rPr>
                <w:sz w:val="18"/>
                <w:szCs w:val="18"/>
              </w:rPr>
              <w:t>Nadi, Fiji</w:t>
            </w:r>
          </w:p>
        </w:tc>
        <w:tc>
          <w:tcPr>
            <w:tcW w:w="545" w:type="pct"/>
            <w:tcBorders>
              <w:top w:val="single" w:sz="4" w:space="0" w:color="auto"/>
              <w:left w:val="single" w:sz="4" w:space="0" w:color="auto"/>
              <w:bottom w:val="single" w:sz="4" w:space="0" w:color="auto"/>
              <w:right w:val="single" w:sz="4" w:space="0" w:color="auto"/>
            </w:tcBorders>
          </w:tcPr>
          <w:p w14:paraId="2C0EF20A" w14:textId="77777777" w:rsidR="00C74DA0" w:rsidRPr="004B4823" w:rsidRDefault="00176D96">
            <w:pPr>
              <w:spacing w:after="120"/>
              <w:jc w:val="center"/>
              <w:rPr>
                <w:rFonts w:asciiTheme="majorBidi" w:hAnsiTheme="majorBidi" w:cstheme="majorBidi"/>
                <w:sz w:val="18"/>
                <w:szCs w:val="18"/>
              </w:rPr>
            </w:pPr>
            <w:hyperlink r:id="rId78" w:tgtFrame="_blank" w:history="1">
              <w:r w:rsidR="00C74DA0" w:rsidRPr="004B4823">
                <w:rPr>
                  <w:rStyle w:val="Hyperlink"/>
                  <w:color w:val="3789BD"/>
                  <w:sz w:val="18"/>
                  <w:szCs w:val="18"/>
                  <w:bdr w:val="none" w:sz="0" w:space="0" w:color="auto" w:frame="1"/>
                  <w:shd w:val="clear" w:color="auto" w:fill="FFFFFF"/>
                </w:rPr>
                <w:t>Ministry of Communications</w:t>
              </w:r>
            </w:hyperlink>
            <w:r w:rsidR="00C74DA0" w:rsidRPr="004B4823">
              <w:rPr>
                <w:sz w:val="18"/>
                <w:szCs w:val="18"/>
              </w:rPr>
              <w:t xml:space="preserve"> </w:t>
            </w:r>
            <w:r w:rsidR="00C74DA0" w:rsidRPr="004B4823">
              <w:rPr>
                <w:sz w:val="18"/>
                <w:szCs w:val="18"/>
                <w:shd w:val="clear" w:color="auto" w:fill="FFFFFF"/>
              </w:rPr>
              <w:t>(MOC) of Fiji</w:t>
            </w:r>
          </w:p>
        </w:tc>
        <w:tc>
          <w:tcPr>
            <w:tcW w:w="591" w:type="pct"/>
            <w:tcBorders>
              <w:top w:val="single" w:sz="4" w:space="0" w:color="auto"/>
              <w:left w:val="single" w:sz="4" w:space="0" w:color="auto"/>
              <w:bottom w:val="single" w:sz="4" w:space="0" w:color="auto"/>
              <w:right w:val="single" w:sz="4" w:space="0" w:color="auto"/>
            </w:tcBorders>
          </w:tcPr>
          <w:p w14:paraId="54682F04" w14:textId="77777777" w:rsidR="00C74DA0" w:rsidRPr="004B4823" w:rsidRDefault="00176D96">
            <w:pPr>
              <w:spacing w:before="0"/>
              <w:jc w:val="center"/>
              <w:rPr>
                <w:rFonts w:cs="Times New Roman"/>
                <w:color w:val="444444"/>
                <w:sz w:val="18"/>
                <w:szCs w:val="18"/>
                <w:shd w:val="clear" w:color="auto" w:fill="FFFFFF"/>
              </w:rPr>
            </w:pPr>
            <w:hyperlink r:id="rId79" w:tgtFrame="_blank" w:history="1">
              <w:r w:rsidR="00C74DA0" w:rsidRPr="004B4823">
                <w:rPr>
                  <w:rStyle w:val="Hyperlink"/>
                  <w:color w:val="3789BD"/>
                  <w:sz w:val="18"/>
                  <w:szCs w:val="18"/>
                  <w:bdr w:val="none" w:sz="0" w:space="0" w:color="auto" w:frame="1"/>
                  <w:shd w:val="clear" w:color="auto" w:fill="FFFFFF"/>
                </w:rPr>
                <w:t>Pacific Islands Telecommunications Association (PITA)</w:t>
              </w:r>
            </w:hyperlink>
          </w:p>
          <w:p w14:paraId="3BE08DEF" w14:textId="77777777" w:rsidR="00C74DA0" w:rsidRPr="004B4823" w:rsidRDefault="00C74DA0">
            <w:pPr>
              <w:spacing w:before="0"/>
              <w:jc w:val="center"/>
              <w:rPr>
                <w:sz w:val="18"/>
                <w:szCs w:val="18"/>
              </w:rPr>
            </w:pPr>
            <w:r w:rsidRPr="004B4823">
              <w:rPr>
                <w:color w:val="444444"/>
                <w:sz w:val="18"/>
                <w:szCs w:val="18"/>
                <w:shd w:val="clear" w:color="auto" w:fill="FFFFFF"/>
              </w:rPr>
              <w:br/>
            </w:r>
            <w:hyperlink r:id="rId80" w:tgtFrame="_blank" w:history="1">
              <w:r w:rsidRPr="004B4823">
                <w:rPr>
                  <w:rStyle w:val="Hyperlink"/>
                  <w:color w:val="3789BD"/>
                  <w:sz w:val="18"/>
                  <w:szCs w:val="18"/>
                  <w:bdr w:val="none" w:sz="0" w:space="0" w:color="auto" w:frame="1"/>
                  <w:shd w:val="clear" w:color="auto" w:fill="FFFFFF"/>
                </w:rPr>
                <w:t xml:space="preserve">Department of Infrastructure, Transport, Regional Development, </w:t>
              </w:r>
              <w:proofErr w:type="gramStart"/>
              <w:r w:rsidRPr="004B4823">
                <w:rPr>
                  <w:rStyle w:val="Hyperlink"/>
                  <w:color w:val="3789BD"/>
                  <w:sz w:val="18"/>
                  <w:szCs w:val="18"/>
                  <w:bdr w:val="none" w:sz="0" w:space="0" w:color="auto" w:frame="1"/>
                  <w:shd w:val="clear" w:color="auto" w:fill="FFFFFF"/>
                </w:rPr>
                <w:t>Communications</w:t>
              </w:r>
              <w:proofErr w:type="gramEnd"/>
              <w:r w:rsidRPr="004B4823">
                <w:rPr>
                  <w:rStyle w:val="Hyperlink"/>
                  <w:color w:val="3789BD"/>
                  <w:sz w:val="18"/>
                  <w:szCs w:val="18"/>
                  <w:bdr w:val="none" w:sz="0" w:space="0" w:color="auto" w:frame="1"/>
                  <w:shd w:val="clear" w:color="auto" w:fill="FFFFFF"/>
                </w:rPr>
                <w:t xml:space="preserve"> and the Arts</w:t>
              </w:r>
            </w:hyperlink>
            <w:r w:rsidRPr="004B4823">
              <w:rPr>
                <w:color w:val="444444"/>
                <w:sz w:val="18"/>
                <w:szCs w:val="18"/>
                <w:shd w:val="clear" w:color="auto" w:fill="FFFFFF"/>
              </w:rPr>
              <w:t> </w:t>
            </w:r>
            <w:r w:rsidRPr="004B4823">
              <w:rPr>
                <w:sz w:val="18"/>
                <w:szCs w:val="18"/>
                <w:shd w:val="clear" w:color="auto" w:fill="FFFFFF"/>
              </w:rPr>
              <w:t>(DITRDCA) of the Government of Australia</w:t>
            </w:r>
          </w:p>
          <w:p w14:paraId="30B1EFBA" w14:textId="77777777" w:rsidR="00C74DA0" w:rsidRPr="004B4823" w:rsidRDefault="00C74DA0">
            <w:pPr>
              <w:jc w:val="center"/>
              <w:rPr>
                <w:rFonts w:asciiTheme="majorBidi" w:hAnsiTheme="majorBidi" w:cstheme="majorBidi"/>
                <w:sz w:val="18"/>
                <w:szCs w:val="18"/>
              </w:rPr>
            </w:pPr>
            <w:r w:rsidRPr="004B4823">
              <w:rPr>
                <w:sz w:val="18"/>
                <w:szCs w:val="18"/>
              </w:rPr>
              <w:br/>
              <w:t>ITU Regional Office for Asia and the Pacific</w:t>
            </w:r>
          </w:p>
        </w:tc>
        <w:tc>
          <w:tcPr>
            <w:tcW w:w="1045" w:type="pct"/>
            <w:tcBorders>
              <w:top w:val="single" w:sz="4" w:space="0" w:color="auto"/>
              <w:left w:val="single" w:sz="4" w:space="0" w:color="auto"/>
              <w:bottom w:val="single" w:sz="4" w:space="0" w:color="auto"/>
              <w:right w:val="single" w:sz="4" w:space="0" w:color="auto"/>
            </w:tcBorders>
            <w:vAlign w:val="center"/>
          </w:tcPr>
          <w:p w14:paraId="35468D9C" w14:textId="77777777" w:rsidR="00C74DA0" w:rsidRPr="004B4823" w:rsidRDefault="00C74DA0">
            <w:pPr>
              <w:jc w:val="center"/>
              <w:rPr>
                <w:rFonts w:asciiTheme="majorBidi" w:hAnsiTheme="majorBidi" w:cstheme="majorBidi"/>
                <w:sz w:val="18"/>
                <w:szCs w:val="18"/>
                <w:lang w:val="en-US"/>
              </w:rPr>
            </w:pPr>
            <w:r w:rsidRPr="004B4823">
              <w:rPr>
                <w:rFonts w:asciiTheme="majorBidi" w:hAnsiTheme="majorBidi" w:cstheme="majorBidi"/>
                <w:sz w:val="18"/>
                <w:szCs w:val="18"/>
                <w:lang w:val="en-US"/>
              </w:rPr>
              <w:t>Radiocommunication Trends: Opportunities and challenges for the Asia-Pacific Region</w:t>
            </w:r>
          </w:p>
        </w:tc>
        <w:tc>
          <w:tcPr>
            <w:tcW w:w="364" w:type="pct"/>
            <w:tcBorders>
              <w:top w:val="single" w:sz="4" w:space="0" w:color="auto"/>
              <w:left w:val="single" w:sz="4" w:space="0" w:color="auto"/>
              <w:bottom w:val="single" w:sz="4" w:space="0" w:color="auto"/>
              <w:right w:val="single" w:sz="4" w:space="0" w:color="auto"/>
            </w:tcBorders>
            <w:vAlign w:val="center"/>
          </w:tcPr>
          <w:p w14:paraId="6EB367BF" w14:textId="77777777" w:rsidR="00C74DA0" w:rsidRPr="004B4823" w:rsidRDefault="00C74DA0">
            <w:pPr>
              <w:jc w:val="center"/>
              <w:rPr>
                <w:rFonts w:asciiTheme="majorBidi" w:hAnsiTheme="majorBidi" w:cstheme="majorBidi"/>
                <w:sz w:val="18"/>
                <w:szCs w:val="18"/>
                <w:lang w:val="en-US"/>
              </w:rPr>
            </w:pPr>
            <w:r w:rsidRPr="004B4823">
              <w:rPr>
                <w:sz w:val="18"/>
                <w:szCs w:val="18"/>
              </w:rPr>
              <w:t>E</w:t>
            </w:r>
          </w:p>
        </w:tc>
        <w:tc>
          <w:tcPr>
            <w:tcW w:w="501" w:type="pct"/>
            <w:tcBorders>
              <w:top w:val="single" w:sz="4" w:space="0" w:color="auto"/>
              <w:left w:val="single" w:sz="4" w:space="0" w:color="auto"/>
              <w:bottom w:val="single" w:sz="4" w:space="0" w:color="auto"/>
              <w:right w:val="single" w:sz="4" w:space="0" w:color="auto"/>
            </w:tcBorders>
            <w:vAlign w:val="center"/>
          </w:tcPr>
          <w:p w14:paraId="739FEE90" w14:textId="77777777" w:rsidR="00C74DA0" w:rsidRPr="004B4823" w:rsidRDefault="00C74DA0">
            <w:pPr>
              <w:jc w:val="center"/>
              <w:rPr>
                <w:rFonts w:asciiTheme="majorBidi" w:hAnsiTheme="majorBidi" w:cstheme="majorBidi"/>
                <w:sz w:val="18"/>
                <w:szCs w:val="18"/>
                <w:lang w:val="en-US"/>
              </w:rPr>
            </w:pPr>
            <w:r w:rsidRPr="004B4823">
              <w:rPr>
                <w:sz w:val="18"/>
                <w:szCs w:val="18"/>
              </w:rPr>
              <w:t>80/40</w:t>
            </w:r>
          </w:p>
        </w:tc>
        <w:tc>
          <w:tcPr>
            <w:tcW w:w="501" w:type="pct"/>
            <w:tcBorders>
              <w:top w:val="single" w:sz="4" w:space="0" w:color="auto"/>
              <w:left w:val="single" w:sz="4" w:space="0" w:color="auto"/>
              <w:bottom w:val="single" w:sz="4" w:space="0" w:color="auto"/>
              <w:right w:val="single" w:sz="4" w:space="0" w:color="auto"/>
            </w:tcBorders>
          </w:tcPr>
          <w:p w14:paraId="599004F8" w14:textId="77777777" w:rsidR="00C74DA0" w:rsidRPr="004B4823" w:rsidRDefault="00C74DA0">
            <w:pPr>
              <w:jc w:val="center"/>
              <w:rPr>
                <w:sz w:val="18"/>
                <w:szCs w:val="18"/>
              </w:rPr>
            </w:pPr>
            <w:r w:rsidRPr="004B4823">
              <w:rPr>
                <w:sz w:val="18"/>
                <w:szCs w:val="18"/>
              </w:rPr>
              <w:t>11 (funded and granted by BR and DITRDCA Australia)</w:t>
            </w:r>
          </w:p>
        </w:tc>
      </w:tr>
      <w:tr w:rsidR="00C74DA0" w:rsidRPr="004B4823" w14:paraId="3E760F5C" w14:textId="77777777" w:rsidTr="004B4823">
        <w:trPr>
          <w:jc w:val="center"/>
        </w:trPr>
        <w:tc>
          <w:tcPr>
            <w:tcW w:w="4499" w:type="pct"/>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D4867B" w14:textId="77777777" w:rsidR="00C74DA0" w:rsidRPr="004B4823" w:rsidRDefault="00C74DA0" w:rsidP="004B4823">
            <w:pPr>
              <w:keepNext/>
              <w:keepLines/>
              <w:spacing w:after="120"/>
              <w:jc w:val="center"/>
              <w:rPr>
                <w:rFonts w:asciiTheme="majorBidi" w:hAnsiTheme="majorBidi" w:cstheme="majorBidi"/>
                <w:b/>
                <w:bCs/>
                <w:sz w:val="18"/>
                <w:szCs w:val="18"/>
                <w:lang w:val="en-US"/>
              </w:rPr>
            </w:pPr>
            <w:r w:rsidRPr="004B4823">
              <w:rPr>
                <w:rFonts w:asciiTheme="majorBidi" w:hAnsiTheme="majorBidi" w:cstheme="majorBidi"/>
                <w:b/>
                <w:bCs/>
                <w:sz w:val="18"/>
                <w:szCs w:val="18"/>
                <w:lang w:val="en-US"/>
              </w:rPr>
              <w:t>2023</w:t>
            </w:r>
          </w:p>
        </w:tc>
        <w:tc>
          <w:tcPr>
            <w:tcW w:w="501"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37CB10" w14:textId="77777777" w:rsidR="00C74DA0" w:rsidRPr="004B4823" w:rsidRDefault="00C74DA0" w:rsidP="004B4823">
            <w:pPr>
              <w:keepNext/>
              <w:keepLines/>
              <w:spacing w:after="120"/>
              <w:jc w:val="center"/>
              <w:rPr>
                <w:rFonts w:asciiTheme="majorBidi" w:hAnsiTheme="majorBidi" w:cstheme="majorBidi"/>
                <w:b/>
                <w:bCs/>
                <w:sz w:val="18"/>
                <w:szCs w:val="18"/>
                <w:lang w:val="en-US"/>
              </w:rPr>
            </w:pPr>
          </w:p>
        </w:tc>
      </w:tr>
      <w:tr w:rsidR="00C74DA0" w:rsidRPr="004B4823" w14:paraId="6AC9A212"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523821A6" w14:textId="77777777" w:rsidR="00C74DA0" w:rsidRPr="004B4823" w:rsidRDefault="00C74DA0" w:rsidP="004B4823">
            <w:pPr>
              <w:keepNext/>
              <w:keepLines/>
              <w:rPr>
                <w:rFonts w:asciiTheme="majorBidi" w:hAnsiTheme="majorBidi" w:cstheme="majorBidi"/>
                <w:sz w:val="18"/>
                <w:szCs w:val="18"/>
                <w:lang w:val="en-US"/>
              </w:rPr>
            </w:pPr>
            <w:r w:rsidRPr="004B4823">
              <w:rPr>
                <w:rFonts w:asciiTheme="majorBidi" w:hAnsiTheme="majorBidi" w:cstheme="majorBidi"/>
                <w:sz w:val="18"/>
                <w:szCs w:val="18"/>
                <w:lang w:val="en-US"/>
              </w:rPr>
              <w:t>8-12 May 2023</w:t>
            </w:r>
          </w:p>
        </w:tc>
        <w:tc>
          <w:tcPr>
            <w:tcW w:w="591" w:type="pct"/>
            <w:tcBorders>
              <w:top w:val="single" w:sz="4" w:space="0" w:color="auto"/>
              <w:left w:val="single" w:sz="4" w:space="0" w:color="auto"/>
              <w:bottom w:val="single" w:sz="4" w:space="0" w:color="auto"/>
              <w:right w:val="single" w:sz="4" w:space="0" w:color="auto"/>
            </w:tcBorders>
            <w:vAlign w:val="center"/>
            <w:hideMark/>
          </w:tcPr>
          <w:p w14:paraId="4E6FC65B" w14:textId="77777777" w:rsidR="00C74DA0" w:rsidRPr="004B4823" w:rsidRDefault="00C74DA0" w:rsidP="004B4823">
            <w:pPr>
              <w:keepNext/>
              <w:keepLines/>
              <w:rPr>
                <w:rFonts w:asciiTheme="majorBidi" w:hAnsiTheme="majorBidi" w:cstheme="majorBidi"/>
                <w:b/>
                <w:bCs/>
                <w:sz w:val="18"/>
                <w:szCs w:val="18"/>
                <w:lang w:val="en-US"/>
              </w:rPr>
            </w:pPr>
            <w:r w:rsidRPr="004B4823">
              <w:rPr>
                <w:rFonts w:asciiTheme="majorBidi" w:hAnsiTheme="majorBidi" w:cstheme="majorBidi"/>
                <w:b/>
                <w:bCs/>
                <w:sz w:val="18"/>
                <w:szCs w:val="18"/>
                <w:lang w:val="en-US"/>
              </w:rPr>
              <w:t>RRS-23-Americas</w:t>
            </w:r>
          </w:p>
        </w:tc>
        <w:tc>
          <w:tcPr>
            <w:tcW w:w="364" w:type="pct"/>
            <w:tcBorders>
              <w:top w:val="single" w:sz="4" w:space="0" w:color="auto"/>
              <w:left w:val="single" w:sz="4" w:space="0" w:color="auto"/>
              <w:bottom w:val="single" w:sz="4" w:space="0" w:color="auto"/>
              <w:right w:val="single" w:sz="4" w:space="0" w:color="auto"/>
            </w:tcBorders>
            <w:vAlign w:val="center"/>
            <w:hideMark/>
          </w:tcPr>
          <w:p w14:paraId="31195DDD" w14:textId="77777777" w:rsidR="00C74DA0" w:rsidRPr="004B4823" w:rsidRDefault="00C74DA0" w:rsidP="004B4823">
            <w:pPr>
              <w:keepNext/>
              <w:keepLines/>
              <w:jc w:val="center"/>
              <w:rPr>
                <w:rFonts w:asciiTheme="majorBidi" w:hAnsiTheme="majorBidi" w:cstheme="majorBidi"/>
                <w:bCs/>
                <w:sz w:val="18"/>
                <w:szCs w:val="18"/>
                <w:lang w:val="en-US"/>
              </w:rPr>
            </w:pPr>
            <w:r w:rsidRPr="004B4823">
              <w:rPr>
                <w:rFonts w:asciiTheme="majorBidi" w:hAnsiTheme="majorBidi" w:cstheme="majorBidi"/>
                <w:bCs/>
                <w:sz w:val="18"/>
                <w:szCs w:val="18"/>
                <w:lang w:val="en-US"/>
              </w:rPr>
              <w:t>Havana, Cuba</w:t>
            </w:r>
          </w:p>
        </w:tc>
        <w:tc>
          <w:tcPr>
            <w:tcW w:w="545" w:type="pct"/>
            <w:tcBorders>
              <w:top w:val="single" w:sz="4" w:space="0" w:color="auto"/>
              <w:left w:val="single" w:sz="4" w:space="0" w:color="auto"/>
              <w:bottom w:val="single" w:sz="4" w:space="0" w:color="auto"/>
              <w:right w:val="single" w:sz="4" w:space="0" w:color="auto"/>
            </w:tcBorders>
            <w:vAlign w:val="center"/>
            <w:hideMark/>
          </w:tcPr>
          <w:p w14:paraId="3532A1BB" w14:textId="6BA2F45E" w:rsidR="00C74DA0" w:rsidRPr="004B4823" w:rsidRDefault="00176D96" w:rsidP="004B4823">
            <w:pPr>
              <w:keepNext/>
              <w:keepLines/>
              <w:jc w:val="center"/>
              <w:rPr>
                <w:rStyle w:val="Hyperlink"/>
                <w:color w:val="3789BD"/>
                <w:sz w:val="18"/>
                <w:szCs w:val="18"/>
                <w:bdr w:val="none" w:sz="0" w:space="0" w:color="auto" w:frame="1"/>
                <w:shd w:val="clear" w:color="auto" w:fill="FFFFFF"/>
                <w:lang w:val="es-ES"/>
              </w:rPr>
            </w:pPr>
            <w:hyperlink r:id="rId81" w:history="1">
              <w:r w:rsidR="00EE13B4" w:rsidRPr="00B11532">
                <w:rPr>
                  <w:rStyle w:val="Hyperlink"/>
                  <w:color w:val="3789BD"/>
                  <w:sz w:val="18"/>
                  <w:szCs w:val="18"/>
                  <w:bdr w:val="none" w:sz="0" w:space="0" w:color="auto" w:frame="1"/>
                  <w:shd w:val="clear" w:color="auto" w:fill="FFFFFF"/>
                  <w:lang w:val="es-ES"/>
                </w:rPr>
                <w:t>Ministerio de Comunicaciones of Cuba</w:t>
              </w:r>
            </w:hyperlink>
          </w:p>
        </w:tc>
        <w:tc>
          <w:tcPr>
            <w:tcW w:w="591" w:type="pct"/>
            <w:tcBorders>
              <w:top w:val="single" w:sz="4" w:space="0" w:color="auto"/>
              <w:left w:val="single" w:sz="4" w:space="0" w:color="auto"/>
              <w:bottom w:val="single" w:sz="4" w:space="0" w:color="auto"/>
              <w:right w:val="single" w:sz="4" w:space="0" w:color="auto"/>
            </w:tcBorders>
            <w:vAlign w:val="center"/>
          </w:tcPr>
          <w:p w14:paraId="7273507B" w14:textId="77777777" w:rsidR="00C74DA0" w:rsidRPr="004B4823" w:rsidRDefault="00176D96" w:rsidP="004B4823">
            <w:pPr>
              <w:keepNext/>
              <w:keepLines/>
              <w:jc w:val="center"/>
              <w:rPr>
                <w:rFonts w:cs="Times New Roman"/>
                <w:sz w:val="18"/>
                <w:szCs w:val="18"/>
                <w:lang w:val="es-ES"/>
              </w:rPr>
            </w:pPr>
            <w:hyperlink r:id="rId82" w:tgtFrame="_blank" w:history="1">
              <w:r w:rsidR="00C74DA0" w:rsidRPr="004B4823">
                <w:rPr>
                  <w:rStyle w:val="Hyperlink"/>
                  <w:color w:val="3789BD"/>
                  <w:sz w:val="18"/>
                  <w:szCs w:val="18"/>
                  <w:bdr w:val="none" w:sz="0" w:space="0" w:color="auto" w:frame="1"/>
                  <w:shd w:val="clear" w:color="auto" w:fill="FFFFFF"/>
                  <w:lang w:val="es-ES"/>
                </w:rPr>
                <w:t>Comisión Técnica Regional de Telecomunicaciones</w:t>
              </w:r>
            </w:hyperlink>
          </w:p>
          <w:p w14:paraId="4E84BC6A" w14:textId="1E26FE05" w:rsidR="00C74DA0" w:rsidRPr="004B4823" w:rsidRDefault="00C74DA0" w:rsidP="00EE13B4">
            <w:pPr>
              <w:keepNext/>
              <w:keepLines/>
              <w:jc w:val="center"/>
              <w:rPr>
                <w:rFonts w:asciiTheme="majorBidi" w:hAnsiTheme="majorBidi" w:cstheme="majorBidi"/>
                <w:sz w:val="18"/>
                <w:szCs w:val="18"/>
                <w:lang w:val="es-ES"/>
              </w:rPr>
            </w:pPr>
            <w:r w:rsidRPr="004B4823">
              <w:rPr>
                <w:rFonts w:asciiTheme="majorBidi" w:hAnsiTheme="majorBidi" w:cstheme="majorBidi"/>
                <w:sz w:val="18"/>
                <w:szCs w:val="18"/>
                <w:lang w:val="es-ES"/>
              </w:rPr>
              <w:t xml:space="preserve">ITU </w:t>
            </w:r>
            <w:proofErr w:type="spellStart"/>
            <w:r w:rsidRPr="004B4823">
              <w:rPr>
                <w:rFonts w:asciiTheme="majorBidi" w:hAnsiTheme="majorBidi" w:cstheme="majorBidi"/>
                <w:sz w:val="18"/>
                <w:szCs w:val="18"/>
                <w:lang w:val="es-ES"/>
              </w:rPr>
              <w:t>Americas</w:t>
            </w:r>
            <w:proofErr w:type="spellEnd"/>
            <w:r w:rsidRPr="004B4823">
              <w:rPr>
                <w:rFonts w:asciiTheme="majorBidi" w:hAnsiTheme="majorBidi" w:cstheme="majorBidi"/>
                <w:sz w:val="18"/>
                <w:szCs w:val="18"/>
                <w:lang w:val="es-ES"/>
              </w:rPr>
              <w:t xml:space="preserve"> Office</w:t>
            </w:r>
          </w:p>
        </w:tc>
        <w:tc>
          <w:tcPr>
            <w:tcW w:w="1045" w:type="pct"/>
            <w:tcBorders>
              <w:top w:val="single" w:sz="4" w:space="0" w:color="auto"/>
              <w:left w:val="single" w:sz="4" w:space="0" w:color="auto"/>
              <w:bottom w:val="single" w:sz="4" w:space="0" w:color="auto"/>
              <w:right w:val="single" w:sz="4" w:space="0" w:color="auto"/>
            </w:tcBorders>
            <w:vAlign w:val="center"/>
            <w:hideMark/>
          </w:tcPr>
          <w:p w14:paraId="553D19F4" w14:textId="77777777" w:rsidR="00C74DA0" w:rsidRPr="004B4823" w:rsidRDefault="00C74DA0" w:rsidP="004B4823">
            <w:pPr>
              <w:keepNext/>
              <w:keepLines/>
              <w:spacing w:after="120"/>
              <w:jc w:val="center"/>
              <w:rPr>
                <w:rFonts w:asciiTheme="majorBidi" w:hAnsiTheme="majorBidi" w:cstheme="majorBidi"/>
                <w:sz w:val="18"/>
                <w:szCs w:val="18"/>
                <w:lang w:val="en-US"/>
              </w:rPr>
            </w:pPr>
            <w:r w:rsidRPr="004B4823">
              <w:rPr>
                <w:rFonts w:asciiTheme="majorBidi" w:hAnsiTheme="majorBidi" w:cstheme="majorBidi"/>
                <w:sz w:val="18"/>
                <w:szCs w:val="18"/>
                <w:lang w:val="en-US"/>
              </w:rPr>
              <w:t>Spectrum Management: Challenges on the Americas</w:t>
            </w:r>
          </w:p>
        </w:tc>
        <w:tc>
          <w:tcPr>
            <w:tcW w:w="364" w:type="pct"/>
            <w:tcBorders>
              <w:top w:val="single" w:sz="4" w:space="0" w:color="auto"/>
              <w:left w:val="single" w:sz="4" w:space="0" w:color="auto"/>
              <w:bottom w:val="single" w:sz="4" w:space="0" w:color="auto"/>
              <w:right w:val="single" w:sz="4" w:space="0" w:color="auto"/>
            </w:tcBorders>
            <w:vAlign w:val="center"/>
            <w:hideMark/>
          </w:tcPr>
          <w:p w14:paraId="2419919D" w14:textId="77777777" w:rsidR="00C74DA0" w:rsidRPr="004B4823" w:rsidRDefault="00C74DA0" w:rsidP="004B4823">
            <w:pPr>
              <w:keepNext/>
              <w:keepLines/>
              <w:jc w:val="center"/>
              <w:rPr>
                <w:rFonts w:asciiTheme="majorBidi" w:hAnsiTheme="majorBidi" w:cstheme="majorBidi"/>
                <w:sz w:val="18"/>
                <w:szCs w:val="18"/>
                <w:lang w:val="en-US"/>
              </w:rPr>
            </w:pPr>
            <w:r w:rsidRPr="004B4823">
              <w:rPr>
                <w:rFonts w:asciiTheme="majorBidi" w:hAnsiTheme="majorBidi" w:cstheme="majorBidi"/>
                <w:sz w:val="18"/>
                <w:szCs w:val="18"/>
                <w:lang w:val="en-US"/>
              </w:rPr>
              <w:t>S</w:t>
            </w:r>
          </w:p>
        </w:tc>
        <w:tc>
          <w:tcPr>
            <w:tcW w:w="501" w:type="pct"/>
            <w:tcBorders>
              <w:top w:val="single" w:sz="4" w:space="0" w:color="auto"/>
              <w:left w:val="single" w:sz="4" w:space="0" w:color="auto"/>
              <w:bottom w:val="single" w:sz="4" w:space="0" w:color="auto"/>
              <w:right w:val="single" w:sz="4" w:space="0" w:color="auto"/>
            </w:tcBorders>
            <w:vAlign w:val="center"/>
            <w:hideMark/>
          </w:tcPr>
          <w:p w14:paraId="03F40410" w14:textId="77777777" w:rsidR="00C74DA0" w:rsidRPr="004B4823" w:rsidRDefault="00C74DA0" w:rsidP="004B4823">
            <w:pPr>
              <w:keepNext/>
              <w:keepLines/>
              <w:jc w:val="center"/>
              <w:rPr>
                <w:rFonts w:asciiTheme="majorBidi" w:hAnsiTheme="majorBidi" w:cstheme="majorBidi"/>
                <w:sz w:val="18"/>
                <w:szCs w:val="18"/>
                <w:lang w:val="en-US"/>
              </w:rPr>
            </w:pPr>
            <w:r w:rsidRPr="004B4823">
              <w:rPr>
                <w:rFonts w:asciiTheme="majorBidi" w:hAnsiTheme="majorBidi" w:cstheme="majorBidi"/>
                <w:sz w:val="18"/>
                <w:szCs w:val="18"/>
                <w:lang w:val="en-US"/>
              </w:rPr>
              <w:t>87/26</w:t>
            </w:r>
          </w:p>
        </w:tc>
        <w:tc>
          <w:tcPr>
            <w:tcW w:w="501" w:type="pct"/>
            <w:tcBorders>
              <w:top w:val="single" w:sz="4" w:space="0" w:color="auto"/>
              <w:left w:val="single" w:sz="4" w:space="0" w:color="auto"/>
              <w:bottom w:val="single" w:sz="4" w:space="0" w:color="auto"/>
              <w:right w:val="single" w:sz="4" w:space="0" w:color="auto"/>
            </w:tcBorders>
            <w:vAlign w:val="center"/>
          </w:tcPr>
          <w:p w14:paraId="434C8CFD" w14:textId="77777777" w:rsidR="00C74DA0" w:rsidRPr="004B4823" w:rsidDel="00A35D37" w:rsidRDefault="00C74DA0" w:rsidP="004B4823">
            <w:pPr>
              <w:keepNext/>
              <w:keepLines/>
              <w:jc w:val="center"/>
              <w:rPr>
                <w:rFonts w:asciiTheme="majorBidi" w:hAnsiTheme="majorBidi" w:cstheme="majorBidi"/>
                <w:sz w:val="18"/>
                <w:szCs w:val="18"/>
                <w:lang w:val="en-US"/>
              </w:rPr>
            </w:pPr>
            <w:r w:rsidRPr="004B4823">
              <w:rPr>
                <w:rFonts w:asciiTheme="majorBidi" w:hAnsiTheme="majorBidi" w:cstheme="majorBidi"/>
                <w:sz w:val="18"/>
                <w:szCs w:val="18"/>
                <w:lang w:val="en-US"/>
              </w:rPr>
              <w:t>3</w:t>
            </w:r>
          </w:p>
        </w:tc>
      </w:tr>
      <w:tr w:rsidR="00C74DA0" w:rsidRPr="004B4823" w14:paraId="555E8C22" w14:textId="77777777" w:rsidTr="004B4823">
        <w:trPr>
          <w:jc w:val="center"/>
        </w:trPr>
        <w:tc>
          <w:tcPr>
            <w:tcW w:w="499" w:type="pct"/>
            <w:tcBorders>
              <w:top w:val="single" w:sz="4" w:space="0" w:color="auto"/>
              <w:left w:val="single" w:sz="4" w:space="0" w:color="auto"/>
              <w:bottom w:val="single" w:sz="4" w:space="0" w:color="auto"/>
              <w:right w:val="single" w:sz="4" w:space="0" w:color="auto"/>
            </w:tcBorders>
            <w:vAlign w:val="center"/>
          </w:tcPr>
          <w:p w14:paraId="545B7669" w14:textId="77777777" w:rsidR="00C74DA0" w:rsidRPr="004B4823" w:rsidRDefault="00C74DA0" w:rsidP="00BD6051">
            <w:pPr>
              <w:keepNext/>
              <w:keepLines/>
              <w:rPr>
                <w:rFonts w:cs="Times New Roman"/>
                <w:sz w:val="18"/>
                <w:szCs w:val="18"/>
                <w:lang w:val="en-US"/>
              </w:rPr>
            </w:pPr>
            <w:r w:rsidRPr="004B4823">
              <w:rPr>
                <w:rFonts w:cs="Times New Roman"/>
                <w:sz w:val="18"/>
                <w:szCs w:val="18"/>
                <w:lang w:val="en-US"/>
              </w:rPr>
              <w:t>20-23 June 2023</w:t>
            </w:r>
          </w:p>
        </w:tc>
        <w:tc>
          <w:tcPr>
            <w:tcW w:w="591" w:type="pct"/>
            <w:tcBorders>
              <w:top w:val="single" w:sz="4" w:space="0" w:color="auto"/>
              <w:left w:val="single" w:sz="4" w:space="0" w:color="auto"/>
              <w:bottom w:val="single" w:sz="4" w:space="0" w:color="auto"/>
              <w:right w:val="single" w:sz="4" w:space="0" w:color="auto"/>
            </w:tcBorders>
            <w:vAlign w:val="center"/>
            <w:hideMark/>
          </w:tcPr>
          <w:p w14:paraId="53DA8D4F" w14:textId="77777777" w:rsidR="00C74DA0" w:rsidRPr="004B4823" w:rsidRDefault="00C74DA0" w:rsidP="00BD6051">
            <w:pPr>
              <w:keepNext/>
              <w:keepLines/>
              <w:rPr>
                <w:rFonts w:cs="Times New Roman"/>
                <w:b/>
                <w:bCs/>
                <w:sz w:val="18"/>
                <w:szCs w:val="18"/>
                <w:lang w:val="en-US"/>
              </w:rPr>
            </w:pPr>
            <w:r w:rsidRPr="004B4823">
              <w:rPr>
                <w:rFonts w:cs="Times New Roman"/>
                <w:b/>
                <w:bCs/>
                <w:sz w:val="18"/>
                <w:szCs w:val="18"/>
                <w:lang w:val="en-US"/>
              </w:rPr>
              <w:t>RRS-23-Africa</w:t>
            </w:r>
          </w:p>
        </w:tc>
        <w:tc>
          <w:tcPr>
            <w:tcW w:w="364" w:type="pct"/>
            <w:tcBorders>
              <w:top w:val="single" w:sz="4" w:space="0" w:color="auto"/>
              <w:left w:val="single" w:sz="4" w:space="0" w:color="auto"/>
              <w:bottom w:val="single" w:sz="4" w:space="0" w:color="auto"/>
              <w:right w:val="single" w:sz="4" w:space="0" w:color="auto"/>
            </w:tcBorders>
            <w:vAlign w:val="center"/>
            <w:hideMark/>
          </w:tcPr>
          <w:p w14:paraId="026BF083" w14:textId="77777777" w:rsidR="00C74DA0" w:rsidRPr="004B4823" w:rsidRDefault="00C74DA0" w:rsidP="00BD6051">
            <w:pPr>
              <w:keepNext/>
              <w:keepLines/>
              <w:jc w:val="center"/>
              <w:rPr>
                <w:rFonts w:cs="Times New Roman"/>
                <w:bCs/>
                <w:sz w:val="18"/>
                <w:szCs w:val="18"/>
                <w:lang w:val="en-US"/>
              </w:rPr>
            </w:pPr>
            <w:r w:rsidRPr="004B4823">
              <w:rPr>
                <w:rFonts w:cs="Times New Roman"/>
                <w:bCs/>
                <w:sz w:val="18"/>
                <w:szCs w:val="18"/>
                <w:lang w:val="en-US"/>
              </w:rPr>
              <w:t>Brazzaville, Congo</w:t>
            </w:r>
          </w:p>
        </w:tc>
        <w:tc>
          <w:tcPr>
            <w:tcW w:w="545" w:type="pct"/>
            <w:tcBorders>
              <w:top w:val="single" w:sz="4" w:space="0" w:color="auto"/>
              <w:left w:val="single" w:sz="4" w:space="0" w:color="auto"/>
              <w:bottom w:val="single" w:sz="4" w:space="0" w:color="auto"/>
              <w:right w:val="single" w:sz="4" w:space="0" w:color="auto"/>
            </w:tcBorders>
            <w:vAlign w:val="center"/>
            <w:hideMark/>
          </w:tcPr>
          <w:p w14:paraId="01F678C8" w14:textId="77777777" w:rsidR="00C74DA0" w:rsidRPr="004B4823" w:rsidRDefault="00176D96" w:rsidP="00BD6051">
            <w:pPr>
              <w:keepNext/>
              <w:keepLines/>
              <w:jc w:val="center"/>
              <w:rPr>
                <w:rFonts w:cs="Times New Roman"/>
                <w:sz w:val="18"/>
                <w:szCs w:val="18"/>
                <w:lang w:val="fr-FR"/>
              </w:rPr>
            </w:pPr>
            <w:hyperlink r:id="rId83" w:tgtFrame="_blank" w:history="1">
              <w:r w:rsidR="00C74DA0" w:rsidRPr="004B4823">
                <w:rPr>
                  <w:rStyle w:val="Hyperlink"/>
                  <w:color w:val="3789BD"/>
                  <w:sz w:val="18"/>
                  <w:szCs w:val="18"/>
                  <w:bdr w:val="none" w:sz="0" w:space="0" w:color="auto" w:frame="1"/>
                  <w:shd w:val="clear" w:color="auto" w:fill="FFFFFF"/>
                  <w:lang w:val="fr-FR"/>
                </w:rPr>
                <w:t>Agence de Régulation des Postes et des Communications Électroniques</w:t>
              </w:r>
            </w:hyperlink>
            <w:r w:rsidR="00C74DA0" w:rsidRPr="004B4823">
              <w:rPr>
                <w:color w:val="444444"/>
                <w:sz w:val="18"/>
                <w:szCs w:val="18"/>
                <w:shd w:val="clear" w:color="auto" w:fill="FFFFFF"/>
                <w:lang w:val="fr-FR"/>
              </w:rPr>
              <w:t> </w:t>
            </w:r>
            <w:r w:rsidR="00C74DA0" w:rsidRPr="004B4823">
              <w:rPr>
                <w:rFonts w:cs="Times New Roman"/>
                <w:color w:val="444444"/>
                <w:sz w:val="18"/>
                <w:szCs w:val="18"/>
                <w:shd w:val="clear" w:color="auto" w:fill="FFFFFF"/>
                <w:lang w:val="fr-FR"/>
              </w:rPr>
              <w:br/>
            </w:r>
            <w:r w:rsidR="00C74DA0" w:rsidRPr="004B4823">
              <w:rPr>
                <w:color w:val="444444"/>
                <w:sz w:val="18"/>
                <w:szCs w:val="18"/>
                <w:shd w:val="clear" w:color="auto" w:fill="FFFFFF"/>
                <w:lang w:val="fr-FR"/>
              </w:rPr>
              <w:t>(ARPCE)</w:t>
            </w:r>
          </w:p>
        </w:tc>
        <w:tc>
          <w:tcPr>
            <w:tcW w:w="591" w:type="pct"/>
            <w:tcBorders>
              <w:top w:val="single" w:sz="4" w:space="0" w:color="auto"/>
              <w:left w:val="single" w:sz="4" w:space="0" w:color="auto"/>
              <w:bottom w:val="single" w:sz="4" w:space="0" w:color="auto"/>
              <w:right w:val="single" w:sz="4" w:space="0" w:color="auto"/>
            </w:tcBorders>
            <w:vAlign w:val="center"/>
            <w:hideMark/>
          </w:tcPr>
          <w:p w14:paraId="6784440F" w14:textId="77777777" w:rsidR="00C74DA0" w:rsidRPr="004B4823" w:rsidRDefault="00176D96" w:rsidP="00BD6051">
            <w:pPr>
              <w:keepNext/>
              <w:keepLines/>
              <w:jc w:val="center"/>
              <w:rPr>
                <w:rFonts w:cs="Times New Roman"/>
                <w:color w:val="444444"/>
                <w:sz w:val="18"/>
                <w:szCs w:val="18"/>
                <w:shd w:val="clear" w:color="auto" w:fill="FFFFFF"/>
              </w:rPr>
            </w:pPr>
            <w:hyperlink r:id="rId84" w:tgtFrame="_blank" w:history="1">
              <w:r w:rsidR="00C74DA0" w:rsidRPr="004B4823">
                <w:rPr>
                  <w:rStyle w:val="Hyperlink"/>
                  <w:color w:val="3789BD"/>
                  <w:sz w:val="18"/>
                  <w:szCs w:val="18"/>
                  <w:bdr w:val="none" w:sz="0" w:space="0" w:color="auto" w:frame="1"/>
                  <w:shd w:val="clear" w:color="auto" w:fill="FFFFFF"/>
                </w:rPr>
                <w:t>Policy and Regulation Initiative for Digital Africa</w:t>
              </w:r>
            </w:hyperlink>
            <w:r w:rsidR="00C74DA0" w:rsidRPr="004B4823">
              <w:rPr>
                <w:rFonts w:cs="Times New Roman"/>
                <w:color w:val="444444"/>
                <w:sz w:val="18"/>
                <w:szCs w:val="18"/>
                <w:shd w:val="clear" w:color="auto" w:fill="FFFFFF"/>
              </w:rPr>
              <w:t> (PRIDA) </w:t>
            </w:r>
          </w:p>
          <w:p w14:paraId="5833D526" w14:textId="77777777" w:rsidR="00C74DA0" w:rsidRPr="004B4823" w:rsidRDefault="00176D96" w:rsidP="00BD6051">
            <w:pPr>
              <w:keepNext/>
              <w:keepLines/>
              <w:jc w:val="center"/>
              <w:rPr>
                <w:rFonts w:cs="Times New Roman"/>
                <w:color w:val="444444"/>
                <w:sz w:val="18"/>
                <w:szCs w:val="18"/>
                <w:shd w:val="clear" w:color="auto" w:fill="FFFFFF"/>
              </w:rPr>
            </w:pPr>
            <w:hyperlink r:id="rId85" w:history="1">
              <w:r w:rsidR="00C74DA0" w:rsidRPr="004B4823">
                <w:rPr>
                  <w:rStyle w:val="Hyperlink"/>
                  <w:color w:val="3789BD"/>
                  <w:sz w:val="18"/>
                  <w:szCs w:val="18"/>
                  <w:bdr w:val="none" w:sz="0" w:space="0" w:color="auto" w:frame="1"/>
                  <w:shd w:val="clear" w:color="auto" w:fill="FFFFFF"/>
                </w:rPr>
                <w:t>African Telecommunications Union</w:t>
              </w:r>
            </w:hyperlink>
            <w:r w:rsidR="00C74DA0" w:rsidRPr="004B4823">
              <w:rPr>
                <w:color w:val="444444"/>
                <w:sz w:val="18"/>
                <w:szCs w:val="18"/>
                <w:shd w:val="clear" w:color="auto" w:fill="FFFFFF"/>
              </w:rPr>
              <w:t> (ATU)</w:t>
            </w:r>
          </w:p>
          <w:p w14:paraId="578505F8" w14:textId="77777777" w:rsidR="00C74DA0" w:rsidRPr="004B4823" w:rsidRDefault="00C74DA0" w:rsidP="00BD6051">
            <w:pPr>
              <w:keepNext/>
              <w:keepLines/>
              <w:jc w:val="center"/>
              <w:rPr>
                <w:rFonts w:cs="Times New Roman"/>
                <w:sz w:val="18"/>
                <w:szCs w:val="18"/>
                <w:lang w:val="en-US"/>
              </w:rPr>
            </w:pPr>
            <w:r w:rsidRPr="004B4823">
              <w:rPr>
                <w:rFonts w:cs="Times New Roman"/>
                <w:sz w:val="18"/>
                <w:szCs w:val="18"/>
                <w:lang w:val="en-US"/>
              </w:rPr>
              <w:t>ITU African Office</w:t>
            </w:r>
          </w:p>
        </w:tc>
        <w:tc>
          <w:tcPr>
            <w:tcW w:w="1045" w:type="pct"/>
            <w:tcBorders>
              <w:top w:val="single" w:sz="4" w:space="0" w:color="auto"/>
              <w:left w:val="single" w:sz="4" w:space="0" w:color="auto"/>
              <w:bottom w:val="single" w:sz="4" w:space="0" w:color="auto"/>
              <w:right w:val="single" w:sz="4" w:space="0" w:color="auto"/>
            </w:tcBorders>
            <w:vAlign w:val="center"/>
          </w:tcPr>
          <w:p w14:paraId="2542DBE7" w14:textId="77777777" w:rsidR="00C74DA0" w:rsidRPr="004B4823" w:rsidRDefault="00C74DA0" w:rsidP="00BD6051">
            <w:pPr>
              <w:keepNext/>
              <w:keepLines/>
              <w:jc w:val="center"/>
              <w:rPr>
                <w:rFonts w:cs="Times New Roman"/>
                <w:sz w:val="18"/>
                <w:szCs w:val="18"/>
                <w:lang w:val="en-US"/>
              </w:rPr>
            </w:pPr>
            <w:r w:rsidRPr="004B4823">
              <w:rPr>
                <w:rFonts w:cs="Times New Roman"/>
                <w:sz w:val="18"/>
                <w:szCs w:val="18"/>
                <w:lang w:val="en-US"/>
              </w:rPr>
              <w:t>ITU-PRIDA Workshop: Wireless broadband (terrestrial and satellite)</w:t>
            </w:r>
          </w:p>
        </w:tc>
        <w:tc>
          <w:tcPr>
            <w:tcW w:w="364" w:type="pct"/>
            <w:tcBorders>
              <w:top w:val="single" w:sz="4" w:space="0" w:color="auto"/>
              <w:left w:val="single" w:sz="4" w:space="0" w:color="auto"/>
              <w:bottom w:val="single" w:sz="4" w:space="0" w:color="auto"/>
              <w:right w:val="single" w:sz="4" w:space="0" w:color="auto"/>
            </w:tcBorders>
            <w:vAlign w:val="center"/>
            <w:hideMark/>
          </w:tcPr>
          <w:p w14:paraId="10FAFA79" w14:textId="77777777" w:rsidR="00C74DA0" w:rsidRPr="004B4823" w:rsidRDefault="00C74DA0" w:rsidP="00BD6051">
            <w:pPr>
              <w:keepNext/>
              <w:keepLines/>
              <w:jc w:val="center"/>
              <w:rPr>
                <w:rFonts w:cs="Times New Roman"/>
                <w:sz w:val="18"/>
                <w:szCs w:val="18"/>
                <w:lang w:val="en-US"/>
              </w:rPr>
            </w:pPr>
            <w:r w:rsidRPr="004B4823">
              <w:rPr>
                <w:rFonts w:cs="Times New Roman"/>
                <w:sz w:val="18"/>
                <w:szCs w:val="18"/>
                <w:lang w:val="en-US"/>
              </w:rPr>
              <w:t>E &amp; F</w:t>
            </w:r>
          </w:p>
        </w:tc>
        <w:tc>
          <w:tcPr>
            <w:tcW w:w="501" w:type="pct"/>
            <w:tcBorders>
              <w:top w:val="single" w:sz="4" w:space="0" w:color="auto"/>
              <w:left w:val="single" w:sz="4" w:space="0" w:color="auto"/>
              <w:bottom w:val="single" w:sz="4" w:space="0" w:color="auto"/>
              <w:right w:val="single" w:sz="4" w:space="0" w:color="auto"/>
            </w:tcBorders>
            <w:vAlign w:val="center"/>
            <w:hideMark/>
          </w:tcPr>
          <w:p w14:paraId="0767A75D" w14:textId="77777777" w:rsidR="00C74DA0" w:rsidRPr="004B4823" w:rsidRDefault="00C74DA0" w:rsidP="00BD6051">
            <w:pPr>
              <w:keepNext/>
              <w:keepLines/>
              <w:jc w:val="center"/>
              <w:rPr>
                <w:rFonts w:cs="Times New Roman"/>
                <w:sz w:val="18"/>
                <w:szCs w:val="18"/>
                <w:lang w:val="en-US"/>
              </w:rPr>
            </w:pPr>
            <w:r w:rsidRPr="004B4823">
              <w:rPr>
                <w:rFonts w:cs="Times New Roman"/>
                <w:sz w:val="18"/>
                <w:szCs w:val="18"/>
                <w:lang w:val="en-US"/>
              </w:rPr>
              <w:t>103/46</w:t>
            </w:r>
          </w:p>
        </w:tc>
        <w:tc>
          <w:tcPr>
            <w:tcW w:w="501" w:type="pct"/>
            <w:tcBorders>
              <w:top w:val="single" w:sz="4" w:space="0" w:color="auto"/>
              <w:left w:val="single" w:sz="4" w:space="0" w:color="auto"/>
              <w:bottom w:val="single" w:sz="4" w:space="0" w:color="auto"/>
              <w:right w:val="single" w:sz="4" w:space="0" w:color="auto"/>
            </w:tcBorders>
            <w:vAlign w:val="center"/>
          </w:tcPr>
          <w:p w14:paraId="2E8C3F20" w14:textId="77777777" w:rsidR="00C74DA0" w:rsidRPr="004B4823" w:rsidDel="00940AB8" w:rsidRDefault="00C74DA0" w:rsidP="00BD6051">
            <w:pPr>
              <w:keepNext/>
              <w:keepLines/>
              <w:jc w:val="center"/>
              <w:rPr>
                <w:sz w:val="18"/>
                <w:szCs w:val="18"/>
                <w:lang w:val="en-US"/>
              </w:rPr>
            </w:pPr>
            <w:r w:rsidRPr="004B4823">
              <w:rPr>
                <w:sz w:val="18"/>
                <w:szCs w:val="18"/>
                <w:lang w:val="en-US"/>
              </w:rPr>
              <w:t xml:space="preserve">11 </w:t>
            </w:r>
            <w:r w:rsidRPr="004B4823">
              <w:rPr>
                <w:sz w:val="18"/>
                <w:szCs w:val="18"/>
              </w:rPr>
              <w:t>(funded and granted by BR and PRIDA (EU))</w:t>
            </w:r>
          </w:p>
        </w:tc>
      </w:tr>
    </w:tbl>
    <w:p w14:paraId="2732E891" w14:textId="0E6E12F4" w:rsidR="00C74DA0" w:rsidRDefault="00C74DA0" w:rsidP="00C74DA0">
      <w:pPr>
        <w:rPr>
          <w:lang w:val="en-US"/>
        </w:rPr>
      </w:pPr>
      <w:r w:rsidRPr="00900C0C">
        <w:rPr>
          <w:lang w:val="en-US"/>
        </w:rPr>
        <w:t>The BR</w:t>
      </w:r>
      <w:r w:rsidR="00BD6051">
        <w:rPr>
          <w:lang w:val="en-US"/>
        </w:rPr>
        <w:t>, together with the regional partners,</w:t>
      </w:r>
      <w:r w:rsidRPr="00900C0C">
        <w:rPr>
          <w:lang w:val="en-US"/>
        </w:rPr>
        <w:t xml:space="preserve"> </w:t>
      </w:r>
      <w:r w:rsidRPr="332A43AC">
        <w:rPr>
          <w:lang w:val="en-US"/>
        </w:rPr>
        <w:t xml:space="preserve">granted </w:t>
      </w:r>
      <w:r w:rsidR="00BD6051">
        <w:rPr>
          <w:lang w:val="en-US"/>
        </w:rPr>
        <w:t xml:space="preserve">11 </w:t>
      </w:r>
      <w:r>
        <w:rPr>
          <w:lang w:val="en-US"/>
        </w:rPr>
        <w:t xml:space="preserve">full and </w:t>
      </w:r>
      <w:r w:rsidRPr="332A43AC">
        <w:rPr>
          <w:lang w:val="en-US"/>
        </w:rPr>
        <w:t>2</w:t>
      </w:r>
      <w:r w:rsidR="00BD6051">
        <w:rPr>
          <w:lang w:val="en-US"/>
        </w:rPr>
        <w:t>4</w:t>
      </w:r>
      <w:r w:rsidRPr="00900C0C">
        <w:rPr>
          <w:lang w:val="en-US"/>
        </w:rPr>
        <w:t xml:space="preserve"> partial fellowships for RRS (only one per administration for eligible countries). </w:t>
      </w:r>
    </w:p>
    <w:p w14:paraId="6710D1F3" w14:textId="77777777" w:rsidR="00C74DA0" w:rsidRDefault="00C74DA0" w:rsidP="00C74DA0">
      <w:pPr>
        <w:rPr>
          <w:lang w:val="en-US"/>
        </w:rPr>
      </w:pPr>
    </w:p>
    <w:p w14:paraId="0B5337DD" w14:textId="77777777" w:rsidR="00C74DA0" w:rsidRPr="00BA6001" w:rsidRDefault="00C74DA0" w:rsidP="00C74DA0">
      <w:pPr>
        <w:rPr>
          <w:rFonts w:asciiTheme="majorBidi" w:hAnsiTheme="majorBidi" w:cstheme="majorBidi"/>
          <w:b/>
          <w:bCs/>
          <w:szCs w:val="24"/>
          <w:highlight w:val="yellow"/>
          <w:lang w:val="en-US"/>
        </w:rPr>
        <w:sectPr w:rsidR="00C74DA0" w:rsidRPr="00BA6001">
          <w:headerReference w:type="even" r:id="rId86"/>
          <w:headerReference w:type="default" r:id="rId87"/>
          <w:footerReference w:type="even" r:id="rId88"/>
          <w:footerReference w:type="default" r:id="rId89"/>
          <w:footerReference w:type="first" r:id="rId90"/>
          <w:pgSz w:w="16840" w:h="11907" w:orient="landscape" w:code="9"/>
          <w:pgMar w:top="1134" w:right="1418" w:bottom="1134" w:left="851" w:header="720" w:footer="720" w:gutter="0"/>
          <w:paperSrc w:first="15" w:other="15"/>
          <w:cols w:space="720"/>
          <w:docGrid w:linePitch="326"/>
        </w:sectPr>
      </w:pPr>
    </w:p>
    <w:p w14:paraId="1292D1EF" w14:textId="530DD332" w:rsidR="00C74DA0" w:rsidRDefault="00C74DA0" w:rsidP="00C74DA0">
      <w:pPr>
        <w:pStyle w:val="Heading3"/>
      </w:pPr>
      <w:bookmarkStart w:id="149" w:name="_Toc143072454"/>
      <w:r w:rsidRPr="00AE4FDA">
        <w:t>6.2.2</w:t>
      </w:r>
      <w:r w:rsidRPr="00AE4FDA">
        <w:tab/>
        <w:t>Other Events</w:t>
      </w:r>
      <w:bookmarkEnd w:id="149"/>
    </w:p>
    <w:p w14:paraId="04E4C21A" w14:textId="59E450BD" w:rsidR="00C74DA0" w:rsidRDefault="00C74DA0" w:rsidP="00C74DA0">
      <w:r w:rsidRPr="00AE4FDA">
        <w:t>Support also provided to other ITU seminars related to topics such as spectrum management, space radiocommunication applications, WRC-</w:t>
      </w:r>
      <w:r w:rsidR="00753864">
        <w:t>23</w:t>
      </w:r>
      <w:r w:rsidRPr="00AE4FDA">
        <w:t xml:space="preserve"> preparation, etc. Events organized within ITU-R can be found at: </w:t>
      </w:r>
      <w:hyperlink r:id="rId91" w:history="1">
        <w:r w:rsidRPr="00AE4FDA">
          <w:rPr>
            <w:rStyle w:val="Hyperlink"/>
            <w:rFonts w:asciiTheme="majorBidi" w:hAnsiTheme="majorBidi" w:cstheme="majorBidi"/>
            <w:szCs w:val="24"/>
          </w:rPr>
          <w:t>http://www.itu.int/ITU-R/go/seminars</w:t>
        </w:r>
      </w:hyperlink>
      <w:r w:rsidRPr="00AE4FDA">
        <w:t>.</w:t>
      </w:r>
    </w:p>
    <w:p w14:paraId="56F7031C" w14:textId="77777777" w:rsidR="00C74DA0" w:rsidRPr="00C50CD5" w:rsidRDefault="00C74DA0" w:rsidP="00C74DA0">
      <w:r w:rsidRPr="00C50CD5">
        <w:t>Other relevant events during the period include:</w:t>
      </w:r>
    </w:p>
    <w:p w14:paraId="5D3F34B1" w14:textId="26FA5201" w:rsidR="00C74DA0" w:rsidRPr="00C50CD5" w:rsidRDefault="00C74DA0" w:rsidP="00C74DA0">
      <w:pPr>
        <w:pStyle w:val="enumlev1"/>
      </w:pPr>
      <w:r>
        <w:t>–</w:t>
      </w:r>
      <w:r>
        <w:tab/>
      </w:r>
      <w:r w:rsidRPr="00C50CD5">
        <w:t>Workshop</w:t>
      </w:r>
      <w:r w:rsidR="004F3679" w:rsidRPr="004F3679">
        <w:t xml:space="preserve"> </w:t>
      </w:r>
      <w:r w:rsidR="004F3679">
        <w:t>on ITU in service of space</w:t>
      </w:r>
    </w:p>
    <w:p w14:paraId="5CD55D3D" w14:textId="6C28C70E" w:rsidR="00C74DA0" w:rsidRPr="00C50CD5" w:rsidRDefault="00C74DA0" w:rsidP="00C74DA0">
      <w:pPr>
        <w:pStyle w:val="enumlev1"/>
      </w:pPr>
      <w:r>
        <w:t>–</w:t>
      </w:r>
      <w:r>
        <w:tab/>
      </w:r>
      <w:r w:rsidR="00D66BE5" w:rsidRPr="00EC4359">
        <w:t xml:space="preserve">ITU Workshop “Radio Spectrum for IMT-2020 and beyond: Fostering Commercial and Innovative </w:t>
      </w:r>
      <w:proofErr w:type="gramStart"/>
      <w:r w:rsidR="00D66BE5" w:rsidRPr="00EC4359">
        <w:t>Use”</w:t>
      </w:r>
      <w:proofErr w:type="gramEnd"/>
    </w:p>
    <w:p w14:paraId="05963284" w14:textId="2CC712B1" w:rsidR="00C74DA0" w:rsidRPr="00C50CD5" w:rsidRDefault="00C74DA0" w:rsidP="00C74DA0">
      <w:pPr>
        <w:pStyle w:val="enumlev1"/>
      </w:pPr>
      <w:r>
        <w:t>–</w:t>
      </w:r>
      <w:r>
        <w:tab/>
      </w:r>
      <w:r w:rsidRPr="00C50CD5">
        <w:t>ITU WRC-</w:t>
      </w:r>
      <w:r w:rsidR="00687510">
        <w:t>23</w:t>
      </w:r>
      <w:r w:rsidRPr="00C50CD5">
        <w:t xml:space="preserve"> Regional </w:t>
      </w:r>
      <w:r w:rsidR="00316C0D">
        <w:t>semi</w:t>
      </w:r>
      <w:r w:rsidR="00803CA2">
        <w:t>n</w:t>
      </w:r>
      <w:r w:rsidR="00316C0D">
        <w:t>a</w:t>
      </w:r>
      <w:r w:rsidR="00803CA2">
        <w:t>r</w:t>
      </w:r>
      <w:r w:rsidR="00316C0D">
        <w:t>s</w:t>
      </w:r>
      <w:r w:rsidR="00316C0D" w:rsidRPr="00C50CD5">
        <w:t xml:space="preserve"> </w:t>
      </w:r>
      <w:r w:rsidRPr="00C50CD5">
        <w:t xml:space="preserve">for </w:t>
      </w:r>
      <w:r w:rsidR="00803CA2">
        <w:t xml:space="preserve">Africa, Americas, Asia-Pacific, Arab </w:t>
      </w:r>
      <w:r w:rsidR="003A447F">
        <w:t>S</w:t>
      </w:r>
      <w:r w:rsidR="00803CA2">
        <w:t>tates and Europe</w:t>
      </w:r>
    </w:p>
    <w:p w14:paraId="444FBB7C" w14:textId="49B80702" w:rsidR="00753864" w:rsidRDefault="00753864" w:rsidP="00C74DA0">
      <w:pPr>
        <w:pStyle w:val="enumlev1"/>
      </w:pPr>
      <w:r>
        <w:t>–</w:t>
      </w:r>
      <w:r>
        <w:tab/>
      </w:r>
      <w:r w:rsidR="00703F4C" w:rsidRPr="002B2200">
        <w:t>ITU PRI</w:t>
      </w:r>
      <w:r w:rsidR="00703F4C" w:rsidRPr="00C8439D">
        <w:t>DA Workshops</w:t>
      </w:r>
    </w:p>
    <w:p w14:paraId="2E5EEA4C" w14:textId="158B3A54" w:rsidR="00703F4C" w:rsidRDefault="00703F4C" w:rsidP="00C74DA0">
      <w:pPr>
        <w:pStyle w:val="enumlev1"/>
      </w:pPr>
      <w:r>
        <w:t>–</w:t>
      </w:r>
      <w:r>
        <w:tab/>
      </w:r>
      <w:r w:rsidR="001027B7" w:rsidRPr="00C8439D">
        <w:t>ITU-ITSO Workshops</w:t>
      </w:r>
    </w:p>
    <w:p w14:paraId="6A26A59F" w14:textId="5FE49F0D" w:rsidR="001027B7" w:rsidRDefault="001027B7" w:rsidP="00C74DA0">
      <w:pPr>
        <w:pStyle w:val="enumlev1"/>
      </w:pPr>
      <w:r>
        <w:t>–</w:t>
      </w:r>
      <w:r>
        <w:tab/>
        <w:t xml:space="preserve">Joint ITU-R SG 6-EBU Workshop on </w:t>
      </w:r>
      <w:r w:rsidR="008A7985">
        <w:t>“</w:t>
      </w:r>
      <w:r>
        <w:t>Broadcasting in times of crisis</w:t>
      </w:r>
      <w:r w:rsidR="008A7985">
        <w:t>”</w:t>
      </w:r>
    </w:p>
    <w:p w14:paraId="38490C50" w14:textId="35B64867" w:rsidR="001027B7" w:rsidRPr="00C50CD5" w:rsidRDefault="001027B7" w:rsidP="00C74DA0">
      <w:pPr>
        <w:pStyle w:val="enumlev1"/>
        <w:rPr>
          <w:b/>
          <w:bCs/>
        </w:rPr>
      </w:pPr>
      <w:r>
        <w:t>–</w:t>
      </w:r>
      <w:r>
        <w:tab/>
      </w:r>
      <w:r w:rsidR="008A7985">
        <w:t>ITU-R SG 6 Webinar on “</w:t>
      </w:r>
      <w:r w:rsidR="009D5DD7" w:rsidRPr="009D5DD7">
        <w:t>Energy Aware Broadcasting</w:t>
      </w:r>
      <w:r w:rsidR="009D5DD7">
        <w:t>”</w:t>
      </w:r>
    </w:p>
    <w:p w14:paraId="6D85C0BB" w14:textId="497046AF" w:rsidR="00C74DA0" w:rsidRPr="000679C6" w:rsidRDefault="00C74DA0" w:rsidP="00C74DA0">
      <w:pPr>
        <w:pStyle w:val="Heading2"/>
        <w:rPr>
          <w:lang w:val="en-US"/>
        </w:rPr>
      </w:pPr>
      <w:bookmarkStart w:id="150" w:name="_Toc418163379"/>
      <w:bookmarkStart w:id="151" w:name="_Toc418232297"/>
      <w:bookmarkStart w:id="152" w:name="_Toc143072455"/>
      <w:r w:rsidRPr="000679C6">
        <w:rPr>
          <w:lang w:val="en-US"/>
        </w:rPr>
        <w:t>6.3</w:t>
      </w:r>
      <w:r w:rsidRPr="000679C6">
        <w:rPr>
          <w:lang w:val="en-US"/>
        </w:rPr>
        <w:tab/>
        <w:t>Communication and Outreach</w:t>
      </w:r>
      <w:bookmarkEnd w:id="152"/>
    </w:p>
    <w:p w14:paraId="3F3FC876" w14:textId="77777777" w:rsidR="00C74DA0" w:rsidRPr="00D3776B" w:rsidRDefault="00C74DA0" w:rsidP="253F726D">
      <w:pPr>
        <w:pStyle w:val="Heading3"/>
        <w:rPr>
          <w:lang w:val="en-US"/>
        </w:rPr>
      </w:pPr>
      <w:bookmarkStart w:id="153" w:name="_Toc143072456"/>
      <w:r w:rsidRPr="00D3776B">
        <w:rPr>
          <w:lang w:val="en-US"/>
        </w:rPr>
        <w:t>6.3.1</w:t>
      </w:r>
      <w:r w:rsidRPr="00D3776B">
        <w:tab/>
      </w:r>
      <w:r w:rsidRPr="00D3776B">
        <w:rPr>
          <w:lang w:val="en-US"/>
        </w:rPr>
        <w:t>Membership</w:t>
      </w:r>
      <w:bookmarkEnd w:id="153"/>
    </w:p>
    <w:p w14:paraId="0CFA1A88" w14:textId="4EACC99D" w:rsidR="00C74DA0" w:rsidRPr="00D3776B" w:rsidRDefault="00C74DA0" w:rsidP="253F726D">
      <w:r w:rsidRPr="00D3776B">
        <w:t>Table 6.3.1-1 shows the evolution of the number of ITU-R Sector Members, Associates and Academia during the period of January 20</w:t>
      </w:r>
      <w:r w:rsidR="00DB2A91" w:rsidRPr="00D3776B">
        <w:t>2</w:t>
      </w:r>
      <w:r w:rsidR="00B33365" w:rsidRPr="00D3776B">
        <w:t>0</w:t>
      </w:r>
      <w:r w:rsidRPr="00D3776B">
        <w:t xml:space="preserve"> to August 20</w:t>
      </w:r>
      <w:r w:rsidR="00B33365" w:rsidRPr="00D3776B">
        <w:t>23</w:t>
      </w:r>
      <w:r w:rsidRPr="00D3776B">
        <w:t>.</w:t>
      </w:r>
    </w:p>
    <w:p w14:paraId="71D887B4" w14:textId="45028DAE" w:rsidR="00C74DA0" w:rsidRPr="00D3776B" w:rsidRDefault="00C74DA0" w:rsidP="0065275D">
      <w:pPr>
        <w:pStyle w:val="TableNo"/>
      </w:pPr>
      <w:r w:rsidRPr="00D3776B">
        <w:t>Table 6.3.1-1</w:t>
      </w:r>
    </w:p>
    <w:p w14:paraId="1ADAFC5A" w14:textId="3CE1BC20" w:rsidR="00C74DA0" w:rsidRPr="00D3776B" w:rsidRDefault="00C74DA0" w:rsidP="0065275D">
      <w:pPr>
        <w:pStyle w:val="Tabletitle"/>
      </w:pPr>
      <w:r w:rsidRPr="00D3776B">
        <w:t>Evolution of the ITU-R membership since 20</w:t>
      </w:r>
      <w:r w:rsidR="00D07226" w:rsidRPr="00D3776B">
        <w:t>20</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940"/>
        <w:gridCol w:w="940"/>
        <w:gridCol w:w="940"/>
        <w:gridCol w:w="940"/>
        <w:gridCol w:w="1418"/>
        <w:gridCol w:w="1417"/>
      </w:tblGrid>
      <w:tr w:rsidR="00BC00AC" w:rsidRPr="00D3776B" w14:paraId="5FEC4112" w14:textId="5E01106B" w:rsidTr="253F726D">
        <w:trPr>
          <w:trHeight w:val="315"/>
          <w:jc w:val="center"/>
        </w:trPr>
        <w:tc>
          <w:tcPr>
            <w:tcW w:w="1701" w:type="dxa"/>
            <w:tcBorders>
              <w:top w:val="nil"/>
              <w:left w:val="nil"/>
            </w:tcBorders>
            <w:noWrap/>
            <w:tcMar>
              <w:top w:w="0" w:type="dxa"/>
              <w:left w:w="108" w:type="dxa"/>
              <w:bottom w:w="0" w:type="dxa"/>
              <w:right w:w="108" w:type="dxa"/>
            </w:tcMar>
            <w:vAlign w:val="center"/>
            <w:hideMark/>
          </w:tcPr>
          <w:p w14:paraId="5E0FDB31" w14:textId="3939307E" w:rsidR="00C74DA0" w:rsidRPr="00D3776B" w:rsidRDefault="00C74DA0" w:rsidP="0065275D">
            <w:pPr>
              <w:pStyle w:val="Tablehead"/>
            </w:pPr>
            <w:r w:rsidRPr="00D3776B">
              <w:t> </w:t>
            </w:r>
          </w:p>
        </w:tc>
        <w:tc>
          <w:tcPr>
            <w:tcW w:w="940" w:type="dxa"/>
            <w:vAlign w:val="center"/>
          </w:tcPr>
          <w:p w14:paraId="2158C01E" w14:textId="4D3289BA" w:rsidR="00C74DA0" w:rsidRPr="00D3776B" w:rsidRDefault="00C74DA0" w:rsidP="0065275D">
            <w:pPr>
              <w:pStyle w:val="Tablehead"/>
            </w:pPr>
            <w:r w:rsidRPr="00D3776B">
              <w:t>2</w:t>
            </w:r>
            <w:r w:rsidR="59EC7FA2" w:rsidRPr="00D3776B">
              <w:t>0</w:t>
            </w:r>
            <w:r w:rsidR="0E2E42A8" w:rsidRPr="00D3776B">
              <w:t>20</w:t>
            </w:r>
          </w:p>
        </w:tc>
        <w:tc>
          <w:tcPr>
            <w:tcW w:w="940" w:type="dxa"/>
          </w:tcPr>
          <w:p w14:paraId="64CF0627" w14:textId="78111400" w:rsidR="00C74DA0" w:rsidRPr="00D3776B" w:rsidRDefault="59EC7FA2" w:rsidP="0065275D">
            <w:pPr>
              <w:pStyle w:val="Tablehead"/>
            </w:pPr>
            <w:r w:rsidRPr="00D3776B">
              <w:t>202</w:t>
            </w:r>
            <w:r w:rsidR="0E2E42A8" w:rsidRPr="00D3776B">
              <w:t>1</w:t>
            </w:r>
          </w:p>
        </w:tc>
        <w:tc>
          <w:tcPr>
            <w:tcW w:w="940" w:type="dxa"/>
          </w:tcPr>
          <w:p w14:paraId="752BFC67" w14:textId="321B3280" w:rsidR="00C74DA0" w:rsidRPr="00D3776B" w:rsidRDefault="59EC7FA2" w:rsidP="0065275D">
            <w:pPr>
              <w:pStyle w:val="Tablehead"/>
            </w:pPr>
            <w:r w:rsidRPr="00D3776B">
              <w:t>202</w:t>
            </w:r>
            <w:r w:rsidR="0E2E42A8" w:rsidRPr="00D3776B">
              <w:t>2</w:t>
            </w:r>
          </w:p>
        </w:tc>
        <w:tc>
          <w:tcPr>
            <w:tcW w:w="940" w:type="dxa"/>
            <w:noWrap/>
            <w:tcMar>
              <w:top w:w="0" w:type="dxa"/>
              <w:left w:w="108" w:type="dxa"/>
              <w:bottom w:w="0" w:type="dxa"/>
              <w:right w:w="108" w:type="dxa"/>
            </w:tcMar>
            <w:vAlign w:val="center"/>
          </w:tcPr>
          <w:p w14:paraId="337EED63" w14:textId="56B1D94E" w:rsidR="00C74DA0" w:rsidRPr="00D3776B" w:rsidRDefault="59EC7FA2" w:rsidP="0065275D">
            <w:pPr>
              <w:pStyle w:val="Tablehead"/>
            </w:pPr>
            <w:r w:rsidRPr="00D3776B">
              <w:t>202</w:t>
            </w:r>
            <w:r w:rsidR="0E2E42A8" w:rsidRPr="00D3776B">
              <w:t>3</w:t>
            </w:r>
            <w:r w:rsidR="76CBC4F0" w:rsidRPr="00D3776B">
              <w:t>*</w:t>
            </w:r>
          </w:p>
        </w:tc>
        <w:tc>
          <w:tcPr>
            <w:tcW w:w="1418" w:type="dxa"/>
            <w:noWrap/>
            <w:tcMar>
              <w:top w:w="0" w:type="dxa"/>
              <w:left w:w="108" w:type="dxa"/>
              <w:bottom w:w="0" w:type="dxa"/>
              <w:right w:w="108" w:type="dxa"/>
            </w:tcMar>
            <w:vAlign w:val="center"/>
            <w:hideMark/>
          </w:tcPr>
          <w:p w14:paraId="2765AD15" w14:textId="700C01C1" w:rsidR="00C74DA0" w:rsidRPr="00D3776B" w:rsidRDefault="37668F87" w:rsidP="0065275D">
            <w:pPr>
              <w:pStyle w:val="Tablehead"/>
            </w:pPr>
            <w:r w:rsidRPr="00D3776B">
              <w:t xml:space="preserve">2020 vs </w:t>
            </w:r>
            <w:r w:rsidR="0C207CAE" w:rsidRPr="00D3776B">
              <w:t>2</w:t>
            </w:r>
            <w:r w:rsidR="72B98D89" w:rsidRPr="00D3776B">
              <w:t>023</w:t>
            </w:r>
          </w:p>
        </w:tc>
        <w:tc>
          <w:tcPr>
            <w:tcW w:w="1417" w:type="dxa"/>
            <w:noWrap/>
            <w:tcMar>
              <w:top w:w="0" w:type="dxa"/>
              <w:left w:w="108" w:type="dxa"/>
              <w:bottom w:w="0" w:type="dxa"/>
              <w:right w:w="108" w:type="dxa"/>
            </w:tcMar>
            <w:vAlign w:val="center"/>
            <w:hideMark/>
          </w:tcPr>
          <w:p w14:paraId="02ADC85D" w14:textId="2DB6EF24" w:rsidR="00C74DA0" w:rsidRPr="00D3776B" w:rsidRDefault="00C74DA0" w:rsidP="0065275D">
            <w:pPr>
              <w:pStyle w:val="Tablehead"/>
            </w:pPr>
            <w:r w:rsidRPr="00D3776B">
              <w:t>% Increase</w:t>
            </w:r>
          </w:p>
        </w:tc>
      </w:tr>
      <w:tr w:rsidR="00BC00AC" w:rsidRPr="00D3776B" w14:paraId="179AD3D9" w14:textId="474E76FD" w:rsidTr="253F726D">
        <w:trPr>
          <w:trHeight w:val="315"/>
          <w:jc w:val="center"/>
        </w:trPr>
        <w:tc>
          <w:tcPr>
            <w:tcW w:w="1701" w:type="dxa"/>
            <w:noWrap/>
            <w:tcMar>
              <w:top w:w="0" w:type="dxa"/>
              <w:left w:w="108" w:type="dxa"/>
              <w:bottom w:w="0" w:type="dxa"/>
              <w:right w:w="108" w:type="dxa"/>
            </w:tcMar>
            <w:vAlign w:val="center"/>
            <w:hideMark/>
          </w:tcPr>
          <w:p w14:paraId="05892C9B" w14:textId="46BAD792" w:rsidR="00C74DA0" w:rsidRPr="00D3776B" w:rsidRDefault="00C74DA0" w:rsidP="253F726D">
            <w:pPr>
              <w:pStyle w:val="Tabletext"/>
              <w:rPr>
                <w:b/>
                <w:bCs/>
              </w:rPr>
            </w:pPr>
            <w:r w:rsidRPr="00D3776B">
              <w:rPr>
                <w:b/>
                <w:bCs/>
              </w:rPr>
              <w:t>Sector Members</w:t>
            </w:r>
          </w:p>
        </w:tc>
        <w:tc>
          <w:tcPr>
            <w:tcW w:w="940" w:type="dxa"/>
            <w:vAlign w:val="center"/>
          </w:tcPr>
          <w:p w14:paraId="7A80F159" w14:textId="3D597EC5" w:rsidR="00C74DA0" w:rsidRPr="00D3776B" w:rsidRDefault="0E79AC8F" w:rsidP="253F726D">
            <w:pPr>
              <w:pStyle w:val="Tabletext"/>
              <w:jc w:val="center"/>
            </w:pPr>
            <w:r w:rsidRPr="00D3776B">
              <w:t>27</w:t>
            </w:r>
            <w:r w:rsidR="70767AC2" w:rsidRPr="00D3776B">
              <w:t>4</w:t>
            </w:r>
          </w:p>
        </w:tc>
        <w:tc>
          <w:tcPr>
            <w:tcW w:w="940" w:type="dxa"/>
          </w:tcPr>
          <w:p w14:paraId="3FB7E8A1" w14:textId="18930915" w:rsidR="00C74DA0" w:rsidRPr="00D3776B" w:rsidRDefault="64A264FC" w:rsidP="253F726D">
            <w:pPr>
              <w:pStyle w:val="Tabletext"/>
              <w:jc w:val="center"/>
            </w:pPr>
            <w:r w:rsidRPr="00D3776B">
              <w:t>27</w:t>
            </w:r>
            <w:r w:rsidR="6575FCD6" w:rsidRPr="00D3776B">
              <w:t>7</w:t>
            </w:r>
          </w:p>
        </w:tc>
        <w:tc>
          <w:tcPr>
            <w:tcW w:w="940" w:type="dxa"/>
          </w:tcPr>
          <w:p w14:paraId="0D6447BA" w14:textId="7A04A05C" w:rsidR="00C74DA0" w:rsidRPr="00D3776B" w:rsidRDefault="0FCA515E" w:rsidP="253F726D">
            <w:pPr>
              <w:pStyle w:val="Tabletext"/>
              <w:jc w:val="center"/>
            </w:pPr>
            <w:r w:rsidRPr="00D3776B">
              <w:t>277</w:t>
            </w:r>
          </w:p>
        </w:tc>
        <w:tc>
          <w:tcPr>
            <w:tcW w:w="940" w:type="dxa"/>
            <w:noWrap/>
            <w:tcMar>
              <w:top w:w="0" w:type="dxa"/>
              <w:left w:w="108" w:type="dxa"/>
              <w:bottom w:w="0" w:type="dxa"/>
              <w:right w:w="108" w:type="dxa"/>
            </w:tcMar>
            <w:vAlign w:val="center"/>
          </w:tcPr>
          <w:p w14:paraId="5B2058E0" w14:textId="2A82CE16" w:rsidR="00C74DA0" w:rsidRPr="00D3776B" w:rsidRDefault="45777788" w:rsidP="253F726D">
            <w:pPr>
              <w:pStyle w:val="Tabletext"/>
              <w:jc w:val="center"/>
            </w:pPr>
            <w:r w:rsidRPr="00D3776B">
              <w:t>280</w:t>
            </w:r>
          </w:p>
        </w:tc>
        <w:tc>
          <w:tcPr>
            <w:tcW w:w="1418" w:type="dxa"/>
            <w:noWrap/>
            <w:tcMar>
              <w:top w:w="0" w:type="dxa"/>
              <w:left w:w="108" w:type="dxa"/>
              <w:bottom w:w="0" w:type="dxa"/>
              <w:right w:w="108" w:type="dxa"/>
            </w:tcMar>
            <w:vAlign w:val="center"/>
            <w:hideMark/>
          </w:tcPr>
          <w:p w14:paraId="02FE6CF5" w14:textId="226C2EA0" w:rsidR="00C74DA0" w:rsidRPr="00D3776B" w:rsidRDefault="00C74DA0" w:rsidP="253F726D">
            <w:pPr>
              <w:pStyle w:val="Tabletext"/>
              <w:jc w:val="center"/>
            </w:pPr>
            <w:r w:rsidRPr="00D3776B">
              <w:t>+</w:t>
            </w:r>
            <w:r w:rsidR="1E4E59E4" w:rsidRPr="00D3776B">
              <w:t>6</w:t>
            </w:r>
          </w:p>
        </w:tc>
        <w:tc>
          <w:tcPr>
            <w:tcW w:w="1417" w:type="dxa"/>
            <w:noWrap/>
            <w:tcMar>
              <w:top w:w="0" w:type="dxa"/>
              <w:left w:w="108" w:type="dxa"/>
              <w:bottom w:w="0" w:type="dxa"/>
              <w:right w:w="108" w:type="dxa"/>
            </w:tcMar>
            <w:vAlign w:val="center"/>
            <w:hideMark/>
          </w:tcPr>
          <w:p w14:paraId="75A6B5D6" w14:textId="00005682" w:rsidR="00C74DA0" w:rsidRPr="00D3776B" w:rsidRDefault="0CBB1558" w:rsidP="253F726D">
            <w:pPr>
              <w:pStyle w:val="Tabletext"/>
              <w:jc w:val="center"/>
            </w:pPr>
            <w:r w:rsidRPr="00D3776B">
              <w:t>2.</w:t>
            </w:r>
            <w:r w:rsidR="634C4E85" w:rsidRPr="00D3776B">
              <w:t>2</w:t>
            </w:r>
            <w:r w:rsidR="00C74DA0" w:rsidRPr="00D3776B">
              <w:t>%</w:t>
            </w:r>
          </w:p>
        </w:tc>
      </w:tr>
      <w:tr w:rsidR="00BC00AC" w:rsidRPr="00D3776B" w14:paraId="17DC6EBD" w14:textId="589E2081" w:rsidTr="253F726D">
        <w:trPr>
          <w:trHeight w:val="315"/>
          <w:jc w:val="center"/>
        </w:trPr>
        <w:tc>
          <w:tcPr>
            <w:tcW w:w="1701" w:type="dxa"/>
            <w:noWrap/>
            <w:tcMar>
              <w:top w:w="0" w:type="dxa"/>
              <w:left w:w="108" w:type="dxa"/>
              <w:bottom w:w="0" w:type="dxa"/>
              <w:right w:w="108" w:type="dxa"/>
            </w:tcMar>
            <w:vAlign w:val="center"/>
            <w:hideMark/>
          </w:tcPr>
          <w:p w14:paraId="29BDF50A" w14:textId="7B10FFBA" w:rsidR="00C74DA0" w:rsidRPr="00D3776B" w:rsidRDefault="00C74DA0" w:rsidP="253F726D">
            <w:pPr>
              <w:pStyle w:val="Tabletext"/>
              <w:rPr>
                <w:b/>
                <w:bCs/>
              </w:rPr>
            </w:pPr>
            <w:r w:rsidRPr="00D3776B">
              <w:rPr>
                <w:b/>
                <w:bCs/>
              </w:rPr>
              <w:t>Associates</w:t>
            </w:r>
          </w:p>
        </w:tc>
        <w:tc>
          <w:tcPr>
            <w:tcW w:w="940" w:type="dxa"/>
            <w:vAlign w:val="center"/>
          </w:tcPr>
          <w:p w14:paraId="776E45DD" w14:textId="1D45C9B7" w:rsidR="00C74DA0" w:rsidRPr="00D3776B" w:rsidRDefault="407B026E" w:rsidP="253F726D">
            <w:pPr>
              <w:pStyle w:val="Tabletext"/>
              <w:jc w:val="center"/>
            </w:pPr>
            <w:r w:rsidRPr="00D3776B">
              <w:t>20</w:t>
            </w:r>
          </w:p>
        </w:tc>
        <w:tc>
          <w:tcPr>
            <w:tcW w:w="940" w:type="dxa"/>
          </w:tcPr>
          <w:p w14:paraId="5C7B2931" w14:textId="41E09CB4" w:rsidR="00C74DA0" w:rsidRPr="00D3776B" w:rsidRDefault="00C74DA0" w:rsidP="253F726D">
            <w:pPr>
              <w:pStyle w:val="Tabletext"/>
              <w:jc w:val="center"/>
            </w:pPr>
            <w:r w:rsidRPr="00D3776B">
              <w:t>2</w:t>
            </w:r>
            <w:r w:rsidR="3959CAFD" w:rsidRPr="00D3776B">
              <w:t>6</w:t>
            </w:r>
          </w:p>
        </w:tc>
        <w:tc>
          <w:tcPr>
            <w:tcW w:w="940" w:type="dxa"/>
          </w:tcPr>
          <w:p w14:paraId="7BE82B04" w14:textId="36BAEC0C" w:rsidR="00C74DA0" w:rsidRPr="00D3776B" w:rsidRDefault="3959CAFD" w:rsidP="253F726D">
            <w:pPr>
              <w:pStyle w:val="Tabletext"/>
              <w:jc w:val="center"/>
            </w:pPr>
            <w:r w:rsidRPr="00D3776B">
              <w:t>37</w:t>
            </w:r>
          </w:p>
        </w:tc>
        <w:tc>
          <w:tcPr>
            <w:tcW w:w="940" w:type="dxa"/>
            <w:noWrap/>
            <w:tcMar>
              <w:top w:w="0" w:type="dxa"/>
              <w:left w:w="108" w:type="dxa"/>
              <w:bottom w:w="0" w:type="dxa"/>
              <w:right w:w="108" w:type="dxa"/>
            </w:tcMar>
            <w:vAlign w:val="center"/>
          </w:tcPr>
          <w:p w14:paraId="14C74014" w14:textId="4EAC622A" w:rsidR="00C74DA0" w:rsidRPr="00D3776B" w:rsidRDefault="31FDA153" w:rsidP="253F726D">
            <w:pPr>
              <w:pStyle w:val="Tabletext"/>
              <w:jc w:val="center"/>
            </w:pPr>
            <w:r w:rsidRPr="00D3776B">
              <w:t>42</w:t>
            </w:r>
          </w:p>
        </w:tc>
        <w:tc>
          <w:tcPr>
            <w:tcW w:w="1418" w:type="dxa"/>
            <w:noWrap/>
            <w:tcMar>
              <w:top w:w="0" w:type="dxa"/>
              <w:left w:w="108" w:type="dxa"/>
              <w:bottom w:w="0" w:type="dxa"/>
              <w:right w:w="108" w:type="dxa"/>
            </w:tcMar>
            <w:vAlign w:val="center"/>
            <w:hideMark/>
          </w:tcPr>
          <w:p w14:paraId="3AF1EA0D" w14:textId="028D01FA" w:rsidR="00C74DA0" w:rsidRPr="00D3776B" w:rsidRDefault="22428009" w:rsidP="253F726D">
            <w:pPr>
              <w:pStyle w:val="Tabletext"/>
              <w:jc w:val="center"/>
            </w:pPr>
            <w:r w:rsidRPr="00D3776B">
              <w:t>+22</w:t>
            </w:r>
          </w:p>
        </w:tc>
        <w:tc>
          <w:tcPr>
            <w:tcW w:w="1417" w:type="dxa"/>
            <w:noWrap/>
            <w:tcMar>
              <w:top w:w="0" w:type="dxa"/>
              <w:left w:w="108" w:type="dxa"/>
              <w:bottom w:w="0" w:type="dxa"/>
              <w:right w:w="108" w:type="dxa"/>
            </w:tcMar>
            <w:vAlign w:val="center"/>
            <w:hideMark/>
          </w:tcPr>
          <w:p w14:paraId="6DACC3B2" w14:textId="67F3057C" w:rsidR="00C74DA0" w:rsidRPr="00D3776B" w:rsidRDefault="00C74DA0" w:rsidP="253F726D">
            <w:pPr>
              <w:pStyle w:val="Tabletext"/>
              <w:jc w:val="center"/>
            </w:pPr>
            <w:r w:rsidRPr="00D3776B">
              <w:t>+1</w:t>
            </w:r>
            <w:r w:rsidR="15369733" w:rsidRPr="00D3776B">
              <w:t>10</w:t>
            </w:r>
            <w:r w:rsidRPr="00D3776B">
              <w:t>%</w:t>
            </w:r>
            <w:r w:rsidR="328AB7A0" w:rsidRPr="00D3776B">
              <w:t xml:space="preserve"> </w:t>
            </w:r>
            <w:r w:rsidR="328AB7A0" w:rsidRPr="00607900">
              <w:rPr>
                <w:vertAlign w:val="superscript"/>
              </w:rPr>
              <w:t>*</w:t>
            </w:r>
            <w:r w:rsidR="76CBC4F0" w:rsidRPr="00607900">
              <w:rPr>
                <w:vertAlign w:val="superscript"/>
              </w:rPr>
              <w:t>*</w:t>
            </w:r>
          </w:p>
        </w:tc>
      </w:tr>
      <w:tr w:rsidR="00BC00AC" w:rsidRPr="00D3776B" w14:paraId="347E2D62" w14:textId="46F89661" w:rsidTr="253F726D">
        <w:trPr>
          <w:trHeight w:val="315"/>
          <w:jc w:val="center"/>
        </w:trPr>
        <w:tc>
          <w:tcPr>
            <w:tcW w:w="1701" w:type="dxa"/>
            <w:tcBorders>
              <w:bottom w:val="single" w:sz="4" w:space="0" w:color="auto"/>
            </w:tcBorders>
            <w:noWrap/>
            <w:tcMar>
              <w:top w:w="0" w:type="dxa"/>
              <w:left w:w="108" w:type="dxa"/>
              <w:bottom w:w="0" w:type="dxa"/>
              <w:right w:w="108" w:type="dxa"/>
            </w:tcMar>
            <w:vAlign w:val="center"/>
            <w:hideMark/>
          </w:tcPr>
          <w:p w14:paraId="7E9111DD" w14:textId="707909C8" w:rsidR="00C74DA0" w:rsidRPr="00D3776B" w:rsidRDefault="00C74DA0" w:rsidP="253F726D">
            <w:pPr>
              <w:pStyle w:val="Tabletext"/>
              <w:rPr>
                <w:b/>
                <w:bCs/>
              </w:rPr>
            </w:pPr>
            <w:r w:rsidRPr="00D3776B">
              <w:rPr>
                <w:b/>
                <w:bCs/>
              </w:rPr>
              <w:t>Academia</w:t>
            </w:r>
          </w:p>
        </w:tc>
        <w:tc>
          <w:tcPr>
            <w:tcW w:w="940" w:type="dxa"/>
            <w:tcBorders>
              <w:bottom w:val="single" w:sz="4" w:space="0" w:color="auto"/>
            </w:tcBorders>
            <w:vAlign w:val="center"/>
          </w:tcPr>
          <w:p w14:paraId="1E6736E2" w14:textId="18D2592C" w:rsidR="00C74DA0" w:rsidRPr="00D3776B" w:rsidRDefault="02800D24" w:rsidP="253F726D">
            <w:pPr>
              <w:pStyle w:val="Tabletext"/>
              <w:jc w:val="center"/>
            </w:pPr>
            <w:r w:rsidRPr="00D3776B">
              <w:t>159</w:t>
            </w:r>
          </w:p>
        </w:tc>
        <w:tc>
          <w:tcPr>
            <w:tcW w:w="940" w:type="dxa"/>
            <w:tcBorders>
              <w:bottom w:val="single" w:sz="4" w:space="0" w:color="auto"/>
            </w:tcBorders>
          </w:tcPr>
          <w:p w14:paraId="78B14FA5" w14:textId="26122BF9" w:rsidR="00C74DA0" w:rsidRPr="00D3776B" w:rsidRDefault="02800D24" w:rsidP="253F726D">
            <w:pPr>
              <w:pStyle w:val="Tabletext"/>
              <w:jc w:val="center"/>
            </w:pPr>
            <w:r w:rsidRPr="00D3776B">
              <w:t>158</w:t>
            </w:r>
          </w:p>
        </w:tc>
        <w:tc>
          <w:tcPr>
            <w:tcW w:w="940" w:type="dxa"/>
            <w:tcBorders>
              <w:bottom w:val="single" w:sz="4" w:space="0" w:color="auto"/>
            </w:tcBorders>
          </w:tcPr>
          <w:p w14:paraId="45495B16" w14:textId="3472C31C" w:rsidR="00C74DA0" w:rsidRPr="00D3776B" w:rsidRDefault="7CD554A8" w:rsidP="253F726D">
            <w:pPr>
              <w:pStyle w:val="Tabletext"/>
              <w:jc w:val="center"/>
            </w:pPr>
            <w:r w:rsidRPr="00D3776B">
              <w:t>170</w:t>
            </w:r>
          </w:p>
        </w:tc>
        <w:tc>
          <w:tcPr>
            <w:tcW w:w="940" w:type="dxa"/>
            <w:tcBorders>
              <w:bottom w:val="single" w:sz="4" w:space="0" w:color="auto"/>
            </w:tcBorders>
            <w:noWrap/>
            <w:tcMar>
              <w:top w:w="0" w:type="dxa"/>
              <w:left w:w="108" w:type="dxa"/>
              <w:bottom w:w="0" w:type="dxa"/>
              <w:right w:w="108" w:type="dxa"/>
            </w:tcMar>
            <w:vAlign w:val="center"/>
          </w:tcPr>
          <w:p w14:paraId="2A38356F" w14:textId="2A74B48D" w:rsidR="00C74DA0" w:rsidRPr="00D3776B" w:rsidRDefault="7CD554A8" w:rsidP="253F726D">
            <w:pPr>
              <w:pStyle w:val="Tabletext"/>
              <w:jc w:val="center"/>
            </w:pPr>
            <w:r w:rsidRPr="00D3776B">
              <w:t>168</w:t>
            </w:r>
          </w:p>
        </w:tc>
        <w:tc>
          <w:tcPr>
            <w:tcW w:w="1418" w:type="dxa"/>
            <w:tcBorders>
              <w:bottom w:val="single" w:sz="4" w:space="0" w:color="auto"/>
            </w:tcBorders>
            <w:noWrap/>
            <w:tcMar>
              <w:top w:w="0" w:type="dxa"/>
              <w:left w:w="108" w:type="dxa"/>
              <w:bottom w:w="0" w:type="dxa"/>
              <w:right w:w="108" w:type="dxa"/>
            </w:tcMar>
            <w:vAlign w:val="center"/>
            <w:hideMark/>
          </w:tcPr>
          <w:p w14:paraId="4966A004" w14:textId="36A7FD09" w:rsidR="00C74DA0" w:rsidRPr="00D3776B" w:rsidRDefault="00C74DA0" w:rsidP="253F726D">
            <w:pPr>
              <w:pStyle w:val="Tabletext"/>
              <w:jc w:val="center"/>
            </w:pPr>
            <w:r w:rsidRPr="00D3776B">
              <w:t>+</w:t>
            </w:r>
            <w:r w:rsidR="73DED469" w:rsidRPr="00D3776B">
              <w:t>9</w:t>
            </w:r>
          </w:p>
        </w:tc>
        <w:tc>
          <w:tcPr>
            <w:tcW w:w="1417" w:type="dxa"/>
            <w:tcBorders>
              <w:bottom w:val="single" w:sz="4" w:space="0" w:color="auto"/>
            </w:tcBorders>
            <w:noWrap/>
            <w:tcMar>
              <w:top w:w="0" w:type="dxa"/>
              <w:left w:w="108" w:type="dxa"/>
              <w:bottom w:w="0" w:type="dxa"/>
              <w:right w:w="108" w:type="dxa"/>
            </w:tcMar>
            <w:vAlign w:val="center"/>
            <w:hideMark/>
          </w:tcPr>
          <w:p w14:paraId="0115983E" w14:textId="184A398A" w:rsidR="00C74DA0" w:rsidRPr="00D3776B" w:rsidRDefault="00C74DA0" w:rsidP="253F726D">
            <w:pPr>
              <w:pStyle w:val="Tabletext"/>
              <w:jc w:val="center"/>
            </w:pPr>
            <w:r w:rsidRPr="00D3776B">
              <w:t>+</w:t>
            </w:r>
            <w:r w:rsidR="19308949" w:rsidRPr="00D3776B">
              <w:t>5.</w:t>
            </w:r>
            <w:r w:rsidR="3B257E2D" w:rsidRPr="00D3776B">
              <w:t>7</w:t>
            </w:r>
            <w:r w:rsidRPr="00D3776B">
              <w:t>%</w:t>
            </w:r>
          </w:p>
        </w:tc>
      </w:tr>
      <w:tr w:rsidR="00BD6051" w:rsidRPr="00DD38FE" w14:paraId="36D52962" w14:textId="0168AFFB" w:rsidTr="009A3F8F">
        <w:trPr>
          <w:trHeight w:val="696"/>
          <w:jc w:val="center"/>
        </w:trPr>
        <w:tc>
          <w:tcPr>
            <w:tcW w:w="8296" w:type="dxa"/>
            <w:gridSpan w:val="7"/>
            <w:tcBorders>
              <w:top w:val="single" w:sz="4" w:space="0" w:color="auto"/>
              <w:left w:val="nil"/>
              <w:bottom w:val="nil"/>
              <w:right w:val="nil"/>
            </w:tcBorders>
            <w:noWrap/>
            <w:tcMar>
              <w:top w:w="0" w:type="dxa"/>
              <w:left w:w="108" w:type="dxa"/>
              <w:bottom w:w="0" w:type="dxa"/>
              <w:right w:w="108" w:type="dxa"/>
            </w:tcMar>
            <w:vAlign w:val="center"/>
          </w:tcPr>
          <w:p w14:paraId="34F19A60" w14:textId="77777777" w:rsidR="00BD6051" w:rsidRPr="00F23199" w:rsidRDefault="00BD6051" w:rsidP="00F23199">
            <w:pPr>
              <w:pStyle w:val="Tablelegend"/>
            </w:pPr>
            <w:r w:rsidRPr="00F23199">
              <w:t xml:space="preserve">*Until </w:t>
            </w:r>
            <w:r w:rsidR="368B9497" w:rsidRPr="00F23199">
              <w:t>July</w:t>
            </w:r>
            <w:r w:rsidRPr="00F23199">
              <w:t xml:space="preserve"> 20</w:t>
            </w:r>
            <w:r w:rsidR="368B9497" w:rsidRPr="00F23199">
              <w:t>23</w:t>
            </w:r>
          </w:p>
          <w:p w14:paraId="6C6EE1B6" w14:textId="77777777" w:rsidR="00E22A48" w:rsidRPr="00F23199" w:rsidRDefault="00E22A48" w:rsidP="00F23199">
            <w:pPr>
              <w:pStyle w:val="Tablelegend"/>
            </w:pPr>
          </w:p>
          <w:p w14:paraId="40E1F086" w14:textId="4CF7361E" w:rsidR="00E22A48" w:rsidRPr="00D3776B" w:rsidRDefault="76CBC4F0" w:rsidP="00F23199">
            <w:pPr>
              <w:pStyle w:val="Tablelegend"/>
            </w:pPr>
            <w:r w:rsidRPr="00F23199">
              <w:t>**</w:t>
            </w:r>
            <w:r w:rsidR="7C66F9D4" w:rsidRPr="00F23199">
              <w:t xml:space="preserve">There was a big jump of 110% </w:t>
            </w:r>
            <w:r w:rsidRPr="00F23199">
              <w:t xml:space="preserve">in the Associates category between 2020 and 2023 </w:t>
            </w:r>
            <w:r w:rsidR="7C66F9D4" w:rsidRPr="00F23199">
              <w:t>following the introduction of SME</w:t>
            </w:r>
            <w:r w:rsidR="61527AAF" w:rsidRPr="00F23199">
              <w:t>s</w:t>
            </w:r>
            <w:r w:rsidR="7C66F9D4" w:rsidRPr="00F23199">
              <w:t xml:space="preserve"> </w:t>
            </w:r>
            <w:r w:rsidR="328AB7A0" w:rsidRPr="00F23199">
              <w:t>in the ITU-R Associate category to support small organizations to join ITU-R in a specific Study Group.</w:t>
            </w:r>
          </w:p>
        </w:tc>
      </w:tr>
    </w:tbl>
    <w:p w14:paraId="633C3A59" w14:textId="77777777" w:rsidR="00BD6051" w:rsidRPr="009A3F8F" w:rsidRDefault="00BD6051" w:rsidP="253F726D">
      <w:pPr>
        <w:pStyle w:val="Tablefin"/>
        <w:rPr>
          <w:highlight w:val="cyan"/>
          <w:lang w:eastAsia="zh-CN"/>
        </w:rPr>
      </w:pPr>
    </w:p>
    <w:p w14:paraId="7B296CF2" w14:textId="77777777" w:rsidR="00C74DA0" w:rsidRPr="00B010D5" w:rsidRDefault="00C74DA0" w:rsidP="253F726D">
      <w:pPr>
        <w:pStyle w:val="Heading3"/>
      </w:pPr>
      <w:bookmarkStart w:id="154" w:name="_Toc143072457"/>
      <w:r w:rsidRPr="00B010D5">
        <w:t>6.3.2</w:t>
      </w:r>
      <w:r w:rsidRPr="00B010D5">
        <w:tab/>
        <w:t>Communication and Promotion</w:t>
      </w:r>
      <w:bookmarkEnd w:id="154"/>
    </w:p>
    <w:p w14:paraId="7F457E64" w14:textId="68DC1E5C" w:rsidR="00C74DA0" w:rsidRPr="00B010D5" w:rsidRDefault="00C74DA0" w:rsidP="253F726D">
      <w:proofErr w:type="gramStart"/>
      <w:r w:rsidRPr="00B010D5">
        <w:t>In order to</w:t>
      </w:r>
      <w:proofErr w:type="gramEnd"/>
      <w:r w:rsidRPr="00B010D5">
        <w:t xml:space="preserve"> position the ITU-R in line with its strategic objectives (create brand value, strengthen reputation, mobilize internal and external stakeholders, engage supporters and advocate in the interest of membership), the Bureau works in close collaboration with the Corporate Communications Division (CCD) and ITU Press </w:t>
      </w:r>
      <w:r w:rsidR="00CD488E" w:rsidRPr="00B010D5">
        <w:t>and Media</w:t>
      </w:r>
      <w:r w:rsidR="000C7898" w:rsidRPr="00B010D5">
        <w:t xml:space="preserve"> </w:t>
      </w:r>
      <w:r w:rsidR="006569A4" w:rsidRPr="00B010D5">
        <w:t xml:space="preserve">relations </w:t>
      </w:r>
      <w:r w:rsidRPr="00B010D5">
        <w:t xml:space="preserve">Office, the </w:t>
      </w:r>
      <w:r w:rsidR="00CD488E" w:rsidRPr="00B010D5">
        <w:t>M</w:t>
      </w:r>
      <w:r w:rsidRPr="00B010D5">
        <w:t xml:space="preserve">embership Department and other relevant Departments of the General Secretariat. This work has included several ITU Inter-Sectoral meetings: </w:t>
      </w:r>
      <w:r w:rsidR="005976E1" w:rsidRPr="00B010D5">
        <w:t>Inter-Se</w:t>
      </w:r>
      <w:r w:rsidR="005A7EF9" w:rsidRPr="00B010D5">
        <w:t>c</w:t>
      </w:r>
      <w:r w:rsidR="005976E1" w:rsidRPr="00B010D5">
        <w:t xml:space="preserve">toral Coordination Mechanism, </w:t>
      </w:r>
      <w:r w:rsidR="00CB658B" w:rsidRPr="00B010D5">
        <w:t xml:space="preserve">SDG </w:t>
      </w:r>
      <w:r w:rsidR="00B5313A" w:rsidRPr="00B010D5">
        <w:t xml:space="preserve">Digital Day, </w:t>
      </w:r>
      <w:r w:rsidRPr="00B010D5">
        <w:t xml:space="preserve">WSIS </w:t>
      </w:r>
      <w:r w:rsidR="00256407" w:rsidRPr="00B010D5">
        <w:t xml:space="preserve">and SDG </w:t>
      </w:r>
      <w:r w:rsidRPr="00B010D5">
        <w:t>Task Force,</w:t>
      </w:r>
      <w:r w:rsidR="00532202" w:rsidRPr="00B010D5">
        <w:t xml:space="preserve"> Corporate</w:t>
      </w:r>
      <w:r w:rsidRPr="00B010D5">
        <w:t xml:space="preserve"> Communications Groups, </w:t>
      </w:r>
      <w:r w:rsidR="00532202" w:rsidRPr="00B010D5">
        <w:t xml:space="preserve">ITU News Editorial, </w:t>
      </w:r>
      <w:r w:rsidRPr="00B010D5">
        <w:t>Web Editorial, and Gender Task Force Group.</w:t>
      </w:r>
    </w:p>
    <w:p w14:paraId="280EB38C" w14:textId="2661C24A" w:rsidR="00C74DA0" w:rsidRPr="00B010D5" w:rsidRDefault="00C74DA0" w:rsidP="253F726D">
      <w:r w:rsidRPr="00B010D5">
        <w:t>The following ITU News Articles</w:t>
      </w:r>
      <w:r w:rsidR="00966F2C" w:rsidRPr="00B010D5">
        <w:t xml:space="preserve"> scheduled for </w:t>
      </w:r>
      <w:r w:rsidRPr="00B010D5">
        <w:t xml:space="preserve">issue </w:t>
      </w:r>
      <w:r w:rsidR="00876DB8" w:rsidRPr="00B010D5">
        <w:t xml:space="preserve">on the </w:t>
      </w:r>
      <w:hyperlink r:id="rId92" w:history="1">
        <w:r w:rsidR="00876DB8" w:rsidRPr="00B010D5">
          <w:rPr>
            <w:rStyle w:val="Hyperlink"/>
          </w:rPr>
          <w:t>ITU Hub</w:t>
        </w:r>
      </w:hyperlink>
      <w:r w:rsidR="00183A1A" w:rsidRPr="00B010D5">
        <w:t xml:space="preserve"> (WordPress)</w:t>
      </w:r>
      <w:r w:rsidR="00876DB8" w:rsidRPr="00B010D5">
        <w:t xml:space="preserve"> </w:t>
      </w:r>
      <w:r w:rsidRPr="00B010D5">
        <w:t>as a build-up to the Special Edition</w:t>
      </w:r>
      <w:r w:rsidR="00252168" w:rsidRPr="00B010D5">
        <w:t>s</w:t>
      </w:r>
      <w:r w:rsidRPr="00B010D5">
        <w:t xml:space="preserve"> for WRC-</w:t>
      </w:r>
      <w:r w:rsidR="00252168" w:rsidRPr="00B010D5">
        <w:t>23</w:t>
      </w:r>
      <w:r w:rsidRPr="00B010D5">
        <w:t xml:space="preserve"> will be issued </w:t>
      </w:r>
      <w:r w:rsidR="00BD01EC" w:rsidRPr="00B010D5">
        <w:t xml:space="preserve">before, </w:t>
      </w:r>
      <w:r w:rsidR="0091225A" w:rsidRPr="00B010D5">
        <w:t>during</w:t>
      </w:r>
      <w:r w:rsidRPr="00B010D5">
        <w:t xml:space="preserve"> </w:t>
      </w:r>
      <w:r w:rsidR="00304A44" w:rsidRPr="00B010D5">
        <w:t xml:space="preserve">or following </w:t>
      </w:r>
      <w:r w:rsidRPr="00B010D5">
        <w:t>the conference:</w:t>
      </w:r>
    </w:p>
    <w:p w14:paraId="4F07D32C" w14:textId="750B8688" w:rsidR="008526BD" w:rsidRPr="00B010D5" w:rsidRDefault="00F45286" w:rsidP="00B010D5">
      <w:pPr>
        <w:pStyle w:val="enumlev1"/>
        <w:rPr>
          <w:rStyle w:val="Hyperlink"/>
        </w:rPr>
      </w:pPr>
      <w:r w:rsidRPr="00B010D5">
        <w:t>–</w:t>
      </w:r>
      <w:r w:rsidRPr="00B010D5">
        <w:tab/>
      </w:r>
      <w:r w:rsidR="0014540F" w:rsidRPr="00B010D5">
        <w:rPr>
          <w:lang w:eastAsia="en-GB"/>
        </w:rPr>
        <w:fldChar w:fldCharType="begin"/>
      </w:r>
      <w:r w:rsidR="0014540F" w:rsidRPr="00B010D5">
        <w:rPr>
          <w:lang w:eastAsia="en-GB"/>
        </w:rPr>
        <w:instrText>HYPERLINK "https://www.itu.int/hub/publication/s-gen-news-2023-1/"</w:instrText>
      </w:r>
      <w:r w:rsidR="0014540F" w:rsidRPr="00B010D5">
        <w:rPr>
          <w:lang w:eastAsia="en-GB"/>
        </w:rPr>
      </w:r>
      <w:r w:rsidR="0014540F" w:rsidRPr="00B010D5">
        <w:rPr>
          <w:lang w:eastAsia="en-GB"/>
        </w:rPr>
        <w:fldChar w:fldCharType="separate"/>
      </w:r>
      <w:r w:rsidR="008526BD" w:rsidRPr="00B010D5">
        <w:rPr>
          <w:rStyle w:val="Hyperlink"/>
        </w:rPr>
        <w:t>Countdown to WRC-23</w:t>
      </w:r>
      <w:r w:rsidR="00970C5B" w:rsidRPr="00B010D5">
        <w:rPr>
          <w:rStyle w:val="Hyperlink"/>
        </w:rPr>
        <w:t xml:space="preserve">, </w:t>
      </w:r>
      <w:r w:rsidR="008526BD" w:rsidRPr="00B010D5">
        <w:rPr>
          <w:rStyle w:val="Hyperlink"/>
        </w:rPr>
        <w:t>Magazine No. 1, 2023</w:t>
      </w:r>
    </w:p>
    <w:p w14:paraId="42423C7C" w14:textId="04F656BC" w:rsidR="002D2F64" w:rsidRPr="00B010D5" w:rsidRDefault="0014540F" w:rsidP="00B010D5">
      <w:pPr>
        <w:pStyle w:val="enumlev1"/>
        <w:rPr>
          <w:color w:val="444444"/>
          <w:lang w:eastAsia="en-GB"/>
        </w:rPr>
      </w:pPr>
      <w:r w:rsidRPr="00B010D5">
        <w:rPr>
          <w:lang w:eastAsia="en-GB"/>
        </w:rPr>
        <w:fldChar w:fldCharType="end"/>
      </w:r>
      <w:r w:rsidR="00F45286" w:rsidRPr="00B010D5">
        <w:t>–</w:t>
      </w:r>
      <w:r w:rsidR="00F45286" w:rsidRPr="00B010D5">
        <w:tab/>
      </w:r>
      <w:hyperlink r:id="rId93" w:history="1">
        <w:r w:rsidR="002D2F64" w:rsidRPr="00B010D5">
          <w:rPr>
            <w:rStyle w:val="Hyperlink"/>
          </w:rPr>
          <w:t>The future of Coordinated Universal Time</w:t>
        </w:r>
        <w:r w:rsidR="00970C5B" w:rsidRPr="00B010D5">
          <w:rPr>
            <w:rStyle w:val="Hyperlink"/>
          </w:rPr>
          <w:t xml:space="preserve">, </w:t>
        </w:r>
        <w:r w:rsidR="002D2F64" w:rsidRPr="00B010D5">
          <w:rPr>
            <w:rStyle w:val="Hyperlink"/>
          </w:rPr>
          <w:t>Magazine No. 2, 2023</w:t>
        </w:r>
      </w:hyperlink>
    </w:p>
    <w:p w14:paraId="2073DE51" w14:textId="5280F23D" w:rsidR="00B5300D" w:rsidRPr="00B010D5" w:rsidRDefault="00F45286" w:rsidP="00B010D5">
      <w:pPr>
        <w:pStyle w:val="enumlev1"/>
        <w:rPr>
          <w:color w:val="444444"/>
          <w:lang w:eastAsia="en-GB"/>
        </w:rPr>
      </w:pPr>
      <w:r w:rsidRPr="00B010D5">
        <w:t>–</w:t>
      </w:r>
      <w:r w:rsidRPr="00B010D5">
        <w:tab/>
      </w:r>
      <w:hyperlink r:id="rId94" w:history="1">
        <w:r w:rsidR="00B5300D" w:rsidRPr="00B010D5">
          <w:rPr>
            <w:rStyle w:val="Hyperlink"/>
          </w:rPr>
          <w:t>Land, sea and airwaves</w:t>
        </w:r>
        <w:r w:rsidR="00970C5B" w:rsidRPr="00B010D5">
          <w:rPr>
            <w:rStyle w:val="Hyperlink"/>
          </w:rPr>
          <w:t xml:space="preserve">, </w:t>
        </w:r>
        <w:r w:rsidR="00B5300D" w:rsidRPr="00B010D5">
          <w:rPr>
            <w:rStyle w:val="Hyperlink"/>
          </w:rPr>
          <w:t>Magazine No. 3, 2023</w:t>
        </w:r>
      </w:hyperlink>
    </w:p>
    <w:p w14:paraId="048A318F" w14:textId="46454F21" w:rsidR="002D2F64" w:rsidRPr="00B010D5" w:rsidRDefault="00F45286" w:rsidP="00B010D5">
      <w:pPr>
        <w:pStyle w:val="enumlev1"/>
        <w:rPr>
          <w:color w:val="444444"/>
          <w:lang w:eastAsia="en-GB"/>
        </w:rPr>
      </w:pPr>
      <w:r w:rsidRPr="00B010D5">
        <w:t>–</w:t>
      </w:r>
      <w:r w:rsidRPr="00B010D5">
        <w:tab/>
      </w:r>
      <w:r w:rsidR="00970C5B" w:rsidRPr="00B010D5">
        <w:rPr>
          <w:color w:val="444444"/>
          <w:lang w:eastAsia="en-GB"/>
        </w:rPr>
        <w:t>Science Services, Magazine No. 4, 2023</w:t>
      </w:r>
    </w:p>
    <w:p w14:paraId="59598B05" w14:textId="48D91121" w:rsidR="00970C5B" w:rsidRPr="00B010D5" w:rsidRDefault="00F45286" w:rsidP="00B010D5">
      <w:pPr>
        <w:pStyle w:val="enumlev1"/>
      </w:pPr>
      <w:r w:rsidRPr="00B010D5">
        <w:t>–</w:t>
      </w:r>
      <w:r w:rsidRPr="00B010D5">
        <w:tab/>
      </w:r>
      <w:r w:rsidR="1AD98A61" w:rsidRPr="00B010D5">
        <w:rPr>
          <w:color w:val="444444"/>
          <w:lang w:eastAsia="en-GB"/>
        </w:rPr>
        <w:t xml:space="preserve">Science Services (Remote sensing), Magazine No </w:t>
      </w:r>
      <w:r w:rsidR="1239FFFB" w:rsidRPr="00B010D5">
        <w:rPr>
          <w:color w:val="444444"/>
          <w:lang w:eastAsia="en-GB"/>
        </w:rPr>
        <w:t>5, 2023</w:t>
      </w:r>
    </w:p>
    <w:p w14:paraId="5D274B53" w14:textId="17FA569E" w:rsidR="00E84D67" w:rsidRPr="00B010D5" w:rsidRDefault="00F45286" w:rsidP="00B010D5">
      <w:pPr>
        <w:pStyle w:val="enumlev1"/>
        <w:rPr>
          <w:color w:val="444444"/>
          <w:lang w:eastAsia="en-GB"/>
        </w:rPr>
      </w:pPr>
      <w:r w:rsidRPr="00B010D5">
        <w:t>–</w:t>
      </w:r>
      <w:r w:rsidRPr="00B010D5">
        <w:tab/>
      </w:r>
      <w:r w:rsidR="006A33D5" w:rsidRPr="00B010D5">
        <w:rPr>
          <w:color w:val="444444"/>
          <w:lang w:eastAsia="en-GB"/>
        </w:rPr>
        <w:t>WRC-23 Results, Magazine No. 1, 2024</w:t>
      </w:r>
    </w:p>
    <w:p w14:paraId="1324F760" w14:textId="42340AED" w:rsidR="006A33D5" w:rsidRPr="00B010D5" w:rsidRDefault="00F45286" w:rsidP="00B010D5">
      <w:pPr>
        <w:pStyle w:val="enumlev1"/>
        <w:rPr>
          <w:color w:val="444444"/>
          <w:lang w:eastAsia="en-GB"/>
        </w:rPr>
      </w:pPr>
      <w:r w:rsidRPr="00B010D5">
        <w:t>–</w:t>
      </w:r>
      <w:r w:rsidRPr="00B010D5">
        <w:tab/>
      </w:r>
      <w:r w:rsidR="00FF1E85" w:rsidRPr="00B010D5">
        <w:rPr>
          <w:color w:val="444444"/>
          <w:lang w:eastAsia="en-GB"/>
        </w:rPr>
        <w:t>Lunar Spectrum Management</w:t>
      </w:r>
      <w:r w:rsidR="008F4E74" w:rsidRPr="00B010D5">
        <w:rPr>
          <w:color w:val="444444"/>
          <w:lang w:eastAsia="en-GB"/>
        </w:rPr>
        <w:t>, Magazine No. 2, 2024</w:t>
      </w:r>
    </w:p>
    <w:p w14:paraId="3D2BE355" w14:textId="2ABAE80F" w:rsidR="00C87EBD" w:rsidRPr="00B010D5" w:rsidRDefault="0071143D" w:rsidP="00B010D5">
      <w:pPr>
        <w:pStyle w:val="enumlev1"/>
        <w:ind w:left="0" w:firstLine="0"/>
      </w:pPr>
      <w:r w:rsidRPr="00B010D5">
        <w:t xml:space="preserve">The </w:t>
      </w:r>
      <w:r w:rsidR="003024D9" w:rsidRPr="00B010D5">
        <w:t>following were organized</w:t>
      </w:r>
      <w:r w:rsidRPr="00B010D5">
        <w:t xml:space="preserve"> to create brand value and strengthen </w:t>
      </w:r>
      <w:r w:rsidR="006022D4" w:rsidRPr="00B010D5">
        <w:t xml:space="preserve">visibility and </w:t>
      </w:r>
      <w:r w:rsidRPr="00B010D5">
        <w:t>reputation</w:t>
      </w:r>
      <w:r w:rsidR="003024D9" w:rsidRPr="00B010D5">
        <w:t>:</w:t>
      </w:r>
    </w:p>
    <w:p w14:paraId="5DB2317F" w14:textId="37C5F73F" w:rsidR="00352E24" w:rsidRPr="00B010D5" w:rsidRDefault="504B46AA" w:rsidP="253F726D">
      <w:pPr>
        <w:pStyle w:val="enumlev1"/>
      </w:pPr>
      <w:r w:rsidRPr="00B010D5">
        <w:t>–</w:t>
      </w:r>
      <w:r w:rsidR="00D97AA0" w:rsidRPr="00B010D5">
        <w:tab/>
        <w:t xml:space="preserve">A highlight was the </w:t>
      </w:r>
      <w:r w:rsidR="00963FDD" w:rsidRPr="00B010D5">
        <w:t>‘</w:t>
      </w:r>
      <w:hyperlink r:id="rId95" w:history="1">
        <w:r w:rsidR="00612153" w:rsidRPr="00B010D5">
          <w:rPr>
            <w:rStyle w:val="Hyperlink"/>
          </w:rPr>
          <w:t>E</w:t>
        </w:r>
        <w:r w:rsidR="00352E24" w:rsidRPr="00B010D5">
          <w:rPr>
            <w:rStyle w:val="Hyperlink"/>
          </w:rPr>
          <w:t>xhibition on Future Radio</w:t>
        </w:r>
      </w:hyperlink>
      <w:r w:rsidR="00963FDD" w:rsidRPr="00B010D5">
        <w:t xml:space="preserve">’ </w:t>
      </w:r>
      <w:r w:rsidR="00352E24" w:rsidRPr="00B010D5">
        <w:t xml:space="preserve">organized </w:t>
      </w:r>
      <w:r w:rsidR="00D96E07" w:rsidRPr="00B010D5">
        <w:t xml:space="preserve">from 27 March to 6 April 2023 alongside </w:t>
      </w:r>
      <w:r w:rsidR="00D97AA0" w:rsidRPr="00B010D5">
        <w:t xml:space="preserve">the </w:t>
      </w:r>
      <w:r w:rsidR="00352E24" w:rsidRPr="00B010D5">
        <w:t>CPM23-2.</w:t>
      </w:r>
      <w:r w:rsidR="00D97AA0" w:rsidRPr="00B010D5">
        <w:t xml:space="preserve"> It was open to the public with free admission at the CICG Jeanne Hirsch space</w:t>
      </w:r>
      <w:r w:rsidR="00734026" w:rsidRPr="00B010D5">
        <w:t>, Geneva, Switzerland</w:t>
      </w:r>
    </w:p>
    <w:p w14:paraId="2263A5B7" w14:textId="40AAFCE2" w:rsidR="00352E24" w:rsidRPr="00B010D5" w:rsidRDefault="5B8FD5FE" w:rsidP="253F726D">
      <w:pPr>
        <w:pStyle w:val="enumlev1"/>
      </w:pPr>
      <w:r w:rsidRPr="00B010D5">
        <w:t>–</w:t>
      </w:r>
      <w:r w:rsidR="001F23E5" w:rsidRPr="00B010D5">
        <w:tab/>
        <w:t xml:space="preserve">In 2020 the </w:t>
      </w:r>
      <w:r w:rsidR="00CC3773" w:rsidRPr="00B010D5">
        <w:t>‘</w:t>
      </w:r>
      <w:r w:rsidR="001F23E5" w:rsidRPr="00B010D5">
        <w:t xml:space="preserve">Best of </w:t>
      </w:r>
      <w:hyperlink r:id="rId96" w:history="1">
        <w:r w:rsidR="001F23E5" w:rsidRPr="00B010D5">
          <w:rPr>
            <w:rStyle w:val="Hyperlink"/>
          </w:rPr>
          <w:t>WR</w:t>
        </w:r>
        <w:r w:rsidR="00B95DFE" w:rsidRPr="00B010D5">
          <w:rPr>
            <w:rStyle w:val="Hyperlink"/>
          </w:rPr>
          <w:t>S ONLINE 2020</w:t>
        </w:r>
      </w:hyperlink>
      <w:r w:rsidR="00CC3773" w:rsidRPr="00B010D5">
        <w:t>’</w:t>
      </w:r>
      <w:r w:rsidR="00B95DFE" w:rsidRPr="00B010D5">
        <w:t xml:space="preserve"> se</w:t>
      </w:r>
      <w:r w:rsidR="001F23E5" w:rsidRPr="00B010D5">
        <w:t xml:space="preserve">ries </w:t>
      </w:r>
      <w:r w:rsidR="000C2F70" w:rsidRPr="00B010D5">
        <w:t>for</w:t>
      </w:r>
      <w:r w:rsidR="00F27C09" w:rsidRPr="00B010D5">
        <w:t xml:space="preserve"> visibility and</w:t>
      </w:r>
      <w:r w:rsidR="000C2F70" w:rsidRPr="00B010D5">
        <w:t xml:space="preserve"> capacity building </w:t>
      </w:r>
      <w:r w:rsidR="001F23E5" w:rsidRPr="00B010D5">
        <w:t>was</w:t>
      </w:r>
      <w:r w:rsidR="000C2F70" w:rsidRPr="00B010D5">
        <w:t xml:space="preserve"> created</w:t>
      </w:r>
      <w:r w:rsidR="001F23E5" w:rsidRPr="00B010D5">
        <w:t xml:space="preserve"> following the </w:t>
      </w:r>
      <w:r w:rsidR="00D164ED" w:rsidRPr="00B010D5">
        <w:t xml:space="preserve">2020 </w:t>
      </w:r>
      <w:r w:rsidR="001F23E5" w:rsidRPr="00B010D5">
        <w:t xml:space="preserve">World Radiocommunication Seminar </w:t>
      </w:r>
      <w:r w:rsidR="00FD4BA1" w:rsidRPr="00B010D5">
        <w:t xml:space="preserve">(WRS-20) which was presented as a two-week online event </w:t>
      </w:r>
      <w:r w:rsidR="001A5531" w:rsidRPr="00B010D5">
        <w:t>where for t</w:t>
      </w:r>
      <w:r w:rsidR="00FD4BA1" w:rsidRPr="00B010D5">
        <w:t>he first time, the seminar Plenary Sessions were open to everyone, including entities that are not members of the Radiocommunication Sector (ITU-R).</w:t>
      </w:r>
    </w:p>
    <w:p w14:paraId="6F49E621" w14:textId="0F676674" w:rsidR="00C74DA0" w:rsidRPr="00B010D5" w:rsidRDefault="00C74DA0" w:rsidP="253F726D">
      <w:pPr>
        <w:pStyle w:val="Heading3"/>
      </w:pPr>
      <w:bookmarkStart w:id="155" w:name="_Toc143072458"/>
      <w:r w:rsidRPr="00B010D5">
        <w:t>6.3.3</w:t>
      </w:r>
      <w:r w:rsidRPr="00B010D5">
        <w:tab/>
        <w:t>Web management</w:t>
      </w:r>
      <w:bookmarkEnd w:id="155"/>
    </w:p>
    <w:p w14:paraId="010E7EFF" w14:textId="6E7D98A8" w:rsidR="00C74DA0" w:rsidRPr="00B010D5" w:rsidRDefault="00C74DA0" w:rsidP="253F726D">
      <w:r w:rsidRPr="00B010D5">
        <w:t>The BR continued to support the ITU-R Sector strategic goals with communications issued through the BR website www.itu.int/ITU-R/, top-level pages which is regularly updated reflecting the work being undertaken by the Sector and, as far as possible, in the six official languages of the ITU.</w:t>
      </w:r>
      <w:r w:rsidR="000C4616" w:rsidRPr="00B010D5">
        <w:t xml:space="preserve"> A number of</w:t>
      </w:r>
      <w:r w:rsidR="00E956DC" w:rsidRPr="00B010D5">
        <w:t xml:space="preserve"> </w:t>
      </w:r>
      <w:r w:rsidR="004A27C9" w:rsidRPr="00B010D5">
        <w:t>main</w:t>
      </w:r>
      <w:r w:rsidR="000C4616" w:rsidRPr="00B010D5">
        <w:t xml:space="preserve"> conference</w:t>
      </w:r>
      <w:r w:rsidR="00A15AFD" w:rsidRPr="00B010D5">
        <w:t>, seminar</w:t>
      </w:r>
      <w:r w:rsidR="000C4616" w:rsidRPr="00B010D5">
        <w:t xml:space="preserve"> and</w:t>
      </w:r>
      <w:r w:rsidR="009D13CF" w:rsidRPr="00B010D5">
        <w:t xml:space="preserve"> important</w:t>
      </w:r>
      <w:r w:rsidR="000C4616" w:rsidRPr="00B010D5">
        <w:t xml:space="preserve"> websites were migrated into WordPress</w:t>
      </w:r>
      <w:r w:rsidR="00E0203B" w:rsidRPr="00B010D5">
        <w:t>, as follows</w:t>
      </w:r>
      <w:r w:rsidR="000C4616" w:rsidRPr="00B010D5">
        <w:t xml:space="preserve">: </w:t>
      </w:r>
      <w:r w:rsidR="0063211F" w:rsidRPr="00B010D5">
        <w:t>World Radiocommunication Conference 2023 (</w:t>
      </w:r>
      <w:hyperlink r:id="rId97" w:history="1">
        <w:r w:rsidR="000C4616" w:rsidRPr="00B010D5">
          <w:rPr>
            <w:rStyle w:val="Hyperlink"/>
          </w:rPr>
          <w:t>WRC-23</w:t>
        </w:r>
      </w:hyperlink>
      <w:r w:rsidR="0063211F" w:rsidRPr="00B010D5">
        <w:t>)</w:t>
      </w:r>
      <w:r w:rsidR="000C4616" w:rsidRPr="00B010D5">
        <w:t xml:space="preserve">, </w:t>
      </w:r>
      <w:r w:rsidR="0063211F" w:rsidRPr="00B010D5">
        <w:t>Radiocommunication Assembly 2023 (</w:t>
      </w:r>
      <w:hyperlink r:id="rId98" w:history="1">
        <w:r w:rsidR="000C4616" w:rsidRPr="00B010D5">
          <w:rPr>
            <w:rStyle w:val="Hyperlink"/>
          </w:rPr>
          <w:t>RA-23</w:t>
        </w:r>
      </w:hyperlink>
      <w:r w:rsidR="0063211F" w:rsidRPr="00B010D5">
        <w:t>)</w:t>
      </w:r>
      <w:r w:rsidR="008630C2" w:rsidRPr="00B010D5">
        <w:t>,</w:t>
      </w:r>
      <w:r w:rsidR="000C4616" w:rsidRPr="00B010D5">
        <w:t xml:space="preserve"> </w:t>
      </w:r>
      <w:r w:rsidR="0063211F" w:rsidRPr="00B010D5">
        <w:t>Network of Women for WRC-23 (</w:t>
      </w:r>
      <w:hyperlink r:id="rId99" w:history="1">
        <w:r w:rsidR="006D7CEE" w:rsidRPr="00B010D5">
          <w:rPr>
            <w:rStyle w:val="Hyperlink"/>
          </w:rPr>
          <w:t>NOW4WRC23</w:t>
        </w:r>
      </w:hyperlink>
      <w:r w:rsidR="0063211F" w:rsidRPr="00B010D5">
        <w:t>)</w:t>
      </w:r>
      <w:r w:rsidR="006D7CEE" w:rsidRPr="00B010D5">
        <w:t xml:space="preserve">, </w:t>
      </w:r>
      <w:hyperlink r:id="rId100" w:history="1">
        <w:r w:rsidR="006D7CEE" w:rsidRPr="00B010D5">
          <w:rPr>
            <w:rStyle w:val="Hyperlink"/>
          </w:rPr>
          <w:t xml:space="preserve">Future Radio </w:t>
        </w:r>
        <w:r w:rsidR="0036340C" w:rsidRPr="00B010D5">
          <w:rPr>
            <w:rStyle w:val="Hyperlink"/>
          </w:rPr>
          <w:t xml:space="preserve">Now </w:t>
        </w:r>
        <w:r w:rsidR="006D7CEE" w:rsidRPr="00B010D5">
          <w:rPr>
            <w:rStyle w:val="Hyperlink"/>
          </w:rPr>
          <w:t>Exhibition 2023</w:t>
        </w:r>
      </w:hyperlink>
      <w:r w:rsidR="006D7CEE" w:rsidRPr="00B010D5">
        <w:t xml:space="preserve">, </w:t>
      </w:r>
      <w:hyperlink r:id="rId101" w:history="1">
        <w:r w:rsidR="007A4C42" w:rsidRPr="00B010D5">
          <w:rPr>
            <w:rStyle w:val="Hyperlink"/>
          </w:rPr>
          <w:t>World Radiocommunication Seminar 202</w:t>
        </w:r>
        <w:r w:rsidR="00E956DC" w:rsidRPr="00B010D5">
          <w:rPr>
            <w:rStyle w:val="Hyperlink"/>
          </w:rPr>
          <w:t>2 (WRS-22)</w:t>
        </w:r>
      </w:hyperlink>
      <w:r w:rsidR="007A4C42" w:rsidRPr="00B010D5">
        <w:t xml:space="preserve">, </w:t>
      </w:r>
      <w:hyperlink r:id="rId102" w:history="1">
        <w:r w:rsidR="007A4C42" w:rsidRPr="00B010D5">
          <w:rPr>
            <w:rStyle w:val="Hyperlink"/>
          </w:rPr>
          <w:t>World Radio Day 2022</w:t>
        </w:r>
      </w:hyperlink>
      <w:r w:rsidR="002642D2" w:rsidRPr="00B010D5">
        <w:t xml:space="preserve"> (WRD-22)</w:t>
      </w:r>
      <w:r w:rsidR="00FE5038" w:rsidRPr="00B010D5">
        <w:t>.</w:t>
      </w:r>
      <w:r w:rsidR="00B60926" w:rsidRPr="00B010D5">
        <w:t xml:space="preserve"> The advantages of </w:t>
      </w:r>
      <w:r w:rsidR="00F94BA0" w:rsidRPr="00B010D5">
        <w:t xml:space="preserve">migration to </w:t>
      </w:r>
      <w:r w:rsidR="00B60926" w:rsidRPr="00B010D5">
        <w:t xml:space="preserve">WordPress are user-friendly interface, quick and easy to edit content management and mobile </w:t>
      </w:r>
      <w:r w:rsidR="00A50BDA" w:rsidRPr="00B010D5">
        <w:t xml:space="preserve">friendly </w:t>
      </w:r>
      <w:r w:rsidR="00B60926" w:rsidRPr="00B010D5">
        <w:t>responsiveness.</w:t>
      </w:r>
    </w:p>
    <w:p w14:paraId="242AAB9E" w14:textId="0CD23441" w:rsidR="00C74DA0" w:rsidRPr="00607900" w:rsidRDefault="00C74DA0" w:rsidP="253F726D">
      <w:r w:rsidRPr="00607900">
        <w:t xml:space="preserve">ITU-R </w:t>
      </w:r>
      <w:r w:rsidR="00916401" w:rsidRPr="00607900">
        <w:t>C</w:t>
      </w:r>
      <w:r w:rsidRPr="00607900">
        <w:t>ommunications continued to distribute information via</w:t>
      </w:r>
      <w:r w:rsidR="008554FD" w:rsidRPr="00607900">
        <w:t xml:space="preserve"> articles on the </w:t>
      </w:r>
      <w:hyperlink r:id="rId103" w:history="1">
        <w:r w:rsidR="008554FD" w:rsidRPr="00607900">
          <w:rPr>
            <w:rStyle w:val="Hyperlink"/>
          </w:rPr>
          <w:t>ITU Hub</w:t>
        </w:r>
      </w:hyperlink>
      <w:r w:rsidR="008554FD" w:rsidRPr="00607900">
        <w:t xml:space="preserve"> and via</w:t>
      </w:r>
      <w:r w:rsidRPr="00607900">
        <w:t xml:space="preserve"> social media on the </w:t>
      </w:r>
      <w:hyperlink r:id="rId104" w:history="1">
        <w:r w:rsidRPr="00607900">
          <w:rPr>
            <w:rStyle w:val="Hyperlink"/>
          </w:rPr>
          <w:t xml:space="preserve">ITU-R </w:t>
        </w:r>
        <w:r w:rsidR="00605FAF" w:rsidRPr="00607900">
          <w:rPr>
            <w:rStyle w:val="Hyperlink"/>
          </w:rPr>
          <w:t xml:space="preserve">twitter </w:t>
        </w:r>
        <w:r w:rsidRPr="00607900">
          <w:rPr>
            <w:rStyle w:val="Hyperlink"/>
          </w:rPr>
          <w:t>N</w:t>
        </w:r>
        <w:r w:rsidR="00605FAF" w:rsidRPr="00607900">
          <w:rPr>
            <w:rStyle w:val="Hyperlink"/>
          </w:rPr>
          <w:t>ewsroom</w:t>
        </w:r>
      </w:hyperlink>
      <w:r w:rsidR="00605FAF" w:rsidRPr="00607900">
        <w:t xml:space="preserve"> </w:t>
      </w:r>
      <w:r w:rsidRPr="00607900">
        <w:t>targeting the ITU membership, ITU-R Study Groups participants and delegates, academia members, specialized technical magazines, research institutions, media, ITU staff and the general public.</w:t>
      </w:r>
    </w:p>
    <w:p w14:paraId="499174C0" w14:textId="77777777" w:rsidR="00607900" w:rsidRDefault="0056577E" w:rsidP="253F726D">
      <w:pPr>
        <w:rPr>
          <w:rStyle w:val="ui-provider"/>
        </w:rPr>
      </w:pPr>
      <w:r w:rsidRPr="00607900">
        <w:rPr>
          <w:rStyle w:val="ui-provider"/>
        </w:rPr>
        <w:t xml:space="preserve">The </w:t>
      </w:r>
      <w:hyperlink r:id="rId105" w:history="1">
        <w:r w:rsidRPr="00607900">
          <w:rPr>
            <w:rStyle w:val="Hyperlink"/>
          </w:rPr>
          <w:t>BR Director</w:t>
        </w:r>
        <w:r w:rsidR="00607900">
          <w:rPr>
            <w:rStyle w:val="Hyperlink"/>
          </w:rPr>
          <w:t>’</w:t>
        </w:r>
        <w:r w:rsidRPr="00607900">
          <w:rPr>
            <w:rStyle w:val="Hyperlink"/>
          </w:rPr>
          <w:t>s corner</w:t>
        </w:r>
      </w:hyperlink>
      <w:r w:rsidRPr="00607900">
        <w:rPr>
          <w:rStyle w:val="ui-provider"/>
        </w:rPr>
        <w:t xml:space="preserve"> was revamped in 2022 to update the Director's biography following his </w:t>
      </w:r>
      <w:r w:rsidR="001E019F" w:rsidRPr="00607900">
        <w:rPr>
          <w:rStyle w:val="ui-provider"/>
        </w:rPr>
        <w:t>re-</w:t>
      </w:r>
      <w:r w:rsidRPr="00607900">
        <w:rPr>
          <w:rStyle w:val="ui-provider"/>
        </w:rPr>
        <w:t xml:space="preserve">election </w:t>
      </w:r>
      <w:r w:rsidR="001E019F" w:rsidRPr="00607900">
        <w:rPr>
          <w:rStyle w:val="ui-provider"/>
        </w:rPr>
        <w:t>at PP-</w:t>
      </w:r>
      <w:r w:rsidR="00FD4992" w:rsidRPr="00607900">
        <w:rPr>
          <w:rStyle w:val="ui-provider"/>
        </w:rPr>
        <w:t xml:space="preserve">22 </w:t>
      </w:r>
      <w:r w:rsidRPr="00607900">
        <w:rPr>
          <w:rStyle w:val="ui-provider"/>
        </w:rPr>
        <w:t>and include</w:t>
      </w:r>
      <w:r w:rsidR="00C76942" w:rsidRPr="00607900">
        <w:rPr>
          <w:rStyle w:val="ui-provider"/>
        </w:rPr>
        <w:t>s</w:t>
      </w:r>
      <w:r w:rsidRPr="00607900">
        <w:rPr>
          <w:rStyle w:val="ui-provider"/>
        </w:rPr>
        <w:t xml:space="preserve"> blogs published under his name as well as ITU News magazines and articles that focus on the work of the Bureau.</w:t>
      </w:r>
      <w:r w:rsidR="00830115" w:rsidRPr="00607900">
        <w:rPr>
          <w:rStyle w:val="ui-provider"/>
        </w:rPr>
        <w:t xml:space="preserve"> This was in addition to the </w:t>
      </w:r>
      <w:r w:rsidR="001E4882" w:rsidRPr="00607900">
        <w:rPr>
          <w:rStyle w:val="ui-provider"/>
        </w:rPr>
        <w:t xml:space="preserve">photos, speeches and presentation </w:t>
      </w:r>
      <w:r w:rsidR="00830115" w:rsidRPr="00607900">
        <w:rPr>
          <w:rStyle w:val="ui-provider"/>
        </w:rPr>
        <w:t xml:space="preserve">meetings schedule, </w:t>
      </w:r>
      <w:proofErr w:type="gramStart"/>
      <w:r w:rsidR="00830115" w:rsidRPr="00607900">
        <w:rPr>
          <w:rStyle w:val="ui-provider"/>
        </w:rPr>
        <w:t>videos</w:t>
      </w:r>
      <w:proofErr w:type="gramEnd"/>
      <w:r w:rsidR="00830115" w:rsidRPr="00607900">
        <w:rPr>
          <w:rStyle w:val="ui-provider"/>
        </w:rPr>
        <w:t xml:space="preserve"> and photos.</w:t>
      </w:r>
    </w:p>
    <w:p w14:paraId="1406A1F9" w14:textId="6C38D545" w:rsidR="00C74DA0" w:rsidRPr="00607900" w:rsidRDefault="00C74DA0" w:rsidP="253F726D">
      <w:r w:rsidRPr="00607900">
        <w:t xml:space="preserve">A </w:t>
      </w:r>
      <w:hyperlink r:id="rId106" w:history="1">
        <w:r w:rsidR="008B3569" w:rsidRPr="00607900">
          <w:rPr>
            <w:rStyle w:val="Hyperlink"/>
          </w:rPr>
          <w:t xml:space="preserve">WRC-23 </w:t>
        </w:r>
        <w:r w:rsidR="00C00693" w:rsidRPr="00607900">
          <w:rPr>
            <w:rStyle w:val="Hyperlink"/>
          </w:rPr>
          <w:t>Newsroom</w:t>
        </w:r>
      </w:hyperlink>
      <w:r w:rsidRPr="00607900">
        <w:t xml:space="preserve"> was designed for membership, delegates, exhibitors, media and the general public etc. to keep regularly informed about the issues discussed and decided at the ITU World Radiocommunication Conference 20</w:t>
      </w:r>
      <w:r w:rsidR="008B3569" w:rsidRPr="00607900">
        <w:t>23</w:t>
      </w:r>
      <w:r w:rsidRPr="00607900">
        <w:t xml:space="preserve"> (</w:t>
      </w:r>
      <w:hyperlink r:id="rId107" w:history="1">
        <w:r w:rsidR="005B3EEA" w:rsidRPr="00607900">
          <w:rPr>
            <w:rStyle w:val="Hyperlink"/>
          </w:rPr>
          <w:t>WRC-23</w:t>
        </w:r>
      </w:hyperlink>
      <w:r w:rsidR="005B3EEA" w:rsidRPr="00607900">
        <w:t xml:space="preserve"> </w:t>
      </w:r>
      <w:r w:rsidRPr="00607900">
        <w:t xml:space="preserve">) </w:t>
      </w:r>
      <w:r w:rsidRPr="00607900">
        <w:rPr>
          <w:lang w:val="en-US"/>
        </w:rPr>
        <w:t>Social media h</w:t>
      </w:r>
      <w:proofErr w:type="spellStart"/>
      <w:r w:rsidRPr="00607900">
        <w:t>ashtags</w:t>
      </w:r>
      <w:proofErr w:type="spellEnd"/>
      <w:r w:rsidRPr="00607900">
        <w:t xml:space="preserve"> are in place: </w:t>
      </w:r>
      <w:hyperlink r:id="rId108" w:history="1">
        <w:r w:rsidRPr="00607900">
          <w:rPr>
            <w:rStyle w:val="Hyperlink"/>
          </w:rPr>
          <w:t>#ITUWRC</w:t>
        </w:r>
      </w:hyperlink>
      <w:r w:rsidRPr="00607900">
        <w:t>.</w:t>
      </w:r>
    </w:p>
    <w:p w14:paraId="5D8076B4" w14:textId="77777777" w:rsidR="00C74DA0" w:rsidRPr="00882CA3" w:rsidRDefault="00C74DA0" w:rsidP="253F726D">
      <w:pPr>
        <w:pStyle w:val="Heading3"/>
      </w:pPr>
      <w:bookmarkStart w:id="156" w:name="_Toc143072459"/>
      <w:r w:rsidRPr="00882CA3">
        <w:t>6.3.4</w:t>
      </w:r>
      <w:r w:rsidRPr="00882CA3">
        <w:tab/>
        <w:t>Frequently Asked Questions (FAQ) and Backgrounders</w:t>
      </w:r>
      <w:bookmarkEnd w:id="156"/>
    </w:p>
    <w:p w14:paraId="2456C427" w14:textId="63AD8854" w:rsidR="00C74DA0" w:rsidRPr="00882CA3" w:rsidRDefault="00C74DA0" w:rsidP="253F726D">
      <w:r w:rsidRPr="00882CA3">
        <w:t xml:space="preserve">BR continues to </w:t>
      </w:r>
      <w:r w:rsidR="00C86EFF" w:rsidRPr="00882CA3">
        <w:t xml:space="preserve">keep </w:t>
      </w:r>
      <w:r w:rsidRPr="00882CA3">
        <w:t>regularly update</w:t>
      </w:r>
      <w:r w:rsidR="005B3042" w:rsidRPr="00882CA3">
        <w:t>d</w:t>
      </w:r>
      <w:r w:rsidRPr="00882CA3">
        <w:t xml:space="preserve"> the various sets of Frequently Asked Questions (FAQs). They are available for consultation by the media, industry and </w:t>
      </w:r>
      <w:proofErr w:type="gramStart"/>
      <w:r w:rsidRPr="00882CA3">
        <w:t>general public</w:t>
      </w:r>
      <w:proofErr w:type="gramEnd"/>
      <w:r w:rsidRPr="00882CA3">
        <w:t xml:space="preserve"> and currently cover the following topics:</w:t>
      </w:r>
    </w:p>
    <w:p w14:paraId="2FAFC56A" w14:textId="77777777" w:rsidR="00C74DA0" w:rsidRPr="00882CA3" w:rsidRDefault="00C74DA0" w:rsidP="253F726D">
      <w:pPr>
        <w:pStyle w:val="enumlev1"/>
      </w:pPr>
      <w:r w:rsidRPr="00882CA3">
        <w:t>–</w:t>
      </w:r>
      <w:r w:rsidRPr="00882CA3">
        <w:tab/>
        <w:t xml:space="preserve">Radio Regulations (RR), ITU-R Study Groups (SG), RRB, RAG, </w:t>
      </w:r>
      <w:proofErr w:type="gramStart"/>
      <w:r w:rsidRPr="00882CA3">
        <w:t>BR;</w:t>
      </w:r>
      <w:proofErr w:type="gramEnd"/>
    </w:p>
    <w:p w14:paraId="1F012F60" w14:textId="47972298" w:rsidR="00127267" w:rsidRPr="00882CA3" w:rsidRDefault="00C74DA0" w:rsidP="253F726D">
      <w:pPr>
        <w:pStyle w:val="enumlev1"/>
      </w:pPr>
      <w:r w:rsidRPr="00882CA3">
        <w:t>–</w:t>
      </w:r>
      <w:r w:rsidRPr="00882CA3">
        <w:tab/>
        <w:t xml:space="preserve">International Mobile Telecommunications (IMT) and Wireless </w:t>
      </w:r>
      <w:proofErr w:type="gramStart"/>
      <w:r w:rsidRPr="00882CA3">
        <w:t>Broadband;</w:t>
      </w:r>
      <w:proofErr w:type="gramEnd"/>
    </w:p>
    <w:p w14:paraId="026BEED2" w14:textId="184FDAAB" w:rsidR="00C74DA0" w:rsidRPr="00882CA3" w:rsidRDefault="00C74DA0" w:rsidP="253F726D">
      <w:pPr>
        <w:pStyle w:val="enumlev1"/>
      </w:pPr>
      <w:r w:rsidRPr="00882CA3">
        <w:t>–</w:t>
      </w:r>
      <w:r w:rsidRPr="00882CA3">
        <w:tab/>
        <w:t xml:space="preserve">Satellite </w:t>
      </w:r>
      <w:r w:rsidR="00A627DA" w:rsidRPr="00882CA3">
        <w:t>filings</w:t>
      </w:r>
      <w:r w:rsidRPr="00882CA3">
        <w:t xml:space="preserve"> and associated procedures.</w:t>
      </w:r>
    </w:p>
    <w:p w14:paraId="01B5AC8F" w14:textId="77777777" w:rsidR="00C74DA0" w:rsidRPr="00882CA3" w:rsidRDefault="00C74DA0" w:rsidP="253F726D">
      <w:r w:rsidRPr="00882CA3">
        <w:t>They can be found online on the right-hand top of the ITU-R web page (</w:t>
      </w:r>
      <w:hyperlink r:id="rId109">
        <w:r w:rsidRPr="00882CA3">
          <w:rPr>
            <w:rStyle w:val="Hyperlink"/>
            <w:rFonts w:cs="Calibri"/>
          </w:rPr>
          <w:t>http://www.itu.int/en/ITU-R/Pages/default.aspx</w:t>
        </w:r>
      </w:hyperlink>
      <w:r w:rsidRPr="00882CA3">
        <w:t>.</w:t>
      </w:r>
    </w:p>
    <w:p w14:paraId="31A99B41" w14:textId="7E91B3E9" w:rsidR="00C74DA0" w:rsidRPr="00882CA3" w:rsidRDefault="00C74DA0" w:rsidP="253F726D">
      <w:r w:rsidRPr="00882CA3">
        <w:t xml:space="preserve">In addition to the FAQ, the BR </w:t>
      </w:r>
      <w:r w:rsidR="003F488D" w:rsidRPr="00882CA3">
        <w:t xml:space="preserve">regularly </w:t>
      </w:r>
      <w:r w:rsidR="006828D1" w:rsidRPr="00882CA3">
        <w:t>update</w:t>
      </w:r>
      <w:r w:rsidR="000E4EFB" w:rsidRPr="00882CA3">
        <w:t>s</w:t>
      </w:r>
      <w:r w:rsidR="006828D1" w:rsidRPr="00882CA3">
        <w:t xml:space="preserve"> </w:t>
      </w:r>
      <w:r w:rsidRPr="00882CA3">
        <w:t>Backgrounders on key subjects of interest by media outlets, as follows:</w:t>
      </w:r>
    </w:p>
    <w:p w14:paraId="52B5EB04" w14:textId="77777777" w:rsidR="00C74DA0" w:rsidRPr="00882CA3" w:rsidRDefault="00C74DA0" w:rsidP="253F726D">
      <w:pPr>
        <w:pStyle w:val="enumlev1"/>
      </w:pPr>
      <w:r w:rsidRPr="00882CA3">
        <w:t>–</w:t>
      </w:r>
      <w:r w:rsidRPr="00882CA3">
        <w:tab/>
      </w:r>
      <w:hyperlink r:id="rId110" w:history="1">
        <w:r w:rsidRPr="00882CA3">
          <w:t>5G - Fifth Generation of Mobile Technologies (IMT-2020 and beyond)</w:t>
        </w:r>
      </w:hyperlink>
    </w:p>
    <w:p w14:paraId="2805EBEB" w14:textId="77777777" w:rsidR="00C74DA0" w:rsidRPr="00882CA3" w:rsidRDefault="00C74DA0" w:rsidP="253F726D">
      <w:pPr>
        <w:pStyle w:val="enumlev1"/>
      </w:pPr>
      <w:r w:rsidRPr="00882CA3">
        <w:t>–</w:t>
      </w:r>
      <w:r w:rsidRPr="00882CA3">
        <w:tab/>
      </w:r>
      <w:hyperlink r:id="rId111" w:history="1">
        <w:r w:rsidRPr="00882CA3">
          <w:rPr>
            <w:rStyle w:val="Hyperlink"/>
          </w:rPr>
          <w:t>High-Altitude Platform Systems (HAPS)</w:t>
        </w:r>
      </w:hyperlink>
    </w:p>
    <w:p w14:paraId="122B0C8C" w14:textId="7C411BF0" w:rsidR="00EA4853" w:rsidRPr="00882CA3" w:rsidRDefault="00C74DA0" w:rsidP="253F726D">
      <w:pPr>
        <w:pStyle w:val="enumlev1"/>
        <w:rPr>
          <w:color w:val="0000FF"/>
          <w:u w:val="single"/>
        </w:rPr>
      </w:pPr>
      <w:r w:rsidRPr="00882CA3">
        <w:t>–</w:t>
      </w:r>
      <w:r w:rsidRPr="00882CA3">
        <w:tab/>
      </w:r>
      <w:hyperlink r:id="rId112" w:history="1">
        <w:r w:rsidRPr="00882CA3">
          <w:rPr>
            <w:rStyle w:val="Hyperlink"/>
          </w:rPr>
          <w:t>ITU Study Groups</w:t>
        </w:r>
      </w:hyperlink>
      <w:r w:rsidR="00EA4853" w:rsidRPr="00882CA3">
        <w:rPr>
          <w:rStyle w:val="Hyperlink"/>
        </w:rPr>
        <w:t xml:space="preserve"> </w:t>
      </w:r>
      <w:r w:rsidR="00B45845" w:rsidRPr="00882CA3">
        <w:rPr>
          <w:rStyle w:val="Hyperlink"/>
        </w:rPr>
        <w:t>brokering standards by consensus</w:t>
      </w:r>
    </w:p>
    <w:p w14:paraId="3DAE7F5E" w14:textId="79500838" w:rsidR="00C74DA0" w:rsidRPr="00882CA3" w:rsidRDefault="00C74DA0" w:rsidP="253F726D">
      <w:pPr>
        <w:pStyle w:val="enumlev1"/>
        <w:rPr>
          <w:rStyle w:val="Hyperlink"/>
        </w:rPr>
      </w:pPr>
      <w:r w:rsidRPr="00882CA3">
        <w:t>–</w:t>
      </w:r>
      <w:r w:rsidRPr="00882CA3">
        <w:tab/>
      </w:r>
      <w:hyperlink r:id="rId113" w:history="1">
        <w:r w:rsidRPr="00882CA3">
          <w:rPr>
            <w:rStyle w:val="Hyperlink"/>
          </w:rPr>
          <w:t>ITU-R: Managing the radio-frequency spectrum for the world</w:t>
        </w:r>
      </w:hyperlink>
    </w:p>
    <w:p w14:paraId="7689250E" w14:textId="02F175FD" w:rsidR="00BE6428" w:rsidRPr="00882CA3" w:rsidRDefault="00BE6428" w:rsidP="253F726D">
      <w:pPr>
        <w:pStyle w:val="enumlev1"/>
      </w:pPr>
      <w:r w:rsidRPr="00882CA3">
        <w:t>–</w:t>
      </w:r>
      <w:r w:rsidRPr="00882CA3">
        <w:tab/>
        <w:t xml:space="preserve">Radiocommunications for keeping ships and people safe at </w:t>
      </w:r>
      <w:proofErr w:type="gramStart"/>
      <w:r w:rsidRPr="00882CA3">
        <w:t>sea;</w:t>
      </w:r>
      <w:proofErr w:type="gramEnd"/>
    </w:p>
    <w:p w14:paraId="6A591469" w14:textId="77777777" w:rsidR="00C74DA0" w:rsidRPr="00882CA3" w:rsidRDefault="00C74DA0" w:rsidP="253F726D">
      <w:pPr>
        <w:pStyle w:val="enumlev1"/>
      </w:pPr>
      <w:r w:rsidRPr="00882CA3">
        <w:t>–</w:t>
      </w:r>
      <w:r w:rsidRPr="00882CA3">
        <w:tab/>
      </w:r>
      <w:hyperlink r:id="rId114" w:history="1">
        <w:r w:rsidRPr="00882CA3">
          <w:rPr>
            <w:rStyle w:val="Hyperlink"/>
          </w:rPr>
          <w:t>Satellite issues: Earth stations in motion (ESIM)</w:t>
        </w:r>
      </w:hyperlink>
    </w:p>
    <w:p w14:paraId="7670E31F" w14:textId="77777777" w:rsidR="00C74DA0" w:rsidRPr="00882CA3" w:rsidRDefault="00C74DA0" w:rsidP="253F726D">
      <w:pPr>
        <w:pStyle w:val="enumlev1"/>
      </w:pPr>
      <w:r w:rsidRPr="00882CA3">
        <w:t>–</w:t>
      </w:r>
      <w:r w:rsidRPr="00882CA3">
        <w:tab/>
      </w:r>
      <w:hyperlink r:id="rId115" w:history="1">
        <w:r w:rsidRPr="00882CA3">
          <w:rPr>
            <w:rStyle w:val="Hyperlink"/>
          </w:rPr>
          <w:t>Satellite issues: Non-GSO FSS satellite systems</w:t>
        </w:r>
      </w:hyperlink>
    </w:p>
    <w:p w14:paraId="63C61A70" w14:textId="77777777" w:rsidR="00C74DA0" w:rsidRPr="00882CA3" w:rsidRDefault="00C74DA0" w:rsidP="253F726D">
      <w:pPr>
        <w:pStyle w:val="enumlev1"/>
        <w:rPr>
          <w:rStyle w:val="Hyperlink"/>
        </w:rPr>
      </w:pPr>
      <w:r w:rsidRPr="00882CA3">
        <w:t>–</w:t>
      </w:r>
      <w:r w:rsidRPr="00882CA3">
        <w:tab/>
      </w:r>
      <w:hyperlink r:id="rId116" w:history="1">
        <w:r w:rsidRPr="00882CA3">
          <w:rPr>
            <w:rStyle w:val="Hyperlink"/>
          </w:rPr>
          <w:t>Satellite issues: Small SATS: Nano and Pico - short duration missions</w:t>
        </w:r>
      </w:hyperlink>
    </w:p>
    <w:p w14:paraId="3E7CD62A" w14:textId="69B32F29" w:rsidR="000F56E2" w:rsidRPr="00882CA3" w:rsidRDefault="00911DC8" w:rsidP="253F726D">
      <w:pPr>
        <w:pStyle w:val="enumlev1"/>
      </w:pPr>
      <w:r w:rsidRPr="00882CA3">
        <w:t>–</w:t>
      </w:r>
      <w:r w:rsidRPr="00882CA3">
        <w:tab/>
        <w:t xml:space="preserve">Satellite Issues: </w:t>
      </w:r>
      <w:r w:rsidR="00402D38" w:rsidRPr="00882CA3">
        <w:t>R</w:t>
      </w:r>
      <w:r w:rsidRPr="00882CA3">
        <w:t xml:space="preserve">egulation of Satellite Systems, </w:t>
      </w:r>
      <w:proofErr w:type="gramStart"/>
      <w:r w:rsidRPr="00882CA3">
        <w:t>filings</w:t>
      </w:r>
      <w:proofErr w:type="gramEnd"/>
      <w:r w:rsidRPr="00882CA3">
        <w:t xml:space="preserve"> and associated procedures</w:t>
      </w:r>
    </w:p>
    <w:p w14:paraId="1F82F3B0" w14:textId="6856788D" w:rsidR="000F56E2" w:rsidRPr="00882CA3" w:rsidRDefault="000F56E2" w:rsidP="253F726D">
      <w:pPr>
        <w:pStyle w:val="enumlev1"/>
      </w:pPr>
      <w:r w:rsidRPr="00882CA3">
        <w:t>–</w:t>
      </w:r>
      <w:r w:rsidRPr="00882CA3">
        <w:tab/>
      </w:r>
      <w:r w:rsidR="0034499E" w:rsidRPr="00882CA3">
        <w:t>Radio Interference</w:t>
      </w:r>
    </w:p>
    <w:p w14:paraId="278F7305" w14:textId="77777777" w:rsidR="00B45845" w:rsidRPr="00882CA3" w:rsidRDefault="000F56E2" w:rsidP="253F726D">
      <w:pPr>
        <w:pStyle w:val="enumlev1"/>
      </w:pPr>
      <w:r w:rsidRPr="00882CA3">
        <w:t>–</w:t>
      </w:r>
      <w:r w:rsidRPr="00882CA3">
        <w:tab/>
      </w:r>
      <w:r w:rsidR="0034499E" w:rsidRPr="00882CA3">
        <w:t>Climate Change</w:t>
      </w:r>
    </w:p>
    <w:p w14:paraId="345503AB" w14:textId="7C115BA5" w:rsidR="0034499E" w:rsidRPr="00882CA3" w:rsidRDefault="00B45845" w:rsidP="253F726D">
      <w:pPr>
        <w:pStyle w:val="enumlev1"/>
      </w:pPr>
      <w:r w:rsidRPr="00882CA3">
        <w:t>–</w:t>
      </w:r>
      <w:r w:rsidRPr="00882CA3">
        <w:tab/>
      </w:r>
      <w:r w:rsidR="0034499E" w:rsidRPr="00882CA3">
        <w:t>Human exposure to electr</w:t>
      </w:r>
      <w:r w:rsidR="00EA4853" w:rsidRPr="00882CA3">
        <w:t>omagnetic fields (EMF) and health</w:t>
      </w:r>
    </w:p>
    <w:p w14:paraId="41F13665" w14:textId="77777777" w:rsidR="00C74DA0" w:rsidRPr="00C03430" w:rsidRDefault="00C74DA0" w:rsidP="00C74DA0">
      <w:pPr>
        <w:pStyle w:val="Heading1"/>
      </w:pPr>
      <w:bookmarkStart w:id="157" w:name="_Toc143072460"/>
      <w:r w:rsidRPr="00C03430">
        <w:t>7</w:t>
      </w:r>
      <w:r w:rsidRPr="00C03430">
        <w:tab/>
        <w:t>Assistance to Member States</w:t>
      </w:r>
      <w:bookmarkEnd w:id="150"/>
      <w:bookmarkEnd w:id="151"/>
      <w:bookmarkEnd w:id="157"/>
    </w:p>
    <w:p w14:paraId="5DC09642" w14:textId="77777777" w:rsidR="00C74DA0" w:rsidRPr="0012556A" w:rsidRDefault="00C74DA0" w:rsidP="00C74DA0">
      <w:pPr>
        <w:pStyle w:val="Heading2"/>
      </w:pPr>
      <w:bookmarkStart w:id="158" w:name="_Toc143072461"/>
      <w:r w:rsidRPr="0012556A">
        <w:t>7.1</w:t>
      </w:r>
      <w:r w:rsidRPr="0012556A">
        <w:tab/>
        <w:t>Assistance to administrations of developing countries</w:t>
      </w:r>
      <w:bookmarkEnd w:id="158"/>
    </w:p>
    <w:p w14:paraId="40514C73" w14:textId="77777777" w:rsidR="00C74DA0" w:rsidRPr="0012556A" w:rsidRDefault="00C74DA0" w:rsidP="00C74DA0">
      <w:r w:rsidRPr="0012556A">
        <w:t>In the period between WRC</w:t>
      </w:r>
      <w:r w:rsidRPr="0012556A">
        <w:noBreakHyphen/>
        <w:t>19 and WRC</w:t>
      </w:r>
      <w:r w:rsidRPr="0012556A">
        <w:noBreakHyphen/>
        <w:t xml:space="preserve">23, the Bureau </w:t>
      </w:r>
      <w:proofErr w:type="gramStart"/>
      <w:r w:rsidRPr="0012556A">
        <w:t>provided assistance to</w:t>
      </w:r>
      <w:proofErr w:type="gramEnd"/>
      <w:r w:rsidRPr="0012556A">
        <w:t xml:space="preserve"> the administrations of developing countries by:</w:t>
      </w:r>
    </w:p>
    <w:p w14:paraId="09EEB5E4" w14:textId="77777777" w:rsidR="00C74DA0" w:rsidRPr="0012556A" w:rsidRDefault="00C74DA0" w:rsidP="00C74DA0">
      <w:pPr>
        <w:pStyle w:val="enumlev1"/>
      </w:pPr>
      <w:r w:rsidRPr="0012556A">
        <w:t>–</w:t>
      </w:r>
      <w:r w:rsidRPr="0012556A">
        <w:tab/>
        <w:t xml:space="preserve">Supporting national spectrum management activities and providing technical assistance in the field of space </w:t>
      </w:r>
      <w:proofErr w:type="gramStart"/>
      <w:r w:rsidRPr="0012556A">
        <w:t>radiocommunication;</w:t>
      </w:r>
      <w:proofErr w:type="gramEnd"/>
    </w:p>
    <w:p w14:paraId="25C4A4B3" w14:textId="77777777" w:rsidR="00C74DA0" w:rsidRPr="0012556A" w:rsidRDefault="00C74DA0" w:rsidP="00C74DA0">
      <w:pPr>
        <w:pStyle w:val="enumlev1"/>
      </w:pPr>
      <w:r w:rsidRPr="0012556A">
        <w:t>–</w:t>
      </w:r>
      <w:r w:rsidRPr="0012556A">
        <w:tab/>
        <w:t xml:space="preserve">Participating in the meetings of the regional coordination groups, as requested by Article </w:t>
      </w:r>
      <w:r w:rsidRPr="0012556A">
        <w:rPr>
          <w:b/>
          <w:bCs/>
        </w:rPr>
        <w:t>12</w:t>
      </w:r>
      <w:r w:rsidRPr="0012556A">
        <w:t xml:space="preserve"> of the Radio </w:t>
      </w:r>
      <w:proofErr w:type="gramStart"/>
      <w:r w:rsidRPr="0012556A">
        <w:t>Regulations;</w:t>
      </w:r>
      <w:proofErr w:type="gramEnd"/>
    </w:p>
    <w:p w14:paraId="03EF3BB3" w14:textId="77777777" w:rsidR="00C74DA0" w:rsidRPr="0012556A" w:rsidRDefault="00C74DA0" w:rsidP="00C74DA0">
      <w:pPr>
        <w:pStyle w:val="enumlev1"/>
      </w:pPr>
      <w:r w:rsidRPr="0012556A">
        <w:t>–</w:t>
      </w:r>
      <w:r w:rsidRPr="0012556A">
        <w:tab/>
        <w:t>Providing assistance in Long Term Frequency management and assignment for mobile broadband (IMT</w:t>
      </w:r>
      <w:proofErr w:type="gramStart"/>
      <w:r w:rsidRPr="0012556A">
        <w:t>);</w:t>
      </w:r>
      <w:proofErr w:type="gramEnd"/>
    </w:p>
    <w:p w14:paraId="0BD1FF3F" w14:textId="77777777" w:rsidR="00C74DA0" w:rsidRPr="0012556A" w:rsidRDefault="00C74DA0" w:rsidP="00C74DA0">
      <w:pPr>
        <w:pStyle w:val="enumlev1"/>
      </w:pPr>
      <w:r w:rsidRPr="0012556A">
        <w:t>–</w:t>
      </w:r>
      <w:r w:rsidRPr="0012556A">
        <w:tab/>
        <w:t>Providing guidance and technical support for the transition to Digital Television and the allocation of the digital dividend.</w:t>
      </w:r>
    </w:p>
    <w:p w14:paraId="3E145BFA" w14:textId="77777777" w:rsidR="00BD6051" w:rsidRPr="0012556A" w:rsidRDefault="00C74DA0" w:rsidP="00BD6051">
      <w:pPr>
        <w:pStyle w:val="enumlev1"/>
      </w:pPr>
      <w:r w:rsidRPr="0012556A">
        <w:t>–</w:t>
      </w:r>
      <w:r w:rsidRPr="0012556A">
        <w:tab/>
        <w:t xml:space="preserve">Participation in capacity building seminars on satellite </w:t>
      </w:r>
      <w:proofErr w:type="gramStart"/>
      <w:r w:rsidRPr="0012556A">
        <w:t>communications;</w:t>
      </w:r>
      <w:proofErr w:type="gramEnd"/>
    </w:p>
    <w:p w14:paraId="4FEF51F2" w14:textId="0B32FCAE" w:rsidR="00C74DA0" w:rsidRPr="0012556A" w:rsidRDefault="00BD6051" w:rsidP="00BD6051">
      <w:pPr>
        <w:pStyle w:val="enumlev1"/>
      </w:pPr>
      <w:r w:rsidRPr="0012556A">
        <w:t>–</w:t>
      </w:r>
      <w:r w:rsidRPr="0012556A">
        <w:tab/>
      </w:r>
      <w:r w:rsidR="00C74DA0" w:rsidRPr="0012556A">
        <w:t xml:space="preserve">Providing assistance in coordination procedure under RR </w:t>
      </w:r>
      <w:r w:rsidR="00C74DA0" w:rsidRPr="0012556A">
        <w:rPr>
          <w:b/>
          <w:bCs/>
        </w:rPr>
        <w:t>9.18</w:t>
      </w:r>
      <w:r w:rsidR="00C74DA0" w:rsidRPr="0012556A">
        <w:t xml:space="preserve">, RR </w:t>
      </w:r>
      <w:r w:rsidR="00C74DA0" w:rsidRPr="0012556A">
        <w:rPr>
          <w:b/>
          <w:bCs/>
        </w:rPr>
        <w:t>9.19</w:t>
      </w:r>
      <w:r w:rsidR="00C74DA0" w:rsidRPr="0012556A">
        <w:t xml:space="preserve"> and RR </w:t>
      </w:r>
      <w:proofErr w:type="gramStart"/>
      <w:r w:rsidR="00C74DA0" w:rsidRPr="0012556A">
        <w:rPr>
          <w:b/>
          <w:bCs/>
        </w:rPr>
        <w:t>9.21</w:t>
      </w:r>
      <w:r w:rsidR="00C74DA0" w:rsidRPr="0012556A">
        <w:t>;</w:t>
      </w:r>
      <w:proofErr w:type="gramEnd"/>
    </w:p>
    <w:p w14:paraId="2B27897B" w14:textId="77777777" w:rsidR="00C74DA0" w:rsidRPr="0012556A" w:rsidRDefault="00C74DA0" w:rsidP="00C74DA0">
      <w:pPr>
        <w:pStyle w:val="enumlev1"/>
      </w:pPr>
      <w:r w:rsidRPr="0012556A">
        <w:t>–</w:t>
      </w:r>
      <w:r w:rsidRPr="0012556A">
        <w:tab/>
        <w:t xml:space="preserve">Providing assistance in Plan modification procedure under GE06 </w:t>
      </w:r>
      <w:proofErr w:type="gramStart"/>
      <w:r w:rsidRPr="0012556A">
        <w:t>Agreement;</w:t>
      </w:r>
      <w:proofErr w:type="gramEnd"/>
    </w:p>
    <w:p w14:paraId="26D201FC" w14:textId="77777777" w:rsidR="00C74DA0" w:rsidRPr="0012556A" w:rsidRDefault="00C74DA0" w:rsidP="00C74DA0">
      <w:pPr>
        <w:pStyle w:val="enumlev1"/>
      </w:pPr>
      <w:r w:rsidRPr="0012556A">
        <w:t>–</w:t>
      </w:r>
      <w:r w:rsidRPr="0012556A">
        <w:tab/>
        <w:t xml:space="preserve">Providing assistance in assignments of call signs and </w:t>
      </w:r>
      <w:proofErr w:type="gramStart"/>
      <w:r w:rsidRPr="0012556A">
        <w:t>MMSI;</w:t>
      </w:r>
      <w:proofErr w:type="gramEnd"/>
    </w:p>
    <w:p w14:paraId="7F306984" w14:textId="77777777" w:rsidR="00E56095" w:rsidRPr="0012556A" w:rsidRDefault="00E56095" w:rsidP="00E56095">
      <w:pPr>
        <w:pStyle w:val="enumlev1"/>
      </w:pPr>
      <w:r w:rsidRPr="0012556A">
        <w:t>–</w:t>
      </w:r>
      <w:r w:rsidRPr="0012556A">
        <w:tab/>
        <w:t xml:space="preserve">Providing assistance in space procedures as explained in section </w:t>
      </w:r>
      <w:proofErr w:type="gramStart"/>
      <w:r w:rsidRPr="0012556A">
        <w:t>2.6;</w:t>
      </w:r>
      <w:proofErr w:type="gramEnd"/>
      <w:r w:rsidRPr="0012556A">
        <w:t xml:space="preserve"> </w:t>
      </w:r>
    </w:p>
    <w:p w14:paraId="0A8DB994" w14:textId="3569E834" w:rsidR="00D0142F" w:rsidRPr="00486E17" w:rsidRDefault="00D0142F" w:rsidP="00C74DA0">
      <w:pPr>
        <w:pStyle w:val="enumlev1"/>
      </w:pPr>
      <w:r w:rsidRPr="0012556A">
        <w:t>–</w:t>
      </w:r>
      <w:r w:rsidRPr="0012556A">
        <w:tab/>
      </w:r>
      <w:r w:rsidR="00486E17" w:rsidRPr="0012556A">
        <w:t xml:space="preserve">Providing </w:t>
      </w:r>
      <w:r w:rsidR="00E56095" w:rsidRPr="0012556A">
        <w:t xml:space="preserve">focused </w:t>
      </w:r>
      <w:r w:rsidR="00486E17" w:rsidRPr="0012556A">
        <w:t xml:space="preserve">assistance in the implementation of Resolution </w:t>
      </w:r>
      <w:r w:rsidR="00486E17" w:rsidRPr="0012556A">
        <w:rPr>
          <w:b/>
          <w:bCs/>
        </w:rPr>
        <w:t>559 (WRC-19)</w:t>
      </w:r>
      <w:r w:rsidR="00486E17" w:rsidRPr="0012556A">
        <w:t xml:space="preserve"> (see section 2.3.1.2).</w:t>
      </w:r>
      <w:r w:rsidR="00486E17">
        <w:t xml:space="preserve"> </w:t>
      </w:r>
    </w:p>
    <w:p w14:paraId="435B65EC" w14:textId="59714A5B" w:rsidR="00C74DA0" w:rsidRPr="0012556A" w:rsidRDefault="00C74DA0" w:rsidP="00C74DA0">
      <w:pPr>
        <w:pStyle w:val="Heading2"/>
      </w:pPr>
      <w:bookmarkStart w:id="159" w:name="_Toc143072462"/>
      <w:r w:rsidRPr="0012556A">
        <w:rPr>
          <w:bCs/>
        </w:rPr>
        <w:t>7.2</w:t>
      </w:r>
      <w:r w:rsidRPr="0012556A">
        <w:tab/>
        <w:t>Assistance to Regional Groups</w:t>
      </w:r>
      <w:bookmarkEnd w:id="159"/>
    </w:p>
    <w:p w14:paraId="2461EFFE" w14:textId="796A27A9" w:rsidR="00C74DA0" w:rsidRPr="0012556A" w:rsidRDefault="00C74DA0" w:rsidP="00C74DA0">
      <w:pPr>
        <w:rPr>
          <w:rFonts w:cstheme="minorHAnsi"/>
        </w:rPr>
      </w:pPr>
      <w:r w:rsidRPr="0012556A">
        <w:t>In 2021</w:t>
      </w:r>
      <w:r w:rsidR="00C93526">
        <w:t>-</w:t>
      </w:r>
      <w:r w:rsidRPr="0012556A">
        <w:t>2022</w:t>
      </w:r>
      <w:r w:rsidR="00C93526">
        <w:t>,</w:t>
      </w:r>
      <w:r w:rsidRPr="0012556A">
        <w:t xml:space="preserve"> BR thoroughly analysed and </w:t>
      </w:r>
      <w:r w:rsidRPr="0012556A">
        <w:rPr>
          <w:rFonts w:cstheme="minorHAnsi"/>
        </w:rPr>
        <w:t>proposed relevant modifications to a series of spectrum related documents and recommendations developed by the African Telecommunication Union</w:t>
      </w:r>
      <w:r w:rsidR="005C211D" w:rsidRPr="0012556A">
        <w:rPr>
          <w:rFonts w:cstheme="minorHAnsi"/>
        </w:rPr>
        <w:t xml:space="preserve"> (ATU)</w:t>
      </w:r>
      <w:r w:rsidRPr="0012556A">
        <w:rPr>
          <w:rFonts w:cstheme="minorHAnsi"/>
        </w:rPr>
        <w:t xml:space="preserve">, such as </w:t>
      </w:r>
      <w:r w:rsidRPr="0012556A">
        <w:rPr>
          <w:rFonts w:cstheme="minorHAnsi"/>
          <w:lang w:val="en-US"/>
        </w:rPr>
        <w:t xml:space="preserve">African Spectrum Allocation, ATU-R </w:t>
      </w:r>
      <w:r w:rsidRPr="0012556A">
        <w:rPr>
          <w:rFonts w:cstheme="minorHAnsi"/>
        </w:rPr>
        <w:t>recommendations on 5G implementation in Africa, state of Digital Sound Broadcasting in Africa, Spectrum Management Recommendations (on licensing, spectrum management, spectrum evolution), etc.</w:t>
      </w:r>
    </w:p>
    <w:p w14:paraId="5C40B445" w14:textId="77777777" w:rsidR="00C74DA0" w:rsidRPr="0012556A" w:rsidRDefault="00C74DA0" w:rsidP="00C74DA0">
      <w:pPr>
        <w:rPr>
          <w:lang w:val="en-US"/>
        </w:rPr>
      </w:pPr>
      <w:r w:rsidRPr="0012556A">
        <w:rPr>
          <w:rFonts w:cstheme="minorHAnsi"/>
        </w:rPr>
        <w:t xml:space="preserve">The Bureau actively participated in various activities in the framework of </w:t>
      </w:r>
      <w:r w:rsidRPr="0012556A">
        <w:rPr>
          <w:lang w:val="en-US"/>
        </w:rPr>
        <w:t xml:space="preserve">in the Policy and Regulation Initiative for Digital Africa “PRIDA” of the African Union, the European Union and the ITU. </w:t>
      </w:r>
      <w:proofErr w:type="spellStart"/>
      <w:r w:rsidRPr="0012556A">
        <w:rPr>
          <w:lang w:val="en-US"/>
        </w:rPr>
        <w:t>Amongs</w:t>
      </w:r>
      <w:proofErr w:type="spellEnd"/>
      <w:r w:rsidRPr="0012556A">
        <w:rPr>
          <w:lang w:val="en-US"/>
        </w:rPr>
        <w:t xml:space="preserve"> those activities are:</w:t>
      </w:r>
    </w:p>
    <w:p w14:paraId="3950A278" w14:textId="55CA7BDD" w:rsidR="00C74DA0" w:rsidRPr="0012556A" w:rsidRDefault="00BD6051" w:rsidP="00BD6051">
      <w:pPr>
        <w:pStyle w:val="enumlev1"/>
        <w:rPr>
          <w:rFonts w:cs="Calibri"/>
        </w:rPr>
      </w:pPr>
      <w:r w:rsidRPr="0012556A">
        <w:t>–</w:t>
      </w:r>
      <w:r w:rsidRPr="0012556A">
        <w:tab/>
      </w:r>
      <w:r w:rsidR="00C74DA0" w:rsidRPr="0012556A">
        <w:t>a capacity building workshop on modern spectrum management and the ITU spectrum. management software for developing countries (SMS4DC), May 2020.</w:t>
      </w:r>
    </w:p>
    <w:p w14:paraId="6575A28B" w14:textId="53FEB6A2" w:rsidR="00C74DA0" w:rsidRPr="0012556A" w:rsidRDefault="00BD6051" w:rsidP="00BD6051">
      <w:pPr>
        <w:pStyle w:val="enumlev1"/>
      </w:pPr>
      <w:r w:rsidRPr="0012556A">
        <w:t>–</w:t>
      </w:r>
      <w:r w:rsidRPr="0012556A">
        <w:tab/>
      </w:r>
      <w:r w:rsidR="00C74DA0" w:rsidRPr="0012556A">
        <w:t xml:space="preserve">a capacity building workshop on IoT and digital services, August 2020. </w:t>
      </w:r>
    </w:p>
    <w:p w14:paraId="6CE99D3D" w14:textId="6DB14D86" w:rsidR="00C74DA0" w:rsidRPr="0012556A" w:rsidRDefault="00BD6051" w:rsidP="00BD6051">
      <w:pPr>
        <w:pStyle w:val="enumlev1"/>
      </w:pPr>
      <w:r w:rsidRPr="0012556A">
        <w:t>–</w:t>
      </w:r>
      <w:r w:rsidRPr="0012556A">
        <w:tab/>
      </w:r>
      <w:r w:rsidR="00C74DA0" w:rsidRPr="0012556A">
        <w:t>an online Technical Committee meeting, November 2020.</w:t>
      </w:r>
    </w:p>
    <w:p w14:paraId="594218D5" w14:textId="45F8045E" w:rsidR="00C74DA0" w:rsidRPr="0012556A" w:rsidRDefault="00BD6051" w:rsidP="00BD6051">
      <w:pPr>
        <w:pStyle w:val="enumlev1"/>
      </w:pPr>
      <w:r w:rsidRPr="0012556A">
        <w:t>–</w:t>
      </w:r>
      <w:r w:rsidRPr="0012556A">
        <w:tab/>
      </w:r>
      <w:r w:rsidR="00C74DA0" w:rsidRPr="0012556A">
        <w:t>Online workshop for validation technical reports and guidelines, 9-11 March 2021.</w:t>
      </w:r>
    </w:p>
    <w:p w14:paraId="57BF7DF7" w14:textId="56CC5932" w:rsidR="00C74DA0" w:rsidRPr="0012556A" w:rsidRDefault="00BD6051" w:rsidP="00BD6051">
      <w:pPr>
        <w:pStyle w:val="enumlev1"/>
      </w:pPr>
      <w:r w:rsidRPr="0012556A">
        <w:t>–</w:t>
      </w:r>
      <w:r w:rsidRPr="0012556A">
        <w:tab/>
      </w:r>
      <w:r w:rsidR="00C74DA0" w:rsidRPr="0012556A">
        <w:t>Online workshop on the preparation of the National Frequency Table of Allocations, May 2021.</w:t>
      </w:r>
    </w:p>
    <w:p w14:paraId="68505DB8" w14:textId="7886C534" w:rsidR="00C74DA0" w:rsidRPr="0012556A" w:rsidRDefault="00BD6051" w:rsidP="00BD6051">
      <w:pPr>
        <w:pStyle w:val="enumlev1"/>
      </w:pPr>
      <w:r w:rsidRPr="0012556A">
        <w:t>–</w:t>
      </w:r>
      <w:r w:rsidRPr="0012556A">
        <w:tab/>
      </w:r>
      <w:r w:rsidR="00C74DA0" w:rsidRPr="0012556A">
        <w:t>Online workshop on HCM4A (Harmonized Calculation Method for Africa), November 2021.</w:t>
      </w:r>
    </w:p>
    <w:p w14:paraId="6E2858BF" w14:textId="65484743" w:rsidR="00C74DA0" w:rsidRPr="0012556A" w:rsidRDefault="00BD6051" w:rsidP="00BD6051">
      <w:pPr>
        <w:pStyle w:val="enumlev1"/>
      </w:pPr>
      <w:r w:rsidRPr="0012556A">
        <w:t>–</w:t>
      </w:r>
      <w:r w:rsidRPr="0012556A">
        <w:tab/>
      </w:r>
      <w:r w:rsidR="00C74DA0" w:rsidRPr="0012556A">
        <w:t>Online focal points meeting, October 2021.</w:t>
      </w:r>
    </w:p>
    <w:p w14:paraId="1CE18FB9" w14:textId="6F3FD5C8" w:rsidR="00C74DA0" w:rsidRPr="0012556A" w:rsidRDefault="00BD6051" w:rsidP="00BD6051">
      <w:pPr>
        <w:pStyle w:val="enumlev1"/>
      </w:pPr>
      <w:r w:rsidRPr="0012556A">
        <w:t>–</w:t>
      </w:r>
      <w:r w:rsidRPr="0012556A">
        <w:tab/>
      </w:r>
      <w:r w:rsidR="00C74DA0" w:rsidRPr="0012556A">
        <w:t>Technical Committee meeting, June 2022.</w:t>
      </w:r>
    </w:p>
    <w:p w14:paraId="14537B42" w14:textId="351675FC" w:rsidR="00C74DA0" w:rsidRPr="0012556A" w:rsidRDefault="00BD6051" w:rsidP="00BD6051">
      <w:pPr>
        <w:pStyle w:val="enumlev1"/>
      </w:pPr>
      <w:r w:rsidRPr="0012556A">
        <w:t>–</w:t>
      </w:r>
      <w:r w:rsidRPr="0012556A">
        <w:tab/>
      </w:r>
      <w:r w:rsidR="00C74DA0" w:rsidRPr="0012556A">
        <w:t>Training on aeronautical and maritime communication services, April 2023 (in English).</w:t>
      </w:r>
    </w:p>
    <w:p w14:paraId="61AC5EA7" w14:textId="39B91997" w:rsidR="00C74DA0" w:rsidRPr="0012556A" w:rsidRDefault="00BD6051" w:rsidP="00BD6051">
      <w:pPr>
        <w:pStyle w:val="enumlev1"/>
      </w:pPr>
      <w:r w:rsidRPr="0012556A">
        <w:t>–</w:t>
      </w:r>
      <w:r w:rsidRPr="0012556A">
        <w:tab/>
      </w:r>
      <w:r w:rsidR="00C74DA0" w:rsidRPr="0012556A">
        <w:t>Training on aeronautical and maritime communication services, May 2023 (in French).</w:t>
      </w:r>
    </w:p>
    <w:p w14:paraId="4B8D41E2" w14:textId="7EF9561C" w:rsidR="00B8429A" w:rsidRPr="001666B0" w:rsidRDefault="001666B0" w:rsidP="005C211D">
      <w:pPr>
        <w:pStyle w:val="enumlev1"/>
        <w:ind w:left="0" w:firstLine="0"/>
      </w:pPr>
      <w:r w:rsidRPr="0012556A">
        <w:t xml:space="preserve">The Bureau also </w:t>
      </w:r>
      <w:r w:rsidR="00E56095" w:rsidRPr="0012556A">
        <w:t>participated to several workshops organized by ATU</w:t>
      </w:r>
      <w:r w:rsidR="005C211D" w:rsidRPr="0012556A">
        <w:t xml:space="preserve"> or SADC on the implementation Resolution </w:t>
      </w:r>
      <w:r w:rsidR="005C211D" w:rsidRPr="0012556A">
        <w:rPr>
          <w:b/>
          <w:bCs/>
        </w:rPr>
        <w:t>559 (WRC-19)</w:t>
      </w:r>
      <w:r w:rsidR="005C211D" w:rsidRPr="0012556A">
        <w:t xml:space="preserve"> and other space procedures (see section 2.3.1.2).</w:t>
      </w:r>
    </w:p>
    <w:p w14:paraId="2CB8180B" w14:textId="77777777" w:rsidR="00C74DA0" w:rsidRDefault="00C74DA0" w:rsidP="00C74DA0">
      <w:pPr>
        <w:pStyle w:val="Heading2"/>
      </w:pPr>
      <w:bookmarkStart w:id="160" w:name="_Toc143072463"/>
      <w:r w:rsidRPr="007D1495">
        <w:t>7.3</w:t>
      </w:r>
      <w:r w:rsidRPr="007D1495">
        <w:tab/>
        <w:t>Assistance to other groups of countries</w:t>
      </w:r>
      <w:bookmarkEnd w:id="160"/>
    </w:p>
    <w:p w14:paraId="2D7F1CA3" w14:textId="3E696523" w:rsidR="00C74DA0" w:rsidRPr="0007757C" w:rsidRDefault="00C74DA0" w:rsidP="00BD6051">
      <w:pPr>
        <w:pStyle w:val="Heading3"/>
        <w:rPr>
          <w:lang w:val="en-US"/>
        </w:rPr>
      </w:pPr>
      <w:bookmarkStart w:id="161" w:name="_Toc143072464"/>
      <w:r w:rsidRPr="0007757C">
        <w:t>7.3.1</w:t>
      </w:r>
      <w:r w:rsidRPr="0007757C">
        <w:tab/>
      </w:r>
      <w:r w:rsidRPr="0007757C">
        <w:rPr>
          <w:lang w:val="en-US"/>
        </w:rPr>
        <w:t>Assistance to the administrations of the African Region</w:t>
      </w:r>
      <w:bookmarkEnd w:id="161"/>
    </w:p>
    <w:p w14:paraId="007A6D5D" w14:textId="7AE117C1" w:rsidR="00C74DA0" w:rsidRPr="0007757C" w:rsidRDefault="00C74DA0" w:rsidP="00C74DA0">
      <w:pPr>
        <w:rPr>
          <w:lang w:val="en-US"/>
        </w:rPr>
      </w:pPr>
      <w:r w:rsidRPr="0007757C">
        <w:rPr>
          <w:lang w:val="en-US"/>
        </w:rPr>
        <w:t>In 2019</w:t>
      </w:r>
      <w:r w:rsidR="0007757C">
        <w:rPr>
          <w:lang w:val="en-US"/>
        </w:rPr>
        <w:t>-</w:t>
      </w:r>
      <w:r w:rsidRPr="0007757C">
        <w:rPr>
          <w:lang w:val="en-US"/>
        </w:rPr>
        <w:t>2022</w:t>
      </w:r>
      <w:r w:rsidR="0007757C">
        <w:rPr>
          <w:lang w:val="en-US"/>
        </w:rPr>
        <w:t>,</w:t>
      </w:r>
      <w:r w:rsidRPr="0007757C">
        <w:rPr>
          <w:lang w:val="en-US"/>
        </w:rPr>
        <w:t xml:space="preserve"> the Radiocommunication Bureau, in collaboration with the African Telecommunication Union (ATU), organized and successfully completed the project for the optimization of the GE84 Plan for Africa.</w:t>
      </w:r>
    </w:p>
    <w:p w14:paraId="73C23B95" w14:textId="77777777" w:rsidR="00C74DA0" w:rsidRPr="0007757C" w:rsidRDefault="00C74DA0" w:rsidP="00C74DA0">
      <w:pPr>
        <w:rPr>
          <w:lang w:val="en-US"/>
        </w:rPr>
      </w:pPr>
      <w:r w:rsidRPr="0007757C">
        <w:rPr>
          <w:lang w:val="en-US"/>
        </w:rPr>
        <w:t>The project aimed to achieve an efficient and equitable use of the 87.5-108 MHz (FM) band for analogue sound broadcasting and to identify new frequencies to FM broadcasting for African administrations.</w:t>
      </w:r>
    </w:p>
    <w:p w14:paraId="7D74C92C" w14:textId="77B9701B" w:rsidR="00C74DA0" w:rsidRPr="00EE13EB" w:rsidRDefault="00C74DA0" w:rsidP="00C74DA0">
      <w:pPr>
        <w:rPr>
          <w:lang w:val="en-US"/>
        </w:rPr>
      </w:pPr>
      <w:r w:rsidRPr="0007757C">
        <w:rPr>
          <w:lang w:val="en-US"/>
        </w:rPr>
        <w:t>This assistance was provided through several preparatory workshops and three virtual frequency coordination meetings, taking place between February 2021 and January 2022. It resulted in approximately 85% satisfied frequency requirements, i.e.</w:t>
      </w:r>
      <w:r w:rsidR="0000520D">
        <w:rPr>
          <w:lang w:val="en-US"/>
        </w:rPr>
        <w:t>,</w:t>
      </w:r>
      <w:r w:rsidRPr="0007757C">
        <w:rPr>
          <w:lang w:val="en-US"/>
        </w:rPr>
        <w:t xml:space="preserve"> 18</w:t>
      </w:r>
      <w:r w:rsidR="0000520D">
        <w:rPr>
          <w:lang w:val="en-US"/>
        </w:rPr>
        <w:t> </w:t>
      </w:r>
      <w:r w:rsidRPr="0007757C">
        <w:rPr>
          <w:lang w:val="en-US"/>
        </w:rPr>
        <w:t>326 successfully coordinated FM frequency channels.</w:t>
      </w:r>
    </w:p>
    <w:p w14:paraId="0456A715" w14:textId="68890725" w:rsidR="00C74DA0" w:rsidRPr="0036193B" w:rsidRDefault="00C74DA0" w:rsidP="00C74DA0">
      <w:pPr>
        <w:pStyle w:val="Heading2"/>
        <w:rPr>
          <w:i/>
          <w:iCs/>
        </w:rPr>
      </w:pPr>
      <w:bookmarkStart w:id="162" w:name="_Toc143072465"/>
      <w:r w:rsidRPr="00CB1010">
        <w:t>7.</w:t>
      </w:r>
      <w:r>
        <w:t>4</w:t>
      </w:r>
      <w:r w:rsidRPr="00CB1010">
        <w:tab/>
        <w:t>Treatment of cases of harmful interference</w:t>
      </w:r>
      <w:bookmarkEnd w:id="162"/>
      <w:r>
        <w:t xml:space="preserve"> </w:t>
      </w:r>
    </w:p>
    <w:p w14:paraId="0B547B1E" w14:textId="77777777" w:rsidR="00C74DA0" w:rsidRDefault="00C74DA0" w:rsidP="00C74DA0">
      <w:pPr>
        <w:pStyle w:val="Heading3"/>
      </w:pPr>
      <w:bookmarkStart w:id="163" w:name="_Toc143072466"/>
      <w:r w:rsidRPr="00CB1010">
        <w:t>7.</w:t>
      </w:r>
      <w:r>
        <w:t>4</w:t>
      </w:r>
      <w:r w:rsidRPr="00CB1010">
        <w:t>.1</w:t>
      </w:r>
      <w:r w:rsidRPr="00CB1010">
        <w:tab/>
        <w:t>General overview</w:t>
      </w:r>
      <w:bookmarkEnd w:id="163"/>
    </w:p>
    <w:p w14:paraId="4303E100" w14:textId="200EBB44" w:rsidR="00C74DA0" w:rsidRPr="00E01EC0" w:rsidRDefault="00C74DA0" w:rsidP="00C74DA0">
      <w:r w:rsidRPr="00E01EC0">
        <w:t xml:space="preserve">In the application of the procedures of Article </w:t>
      </w:r>
      <w:r w:rsidRPr="00E01EC0">
        <w:rPr>
          <w:b/>
        </w:rPr>
        <w:t>15</w:t>
      </w:r>
      <w:r w:rsidRPr="00E01EC0">
        <w:t xml:space="preserve"> of the Radio Regulations, the Bureau has treated all reports of harmful interference as a matter of urgency, particularly where safety services were involved. Each reported case is normally handled by the Bureau within 48 hours from its receipt. Some cases were reported to the RRB, as requested by administrations whose services suffered interference. For some cases, the Bureau received declaration, from affected administrations, claiming the cases were closed. Table 7.4.1</w:t>
      </w:r>
      <w:r w:rsidRPr="00E01EC0">
        <w:noBreakHyphen/>
        <w:t>1 summarizes statistical information regarding terrestrial systems and Table 7.4.1-2 with respect to cases affecting space services.</w:t>
      </w:r>
    </w:p>
    <w:p w14:paraId="06DB9233" w14:textId="77777777" w:rsidR="00C74DA0" w:rsidRPr="0036193B" w:rsidRDefault="00C74DA0" w:rsidP="00C74DA0">
      <w:pPr>
        <w:pStyle w:val="TableNo"/>
      </w:pPr>
      <w:r w:rsidRPr="0036193B">
        <w:t>Table 7.4.1-1</w:t>
      </w:r>
    </w:p>
    <w:p w14:paraId="30844FCC" w14:textId="77777777" w:rsidR="00C74DA0" w:rsidRPr="0036193B" w:rsidRDefault="00C74DA0" w:rsidP="00C74DA0">
      <w:pPr>
        <w:pStyle w:val="Tabletitle"/>
        <w:rPr>
          <w:lang w:val="en-US"/>
        </w:rPr>
      </w:pPr>
      <w:r w:rsidRPr="0036193B">
        <w:rPr>
          <w:lang w:val="en-US"/>
        </w:rPr>
        <w:t xml:space="preserve">Statistical information regarding the treatment of cases of harmful interference affecting terrestrial </w:t>
      </w:r>
      <w:proofErr w:type="gramStart"/>
      <w:r w:rsidRPr="0036193B">
        <w:rPr>
          <w:lang w:val="en-US"/>
        </w:rPr>
        <w:t>services</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8"/>
        <w:gridCol w:w="1134"/>
        <w:gridCol w:w="1134"/>
        <w:gridCol w:w="1134"/>
        <w:gridCol w:w="1134"/>
        <w:gridCol w:w="1134"/>
      </w:tblGrid>
      <w:tr w:rsidR="00C74DA0" w:rsidRPr="0036193B" w14:paraId="18A9622D" w14:textId="77777777">
        <w:trPr>
          <w:cantSplit/>
          <w:jc w:val="center"/>
        </w:trPr>
        <w:tc>
          <w:tcPr>
            <w:tcW w:w="0" w:type="auto"/>
            <w:tcBorders>
              <w:top w:val="nil"/>
              <w:left w:val="nil"/>
              <w:bottom w:val="single" w:sz="4" w:space="0" w:color="auto"/>
              <w:right w:val="single" w:sz="4" w:space="0" w:color="auto"/>
            </w:tcBorders>
          </w:tcPr>
          <w:p w14:paraId="5EF61176" w14:textId="77777777" w:rsidR="00C74DA0" w:rsidRPr="0036193B" w:rsidRDefault="00C74DA0">
            <w:pPr>
              <w:pStyle w:val="Tablehead"/>
              <w:rPr>
                <w:lang w:val="en-US"/>
              </w:rPr>
            </w:pPr>
          </w:p>
        </w:tc>
        <w:tc>
          <w:tcPr>
            <w:tcW w:w="1134" w:type="dxa"/>
            <w:tcBorders>
              <w:top w:val="single" w:sz="4" w:space="0" w:color="auto"/>
              <w:bottom w:val="single" w:sz="4" w:space="0" w:color="auto"/>
            </w:tcBorders>
          </w:tcPr>
          <w:p w14:paraId="2108B93B" w14:textId="77777777" w:rsidR="00C74DA0" w:rsidRPr="0036193B" w:rsidRDefault="00C74DA0">
            <w:pPr>
              <w:pStyle w:val="Tablehead"/>
            </w:pPr>
            <w:r w:rsidRPr="0036193B">
              <w:t>2019</w:t>
            </w:r>
          </w:p>
        </w:tc>
        <w:tc>
          <w:tcPr>
            <w:tcW w:w="1134" w:type="dxa"/>
            <w:tcBorders>
              <w:top w:val="single" w:sz="4" w:space="0" w:color="auto"/>
              <w:bottom w:val="single" w:sz="4" w:space="0" w:color="auto"/>
            </w:tcBorders>
          </w:tcPr>
          <w:p w14:paraId="66B6CC58" w14:textId="77777777" w:rsidR="00C74DA0" w:rsidRPr="0036193B" w:rsidRDefault="00C74DA0">
            <w:pPr>
              <w:pStyle w:val="Tablehead"/>
            </w:pPr>
            <w:r w:rsidRPr="0036193B">
              <w:t>2020</w:t>
            </w:r>
          </w:p>
        </w:tc>
        <w:tc>
          <w:tcPr>
            <w:tcW w:w="1134" w:type="dxa"/>
            <w:tcBorders>
              <w:top w:val="single" w:sz="4" w:space="0" w:color="auto"/>
              <w:bottom w:val="single" w:sz="4" w:space="0" w:color="auto"/>
              <w:right w:val="single" w:sz="4" w:space="0" w:color="auto"/>
            </w:tcBorders>
          </w:tcPr>
          <w:p w14:paraId="0DCA49DA" w14:textId="77777777" w:rsidR="00C74DA0" w:rsidRPr="0036193B" w:rsidRDefault="00C74DA0">
            <w:pPr>
              <w:pStyle w:val="Tablehead"/>
            </w:pPr>
            <w:r w:rsidRPr="0036193B">
              <w:t>2021</w:t>
            </w:r>
          </w:p>
        </w:tc>
        <w:tc>
          <w:tcPr>
            <w:tcW w:w="1134" w:type="dxa"/>
            <w:tcBorders>
              <w:top w:val="single" w:sz="4" w:space="0" w:color="auto"/>
              <w:bottom w:val="single" w:sz="4" w:space="0" w:color="auto"/>
            </w:tcBorders>
          </w:tcPr>
          <w:p w14:paraId="247FE9AB" w14:textId="77777777" w:rsidR="00C74DA0" w:rsidRPr="0036193B" w:rsidRDefault="00C74DA0">
            <w:pPr>
              <w:pStyle w:val="Tablehead"/>
            </w:pPr>
            <w:r w:rsidRPr="0036193B">
              <w:t>2022</w:t>
            </w:r>
          </w:p>
        </w:tc>
        <w:tc>
          <w:tcPr>
            <w:tcW w:w="1134" w:type="dxa"/>
            <w:tcBorders>
              <w:top w:val="single" w:sz="4" w:space="0" w:color="auto"/>
              <w:bottom w:val="single" w:sz="4" w:space="0" w:color="auto"/>
              <w:right w:val="single" w:sz="4" w:space="0" w:color="auto"/>
            </w:tcBorders>
          </w:tcPr>
          <w:p w14:paraId="5A3404CF" w14:textId="77777777" w:rsidR="00C74DA0" w:rsidRPr="0036193B" w:rsidDel="00BD3B26" w:rsidRDefault="00C74DA0">
            <w:pPr>
              <w:pStyle w:val="Tablehead"/>
            </w:pPr>
            <w:r w:rsidRPr="0036193B">
              <w:t xml:space="preserve">2023 </w:t>
            </w:r>
            <w:r w:rsidRPr="0036193B">
              <w:rPr>
                <w:b w:val="0"/>
                <w:bCs/>
              </w:rPr>
              <w:t>(till 30.06)</w:t>
            </w:r>
          </w:p>
        </w:tc>
      </w:tr>
      <w:tr w:rsidR="00C74DA0" w:rsidRPr="0036193B" w14:paraId="79D285B1" w14:textId="77777777">
        <w:trPr>
          <w:cantSplit/>
          <w:jc w:val="center"/>
        </w:trPr>
        <w:tc>
          <w:tcPr>
            <w:tcW w:w="0" w:type="auto"/>
            <w:tcBorders>
              <w:top w:val="single" w:sz="4" w:space="0" w:color="auto"/>
              <w:left w:val="single" w:sz="4" w:space="0" w:color="auto"/>
            </w:tcBorders>
          </w:tcPr>
          <w:p w14:paraId="35281E2F" w14:textId="77777777" w:rsidR="00C74DA0" w:rsidRPr="0036193B" w:rsidRDefault="00C74DA0">
            <w:pPr>
              <w:pStyle w:val="Tabletext"/>
              <w:rPr>
                <w:lang w:val="en-US"/>
              </w:rPr>
            </w:pPr>
            <w:r w:rsidRPr="0036193B">
              <w:rPr>
                <w:lang w:val="en-US"/>
              </w:rPr>
              <w:t xml:space="preserve">Cases submitted for BR information </w:t>
            </w:r>
          </w:p>
        </w:tc>
        <w:tc>
          <w:tcPr>
            <w:tcW w:w="1134" w:type="dxa"/>
            <w:tcBorders>
              <w:top w:val="single" w:sz="4" w:space="0" w:color="auto"/>
            </w:tcBorders>
            <w:vAlign w:val="center"/>
          </w:tcPr>
          <w:p w14:paraId="5F1AAFA3" w14:textId="77777777" w:rsidR="00C74DA0" w:rsidRPr="0036193B" w:rsidRDefault="00C74DA0">
            <w:pPr>
              <w:pStyle w:val="Tabletext"/>
              <w:jc w:val="center"/>
              <w:rPr>
                <w:lang w:val="en-US"/>
              </w:rPr>
            </w:pPr>
            <w:r w:rsidRPr="0036193B">
              <w:rPr>
                <w:lang w:val="en-US"/>
              </w:rPr>
              <w:t>41</w:t>
            </w:r>
          </w:p>
        </w:tc>
        <w:tc>
          <w:tcPr>
            <w:tcW w:w="1134" w:type="dxa"/>
            <w:tcBorders>
              <w:top w:val="single" w:sz="4" w:space="0" w:color="auto"/>
            </w:tcBorders>
            <w:vAlign w:val="center"/>
          </w:tcPr>
          <w:p w14:paraId="1DD0F3C2" w14:textId="77777777" w:rsidR="00C74DA0" w:rsidRPr="0036193B" w:rsidRDefault="00C74DA0">
            <w:pPr>
              <w:pStyle w:val="Tabletext"/>
              <w:jc w:val="center"/>
              <w:rPr>
                <w:lang w:val="en-US"/>
              </w:rPr>
            </w:pPr>
            <w:r w:rsidRPr="0036193B">
              <w:rPr>
                <w:lang w:val="en-US"/>
              </w:rPr>
              <w:t>46</w:t>
            </w:r>
          </w:p>
        </w:tc>
        <w:tc>
          <w:tcPr>
            <w:tcW w:w="1134" w:type="dxa"/>
            <w:tcBorders>
              <w:top w:val="single" w:sz="4" w:space="0" w:color="auto"/>
              <w:right w:val="single" w:sz="4" w:space="0" w:color="auto"/>
            </w:tcBorders>
            <w:vAlign w:val="center"/>
          </w:tcPr>
          <w:p w14:paraId="74241065" w14:textId="77777777" w:rsidR="00C74DA0" w:rsidRPr="0036193B" w:rsidRDefault="00C74DA0">
            <w:pPr>
              <w:pStyle w:val="Tabletext"/>
              <w:jc w:val="center"/>
              <w:rPr>
                <w:lang w:val="en-US"/>
              </w:rPr>
            </w:pPr>
            <w:r w:rsidRPr="0036193B">
              <w:rPr>
                <w:lang w:val="en-US"/>
              </w:rPr>
              <w:t>37</w:t>
            </w:r>
          </w:p>
        </w:tc>
        <w:tc>
          <w:tcPr>
            <w:tcW w:w="1134" w:type="dxa"/>
            <w:tcBorders>
              <w:top w:val="single" w:sz="4" w:space="0" w:color="auto"/>
            </w:tcBorders>
          </w:tcPr>
          <w:p w14:paraId="2695F85E" w14:textId="77777777" w:rsidR="00C74DA0" w:rsidRPr="0036193B" w:rsidRDefault="00C74DA0">
            <w:pPr>
              <w:pStyle w:val="Tabletext"/>
              <w:jc w:val="center"/>
              <w:rPr>
                <w:lang w:val="en-US"/>
              </w:rPr>
            </w:pPr>
            <w:r w:rsidRPr="0036193B">
              <w:rPr>
                <w:lang w:val="en-US"/>
              </w:rPr>
              <w:t>32</w:t>
            </w:r>
          </w:p>
        </w:tc>
        <w:tc>
          <w:tcPr>
            <w:tcW w:w="1134" w:type="dxa"/>
            <w:tcBorders>
              <w:top w:val="single" w:sz="4" w:space="0" w:color="auto"/>
              <w:right w:val="single" w:sz="4" w:space="0" w:color="auto"/>
            </w:tcBorders>
            <w:vAlign w:val="center"/>
          </w:tcPr>
          <w:p w14:paraId="6265E36C" w14:textId="77777777" w:rsidR="00C74DA0" w:rsidRPr="0036193B" w:rsidRDefault="00C74DA0">
            <w:pPr>
              <w:pStyle w:val="Tabletext"/>
              <w:jc w:val="center"/>
              <w:rPr>
                <w:lang w:val="en-US"/>
              </w:rPr>
            </w:pPr>
            <w:r w:rsidRPr="0036193B">
              <w:rPr>
                <w:lang w:val="en-US"/>
              </w:rPr>
              <w:t>42</w:t>
            </w:r>
          </w:p>
        </w:tc>
      </w:tr>
      <w:tr w:rsidR="00C74DA0" w:rsidRPr="00CB1010" w14:paraId="283E37D9" w14:textId="77777777">
        <w:trPr>
          <w:cantSplit/>
          <w:jc w:val="center"/>
        </w:trPr>
        <w:tc>
          <w:tcPr>
            <w:tcW w:w="0" w:type="auto"/>
            <w:tcBorders>
              <w:left w:val="single" w:sz="4" w:space="0" w:color="auto"/>
              <w:bottom w:val="single" w:sz="4" w:space="0" w:color="auto"/>
            </w:tcBorders>
          </w:tcPr>
          <w:p w14:paraId="1C5FC0E1" w14:textId="77777777" w:rsidR="00C74DA0" w:rsidRPr="0036193B" w:rsidRDefault="00C74DA0">
            <w:pPr>
              <w:pStyle w:val="Tabletext"/>
              <w:rPr>
                <w:lang w:val="en-US"/>
              </w:rPr>
            </w:pPr>
            <w:r w:rsidRPr="0036193B">
              <w:rPr>
                <w:lang w:val="en-US"/>
              </w:rPr>
              <w:t>Cases of assistance to administrations</w:t>
            </w:r>
          </w:p>
        </w:tc>
        <w:tc>
          <w:tcPr>
            <w:tcW w:w="1134" w:type="dxa"/>
            <w:tcBorders>
              <w:bottom w:val="single" w:sz="4" w:space="0" w:color="auto"/>
            </w:tcBorders>
            <w:vAlign w:val="center"/>
          </w:tcPr>
          <w:p w14:paraId="207728AB" w14:textId="77777777" w:rsidR="00C74DA0" w:rsidRPr="0036193B" w:rsidRDefault="00C74DA0">
            <w:pPr>
              <w:pStyle w:val="Tabletext"/>
              <w:jc w:val="center"/>
              <w:rPr>
                <w:lang w:val="en-US"/>
              </w:rPr>
            </w:pPr>
            <w:r w:rsidRPr="0036193B">
              <w:rPr>
                <w:lang w:val="en-US"/>
              </w:rPr>
              <w:t>27</w:t>
            </w:r>
          </w:p>
        </w:tc>
        <w:tc>
          <w:tcPr>
            <w:tcW w:w="1134" w:type="dxa"/>
            <w:tcBorders>
              <w:bottom w:val="single" w:sz="4" w:space="0" w:color="auto"/>
            </w:tcBorders>
            <w:vAlign w:val="center"/>
          </w:tcPr>
          <w:p w14:paraId="165FF30D" w14:textId="77777777" w:rsidR="00C74DA0" w:rsidRPr="0036193B" w:rsidRDefault="00C74DA0">
            <w:pPr>
              <w:pStyle w:val="Tabletext"/>
              <w:jc w:val="center"/>
              <w:rPr>
                <w:lang w:val="en-US"/>
              </w:rPr>
            </w:pPr>
            <w:r w:rsidRPr="0036193B">
              <w:rPr>
                <w:lang w:val="en-US"/>
              </w:rPr>
              <w:t>20</w:t>
            </w:r>
          </w:p>
        </w:tc>
        <w:tc>
          <w:tcPr>
            <w:tcW w:w="1134" w:type="dxa"/>
            <w:tcBorders>
              <w:bottom w:val="single" w:sz="4" w:space="0" w:color="auto"/>
              <w:right w:val="single" w:sz="4" w:space="0" w:color="auto"/>
            </w:tcBorders>
            <w:vAlign w:val="center"/>
          </w:tcPr>
          <w:p w14:paraId="79FC05C6" w14:textId="77777777" w:rsidR="00C74DA0" w:rsidRPr="0036193B" w:rsidRDefault="00C74DA0">
            <w:pPr>
              <w:pStyle w:val="Tabletext"/>
              <w:jc w:val="center"/>
              <w:rPr>
                <w:lang w:val="en-US"/>
              </w:rPr>
            </w:pPr>
            <w:r w:rsidRPr="0036193B">
              <w:rPr>
                <w:lang w:val="en-US"/>
              </w:rPr>
              <w:t>16</w:t>
            </w:r>
          </w:p>
        </w:tc>
        <w:tc>
          <w:tcPr>
            <w:tcW w:w="1134" w:type="dxa"/>
            <w:tcBorders>
              <w:bottom w:val="single" w:sz="4" w:space="0" w:color="auto"/>
            </w:tcBorders>
          </w:tcPr>
          <w:p w14:paraId="547664C8" w14:textId="77777777" w:rsidR="00C74DA0" w:rsidRPr="0036193B" w:rsidRDefault="00C74DA0">
            <w:pPr>
              <w:pStyle w:val="Tabletext"/>
              <w:jc w:val="center"/>
              <w:rPr>
                <w:lang w:val="en-US"/>
              </w:rPr>
            </w:pPr>
            <w:r w:rsidRPr="0036193B">
              <w:rPr>
                <w:lang w:val="en-US"/>
              </w:rPr>
              <w:t>17</w:t>
            </w:r>
          </w:p>
        </w:tc>
        <w:tc>
          <w:tcPr>
            <w:tcW w:w="1134" w:type="dxa"/>
            <w:tcBorders>
              <w:bottom w:val="single" w:sz="4" w:space="0" w:color="auto"/>
              <w:right w:val="single" w:sz="4" w:space="0" w:color="auto"/>
            </w:tcBorders>
            <w:vAlign w:val="center"/>
          </w:tcPr>
          <w:p w14:paraId="5D051D34" w14:textId="77777777" w:rsidR="00C74DA0" w:rsidRPr="00EE13EB" w:rsidRDefault="00C74DA0">
            <w:pPr>
              <w:pStyle w:val="Tabletext"/>
              <w:jc w:val="center"/>
              <w:rPr>
                <w:lang w:val="en-US"/>
              </w:rPr>
            </w:pPr>
            <w:r w:rsidRPr="0036193B">
              <w:rPr>
                <w:lang w:val="en-US"/>
              </w:rPr>
              <w:t>9</w:t>
            </w:r>
          </w:p>
        </w:tc>
      </w:tr>
    </w:tbl>
    <w:p w14:paraId="75F13F25" w14:textId="77777777" w:rsidR="00C74DA0" w:rsidRDefault="00C74DA0" w:rsidP="00BD6051">
      <w:pPr>
        <w:pStyle w:val="Tablefin"/>
      </w:pPr>
    </w:p>
    <w:p w14:paraId="43105AF0" w14:textId="77777777" w:rsidR="00C74DA0" w:rsidRPr="00E01EC0" w:rsidRDefault="00C74DA0" w:rsidP="00C74DA0">
      <w:pPr>
        <w:pStyle w:val="Tabletitle"/>
      </w:pPr>
      <w:r w:rsidRPr="00E01EC0">
        <w:t xml:space="preserve">Statistical information regarding the treatment of cases of harmful interference affecting space </w:t>
      </w:r>
      <w:proofErr w:type="gramStart"/>
      <w:r w:rsidRPr="00E01EC0">
        <w:t>services</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47"/>
        <w:gridCol w:w="1134"/>
        <w:gridCol w:w="1134"/>
        <w:gridCol w:w="1134"/>
        <w:gridCol w:w="1134"/>
      </w:tblGrid>
      <w:tr w:rsidR="00C74DA0" w:rsidRPr="00E01EC0" w14:paraId="17BB7DBD" w14:textId="77777777">
        <w:trPr>
          <w:cantSplit/>
          <w:jc w:val="center"/>
        </w:trPr>
        <w:tc>
          <w:tcPr>
            <w:tcW w:w="4447" w:type="dxa"/>
            <w:tcBorders>
              <w:top w:val="nil"/>
              <w:left w:val="nil"/>
              <w:bottom w:val="single" w:sz="4" w:space="0" w:color="auto"/>
              <w:right w:val="single" w:sz="4" w:space="0" w:color="auto"/>
            </w:tcBorders>
          </w:tcPr>
          <w:p w14:paraId="657D83A0" w14:textId="77777777" w:rsidR="00C74DA0" w:rsidRPr="00E01EC0" w:rsidRDefault="00C74DA0"/>
        </w:tc>
        <w:tc>
          <w:tcPr>
            <w:tcW w:w="1134" w:type="dxa"/>
            <w:tcBorders>
              <w:top w:val="single" w:sz="4" w:space="0" w:color="auto"/>
              <w:bottom w:val="single" w:sz="4" w:space="0" w:color="auto"/>
            </w:tcBorders>
            <w:vAlign w:val="center"/>
          </w:tcPr>
          <w:p w14:paraId="1B2F742F" w14:textId="77777777" w:rsidR="00C74DA0" w:rsidRPr="00E01EC0" w:rsidRDefault="00C74DA0">
            <w:pPr>
              <w:spacing w:before="80" w:after="80"/>
              <w:jc w:val="center"/>
              <w:rPr>
                <w:rFonts w:ascii="Times New Roman Bold" w:hAnsi="Times New Roman Bold" w:cs="Times New Roman Bold"/>
                <w:b/>
                <w:sz w:val="20"/>
              </w:rPr>
            </w:pPr>
            <w:r w:rsidRPr="00E01EC0">
              <w:rPr>
                <w:rFonts w:ascii="Times New Roman Bold" w:hAnsi="Times New Roman Bold" w:cs="Times New Roman Bold"/>
                <w:b/>
                <w:sz w:val="20"/>
              </w:rPr>
              <w:t>2020</w:t>
            </w:r>
          </w:p>
        </w:tc>
        <w:tc>
          <w:tcPr>
            <w:tcW w:w="1134" w:type="dxa"/>
            <w:tcBorders>
              <w:top w:val="single" w:sz="4" w:space="0" w:color="auto"/>
              <w:bottom w:val="single" w:sz="4" w:space="0" w:color="auto"/>
              <w:right w:val="single" w:sz="4" w:space="0" w:color="auto"/>
            </w:tcBorders>
            <w:vAlign w:val="center"/>
          </w:tcPr>
          <w:p w14:paraId="0688E780" w14:textId="77777777" w:rsidR="00C74DA0" w:rsidRPr="00E01EC0" w:rsidRDefault="00C74DA0">
            <w:pPr>
              <w:spacing w:before="80" w:after="80"/>
              <w:jc w:val="center"/>
              <w:rPr>
                <w:rFonts w:ascii="Times New Roman Bold" w:hAnsi="Times New Roman Bold" w:cs="Times New Roman Bold"/>
                <w:b/>
                <w:sz w:val="20"/>
              </w:rPr>
            </w:pPr>
            <w:r w:rsidRPr="00E01EC0">
              <w:rPr>
                <w:rFonts w:ascii="Times New Roman Bold" w:hAnsi="Times New Roman Bold" w:cs="Times New Roman Bold"/>
                <w:b/>
                <w:sz w:val="20"/>
              </w:rPr>
              <w:t>2021</w:t>
            </w:r>
          </w:p>
        </w:tc>
        <w:tc>
          <w:tcPr>
            <w:tcW w:w="1134" w:type="dxa"/>
            <w:tcBorders>
              <w:top w:val="single" w:sz="4" w:space="0" w:color="auto"/>
              <w:bottom w:val="single" w:sz="4" w:space="0" w:color="auto"/>
              <w:right w:val="single" w:sz="4" w:space="0" w:color="auto"/>
            </w:tcBorders>
            <w:vAlign w:val="center"/>
          </w:tcPr>
          <w:p w14:paraId="4D25C45C" w14:textId="77777777" w:rsidR="00C74DA0" w:rsidRPr="00E01EC0" w:rsidRDefault="00C74DA0">
            <w:pPr>
              <w:spacing w:before="80" w:after="80"/>
              <w:jc w:val="center"/>
              <w:rPr>
                <w:rFonts w:ascii="Times New Roman Bold" w:hAnsi="Times New Roman Bold" w:cs="Times New Roman Bold"/>
                <w:b/>
                <w:sz w:val="20"/>
              </w:rPr>
            </w:pPr>
            <w:r w:rsidRPr="00E01EC0">
              <w:rPr>
                <w:rFonts w:ascii="Times New Roman Bold" w:hAnsi="Times New Roman Bold" w:cs="Times New Roman Bold"/>
                <w:b/>
                <w:sz w:val="20"/>
              </w:rPr>
              <w:t>2022</w:t>
            </w:r>
          </w:p>
        </w:tc>
        <w:tc>
          <w:tcPr>
            <w:tcW w:w="1134" w:type="dxa"/>
            <w:tcBorders>
              <w:top w:val="single" w:sz="4" w:space="0" w:color="auto"/>
              <w:bottom w:val="single" w:sz="4" w:space="0" w:color="auto"/>
              <w:right w:val="single" w:sz="4" w:space="0" w:color="auto"/>
            </w:tcBorders>
            <w:vAlign w:val="center"/>
          </w:tcPr>
          <w:p w14:paraId="3CEAD35D" w14:textId="77777777" w:rsidR="00C74DA0" w:rsidRPr="00E01EC0" w:rsidDel="00BD3B26" w:rsidRDefault="00C74DA0">
            <w:pPr>
              <w:spacing w:before="80" w:after="80"/>
              <w:jc w:val="center"/>
              <w:rPr>
                <w:rFonts w:ascii="Times New Roman Bold" w:hAnsi="Times New Roman Bold" w:cs="Times New Roman Bold"/>
                <w:b/>
                <w:sz w:val="20"/>
              </w:rPr>
            </w:pPr>
            <w:r w:rsidRPr="00E01EC0">
              <w:rPr>
                <w:rFonts w:ascii="Times New Roman Bold" w:hAnsi="Times New Roman Bold" w:cs="Times New Roman Bold"/>
                <w:b/>
                <w:sz w:val="20"/>
              </w:rPr>
              <w:t>2023 (end of May)</w:t>
            </w:r>
          </w:p>
        </w:tc>
      </w:tr>
      <w:tr w:rsidR="00C74DA0" w:rsidRPr="00E01EC0" w14:paraId="6EF262E6" w14:textId="77777777">
        <w:trPr>
          <w:cantSplit/>
          <w:jc w:val="center"/>
        </w:trPr>
        <w:tc>
          <w:tcPr>
            <w:tcW w:w="4447" w:type="dxa"/>
            <w:tcBorders>
              <w:top w:val="single" w:sz="4" w:space="0" w:color="auto"/>
              <w:left w:val="single" w:sz="4" w:space="0" w:color="auto"/>
            </w:tcBorders>
          </w:tcPr>
          <w:p w14:paraId="0ED3852B" w14:textId="77777777" w:rsidR="00C74DA0" w:rsidRPr="00E01EC0" w:rsidRDefault="00C74DA0">
            <w:pPr>
              <w:pStyle w:val="Tabletext"/>
            </w:pPr>
            <w:r w:rsidRPr="00E01EC0">
              <w:t xml:space="preserve">Cases submitted for BR information </w:t>
            </w:r>
          </w:p>
        </w:tc>
        <w:tc>
          <w:tcPr>
            <w:tcW w:w="1134" w:type="dxa"/>
            <w:tcBorders>
              <w:top w:val="single" w:sz="4" w:space="0" w:color="auto"/>
            </w:tcBorders>
          </w:tcPr>
          <w:p w14:paraId="63A87D5D" w14:textId="77777777" w:rsidR="00C74DA0" w:rsidRPr="00E01EC0" w:rsidRDefault="00C74DA0">
            <w:pPr>
              <w:pStyle w:val="Tabletext"/>
              <w:jc w:val="center"/>
            </w:pPr>
            <w:r w:rsidRPr="00E01EC0">
              <w:t>56</w:t>
            </w:r>
          </w:p>
        </w:tc>
        <w:tc>
          <w:tcPr>
            <w:tcW w:w="1134" w:type="dxa"/>
            <w:tcBorders>
              <w:top w:val="single" w:sz="4" w:space="0" w:color="auto"/>
              <w:right w:val="single" w:sz="4" w:space="0" w:color="auto"/>
            </w:tcBorders>
          </w:tcPr>
          <w:p w14:paraId="51DE4235" w14:textId="77777777" w:rsidR="00C74DA0" w:rsidRPr="00E01EC0" w:rsidRDefault="00C74DA0">
            <w:pPr>
              <w:pStyle w:val="Tabletext"/>
              <w:jc w:val="center"/>
            </w:pPr>
            <w:r w:rsidRPr="00E01EC0">
              <w:t>51</w:t>
            </w:r>
          </w:p>
        </w:tc>
        <w:tc>
          <w:tcPr>
            <w:tcW w:w="1134" w:type="dxa"/>
            <w:tcBorders>
              <w:top w:val="single" w:sz="4" w:space="0" w:color="auto"/>
              <w:right w:val="single" w:sz="4" w:space="0" w:color="auto"/>
            </w:tcBorders>
          </w:tcPr>
          <w:p w14:paraId="569EDAE5" w14:textId="77777777" w:rsidR="00C74DA0" w:rsidRPr="00E01EC0" w:rsidRDefault="00C74DA0">
            <w:pPr>
              <w:pStyle w:val="Tabletext"/>
              <w:jc w:val="center"/>
            </w:pPr>
            <w:r w:rsidRPr="00E01EC0">
              <w:t>30</w:t>
            </w:r>
          </w:p>
        </w:tc>
        <w:tc>
          <w:tcPr>
            <w:tcW w:w="1134" w:type="dxa"/>
            <w:tcBorders>
              <w:top w:val="single" w:sz="4" w:space="0" w:color="auto"/>
              <w:right w:val="single" w:sz="4" w:space="0" w:color="auto"/>
            </w:tcBorders>
          </w:tcPr>
          <w:p w14:paraId="274075C2" w14:textId="77777777" w:rsidR="00C74DA0" w:rsidRPr="00E01EC0" w:rsidRDefault="00C74DA0">
            <w:pPr>
              <w:pStyle w:val="Tabletext"/>
              <w:jc w:val="center"/>
            </w:pPr>
            <w:r w:rsidRPr="00E01EC0">
              <w:t>21</w:t>
            </w:r>
          </w:p>
        </w:tc>
      </w:tr>
      <w:tr w:rsidR="00C74DA0" w:rsidRPr="00E01EC0" w14:paraId="03C31299" w14:textId="77777777">
        <w:trPr>
          <w:cantSplit/>
          <w:jc w:val="center"/>
        </w:trPr>
        <w:tc>
          <w:tcPr>
            <w:tcW w:w="4447" w:type="dxa"/>
            <w:tcBorders>
              <w:left w:val="single" w:sz="4" w:space="0" w:color="auto"/>
              <w:bottom w:val="single" w:sz="4" w:space="0" w:color="auto"/>
            </w:tcBorders>
          </w:tcPr>
          <w:p w14:paraId="63C90012" w14:textId="77777777" w:rsidR="00C74DA0" w:rsidRPr="00E01EC0" w:rsidRDefault="00C74DA0">
            <w:pPr>
              <w:pStyle w:val="Tabletext"/>
            </w:pPr>
            <w:r w:rsidRPr="00E01EC0">
              <w:t>Cases of assistance to administrations</w:t>
            </w:r>
          </w:p>
        </w:tc>
        <w:tc>
          <w:tcPr>
            <w:tcW w:w="1134" w:type="dxa"/>
            <w:tcBorders>
              <w:bottom w:val="single" w:sz="4" w:space="0" w:color="auto"/>
            </w:tcBorders>
          </w:tcPr>
          <w:p w14:paraId="3114AFBF" w14:textId="77777777" w:rsidR="00C74DA0" w:rsidRPr="00E01EC0" w:rsidRDefault="00C74DA0">
            <w:pPr>
              <w:pStyle w:val="Tabletext"/>
              <w:jc w:val="center"/>
            </w:pPr>
            <w:r w:rsidRPr="00E01EC0">
              <w:t>33</w:t>
            </w:r>
          </w:p>
        </w:tc>
        <w:tc>
          <w:tcPr>
            <w:tcW w:w="1134" w:type="dxa"/>
            <w:tcBorders>
              <w:bottom w:val="single" w:sz="4" w:space="0" w:color="auto"/>
              <w:right w:val="single" w:sz="4" w:space="0" w:color="auto"/>
            </w:tcBorders>
          </w:tcPr>
          <w:p w14:paraId="01A6F9DF" w14:textId="77777777" w:rsidR="00C74DA0" w:rsidRPr="00E01EC0" w:rsidRDefault="00C74DA0">
            <w:pPr>
              <w:pStyle w:val="Tabletext"/>
              <w:jc w:val="center"/>
            </w:pPr>
            <w:r w:rsidRPr="00E01EC0">
              <w:t>9</w:t>
            </w:r>
          </w:p>
        </w:tc>
        <w:tc>
          <w:tcPr>
            <w:tcW w:w="1134" w:type="dxa"/>
            <w:tcBorders>
              <w:bottom w:val="single" w:sz="4" w:space="0" w:color="auto"/>
              <w:right w:val="single" w:sz="4" w:space="0" w:color="auto"/>
            </w:tcBorders>
          </w:tcPr>
          <w:p w14:paraId="7DCC9E6C" w14:textId="77777777" w:rsidR="00C74DA0" w:rsidRPr="00E01EC0" w:rsidRDefault="00C74DA0">
            <w:pPr>
              <w:pStyle w:val="Tabletext"/>
              <w:jc w:val="center"/>
            </w:pPr>
            <w:r w:rsidRPr="00E01EC0">
              <w:t>26</w:t>
            </w:r>
          </w:p>
        </w:tc>
        <w:tc>
          <w:tcPr>
            <w:tcW w:w="1134" w:type="dxa"/>
            <w:tcBorders>
              <w:bottom w:val="single" w:sz="4" w:space="0" w:color="auto"/>
              <w:right w:val="single" w:sz="4" w:space="0" w:color="auto"/>
            </w:tcBorders>
          </w:tcPr>
          <w:p w14:paraId="2DE6A134" w14:textId="77777777" w:rsidR="00C74DA0" w:rsidRPr="00E01EC0" w:rsidRDefault="00C74DA0">
            <w:pPr>
              <w:pStyle w:val="Tabletext"/>
              <w:jc w:val="center"/>
            </w:pPr>
            <w:r w:rsidRPr="00E01EC0">
              <w:t>3</w:t>
            </w:r>
          </w:p>
        </w:tc>
      </w:tr>
    </w:tbl>
    <w:p w14:paraId="66C68459" w14:textId="77777777" w:rsidR="00BD6051" w:rsidRDefault="00BD6051" w:rsidP="00BD6051">
      <w:pPr>
        <w:pStyle w:val="Tablefin"/>
      </w:pPr>
    </w:p>
    <w:p w14:paraId="27E689C9" w14:textId="77777777" w:rsidR="00C74DA0" w:rsidRPr="00E01EC0" w:rsidRDefault="00C74DA0" w:rsidP="00C74DA0">
      <w:r w:rsidRPr="00E01EC0">
        <w:t xml:space="preserve">Summary of specific cases of harmful interference affecting space services reported to the Bureau between WRC-19 and WRC-23, consequent </w:t>
      </w:r>
      <w:proofErr w:type="gramStart"/>
      <w:r w:rsidRPr="00E01EC0">
        <w:t>actions</w:t>
      </w:r>
      <w:proofErr w:type="gramEnd"/>
      <w:r w:rsidRPr="00E01EC0">
        <w:t xml:space="preserve"> and suggestions to WRC-23, including the need to address the critical case of interference affecting the RNSS safety service are presented in Part 2 of this Director’s Report to the Conference. </w:t>
      </w:r>
    </w:p>
    <w:p w14:paraId="5240B35E" w14:textId="77777777" w:rsidR="00C74DA0" w:rsidRPr="00E01EC0" w:rsidRDefault="00C74DA0" w:rsidP="00C74DA0">
      <w:pPr>
        <w:pStyle w:val="Heading3"/>
      </w:pPr>
      <w:bookmarkStart w:id="164" w:name="_Toc143072467"/>
      <w:r w:rsidRPr="00E01EC0">
        <w:t>7.4.2</w:t>
      </w:r>
      <w:r w:rsidRPr="00E01EC0">
        <w:tab/>
        <w:t xml:space="preserve">General activities aimed at preventing and mitigating interference affecting space </w:t>
      </w:r>
      <w:proofErr w:type="gramStart"/>
      <w:r w:rsidRPr="00E01EC0">
        <w:t>services</w:t>
      </w:r>
      <w:bookmarkEnd w:id="164"/>
      <w:proofErr w:type="gramEnd"/>
    </w:p>
    <w:p w14:paraId="172E04B4" w14:textId="77777777" w:rsidR="00C74DA0" w:rsidRPr="00E01EC0" w:rsidRDefault="00C74DA0" w:rsidP="00BD6051">
      <w:pPr>
        <w:pStyle w:val="Heading4"/>
      </w:pPr>
      <w:r w:rsidRPr="00E01EC0">
        <w:t>7.4.2.1</w:t>
      </w:r>
      <w:r w:rsidRPr="00E01EC0">
        <w:tab/>
        <w:t>International Monitoring System</w:t>
      </w:r>
    </w:p>
    <w:p w14:paraId="5B7721EA" w14:textId="77777777" w:rsidR="00C74DA0" w:rsidRPr="00E01EC0" w:rsidRDefault="00C74DA0" w:rsidP="00C74DA0">
      <w:r w:rsidRPr="00E01EC0">
        <w:t xml:space="preserve">During this 4-year period, ITU signed Cooperation Agreements for the use of Space Monitoring facilities with the Administrations of Brazil and Oman, extending the system to other regions in addition to previous </w:t>
      </w:r>
      <w:proofErr w:type="spellStart"/>
      <w:r w:rsidRPr="00E01EC0">
        <w:t>MoUs</w:t>
      </w:r>
      <w:proofErr w:type="spellEnd"/>
      <w:r w:rsidRPr="00E01EC0">
        <w:t xml:space="preserve"> signed with Administrations of Belarus, China, Germany, Korea, </w:t>
      </w:r>
      <w:proofErr w:type="gramStart"/>
      <w:r w:rsidRPr="00E01EC0">
        <w:t>Pakistan</w:t>
      </w:r>
      <w:proofErr w:type="gramEnd"/>
      <w:r w:rsidRPr="00E01EC0">
        <w:t xml:space="preserve"> and Vietnam.</w:t>
      </w:r>
    </w:p>
    <w:p w14:paraId="045CF484" w14:textId="77777777" w:rsidR="00C74DA0" w:rsidRPr="00E01EC0" w:rsidRDefault="00C74DA0" w:rsidP="00C74DA0">
      <w:r w:rsidRPr="00E01EC0">
        <w:t xml:space="preserve">These Cooperation Agreements will allow measurements to be performed in relation to cases of harmful interference for which an administration is seeking the assistance of the Bureau under Article </w:t>
      </w:r>
      <w:r w:rsidRPr="00E01EC0">
        <w:rPr>
          <w:b/>
        </w:rPr>
        <w:t>15</w:t>
      </w:r>
      <w:r w:rsidRPr="00E01EC0">
        <w:t xml:space="preserve"> or No. </w:t>
      </w:r>
      <w:r w:rsidRPr="00E01EC0">
        <w:rPr>
          <w:b/>
        </w:rPr>
        <w:t>13.2</w:t>
      </w:r>
      <w:r w:rsidRPr="00E01EC0">
        <w:t xml:space="preserve"> of the Radio Regulations, as well as in cases of reported interference arising from coordination issues (Article </w:t>
      </w:r>
      <w:r w:rsidRPr="0065275D">
        <w:rPr>
          <w:b/>
          <w:bCs/>
        </w:rPr>
        <w:t>11</w:t>
      </w:r>
      <w:r w:rsidRPr="00E01EC0">
        <w:t xml:space="preserve">, No. </w:t>
      </w:r>
      <w:r w:rsidRPr="0065275D">
        <w:rPr>
          <w:b/>
          <w:bCs/>
        </w:rPr>
        <w:t>11.41</w:t>
      </w:r>
      <w:r w:rsidRPr="00E01EC0">
        <w:t>).</w:t>
      </w:r>
    </w:p>
    <w:p w14:paraId="7D1D0BA5" w14:textId="77777777" w:rsidR="00C74DA0" w:rsidRPr="00E01EC0" w:rsidRDefault="00C74DA0" w:rsidP="00C74DA0">
      <w:r w:rsidRPr="00E01EC0">
        <w:t>Within the assistance framework provided by the Bureau in this domain to Administrations affected by harmful interference, two space monitoring facilities were used and effectively contributed to the resolution of cases of harmful interference affecting geostationary satellites since WRC-19.</w:t>
      </w:r>
    </w:p>
    <w:p w14:paraId="5E54B2C6" w14:textId="748E10AC" w:rsidR="00C74DA0" w:rsidRPr="00E01EC0" w:rsidRDefault="00C74DA0" w:rsidP="00C74DA0">
      <w:r w:rsidRPr="00E01EC0">
        <w:t xml:space="preserve">In response to Plenipotentiary Resolution 186 Rev. Bucharest 2022, the Bureau created a new website dedicated to Space Radio Monitoring activities where technical and administrative information, including copy of signed Memoranda of Understandings and details of Space Monitoring Facilities are available to the Membership. The Webpage can be accessed </w:t>
      </w:r>
      <w:hyperlink r:id="rId117" w:history="1">
        <w:r w:rsidRPr="00E01EC0">
          <w:rPr>
            <w:rStyle w:val="Hyperlink"/>
          </w:rPr>
          <w:t>here</w:t>
        </w:r>
        <w:r w:rsidRPr="00AD1C64">
          <w:rPr>
            <w:rStyle w:val="Hyperlink"/>
            <w:color w:val="auto"/>
            <w:u w:val="none"/>
          </w:rPr>
          <w:t>.</w:t>
        </w:r>
      </w:hyperlink>
    </w:p>
    <w:p w14:paraId="725B3D41" w14:textId="77777777" w:rsidR="00C74DA0" w:rsidRPr="00E01EC0" w:rsidRDefault="00C74DA0" w:rsidP="00BD6051">
      <w:pPr>
        <w:pStyle w:val="Heading4"/>
      </w:pPr>
      <w:r w:rsidRPr="00E01EC0">
        <w:t>7.4.2.2</w:t>
      </w:r>
      <w:r w:rsidRPr="00E01EC0">
        <w:tab/>
        <w:t>ITU Satellite Events</w:t>
      </w:r>
    </w:p>
    <w:p w14:paraId="3149D2F6" w14:textId="77777777" w:rsidR="00C74DA0" w:rsidRPr="00E01EC0" w:rsidRDefault="00C74DA0" w:rsidP="00C74DA0">
      <w:r w:rsidRPr="00E01EC0">
        <w:t xml:space="preserve">During the pandemic, ITU organized virtual meetings bringing together regulators, satellite operators, space agencies and the satellite industry to raise awareness of the current radio frequency interference situation, the importance of preventing harmful interference in accordance with the procedures of the Radio Regulations and to disseminate information on latest technologies in space monitoring, interference detection, </w:t>
      </w:r>
      <w:proofErr w:type="gramStart"/>
      <w:r w:rsidRPr="00E01EC0">
        <w:t>geolocation</w:t>
      </w:r>
      <w:proofErr w:type="gramEnd"/>
      <w:r w:rsidRPr="00E01EC0">
        <w:t xml:space="preserve"> and mitigation.</w:t>
      </w:r>
    </w:p>
    <w:p w14:paraId="782EF404" w14:textId="50973537" w:rsidR="00C74DA0" w:rsidRPr="00E01EC0" w:rsidRDefault="00C74DA0" w:rsidP="00C74DA0">
      <w:r w:rsidRPr="00E01EC0">
        <w:t>A series of satellite webinars attended by over 4</w:t>
      </w:r>
      <w:r w:rsidR="0065275D">
        <w:t> </w:t>
      </w:r>
      <w:r w:rsidRPr="00E01EC0">
        <w:t xml:space="preserve">500 participants from 122 countries may be found </w:t>
      </w:r>
      <w:hyperlink r:id="rId118" w:history="1">
        <w:r w:rsidRPr="00E01EC0">
          <w:rPr>
            <w:rStyle w:val="Hyperlink"/>
          </w:rPr>
          <w:t>here</w:t>
        </w:r>
      </w:hyperlink>
      <w:r w:rsidRPr="00E01EC0">
        <w:t>.</w:t>
      </w:r>
    </w:p>
    <w:p w14:paraId="3C5436B0" w14:textId="77777777" w:rsidR="00C74DA0" w:rsidRPr="00E01EC0" w:rsidRDefault="00C74DA0" w:rsidP="00C74DA0">
      <w:r w:rsidRPr="00E01EC0">
        <w:t>ITU regularly participates to the annual International Space Radio Monitoring Meetings (ISRMM) and organized the 21</w:t>
      </w:r>
      <w:r w:rsidRPr="00E01EC0">
        <w:rPr>
          <w:vertAlign w:val="superscript"/>
        </w:rPr>
        <w:t>st</w:t>
      </w:r>
      <w:r w:rsidRPr="00E01EC0">
        <w:t xml:space="preserve"> ISRMM in September 2021. Link to the event and presentations may be found </w:t>
      </w:r>
      <w:hyperlink r:id="rId119" w:history="1">
        <w:r w:rsidRPr="00E01EC0">
          <w:rPr>
            <w:rStyle w:val="Hyperlink"/>
          </w:rPr>
          <w:t>here</w:t>
        </w:r>
        <w:r w:rsidRPr="00AD1C64">
          <w:rPr>
            <w:rStyle w:val="Hyperlink"/>
            <w:color w:val="auto"/>
            <w:u w:val="none"/>
          </w:rPr>
          <w:t>.</w:t>
        </w:r>
      </w:hyperlink>
    </w:p>
    <w:p w14:paraId="05C2D3E2" w14:textId="77777777" w:rsidR="00C74DA0" w:rsidRPr="00E01EC0" w:rsidRDefault="00C74DA0" w:rsidP="00BD6051">
      <w:pPr>
        <w:pStyle w:val="Heading4"/>
      </w:pPr>
      <w:r w:rsidRPr="00E01EC0">
        <w:t>7.4.2.3</w:t>
      </w:r>
      <w:r w:rsidRPr="00E01EC0">
        <w:tab/>
        <w:t>ITU-R Recommendations</w:t>
      </w:r>
    </w:p>
    <w:p w14:paraId="1E4745B1" w14:textId="57D225F8" w:rsidR="00C74DA0" w:rsidRPr="00E01EC0" w:rsidRDefault="00C74DA0" w:rsidP="00C74DA0">
      <w:r w:rsidRPr="00E01EC0">
        <w:t>The Radiocommunications Bureau contributed to the development and adoption of the first international standard to be used for reporting interference to space services:</w:t>
      </w:r>
      <w:r w:rsidR="004B4823">
        <w:t xml:space="preserve"> Recommendation</w:t>
      </w:r>
      <w:r w:rsidRPr="00E01EC0">
        <w:t xml:space="preserve"> </w:t>
      </w:r>
      <w:hyperlink r:id="rId120" w:history="1">
        <w:r w:rsidRPr="00E01EC0">
          <w:rPr>
            <w:rStyle w:val="Hyperlink"/>
          </w:rPr>
          <w:t>ITU</w:t>
        </w:r>
        <w:r w:rsidR="004B4823">
          <w:rPr>
            <w:rStyle w:val="Hyperlink"/>
          </w:rPr>
          <w:noBreakHyphen/>
        </w:r>
        <w:r w:rsidRPr="00E01EC0">
          <w:rPr>
            <w:rStyle w:val="Hyperlink"/>
          </w:rPr>
          <w:t>R SM.2149</w:t>
        </w:r>
      </w:hyperlink>
      <w:r w:rsidRPr="00E01EC0">
        <w:t>.</w:t>
      </w:r>
    </w:p>
    <w:p w14:paraId="2F4960CF" w14:textId="77777777" w:rsidR="00C74DA0" w:rsidRPr="00E01EC0" w:rsidRDefault="00C74DA0" w:rsidP="00C74DA0">
      <w:r w:rsidRPr="00E01EC0">
        <w:t xml:space="preserve">This Recommendation provides guidance on supplementary elements on the use of Appendix </w:t>
      </w:r>
      <w:r w:rsidRPr="00386283">
        <w:rPr>
          <w:b/>
          <w:bCs/>
        </w:rPr>
        <w:t>10</w:t>
      </w:r>
      <w:r w:rsidRPr="00E01EC0">
        <w:t xml:space="preserve"> of the Radio Regulations to convey information related to harmful interference to space radiocommunication services.</w:t>
      </w:r>
    </w:p>
    <w:p w14:paraId="2D139FF2" w14:textId="07B9B7D6" w:rsidR="00C74DA0" w:rsidRPr="00E01EC0" w:rsidRDefault="00C74DA0" w:rsidP="00C74DA0">
      <w:r w:rsidRPr="00E01EC0">
        <w:t xml:space="preserve">In addition, it describes the different possible interfering scenarios, incorporating the space to space and space to earth (non-GSO constellation to GSO associated earth station) to account for possible cases exceeding Article </w:t>
      </w:r>
      <w:r w:rsidRPr="00E01EC0">
        <w:rPr>
          <w:b/>
          <w:bCs/>
        </w:rPr>
        <w:t>22</w:t>
      </w:r>
      <w:r w:rsidRPr="00E01EC0">
        <w:t xml:space="preserve"> </w:t>
      </w:r>
      <w:proofErr w:type="spellStart"/>
      <w:r w:rsidRPr="00E01EC0">
        <w:t>epfd</w:t>
      </w:r>
      <w:proofErr w:type="spellEnd"/>
      <w:r w:rsidRPr="00E01EC0">
        <w:t xml:space="preserve"> limits.</w:t>
      </w:r>
    </w:p>
    <w:p w14:paraId="64EBC9F9" w14:textId="18F8261D" w:rsidR="00C74DA0" w:rsidRDefault="00C74DA0" w:rsidP="00C74DA0">
      <w:r w:rsidRPr="00E01EC0">
        <w:t xml:space="preserve">This ITU-R Recommendation also considered the Satellite Interference Reporting and Resolution System (SIRRS) online application developed by the Bureau as the primary mechanism (as per </w:t>
      </w:r>
      <w:hyperlink r:id="rId121" w:history="1">
        <w:r w:rsidRPr="00E01EC0">
          <w:rPr>
            <w:rStyle w:val="Hyperlink"/>
          </w:rPr>
          <w:t>Circular Letter CR/435</w:t>
        </w:r>
      </w:hyperlink>
      <w:r w:rsidRPr="00E01EC0">
        <w:t>) for formal submissions of reports and subsequent exchanges of information concerning cases of harmful interference affecting space services.</w:t>
      </w:r>
    </w:p>
    <w:p w14:paraId="44B0451A" w14:textId="77777777" w:rsidR="00C74DA0" w:rsidRPr="00D3313E" w:rsidRDefault="00C74DA0" w:rsidP="00C74DA0">
      <w:pPr>
        <w:pStyle w:val="Heading3"/>
      </w:pPr>
      <w:bookmarkStart w:id="165" w:name="_Toc143072468"/>
      <w:r w:rsidRPr="00D3313E">
        <w:t>7.4.</w:t>
      </w:r>
      <w:r>
        <w:t>3</w:t>
      </w:r>
      <w:r w:rsidRPr="00D3313E">
        <w:tab/>
        <w:t>Developments regarding specific cases of harmful interference</w:t>
      </w:r>
      <w:bookmarkEnd w:id="165"/>
    </w:p>
    <w:p w14:paraId="3957C2A6" w14:textId="134015BC" w:rsidR="00C74DA0" w:rsidRPr="0036193B" w:rsidRDefault="00C74DA0" w:rsidP="00C74DA0">
      <w:pPr>
        <w:pStyle w:val="Heading4"/>
      </w:pPr>
      <w:r w:rsidRPr="0036193B">
        <w:t>7.4.3.1</w:t>
      </w:r>
      <w:r w:rsidRPr="0036193B">
        <w:tab/>
        <w:t xml:space="preserve">Harmful interference caused by Italy to the broadcasting services (sound and television) of its neighbouring </w:t>
      </w:r>
      <w:proofErr w:type="gramStart"/>
      <w:r w:rsidRPr="0036193B">
        <w:t>countries</w:t>
      </w:r>
      <w:proofErr w:type="gramEnd"/>
    </w:p>
    <w:p w14:paraId="76D329BA" w14:textId="1C8E765C" w:rsidR="00C74DA0" w:rsidRPr="0036193B" w:rsidRDefault="00C74DA0" w:rsidP="00C74DA0">
      <w:pPr>
        <w:rPr>
          <w:lang w:val="en-US"/>
        </w:rPr>
      </w:pPr>
      <w:bookmarkStart w:id="166" w:name="_Toc418163382"/>
      <w:bookmarkStart w:id="167" w:name="_Toc418232300"/>
      <w:r w:rsidRPr="0036193B">
        <w:rPr>
          <w:lang w:val="en-US"/>
        </w:rPr>
        <w:t xml:space="preserve">After considerable efforts undertaken by the Administration of Italy Interference caused to Digital Television stations to </w:t>
      </w:r>
      <w:proofErr w:type="spellStart"/>
      <w:r w:rsidRPr="0036193B">
        <w:rPr>
          <w:lang w:val="en-US"/>
        </w:rPr>
        <w:t>neighbouring</w:t>
      </w:r>
      <w:proofErr w:type="spellEnd"/>
      <w:r w:rsidRPr="0036193B">
        <w:rPr>
          <w:lang w:val="en-US"/>
        </w:rPr>
        <w:t xml:space="preserve"> countries is considered as resolved.</w:t>
      </w:r>
    </w:p>
    <w:p w14:paraId="1DF4B318" w14:textId="205F6F95" w:rsidR="00C74DA0" w:rsidRPr="0036193B" w:rsidRDefault="00C74DA0" w:rsidP="00C74DA0">
      <w:pPr>
        <w:rPr>
          <w:lang w:val="en-US"/>
        </w:rPr>
      </w:pPr>
      <w:r w:rsidRPr="0036193B">
        <w:rPr>
          <w:lang w:val="en-US"/>
        </w:rPr>
        <w:t xml:space="preserve">With respect to FM and DAB sound broadcasting, the BR continues to monitor the cases of harmful interference caused by Italian sound broadcasting stations to its </w:t>
      </w:r>
      <w:proofErr w:type="spellStart"/>
      <w:r w:rsidRPr="0036193B">
        <w:rPr>
          <w:lang w:val="en-US"/>
        </w:rPr>
        <w:t>neighbouring</w:t>
      </w:r>
      <w:proofErr w:type="spellEnd"/>
      <w:r w:rsidRPr="0036193B">
        <w:rPr>
          <w:lang w:val="en-US"/>
        </w:rPr>
        <w:t xml:space="preserve"> countries and reports on the evolution of such cases to every RRB meeting.</w:t>
      </w:r>
    </w:p>
    <w:p w14:paraId="4F875032" w14:textId="38E62A0E" w:rsidR="00C74DA0" w:rsidRPr="0036193B" w:rsidRDefault="00C74DA0" w:rsidP="00C74DA0">
      <w:pPr>
        <w:rPr>
          <w:lang w:val="en-US"/>
        </w:rPr>
      </w:pPr>
      <w:r w:rsidRPr="0036193B">
        <w:rPr>
          <w:lang w:val="en-US"/>
        </w:rPr>
        <w:t xml:space="preserve">Upon the requests of the RRB, the Bureau participated in multilateral meetings between Italy and its </w:t>
      </w:r>
      <w:proofErr w:type="spellStart"/>
      <w:r w:rsidRPr="0036193B">
        <w:rPr>
          <w:lang w:val="en-US"/>
        </w:rPr>
        <w:t>neighbouring</w:t>
      </w:r>
      <w:proofErr w:type="spellEnd"/>
      <w:r w:rsidRPr="0036193B">
        <w:rPr>
          <w:lang w:val="en-US"/>
        </w:rPr>
        <w:t xml:space="preserve"> administrations. Since WRC-19, such meetings took place virtually in June 2021 and June 2022, and a hybrid format in June 2023. The meetings evaluated the situation and discussed possibilities to resolve the harmful interference caused by Italian VHF sound broadcasting stations to its </w:t>
      </w:r>
      <w:proofErr w:type="spellStart"/>
      <w:r w:rsidRPr="0036193B">
        <w:rPr>
          <w:lang w:val="en-US"/>
        </w:rPr>
        <w:t>neighbouring</w:t>
      </w:r>
      <w:proofErr w:type="spellEnd"/>
      <w:r w:rsidRPr="0036193B">
        <w:rPr>
          <w:lang w:val="en-US"/>
        </w:rPr>
        <w:t xml:space="preserve"> countries.</w:t>
      </w:r>
    </w:p>
    <w:p w14:paraId="151C7C03" w14:textId="70E84050" w:rsidR="00C74DA0" w:rsidRPr="0036193B" w:rsidRDefault="00C74DA0" w:rsidP="00C74DA0">
      <w:pPr>
        <w:rPr>
          <w:lang w:eastAsia="zh-CN"/>
        </w:rPr>
      </w:pPr>
      <w:r w:rsidRPr="0036193B">
        <w:rPr>
          <w:lang w:val="en-US"/>
        </w:rPr>
        <w:t xml:space="preserve">Concerning FM sound broadcasting, some administrations reported little improvement while others have observed no changes. This issue still seems to take significant time to be definitively settled. </w:t>
      </w:r>
      <w:r w:rsidRPr="0036193B">
        <w:rPr>
          <w:lang w:eastAsia="zh-CN"/>
        </w:rPr>
        <w:t>Italy informed about the recent adopted law and the establishment of a working group (WG) to study the FM situation and propose solutions.</w:t>
      </w:r>
    </w:p>
    <w:p w14:paraId="00CE3D82" w14:textId="77777777" w:rsidR="00C74DA0" w:rsidRPr="0036193B" w:rsidRDefault="00C74DA0" w:rsidP="00C74DA0">
      <w:pPr>
        <w:rPr>
          <w:lang w:val="en-US"/>
        </w:rPr>
      </w:pPr>
      <w:r w:rsidRPr="0036193B">
        <w:rPr>
          <w:lang w:eastAsia="zh-CN"/>
        </w:rPr>
        <w:t>One implemented solution by the WG is the FM switch-off of single transmitters or networks and transition to DAB in exchange of points in the ranking for the DAB use attribution (license). Italy launched a call of interest in 4 regions (Sardinia, Lazio, Emilia Romagna, Marche) to register the broadcasters willing to release the FM frequencies on a voluntary basis according to the proposed incentives as a 1</w:t>
      </w:r>
      <w:r w:rsidRPr="0036193B">
        <w:rPr>
          <w:vertAlign w:val="superscript"/>
          <w:lang w:eastAsia="zh-CN"/>
        </w:rPr>
        <w:t>st</w:t>
      </w:r>
      <w:r w:rsidRPr="0036193B">
        <w:rPr>
          <w:lang w:eastAsia="zh-CN"/>
        </w:rPr>
        <w:t xml:space="preserve"> step, and the rest of Italy before the end of the year. The WG is discussing among others, a proposal for the adoption of a new law concerning the switch-off of FM transmitters with financial support. The feasibility of this proposal will be investigated within the next few months with concerned governmental entities.</w:t>
      </w:r>
    </w:p>
    <w:p w14:paraId="031A6378" w14:textId="02DAF37E" w:rsidR="00C74DA0" w:rsidRPr="0036193B" w:rsidRDefault="00C74DA0" w:rsidP="00C74DA0">
      <w:pPr>
        <w:rPr>
          <w:lang w:val="en-US"/>
        </w:rPr>
      </w:pPr>
      <w:r w:rsidRPr="0036193B">
        <w:rPr>
          <w:lang w:val="en-US"/>
        </w:rPr>
        <w:t xml:space="preserve">As for T-DAB, the Administration of Italy signed agreements with some most of the </w:t>
      </w:r>
      <w:proofErr w:type="spellStart"/>
      <w:r w:rsidRPr="0036193B">
        <w:rPr>
          <w:lang w:val="en-US"/>
        </w:rPr>
        <w:t>neighbouring</w:t>
      </w:r>
      <w:proofErr w:type="spellEnd"/>
      <w:r w:rsidRPr="0036193B">
        <w:rPr>
          <w:lang w:val="en-US"/>
        </w:rPr>
        <w:t xml:space="preserve"> countries. Discussions are still ongoing with Slovenia to finalize and sign the Adriatic-Ionian Agreement.</w:t>
      </w:r>
    </w:p>
    <w:p w14:paraId="2666B1C3" w14:textId="77777777" w:rsidR="00C74DA0" w:rsidRDefault="00C74DA0" w:rsidP="00C74DA0">
      <w:pPr>
        <w:rPr>
          <w:lang w:val="en-US"/>
        </w:rPr>
      </w:pPr>
      <w:r w:rsidRPr="0036193B">
        <w:rPr>
          <w:lang w:val="en-US"/>
        </w:rPr>
        <w:t xml:space="preserve">All the related monitoring and interference reports regularly received by the BR are available on the ITU website at </w:t>
      </w:r>
      <w:hyperlink r:id="rId122" w:history="1">
        <w:r w:rsidRPr="0036193B">
          <w:rPr>
            <w:rStyle w:val="Hyperlink"/>
            <w:lang w:val="en-US"/>
          </w:rPr>
          <w:t>http://www.itu.int/md/R11-MMHI-SP/en</w:t>
        </w:r>
      </w:hyperlink>
      <w:r w:rsidRPr="0036193B">
        <w:rPr>
          <w:lang w:val="en-US"/>
        </w:rPr>
        <w:t>.</w:t>
      </w:r>
    </w:p>
    <w:p w14:paraId="4CBE4989" w14:textId="77777777" w:rsidR="00C74DA0" w:rsidRPr="008A13B1" w:rsidRDefault="00C74DA0" w:rsidP="00C74DA0">
      <w:pPr>
        <w:pStyle w:val="Heading1"/>
        <w:rPr>
          <w:lang w:val="en-US"/>
        </w:rPr>
      </w:pPr>
      <w:bookmarkStart w:id="168" w:name="_Toc143072469"/>
      <w:bookmarkEnd w:id="166"/>
      <w:bookmarkEnd w:id="167"/>
      <w:r w:rsidRPr="008A13B1">
        <w:rPr>
          <w:lang w:val="en-US"/>
        </w:rPr>
        <w:t>8</w:t>
      </w:r>
      <w:r w:rsidRPr="008A13B1">
        <w:rPr>
          <w:lang w:val="en-US"/>
        </w:rPr>
        <w:tab/>
        <w:t>Cooperation</w:t>
      </w:r>
      <w:bookmarkEnd w:id="168"/>
    </w:p>
    <w:p w14:paraId="3B17E719" w14:textId="77777777" w:rsidR="00C74DA0" w:rsidRPr="008A13B1" w:rsidRDefault="00C74DA0" w:rsidP="00C74DA0">
      <w:pPr>
        <w:pStyle w:val="Heading2"/>
        <w:rPr>
          <w:lang w:val="en-US"/>
        </w:rPr>
      </w:pPr>
      <w:bookmarkStart w:id="169" w:name="_Toc143072470"/>
      <w:r w:rsidRPr="008A13B1">
        <w:rPr>
          <w:lang w:val="en-US"/>
        </w:rPr>
        <w:t>8.1</w:t>
      </w:r>
      <w:r w:rsidRPr="008A13B1">
        <w:rPr>
          <w:lang w:val="en-US"/>
        </w:rPr>
        <w:tab/>
        <w:t>Cooperation with ITU</w:t>
      </w:r>
      <w:r w:rsidRPr="008A13B1">
        <w:rPr>
          <w:lang w:val="en-US"/>
        </w:rPr>
        <w:noBreakHyphen/>
        <w:t>D</w:t>
      </w:r>
      <w:bookmarkEnd w:id="169"/>
      <w:r w:rsidRPr="008A13B1">
        <w:rPr>
          <w:lang w:val="en-US"/>
        </w:rPr>
        <w:t xml:space="preserve"> </w:t>
      </w:r>
    </w:p>
    <w:p w14:paraId="1F096F78" w14:textId="77777777" w:rsidR="00C74DA0" w:rsidRDefault="00C74DA0" w:rsidP="00C74DA0">
      <w:r w:rsidRPr="008A13B1">
        <w:t>The BR has maintained close collaboration with the BDT on issues of mutual interest to ITU-R and ITU-D. The BR has participated in relevant meetings of ITU-D Study Groups, Rapporteur Groups and TDAG, where liaison activities have involved topics such as spectrum management, digital broadcasting and migration from analogue systems, transition towards and implementation of IMT, and broadband wireless access technologies.</w:t>
      </w:r>
    </w:p>
    <w:p w14:paraId="480609B6" w14:textId="5DE0FD02" w:rsidR="00C74DA0" w:rsidRDefault="00C74DA0" w:rsidP="00BD6051">
      <w:pPr>
        <w:rPr>
          <w:rFonts w:eastAsia="Calibri"/>
        </w:rPr>
      </w:pPr>
      <w:proofErr w:type="gramStart"/>
      <w:r>
        <w:rPr>
          <w:rFonts w:eastAsia="Calibri"/>
        </w:rPr>
        <w:t>In order to</w:t>
      </w:r>
      <w:proofErr w:type="gramEnd"/>
      <w:r>
        <w:rPr>
          <w:rFonts w:eastAsia="Calibri"/>
        </w:rPr>
        <w:t xml:space="preserve"> facilitate collaboration</w:t>
      </w:r>
      <w:r w:rsidRPr="00E17FE6">
        <w:rPr>
          <w:rFonts w:eastAsia="Calibri"/>
        </w:rPr>
        <w:t xml:space="preserve"> using existing mechanisms</w:t>
      </w:r>
      <w:r>
        <w:rPr>
          <w:rFonts w:eastAsia="Calibri"/>
        </w:rPr>
        <w:t>, BR SGD provides</w:t>
      </w:r>
      <w:r w:rsidRPr="00E17FE6">
        <w:rPr>
          <w:rFonts w:eastAsia="Calibri"/>
        </w:rPr>
        <w:t xml:space="preserve"> summaries of their </w:t>
      </w:r>
      <w:r>
        <w:rPr>
          <w:rFonts w:eastAsia="Calibri"/>
        </w:rPr>
        <w:t>SG</w:t>
      </w:r>
      <w:r w:rsidRPr="00E17FE6">
        <w:rPr>
          <w:rFonts w:eastAsia="Calibri"/>
        </w:rPr>
        <w:t xml:space="preserve">’s or </w:t>
      </w:r>
      <w:r>
        <w:rPr>
          <w:rFonts w:eastAsia="Calibri"/>
        </w:rPr>
        <w:t>WPs’</w:t>
      </w:r>
      <w:r w:rsidRPr="00E17FE6">
        <w:rPr>
          <w:rFonts w:eastAsia="Calibri"/>
        </w:rPr>
        <w:t xml:space="preserve"> recent accomplishments to the relevant ITU-D </w:t>
      </w:r>
      <w:r>
        <w:rPr>
          <w:rFonts w:eastAsia="Calibri"/>
        </w:rPr>
        <w:t xml:space="preserve">SGs by keeping up to date all the recently approved outputs. This information is published on a regular basis on the </w:t>
      </w:r>
      <w:hyperlink r:id="rId123" w:history="1">
        <w:r w:rsidRPr="00C73F97">
          <w:rPr>
            <w:rStyle w:val="Hyperlink"/>
            <w:rFonts w:eastAsia="Calibri"/>
          </w:rPr>
          <w:t xml:space="preserve">ITU-R </w:t>
        </w:r>
        <w:r>
          <w:rPr>
            <w:rStyle w:val="Hyperlink"/>
            <w:rFonts w:eastAsia="Calibri"/>
          </w:rPr>
          <w:t>SG</w:t>
        </w:r>
        <w:r w:rsidRPr="00C73F97">
          <w:rPr>
            <w:rStyle w:val="Hyperlink"/>
            <w:rFonts w:eastAsia="Calibri"/>
          </w:rPr>
          <w:t>s website</w:t>
        </w:r>
      </w:hyperlink>
      <w:r>
        <w:rPr>
          <w:rFonts w:eastAsia="Calibri"/>
        </w:rPr>
        <w:t>. The file contains a list of recently approved texts in a chronological order for the 2019</w:t>
      </w:r>
      <w:r w:rsidR="0028247A">
        <w:rPr>
          <w:rFonts w:eastAsia="Calibri"/>
        </w:rPr>
        <w:noBreakHyphen/>
      </w:r>
      <w:r>
        <w:rPr>
          <w:rFonts w:eastAsia="Calibri"/>
        </w:rPr>
        <w:t>2023 study period as well as a brief description of the content of each document. BR SGD has mapped the ITU</w:t>
      </w:r>
      <w:r>
        <w:rPr>
          <w:rFonts w:eastAsia="Calibri"/>
        </w:rPr>
        <w:noBreakHyphen/>
        <w:t xml:space="preserve">D and/or ITU-T Study Group and study question for which each ITU-R document could be relevant. This also contributes to avoid </w:t>
      </w:r>
      <w:r w:rsidRPr="0030223F">
        <w:t xml:space="preserve">duplication of effort, and </w:t>
      </w:r>
      <w:r>
        <w:t xml:space="preserve">to </w:t>
      </w:r>
      <w:r w:rsidRPr="0030223F">
        <w:t xml:space="preserve">make use of the results of work done by the ITU-R </w:t>
      </w:r>
      <w:r>
        <w:t>SGs</w:t>
      </w:r>
      <w:r w:rsidRPr="0030223F">
        <w:rPr>
          <w:bCs/>
          <w:szCs w:val="24"/>
        </w:rPr>
        <w:t>.</w:t>
      </w:r>
    </w:p>
    <w:p w14:paraId="2AAF7105" w14:textId="1B5712F1" w:rsidR="00C74DA0" w:rsidRDefault="00C74DA0" w:rsidP="00C74DA0">
      <w:r w:rsidRPr="008A13B1">
        <w:t>In response to requests from the BDT, experts from ITU-R and BR have participated in ITU seminars and workshops organized by ITU-D.</w:t>
      </w:r>
    </w:p>
    <w:p w14:paraId="278FA7DB" w14:textId="34380992" w:rsidR="00C74DA0" w:rsidRPr="008A13B1" w:rsidRDefault="00C74DA0" w:rsidP="00C74DA0">
      <w:r w:rsidRPr="008A13B1">
        <w:t xml:space="preserve">BR continues to pursue its objective of informing and assisting the ITU membership, </w:t>
      </w:r>
      <w:proofErr w:type="gramStart"/>
      <w:r w:rsidRPr="008A13B1">
        <w:t>in particular in</w:t>
      </w:r>
      <w:proofErr w:type="gramEnd"/>
      <w:r w:rsidRPr="008A13B1">
        <w:t xml:space="preserve"> developing countries, on issues relating to radiocommunication matters. For this purpose, the BR organizes and participates in </w:t>
      </w:r>
      <w:proofErr w:type="gramStart"/>
      <w:r w:rsidRPr="008A13B1">
        <w:t>a number of</w:t>
      </w:r>
      <w:proofErr w:type="gramEnd"/>
      <w:r w:rsidRPr="008A13B1">
        <w:t xml:space="preserve"> spectrum related workshops, seminars, meetings and capacity building activities</w:t>
      </w:r>
      <w:bookmarkStart w:id="170" w:name="_Hlk140483846"/>
      <w:r>
        <w:t xml:space="preserve">, including training sessions. For instance, the </w:t>
      </w:r>
      <w:bookmarkEnd w:id="170"/>
      <w:r w:rsidRPr="004155B9">
        <w:t xml:space="preserve">BDT/BR </w:t>
      </w:r>
      <w:r w:rsidRPr="004155B9">
        <w:rPr>
          <w:color w:val="0E101A"/>
          <w:lang w:val="en-US"/>
        </w:rPr>
        <w:t xml:space="preserve">national training IMT-2020/5G training in four CIS countries, namely Azerbaijan, Kyrgyzstan </w:t>
      </w:r>
      <w:proofErr w:type="gramStart"/>
      <w:r w:rsidRPr="004155B9">
        <w:rPr>
          <w:color w:val="0E101A"/>
          <w:lang w:val="en-US"/>
        </w:rPr>
        <w:t>Kazakhstan</w:t>
      </w:r>
      <w:proofErr w:type="gramEnd"/>
      <w:r w:rsidRPr="004155B9">
        <w:rPr>
          <w:color w:val="0E101A"/>
          <w:lang w:val="en-US"/>
        </w:rPr>
        <w:t xml:space="preserve"> and Uzbekistan in 2022.</w:t>
      </w:r>
    </w:p>
    <w:p w14:paraId="4D274AA2" w14:textId="77777777" w:rsidR="00C74DA0" w:rsidRPr="004258BA" w:rsidRDefault="00C74DA0" w:rsidP="00C74DA0">
      <w:pPr>
        <w:pStyle w:val="Heading3"/>
      </w:pPr>
      <w:bookmarkStart w:id="171" w:name="_Toc143072471"/>
      <w:r w:rsidRPr="004258BA">
        <w:t>8.1.1</w:t>
      </w:r>
      <w:r w:rsidRPr="004258BA">
        <w:tab/>
        <w:t>GSR</w:t>
      </w:r>
      <w:bookmarkEnd w:id="171"/>
    </w:p>
    <w:p w14:paraId="77670D07" w14:textId="0B754C52" w:rsidR="00C74DA0" w:rsidRPr="004258BA" w:rsidRDefault="00C74DA0" w:rsidP="00C74DA0">
      <w:r w:rsidRPr="004258BA">
        <w:t xml:space="preserve">Recognizing the importance of expert information to Member States, the BR continues to support the BDT by providing technical expertise in relation to spectrum management, digital </w:t>
      </w:r>
      <w:proofErr w:type="gramStart"/>
      <w:r w:rsidRPr="004258BA">
        <w:t>broadcasting</w:t>
      </w:r>
      <w:proofErr w:type="gramEnd"/>
      <w:r w:rsidRPr="004258BA">
        <w:t xml:space="preserve"> and digital dividend. The BR contributed to the ITU Global Symposium of Regulators </w:t>
      </w:r>
      <w:r>
        <w:t xml:space="preserve">(in </w:t>
      </w:r>
      <w:r w:rsidRPr="004258BA">
        <w:t>20</w:t>
      </w:r>
      <w:r w:rsidR="001B2CE0">
        <w:t>20</w:t>
      </w:r>
      <w:r w:rsidRPr="004258BA">
        <w:t>, 20</w:t>
      </w:r>
      <w:r w:rsidR="001B2CE0">
        <w:t>21</w:t>
      </w:r>
      <w:r>
        <w:t xml:space="preserve"> and</w:t>
      </w:r>
      <w:r w:rsidRPr="004258BA">
        <w:t xml:space="preserve"> 20</w:t>
      </w:r>
      <w:r w:rsidR="001B2CE0">
        <w:t>22</w:t>
      </w:r>
      <w:r w:rsidRPr="004258BA">
        <w:t>) with the organization of, and participation in, sessions related to spectrum management.</w:t>
      </w:r>
    </w:p>
    <w:p w14:paraId="0BB66BC3" w14:textId="133D5C47" w:rsidR="00C74DA0" w:rsidRPr="00DD0740" w:rsidRDefault="00C74DA0" w:rsidP="00C74DA0">
      <w:pPr>
        <w:pStyle w:val="Heading3"/>
      </w:pPr>
      <w:bookmarkStart w:id="172" w:name="_Toc143072472"/>
      <w:r w:rsidRPr="00DD0740">
        <w:t>8.1.2</w:t>
      </w:r>
      <w:r w:rsidRPr="00DD0740">
        <w:tab/>
        <w:t>ICT Survey and ICT Eye</w:t>
      </w:r>
      <w:bookmarkEnd w:id="172"/>
    </w:p>
    <w:p w14:paraId="7050CD09" w14:textId="024C68BF" w:rsidR="00C74DA0" w:rsidRDefault="00C74DA0" w:rsidP="00C74DA0">
      <w:r w:rsidRPr="00DD0740">
        <w:t>ICT-eye and its survey form an essential tool for gathering data from administrations on key ICT metrics. The BDT does the tracking of such data on a yearly basis and displays the data results in a meaningful way in the statistics portal. In order to capitalize from the existing platform provided by ICT-eye, the BR cooperated with the BDT to expand the current survey and include a chapter on key spectrum-specific information (</w:t>
      </w:r>
      <w:proofErr w:type="gramStart"/>
      <w:r w:rsidRPr="00DD0740">
        <w:t>i.e.</w:t>
      </w:r>
      <w:proofErr w:type="gramEnd"/>
      <w:r w:rsidRPr="00DD0740">
        <w:t xml:space="preserve"> auctions, caps, mobile technologies/standards, spectrum licensing). The spectrum chapter was developed by BR and published in the ICT survey for the first time in 2013. BR kept working closely with BDT in collecting, processing, and disseminating this chapter.</w:t>
      </w:r>
    </w:p>
    <w:p w14:paraId="1ABDA4C3" w14:textId="4623FA2B" w:rsidR="00487055" w:rsidRPr="00B25F57" w:rsidRDefault="00487055" w:rsidP="00487055">
      <w:pPr>
        <w:rPr>
          <w:highlight w:val="cyan"/>
        </w:rPr>
      </w:pPr>
      <w:r w:rsidRPr="00DD0740">
        <w:t>This chapter include</w:t>
      </w:r>
      <w:r>
        <w:t>s</w:t>
      </w:r>
      <w:r w:rsidRPr="00DD0740">
        <w:t xml:space="preserve"> a new section </w:t>
      </w:r>
      <w:r>
        <w:t xml:space="preserve">with </w:t>
      </w:r>
      <w:r w:rsidRPr="00DD0740">
        <w:t xml:space="preserve">KPIs on IMT frequencies national allocation and assignments, </w:t>
      </w:r>
      <w:r>
        <w:t>jointly developed by BR and BDT</w:t>
      </w:r>
      <w:r w:rsidR="00034DA9">
        <w:t>.</w:t>
      </w:r>
      <w:r w:rsidRPr="00DD0740">
        <w:t xml:space="preserve"> </w:t>
      </w:r>
      <w:r>
        <w:t xml:space="preserve">National data gathering </w:t>
      </w:r>
      <w:proofErr w:type="gramStart"/>
      <w:r>
        <w:t>are</w:t>
      </w:r>
      <w:proofErr w:type="gramEnd"/>
      <w:r>
        <w:t xml:space="preserve"> still in progress. </w:t>
      </w:r>
    </w:p>
    <w:p w14:paraId="5A218008" w14:textId="77777777" w:rsidR="00C74DA0" w:rsidRPr="00DD0740" w:rsidRDefault="00C74DA0" w:rsidP="00C74DA0">
      <w:pPr>
        <w:pStyle w:val="Heading3"/>
      </w:pPr>
      <w:bookmarkStart w:id="173" w:name="_Toc143072473"/>
      <w:r>
        <w:t>8.1.3</w:t>
      </w:r>
      <w:r>
        <w:tab/>
      </w:r>
      <w:r w:rsidRPr="00DD0740">
        <w:t>World Telecommunication/ICT Indicators Symposium, WTIS</w:t>
      </w:r>
      <w:bookmarkEnd w:id="173"/>
    </w:p>
    <w:p w14:paraId="523990B7" w14:textId="77777777" w:rsidR="00C74DA0" w:rsidRPr="00DD0740" w:rsidRDefault="00C74DA0" w:rsidP="00C74DA0">
      <w:r w:rsidRPr="00DD0740">
        <w:t xml:space="preserve">The BR cooperated with the BDT on the indicators and definitions for gathering data on mobile broadband technologies, especially when referring to standards. </w:t>
      </w:r>
    </w:p>
    <w:p w14:paraId="0571A635" w14:textId="77777777" w:rsidR="00C74DA0" w:rsidRPr="00433634" w:rsidRDefault="00C74DA0" w:rsidP="00C74DA0">
      <w:pPr>
        <w:jc w:val="both"/>
      </w:pPr>
      <w:r w:rsidRPr="00CC3C34">
        <w:t xml:space="preserve">The WTIS </w:t>
      </w:r>
      <w:r w:rsidRPr="00224AD5">
        <w:t xml:space="preserve">2020 </w:t>
      </w:r>
      <w:r w:rsidRPr="00CC3C34">
        <w:t xml:space="preserve">was </w:t>
      </w:r>
      <w:r w:rsidRPr="1A5784CD">
        <w:t xml:space="preserve">held </w:t>
      </w:r>
      <w:r w:rsidRPr="00224AD5">
        <w:t xml:space="preserve">online </w:t>
      </w:r>
      <w:r>
        <w:t xml:space="preserve">from </w:t>
      </w:r>
      <w:r w:rsidRPr="00224AD5">
        <w:t>1-3 December 2020</w:t>
      </w:r>
      <w:r>
        <w:t>.</w:t>
      </w:r>
      <w:r w:rsidRPr="00B548DD">
        <w:t xml:space="preserve"> BR </w:t>
      </w:r>
      <w:r w:rsidRPr="1A5784CD">
        <w:t xml:space="preserve">and </w:t>
      </w:r>
      <w:r w:rsidRPr="00CC3C34">
        <w:t>BDT</w:t>
      </w:r>
      <w:r w:rsidRPr="1A5784CD">
        <w:t xml:space="preserve"> </w:t>
      </w:r>
      <w:r w:rsidRPr="00224AD5">
        <w:t>jointly</w:t>
      </w:r>
      <w:r w:rsidRPr="1A5784CD">
        <w:t xml:space="preserve"> </w:t>
      </w:r>
      <w:r w:rsidRPr="00224AD5">
        <w:t>supported</w:t>
      </w:r>
      <w:r w:rsidRPr="00CC3C34" w:rsidDel="0099601E">
        <w:t xml:space="preserve"> </w:t>
      </w:r>
      <w:r w:rsidRPr="1A5784CD">
        <w:t>the discussions relating to IMT National Spectrum Allocations and Assignments.</w:t>
      </w:r>
    </w:p>
    <w:p w14:paraId="7401FE0A" w14:textId="77777777" w:rsidR="00C74DA0" w:rsidRDefault="00C74DA0" w:rsidP="00C74DA0">
      <w:pPr>
        <w:jc w:val="both"/>
      </w:pPr>
      <w:r w:rsidRPr="00CC3C34">
        <w:t xml:space="preserve">The WTIS </w:t>
      </w:r>
      <w:r>
        <w:t>was not held neither in 2021 nor in 2022.</w:t>
      </w:r>
    </w:p>
    <w:p w14:paraId="0B7BCE15" w14:textId="77777777" w:rsidR="00C74DA0" w:rsidRPr="00433634" w:rsidRDefault="00C74DA0" w:rsidP="00C74DA0">
      <w:pPr>
        <w:jc w:val="both"/>
      </w:pPr>
      <w:r w:rsidRPr="00DD0740">
        <w:t>In 20</w:t>
      </w:r>
      <w:r>
        <w:t>23,</w:t>
      </w:r>
      <w:r w:rsidRPr="00DD0740">
        <w:t xml:space="preserve"> the </w:t>
      </w:r>
      <w:r>
        <w:t>WTIS</w:t>
      </w:r>
      <w:r w:rsidRPr="00DD0740">
        <w:t xml:space="preserve"> agenda did not include a session on spectrum-related topics.</w:t>
      </w:r>
    </w:p>
    <w:p w14:paraId="279DA644" w14:textId="77777777" w:rsidR="00C74DA0" w:rsidRPr="00DD0740" w:rsidRDefault="00C74DA0" w:rsidP="00C74DA0">
      <w:pPr>
        <w:pStyle w:val="Heading3"/>
      </w:pPr>
      <w:bookmarkStart w:id="174" w:name="_Toc143072474"/>
      <w:r w:rsidRPr="00DD0740">
        <w:t>8.1.4</w:t>
      </w:r>
      <w:r w:rsidRPr="00DD0740">
        <w:tab/>
        <w:t>Spectrum Management Training Programme (SMTP)</w:t>
      </w:r>
      <w:bookmarkEnd w:id="174"/>
    </w:p>
    <w:p w14:paraId="66003FBD" w14:textId="6D4120AE" w:rsidR="00C74DA0" w:rsidRPr="0046704B" w:rsidRDefault="00C74DA0" w:rsidP="00C74DA0">
      <w:r>
        <w:t xml:space="preserve">Since 2013, the BR has actively participated in a joint project with the BDT to develop the Spectrum Management Training Programme (SMTP) through its different phases: design, material preparation, peer review, and pilot test. Several updates occurred over the years and BR </w:t>
      </w:r>
      <w:proofErr w:type="gramStart"/>
      <w:r>
        <w:t>performed regularly</w:t>
      </w:r>
      <w:proofErr w:type="gramEnd"/>
      <w:r>
        <w:t xml:space="preserve"> a review of the material contained in the current SMTP. Recent updates were performed to include the outcomes from WRC-19/RA-19.</w:t>
      </w:r>
    </w:p>
    <w:p w14:paraId="329A28FA" w14:textId="77777777" w:rsidR="00C74DA0" w:rsidRPr="00E019A1" w:rsidRDefault="00C74DA0" w:rsidP="00C74DA0">
      <w:r w:rsidRPr="00794E22">
        <w:t xml:space="preserve">Considering the resources necessary to maintain/update this tool and </w:t>
      </w:r>
      <w:r>
        <w:t>its</w:t>
      </w:r>
      <w:r w:rsidRPr="00794E22">
        <w:t xml:space="preserve"> importance for many administrations, a discussion is currently taking place in BDT to verify if SMTP could be further enhanced or migrated to a different tool.</w:t>
      </w:r>
    </w:p>
    <w:p w14:paraId="5F22C733" w14:textId="50F44BE5" w:rsidR="00C74DA0" w:rsidRPr="00526C71" w:rsidRDefault="00C74DA0" w:rsidP="00C74DA0">
      <w:pPr>
        <w:pStyle w:val="Heading2"/>
      </w:pPr>
      <w:bookmarkStart w:id="175" w:name="_Toc143072475"/>
      <w:r w:rsidRPr="00526C71">
        <w:t>8.2</w:t>
      </w:r>
      <w:r w:rsidRPr="00526C71">
        <w:tab/>
        <w:t>Cooperation with ITU-T</w:t>
      </w:r>
      <w:bookmarkEnd w:id="175"/>
    </w:p>
    <w:p w14:paraId="5440DB33" w14:textId="7F9295E4" w:rsidR="00C74DA0" w:rsidRDefault="00C74DA0" w:rsidP="00C74DA0">
      <w:pPr>
        <w:rPr>
          <w:highlight w:val="cyan"/>
        </w:rPr>
      </w:pPr>
      <w:r w:rsidRPr="00526C71">
        <w:t xml:space="preserve">In addition to climate change and emergency communications, topics of mutual interest between ITU-R and ITU-T include IMT-2020, the effects of human exposure to radio frequencies, power line transmission systems, intelligent transport systems, </w:t>
      </w:r>
      <w:r>
        <w:t xml:space="preserve">connected automated vehicles, Internet of Things, artificial intelligence, </w:t>
      </w:r>
      <w:r w:rsidRPr="00526C71">
        <w:t>common patent policy and intellectual property rights and audio</w:t>
      </w:r>
      <w:r w:rsidR="007F6FA6">
        <w:noBreakHyphen/>
      </w:r>
      <w:r w:rsidRPr="00526C71">
        <w:t>visual media accessibility.</w:t>
      </w:r>
    </w:p>
    <w:p w14:paraId="57260E0A" w14:textId="77777777" w:rsidR="00C74DA0" w:rsidRPr="008A13B1" w:rsidRDefault="00C74DA0" w:rsidP="00C74DA0">
      <w:r w:rsidRPr="008A13B1">
        <w:t xml:space="preserve">Therefore, there continues to be a requirement for close coordination on the various topics being addressed by ITU-T that impinge on radiocommunication issues </w:t>
      </w:r>
      <w:proofErr w:type="gramStart"/>
      <w:r w:rsidRPr="008A13B1">
        <w:t>in order to</w:t>
      </w:r>
      <w:proofErr w:type="gramEnd"/>
      <w:r w:rsidRPr="008A13B1">
        <w:t xml:space="preserve"> reduce the potential for overlap, duplication and avoid redundancies. </w:t>
      </w:r>
    </w:p>
    <w:p w14:paraId="69F57FA7" w14:textId="77777777" w:rsidR="00C74DA0" w:rsidRPr="008A13B1" w:rsidRDefault="00C74DA0" w:rsidP="00C74DA0">
      <w:pPr>
        <w:pStyle w:val="enumlev1"/>
      </w:pPr>
      <w:r w:rsidRPr="008A13B1">
        <w:t>–</w:t>
      </w:r>
      <w:r w:rsidRPr="008A13B1">
        <w:tab/>
        <w:t>BR representatives attended the World Telecommunication Standardization Assembly 20</w:t>
      </w:r>
      <w:r>
        <w:t>20</w:t>
      </w:r>
      <w:r w:rsidRPr="008A13B1">
        <w:t>.</w:t>
      </w:r>
    </w:p>
    <w:p w14:paraId="0A2F2AB3" w14:textId="36AE730E" w:rsidR="00C74DA0" w:rsidRPr="008A13B1" w:rsidRDefault="00C74DA0" w:rsidP="00C74DA0">
      <w:pPr>
        <w:pStyle w:val="enumlev1"/>
      </w:pPr>
      <w:r w:rsidRPr="008A13B1">
        <w:t>–</w:t>
      </w:r>
      <w:r w:rsidRPr="008A13B1">
        <w:tab/>
        <w:t>BR also participated in the Kaleidoscope academic conference organized by ITU-T</w:t>
      </w:r>
      <w:r w:rsidR="0072550E">
        <w:t xml:space="preserve"> </w:t>
      </w:r>
      <w:r>
        <w:t>in 2020</w:t>
      </w:r>
      <w:r w:rsidRPr="008A13B1">
        <w:t>.</w:t>
      </w:r>
    </w:p>
    <w:p w14:paraId="4E85C043" w14:textId="77777777" w:rsidR="00C74DA0" w:rsidRPr="00526C71" w:rsidRDefault="00C74DA0" w:rsidP="00C74DA0">
      <w:pPr>
        <w:pStyle w:val="Heading2"/>
      </w:pPr>
      <w:bookmarkStart w:id="176" w:name="_Toc418163383"/>
      <w:bookmarkStart w:id="177" w:name="_Toc418232301"/>
      <w:bookmarkStart w:id="178" w:name="_Toc143072476"/>
      <w:r w:rsidRPr="00526C71">
        <w:t>8.3</w:t>
      </w:r>
      <w:r w:rsidRPr="00526C71">
        <w:tab/>
        <w:t>Cooperation with international and regional organizations</w:t>
      </w:r>
      <w:bookmarkEnd w:id="176"/>
      <w:bookmarkEnd w:id="177"/>
      <w:bookmarkEnd w:id="178"/>
    </w:p>
    <w:p w14:paraId="7C2D9CC2" w14:textId="77777777" w:rsidR="00C74DA0" w:rsidRDefault="00C74DA0" w:rsidP="00C74DA0">
      <w:r w:rsidRPr="00526C71">
        <w:t>The Bureau continued to maintain close cooperation with international and regional organizations with the following objectives:</w:t>
      </w:r>
    </w:p>
    <w:p w14:paraId="40F99FB5" w14:textId="5D80B727" w:rsidR="00BD6051" w:rsidRDefault="00C74DA0" w:rsidP="00BD6051">
      <w:pPr>
        <w:pStyle w:val="enumlev1"/>
      </w:pPr>
      <w:r w:rsidRPr="00BD6051">
        <w:t>1</w:t>
      </w:r>
      <w:r w:rsidRPr="00BD6051">
        <w:tab/>
        <w:t>promote dialogue amongst bodies having common interests;</w:t>
      </w:r>
    </w:p>
    <w:p w14:paraId="79024DC2" w14:textId="77777777" w:rsidR="00BD6051" w:rsidRDefault="00C74DA0" w:rsidP="00BD6051">
      <w:pPr>
        <w:pStyle w:val="enumlev1"/>
      </w:pPr>
      <w:r w:rsidRPr="00BD6051">
        <w:t>2</w:t>
      </w:r>
      <w:r w:rsidRPr="00BD6051">
        <w:tab/>
        <w:t xml:space="preserve">better coordination leading to more effective preparation for events such as WRCs; and </w:t>
      </w:r>
    </w:p>
    <w:p w14:paraId="7CE3B72F" w14:textId="56398DD0" w:rsidR="00C74DA0" w:rsidRPr="00BD6051" w:rsidRDefault="00C74DA0" w:rsidP="00BD6051">
      <w:pPr>
        <w:pStyle w:val="enumlev1"/>
      </w:pPr>
      <w:r w:rsidRPr="00BD6051">
        <w:t>3</w:t>
      </w:r>
      <w:r w:rsidRPr="00BD6051">
        <w:tab/>
        <w:t>keep ITU</w:t>
      </w:r>
      <w:r w:rsidRPr="00BD6051">
        <w:noBreakHyphen/>
        <w:t>R abreast of relevant activities in other organizations for a more strategic planning of work programmes.</w:t>
      </w:r>
    </w:p>
    <w:p w14:paraId="46F777E4" w14:textId="77777777" w:rsidR="00C74DA0" w:rsidRDefault="00C74DA0" w:rsidP="00C74DA0">
      <w:r w:rsidRPr="00526C71">
        <w:lastRenderedPageBreak/>
        <w:t xml:space="preserve">The Bureau continues its close cooperation with the relevant international and regional organizations </w:t>
      </w:r>
      <w:r>
        <w:t>including, but not limited to:</w:t>
      </w:r>
    </w:p>
    <w:p w14:paraId="1EBF3C5F" w14:textId="77777777" w:rsidR="00C74DA0" w:rsidRDefault="00C74DA0" w:rsidP="00C74DA0">
      <w:pPr>
        <w:pStyle w:val="enumlev1"/>
      </w:pPr>
      <w:r>
        <w:t>−</w:t>
      </w:r>
      <w:r>
        <w:tab/>
      </w:r>
      <w:r w:rsidRPr="00526C71">
        <w:t>APT, ASMG, ATU, CEPT, CITEL and RCC</w:t>
      </w:r>
      <w:r>
        <w:t xml:space="preserve"> for regional coordination and issues related to the use of spectrum;</w:t>
      </w:r>
    </w:p>
    <w:p w14:paraId="297BDA7C" w14:textId="77777777" w:rsidR="00C74DA0" w:rsidRDefault="00C74DA0" w:rsidP="00C74DA0">
      <w:pPr>
        <w:pStyle w:val="enumlev1"/>
      </w:pPr>
      <w:r>
        <w:t>−</w:t>
      </w:r>
      <w:r>
        <w:tab/>
      </w:r>
      <w:r w:rsidRPr="00526C71">
        <w:t>ABU, ASBU, EBU</w:t>
      </w:r>
      <w:r>
        <w:t>, ETSI,</w:t>
      </w:r>
      <w:r w:rsidRPr="00526C71">
        <w:t xml:space="preserve"> HFCC</w:t>
      </w:r>
      <w:r>
        <w:t xml:space="preserve"> and SMPT for broadcasting matters;</w:t>
      </w:r>
    </w:p>
    <w:p w14:paraId="0F7995F3" w14:textId="77777777" w:rsidR="00C74DA0" w:rsidRPr="00854E5B" w:rsidRDefault="00C74DA0" w:rsidP="00C74DA0">
      <w:pPr>
        <w:pStyle w:val="enumlev1"/>
      </w:pPr>
      <w:r>
        <w:t>−</w:t>
      </w:r>
      <w:r>
        <w:tab/>
      </w:r>
      <w:r w:rsidRPr="00526C71">
        <w:t>ITSO, ESOA, GVF, GSMA</w:t>
      </w:r>
      <w:r>
        <w:t xml:space="preserve">, </w:t>
      </w:r>
      <w:r w:rsidRPr="00C107BA">
        <w:t>GSOA, GSA</w:t>
      </w:r>
      <w:r>
        <w:t xml:space="preserve"> for the use of specific radiocommunication systems and services;</w:t>
      </w:r>
    </w:p>
    <w:p w14:paraId="467A4905" w14:textId="77777777" w:rsidR="00C74DA0" w:rsidRDefault="00C74DA0" w:rsidP="00C74DA0">
      <w:pPr>
        <w:pStyle w:val="enumlev1"/>
      </w:pPr>
      <w:r>
        <w:t>−</w:t>
      </w:r>
      <w:r>
        <w:tab/>
      </w:r>
      <w:r w:rsidRPr="00C533FA">
        <w:t>3GPP</w:t>
      </w:r>
      <w:r>
        <w:t>,</w:t>
      </w:r>
      <w:r w:rsidRPr="00C533FA">
        <w:t xml:space="preserve"> IEEE </w:t>
      </w:r>
      <w:r>
        <w:t xml:space="preserve">and </w:t>
      </w:r>
      <w:r w:rsidRPr="00C533FA">
        <w:t>several regional standardization organizations</w:t>
      </w:r>
      <w:r>
        <w:t xml:space="preserve"> for activities related to the Global Standards Collaboration (GSC);</w:t>
      </w:r>
    </w:p>
    <w:p w14:paraId="5C501211" w14:textId="77777777" w:rsidR="00C74DA0" w:rsidRDefault="00C74DA0" w:rsidP="00C74DA0">
      <w:pPr>
        <w:pStyle w:val="enumlev1"/>
      </w:pPr>
      <w:r>
        <w:t>−</w:t>
      </w:r>
      <w:r>
        <w:tab/>
        <w:t xml:space="preserve">the </w:t>
      </w:r>
      <w:r w:rsidRPr="00C533FA">
        <w:t>World Meteorological Organization</w:t>
      </w:r>
      <w:r>
        <w:t xml:space="preserve"> (WMO)</w:t>
      </w:r>
      <w:r w:rsidRPr="00C533FA">
        <w:t>, the World Health Organization</w:t>
      </w:r>
      <w:r>
        <w:t xml:space="preserve"> (WHO)</w:t>
      </w:r>
      <w:r w:rsidRPr="00C533FA">
        <w:t>, ISO and IEC (including CISPR), Space Frequency Coordination Group</w:t>
      </w:r>
      <w:r>
        <w:t>, the International Union of Radio Science (URSI)</w:t>
      </w:r>
      <w:r w:rsidRPr="00C533FA">
        <w:t xml:space="preserve"> and several others on an ad-hoc basis</w:t>
      </w:r>
      <w:r w:rsidRPr="00854E5B">
        <w:t xml:space="preserve"> </w:t>
      </w:r>
      <w:r>
        <w:t>for liaison with respect to SG activities;</w:t>
      </w:r>
    </w:p>
    <w:p w14:paraId="06D1FA6F" w14:textId="77777777" w:rsidR="00C74DA0" w:rsidRDefault="00C74DA0" w:rsidP="00C74DA0">
      <w:pPr>
        <w:pStyle w:val="enumlev1"/>
      </w:pPr>
      <w:r>
        <w:t>−</w:t>
      </w:r>
      <w:r>
        <w:tab/>
      </w:r>
      <w:r w:rsidRPr="00526C71">
        <w:t xml:space="preserve">the UN Committee on the Peaceful Uses of Outer Space (UN-COPUOS), </w:t>
      </w:r>
      <w:r w:rsidRPr="00A5091B">
        <w:t xml:space="preserve">the United Nations Economic Commission for Europe (UNECE), </w:t>
      </w:r>
      <w:r w:rsidRPr="00526C71">
        <w:t xml:space="preserve">the International Maritime Organization (IMO), the International Maritime Satellite Organization (IMSO), </w:t>
      </w:r>
      <w:r w:rsidRPr="00A5091B">
        <w:t xml:space="preserve">Bureau International des </w:t>
      </w:r>
      <w:proofErr w:type="spellStart"/>
      <w:r w:rsidRPr="00A5091B">
        <w:t>Poids</w:t>
      </w:r>
      <w:proofErr w:type="spellEnd"/>
      <w:r w:rsidRPr="00A5091B">
        <w:t xml:space="preserve"> et </w:t>
      </w:r>
      <w:proofErr w:type="spellStart"/>
      <w:r w:rsidRPr="00A5091B">
        <w:t>Mesures</w:t>
      </w:r>
      <w:proofErr w:type="spellEnd"/>
      <w:r w:rsidRPr="00A5091B">
        <w:t xml:space="preserve"> (BIPM)</w:t>
      </w:r>
      <w:r>
        <w:t xml:space="preserve">, </w:t>
      </w:r>
      <w:r w:rsidRPr="00526C71">
        <w:t>the International Telecommunications Satellite Organization (ITSO), COSPAS-SARSAT, the International Committee of the Red Cross (CICR) the International Civil Aviation Organization (ICAO) with regard to the application of ITU treaty texts. BR experts also participated in various meetings of these organizations.</w:t>
      </w:r>
    </w:p>
    <w:p w14:paraId="06EF53DA" w14:textId="77777777" w:rsidR="00BD6051" w:rsidRPr="00B60E56" w:rsidRDefault="00BD6051" w:rsidP="00BD6051">
      <w:pPr>
        <w:rPr>
          <w:highlight w:val="yellow"/>
        </w:rPr>
      </w:pPr>
    </w:p>
    <w:p w14:paraId="26708D77" w14:textId="77777777" w:rsidR="00BD6051" w:rsidRDefault="00BD6051" w:rsidP="00BD6051">
      <w:pPr>
        <w:pStyle w:val="Reasons"/>
      </w:pPr>
    </w:p>
    <w:p w14:paraId="40812926" w14:textId="77777777" w:rsidR="00C74DA0" w:rsidRDefault="00C74DA0" w:rsidP="00C74DA0">
      <w:pPr>
        <w:jc w:val="center"/>
      </w:pPr>
      <w:r>
        <w:t>_______________</w:t>
      </w:r>
    </w:p>
    <w:sectPr w:rsidR="00C74DA0" w:rsidSect="00A25A8C">
      <w:headerReference w:type="first" r:id="rId124"/>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76C5" w14:textId="77777777" w:rsidR="00464E94" w:rsidRDefault="00464E94">
      <w:r>
        <w:separator/>
      </w:r>
    </w:p>
  </w:endnote>
  <w:endnote w:type="continuationSeparator" w:id="0">
    <w:p w14:paraId="4319C861" w14:textId="77777777" w:rsidR="00464E94" w:rsidRDefault="00464E94">
      <w:r>
        <w:continuationSeparator/>
      </w:r>
    </w:p>
  </w:endnote>
  <w:endnote w:type="continuationNotice" w:id="1">
    <w:p w14:paraId="73CEB91E" w14:textId="77777777" w:rsidR="00464E94" w:rsidRDefault="00464E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A08C" w14:textId="77777777" w:rsidR="00C74DA0" w:rsidRPr="00EB695A" w:rsidRDefault="00C74DA0">
    <w:pPr>
      <w:framePr w:wrap="around" w:vAnchor="text" w:hAnchor="margin" w:xAlign="right" w:y="1"/>
      <w:rPr>
        <w:lang w:val="pt-BR"/>
      </w:rPr>
    </w:pPr>
    <w:r>
      <w:fldChar w:fldCharType="begin"/>
    </w:r>
    <w:r w:rsidRPr="00EB695A">
      <w:rPr>
        <w:lang w:val="pt-BR"/>
      </w:rPr>
      <w:instrText xml:space="preserve">PAGE  </w:instrText>
    </w:r>
    <w:r>
      <w:fldChar w:fldCharType="separate"/>
    </w:r>
    <w:r w:rsidRPr="00EB695A">
      <w:rPr>
        <w:lang w:val="pt-BR"/>
      </w:rPr>
      <w:t>46</w:t>
    </w:r>
    <w:r>
      <w:fldChar w:fldCharType="end"/>
    </w:r>
  </w:p>
  <w:p w14:paraId="6AD4C4D1" w14:textId="366C8393" w:rsidR="00C74DA0" w:rsidRPr="00EB695A" w:rsidRDefault="00C74DA0">
    <w:pPr>
      <w:ind w:right="360"/>
      <w:rPr>
        <w:lang w:val="pt-BR"/>
      </w:rPr>
    </w:pPr>
    <w:r>
      <w:fldChar w:fldCharType="begin"/>
    </w:r>
    <w:r w:rsidRPr="00EB695A">
      <w:rPr>
        <w:lang w:val="pt-BR"/>
      </w:rPr>
      <w:instrText xml:space="preserve"> FILENAME \p  \* MERGEFORMAT </w:instrText>
    </w:r>
    <w:r>
      <w:fldChar w:fldCharType="separate"/>
    </w:r>
    <w:r w:rsidRPr="00EB695A">
      <w:rPr>
        <w:lang w:val="pt-BR"/>
      </w:rPr>
      <w:t>P:\ENG\ITU-R\CONF-R\CMR19\000\004ADD01E.docx</w:t>
    </w:r>
    <w:r>
      <w:fldChar w:fldCharType="end"/>
    </w:r>
    <w:r w:rsidRPr="00EB695A">
      <w:rPr>
        <w:lang w:val="pt-BR"/>
      </w:rPr>
      <w:tab/>
    </w:r>
    <w:r>
      <w:fldChar w:fldCharType="begin"/>
    </w:r>
    <w:r>
      <w:instrText xml:space="preserve"> SAVEDATE \@ DD.MM.YY </w:instrText>
    </w:r>
    <w:r>
      <w:fldChar w:fldCharType="separate"/>
    </w:r>
    <w:r w:rsidR="00807C0B">
      <w:rPr>
        <w:noProof/>
      </w:rPr>
      <w:t>16.08.23</w:t>
    </w:r>
    <w:r>
      <w:fldChar w:fldCharType="end"/>
    </w:r>
    <w:r w:rsidRPr="00EB695A">
      <w:rPr>
        <w:lang w:val="pt-BR"/>
      </w:rPr>
      <w:tab/>
    </w:r>
    <w:r>
      <w:fldChar w:fldCharType="begin"/>
    </w:r>
    <w:r>
      <w:instrText xml:space="preserve"> PRINTDATE \@ DD.MM.YY </w:instrText>
    </w:r>
    <w:r>
      <w:fldChar w:fldCharType="separate"/>
    </w:r>
    <w:r>
      <w:rPr>
        <w:noProof/>
      </w:rPr>
      <w:t>13.09.19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2E3C" w14:textId="77777777" w:rsidR="00C74DA0" w:rsidRPr="00EB695A" w:rsidRDefault="00C74DA0">
    <w:pPr>
      <w:framePr w:wrap="around" w:vAnchor="text" w:hAnchor="margin" w:xAlign="right" w:y="1"/>
      <w:rPr>
        <w:lang w:val="pt-BR"/>
      </w:rPr>
    </w:pPr>
    <w:r>
      <w:fldChar w:fldCharType="begin"/>
    </w:r>
    <w:r w:rsidRPr="00EB695A">
      <w:rPr>
        <w:lang w:val="pt-BR"/>
      </w:rPr>
      <w:instrText xml:space="preserve">PAGE  </w:instrText>
    </w:r>
    <w:r>
      <w:fldChar w:fldCharType="separate"/>
    </w:r>
    <w:r w:rsidRPr="00EB695A">
      <w:rPr>
        <w:lang w:val="pt-BR"/>
      </w:rPr>
      <w:t>46</w:t>
    </w:r>
    <w:r>
      <w:fldChar w:fldCharType="end"/>
    </w:r>
  </w:p>
  <w:p w14:paraId="46905571" w14:textId="66546062" w:rsidR="00C74DA0" w:rsidRPr="00EB695A" w:rsidRDefault="00C74DA0">
    <w:pPr>
      <w:ind w:right="360"/>
      <w:rPr>
        <w:lang w:val="pt-BR"/>
      </w:rPr>
    </w:pPr>
    <w:r>
      <w:fldChar w:fldCharType="begin"/>
    </w:r>
    <w:r w:rsidRPr="00EB695A">
      <w:rPr>
        <w:lang w:val="pt-BR"/>
      </w:rPr>
      <w:instrText xml:space="preserve"> FILENAME \p  \* MERGEFORMAT </w:instrText>
    </w:r>
    <w:r>
      <w:fldChar w:fldCharType="separate"/>
    </w:r>
    <w:r w:rsidRPr="00EB695A">
      <w:rPr>
        <w:lang w:val="pt-BR"/>
      </w:rPr>
      <w:t>P:\ENG\ITU-R\CONF-R\CMR19\000\004ADD01E.docx</w:t>
    </w:r>
    <w:r>
      <w:fldChar w:fldCharType="end"/>
    </w:r>
    <w:r w:rsidRPr="00EB695A">
      <w:rPr>
        <w:lang w:val="pt-BR"/>
      </w:rPr>
      <w:tab/>
    </w:r>
    <w:r>
      <w:fldChar w:fldCharType="begin"/>
    </w:r>
    <w:r>
      <w:instrText xml:space="preserve"> SAVEDATE \@ DD.MM.YY </w:instrText>
    </w:r>
    <w:r>
      <w:fldChar w:fldCharType="separate"/>
    </w:r>
    <w:r w:rsidR="00807C0B">
      <w:rPr>
        <w:noProof/>
      </w:rPr>
      <w:t>16.08.23</w:t>
    </w:r>
    <w:r>
      <w:fldChar w:fldCharType="end"/>
    </w:r>
    <w:r w:rsidRPr="00EB695A">
      <w:rPr>
        <w:lang w:val="pt-BR"/>
      </w:rPr>
      <w:tab/>
    </w:r>
    <w:r>
      <w:fldChar w:fldCharType="begin"/>
    </w:r>
    <w:r>
      <w:instrText xml:space="preserve"> PRINTDATE \@ DD.MM.YY </w:instrText>
    </w:r>
    <w:r>
      <w:fldChar w:fldCharType="separate"/>
    </w:r>
    <w:r>
      <w:rPr>
        <w:noProof/>
      </w:rPr>
      <w:t>13.09.19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EA52" w14:textId="77777777" w:rsidR="00C74DA0" w:rsidRPr="00A25A8C" w:rsidRDefault="00C74DA0" w:rsidP="00A25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419" w14:textId="77777777" w:rsidR="00C74DA0" w:rsidRPr="00EB695A" w:rsidRDefault="00C74DA0">
    <w:pPr>
      <w:pStyle w:val="Footer"/>
      <w:rPr>
        <w:lang w:val="pt-BR"/>
      </w:rPr>
    </w:pPr>
    <w:r>
      <w:fldChar w:fldCharType="begin"/>
    </w:r>
    <w:r w:rsidRPr="00EB695A">
      <w:rPr>
        <w:lang w:val="pt-BR"/>
      </w:rPr>
      <w:instrText xml:space="preserve"> FILENAME \p  \* MERGEFORMAT </w:instrText>
    </w:r>
    <w:r>
      <w:fldChar w:fldCharType="separate"/>
    </w:r>
    <w:r w:rsidRPr="00EB695A">
      <w:rPr>
        <w:lang w:val="pt-BR"/>
      </w:rPr>
      <w:t>P:\ENG\ITU-R\CONF-R\CMR19\000\004ADD01E.docx</w:t>
    </w:r>
    <w:r>
      <w:fldChar w:fldCharType="end"/>
    </w:r>
    <w:r w:rsidRPr="00EB695A">
      <w:rPr>
        <w:lang w:val="pt-BR"/>
      </w:rPr>
      <w:t xml:space="preserve"> (460704)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E04A" w14:textId="77777777" w:rsidR="00464E94" w:rsidRDefault="00464E94">
      <w:r>
        <w:rPr>
          <w:b/>
        </w:rPr>
        <w:t>_______________</w:t>
      </w:r>
    </w:p>
  </w:footnote>
  <w:footnote w:type="continuationSeparator" w:id="0">
    <w:p w14:paraId="18C13C90" w14:textId="77777777" w:rsidR="00464E94" w:rsidRDefault="00464E94">
      <w:r>
        <w:continuationSeparator/>
      </w:r>
    </w:p>
  </w:footnote>
  <w:footnote w:type="continuationNotice" w:id="1">
    <w:p w14:paraId="6C662472" w14:textId="77777777" w:rsidR="00464E94" w:rsidRDefault="00464E94">
      <w:pPr>
        <w:spacing w:before="0"/>
      </w:pPr>
    </w:p>
  </w:footnote>
  <w:footnote w:id="2">
    <w:p w14:paraId="41B5D312" w14:textId="7FF0F305" w:rsidR="00C74DA0" w:rsidRPr="00A15B98" w:rsidRDefault="00C74DA0" w:rsidP="00A15B98">
      <w:pPr>
        <w:pStyle w:val="Footnote"/>
      </w:pPr>
      <w:r w:rsidRPr="00A15B98">
        <w:rPr>
          <w:rStyle w:val="FootnoteReference"/>
          <w:position w:val="0"/>
          <w:sz w:val="20"/>
        </w:rPr>
        <w:footnoteRef/>
      </w:r>
      <w:r w:rsidR="009E6863">
        <w:t xml:space="preserve"> </w:t>
      </w:r>
      <w:r w:rsidRPr="00A15B98">
        <w:t xml:space="preserve">The equivalent power flux-density is defined in </w:t>
      </w:r>
      <w:r w:rsidR="00D9652E" w:rsidRPr="00A15B98">
        <w:t xml:space="preserve">RR </w:t>
      </w:r>
      <w:r w:rsidRPr="00A15B98">
        <w:t xml:space="preserve">No. 22.5C.1. As for </w:t>
      </w:r>
      <w:proofErr w:type="spellStart"/>
      <w:r w:rsidRPr="00A15B98">
        <w:t>pfd</w:t>
      </w:r>
      <w:proofErr w:type="spellEnd"/>
      <w:r w:rsidRPr="00A15B98">
        <w:t xml:space="preserve"> values, </w:t>
      </w:r>
      <w:proofErr w:type="spellStart"/>
      <w:r w:rsidRPr="00A15B98">
        <w:t>epfd</w:t>
      </w:r>
      <w:proofErr w:type="spellEnd"/>
      <w:r w:rsidRPr="00A15B98">
        <w:t xml:space="preserve"> values are correlated to the interference power, </w:t>
      </w:r>
      <w:proofErr w:type="spellStart"/>
      <w:r w:rsidRPr="00A15B98">
        <w:t>Itot</w:t>
      </w:r>
      <w:proofErr w:type="spellEnd"/>
      <w:r w:rsidRPr="00A15B98">
        <w:t xml:space="preserve">, measured at the output of the receiving antenna by the formula: </w:t>
      </w:r>
      <w:proofErr w:type="spellStart"/>
      <w:r w:rsidRPr="00A15B98">
        <w:t>Itot</w:t>
      </w:r>
      <w:proofErr w:type="spellEnd"/>
      <w:r w:rsidRPr="00A15B98">
        <w:t xml:space="preserve"> = </w:t>
      </w:r>
      <w:proofErr w:type="spellStart"/>
      <w:r w:rsidRPr="00A15B98">
        <w:t>epfd</w:t>
      </w:r>
      <w:proofErr w:type="spellEnd"/>
      <w:r w:rsidRPr="00A15B98">
        <w:t xml:space="preserve"> - 10log(4</w:t>
      </w:r>
      <w:r w:rsidRPr="00A15B98">
        <w:rPr>
          <w:rFonts w:eastAsia="Symbol"/>
        </w:rPr>
        <w:t>p</w:t>
      </w:r>
      <w:r w:rsidRPr="00A15B98">
        <w:t>/</w:t>
      </w:r>
      <w:r w:rsidRPr="00A15B98">
        <w:t xml:space="preserve">2) + </w:t>
      </w:r>
      <w:proofErr w:type="spellStart"/>
      <w:proofErr w:type="gramStart"/>
      <w:r w:rsidRPr="00A15B98">
        <w:t>Gr,max</w:t>
      </w:r>
      <w:proofErr w:type="spellEnd"/>
      <w:proofErr w:type="gramEnd"/>
      <w:r w:rsidRPr="00A15B98">
        <w:t xml:space="preserve"> where </w:t>
      </w:r>
      <w:proofErr w:type="spellStart"/>
      <w:r w:rsidRPr="00A15B98">
        <w:t>Gr,max</w:t>
      </w:r>
      <w:proofErr w:type="spellEnd"/>
      <w:r w:rsidRPr="00A15B98">
        <w:t xml:space="preserve"> is the maximum gain (in </w:t>
      </w:r>
      <w:proofErr w:type="spellStart"/>
      <w:r w:rsidRPr="00A15B98">
        <w:t>dBi</w:t>
      </w:r>
      <w:proofErr w:type="spellEnd"/>
      <w:r w:rsidRPr="00A15B98">
        <w:t>) of the antenna of the receive station.</w:t>
      </w:r>
    </w:p>
  </w:footnote>
  <w:footnote w:id="3">
    <w:p w14:paraId="776F24B0" w14:textId="75B548FE" w:rsidR="00C74DA0" w:rsidRPr="002F00A4" w:rsidRDefault="00C74DA0" w:rsidP="007B665F">
      <w:pPr>
        <w:pStyle w:val="Footnote"/>
      </w:pPr>
      <w:r w:rsidRPr="002F00A4">
        <w:rPr>
          <w:rStyle w:val="FootnoteReference"/>
          <w:sz w:val="14"/>
          <w:szCs w:val="16"/>
        </w:rPr>
        <w:footnoteRef/>
      </w:r>
      <w:r w:rsidRPr="002F00A4">
        <w:rPr>
          <w:szCs w:val="16"/>
        </w:rPr>
        <w:t xml:space="preserve"> </w:t>
      </w:r>
      <w:r w:rsidRPr="00142A08">
        <w:rPr>
          <w:szCs w:val="16"/>
        </w:rPr>
        <w:t xml:space="preserve">On a related matter, WRC-19 did not adopt </w:t>
      </w:r>
      <w:r w:rsidRPr="00EE4625">
        <w:rPr>
          <w:szCs w:val="24"/>
        </w:rPr>
        <w:t>any</w:t>
      </w:r>
      <w:r w:rsidRPr="00142A08">
        <w:rPr>
          <w:szCs w:val="16"/>
        </w:rPr>
        <w:t xml:space="preserve"> specific provision related to the application </w:t>
      </w:r>
      <w:r w:rsidRPr="00142A08">
        <w:t xml:space="preserve">of Section II of Article </w:t>
      </w:r>
      <w:r w:rsidRPr="00142A08">
        <w:rPr>
          <w:b/>
          <w:bCs/>
        </w:rPr>
        <w:t>9</w:t>
      </w:r>
      <w:r w:rsidRPr="00142A08">
        <w:t xml:space="preserve"> to the non-geostationary satellite systems notified before 23 November 2019 in the frequency bands 37.5-42.5 GHz, 47.2-50.2 </w:t>
      </w:r>
      <w:proofErr w:type="gramStart"/>
      <w:r w:rsidRPr="00142A08">
        <w:t>GHz</w:t>
      </w:r>
      <w:proofErr w:type="gramEnd"/>
      <w:r w:rsidRPr="00142A08">
        <w:t xml:space="preserve"> and 50.4-51.4 GHz. Therefore, there is no coordination procedure between these systems under </w:t>
      </w:r>
      <w:r w:rsidR="00F31BB4">
        <w:t xml:space="preserve">RR </w:t>
      </w:r>
      <w:r w:rsidRPr="00142A08">
        <w:t xml:space="preserve">No. </w:t>
      </w:r>
      <w:r w:rsidRPr="00142A08">
        <w:rPr>
          <w:b/>
          <w:bCs/>
        </w:rPr>
        <w:t>9.12</w:t>
      </w:r>
      <w:r w:rsidRPr="00142A08">
        <w:t xml:space="preserve"> but coordination under </w:t>
      </w:r>
      <w:r w:rsidR="00F31BB4">
        <w:t xml:space="preserve">RR </w:t>
      </w:r>
      <w:r w:rsidRPr="00142A08">
        <w:t xml:space="preserve">No. </w:t>
      </w:r>
      <w:r w:rsidRPr="00142A08">
        <w:rPr>
          <w:b/>
          <w:bCs/>
        </w:rPr>
        <w:t>9.12</w:t>
      </w:r>
      <w:r w:rsidRPr="00142A08">
        <w:t xml:space="preserve"> </w:t>
      </w:r>
      <w:proofErr w:type="gramStart"/>
      <w:r w:rsidRPr="00142A08">
        <w:t>has to</w:t>
      </w:r>
      <w:proofErr w:type="gramEnd"/>
      <w:r w:rsidRPr="00142A08">
        <w:t xml:space="preserve"> be conducted for coordination requests received as from 23 November 2019 with respect to the frequency assignments notified in these frequency bands before the end of WRC-19.</w:t>
      </w:r>
    </w:p>
  </w:footnote>
  <w:footnote w:id="4">
    <w:p w14:paraId="7DDF7B41" w14:textId="77777777" w:rsidR="00C74DA0" w:rsidRPr="00091AB4" w:rsidRDefault="00C74DA0" w:rsidP="00D57983">
      <w:pPr>
        <w:pStyle w:val="Footnote"/>
      </w:pPr>
      <w:r w:rsidRPr="00091AB4">
        <w:rPr>
          <w:rStyle w:val="FootnoteReference"/>
          <w:szCs w:val="18"/>
        </w:rPr>
        <w:footnoteRef/>
      </w:r>
      <w:r w:rsidRPr="00091AB4">
        <w:t xml:space="preserve"> </w:t>
      </w:r>
      <w:r w:rsidRPr="00091AB4">
        <w:rPr>
          <w:lang w:val="en-US"/>
        </w:rPr>
        <w:t xml:space="preserve">The Administration of Austria contacted the Bureau about the implementation of Resolution </w:t>
      </w:r>
      <w:r w:rsidRPr="00091AB4">
        <w:rPr>
          <w:b/>
          <w:bCs/>
          <w:lang w:val="en-US"/>
        </w:rPr>
        <w:t>559 (WRC-19)</w:t>
      </w:r>
      <w:r w:rsidRPr="00091AB4">
        <w:rPr>
          <w:lang w:val="en-US"/>
        </w:rPr>
        <w:t>.</w:t>
      </w:r>
    </w:p>
  </w:footnote>
  <w:footnote w:id="5">
    <w:p w14:paraId="01886E9E" w14:textId="77777777" w:rsidR="00C74DA0" w:rsidRPr="006C78E5" w:rsidRDefault="00C74DA0" w:rsidP="00D57983">
      <w:pPr>
        <w:pStyle w:val="Footnote"/>
      </w:pPr>
      <w:r w:rsidRPr="00091AB4">
        <w:rPr>
          <w:rStyle w:val="FootnoteReference"/>
          <w:szCs w:val="18"/>
        </w:rPr>
        <w:footnoteRef/>
      </w:r>
      <w:r w:rsidRPr="00091AB4">
        <w:t xml:space="preserve"> </w:t>
      </w:r>
      <w:r w:rsidRPr="00091AB4">
        <w:rPr>
          <w:lang w:val="en-US"/>
        </w:rPr>
        <w:t>The Administration of Denmark requested the assistance of the Bureau to find an appropriate orbital position. The Bureau replied to this request on 28 April 2020.</w:t>
      </w:r>
      <w:r w:rsidRPr="006C78E5">
        <w:rPr>
          <w:lang w:val="en-US"/>
        </w:rPr>
        <w:t xml:space="preserve"> </w:t>
      </w:r>
    </w:p>
  </w:footnote>
  <w:footnote w:id="6">
    <w:p w14:paraId="6A085C91" w14:textId="1B9C433D" w:rsidR="00C74DA0" w:rsidRPr="004B4823" w:rsidRDefault="00C74DA0" w:rsidP="00A463B4">
      <w:pPr>
        <w:pStyle w:val="Footnote"/>
      </w:pPr>
      <w:r w:rsidRPr="00A463B4">
        <w:rPr>
          <w:sz w:val="18"/>
          <w:szCs w:val="18"/>
        </w:rPr>
        <w:footnoteRef/>
      </w:r>
      <w:r w:rsidRPr="00A463B4">
        <w:t xml:space="preserve"> </w:t>
      </w:r>
      <w:r w:rsidRPr="004B4823">
        <w:t>This Column includes cases up to the end of June 2023.</w:t>
      </w:r>
    </w:p>
  </w:footnote>
  <w:footnote w:id="7">
    <w:p w14:paraId="5DD41738" w14:textId="3B50A403" w:rsidR="00C74DA0" w:rsidRPr="00EE13EB" w:rsidRDefault="00C74DA0" w:rsidP="00A463B4">
      <w:pPr>
        <w:pStyle w:val="Footnote"/>
        <w:rPr>
          <w:lang w:val="en-US"/>
        </w:rPr>
      </w:pPr>
      <w:r w:rsidRPr="00DC4CD1">
        <w:rPr>
          <w:rStyle w:val="FootnoteReference"/>
        </w:rPr>
        <w:footnoteRef/>
      </w:r>
      <w:r w:rsidR="000C19A8">
        <w:rPr>
          <w:lang w:val="en-US"/>
        </w:rPr>
        <w:t xml:space="preserve"> </w:t>
      </w:r>
      <w:r w:rsidRPr="00EE13EB">
        <w:rPr>
          <w:lang w:val="en-US"/>
        </w:rPr>
        <w:t xml:space="preserve">The difference between the number of cases received and treated is due to the fact that sometimes notices received </w:t>
      </w:r>
      <w:proofErr w:type="gramStart"/>
      <w:r w:rsidRPr="00EE13EB">
        <w:rPr>
          <w:lang w:val="en-US"/>
        </w:rPr>
        <w:t>during</w:t>
      </w:r>
      <w:proofErr w:type="gramEnd"/>
      <w:r w:rsidRPr="00EE13EB">
        <w:rPr>
          <w:lang w:val="en-US"/>
        </w:rPr>
        <w:t xml:space="preserve"> one year were completed during subsequent year.</w:t>
      </w:r>
    </w:p>
  </w:footnote>
  <w:footnote w:id="8">
    <w:p w14:paraId="2C8B9DE8" w14:textId="77777777" w:rsidR="00C74DA0" w:rsidRPr="00EE13EB" w:rsidRDefault="00C74DA0" w:rsidP="00A463B4">
      <w:pPr>
        <w:pStyle w:val="Footnote"/>
        <w:rPr>
          <w:lang w:val="en-US"/>
        </w:rPr>
      </w:pPr>
      <w:r w:rsidRPr="000926FA">
        <w:rPr>
          <w:rStyle w:val="FootnoteReference"/>
        </w:rPr>
        <w:footnoteRef/>
      </w:r>
      <w:r w:rsidRPr="000926FA">
        <w:rPr>
          <w:lang w:val="en-US"/>
        </w:rPr>
        <w:t xml:space="preserve"> This Column includes cases up to the end of June 2023.</w:t>
      </w:r>
    </w:p>
  </w:footnote>
  <w:footnote w:id="9">
    <w:p w14:paraId="0335899A" w14:textId="77777777" w:rsidR="00C74DA0" w:rsidRPr="00EE13EB" w:rsidRDefault="00C74DA0" w:rsidP="00161878">
      <w:pPr>
        <w:pStyle w:val="Footnote"/>
        <w:rPr>
          <w:lang w:val="en-US"/>
        </w:rPr>
      </w:pPr>
      <w:r>
        <w:rPr>
          <w:rStyle w:val="FootnoteReference"/>
        </w:rPr>
        <w:footnoteRef/>
      </w:r>
      <w:r w:rsidRPr="00EE13EB">
        <w:rPr>
          <w:lang w:val="en-US"/>
        </w:rPr>
        <w:t xml:space="preserve"> </w:t>
      </w:r>
      <w:r w:rsidRPr="00801340">
        <w:rPr>
          <w:lang w:val="en-US"/>
        </w:rPr>
        <w:t>This Column includes cases up to the end of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E4C" w14:textId="77777777" w:rsidR="00C74DA0" w:rsidRDefault="00C74D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E35E51" w14:textId="77777777" w:rsidR="00C74DA0" w:rsidRDefault="00C74D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A638EC" w14:textId="77777777" w:rsidR="00C74DA0" w:rsidRDefault="00C74D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12374"/>
      <w:docPartObj>
        <w:docPartGallery w:val="Page Numbers (Top of Page)"/>
        <w:docPartUnique/>
      </w:docPartObj>
    </w:sdtPr>
    <w:sdtEndPr>
      <w:rPr>
        <w:noProof/>
      </w:rPr>
    </w:sdtEndPr>
    <w:sdtContent>
      <w:p w14:paraId="2188FBAB" w14:textId="77777777" w:rsidR="00C74DA0" w:rsidRDefault="00C74DA0">
        <w:pPr>
          <w:pStyle w:val="Header"/>
        </w:pPr>
        <w:r>
          <w:fldChar w:fldCharType="begin"/>
        </w:r>
        <w:r>
          <w:instrText xml:space="preserve"> PAGE   \* MERGEFORMAT </w:instrText>
        </w:r>
        <w:r>
          <w:fldChar w:fldCharType="separate"/>
        </w:r>
        <w:r>
          <w:rPr>
            <w:noProof/>
          </w:rPr>
          <w:t>64</w:t>
        </w:r>
        <w:r>
          <w:rPr>
            <w:noProof/>
          </w:rPr>
          <w:fldChar w:fldCharType="end"/>
        </w:r>
      </w:p>
      <w:p w14:paraId="1F2BA207" w14:textId="6AF98D77" w:rsidR="00C74DA0" w:rsidRPr="00800972" w:rsidRDefault="00C74DA0">
        <w:pPr>
          <w:pStyle w:val="Header"/>
        </w:pPr>
        <w:r>
          <w:t>WRC23/4(Add.1)-E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F580" w14:textId="77777777" w:rsidR="00C74DA0" w:rsidRDefault="00C74D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7F441B3E" w14:textId="77777777" w:rsidR="00C74DA0" w:rsidRDefault="00C74D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72D6215E" w14:textId="77777777" w:rsidR="00C74DA0" w:rsidRDefault="00C74DA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17456"/>
      <w:docPartObj>
        <w:docPartGallery w:val="Page Numbers (Top of Page)"/>
        <w:docPartUnique/>
      </w:docPartObj>
    </w:sdtPr>
    <w:sdtEndPr>
      <w:rPr>
        <w:noProof/>
      </w:rPr>
    </w:sdtEndPr>
    <w:sdtContent>
      <w:p w14:paraId="05F1500B" w14:textId="77777777" w:rsidR="00A25A8C" w:rsidRDefault="00A25A8C" w:rsidP="00A25A8C">
        <w:pPr>
          <w:pStyle w:val="Header"/>
        </w:pPr>
        <w:r>
          <w:fldChar w:fldCharType="begin"/>
        </w:r>
        <w:r>
          <w:instrText xml:space="preserve"> PAGE   \* MERGEFORMAT </w:instrText>
        </w:r>
        <w:r>
          <w:fldChar w:fldCharType="separate"/>
        </w:r>
        <w:r>
          <w:t>62</w:t>
        </w:r>
        <w:r>
          <w:rPr>
            <w:noProof/>
          </w:rPr>
          <w:fldChar w:fldCharType="end"/>
        </w:r>
      </w:p>
      <w:p w14:paraId="15985984" w14:textId="77777777" w:rsidR="00A25A8C" w:rsidRDefault="00A25A8C" w:rsidP="00A25A8C">
        <w:pPr>
          <w:pStyle w:val="Header"/>
        </w:pPr>
        <w:r>
          <w:t>WRC23/4(Add.1)-E</w:t>
        </w:r>
      </w:p>
    </w:sdtContent>
  </w:sdt>
  <w:p w14:paraId="03744AAE" w14:textId="3B1E6201" w:rsidR="00C74DA0" w:rsidRPr="00800972" w:rsidRDefault="00C74DA0" w:rsidP="00A25A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717" w14:textId="77777777" w:rsidR="004B68BD" w:rsidRDefault="004B68BD" w:rsidP="00A25A8C">
    <w:pPr>
      <w:pStyle w:val="Header"/>
    </w:pPr>
    <w:r>
      <w:fldChar w:fldCharType="begin"/>
    </w:r>
    <w:r>
      <w:instrText xml:space="preserve"> PAGE   \* MERGEFORMAT </w:instrText>
    </w:r>
    <w:r>
      <w:fldChar w:fldCharType="separate"/>
    </w:r>
    <w:r>
      <w:t>2</w:t>
    </w:r>
    <w:r>
      <w:rPr>
        <w:noProof/>
      </w:rPr>
      <w:fldChar w:fldCharType="end"/>
    </w:r>
  </w:p>
  <w:p w14:paraId="40D6E122" w14:textId="77777777" w:rsidR="004B68BD" w:rsidRDefault="004B68BD" w:rsidP="00A25A8C">
    <w:pPr>
      <w:pStyle w:val="Header"/>
    </w:pPr>
    <w:r>
      <w:t>WRC23/4(Add.1)-</w:t>
    </w:r>
    <w:proofErr w:type="gramStart"/>
    <w:r>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C02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69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A4D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FCE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E5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88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9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66E7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FC48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840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625EA3"/>
    <w:multiLevelType w:val="hybridMultilevel"/>
    <w:tmpl w:val="2BEEBE04"/>
    <w:lvl w:ilvl="0" w:tplc="2692233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C129C"/>
    <w:multiLevelType w:val="multilevel"/>
    <w:tmpl w:val="1F2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820320">
    <w:abstractNumId w:val="11"/>
  </w:num>
  <w:num w:numId="2" w16cid:durableId="1842499209">
    <w:abstractNumId w:val="10"/>
  </w:num>
  <w:num w:numId="3" w16cid:durableId="662775899">
    <w:abstractNumId w:val="9"/>
  </w:num>
  <w:num w:numId="4" w16cid:durableId="1227492444">
    <w:abstractNumId w:val="7"/>
  </w:num>
  <w:num w:numId="5" w16cid:durableId="889196330">
    <w:abstractNumId w:val="6"/>
  </w:num>
  <w:num w:numId="6" w16cid:durableId="1306591583">
    <w:abstractNumId w:val="5"/>
  </w:num>
  <w:num w:numId="7" w16cid:durableId="1619799196">
    <w:abstractNumId w:val="4"/>
  </w:num>
  <w:num w:numId="8" w16cid:durableId="1210873224">
    <w:abstractNumId w:val="8"/>
  </w:num>
  <w:num w:numId="9" w16cid:durableId="943850349">
    <w:abstractNumId w:val="3"/>
  </w:num>
  <w:num w:numId="10" w16cid:durableId="1634210211">
    <w:abstractNumId w:val="2"/>
  </w:num>
  <w:num w:numId="11" w16cid:durableId="1118720968">
    <w:abstractNumId w:val="1"/>
  </w:num>
  <w:num w:numId="12" w16cid:durableId="1574003720">
    <w:abstractNumId w:val="0"/>
  </w:num>
  <w:num w:numId="13" w16cid:durableId="2099714370">
    <w:abstractNumId w:val="9"/>
  </w:num>
  <w:num w:numId="14" w16cid:durableId="1229606550">
    <w:abstractNumId w:val="7"/>
  </w:num>
  <w:num w:numId="15" w16cid:durableId="1364212177">
    <w:abstractNumId w:val="6"/>
  </w:num>
  <w:num w:numId="16" w16cid:durableId="1927298029">
    <w:abstractNumId w:val="5"/>
  </w:num>
  <w:num w:numId="17" w16cid:durableId="900864859">
    <w:abstractNumId w:val="4"/>
  </w:num>
  <w:num w:numId="18" w16cid:durableId="1482162778">
    <w:abstractNumId w:val="8"/>
  </w:num>
  <w:num w:numId="19" w16cid:durableId="1419591941">
    <w:abstractNumId w:val="3"/>
  </w:num>
  <w:num w:numId="20" w16cid:durableId="1026828595">
    <w:abstractNumId w:val="2"/>
  </w:num>
  <w:num w:numId="21" w16cid:durableId="1125470212">
    <w:abstractNumId w:val="1"/>
  </w:num>
  <w:num w:numId="22" w16cid:durableId="10533097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FF"/>
    <w:rsid w:val="00000BD5"/>
    <w:rsid w:val="000041EA"/>
    <w:rsid w:val="0000520D"/>
    <w:rsid w:val="00012F1B"/>
    <w:rsid w:val="0001467E"/>
    <w:rsid w:val="00014DF2"/>
    <w:rsid w:val="00022A29"/>
    <w:rsid w:val="000268FF"/>
    <w:rsid w:val="0003162D"/>
    <w:rsid w:val="00031ABC"/>
    <w:rsid w:val="00034DA9"/>
    <w:rsid w:val="000355FD"/>
    <w:rsid w:val="0003637F"/>
    <w:rsid w:val="00036EB4"/>
    <w:rsid w:val="00040B10"/>
    <w:rsid w:val="00041411"/>
    <w:rsid w:val="0004226C"/>
    <w:rsid w:val="00050F96"/>
    <w:rsid w:val="00051A64"/>
    <w:rsid w:val="00051E39"/>
    <w:rsid w:val="00051F00"/>
    <w:rsid w:val="0005265F"/>
    <w:rsid w:val="000533DC"/>
    <w:rsid w:val="00053C76"/>
    <w:rsid w:val="00060AFF"/>
    <w:rsid w:val="00061C3A"/>
    <w:rsid w:val="000633B6"/>
    <w:rsid w:val="0007405A"/>
    <w:rsid w:val="0007459B"/>
    <w:rsid w:val="0007677F"/>
    <w:rsid w:val="00077239"/>
    <w:rsid w:val="0007757C"/>
    <w:rsid w:val="00080E3E"/>
    <w:rsid w:val="00082948"/>
    <w:rsid w:val="000856E6"/>
    <w:rsid w:val="00085E10"/>
    <w:rsid w:val="000862BF"/>
    <w:rsid w:val="00086491"/>
    <w:rsid w:val="00091346"/>
    <w:rsid w:val="00091886"/>
    <w:rsid w:val="00091AB4"/>
    <w:rsid w:val="0009661C"/>
    <w:rsid w:val="000A4417"/>
    <w:rsid w:val="000B27EA"/>
    <w:rsid w:val="000B33A8"/>
    <w:rsid w:val="000B68E3"/>
    <w:rsid w:val="000B7933"/>
    <w:rsid w:val="000C0005"/>
    <w:rsid w:val="000C19A8"/>
    <w:rsid w:val="000C2F70"/>
    <w:rsid w:val="000C4616"/>
    <w:rsid w:val="000C7898"/>
    <w:rsid w:val="000D171A"/>
    <w:rsid w:val="000E4EFB"/>
    <w:rsid w:val="000E716A"/>
    <w:rsid w:val="000F0CFF"/>
    <w:rsid w:val="000F1649"/>
    <w:rsid w:val="000F56E2"/>
    <w:rsid w:val="000F73FF"/>
    <w:rsid w:val="00100BB6"/>
    <w:rsid w:val="001027B7"/>
    <w:rsid w:val="00103C10"/>
    <w:rsid w:val="0010557E"/>
    <w:rsid w:val="00114CF7"/>
    <w:rsid w:val="00121015"/>
    <w:rsid w:val="00123B68"/>
    <w:rsid w:val="0012556A"/>
    <w:rsid w:val="00126F2E"/>
    <w:rsid w:val="00127267"/>
    <w:rsid w:val="00130B21"/>
    <w:rsid w:val="00131A9F"/>
    <w:rsid w:val="00132F3E"/>
    <w:rsid w:val="00140A81"/>
    <w:rsid w:val="00142173"/>
    <w:rsid w:val="00143CF0"/>
    <w:rsid w:val="0014540F"/>
    <w:rsid w:val="00146F6F"/>
    <w:rsid w:val="00150947"/>
    <w:rsid w:val="001559C6"/>
    <w:rsid w:val="00156849"/>
    <w:rsid w:val="00161878"/>
    <w:rsid w:val="00162D93"/>
    <w:rsid w:val="001666B0"/>
    <w:rsid w:val="001721A5"/>
    <w:rsid w:val="0017462B"/>
    <w:rsid w:val="00176D96"/>
    <w:rsid w:val="00183A1A"/>
    <w:rsid w:val="00190B55"/>
    <w:rsid w:val="00194F8B"/>
    <w:rsid w:val="00197B95"/>
    <w:rsid w:val="001A1AEF"/>
    <w:rsid w:val="001A5531"/>
    <w:rsid w:val="001A5BB2"/>
    <w:rsid w:val="001B2CE0"/>
    <w:rsid w:val="001C3B5F"/>
    <w:rsid w:val="001C4B33"/>
    <w:rsid w:val="001D01D2"/>
    <w:rsid w:val="001D058F"/>
    <w:rsid w:val="001E019F"/>
    <w:rsid w:val="001E1CF0"/>
    <w:rsid w:val="001E209D"/>
    <w:rsid w:val="001E4882"/>
    <w:rsid w:val="001F23E5"/>
    <w:rsid w:val="001F43C1"/>
    <w:rsid w:val="001F7160"/>
    <w:rsid w:val="00200485"/>
    <w:rsid w:val="002009EA"/>
    <w:rsid w:val="00202CA0"/>
    <w:rsid w:val="00203BE1"/>
    <w:rsid w:val="00206863"/>
    <w:rsid w:val="00207084"/>
    <w:rsid w:val="002071D0"/>
    <w:rsid w:val="00211D54"/>
    <w:rsid w:val="00213C1B"/>
    <w:rsid w:val="002162DD"/>
    <w:rsid w:val="00221BA5"/>
    <w:rsid w:val="00237EE3"/>
    <w:rsid w:val="002417DD"/>
    <w:rsid w:val="00242455"/>
    <w:rsid w:val="00252168"/>
    <w:rsid w:val="00256407"/>
    <w:rsid w:val="00257EF4"/>
    <w:rsid w:val="002642D2"/>
    <w:rsid w:val="00266829"/>
    <w:rsid w:val="00271316"/>
    <w:rsid w:val="00273E69"/>
    <w:rsid w:val="00275AED"/>
    <w:rsid w:val="002805AC"/>
    <w:rsid w:val="00281B2E"/>
    <w:rsid w:val="002820E6"/>
    <w:rsid w:val="0028247A"/>
    <w:rsid w:val="00285BF6"/>
    <w:rsid w:val="002912AB"/>
    <w:rsid w:val="00293550"/>
    <w:rsid w:val="002950FD"/>
    <w:rsid w:val="00295CFE"/>
    <w:rsid w:val="002A2089"/>
    <w:rsid w:val="002A28E4"/>
    <w:rsid w:val="002B0372"/>
    <w:rsid w:val="002B3138"/>
    <w:rsid w:val="002B74C2"/>
    <w:rsid w:val="002B78BA"/>
    <w:rsid w:val="002C1533"/>
    <w:rsid w:val="002C27FF"/>
    <w:rsid w:val="002C350D"/>
    <w:rsid w:val="002C436B"/>
    <w:rsid w:val="002D2F64"/>
    <w:rsid w:val="002D4177"/>
    <w:rsid w:val="002D4786"/>
    <w:rsid w:val="002D4EE1"/>
    <w:rsid w:val="002D58BE"/>
    <w:rsid w:val="002D63D2"/>
    <w:rsid w:val="002D7452"/>
    <w:rsid w:val="002D79C2"/>
    <w:rsid w:val="002E1660"/>
    <w:rsid w:val="002E65B7"/>
    <w:rsid w:val="002E6D48"/>
    <w:rsid w:val="002F1329"/>
    <w:rsid w:val="002F14D1"/>
    <w:rsid w:val="002F295B"/>
    <w:rsid w:val="002F3B3C"/>
    <w:rsid w:val="002F46F1"/>
    <w:rsid w:val="002F6A29"/>
    <w:rsid w:val="003022B6"/>
    <w:rsid w:val="003024D9"/>
    <w:rsid w:val="00304A44"/>
    <w:rsid w:val="00305594"/>
    <w:rsid w:val="00306DAC"/>
    <w:rsid w:val="00315FAA"/>
    <w:rsid w:val="00316C0D"/>
    <w:rsid w:val="0032079F"/>
    <w:rsid w:val="00322626"/>
    <w:rsid w:val="003243C6"/>
    <w:rsid w:val="00325CB9"/>
    <w:rsid w:val="003333FE"/>
    <w:rsid w:val="00335150"/>
    <w:rsid w:val="00340146"/>
    <w:rsid w:val="00340334"/>
    <w:rsid w:val="00341F6F"/>
    <w:rsid w:val="00342A88"/>
    <w:rsid w:val="0034499E"/>
    <w:rsid w:val="00346DF4"/>
    <w:rsid w:val="00352E24"/>
    <w:rsid w:val="0035542F"/>
    <w:rsid w:val="003561C6"/>
    <w:rsid w:val="0036340C"/>
    <w:rsid w:val="003651EF"/>
    <w:rsid w:val="0036598C"/>
    <w:rsid w:val="0037526C"/>
    <w:rsid w:val="00375270"/>
    <w:rsid w:val="0037607F"/>
    <w:rsid w:val="0037648D"/>
    <w:rsid w:val="00377BD3"/>
    <w:rsid w:val="00383AF2"/>
    <w:rsid w:val="00384088"/>
    <w:rsid w:val="00386283"/>
    <w:rsid w:val="00386477"/>
    <w:rsid w:val="00387346"/>
    <w:rsid w:val="00395011"/>
    <w:rsid w:val="00396AEF"/>
    <w:rsid w:val="00397B75"/>
    <w:rsid w:val="003A2C0F"/>
    <w:rsid w:val="003A3F0C"/>
    <w:rsid w:val="003A447F"/>
    <w:rsid w:val="003A6C98"/>
    <w:rsid w:val="003A761D"/>
    <w:rsid w:val="003A7F8C"/>
    <w:rsid w:val="003B532E"/>
    <w:rsid w:val="003C4DE3"/>
    <w:rsid w:val="003C639B"/>
    <w:rsid w:val="003D0F8B"/>
    <w:rsid w:val="003D1E00"/>
    <w:rsid w:val="003D75A7"/>
    <w:rsid w:val="003E0107"/>
    <w:rsid w:val="003E0126"/>
    <w:rsid w:val="003E55DE"/>
    <w:rsid w:val="003F0E39"/>
    <w:rsid w:val="003F390C"/>
    <w:rsid w:val="003F488D"/>
    <w:rsid w:val="00402D38"/>
    <w:rsid w:val="0040794F"/>
    <w:rsid w:val="0041348E"/>
    <w:rsid w:val="004155B9"/>
    <w:rsid w:val="00415AD3"/>
    <w:rsid w:val="00424EBE"/>
    <w:rsid w:val="00426AED"/>
    <w:rsid w:val="00427307"/>
    <w:rsid w:val="004279FE"/>
    <w:rsid w:val="0043253B"/>
    <w:rsid w:val="0043444A"/>
    <w:rsid w:val="0043457E"/>
    <w:rsid w:val="004409DA"/>
    <w:rsid w:val="00443866"/>
    <w:rsid w:val="00445F8F"/>
    <w:rsid w:val="00457B52"/>
    <w:rsid w:val="00461086"/>
    <w:rsid w:val="004631D2"/>
    <w:rsid w:val="00463515"/>
    <w:rsid w:val="00464346"/>
    <w:rsid w:val="00464E94"/>
    <w:rsid w:val="00467ED4"/>
    <w:rsid w:val="00470EAB"/>
    <w:rsid w:val="00472EB7"/>
    <w:rsid w:val="0047400F"/>
    <w:rsid w:val="00476469"/>
    <w:rsid w:val="00481465"/>
    <w:rsid w:val="00485F11"/>
    <w:rsid w:val="00486574"/>
    <w:rsid w:val="00486E17"/>
    <w:rsid w:val="00487055"/>
    <w:rsid w:val="00492075"/>
    <w:rsid w:val="0049526C"/>
    <w:rsid w:val="00495896"/>
    <w:rsid w:val="004969AD"/>
    <w:rsid w:val="00496BF6"/>
    <w:rsid w:val="00496DFC"/>
    <w:rsid w:val="004A04A7"/>
    <w:rsid w:val="004A1062"/>
    <w:rsid w:val="004A1742"/>
    <w:rsid w:val="004A27C9"/>
    <w:rsid w:val="004A49E8"/>
    <w:rsid w:val="004A7411"/>
    <w:rsid w:val="004B4823"/>
    <w:rsid w:val="004B68BD"/>
    <w:rsid w:val="004B700C"/>
    <w:rsid w:val="004B7493"/>
    <w:rsid w:val="004B7D32"/>
    <w:rsid w:val="004C14ED"/>
    <w:rsid w:val="004C48C7"/>
    <w:rsid w:val="004C7B1D"/>
    <w:rsid w:val="004D0673"/>
    <w:rsid w:val="004D0861"/>
    <w:rsid w:val="004D1BC9"/>
    <w:rsid w:val="004D20C8"/>
    <w:rsid w:val="004D5D5C"/>
    <w:rsid w:val="004E046F"/>
    <w:rsid w:val="004E15CD"/>
    <w:rsid w:val="004E3748"/>
    <w:rsid w:val="004E6670"/>
    <w:rsid w:val="004F3679"/>
    <w:rsid w:val="004F37DC"/>
    <w:rsid w:val="0050139F"/>
    <w:rsid w:val="00513ADD"/>
    <w:rsid w:val="005161EF"/>
    <w:rsid w:val="005177C9"/>
    <w:rsid w:val="00522AB7"/>
    <w:rsid w:val="00523153"/>
    <w:rsid w:val="00532202"/>
    <w:rsid w:val="00541A3C"/>
    <w:rsid w:val="00542733"/>
    <w:rsid w:val="005427DF"/>
    <w:rsid w:val="005511F1"/>
    <w:rsid w:val="005514B3"/>
    <w:rsid w:val="00552866"/>
    <w:rsid w:val="00557821"/>
    <w:rsid w:val="00560BA1"/>
    <w:rsid w:val="0056577E"/>
    <w:rsid w:val="005812BD"/>
    <w:rsid w:val="005864C3"/>
    <w:rsid w:val="00587061"/>
    <w:rsid w:val="005944B4"/>
    <w:rsid w:val="005964AB"/>
    <w:rsid w:val="005976E1"/>
    <w:rsid w:val="005978DC"/>
    <w:rsid w:val="005A299A"/>
    <w:rsid w:val="005A3C5A"/>
    <w:rsid w:val="005A3D6D"/>
    <w:rsid w:val="005A462B"/>
    <w:rsid w:val="005A66C9"/>
    <w:rsid w:val="005A7EF9"/>
    <w:rsid w:val="005B0784"/>
    <w:rsid w:val="005B3042"/>
    <w:rsid w:val="005B3EEA"/>
    <w:rsid w:val="005B432E"/>
    <w:rsid w:val="005C099A"/>
    <w:rsid w:val="005C1A0F"/>
    <w:rsid w:val="005C211D"/>
    <w:rsid w:val="005C24D4"/>
    <w:rsid w:val="005C31A5"/>
    <w:rsid w:val="005D1F78"/>
    <w:rsid w:val="005D6BCA"/>
    <w:rsid w:val="005E0703"/>
    <w:rsid w:val="005E4466"/>
    <w:rsid w:val="005E61DD"/>
    <w:rsid w:val="006022D4"/>
    <w:rsid w:val="006023DF"/>
    <w:rsid w:val="00605FAF"/>
    <w:rsid w:val="00607900"/>
    <w:rsid w:val="00612153"/>
    <w:rsid w:val="006123E4"/>
    <w:rsid w:val="00621502"/>
    <w:rsid w:val="006243E7"/>
    <w:rsid w:val="0063200A"/>
    <w:rsid w:val="0063211F"/>
    <w:rsid w:val="00635C38"/>
    <w:rsid w:val="00636247"/>
    <w:rsid w:val="006373BE"/>
    <w:rsid w:val="0065275D"/>
    <w:rsid w:val="006569A4"/>
    <w:rsid w:val="006571FA"/>
    <w:rsid w:val="00657DE0"/>
    <w:rsid w:val="00662DF2"/>
    <w:rsid w:val="0066340F"/>
    <w:rsid w:val="00667E4B"/>
    <w:rsid w:val="006743DB"/>
    <w:rsid w:val="006828D1"/>
    <w:rsid w:val="00685313"/>
    <w:rsid w:val="006868A4"/>
    <w:rsid w:val="00687510"/>
    <w:rsid w:val="006924DE"/>
    <w:rsid w:val="006A01B5"/>
    <w:rsid w:val="006A1037"/>
    <w:rsid w:val="006A1587"/>
    <w:rsid w:val="006A2E9A"/>
    <w:rsid w:val="006A33D5"/>
    <w:rsid w:val="006A4039"/>
    <w:rsid w:val="006A64B2"/>
    <w:rsid w:val="006A65AE"/>
    <w:rsid w:val="006A6E9B"/>
    <w:rsid w:val="006B0465"/>
    <w:rsid w:val="006B0688"/>
    <w:rsid w:val="006B1C7B"/>
    <w:rsid w:val="006B2649"/>
    <w:rsid w:val="006B3961"/>
    <w:rsid w:val="006B7FF0"/>
    <w:rsid w:val="006C0445"/>
    <w:rsid w:val="006D1855"/>
    <w:rsid w:val="006D4B89"/>
    <w:rsid w:val="006D50F0"/>
    <w:rsid w:val="006D6A11"/>
    <w:rsid w:val="006D7B02"/>
    <w:rsid w:val="006D7CEE"/>
    <w:rsid w:val="006E25E0"/>
    <w:rsid w:val="006E39B2"/>
    <w:rsid w:val="006E5640"/>
    <w:rsid w:val="006E6B89"/>
    <w:rsid w:val="006E749B"/>
    <w:rsid w:val="006F020A"/>
    <w:rsid w:val="006F449C"/>
    <w:rsid w:val="006F60B9"/>
    <w:rsid w:val="006F73BC"/>
    <w:rsid w:val="006F7DB1"/>
    <w:rsid w:val="007001B3"/>
    <w:rsid w:val="007007AF"/>
    <w:rsid w:val="00701C9F"/>
    <w:rsid w:val="00702944"/>
    <w:rsid w:val="00703F4C"/>
    <w:rsid w:val="00704E88"/>
    <w:rsid w:val="0071143D"/>
    <w:rsid w:val="007114E8"/>
    <w:rsid w:val="007149F9"/>
    <w:rsid w:val="00716D6B"/>
    <w:rsid w:val="00720CCF"/>
    <w:rsid w:val="0072550E"/>
    <w:rsid w:val="00727F0D"/>
    <w:rsid w:val="00727FBC"/>
    <w:rsid w:val="00733435"/>
    <w:rsid w:val="00733A30"/>
    <w:rsid w:val="00734026"/>
    <w:rsid w:val="00743723"/>
    <w:rsid w:val="00745349"/>
    <w:rsid w:val="00745AEE"/>
    <w:rsid w:val="00747995"/>
    <w:rsid w:val="00752CE3"/>
    <w:rsid w:val="00753864"/>
    <w:rsid w:val="00756EC8"/>
    <w:rsid w:val="007742CA"/>
    <w:rsid w:val="00782401"/>
    <w:rsid w:val="007841C0"/>
    <w:rsid w:val="00786679"/>
    <w:rsid w:val="0079144C"/>
    <w:rsid w:val="007935CE"/>
    <w:rsid w:val="0079681E"/>
    <w:rsid w:val="00796DC1"/>
    <w:rsid w:val="00796FB4"/>
    <w:rsid w:val="007A4C42"/>
    <w:rsid w:val="007B0BF7"/>
    <w:rsid w:val="007B6371"/>
    <w:rsid w:val="007B665F"/>
    <w:rsid w:val="007B7E09"/>
    <w:rsid w:val="007C515F"/>
    <w:rsid w:val="007D4AD6"/>
    <w:rsid w:val="007D54EF"/>
    <w:rsid w:val="007E34DC"/>
    <w:rsid w:val="007E3A63"/>
    <w:rsid w:val="007E43D5"/>
    <w:rsid w:val="007E6B75"/>
    <w:rsid w:val="007F35E2"/>
    <w:rsid w:val="007F6FA6"/>
    <w:rsid w:val="00800972"/>
    <w:rsid w:val="00802BB6"/>
    <w:rsid w:val="00803CA2"/>
    <w:rsid w:val="00804DB6"/>
    <w:rsid w:val="008072DD"/>
    <w:rsid w:val="00807C0B"/>
    <w:rsid w:val="00811068"/>
    <w:rsid w:val="00811633"/>
    <w:rsid w:val="00814B2B"/>
    <w:rsid w:val="00815D9C"/>
    <w:rsid w:val="00816567"/>
    <w:rsid w:val="008262FA"/>
    <w:rsid w:val="008271AE"/>
    <w:rsid w:val="00827242"/>
    <w:rsid w:val="00830115"/>
    <w:rsid w:val="00832295"/>
    <w:rsid w:val="00833587"/>
    <w:rsid w:val="00837996"/>
    <w:rsid w:val="00844E02"/>
    <w:rsid w:val="0085046A"/>
    <w:rsid w:val="008526BD"/>
    <w:rsid w:val="008554FD"/>
    <w:rsid w:val="00860105"/>
    <w:rsid w:val="008630C2"/>
    <w:rsid w:val="00863DD0"/>
    <w:rsid w:val="00866832"/>
    <w:rsid w:val="008668D0"/>
    <w:rsid w:val="008670D9"/>
    <w:rsid w:val="0086718A"/>
    <w:rsid w:val="00872FC8"/>
    <w:rsid w:val="00874BD4"/>
    <w:rsid w:val="0087678F"/>
    <w:rsid w:val="00876DB8"/>
    <w:rsid w:val="00882CA3"/>
    <w:rsid w:val="00882D90"/>
    <w:rsid w:val="00883F7B"/>
    <w:rsid w:val="008845D0"/>
    <w:rsid w:val="00887CE8"/>
    <w:rsid w:val="00891D62"/>
    <w:rsid w:val="0089264A"/>
    <w:rsid w:val="008948FC"/>
    <w:rsid w:val="008A3A88"/>
    <w:rsid w:val="008A3BC7"/>
    <w:rsid w:val="008A7265"/>
    <w:rsid w:val="008A7985"/>
    <w:rsid w:val="008A7CB7"/>
    <w:rsid w:val="008B02B0"/>
    <w:rsid w:val="008B0330"/>
    <w:rsid w:val="008B1541"/>
    <w:rsid w:val="008B21D6"/>
    <w:rsid w:val="008B2586"/>
    <w:rsid w:val="008B3569"/>
    <w:rsid w:val="008B43F2"/>
    <w:rsid w:val="008C04DB"/>
    <w:rsid w:val="008C2981"/>
    <w:rsid w:val="008C4CFE"/>
    <w:rsid w:val="008C5CD9"/>
    <w:rsid w:val="008D063A"/>
    <w:rsid w:val="008D216E"/>
    <w:rsid w:val="008D5D74"/>
    <w:rsid w:val="008D69F4"/>
    <w:rsid w:val="008E147A"/>
    <w:rsid w:val="008E2CB3"/>
    <w:rsid w:val="008E3665"/>
    <w:rsid w:val="008E374B"/>
    <w:rsid w:val="008F3BB5"/>
    <w:rsid w:val="008F4E74"/>
    <w:rsid w:val="008F5BFA"/>
    <w:rsid w:val="00911DC8"/>
    <w:rsid w:val="0091225A"/>
    <w:rsid w:val="00912DAB"/>
    <w:rsid w:val="00915398"/>
    <w:rsid w:val="00916401"/>
    <w:rsid w:val="00926883"/>
    <w:rsid w:val="009274B4"/>
    <w:rsid w:val="00934DEE"/>
    <w:rsid w:val="009359CE"/>
    <w:rsid w:val="00944A5C"/>
    <w:rsid w:val="009510C1"/>
    <w:rsid w:val="00951F3E"/>
    <w:rsid w:val="00952A66"/>
    <w:rsid w:val="00953746"/>
    <w:rsid w:val="009624B0"/>
    <w:rsid w:val="00963FDD"/>
    <w:rsid w:val="00966F2C"/>
    <w:rsid w:val="00970C5B"/>
    <w:rsid w:val="00971D0D"/>
    <w:rsid w:val="00974431"/>
    <w:rsid w:val="00975919"/>
    <w:rsid w:val="0098143D"/>
    <w:rsid w:val="00981915"/>
    <w:rsid w:val="009829C2"/>
    <w:rsid w:val="009829F6"/>
    <w:rsid w:val="009903D2"/>
    <w:rsid w:val="009968F5"/>
    <w:rsid w:val="00997F2B"/>
    <w:rsid w:val="009A3F8F"/>
    <w:rsid w:val="009B3E3C"/>
    <w:rsid w:val="009B4A18"/>
    <w:rsid w:val="009B6530"/>
    <w:rsid w:val="009B7C35"/>
    <w:rsid w:val="009C0906"/>
    <w:rsid w:val="009C0B35"/>
    <w:rsid w:val="009C56E5"/>
    <w:rsid w:val="009C7990"/>
    <w:rsid w:val="009D04A7"/>
    <w:rsid w:val="009D13CF"/>
    <w:rsid w:val="009D5DD7"/>
    <w:rsid w:val="009D6771"/>
    <w:rsid w:val="009D7FBF"/>
    <w:rsid w:val="009E35D5"/>
    <w:rsid w:val="009E44E6"/>
    <w:rsid w:val="009E5FC8"/>
    <w:rsid w:val="009E6863"/>
    <w:rsid w:val="009E687A"/>
    <w:rsid w:val="009EC7E9"/>
    <w:rsid w:val="009F0754"/>
    <w:rsid w:val="009F4009"/>
    <w:rsid w:val="009F40BD"/>
    <w:rsid w:val="009F6D76"/>
    <w:rsid w:val="009F7599"/>
    <w:rsid w:val="00A01483"/>
    <w:rsid w:val="00A0353A"/>
    <w:rsid w:val="00A04297"/>
    <w:rsid w:val="00A141AF"/>
    <w:rsid w:val="00A15AFD"/>
    <w:rsid w:val="00A15B98"/>
    <w:rsid w:val="00A16D29"/>
    <w:rsid w:val="00A20116"/>
    <w:rsid w:val="00A2048C"/>
    <w:rsid w:val="00A2231A"/>
    <w:rsid w:val="00A23FD3"/>
    <w:rsid w:val="00A2426A"/>
    <w:rsid w:val="00A25A8C"/>
    <w:rsid w:val="00A3008E"/>
    <w:rsid w:val="00A300CB"/>
    <w:rsid w:val="00A30305"/>
    <w:rsid w:val="00A31D2D"/>
    <w:rsid w:val="00A33D40"/>
    <w:rsid w:val="00A3622E"/>
    <w:rsid w:val="00A37EF0"/>
    <w:rsid w:val="00A44C8A"/>
    <w:rsid w:val="00A4600A"/>
    <w:rsid w:val="00A463B4"/>
    <w:rsid w:val="00A476D4"/>
    <w:rsid w:val="00A50BDA"/>
    <w:rsid w:val="00A5319A"/>
    <w:rsid w:val="00A54C25"/>
    <w:rsid w:val="00A56B96"/>
    <w:rsid w:val="00A57CBC"/>
    <w:rsid w:val="00A627DA"/>
    <w:rsid w:val="00A677C2"/>
    <w:rsid w:val="00A710E7"/>
    <w:rsid w:val="00A730A3"/>
    <w:rsid w:val="00A7372E"/>
    <w:rsid w:val="00A73FF0"/>
    <w:rsid w:val="00A74E92"/>
    <w:rsid w:val="00A774DF"/>
    <w:rsid w:val="00A77634"/>
    <w:rsid w:val="00A777AB"/>
    <w:rsid w:val="00A80D73"/>
    <w:rsid w:val="00A85B17"/>
    <w:rsid w:val="00A86717"/>
    <w:rsid w:val="00A908FE"/>
    <w:rsid w:val="00A91E29"/>
    <w:rsid w:val="00A93B85"/>
    <w:rsid w:val="00A95ED3"/>
    <w:rsid w:val="00A963F7"/>
    <w:rsid w:val="00AA0B18"/>
    <w:rsid w:val="00AB1793"/>
    <w:rsid w:val="00AB5271"/>
    <w:rsid w:val="00AB66C2"/>
    <w:rsid w:val="00AC219E"/>
    <w:rsid w:val="00AC69B0"/>
    <w:rsid w:val="00AC7C32"/>
    <w:rsid w:val="00AD083C"/>
    <w:rsid w:val="00AD1C64"/>
    <w:rsid w:val="00AD3CA9"/>
    <w:rsid w:val="00AD409C"/>
    <w:rsid w:val="00AD45C5"/>
    <w:rsid w:val="00AD5A45"/>
    <w:rsid w:val="00AE3E54"/>
    <w:rsid w:val="00AE45CA"/>
    <w:rsid w:val="00B010D5"/>
    <w:rsid w:val="00B03F6F"/>
    <w:rsid w:val="00B052CD"/>
    <w:rsid w:val="00B10446"/>
    <w:rsid w:val="00B11532"/>
    <w:rsid w:val="00B14B84"/>
    <w:rsid w:val="00B255DE"/>
    <w:rsid w:val="00B26F1A"/>
    <w:rsid w:val="00B270B5"/>
    <w:rsid w:val="00B30D2A"/>
    <w:rsid w:val="00B3333B"/>
    <w:rsid w:val="00B33365"/>
    <w:rsid w:val="00B35D7C"/>
    <w:rsid w:val="00B37A1C"/>
    <w:rsid w:val="00B45845"/>
    <w:rsid w:val="00B459BB"/>
    <w:rsid w:val="00B5300D"/>
    <w:rsid w:val="00B5313A"/>
    <w:rsid w:val="00B547F1"/>
    <w:rsid w:val="00B60361"/>
    <w:rsid w:val="00B60926"/>
    <w:rsid w:val="00B639E9"/>
    <w:rsid w:val="00B66F59"/>
    <w:rsid w:val="00B73C53"/>
    <w:rsid w:val="00B817CD"/>
    <w:rsid w:val="00B8429A"/>
    <w:rsid w:val="00B85207"/>
    <w:rsid w:val="00B90E2E"/>
    <w:rsid w:val="00B95DFE"/>
    <w:rsid w:val="00BA095D"/>
    <w:rsid w:val="00BA2231"/>
    <w:rsid w:val="00BA59A8"/>
    <w:rsid w:val="00BB08B3"/>
    <w:rsid w:val="00BB18BC"/>
    <w:rsid w:val="00BB3A95"/>
    <w:rsid w:val="00BC00AC"/>
    <w:rsid w:val="00BC33ED"/>
    <w:rsid w:val="00BC6378"/>
    <w:rsid w:val="00BC7FB9"/>
    <w:rsid w:val="00BD01EC"/>
    <w:rsid w:val="00BD0ADF"/>
    <w:rsid w:val="00BD0C13"/>
    <w:rsid w:val="00BD6051"/>
    <w:rsid w:val="00BE6428"/>
    <w:rsid w:val="00BE6F12"/>
    <w:rsid w:val="00BE71C5"/>
    <w:rsid w:val="00BF0888"/>
    <w:rsid w:val="00BF48C1"/>
    <w:rsid w:val="00C0018F"/>
    <w:rsid w:val="00C00693"/>
    <w:rsid w:val="00C03BA3"/>
    <w:rsid w:val="00C107BA"/>
    <w:rsid w:val="00C1446B"/>
    <w:rsid w:val="00C155FA"/>
    <w:rsid w:val="00C16C32"/>
    <w:rsid w:val="00C16D6E"/>
    <w:rsid w:val="00C20466"/>
    <w:rsid w:val="00C20DCE"/>
    <w:rsid w:val="00C21309"/>
    <w:rsid w:val="00C214ED"/>
    <w:rsid w:val="00C234E6"/>
    <w:rsid w:val="00C324A8"/>
    <w:rsid w:val="00C35FB4"/>
    <w:rsid w:val="00C51B88"/>
    <w:rsid w:val="00C54517"/>
    <w:rsid w:val="00C545A4"/>
    <w:rsid w:val="00C55B65"/>
    <w:rsid w:val="00C61C88"/>
    <w:rsid w:val="00C62492"/>
    <w:rsid w:val="00C63443"/>
    <w:rsid w:val="00C63535"/>
    <w:rsid w:val="00C6532C"/>
    <w:rsid w:val="00C67266"/>
    <w:rsid w:val="00C720E4"/>
    <w:rsid w:val="00C73D7B"/>
    <w:rsid w:val="00C74DA0"/>
    <w:rsid w:val="00C76942"/>
    <w:rsid w:val="00C82A62"/>
    <w:rsid w:val="00C831CC"/>
    <w:rsid w:val="00C86EFF"/>
    <w:rsid w:val="00C87EBD"/>
    <w:rsid w:val="00C91D15"/>
    <w:rsid w:val="00C92B39"/>
    <w:rsid w:val="00C93526"/>
    <w:rsid w:val="00C96262"/>
    <w:rsid w:val="00C96538"/>
    <w:rsid w:val="00C97C68"/>
    <w:rsid w:val="00CA1A47"/>
    <w:rsid w:val="00CA49F8"/>
    <w:rsid w:val="00CB0F2D"/>
    <w:rsid w:val="00CB3491"/>
    <w:rsid w:val="00CB658B"/>
    <w:rsid w:val="00CC247A"/>
    <w:rsid w:val="00CC2985"/>
    <w:rsid w:val="00CC3773"/>
    <w:rsid w:val="00CC6D46"/>
    <w:rsid w:val="00CD2541"/>
    <w:rsid w:val="00CD488E"/>
    <w:rsid w:val="00CE10A6"/>
    <w:rsid w:val="00CE27DF"/>
    <w:rsid w:val="00CE33A3"/>
    <w:rsid w:val="00CE4344"/>
    <w:rsid w:val="00CE5E47"/>
    <w:rsid w:val="00CF020F"/>
    <w:rsid w:val="00CF0DD4"/>
    <w:rsid w:val="00CF2B5B"/>
    <w:rsid w:val="00CF3917"/>
    <w:rsid w:val="00CF7DAE"/>
    <w:rsid w:val="00D0107C"/>
    <w:rsid w:val="00D0142F"/>
    <w:rsid w:val="00D0334D"/>
    <w:rsid w:val="00D060DE"/>
    <w:rsid w:val="00D069CA"/>
    <w:rsid w:val="00D07226"/>
    <w:rsid w:val="00D12F0F"/>
    <w:rsid w:val="00D13F67"/>
    <w:rsid w:val="00D14CE0"/>
    <w:rsid w:val="00D1519F"/>
    <w:rsid w:val="00D157C1"/>
    <w:rsid w:val="00D164ED"/>
    <w:rsid w:val="00D16FF4"/>
    <w:rsid w:val="00D31F85"/>
    <w:rsid w:val="00D3217F"/>
    <w:rsid w:val="00D3776B"/>
    <w:rsid w:val="00D401A0"/>
    <w:rsid w:val="00D47A43"/>
    <w:rsid w:val="00D50FE4"/>
    <w:rsid w:val="00D5470C"/>
    <w:rsid w:val="00D5651D"/>
    <w:rsid w:val="00D57983"/>
    <w:rsid w:val="00D66BE5"/>
    <w:rsid w:val="00D67EE9"/>
    <w:rsid w:val="00D70953"/>
    <w:rsid w:val="00D71B89"/>
    <w:rsid w:val="00D72981"/>
    <w:rsid w:val="00D731F9"/>
    <w:rsid w:val="00D73CA6"/>
    <w:rsid w:val="00D74898"/>
    <w:rsid w:val="00D767C2"/>
    <w:rsid w:val="00D801ED"/>
    <w:rsid w:val="00D835BB"/>
    <w:rsid w:val="00D8479E"/>
    <w:rsid w:val="00D91769"/>
    <w:rsid w:val="00D936BC"/>
    <w:rsid w:val="00D93B2C"/>
    <w:rsid w:val="00D9403B"/>
    <w:rsid w:val="00D962FB"/>
    <w:rsid w:val="00D9652E"/>
    <w:rsid w:val="00D96530"/>
    <w:rsid w:val="00D96E07"/>
    <w:rsid w:val="00D97AA0"/>
    <w:rsid w:val="00DB1E69"/>
    <w:rsid w:val="00DB2A91"/>
    <w:rsid w:val="00DB5DC1"/>
    <w:rsid w:val="00DB74FF"/>
    <w:rsid w:val="00DC3B0A"/>
    <w:rsid w:val="00DC4121"/>
    <w:rsid w:val="00DD108B"/>
    <w:rsid w:val="00DD1B7D"/>
    <w:rsid w:val="00DD2CFF"/>
    <w:rsid w:val="00DD44AF"/>
    <w:rsid w:val="00DD69BF"/>
    <w:rsid w:val="00DD6A89"/>
    <w:rsid w:val="00DD738D"/>
    <w:rsid w:val="00DE1B1C"/>
    <w:rsid w:val="00DE2AC3"/>
    <w:rsid w:val="00DE5692"/>
    <w:rsid w:val="00DE6699"/>
    <w:rsid w:val="00DE76A4"/>
    <w:rsid w:val="00DF0C8C"/>
    <w:rsid w:val="00DF51F2"/>
    <w:rsid w:val="00E0203B"/>
    <w:rsid w:val="00E02B69"/>
    <w:rsid w:val="00E03C94"/>
    <w:rsid w:val="00E048E6"/>
    <w:rsid w:val="00E04E49"/>
    <w:rsid w:val="00E06DC4"/>
    <w:rsid w:val="00E075D8"/>
    <w:rsid w:val="00E10C3C"/>
    <w:rsid w:val="00E10E8A"/>
    <w:rsid w:val="00E14F43"/>
    <w:rsid w:val="00E22A48"/>
    <w:rsid w:val="00E26226"/>
    <w:rsid w:val="00E262F0"/>
    <w:rsid w:val="00E35D38"/>
    <w:rsid w:val="00E365BE"/>
    <w:rsid w:val="00E37915"/>
    <w:rsid w:val="00E37EBB"/>
    <w:rsid w:val="00E40A57"/>
    <w:rsid w:val="00E45D05"/>
    <w:rsid w:val="00E52975"/>
    <w:rsid w:val="00E546CF"/>
    <w:rsid w:val="00E55AEF"/>
    <w:rsid w:val="00E55E7F"/>
    <w:rsid w:val="00E56095"/>
    <w:rsid w:val="00E6419D"/>
    <w:rsid w:val="00E6717A"/>
    <w:rsid w:val="00E70875"/>
    <w:rsid w:val="00E73497"/>
    <w:rsid w:val="00E74B32"/>
    <w:rsid w:val="00E77F71"/>
    <w:rsid w:val="00E84CB7"/>
    <w:rsid w:val="00E84D67"/>
    <w:rsid w:val="00E84E5B"/>
    <w:rsid w:val="00E92D00"/>
    <w:rsid w:val="00E956DC"/>
    <w:rsid w:val="00E976C1"/>
    <w:rsid w:val="00EA12E5"/>
    <w:rsid w:val="00EA43B9"/>
    <w:rsid w:val="00EA4853"/>
    <w:rsid w:val="00EA505C"/>
    <w:rsid w:val="00EA6274"/>
    <w:rsid w:val="00EA72A2"/>
    <w:rsid w:val="00EB31C0"/>
    <w:rsid w:val="00EB57F2"/>
    <w:rsid w:val="00EB695A"/>
    <w:rsid w:val="00EC1900"/>
    <w:rsid w:val="00EC6FBC"/>
    <w:rsid w:val="00EC75F3"/>
    <w:rsid w:val="00ED45D1"/>
    <w:rsid w:val="00ED6045"/>
    <w:rsid w:val="00EE069E"/>
    <w:rsid w:val="00EE13B4"/>
    <w:rsid w:val="00EE4625"/>
    <w:rsid w:val="00EE4AE1"/>
    <w:rsid w:val="00EE6391"/>
    <w:rsid w:val="00EF0EB3"/>
    <w:rsid w:val="00EF39C6"/>
    <w:rsid w:val="00F00F55"/>
    <w:rsid w:val="00F02766"/>
    <w:rsid w:val="00F05BD4"/>
    <w:rsid w:val="00F103FE"/>
    <w:rsid w:val="00F1082A"/>
    <w:rsid w:val="00F11E55"/>
    <w:rsid w:val="00F20208"/>
    <w:rsid w:val="00F202A8"/>
    <w:rsid w:val="00F23199"/>
    <w:rsid w:val="00F27516"/>
    <w:rsid w:val="00F27B62"/>
    <w:rsid w:val="00F27C09"/>
    <w:rsid w:val="00F31BB4"/>
    <w:rsid w:val="00F33679"/>
    <w:rsid w:val="00F43E48"/>
    <w:rsid w:val="00F45286"/>
    <w:rsid w:val="00F46CAA"/>
    <w:rsid w:val="00F50503"/>
    <w:rsid w:val="00F50B68"/>
    <w:rsid w:val="00F513B7"/>
    <w:rsid w:val="00F54078"/>
    <w:rsid w:val="00F5740F"/>
    <w:rsid w:val="00F6065D"/>
    <w:rsid w:val="00F620A8"/>
    <w:rsid w:val="00F62908"/>
    <w:rsid w:val="00F63F8C"/>
    <w:rsid w:val="00F65C19"/>
    <w:rsid w:val="00F662D5"/>
    <w:rsid w:val="00F67BA0"/>
    <w:rsid w:val="00F708C4"/>
    <w:rsid w:val="00F729B7"/>
    <w:rsid w:val="00F737BD"/>
    <w:rsid w:val="00F80D90"/>
    <w:rsid w:val="00F86FB0"/>
    <w:rsid w:val="00F9006B"/>
    <w:rsid w:val="00F91634"/>
    <w:rsid w:val="00F94BA0"/>
    <w:rsid w:val="00F959E7"/>
    <w:rsid w:val="00FA23B7"/>
    <w:rsid w:val="00FB2C44"/>
    <w:rsid w:val="00FB4BEA"/>
    <w:rsid w:val="00FB76E9"/>
    <w:rsid w:val="00FC1ADC"/>
    <w:rsid w:val="00FD2546"/>
    <w:rsid w:val="00FD3E70"/>
    <w:rsid w:val="00FD4992"/>
    <w:rsid w:val="00FD4BA1"/>
    <w:rsid w:val="00FD58E8"/>
    <w:rsid w:val="00FD772E"/>
    <w:rsid w:val="00FE1CB0"/>
    <w:rsid w:val="00FE5038"/>
    <w:rsid w:val="00FE78C7"/>
    <w:rsid w:val="00FF16E6"/>
    <w:rsid w:val="00FF180A"/>
    <w:rsid w:val="00FF1E85"/>
    <w:rsid w:val="00FF43AC"/>
    <w:rsid w:val="00FF7E07"/>
    <w:rsid w:val="01BDE138"/>
    <w:rsid w:val="024CA260"/>
    <w:rsid w:val="025C1BE7"/>
    <w:rsid w:val="02800D24"/>
    <w:rsid w:val="02CEAA35"/>
    <w:rsid w:val="031C3DD6"/>
    <w:rsid w:val="03851ED9"/>
    <w:rsid w:val="03B97FE2"/>
    <w:rsid w:val="03ECD794"/>
    <w:rsid w:val="047CEFBA"/>
    <w:rsid w:val="04B80E37"/>
    <w:rsid w:val="04E06375"/>
    <w:rsid w:val="05197C86"/>
    <w:rsid w:val="0587B9F4"/>
    <w:rsid w:val="0593BCA9"/>
    <w:rsid w:val="059572CD"/>
    <w:rsid w:val="05D2CA0E"/>
    <w:rsid w:val="061216E4"/>
    <w:rsid w:val="06511085"/>
    <w:rsid w:val="07DC053B"/>
    <w:rsid w:val="08BC4343"/>
    <w:rsid w:val="0A20C673"/>
    <w:rsid w:val="0A4BCE36"/>
    <w:rsid w:val="0A874F82"/>
    <w:rsid w:val="0B07DE74"/>
    <w:rsid w:val="0B282116"/>
    <w:rsid w:val="0B8C1400"/>
    <w:rsid w:val="0BF9FCCB"/>
    <w:rsid w:val="0C207CAE"/>
    <w:rsid w:val="0C2373A6"/>
    <w:rsid w:val="0C73958E"/>
    <w:rsid w:val="0C7976CC"/>
    <w:rsid w:val="0CBB1558"/>
    <w:rsid w:val="0CBB467D"/>
    <w:rsid w:val="0CD5A9D6"/>
    <w:rsid w:val="0D507521"/>
    <w:rsid w:val="0DBA76F1"/>
    <w:rsid w:val="0DEC2F65"/>
    <w:rsid w:val="0E2E42A8"/>
    <w:rsid w:val="0E51B8C7"/>
    <w:rsid w:val="0E79AC8F"/>
    <w:rsid w:val="0EA1364E"/>
    <w:rsid w:val="0EBB7B37"/>
    <w:rsid w:val="0FA62ABC"/>
    <w:rsid w:val="0FCA515E"/>
    <w:rsid w:val="103FD861"/>
    <w:rsid w:val="104EB2FC"/>
    <w:rsid w:val="10892287"/>
    <w:rsid w:val="10BFC3EB"/>
    <w:rsid w:val="10F07641"/>
    <w:rsid w:val="1151CE7A"/>
    <w:rsid w:val="119D2DC0"/>
    <w:rsid w:val="11CA5344"/>
    <w:rsid w:val="11E1DEC4"/>
    <w:rsid w:val="11E2DD41"/>
    <w:rsid w:val="1239FFFB"/>
    <w:rsid w:val="124CC3BF"/>
    <w:rsid w:val="12553099"/>
    <w:rsid w:val="1288DAF8"/>
    <w:rsid w:val="1311A1C3"/>
    <w:rsid w:val="13397766"/>
    <w:rsid w:val="1363E88B"/>
    <w:rsid w:val="13976EE1"/>
    <w:rsid w:val="13C8C90E"/>
    <w:rsid w:val="13F85881"/>
    <w:rsid w:val="146D6606"/>
    <w:rsid w:val="14C05A54"/>
    <w:rsid w:val="14CE5F5E"/>
    <w:rsid w:val="14DE2CBC"/>
    <w:rsid w:val="15369733"/>
    <w:rsid w:val="153E92DB"/>
    <w:rsid w:val="15C3F9BC"/>
    <w:rsid w:val="15DF20E6"/>
    <w:rsid w:val="15EA8D47"/>
    <w:rsid w:val="162CF990"/>
    <w:rsid w:val="163D1649"/>
    <w:rsid w:val="16847B09"/>
    <w:rsid w:val="171D4941"/>
    <w:rsid w:val="1784AD22"/>
    <w:rsid w:val="17981444"/>
    <w:rsid w:val="17A8FBFD"/>
    <w:rsid w:val="18512048"/>
    <w:rsid w:val="18F10366"/>
    <w:rsid w:val="19308949"/>
    <w:rsid w:val="19E0314E"/>
    <w:rsid w:val="1A456ECB"/>
    <w:rsid w:val="1A65F5C0"/>
    <w:rsid w:val="1A7C3DBA"/>
    <w:rsid w:val="1AD98A61"/>
    <w:rsid w:val="1AE51EBD"/>
    <w:rsid w:val="1C0A92A7"/>
    <w:rsid w:val="1CB1AE84"/>
    <w:rsid w:val="1CBF104A"/>
    <w:rsid w:val="1CE202C7"/>
    <w:rsid w:val="1D818C32"/>
    <w:rsid w:val="1E02779E"/>
    <w:rsid w:val="1E0655FB"/>
    <w:rsid w:val="1E4E59E4"/>
    <w:rsid w:val="1E766491"/>
    <w:rsid w:val="1E7693D9"/>
    <w:rsid w:val="202B5D4F"/>
    <w:rsid w:val="20FE91E6"/>
    <w:rsid w:val="2195B94D"/>
    <w:rsid w:val="21A6729A"/>
    <w:rsid w:val="2208BE76"/>
    <w:rsid w:val="22428009"/>
    <w:rsid w:val="22D9D6CF"/>
    <w:rsid w:val="23743BBC"/>
    <w:rsid w:val="23A92002"/>
    <w:rsid w:val="23EEC7F7"/>
    <w:rsid w:val="24655F0F"/>
    <w:rsid w:val="24D000D5"/>
    <w:rsid w:val="24DF0B9B"/>
    <w:rsid w:val="2530DCAB"/>
    <w:rsid w:val="253F726D"/>
    <w:rsid w:val="25EC96C4"/>
    <w:rsid w:val="26057870"/>
    <w:rsid w:val="2648322E"/>
    <w:rsid w:val="276D33A9"/>
    <w:rsid w:val="283266FF"/>
    <w:rsid w:val="285808D6"/>
    <w:rsid w:val="287DB313"/>
    <w:rsid w:val="28F9A725"/>
    <w:rsid w:val="29B93A59"/>
    <w:rsid w:val="2A6C79ED"/>
    <w:rsid w:val="2A78F2B8"/>
    <w:rsid w:val="2AD4A755"/>
    <w:rsid w:val="2B02C25E"/>
    <w:rsid w:val="2B3B3A4F"/>
    <w:rsid w:val="2B5E531B"/>
    <w:rsid w:val="2BC24B78"/>
    <w:rsid w:val="2C88FB36"/>
    <w:rsid w:val="2D64C03F"/>
    <w:rsid w:val="2D6C8E82"/>
    <w:rsid w:val="2DD3FCFA"/>
    <w:rsid w:val="2E256718"/>
    <w:rsid w:val="2E2F4258"/>
    <w:rsid w:val="2E521953"/>
    <w:rsid w:val="2F085EE3"/>
    <w:rsid w:val="2FFF61CB"/>
    <w:rsid w:val="3025DE81"/>
    <w:rsid w:val="304D238D"/>
    <w:rsid w:val="30F41894"/>
    <w:rsid w:val="31060DE9"/>
    <w:rsid w:val="3130C824"/>
    <w:rsid w:val="31789E09"/>
    <w:rsid w:val="31FDA153"/>
    <w:rsid w:val="3258891D"/>
    <w:rsid w:val="328AB7A0"/>
    <w:rsid w:val="32AFEC54"/>
    <w:rsid w:val="32FB8E57"/>
    <w:rsid w:val="332C88ED"/>
    <w:rsid w:val="34B4C8D5"/>
    <w:rsid w:val="3528FF6D"/>
    <w:rsid w:val="3572CBF9"/>
    <w:rsid w:val="368B9497"/>
    <w:rsid w:val="36D72E7F"/>
    <w:rsid w:val="3758C58F"/>
    <w:rsid w:val="37596655"/>
    <w:rsid w:val="37668F87"/>
    <w:rsid w:val="37703FC2"/>
    <w:rsid w:val="37A59575"/>
    <w:rsid w:val="37F3480F"/>
    <w:rsid w:val="38F585C9"/>
    <w:rsid w:val="3913E72E"/>
    <w:rsid w:val="3940E033"/>
    <w:rsid w:val="3959CAFD"/>
    <w:rsid w:val="3A97E5F3"/>
    <w:rsid w:val="3B047EEA"/>
    <w:rsid w:val="3B1EE50D"/>
    <w:rsid w:val="3B257E2D"/>
    <w:rsid w:val="3B585270"/>
    <w:rsid w:val="3B7C12F8"/>
    <w:rsid w:val="3B864596"/>
    <w:rsid w:val="3BB0C647"/>
    <w:rsid w:val="3BC8E520"/>
    <w:rsid w:val="3BCEC0D0"/>
    <w:rsid w:val="3C794F90"/>
    <w:rsid w:val="3C7AD1BC"/>
    <w:rsid w:val="3D87227A"/>
    <w:rsid w:val="3E2A5967"/>
    <w:rsid w:val="3E875B24"/>
    <w:rsid w:val="3E8BDFD5"/>
    <w:rsid w:val="3E9386CD"/>
    <w:rsid w:val="3F30F69C"/>
    <w:rsid w:val="3FE8A2CB"/>
    <w:rsid w:val="3FF2A5EF"/>
    <w:rsid w:val="401F5C1C"/>
    <w:rsid w:val="40698DCD"/>
    <w:rsid w:val="407B026E"/>
    <w:rsid w:val="408A320B"/>
    <w:rsid w:val="409E83A4"/>
    <w:rsid w:val="40CCC6FD"/>
    <w:rsid w:val="412FAF13"/>
    <w:rsid w:val="42808285"/>
    <w:rsid w:val="42FDEC89"/>
    <w:rsid w:val="43B63C1C"/>
    <w:rsid w:val="43D71133"/>
    <w:rsid w:val="43D9F1E6"/>
    <w:rsid w:val="43F1FE3B"/>
    <w:rsid w:val="44049859"/>
    <w:rsid w:val="44414233"/>
    <w:rsid w:val="44DA28AB"/>
    <w:rsid w:val="45777788"/>
    <w:rsid w:val="459BE79F"/>
    <w:rsid w:val="460E8026"/>
    <w:rsid w:val="4638F85D"/>
    <w:rsid w:val="467C5B7C"/>
    <w:rsid w:val="46C0C8A5"/>
    <w:rsid w:val="46FEEDE1"/>
    <w:rsid w:val="473061DD"/>
    <w:rsid w:val="477AD716"/>
    <w:rsid w:val="47A6735E"/>
    <w:rsid w:val="47C08C31"/>
    <w:rsid w:val="48BCE080"/>
    <w:rsid w:val="48C7C4EE"/>
    <w:rsid w:val="48EA4620"/>
    <w:rsid w:val="48F526B0"/>
    <w:rsid w:val="49262DBC"/>
    <w:rsid w:val="49901D47"/>
    <w:rsid w:val="4A201390"/>
    <w:rsid w:val="4A9A3552"/>
    <w:rsid w:val="4AFB3CCE"/>
    <w:rsid w:val="4B01605F"/>
    <w:rsid w:val="4B364785"/>
    <w:rsid w:val="4BB44518"/>
    <w:rsid w:val="4BF4F7C8"/>
    <w:rsid w:val="4C3C9AE3"/>
    <w:rsid w:val="4C514562"/>
    <w:rsid w:val="4CAAAD80"/>
    <w:rsid w:val="4CAE7EB4"/>
    <w:rsid w:val="4DFF87AA"/>
    <w:rsid w:val="4E1E600B"/>
    <w:rsid w:val="4E251440"/>
    <w:rsid w:val="4ED03FA6"/>
    <w:rsid w:val="4EFD18DC"/>
    <w:rsid w:val="4FB18626"/>
    <w:rsid w:val="4FCC2CE9"/>
    <w:rsid w:val="504B46AA"/>
    <w:rsid w:val="5137286C"/>
    <w:rsid w:val="5198E342"/>
    <w:rsid w:val="51DFF471"/>
    <w:rsid w:val="520D8929"/>
    <w:rsid w:val="523E191B"/>
    <w:rsid w:val="5303CDAB"/>
    <w:rsid w:val="5314D588"/>
    <w:rsid w:val="5372AEB5"/>
    <w:rsid w:val="539F9237"/>
    <w:rsid w:val="53BECE3A"/>
    <w:rsid w:val="53EE88EA"/>
    <w:rsid w:val="54AB8904"/>
    <w:rsid w:val="5532A7D5"/>
    <w:rsid w:val="5542345D"/>
    <w:rsid w:val="560A998F"/>
    <w:rsid w:val="564C6C7A"/>
    <w:rsid w:val="5690F680"/>
    <w:rsid w:val="56A0F693"/>
    <w:rsid w:val="584D9E60"/>
    <w:rsid w:val="587079B0"/>
    <w:rsid w:val="593C67E3"/>
    <w:rsid w:val="59EC7FA2"/>
    <w:rsid w:val="5A8FBB33"/>
    <w:rsid w:val="5AA6F596"/>
    <w:rsid w:val="5AB0AE04"/>
    <w:rsid w:val="5AC35B7C"/>
    <w:rsid w:val="5B8FD5FE"/>
    <w:rsid w:val="5BAA1D48"/>
    <w:rsid w:val="5BE07272"/>
    <w:rsid w:val="5BF50884"/>
    <w:rsid w:val="5C1B55E4"/>
    <w:rsid w:val="5CBA7F0E"/>
    <w:rsid w:val="5D4D2018"/>
    <w:rsid w:val="5D7C42D3"/>
    <w:rsid w:val="5DC3C99B"/>
    <w:rsid w:val="5E6A3132"/>
    <w:rsid w:val="5F3C6036"/>
    <w:rsid w:val="5F4AA9DA"/>
    <w:rsid w:val="601BC22A"/>
    <w:rsid w:val="601CE064"/>
    <w:rsid w:val="61527AAF"/>
    <w:rsid w:val="6223BF62"/>
    <w:rsid w:val="6241402E"/>
    <w:rsid w:val="6259BA27"/>
    <w:rsid w:val="62857C62"/>
    <w:rsid w:val="62B5AC06"/>
    <w:rsid w:val="62EEEB10"/>
    <w:rsid w:val="62FF262E"/>
    <w:rsid w:val="634C4E85"/>
    <w:rsid w:val="640E7E98"/>
    <w:rsid w:val="64735FB6"/>
    <w:rsid w:val="64970D07"/>
    <w:rsid w:val="64A264FC"/>
    <w:rsid w:val="64FC901D"/>
    <w:rsid w:val="650A4552"/>
    <w:rsid w:val="65230CF3"/>
    <w:rsid w:val="652F514F"/>
    <w:rsid w:val="6540708B"/>
    <w:rsid w:val="6575FCD6"/>
    <w:rsid w:val="65E43B50"/>
    <w:rsid w:val="65F842AB"/>
    <w:rsid w:val="66357FE8"/>
    <w:rsid w:val="664EFB46"/>
    <w:rsid w:val="6792DA87"/>
    <w:rsid w:val="683CD6AA"/>
    <w:rsid w:val="6843A314"/>
    <w:rsid w:val="697BC5F7"/>
    <w:rsid w:val="6A7E7A29"/>
    <w:rsid w:val="6AA144B9"/>
    <w:rsid w:val="6AC05944"/>
    <w:rsid w:val="6B0C42FD"/>
    <w:rsid w:val="6B256BF1"/>
    <w:rsid w:val="6BE8DDDE"/>
    <w:rsid w:val="6C8CFADF"/>
    <w:rsid w:val="6CED9473"/>
    <w:rsid w:val="6D0E3C72"/>
    <w:rsid w:val="6D205001"/>
    <w:rsid w:val="6D6257AF"/>
    <w:rsid w:val="6D9B09AA"/>
    <w:rsid w:val="6DE1B738"/>
    <w:rsid w:val="6DF39351"/>
    <w:rsid w:val="6DF86918"/>
    <w:rsid w:val="6E2E829D"/>
    <w:rsid w:val="6F0C58D6"/>
    <w:rsid w:val="6F7B91EA"/>
    <w:rsid w:val="7043CCC0"/>
    <w:rsid w:val="70767AC2"/>
    <w:rsid w:val="70869E2E"/>
    <w:rsid w:val="709E84EF"/>
    <w:rsid w:val="70D4D96B"/>
    <w:rsid w:val="70E2A9A0"/>
    <w:rsid w:val="71625C24"/>
    <w:rsid w:val="71B6B50C"/>
    <w:rsid w:val="71E1AD95"/>
    <w:rsid w:val="727A0BB6"/>
    <w:rsid w:val="728CBAF3"/>
    <w:rsid w:val="729C2E59"/>
    <w:rsid w:val="72A71772"/>
    <w:rsid w:val="72B98D89"/>
    <w:rsid w:val="72EBCE51"/>
    <w:rsid w:val="72F593E9"/>
    <w:rsid w:val="731E75C1"/>
    <w:rsid w:val="737178AD"/>
    <w:rsid w:val="738168B4"/>
    <w:rsid w:val="73DE8D23"/>
    <w:rsid w:val="73DED469"/>
    <w:rsid w:val="73E078CA"/>
    <w:rsid w:val="74385D07"/>
    <w:rsid w:val="7499FCE6"/>
    <w:rsid w:val="74B378BE"/>
    <w:rsid w:val="7521DCAF"/>
    <w:rsid w:val="75689CE8"/>
    <w:rsid w:val="7575AB58"/>
    <w:rsid w:val="75BCA562"/>
    <w:rsid w:val="76CBC4F0"/>
    <w:rsid w:val="775B7B52"/>
    <w:rsid w:val="78531427"/>
    <w:rsid w:val="78B539A0"/>
    <w:rsid w:val="78C88021"/>
    <w:rsid w:val="799A28B7"/>
    <w:rsid w:val="79C10D13"/>
    <w:rsid w:val="79EC595D"/>
    <w:rsid w:val="7A044884"/>
    <w:rsid w:val="7A16FDBA"/>
    <w:rsid w:val="7A9552FD"/>
    <w:rsid w:val="7AFA03DE"/>
    <w:rsid w:val="7B0833B5"/>
    <w:rsid w:val="7BC770CA"/>
    <w:rsid w:val="7C66F9D4"/>
    <w:rsid w:val="7CD554A8"/>
    <w:rsid w:val="7DAF3957"/>
    <w:rsid w:val="7DDBDD4D"/>
    <w:rsid w:val="7E3769A2"/>
    <w:rsid w:val="7EB14006"/>
    <w:rsid w:val="7EC55549"/>
    <w:rsid w:val="7EF7B074"/>
    <w:rsid w:val="7F1D3DCC"/>
    <w:rsid w:val="7FF7BB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BEA29"/>
  <w15:docId w15:val="{7FD5A56A-272F-4743-9E7C-A3C15BA4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767C2"/>
    <w:pPr>
      <w:keepNext/>
      <w:keepLines/>
      <w:spacing w:before="280"/>
      <w:ind w:left="1134" w:hanging="1134"/>
      <w:outlineLvl w:val="0"/>
    </w:pPr>
    <w:rPr>
      <w:b/>
      <w:sz w:val="28"/>
    </w:rPr>
  </w:style>
  <w:style w:type="paragraph" w:styleId="Heading2">
    <w:name w:val="heading 2"/>
    <w:basedOn w:val="Heading1"/>
    <w:next w:val="Normal"/>
    <w:link w:val="Heading2Char"/>
    <w:qFormat/>
    <w:rsid w:val="00D767C2"/>
    <w:pPr>
      <w:spacing w:before="200"/>
      <w:outlineLvl w:val="1"/>
    </w:pPr>
    <w:rPr>
      <w:sz w:val="24"/>
    </w:rPr>
  </w:style>
  <w:style w:type="paragraph" w:styleId="Heading3">
    <w:name w:val="heading 3"/>
    <w:basedOn w:val="Heading1"/>
    <w:next w:val="Normal"/>
    <w:link w:val="Heading3Char"/>
    <w:qFormat/>
    <w:rsid w:val="00D767C2"/>
    <w:pPr>
      <w:tabs>
        <w:tab w:val="clear" w:pos="1134"/>
      </w:tabs>
      <w:spacing w:before="200"/>
      <w:outlineLvl w:val="2"/>
    </w:pPr>
    <w:rPr>
      <w:sz w:val="24"/>
    </w:rPr>
  </w:style>
  <w:style w:type="paragraph" w:styleId="Heading4">
    <w:name w:val="heading 4"/>
    <w:basedOn w:val="Heading3"/>
    <w:next w:val="Normal"/>
    <w:link w:val="Heading4Char"/>
    <w:qFormat/>
    <w:rsid w:val="00D767C2"/>
    <w:pPr>
      <w:outlineLvl w:val="3"/>
    </w:pPr>
  </w:style>
  <w:style w:type="paragraph" w:styleId="Heading5">
    <w:name w:val="heading 5"/>
    <w:basedOn w:val="Heading4"/>
    <w:next w:val="Normal"/>
    <w:link w:val="Heading5Char"/>
    <w:qFormat/>
    <w:rsid w:val="00D767C2"/>
    <w:pPr>
      <w:outlineLvl w:val="4"/>
    </w:pPr>
  </w:style>
  <w:style w:type="paragraph" w:styleId="Heading6">
    <w:name w:val="heading 6"/>
    <w:basedOn w:val="Heading4"/>
    <w:next w:val="Normal"/>
    <w:link w:val="Heading6Char"/>
    <w:qFormat/>
    <w:rsid w:val="00D767C2"/>
    <w:pPr>
      <w:outlineLvl w:val="5"/>
    </w:pPr>
  </w:style>
  <w:style w:type="paragraph" w:styleId="Heading7">
    <w:name w:val="heading 7"/>
    <w:basedOn w:val="Heading6"/>
    <w:next w:val="Normal"/>
    <w:link w:val="Heading7Char"/>
    <w:qFormat/>
    <w:rsid w:val="00D767C2"/>
    <w:pPr>
      <w:outlineLvl w:val="6"/>
    </w:pPr>
  </w:style>
  <w:style w:type="paragraph" w:styleId="Heading8">
    <w:name w:val="heading 8"/>
    <w:basedOn w:val="Heading6"/>
    <w:next w:val="Normal"/>
    <w:link w:val="Heading8Char"/>
    <w:qFormat/>
    <w:rsid w:val="00D767C2"/>
    <w:pPr>
      <w:outlineLvl w:val="7"/>
    </w:pPr>
  </w:style>
  <w:style w:type="paragraph" w:styleId="Heading9">
    <w:name w:val="heading 9"/>
    <w:basedOn w:val="Heading6"/>
    <w:next w:val="Normal"/>
    <w:link w:val="Heading9Char"/>
    <w:qFormat/>
    <w:rsid w:val="00D767C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D767C2"/>
    <w:pPr>
      <w:keepLines/>
      <w:tabs>
        <w:tab w:val="left" w:pos="255"/>
      </w:tabs>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uiPriority w:val="99"/>
    <w:rsid w:val="00D767C2"/>
    <w:pPr>
      <w:spacing w:before="0"/>
      <w:jc w:val="center"/>
    </w:pPr>
    <w:rPr>
      <w:sz w:val="18"/>
    </w:rPr>
  </w:style>
  <w:style w:type="character" w:customStyle="1" w:styleId="HeaderChar">
    <w:name w:val="Header Char"/>
    <w:basedOn w:val="DefaultParagraphFont"/>
    <w:link w:val="Header"/>
    <w:uiPriority w:val="99"/>
    <w:rsid w:val="00D767C2"/>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link w:val="TableheadChar"/>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uiPriority w:val="39"/>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767C2"/>
    <w:pPr>
      <w:spacing w:before="120"/>
    </w:pPr>
  </w:style>
  <w:style w:type="paragraph" w:styleId="TOC3">
    <w:name w:val="toc 3"/>
    <w:basedOn w:val="TOC2"/>
    <w:uiPriority w:val="39"/>
    <w:rsid w:val="00D767C2"/>
  </w:style>
  <w:style w:type="paragraph" w:styleId="TOC4">
    <w:name w:val="toc 4"/>
    <w:basedOn w:val="TOC3"/>
    <w:uiPriority w:val="39"/>
    <w:rsid w:val="00D767C2"/>
  </w:style>
  <w:style w:type="paragraph" w:styleId="TOC5">
    <w:name w:val="toc 5"/>
    <w:basedOn w:val="TOC4"/>
    <w:uiPriority w:val="39"/>
    <w:rsid w:val="00D767C2"/>
  </w:style>
  <w:style w:type="paragraph" w:styleId="TOC6">
    <w:name w:val="toc 6"/>
    <w:basedOn w:val="TOC4"/>
    <w:uiPriority w:val="39"/>
    <w:rsid w:val="00D767C2"/>
  </w:style>
  <w:style w:type="paragraph" w:styleId="TOC7">
    <w:name w:val="toc 7"/>
    <w:basedOn w:val="TOC4"/>
    <w:uiPriority w:val="39"/>
    <w:rsid w:val="00D767C2"/>
  </w:style>
  <w:style w:type="paragraph" w:styleId="TOC8">
    <w:name w:val="toc 8"/>
    <w:basedOn w:val="TOC4"/>
    <w:uiPriority w:val="39"/>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link w:val="TabletextChar"/>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normaltextrun">
    <w:name w:val="normaltextrun"/>
    <w:basedOn w:val="DefaultParagraphFont"/>
    <w:rsid w:val="00DD2CFF"/>
  </w:style>
  <w:style w:type="character" w:customStyle="1" w:styleId="eop">
    <w:name w:val="eop"/>
    <w:basedOn w:val="DefaultParagraphFont"/>
    <w:rsid w:val="00DD2CFF"/>
  </w:style>
  <w:style w:type="character" w:customStyle="1" w:styleId="Heading1Char">
    <w:name w:val="Heading 1 Char"/>
    <w:basedOn w:val="DefaultParagraphFont"/>
    <w:link w:val="Heading1"/>
    <w:rsid w:val="00C74DA0"/>
    <w:rPr>
      <w:rFonts w:ascii="Times New Roman" w:hAnsi="Times New Roman"/>
      <w:b/>
      <w:sz w:val="28"/>
      <w:lang w:val="en-GB" w:eastAsia="en-US"/>
    </w:rPr>
  </w:style>
  <w:style w:type="character" w:customStyle="1" w:styleId="Heading2Char">
    <w:name w:val="Heading 2 Char"/>
    <w:basedOn w:val="DefaultParagraphFont"/>
    <w:link w:val="Heading2"/>
    <w:locked/>
    <w:rsid w:val="00C74DA0"/>
    <w:rPr>
      <w:rFonts w:ascii="Times New Roman" w:hAnsi="Times New Roman"/>
      <w:b/>
      <w:sz w:val="24"/>
      <w:lang w:val="en-GB" w:eastAsia="en-US"/>
    </w:rPr>
  </w:style>
  <w:style w:type="character" w:customStyle="1" w:styleId="Heading3Char">
    <w:name w:val="Heading 3 Char"/>
    <w:basedOn w:val="DefaultParagraphFont"/>
    <w:link w:val="Heading3"/>
    <w:locked/>
    <w:rsid w:val="00C74DA0"/>
    <w:rPr>
      <w:rFonts w:ascii="Times New Roman" w:hAnsi="Times New Roman"/>
      <w:b/>
      <w:sz w:val="24"/>
      <w:lang w:val="en-GB" w:eastAsia="en-US"/>
    </w:rPr>
  </w:style>
  <w:style w:type="character" w:customStyle="1" w:styleId="Heading4Char">
    <w:name w:val="Heading 4 Char"/>
    <w:basedOn w:val="DefaultParagraphFont"/>
    <w:link w:val="Heading4"/>
    <w:locked/>
    <w:rsid w:val="00C74DA0"/>
    <w:rPr>
      <w:rFonts w:ascii="Times New Roman" w:hAnsi="Times New Roman"/>
      <w:b/>
      <w:sz w:val="24"/>
      <w:lang w:val="en-GB" w:eastAsia="en-US"/>
    </w:rPr>
  </w:style>
  <w:style w:type="character" w:customStyle="1" w:styleId="Heading5Char">
    <w:name w:val="Heading 5 Char"/>
    <w:basedOn w:val="DefaultParagraphFont"/>
    <w:link w:val="Heading5"/>
    <w:rsid w:val="00C74DA0"/>
    <w:rPr>
      <w:rFonts w:ascii="Times New Roman" w:hAnsi="Times New Roman"/>
      <w:b/>
      <w:sz w:val="24"/>
      <w:lang w:val="en-GB" w:eastAsia="en-US"/>
    </w:rPr>
  </w:style>
  <w:style w:type="character" w:customStyle="1" w:styleId="Heading6Char">
    <w:name w:val="Heading 6 Char"/>
    <w:basedOn w:val="DefaultParagraphFont"/>
    <w:link w:val="Heading6"/>
    <w:rsid w:val="00C74DA0"/>
    <w:rPr>
      <w:rFonts w:ascii="Times New Roman" w:hAnsi="Times New Roman"/>
      <w:b/>
      <w:sz w:val="24"/>
      <w:lang w:val="en-GB" w:eastAsia="en-US"/>
    </w:rPr>
  </w:style>
  <w:style w:type="character" w:customStyle="1" w:styleId="Heading7Char">
    <w:name w:val="Heading 7 Char"/>
    <w:basedOn w:val="DefaultParagraphFont"/>
    <w:link w:val="Heading7"/>
    <w:rsid w:val="00C74DA0"/>
    <w:rPr>
      <w:rFonts w:ascii="Times New Roman" w:hAnsi="Times New Roman"/>
      <w:b/>
      <w:sz w:val="24"/>
      <w:lang w:val="en-GB" w:eastAsia="en-US"/>
    </w:rPr>
  </w:style>
  <w:style w:type="character" w:customStyle="1" w:styleId="Heading8Char">
    <w:name w:val="Heading 8 Char"/>
    <w:basedOn w:val="DefaultParagraphFont"/>
    <w:link w:val="Heading8"/>
    <w:rsid w:val="00C74DA0"/>
    <w:rPr>
      <w:rFonts w:ascii="Times New Roman" w:hAnsi="Times New Roman"/>
      <w:b/>
      <w:sz w:val="24"/>
      <w:lang w:val="en-GB" w:eastAsia="en-US"/>
    </w:rPr>
  </w:style>
  <w:style w:type="character" w:customStyle="1" w:styleId="Heading9Char">
    <w:name w:val="Heading 9 Char"/>
    <w:basedOn w:val="DefaultParagraphFont"/>
    <w:link w:val="Heading9"/>
    <w:rsid w:val="00C74DA0"/>
    <w:rPr>
      <w:rFonts w:ascii="Times New Roman" w:hAnsi="Times New Roman"/>
      <w:b/>
      <w:sz w:val="24"/>
      <w:lang w:val="en-GB" w:eastAsia="en-US"/>
    </w:rPr>
  </w:style>
  <w:style w:type="character" w:customStyle="1" w:styleId="enumlev1Char">
    <w:name w:val="enumlev1 Char"/>
    <w:basedOn w:val="DefaultParagraphFont"/>
    <w:link w:val="enumlev1"/>
    <w:rsid w:val="00C74DA0"/>
    <w:rPr>
      <w:rFonts w:ascii="Times New Roman" w:hAnsi="Times New Roman"/>
      <w:sz w:val="24"/>
      <w:lang w:val="en-GB" w:eastAsia="en-US"/>
    </w:rPr>
  </w:style>
  <w:style w:type="character" w:customStyle="1" w:styleId="NormalaftertitleChar">
    <w:name w:val="Normal after title Char"/>
    <w:link w:val="Normalaftertitle"/>
    <w:locked/>
    <w:rsid w:val="00C74DA0"/>
    <w:rPr>
      <w:rFonts w:ascii="Times New Roman" w:hAnsi="Times New Roman"/>
      <w:sz w:val="24"/>
      <w:lang w:val="en-GB" w:eastAsia="en-US"/>
    </w:rPr>
  </w:style>
  <w:style w:type="character" w:customStyle="1" w:styleId="TableheadChar">
    <w:name w:val="Table_head Char"/>
    <w:basedOn w:val="DefaultParagraphFont"/>
    <w:link w:val="Tablehead"/>
    <w:qFormat/>
    <w:rsid w:val="00C74DA0"/>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C74DA0"/>
    <w:rPr>
      <w:rFonts w:ascii="Times New Roman" w:hAnsi="Times New Roman"/>
      <w:lang w:val="en-GB" w:eastAsia="en-US"/>
    </w:rPr>
  </w:style>
  <w:style w:type="paragraph" w:styleId="Index1">
    <w:name w:val="index 1"/>
    <w:basedOn w:val="Normal"/>
    <w:next w:val="Normal"/>
    <w:rsid w:val="00C74DA0"/>
  </w:style>
  <w:style w:type="paragraph" w:styleId="Index2">
    <w:name w:val="index 2"/>
    <w:basedOn w:val="Normal"/>
    <w:next w:val="Normal"/>
    <w:rsid w:val="00C74DA0"/>
    <w:pPr>
      <w:ind w:left="283"/>
    </w:pPr>
  </w:style>
  <w:style w:type="paragraph" w:styleId="Index3">
    <w:name w:val="index 3"/>
    <w:basedOn w:val="Normal"/>
    <w:next w:val="Normal"/>
    <w:rsid w:val="00C74DA0"/>
    <w:pPr>
      <w:ind w:left="566"/>
    </w:pPr>
  </w:style>
  <w:style w:type="paragraph" w:styleId="Index4">
    <w:name w:val="index 4"/>
    <w:basedOn w:val="Normal"/>
    <w:next w:val="Normal"/>
    <w:rsid w:val="00C74DA0"/>
    <w:pPr>
      <w:ind w:left="849"/>
    </w:pPr>
  </w:style>
  <w:style w:type="paragraph" w:styleId="Index5">
    <w:name w:val="index 5"/>
    <w:basedOn w:val="Normal"/>
    <w:next w:val="Normal"/>
    <w:rsid w:val="00C74DA0"/>
    <w:pPr>
      <w:ind w:left="1132"/>
    </w:pPr>
  </w:style>
  <w:style w:type="paragraph" w:styleId="Index6">
    <w:name w:val="index 6"/>
    <w:basedOn w:val="Normal"/>
    <w:next w:val="Normal"/>
    <w:rsid w:val="00C74DA0"/>
    <w:pPr>
      <w:ind w:left="1415"/>
    </w:pPr>
  </w:style>
  <w:style w:type="paragraph" w:styleId="Index7">
    <w:name w:val="index 7"/>
    <w:basedOn w:val="Normal"/>
    <w:next w:val="Normal"/>
    <w:rsid w:val="00C74DA0"/>
    <w:pPr>
      <w:ind w:left="1698"/>
    </w:pPr>
  </w:style>
  <w:style w:type="paragraph" w:styleId="IndexHeading">
    <w:name w:val="index heading"/>
    <w:basedOn w:val="Normal"/>
    <w:next w:val="Index1"/>
    <w:rsid w:val="00C74DA0"/>
  </w:style>
  <w:style w:type="character" w:styleId="LineNumber">
    <w:name w:val="line number"/>
    <w:basedOn w:val="DefaultParagraphFont"/>
    <w:rsid w:val="00C74DA0"/>
  </w:style>
  <w:style w:type="character" w:styleId="PageNumber">
    <w:name w:val="page number"/>
    <w:basedOn w:val="DefaultParagraphFont"/>
    <w:rsid w:val="00C74DA0"/>
  </w:style>
  <w:style w:type="character" w:styleId="Hyperlink">
    <w:name w:val="Hyperlink"/>
    <w:basedOn w:val="DefaultParagraphFont"/>
    <w:uiPriority w:val="99"/>
    <w:rsid w:val="00C74DA0"/>
    <w:rPr>
      <w:rFonts w:cs="Times New Roman"/>
      <w:color w:val="0000FF"/>
      <w:u w:val="single"/>
    </w:rPr>
  </w:style>
  <w:style w:type="character" w:styleId="FollowedHyperlink">
    <w:name w:val="FollowedHyperlink"/>
    <w:basedOn w:val="DefaultParagraphFont"/>
    <w:uiPriority w:val="99"/>
    <w:rsid w:val="00C74DA0"/>
    <w:rPr>
      <w:rFonts w:cs="Times New Roman"/>
      <w:color w:val="800080"/>
      <w:u w:val="single"/>
    </w:rPr>
  </w:style>
  <w:style w:type="table" w:styleId="TableGrid">
    <w:name w:val="Table Grid"/>
    <w:basedOn w:val="TableNormal"/>
    <w:rsid w:val="00C74DA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DA0"/>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C74DA0"/>
    <w:pPr>
      <w:spacing w:after="200" w:line="276" w:lineRule="auto"/>
      <w:ind w:left="720"/>
      <w:contextualSpacing/>
    </w:pPr>
    <w:rPr>
      <w:rFonts w:ascii="Calibri" w:eastAsia="SimSun" w:hAnsi="Calibri" w:cs="Arial"/>
      <w:lang w:val="en-US" w:eastAsia="zh-CN"/>
    </w:rPr>
  </w:style>
  <w:style w:type="paragraph" w:styleId="NormalWeb">
    <w:name w:val="Normal (Web)"/>
    <w:basedOn w:val="Normal"/>
    <w:uiPriority w:val="99"/>
    <w:unhideWhenUsed/>
    <w:rsid w:val="00C74DA0"/>
    <w:pPr>
      <w:spacing w:before="100" w:beforeAutospacing="1" w:after="100" w:afterAutospacing="1"/>
    </w:pPr>
    <w:rPr>
      <w:szCs w:val="24"/>
      <w:lang w:val="en-US" w:eastAsia="zh-CN"/>
    </w:rPr>
  </w:style>
  <w:style w:type="paragraph" w:styleId="TOCHeading">
    <w:name w:val="TOC Heading"/>
    <w:basedOn w:val="Heading1"/>
    <w:next w:val="Normal"/>
    <w:uiPriority w:val="39"/>
    <w:unhideWhenUsed/>
    <w:qFormat/>
    <w:rsid w:val="00C74DA0"/>
    <w:pPr>
      <w:spacing w:before="480" w:line="276" w:lineRule="auto"/>
      <w:ind w:left="0" w:firstLine="0"/>
      <w:outlineLvl w:val="9"/>
    </w:pPr>
    <w:rPr>
      <w:rFonts w:asciiTheme="majorHAnsi" w:eastAsiaTheme="majorEastAsia" w:hAnsiTheme="majorHAnsi" w:cstheme="majorBidi"/>
      <w:bCs/>
      <w:color w:val="365F91" w:themeColor="accent1" w:themeShade="BF"/>
      <w:szCs w:val="28"/>
      <w:lang w:val="en-US" w:eastAsia="ja-JP"/>
    </w:rPr>
  </w:style>
  <w:style w:type="paragraph" w:styleId="BodyText2">
    <w:name w:val="Body Text 2"/>
    <w:basedOn w:val="Normal"/>
    <w:link w:val="BodyText2Char"/>
    <w:rsid w:val="00C74DA0"/>
    <w:pPr>
      <w:tabs>
        <w:tab w:val="left" w:pos="900"/>
        <w:tab w:val="left" w:pos="1191"/>
        <w:tab w:val="left" w:pos="1588"/>
        <w:tab w:val="left" w:pos="1985"/>
      </w:tabs>
    </w:pPr>
  </w:style>
  <w:style w:type="character" w:customStyle="1" w:styleId="BodyText2Char">
    <w:name w:val="Body Text 2 Char"/>
    <w:basedOn w:val="DefaultParagraphFont"/>
    <w:link w:val="BodyText2"/>
    <w:rsid w:val="00C74DA0"/>
    <w:rPr>
      <w:rFonts w:ascii="Times New Roman" w:hAnsi="Times New Roman"/>
      <w:sz w:val="24"/>
      <w:lang w:val="en-GB" w:eastAsia="en-US"/>
    </w:rPr>
  </w:style>
  <w:style w:type="character" w:styleId="Strong">
    <w:name w:val="Strong"/>
    <w:basedOn w:val="DefaultParagraphFont"/>
    <w:uiPriority w:val="22"/>
    <w:qFormat/>
    <w:rsid w:val="00C74DA0"/>
    <w:rPr>
      <w:b/>
      <w:bCs/>
    </w:rPr>
  </w:style>
  <w:style w:type="paragraph" w:customStyle="1" w:styleId="Normalaftertitle0">
    <w:name w:val="Normal_after_title"/>
    <w:basedOn w:val="Normal"/>
    <w:next w:val="Normal"/>
    <w:rsid w:val="00C74DA0"/>
    <w:pPr>
      <w:spacing w:before="360"/>
    </w:pPr>
  </w:style>
  <w:style w:type="paragraph" w:styleId="TOC9">
    <w:name w:val="toc 9"/>
    <w:basedOn w:val="Normal"/>
    <w:next w:val="Normal"/>
    <w:autoRedefine/>
    <w:uiPriority w:val="39"/>
    <w:unhideWhenUsed/>
    <w:rsid w:val="00C74DA0"/>
    <w:pPr>
      <w:spacing w:after="100"/>
      <w:ind w:left="1760"/>
    </w:pPr>
    <w:rPr>
      <w:rFonts w:eastAsiaTheme="minorEastAsia"/>
      <w:lang w:eastAsia="zh-CN"/>
    </w:rPr>
  </w:style>
  <w:style w:type="character" w:customStyle="1" w:styleId="ListParagraphChar">
    <w:name w:val="List Paragraph Char"/>
    <w:basedOn w:val="DefaultParagraphFont"/>
    <w:link w:val="ListParagraph"/>
    <w:uiPriority w:val="34"/>
    <w:locked/>
    <w:rsid w:val="00C74DA0"/>
    <w:rPr>
      <w:rFonts w:ascii="Calibri" w:eastAsia="SimSun" w:hAnsi="Calibri" w:cs="Arial"/>
      <w:sz w:val="24"/>
    </w:rPr>
  </w:style>
  <w:style w:type="character" w:styleId="Emphasis">
    <w:name w:val="Emphasis"/>
    <w:basedOn w:val="DefaultParagraphFont"/>
    <w:uiPriority w:val="20"/>
    <w:qFormat/>
    <w:rsid w:val="00C74DA0"/>
    <w:rPr>
      <w:i/>
      <w:iCs/>
    </w:rPr>
  </w:style>
  <w:style w:type="character" w:customStyle="1" w:styleId="ms-rtefontsize-1">
    <w:name w:val="ms-rtefontsize-1"/>
    <w:basedOn w:val="DefaultParagraphFont"/>
    <w:rsid w:val="00C74DA0"/>
  </w:style>
  <w:style w:type="paragraph" w:customStyle="1" w:styleId="paragraph">
    <w:name w:val="paragraph"/>
    <w:basedOn w:val="Normal"/>
    <w:rsid w:val="00C74DA0"/>
    <w:pPr>
      <w:spacing w:before="100" w:beforeAutospacing="1" w:after="100" w:afterAutospacing="1"/>
    </w:pPr>
    <w:rPr>
      <w:rFonts w:ascii="Calibri" w:eastAsiaTheme="minorEastAsia" w:hAnsi="Calibri" w:cs="Calibri"/>
      <w:szCs w:val="24"/>
      <w:lang w:eastAsia="zh-CN"/>
    </w:rPr>
  </w:style>
  <w:style w:type="paragraph" w:styleId="EndnoteText">
    <w:name w:val="endnote text"/>
    <w:basedOn w:val="Normal"/>
    <w:link w:val="EndnoteTextChar"/>
    <w:semiHidden/>
    <w:unhideWhenUsed/>
    <w:rsid w:val="00C74DA0"/>
    <w:rPr>
      <w:sz w:val="20"/>
    </w:rPr>
  </w:style>
  <w:style w:type="character" w:customStyle="1" w:styleId="EndnoteTextChar">
    <w:name w:val="Endnote Text Char"/>
    <w:basedOn w:val="DefaultParagraphFont"/>
    <w:link w:val="EndnoteText"/>
    <w:semiHidden/>
    <w:rsid w:val="00C74DA0"/>
    <w:rPr>
      <w:rFonts w:ascii="Times New Roman" w:hAnsi="Times New Roman"/>
      <w:lang w:val="en-GB" w:eastAsia="en-US"/>
    </w:rPr>
  </w:style>
  <w:style w:type="paragraph" w:styleId="PlainText">
    <w:name w:val="Plain Text"/>
    <w:basedOn w:val="Normal"/>
    <w:link w:val="PlainTextChar"/>
    <w:uiPriority w:val="99"/>
    <w:semiHidden/>
    <w:unhideWhenUsed/>
    <w:rsid w:val="00C74DA0"/>
    <w:rPr>
      <w:rFonts w:ascii="Calibri" w:eastAsiaTheme="minorEastAsia" w:hAnsi="Calibri" w:cs="Calibri"/>
      <w:lang w:eastAsia="zh-CN"/>
    </w:rPr>
  </w:style>
  <w:style w:type="character" w:customStyle="1" w:styleId="PlainTextChar">
    <w:name w:val="Plain Text Char"/>
    <w:basedOn w:val="DefaultParagraphFont"/>
    <w:link w:val="PlainText"/>
    <w:uiPriority w:val="99"/>
    <w:semiHidden/>
    <w:rsid w:val="00C74DA0"/>
    <w:rPr>
      <w:rFonts w:ascii="Calibri" w:eastAsiaTheme="minorEastAsia" w:hAnsi="Calibri" w:cs="Calibri"/>
      <w:sz w:val="24"/>
      <w:lang w:val="en-GB"/>
    </w:rPr>
  </w:style>
  <w:style w:type="character" w:styleId="CommentReference">
    <w:name w:val="annotation reference"/>
    <w:basedOn w:val="DefaultParagraphFont"/>
    <w:semiHidden/>
    <w:unhideWhenUsed/>
    <w:rsid w:val="00C74DA0"/>
    <w:rPr>
      <w:sz w:val="16"/>
      <w:szCs w:val="16"/>
    </w:rPr>
  </w:style>
  <w:style w:type="paragraph" w:styleId="CommentText">
    <w:name w:val="annotation text"/>
    <w:basedOn w:val="Normal"/>
    <w:link w:val="CommentTextChar"/>
    <w:unhideWhenUsed/>
    <w:rsid w:val="00C74DA0"/>
    <w:rPr>
      <w:sz w:val="20"/>
    </w:rPr>
  </w:style>
  <w:style w:type="character" w:customStyle="1" w:styleId="CommentTextChar">
    <w:name w:val="Comment Text Char"/>
    <w:basedOn w:val="DefaultParagraphFont"/>
    <w:link w:val="CommentText"/>
    <w:rsid w:val="00C74DA0"/>
    <w:rPr>
      <w:rFonts w:ascii="Times New Roman" w:hAnsi="Times New Roman"/>
      <w:lang w:val="en-GB" w:eastAsia="en-US"/>
    </w:rPr>
  </w:style>
  <w:style w:type="paragraph" w:styleId="Revision">
    <w:name w:val="Revision"/>
    <w:hidden/>
    <w:uiPriority w:val="99"/>
    <w:semiHidden/>
    <w:rsid w:val="00C74DA0"/>
    <w:rPr>
      <w:rFonts w:asciiTheme="minorHAnsi" w:eastAsiaTheme="minorHAnsi" w:hAnsiTheme="minorHAnsi" w:cstheme="minorBidi"/>
      <w:kern w:val="2"/>
      <w:sz w:val="22"/>
      <w:szCs w:val="22"/>
      <w:lang w:val="en-GB" w:eastAsia="en-US"/>
      <w14:ligatures w14:val="standardContextual"/>
    </w:rPr>
  </w:style>
  <w:style w:type="table" w:styleId="GridTable4-Accent1">
    <w:name w:val="Grid Table 4 Accent 1"/>
    <w:basedOn w:val="TableNormal"/>
    <w:uiPriority w:val="49"/>
    <w:rsid w:val="00C74DA0"/>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C74DA0"/>
    <w:rPr>
      <w:b/>
      <w:bCs/>
    </w:rPr>
  </w:style>
  <w:style w:type="character" w:customStyle="1" w:styleId="CommentSubjectChar">
    <w:name w:val="Comment Subject Char"/>
    <w:basedOn w:val="CommentTextChar"/>
    <w:link w:val="CommentSubject"/>
    <w:semiHidden/>
    <w:rsid w:val="00C74DA0"/>
    <w:rPr>
      <w:rFonts w:ascii="Times New Roman" w:hAnsi="Times New Roman"/>
      <w:b/>
      <w:bCs/>
      <w:lang w:val="en-GB" w:eastAsia="en-US"/>
    </w:rPr>
  </w:style>
  <w:style w:type="character" w:styleId="UnresolvedMention">
    <w:name w:val="Unresolved Mention"/>
    <w:basedOn w:val="DefaultParagraphFont"/>
    <w:uiPriority w:val="99"/>
    <w:semiHidden/>
    <w:unhideWhenUsed/>
    <w:rsid w:val="00C74DA0"/>
    <w:rPr>
      <w:color w:val="605E5C"/>
      <w:shd w:val="clear" w:color="auto" w:fill="E1DFDD"/>
    </w:rPr>
  </w:style>
  <w:style w:type="paragraph" w:customStyle="1" w:styleId="ASN1">
    <w:name w:val="ASN.1"/>
    <w:basedOn w:val="Normal"/>
    <w:rsid w:val="00C74DA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C74DA0"/>
    <w:rPr>
      <w:b w:val="0"/>
    </w:rPr>
  </w:style>
  <w:style w:type="paragraph" w:customStyle="1" w:styleId="Recref">
    <w:name w:val="Rec_ref"/>
    <w:basedOn w:val="Rectitle"/>
    <w:next w:val="Normal"/>
    <w:rsid w:val="00C74DA0"/>
    <w:pPr>
      <w:spacing w:before="120"/>
    </w:pPr>
    <w:rPr>
      <w:rFonts w:ascii="Times New Roman" w:hAnsi="Times New Roman"/>
      <w:b w:val="0"/>
      <w:sz w:val="24"/>
    </w:rPr>
  </w:style>
  <w:style w:type="paragraph" w:customStyle="1" w:styleId="Questionref">
    <w:name w:val="Question_ref"/>
    <w:basedOn w:val="Recref"/>
    <w:next w:val="Questiondate"/>
    <w:rsid w:val="00C74DA0"/>
  </w:style>
  <w:style w:type="character" w:customStyle="1" w:styleId="Recdef">
    <w:name w:val="Rec_def"/>
    <w:basedOn w:val="DefaultParagraphFont"/>
    <w:rsid w:val="00C74DA0"/>
    <w:rPr>
      <w:b/>
    </w:rPr>
  </w:style>
  <w:style w:type="paragraph" w:customStyle="1" w:styleId="Reftext">
    <w:name w:val="Ref_text"/>
    <w:basedOn w:val="Normal"/>
    <w:rsid w:val="00C74DA0"/>
    <w:pPr>
      <w:ind w:left="1134" w:hanging="1134"/>
    </w:pPr>
  </w:style>
  <w:style w:type="paragraph" w:customStyle="1" w:styleId="Reftitle">
    <w:name w:val="Ref_title"/>
    <w:basedOn w:val="Normal"/>
    <w:next w:val="Reftext"/>
    <w:rsid w:val="00C74DA0"/>
    <w:pPr>
      <w:spacing w:before="480"/>
      <w:jc w:val="center"/>
    </w:pPr>
    <w:rPr>
      <w:caps/>
    </w:rPr>
  </w:style>
  <w:style w:type="paragraph" w:customStyle="1" w:styleId="Repdate">
    <w:name w:val="Rep_date"/>
    <w:basedOn w:val="Recdate"/>
    <w:next w:val="Normalaftertitle"/>
    <w:rsid w:val="00C74DA0"/>
  </w:style>
  <w:style w:type="paragraph" w:customStyle="1" w:styleId="RepNo">
    <w:name w:val="Rep_No"/>
    <w:basedOn w:val="RecNo"/>
    <w:next w:val="Normal"/>
    <w:rsid w:val="00C74DA0"/>
  </w:style>
  <w:style w:type="paragraph" w:customStyle="1" w:styleId="Repref">
    <w:name w:val="Rep_ref"/>
    <w:basedOn w:val="Recref"/>
    <w:next w:val="Repdate"/>
    <w:rsid w:val="00C74DA0"/>
  </w:style>
  <w:style w:type="paragraph" w:customStyle="1" w:styleId="Reptitle">
    <w:name w:val="Rep_title"/>
    <w:basedOn w:val="Rectitle"/>
    <w:next w:val="Repref"/>
    <w:rsid w:val="00C74DA0"/>
  </w:style>
  <w:style w:type="paragraph" w:customStyle="1" w:styleId="Resdate">
    <w:name w:val="Res_date"/>
    <w:basedOn w:val="Recdate"/>
    <w:next w:val="Normalaftertitle"/>
    <w:rsid w:val="00C74DA0"/>
  </w:style>
  <w:style w:type="character" w:customStyle="1" w:styleId="Resdef">
    <w:name w:val="Res_def"/>
    <w:basedOn w:val="DefaultParagraphFont"/>
    <w:rsid w:val="00C74DA0"/>
    <w:rPr>
      <w:rFonts w:ascii="Times New Roman" w:hAnsi="Times New Roman"/>
      <w:b/>
    </w:rPr>
  </w:style>
  <w:style w:type="paragraph" w:customStyle="1" w:styleId="Resref">
    <w:name w:val="Res_ref"/>
    <w:basedOn w:val="Recref"/>
    <w:next w:val="Resdate"/>
    <w:rsid w:val="00C74DA0"/>
  </w:style>
  <w:style w:type="paragraph" w:customStyle="1" w:styleId="Footnote">
    <w:name w:val="Footnote"/>
    <w:basedOn w:val="Normal"/>
    <w:rsid w:val="00091AB4"/>
    <w:pPr>
      <w:jc w:val="both"/>
    </w:pPr>
    <w:rPr>
      <w:rFonts w:cstheme="minorHAnsi"/>
      <w:sz w:val="20"/>
    </w:rPr>
  </w:style>
  <w:style w:type="table" w:styleId="PlainTable1">
    <w:name w:val="Plain Table 1"/>
    <w:basedOn w:val="TableNormal"/>
    <w:uiPriority w:val="41"/>
    <w:rsid w:val="005A66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56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31130">
      <w:bodyDiv w:val="1"/>
      <w:marLeft w:val="0"/>
      <w:marRight w:val="0"/>
      <w:marTop w:val="0"/>
      <w:marBottom w:val="0"/>
      <w:divBdr>
        <w:top w:val="none" w:sz="0" w:space="0" w:color="auto"/>
        <w:left w:val="none" w:sz="0" w:space="0" w:color="auto"/>
        <w:bottom w:val="none" w:sz="0" w:space="0" w:color="auto"/>
        <w:right w:val="none" w:sz="0" w:space="0" w:color="auto"/>
      </w:divBdr>
    </w:div>
    <w:div w:id="920917194">
      <w:bodyDiv w:val="1"/>
      <w:marLeft w:val="0"/>
      <w:marRight w:val="0"/>
      <w:marTop w:val="0"/>
      <w:marBottom w:val="0"/>
      <w:divBdr>
        <w:top w:val="none" w:sz="0" w:space="0" w:color="auto"/>
        <w:left w:val="none" w:sz="0" w:space="0" w:color="auto"/>
        <w:bottom w:val="none" w:sz="0" w:space="0" w:color="auto"/>
        <w:right w:val="none" w:sz="0" w:space="0" w:color="auto"/>
      </w:divBdr>
    </w:div>
    <w:div w:id="1580359700">
      <w:bodyDiv w:val="1"/>
      <w:marLeft w:val="0"/>
      <w:marRight w:val="0"/>
      <w:marTop w:val="0"/>
      <w:marBottom w:val="0"/>
      <w:divBdr>
        <w:top w:val="none" w:sz="0" w:space="0" w:color="auto"/>
        <w:left w:val="none" w:sz="0" w:space="0" w:color="auto"/>
        <w:bottom w:val="none" w:sz="0" w:space="0" w:color="auto"/>
        <w:right w:val="none" w:sz="0" w:space="0" w:color="auto"/>
      </w:divBdr>
    </w:div>
    <w:div w:id="1600991544">
      <w:bodyDiv w:val="1"/>
      <w:marLeft w:val="0"/>
      <w:marRight w:val="0"/>
      <w:marTop w:val="0"/>
      <w:marBottom w:val="0"/>
      <w:divBdr>
        <w:top w:val="none" w:sz="0" w:space="0" w:color="auto"/>
        <w:left w:val="none" w:sz="0" w:space="0" w:color="auto"/>
        <w:bottom w:val="none" w:sz="0" w:space="0" w:color="auto"/>
        <w:right w:val="none" w:sz="0" w:space="0" w:color="auto"/>
      </w:divBdr>
      <w:divsChild>
        <w:div w:id="205021876">
          <w:marLeft w:val="0"/>
          <w:marRight w:val="0"/>
          <w:marTop w:val="0"/>
          <w:marBottom w:val="0"/>
          <w:divBdr>
            <w:top w:val="none" w:sz="0" w:space="0" w:color="auto"/>
            <w:left w:val="none" w:sz="0" w:space="0" w:color="auto"/>
            <w:bottom w:val="none" w:sz="0" w:space="0" w:color="auto"/>
            <w:right w:val="none" w:sz="0" w:space="0" w:color="auto"/>
          </w:divBdr>
          <w:divsChild>
            <w:div w:id="1929582580">
              <w:marLeft w:val="0"/>
              <w:marRight w:val="0"/>
              <w:marTop w:val="0"/>
              <w:marBottom w:val="0"/>
              <w:divBdr>
                <w:top w:val="none" w:sz="0" w:space="0" w:color="auto"/>
                <w:left w:val="none" w:sz="0" w:space="0" w:color="auto"/>
                <w:bottom w:val="none" w:sz="0" w:space="0" w:color="auto"/>
                <w:right w:val="none" w:sz="0" w:space="0" w:color="auto"/>
              </w:divBdr>
            </w:div>
          </w:divsChild>
        </w:div>
        <w:div w:id="757483158">
          <w:marLeft w:val="0"/>
          <w:marRight w:val="0"/>
          <w:marTop w:val="0"/>
          <w:marBottom w:val="0"/>
          <w:divBdr>
            <w:top w:val="none" w:sz="0" w:space="0" w:color="auto"/>
            <w:left w:val="none" w:sz="0" w:space="0" w:color="auto"/>
            <w:bottom w:val="none" w:sz="0" w:space="0" w:color="auto"/>
            <w:right w:val="none" w:sz="0" w:space="0" w:color="auto"/>
          </w:divBdr>
          <w:divsChild>
            <w:div w:id="1884126918">
              <w:marLeft w:val="0"/>
              <w:marRight w:val="0"/>
              <w:marTop w:val="0"/>
              <w:marBottom w:val="0"/>
              <w:divBdr>
                <w:top w:val="none" w:sz="0" w:space="0" w:color="auto"/>
                <w:left w:val="none" w:sz="0" w:space="0" w:color="auto"/>
                <w:bottom w:val="none" w:sz="0" w:space="0" w:color="auto"/>
                <w:right w:val="none" w:sz="0" w:space="0" w:color="auto"/>
              </w:divBdr>
            </w:div>
          </w:divsChild>
        </w:div>
        <w:div w:id="1837768896">
          <w:marLeft w:val="0"/>
          <w:marRight w:val="0"/>
          <w:marTop w:val="0"/>
          <w:marBottom w:val="0"/>
          <w:divBdr>
            <w:top w:val="none" w:sz="0" w:space="0" w:color="auto"/>
            <w:left w:val="none" w:sz="0" w:space="0" w:color="auto"/>
            <w:bottom w:val="none" w:sz="0" w:space="0" w:color="auto"/>
            <w:right w:val="none" w:sz="0" w:space="0" w:color="auto"/>
          </w:divBdr>
          <w:divsChild>
            <w:div w:id="9798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pfdsupport/resources/" TargetMode="External"/><Relationship Id="rId117" Type="http://schemas.openxmlformats.org/officeDocument/2006/relationships/hyperlink" Target="https://www.itu.int/en/ITU-R/space/Pages/ITU-Space-RadioMonitoring.aspx" TargetMode="External"/><Relationship Id="rId21" Type="http://schemas.openxmlformats.org/officeDocument/2006/relationships/hyperlink" Target="http://www.itu.int/en/ITU-R/space/Pages/Statistics.aspx" TargetMode="External"/><Relationship Id="rId42" Type="http://schemas.openxmlformats.org/officeDocument/2006/relationships/hyperlink" Target="https://www.itu.int/md/R19-WP4A-C-0844/en" TargetMode="External"/><Relationship Id="rId47" Type="http://schemas.openxmlformats.org/officeDocument/2006/relationships/image" Target="media/image8.png"/><Relationship Id="rId63" Type="http://schemas.openxmlformats.org/officeDocument/2006/relationships/chart" Target="charts/chart2.xml"/><Relationship Id="rId68" Type="http://schemas.openxmlformats.org/officeDocument/2006/relationships/hyperlink" Target="https://www.itu.int/md/R16-WRC19-C-0550/en" TargetMode="External"/><Relationship Id="rId84" Type="http://schemas.openxmlformats.org/officeDocument/2006/relationships/hyperlink" Target="https://prida.africa/" TargetMode="External"/><Relationship Id="rId89" Type="http://schemas.openxmlformats.org/officeDocument/2006/relationships/footer" Target="footer3.xml"/><Relationship Id="rId112" Type="http://schemas.openxmlformats.org/officeDocument/2006/relationships/hyperlink" Target="https://www.itu.int/en/mediacentre/backgrounders/Pages/itu-study-groups.aspx" TargetMode="External"/><Relationship Id="rId16" Type="http://schemas.openxmlformats.org/officeDocument/2006/relationships/image" Target="media/image4.png"/><Relationship Id="rId107" Type="http://schemas.openxmlformats.org/officeDocument/2006/relationships/hyperlink" Target="https://www.itu.int/wrc-23/" TargetMode="External"/><Relationship Id="rId11" Type="http://schemas.openxmlformats.org/officeDocument/2006/relationships/image" Target="media/image1.jpeg"/><Relationship Id="rId32" Type="http://schemas.openxmlformats.org/officeDocument/2006/relationships/hyperlink" Target="http://www.itu.int/ITU-R/go/space-software/en" TargetMode="External"/><Relationship Id="rId37" Type="http://schemas.openxmlformats.org/officeDocument/2006/relationships/image" Target="cid:image001.png@01D994AD.17C68700" TargetMode="External"/><Relationship Id="rId53" Type="http://schemas.openxmlformats.org/officeDocument/2006/relationships/hyperlink" Target="https://www.itu.int/itu-r/go/space-submission" TargetMode="External"/><Relationship Id="rId58" Type="http://schemas.openxmlformats.org/officeDocument/2006/relationships/hyperlink" Target="https://www.itu.int/md/R15-WP7B-C-0058/en" TargetMode="External"/><Relationship Id="rId74" Type="http://schemas.openxmlformats.org/officeDocument/2006/relationships/hyperlink" Target="https://www.itu.int/md/R23-RA23-C-0006/en" TargetMode="External"/><Relationship Id="rId79" Type="http://schemas.openxmlformats.org/officeDocument/2006/relationships/hyperlink" Target="https://www.pita.org.fj/" TargetMode="External"/><Relationship Id="rId102" Type="http://schemas.openxmlformats.org/officeDocument/2006/relationships/hyperlink" Target="https://www.itu.int/wrd-22/" TargetMode="External"/><Relationship Id="rId123" Type="http://schemas.openxmlformats.org/officeDocument/2006/relationships/hyperlink" Target="https://www.itu.int/dms_pub/itu-r/oth/0a/0e/R0A0E0000E80001PDFE.pdf" TargetMode="External"/><Relationship Id="rId5" Type="http://schemas.openxmlformats.org/officeDocument/2006/relationships/numbering" Target="numbering.xml"/><Relationship Id="rId61" Type="http://schemas.openxmlformats.org/officeDocument/2006/relationships/hyperlink" Target="https://www.itu.int/md/R19-WP4A-C-0841/en" TargetMode="External"/><Relationship Id="rId82" Type="http://schemas.openxmlformats.org/officeDocument/2006/relationships/hyperlink" Target="https://www.sica.int/comtelca/inicio" TargetMode="External"/><Relationship Id="rId90" Type="http://schemas.openxmlformats.org/officeDocument/2006/relationships/footer" Target="footer4.xml"/><Relationship Id="rId95" Type="http://schemas.openxmlformats.org/officeDocument/2006/relationships/hyperlink" Target="https://www.itu.int/futureradionow/" TargetMode="External"/><Relationship Id="rId19" Type="http://schemas.openxmlformats.org/officeDocument/2006/relationships/hyperlink" Target="http://www.itu.int/en/ITU-R/space/Pages/Statistics.aspx" TargetMode="External"/><Relationship Id="rId14" Type="http://schemas.openxmlformats.org/officeDocument/2006/relationships/image" Target="media/image3.png"/><Relationship Id="rId22" Type="http://schemas.openxmlformats.org/officeDocument/2006/relationships/hyperlink" Target="https://www.itu.int/en/ITU-R/space/Pages/res35main.aspx" TargetMode="External"/><Relationship Id="rId27" Type="http://schemas.openxmlformats.org/officeDocument/2006/relationships/hyperlink" Target="https://www.itu.int/md/R15-WRC15-C-0416/en" TargetMode="External"/><Relationship Id="rId30" Type="http://schemas.openxmlformats.org/officeDocument/2006/relationships/hyperlink" Target="https://www.itu.int/en/ITU-R/space/snl/Pages/UAS.aspx" TargetMode="External"/><Relationship Id="rId35" Type="http://schemas.openxmlformats.org/officeDocument/2006/relationships/hyperlink" Target="https://www.itu.int/md/meetingdoc.asp?lang=en&amp;parent=R19-WP4A-C-0033" TargetMode="External"/><Relationship Id="rId43" Type="http://schemas.openxmlformats.org/officeDocument/2006/relationships/hyperlink" Target="https://www.itu.int/dms_ties/itu-r/md/19/wp4a/c/R19-WP4A-C-0856!N40!MSW-E.docx" TargetMode="External"/><Relationship Id="rId48" Type="http://schemas.openxmlformats.org/officeDocument/2006/relationships/hyperlink" Target="http://www.itu.int/en/ITU-R/space/Pages/Statistics.aspx" TargetMode="External"/><Relationship Id="rId56" Type="http://schemas.openxmlformats.org/officeDocument/2006/relationships/hyperlink" Target="https://www.itu.int/md/R15-WP4A-C-0051/en" TargetMode="External"/><Relationship Id="rId64" Type="http://schemas.openxmlformats.org/officeDocument/2006/relationships/hyperlink" Target="https://www.itu.int/dms_ties/itu-r/md/19/wp5b/c/R19-WP5B-C-0731!N18!MSW-E.docx" TargetMode="External"/><Relationship Id="rId69" Type="http://schemas.openxmlformats.org/officeDocument/2006/relationships/hyperlink" Target="https://www.itu.int/dms_ties/itu-r/md/19/wp5d/c/R19-WP5D-C-1776!H7!MSW-E.docx" TargetMode="External"/><Relationship Id="rId77" Type="http://schemas.openxmlformats.org/officeDocument/2006/relationships/footer" Target="footer1.xml"/><Relationship Id="rId100" Type="http://schemas.openxmlformats.org/officeDocument/2006/relationships/hyperlink" Target="https://www.itu.int/futureradionow/" TargetMode="External"/><Relationship Id="rId105" Type="http://schemas.openxmlformats.org/officeDocument/2006/relationships/hyperlink" Target="https://www.itu.int/en/ITU-R/Director/Pages/default.aspx" TargetMode="External"/><Relationship Id="rId113" Type="http://schemas.openxmlformats.org/officeDocument/2006/relationships/hyperlink" Target="https://www.itu.int/en/mediacentre/backgrounders/Pages/itu-r-managing-the-radio-frequency-spectrum-for-the-world.aspx" TargetMode="External"/><Relationship Id="rId118" Type="http://schemas.openxmlformats.org/officeDocument/2006/relationships/hyperlink" Target="https://www.itu.int/en/ITU-R/space/workshops/sat-webinars/Pages/default.asp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ITU-R/go/space-communications" TargetMode="External"/><Relationship Id="rId72" Type="http://schemas.openxmlformats.org/officeDocument/2006/relationships/hyperlink" Target="https://view.officeapps.live.com/op/view.aspx?src=https%3A%2F%2Fwww.itu.int%2Fdms_pub%2Fitu-r%2Fmd%2F22%2Frrb22.2%2Fc%2FR22-RRB22.2-C-0015!!MSW-E.docx&amp;wdOrigin=BROWSELINK" TargetMode="External"/><Relationship Id="rId80" Type="http://schemas.openxmlformats.org/officeDocument/2006/relationships/hyperlink" Target="https://www.infrastructure.gov.au/" TargetMode="External"/><Relationship Id="rId85" Type="http://schemas.openxmlformats.org/officeDocument/2006/relationships/hyperlink" Target="https://atuuat.africa/" TargetMode="External"/><Relationship Id="rId93" Type="http://schemas.openxmlformats.org/officeDocument/2006/relationships/hyperlink" Target="https://www.itu.int/hub/publication/s-gen-news-2023-2/" TargetMode="External"/><Relationship Id="rId98" Type="http://schemas.openxmlformats.org/officeDocument/2006/relationships/hyperlink" Target="https://www.itu.int/ra-23/" TargetMode="External"/><Relationship Id="rId121" Type="http://schemas.openxmlformats.org/officeDocument/2006/relationships/hyperlink" Target="https://www.itu.int/md/R00-CR-CIR-0435/e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itu.int/en/ITU-R/space/Pages/Statistics.aspx" TargetMode="External"/><Relationship Id="rId25" Type="http://schemas.openxmlformats.org/officeDocument/2006/relationships/hyperlink" Target="https://www.itu.int/md/R00-CACE-CIR-1014/en" TargetMode="External"/><Relationship Id="rId33" Type="http://schemas.openxmlformats.org/officeDocument/2006/relationships/hyperlink" Target="https://www.itu.int/en/ITU-R/space/Pages/res609.aspx" TargetMode="External"/><Relationship Id="rId38" Type="http://schemas.openxmlformats.org/officeDocument/2006/relationships/hyperlink" Target="http://www.itu.int/en/ITU-R/space/Pages/Statistics.aspx" TargetMode="External"/><Relationship Id="rId46" Type="http://schemas.openxmlformats.org/officeDocument/2006/relationships/hyperlink" Target="https://www.itu.int/md/R00-CA-CIR-0246/en" TargetMode="External"/><Relationship Id="rId59" Type="http://schemas.openxmlformats.org/officeDocument/2006/relationships/hyperlink" Target="https://www.itu.int/md/R15-WP4A-C-0108/en" TargetMode="External"/><Relationship Id="rId67" Type="http://schemas.openxmlformats.org/officeDocument/2006/relationships/hyperlink" Target="https://www.itu.int/md/R19-CPM23.2-R-0001/en" TargetMode="External"/><Relationship Id="rId103" Type="http://schemas.openxmlformats.org/officeDocument/2006/relationships/hyperlink" Target="https://www.itu.int/hub/news/" TargetMode="External"/><Relationship Id="rId108" Type="http://schemas.openxmlformats.org/officeDocument/2006/relationships/hyperlink" Target="https://twitter.com/hashtag/ITUWRC?src=hash" TargetMode="External"/><Relationship Id="rId116" Type="http://schemas.openxmlformats.org/officeDocument/2006/relationships/hyperlink" Target="https://www.itu.int/en/mediacentre/backgrounders/Pages/non-GSO-satellite-systems-with-short-duration-missions.aspx" TargetMode="External"/><Relationship Id="rId124" Type="http://schemas.openxmlformats.org/officeDocument/2006/relationships/header" Target="header5.xml"/><Relationship Id="rId20" Type="http://schemas.openxmlformats.org/officeDocument/2006/relationships/image" Target="media/image6.png"/><Relationship Id="rId41" Type="http://schemas.openxmlformats.org/officeDocument/2006/relationships/hyperlink" Target="https://www.itu.int/md/R19-WP4A-C-0522/en" TargetMode="External"/><Relationship Id="rId54" Type="http://schemas.openxmlformats.org/officeDocument/2006/relationships/image" Target="media/image10.png"/><Relationship Id="rId62" Type="http://schemas.openxmlformats.org/officeDocument/2006/relationships/chart" Target="charts/chart1.xml"/><Relationship Id="rId70" Type="http://schemas.openxmlformats.org/officeDocument/2006/relationships/hyperlink" Target="https://www.itu.int/dms_ties/itu-r/md/19/wp5d/c/R19-WP5D-C-1555!H4-N4.05!MSW-E.docx" TargetMode="External"/><Relationship Id="rId75" Type="http://schemas.openxmlformats.org/officeDocument/2006/relationships/header" Target="header1.xml"/><Relationship Id="rId83" Type="http://schemas.openxmlformats.org/officeDocument/2006/relationships/hyperlink" Target="https://www.arpce.cg/" TargetMode="External"/><Relationship Id="rId88" Type="http://schemas.openxmlformats.org/officeDocument/2006/relationships/footer" Target="footer2.xml"/><Relationship Id="rId91" Type="http://schemas.openxmlformats.org/officeDocument/2006/relationships/hyperlink" Target="http://www.itu.int/ITU-R/go/seminars" TargetMode="External"/><Relationship Id="rId96" Type="http://schemas.openxmlformats.org/officeDocument/2006/relationships/hyperlink" Target="https://www.itu.int/bestofwrs/" TargetMode="External"/><Relationship Id="rId111" Type="http://schemas.openxmlformats.org/officeDocument/2006/relationships/hyperlink" Target="https://www.itu.int/en/mediacentre/backgrounders/Pages/High-altitude-platform-system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ITU-R/space/Pages/Statistics.aspx" TargetMode="External"/><Relationship Id="rId23" Type="http://schemas.openxmlformats.org/officeDocument/2006/relationships/hyperlink" Target="http://www.itu.int/ITU-R/go/space-epfd/en" TargetMode="External"/><Relationship Id="rId28" Type="http://schemas.openxmlformats.org/officeDocument/2006/relationships/hyperlink" Target="https://www.itu.int/md/R15-WRC15-C-0505/en" TargetMode="External"/><Relationship Id="rId36" Type="http://schemas.openxmlformats.org/officeDocument/2006/relationships/image" Target="media/image7.png"/><Relationship Id="rId49" Type="http://schemas.openxmlformats.org/officeDocument/2006/relationships/hyperlink" Target="http://www.itu.int/en/ITU-R/space/plans/Pages/AP30B.aspx" TargetMode="External"/><Relationship Id="rId57" Type="http://schemas.openxmlformats.org/officeDocument/2006/relationships/hyperlink" Target="https://www.itu.int/md/R15-WP4C-C-0094/en" TargetMode="External"/><Relationship Id="rId106" Type="http://schemas.openxmlformats.org/officeDocument/2006/relationships/hyperlink" Target="https://www.itu.int/wrc-23/newsroom/wrc-news/" TargetMode="External"/><Relationship Id="rId114" Type="http://schemas.openxmlformats.org/officeDocument/2006/relationships/hyperlink" Target="https://www.itu.int/en/mediacentre/backgrounders/Pages/Earth-stations-in-motion-satellite-issues.aspx" TargetMode="External"/><Relationship Id="rId119" Type="http://schemas.openxmlformats.org/officeDocument/2006/relationships/hyperlink" Target="https://www.itu.int/en/ITU-R/space/workshops/ISRMM/Pages/default.aspx" TargetMode="External"/><Relationship Id="rId10" Type="http://schemas.openxmlformats.org/officeDocument/2006/relationships/endnotes" Target="endnotes.xml"/><Relationship Id="rId31" Type="http://schemas.openxmlformats.org/officeDocument/2006/relationships/hyperlink" Target="https://www.itu.int/md/R19-WP4A-C-0850/en" TargetMode="External"/><Relationship Id="rId44" Type="http://schemas.openxmlformats.org/officeDocument/2006/relationships/hyperlink" Target="https://www.itu.int/md/R19-WP4A-C-0856/en" TargetMode="External"/><Relationship Id="rId52" Type="http://schemas.openxmlformats.org/officeDocument/2006/relationships/image" Target="media/image9.png"/><Relationship Id="rId60" Type="http://schemas.openxmlformats.org/officeDocument/2006/relationships/hyperlink" Target="https://www.itu.int/md/R19-WP4A-C-0841/en" TargetMode="External"/><Relationship Id="rId65" Type="http://schemas.openxmlformats.org/officeDocument/2006/relationships/hyperlink" Target="https://www.itu.int/md/R19-WP5B-C-0731/en" TargetMode="External"/><Relationship Id="rId73" Type="http://schemas.openxmlformats.org/officeDocument/2006/relationships/hyperlink" Target="https://www.itu.int/md/R19-WP7A-C-0076/en" TargetMode="External"/><Relationship Id="rId78" Type="http://schemas.openxmlformats.org/officeDocument/2006/relationships/hyperlink" Target="http://www.fiji.gov.fj/" TargetMode="External"/><Relationship Id="rId81" Type="http://schemas.openxmlformats.org/officeDocument/2006/relationships/hyperlink" Target="https://www.mincom.gob.cu/es" TargetMode="External"/><Relationship Id="rId86" Type="http://schemas.openxmlformats.org/officeDocument/2006/relationships/header" Target="header3.xml"/><Relationship Id="rId94" Type="http://schemas.openxmlformats.org/officeDocument/2006/relationships/hyperlink" Target="https://www.itu.int/hub/publication/s-gen-news-2023-3/" TargetMode="External"/><Relationship Id="rId99" Type="http://schemas.openxmlformats.org/officeDocument/2006/relationships/hyperlink" Target="https://www.itu.int/now4wrc23/" TargetMode="External"/><Relationship Id="rId101" Type="http://schemas.openxmlformats.org/officeDocument/2006/relationships/hyperlink" Target="https://www.itu.int/wrs-22/" TargetMode="External"/><Relationship Id="rId122" Type="http://schemas.openxmlformats.org/officeDocument/2006/relationships/hyperlink" Target="http://www.itu.int/md/R11-MMHI-SP/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R/conferences/wrc/2023/irwsp/Pages/default.aspx" TargetMode="External"/><Relationship Id="rId18" Type="http://schemas.openxmlformats.org/officeDocument/2006/relationships/image" Target="media/image5.png"/><Relationship Id="rId39" Type="http://schemas.openxmlformats.org/officeDocument/2006/relationships/hyperlink" Target="https://www.itu.int/md/R19-WP4A-C-0404/en" TargetMode="External"/><Relationship Id="rId109" Type="http://schemas.openxmlformats.org/officeDocument/2006/relationships/hyperlink" Target="http://www.itu.int/en/ITU-R/Pages/default.aspx" TargetMode="External"/><Relationship Id="rId34" Type="http://schemas.openxmlformats.org/officeDocument/2006/relationships/hyperlink" Target="https://www.itu.int/en/ITU-R/space/Pages/epfdData.aspx" TargetMode="External"/><Relationship Id="rId50" Type="http://schemas.openxmlformats.org/officeDocument/2006/relationships/hyperlink" Target="https://www.itu.int/net/ITU-R/space/snl/sat_relocation/index.asp" TargetMode="External"/><Relationship Id="rId55" Type="http://schemas.openxmlformats.org/officeDocument/2006/relationships/hyperlink" Target="https://www.itu.int/md/R15-WRC15-C-0004/en" TargetMode="External"/><Relationship Id="rId76" Type="http://schemas.openxmlformats.org/officeDocument/2006/relationships/header" Target="header2.xml"/><Relationship Id="rId97" Type="http://schemas.openxmlformats.org/officeDocument/2006/relationships/hyperlink" Target="https://www.itu.int/wrc-23/" TargetMode="External"/><Relationship Id="rId104" Type="http://schemas.openxmlformats.org/officeDocument/2006/relationships/hyperlink" Target="https://twitter.com/ITUradiocomms" TargetMode="External"/><Relationship Id="rId120" Type="http://schemas.openxmlformats.org/officeDocument/2006/relationships/hyperlink" Target="https://www.itu.int/rec/R-REC-SM.2149-0-202209-I/en"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R19-WP5D-C-1776/en" TargetMode="External"/><Relationship Id="rId92" Type="http://schemas.openxmlformats.org/officeDocument/2006/relationships/hyperlink" Target="https://www.itu.int/hub/" TargetMode="External"/><Relationship Id="rId2" Type="http://schemas.openxmlformats.org/officeDocument/2006/relationships/customXml" Target="../customXml/item2.xml"/><Relationship Id="rId29" Type="http://schemas.openxmlformats.org/officeDocument/2006/relationships/hyperlink" Target="https://www.itu.int/md/R00-CR-CIR-0414/en" TargetMode="External"/><Relationship Id="rId24" Type="http://schemas.openxmlformats.org/officeDocument/2006/relationships/hyperlink" Target="https://www.itu.int/md/R00-CR-CIR-0405/en" TargetMode="External"/><Relationship Id="rId40" Type="http://schemas.openxmlformats.org/officeDocument/2006/relationships/hyperlink" Target="https://www.itu.int/dms_ties/itu-r/md/19/wp4a/c/R19-WP4A-C-0522!N43!MSW-E.docx" TargetMode="External"/><Relationship Id="rId45" Type="http://schemas.openxmlformats.org/officeDocument/2006/relationships/hyperlink" Target="http://www.itu.int/en/ITU-R/space/plans/Pages/AP30-30A.aspx" TargetMode="External"/><Relationship Id="rId66" Type="http://schemas.openxmlformats.org/officeDocument/2006/relationships/hyperlink" Target="https://www.itu.int/md/R00-CA-CIR-0251/en" TargetMode="External"/><Relationship Id="rId87" Type="http://schemas.openxmlformats.org/officeDocument/2006/relationships/header" Target="header4.xml"/><Relationship Id="rId110" Type="http://schemas.openxmlformats.org/officeDocument/2006/relationships/hyperlink" Target="https://www.itu.int/en/mediacentre/backgrounders/Pages/5G-fifth-generation-of-mobile-technologies.aspx" TargetMode="External"/><Relationship Id="rId115" Type="http://schemas.openxmlformats.org/officeDocument/2006/relationships/hyperlink" Target="https://www.itu.int/en/mediacentre/backgrounders/Pages/Non-geostationary-satellite-sys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Downloads\PE_WRC23%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loudin\AppData\Local\Microsoft\Windows\INetCache\Content.Outlook\3F8C9SLI\WRC%202023%20Cost%20Recovery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ISQUEDUR%20PERSONNEL\Diagram%20by%20Categor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Cost recovery revenue 2018-2022</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Values!$A$2</c:f>
              <c:strCache>
                <c:ptCount val="1"/>
                <c:pt idx="0">
                  <c:v>Total Invoices issues</c:v>
                </c:pt>
              </c:strCache>
            </c:strRef>
          </c:tx>
          <c:spPr>
            <a:solidFill>
              <a:schemeClr val="accent1"/>
            </a:solidFill>
            <a:ln>
              <a:noFill/>
            </a:ln>
            <a:effectLst/>
          </c:spPr>
          <c:invertIfNegative val="0"/>
          <c:cat>
            <c:numRef>
              <c:f>Values!$B$1:$F$1</c:f>
              <c:numCache>
                <c:formatCode>General</c:formatCode>
                <c:ptCount val="5"/>
                <c:pt idx="0">
                  <c:v>2018</c:v>
                </c:pt>
                <c:pt idx="1">
                  <c:v>2019</c:v>
                </c:pt>
                <c:pt idx="2">
                  <c:v>2020</c:v>
                </c:pt>
                <c:pt idx="3">
                  <c:v>2021</c:v>
                </c:pt>
                <c:pt idx="4">
                  <c:v>2022</c:v>
                </c:pt>
              </c:numCache>
            </c:numRef>
          </c:cat>
          <c:val>
            <c:numRef>
              <c:f>Values!$B$2:$F$2</c:f>
              <c:numCache>
                <c:formatCode>0</c:formatCode>
                <c:ptCount val="5"/>
                <c:pt idx="0">
                  <c:v>16483535</c:v>
                </c:pt>
                <c:pt idx="1">
                  <c:v>13270978</c:v>
                </c:pt>
                <c:pt idx="2">
                  <c:v>16638605</c:v>
                </c:pt>
                <c:pt idx="3">
                  <c:v>12351939</c:v>
                </c:pt>
                <c:pt idx="4">
                  <c:v>10567441</c:v>
                </c:pt>
              </c:numCache>
            </c:numRef>
          </c:val>
          <c:extLst>
            <c:ext xmlns:c16="http://schemas.microsoft.com/office/drawing/2014/chart" uri="{C3380CC4-5D6E-409C-BE32-E72D297353CC}">
              <c16:uniqueId val="{00000000-635D-40CB-BDA1-D7B11004FB66}"/>
            </c:ext>
          </c:extLst>
        </c:ser>
        <c:ser>
          <c:idx val="1"/>
          <c:order val="1"/>
          <c:tx>
            <c:strRef>
              <c:f>Values!$A$3</c:f>
              <c:strCache>
                <c:ptCount val="1"/>
                <c:pt idx="0">
                  <c:v>Free entitlemnt</c:v>
                </c:pt>
              </c:strCache>
            </c:strRef>
          </c:tx>
          <c:spPr>
            <a:solidFill>
              <a:schemeClr val="accent2"/>
            </a:solidFill>
            <a:ln>
              <a:noFill/>
            </a:ln>
            <a:effectLst/>
          </c:spPr>
          <c:invertIfNegative val="0"/>
          <c:cat>
            <c:numRef>
              <c:f>Values!$B$1:$F$1</c:f>
              <c:numCache>
                <c:formatCode>General</c:formatCode>
                <c:ptCount val="5"/>
                <c:pt idx="0">
                  <c:v>2018</c:v>
                </c:pt>
                <c:pt idx="1">
                  <c:v>2019</c:v>
                </c:pt>
                <c:pt idx="2">
                  <c:v>2020</c:v>
                </c:pt>
                <c:pt idx="3">
                  <c:v>2021</c:v>
                </c:pt>
                <c:pt idx="4">
                  <c:v>2022</c:v>
                </c:pt>
              </c:numCache>
            </c:numRef>
          </c:cat>
          <c:val>
            <c:numRef>
              <c:f>Values!$B$3:$F$3</c:f>
              <c:numCache>
                <c:formatCode>0</c:formatCode>
                <c:ptCount val="5"/>
                <c:pt idx="0">
                  <c:v>1718453</c:v>
                </c:pt>
                <c:pt idx="1">
                  <c:v>1224222</c:v>
                </c:pt>
                <c:pt idx="2">
                  <c:v>1410093</c:v>
                </c:pt>
                <c:pt idx="3">
                  <c:v>1461379</c:v>
                </c:pt>
                <c:pt idx="4">
                  <c:v>1301909</c:v>
                </c:pt>
              </c:numCache>
            </c:numRef>
          </c:val>
          <c:extLst>
            <c:ext xmlns:c16="http://schemas.microsoft.com/office/drawing/2014/chart" uri="{C3380CC4-5D6E-409C-BE32-E72D297353CC}">
              <c16:uniqueId val="{00000001-635D-40CB-BDA1-D7B11004FB66}"/>
            </c:ext>
          </c:extLst>
        </c:ser>
        <c:dLbls>
          <c:showLegendKey val="0"/>
          <c:showVal val="0"/>
          <c:showCatName val="0"/>
          <c:showSerName val="0"/>
          <c:showPercent val="0"/>
          <c:showBubbleSize val="0"/>
        </c:dLbls>
        <c:gapWidth val="219"/>
        <c:overlap val="-27"/>
        <c:axId val="694673816"/>
        <c:axId val="694674536"/>
      </c:barChart>
      <c:catAx>
        <c:axId val="69467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74536"/>
        <c:crosses val="autoZero"/>
        <c:auto val="1"/>
        <c:lblAlgn val="ctr"/>
        <c:lblOffset val="100"/>
        <c:noMultiLvlLbl val="0"/>
      </c:catAx>
      <c:valAx>
        <c:axId val="694674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73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Breakdown</a:t>
            </a:r>
            <a:r>
              <a:rPr lang="en-GB" baseline="0"/>
              <a:t> of cost recovery revenue 2018-2022 </a:t>
            </a:r>
          </a:p>
          <a:p>
            <a:pPr>
              <a:defRPr/>
            </a:pPr>
            <a:r>
              <a:rPr lang="en-GB" baseline="0"/>
              <a:t>by notice type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Sheet3!$A$2</c:f>
              <c:strCache>
                <c:ptCount val="1"/>
                <c:pt idx="0">
                  <c:v>API </c:v>
                </c:pt>
              </c:strCache>
            </c:strRef>
          </c:tx>
          <c:spPr>
            <a:solidFill>
              <a:schemeClr val="accent1"/>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Sheet3!$B$2:$F$2</c:f>
              <c:numCache>
                <c:formatCode>General</c:formatCode>
                <c:ptCount val="5"/>
                <c:pt idx="0">
                  <c:v>84930</c:v>
                </c:pt>
                <c:pt idx="1">
                  <c:v>118560</c:v>
                </c:pt>
                <c:pt idx="2">
                  <c:v>139650</c:v>
                </c:pt>
                <c:pt idx="3">
                  <c:v>153330</c:v>
                </c:pt>
                <c:pt idx="4">
                  <c:v>152190</c:v>
                </c:pt>
              </c:numCache>
            </c:numRef>
          </c:val>
          <c:extLst>
            <c:ext xmlns:c16="http://schemas.microsoft.com/office/drawing/2014/chart" uri="{C3380CC4-5D6E-409C-BE32-E72D297353CC}">
              <c16:uniqueId val="{00000000-C035-4D79-B50D-6388513723D0}"/>
            </c:ext>
          </c:extLst>
        </c:ser>
        <c:ser>
          <c:idx val="1"/>
          <c:order val="1"/>
          <c:tx>
            <c:strRef>
              <c:f>Sheet3!$A$3</c:f>
              <c:strCache>
                <c:ptCount val="1"/>
                <c:pt idx="0">
                  <c:v>CRs</c:v>
                </c:pt>
              </c:strCache>
            </c:strRef>
          </c:tx>
          <c:spPr>
            <a:solidFill>
              <a:schemeClr val="accent2"/>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Sheet3!$B$3:$F$3</c:f>
              <c:numCache>
                <c:formatCode>General</c:formatCode>
                <c:ptCount val="5"/>
                <c:pt idx="0">
                  <c:v>8245425</c:v>
                </c:pt>
                <c:pt idx="1">
                  <c:v>6376868</c:v>
                </c:pt>
                <c:pt idx="2">
                  <c:v>7646057</c:v>
                </c:pt>
                <c:pt idx="3">
                  <c:v>5611804</c:v>
                </c:pt>
                <c:pt idx="4">
                  <c:v>4830579</c:v>
                </c:pt>
              </c:numCache>
            </c:numRef>
          </c:val>
          <c:extLst>
            <c:ext xmlns:c16="http://schemas.microsoft.com/office/drawing/2014/chart" uri="{C3380CC4-5D6E-409C-BE32-E72D297353CC}">
              <c16:uniqueId val="{00000001-C035-4D79-B50D-6388513723D0}"/>
            </c:ext>
          </c:extLst>
        </c:ser>
        <c:ser>
          <c:idx val="2"/>
          <c:order val="2"/>
          <c:tx>
            <c:strRef>
              <c:f>Sheet3!$A$4</c:f>
              <c:strCache>
                <c:ptCount val="1"/>
                <c:pt idx="0">
                  <c:v>Notificaitons (art. 11) </c:v>
                </c:pt>
              </c:strCache>
            </c:strRef>
          </c:tx>
          <c:spPr>
            <a:solidFill>
              <a:schemeClr val="accent3"/>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Sheet3!$B$4:$F$4</c:f>
              <c:numCache>
                <c:formatCode>General</c:formatCode>
                <c:ptCount val="5"/>
                <c:pt idx="0">
                  <c:v>3276950</c:v>
                </c:pt>
                <c:pt idx="1">
                  <c:v>4126600</c:v>
                </c:pt>
                <c:pt idx="2">
                  <c:v>4227140</c:v>
                </c:pt>
                <c:pt idx="3">
                  <c:v>4307946</c:v>
                </c:pt>
                <c:pt idx="4">
                  <c:v>3781957</c:v>
                </c:pt>
              </c:numCache>
            </c:numRef>
          </c:val>
          <c:extLst>
            <c:ext xmlns:c16="http://schemas.microsoft.com/office/drawing/2014/chart" uri="{C3380CC4-5D6E-409C-BE32-E72D297353CC}">
              <c16:uniqueId val="{00000002-C035-4D79-B50D-6388513723D0}"/>
            </c:ext>
          </c:extLst>
        </c:ser>
        <c:ser>
          <c:idx val="3"/>
          <c:order val="3"/>
          <c:tx>
            <c:strRef>
              <c:f>Sheet3!$A$5</c:f>
              <c:strCache>
                <c:ptCount val="1"/>
                <c:pt idx="0">
                  <c:v>AP30-30A </c:v>
                </c:pt>
              </c:strCache>
            </c:strRef>
          </c:tx>
          <c:spPr>
            <a:solidFill>
              <a:schemeClr val="accent4"/>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Sheet3!$B$5:$F$5</c:f>
              <c:numCache>
                <c:formatCode>General</c:formatCode>
                <c:ptCount val="5"/>
                <c:pt idx="0">
                  <c:v>2404340</c:v>
                </c:pt>
                <c:pt idx="1">
                  <c:v>1282280</c:v>
                </c:pt>
                <c:pt idx="2">
                  <c:v>2704650</c:v>
                </c:pt>
                <c:pt idx="3">
                  <c:v>1012020</c:v>
                </c:pt>
                <c:pt idx="4">
                  <c:v>548530</c:v>
                </c:pt>
              </c:numCache>
            </c:numRef>
          </c:val>
          <c:extLst>
            <c:ext xmlns:c16="http://schemas.microsoft.com/office/drawing/2014/chart" uri="{C3380CC4-5D6E-409C-BE32-E72D297353CC}">
              <c16:uniqueId val="{00000003-C035-4D79-B50D-6388513723D0}"/>
            </c:ext>
          </c:extLst>
        </c:ser>
        <c:ser>
          <c:idx val="4"/>
          <c:order val="4"/>
          <c:tx>
            <c:strRef>
              <c:f>Sheet3!$A$6</c:f>
              <c:strCache>
                <c:ptCount val="1"/>
                <c:pt idx="0">
                  <c:v>Notifications (AP30/30A) </c:v>
                </c:pt>
              </c:strCache>
            </c:strRef>
          </c:tx>
          <c:spPr>
            <a:solidFill>
              <a:schemeClr val="accent5"/>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Sheet3!$B$6:$F$6</c:f>
              <c:numCache>
                <c:formatCode>General</c:formatCode>
                <c:ptCount val="5"/>
                <c:pt idx="0">
                  <c:v>358050</c:v>
                </c:pt>
                <c:pt idx="1">
                  <c:v>201000</c:v>
                </c:pt>
                <c:pt idx="2">
                  <c:v>415800</c:v>
                </c:pt>
                <c:pt idx="3">
                  <c:v>127050</c:v>
                </c:pt>
                <c:pt idx="4">
                  <c:v>57750</c:v>
                </c:pt>
              </c:numCache>
            </c:numRef>
          </c:val>
          <c:extLst>
            <c:ext xmlns:c16="http://schemas.microsoft.com/office/drawing/2014/chart" uri="{C3380CC4-5D6E-409C-BE32-E72D297353CC}">
              <c16:uniqueId val="{00000004-C035-4D79-B50D-6388513723D0}"/>
            </c:ext>
          </c:extLst>
        </c:ser>
        <c:ser>
          <c:idx val="5"/>
          <c:order val="5"/>
          <c:tx>
            <c:strRef>
              <c:f>Sheet3!$A$7</c:f>
              <c:strCache>
                <c:ptCount val="1"/>
                <c:pt idx="0">
                  <c:v>AP30B </c:v>
                </c:pt>
              </c:strCache>
            </c:strRef>
          </c:tx>
          <c:spPr>
            <a:solidFill>
              <a:schemeClr val="accent6"/>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Sheet3!$B$7:$F$7</c:f>
              <c:numCache>
                <c:formatCode>General</c:formatCode>
                <c:ptCount val="5"/>
                <c:pt idx="0">
                  <c:v>1951600</c:v>
                </c:pt>
                <c:pt idx="1">
                  <c:v>983150</c:v>
                </c:pt>
                <c:pt idx="2">
                  <c:v>1241668</c:v>
                </c:pt>
                <c:pt idx="3">
                  <c:v>612509</c:v>
                </c:pt>
                <c:pt idx="4">
                  <c:v>791450</c:v>
                </c:pt>
              </c:numCache>
            </c:numRef>
          </c:val>
          <c:extLst>
            <c:ext xmlns:c16="http://schemas.microsoft.com/office/drawing/2014/chart" uri="{C3380CC4-5D6E-409C-BE32-E72D297353CC}">
              <c16:uniqueId val="{00000005-C035-4D79-B50D-6388513723D0}"/>
            </c:ext>
          </c:extLst>
        </c:ser>
        <c:ser>
          <c:idx val="6"/>
          <c:order val="6"/>
          <c:tx>
            <c:strRef>
              <c:f>Sheet3!$A$8</c:f>
              <c:strCache>
                <c:ptCount val="1"/>
                <c:pt idx="0">
                  <c:v>Notifications (AP30B) </c:v>
                </c:pt>
              </c:strCache>
            </c:strRef>
          </c:tx>
          <c:spPr>
            <a:solidFill>
              <a:schemeClr val="accent1">
                <a:lumMod val="60000"/>
              </a:schemeClr>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Sheet3!$B$8:$F$8</c:f>
              <c:numCache>
                <c:formatCode>General</c:formatCode>
                <c:ptCount val="5"/>
                <c:pt idx="0">
                  <c:v>162240</c:v>
                </c:pt>
                <c:pt idx="1">
                  <c:v>182520</c:v>
                </c:pt>
                <c:pt idx="2">
                  <c:v>263640</c:v>
                </c:pt>
                <c:pt idx="3">
                  <c:v>527280</c:v>
                </c:pt>
                <c:pt idx="4">
                  <c:v>404985</c:v>
                </c:pt>
              </c:numCache>
            </c:numRef>
          </c:val>
          <c:extLst>
            <c:ext xmlns:c16="http://schemas.microsoft.com/office/drawing/2014/chart" uri="{C3380CC4-5D6E-409C-BE32-E72D297353CC}">
              <c16:uniqueId val="{00000006-C035-4D79-B50D-6388513723D0}"/>
            </c:ext>
          </c:extLst>
        </c:ser>
        <c:dLbls>
          <c:showLegendKey val="0"/>
          <c:showVal val="0"/>
          <c:showCatName val="0"/>
          <c:showSerName val="0"/>
          <c:showPercent val="0"/>
          <c:showBubbleSize val="0"/>
        </c:dLbls>
        <c:gapWidth val="150"/>
        <c:overlap val="100"/>
        <c:axId val="1042106208"/>
        <c:axId val="1042104408"/>
      </c:barChart>
      <c:catAx>
        <c:axId val="104210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104408"/>
        <c:crosses val="autoZero"/>
        <c:auto val="1"/>
        <c:lblAlgn val="ctr"/>
        <c:lblOffset val="100"/>
        <c:noMultiLvlLbl val="0"/>
      </c:catAx>
      <c:valAx>
        <c:axId val="1042104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106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9f87034-1e33-420b-8ff9-da24a529006f">
      <UserInfo>
        <DisplayName>Tomimura, Diana</DisplayName>
        <AccountId>25</AccountId>
        <AccountType/>
      </UserInfo>
      <UserInfo>
        <DisplayName>Santa Rita Fernandes, Augusto Cesar</DisplayName>
        <AccountId>26</AccountId>
        <AccountType/>
      </UserInfo>
      <UserInfo>
        <DisplayName>Petrin, Grace</DisplayName>
        <AccountId>27</AccountId>
        <AccountType/>
      </UserInfo>
    </SharedWithUsers>
    <DPM_x0020_Author xmlns="76b7d054-b29f-418b-b414-6b742f999448" xsi:nil="true"/>
    <DPM_x0020_Version xmlns="76b7d054-b29f-418b-b414-6b742f999448" xsi:nil="true"/>
    <DPM_x0020_File_x0020_name xmlns="76b7d054-b29f-418b-b414-6b742f9994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13C73-9AF6-4967-AE1B-74344AFD7881}"/>
</file>

<file path=customXml/itemProps2.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customXml/itemProps3.xml><?xml version="1.0" encoding="utf-8"?>
<ds:datastoreItem xmlns:ds="http://schemas.openxmlformats.org/officeDocument/2006/customXml" ds:itemID="{6DCD47C2-4305-48EA-A306-896527DA9E64}">
  <ds:schemaRefs>
    <ds:schemaRef ds:uri="http://schemas.microsoft.com/office/2006/metadata/properties"/>
    <ds:schemaRef ds:uri="http://schemas.microsoft.com/office/infopath/2007/PartnerControls"/>
    <ds:schemaRef ds:uri="7c166967-b3dc-4e81-83ce-b81b2d494af1"/>
  </ds:schemaRefs>
</ds:datastoreItem>
</file>

<file path=customXml/itemProps4.xml><?xml version="1.0" encoding="utf-8"?>
<ds:datastoreItem xmlns:ds="http://schemas.openxmlformats.org/officeDocument/2006/customXml" ds:itemID="{DE4BF582-3C7C-45B0-B6B6-7B6D95CF6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PE_WRC23 (2).dotx</Template>
  <TotalTime>38</TotalTime>
  <Pages>69</Pages>
  <Words>26602</Words>
  <Characters>162019</Characters>
  <Application>Microsoft Office Word</Application>
  <DocSecurity>0</DocSecurity>
  <Lines>1350</Lines>
  <Paragraphs>376</Paragraphs>
  <ScaleCrop>false</ScaleCrop>
  <HeadingPairs>
    <vt:vector size="2" baseType="variant">
      <vt:variant>
        <vt:lpstr>Title</vt:lpstr>
      </vt:variant>
      <vt:variant>
        <vt:i4>1</vt:i4>
      </vt:variant>
    </vt:vector>
  </HeadingPairs>
  <TitlesOfParts>
    <vt:vector size="1" baseType="lpstr">
      <vt:lpstr>WRC-23</vt:lpstr>
    </vt:vector>
  </TitlesOfParts>
  <Manager>General Secretariat - Pool</Manager>
  <Company>International Telecommunication Union (ITU)</Company>
  <LinksUpToDate>false</LinksUpToDate>
  <CharactersWithSpaces>188245</CharactersWithSpaces>
  <SharedDoc>false</SharedDoc>
  <HyperlinkBase/>
  <HLinks>
    <vt:vector size="1110" baseType="variant">
      <vt:variant>
        <vt:i4>5308521</vt:i4>
      </vt:variant>
      <vt:variant>
        <vt:i4>831</vt:i4>
      </vt:variant>
      <vt:variant>
        <vt:i4>0</vt:i4>
      </vt:variant>
      <vt:variant>
        <vt:i4>5</vt:i4>
      </vt:variant>
      <vt:variant>
        <vt:lpwstr>https://www.itu.int/dms_pub/itu-r/oth/0a/0e/R0A0E0000E80001PDFE.pdf</vt:lpwstr>
      </vt:variant>
      <vt:variant>
        <vt:lpwstr/>
      </vt:variant>
      <vt:variant>
        <vt:i4>4325457</vt:i4>
      </vt:variant>
      <vt:variant>
        <vt:i4>828</vt:i4>
      </vt:variant>
      <vt:variant>
        <vt:i4>0</vt:i4>
      </vt:variant>
      <vt:variant>
        <vt:i4>5</vt:i4>
      </vt:variant>
      <vt:variant>
        <vt:lpwstr>http://www.itu.int/md/R11-MMHI-SP/en</vt:lpwstr>
      </vt:variant>
      <vt:variant>
        <vt:lpwstr/>
      </vt:variant>
      <vt:variant>
        <vt:i4>1769553</vt:i4>
      </vt:variant>
      <vt:variant>
        <vt:i4>825</vt:i4>
      </vt:variant>
      <vt:variant>
        <vt:i4>0</vt:i4>
      </vt:variant>
      <vt:variant>
        <vt:i4>5</vt:i4>
      </vt:variant>
      <vt:variant>
        <vt:lpwstr>https://www.itu.int/md/R00-CR-CIR-0435/en</vt:lpwstr>
      </vt:variant>
      <vt:variant>
        <vt:lpwstr/>
      </vt:variant>
      <vt:variant>
        <vt:i4>2097252</vt:i4>
      </vt:variant>
      <vt:variant>
        <vt:i4>822</vt:i4>
      </vt:variant>
      <vt:variant>
        <vt:i4>0</vt:i4>
      </vt:variant>
      <vt:variant>
        <vt:i4>5</vt:i4>
      </vt:variant>
      <vt:variant>
        <vt:lpwstr>https://www.itu.int/rec/R-REC-SM.2149-0-202209-I/en</vt:lpwstr>
      </vt:variant>
      <vt:variant>
        <vt:lpwstr/>
      </vt:variant>
      <vt:variant>
        <vt:i4>5111901</vt:i4>
      </vt:variant>
      <vt:variant>
        <vt:i4>819</vt:i4>
      </vt:variant>
      <vt:variant>
        <vt:i4>0</vt:i4>
      </vt:variant>
      <vt:variant>
        <vt:i4>5</vt:i4>
      </vt:variant>
      <vt:variant>
        <vt:lpwstr>https://www.itu.int/en/ITU-R/space/workshops/ISRMM/Pages/default.aspx</vt:lpwstr>
      </vt:variant>
      <vt:variant>
        <vt:lpwstr/>
      </vt:variant>
      <vt:variant>
        <vt:i4>589910</vt:i4>
      </vt:variant>
      <vt:variant>
        <vt:i4>816</vt:i4>
      </vt:variant>
      <vt:variant>
        <vt:i4>0</vt:i4>
      </vt:variant>
      <vt:variant>
        <vt:i4>5</vt:i4>
      </vt:variant>
      <vt:variant>
        <vt:lpwstr>https://www.itu.int/en/ITU-R/space/workshops/sat-webinars/Pages/default.aspx</vt:lpwstr>
      </vt:variant>
      <vt:variant>
        <vt:lpwstr/>
      </vt:variant>
      <vt:variant>
        <vt:i4>2359347</vt:i4>
      </vt:variant>
      <vt:variant>
        <vt:i4>813</vt:i4>
      </vt:variant>
      <vt:variant>
        <vt:i4>0</vt:i4>
      </vt:variant>
      <vt:variant>
        <vt:i4>5</vt:i4>
      </vt:variant>
      <vt:variant>
        <vt:lpwstr>https://www.itu.int/en/ITU-R/space/Pages/ITU-Space-RadioMonitoring.aspx</vt:lpwstr>
      </vt:variant>
      <vt:variant>
        <vt:lpwstr/>
      </vt:variant>
      <vt:variant>
        <vt:i4>8061046</vt:i4>
      </vt:variant>
      <vt:variant>
        <vt:i4>810</vt:i4>
      </vt:variant>
      <vt:variant>
        <vt:i4>0</vt:i4>
      </vt:variant>
      <vt:variant>
        <vt:i4>5</vt:i4>
      </vt:variant>
      <vt:variant>
        <vt:lpwstr>https://www.itu.int/en/mediacentre/backgrounders/Pages/non-GSO-satellite-systems-with-short-duration-missions.aspx</vt:lpwstr>
      </vt:variant>
      <vt:variant>
        <vt:lpwstr/>
      </vt:variant>
      <vt:variant>
        <vt:i4>2818089</vt:i4>
      </vt:variant>
      <vt:variant>
        <vt:i4>807</vt:i4>
      </vt:variant>
      <vt:variant>
        <vt:i4>0</vt:i4>
      </vt:variant>
      <vt:variant>
        <vt:i4>5</vt:i4>
      </vt:variant>
      <vt:variant>
        <vt:lpwstr>https://www.itu.int/en/mediacentre/backgrounders/Pages/Non-geostationary-satellite-systems.aspx</vt:lpwstr>
      </vt:variant>
      <vt:variant>
        <vt:lpwstr/>
      </vt:variant>
      <vt:variant>
        <vt:i4>1245189</vt:i4>
      </vt:variant>
      <vt:variant>
        <vt:i4>804</vt:i4>
      </vt:variant>
      <vt:variant>
        <vt:i4>0</vt:i4>
      </vt:variant>
      <vt:variant>
        <vt:i4>5</vt:i4>
      </vt:variant>
      <vt:variant>
        <vt:lpwstr>https://www.itu.int/en/mediacentre/backgrounders/Pages/Earth-stations-in-motion-satellite-issues.aspx</vt:lpwstr>
      </vt:variant>
      <vt:variant>
        <vt:lpwstr/>
      </vt:variant>
      <vt:variant>
        <vt:i4>4980824</vt:i4>
      </vt:variant>
      <vt:variant>
        <vt:i4>801</vt:i4>
      </vt:variant>
      <vt:variant>
        <vt:i4>0</vt:i4>
      </vt:variant>
      <vt:variant>
        <vt:i4>5</vt:i4>
      </vt:variant>
      <vt:variant>
        <vt:lpwstr>https://www.itu.int/en/mediacentre/backgrounders/Pages/itu-r-managing-the-radio-frequency-spectrum-for-the-world.aspx</vt:lpwstr>
      </vt:variant>
      <vt:variant>
        <vt:lpwstr/>
      </vt:variant>
      <vt:variant>
        <vt:i4>655433</vt:i4>
      </vt:variant>
      <vt:variant>
        <vt:i4>798</vt:i4>
      </vt:variant>
      <vt:variant>
        <vt:i4>0</vt:i4>
      </vt:variant>
      <vt:variant>
        <vt:i4>5</vt:i4>
      </vt:variant>
      <vt:variant>
        <vt:lpwstr>https://www.itu.int/en/mediacentre/backgrounders/Pages/itu-study-groups.aspx</vt:lpwstr>
      </vt:variant>
      <vt:variant>
        <vt:lpwstr/>
      </vt:variant>
      <vt:variant>
        <vt:i4>7209084</vt:i4>
      </vt:variant>
      <vt:variant>
        <vt:i4>795</vt:i4>
      </vt:variant>
      <vt:variant>
        <vt:i4>0</vt:i4>
      </vt:variant>
      <vt:variant>
        <vt:i4>5</vt:i4>
      </vt:variant>
      <vt:variant>
        <vt:lpwstr>https://www.itu.int/en/mediacentre/backgrounders/Pages/High-altitude-platform-systems.aspx</vt:lpwstr>
      </vt:variant>
      <vt:variant>
        <vt:lpwstr/>
      </vt:variant>
      <vt:variant>
        <vt:i4>6881316</vt:i4>
      </vt:variant>
      <vt:variant>
        <vt:i4>792</vt:i4>
      </vt:variant>
      <vt:variant>
        <vt:i4>0</vt:i4>
      </vt:variant>
      <vt:variant>
        <vt:i4>5</vt:i4>
      </vt:variant>
      <vt:variant>
        <vt:lpwstr>https://www.itu.int/en/mediacentre/backgrounders/Pages/5G-fifth-generation-of-mobile-technologies.aspx</vt:lpwstr>
      </vt:variant>
      <vt:variant>
        <vt:lpwstr/>
      </vt:variant>
      <vt:variant>
        <vt:i4>7340093</vt:i4>
      </vt:variant>
      <vt:variant>
        <vt:i4>789</vt:i4>
      </vt:variant>
      <vt:variant>
        <vt:i4>0</vt:i4>
      </vt:variant>
      <vt:variant>
        <vt:i4>5</vt:i4>
      </vt:variant>
      <vt:variant>
        <vt:lpwstr>http://www.itu.int/en/ITU-R/Pages/default.aspx</vt:lpwstr>
      </vt:variant>
      <vt:variant>
        <vt:lpwstr/>
      </vt:variant>
      <vt:variant>
        <vt:i4>3473442</vt:i4>
      </vt:variant>
      <vt:variant>
        <vt:i4>786</vt:i4>
      </vt:variant>
      <vt:variant>
        <vt:i4>0</vt:i4>
      </vt:variant>
      <vt:variant>
        <vt:i4>5</vt:i4>
      </vt:variant>
      <vt:variant>
        <vt:lpwstr>https://twitter.com/hashtag/ITUWRC?src=hash</vt:lpwstr>
      </vt:variant>
      <vt:variant>
        <vt:lpwstr/>
      </vt:variant>
      <vt:variant>
        <vt:i4>4128871</vt:i4>
      </vt:variant>
      <vt:variant>
        <vt:i4>783</vt:i4>
      </vt:variant>
      <vt:variant>
        <vt:i4>0</vt:i4>
      </vt:variant>
      <vt:variant>
        <vt:i4>5</vt:i4>
      </vt:variant>
      <vt:variant>
        <vt:lpwstr>https://www.itu.int/wrc-23/</vt:lpwstr>
      </vt:variant>
      <vt:variant>
        <vt:lpwstr/>
      </vt:variant>
      <vt:variant>
        <vt:i4>6094929</vt:i4>
      </vt:variant>
      <vt:variant>
        <vt:i4>780</vt:i4>
      </vt:variant>
      <vt:variant>
        <vt:i4>0</vt:i4>
      </vt:variant>
      <vt:variant>
        <vt:i4>5</vt:i4>
      </vt:variant>
      <vt:variant>
        <vt:lpwstr>https://www.itu.int/wrc-23/newsroom/wrc-news/</vt:lpwstr>
      </vt:variant>
      <vt:variant>
        <vt:lpwstr/>
      </vt:variant>
      <vt:variant>
        <vt:i4>1</vt:i4>
      </vt:variant>
      <vt:variant>
        <vt:i4>777</vt:i4>
      </vt:variant>
      <vt:variant>
        <vt:i4>0</vt:i4>
      </vt:variant>
      <vt:variant>
        <vt:i4>5</vt:i4>
      </vt:variant>
      <vt:variant>
        <vt:lpwstr>https://www.itu.int/en/ITU-R/Director/Pages/default.aspx</vt:lpwstr>
      </vt:variant>
      <vt:variant>
        <vt:lpwstr/>
      </vt:variant>
      <vt:variant>
        <vt:i4>1441871</vt:i4>
      </vt:variant>
      <vt:variant>
        <vt:i4>774</vt:i4>
      </vt:variant>
      <vt:variant>
        <vt:i4>0</vt:i4>
      </vt:variant>
      <vt:variant>
        <vt:i4>5</vt:i4>
      </vt:variant>
      <vt:variant>
        <vt:lpwstr>https://twitter.com/ITUradiocomms</vt:lpwstr>
      </vt:variant>
      <vt:variant>
        <vt:lpwstr/>
      </vt:variant>
      <vt:variant>
        <vt:i4>2031698</vt:i4>
      </vt:variant>
      <vt:variant>
        <vt:i4>771</vt:i4>
      </vt:variant>
      <vt:variant>
        <vt:i4>0</vt:i4>
      </vt:variant>
      <vt:variant>
        <vt:i4>5</vt:i4>
      </vt:variant>
      <vt:variant>
        <vt:lpwstr>https://www.itu.int/hub/news/</vt:lpwstr>
      </vt:variant>
      <vt:variant>
        <vt:lpwstr/>
      </vt:variant>
      <vt:variant>
        <vt:i4>4063328</vt:i4>
      </vt:variant>
      <vt:variant>
        <vt:i4>768</vt:i4>
      </vt:variant>
      <vt:variant>
        <vt:i4>0</vt:i4>
      </vt:variant>
      <vt:variant>
        <vt:i4>5</vt:i4>
      </vt:variant>
      <vt:variant>
        <vt:lpwstr>https://www.itu.int/wrd-22/</vt:lpwstr>
      </vt:variant>
      <vt:variant>
        <vt:lpwstr/>
      </vt:variant>
      <vt:variant>
        <vt:i4>4063351</vt:i4>
      </vt:variant>
      <vt:variant>
        <vt:i4>765</vt:i4>
      </vt:variant>
      <vt:variant>
        <vt:i4>0</vt:i4>
      </vt:variant>
      <vt:variant>
        <vt:i4>5</vt:i4>
      </vt:variant>
      <vt:variant>
        <vt:lpwstr>https://www.itu.int/wrs-22/</vt:lpwstr>
      </vt:variant>
      <vt:variant>
        <vt:lpwstr/>
      </vt:variant>
      <vt:variant>
        <vt:i4>2555959</vt:i4>
      </vt:variant>
      <vt:variant>
        <vt:i4>762</vt:i4>
      </vt:variant>
      <vt:variant>
        <vt:i4>0</vt:i4>
      </vt:variant>
      <vt:variant>
        <vt:i4>5</vt:i4>
      </vt:variant>
      <vt:variant>
        <vt:lpwstr>https://www.itu.int/futureradionow/</vt:lpwstr>
      </vt:variant>
      <vt:variant>
        <vt:lpwstr/>
      </vt:variant>
      <vt:variant>
        <vt:i4>6750335</vt:i4>
      </vt:variant>
      <vt:variant>
        <vt:i4>759</vt:i4>
      </vt:variant>
      <vt:variant>
        <vt:i4>0</vt:i4>
      </vt:variant>
      <vt:variant>
        <vt:i4>5</vt:i4>
      </vt:variant>
      <vt:variant>
        <vt:lpwstr>https://www.itu.int/now4wrc23/</vt:lpwstr>
      </vt:variant>
      <vt:variant>
        <vt:lpwstr/>
      </vt:variant>
      <vt:variant>
        <vt:i4>3080237</vt:i4>
      </vt:variant>
      <vt:variant>
        <vt:i4>756</vt:i4>
      </vt:variant>
      <vt:variant>
        <vt:i4>0</vt:i4>
      </vt:variant>
      <vt:variant>
        <vt:i4>5</vt:i4>
      </vt:variant>
      <vt:variant>
        <vt:lpwstr>https://www.itu.int/ra-23/</vt:lpwstr>
      </vt:variant>
      <vt:variant>
        <vt:lpwstr/>
      </vt:variant>
      <vt:variant>
        <vt:i4>4128871</vt:i4>
      </vt:variant>
      <vt:variant>
        <vt:i4>753</vt:i4>
      </vt:variant>
      <vt:variant>
        <vt:i4>0</vt:i4>
      </vt:variant>
      <vt:variant>
        <vt:i4>5</vt:i4>
      </vt:variant>
      <vt:variant>
        <vt:lpwstr>https://www.itu.int/wrc-23/</vt:lpwstr>
      </vt:variant>
      <vt:variant>
        <vt:lpwstr/>
      </vt:variant>
      <vt:variant>
        <vt:i4>7929915</vt:i4>
      </vt:variant>
      <vt:variant>
        <vt:i4>750</vt:i4>
      </vt:variant>
      <vt:variant>
        <vt:i4>0</vt:i4>
      </vt:variant>
      <vt:variant>
        <vt:i4>5</vt:i4>
      </vt:variant>
      <vt:variant>
        <vt:lpwstr>https://www.itu.int/bestofwrs/</vt:lpwstr>
      </vt:variant>
      <vt:variant>
        <vt:lpwstr/>
      </vt:variant>
      <vt:variant>
        <vt:i4>2555959</vt:i4>
      </vt:variant>
      <vt:variant>
        <vt:i4>747</vt:i4>
      </vt:variant>
      <vt:variant>
        <vt:i4>0</vt:i4>
      </vt:variant>
      <vt:variant>
        <vt:i4>5</vt:i4>
      </vt:variant>
      <vt:variant>
        <vt:lpwstr>https://www.itu.int/futureradionow/</vt:lpwstr>
      </vt:variant>
      <vt:variant>
        <vt:lpwstr/>
      </vt:variant>
      <vt:variant>
        <vt:i4>3538984</vt:i4>
      </vt:variant>
      <vt:variant>
        <vt:i4>744</vt:i4>
      </vt:variant>
      <vt:variant>
        <vt:i4>0</vt:i4>
      </vt:variant>
      <vt:variant>
        <vt:i4>5</vt:i4>
      </vt:variant>
      <vt:variant>
        <vt:lpwstr>https://www.itu.int/hub/publication/s-gen-news-2023-3/</vt:lpwstr>
      </vt:variant>
      <vt:variant>
        <vt:lpwstr/>
      </vt:variant>
      <vt:variant>
        <vt:i4>3538985</vt:i4>
      </vt:variant>
      <vt:variant>
        <vt:i4>741</vt:i4>
      </vt:variant>
      <vt:variant>
        <vt:i4>0</vt:i4>
      </vt:variant>
      <vt:variant>
        <vt:i4>5</vt:i4>
      </vt:variant>
      <vt:variant>
        <vt:lpwstr>https://www.itu.int/hub/publication/s-gen-news-2023-2/</vt:lpwstr>
      </vt:variant>
      <vt:variant>
        <vt:lpwstr/>
      </vt:variant>
      <vt:variant>
        <vt:i4>3538986</vt:i4>
      </vt:variant>
      <vt:variant>
        <vt:i4>738</vt:i4>
      </vt:variant>
      <vt:variant>
        <vt:i4>0</vt:i4>
      </vt:variant>
      <vt:variant>
        <vt:i4>5</vt:i4>
      </vt:variant>
      <vt:variant>
        <vt:lpwstr>https://www.itu.int/hub/publication/s-gen-news-2023-1/</vt:lpwstr>
      </vt:variant>
      <vt:variant>
        <vt:lpwstr/>
      </vt:variant>
      <vt:variant>
        <vt:i4>589899</vt:i4>
      </vt:variant>
      <vt:variant>
        <vt:i4>735</vt:i4>
      </vt:variant>
      <vt:variant>
        <vt:i4>0</vt:i4>
      </vt:variant>
      <vt:variant>
        <vt:i4>5</vt:i4>
      </vt:variant>
      <vt:variant>
        <vt:lpwstr>https://www.itu.int/hub/</vt:lpwstr>
      </vt:variant>
      <vt:variant>
        <vt:lpwstr/>
      </vt:variant>
      <vt:variant>
        <vt:i4>1179728</vt:i4>
      </vt:variant>
      <vt:variant>
        <vt:i4>732</vt:i4>
      </vt:variant>
      <vt:variant>
        <vt:i4>0</vt:i4>
      </vt:variant>
      <vt:variant>
        <vt:i4>5</vt:i4>
      </vt:variant>
      <vt:variant>
        <vt:lpwstr>http://www.itu.int/ITU-R/go/seminars</vt:lpwstr>
      </vt:variant>
      <vt:variant>
        <vt:lpwstr/>
      </vt:variant>
      <vt:variant>
        <vt:i4>3866741</vt:i4>
      </vt:variant>
      <vt:variant>
        <vt:i4>729</vt:i4>
      </vt:variant>
      <vt:variant>
        <vt:i4>0</vt:i4>
      </vt:variant>
      <vt:variant>
        <vt:i4>5</vt:i4>
      </vt:variant>
      <vt:variant>
        <vt:lpwstr>https://atuuat.africa/</vt:lpwstr>
      </vt:variant>
      <vt:variant>
        <vt:lpwstr/>
      </vt:variant>
      <vt:variant>
        <vt:i4>4653128</vt:i4>
      </vt:variant>
      <vt:variant>
        <vt:i4>726</vt:i4>
      </vt:variant>
      <vt:variant>
        <vt:i4>0</vt:i4>
      </vt:variant>
      <vt:variant>
        <vt:i4>5</vt:i4>
      </vt:variant>
      <vt:variant>
        <vt:lpwstr>https://prida.africa/</vt:lpwstr>
      </vt:variant>
      <vt:variant>
        <vt:lpwstr/>
      </vt:variant>
      <vt:variant>
        <vt:i4>1048663</vt:i4>
      </vt:variant>
      <vt:variant>
        <vt:i4>723</vt:i4>
      </vt:variant>
      <vt:variant>
        <vt:i4>0</vt:i4>
      </vt:variant>
      <vt:variant>
        <vt:i4>5</vt:i4>
      </vt:variant>
      <vt:variant>
        <vt:lpwstr>https://www.arpce.cg/</vt:lpwstr>
      </vt:variant>
      <vt:variant>
        <vt:lpwstr/>
      </vt:variant>
      <vt:variant>
        <vt:i4>1572928</vt:i4>
      </vt:variant>
      <vt:variant>
        <vt:i4>720</vt:i4>
      </vt:variant>
      <vt:variant>
        <vt:i4>0</vt:i4>
      </vt:variant>
      <vt:variant>
        <vt:i4>5</vt:i4>
      </vt:variant>
      <vt:variant>
        <vt:lpwstr>https://www.sica.int/comtelca/inicio</vt:lpwstr>
      </vt:variant>
      <vt:variant>
        <vt:lpwstr/>
      </vt:variant>
      <vt:variant>
        <vt:i4>1376339</vt:i4>
      </vt:variant>
      <vt:variant>
        <vt:i4>717</vt:i4>
      </vt:variant>
      <vt:variant>
        <vt:i4>0</vt:i4>
      </vt:variant>
      <vt:variant>
        <vt:i4>5</vt:i4>
      </vt:variant>
      <vt:variant>
        <vt:lpwstr>https://www.mincom.gob.cu/es</vt:lpwstr>
      </vt:variant>
      <vt:variant>
        <vt:lpwstr/>
      </vt:variant>
      <vt:variant>
        <vt:i4>7929907</vt:i4>
      </vt:variant>
      <vt:variant>
        <vt:i4>714</vt:i4>
      </vt:variant>
      <vt:variant>
        <vt:i4>0</vt:i4>
      </vt:variant>
      <vt:variant>
        <vt:i4>5</vt:i4>
      </vt:variant>
      <vt:variant>
        <vt:lpwstr>https://www.infrastructure.gov.au/</vt:lpwstr>
      </vt:variant>
      <vt:variant>
        <vt:lpwstr/>
      </vt:variant>
      <vt:variant>
        <vt:i4>65628</vt:i4>
      </vt:variant>
      <vt:variant>
        <vt:i4>711</vt:i4>
      </vt:variant>
      <vt:variant>
        <vt:i4>0</vt:i4>
      </vt:variant>
      <vt:variant>
        <vt:i4>5</vt:i4>
      </vt:variant>
      <vt:variant>
        <vt:lpwstr>https://www.pita.org.fj/</vt:lpwstr>
      </vt:variant>
      <vt:variant>
        <vt:lpwstr/>
      </vt:variant>
      <vt:variant>
        <vt:i4>2228263</vt:i4>
      </vt:variant>
      <vt:variant>
        <vt:i4>708</vt:i4>
      </vt:variant>
      <vt:variant>
        <vt:i4>0</vt:i4>
      </vt:variant>
      <vt:variant>
        <vt:i4>5</vt:i4>
      </vt:variant>
      <vt:variant>
        <vt:lpwstr>http://www.fiji.gov.fj/</vt:lpwstr>
      </vt:variant>
      <vt:variant>
        <vt:lpwstr/>
      </vt:variant>
      <vt:variant>
        <vt:i4>5570562</vt:i4>
      </vt:variant>
      <vt:variant>
        <vt:i4>705</vt:i4>
      </vt:variant>
      <vt:variant>
        <vt:i4>0</vt:i4>
      </vt:variant>
      <vt:variant>
        <vt:i4>5</vt:i4>
      </vt:variant>
      <vt:variant>
        <vt:lpwstr>https://www.itu.int/md/R23-RA23-C-0006/en</vt:lpwstr>
      </vt:variant>
      <vt:variant>
        <vt:lpwstr/>
      </vt:variant>
      <vt:variant>
        <vt:i4>6225989</vt:i4>
      </vt:variant>
      <vt:variant>
        <vt:i4>702</vt:i4>
      </vt:variant>
      <vt:variant>
        <vt:i4>0</vt:i4>
      </vt:variant>
      <vt:variant>
        <vt:i4>5</vt:i4>
      </vt:variant>
      <vt:variant>
        <vt:lpwstr>https://www.itu.int/md/R19-WP7A-C-0076/en</vt:lpwstr>
      </vt:variant>
      <vt:variant>
        <vt:lpwstr/>
      </vt:variant>
      <vt:variant>
        <vt:i4>5898288</vt:i4>
      </vt:variant>
      <vt:variant>
        <vt:i4>699</vt:i4>
      </vt:variant>
      <vt:variant>
        <vt:i4>0</vt:i4>
      </vt:variant>
      <vt:variant>
        <vt:i4>5</vt:i4>
      </vt:variant>
      <vt:variant>
        <vt:lpwstr>https://view.officeapps.live.com/op/view.aspx?src=https%3A%2F%2Fwww.itu.int%2Fdms_pub%2Fitu-r%2Fmd%2F22%2Frrb22.2%2Fc%2FR22-RRB22.2-C-0015!!MSW-E.docx&amp;wdOrigin=BROWSELINK</vt:lpwstr>
      </vt:variant>
      <vt:variant>
        <vt:lpwstr/>
      </vt:variant>
      <vt:variant>
        <vt:i4>5898305</vt:i4>
      </vt:variant>
      <vt:variant>
        <vt:i4>696</vt:i4>
      </vt:variant>
      <vt:variant>
        <vt:i4>0</vt:i4>
      </vt:variant>
      <vt:variant>
        <vt:i4>5</vt:i4>
      </vt:variant>
      <vt:variant>
        <vt:lpwstr>https://www.itu.int/md/R19-WP5D-C-1776/en</vt:lpwstr>
      </vt:variant>
      <vt:variant>
        <vt:lpwstr/>
      </vt:variant>
      <vt:variant>
        <vt:i4>5963877</vt:i4>
      </vt:variant>
      <vt:variant>
        <vt:i4>693</vt:i4>
      </vt:variant>
      <vt:variant>
        <vt:i4>0</vt:i4>
      </vt:variant>
      <vt:variant>
        <vt:i4>5</vt:i4>
      </vt:variant>
      <vt:variant>
        <vt:lpwstr>https://www.itu.int/dms_ties/itu-r/md/19/wp5d/c/R19-WP5D-C-1555!H4-N4.05!MSW-E.docx</vt:lpwstr>
      </vt:variant>
      <vt:variant>
        <vt:lpwstr/>
      </vt:variant>
      <vt:variant>
        <vt:i4>3080269</vt:i4>
      </vt:variant>
      <vt:variant>
        <vt:i4>690</vt:i4>
      </vt:variant>
      <vt:variant>
        <vt:i4>0</vt:i4>
      </vt:variant>
      <vt:variant>
        <vt:i4>5</vt:i4>
      </vt:variant>
      <vt:variant>
        <vt:lpwstr>https://www.itu.int/dms_ties/itu-r/md/19/wp5d/c/R19-WP5D-C-1776!H7!MSW-E.docx</vt:lpwstr>
      </vt:variant>
      <vt:variant>
        <vt:lpwstr/>
      </vt:variant>
      <vt:variant>
        <vt:i4>7929916</vt:i4>
      </vt:variant>
      <vt:variant>
        <vt:i4>687</vt:i4>
      </vt:variant>
      <vt:variant>
        <vt:i4>0</vt:i4>
      </vt:variant>
      <vt:variant>
        <vt:i4>5</vt:i4>
      </vt:variant>
      <vt:variant>
        <vt:lpwstr>https://www.itu.int/md/R16-WRC19-C-0550/en</vt:lpwstr>
      </vt:variant>
      <vt:variant>
        <vt:lpwstr/>
      </vt:variant>
      <vt:variant>
        <vt:i4>4194327</vt:i4>
      </vt:variant>
      <vt:variant>
        <vt:i4>684</vt:i4>
      </vt:variant>
      <vt:variant>
        <vt:i4>0</vt:i4>
      </vt:variant>
      <vt:variant>
        <vt:i4>5</vt:i4>
      </vt:variant>
      <vt:variant>
        <vt:lpwstr>https://www.itu.int/md/R19-CPM23.2-R-0001/en</vt:lpwstr>
      </vt:variant>
      <vt:variant>
        <vt:lpwstr/>
      </vt:variant>
      <vt:variant>
        <vt:i4>1638468</vt:i4>
      </vt:variant>
      <vt:variant>
        <vt:i4>681</vt:i4>
      </vt:variant>
      <vt:variant>
        <vt:i4>0</vt:i4>
      </vt:variant>
      <vt:variant>
        <vt:i4>5</vt:i4>
      </vt:variant>
      <vt:variant>
        <vt:lpwstr>https://www.itu.int/md/R00-CA-CIR-0251/en</vt:lpwstr>
      </vt:variant>
      <vt:variant>
        <vt:lpwstr/>
      </vt:variant>
      <vt:variant>
        <vt:i4>6094914</vt:i4>
      </vt:variant>
      <vt:variant>
        <vt:i4>678</vt:i4>
      </vt:variant>
      <vt:variant>
        <vt:i4>0</vt:i4>
      </vt:variant>
      <vt:variant>
        <vt:i4>5</vt:i4>
      </vt:variant>
      <vt:variant>
        <vt:lpwstr>https://www.itu.int/md/R19-WP5B-C-0731/en</vt:lpwstr>
      </vt:variant>
      <vt:variant>
        <vt:lpwstr/>
      </vt:variant>
      <vt:variant>
        <vt:i4>1310772</vt:i4>
      </vt:variant>
      <vt:variant>
        <vt:i4>675</vt:i4>
      </vt:variant>
      <vt:variant>
        <vt:i4>0</vt:i4>
      </vt:variant>
      <vt:variant>
        <vt:i4>5</vt:i4>
      </vt:variant>
      <vt:variant>
        <vt:lpwstr>https://www.itu.int/dms_ties/itu-r/md/19/wp5b/c/R19-WP5B-C-0731!N18!MSW-E.docx</vt:lpwstr>
      </vt:variant>
      <vt:variant>
        <vt:lpwstr/>
      </vt:variant>
      <vt:variant>
        <vt:i4>5439558</vt:i4>
      </vt:variant>
      <vt:variant>
        <vt:i4>672</vt:i4>
      </vt:variant>
      <vt:variant>
        <vt:i4>0</vt:i4>
      </vt:variant>
      <vt:variant>
        <vt:i4>5</vt:i4>
      </vt:variant>
      <vt:variant>
        <vt:lpwstr>https://www.itu.int/md/R19-WP4A-C-0841/en</vt:lpwstr>
      </vt:variant>
      <vt:variant>
        <vt:lpwstr/>
      </vt:variant>
      <vt:variant>
        <vt:i4>5439558</vt:i4>
      </vt:variant>
      <vt:variant>
        <vt:i4>669</vt:i4>
      </vt:variant>
      <vt:variant>
        <vt:i4>0</vt:i4>
      </vt:variant>
      <vt:variant>
        <vt:i4>5</vt:i4>
      </vt:variant>
      <vt:variant>
        <vt:lpwstr>https://www.itu.int/md/R19-WP4A-C-0841/en</vt:lpwstr>
      </vt:variant>
      <vt:variant>
        <vt:lpwstr/>
      </vt:variant>
      <vt:variant>
        <vt:i4>6225986</vt:i4>
      </vt:variant>
      <vt:variant>
        <vt:i4>666</vt:i4>
      </vt:variant>
      <vt:variant>
        <vt:i4>0</vt:i4>
      </vt:variant>
      <vt:variant>
        <vt:i4>5</vt:i4>
      </vt:variant>
      <vt:variant>
        <vt:lpwstr>https://www.itu.int/md/R15-WP4A-C-0108/en</vt:lpwstr>
      </vt:variant>
      <vt:variant>
        <vt:lpwstr/>
      </vt:variant>
      <vt:variant>
        <vt:i4>6094916</vt:i4>
      </vt:variant>
      <vt:variant>
        <vt:i4>663</vt:i4>
      </vt:variant>
      <vt:variant>
        <vt:i4>0</vt:i4>
      </vt:variant>
      <vt:variant>
        <vt:i4>5</vt:i4>
      </vt:variant>
      <vt:variant>
        <vt:lpwstr>https://www.itu.int/md/R15-WP7B-C-0058/en</vt:lpwstr>
      </vt:variant>
      <vt:variant>
        <vt:lpwstr/>
      </vt:variant>
      <vt:variant>
        <vt:i4>5374025</vt:i4>
      </vt:variant>
      <vt:variant>
        <vt:i4>660</vt:i4>
      </vt:variant>
      <vt:variant>
        <vt:i4>0</vt:i4>
      </vt:variant>
      <vt:variant>
        <vt:i4>5</vt:i4>
      </vt:variant>
      <vt:variant>
        <vt:lpwstr>https://www.itu.int/md/R15-WP4C-C-0094/en</vt:lpwstr>
      </vt:variant>
      <vt:variant>
        <vt:lpwstr/>
      </vt:variant>
      <vt:variant>
        <vt:i4>5701703</vt:i4>
      </vt:variant>
      <vt:variant>
        <vt:i4>657</vt:i4>
      </vt:variant>
      <vt:variant>
        <vt:i4>0</vt:i4>
      </vt:variant>
      <vt:variant>
        <vt:i4>5</vt:i4>
      </vt:variant>
      <vt:variant>
        <vt:lpwstr>https://www.itu.int/md/R15-WP4A-C-0051/en</vt:lpwstr>
      </vt:variant>
      <vt:variant>
        <vt:lpwstr/>
      </vt:variant>
      <vt:variant>
        <vt:i4>7536701</vt:i4>
      </vt:variant>
      <vt:variant>
        <vt:i4>654</vt:i4>
      </vt:variant>
      <vt:variant>
        <vt:i4>0</vt:i4>
      </vt:variant>
      <vt:variant>
        <vt:i4>5</vt:i4>
      </vt:variant>
      <vt:variant>
        <vt:lpwstr>https://www.itu.int/md/R15-WRC15-C-0004/en</vt:lpwstr>
      </vt:variant>
      <vt:variant>
        <vt:lpwstr/>
      </vt:variant>
      <vt:variant>
        <vt:i4>5832795</vt:i4>
      </vt:variant>
      <vt:variant>
        <vt:i4>651</vt:i4>
      </vt:variant>
      <vt:variant>
        <vt:i4>0</vt:i4>
      </vt:variant>
      <vt:variant>
        <vt:i4>5</vt:i4>
      </vt:variant>
      <vt:variant>
        <vt:lpwstr>https://www.itu.int/itu-r/go/space-submission</vt:lpwstr>
      </vt:variant>
      <vt:variant>
        <vt:lpwstr/>
      </vt:variant>
      <vt:variant>
        <vt:i4>4784205</vt:i4>
      </vt:variant>
      <vt:variant>
        <vt:i4>648</vt:i4>
      </vt:variant>
      <vt:variant>
        <vt:i4>0</vt:i4>
      </vt:variant>
      <vt:variant>
        <vt:i4>5</vt:i4>
      </vt:variant>
      <vt:variant>
        <vt:lpwstr>https://www.itu.int/ITU-R/go/space-communications</vt:lpwstr>
      </vt:variant>
      <vt:variant>
        <vt:lpwstr/>
      </vt:variant>
      <vt:variant>
        <vt:i4>2359365</vt:i4>
      </vt:variant>
      <vt:variant>
        <vt:i4>645</vt:i4>
      </vt:variant>
      <vt:variant>
        <vt:i4>0</vt:i4>
      </vt:variant>
      <vt:variant>
        <vt:i4>5</vt:i4>
      </vt:variant>
      <vt:variant>
        <vt:lpwstr>https://www.itu.int/net/ITU-R/space/snl/sat_relocation/index.asp</vt:lpwstr>
      </vt:variant>
      <vt:variant>
        <vt:lpwstr/>
      </vt:variant>
      <vt:variant>
        <vt:i4>4784155</vt:i4>
      </vt:variant>
      <vt:variant>
        <vt:i4>642</vt:i4>
      </vt:variant>
      <vt:variant>
        <vt:i4>0</vt:i4>
      </vt:variant>
      <vt:variant>
        <vt:i4>5</vt:i4>
      </vt:variant>
      <vt:variant>
        <vt:lpwstr>http://www.itu.int/en/ITU-R/space/plans/Pages/AP30B.aspx</vt:lpwstr>
      </vt:variant>
      <vt:variant>
        <vt:lpwstr/>
      </vt:variant>
      <vt:variant>
        <vt:i4>7929961</vt:i4>
      </vt:variant>
      <vt:variant>
        <vt:i4>639</vt:i4>
      </vt:variant>
      <vt:variant>
        <vt:i4>0</vt:i4>
      </vt:variant>
      <vt:variant>
        <vt:i4>5</vt:i4>
      </vt:variant>
      <vt:variant>
        <vt:lpwstr>http://www.itu.int/en/ITU-R/space/Pages/Statistics.aspx</vt:lpwstr>
      </vt:variant>
      <vt:variant>
        <vt:lpwstr/>
      </vt:variant>
      <vt:variant>
        <vt:i4>1966149</vt:i4>
      </vt:variant>
      <vt:variant>
        <vt:i4>636</vt:i4>
      </vt:variant>
      <vt:variant>
        <vt:i4>0</vt:i4>
      </vt:variant>
      <vt:variant>
        <vt:i4>5</vt:i4>
      </vt:variant>
      <vt:variant>
        <vt:lpwstr>https://www.itu.int/md/R00-CA-CIR-0246/en</vt:lpwstr>
      </vt:variant>
      <vt:variant>
        <vt:lpwstr/>
      </vt:variant>
      <vt:variant>
        <vt:i4>3080232</vt:i4>
      </vt:variant>
      <vt:variant>
        <vt:i4>633</vt:i4>
      </vt:variant>
      <vt:variant>
        <vt:i4>0</vt:i4>
      </vt:variant>
      <vt:variant>
        <vt:i4>5</vt:i4>
      </vt:variant>
      <vt:variant>
        <vt:lpwstr>http://www.itu.int/en/ITU-R/space/plans/Pages/AP30-30A.aspx</vt:lpwstr>
      </vt:variant>
      <vt:variant>
        <vt:lpwstr/>
      </vt:variant>
      <vt:variant>
        <vt:i4>5505095</vt:i4>
      </vt:variant>
      <vt:variant>
        <vt:i4>630</vt:i4>
      </vt:variant>
      <vt:variant>
        <vt:i4>0</vt:i4>
      </vt:variant>
      <vt:variant>
        <vt:i4>5</vt:i4>
      </vt:variant>
      <vt:variant>
        <vt:lpwstr>https://www.itu.int/md/R19-WP4A-C-0856/en</vt:lpwstr>
      </vt:variant>
      <vt:variant>
        <vt:lpwstr/>
      </vt:variant>
      <vt:variant>
        <vt:i4>1376310</vt:i4>
      </vt:variant>
      <vt:variant>
        <vt:i4>627</vt:i4>
      </vt:variant>
      <vt:variant>
        <vt:i4>0</vt:i4>
      </vt:variant>
      <vt:variant>
        <vt:i4>5</vt:i4>
      </vt:variant>
      <vt:variant>
        <vt:lpwstr>https://www.itu.int/dms_ties/itu-r/md/19/wp4a/c/R19-WP4A-C-0856!N40!MSW-E.docx</vt:lpwstr>
      </vt:variant>
      <vt:variant>
        <vt:lpwstr/>
      </vt:variant>
      <vt:variant>
        <vt:i4>5636166</vt:i4>
      </vt:variant>
      <vt:variant>
        <vt:i4>624</vt:i4>
      </vt:variant>
      <vt:variant>
        <vt:i4>0</vt:i4>
      </vt:variant>
      <vt:variant>
        <vt:i4>5</vt:i4>
      </vt:variant>
      <vt:variant>
        <vt:lpwstr>https://www.itu.int/md/R19-WP4A-C-0844/en</vt:lpwstr>
      </vt:variant>
      <vt:variant>
        <vt:lpwstr/>
      </vt:variant>
      <vt:variant>
        <vt:i4>6094912</vt:i4>
      </vt:variant>
      <vt:variant>
        <vt:i4>621</vt:i4>
      </vt:variant>
      <vt:variant>
        <vt:i4>0</vt:i4>
      </vt:variant>
      <vt:variant>
        <vt:i4>5</vt:i4>
      </vt:variant>
      <vt:variant>
        <vt:lpwstr>https://www.itu.int/md/R19-WP4A-C-0522/en</vt:lpwstr>
      </vt:variant>
      <vt:variant>
        <vt:lpwstr/>
      </vt:variant>
      <vt:variant>
        <vt:i4>1179708</vt:i4>
      </vt:variant>
      <vt:variant>
        <vt:i4>618</vt:i4>
      </vt:variant>
      <vt:variant>
        <vt:i4>0</vt:i4>
      </vt:variant>
      <vt:variant>
        <vt:i4>5</vt:i4>
      </vt:variant>
      <vt:variant>
        <vt:lpwstr>https://www.itu.int/dms_ties/itu-r/md/19/wp4a/c/R19-WP4A-C-0522!N43!MSW-E.docx</vt:lpwstr>
      </vt:variant>
      <vt:variant>
        <vt:lpwstr/>
      </vt:variant>
      <vt:variant>
        <vt:i4>5898306</vt:i4>
      </vt:variant>
      <vt:variant>
        <vt:i4>615</vt:i4>
      </vt:variant>
      <vt:variant>
        <vt:i4>0</vt:i4>
      </vt:variant>
      <vt:variant>
        <vt:i4>5</vt:i4>
      </vt:variant>
      <vt:variant>
        <vt:lpwstr>https://www.itu.int/md/R19-WP4A-C-0404/en</vt:lpwstr>
      </vt:variant>
      <vt:variant>
        <vt:lpwstr/>
      </vt:variant>
      <vt:variant>
        <vt:i4>7929961</vt:i4>
      </vt:variant>
      <vt:variant>
        <vt:i4>612</vt:i4>
      </vt:variant>
      <vt:variant>
        <vt:i4>0</vt:i4>
      </vt:variant>
      <vt:variant>
        <vt:i4>5</vt:i4>
      </vt:variant>
      <vt:variant>
        <vt:lpwstr>http://www.itu.int/en/ITU-R/space/Pages/Statistics.aspx</vt:lpwstr>
      </vt:variant>
      <vt:variant>
        <vt:lpwstr/>
      </vt:variant>
      <vt:variant>
        <vt:i4>131079</vt:i4>
      </vt:variant>
      <vt:variant>
        <vt:i4>609</vt:i4>
      </vt:variant>
      <vt:variant>
        <vt:i4>0</vt:i4>
      </vt:variant>
      <vt:variant>
        <vt:i4>5</vt:i4>
      </vt:variant>
      <vt:variant>
        <vt:lpwstr>https://www.itu.int/md/meetingdoc.asp?lang=en&amp;parent=R19-WP4A-C-0033</vt:lpwstr>
      </vt:variant>
      <vt:variant>
        <vt:lpwstr/>
      </vt:variant>
      <vt:variant>
        <vt:i4>7733359</vt:i4>
      </vt:variant>
      <vt:variant>
        <vt:i4>606</vt:i4>
      </vt:variant>
      <vt:variant>
        <vt:i4>0</vt:i4>
      </vt:variant>
      <vt:variant>
        <vt:i4>5</vt:i4>
      </vt:variant>
      <vt:variant>
        <vt:lpwstr>https://www.itu.int/en/ITU-R/space/Pages/epfdData.aspx</vt:lpwstr>
      </vt:variant>
      <vt:variant>
        <vt:lpwstr/>
      </vt:variant>
      <vt:variant>
        <vt:i4>5505041</vt:i4>
      </vt:variant>
      <vt:variant>
        <vt:i4>603</vt:i4>
      </vt:variant>
      <vt:variant>
        <vt:i4>0</vt:i4>
      </vt:variant>
      <vt:variant>
        <vt:i4>5</vt:i4>
      </vt:variant>
      <vt:variant>
        <vt:lpwstr>https://www.itu.int/en/ITU-R/space/Pages/res609.aspx</vt:lpwstr>
      </vt:variant>
      <vt:variant>
        <vt:lpwstr/>
      </vt:variant>
      <vt:variant>
        <vt:i4>4718618</vt:i4>
      </vt:variant>
      <vt:variant>
        <vt:i4>600</vt:i4>
      </vt:variant>
      <vt:variant>
        <vt:i4>0</vt:i4>
      </vt:variant>
      <vt:variant>
        <vt:i4>5</vt:i4>
      </vt:variant>
      <vt:variant>
        <vt:lpwstr>http://www.itu.int/ITU-R/go/space-software/en</vt:lpwstr>
      </vt:variant>
      <vt:variant>
        <vt:lpwstr/>
      </vt:variant>
      <vt:variant>
        <vt:i4>5374023</vt:i4>
      </vt:variant>
      <vt:variant>
        <vt:i4>597</vt:i4>
      </vt:variant>
      <vt:variant>
        <vt:i4>0</vt:i4>
      </vt:variant>
      <vt:variant>
        <vt:i4>5</vt:i4>
      </vt:variant>
      <vt:variant>
        <vt:lpwstr>https://www.itu.int/md/R19-WP4A-C-0850/en</vt:lpwstr>
      </vt:variant>
      <vt:variant>
        <vt:lpwstr/>
      </vt:variant>
      <vt:variant>
        <vt:i4>4718615</vt:i4>
      </vt:variant>
      <vt:variant>
        <vt:i4>594</vt:i4>
      </vt:variant>
      <vt:variant>
        <vt:i4>0</vt:i4>
      </vt:variant>
      <vt:variant>
        <vt:i4>5</vt:i4>
      </vt:variant>
      <vt:variant>
        <vt:lpwstr>https://www.itu.int/en/ITU-R/space/snl/Pages/UAS.aspx</vt:lpwstr>
      </vt:variant>
      <vt:variant>
        <vt:lpwstr/>
      </vt:variant>
      <vt:variant>
        <vt:i4>1704019</vt:i4>
      </vt:variant>
      <vt:variant>
        <vt:i4>591</vt:i4>
      </vt:variant>
      <vt:variant>
        <vt:i4>0</vt:i4>
      </vt:variant>
      <vt:variant>
        <vt:i4>5</vt:i4>
      </vt:variant>
      <vt:variant>
        <vt:lpwstr>https://www.itu.int/md/R00-CR-CIR-0414/en</vt:lpwstr>
      </vt:variant>
      <vt:variant>
        <vt:lpwstr/>
      </vt:variant>
      <vt:variant>
        <vt:i4>7536697</vt:i4>
      </vt:variant>
      <vt:variant>
        <vt:i4>588</vt:i4>
      </vt:variant>
      <vt:variant>
        <vt:i4>0</vt:i4>
      </vt:variant>
      <vt:variant>
        <vt:i4>5</vt:i4>
      </vt:variant>
      <vt:variant>
        <vt:lpwstr>https://www.itu.int/md/R15-WRC15-C-0505/en</vt:lpwstr>
      </vt:variant>
      <vt:variant>
        <vt:lpwstr/>
      </vt:variant>
      <vt:variant>
        <vt:i4>7471163</vt:i4>
      </vt:variant>
      <vt:variant>
        <vt:i4>585</vt:i4>
      </vt:variant>
      <vt:variant>
        <vt:i4>0</vt:i4>
      </vt:variant>
      <vt:variant>
        <vt:i4>5</vt:i4>
      </vt:variant>
      <vt:variant>
        <vt:lpwstr>https://www.itu.int/md/R15-WRC15-C-0416/en</vt:lpwstr>
      </vt:variant>
      <vt:variant>
        <vt:lpwstr/>
      </vt:variant>
      <vt:variant>
        <vt:i4>2949182</vt:i4>
      </vt:variant>
      <vt:variant>
        <vt:i4>582</vt:i4>
      </vt:variant>
      <vt:variant>
        <vt:i4>0</vt:i4>
      </vt:variant>
      <vt:variant>
        <vt:i4>5</vt:i4>
      </vt:variant>
      <vt:variant>
        <vt:lpwstr>https://www.itu.int/epfdsupport/resources/</vt:lpwstr>
      </vt:variant>
      <vt:variant>
        <vt:lpwstr/>
      </vt:variant>
      <vt:variant>
        <vt:i4>8192036</vt:i4>
      </vt:variant>
      <vt:variant>
        <vt:i4>579</vt:i4>
      </vt:variant>
      <vt:variant>
        <vt:i4>0</vt:i4>
      </vt:variant>
      <vt:variant>
        <vt:i4>5</vt:i4>
      </vt:variant>
      <vt:variant>
        <vt:lpwstr>https://www.itu.int/md/R00-CACE-CIR-1014/en</vt:lpwstr>
      </vt:variant>
      <vt:variant>
        <vt:lpwstr/>
      </vt:variant>
      <vt:variant>
        <vt:i4>1769554</vt:i4>
      </vt:variant>
      <vt:variant>
        <vt:i4>576</vt:i4>
      </vt:variant>
      <vt:variant>
        <vt:i4>0</vt:i4>
      </vt:variant>
      <vt:variant>
        <vt:i4>5</vt:i4>
      </vt:variant>
      <vt:variant>
        <vt:lpwstr>https://www.itu.int/md/R00-CR-CIR-0405/en</vt:lpwstr>
      </vt:variant>
      <vt:variant>
        <vt:lpwstr/>
      </vt:variant>
      <vt:variant>
        <vt:i4>4390921</vt:i4>
      </vt:variant>
      <vt:variant>
        <vt:i4>573</vt:i4>
      </vt:variant>
      <vt:variant>
        <vt:i4>0</vt:i4>
      </vt:variant>
      <vt:variant>
        <vt:i4>5</vt:i4>
      </vt:variant>
      <vt:variant>
        <vt:lpwstr>http://www.itu.int/ITU-R/go/space-epfd/en</vt:lpwstr>
      </vt:variant>
      <vt:variant>
        <vt:lpwstr/>
      </vt:variant>
      <vt:variant>
        <vt:i4>6946917</vt:i4>
      </vt:variant>
      <vt:variant>
        <vt:i4>570</vt:i4>
      </vt:variant>
      <vt:variant>
        <vt:i4>0</vt:i4>
      </vt:variant>
      <vt:variant>
        <vt:i4>5</vt:i4>
      </vt:variant>
      <vt:variant>
        <vt:lpwstr>https://www.itu.int/en/ITU-R/space/Pages/res35main.aspx</vt:lpwstr>
      </vt:variant>
      <vt:variant>
        <vt:lpwstr/>
      </vt:variant>
      <vt:variant>
        <vt:i4>7929961</vt:i4>
      </vt:variant>
      <vt:variant>
        <vt:i4>567</vt:i4>
      </vt:variant>
      <vt:variant>
        <vt:i4>0</vt:i4>
      </vt:variant>
      <vt:variant>
        <vt:i4>5</vt:i4>
      </vt:variant>
      <vt:variant>
        <vt:lpwstr>http://www.itu.int/en/ITU-R/space/Pages/Statistics.aspx</vt:lpwstr>
      </vt:variant>
      <vt:variant>
        <vt:lpwstr/>
      </vt:variant>
      <vt:variant>
        <vt:i4>7929961</vt:i4>
      </vt:variant>
      <vt:variant>
        <vt:i4>564</vt:i4>
      </vt:variant>
      <vt:variant>
        <vt:i4>0</vt:i4>
      </vt:variant>
      <vt:variant>
        <vt:i4>5</vt:i4>
      </vt:variant>
      <vt:variant>
        <vt:lpwstr>http://www.itu.int/en/ITU-R/space/Pages/Statistics.aspx</vt:lpwstr>
      </vt:variant>
      <vt:variant>
        <vt:lpwstr/>
      </vt:variant>
      <vt:variant>
        <vt:i4>7929961</vt:i4>
      </vt:variant>
      <vt:variant>
        <vt:i4>561</vt:i4>
      </vt:variant>
      <vt:variant>
        <vt:i4>0</vt:i4>
      </vt:variant>
      <vt:variant>
        <vt:i4>5</vt:i4>
      </vt:variant>
      <vt:variant>
        <vt:lpwstr>http://www.itu.int/en/ITU-R/space/Pages/Statistics.aspx</vt:lpwstr>
      </vt:variant>
      <vt:variant>
        <vt:lpwstr/>
      </vt:variant>
      <vt:variant>
        <vt:i4>7929961</vt:i4>
      </vt:variant>
      <vt:variant>
        <vt:i4>558</vt:i4>
      </vt:variant>
      <vt:variant>
        <vt:i4>0</vt:i4>
      </vt:variant>
      <vt:variant>
        <vt:i4>5</vt:i4>
      </vt:variant>
      <vt:variant>
        <vt:lpwstr>http://www.itu.int/en/ITU-R/space/Pages/Statistics.aspx</vt:lpwstr>
      </vt:variant>
      <vt:variant>
        <vt:lpwstr/>
      </vt:variant>
      <vt:variant>
        <vt:i4>3997796</vt:i4>
      </vt:variant>
      <vt:variant>
        <vt:i4>555</vt:i4>
      </vt:variant>
      <vt:variant>
        <vt:i4>0</vt:i4>
      </vt:variant>
      <vt:variant>
        <vt:i4>5</vt:i4>
      </vt:variant>
      <vt:variant>
        <vt:lpwstr>https://www.itu.int/en/ITU-R/conferences/wrc/2023/irwsp/Pages/default.aspx</vt:lpwstr>
      </vt:variant>
      <vt:variant>
        <vt:lpwstr/>
      </vt:variant>
      <vt:variant>
        <vt:i4>1703994</vt:i4>
      </vt:variant>
      <vt:variant>
        <vt:i4>548</vt:i4>
      </vt:variant>
      <vt:variant>
        <vt:i4>0</vt:i4>
      </vt:variant>
      <vt:variant>
        <vt:i4>5</vt:i4>
      </vt:variant>
      <vt:variant>
        <vt:lpwstr/>
      </vt:variant>
      <vt:variant>
        <vt:lpwstr>_Toc142985155</vt:lpwstr>
      </vt:variant>
      <vt:variant>
        <vt:i4>1703994</vt:i4>
      </vt:variant>
      <vt:variant>
        <vt:i4>542</vt:i4>
      </vt:variant>
      <vt:variant>
        <vt:i4>0</vt:i4>
      </vt:variant>
      <vt:variant>
        <vt:i4>5</vt:i4>
      </vt:variant>
      <vt:variant>
        <vt:lpwstr/>
      </vt:variant>
      <vt:variant>
        <vt:lpwstr>_Toc142985154</vt:lpwstr>
      </vt:variant>
      <vt:variant>
        <vt:i4>1703994</vt:i4>
      </vt:variant>
      <vt:variant>
        <vt:i4>536</vt:i4>
      </vt:variant>
      <vt:variant>
        <vt:i4>0</vt:i4>
      </vt:variant>
      <vt:variant>
        <vt:i4>5</vt:i4>
      </vt:variant>
      <vt:variant>
        <vt:lpwstr/>
      </vt:variant>
      <vt:variant>
        <vt:lpwstr>_Toc142985153</vt:lpwstr>
      </vt:variant>
      <vt:variant>
        <vt:i4>1703994</vt:i4>
      </vt:variant>
      <vt:variant>
        <vt:i4>530</vt:i4>
      </vt:variant>
      <vt:variant>
        <vt:i4>0</vt:i4>
      </vt:variant>
      <vt:variant>
        <vt:i4>5</vt:i4>
      </vt:variant>
      <vt:variant>
        <vt:lpwstr/>
      </vt:variant>
      <vt:variant>
        <vt:lpwstr>_Toc142985152</vt:lpwstr>
      </vt:variant>
      <vt:variant>
        <vt:i4>1703994</vt:i4>
      </vt:variant>
      <vt:variant>
        <vt:i4>524</vt:i4>
      </vt:variant>
      <vt:variant>
        <vt:i4>0</vt:i4>
      </vt:variant>
      <vt:variant>
        <vt:i4>5</vt:i4>
      </vt:variant>
      <vt:variant>
        <vt:lpwstr/>
      </vt:variant>
      <vt:variant>
        <vt:lpwstr>_Toc142985151</vt:lpwstr>
      </vt:variant>
      <vt:variant>
        <vt:i4>1703994</vt:i4>
      </vt:variant>
      <vt:variant>
        <vt:i4>518</vt:i4>
      </vt:variant>
      <vt:variant>
        <vt:i4>0</vt:i4>
      </vt:variant>
      <vt:variant>
        <vt:i4>5</vt:i4>
      </vt:variant>
      <vt:variant>
        <vt:lpwstr/>
      </vt:variant>
      <vt:variant>
        <vt:lpwstr>_Toc142985150</vt:lpwstr>
      </vt:variant>
      <vt:variant>
        <vt:i4>1769530</vt:i4>
      </vt:variant>
      <vt:variant>
        <vt:i4>512</vt:i4>
      </vt:variant>
      <vt:variant>
        <vt:i4>0</vt:i4>
      </vt:variant>
      <vt:variant>
        <vt:i4>5</vt:i4>
      </vt:variant>
      <vt:variant>
        <vt:lpwstr/>
      </vt:variant>
      <vt:variant>
        <vt:lpwstr>_Toc142985149</vt:lpwstr>
      </vt:variant>
      <vt:variant>
        <vt:i4>1769530</vt:i4>
      </vt:variant>
      <vt:variant>
        <vt:i4>506</vt:i4>
      </vt:variant>
      <vt:variant>
        <vt:i4>0</vt:i4>
      </vt:variant>
      <vt:variant>
        <vt:i4>5</vt:i4>
      </vt:variant>
      <vt:variant>
        <vt:lpwstr/>
      </vt:variant>
      <vt:variant>
        <vt:lpwstr>_Toc142985148</vt:lpwstr>
      </vt:variant>
      <vt:variant>
        <vt:i4>1769530</vt:i4>
      </vt:variant>
      <vt:variant>
        <vt:i4>500</vt:i4>
      </vt:variant>
      <vt:variant>
        <vt:i4>0</vt:i4>
      </vt:variant>
      <vt:variant>
        <vt:i4>5</vt:i4>
      </vt:variant>
      <vt:variant>
        <vt:lpwstr/>
      </vt:variant>
      <vt:variant>
        <vt:lpwstr>_Toc142985147</vt:lpwstr>
      </vt:variant>
      <vt:variant>
        <vt:i4>1769530</vt:i4>
      </vt:variant>
      <vt:variant>
        <vt:i4>494</vt:i4>
      </vt:variant>
      <vt:variant>
        <vt:i4>0</vt:i4>
      </vt:variant>
      <vt:variant>
        <vt:i4>5</vt:i4>
      </vt:variant>
      <vt:variant>
        <vt:lpwstr/>
      </vt:variant>
      <vt:variant>
        <vt:lpwstr>_Toc142985146</vt:lpwstr>
      </vt:variant>
      <vt:variant>
        <vt:i4>1769530</vt:i4>
      </vt:variant>
      <vt:variant>
        <vt:i4>488</vt:i4>
      </vt:variant>
      <vt:variant>
        <vt:i4>0</vt:i4>
      </vt:variant>
      <vt:variant>
        <vt:i4>5</vt:i4>
      </vt:variant>
      <vt:variant>
        <vt:lpwstr/>
      </vt:variant>
      <vt:variant>
        <vt:lpwstr>_Toc142985145</vt:lpwstr>
      </vt:variant>
      <vt:variant>
        <vt:i4>1769530</vt:i4>
      </vt:variant>
      <vt:variant>
        <vt:i4>482</vt:i4>
      </vt:variant>
      <vt:variant>
        <vt:i4>0</vt:i4>
      </vt:variant>
      <vt:variant>
        <vt:i4>5</vt:i4>
      </vt:variant>
      <vt:variant>
        <vt:lpwstr/>
      </vt:variant>
      <vt:variant>
        <vt:lpwstr>_Toc142985144</vt:lpwstr>
      </vt:variant>
      <vt:variant>
        <vt:i4>1769530</vt:i4>
      </vt:variant>
      <vt:variant>
        <vt:i4>476</vt:i4>
      </vt:variant>
      <vt:variant>
        <vt:i4>0</vt:i4>
      </vt:variant>
      <vt:variant>
        <vt:i4>5</vt:i4>
      </vt:variant>
      <vt:variant>
        <vt:lpwstr/>
      </vt:variant>
      <vt:variant>
        <vt:lpwstr>_Toc142985143</vt:lpwstr>
      </vt:variant>
      <vt:variant>
        <vt:i4>1769530</vt:i4>
      </vt:variant>
      <vt:variant>
        <vt:i4>470</vt:i4>
      </vt:variant>
      <vt:variant>
        <vt:i4>0</vt:i4>
      </vt:variant>
      <vt:variant>
        <vt:i4>5</vt:i4>
      </vt:variant>
      <vt:variant>
        <vt:lpwstr/>
      </vt:variant>
      <vt:variant>
        <vt:lpwstr>_Toc142985142</vt:lpwstr>
      </vt:variant>
      <vt:variant>
        <vt:i4>1769530</vt:i4>
      </vt:variant>
      <vt:variant>
        <vt:i4>464</vt:i4>
      </vt:variant>
      <vt:variant>
        <vt:i4>0</vt:i4>
      </vt:variant>
      <vt:variant>
        <vt:i4>5</vt:i4>
      </vt:variant>
      <vt:variant>
        <vt:lpwstr/>
      </vt:variant>
      <vt:variant>
        <vt:lpwstr>_Toc142985141</vt:lpwstr>
      </vt:variant>
      <vt:variant>
        <vt:i4>1769530</vt:i4>
      </vt:variant>
      <vt:variant>
        <vt:i4>458</vt:i4>
      </vt:variant>
      <vt:variant>
        <vt:i4>0</vt:i4>
      </vt:variant>
      <vt:variant>
        <vt:i4>5</vt:i4>
      </vt:variant>
      <vt:variant>
        <vt:lpwstr/>
      </vt:variant>
      <vt:variant>
        <vt:lpwstr>_Toc142985140</vt:lpwstr>
      </vt:variant>
      <vt:variant>
        <vt:i4>1835066</vt:i4>
      </vt:variant>
      <vt:variant>
        <vt:i4>452</vt:i4>
      </vt:variant>
      <vt:variant>
        <vt:i4>0</vt:i4>
      </vt:variant>
      <vt:variant>
        <vt:i4>5</vt:i4>
      </vt:variant>
      <vt:variant>
        <vt:lpwstr/>
      </vt:variant>
      <vt:variant>
        <vt:lpwstr>_Toc142985139</vt:lpwstr>
      </vt:variant>
      <vt:variant>
        <vt:i4>1835066</vt:i4>
      </vt:variant>
      <vt:variant>
        <vt:i4>446</vt:i4>
      </vt:variant>
      <vt:variant>
        <vt:i4>0</vt:i4>
      </vt:variant>
      <vt:variant>
        <vt:i4>5</vt:i4>
      </vt:variant>
      <vt:variant>
        <vt:lpwstr/>
      </vt:variant>
      <vt:variant>
        <vt:lpwstr>_Toc142985138</vt:lpwstr>
      </vt:variant>
      <vt:variant>
        <vt:i4>1835066</vt:i4>
      </vt:variant>
      <vt:variant>
        <vt:i4>440</vt:i4>
      </vt:variant>
      <vt:variant>
        <vt:i4>0</vt:i4>
      </vt:variant>
      <vt:variant>
        <vt:i4>5</vt:i4>
      </vt:variant>
      <vt:variant>
        <vt:lpwstr/>
      </vt:variant>
      <vt:variant>
        <vt:lpwstr>_Toc142985137</vt:lpwstr>
      </vt:variant>
      <vt:variant>
        <vt:i4>1835066</vt:i4>
      </vt:variant>
      <vt:variant>
        <vt:i4>434</vt:i4>
      </vt:variant>
      <vt:variant>
        <vt:i4>0</vt:i4>
      </vt:variant>
      <vt:variant>
        <vt:i4>5</vt:i4>
      </vt:variant>
      <vt:variant>
        <vt:lpwstr/>
      </vt:variant>
      <vt:variant>
        <vt:lpwstr>_Toc142985136</vt:lpwstr>
      </vt:variant>
      <vt:variant>
        <vt:i4>1835066</vt:i4>
      </vt:variant>
      <vt:variant>
        <vt:i4>428</vt:i4>
      </vt:variant>
      <vt:variant>
        <vt:i4>0</vt:i4>
      </vt:variant>
      <vt:variant>
        <vt:i4>5</vt:i4>
      </vt:variant>
      <vt:variant>
        <vt:lpwstr/>
      </vt:variant>
      <vt:variant>
        <vt:lpwstr>_Toc142985135</vt:lpwstr>
      </vt:variant>
      <vt:variant>
        <vt:i4>1835066</vt:i4>
      </vt:variant>
      <vt:variant>
        <vt:i4>422</vt:i4>
      </vt:variant>
      <vt:variant>
        <vt:i4>0</vt:i4>
      </vt:variant>
      <vt:variant>
        <vt:i4>5</vt:i4>
      </vt:variant>
      <vt:variant>
        <vt:lpwstr/>
      </vt:variant>
      <vt:variant>
        <vt:lpwstr>_Toc142985134</vt:lpwstr>
      </vt:variant>
      <vt:variant>
        <vt:i4>1835066</vt:i4>
      </vt:variant>
      <vt:variant>
        <vt:i4>416</vt:i4>
      </vt:variant>
      <vt:variant>
        <vt:i4>0</vt:i4>
      </vt:variant>
      <vt:variant>
        <vt:i4>5</vt:i4>
      </vt:variant>
      <vt:variant>
        <vt:lpwstr/>
      </vt:variant>
      <vt:variant>
        <vt:lpwstr>_Toc142985133</vt:lpwstr>
      </vt:variant>
      <vt:variant>
        <vt:i4>1835066</vt:i4>
      </vt:variant>
      <vt:variant>
        <vt:i4>410</vt:i4>
      </vt:variant>
      <vt:variant>
        <vt:i4>0</vt:i4>
      </vt:variant>
      <vt:variant>
        <vt:i4>5</vt:i4>
      </vt:variant>
      <vt:variant>
        <vt:lpwstr/>
      </vt:variant>
      <vt:variant>
        <vt:lpwstr>_Toc142985132</vt:lpwstr>
      </vt:variant>
      <vt:variant>
        <vt:i4>1835066</vt:i4>
      </vt:variant>
      <vt:variant>
        <vt:i4>404</vt:i4>
      </vt:variant>
      <vt:variant>
        <vt:i4>0</vt:i4>
      </vt:variant>
      <vt:variant>
        <vt:i4>5</vt:i4>
      </vt:variant>
      <vt:variant>
        <vt:lpwstr/>
      </vt:variant>
      <vt:variant>
        <vt:lpwstr>_Toc142985131</vt:lpwstr>
      </vt:variant>
      <vt:variant>
        <vt:i4>1835066</vt:i4>
      </vt:variant>
      <vt:variant>
        <vt:i4>398</vt:i4>
      </vt:variant>
      <vt:variant>
        <vt:i4>0</vt:i4>
      </vt:variant>
      <vt:variant>
        <vt:i4>5</vt:i4>
      </vt:variant>
      <vt:variant>
        <vt:lpwstr/>
      </vt:variant>
      <vt:variant>
        <vt:lpwstr>_Toc142985130</vt:lpwstr>
      </vt:variant>
      <vt:variant>
        <vt:i4>1900602</vt:i4>
      </vt:variant>
      <vt:variant>
        <vt:i4>392</vt:i4>
      </vt:variant>
      <vt:variant>
        <vt:i4>0</vt:i4>
      </vt:variant>
      <vt:variant>
        <vt:i4>5</vt:i4>
      </vt:variant>
      <vt:variant>
        <vt:lpwstr/>
      </vt:variant>
      <vt:variant>
        <vt:lpwstr>_Toc142985129</vt:lpwstr>
      </vt:variant>
      <vt:variant>
        <vt:i4>1900602</vt:i4>
      </vt:variant>
      <vt:variant>
        <vt:i4>386</vt:i4>
      </vt:variant>
      <vt:variant>
        <vt:i4>0</vt:i4>
      </vt:variant>
      <vt:variant>
        <vt:i4>5</vt:i4>
      </vt:variant>
      <vt:variant>
        <vt:lpwstr/>
      </vt:variant>
      <vt:variant>
        <vt:lpwstr>_Toc142985128</vt:lpwstr>
      </vt:variant>
      <vt:variant>
        <vt:i4>1900602</vt:i4>
      </vt:variant>
      <vt:variant>
        <vt:i4>380</vt:i4>
      </vt:variant>
      <vt:variant>
        <vt:i4>0</vt:i4>
      </vt:variant>
      <vt:variant>
        <vt:i4>5</vt:i4>
      </vt:variant>
      <vt:variant>
        <vt:lpwstr/>
      </vt:variant>
      <vt:variant>
        <vt:lpwstr>_Toc142985127</vt:lpwstr>
      </vt:variant>
      <vt:variant>
        <vt:i4>1900602</vt:i4>
      </vt:variant>
      <vt:variant>
        <vt:i4>374</vt:i4>
      </vt:variant>
      <vt:variant>
        <vt:i4>0</vt:i4>
      </vt:variant>
      <vt:variant>
        <vt:i4>5</vt:i4>
      </vt:variant>
      <vt:variant>
        <vt:lpwstr/>
      </vt:variant>
      <vt:variant>
        <vt:lpwstr>_Toc142985126</vt:lpwstr>
      </vt:variant>
      <vt:variant>
        <vt:i4>1900602</vt:i4>
      </vt:variant>
      <vt:variant>
        <vt:i4>368</vt:i4>
      </vt:variant>
      <vt:variant>
        <vt:i4>0</vt:i4>
      </vt:variant>
      <vt:variant>
        <vt:i4>5</vt:i4>
      </vt:variant>
      <vt:variant>
        <vt:lpwstr/>
      </vt:variant>
      <vt:variant>
        <vt:lpwstr>_Toc142985125</vt:lpwstr>
      </vt:variant>
      <vt:variant>
        <vt:i4>1900602</vt:i4>
      </vt:variant>
      <vt:variant>
        <vt:i4>362</vt:i4>
      </vt:variant>
      <vt:variant>
        <vt:i4>0</vt:i4>
      </vt:variant>
      <vt:variant>
        <vt:i4>5</vt:i4>
      </vt:variant>
      <vt:variant>
        <vt:lpwstr/>
      </vt:variant>
      <vt:variant>
        <vt:lpwstr>_Toc142985124</vt:lpwstr>
      </vt:variant>
      <vt:variant>
        <vt:i4>1900602</vt:i4>
      </vt:variant>
      <vt:variant>
        <vt:i4>356</vt:i4>
      </vt:variant>
      <vt:variant>
        <vt:i4>0</vt:i4>
      </vt:variant>
      <vt:variant>
        <vt:i4>5</vt:i4>
      </vt:variant>
      <vt:variant>
        <vt:lpwstr/>
      </vt:variant>
      <vt:variant>
        <vt:lpwstr>_Toc142985123</vt:lpwstr>
      </vt:variant>
      <vt:variant>
        <vt:i4>1900602</vt:i4>
      </vt:variant>
      <vt:variant>
        <vt:i4>350</vt:i4>
      </vt:variant>
      <vt:variant>
        <vt:i4>0</vt:i4>
      </vt:variant>
      <vt:variant>
        <vt:i4>5</vt:i4>
      </vt:variant>
      <vt:variant>
        <vt:lpwstr/>
      </vt:variant>
      <vt:variant>
        <vt:lpwstr>_Toc142985122</vt:lpwstr>
      </vt:variant>
      <vt:variant>
        <vt:i4>1900602</vt:i4>
      </vt:variant>
      <vt:variant>
        <vt:i4>344</vt:i4>
      </vt:variant>
      <vt:variant>
        <vt:i4>0</vt:i4>
      </vt:variant>
      <vt:variant>
        <vt:i4>5</vt:i4>
      </vt:variant>
      <vt:variant>
        <vt:lpwstr/>
      </vt:variant>
      <vt:variant>
        <vt:lpwstr>_Toc142985121</vt:lpwstr>
      </vt:variant>
      <vt:variant>
        <vt:i4>1900602</vt:i4>
      </vt:variant>
      <vt:variant>
        <vt:i4>338</vt:i4>
      </vt:variant>
      <vt:variant>
        <vt:i4>0</vt:i4>
      </vt:variant>
      <vt:variant>
        <vt:i4>5</vt:i4>
      </vt:variant>
      <vt:variant>
        <vt:lpwstr/>
      </vt:variant>
      <vt:variant>
        <vt:lpwstr>_Toc142985120</vt:lpwstr>
      </vt:variant>
      <vt:variant>
        <vt:i4>1966138</vt:i4>
      </vt:variant>
      <vt:variant>
        <vt:i4>332</vt:i4>
      </vt:variant>
      <vt:variant>
        <vt:i4>0</vt:i4>
      </vt:variant>
      <vt:variant>
        <vt:i4>5</vt:i4>
      </vt:variant>
      <vt:variant>
        <vt:lpwstr/>
      </vt:variant>
      <vt:variant>
        <vt:lpwstr>_Toc142985119</vt:lpwstr>
      </vt:variant>
      <vt:variant>
        <vt:i4>1966138</vt:i4>
      </vt:variant>
      <vt:variant>
        <vt:i4>326</vt:i4>
      </vt:variant>
      <vt:variant>
        <vt:i4>0</vt:i4>
      </vt:variant>
      <vt:variant>
        <vt:i4>5</vt:i4>
      </vt:variant>
      <vt:variant>
        <vt:lpwstr/>
      </vt:variant>
      <vt:variant>
        <vt:lpwstr>_Toc142985118</vt:lpwstr>
      </vt:variant>
      <vt:variant>
        <vt:i4>1966138</vt:i4>
      </vt:variant>
      <vt:variant>
        <vt:i4>320</vt:i4>
      </vt:variant>
      <vt:variant>
        <vt:i4>0</vt:i4>
      </vt:variant>
      <vt:variant>
        <vt:i4>5</vt:i4>
      </vt:variant>
      <vt:variant>
        <vt:lpwstr/>
      </vt:variant>
      <vt:variant>
        <vt:lpwstr>_Toc142985117</vt:lpwstr>
      </vt:variant>
      <vt:variant>
        <vt:i4>1966138</vt:i4>
      </vt:variant>
      <vt:variant>
        <vt:i4>314</vt:i4>
      </vt:variant>
      <vt:variant>
        <vt:i4>0</vt:i4>
      </vt:variant>
      <vt:variant>
        <vt:i4>5</vt:i4>
      </vt:variant>
      <vt:variant>
        <vt:lpwstr/>
      </vt:variant>
      <vt:variant>
        <vt:lpwstr>_Toc142985116</vt:lpwstr>
      </vt:variant>
      <vt:variant>
        <vt:i4>1966138</vt:i4>
      </vt:variant>
      <vt:variant>
        <vt:i4>308</vt:i4>
      </vt:variant>
      <vt:variant>
        <vt:i4>0</vt:i4>
      </vt:variant>
      <vt:variant>
        <vt:i4>5</vt:i4>
      </vt:variant>
      <vt:variant>
        <vt:lpwstr/>
      </vt:variant>
      <vt:variant>
        <vt:lpwstr>_Toc142985115</vt:lpwstr>
      </vt:variant>
      <vt:variant>
        <vt:i4>1966138</vt:i4>
      </vt:variant>
      <vt:variant>
        <vt:i4>302</vt:i4>
      </vt:variant>
      <vt:variant>
        <vt:i4>0</vt:i4>
      </vt:variant>
      <vt:variant>
        <vt:i4>5</vt:i4>
      </vt:variant>
      <vt:variant>
        <vt:lpwstr/>
      </vt:variant>
      <vt:variant>
        <vt:lpwstr>_Toc142985114</vt:lpwstr>
      </vt:variant>
      <vt:variant>
        <vt:i4>1966138</vt:i4>
      </vt:variant>
      <vt:variant>
        <vt:i4>296</vt:i4>
      </vt:variant>
      <vt:variant>
        <vt:i4>0</vt:i4>
      </vt:variant>
      <vt:variant>
        <vt:i4>5</vt:i4>
      </vt:variant>
      <vt:variant>
        <vt:lpwstr/>
      </vt:variant>
      <vt:variant>
        <vt:lpwstr>_Toc142985113</vt:lpwstr>
      </vt:variant>
      <vt:variant>
        <vt:i4>1966138</vt:i4>
      </vt:variant>
      <vt:variant>
        <vt:i4>290</vt:i4>
      </vt:variant>
      <vt:variant>
        <vt:i4>0</vt:i4>
      </vt:variant>
      <vt:variant>
        <vt:i4>5</vt:i4>
      </vt:variant>
      <vt:variant>
        <vt:lpwstr/>
      </vt:variant>
      <vt:variant>
        <vt:lpwstr>_Toc142985112</vt:lpwstr>
      </vt:variant>
      <vt:variant>
        <vt:i4>1966138</vt:i4>
      </vt:variant>
      <vt:variant>
        <vt:i4>284</vt:i4>
      </vt:variant>
      <vt:variant>
        <vt:i4>0</vt:i4>
      </vt:variant>
      <vt:variant>
        <vt:i4>5</vt:i4>
      </vt:variant>
      <vt:variant>
        <vt:lpwstr/>
      </vt:variant>
      <vt:variant>
        <vt:lpwstr>_Toc142985111</vt:lpwstr>
      </vt:variant>
      <vt:variant>
        <vt:i4>1966138</vt:i4>
      </vt:variant>
      <vt:variant>
        <vt:i4>278</vt:i4>
      </vt:variant>
      <vt:variant>
        <vt:i4>0</vt:i4>
      </vt:variant>
      <vt:variant>
        <vt:i4>5</vt:i4>
      </vt:variant>
      <vt:variant>
        <vt:lpwstr/>
      </vt:variant>
      <vt:variant>
        <vt:lpwstr>_Toc142985110</vt:lpwstr>
      </vt:variant>
      <vt:variant>
        <vt:i4>2031674</vt:i4>
      </vt:variant>
      <vt:variant>
        <vt:i4>272</vt:i4>
      </vt:variant>
      <vt:variant>
        <vt:i4>0</vt:i4>
      </vt:variant>
      <vt:variant>
        <vt:i4>5</vt:i4>
      </vt:variant>
      <vt:variant>
        <vt:lpwstr/>
      </vt:variant>
      <vt:variant>
        <vt:lpwstr>_Toc142985109</vt:lpwstr>
      </vt:variant>
      <vt:variant>
        <vt:i4>2031674</vt:i4>
      </vt:variant>
      <vt:variant>
        <vt:i4>266</vt:i4>
      </vt:variant>
      <vt:variant>
        <vt:i4>0</vt:i4>
      </vt:variant>
      <vt:variant>
        <vt:i4>5</vt:i4>
      </vt:variant>
      <vt:variant>
        <vt:lpwstr/>
      </vt:variant>
      <vt:variant>
        <vt:lpwstr>_Toc142985108</vt:lpwstr>
      </vt:variant>
      <vt:variant>
        <vt:i4>2031674</vt:i4>
      </vt:variant>
      <vt:variant>
        <vt:i4>260</vt:i4>
      </vt:variant>
      <vt:variant>
        <vt:i4>0</vt:i4>
      </vt:variant>
      <vt:variant>
        <vt:i4>5</vt:i4>
      </vt:variant>
      <vt:variant>
        <vt:lpwstr/>
      </vt:variant>
      <vt:variant>
        <vt:lpwstr>_Toc142985107</vt:lpwstr>
      </vt:variant>
      <vt:variant>
        <vt:i4>2031674</vt:i4>
      </vt:variant>
      <vt:variant>
        <vt:i4>254</vt:i4>
      </vt:variant>
      <vt:variant>
        <vt:i4>0</vt:i4>
      </vt:variant>
      <vt:variant>
        <vt:i4>5</vt:i4>
      </vt:variant>
      <vt:variant>
        <vt:lpwstr/>
      </vt:variant>
      <vt:variant>
        <vt:lpwstr>_Toc142985106</vt:lpwstr>
      </vt:variant>
      <vt:variant>
        <vt:i4>2031674</vt:i4>
      </vt:variant>
      <vt:variant>
        <vt:i4>248</vt:i4>
      </vt:variant>
      <vt:variant>
        <vt:i4>0</vt:i4>
      </vt:variant>
      <vt:variant>
        <vt:i4>5</vt:i4>
      </vt:variant>
      <vt:variant>
        <vt:lpwstr/>
      </vt:variant>
      <vt:variant>
        <vt:lpwstr>_Toc142985105</vt:lpwstr>
      </vt:variant>
      <vt:variant>
        <vt:i4>2031674</vt:i4>
      </vt:variant>
      <vt:variant>
        <vt:i4>242</vt:i4>
      </vt:variant>
      <vt:variant>
        <vt:i4>0</vt:i4>
      </vt:variant>
      <vt:variant>
        <vt:i4>5</vt:i4>
      </vt:variant>
      <vt:variant>
        <vt:lpwstr/>
      </vt:variant>
      <vt:variant>
        <vt:lpwstr>_Toc142985104</vt:lpwstr>
      </vt:variant>
      <vt:variant>
        <vt:i4>2031674</vt:i4>
      </vt:variant>
      <vt:variant>
        <vt:i4>236</vt:i4>
      </vt:variant>
      <vt:variant>
        <vt:i4>0</vt:i4>
      </vt:variant>
      <vt:variant>
        <vt:i4>5</vt:i4>
      </vt:variant>
      <vt:variant>
        <vt:lpwstr/>
      </vt:variant>
      <vt:variant>
        <vt:lpwstr>_Toc142985103</vt:lpwstr>
      </vt:variant>
      <vt:variant>
        <vt:i4>2031674</vt:i4>
      </vt:variant>
      <vt:variant>
        <vt:i4>230</vt:i4>
      </vt:variant>
      <vt:variant>
        <vt:i4>0</vt:i4>
      </vt:variant>
      <vt:variant>
        <vt:i4>5</vt:i4>
      </vt:variant>
      <vt:variant>
        <vt:lpwstr/>
      </vt:variant>
      <vt:variant>
        <vt:lpwstr>_Toc142985102</vt:lpwstr>
      </vt:variant>
      <vt:variant>
        <vt:i4>2031674</vt:i4>
      </vt:variant>
      <vt:variant>
        <vt:i4>224</vt:i4>
      </vt:variant>
      <vt:variant>
        <vt:i4>0</vt:i4>
      </vt:variant>
      <vt:variant>
        <vt:i4>5</vt:i4>
      </vt:variant>
      <vt:variant>
        <vt:lpwstr/>
      </vt:variant>
      <vt:variant>
        <vt:lpwstr>_Toc142985101</vt:lpwstr>
      </vt:variant>
      <vt:variant>
        <vt:i4>2031674</vt:i4>
      </vt:variant>
      <vt:variant>
        <vt:i4>218</vt:i4>
      </vt:variant>
      <vt:variant>
        <vt:i4>0</vt:i4>
      </vt:variant>
      <vt:variant>
        <vt:i4>5</vt:i4>
      </vt:variant>
      <vt:variant>
        <vt:lpwstr/>
      </vt:variant>
      <vt:variant>
        <vt:lpwstr>_Toc142985100</vt:lpwstr>
      </vt:variant>
      <vt:variant>
        <vt:i4>1441851</vt:i4>
      </vt:variant>
      <vt:variant>
        <vt:i4>212</vt:i4>
      </vt:variant>
      <vt:variant>
        <vt:i4>0</vt:i4>
      </vt:variant>
      <vt:variant>
        <vt:i4>5</vt:i4>
      </vt:variant>
      <vt:variant>
        <vt:lpwstr/>
      </vt:variant>
      <vt:variant>
        <vt:lpwstr>_Toc142985099</vt:lpwstr>
      </vt:variant>
      <vt:variant>
        <vt:i4>1441851</vt:i4>
      </vt:variant>
      <vt:variant>
        <vt:i4>206</vt:i4>
      </vt:variant>
      <vt:variant>
        <vt:i4>0</vt:i4>
      </vt:variant>
      <vt:variant>
        <vt:i4>5</vt:i4>
      </vt:variant>
      <vt:variant>
        <vt:lpwstr/>
      </vt:variant>
      <vt:variant>
        <vt:lpwstr>_Toc142985098</vt:lpwstr>
      </vt:variant>
      <vt:variant>
        <vt:i4>1441851</vt:i4>
      </vt:variant>
      <vt:variant>
        <vt:i4>200</vt:i4>
      </vt:variant>
      <vt:variant>
        <vt:i4>0</vt:i4>
      </vt:variant>
      <vt:variant>
        <vt:i4>5</vt:i4>
      </vt:variant>
      <vt:variant>
        <vt:lpwstr/>
      </vt:variant>
      <vt:variant>
        <vt:lpwstr>_Toc142985097</vt:lpwstr>
      </vt:variant>
      <vt:variant>
        <vt:i4>1441851</vt:i4>
      </vt:variant>
      <vt:variant>
        <vt:i4>194</vt:i4>
      </vt:variant>
      <vt:variant>
        <vt:i4>0</vt:i4>
      </vt:variant>
      <vt:variant>
        <vt:i4>5</vt:i4>
      </vt:variant>
      <vt:variant>
        <vt:lpwstr/>
      </vt:variant>
      <vt:variant>
        <vt:lpwstr>_Toc142985096</vt:lpwstr>
      </vt:variant>
      <vt:variant>
        <vt:i4>1441851</vt:i4>
      </vt:variant>
      <vt:variant>
        <vt:i4>188</vt:i4>
      </vt:variant>
      <vt:variant>
        <vt:i4>0</vt:i4>
      </vt:variant>
      <vt:variant>
        <vt:i4>5</vt:i4>
      </vt:variant>
      <vt:variant>
        <vt:lpwstr/>
      </vt:variant>
      <vt:variant>
        <vt:lpwstr>_Toc142985095</vt:lpwstr>
      </vt:variant>
      <vt:variant>
        <vt:i4>1441851</vt:i4>
      </vt:variant>
      <vt:variant>
        <vt:i4>182</vt:i4>
      </vt:variant>
      <vt:variant>
        <vt:i4>0</vt:i4>
      </vt:variant>
      <vt:variant>
        <vt:i4>5</vt:i4>
      </vt:variant>
      <vt:variant>
        <vt:lpwstr/>
      </vt:variant>
      <vt:variant>
        <vt:lpwstr>_Toc142985094</vt:lpwstr>
      </vt:variant>
      <vt:variant>
        <vt:i4>1441851</vt:i4>
      </vt:variant>
      <vt:variant>
        <vt:i4>176</vt:i4>
      </vt:variant>
      <vt:variant>
        <vt:i4>0</vt:i4>
      </vt:variant>
      <vt:variant>
        <vt:i4>5</vt:i4>
      </vt:variant>
      <vt:variant>
        <vt:lpwstr/>
      </vt:variant>
      <vt:variant>
        <vt:lpwstr>_Toc142985093</vt:lpwstr>
      </vt:variant>
      <vt:variant>
        <vt:i4>1441851</vt:i4>
      </vt:variant>
      <vt:variant>
        <vt:i4>170</vt:i4>
      </vt:variant>
      <vt:variant>
        <vt:i4>0</vt:i4>
      </vt:variant>
      <vt:variant>
        <vt:i4>5</vt:i4>
      </vt:variant>
      <vt:variant>
        <vt:lpwstr/>
      </vt:variant>
      <vt:variant>
        <vt:lpwstr>_Toc142985092</vt:lpwstr>
      </vt:variant>
      <vt:variant>
        <vt:i4>1441851</vt:i4>
      </vt:variant>
      <vt:variant>
        <vt:i4>164</vt:i4>
      </vt:variant>
      <vt:variant>
        <vt:i4>0</vt:i4>
      </vt:variant>
      <vt:variant>
        <vt:i4>5</vt:i4>
      </vt:variant>
      <vt:variant>
        <vt:lpwstr/>
      </vt:variant>
      <vt:variant>
        <vt:lpwstr>_Toc142985091</vt:lpwstr>
      </vt:variant>
      <vt:variant>
        <vt:i4>1441851</vt:i4>
      </vt:variant>
      <vt:variant>
        <vt:i4>158</vt:i4>
      </vt:variant>
      <vt:variant>
        <vt:i4>0</vt:i4>
      </vt:variant>
      <vt:variant>
        <vt:i4>5</vt:i4>
      </vt:variant>
      <vt:variant>
        <vt:lpwstr/>
      </vt:variant>
      <vt:variant>
        <vt:lpwstr>_Toc142985090</vt:lpwstr>
      </vt:variant>
      <vt:variant>
        <vt:i4>1507387</vt:i4>
      </vt:variant>
      <vt:variant>
        <vt:i4>152</vt:i4>
      </vt:variant>
      <vt:variant>
        <vt:i4>0</vt:i4>
      </vt:variant>
      <vt:variant>
        <vt:i4>5</vt:i4>
      </vt:variant>
      <vt:variant>
        <vt:lpwstr/>
      </vt:variant>
      <vt:variant>
        <vt:lpwstr>_Toc142985089</vt:lpwstr>
      </vt:variant>
      <vt:variant>
        <vt:i4>1507387</vt:i4>
      </vt:variant>
      <vt:variant>
        <vt:i4>146</vt:i4>
      </vt:variant>
      <vt:variant>
        <vt:i4>0</vt:i4>
      </vt:variant>
      <vt:variant>
        <vt:i4>5</vt:i4>
      </vt:variant>
      <vt:variant>
        <vt:lpwstr/>
      </vt:variant>
      <vt:variant>
        <vt:lpwstr>_Toc142985088</vt:lpwstr>
      </vt:variant>
      <vt:variant>
        <vt:i4>1507387</vt:i4>
      </vt:variant>
      <vt:variant>
        <vt:i4>140</vt:i4>
      </vt:variant>
      <vt:variant>
        <vt:i4>0</vt:i4>
      </vt:variant>
      <vt:variant>
        <vt:i4>5</vt:i4>
      </vt:variant>
      <vt:variant>
        <vt:lpwstr/>
      </vt:variant>
      <vt:variant>
        <vt:lpwstr>_Toc142985087</vt:lpwstr>
      </vt:variant>
      <vt:variant>
        <vt:i4>1507387</vt:i4>
      </vt:variant>
      <vt:variant>
        <vt:i4>134</vt:i4>
      </vt:variant>
      <vt:variant>
        <vt:i4>0</vt:i4>
      </vt:variant>
      <vt:variant>
        <vt:i4>5</vt:i4>
      </vt:variant>
      <vt:variant>
        <vt:lpwstr/>
      </vt:variant>
      <vt:variant>
        <vt:lpwstr>_Toc142985086</vt:lpwstr>
      </vt:variant>
      <vt:variant>
        <vt:i4>1507387</vt:i4>
      </vt:variant>
      <vt:variant>
        <vt:i4>128</vt:i4>
      </vt:variant>
      <vt:variant>
        <vt:i4>0</vt:i4>
      </vt:variant>
      <vt:variant>
        <vt:i4>5</vt:i4>
      </vt:variant>
      <vt:variant>
        <vt:lpwstr/>
      </vt:variant>
      <vt:variant>
        <vt:lpwstr>_Toc142985085</vt:lpwstr>
      </vt:variant>
      <vt:variant>
        <vt:i4>1507387</vt:i4>
      </vt:variant>
      <vt:variant>
        <vt:i4>122</vt:i4>
      </vt:variant>
      <vt:variant>
        <vt:i4>0</vt:i4>
      </vt:variant>
      <vt:variant>
        <vt:i4>5</vt:i4>
      </vt:variant>
      <vt:variant>
        <vt:lpwstr/>
      </vt:variant>
      <vt:variant>
        <vt:lpwstr>_Toc142985084</vt:lpwstr>
      </vt:variant>
      <vt:variant>
        <vt:i4>1507387</vt:i4>
      </vt:variant>
      <vt:variant>
        <vt:i4>116</vt:i4>
      </vt:variant>
      <vt:variant>
        <vt:i4>0</vt:i4>
      </vt:variant>
      <vt:variant>
        <vt:i4>5</vt:i4>
      </vt:variant>
      <vt:variant>
        <vt:lpwstr/>
      </vt:variant>
      <vt:variant>
        <vt:lpwstr>_Toc142985083</vt:lpwstr>
      </vt:variant>
      <vt:variant>
        <vt:i4>1507387</vt:i4>
      </vt:variant>
      <vt:variant>
        <vt:i4>110</vt:i4>
      </vt:variant>
      <vt:variant>
        <vt:i4>0</vt:i4>
      </vt:variant>
      <vt:variant>
        <vt:i4>5</vt:i4>
      </vt:variant>
      <vt:variant>
        <vt:lpwstr/>
      </vt:variant>
      <vt:variant>
        <vt:lpwstr>_Toc142985082</vt:lpwstr>
      </vt:variant>
      <vt:variant>
        <vt:i4>1507387</vt:i4>
      </vt:variant>
      <vt:variant>
        <vt:i4>104</vt:i4>
      </vt:variant>
      <vt:variant>
        <vt:i4>0</vt:i4>
      </vt:variant>
      <vt:variant>
        <vt:i4>5</vt:i4>
      </vt:variant>
      <vt:variant>
        <vt:lpwstr/>
      </vt:variant>
      <vt:variant>
        <vt:lpwstr>_Toc142985081</vt:lpwstr>
      </vt:variant>
      <vt:variant>
        <vt:i4>1507387</vt:i4>
      </vt:variant>
      <vt:variant>
        <vt:i4>98</vt:i4>
      </vt:variant>
      <vt:variant>
        <vt:i4>0</vt:i4>
      </vt:variant>
      <vt:variant>
        <vt:i4>5</vt:i4>
      </vt:variant>
      <vt:variant>
        <vt:lpwstr/>
      </vt:variant>
      <vt:variant>
        <vt:lpwstr>_Toc142985080</vt:lpwstr>
      </vt:variant>
      <vt:variant>
        <vt:i4>1572923</vt:i4>
      </vt:variant>
      <vt:variant>
        <vt:i4>92</vt:i4>
      </vt:variant>
      <vt:variant>
        <vt:i4>0</vt:i4>
      </vt:variant>
      <vt:variant>
        <vt:i4>5</vt:i4>
      </vt:variant>
      <vt:variant>
        <vt:lpwstr/>
      </vt:variant>
      <vt:variant>
        <vt:lpwstr>_Toc142985079</vt:lpwstr>
      </vt:variant>
      <vt:variant>
        <vt:i4>1572923</vt:i4>
      </vt:variant>
      <vt:variant>
        <vt:i4>86</vt:i4>
      </vt:variant>
      <vt:variant>
        <vt:i4>0</vt:i4>
      </vt:variant>
      <vt:variant>
        <vt:i4>5</vt:i4>
      </vt:variant>
      <vt:variant>
        <vt:lpwstr/>
      </vt:variant>
      <vt:variant>
        <vt:lpwstr>_Toc142985078</vt:lpwstr>
      </vt:variant>
      <vt:variant>
        <vt:i4>1572923</vt:i4>
      </vt:variant>
      <vt:variant>
        <vt:i4>80</vt:i4>
      </vt:variant>
      <vt:variant>
        <vt:i4>0</vt:i4>
      </vt:variant>
      <vt:variant>
        <vt:i4>5</vt:i4>
      </vt:variant>
      <vt:variant>
        <vt:lpwstr/>
      </vt:variant>
      <vt:variant>
        <vt:lpwstr>_Toc142985077</vt:lpwstr>
      </vt:variant>
      <vt:variant>
        <vt:i4>1572923</vt:i4>
      </vt:variant>
      <vt:variant>
        <vt:i4>74</vt:i4>
      </vt:variant>
      <vt:variant>
        <vt:i4>0</vt:i4>
      </vt:variant>
      <vt:variant>
        <vt:i4>5</vt:i4>
      </vt:variant>
      <vt:variant>
        <vt:lpwstr/>
      </vt:variant>
      <vt:variant>
        <vt:lpwstr>_Toc142985076</vt:lpwstr>
      </vt:variant>
      <vt:variant>
        <vt:i4>1572923</vt:i4>
      </vt:variant>
      <vt:variant>
        <vt:i4>68</vt:i4>
      </vt:variant>
      <vt:variant>
        <vt:i4>0</vt:i4>
      </vt:variant>
      <vt:variant>
        <vt:i4>5</vt:i4>
      </vt:variant>
      <vt:variant>
        <vt:lpwstr/>
      </vt:variant>
      <vt:variant>
        <vt:lpwstr>_Toc142985075</vt:lpwstr>
      </vt:variant>
      <vt:variant>
        <vt:i4>1572923</vt:i4>
      </vt:variant>
      <vt:variant>
        <vt:i4>62</vt:i4>
      </vt:variant>
      <vt:variant>
        <vt:i4>0</vt:i4>
      </vt:variant>
      <vt:variant>
        <vt:i4>5</vt:i4>
      </vt:variant>
      <vt:variant>
        <vt:lpwstr/>
      </vt:variant>
      <vt:variant>
        <vt:lpwstr>_Toc142985074</vt:lpwstr>
      </vt:variant>
      <vt:variant>
        <vt:i4>1572923</vt:i4>
      </vt:variant>
      <vt:variant>
        <vt:i4>56</vt:i4>
      </vt:variant>
      <vt:variant>
        <vt:i4>0</vt:i4>
      </vt:variant>
      <vt:variant>
        <vt:i4>5</vt:i4>
      </vt:variant>
      <vt:variant>
        <vt:lpwstr/>
      </vt:variant>
      <vt:variant>
        <vt:lpwstr>_Toc142985073</vt:lpwstr>
      </vt:variant>
      <vt:variant>
        <vt:i4>1572923</vt:i4>
      </vt:variant>
      <vt:variant>
        <vt:i4>50</vt:i4>
      </vt:variant>
      <vt:variant>
        <vt:i4>0</vt:i4>
      </vt:variant>
      <vt:variant>
        <vt:i4>5</vt:i4>
      </vt:variant>
      <vt:variant>
        <vt:lpwstr/>
      </vt:variant>
      <vt:variant>
        <vt:lpwstr>_Toc142985072</vt:lpwstr>
      </vt:variant>
      <vt:variant>
        <vt:i4>1572923</vt:i4>
      </vt:variant>
      <vt:variant>
        <vt:i4>44</vt:i4>
      </vt:variant>
      <vt:variant>
        <vt:i4>0</vt:i4>
      </vt:variant>
      <vt:variant>
        <vt:i4>5</vt:i4>
      </vt:variant>
      <vt:variant>
        <vt:lpwstr/>
      </vt:variant>
      <vt:variant>
        <vt:lpwstr>_Toc142985071</vt:lpwstr>
      </vt:variant>
      <vt:variant>
        <vt:i4>1572923</vt:i4>
      </vt:variant>
      <vt:variant>
        <vt:i4>38</vt:i4>
      </vt:variant>
      <vt:variant>
        <vt:i4>0</vt:i4>
      </vt:variant>
      <vt:variant>
        <vt:i4>5</vt:i4>
      </vt:variant>
      <vt:variant>
        <vt:lpwstr/>
      </vt:variant>
      <vt:variant>
        <vt:lpwstr>_Toc142985070</vt:lpwstr>
      </vt:variant>
      <vt:variant>
        <vt:i4>1638459</vt:i4>
      </vt:variant>
      <vt:variant>
        <vt:i4>32</vt:i4>
      </vt:variant>
      <vt:variant>
        <vt:i4>0</vt:i4>
      </vt:variant>
      <vt:variant>
        <vt:i4>5</vt:i4>
      </vt:variant>
      <vt:variant>
        <vt:lpwstr/>
      </vt:variant>
      <vt:variant>
        <vt:lpwstr>_Toc142985069</vt:lpwstr>
      </vt:variant>
      <vt:variant>
        <vt:i4>1638459</vt:i4>
      </vt:variant>
      <vt:variant>
        <vt:i4>26</vt:i4>
      </vt:variant>
      <vt:variant>
        <vt:i4>0</vt:i4>
      </vt:variant>
      <vt:variant>
        <vt:i4>5</vt:i4>
      </vt:variant>
      <vt:variant>
        <vt:lpwstr/>
      </vt:variant>
      <vt:variant>
        <vt:lpwstr>_Toc142985068</vt:lpwstr>
      </vt:variant>
      <vt:variant>
        <vt:i4>1638459</vt:i4>
      </vt:variant>
      <vt:variant>
        <vt:i4>20</vt:i4>
      </vt:variant>
      <vt:variant>
        <vt:i4>0</vt:i4>
      </vt:variant>
      <vt:variant>
        <vt:i4>5</vt:i4>
      </vt:variant>
      <vt:variant>
        <vt:lpwstr/>
      </vt:variant>
      <vt:variant>
        <vt:lpwstr>_Toc142985067</vt:lpwstr>
      </vt:variant>
      <vt:variant>
        <vt:i4>1638459</vt:i4>
      </vt:variant>
      <vt:variant>
        <vt:i4>14</vt:i4>
      </vt:variant>
      <vt:variant>
        <vt:i4>0</vt:i4>
      </vt:variant>
      <vt:variant>
        <vt:i4>5</vt:i4>
      </vt:variant>
      <vt:variant>
        <vt:lpwstr/>
      </vt:variant>
      <vt:variant>
        <vt:lpwstr>_Toc142985066</vt:lpwstr>
      </vt:variant>
      <vt:variant>
        <vt:i4>1638459</vt:i4>
      </vt:variant>
      <vt:variant>
        <vt:i4>8</vt:i4>
      </vt:variant>
      <vt:variant>
        <vt:i4>0</vt:i4>
      </vt:variant>
      <vt:variant>
        <vt:i4>5</vt:i4>
      </vt:variant>
      <vt:variant>
        <vt:lpwstr/>
      </vt:variant>
      <vt:variant>
        <vt:lpwstr>_Toc142985065</vt:lpwstr>
      </vt:variant>
      <vt:variant>
        <vt:i4>1638459</vt:i4>
      </vt:variant>
      <vt:variant>
        <vt:i4>2</vt:i4>
      </vt:variant>
      <vt:variant>
        <vt:i4>0</vt:i4>
      </vt:variant>
      <vt:variant>
        <vt:i4>5</vt:i4>
      </vt:variant>
      <vt:variant>
        <vt:lpwstr/>
      </vt:variant>
      <vt:variant>
        <vt:lpwstr>_Toc142985064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ITU - BR SGD</dc:creator>
  <cp:keywords>WRC-23</cp:keywords>
  <cp:lastModifiedBy>Bonnici, Adrienne</cp:lastModifiedBy>
  <cp:revision>28</cp:revision>
  <cp:lastPrinted>2011-08-24T16:41:00Z</cp:lastPrinted>
  <dcterms:created xsi:type="dcterms:W3CDTF">2023-08-16T07:34:00Z</dcterms:created>
  <dcterms:modified xsi:type="dcterms:W3CDTF">2023-08-16T08:10:00Z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ies>
</file>