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2A6F8F" w14:paraId="5D154729" w14:textId="77777777" w:rsidTr="00B23EDF">
        <w:trPr>
          <w:cantSplit/>
        </w:trPr>
        <w:tc>
          <w:tcPr>
            <w:tcW w:w="1418" w:type="dxa"/>
            <w:vAlign w:val="center"/>
          </w:tcPr>
          <w:p w14:paraId="2FDEBC36" w14:textId="77777777" w:rsidR="00B23EDF" w:rsidRPr="00930FFD" w:rsidRDefault="00B23EDF" w:rsidP="00BC68CE">
            <w:pPr>
              <w:spacing w:before="100" w:beforeAutospacing="1"/>
              <w:rPr>
                <w:rFonts w:ascii="Verdana" w:hAnsi="Verdana"/>
                <w:b/>
                <w:bCs/>
                <w:sz w:val="20"/>
                <w:lang w:val="fr-CH"/>
              </w:rPr>
            </w:pPr>
            <w:r>
              <w:rPr>
                <w:noProof/>
                <w:lang w:val="en-US"/>
              </w:rPr>
              <w:drawing>
                <wp:inline distT="0" distB="0" distL="0" distR="0" wp14:anchorId="144D7982" wp14:editId="7B3B3EC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0EE74148" w14:textId="77777777" w:rsidR="00B23EDF" w:rsidRPr="00930FFD" w:rsidRDefault="00B23EDF" w:rsidP="00BC68CE">
            <w:pPr>
              <w:spacing w:before="400" w:after="48"/>
              <w:rPr>
                <w:rFonts w:ascii="Verdana" w:hAnsi="Verdana"/>
                <w:b/>
                <w:bCs/>
                <w:sz w:val="20"/>
                <w:lang w:val="fr-CH"/>
              </w:rPr>
            </w:pPr>
            <w:r>
              <w:rPr>
                <w:rFonts w:ascii="Verdana" w:hAnsi="Verdana"/>
                <w:b/>
                <w:bCs/>
                <w:sz w:val="20"/>
                <w:lang w:val="fr-CH"/>
              </w:rPr>
              <w:t>Conférence mondiale des radiocommunications (CMR-23)</w:t>
            </w:r>
            <w:r w:rsidRPr="00930FFD">
              <w:rPr>
                <w:rFonts w:ascii="Verdana" w:hAnsi="Verdana"/>
                <w:b/>
                <w:bCs/>
                <w:sz w:val="20"/>
                <w:lang w:val="fr-CH"/>
              </w:rPr>
              <w:br/>
            </w:r>
            <w:r w:rsidRPr="00CD3928">
              <w:rPr>
                <w:rFonts w:ascii="Verdana" w:hAnsi="Verdana"/>
                <w:b/>
                <w:bCs/>
                <w:sz w:val="18"/>
                <w:szCs w:val="18"/>
                <w:lang w:val="fr-CH"/>
              </w:rPr>
              <w:t>Dubaï, 20 novembre - 15 décembre 2023</w:t>
            </w:r>
          </w:p>
        </w:tc>
        <w:tc>
          <w:tcPr>
            <w:tcW w:w="1667" w:type="dxa"/>
            <w:vAlign w:val="center"/>
          </w:tcPr>
          <w:p w14:paraId="58C01C94" w14:textId="77777777" w:rsidR="00B23EDF" w:rsidRPr="002A6F8F" w:rsidRDefault="00B23EDF" w:rsidP="00BC68CE">
            <w:pPr>
              <w:spacing w:before="0"/>
              <w:rPr>
                <w:lang w:val="en-US"/>
              </w:rPr>
            </w:pPr>
            <w:bookmarkStart w:id="0" w:name="ditulogo"/>
            <w:bookmarkEnd w:id="0"/>
            <w:r>
              <w:rPr>
                <w:noProof/>
                <w:lang w:val="en-US"/>
              </w:rPr>
              <w:drawing>
                <wp:inline distT="0" distB="0" distL="0" distR="0" wp14:anchorId="2AE33361" wp14:editId="6936CBC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2A6F8F" w14:paraId="61771A8C" w14:textId="77777777" w:rsidTr="00773113">
        <w:trPr>
          <w:cantSplit/>
        </w:trPr>
        <w:tc>
          <w:tcPr>
            <w:tcW w:w="6911" w:type="dxa"/>
            <w:gridSpan w:val="2"/>
            <w:tcBorders>
              <w:bottom w:val="single" w:sz="12" w:space="0" w:color="auto"/>
            </w:tcBorders>
          </w:tcPr>
          <w:p w14:paraId="1457D13B" w14:textId="77777777" w:rsidR="00587A4E" w:rsidRPr="002A6F8F" w:rsidRDefault="00587A4E" w:rsidP="00BC68CE">
            <w:pPr>
              <w:spacing w:before="0" w:after="48"/>
              <w:rPr>
                <w:b/>
                <w:smallCaps/>
                <w:szCs w:val="24"/>
                <w:lang w:val="en-US"/>
              </w:rPr>
            </w:pPr>
            <w:bookmarkStart w:id="1" w:name="dhead"/>
          </w:p>
        </w:tc>
        <w:tc>
          <w:tcPr>
            <w:tcW w:w="3120" w:type="dxa"/>
            <w:gridSpan w:val="2"/>
            <w:tcBorders>
              <w:bottom w:val="single" w:sz="12" w:space="0" w:color="auto"/>
            </w:tcBorders>
          </w:tcPr>
          <w:p w14:paraId="0802760A" w14:textId="77777777" w:rsidR="00587A4E" w:rsidRPr="002A6F8F" w:rsidRDefault="00587A4E" w:rsidP="00BC68CE">
            <w:pPr>
              <w:spacing w:before="0"/>
              <w:rPr>
                <w:rFonts w:ascii="Verdana" w:hAnsi="Verdana"/>
                <w:szCs w:val="24"/>
                <w:lang w:val="en-US"/>
              </w:rPr>
            </w:pPr>
          </w:p>
        </w:tc>
      </w:tr>
      <w:tr w:rsidR="00587A4E" w:rsidRPr="002A6F8F" w14:paraId="4C81EAB2" w14:textId="77777777" w:rsidTr="00773113">
        <w:trPr>
          <w:cantSplit/>
        </w:trPr>
        <w:tc>
          <w:tcPr>
            <w:tcW w:w="6911" w:type="dxa"/>
            <w:gridSpan w:val="2"/>
            <w:tcBorders>
              <w:top w:val="single" w:sz="12" w:space="0" w:color="auto"/>
            </w:tcBorders>
          </w:tcPr>
          <w:p w14:paraId="3142608D" w14:textId="77777777" w:rsidR="00587A4E" w:rsidRPr="002A6F8F" w:rsidRDefault="00587A4E" w:rsidP="00BC68CE">
            <w:pPr>
              <w:spacing w:before="0" w:after="48"/>
              <w:rPr>
                <w:rFonts w:ascii="Verdana" w:hAnsi="Verdana"/>
                <w:b/>
                <w:smallCaps/>
                <w:sz w:val="20"/>
                <w:lang w:val="en-US"/>
              </w:rPr>
            </w:pPr>
          </w:p>
        </w:tc>
        <w:tc>
          <w:tcPr>
            <w:tcW w:w="3120" w:type="dxa"/>
            <w:gridSpan w:val="2"/>
            <w:tcBorders>
              <w:top w:val="single" w:sz="12" w:space="0" w:color="auto"/>
            </w:tcBorders>
          </w:tcPr>
          <w:p w14:paraId="5A7EC615" w14:textId="77777777" w:rsidR="00587A4E" w:rsidRPr="002A6F8F" w:rsidRDefault="00587A4E" w:rsidP="00BC68CE">
            <w:pPr>
              <w:spacing w:before="0"/>
              <w:rPr>
                <w:rFonts w:ascii="Verdana" w:hAnsi="Verdana"/>
                <w:sz w:val="20"/>
                <w:lang w:val="en-US"/>
              </w:rPr>
            </w:pPr>
          </w:p>
        </w:tc>
      </w:tr>
      <w:tr w:rsidR="00587A4E" w:rsidRPr="002A6F8F" w14:paraId="361D0771" w14:textId="77777777" w:rsidTr="00773113">
        <w:trPr>
          <w:cantSplit/>
        </w:trPr>
        <w:tc>
          <w:tcPr>
            <w:tcW w:w="6911" w:type="dxa"/>
            <w:gridSpan w:val="2"/>
          </w:tcPr>
          <w:p w14:paraId="2F158B0D" w14:textId="77777777" w:rsidR="00587A4E" w:rsidRPr="00930FFD" w:rsidRDefault="008D6821" w:rsidP="00BC68CE">
            <w:pPr>
              <w:spacing w:before="0"/>
              <w:rPr>
                <w:rFonts w:ascii="Verdana" w:hAnsi="Verdana"/>
                <w:b/>
                <w:sz w:val="20"/>
                <w:lang w:val="en-US"/>
              </w:rPr>
            </w:pPr>
            <w:r w:rsidRPr="008D6821">
              <w:rPr>
                <w:rFonts w:ascii="Verdana" w:hAnsi="Verdana"/>
                <w:b/>
                <w:sz w:val="20"/>
                <w:lang w:val="en-US"/>
              </w:rPr>
              <w:t>SÉANCE PLÉNIÈRE</w:t>
            </w:r>
          </w:p>
        </w:tc>
        <w:tc>
          <w:tcPr>
            <w:tcW w:w="3120" w:type="dxa"/>
            <w:gridSpan w:val="2"/>
          </w:tcPr>
          <w:p w14:paraId="68844A23" w14:textId="0AE54196" w:rsidR="00587A4E" w:rsidRPr="002A6F8F" w:rsidRDefault="00587A4E" w:rsidP="00BC68CE">
            <w:pPr>
              <w:spacing w:before="0"/>
              <w:rPr>
                <w:rFonts w:ascii="Verdana" w:hAnsi="Verdana"/>
                <w:sz w:val="20"/>
                <w:lang w:val="en-US"/>
              </w:rPr>
            </w:pPr>
            <w:r>
              <w:rPr>
                <w:rFonts w:ascii="Verdana" w:hAnsi="Verdana"/>
                <w:b/>
                <w:sz w:val="20"/>
                <w:lang w:val="en-US"/>
              </w:rPr>
              <w:t xml:space="preserve">Document </w:t>
            </w:r>
            <w:r w:rsidR="00AE30F2">
              <w:rPr>
                <w:rFonts w:ascii="Verdana" w:hAnsi="Verdana"/>
                <w:b/>
                <w:sz w:val="20"/>
                <w:lang w:val="en-US"/>
              </w:rPr>
              <w:t>1</w:t>
            </w:r>
            <w:r>
              <w:rPr>
                <w:rFonts w:ascii="Verdana" w:hAnsi="Verdana"/>
                <w:b/>
                <w:sz w:val="20"/>
                <w:lang w:val="en-US"/>
              </w:rPr>
              <w:t>-F</w:t>
            </w:r>
          </w:p>
        </w:tc>
      </w:tr>
      <w:bookmarkEnd w:id="1"/>
      <w:tr w:rsidR="00587A4E" w:rsidRPr="002A6F8F" w14:paraId="6ACCF33F" w14:textId="77777777" w:rsidTr="00773113">
        <w:trPr>
          <w:cantSplit/>
        </w:trPr>
        <w:tc>
          <w:tcPr>
            <w:tcW w:w="6911" w:type="dxa"/>
            <w:gridSpan w:val="2"/>
          </w:tcPr>
          <w:p w14:paraId="12B35504" w14:textId="77777777" w:rsidR="00587A4E" w:rsidRPr="00930FFD" w:rsidRDefault="00587A4E" w:rsidP="00BC68CE">
            <w:pPr>
              <w:spacing w:before="0"/>
              <w:rPr>
                <w:rFonts w:ascii="Verdana" w:hAnsi="Verdana"/>
                <w:b/>
                <w:sz w:val="20"/>
                <w:lang w:val="en-US"/>
              </w:rPr>
            </w:pPr>
          </w:p>
        </w:tc>
        <w:tc>
          <w:tcPr>
            <w:tcW w:w="3120" w:type="dxa"/>
            <w:gridSpan w:val="2"/>
          </w:tcPr>
          <w:p w14:paraId="04D14190" w14:textId="7CA8A52F" w:rsidR="00587A4E" w:rsidRPr="002A6F8F" w:rsidRDefault="00AE30F2" w:rsidP="00BC68CE">
            <w:pPr>
              <w:spacing w:before="0"/>
              <w:rPr>
                <w:rFonts w:ascii="Verdana" w:hAnsi="Verdana"/>
                <w:b/>
                <w:sz w:val="20"/>
                <w:lang w:val="en-US"/>
              </w:rPr>
            </w:pPr>
            <w:r>
              <w:rPr>
                <w:rFonts w:ascii="Verdana" w:hAnsi="Verdana"/>
                <w:b/>
                <w:sz w:val="20"/>
                <w:lang w:val="en-US"/>
              </w:rPr>
              <w:t>8 mai</w:t>
            </w:r>
            <w:r w:rsidR="00587A4E">
              <w:rPr>
                <w:rFonts w:ascii="Verdana" w:hAnsi="Verdana"/>
                <w:b/>
                <w:sz w:val="20"/>
                <w:lang w:val="en-US"/>
              </w:rPr>
              <w:t xml:space="preserve"> 20</w:t>
            </w:r>
            <w:r w:rsidR="00CD3928">
              <w:rPr>
                <w:rFonts w:ascii="Verdana" w:hAnsi="Verdana"/>
                <w:b/>
                <w:sz w:val="20"/>
                <w:lang w:val="en-US"/>
              </w:rPr>
              <w:t>23</w:t>
            </w:r>
          </w:p>
        </w:tc>
      </w:tr>
      <w:tr w:rsidR="00587A4E" w:rsidRPr="002A6F8F" w14:paraId="05F4DA8E" w14:textId="77777777" w:rsidTr="00773113">
        <w:trPr>
          <w:cantSplit/>
        </w:trPr>
        <w:tc>
          <w:tcPr>
            <w:tcW w:w="6911" w:type="dxa"/>
            <w:gridSpan w:val="2"/>
          </w:tcPr>
          <w:p w14:paraId="539CB218" w14:textId="77777777" w:rsidR="00587A4E" w:rsidRPr="002A6F8F" w:rsidRDefault="00587A4E" w:rsidP="00BC68CE">
            <w:pPr>
              <w:spacing w:before="0" w:after="48"/>
              <w:rPr>
                <w:rFonts w:ascii="Verdana" w:hAnsi="Verdana"/>
                <w:b/>
                <w:smallCaps/>
                <w:sz w:val="20"/>
                <w:lang w:val="en-US"/>
              </w:rPr>
            </w:pPr>
          </w:p>
        </w:tc>
        <w:tc>
          <w:tcPr>
            <w:tcW w:w="3120" w:type="dxa"/>
            <w:gridSpan w:val="2"/>
          </w:tcPr>
          <w:p w14:paraId="3D692673" w14:textId="77777777" w:rsidR="00587A4E" w:rsidRPr="002A6F8F" w:rsidRDefault="00587A4E" w:rsidP="00BC68CE">
            <w:pPr>
              <w:spacing w:before="0"/>
              <w:rPr>
                <w:rFonts w:ascii="Verdana" w:hAnsi="Verdana"/>
                <w:b/>
                <w:sz w:val="20"/>
                <w:lang w:val="en-US"/>
              </w:rPr>
            </w:pPr>
            <w:r>
              <w:rPr>
                <w:rFonts w:ascii="Verdana" w:hAnsi="Verdana"/>
                <w:b/>
                <w:sz w:val="20"/>
                <w:lang w:val="en-US"/>
              </w:rPr>
              <w:t>Original: anglais</w:t>
            </w:r>
          </w:p>
        </w:tc>
      </w:tr>
      <w:tr w:rsidR="00587A4E" w:rsidRPr="002A6F8F" w14:paraId="18C0DD29" w14:textId="77777777" w:rsidTr="00773113">
        <w:trPr>
          <w:cantSplit/>
        </w:trPr>
        <w:tc>
          <w:tcPr>
            <w:tcW w:w="10031" w:type="dxa"/>
            <w:gridSpan w:val="4"/>
          </w:tcPr>
          <w:p w14:paraId="1D7125B9" w14:textId="77777777" w:rsidR="00587A4E" w:rsidRPr="002A6F8F" w:rsidRDefault="00587A4E" w:rsidP="00BC68CE">
            <w:pPr>
              <w:spacing w:before="0"/>
              <w:rPr>
                <w:rFonts w:ascii="Verdana" w:hAnsi="Verdana"/>
                <w:b/>
                <w:sz w:val="20"/>
                <w:lang w:val="en-US"/>
              </w:rPr>
            </w:pPr>
          </w:p>
        </w:tc>
      </w:tr>
      <w:tr w:rsidR="00587A4E" w:rsidRPr="002A6F8F" w14:paraId="7590E90A" w14:textId="77777777" w:rsidTr="00773113">
        <w:trPr>
          <w:cantSplit/>
        </w:trPr>
        <w:tc>
          <w:tcPr>
            <w:tcW w:w="10031" w:type="dxa"/>
            <w:gridSpan w:val="4"/>
          </w:tcPr>
          <w:p w14:paraId="39F13527" w14:textId="65BB7F84" w:rsidR="00587A4E" w:rsidRPr="002A6F8F" w:rsidRDefault="00EE03BC" w:rsidP="00BC68CE">
            <w:pPr>
              <w:pStyle w:val="Source"/>
              <w:rPr>
                <w:lang w:val="en-US"/>
              </w:rPr>
            </w:pPr>
            <w:bookmarkStart w:id="2" w:name="dsource" w:colFirst="0" w:colLast="0"/>
            <w:r w:rsidRPr="00EE03BC">
              <w:rPr>
                <w:lang w:val="en-US"/>
              </w:rPr>
              <w:t>Secrétaire générale</w:t>
            </w:r>
          </w:p>
        </w:tc>
      </w:tr>
      <w:tr w:rsidR="00587A4E" w:rsidRPr="00EE03BC" w14:paraId="35F4D010" w14:textId="77777777" w:rsidTr="00773113">
        <w:trPr>
          <w:cantSplit/>
        </w:trPr>
        <w:tc>
          <w:tcPr>
            <w:tcW w:w="10031" w:type="dxa"/>
            <w:gridSpan w:val="4"/>
          </w:tcPr>
          <w:p w14:paraId="53491699" w14:textId="71F2E127" w:rsidR="00587A4E" w:rsidRPr="00EE03BC" w:rsidRDefault="00BC68CE" w:rsidP="00BC68CE">
            <w:pPr>
              <w:pStyle w:val="Title1"/>
              <w:rPr>
                <w:lang w:val="fr-CH"/>
              </w:rPr>
            </w:pPr>
            <w:bookmarkStart w:id="3" w:name="dtitle1" w:colFirst="0" w:colLast="0"/>
            <w:bookmarkEnd w:id="2"/>
            <w:r>
              <w:rPr>
                <w:shd w:val="clear" w:color="auto" w:fill="FFFFFF"/>
              </w:rPr>
              <w:t>ordre du jour</w:t>
            </w:r>
            <w:r w:rsidR="00EE03BC">
              <w:rPr>
                <w:shd w:val="clear" w:color="auto" w:fill="FFFFFF"/>
              </w:rPr>
              <w:t>, Lieu et</w:t>
            </w:r>
            <w:r>
              <w:rPr>
                <w:shd w:val="clear" w:color="auto" w:fill="FFFFFF"/>
              </w:rPr>
              <w:t xml:space="preserve"> dates </w:t>
            </w:r>
            <w:r w:rsidR="00EE03BC">
              <w:rPr>
                <w:shd w:val="clear" w:color="auto" w:fill="FFFFFF"/>
              </w:rPr>
              <w:t>de la Conférence</w:t>
            </w:r>
          </w:p>
        </w:tc>
      </w:tr>
      <w:tr w:rsidR="00587A4E" w:rsidRPr="00EE03BC" w14:paraId="7B670724" w14:textId="77777777" w:rsidTr="00773113">
        <w:trPr>
          <w:cantSplit/>
        </w:trPr>
        <w:tc>
          <w:tcPr>
            <w:tcW w:w="10031" w:type="dxa"/>
            <w:gridSpan w:val="4"/>
          </w:tcPr>
          <w:p w14:paraId="0BDEBF8C" w14:textId="77777777" w:rsidR="00587A4E" w:rsidRPr="00EE03BC" w:rsidRDefault="00587A4E" w:rsidP="00BC68CE">
            <w:pPr>
              <w:pStyle w:val="Title2"/>
              <w:rPr>
                <w:lang w:val="fr-CH"/>
              </w:rPr>
            </w:pPr>
            <w:bookmarkStart w:id="4" w:name="dtitle2" w:colFirst="0" w:colLast="0"/>
            <w:bookmarkEnd w:id="3"/>
          </w:p>
        </w:tc>
      </w:tr>
    </w:tbl>
    <w:bookmarkEnd w:id="4"/>
    <w:p w14:paraId="5618E672" w14:textId="0A2B42DA" w:rsidR="00587A4E" w:rsidRPr="00EE03BC" w:rsidRDefault="00EE03BC" w:rsidP="00BC68CE">
      <w:pPr>
        <w:pStyle w:val="Normalaftertitle"/>
        <w:rPr>
          <w:lang w:val="fr-CH"/>
        </w:rPr>
      </w:pPr>
      <w:r w:rsidRPr="00BC68CE">
        <w:t>L'ordre du jour de la Conférence mondiale des radiocommunications de 2023</w:t>
      </w:r>
      <w:r w:rsidR="00BC68CE" w:rsidRPr="00BC68CE">
        <w:t xml:space="preserve"> </w:t>
      </w:r>
      <w:r w:rsidRPr="00BC68CE">
        <w:t xml:space="preserve">(CMR-23) figure dans la </w:t>
      </w:r>
      <w:hyperlink r:id="rId8" w:history="1">
        <w:r w:rsidRPr="00BC68CE">
          <w:rPr>
            <w:rStyle w:val="Hyperlink"/>
          </w:rPr>
          <w:t>Résolution 1399 du Consei</w:t>
        </w:r>
        <w:r w:rsidR="00BC68CE">
          <w:rPr>
            <w:rStyle w:val="Hyperlink"/>
          </w:rPr>
          <w:t>l (C20)</w:t>
        </w:r>
      </w:hyperlink>
      <w:r w:rsidR="00AE30F2" w:rsidRPr="00BC68CE">
        <w:t xml:space="preserve"> </w:t>
      </w:r>
      <w:r w:rsidRPr="00BC68CE">
        <w:t>et</w:t>
      </w:r>
      <w:r w:rsidRPr="00EE03BC">
        <w:rPr>
          <w:lang w:val="fr-CH"/>
        </w:rPr>
        <w:t xml:space="preserve"> le</w:t>
      </w:r>
      <w:r w:rsidR="00BC68CE">
        <w:rPr>
          <w:lang w:val="fr-CH"/>
        </w:rPr>
        <w:t xml:space="preserve"> </w:t>
      </w:r>
      <w:r w:rsidRPr="00EE03BC">
        <w:rPr>
          <w:lang w:val="fr-CH"/>
        </w:rPr>
        <w:t xml:space="preserve">lieu et </w:t>
      </w:r>
      <w:r>
        <w:rPr>
          <w:lang w:val="fr-CH"/>
        </w:rPr>
        <w:t xml:space="preserve">les </w:t>
      </w:r>
      <w:r w:rsidRPr="00EE03BC">
        <w:rPr>
          <w:lang w:val="fr-CH"/>
        </w:rPr>
        <w:t xml:space="preserve">dates de </w:t>
      </w:r>
      <w:r>
        <w:rPr>
          <w:lang w:val="fr-CH"/>
        </w:rPr>
        <w:t>cette</w:t>
      </w:r>
      <w:r w:rsidR="00BC68CE">
        <w:rPr>
          <w:lang w:val="fr-CH"/>
        </w:rPr>
        <w:t xml:space="preserve"> </w:t>
      </w:r>
      <w:r w:rsidR="0067643B">
        <w:rPr>
          <w:lang w:val="fr-CH"/>
        </w:rPr>
        <w:t>c</w:t>
      </w:r>
      <w:r w:rsidRPr="00EE03BC">
        <w:rPr>
          <w:lang w:val="fr-CH"/>
        </w:rPr>
        <w:t xml:space="preserve">onférence </w:t>
      </w:r>
      <w:r w:rsidR="0067643B">
        <w:rPr>
          <w:lang w:val="fr-CH"/>
        </w:rPr>
        <w:t xml:space="preserve">font </w:t>
      </w:r>
      <w:r w:rsidR="00BC68CE">
        <w:rPr>
          <w:lang w:val="fr-CH"/>
        </w:rPr>
        <w:t>l'</w:t>
      </w:r>
      <w:r w:rsidR="0067643B">
        <w:rPr>
          <w:lang w:val="fr-CH"/>
        </w:rPr>
        <w:t>objet de</w:t>
      </w:r>
      <w:r w:rsidRPr="00EE03BC">
        <w:rPr>
          <w:lang w:val="fr-CH"/>
        </w:rPr>
        <w:t xml:space="preserve"> la </w:t>
      </w:r>
      <w:hyperlink r:id="rId9" w:history="1">
        <w:r w:rsidRPr="00BC68CE">
          <w:rPr>
            <w:rStyle w:val="Hyperlink"/>
            <w:lang w:val="fr-CH"/>
          </w:rPr>
          <w:t>Décision 623 du Conseil (C21)</w:t>
        </w:r>
      </w:hyperlink>
      <w:r w:rsidRPr="00EE03BC">
        <w:rPr>
          <w:lang w:val="fr-CH"/>
        </w:rPr>
        <w:t xml:space="preserve">, </w:t>
      </w:r>
      <w:r w:rsidR="0067643B">
        <w:rPr>
          <w:lang w:val="fr-CH"/>
        </w:rPr>
        <w:t xml:space="preserve">qui figurent </w:t>
      </w:r>
      <w:r w:rsidRPr="00EE03BC">
        <w:rPr>
          <w:lang w:val="fr-CH"/>
        </w:rPr>
        <w:t>également</w:t>
      </w:r>
      <w:r w:rsidR="00BC68CE">
        <w:rPr>
          <w:lang w:val="fr-CH"/>
        </w:rPr>
        <w:t xml:space="preserve"> </w:t>
      </w:r>
      <w:r w:rsidRPr="00EE03BC">
        <w:rPr>
          <w:lang w:val="fr-CH"/>
        </w:rPr>
        <w:t>dans les Annexes 1 et 2 du présent document.</w:t>
      </w:r>
      <w:r w:rsidR="0067643B">
        <w:rPr>
          <w:lang w:val="fr-CH"/>
        </w:rPr>
        <w:t xml:space="preserve"> </w:t>
      </w:r>
    </w:p>
    <w:p w14:paraId="15E87E97" w14:textId="134D2EB7" w:rsidR="00AE30F2" w:rsidRPr="00EE03BC" w:rsidRDefault="00AE30F2" w:rsidP="00BC68CE">
      <w:pPr>
        <w:tabs>
          <w:tab w:val="clear" w:pos="1134"/>
          <w:tab w:val="clear" w:pos="1871"/>
          <w:tab w:val="clear" w:pos="2268"/>
        </w:tabs>
        <w:overflowPunct/>
        <w:autoSpaceDE/>
        <w:autoSpaceDN/>
        <w:adjustRightInd/>
        <w:spacing w:before="0"/>
        <w:textAlignment w:val="auto"/>
        <w:rPr>
          <w:lang w:val="fr-CH"/>
        </w:rPr>
      </w:pPr>
      <w:r w:rsidRPr="00EE03BC">
        <w:rPr>
          <w:lang w:val="fr-CH"/>
        </w:rPr>
        <w:br w:type="page"/>
      </w:r>
    </w:p>
    <w:p w14:paraId="737B0867" w14:textId="0500AD91" w:rsidR="00AE30F2" w:rsidRDefault="00AE30F2" w:rsidP="00BC68CE">
      <w:pPr>
        <w:pStyle w:val="AnnexNo"/>
      </w:pPr>
      <w:r>
        <w:lastRenderedPageBreak/>
        <w:t>Annexe 1</w:t>
      </w:r>
    </w:p>
    <w:p w14:paraId="3FAD592A" w14:textId="49CB4807" w:rsidR="00AE30F2" w:rsidRPr="00AE30F2" w:rsidRDefault="00AE30F2" w:rsidP="00BC68CE">
      <w:pPr>
        <w:pStyle w:val="ResNo"/>
      </w:pPr>
      <w:r w:rsidRPr="00AE30F2">
        <w:t>R</w:t>
      </w:r>
      <w:r>
        <w:t>é</w:t>
      </w:r>
      <w:r w:rsidRPr="00AE30F2">
        <w:t>solution 1399 (C20)</w:t>
      </w:r>
    </w:p>
    <w:p w14:paraId="7842657D" w14:textId="77777777" w:rsidR="00AE30F2" w:rsidRPr="00AE30F2" w:rsidRDefault="00AE30F2" w:rsidP="00BC68CE">
      <w:pPr>
        <w:pStyle w:val="Restitle"/>
      </w:pPr>
      <w:r w:rsidRPr="00AE30F2">
        <w:t xml:space="preserve">Ordre du jour de la Conférence mondiale des radiocommunications de 2023 </w:t>
      </w:r>
      <w:r w:rsidRPr="00AE30F2">
        <w:br/>
        <w:t>(CMR-23)</w:t>
      </w:r>
    </w:p>
    <w:p w14:paraId="3D66AD1C" w14:textId="77777777" w:rsidR="00AE30F2" w:rsidRPr="00AE30F2" w:rsidRDefault="00AE30F2" w:rsidP="00BC68CE">
      <w:pPr>
        <w:pStyle w:val="Normalaftertitle"/>
        <w:rPr>
          <w:iCs/>
        </w:rPr>
      </w:pPr>
      <w:r w:rsidRPr="00AE30F2">
        <w:t>Le Conseil de l'UIT,</w:t>
      </w:r>
    </w:p>
    <w:p w14:paraId="270BE563" w14:textId="77777777" w:rsidR="00AE30F2" w:rsidRPr="00AE30F2" w:rsidRDefault="00AE30F2" w:rsidP="00BC68CE">
      <w:pPr>
        <w:pStyle w:val="Call"/>
      </w:pPr>
      <w:r w:rsidRPr="00AE30F2">
        <w:t>notant</w:t>
      </w:r>
    </w:p>
    <w:p w14:paraId="0E6BD51E" w14:textId="77777777" w:rsidR="00AE30F2" w:rsidRPr="00AE30F2" w:rsidRDefault="00AE30F2" w:rsidP="00BC68CE">
      <w:pPr>
        <w:rPr>
          <w:i/>
        </w:rPr>
      </w:pPr>
      <w:r w:rsidRPr="00AE30F2">
        <w:t>que, par sa Résolution 811, la Conférence mondiale des radiocommunications (Charm el</w:t>
      </w:r>
      <w:r w:rsidRPr="00AE30F2">
        <w:noBreakHyphen/>
        <w:t>Cheikh, 2019):</w:t>
      </w:r>
    </w:p>
    <w:p w14:paraId="59DBA4AE" w14:textId="77777777" w:rsidR="00AE30F2" w:rsidRPr="00AE30F2" w:rsidRDefault="00AE30F2" w:rsidP="00BC68CE">
      <w:pPr>
        <w:rPr>
          <w:iCs/>
        </w:rPr>
      </w:pPr>
      <w:r w:rsidRPr="00AE30F2">
        <w:rPr>
          <w:i/>
          <w:iCs/>
        </w:rPr>
        <w:t>a)</w:t>
      </w:r>
      <w:r w:rsidRPr="00AE30F2">
        <w:tab/>
        <w:t>a décidé de recommander au Conseil de convoquer en 2023 une Conférence mondiale des radiocommunications (CMR-23) d'une durée maximale de quatre semaines;</w:t>
      </w:r>
    </w:p>
    <w:p w14:paraId="5A499DAC" w14:textId="77777777" w:rsidR="00AE30F2" w:rsidRPr="00AE30F2" w:rsidRDefault="00AE30F2" w:rsidP="00BC68CE">
      <w:r w:rsidRPr="00AE30F2">
        <w:rPr>
          <w:i/>
          <w:iCs/>
        </w:rPr>
        <w:t>b)</w:t>
      </w:r>
      <w:r w:rsidRPr="00AE30F2">
        <w:tab/>
        <w:t>a recommandé des points à inscrire à l'ordre du jour de cette conférence et a invité le Conseil à arrêter définitivement cet ordre du jour, à prendre les dispositions nécessaires pour la convocation de la CMR-23 et à engager dès que possible les consultations nécessaires avec les États Membres,</w:t>
      </w:r>
    </w:p>
    <w:p w14:paraId="5532AFFE" w14:textId="77777777" w:rsidR="00AE30F2" w:rsidRPr="00AE30F2" w:rsidRDefault="00AE30F2" w:rsidP="00BC68CE">
      <w:pPr>
        <w:pStyle w:val="Call"/>
      </w:pPr>
      <w:r w:rsidRPr="00AE30F2">
        <w:t>décide</w:t>
      </w:r>
    </w:p>
    <w:p w14:paraId="14967B51" w14:textId="77777777" w:rsidR="00AE30F2" w:rsidRPr="00AE30F2" w:rsidRDefault="00AE30F2" w:rsidP="00BC68CE">
      <w:r w:rsidRPr="00AE30F2">
        <w:t>de convoquer en 2023 une Conférence mondiale des radiocommunications (CMR-23), précédée par une Assemblée des radiocommunications, dont l'ordre du jour sera le suivant:</w:t>
      </w:r>
    </w:p>
    <w:p w14:paraId="6C05964F" w14:textId="77777777" w:rsidR="00AE30F2" w:rsidRPr="00AE30F2" w:rsidRDefault="00AE30F2" w:rsidP="00BC68CE">
      <w:r w:rsidRPr="00AE30F2">
        <w:t>1</w:t>
      </w:r>
      <w:r w:rsidRPr="00AE30F2">
        <w:tab/>
        <w:t>sur la base des propositions des administrations, compte tenu des résultats de la CMR</w:t>
      </w:r>
      <w:r w:rsidRPr="00AE30F2">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2D644445" w14:textId="77777777" w:rsidR="00AE30F2" w:rsidRPr="00AE30F2" w:rsidRDefault="00AE30F2" w:rsidP="00BC68CE">
      <w:r w:rsidRPr="00AE30F2">
        <w:t>1.1</w:t>
      </w:r>
      <w:r w:rsidRPr="00AE30F2">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AE30F2">
        <w:rPr>
          <w:b/>
          <w:bCs/>
        </w:rPr>
        <w:t>5.441B</w:t>
      </w:r>
      <w:r w:rsidRPr="00AE30F2">
        <w:t xml:space="preserve"> conformément à la Résolution </w:t>
      </w:r>
      <w:r w:rsidRPr="00AE30F2">
        <w:rPr>
          <w:b/>
          <w:bCs/>
        </w:rPr>
        <w:t>223 (Rév.CMR-19)</w:t>
      </w:r>
      <w:r w:rsidRPr="00AE30F2">
        <w:t>;</w:t>
      </w:r>
    </w:p>
    <w:p w14:paraId="7A9BD05F" w14:textId="77777777" w:rsidR="00AE30F2" w:rsidRPr="00AE30F2" w:rsidRDefault="00AE30F2" w:rsidP="00BC68CE">
      <w:r w:rsidRPr="00AE30F2">
        <w:t>1.2</w:t>
      </w:r>
      <w:r w:rsidRPr="00AE30F2">
        <w:tab/>
        <w:t>envisager l'identification des bandes de fréquences 3 300-3 400 MHz, 3 600</w:t>
      </w:r>
      <w:r w:rsidRPr="00AE30F2">
        <w:noBreakHyphen/>
        <w:t xml:space="preserve">3 800 MHz, 6 425-7 025 MHz, 7 025-7 125 MHz et 10,0-10,5 GHz pour les Télécommunications mobiles internationales (IMT), y compris des attributions additionnelles possibles au service mobile à titre primaire, conformément à la Résolution </w:t>
      </w:r>
      <w:r w:rsidRPr="00AE30F2">
        <w:rPr>
          <w:b/>
        </w:rPr>
        <w:t>245 (CMR-19)</w:t>
      </w:r>
      <w:r w:rsidRPr="00AE30F2">
        <w:rPr>
          <w:bCs/>
        </w:rPr>
        <w:t>;</w:t>
      </w:r>
    </w:p>
    <w:p w14:paraId="4695CD63" w14:textId="77777777" w:rsidR="00AE30F2" w:rsidRPr="00AE30F2" w:rsidRDefault="00AE30F2" w:rsidP="00BC68CE">
      <w:pPr>
        <w:rPr>
          <w:bCs/>
          <w:iCs/>
        </w:rPr>
      </w:pPr>
      <w:r w:rsidRPr="00AE30F2">
        <w:rPr>
          <w:bCs/>
          <w:iCs/>
        </w:rPr>
        <w:t>1.3</w:t>
      </w:r>
      <w:r w:rsidRPr="00AE30F2">
        <w:rPr>
          <w:bCs/>
          <w:iCs/>
        </w:rPr>
        <w:tab/>
        <w:t xml:space="preserve">envisager l'attribution à titre primaire de la bande de fréquences 3 600-3 800 MHz au service mobile en Région 1 et prendre les mesures réglementaires appropriées, conformément à la Résolution </w:t>
      </w:r>
      <w:r w:rsidRPr="00AE30F2">
        <w:rPr>
          <w:b/>
          <w:iCs/>
        </w:rPr>
        <w:t>246 (CMR-19)</w:t>
      </w:r>
      <w:r w:rsidRPr="00AE30F2">
        <w:rPr>
          <w:bCs/>
          <w:iCs/>
        </w:rPr>
        <w:t>;</w:t>
      </w:r>
    </w:p>
    <w:p w14:paraId="7BF538FC" w14:textId="77777777" w:rsidR="00AE30F2" w:rsidRPr="00AE30F2" w:rsidRDefault="00AE30F2" w:rsidP="00BC68CE">
      <w:pPr>
        <w:rPr>
          <w:bCs/>
          <w:iCs/>
        </w:rPr>
      </w:pPr>
      <w:r w:rsidRPr="00AE30F2">
        <w:rPr>
          <w:bCs/>
          <w:iCs/>
        </w:rPr>
        <w:t>1.4</w:t>
      </w:r>
      <w:r w:rsidRPr="00AE30F2">
        <w:rPr>
          <w:bCs/>
          <w:iCs/>
        </w:rPr>
        <w:tab/>
        <w:t xml:space="preserve">examiner, conformément à la Résolution </w:t>
      </w:r>
      <w:r w:rsidRPr="00AE30F2">
        <w:rPr>
          <w:b/>
          <w:iCs/>
        </w:rPr>
        <w:t>247 (CMR-19)</w:t>
      </w:r>
      <w:r w:rsidRPr="00AE30F2">
        <w:rPr>
          <w:bCs/>
          <w:iCs/>
        </w:rPr>
        <w:t>, l'utilisation de stations placées sur des plates-formes à haute altitude en tant que stations de base IMT (HIBS) dans le service mobile dans certaines bandes au-dessous de 2,7 GHz qui sont déjà identifiées pour les IMT, à l'échelle mondiale ou régionale;</w:t>
      </w:r>
    </w:p>
    <w:p w14:paraId="09981C94" w14:textId="77777777" w:rsidR="00AE30F2" w:rsidRPr="00AE30F2" w:rsidRDefault="00AE30F2" w:rsidP="00BC68CE">
      <w:pPr>
        <w:keepLines/>
        <w:rPr>
          <w:bCs/>
          <w:iCs/>
        </w:rPr>
      </w:pPr>
      <w:r w:rsidRPr="00AE30F2">
        <w:rPr>
          <w:bCs/>
          <w:iCs/>
        </w:rPr>
        <w:lastRenderedPageBreak/>
        <w:t>1.5</w:t>
      </w:r>
      <w:r w:rsidRPr="00AE30F2">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AE30F2">
        <w:rPr>
          <w:b/>
          <w:bCs/>
          <w:iCs/>
        </w:rPr>
        <w:t>235 (CMR-15)</w:t>
      </w:r>
      <w:r w:rsidRPr="00AE30F2">
        <w:rPr>
          <w:bCs/>
          <w:iCs/>
        </w:rPr>
        <w:t>;</w:t>
      </w:r>
    </w:p>
    <w:p w14:paraId="2B8D0527" w14:textId="77777777" w:rsidR="00AE30F2" w:rsidRPr="00AE30F2" w:rsidRDefault="00AE30F2" w:rsidP="00BC68CE">
      <w:pPr>
        <w:rPr>
          <w:bCs/>
          <w:iCs/>
        </w:rPr>
      </w:pPr>
      <w:r w:rsidRPr="00AE30F2">
        <w:rPr>
          <w:bCs/>
          <w:iCs/>
        </w:rPr>
        <w:t>1.6</w:t>
      </w:r>
      <w:r w:rsidRPr="00AE30F2">
        <w:rPr>
          <w:bCs/>
          <w:iCs/>
        </w:rPr>
        <w:tab/>
        <w:t xml:space="preserve">étudier, conformément à la Résolution </w:t>
      </w:r>
      <w:r w:rsidRPr="00AE30F2">
        <w:rPr>
          <w:b/>
          <w:bCs/>
          <w:iCs/>
        </w:rPr>
        <w:t>772 (CMR</w:t>
      </w:r>
      <w:r w:rsidRPr="00AE30F2">
        <w:rPr>
          <w:b/>
          <w:bCs/>
          <w:iCs/>
        </w:rPr>
        <w:noBreakHyphen/>
        <w:t>19)</w:t>
      </w:r>
      <w:r w:rsidRPr="00AE30F2">
        <w:rPr>
          <w:bCs/>
          <w:iCs/>
        </w:rPr>
        <w:t>, les dispositions réglementaires propres à faciliter les radiocommunications pour les véhicules suborbitaux;</w:t>
      </w:r>
    </w:p>
    <w:p w14:paraId="5C0B6329" w14:textId="77777777" w:rsidR="00AE30F2" w:rsidRPr="00AE30F2" w:rsidRDefault="00AE30F2" w:rsidP="00BC68CE">
      <w:pPr>
        <w:rPr>
          <w:bCs/>
          <w:iCs/>
        </w:rPr>
      </w:pPr>
      <w:r w:rsidRPr="00AE30F2">
        <w:rPr>
          <w:bCs/>
          <w:iCs/>
        </w:rPr>
        <w:t>1.7</w:t>
      </w:r>
      <w:r w:rsidRPr="00AE30F2">
        <w:rPr>
          <w:bCs/>
          <w:iCs/>
        </w:rPr>
        <w:tab/>
        <w:t xml:space="preserve">envisager une nouvelle attribution au service mobile aéronautique (R) par satellite (SMA(R)S), conformément à la Résolution </w:t>
      </w:r>
      <w:r w:rsidRPr="00AE30F2">
        <w:rPr>
          <w:b/>
          <w:iCs/>
        </w:rPr>
        <w:t>428</w:t>
      </w:r>
      <w:r w:rsidRPr="00AE30F2">
        <w:rPr>
          <w:bCs/>
          <w:iCs/>
        </w:rPr>
        <w:t xml:space="preserve"> </w:t>
      </w:r>
      <w:r w:rsidRPr="00AE30F2">
        <w:rPr>
          <w:b/>
          <w:iCs/>
        </w:rPr>
        <w:t>(CMR-19)</w:t>
      </w:r>
      <w:r w:rsidRPr="00AE30F2">
        <w:rPr>
          <w:bCs/>
          <w:iCs/>
        </w:rPr>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p w14:paraId="3BE80C5D" w14:textId="77777777" w:rsidR="00AE30F2" w:rsidRPr="00AE30F2" w:rsidRDefault="00AE30F2" w:rsidP="00BC68CE">
      <w:pPr>
        <w:rPr>
          <w:bCs/>
          <w:iCs/>
        </w:rPr>
      </w:pPr>
      <w:r w:rsidRPr="00AE30F2">
        <w:rPr>
          <w:bCs/>
          <w:iCs/>
        </w:rPr>
        <w:t>1.8</w:t>
      </w:r>
      <w:r w:rsidRPr="00AE30F2">
        <w:rPr>
          <w:bCs/>
          <w:iCs/>
        </w:rPr>
        <w:tab/>
        <w:t>envisager, sur la base des études menées par l'UIT-R conformément à la Résolution </w:t>
      </w:r>
      <w:r w:rsidRPr="00AE30F2">
        <w:rPr>
          <w:b/>
          <w:bCs/>
          <w:iCs/>
        </w:rPr>
        <w:t>171 (CMR-19)</w:t>
      </w:r>
      <w:r w:rsidRPr="00AE30F2">
        <w:rPr>
          <w:bCs/>
          <w:iCs/>
        </w:rPr>
        <w:t xml:space="preserve">, des mesures réglementaires appropriées, en vue d'examiner et, au besoin, de réviser la Résolution </w:t>
      </w:r>
      <w:r w:rsidRPr="00AE30F2">
        <w:rPr>
          <w:b/>
          <w:bCs/>
          <w:iCs/>
        </w:rPr>
        <w:t>155 (Rév.CMR-19)</w:t>
      </w:r>
      <w:r w:rsidRPr="00AE30F2">
        <w:rPr>
          <w:bCs/>
          <w:iCs/>
        </w:rPr>
        <w:t xml:space="preserve"> et le numéro </w:t>
      </w:r>
      <w:r w:rsidRPr="00AE30F2">
        <w:rPr>
          <w:b/>
          <w:bCs/>
          <w:iCs/>
        </w:rPr>
        <w:t>5.484B</w:t>
      </w:r>
      <w:r w:rsidRPr="00AE30F2">
        <w:rPr>
          <w:bCs/>
          <w:iCs/>
        </w:rPr>
        <w:t>, pour tenir compte de l'utilisation des réseaux du service fixe par satellite pour les communications de contrôle et non associées à la charge utile des systèmes d'aéronef sans pilote;</w:t>
      </w:r>
    </w:p>
    <w:p w14:paraId="502F17E9" w14:textId="77777777" w:rsidR="00AE30F2" w:rsidRPr="00AE30F2" w:rsidRDefault="00AE30F2" w:rsidP="00BC68CE">
      <w:pPr>
        <w:rPr>
          <w:bCs/>
          <w:iCs/>
        </w:rPr>
      </w:pPr>
      <w:r w:rsidRPr="00AE30F2">
        <w:rPr>
          <w:bCs/>
          <w:iCs/>
        </w:rPr>
        <w:t>1.9</w:t>
      </w:r>
      <w:r w:rsidRPr="00AE30F2">
        <w:rPr>
          <w:bCs/>
          <w:iCs/>
        </w:rPr>
        <w:tab/>
        <w:t xml:space="preserve">examiner l'Appendice </w:t>
      </w:r>
      <w:r w:rsidRPr="00AE30F2">
        <w:rPr>
          <w:b/>
          <w:bCs/>
          <w:iCs/>
        </w:rPr>
        <w:t>27</w:t>
      </w:r>
      <w:r w:rsidRPr="00AE30F2">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AE30F2">
        <w:rPr>
          <w:b/>
          <w:iCs/>
        </w:rPr>
        <w:t>429</w:t>
      </w:r>
      <w:r w:rsidRPr="00AE30F2">
        <w:rPr>
          <w:b/>
          <w:bCs/>
          <w:iCs/>
        </w:rPr>
        <w:t xml:space="preserve"> (CMR-19)</w:t>
      </w:r>
      <w:r w:rsidRPr="00AE30F2">
        <w:rPr>
          <w:bCs/>
          <w:iCs/>
        </w:rPr>
        <w:t>;</w:t>
      </w:r>
    </w:p>
    <w:p w14:paraId="39B53477" w14:textId="77777777" w:rsidR="00AE30F2" w:rsidRPr="00AE30F2" w:rsidRDefault="00AE30F2" w:rsidP="00BC68CE">
      <w:pPr>
        <w:rPr>
          <w:b/>
          <w:bCs/>
          <w:iCs/>
        </w:rPr>
      </w:pPr>
      <w:r w:rsidRPr="00AE30F2">
        <w:rPr>
          <w:bCs/>
          <w:iCs/>
        </w:rPr>
        <w:t>1.10</w:t>
      </w:r>
      <w:r w:rsidRPr="00AE30F2">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AE30F2">
        <w:rPr>
          <w:b/>
          <w:bCs/>
          <w:iCs/>
        </w:rPr>
        <w:t>430 (CMR-19)</w:t>
      </w:r>
      <w:r w:rsidRPr="00AE30F2">
        <w:rPr>
          <w:bCs/>
          <w:iCs/>
        </w:rPr>
        <w:t>;</w:t>
      </w:r>
    </w:p>
    <w:p w14:paraId="77AA8581" w14:textId="77777777" w:rsidR="00AE30F2" w:rsidRPr="00AE30F2" w:rsidRDefault="00AE30F2" w:rsidP="00BC68CE">
      <w:pPr>
        <w:rPr>
          <w:bCs/>
          <w:iCs/>
        </w:rPr>
      </w:pPr>
      <w:r w:rsidRPr="00AE30F2">
        <w:rPr>
          <w:bCs/>
          <w:iCs/>
        </w:rPr>
        <w:t>1.11</w:t>
      </w:r>
      <w:r w:rsidRPr="00AE30F2">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AE30F2">
        <w:rPr>
          <w:b/>
          <w:iCs/>
        </w:rPr>
        <w:t>361 (Rév.CMR-19)</w:t>
      </w:r>
      <w:r w:rsidRPr="00AE30F2">
        <w:rPr>
          <w:bCs/>
          <w:iCs/>
        </w:rPr>
        <w:t>;</w:t>
      </w:r>
    </w:p>
    <w:p w14:paraId="63D0A29E" w14:textId="77777777" w:rsidR="00AE30F2" w:rsidRPr="00AE30F2" w:rsidRDefault="00AE30F2" w:rsidP="00BC68CE">
      <w:pPr>
        <w:rPr>
          <w:bCs/>
          <w:iCs/>
        </w:rPr>
      </w:pPr>
      <w:r w:rsidRPr="00AE30F2">
        <w:rPr>
          <w:bCs/>
          <w:iCs/>
        </w:rPr>
        <w:t>1.12</w:t>
      </w:r>
      <w:r w:rsidRPr="00AE30F2">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AE30F2">
        <w:rPr>
          <w:b/>
          <w:bCs/>
          <w:iCs/>
        </w:rPr>
        <w:t>656 (Rév.CMR-19)</w:t>
      </w:r>
      <w:r w:rsidRPr="00AE30F2">
        <w:rPr>
          <w:bCs/>
          <w:iCs/>
        </w:rPr>
        <w:t>;</w:t>
      </w:r>
    </w:p>
    <w:p w14:paraId="55FB71DF" w14:textId="77777777" w:rsidR="00AE30F2" w:rsidRPr="00AE30F2" w:rsidRDefault="00AE30F2" w:rsidP="00BC68CE">
      <w:pPr>
        <w:rPr>
          <w:bCs/>
          <w:iCs/>
        </w:rPr>
      </w:pPr>
      <w:r w:rsidRPr="00AE30F2">
        <w:rPr>
          <w:bCs/>
          <w:iCs/>
        </w:rPr>
        <w:t>1.13</w:t>
      </w:r>
      <w:r w:rsidRPr="00AE30F2">
        <w:rPr>
          <w:bCs/>
          <w:iCs/>
        </w:rPr>
        <w:tab/>
        <w:t>envisager la possibilité de relever le statut de l'attribution de la bande de fréquences 14,8</w:t>
      </w:r>
      <w:r w:rsidRPr="00AE30F2">
        <w:rPr>
          <w:bCs/>
          <w:iCs/>
        </w:rPr>
        <w:noBreakHyphen/>
        <w:t xml:space="preserve">15,35 GHz au service de recherche spatiale, conformément à la Résolution </w:t>
      </w:r>
      <w:r w:rsidRPr="00AE30F2">
        <w:rPr>
          <w:b/>
          <w:bCs/>
          <w:iCs/>
        </w:rPr>
        <w:t>661 (CMR</w:t>
      </w:r>
      <w:r w:rsidRPr="00AE30F2">
        <w:rPr>
          <w:b/>
          <w:bCs/>
          <w:iCs/>
        </w:rPr>
        <w:noBreakHyphen/>
        <w:t>19)</w:t>
      </w:r>
      <w:r w:rsidRPr="00AE30F2">
        <w:rPr>
          <w:bCs/>
          <w:iCs/>
        </w:rPr>
        <w:t>;</w:t>
      </w:r>
    </w:p>
    <w:p w14:paraId="2A4C5620" w14:textId="77777777" w:rsidR="00AE30F2" w:rsidRPr="00AE30F2" w:rsidRDefault="00AE30F2" w:rsidP="00BC68CE">
      <w:r w:rsidRPr="00AE30F2">
        <w:t>1.14</w:t>
      </w:r>
      <w:r w:rsidRPr="00AE30F2">
        <w:tab/>
        <w:t>examiner et envisager la possibilité d'apporter des ajustements aux attributions de fréquences existantes ou de faire de nouvelles attributions de fréquences à titre primaire au service d'exploration de la Terre par satellite (passive) dans la gamme de fréquences 231,5</w:t>
      </w:r>
      <w:r w:rsidRPr="00AE30F2">
        <w:noBreakHyphen/>
        <w:t xml:space="preserve">252 GHz, pour s'assurer qu'elles correspondent aux besoins récents en matière d'observation des systèmes de télédétection, conformément à la Résolution </w:t>
      </w:r>
      <w:r w:rsidRPr="00AE30F2">
        <w:rPr>
          <w:b/>
        </w:rPr>
        <w:t>662 (CMR-19)</w:t>
      </w:r>
      <w:r w:rsidRPr="00AE30F2">
        <w:t>;</w:t>
      </w:r>
    </w:p>
    <w:p w14:paraId="4D90C27F" w14:textId="77777777" w:rsidR="00AE30F2" w:rsidRPr="00AE30F2" w:rsidRDefault="00AE30F2" w:rsidP="00BC68CE">
      <w:pPr>
        <w:keepLines/>
        <w:rPr>
          <w:bCs/>
          <w:iCs/>
        </w:rPr>
      </w:pPr>
      <w:r w:rsidRPr="00AE30F2">
        <w:rPr>
          <w:bCs/>
          <w:iCs/>
        </w:rPr>
        <w:lastRenderedPageBreak/>
        <w:t>1.15</w:t>
      </w:r>
      <w:r w:rsidRPr="00AE30F2">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AE30F2">
        <w:rPr>
          <w:b/>
          <w:iCs/>
        </w:rPr>
        <w:t>172 (CMR-19)</w:t>
      </w:r>
      <w:r w:rsidRPr="00AE30F2">
        <w:rPr>
          <w:bCs/>
          <w:iCs/>
        </w:rPr>
        <w:t>;</w:t>
      </w:r>
    </w:p>
    <w:p w14:paraId="458256CE" w14:textId="77777777" w:rsidR="00AE30F2" w:rsidRPr="00AE30F2" w:rsidRDefault="00AE30F2" w:rsidP="00BC68CE">
      <w:pPr>
        <w:rPr>
          <w:bCs/>
          <w:iCs/>
        </w:rPr>
      </w:pPr>
      <w:r w:rsidRPr="00AE30F2">
        <w:rPr>
          <w:bCs/>
          <w:iCs/>
        </w:rPr>
        <w:t>1.16</w:t>
      </w:r>
      <w:r w:rsidRPr="00AE30F2">
        <w:rPr>
          <w:bCs/>
          <w:iCs/>
        </w:rPr>
        <w:tab/>
        <w:t>étudier et définir les mesures d'ordre technique, opérationnel et réglementaire, selon le cas, à prendre pour faciliter l'utilisation des bandes de fréquences 17,7-18,6 GHz, 18,8-19,3 GHz et 19,7</w:t>
      </w:r>
      <w:r w:rsidRPr="00AE30F2">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AE30F2">
        <w:rPr>
          <w:b/>
          <w:iCs/>
        </w:rPr>
        <w:t>173 (CMR-19)</w:t>
      </w:r>
      <w:r w:rsidRPr="00AE30F2">
        <w:rPr>
          <w:bCs/>
          <w:iCs/>
        </w:rPr>
        <w:t>;</w:t>
      </w:r>
    </w:p>
    <w:p w14:paraId="3449006B" w14:textId="77777777" w:rsidR="00AE30F2" w:rsidRPr="00AE30F2" w:rsidRDefault="00AE30F2" w:rsidP="00BC68CE">
      <w:pPr>
        <w:rPr>
          <w:bCs/>
          <w:iCs/>
        </w:rPr>
      </w:pPr>
      <w:r w:rsidRPr="00AE30F2">
        <w:rPr>
          <w:bCs/>
          <w:iCs/>
        </w:rPr>
        <w:t>1.17</w:t>
      </w:r>
      <w:r w:rsidRPr="00AE30F2">
        <w:rPr>
          <w:bCs/>
          <w:iCs/>
        </w:rPr>
        <w:tab/>
        <w:t xml:space="preserve">déterminer et prendre, sur la base des études menées par l'UIT-R conformément à la Résolution </w:t>
      </w:r>
      <w:r w:rsidRPr="00AE30F2">
        <w:rPr>
          <w:b/>
          <w:bCs/>
          <w:iCs/>
        </w:rPr>
        <w:t>773 (CMR-19)</w:t>
      </w:r>
      <w:r w:rsidRPr="00AE30F2">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6FA1CBB4" w14:textId="77777777" w:rsidR="00AE30F2" w:rsidRPr="00AE30F2" w:rsidRDefault="00AE30F2" w:rsidP="00BC68CE">
      <w:pPr>
        <w:rPr>
          <w:bCs/>
          <w:iCs/>
        </w:rPr>
      </w:pPr>
      <w:r w:rsidRPr="00AE30F2">
        <w:rPr>
          <w:bCs/>
          <w:iCs/>
        </w:rPr>
        <w:t>1.18</w:t>
      </w:r>
      <w:r w:rsidRPr="00AE30F2">
        <w:rPr>
          <w:bCs/>
          <w:iCs/>
        </w:rPr>
        <w:tab/>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AE30F2">
        <w:rPr>
          <w:b/>
          <w:iCs/>
        </w:rPr>
        <w:t>248</w:t>
      </w:r>
      <w:r w:rsidRPr="00AE30F2">
        <w:rPr>
          <w:b/>
          <w:bCs/>
          <w:iCs/>
        </w:rPr>
        <w:t xml:space="preserve"> (CMR-19)</w:t>
      </w:r>
      <w:r w:rsidRPr="00AE30F2">
        <w:rPr>
          <w:bCs/>
          <w:iCs/>
        </w:rPr>
        <w:t>;</w:t>
      </w:r>
    </w:p>
    <w:p w14:paraId="2D10B97E" w14:textId="77777777" w:rsidR="00AE30F2" w:rsidRPr="00AE30F2" w:rsidRDefault="00AE30F2" w:rsidP="00BC68CE">
      <w:pPr>
        <w:rPr>
          <w:bCs/>
          <w:iCs/>
        </w:rPr>
      </w:pPr>
      <w:r w:rsidRPr="00AE30F2">
        <w:rPr>
          <w:bCs/>
          <w:iCs/>
        </w:rPr>
        <w:t>1.19</w:t>
      </w:r>
      <w:r w:rsidRPr="00AE30F2">
        <w:rPr>
          <w:b/>
          <w:bCs/>
          <w:iCs/>
        </w:rPr>
        <w:tab/>
      </w:r>
      <w:r w:rsidRPr="00AE30F2">
        <w:rPr>
          <w:bCs/>
          <w:iCs/>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AE30F2">
        <w:rPr>
          <w:b/>
          <w:iCs/>
        </w:rPr>
        <w:t>174</w:t>
      </w:r>
      <w:r w:rsidRPr="00AE30F2">
        <w:rPr>
          <w:bCs/>
          <w:iCs/>
        </w:rPr>
        <w:t xml:space="preserve"> </w:t>
      </w:r>
      <w:r w:rsidRPr="00AE30F2">
        <w:rPr>
          <w:b/>
          <w:bCs/>
          <w:iCs/>
        </w:rPr>
        <w:t>(CMR-19)</w:t>
      </w:r>
      <w:r w:rsidRPr="00AE30F2">
        <w:rPr>
          <w:bCs/>
          <w:iCs/>
        </w:rPr>
        <w:t>;</w:t>
      </w:r>
    </w:p>
    <w:p w14:paraId="75A8EF69" w14:textId="77777777" w:rsidR="00AE30F2" w:rsidRPr="00AE30F2" w:rsidRDefault="00AE30F2" w:rsidP="00BC68CE">
      <w:r w:rsidRPr="00AE30F2">
        <w:t>2</w:t>
      </w:r>
      <w:r w:rsidRPr="00AE30F2">
        <w:tab/>
        <w:t xml:space="preserve">examiner les Recommandations UIT-R révisées et incorporées par référence dans le Règlement des radiocommunications, communiquées par l'Assemblée des radiocommunications conformément au </w:t>
      </w:r>
      <w:r w:rsidRPr="00AE30F2">
        <w:rPr>
          <w:i/>
        </w:rPr>
        <w:t>décide en outre</w:t>
      </w:r>
      <w:r w:rsidRPr="00AE30F2">
        <w:t xml:space="preserve"> de la Résolution </w:t>
      </w:r>
      <w:r w:rsidRPr="00AE30F2">
        <w:rPr>
          <w:b/>
          <w:bCs/>
        </w:rPr>
        <w:t>27</w:t>
      </w:r>
      <w:r w:rsidRPr="00AE30F2">
        <w:t xml:space="preserve"> </w:t>
      </w:r>
      <w:r w:rsidRPr="00AE30F2">
        <w:rPr>
          <w:b/>
          <w:bCs/>
        </w:rPr>
        <w:t>(Rév.CMR-19)</w:t>
      </w:r>
      <w:r w:rsidRPr="00AE30F2">
        <w:t>,</w:t>
      </w:r>
      <w:r w:rsidRPr="00AE30F2">
        <w:rPr>
          <w:b/>
          <w:bCs/>
        </w:rPr>
        <w:t xml:space="preserve"> </w:t>
      </w:r>
      <w:r w:rsidRPr="00AE30F2">
        <w:t xml:space="preserve">et décider s'il convient ou non de mettre à jour les références correspondantes dans le Règlement des radiocommunications, conformément aux principes énoncés dans le </w:t>
      </w:r>
      <w:r w:rsidRPr="00AE30F2">
        <w:rPr>
          <w:i/>
        </w:rPr>
        <w:t>décide</w:t>
      </w:r>
      <w:r w:rsidRPr="00AE30F2">
        <w:t xml:space="preserve"> de cette Résolution;</w:t>
      </w:r>
    </w:p>
    <w:p w14:paraId="6CF58AC6" w14:textId="77777777" w:rsidR="00AE30F2" w:rsidRPr="00AE30F2" w:rsidRDefault="00AE30F2" w:rsidP="00BC68CE">
      <w:r w:rsidRPr="00AE30F2">
        <w:t>3</w:t>
      </w:r>
      <w:r w:rsidRPr="00AE30F2">
        <w:tab/>
        <w:t>examiner les modifications et amendements à apporter éventuellement au Règlement des radiocommunications à la suite des décisions prises par la Conférence;</w:t>
      </w:r>
    </w:p>
    <w:p w14:paraId="22D9C30B" w14:textId="77777777" w:rsidR="00AE30F2" w:rsidRPr="00AE30F2" w:rsidRDefault="00AE30F2" w:rsidP="00BC68CE">
      <w:r w:rsidRPr="00AE30F2">
        <w:t>4</w:t>
      </w:r>
      <w:r w:rsidRPr="00AE30F2">
        <w:tab/>
        <w:t xml:space="preserve">conformément à la Résolution </w:t>
      </w:r>
      <w:r w:rsidRPr="00AE30F2">
        <w:rPr>
          <w:b/>
          <w:bCs/>
        </w:rPr>
        <w:t>95 (Rév.CMR-19)</w:t>
      </w:r>
      <w:r w:rsidRPr="00AE30F2">
        <w:t>, examiner les Résolutions et Recommandations des conférences précédentes en vue, le cas échéant, de les réviser, de les remplacer ou de les supprimer;</w:t>
      </w:r>
    </w:p>
    <w:p w14:paraId="171C533E" w14:textId="77777777" w:rsidR="00AE30F2" w:rsidRPr="00AE30F2" w:rsidRDefault="00AE30F2" w:rsidP="00BC68CE">
      <w:r w:rsidRPr="00AE30F2">
        <w:t>5</w:t>
      </w:r>
      <w:r w:rsidRPr="00AE30F2">
        <w:tab/>
        <w:t>examiner le Rapport de l'Assemblée des radiocommunications soumis conformément aux numéros 135 et 136 de la Convention de l'UIT et lui donner la suite voulue;</w:t>
      </w:r>
    </w:p>
    <w:p w14:paraId="34B2279F" w14:textId="77777777" w:rsidR="00AE30F2" w:rsidRPr="00AE30F2" w:rsidRDefault="00AE30F2" w:rsidP="00BC68CE">
      <w:r w:rsidRPr="00AE30F2">
        <w:t>6</w:t>
      </w:r>
      <w:r w:rsidRPr="00AE30F2">
        <w:tab/>
        <w:t>identifier les points auxquels les commissions d'études des radiocommunications doivent d'urgence donner suite, en vue de la conférence mondiale des radiocommunications suivante;</w:t>
      </w:r>
    </w:p>
    <w:p w14:paraId="31A6DE26" w14:textId="2960A8CE" w:rsidR="00AE30F2" w:rsidRPr="00AE30F2" w:rsidRDefault="00AE30F2" w:rsidP="00BC68CE">
      <w:r w:rsidRPr="00AE30F2">
        <w:t>7</w:t>
      </w:r>
      <w:r w:rsidRPr="00AE30F2">
        <w:tab/>
        <w:t xml:space="preserve">examiner d'éventuels changements à apporter en application de la Résolution 86 (Rév. Marrakech, 2002) de la Conférence de plénipotentiaires, intitulée </w:t>
      </w:r>
      <w:r w:rsidR="00597C35">
        <w:t>«</w:t>
      </w:r>
      <w:r w:rsidRPr="00AE30F2">
        <w:t>Procédures de publication anticipée, de coordination, de notification et d'inscription des assignations de fréquence relatives aux réseaux à satellite</w:t>
      </w:r>
      <w:r w:rsidR="00597C35">
        <w:t>»</w:t>
      </w:r>
      <w:r w:rsidRPr="00AE30F2">
        <w:t>, conformément à la Résolution </w:t>
      </w:r>
      <w:r w:rsidRPr="00AE30F2">
        <w:rPr>
          <w:b/>
          <w:bCs/>
        </w:rPr>
        <w:t>86 (Rév.CMR-07)</w:t>
      </w:r>
      <w:r w:rsidRPr="00AE30F2">
        <w:t>, afin de faciliter l'utilisation rationnelle, efficace et économique des fréquences radioélectriques et des orbites associées, y compris de l'orbite des satellites géostationnaires;</w:t>
      </w:r>
    </w:p>
    <w:p w14:paraId="69A5140B" w14:textId="77777777" w:rsidR="00AE30F2" w:rsidRPr="00AE30F2" w:rsidRDefault="00AE30F2" w:rsidP="00BC68CE">
      <w:r w:rsidRPr="00AE30F2">
        <w:t>8</w:t>
      </w:r>
      <w:r w:rsidRPr="00AE30F2">
        <w:tab/>
        <w:t xml:space="preserve">examiner les demandes des administrations qui souhaitent supprimer des renvois relatifs à leur pays ou le nom de leur pays de certains renvois, s'ils ne sont plus nécessaires, compte tenu de la Résolution </w:t>
      </w:r>
      <w:r w:rsidRPr="00AE30F2">
        <w:rPr>
          <w:b/>
          <w:bCs/>
        </w:rPr>
        <w:t>26 (Rév.CMR-19)</w:t>
      </w:r>
      <w:r w:rsidRPr="00AE30F2">
        <w:t>, et prendre les mesures voulues à ce sujet;</w:t>
      </w:r>
    </w:p>
    <w:p w14:paraId="7CFEEBB2" w14:textId="15F70D8E" w:rsidR="00AE30F2" w:rsidRPr="00AE30F2" w:rsidRDefault="00597C35" w:rsidP="00BC68CE">
      <w:r>
        <w:lastRenderedPageBreak/>
        <w:t>9</w:t>
      </w:r>
      <w:r>
        <w:tab/>
        <w:t>examiner et approuver le R</w:t>
      </w:r>
      <w:r w:rsidR="00AE30F2" w:rsidRPr="00AE30F2">
        <w:t>apport du Directeur du Bureau des radiocommunications, conformément à l'article 7 de la Convention de l'UIT:</w:t>
      </w:r>
    </w:p>
    <w:p w14:paraId="5AA4F59D" w14:textId="4879403C" w:rsidR="00AE30F2" w:rsidRPr="00AE30F2" w:rsidRDefault="00AE30F2" w:rsidP="00BC68CE">
      <w:r w:rsidRPr="00AE30F2">
        <w:t>9.1</w:t>
      </w:r>
      <w:r w:rsidRPr="00AE30F2">
        <w:tab/>
        <w:t>sur les activités du Secteur des radiocommunica</w:t>
      </w:r>
      <w:r w:rsidR="00597C35">
        <w:t>tions de l'UIT depuis la CMR</w:t>
      </w:r>
      <w:r w:rsidR="00597C35">
        <w:noBreakHyphen/>
        <w:t>19:</w:t>
      </w:r>
    </w:p>
    <w:p w14:paraId="056F5BE2" w14:textId="77777777" w:rsidR="00AE30F2" w:rsidRPr="00AE30F2" w:rsidRDefault="00AE30F2" w:rsidP="00BC68CE">
      <w:pPr>
        <w:pStyle w:val="enumlev1"/>
      </w:pPr>
      <w:r w:rsidRPr="00AE30F2">
        <w:t>–</w:t>
      </w:r>
      <w:r w:rsidRPr="00AE30F2">
        <w:tab/>
        <w:t xml:space="preserve">Conformément à la Résolution </w:t>
      </w:r>
      <w:r w:rsidRPr="00AE30F2">
        <w:rPr>
          <w:b/>
          <w:bCs/>
        </w:rPr>
        <w:t>657 (Rév.CMR-19)</w:t>
      </w:r>
      <w:r w:rsidRPr="00AE30F2">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p>
    <w:p w14:paraId="1C24AA65" w14:textId="77777777" w:rsidR="00AE30F2" w:rsidRPr="00AE30F2" w:rsidRDefault="00AE30F2" w:rsidP="00BC68CE">
      <w:pPr>
        <w:pStyle w:val="enumlev1"/>
      </w:pPr>
      <w:r w:rsidRPr="00AE30F2">
        <w:t>–</w:t>
      </w:r>
      <w:r w:rsidRPr="00AE30F2">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AE30F2">
        <w:rPr>
          <w:b/>
          <w:bCs/>
        </w:rPr>
        <w:t>774 (CMR-19)</w:t>
      </w:r>
      <w:r w:rsidRPr="00AE30F2">
        <w:t>.</w:t>
      </w:r>
    </w:p>
    <w:p w14:paraId="45A9AE7F" w14:textId="77777777" w:rsidR="00AE30F2" w:rsidRPr="00AE30F2" w:rsidRDefault="00AE30F2" w:rsidP="00BC68CE">
      <w:pPr>
        <w:pStyle w:val="enumlev1"/>
      </w:pPr>
      <w:r w:rsidRPr="00AE30F2">
        <w:t>–</w:t>
      </w:r>
      <w:r w:rsidRPr="00AE30F2">
        <w:tab/>
        <w:t xml:space="preserve">Étudier l'utilisation des systèmes de Télécommunications mobiles internationales pour le large bande hertzien fixe dans les bandes de fréquences attribuées au service fixe à titre primaire, conformément à la Résolution </w:t>
      </w:r>
      <w:r w:rsidRPr="00AE30F2">
        <w:rPr>
          <w:b/>
          <w:bCs/>
        </w:rPr>
        <w:t>175 (CMR</w:t>
      </w:r>
      <w:r w:rsidRPr="00AE30F2">
        <w:rPr>
          <w:b/>
          <w:bCs/>
        </w:rPr>
        <w:noBreakHyphen/>
        <w:t>19)</w:t>
      </w:r>
      <w:r w:rsidRPr="00AE30F2">
        <w:t>.</w:t>
      </w:r>
    </w:p>
    <w:p w14:paraId="199814C2" w14:textId="77777777" w:rsidR="00AE30F2" w:rsidRPr="00AE30F2" w:rsidRDefault="00AE30F2" w:rsidP="00BC68CE">
      <w:r w:rsidRPr="00AE30F2">
        <w:t>9.2</w:t>
      </w:r>
      <w:r w:rsidRPr="00AE30F2">
        <w:tab/>
        <w:t>sur les difficultés rencontrées ou le</w:t>
      </w:r>
      <w:bookmarkStart w:id="5" w:name="_GoBack"/>
      <w:bookmarkEnd w:id="5"/>
      <w:r w:rsidRPr="00AE30F2">
        <w:t>s incohérences constatées dans l'application du Règlement des radiocommunications</w:t>
      </w:r>
      <w:r w:rsidRPr="00AE30F2">
        <w:footnoteReference w:customMarkFollows="1" w:id="1"/>
        <w:t>1; et</w:t>
      </w:r>
    </w:p>
    <w:p w14:paraId="7A61090D" w14:textId="77777777" w:rsidR="00AE30F2" w:rsidRPr="00AE30F2" w:rsidRDefault="00AE30F2" w:rsidP="00BC68CE">
      <w:pPr>
        <w:rPr>
          <w:i/>
          <w:iCs/>
        </w:rPr>
      </w:pPr>
      <w:r w:rsidRPr="00AE30F2">
        <w:t>9.3</w:t>
      </w:r>
      <w:r w:rsidRPr="00AE30F2">
        <w:tab/>
        <w:t>sur la suite donnée à la Résolution </w:t>
      </w:r>
      <w:r w:rsidRPr="00AE30F2">
        <w:rPr>
          <w:b/>
          <w:bCs/>
        </w:rPr>
        <w:t>80 (Rév.CMR-07)</w:t>
      </w:r>
      <w:r w:rsidRPr="00AE30F2">
        <w:t>;</w:t>
      </w:r>
    </w:p>
    <w:p w14:paraId="77A528DC" w14:textId="77777777" w:rsidR="00AE30F2" w:rsidRPr="00AE30F2" w:rsidRDefault="00AE30F2" w:rsidP="00BC68CE">
      <w:r w:rsidRPr="00AE30F2">
        <w:t>10</w:t>
      </w:r>
      <w:r w:rsidRPr="00AE30F2">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AE30F2">
        <w:rPr>
          <w:b/>
        </w:rPr>
        <w:t>804 (Rév.CMR-19)</w:t>
      </w:r>
      <w:r w:rsidRPr="00AE30F2">
        <w:t>.</w:t>
      </w:r>
    </w:p>
    <w:p w14:paraId="060F3553" w14:textId="5C20797F" w:rsidR="00AE30F2" w:rsidRDefault="00AE30F2" w:rsidP="00BC68CE">
      <w:pPr>
        <w:tabs>
          <w:tab w:val="clear" w:pos="1134"/>
          <w:tab w:val="clear" w:pos="1871"/>
          <w:tab w:val="clear" w:pos="2268"/>
        </w:tabs>
        <w:overflowPunct/>
        <w:autoSpaceDE/>
        <w:autoSpaceDN/>
        <w:adjustRightInd/>
        <w:spacing w:before="0"/>
        <w:textAlignment w:val="auto"/>
      </w:pPr>
      <w:r>
        <w:br w:type="page"/>
      </w:r>
    </w:p>
    <w:p w14:paraId="64E1DED7" w14:textId="67729514" w:rsidR="00AE30F2" w:rsidRDefault="00AE30F2" w:rsidP="00BC68CE">
      <w:pPr>
        <w:pStyle w:val="AnnexNo"/>
      </w:pPr>
      <w:r>
        <w:lastRenderedPageBreak/>
        <w:t>Annexe 2</w:t>
      </w:r>
    </w:p>
    <w:p w14:paraId="02328AE8" w14:textId="77777777" w:rsidR="00AE30F2" w:rsidRPr="00AE30F2" w:rsidRDefault="00AE30F2" w:rsidP="00BC68CE">
      <w:pPr>
        <w:pStyle w:val="AnnexNo"/>
      </w:pPr>
      <w:bookmarkStart w:id="6" w:name="_Hlk79591916"/>
      <w:r w:rsidRPr="00AE30F2">
        <w:t>DéCISION 623</w:t>
      </w:r>
    </w:p>
    <w:p w14:paraId="68078F31" w14:textId="77777777" w:rsidR="00AE30F2" w:rsidRPr="00AE30F2" w:rsidRDefault="00AE30F2" w:rsidP="00BC68CE">
      <w:pPr>
        <w:jc w:val="center"/>
        <w:rPr>
          <w:sz w:val="28"/>
          <w:szCs w:val="22"/>
        </w:rPr>
      </w:pPr>
      <w:bookmarkStart w:id="7" w:name="_Toc458425450"/>
      <w:bookmarkStart w:id="8" w:name="_Toc531076551"/>
      <w:bookmarkStart w:id="9" w:name="_Toc532830752"/>
      <w:bookmarkStart w:id="10" w:name="_Toc15393969"/>
      <w:bookmarkStart w:id="11" w:name="_Toc16167121"/>
      <w:bookmarkStart w:id="12" w:name="_Toc21336190"/>
      <w:bookmarkStart w:id="13" w:name="_Toc21336649"/>
      <w:bookmarkStart w:id="14" w:name="_Toc58422965"/>
      <w:r w:rsidRPr="00AE30F2">
        <w:rPr>
          <w:sz w:val="28"/>
          <w:szCs w:val="22"/>
        </w:rPr>
        <w:t>(adoptée par correspondance)</w:t>
      </w:r>
    </w:p>
    <w:p w14:paraId="050D2B64" w14:textId="77777777" w:rsidR="00AE30F2" w:rsidRPr="00D54AAB" w:rsidRDefault="00AE30F2" w:rsidP="00BC68CE">
      <w:pPr>
        <w:pStyle w:val="Annextitle"/>
        <w:rPr>
          <w:rFonts w:eastAsiaTheme="minorHAnsi"/>
        </w:rPr>
      </w:pPr>
      <w:r w:rsidRPr="00D54AAB">
        <w:rPr>
          <w:rFonts w:eastAsiaTheme="minorHAnsi"/>
        </w:rPr>
        <w:t>Lieu et dates de la Conférence mondiale des radiocommunications (CMR-23)</w:t>
      </w:r>
      <w:bookmarkEnd w:id="7"/>
      <w:bookmarkEnd w:id="8"/>
      <w:bookmarkEnd w:id="9"/>
      <w:bookmarkEnd w:id="10"/>
      <w:bookmarkEnd w:id="11"/>
      <w:bookmarkEnd w:id="12"/>
      <w:bookmarkEnd w:id="13"/>
      <w:bookmarkEnd w:id="14"/>
      <w:r w:rsidRPr="00D54AAB">
        <w:rPr>
          <w:rFonts w:eastAsiaTheme="minorHAnsi"/>
        </w:rPr>
        <w:t xml:space="preserve"> </w:t>
      </w:r>
      <w:r w:rsidRPr="00D54AAB">
        <w:rPr>
          <w:rFonts w:eastAsiaTheme="minorHAnsi"/>
        </w:rPr>
        <w:br/>
        <w:t>et de l'Assemblée des radiocommunications (AR</w:t>
      </w:r>
      <w:r w:rsidRPr="00D54AAB">
        <w:rPr>
          <w:rFonts w:eastAsiaTheme="minorHAnsi"/>
        </w:rPr>
        <w:noBreakHyphen/>
        <w:t>23)</w:t>
      </w:r>
    </w:p>
    <w:bookmarkEnd w:id="6"/>
    <w:p w14:paraId="6546449D" w14:textId="77777777" w:rsidR="00AE30F2" w:rsidRPr="00AE30F2" w:rsidRDefault="00AE30F2" w:rsidP="00BC68CE">
      <w:pPr>
        <w:pStyle w:val="Normalaftertitle"/>
        <w:rPr>
          <w:iCs/>
        </w:rPr>
      </w:pPr>
      <w:r w:rsidRPr="00AE30F2">
        <w:t>Le Conseil de l'UIT,</w:t>
      </w:r>
    </w:p>
    <w:p w14:paraId="53C31818" w14:textId="77777777" w:rsidR="00AE30F2" w:rsidRPr="00AE30F2" w:rsidRDefault="00AE30F2" w:rsidP="00BC68CE">
      <w:pPr>
        <w:pStyle w:val="Call"/>
      </w:pPr>
      <w:r w:rsidRPr="00AE30F2">
        <w:t>notant</w:t>
      </w:r>
    </w:p>
    <w:p w14:paraId="7E80417B" w14:textId="77777777" w:rsidR="00AE30F2" w:rsidRPr="00AE30F2" w:rsidRDefault="00AE30F2" w:rsidP="00BC68CE">
      <w:r w:rsidRPr="00AE30F2">
        <w:t>que, par sa Résolution 811, la Conférence mondiale des radiocommunications (Charm el</w:t>
      </w:r>
      <w:r w:rsidRPr="00AE30F2">
        <w:noBreakHyphen/>
        <w:t>Cheikh, 2019):</w:t>
      </w:r>
    </w:p>
    <w:p w14:paraId="195D1A0D" w14:textId="77777777" w:rsidR="00AE30F2" w:rsidRPr="00AE30F2" w:rsidRDefault="00AE30F2" w:rsidP="00BC68CE">
      <w:pPr>
        <w:rPr>
          <w:iCs/>
        </w:rPr>
      </w:pPr>
      <w:r w:rsidRPr="00AE30F2">
        <w:rPr>
          <w:i/>
          <w:iCs/>
        </w:rPr>
        <w:t>a)</w:t>
      </w:r>
      <w:r w:rsidRPr="00AE30F2">
        <w:tab/>
        <w:t>a décidé de recommander au Conseil de convoquer en 2023 une Conférence mondiale des radiocommunications (CMR-23) d'une durée maximale de quatre semaines;</w:t>
      </w:r>
    </w:p>
    <w:p w14:paraId="23BD1CB2" w14:textId="77777777" w:rsidR="00AE30F2" w:rsidRPr="00AE30F2" w:rsidRDefault="00AE30F2" w:rsidP="00BC68CE">
      <w:r w:rsidRPr="00AE30F2">
        <w:rPr>
          <w:i/>
          <w:iCs/>
        </w:rPr>
        <w:t>b)</w:t>
      </w:r>
      <w:r w:rsidRPr="00AE30F2">
        <w:tab/>
        <w:t>a recommandé des points à inscrire à l'ordre du jour de cette conférence et a invité le Conseil à arrêter définitivement cet ordre du jour, à prendre les dispositions nécessaires pour la convocation de la Conférence mondiale des radiocommunications de 2023 (CMR-23) et à engager dès que possible les consultations nécessaires avec les États Membres,</w:t>
      </w:r>
    </w:p>
    <w:p w14:paraId="2902A671" w14:textId="77777777" w:rsidR="00AE30F2" w:rsidRPr="00AE30F2" w:rsidRDefault="00AE30F2" w:rsidP="00BC68CE">
      <w:pPr>
        <w:pStyle w:val="Call"/>
      </w:pPr>
      <w:r w:rsidRPr="00AE30F2">
        <w:t>notant en outre</w:t>
      </w:r>
    </w:p>
    <w:p w14:paraId="65B8055B" w14:textId="77777777" w:rsidR="00AE30F2" w:rsidRPr="00AE30F2" w:rsidRDefault="00AE30F2" w:rsidP="00BC68CE">
      <w:r w:rsidRPr="00AE30F2">
        <w:t>que le Conseil, par sa Résolution 1399, qui a reçu l'accord de la majorité requise des États Membres de l'UIT, a établi l'ordre du jour de la CMR-23,</w:t>
      </w:r>
    </w:p>
    <w:p w14:paraId="5FB258C3" w14:textId="77777777" w:rsidR="00AE30F2" w:rsidRPr="00AE30F2" w:rsidRDefault="00AE30F2" w:rsidP="00BC68CE">
      <w:pPr>
        <w:pStyle w:val="Call"/>
      </w:pPr>
      <w:r w:rsidRPr="00AE30F2">
        <w:t>décide</w:t>
      </w:r>
    </w:p>
    <w:p w14:paraId="58040F79" w14:textId="72E0F5CC" w:rsidR="00AE30F2" w:rsidRPr="00AE30F2" w:rsidRDefault="00AE30F2" w:rsidP="00BC68CE">
      <w:r w:rsidRPr="00AE30F2">
        <w:t>que, sous réserve de l'accord de la majorité des États Membres de l'Union, la prochaine Conférence mondiale des radiocommunications aura lieu à Abu Dhabi ou Dubaï</w:t>
      </w:r>
      <w:r w:rsidR="00B36E31">
        <w:t xml:space="preserve"> </w:t>
      </w:r>
      <w:r w:rsidR="00597C35">
        <w:t>(Émirats arabes unis), du </w:t>
      </w:r>
      <w:r w:rsidRPr="00AE30F2">
        <w:t xml:space="preserve">20 novembre au 15 décembre 2023, précédée de l'Assemblée des radiocommunications </w:t>
      </w:r>
      <w:r w:rsidR="00B36E31">
        <w:t xml:space="preserve">de </w:t>
      </w:r>
      <w:r w:rsidRPr="00AE30F2">
        <w:t>2023 (AR-23)</w:t>
      </w:r>
      <w:r w:rsidR="00B36E31">
        <w:t>,</w:t>
      </w:r>
      <w:r w:rsidR="00BC68CE">
        <w:t xml:space="preserve"> </w:t>
      </w:r>
      <w:r w:rsidRPr="00AE30F2">
        <w:t>du 13 au 17 novembre 2023,</w:t>
      </w:r>
    </w:p>
    <w:p w14:paraId="2ED27E9B" w14:textId="77777777" w:rsidR="00AE30F2" w:rsidRPr="00AE30F2" w:rsidRDefault="00AE30F2" w:rsidP="00BC68CE">
      <w:pPr>
        <w:pStyle w:val="Call"/>
      </w:pPr>
      <w:r w:rsidRPr="00AE30F2">
        <w:t>charge le Secrétaire général</w:t>
      </w:r>
    </w:p>
    <w:p w14:paraId="5C4FDE7E" w14:textId="77777777" w:rsidR="00AE30F2" w:rsidRPr="00AE30F2" w:rsidRDefault="00AE30F2" w:rsidP="00BC68CE">
      <w:r w:rsidRPr="00AE30F2">
        <w:t>1</w:t>
      </w:r>
      <w:r w:rsidRPr="00AE30F2">
        <w:tab/>
        <w:t>de procéder à une consultation de tous les États Membres concernant le lieu précis et les dates exactes de l'AR-23 et de la CMR-23;</w:t>
      </w:r>
    </w:p>
    <w:p w14:paraId="7F176DF9" w14:textId="115DA019" w:rsidR="00AE30F2" w:rsidRDefault="00AE30F2" w:rsidP="00BC68CE">
      <w:r w:rsidRPr="00AE30F2">
        <w:t>2</w:t>
      </w:r>
      <w:r w:rsidRPr="00AE30F2">
        <w:tab/>
        <w:t>d'arrêter, en accord avec le Directeur du Bureau des radiocommunications, toutes les mesures nécessaires à la convocation de la Conférence.</w:t>
      </w:r>
    </w:p>
    <w:p w14:paraId="4FD3A1B1" w14:textId="77777777" w:rsidR="00597C35" w:rsidRPr="00AE30F2" w:rsidRDefault="00597C35" w:rsidP="00BC68CE"/>
    <w:p w14:paraId="31CE0FE9" w14:textId="1FF1F421" w:rsidR="00AE30F2" w:rsidRPr="00AE30F2" w:rsidRDefault="00AE30F2" w:rsidP="00BC68CE">
      <w:pPr>
        <w:jc w:val="center"/>
      </w:pPr>
      <w:r>
        <w:t>______________</w:t>
      </w:r>
    </w:p>
    <w:sectPr w:rsidR="00AE30F2" w:rsidRPr="00AE30F2">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7FC3" w14:textId="77777777" w:rsidR="00BC41FC" w:rsidRDefault="00BC41FC">
      <w:r>
        <w:separator/>
      </w:r>
    </w:p>
  </w:endnote>
  <w:endnote w:type="continuationSeparator" w:id="0">
    <w:p w14:paraId="1BC19F29" w14:textId="77777777" w:rsidR="00BC41FC" w:rsidRDefault="00BC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AE45" w14:textId="52759633" w:rsidR="00936D25" w:rsidRDefault="00936D25">
    <w:pPr>
      <w:rPr>
        <w:lang w:val="en-US"/>
      </w:rPr>
    </w:pPr>
    <w:r>
      <w:fldChar w:fldCharType="begin"/>
    </w:r>
    <w:r>
      <w:rPr>
        <w:lang w:val="en-US"/>
      </w:rPr>
      <w:instrText xml:space="preserve"> FILENAME \p  \* MERGEFORMAT </w:instrText>
    </w:r>
    <w:r>
      <w:fldChar w:fldCharType="separate"/>
    </w:r>
    <w:r w:rsidR="0084232D">
      <w:rPr>
        <w:noProof/>
        <w:lang w:val="en-US"/>
      </w:rPr>
      <w:t>P:\FRA\ITU-R\CONF-R\CMR23\000\001F.docx</w:t>
    </w:r>
    <w:r>
      <w:fldChar w:fldCharType="end"/>
    </w:r>
    <w:r>
      <w:rPr>
        <w:lang w:val="en-US"/>
      </w:rPr>
      <w:tab/>
    </w:r>
    <w:r>
      <w:fldChar w:fldCharType="begin"/>
    </w:r>
    <w:r>
      <w:instrText xml:space="preserve"> SAVEDATE \@ DD.MM.YY </w:instrText>
    </w:r>
    <w:r>
      <w:fldChar w:fldCharType="separate"/>
    </w:r>
    <w:r w:rsidR="0084232D">
      <w:rPr>
        <w:noProof/>
      </w:rPr>
      <w:t>10.05.23</w:t>
    </w:r>
    <w:r>
      <w:fldChar w:fldCharType="end"/>
    </w:r>
    <w:r>
      <w:rPr>
        <w:lang w:val="en-US"/>
      </w:rPr>
      <w:tab/>
    </w:r>
    <w:r>
      <w:fldChar w:fldCharType="begin"/>
    </w:r>
    <w:r>
      <w:instrText xml:space="preserve"> PRINTDATE \@ DD.MM.YY </w:instrText>
    </w:r>
    <w:r>
      <w:fldChar w:fldCharType="separate"/>
    </w:r>
    <w:r w:rsidR="0084232D">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E436" w14:textId="77CC8BBA" w:rsidR="00936D25" w:rsidRDefault="00BC68CE" w:rsidP="00BC68CE">
    <w:pPr>
      <w:pStyle w:val="Footer"/>
      <w:rPr>
        <w:lang w:val="en-US"/>
      </w:rPr>
    </w:pPr>
    <w:r>
      <w:fldChar w:fldCharType="begin"/>
    </w:r>
    <w:r w:rsidRPr="00BC68CE">
      <w:rPr>
        <w:lang w:val="en-US"/>
      </w:rPr>
      <w:instrText xml:space="preserve"> FILENAME \p  \* MERGEFORMAT </w:instrText>
    </w:r>
    <w:r>
      <w:fldChar w:fldCharType="separate"/>
    </w:r>
    <w:r w:rsidR="0084232D">
      <w:rPr>
        <w:lang w:val="en-US"/>
      </w:rPr>
      <w:t>P:\FRA\ITU-R\CONF-R\CMR23\000\001F.docx</w:t>
    </w:r>
    <w:r>
      <w:fldChar w:fldCharType="end"/>
    </w:r>
    <w:r w:rsidR="00AE30F2" w:rsidRPr="00BC68CE">
      <w:rPr>
        <w:lang w:val="en-US"/>
      </w:rPr>
      <w:t xml:space="preserve"> (513977)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5464" w14:textId="4F89B85E" w:rsidR="00BC68CE" w:rsidRPr="00BC68CE" w:rsidRDefault="00BC68CE" w:rsidP="00BC68CE">
    <w:pPr>
      <w:pStyle w:val="Footer"/>
      <w:rPr>
        <w:lang w:val="en-US"/>
      </w:rPr>
    </w:pPr>
    <w:r>
      <w:fldChar w:fldCharType="begin"/>
    </w:r>
    <w:r w:rsidRPr="00BC68CE">
      <w:rPr>
        <w:lang w:val="en-US"/>
      </w:rPr>
      <w:instrText xml:space="preserve"> FILENAME \p  \* MERGEFORMAT </w:instrText>
    </w:r>
    <w:r>
      <w:fldChar w:fldCharType="separate"/>
    </w:r>
    <w:r w:rsidR="0084232D">
      <w:rPr>
        <w:lang w:val="en-US"/>
      </w:rPr>
      <w:t>P:\FRA\ITU-R\CONF-R\CMR23\000\001F.docx</w:t>
    </w:r>
    <w:r>
      <w:fldChar w:fldCharType="end"/>
    </w:r>
    <w:r w:rsidRPr="00BC68CE">
      <w:rPr>
        <w:lang w:val="en-US"/>
      </w:rPr>
      <w:t xml:space="preserve"> (513977)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FEBF" w14:textId="77777777" w:rsidR="00BC41FC" w:rsidRDefault="00BC41FC">
      <w:r>
        <w:rPr>
          <w:b/>
        </w:rPr>
        <w:t>_______________</w:t>
      </w:r>
    </w:p>
  </w:footnote>
  <w:footnote w:type="continuationSeparator" w:id="0">
    <w:p w14:paraId="550673E5" w14:textId="77777777" w:rsidR="00BC41FC" w:rsidRDefault="00BC41FC">
      <w:r>
        <w:continuationSeparator/>
      </w:r>
    </w:p>
  </w:footnote>
  <w:footnote w:id="1">
    <w:p w14:paraId="161D8AEB" w14:textId="67AA469D" w:rsidR="00AE30F2" w:rsidRDefault="00AE30F2" w:rsidP="00AE30F2">
      <w:pPr>
        <w:pStyle w:val="FootnoteText"/>
        <w:rPr>
          <w:lang w:val="fr-CH"/>
        </w:rPr>
      </w:pPr>
      <w:r>
        <w:rPr>
          <w:rStyle w:val="FootnoteReference"/>
        </w:rPr>
        <w:t>1</w:t>
      </w:r>
      <w:r>
        <w:tab/>
      </w:r>
      <w:r>
        <w:rPr>
          <w:lang w:val="fr-CH"/>
        </w:rPr>
        <w:t>Ce sous-point de l'or</w:t>
      </w:r>
      <w:r w:rsidR="00597C35">
        <w:rPr>
          <w:lang w:val="fr-CH"/>
        </w:rPr>
        <w:t>dre du jour ne concerne que le R</w:t>
      </w:r>
      <w:r>
        <w:rPr>
          <w:lang w:val="fr-CH"/>
        </w:rPr>
        <w:t>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828B" w14:textId="159452A1" w:rsidR="004F1F8E" w:rsidRDefault="004F1F8E" w:rsidP="004F1F8E">
    <w:pPr>
      <w:pStyle w:val="Header"/>
    </w:pPr>
    <w:r>
      <w:fldChar w:fldCharType="begin"/>
    </w:r>
    <w:r>
      <w:instrText xml:space="preserve"> PAGE </w:instrText>
    </w:r>
    <w:r>
      <w:fldChar w:fldCharType="separate"/>
    </w:r>
    <w:r w:rsidR="0084232D">
      <w:rPr>
        <w:noProof/>
      </w:rPr>
      <w:t>5</w:t>
    </w:r>
    <w:r>
      <w:fldChar w:fldCharType="end"/>
    </w:r>
  </w:p>
  <w:p w14:paraId="63E8E2F0" w14:textId="777D1B3C" w:rsidR="004F1F8E" w:rsidRDefault="004F1F8E" w:rsidP="00587A4E">
    <w:pPr>
      <w:pStyle w:val="Header"/>
    </w:pPr>
    <w:r>
      <w:t>CMR</w:t>
    </w:r>
    <w:r w:rsidR="00CD3928">
      <w:t>23</w:t>
    </w:r>
    <w:r>
      <w:t>/</w:t>
    </w:r>
    <w:r w:rsidR="00AE30F2">
      <w:t>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FC"/>
    <w:rsid w:val="00016648"/>
    <w:rsid w:val="0003522F"/>
    <w:rsid w:val="00080E2C"/>
    <w:rsid w:val="000A4755"/>
    <w:rsid w:val="000B2E0C"/>
    <w:rsid w:val="000B3D0C"/>
    <w:rsid w:val="001167B9"/>
    <w:rsid w:val="001267A0"/>
    <w:rsid w:val="00134655"/>
    <w:rsid w:val="00160C64"/>
    <w:rsid w:val="0019352B"/>
    <w:rsid w:val="001960D0"/>
    <w:rsid w:val="00232FD2"/>
    <w:rsid w:val="002A4622"/>
    <w:rsid w:val="002B17E5"/>
    <w:rsid w:val="002C0EBF"/>
    <w:rsid w:val="002C5FCD"/>
    <w:rsid w:val="00315AFE"/>
    <w:rsid w:val="003606A6"/>
    <w:rsid w:val="0036650C"/>
    <w:rsid w:val="0039568E"/>
    <w:rsid w:val="003A583E"/>
    <w:rsid w:val="003E112B"/>
    <w:rsid w:val="003E5E3D"/>
    <w:rsid w:val="00416F68"/>
    <w:rsid w:val="00457428"/>
    <w:rsid w:val="00466211"/>
    <w:rsid w:val="004D01FC"/>
    <w:rsid w:val="004E28C3"/>
    <w:rsid w:val="004F1F8E"/>
    <w:rsid w:val="00584FF8"/>
    <w:rsid w:val="00586CF2"/>
    <w:rsid w:val="00587A4E"/>
    <w:rsid w:val="00597C35"/>
    <w:rsid w:val="005C3768"/>
    <w:rsid w:val="005C6C3F"/>
    <w:rsid w:val="00613635"/>
    <w:rsid w:val="0062093D"/>
    <w:rsid w:val="00637ECF"/>
    <w:rsid w:val="00647B59"/>
    <w:rsid w:val="00654E39"/>
    <w:rsid w:val="00671125"/>
    <w:rsid w:val="0067643B"/>
    <w:rsid w:val="006F7F9D"/>
    <w:rsid w:val="00701BAE"/>
    <w:rsid w:val="00730E95"/>
    <w:rsid w:val="00774362"/>
    <w:rsid w:val="007A04E8"/>
    <w:rsid w:val="0084232D"/>
    <w:rsid w:val="0084553F"/>
    <w:rsid w:val="008A3120"/>
    <w:rsid w:val="008A326E"/>
    <w:rsid w:val="008C000E"/>
    <w:rsid w:val="008D41BE"/>
    <w:rsid w:val="008D58D3"/>
    <w:rsid w:val="008D6821"/>
    <w:rsid w:val="00923064"/>
    <w:rsid w:val="00936D25"/>
    <w:rsid w:val="00941EA5"/>
    <w:rsid w:val="00966C16"/>
    <w:rsid w:val="009765A8"/>
    <w:rsid w:val="0098732F"/>
    <w:rsid w:val="009C7E7C"/>
    <w:rsid w:val="00A00473"/>
    <w:rsid w:val="00A03C9B"/>
    <w:rsid w:val="00A606C3"/>
    <w:rsid w:val="00A83B09"/>
    <w:rsid w:val="00A84541"/>
    <w:rsid w:val="00AE30F2"/>
    <w:rsid w:val="00AE36A0"/>
    <w:rsid w:val="00B00294"/>
    <w:rsid w:val="00B23EDF"/>
    <w:rsid w:val="00B36E31"/>
    <w:rsid w:val="00B64FD0"/>
    <w:rsid w:val="00B72F4B"/>
    <w:rsid w:val="00BC41FC"/>
    <w:rsid w:val="00BC68CE"/>
    <w:rsid w:val="00BF26E7"/>
    <w:rsid w:val="00C01C69"/>
    <w:rsid w:val="00C814B9"/>
    <w:rsid w:val="00CD3928"/>
    <w:rsid w:val="00CD516F"/>
    <w:rsid w:val="00CE2C8D"/>
    <w:rsid w:val="00CE6A1C"/>
    <w:rsid w:val="00D119A7"/>
    <w:rsid w:val="00D25FBA"/>
    <w:rsid w:val="00D54AAB"/>
    <w:rsid w:val="00D66EAC"/>
    <w:rsid w:val="00D730DF"/>
    <w:rsid w:val="00D772F0"/>
    <w:rsid w:val="00D77BDC"/>
    <w:rsid w:val="00D8241C"/>
    <w:rsid w:val="00DC402B"/>
    <w:rsid w:val="00DE0932"/>
    <w:rsid w:val="00E049F1"/>
    <w:rsid w:val="00E37A25"/>
    <w:rsid w:val="00E70A31"/>
    <w:rsid w:val="00E977A2"/>
    <w:rsid w:val="00EA3F38"/>
    <w:rsid w:val="00EA5AB6"/>
    <w:rsid w:val="00EC7615"/>
    <w:rsid w:val="00ED16AA"/>
    <w:rsid w:val="00EE03BC"/>
    <w:rsid w:val="00EF662E"/>
    <w:rsid w:val="00F148F1"/>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2DC98"/>
  <w15:docId w15:val="{2F5F20E7-7FDD-426D-A29A-7261E641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styleId="Hyperlink">
    <w:name w:val="Hyperlink"/>
    <w:basedOn w:val="DefaultParagraphFont"/>
    <w:unhideWhenUsed/>
    <w:rsid w:val="00AE30F2"/>
    <w:rPr>
      <w:color w:val="0000FF" w:themeColor="hyperlink"/>
      <w:u w:val="single"/>
    </w:rPr>
  </w:style>
  <w:style w:type="character" w:customStyle="1" w:styleId="UnresolvedMention">
    <w:name w:val="Unresolved Mention"/>
    <w:basedOn w:val="DefaultParagraphFont"/>
    <w:uiPriority w:val="99"/>
    <w:semiHidden/>
    <w:unhideWhenUsed/>
    <w:rsid w:val="00AE30F2"/>
    <w:rPr>
      <w:color w:val="605E5C"/>
      <w:shd w:val="clear" w:color="auto" w:fill="E1DFDD"/>
    </w:rPr>
  </w:style>
  <w:style w:type="paragraph" w:customStyle="1" w:styleId="Dec">
    <w:name w:val="Dec"/>
    <w:basedOn w:val="Normal"/>
    <w:rsid w:val="00AE30F2"/>
  </w:style>
  <w:style w:type="paragraph" w:styleId="Revision">
    <w:name w:val="Revision"/>
    <w:hidden/>
    <w:uiPriority w:val="99"/>
    <w:semiHidden/>
    <w:rsid w:val="00B36E3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69/en"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21-CL-C-0096/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19</TotalTime>
  <Pages>6</Pages>
  <Words>2071</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FrenchVS</dc:creator>
  <cp:keywords>WRC-23</cp:keywords>
  <cp:lastModifiedBy>Royer, Veronique</cp:lastModifiedBy>
  <cp:revision>4</cp:revision>
  <cp:lastPrinted>2003-06-05T19:34:00Z</cp:lastPrinted>
  <dcterms:created xsi:type="dcterms:W3CDTF">2023-05-10T06:20:00Z</dcterms:created>
  <dcterms:modified xsi:type="dcterms:W3CDTF">2023-05-10T06:41:00Z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