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A54CD2" w:rsidRPr="00A54CD2" w14:paraId="3C349B97" w14:textId="77777777" w:rsidTr="0055514F">
        <w:trPr>
          <w:cantSplit/>
        </w:trPr>
        <w:tc>
          <w:tcPr>
            <w:tcW w:w="6477" w:type="dxa"/>
            <w:vAlign w:val="center"/>
          </w:tcPr>
          <w:p w14:paraId="1CE38222" w14:textId="34E908DF" w:rsidR="00A54CD2" w:rsidRPr="005B061F" w:rsidRDefault="00A54CD2" w:rsidP="00A54CD2">
            <w:pPr>
              <w:shd w:val="solid" w:color="FFFFFF" w:fill="FFFFFF"/>
              <w:tabs>
                <w:tab w:val="clear" w:pos="1134"/>
                <w:tab w:val="clear" w:pos="1871"/>
                <w:tab w:val="clear" w:pos="2268"/>
                <w:tab w:val="left" w:pos="601"/>
                <w:tab w:val="left" w:pos="1191"/>
                <w:tab w:val="left" w:pos="1588"/>
                <w:tab w:val="left" w:pos="1985"/>
              </w:tabs>
              <w:spacing w:before="360" w:after="240"/>
              <w:rPr>
                <w:rFonts w:ascii="Verdana" w:hAnsi="Verdana" w:cs="Times New Roman Bold"/>
                <w:b/>
                <w:bCs/>
                <w:lang w:val="es-ES"/>
              </w:rPr>
            </w:pPr>
            <w:r w:rsidRPr="005B061F">
              <w:rPr>
                <w:rFonts w:ascii="Verdana" w:hAnsi="Verdana" w:cs="Times New Roman Bold"/>
                <w:b/>
                <w:sz w:val="26"/>
                <w:szCs w:val="26"/>
                <w:lang w:val="es-ES"/>
              </w:rPr>
              <w:t>Grupo Asesor de Radiocomunicaciones</w:t>
            </w:r>
            <w:r w:rsidRPr="005B061F">
              <w:rPr>
                <w:rFonts w:ascii="Verdana" w:hAnsi="Verdana" w:cs="Times New Roman Bold"/>
                <w:b/>
                <w:sz w:val="26"/>
                <w:szCs w:val="26"/>
                <w:lang w:val="es-ES"/>
              </w:rPr>
              <w:br/>
            </w:r>
          </w:p>
        </w:tc>
        <w:tc>
          <w:tcPr>
            <w:tcW w:w="3412" w:type="dxa"/>
            <w:gridSpan w:val="2"/>
            <w:vAlign w:val="center"/>
          </w:tcPr>
          <w:p w14:paraId="5F041F60" w14:textId="77777777" w:rsidR="00A54CD2" w:rsidRPr="00A54CD2" w:rsidRDefault="00A54CD2" w:rsidP="00A54CD2">
            <w:pPr>
              <w:shd w:val="solid" w:color="FFFFFF" w:fill="FFFFFF"/>
              <w:tabs>
                <w:tab w:val="clear" w:pos="1134"/>
                <w:tab w:val="clear" w:pos="1871"/>
                <w:tab w:val="clear" w:pos="2268"/>
                <w:tab w:val="left" w:pos="794"/>
                <w:tab w:val="left" w:pos="1191"/>
                <w:tab w:val="left" w:pos="1588"/>
                <w:tab w:val="left" w:pos="1985"/>
              </w:tabs>
              <w:spacing w:before="0" w:line="240" w:lineRule="atLeast"/>
              <w:rPr>
                <w:lang w:val="en-GB"/>
              </w:rPr>
            </w:pPr>
            <w:r w:rsidRPr="00A54CD2">
              <w:rPr>
                <w:noProof/>
                <w:lang w:val="en-GB" w:eastAsia="zh-CN"/>
              </w:rPr>
              <w:drawing>
                <wp:inline distT="0" distB="0" distL="0" distR="0" wp14:anchorId="1C284AA0" wp14:editId="50C3A1CF">
                  <wp:extent cx="844492" cy="844492"/>
                  <wp:effectExtent l="0" t="0" r="0" b="0"/>
                  <wp:docPr id="1" name="Picture 1"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A54CD2" w:rsidRPr="00A54CD2" w14:paraId="29B43D9B" w14:textId="77777777" w:rsidTr="0055514F">
        <w:trPr>
          <w:cantSplit/>
        </w:trPr>
        <w:tc>
          <w:tcPr>
            <w:tcW w:w="6487" w:type="dxa"/>
            <w:gridSpan w:val="2"/>
            <w:tcBorders>
              <w:bottom w:val="single" w:sz="12" w:space="0" w:color="auto"/>
            </w:tcBorders>
          </w:tcPr>
          <w:p w14:paraId="4941B10B" w14:textId="77777777" w:rsidR="00A54CD2" w:rsidRPr="00A54CD2" w:rsidRDefault="00A54CD2" w:rsidP="00A54CD2">
            <w:pPr>
              <w:shd w:val="solid" w:color="FFFFFF" w:fill="FFFFFF"/>
              <w:tabs>
                <w:tab w:val="clear" w:pos="1134"/>
                <w:tab w:val="clear" w:pos="1871"/>
                <w:tab w:val="clear" w:pos="2268"/>
                <w:tab w:val="left" w:pos="794"/>
                <w:tab w:val="left" w:pos="1191"/>
                <w:tab w:val="left" w:pos="1588"/>
                <w:tab w:val="left" w:pos="1985"/>
              </w:tabs>
              <w:spacing w:before="0" w:after="48"/>
              <w:rPr>
                <w:rFonts w:ascii="Verdana" w:hAnsi="Verdana" w:cs="Times New Roman Bold"/>
                <w:b/>
                <w:sz w:val="22"/>
                <w:szCs w:val="22"/>
                <w:lang w:val="en-GB"/>
              </w:rPr>
            </w:pPr>
          </w:p>
        </w:tc>
        <w:tc>
          <w:tcPr>
            <w:tcW w:w="3402" w:type="dxa"/>
            <w:tcBorders>
              <w:bottom w:val="single" w:sz="12" w:space="0" w:color="auto"/>
            </w:tcBorders>
          </w:tcPr>
          <w:p w14:paraId="7831CDE2" w14:textId="77777777" w:rsidR="00A54CD2" w:rsidRPr="00A54CD2" w:rsidRDefault="00A54CD2" w:rsidP="00A54CD2">
            <w:pPr>
              <w:shd w:val="solid" w:color="FFFFFF" w:fill="FFFFFF"/>
              <w:tabs>
                <w:tab w:val="clear" w:pos="1134"/>
                <w:tab w:val="clear" w:pos="1871"/>
                <w:tab w:val="clear" w:pos="2268"/>
                <w:tab w:val="left" w:pos="794"/>
                <w:tab w:val="left" w:pos="1191"/>
                <w:tab w:val="left" w:pos="1588"/>
                <w:tab w:val="left" w:pos="1985"/>
              </w:tabs>
              <w:spacing w:before="0" w:after="48" w:line="240" w:lineRule="atLeast"/>
              <w:rPr>
                <w:sz w:val="22"/>
                <w:szCs w:val="22"/>
                <w:lang w:val="en-GB"/>
              </w:rPr>
            </w:pPr>
          </w:p>
        </w:tc>
      </w:tr>
      <w:tr w:rsidR="00A54CD2" w:rsidRPr="00A54CD2" w14:paraId="3CF26A94" w14:textId="77777777" w:rsidTr="0055514F">
        <w:trPr>
          <w:cantSplit/>
        </w:trPr>
        <w:tc>
          <w:tcPr>
            <w:tcW w:w="6487" w:type="dxa"/>
            <w:gridSpan w:val="2"/>
            <w:tcBorders>
              <w:top w:val="single" w:sz="12" w:space="0" w:color="auto"/>
            </w:tcBorders>
          </w:tcPr>
          <w:p w14:paraId="02AC295F" w14:textId="77777777" w:rsidR="00A54CD2" w:rsidRPr="00A54CD2" w:rsidRDefault="00A54CD2" w:rsidP="00A54CD2">
            <w:pPr>
              <w:shd w:val="solid" w:color="FFFFFF" w:fill="FFFFFF"/>
              <w:tabs>
                <w:tab w:val="clear" w:pos="1134"/>
                <w:tab w:val="clear" w:pos="1871"/>
                <w:tab w:val="clear" w:pos="2268"/>
                <w:tab w:val="left" w:pos="794"/>
                <w:tab w:val="left" w:pos="1191"/>
                <w:tab w:val="left" w:pos="1588"/>
                <w:tab w:val="left" w:pos="1985"/>
              </w:tabs>
              <w:spacing w:before="0" w:after="48"/>
              <w:rPr>
                <w:rFonts w:ascii="Verdana" w:hAnsi="Verdana" w:cs="Times New Roman Bold"/>
                <w:bCs/>
                <w:sz w:val="22"/>
                <w:szCs w:val="22"/>
                <w:lang w:val="en-GB"/>
              </w:rPr>
            </w:pPr>
          </w:p>
        </w:tc>
        <w:tc>
          <w:tcPr>
            <w:tcW w:w="3402" w:type="dxa"/>
            <w:tcBorders>
              <w:top w:val="single" w:sz="12" w:space="0" w:color="auto"/>
            </w:tcBorders>
          </w:tcPr>
          <w:p w14:paraId="21BBCE9F" w14:textId="77777777" w:rsidR="00A54CD2" w:rsidRPr="00A54CD2" w:rsidRDefault="00A54CD2" w:rsidP="00A54CD2">
            <w:pPr>
              <w:shd w:val="solid" w:color="FFFFFF" w:fill="FFFFFF"/>
              <w:tabs>
                <w:tab w:val="clear" w:pos="1134"/>
                <w:tab w:val="clear" w:pos="1871"/>
                <w:tab w:val="clear" w:pos="2268"/>
                <w:tab w:val="left" w:pos="794"/>
                <w:tab w:val="left" w:pos="1191"/>
                <w:tab w:val="left" w:pos="1588"/>
                <w:tab w:val="left" w:pos="1985"/>
              </w:tabs>
              <w:spacing w:before="0" w:after="48" w:line="240" w:lineRule="atLeast"/>
              <w:rPr>
                <w:lang w:val="en-GB"/>
              </w:rPr>
            </w:pPr>
          </w:p>
        </w:tc>
      </w:tr>
      <w:tr w:rsidR="00A54CD2" w:rsidRPr="00A54CD2" w14:paraId="1E887652" w14:textId="77777777" w:rsidTr="0055514F">
        <w:trPr>
          <w:cantSplit/>
        </w:trPr>
        <w:tc>
          <w:tcPr>
            <w:tcW w:w="6487" w:type="dxa"/>
            <w:gridSpan w:val="2"/>
            <w:vMerge w:val="restart"/>
          </w:tcPr>
          <w:p w14:paraId="3AEF7ED1" w14:textId="77777777" w:rsidR="00A54CD2" w:rsidRPr="00A54CD2" w:rsidRDefault="00A54CD2" w:rsidP="00A54CD2">
            <w:pPr>
              <w:shd w:val="solid" w:color="FFFFFF" w:fill="FFFFFF"/>
              <w:tabs>
                <w:tab w:val="clear" w:pos="1134"/>
                <w:tab w:val="clear" w:pos="1871"/>
                <w:tab w:val="clear" w:pos="2268"/>
                <w:tab w:val="left" w:pos="794"/>
                <w:tab w:val="left" w:pos="1191"/>
                <w:tab w:val="left" w:pos="1588"/>
                <w:tab w:val="left" w:pos="1985"/>
              </w:tabs>
              <w:spacing w:after="240"/>
              <w:rPr>
                <w:sz w:val="20"/>
                <w:lang w:val="en-GB"/>
              </w:rPr>
            </w:pPr>
          </w:p>
        </w:tc>
        <w:tc>
          <w:tcPr>
            <w:tcW w:w="3402" w:type="dxa"/>
          </w:tcPr>
          <w:p w14:paraId="10E0E39B" w14:textId="67FA5655" w:rsidR="00A54CD2" w:rsidRPr="00A54CD2" w:rsidRDefault="00A54CD2" w:rsidP="00A54CD2">
            <w:pPr>
              <w:shd w:val="solid" w:color="FFFFFF" w:fill="FFFFFF"/>
              <w:tabs>
                <w:tab w:val="clear" w:pos="1134"/>
                <w:tab w:val="clear" w:pos="1871"/>
                <w:tab w:val="clear" w:pos="2268"/>
                <w:tab w:val="left" w:pos="794"/>
                <w:tab w:val="left" w:pos="1191"/>
                <w:tab w:val="left" w:pos="1588"/>
                <w:tab w:val="left" w:pos="1985"/>
              </w:tabs>
              <w:spacing w:before="0" w:line="240" w:lineRule="atLeast"/>
              <w:rPr>
                <w:rFonts w:ascii="Verdana" w:hAnsi="Verdana"/>
                <w:b/>
                <w:bCs/>
                <w:sz w:val="20"/>
                <w:lang w:val="en-GB"/>
              </w:rPr>
            </w:pPr>
            <w:r w:rsidRPr="00A54CD2">
              <w:rPr>
                <w:rFonts w:ascii="Verdana" w:hAnsi="Verdana"/>
                <w:b/>
                <w:bCs/>
                <w:sz w:val="20"/>
                <w:lang w:val="en-GB"/>
              </w:rPr>
              <w:t>Document</w:t>
            </w:r>
            <w:r>
              <w:rPr>
                <w:rFonts w:ascii="Verdana" w:hAnsi="Verdana"/>
                <w:b/>
                <w:bCs/>
                <w:sz w:val="20"/>
                <w:lang w:val="en-GB"/>
              </w:rPr>
              <w:t>o</w:t>
            </w:r>
            <w:r w:rsidRPr="00A54CD2">
              <w:rPr>
                <w:rFonts w:ascii="Verdana" w:hAnsi="Verdana"/>
                <w:b/>
                <w:bCs/>
                <w:sz w:val="20"/>
                <w:lang w:val="en-GB"/>
              </w:rPr>
              <w:t xml:space="preserve"> RAG/INFO/1-</w:t>
            </w:r>
            <w:r>
              <w:rPr>
                <w:rFonts w:ascii="Verdana" w:hAnsi="Verdana"/>
                <w:b/>
                <w:bCs/>
                <w:sz w:val="20"/>
                <w:lang w:val="en-GB"/>
              </w:rPr>
              <w:t>S</w:t>
            </w:r>
          </w:p>
        </w:tc>
      </w:tr>
      <w:tr w:rsidR="00A54CD2" w:rsidRPr="00A54CD2" w14:paraId="7F008B0B" w14:textId="77777777" w:rsidTr="0055514F">
        <w:trPr>
          <w:cantSplit/>
        </w:trPr>
        <w:tc>
          <w:tcPr>
            <w:tcW w:w="6487" w:type="dxa"/>
            <w:gridSpan w:val="2"/>
            <w:vMerge/>
          </w:tcPr>
          <w:p w14:paraId="742FE66D" w14:textId="77777777" w:rsidR="00A54CD2" w:rsidRPr="00A54CD2" w:rsidRDefault="00A54CD2" w:rsidP="00A54CD2">
            <w:pPr>
              <w:tabs>
                <w:tab w:val="clear" w:pos="1134"/>
                <w:tab w:val="clear" w:pos="1871"/>
                <w:tab w:val="clear" w:pos="2268"/>
                <w:tab w:val="left" w:pos="794"/>
                <w:tab w:val="left" w:pos="1191"/>
                <w:tab w:val="left" w:pos="1588"/>
                <w:tab w:val="left" w:pos="1985"/>
              </w:tabs>
              <w:spacing w:before="60"/>
              <w:jc w:val="center"/>
              <w:rPr>
                <w:b/>
                <w:smallCaps/>
                <w:sz w:val="32"/>
                <w:lang w:val="en-GB"/>
              </w:rPr>
            </w:pPr>
          </w:p>
        </w:tc>
        <w:tc>
          <w:tcPr>
            <w:tcW w:w="3402" w:type="dxa"/>
          </w:tcPr>
          <w:p w14:paraId="6CA7DE1A" w14:textId="5736F551" w:rsidR="00A54CD2" w:rsidRPr="00A54CD2" w:rsidRDefault="00A54CD2" w:rsidP="00A54CD2">
            <w:pPr>
              <w:shd w:val="solid" w:color="FFFFFF" w:fill="FFFFFF"/>
              <w:tabs>
                <w:tab w:val="clear" w:pos="1134"/>
                <w:tab w:val="clear" w:pos="1871"/>
                <w:tab w:val="clear" w:pos="2268"/>
                <w:tab w:val="left" w:pos="794"/>
                <w:tab w:val="left" w:pos="1191"/>
                <w:tab w:val="left" w:pos="1588"/>
                <w:tab w:val="left" w:pos="1985"/>
              </w:tabs>
              <w:spacing w:before="0" w:line="240" w:lineRule="atLeast"/>
              <w:rPr>
                <w:rFonts w:ascii="Verdana" w:hAnsi="Verdana"/>
                <w:b/>
                <w:bCs/>
                <w:sz w:val="20"/>
                <w:lang w:val="en-GB"/>
              </w:rPr>
            </w:pPr>
            <w:r w:rsidRPr="00A54CD2">
              <w:rPr>
                <w:rFonts w:ascii="Verdana" w:hAnsi="Verdana"/>
                <w:b/>
                <w:bCs/>
                <w:sz w:val="20"/>
                <w:lang w:val="en-GB"/>
              </w:rPr>
              <w:t xml:space="preserve">20 </w:t>
            </w:r>
            <w:r>
              <w:rPr>
                <w:rFonts w:ascii="Verdana" w:hAnsi="Verdana"/>
                <w:b/>
                <w:bCs/>
                <w:sz w:val="20"/>
                <w:lang w:val="en-GB"/>
              </w:rPr>
              <w:t>de marzo de</w:t>
            </w:r>
            <w:r w:rsidRPr="00A54CD2">
              <w:rPr>
                <w:rFonts w:ascii="Verdana" w:hAnsi="Verdana"/>
                <w:b/>
                <w:bCs/>
                <w:sz w:val="20"/>
                <w:lang w:val="en-GB"/>
              </w:rPr>
              <w:t xml:space="preserve"> 2024</w:t>
            </w:r>
          </w:p>
        </w:tc>
      </w:tr>
      <w:tr w:rsidR="00A54CD2" w:rsidRPr="00A54CD2" w14:paraId="74026DFB" w14:textId="77777777" w:rsidTr="0055514F">
        <w:trPr>
          <w:cantSplit/>
        </w:trPr>
        <w:tc>
          <w:tcPr>
            <w:tcW w:w="6487" w:type="dxa"/>
            <w:gridSpan w:val="2"/>
            <w:vMerge/>
          </w:tcPr>
          <w:p w14:paraId="52E33216" w14:textId="77777777" w:rsidR="00A54CD2" w:rsidRPr="00A54CD2" w:rsidRDefault="00A54CD2" w:rsidP="00A54CD2">
            <w:pPr>
              <w:tabs>
                <w:tab w:val="clear" w:pos="1134"/>
                <w:tab w:val="clear" w:pos="1871"/>
                <w:tab w:val="clear" w:pos="2268"/>
                <w:tab w:val="left" w:pos="794"/>
                <w:tab w:val="left" w:pos="1191"/>
                <w:tab w:val="left" w:pos="1588"/>
                <w:tab w:val="left" w:pos="1985"/>
              </w:tabs>
              <w:spacing w:before="60"/>
              <w:jc w:val="center"/>
              <w:rPr>
                <w:b/>
                <w:smallCaps/>
                <w:sz w:val="32"/>
                <w:lang w:val="en-GB"/>
              </w:rPr>
            </w:pPr>
          </w:p>
        </w:tc>
        <w:tc>
          <w:tcPr>
            <w:tcW w:w="3402" w:type="dxa"/>
          </w:tcPr>
          <w:p w14:paraId="71055107" w14:textId="6FAD40B6" w:rsidR="00A54CD2" w:rsidRPr="00A54CD2" w:rsidRDefault="00A54CD2" w:rsidP="00A54CD2">
            <w:pPr>
              <w:shd w:val="solid" w:color="FFFFFF" w:fill="FFFFFF"/>
              <w:tabs>
                <w:tab w:val="clear" w:pos="1134"/>
                <w:tab w:val="clear" w:pos="1871"/>
                <w:tab w:val="clear" w:pos="2268"/>
                <w:tab w:val="left" w:pos="794"/>
                <w:tab w:val="left" w:pos="1191"/>
                <w:tab w:val="left" w:pos="1588"/>
                <w:tab w:val="left" w:pos="1985"/>
              </w:tabs>
              <w:spacing w:before="0" w:after="120" w:line="240" w:lineRule="atLeast"/>
              <w:rPr>
                <w:rFonts w:ascii="Verdana" w:hAnsi="Verdana"/>
                <w:b/>
                <w:bCs/>
                <w:sz w:val="20"/>
                <w:lang w:val="en-GB"/>
              </w:rPr>
            </w:pPr>
            <w:r w:rsidRPr="00A54CD2">
              <w:rPr>
                <w:rFonts w:ascii="Verdana" w:hAnsi="Verdana"/>
                <w:b/>
                <w:bCs/>
                <w:sz w:val="20"/>
                <w:lang w:val="en-GB"/>
              </w:rPr>
              <w:t xml:space="preserve">Original: </w:t>
            </w:r>
            <w:r>
              <w:rPr>
                <w:rFonts w:ascii="Verdana" w:hAnsi="Verdana"/>
                <w:b/>
                <w:bCs/>
                <w:sz w:val="20"/>
                <w:lang w:val="en-GB"/>
              </w:rPr>
              <w:t>inglés</w:t>
            </w:r>
          </w:p>
        </w:tc>
      </w:tr>
      <w:tr w:rsidR="00A54CD2" w:rsidRPr="00A54CD2" w14:paraId="2EFFF5D2" w14:textId="77777777" w:rsidTr="0055514F">
        <w:trPr>
          <w:cantSplit/>
        </w:trPr>
        <w:tc>
          <w:tcPr>
            <w:tcW w:w="9889" w:type="dxa"/>
            <w:gridSpan w:val="3"/>
          </w:tcPr>
          <w:p w14:paraId="1C421A84" w14:textId="71F227C5" w:rsidR="00A54CD2" w:rsidRPr="005B061F" w:rsidRDefault="00A54CD2" w:rsidP="005B061F">
            <w:pPr>
              <w:pStyle w:val="Source"/>
              <w:rPr>
                <w:lang w:val="es-ES"/>
              </w:rPr>
            </w:pPr>
            <w:r w:rsidRPr="005B061F">
              <w:rPr>
                <w:lang w:val="es-ES"/>
              </w:rPr>
              <w:t>Director de la BR</w:t>
            </w:r>
          </w:p>
        </w:tc>
      </w:tr>
      <w:tr w:rsidR="00A54CD2" w:rsidRPr="00A54CD2" w14:paraId="38F081FF" w14:textId="77777777" w:rsidTr="0055514F">
        <w:trPr>
          <w:cantSplit/>
        </w:trPr>
        <w:tc>
          <w:tcPr>
            <w:tcW w:w="9889" w:type="dxa"/>
            <w:gridSpan w:val="3"/>
          </w:tcPr>
          <w:p w14:paraId="2C865826" w14:textId="39A60E12" w:rsidR="00A54CD2" w:rsidRPr="005B061F" w:rsidRDefault="00A54CD2" w:rsidP="005B061F">
            <w:pPr>
              <w:pStyle w:val="Title1"/>
              <w:rPr>
                <w:lang w:val="es-ES"/>
              </w:rPr>
            </w:pPr>
            <w:r w:rsidRPr="005B061F">
              <w:rPr>
                <w:lang w:val="es-ES"/>
              </w:rPr>
              <w:t>INFORME DE LA COMISIÓN DE CONTROL DEL PRESUPUESTO</w:t>
            </w:r>
          </w:p>
        </w:tc>
      </w:tr>
      <w:tr w:rsidR="00A54CD2" w:rsidRPr="00A54CD2" w14:paraId="12EAA0D5" w14:textId="77777777" w:rsidTr="0055514F">
        <w:trPr>
          <w:cantSplit/>
        </w:trPr>
        <w:tc>
          <w:tcPr>
            <w:tcW w:w="9889" w:type="dxa"/>
            <w:gridSpan w:val="3"/>
          </w:tcPr>
          <w:p w14:paraId="7DB7E574" w14:textId="77777777" w:rsidR="00A54CD2" w:rsidRPr="005B061F" w:rsidRDefault="00A54CD2" w:rsidP="00A54CD2">
            <w:pPr>
              <w:tabs>
                <w:tab w:val="clear" w:pos="1871"/>
                <w:tab w:val="left" w:pos="567"/>
                <w:tab w:val="left" w:pos="1701"/>
                <w:tab w:val="left" w:pos="2835"/>
              </w:tabs>
              <w:spacing w:before="240"/>
              <w:jc w:val="center"/>
              <w:rPr>
                <w:caps/>
                <w:sz w:val="28"/>
                <w:lang w:val="es-ES"/>
              </w:rPr>
            </w:pPr>
          </w:p>
        </w:tc>
      </w:tr>
    </w:tbl>
    <w:p w14:paraId="7682C029" w14:textId="45987D00" w:rsidR="00A54CD2" w:rsidRDefault="001557BC" w:rsidP="005B061F">
      <w:pPr>
        <w:pStyle w:val="Normalaftertitle"/>
        <w:rPr>
          <w:lang w:val="es-ES"/>
        </w:rPr>
      </w:pPr>
      <w:r w:rsidRPr="005B061F">
        <w:rPr>
          <w:lang w:val="es-ES"/>
        </w:rPr>
        <w:t>Se facilita este documento a título informativo.</w:t>
      </w:r>
    </w:p>
    <w:p w14:paraId="060041B8" w14:textId="77777777" w:rsidR="00C635E0" w:rsidRPr="00C635E0" w:rsidRDefault="00C635E0" w:rsidP="00C635E0">
      <w:pPr>
        <w:rPr>
          <w:lang w:val="es-ES"/>
        </w:rPr>
      </w:pPr>
    </w:p>
    <w:p w14:paraId="10BED926" w14:textId="77777777" w:rsidR="00C635E0" w:rsidRDefault="00C635E0" w:rsidP="00C635E0">
      <w:pPr>
        <w:rPr>
          <w:lang w:val="es-ES"/>
        </w:rPr>
        <w:sectPr w:rsidR="00C635E0" w:rsidSect="00FF3F0C">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pgNumType w:start="1"/>
          <w:cols w:space="720"/>
          <w:titlePg/>
          <w:docGrid w:linePitch="326"/>
        </w:sectPr>
      </w:pPr>
    </w:p>
    <w:tbl>
      <w:tblPr>
        <w:tblpPr w:leftFromText="180" w:rightFromText="180" w:horzAnchor="margin" w:tblpY="-675"/>
        <w:tblW w:w="10031" w:type="dxa"/>
        <w:tblLayout w:type="fixed"/>
        <w:tblLook w:val="0000" w:firstRow="0" w:lastRow="0" w:firstColumn="0" w:lastColumn="0" w:noHBand="0" w:noVBand="0"/>
      </w:tblPr>
      <w:tblGrid>
        <w:gridCol w:w="1418"/>
        <w:gridCol w:w="5493"/>
        <w:gridCol w:w="1027"/>
        <w:gridCol w:w="2093"/>
      </w:tblGrid>
      <w:tr w:rsidR="00762BBC" w14:paraId="2E6F705C" w14:textId="77777777" w:rsidTr="00762BBC">
        <w:trPr>
          <w:cantSplit/>
        </w:trPr>
        <w:tc>
          <w:tcPr>
            <w:tcW w:w="1418" w:type="dxa"/>
            <w:vAlign w:val="center"/>
          </w:tcPr>
          <w:p w14:paraId="126B7922" w14:textId="3CC74921" w:rsidR="00762BBC" w:rsidRPr="00DF23FC" w:rsidRDefault="00762BBC" w:rsidP="00762BBC">
            <w:pPr>
              <w:spacing w:before="0" w:after="100" w:afterAutospacing="1" w:line="240" w:lineRule="atLeast"/>
              <w:rPr>
                <w:rFonts w:ascii="Verdana" w:hAnsi="Verdana"/>
                <w:position w:val="6"/>
              </w:rPr>
            </w:pPr>
            <w:r>
              <w:rPr>
                <w:noProof/>
                <w:lang w:val="en-US"/>
              </w:rPr>
              <w:lastRenderedPageBreak/>
              <w:drawing>
                <wp:inline distT="0" distB="0" distL="0" distR="0" wp14:anchorId="64C60026" wp14:editId="1B008D4B">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520" w:type="dxa"/>
            <w:gridSpan w:val="2"/>
          </w:tcPr>
          <w:p w14:paraId="4012BD62" w14:textId="77777777" w:rsidR="00762BBC" w:rsidRPr="00DF23FC" w:rsidRDefault="00762BBC" w:rsidP="00C97A88">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C97A88">
              <w:rPr>
                <w:rFonts w:ascii="Verdana" w:hAnsi="Verdana"/>
                <w:b/>
                <w:bCs/>
                <w:position w:val="6"/>
                <w:sz w:val="17"/>
                <w:szCs w:val="17"/>
              </w:rPr>
              <w:t>Dubái, 20 de noviembre - 15 de diciembre de 2023</w:t>
            </w:r>
          </w:p>
        </w:tc>
        <w:tc>
          <w:tcPr>
            <w:tcW w:w="2093" w:type="dxa"/>
            <w:vAlign w:val="center"/>
          </w:tcPr>
          <w:p w14:paraId="29F81CA3" w14:textId="77777777" w:rsidR="00762BBC" w:rsidRDefault="00762BBC" w:rsidP="00762BBC">
            <w:pPr>
              <w:spacing w:before="0" w:line="240" w:lineRule="atLeast"/>
            </w:pPr>
            <w:bookmarkStart w:id="0" w:name="ditulogo"/>
            <w:bookmarkEnd w:id="0"/>
            <w:r>
              <w:rPr>
                <w:noProof/>
              </w:rPr>
              <w:drawing>
                <wp:inline distT="0" distB="0" distL="0" distR="0" wp14:anchorId="7F3947C4" wp14:editId="53831C05">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C8286D" w:rsidRPr="009538D2" w14:paraId="2ED254CE" w14:textId="77777777" w:rsidTr="00A1779F">
        <w:trPr>
          <w:cantSplit/>
        </w:trPr>
        <w:tc>
          <w:tcPr>
            <w:tcW w:w="10031" w:type="dxa"/>
            <w:gridSpan w:val="4"/>
            <w:tcBorders>
              <w:bottom w:val="single" w:sz="12" w:space="0" w:color="auto"/>
            </w:tcBorders>
          </w:tcPr>
          <w:p w14:paraId="0436366B" w14:textId="77777777" w:rsidR="00C8286D" w:rsidRPr="009538D2" w:rsidRDefault="00C8286D" w:rsidP="00C8286D">
            <w:pPr>
              <w:spacing w:before="0" w:after="48" w:line="240" w:lineRule="atLeast"/>
              <w:rPr>
                <w:rFonts w:ascii="Verdana" w:hAnsi="Verdana"/>
                <w:b/>
                <w:smallCaps/>
                <w:sz w:val="20"/>
              </w:rPr>
            </w:pPr>
            <w:bookmarkStart w:id="1" w:name="dhead"/>
          </w:p>
        </w:tc>
      </w:tr>
      <w:tr w:rsidR="00C8286D" w:rsidRPr="00C324A8" w14:paraId="462A5855" w14:textId="77777777" w:rsidTr="0050008E">
        <w:trPr>
          <w:cantSplit/>
        </w:trPr>
        <w:tc>
          <w:tcPr>
            <w:tcW w:w="6911" w:type="dxa"/>
            <w:gridSpan w:val="2"/>
            <w:tcBorders>
              <w:top w:val="single" w:sz="12" w:space="0" w:color="auto"/>
            </w:tcBorders>
          </w:tcPr>
          <w:p w14:paraId="560C2393" w14:textId="77777777" w:rsidR="00C8286D" w:rsidRPr="00C324A8" w:rsidRDefault="00C8286D" w:rsidP="00C8286D">
            <w:pPr>
              <w:spacing w:before="0" w:after="48" w:line="240" w:lineRule="atLeast"/>
              <w:rPr>
                <w:rFonts w:ascii="Verdana" w:hAnsi="Verdana"/>
                <w:b/>
                <w:smallCaps/>
                <w:sz w:val="20"/>
              </w:rPr>
            </w:pPr>
          </w:p>
        </w:tc>
        <w:tc>
          <w:tcPr>
            <w:tcW w:w="3120" w:type="dxa"/>
            <w:gridSpan w:val="2"/>
            <w:tcBorders>
              <w:top w:val="single" w:sz="12" w:space="0" w:color="auto"/>
            </w:tcBorders>
          </w:tcPr>
          <w:p w14:paraId="2ABD95D8" w14:textId="77777777" w:rsidR="00C8286D" w:rsidRPr="00C324A8" w:rsidRDefault="00C8286D" w:rsidP="00C8286D">
            <w:pPr>
              <w:spacing w:before="0" w:line="240" w:lineRule="atLeast"/>
              <w:rPr>
                <w:rFonts w:ascii="Verdana" w:hAnsi="Verdana"/>
                <w:sz w:val="20"/>
              </w:rPr>
            </w:pPr>
          </w:p>
        </w:tc>
      </w:tr>
      <w:tr w:rsidR="00CC63FE" w:rsidRPr="00C324A8" w14:paraId="70039F81" w14:textId="77777777" w:rsidTr="0050008E">
        <w:trPr>
          <w:cantSplit/>
          <w:trHeight w:val="23"/>
        </w:trPr>
        <w:tc>
          <w:tcPr>
            <w:tcW w:w="6911" w:type="dxa"/>
            <w:gridSpan w:val="2"/>
            <w:vMerge w:val="restart"/>
          </w:tcPr>
          <w:p w14:paraId="618B9F0D" w14:textId="0AAED006" w:rsidR="00CC63FE" w:rsidRPr="00CC63FE" w:rsidRDefault="00CC63FE" w:rsidP="00CC63FE">
            <w:pPr>
              <w:tabs>
                <w:tab w:val="left" w:pos="851"/>
              </w:tabs>
              <w:spacing w:before="0" w:line="240" w:lineRule="atLeast"/>
              <w:rPr>
                <w:rFonts w:ascii="Verdana" w:hAnsi="Verdana"/>
                <w:b/>
                <w:bCs/>
                <w:sz w:val="20"/>
              </w:rPr>
            </w:pPr>
            <w:bookmarkStart w:id="2" w:name="dnum" w:colFirst="1" w:colLast="1"/>
            <w:bookmarkStart w:id="3" w:name="dmeeting" w:colFirst="0" w:colLast="0"/>
            <w:bookmarkEnd w:id="1"/>
            <w:r w:rsidRPr="00CC63FE">
              <w:rPr>
                <w:rFonts w:ascii="Verdana" w:hAnsi="Verdana"/>
                <w:b/>
                <w:bCs/>
                <w:sz w:val="20"/>
              </w:rPr>
              <w:t>SESIÓN PLENARIA</w:t>
            </w:r>
          </w:p>
        </w:tc>
        <w:tc>
          <w:tcPr>
            <w:tcW w:w="3120" w:type="dxa"/>
            <w:gridSpan w:val="2"/>
          </w:tcPr>
          <w:p w14:paraId="2A9DDEBE" w14:textId="77777777" w:rsidR="00CC63FE" w:rsidRPr="00B63554" w:rsidRDefault="00CC63FE" w:rsidP="00CC63FE">
            <w:pPr>
              <w:tabs>
                <w:tab w:val="left" w:pos="851"/>
              </w:tabs>
              <w:spacing w:before="0" w:line="240" w:lineRule="atLeast"/>
              <w:rPr>
                <w:rFonts w:ascii="Verdana" w:hAnsi="Verdana"/>
                <w:b/>
                <w:sz w:val="20"/>
                <w:lang w:val="es-MX"/>
              </w:rPr>
            </w:pPr>
            <w:r w:rsidRPr="00B63554">
              <w:rPr>
                <w:rFonts w:ascii="Verdana" w:hAnsi="Verdana"/>
                <w:b/>
                <w:sz w:val="20"/>
                <w:lang w:val="es-MX"/>
              </w:rPr>
              <w:t>Revisión 1 al</w:t>
            </w:r>
          </w:p>
          <w:p w14:paraId="44619E53" w14:textId="0576E071" w:rsidR="00CC63FE" w:rsidRPr="00C8286D" w:rsidRDefault="00CC63FE" w:rsidP="00CC63FE">
            <w:pPr>
              <w:tabs>
                <w:tab w:val="left" w:pos="851"/>
              </w:tabs>
              <w:spacing w:before="0" w:line="240" w:lineRule="atLeast"/>
              <w:rPr>
                <w:rFonts w:ascii="Verdana" w:hAnsi="Verdana"/>
                <w:sz w:val="20"/>
              </w:rPr>
            </w:pPr>
            <w:r w:rsidRPr="00B63554">
              <w:rPr>
                <w:rFonts w:ascii="Verdana" w:hAnsi="Verdana"/>
                <w:b/>
                <w:sz w:val="20"/>
                <w:lang w:val="es-MX"/>
              </w:rPr>
              <w:t>Documento 460-S</w:t>
            </w:r>
          </w:p>
        </w:tc>
      </w:tr>
      <w:tr w:rsidR="00CC63FE" w:rsidRPr="00C324A8" w14:paraId="0888EEB3" w14:textId="77777777" w:rsidTr="0050008E">
        <w:trPr>
          <w:cantSplit/>
          <w:trHeight w:val="23"/>
        </w:trPr>
        <w:tc>
          <w:tcPr>
            <w:tcW w:w="6911" w:type="dxa"/>
            <w:gridSpan w:val="2"/>
            <w:vMerge/>
          </w:tcPr>
          <w:p w14:paraId="560B1165" w14:textId="77777777" w:rsidR="00CC63FE" w:rsidRPr="00C324A8" w:rsidRDefault="00CC63FE" w:rsidP="00CC63FE">
            <w:pPr>
              <w:tabs>
                <w:tab w:val="left" w:pos="851"/>
              </w:tabs>
              <w:spacing w:line="240" w:lineRule="atLeast"/>
              <w:rPr>
                <w:rFonts w:ascii="Verdana" w:hAnsi="Verdana"/>
                <w:b/>
                <w:sz w:val="20"/>
              </w:rPr>
            </w:pPr>
            <w:bookmarkStart w:id="4" w:name="ddate" w:colFirst="1" w:colLast="1"/>
            <w:bookmarkEnd w:id="2"/>
            <w:bookmarkEnd w:id="3"/>
          </w:p>
        </w:tc>
        <w:tc>
          <w:tcPr>
            <w:tcW w:w="3120" w:type="dxa"/>
            <w:gridSpan w:val="2"/>
          </w:tcPr>
          <w:p w14:paraId="01A74183" w14:textId="0631430B" w:rsidR="00CC63FE" w:rsidRPr="00C8286D" w:rsidRDefault="00CC63FE" w:rsidP="00CC63FE">
            <w:pPr>
              <w:tabs>
                <w:tab w:val="left" w:pos="993"/>
              </w:tabs>
              <w:spacing w:before="0"/>
              <w:rPr>
                <w:rFonts w:ascii="Verdana" w:hAnsi="Verdana"/>
                <w:sz w:val="20"/>
              </w:rPr>
            </w:pPr>
            <w:r w:rsidRPr="00B63554">
              <w:rPr>
                <w:rFonts w:ascii="Verdana" w:hAnsi="Verdana"/>
                <w:b/>
                <w:sz w:val="20"/>
                <w:lang w:val="es-MX"/>
              </w:rPr>
              <w:t>13 de diciembre de 2023</w:t>
            </w:r>
          </w:p>
        </w:tc>
      </w:tr>
      <w:tr w:rsidR="00CC63FE" w:rsidRPr="00C324A8" w14:paraId="3B4960F5" w14:textId="77777777" w:rsidTr="0050008E">
        <w:trPr>
          <w:cantSplit/>
          <w:trHeight w:val="23"/>
        </w:trPr>
        <w:tc>
          <w:tcPr>
            <w:tcW w:w="6911" w:type="dxa"/>
            <w:gridSpan w:val="2"/>
            <w:vMerge/>
          </w:tcPr>
          <w:p w14:paraId="0839EDAC" w14:textId="77777777" w:rsidR="00CC63FE" w:rsidRPr="00C324A8" w:rsidRDefault="00CC63FE" w:rsidP="00CC63FE">
            <w:pPr>
              <w:tabs>
                <w:tab w:val="left" w:pos="851"/>
              </w:tabs>
              <w:spacing w:line="240" w:lineRule="atLeast"/>
              <w:rPr>
                <w:rFonts w:ascii="Verdana" w:hAnsi="Verdana"/>
                <w:b/>
                <w:sz w:val="20"/>
              </w:rPr>
            </w:pPr>
            <w:bookmarkStart w:id="5" w:name="dorlang" w:colFirst="1" w:colLast="1"/>
            <w:bookmarkEnd w:id="4"/>
          </w:p>
        </w:tc>
        <w:tc>
          <w:tcPr>
            <w:tcW w:w="3120" w:type="dxa"/>
            <w:gridSpan w:val="2"/>
          </w:tcPr>
          <w:p w14:paraId="315F97A5" w14:textId="45E423D5" w:rsidR="00CC63FE" w:rsidRPr="00C8286D" w:rsidRDefault="00CC63FE" w:rsidP="00CC63FE">
            <w:pPr>
              <w:tabs>
                <w:tab w:val="left" w:pos="993"/>
              </w:tabs>
              <w:spacing w:before="0" w:after="120"/>
              <w:rPr>
                <w:rFonts w:ascii="Verdana" w:hAnsi="Verdana"/>
                <w:sz w:val="20"/>
              </w:rPr>
            </w:pPr>
            <w:r w:rsidRPr="00B63554">
              <w:rPr>
                <w:rFonts w:ascii="Verdana" w:hAnsi="Verdana"/>
                <w:b/>
                <w:sz w:val="20"/>
                <w:lang w:val="es-MX"/>
              </w:rPr>
              <w:t>Original: inglés</w:t>
            </w:r>
          </w:p>
        </w:tc>
      </w:tr>
      <w:tr w:rsidR="00C8286D" w14:paraId="2EBEDF0B" w14:textId="77777777" w:rsidTr="0050008E">
        <w:trPr>
          <w:cantSplit/>
        </w:trPr>
        <w:tc>
          <w:tcPr>
            <w:tcW w:w="10031" w:type="dxa"/>
            <w:gridSpan w:val="4"/>
          </w:tcPr>
          <w:p w14:paraId="09196831" w14:textId="16EE6016" w:rsidR="00C8286D" w:rsidRDefault="00CC63FE" w:rsidP="0050008E">
            <w:pPr>
              <w:pStyle w:val="Source"/>
            </w:pPr>
            <w:bookmarkStart w:id="6" w:name="dsource" w:colFirst="0" w:colLast="0"/>
            <w:bookmarkEnd w:id="5"/>
            <w:r w:rsidRPr="0054751B">
              <w:rPr>
                <w:bCs/>
                <w:szCs w:val="28"/>
                <w:lang w:val="es-ES"/>
              </w:rPr>
              <w:t>Comisión de Control del Presupuesto</w:t>
            </w:r>
          </w:p>
        </w:tc>
      </w:tr>
      <w:tr w:rsidR="00C8286D" w14:paraId="11CBCB75" w14:textId="77777777" w:rsidTr="0050008E">
        <w:trPr>
          <w:cantSplit/>
        </w:trPr>
        <w:tc>
          <w:tcPr>
            <w:tcW w:w="10031" w:type="dxa"/>
            <w:gridSpan w:val="4"/>
          </w:tcPr>
          <w:p w14:paraId="6B7F6829" w14:textId="59F8BACF" w:rsidR="00C8286D" w:rsidRDefault="00CC63FE" w:rsidP="0050008E">
            <w:pPr>
              <w:pStyle w:val="Title1"/>
            </w:pPr>
            <w:bookmarkStart w:id="7" w:name="dtitle1" w:colFirst="0" w:colLast="0"/>
            <w:bookmarkEnd w:id="6"/>
            <w:r w:rsidRPr="009F2AFD">
              <w:rPr>
                <w:szCs w:val="28"/>
                <w:lang w:val="es-ES"/>
              </w:rPr>
              <w:t>INFORME DE LA COMISIÓN DE CONTROL DEL PRESUPUESTO</w:t>
            </w:r>
          </w:p>
        </w:tc>
      </w:tr>
      <w:tr w:rsidR="00C8286D" w14:paraId="562A3156" w14:textId="77777777" w:rsidTr="0050008E">
        <w:trPr>
          <w:cantSplit/>
        </w:trPr>
        <w:tc>
          <w:tcPr>
            <w:tcW w:w="10031" w:type="dxa"/>
            <w:gridSpan w:val="4"/>
          </w:tcPr>
          <w:p w14:paraId="524903F8" w14:textId="77777777" w:rsidR="00C8286D" w:rsidRDefault="00C8286D" w:rsidP="0050008E">
            <w:pPr>
              <w:pStyle w:val="Title2"/>
            </w:pPr>
            <w:bookmarkStart w:id="8" w:name="dtitle2" w:colFirst="0" w:colLast="0"/>
            <w:bookmarkEnd w:id="7"/>
          </w:p>
        </w:tc>
      </w:tr>
      <w:tr w:rsidR="00C8286D" w14:paraId="2254D2D6" w14:textId="77777777" w:rsidTr="0050008E">
        <w:trPr>
          <w:cantSplit/>
        </w:trPr>
        <w:tc>
          <w:tcPr>
            <w:tcW w:w="10031" w:type="dxa"/>
            <w:gridSpan w:val="4"/>
          </w:tcPr>
          <w:p w14:paraId="2BB38DD4" w14:textId="77777777" w:rsidR="00C8286D" w:rsidRDefault="00C8286D" w:rsidP="0050008E">
            <w:pPr>
              <w:pStyle w:val="Title3"/>
            </w:pPr>
            <w:bookmarkStart w:id="9" w:name="dtitle3" w:colFirst="0" w:colLast="0"/>
            <w:bookmarkEnd w:id="8"/>
          </w:p>
        </w:tc>
      </w:tr>
    </w:tbl>
    <w:p w14:paraId="0C938E36" w14:textId="77777777" w:rsidR="00CC63FE" w:rsidRPr="0054751B" w:rsidRDefault="00CC63FE" w:rsidP="00CC63FE">
      <w:pPr>
        <w:pStyle w:val="Heading1"/>
        <w:rPr>
          <w:lang w:val="es-ES"/>
        </w:rPr>
      </w:pPr>
      <w:bookmarkStart w:id="10" w:name="_Hlk152601490"/>
      <w:bookmarkEnd w:id="9"/>
      <w:r w:rsidRPr="0054751B">
        <w:rPr>
          <w:lang w:val="es-ES"/>
        </w:rPr>
        <w:t>1</w:t>
      </w:r>
      <w:r w:rsidRPr="0054751B">
        <w:rPr>
          <w:lang w:val="es-ES"/>
        </w:rPr>
        <w:tab/>
        <w:t>La Comisión de Control del Presupuest</w:t>
      </w:r>
      <w:r>
        <w:rPr>
          <w:lang w:val="es-ES"/>
        </w:rPr>
        <w:t>o</w:t>
      </w:r>
    </w:p>
    <w:p w14:paraId="13C35A6D" w14:textId="77777777" w:rsidR="00CC63FE" w:rsidRPr="0054751B" w:rsidRDefault="00CC63FE" w:rsidP="00CC63FE">
      <w:pPr>
        <w:pStyle w:val="enumlev1"/>
        <w:framePr w:hSpace="180" w:wrap="around" w:hAnchor="margin" w:y="-675"/>
        <w:ind w:left="0" w:firstLine="0"/>
        <w:rPr>
          <w:rFonts w:asciiTheme="minorHAnsi" w:hAnsiTheme="minorHAnsi" w:cstheme="minorHAnsi"/>
          <w:szCs w:val="24"/>
          <w:lang w:val="es-ES"/>
        </w:rPr>
      </w:pPr>
    </w:p>
    <w:p w14:paraId="4870D2E7" w14:textId="3A39311E" w:rsidR="00CC63FE" w:rsidRPr="0054751B" w:rsidRDefault="00CC63FE" w:rsidP="00CC63FE">
      <w:pPr>
        <w:rPr>
          <w:lang w:val="es-ES"/>
        </w:rPr>
      </w:pPr>
      <w:r w:rsidRPr="0054751B">
        <w:rPr>
          <w:lang w:val="es-ES"/>
        </w:rPr>
        <w:t>1.1</w:t>
      </w:r>
      <w:r w:rsidRPr="0054751B">
        <w:rPr>
          <w:lang w:val="es-ES"/>
        </w:rPr>
        <w:tab/>
        <w:t>La Comisión de Control del Presupuesto, COM 3, e</w:t>
      </w:r>
      <w:r>
        <w:rPr>
          <w:lang w:val="es-ES"/>
        </w:rPr>
        <w:t>stá presidida por la Sra.</w:t>
      </w:r>
      <w:r w:rsidRPr="0054751B">
        <w:rPr>
          <w:lang w:val="es-ES"/>
        </w:rPr>
        <w:t> Cindy</w:t>
      </w:r>
      <w:r w:rsidR="0056382F">
        <w:rPr>
          <w:lang w:val="es-ES"/>
        </w:rPr>
        <w:t> </w:t>
      </w:r>
      <w:r w:rsidRPr="0054751B">
        <w:rPr>
          <w:lang w:val="es-ES"/>
        </w:rPr>
        <w:t xml:space="preserve">COOK </w:t>
      </w:r>
      <w:r>
        <w:rPr>
          <w:lang w:val="es-ES"/>
        </w:rPr>
        <w:t>de</w:t>
      </w:r>
      <w:r w:rsidRPr="0054751B">
        <w:rPr>
          <w:lang w:val="es-ES"/>
        </w:rPr>
        <w:t xml:space="preserve"> Canad</w:t>
      </w:r>
      <w:r>
        <w:rPr>
          <w:lang w:val="es-ES"/>
        </w:rPr>
        <w:t>á</w:t>
      </w:r>
      <w:r w:rsidRPr="0054751B">
        <w:rPr>
          <w:lang w:val="es-ES"/>
        </w:rPr>
        <w:t>. El equipo de la COM 3 está formado por los Vicepresidentes, Sra. C.</w:t>
      </w:r>
      <w:r w:rsidR="0056382F">
        <w:rPr>
          <w:lang w:val="es-ES"/>
        </w:rPr>
        <w:t> </w:t>
      </w:r>
      <w:r w:rsidRPr="0054751B">
        <w:rPr>
          <w:lang w:val="es-ES"/>
        </w:rPr>
        <w:t>Suleiman Kamil (S</w:t>
      </w:r>
      <w:r>
        <w:rPr>
          <w:lang w:val="es-ES"/>
        </w:rPr>
        <w:t>udán del Sur</w:t>
      </w:r>
      <w:r w:rsidRPr="0054751B">
        <w:rPr>
          <w:lang w:val="es-ES"/>
        </w:rPr>
        <w:t xml:space="preserve">); </w:t>
      </w:r>
      <w:r>
        <w:rPr>
          <w:lang w:val="es-ES"/>
        </w:rPr>
        <w:t>S</w:t>
      </w:r>
      <w:r w:rsidRPr="0054751B">
        <w:rPr>
          <w:lang w:val="es-ES"/>
        </w:rPr>
        <w:t xml:space="preserve">r. F. M. Albarjas (Kuwait); </w:t>
      </w:r>
      <w:r>
        <w:rPr>
          <w:lang w:val="es-ES"/>
        </w:rPr>
        <w:t>S</w:t>
      </w:r>
      <w:r w:rsidRPr="0054751B">
        <w:rPr>
          <w:lang w:val="es-ES"/>
        </w:rPr>
        <w:t xml:space="preserve">r. C. Hose (Australia); </w:t>
      </w:r>
      <w:r>
        <w:rPr>
          <w:lang w:val="es-ES"/>
        </w:rPr>
        <w:t>S</w:t>
      </w:r>
      <w:r w:rsidRPr="0054751B">
        <w:rPr>
          <w:lang w:val="es-ES"/>
        </w:rPr>
        <w:t>r. K. Concannon (Irland</w:t>
      </w:r>
      <w:r>
        <w:rPr>
          <w:lang w:val="es-ES"/>
        </w:rPr>
        <w:t>a</w:t>
      </w:r>
      <w:r w:rsidRPr="0054751B">
        <w:rPr>
          <w:lang w:val="es-ES"/>
        </w:rPr>
        <w:t xml:space="preserve">) </w:t>
      </w:r>
      <w:r>
        <w:rPr>
          <w:lang w:val="es-ES"/>
        </w:rPr>
        <w:t>y</w:t>
      </w:r>
      <w:r w:rsidRPr="0054751B">
        <w:rPr>
          <w:lang w:val="es-ES"/>
        </w:rPr>
        <w:t xml:space="preserve"> </w:t>
      </w:r>
      <w:r>
        <w:rPr>
          <w:lang w:val="es-ES"/>
        </w:rPr>
        <w:t>S</w:t>
      </w:r>
      <w:r w:rsidRPr="0054751B">
        <w:rPr>
          <w:lang w:val="es-ES"/>
        </w:rPr>
        <w:t>r. S. Myrzakhmet (Kaza</w:t>
      </w:r>
      <w:r>
        <w:rPr>
          <w:lang w:val="es-ES"/>
        </w:rPr>
        <w:t>j</w:t>
      </w:r>
      <w:r w:rsidRPr="0054751B">
        <w:rPr>
          <w:lang w:val="es-ES"/>
        </w:rPr>
        <w:t>st</w:t>
      </w:r>
      <w:r>
        <w:rPr>
          <w:lang w:val="es-ES"/>
        </w:rPr>
        <w:t>á</w:t>
      </w:r>
      <w:r w:rsidRPr="0054751B">
        <w:rPr>
          <w:lang w:val="es-ES"/>
        </w:rPr>
        <w:t xml:space="preserve">n), </w:t>
      </w:r>
      <w:r>
        <w:rPr>
          <w:lang w:val="es-ES"/>
        </w:rPr>
        <w:t>y por la Secretaría de la UIT</w:t>
      </w:r>
      <w:r w:rsidRPr="0054751B">
        <w:rPr>
          <w:lang w:val="es-ES"/>
        </w:rPr>
        <w:t>.</w:t>
      </w:r>
    </w:p>
    <w:p w14:paraId="2B57B073" w14:textId="77777777" w:rsidR="00CC63FE" w:rsidRPr="0054751B" w:rsidRDefault="00CC63FE" w:rsidP="00CC63FE">
      <w:pPr>
        <w:rPr>
          <w:lang w:val="es-ES"/>
        </w:rPr>
      </w:pPr>
      <w:r w:rsidRPr="0054751B">
        <w:rPr>
          <w:szCs w:val="24"/>
          <w:lang w:val="es-ES"/>
        </w:rPr>
        <w:t>1.2</w:t>
      </w:r>
      <w:r w:rsidRPr="0054751B">
        <w:rPr>
          <w:szCs w:val="24"/>
          <w:lang w:val="es-ES"/>
        </w:rPr>
        <w:tab/>
        <w:t>La Comisión de Control del Presupuesto se reunió en tres ocasiones durante la Conferencia Mundial de Radiocomun</w:t>
      </w:r>
      <w:r>
        <w:rPr>
          <w:szCs w:val="24"/>
          <w:lang w:val="es-ES"/>
        </w:rPr>
        <w:t>icaciones (CMR</w:t>
      </w:r>
      <w:r w:rsidRPr="0054751B">
        <w:rPr>
          <w:szCs w:val="24"/>
          <w:lang w:val="es-ES"/>
        </w:rPr>
        <w:t xml:space="preserve">-23) </w:t>
      </w:r>
      <w:r>
        <w:rPr>
          <w:szCs w:val="24"/>
          <w:lang w:val="es-ES"/>
        </w:rPr>
        <w:t>y consideró los documentos relativos a los siguientes asuntos</w:t>
      </w:r>
      <w:r w:rsidRPr="0054751B">
        <w:rPr>
          <w:szCs w:val="24"/>
          <w:lang w:val="es-ES"/>
        </w:rPr>
        <w:t>:</w:t>
      </w:r>
    </w:p>
    <w:p w14:paraId="5E18FF05" w14:textId="77777777" w:rsidR="00CC63FE" w:rsidRPr="00D70DF2" w:rsidRDefault="00CC63FE" w:rsidP="00CC63FE">
      <w:pPr>
        <w:pStyle w:val="enumlev1"/>
        <w:rPr>
          <w:lang w:val="es-ES"/>
        </w:rPr>
      </w:pPr>
      <w:r w:rsidRPr="00D70DF2">
        <w:rPr>
          <w:lang w:val="es-ES"/>
        </w:rPr>
        <w:t>1.1</w:t>
      </w:r>
      <w:r w:rsidRPr="00D70DF2">
        <w:rPr>
          <w:lang w:val="es-ES"/>
        </w:rPr>
        <w:tab/>
        <w:t>Mandato de la COM 3, estructura de la Conferencia</w:t>
      </w:r>
    </w:p>
    <w:p w14:paraId="7FFC5B73" w14:textId="77777777" w:rsidR="00CC63FE" w:rsidRPr="00D70DF2" w:rsidRDefault="00CC63FE" w:rsidP="00CC63FE">
      <w:pPr>
        <w:pStyle w:val="enumlev1"/>
        <w:rPr>
          <w:lang w:val="es-ES"/>
        </w:rPr>
      </w:pPr>
      <w:r w:rsidRPr="00D70DF2">
        <w:rPr>
          <w:lang w:val="es-ES"/>
        </w:rPr>
        <w:t>1.2</w:t>
      </w:r>
      <w:r w:rsidRPr="00D70DF2">
        <w:rPr>
          <w:lang w:val="es-ES"/>
        </w:rPr>
        <w:tab/>
        <w:t>Acuerdo con el país anfitrión</w:t>
      </w:r>
    </w:p>
    <w:p w14:paraId="0F4D358E" w14:textId="77777777" w:rsidR="00CC63FE" w:rsidRPr="00D70DF2" w:rsidRDefault="00CC63FE" w:rsidP="00CC63FE">
      <w:pPr>
        <w:pStyle w:val="enumlev1"/>
        <w:rPr>
          <w:lang w:val="es-ES"/>
        </w:rPr>
      </w:pPr>
      <w:r w:rsidRPr="00D70DF2">
        <w:rPr>
          <w:lang w:val="es-ES"/>
        </w:rPr>
        <w:t>1.3</w:t>
      </w:r>
      <w:r w:rsidRPr="00D70DF2">
        <w:rPr>
          <w:lang w:val="es-ES"/>
        </w:rPr>
        <w:tab/>
        <w:t>Responsabilidades financieras de las conferencias</w:t>
      </w:r>
    </w:p>
    <w:p w14:paraId="200C35EB" w14:textId="77777777" w:rsidR="00CC63FE" w:rsidRPr="00D70DF2" w:rsidRDefault="00CC63FE" w:rsidP="00CC63FE">
      <w:pPr>
        <w:pStyle w:val="enumlev1"/>
        <w:rPr>
          <w:lang w:val="es-ES"/>
        </w:rPr>
      </w:pPr>
      <w:r w:rsidRPr="00D70DF2">
        <w:rPr>
          <w:lang w:val="es-ES"/>
        </w:rPr>
        <w:t>1.4</w:t>
      </w:r>
      <w:r w:rsidRPr="00D70DF2">
        <w:rPr>
          <w:lang w:val="es-ES"/>
        </w:rPr>
        <w:tab/>
        <w:t>Contribuciones de organizaciones de carácter internacional y de Miembros de Sector para sufragar los gastos de la Conferencia (CMR-19)</w:t>
      </w:r>
    </w:p>
    <w:p w14:paraId="0F7D4E18" w14:textId="77777777" w:rsidR="00CC63FE" w:rsidRPr="00D70DF2" w:rsidRDefault="00CC63FE" w:rsidP="00CC63FE">
      <w:pPr>
        <w:pStyle w:val="enumlev1"/>
        <w:rPr>
          <w:lang w:val="es-ES"/>
        </w:rPr>
      </w:pPr>
      <w:r w:rsidRPr="00D70DF2">
        <w:rPr>
          <w:lang w:val="es-ES"/>
        </w:rPr>
        <w:t>1.5</w:t>
      </w:r>
      <w:r w:rsidRPr="00D70DF2">
        <w:rPr>
          <w:lang w:val="es-ES"/>
        </w:rPr>
        <w:tab/>
        <w:t>Presupuesto y gastos de la Conferencia Mundial de Radiocomunicaciones (CMR-19)</w:t>
      </w:r>
    </w:p>
    <w:p w14:paraId="55299A67" w14:textId="77777777" w:rsidR="00CC63FE" w:rsidRPr="0054751B" w:rsidRDefault="00CC63FE" w:rsidP="00CC63FE">
      <w:pPr>
        <w:pStyle w:val="enumlev1"/>
        <w:rPr>
          <w:lang w:val="es-ES"/>
        </w:rPr>
      </w:pPr>
      <w:r w:rsidRPr="0054751B">
        <w:rPr>
          <w:lang w:val="es-ES"/>
        </w:rPr>
        <w:t>1.6</w:t>
      </w:r>
      <w:r w:rsidRPr="0054751B">
        <w:rPr>
          <w:lang w:val="es-ES"/>
        </w:rPr>
        <w:tab/>
        <w:t>Situación financiera al 8 de diciembre d</w:t>
      </w:r>
      <w:r>
        <w:rPr>
          <w:lang w:val="es-ES"/>
        </w:rPr>
        <w:t>e 2023</w:t>
      </w:r>
    </w:p>
    <w:p w14:paraId="38153749" w14:textId="44F07AD3" w:rsidR="00CC63FE" w:rsidRDefault="00CC63FE" w:rsidP="00CC63FE">
      <w:pPr>
        <w:pStyle w:val="enumlev1"/>
        <w:rPr>
          <w:lang w:val="es-ES"/>
        </w:rPr>
      </w:pPr>
      <w:r w:rsidRPr="0054751B">
        <w:rPr>
          <w:lang w:val="es-ES"/>
        </w:rPr>
        <w:t>1.7</w:t>
      </w:r>
      <w:r w:rsidRPr="0054751B">
        <w:rPr>
          <w:lang w:val="es-ES"/>
        </w:rPr>
        <w:tab/>
        <w:t xml:space="preserve">Nota de la Presidenta de la COM 3 a los </w:t>
      </w:r>
      <w:r>
        <w:rPr>
          <w:lang w:val="es-ES"/>
        </w:rPr>
        <w:t>Presidentes de las demás Comisiones</w:t>
      </w:r>
    </w:p>
    <w:p w14:paraId="20F6CB81" w14:textId="77777777" w:rsidR="00CC63FE" w:rsidRPr="008A20B7" w:rsidRDefault="00CC63FE" w:rsidP="00CC63FE">
      <w:pPr>
        <w:pStyle w:val="Heading1"/>
        <w:rPr>
          <w:lang w:val="es-ES"/>
        </w:rPr>
      </w:pPr>
      <w:r w:rsidRPr="008A20B7">
        <w:rPr>
          <w:lang w:val="es-ES"/>
        </w:rPr>
        <w:t>2</w:t>
      </w:r>
      <w:r w:rsidRPr="008A20B7">
        <w:rPr>
          <w:lang w:val="es-ES"/>
        </w:rPr>
        <w:tab/>
        <w:t>Acuerdo con el pa</w:t>
      </w:r>
      <w:r>
        <w:rPr>
          <w:lang w:val="es-ES"/>
        </w:rPr>
        <w:t>ís anfitrión</w:t>
      </w:r>
      <w:r w:rsidRPr="008A20B7">
        <w:rPr>
          <w:lang w:val="es-ES"/>
        </w:rPr>
        <w:t xml:space="preserve"> (</w:t>
      </w:r>
      <w:hyperlink r:id="rId15" w:history="1">
        <w:r w:rsidRPr="008A20B7">
          <w:rPr>
            <w:rStyle w:val="Hyperlink"/>
            <w:lang w:val="es-ES"/>
          </w:rPr>
          <w:t>Document 5</w:t>
        </w:r>
      </w:hyperlink>
      <w:r w:rsidRPr="008A20B7">
        <w:rPr>
          <w:lang w:val="es-ES"/>
        </w:rPr>
        <w:t>)</w:t>
      </w:r>
    </w:p>
    <w:p w14:paraId="36E9E17D" w14:textId="77777777" w:rsidR="00CC63FE" w:rsidRPr="008A20B7" w:rsidRDefault="00CC63FE" w:rsidP="00CC63FE">
      <w:pPr>
        <w:rPr>
          <w:lang w:val="es-ES"/>
        </w:rPr>
      </w:pPr>
      <w:r w:rsidRPr="008A20B7">
        <w:rPr>
          <w:lang w:val="es-ES"/>
        </w:rPr>
        <w:t>2.1</w:t>
      </w:r>
      <w:r w:rsidRPr="008A20B7">
        <w:rPr>
          <w:lang w:val="es-ES"/>
        </w:rPr>
        <w:tab/>
      </w:r>
      <w:r w:rsidRPr="00D70DF2">
        <w:rPr>
          <w:lang w:val="es-ES"/>
        </w:rPr>
        <w:t xml:space="preserve">En relación con el Acuerdo entre el Gobierno de </w:t>
      </w:r>
      <w:r>
        <w:rPr>
          <w:lang w:val="es-ES"/>
        </w:rPr>
        <w:t>Emiratos Árabes Unidos (EAU)</w:t>
      </w:r>
      <w:r w:rsidRPr="00D70DF2">
        <w:rPr>
          <w:lang w:val="es-ES"/>
        </w:rPr>
        <w:t xml:space="preserve"> y la Unión Internacional de Telecomunicaciones relativo a la celebración, organización y financiación de la Asamblea de Radiocomunicaciones, la Conferencia Mundial de Radiocomunicaciones y la Reunión Preparatoria de la Conferencia de la Unión Internacional de Telecomunicaciones en </w:t>
      </w:r>
      <w:r>
        <w:rPr>
          <w:lang w:val="es-ES"/>
        </w:rPr>
        <w:t>Dubái (EAU</w:t>
      </w:r>
      <w:r w:rsidRPr="00D70DF2">
        <w:rPr>
          <w:lang w:val="es-ES"/>
        </w:rPr>
        <w:t xml:space="preserve">), la Comisión manifestó su profunda gratitud al Gobierno de </w:t>
      </w:r>
      <w:r>
        <w:rPr>
          <w:lang w:val="es-ES"/>
        </w:rPr>
        <w:t>Emiratos Árabes Unidos (EAU)</w:t>
      </w:r>
      <w:r w:rsidRPr="00D70DF2">
        <w:rPr>
          <w:lang w:val="es-ES"/>
        </w:rPr>
        <w:t xml:space="preserve"> por su generosidad y enorme hospitalidad</w:t>
      </w:r>
      <w:r w:rsidRPr="008A20B7">
        <w:rPr>
          <w:lang w:val="es-ES"/>
        </w:rPr>
        <w:t>.</w:t>
      </w:r>
    </w:p>
    <w:p w14:paraId="457C5924" w14:textId="77777777" w:rsidR="00CC63FE" w:rsidRPr="008A20B7" w:rsidRDefault="00CC63FE" w:rsidP="00CC63FE">
      <w:pPr>
        <w:pStyle w:val="Heading1"/>
        <w:rPr>
          <w:lang w:val="es-ES"/>
        </w:rPr>
      </w:pPr>
      <w:r w:rsidRPr="008A20B7">
        <w:rPr>
          <w:lang w:val="es-ES"/>
        </w:rPr>
        <w:lastRenderedPageBreak/>
        <w:t>3</w:t>
      </w:r>
      <w:r w:rsidRPr="008A20B7">
        <w:rPr>
          <w:lang w:val="es-ES"/>
        </w:rPr>
        <w:tab/>
        <w:t>Mandato de la COM 3 – Estructura de la Conferencia (</w:t>
      </w:r>
      <w:hyperlink r:id="rId16" w:history="1">
        <w:r w:rsidRPr="008A20B7">
          <w:rPr>
            <w:rStyle w:val="Hyperlink"/>
            <w:lang w:val="es-ES"/>
          </w:rPr>
          <w:t>Documento DT/2</w:t>
        </w:r>
      </w:hyperlink>
      <w:r w:rsidRPr="008A20B7">
        <w:rPr>
          <w:lang w:val="es-ES"/>
        </w:rPr>
        <w:t>)</w:t>
      </w:r>
    </w:p>
    <w:p w14:paraId="4E74A706" w14:textId="77777777" w:rsidR="00CC63FE" w:rsidRPr="008A20B7" w:rsidRDefault="00CC63FE" w:rsidP="00CC63FE">
      <w:pPr>
        <w:rPr>
          <w:lang w:val="es-ES"/>
        </w:rPr>
      </w:pPr>
      <w:r w:rsidRPr="008A20B7">
        <w:rPr>
          <w:lang w:val="es-ES"/>
        </w:rPr>
        <w:t>3.1</w:t>
      </w:r>
      <w:r w:rsidRPr="008A20B7">
        <w:rPr>
          <w:lang w:val="es-ES"/>
        </w:rPr>
        <w:tab/>
      </w:r>
      <w:r w:rsidRPr="00D70DF2">
        <w:rPr>
          <w:lang w:val="es-ES"/>
        </w:rPr>
        <w:t>Determinar la organización y los medios que han de ponerse a disposición de los delegados, examinar y aprobar las cuentas de los gastos de la Conferencia e informar a la Plenaria del gasto total previsto de la misma, así como de la estimación de las repercusiones financieras (número 488 del Convenio) que puedan resultar de la aplicación de las decisiones de la Conferencia (números 71 a 74 del Reglamento General)</w:t>
      </w:r>
      <w:r w:rsidRPr="008A20B7">
        <w:rPr>
          <w:lang w:val="es-ES"/>
        </w:rPr>
        <w:t>.</w:t>
      </w:r>
    </w:p>
    <w:p w14:paraId="6C386F10" w14:textId="77777777" w:rsidR="00CC63FE" w:rsidRPr="008A20B7" w:rsidRDefault="00CC63FE" w:rsidP="00CC63FE">
      <w:pPr>
        <w:pStyle w:val="Heading1"/>
        <w:rPr>
          <w:lang w:val="es-ES"/>
        </w:rPr>
      </w:pPr>
      <w:r w:rsidRPr="008A20B7">
        <w:rPr>
          <w:lang w:val="es-ES"/>
        </w:rPr>
        <w:t>4</w:t>
      </w:r>
      <w:r w:rsidRPr="008A20B7">
        <w:rPr>
          <w:lang w:val="es-ES"/>
        </w:rPr>
        <w:tab/>
        <w:t>Responsabilidades financieras de las confer</w:t>
      </w:r>
      <w:r>
        <w:rPr>
          <w:lang w:val="es-ES"/>
        </w:rPr>
        <w:t>encias</w:t>
      </w:r>
      <w:r w:rsidRPr="008A20B7">
        <w:rPr>
          <w:lang w:val="es-ES"/>
        </w:rPr>
        <w:t xml:space="preserve"> (</w:t>
      </w:r>
      <w:hyperlink r:id="rId17" w:history="1">
        <w:r w:rsidRPr="008A20B7">
          <w:rPr>
            <w:rStyle w:val="Hyperlink"/>
            <w:lang w:val="es-ES"/>
          </w:rPr>
          <w:t>Document</w:t>
        </w:r>
        <w:r>
          <w:rPr>
            <w:rStyle w:val="Hyperlink"/>
            <w:lang w:val="es-ES"/>
          </w:rPr>
          <w:t>o</w:t>
        </w:r>
        <w:r w:rsidRPr="008A20B7">
          <w:rPr>
            <w:rStyle w:val="Hyperlink"/>
            <w:lang w:val="es-ES"/>
          </w:rPr>
          <w:t xml:space="preserve"> 8</w:t>
        </w:r>
      </w:hyperlink>
      <w:r w:rsidRPr="008A20B7">
        <w:rPr>
          <w:lang w:val="es-ES"/>
        </w:rPr>
        <w:t>)</w:t>
      </w:r>
    </w:p>
    <w:p w14:paraId="4C09A981" w14:textId="77777777" w:rsidR="00CC63FE" w:rsidRPr="00D70DF2" w:rsidRDefault="00CC63FE" w:rsidP="00CC63FE">
      <w:pPr>
        <w:rPr>
          <w:lang w:val="es-ES"/>
        </w:rPr>
      </w:pPr>
      <w:r w:rsidRPr="008A20B7">
        <w:rPr>
          <w:lang w:val="es-ES"/>
        </w:rPr>
        <w:t>4.1</w:t>
      </w:r>
      <w:r w:rsidRPr="008A20B7">
        <w:rPr>
          <w:lang w:val="es-ES"/>
        </w:rPr>
        <w:tab/>
      </w:r>
      <w:r w:rsidRPr="00D70DF2">
        <w:rPr>
          <w:lang w:val="es-ES"/>
        </w:rPr>
        <w:t>Se señala a la atención de la Conferencia el número 92 (Artículo 13) de la Constitución de la Unión Internacional de Telecomunicaciones, que dispone:</w:t>
      </w:r>
    </w:p>
    <w:p w14:paraId="29B89AE6" w14:textId="77777777" w:rsidR="00CC63FE" w:rsidRPr="008A20B7" w:rsidRDefault="00CC63FE" w:rsidP="00CC63FE">
      <w:pPr>
        <w:rPr>
          <w:lang w:val="es-ES"/>
        </w:rPr>
      </w:pPr>
      <w:r w:rsidRPr="00D70DF2">
        <w:rPr>
          <w:lang w:val="es-ES"/>
        </w:rPr>
        <w:t>«Las decisiones de las Conferencias Mundiales de Radiocomunicaciones, de las Asambleas de Radiocomunicaciones y de las Conferencias Regionales de Radiocomunicaciones se ajustarán en todos los casos a la presente Constitución y al Convenio. Las decisiones de las Asambleas de Radiocomunicaciones o de las Conferencias Regionales de Radiocomunicaciones se ajustarán también en todos los casos al Reglamento de Radiocomunicaciones. Al adoptar Resoluciones y decisiones, las conferencias tendrán en cuenta sus repercusiones financieras previsibles y deberían evitar la adopción de aquellas que puedan traer consigo el rebasamiento de los límites financieros fijados por la Conferencia de Plenipotenciarios»</w:t>
      </w:r>
      <w:r>
        <w:rPr>
          <w:lang w:val="es-ES"/>
        </w:rPr>
        <w:t>.</w:t>
      </w:r>
    </w:p>
    <w:p w14:paraId="2A1B25A6" w14:textId="77777777" w:rsidR="00CC63FE" w:rsidRPr="00D70DF2" w:rsidRDefault="00CC63FE" w:rsidP="00CC63FE">
      <w:pPr>
        <w:rPr>
          <w:lang w:val="es-ES"/>
        </w:rPr>
      </w:pPr>
      <w:r w:rsidRPr="008A20B7">
        <w:rPr>
          <w:lang w:val="es-ES"/>
        </w:rPr>
        <w:t>4.2</w:t>
      </w:r>
      <w:r w:rsidRPr="008A20B7">
        <w:rPr>
          <w:lang w:val="es-ES"/>
        </w:rPr>
        <w:tab/>
      </w:r>
      <w:r w:rsidRPr="00D70DF2">
        <w:rPr>
          <w:lang w:val="es-ES"/>
        </w:rPr>
        <w:t>Se señalan también a la atención de la Conferencia los números 488 y 489 del Artículo 34 del Convenio de la Unión Internacional de Telecomunicaciones, donde se establece que:</w:t>
      </w:r>
    </w:p>
    <w:p w14:paraId="6E801EB4" w14:textId="77777777" w:rsidR="00CC63FE" w:rsidRPr="00D70DF2" w:rsidRDefault="00CC63FE" w:rsidP="00CC63FE">
      <w:pPr>
        <w:rPr>
          <w:lang w:val="es-ES"/>
        </w:rPr>
      </w:pPr>
      <w:r w:rsidRPr="00D70DF2">
        <w:rPr>
          <w:lang w:val="es-ES"/>
        </w:rPr>
        <w:t>«Antes de adoptar propuestas o de tomar decisiones que tengan repercusiones financieras, las conferencias de la Unión tendrán presentes todas las previsiones presupuestarias de la Unión para cerciorarse de que no entrañan gastos superiores a los créditos que el Consejo está facultado para autorizar.</w:t>
      </w:r>
    </w:p>
    <w:p w14:paraId="4426D195" w14:textId="77777777" w:rsidR="00CC63FE" w:rsidRPr="008A20B7" w:rsidRDefault="00CC63FE" w:rsidP="00CC63FE">
      <w:pPr>
        <w:rPr>
          <w:lang w:val="es-ES"/>
        </w:rPr>
      </w:pPr>
      <w:r w:rsidRPr="00D70DF2">
        <w:rPr>
          <w:lang w:val="es-ES"/>
        </w:rPr>
        <w:t>No se llevará a efecto ninguna decisión de una conferencia que entrañe un aumento directo o indirecto de los gastos por encima de los créditos que el Consejo está facultado para autorizar»</w:t>
      </w:r>
      <w:r>
        <w:rPr>
          <w:lang w:val="es-ES"/>
        </w:rPr>
        <w:t>.</w:t>
      </w:r>
    </w:p>
    <w:p w14:paraId="20431414" w14:textId="77777777" w:rsidR="00CC63FE" w:rsidRPr="008A20B7" w:rsidRDefault="00CC63FE" w:rsidP="00CC63FE">
      <w:pPr>
        <w:pStyle w:val="Heading1"/>
        <w:rPr>
          <w:lang w:val="es-ES"/>
        </w:rPr>
      </w:pPr>
      <w:r w:rsidRPr="008A20B7">
        <w:rPr>
          <w:lang w:val="es-ES"/>
        </w:rPr>
        <w:t>5</w:t>
      </w:r>
      <w:r w:rsidRPr="008A20B7">
        <w:rPr>
          <w:lang w:val="es-ES"/>
        </w:rPr>
        <w:tab/>
      </w:r>
      <w:r w:rsidRPr="00D70DF2">
        <w:rPr>
          <w:lang w:val="es-ES"/>
        </w:rPr>
        <w:t>Contribución de organizaciones de carácter internacional y de Miembros de Sector para sufragar los gastos de la Conferencia</w:t>
      </w:r>
      <w:r w:rsidRPr="008A20B7">
        <w:rPr>
          <w:lang w:val="es-ES"/>
        </w:rPr>
        <w:t xml:space="preserve"> (</w:t>
      </w:r>
      <w:hyperlink r:id="rId18" w:history="1">
        <w:r w:rsidRPr="008A20B7">
          <w:rPr>
            <w:rStyle w:val="Hyperlink"/>
            <w:lang w:val="es-ES"/>
          </w:rPr>
          <w:t>Document</w:t>
        </w:r>
        <w:r>
          <w:rPr>
            <w:rStyle w:val="Hyperlink"/>
            <w:lang w:val="es-ES"/>
          </w:rPr>
          <w:t>o</w:t>
        </w:r>
        <w:r w:rsidRPr="008A20B7">
          <w:rPr>
            <w:rStyle w:val="Hyperlink"/>
            <w:lang w:val="es-ES"/>
          </w:rPr>
          <w:t xml:space="preserve"> 7</w:t>
        </w:r>
      </w:hyperlink>
      <w:r w:rsidRPr="008A20B7">
        <w:rPr>
          <w:lang w:val="es-ES"/>
        </w:rPr>
        <w:t>)</w:t>
      </w:r>
    </w:p>
    <w:p w14:paraId="4865F9AA" w14:textId="77777777" w:rsidR="00CC63FE" w:rsidRPr="00D70DF2" w:rsidRDefault="00CC63FE" w:rsidP="00CC63FE">
      <w:pPr>
        <w:rPr>
          <w:lang w:val="es-ES"/>
        </w:rPr>
      </w:pPr>
      <w:r w:rsidRPr="008A20B7">
        <w:rPr>
          <w:lang w:val="es-ES"/>
        </w:rPr>
        <w:t>5.1</w:t>
      </w:r>
      <w:r w:rsidRPr="008A20B7">
        <w:rPr>
          <w:lang w:val="es-ES"/>
        </w:rPr>
        <w:tab/>
      </w:r>
      <w:r w:rsidRPr="00D70DF2">
        <w:rPr>
          <w:lang w:val="es-ES"/>
        </w:rPr>
        <w:t>El número 476 del Convenio de la Unión Internacional de Telecomunicaciones dispone que:</w:t>
      </w:r>
    </w:p>
    <w:p w14:paraId="0B27C3A8" w14:textId="77777777" w:rsidR="00CC63FE" w:rsidRPr="00D70DF2" w:rsidRDefault="00CC63FE" w:rsidP="00CC63FE">
      <w:pPr>
        <w:rPr>
          <w:lang w:val="es-ES"/>
        </w:rPr>
      </w:pPr>
      <w:r w:rsidRPr="00D70DF2">
        <w:rPr>
          <w:lang w:val="es-ES"/>
        </w:rPr>
        <w:t>«Las organizaciones indicadas en los números 269A a 269E del presente Convenio, otras organizaciones que también se indican en el Capítulo II del mismo (a menos que el Consejo las haya exonerado en régimen de reciprocidad) y los Miembros de Sector que se señalan en el número 230 del presente Convenio y que participen, de conformidad con las disposiciones pertinentes del presente Convenio, en una Conferencia de Plenipotenciarios, en una conferencia, asamblea o reunión de un Sector de la Unión, o en una Conferencia Mundial de Telecomunicaciones Internacionales, contribuirán a sufragar los gastos de las conferencias, asambleas y reuniones en las que participen sobre la base del coste de las mismas y de conformidad con el Reglamento Financiero. No obstante, los Miembros de Sector no contribuirán específicamente a los gastos correspondientes a su participación en una conferencia, asamblea o reunión de su respectivo Sector, salvo en el caso de las conferencias regionales de radiocomunicaciones».</w:t>
      </w:r>
    </w:p>
    <w:p w14:paraId="0F89AFCB" w14:textId="77777777" w:rsidR="00CC63FE" w:rsidRPr="008A20B7" w:rsidRDefault="00CC63FE" w:rsidP="00CC63FE">
      <w:pPr>
        <w:rPr>
          <w:lang w:val="es-ES"/>
        </w:rPr>
      </w:pPr>
      <w:r w:rsidRPr="00D70DF2">
        <w:rPr>
          <w:lang w:val="es-ES"/>
        </w:rPr>
        <w:lastRenderedPageBreak/>
        <w:t>En el Artículo 7.5 del Reglamento Financiero se estipula que</w:t>
      </w:r>
      <w:r w:rsidRPr="008A20B7">
        <w:rPr>
          <w:lang w:val="es-ES"/>
        </w:rPr>
        <w:t xml:space="preserve">: </w:t>
      </w:r>
    </w:p>
    <w:p w14:paraId="3029B538" w14:textId="77777777" w:rsidR="00CC63FE" w:rsidRPr="00D70DF2" w:rsidRDefault="00CC63FE" w:rsidP="00CC63FE">
      <w:pPr>
        <w:rPr>
          <w:lang w:val="es-ES"/>
        </w:rPr>
      </w:pPr>
      <w:r>
        <w:rPr>
          <w:lang w:val="es-ES"/>
        </w:rPr>
        <w:t>«</w:t>
      </w:r>
      <w:r w:rsidRPr="00D70DF2">
        <w:rPr>
          <w:lang w:val="es-ES"/>
        </w:rPr>
        <w:t>a)</w:t>
      </w:r>
      <w:r w:rsidRPr="00D70DF2">
        <w:rPr>
          <w:lang w:val="es-ES"/>
        </w:rPr>
        <w:tab/>
        <w:t xml:space="preserve">A reserva de lo dispuesto en el apartado b) </w:t>
      </w:r>
      <w:r w:rsidRPr="00D70DF2">
        <w:rPr>
          <w:i/>
          <w:iCs/>
          <w:lang w:val="es-ES"/>
        </w:rPr>
        <w:t>infra</w:t>
      </w:r>
      <w:r w:rsidRPr="00D70DF2">
        <w:rPr>
          <w:lang w:val="es-ES"/>
        </w:rPr>
        <w:t>, las contribuciones mencionadas en el número 476 del Convenio se basarán en la libre elección de una clase contributiva en la escala que figura en el número 468 del Convenio.</w:t>
      </w:r>
    </w:p>
    <w:p w14:paraId="4B1A0135" w14:textId="77777777" w:rsidR="00CC63FE" w:rsidRPr="008A20B7" w:rsidRDefault="00CC63FE" w:rsidP="00CC63FE">
      <w:pPr>
        <w:rPr>
          <w:lang w:val="es-ES"/>
        </w:rPr>
      </w:pPr>
      <w:r w:rsidRPr="00D70DF2">
        <w:rPr>
          <w:lang w:val="es-ES"/>
        </w:rPr>
        <w:t>b)</w:t>
      </w:r>
      <w:r w:rsidRPr="00D70DF2">
        <w:rPr>
          <w:lang w:val="es-ES"/>
        </w:rPr>
        <w:tab/>
        <w:t>El importe de la unidad contributiva a los gastos de conferencias y reuniones se fijará dividiendo el costo directo presupuestado de la conferencia o reunión de que se trate por el número total de unidades pagadas por los Estados Miembros como contribución a los gastos en la Unión. Las contribuciones se considerarán como ingresos de la Unión y devengarán intereses, a los tipos fijados en el número 474 del Convenio, a partir del sexagésimo día siguiente al envío de la correspondiente factura. Las organizaciones internacionales y los Miembros de Sector no exentos contribuirán al nivel mínimo de una unidad</w:t>
      </w:r>
      <w:r>
        <w:rPr>
          <w:lang w:val="es-ES"/>
        </w:rPr>
        <w:t>».</w:t>
      </w:r>
    </w:p>
    <w:p w14:paraId="3FAD1C41" w14:textId="77777777" w:rsidR="00CC63FE" w:rsidRPr="008A20B7" w:rsidRDefault="00CC63FE" w:rsidP="00CC63FE">
      <w:pPr>
        <w:rPr>
          <w:lang w:val="es-ES"/>
        </w:rPr>
      </w:pPr>
      <w:r w:rsidRPr="008A20B7">
        <w:rPr>
          <w:lang w:val="es-ES"/>
        </w:rPr>
        <w:t>5.2</w:t>
      </w:r>
      <w:r w:rsidRPr="008A20B7">
        <w:rPr>
          <w:lang w:val="es-ES"/>
        </w:rPr>
        <w:tab/>
      </w:r>
      <w:r w:rsidRPr="00D70DF2">
        <w:rPr>
          <w:lang w:val="es-ES"/>
        </w:rPr>
        <w:t>El presupuesto de la Conferencia Mundial de Radiocomunicaciones (CMR</w:t>
      </w:r>
      <w:r w:rsidRPr="00D70DF2">
        <w:rPr>
          <w:lang w:val="es-ES"/>
        </w:rPr>
        <w:noBreakHyphen/>
      </w:r>
      <w:r>
        <w:rPr>
          <w:lang w:val="es-ES"/>
        </w:rPr>
        <w:t>23</w:t>
      </w:r>
      <w:r w:rsidRPr="00D70DF2">
        <w:rPr>
          <w:lang w:val="es-ES"/>
        </w:rPr>
        <w:t>) asciende a </w:t>
      </w:r>
      <w:r>
        <w:rPr>
          <w:lang w:val="es-ES"/>
        </w:rPr>
        <w:t>5</w:t>
      </w:r>
      <w:r w:rsidRPr="00D70DF2">
        <w:rPr>
          <w:lang w:val="es-ES"/>
        </w:rPr>
        <w:t> </w:t>
      </w:r>
      <w:r>
        <w:rPr>
          <w:lang w:val="es-ES"/>
        </w:rPr>
        <w:t>181</w:t>
      </w:r>
      <w:r w:rsidRPr="00D70DF2">
        <w:rPr>
          <w:lang w:val="es-ES"/>
        </w:rPr>
        <w:t> 000 CHF, incluido el coste de la documentación. El número total de unidades contributivas de los Estados Miembros es de 34</w:t>
      </w:r>
      <w:r>
        <w:rPr>
          <w:lang w:val="es-ES"/>
        </w:rPr>
        <w:t>3</w:t>
      </w:r>
      <w:r w:rsidRPr="00D70DF2">
        <w:rPr>
          <w:lang w:val="es-ES"/>
        </w:rPr>
        <w:t xml:space="preserve"> 1</w:t>
      </w:r>
      <w:r>
        <w:rPr>
          <w:lang w:val="es-ES"/>
        </w:rPr>
        <w:t>1</w:t>
      </w:r>
      <w:r w:rsidRPr="00D70DF2">
        <w:rPr>
          <w:lang w:val="es-ES"/>
        </w:rPr>
        <w:t>/</w:t>
      </w:r>
      <w:r>
        <w:rPr>
          <w:lang w:val="es-ES"/>
        </w:rPr>
        <w:t>16</w:t>
      </w:r>
      <w:r w:rsidRPr="00D70DF2">
        <w:rPr>
          <w:lang w:val="es-ES"/>
        </w:rPr>
        <w:t>, la unidad contributiva de los Miembros de Sector (distinta de los Miembros del UIT</w:t>
      </w:r>
      <w:r w:rsidRPr="00D70DF2">
        <w:rPr>
          <w:lang w:val="es-ES"/>
        </w:rPr>
        <w:noBreakHyphen/>
        <w:t>R) y de las organizaciones internacionales no exoneradas para sufragar los gastos de la Conferencia asciende a 1</w:t>
      </w:r>
      <w:r>
        <w:rPr>
          <w:lang w:val="es-ES"/>
        </w:rPr>
        <w:t>5</w:t>
      </w:r>
      <w:r w:rsidRPr="00D70DF2">
        <w:rPr>
          <w:lang w:val="es-ES"/>
        </w:rPr>
        <w:t> </w:t>
      </w:r>
      <w:r>
        <w:rPr>
          <w:lang w:val="es-ES"/>
        </w:rPr>
        <w:t>075</w:t>
      </w:r>
      <w:r w:rsidRPr="00D70DF2">
        <w:rPr>
          <w:lang w:val="es-ES"/>
        </w:rPr>
        <w:t xml:space="preserve"> CHF</w:t>
      </w:r>
      <w:r w:rsidRPr="008A20B7">
        <w:rPr>
          <w:lang w:val="es-ES"/>
        </w:rPr>
        <w:t>.</w:t>
      </w:r>
    </w:p>
    <w:p w14:paraId="6F21C6D2" w14:textId="77777777" w:rsidR="00CC63FE" w:rsidRPr="009504FD" w:rsidRDefault="00CC63FE" w:rsidP="00CC63FE">
      <w:pPr>
        <w:rPr>
          <w:lang w:val="es-ES"/>
        </w:rPr>
      </w:pPr>
      <w:r w:rsidRPr="009504FD">
        <w:rPr>
          <w:lang w:val="es-ES"/>
        </w:rPr>
        <w:t>5.3</w:t>
      </w:r>
      <w:r w:rsidRPr="009504FD">
        <w:rPr>
          <w:lang w:val="es-ES"/>
        </w:rPr>
        <w:tab/>
      </w:r>
      <w:r>
        <w:rPr>
          <w:lang w:val="es-ES"/>
        </w:rPr>
        <w:t>Al 11 de diciembre de 2023 no se ha registrado ninguna organización o Miembro de Sector que deba participar en los gastos de la Conferencia.</w:t>
      </w:r>
    </w:p>
    <w:p w14:paraId="7DD564FD" w14:textId="77777777" w:rsidR="00CC63FE" w:rsidRPr="007E53FD" w:rsidRDefault="00CC63FE" w:rsidP="00CC63FE">
      <w:pPr>
        <w:pStyle w:val="Heading1"/>
        <w:rPr>
          <w:lang w:val="es-ES"/>
        </w:rPr>
      </w:pPr>
      <w:r w:rsidRPr="007E53FD">
        <w:rPr>
          <w:lang w:val="es-ES"/>
        </w:rPr>
        <w:t>6</w:t>
      </w:r>
      <w:r w:rsidRPr="007E53FD">
        <w:rPr>
          <w:lang w:val="es-ES"/>
        </w:rPr>
        <w:tab/>
        <w:t>Presupuesto y situación financiera de la Conferencia Mundial de Radiocomunicacio</w:t>
      </w:r>
      <w:r>
        <w:rPr>
          <w:lang w:val="es-ES"/>
        </w:rPr>
        <w:t>nes de 2023</w:t>
      </w:r>
      <w:r w:rsidRPr="007E53FD">
        <w:rPr>
          <w:lang w:val="es-ES"/>
        </w:rPr>
        <w:t xml:space="preserve"> (Document</w:t>
      </w:r>
      <w:r>
        <w:rPr>
          <w:lang w:val="es-ES"/>
        </w:rPr>
        <w:t>o</w:t>
      </w:r>
      <w:r w:rsidRPr="007E53FD">
        <w:rPr>
          <w:lang w:val="es-ES"/>
        </w:rPr>
        <w:t xml:space="preserve">s </w:t>
      </w:r>
      <w:hyperlink r:id="rId19" w:history="1">
        <w:r w:rsidRPr="007E53FD">
          <w:rPr>
            <w:rStyle w:val="Hyperlink"/>
            <w:lang w:val="es-ES"/>
          </w:rPr>
          <w:t>6</w:t>
        </w:r>
      </w:hyperlink>
      <w:r w:rsidRPr="007E53FD">
        <w:rPr>
          <w:lang w:val="es-ES"/>
        </w:rPr>
        <w:t xml:space="preserve">; </w:t>
      </w:r>
      <w:hyperlink r:id="rId20" w:history="1">
        <w:r w:rsidRPr="007E53FD">
          <w:rPr>
            <w:rStyle w:val="Hyperlink"/>
            <w:lang w:val="es-ES"/>
          </w:rPr>
          <w:t>220</w:t>
        </w:r>
      </w:hyperlink>
      <w:r w:rsidRPr="007E53FD">
        <w:rPr>
          <w:lang w:val="es-ES"/>
        </w:rPr>
        <w:t xml:space="preserve">, </w:t>
      </w:r>
      <w:hyperlink r:id="rId21" w:history="1">
        <w:r w:rsidRPr="007E53FD">
          <w:rPr>
            <w:rStyle w:val="Hyperlink"/>
            <w:lang w:val="es-ES"/>
          </w:rPr>
          <w:t>270</w:t>
        </w:r>
      </w:hyperlink>
      <w:r w:rsidRPr="007E53FD">
        <w:rPr>
          <w:lang w:val="es-ES"/>
        </w:rPr>
        <w:t xml:space="preserve"> </w:t>
      </w:r>
      <w:r>
        <w:rPr>
          <w:lang w:val="es-ES"/>
        </w:rPr>
        <w:t>y</w:t>
      </w:r>
      <w:r w:rsidRPr="007E53FD">
        <w:rPr>
          <w:lang w:val="es-ES"/>
        </w:rPr>
        <w:t xml:space="preserve"> </w:t>
      </w:r>
      <w:hyperlink r:id="rId22" w:history="1">
        <w:r w:rsidRPr="007E53FD">
          <w:rPr>
            <w:rStyle w:val="Hyperlink"/>
            <w:lang w:val="es-ES"/>
          </w:rPr>
          <w:t>387</w:t>
        </w:r>
      </w:hyperlink>
      <w:r w:rsidRPr="007E53FD">
        <w:rPr>
          <w:lang w:val="es-ES"/>
        </w:rPr>
        <w:t>)</w:t>
      </w:r>
    </w:p>
    <w:p w14:paraId="7E90441A" w14:textId="77777777" w:rsidR="00CC63FE" w:rsidRPr="007E53FD" w:rsidRDefault="00CC63FE" w:rsidP="00CC63FE">
      <w:pPr>
        <w:rPr>
          <w:lang w:val="es-ES"/>
        </w:rPr>
      </w:pPr>
      <w:r w:rsidRPr="007E53FD">
        <w:rPr>
          <w:lang w:val="es-ES"/>
        </w:rPr>
        <w:t>6.1</w:t>
      </w:r>
      <w:r w:rsidRPr="007E53FD">
        <w:rPr>
          <w:lang w:val="es-ES"/>
        </w:rPr>
        <w:tab/>
      </w:r>
      <w:r w:rsidRPr="00D70DF2">
        <w:rPr>
          <w:lang w:val="es-ES"/>
        </w:rPr>
        <w:t>El presupuesto de la Conferencia Mundial de Radiocomunicaciones (CMR</w:t>
      </w:r>
      <w:r w:rsidRPr="00D70DF2">
        <w:rPr>
          <w:lang w:val="es-ES"/>
        </w:rPr>
        <w:noBreakHyphen/>
      </w:r>
      <w:r>
        <w:rPr>
          <w:lang w:val="es-ES"/>
        </w:rPr>
        <w:t>23</w:t>
      </w:r>
      <w:r w:rsidRPr="00D70DF2">
        <w:rPr>
          <w:lang w:val="es-ES"/>
        </w:rPr>
        <w:t>) para la edición de 20</w:t>
      </w:r>
      <w:r>
        <w:rPr>
          <w:lang w:val="es-ES"/>
        </w:rPr>
        <w:t>23</w:t>
      </w:r>
      <w:r w:rsidRPr="00D70DF2">
        <w:rPr>
          <w:lang w:val="es-ES"/>
        </w:rPr>
        <w:t>, aprobado por el Consejo en su reunión de 20</w:t>
      </w:r>
      <w:r>
        <w:rPr>
          <w:lang w:val="es-ES"/>
        </w:rPr>
        <w:t>21</w:t>
      </w:r>
      <w:r w:rsidRPr="00D70DF2">
        <w:rPr>
          <w:lang w:val="es-ES"/>
        </w:rPr>
        <w:t xml:space="preserve"> mediante la Resolución 1</w:t>
      </w:r>
      <w:r>
        <w:rPr>
          <w:lang w:val="es-ES"/>
        </w:rPr>
        <w:t>405</w:t>
      </w:r>
      <w:r w:rsidRPr="00D70DF2">
        <w:rPr>
          <w:lang w:val="es-ES"/>
        </w:rPr>
        <w:t xml:space="preserve">, asciende a 2 </w:t>
      </w:r>
      <w:r>
        <w:rPr>
          <w:lang w:val="es-ES"/>
        </w:rPr>
        <w:t>449</w:t>
      </w:r>
      <w:r w:rsidRPr="00D70DF2">
        <w:rPr>
          <w:lang w:val="es-ES"/>
        </w:rPr>
        <w:t xml:space="preserve"> 000 CHF para gastos directos, además de los gastos de documentación que representan </w:t>
      </w:r>
      <w:r>
        <w:rPr>
          <w:lang w:val="es-ES"/>
        </w:rPr>
        <w:t>2</w:t>
      </w:r>
      <w:r w:rsidRPr="00D70DF2">
        <w:rPr>
          <w:lang w:val="es-ES"/>
        </w:rPr>
        <w:t> </w:t>
      </w:r>
      <w:r>
        <w:rPr>
          <w:lang w:val="es-ES"/>
        </w:rPr>
        <w:t>732</w:t>
      </w:r>
      <w:r w:rsidRPr="00D70DF2">
        <w:rPr>
          <w:lang w:val="es-ES"/>
        </w:rPr>
        <w:t> 000 CHF. Una información detallada figura en el Documento 6</w:t>
      </w:r>
      <w:r w:rsidRPr="007E53FD">
        <w:rPr>
          <w:lang w:val="es-ES"/>
        </w:rPr>
        <w:t>.</w:t>
      </w:r>
    </w:p>
    <w:p w14:paraId="7F91A5EF" w14:textId="77777777" w:rsidR="00CC63FE" w:rsidRPr="007E53FD" w:rsidRDefault="00CC63FE" w:rsidP="00CC63FE">
      <w:pPr>
        <w:rPr>
          <w:lang w:val="es-ES"/>
        </w:rPr>
      </w:pPr>
      <w:r w:rsidRPr="007E53FD">
        <w:rPr>
          <w:lang w:val="es-ES"/>
        </w:rPr>
        <w:t>6.2</w:t>
      </w:r>
      <w:r w:rsidRPr="007E53FD">
        <w:rPr>
          <w:lang w:val="es-ES"/>
        </w:rPr>
        <w:tab/>
        <w:t xml:space="preserve">En el Cuadro del Documento 387 se proporciona información detalla </w:t>
      </w:r>
      <w:r>
        <w:rPr>
          <w:lang w:val="es-ES"/>
        </w:rPr>
        <w:t>da y una previsión de estado financiero al 8 de diciembre de 2023 para la Conferencia Mundial de Radiocomunicaciones de 2023 (CMR</w:t>
      </w:r>
      <w:r w:rsidRPr="007E53FD">
        <w:rPr>
          <w:lang w:val="es-ES"/>
        </w:rPr>
        <w:t>-23). El coste total estimado para la gestión de la Conferencia, incluida la documentación es de 4 482 000 C</w:t>
      </w:r>
      <w:r>
        <w:rPr>
          <w:lang w:val="es-ES"/>
        </w:rPr>
        <w:t>HF, lo que arroja un superávit estimado de</w:t>
      </w:r>
      <w:r w:rsidRPr="007E53FD">
        <w:rPr>
          <w:lang w:val="es-ES"/>
        </w:rPr>
        <w:t xml:space="preserve"> 699 000 </w:t>
      </w:r>
      <w:r>
        <w:rPr>
          <w:lang w:val="es-ES"/>
        </w:rPr>
        <w:t>CHF al final de la Conferencia</w:t>
      </w:r>
      <w:r w:rsidRPr="007E53FD">
        <w:rPr>
          <w:lang w:val="es-ES"/>
        </w:rPr>
        <w:t>.</w:t>
      </w:r>
    </w:p>
    <w:p w14:paraId="1197B1D8" w14:textId="77777777" w:rsidR="00CC63FE" w:rsidRPr="007E53FD" w:rsidRDefault="00CC63FE" w:rsidP="00CC63FE">
      <w:pPr>
        <w:rPr>
          <w:lang w:val="es-ES"/>
        </w:rPr>
      </w:pPr>
      <w:r w:rsidRPr="007E53FD">
        <w:rPr>
          <w:lang w:val="es-ES"/>
        </w:rPr>
        <w:t>6.3</w:t>
      </w:r>
      <w:r w:rsidRPr="007E53FD">
        <w:rPr>
          <w:lang w:val="es-ES"/>
        </w:rPr>
        <w:tab/>
        <w:t>Un Estado Miembro tomó la palabra para recomendar que, en la medida de lo posible, se asignase el superávit de 699 000 C</w:t>
      </w:r>
      <w:r>
        <w:rPr>
          <w:lang w:val="es-ES"/>
        </w:rPr>
        <w:t>HF a la financiación de los resultados de la Conferencia</w:t>
      </w:r>
      <w:r w:rsidRPr="007E53FD">
        <w:rPr>
          <w:lang w:val="es-ES"/>
        </w:rPr>
        <w:t>.</w:t>
      </w:r>
    </w:p>
    <w:p w14:paraId="038E743A" w14:textId="77777777" w:rsidR="00CC63FE" w:rsidRPr="007E53FD" w:rsidRDefault="00CC63FE" w:rsidP="00CC63FE">
      <w:pPr>
        <w:rPr>
          <w:lang w:val="es-ES"/>
        </w:rPr>
      </w:pPr>
      <w:r w:rsidRPr="007E53FD">
        <w:rPr>
          <w:lang w:val="es-ES"/>
        </w:rPr>
        <w:t>6.4</w:t>
      </w:r>
      <w:r w:rsidRPr="007E53FD">
        <w:rPr>
          <w:lang w:val="es-ES"/>
        </w:rPr>
        <w:tab/>
        <w:t xml:space="preserve">En el Anexo 1 se presenta el estado financiero detallado de </w:t>
      </w:r>
      <w:r>
        <w:rPr>
          <w:lang w:val="es-ES"/>
        </w:rPr>
        <w:t>la CMR</w:t>
      </w:r>
      <w:r w:rsidRPr="007E53FD">
        <w:rPr>
          <w:lang w:val="es-ES"/>
        </w:rPr>
        <w:t>-23 a</w:t>
      </w:r>
      <w:r>
        <w:rPr>
          <w:lang w:val="es-ES"/>
        </w:rPr>
        <w:t>l</w:t>
      </w:r>
      <w:r w:rsidRPr="007E53FD">
        <w:rPr>
          <w:lang w:val="es-ES"/>
        </w:rPr>
        <w:t xml:space="preserve"> 8 </w:t>
      </w:r>
      <w:r>
        <w:rPr>
          <w:lang w:val="es-ES"/>
        </w:rPr>
        <w:t>de diciembre de</w:t>
      </w:r>
      <w:r w:rsidRPr="007E53FD">
        <w:rPr>
          <w:lang w:val="es-ES"/>
        </w:rPr>
        <w:t> 2023.</w:t>
      </w:r>
    </w:p>
    <w:p w14:paraId="0B0D96DC" w14:textId="77777777" w:rsidR="00CC63FE" w:rsidRPr="007E53FD" w:rsidRDefault="00CC63FE" w:rsidP="00CC63FE">
      <w:pPr>
        <w:pStyle w:val="Heading1"/>
        <w:rPr>
          <w:lang w:val="es-ES"/>
        </w:rPr>
      </w:pPr>
      <w:r w:rsidRPr="007E53FD">
        <w:rPr>
          <w:lang w:val="es-ES"/>
        </w:rPr>
        <w:t>7</w:t>
      </w:r>
      <w:r w:rsidRPr="007E53FD">
        <w:rPr>
          <w:lang w:val="es-ES"/>
        </w:rPr>
        <w:tab/>
        <w:t xml:space="preserve">Nota de la Presidenta de la Comisión 3 a las demás </w:t>
      </w:r>
      <w:r>
        <w:rPr>
          <w:lang w:val="es-ES"/>
        </w:rPr>
        <w:t>Comisiones</w:t>
      </w:r>
      <w:r w:rsidRPr="007E53FD">
        <w:rPr>
          <w:lang w:val="es-ES"/>
        </w:rPr>
        <w:t xml:space="preserve"> (</w:t>
      </w:r>
      <w:hyperlink r:id="rId23" w:history="1">
        <w:r w:rsidRPr="007E53FD">
          <w:rPr>
            <w:rStyle w:val="Hyperlink"/>
            <w:lang w:val="es-ES"/>
          </w:rPr>
          <w:t>Document</w:t>
        </w:r>
        <w:r>
          <w:rPr>
            <w:rStyle w:val="Hyperlink"/>
            <w:lang w:val="es-ES"/>
          </w:rPr>
          <w:t>o</w:t>
        </w:r>
        <w:r w:rsidRPr="007E53FD">
          <w:rPr>
            <w:rStyle w:val="Hyperlink"/>
            <w:lang w:val="es-ES"/>
          </w:rPr>
          <w:t xml:space="preserve"> 219</w:t>
        </w:r>
      </w:hyperlink>
      <w:r w:rsidRPr="007E53FD">
        <w:rPr>
          <w:lang w:val="es-ES"/>
        </w:rPr>
        <w:t>)</w:t>
      </w:r>
    </w:p>
    <w:p w14:paraId="23613BD5" w14:textId="77777777" w:rsidR="00CC63FE" w:rsidRPr="007416F6" w:rsidRDefault="00CC63FE" w:rsidP="00CC63FE">
      <w:pPr>
        <w:rPr>
          <w:szCs w:val="24"/>
          <w:lang w:val="es-ES"/>
        </w:rPr>
      </w:pPr>
      <w:r w:rsidRPr="007416F6">
        <w:rPr>
          <w:szCs w:val="24"/>
          <w:lang w:val="es-ES"/>
        </w:rPr>
        <w:t>7.1</w:t>
      </w:r>
      <w:r w:rsidRPr="007416F6">
        <w:rPr>
          <w:szCs w:val="24"/>
          <w:lang w:val="es-ES"/>
        </w:rPr>
        <w:tab/>
        <w:t xml:space="preserve">La Presidenta de la COM 3 envió a los Presidentes de las Comisiones </w:t>
      </w:r>
      <w:r>
        <w:rPr>
          <w:szCs w:val="24"/>
          <w:lang w:val="es-ES"/>
        </w:rPr>
        <w:t>4, 5 y 6 la nota que se reproduce en el Documento</w:t>
      </w:r>
      <w:r w:rsidRPr="007416F6">
        <w:rPr>
          <w:szCs w:val="24"/>
          <w:lang w:val="es-ES"/>
        </w:rPr>
        <w:t xml:space="preserve"> 219.</w:t>
      </w:r>
    </w:p>
    <w:p w14:paraId="64411FE9" w14:textId="77777777" w:rsidR="00CC63FE" w:rsidRPr="007416F6" w:rsidRDefault="00CC63FE" w:rsidP="00CC63FE">
      <w:pPr>
        <w:rPr>
          <w:szCs w:val="24"/>
          <w:lang w:val="es-ES"/>
        </w:rPr>
      </w:pPr>
      <w:r w:rsidRPr="007416F6">
        <w:rPr>
          <w:szCs w:val="24"/>
          <w:lang w:val="es-ES"/>
        </w:rPr>
        <w:t>7.2</w:t>
      </w:r>
      <w:r w:rsidRPr="007416F6">
        <w:rPr>
          <w:szCs w:val="24"/>
          <w:lang w:val="es-ES"/>
        </w:rPr>
        <w:tab/>
        <w:t>En la Nota se solicitaba a los Presidentes de todas las Comisiones que facilitasen, tan pronto como fuera posible, todas las indicaciones y toda la información de que dispusieran en relación con de</w:t>
      </w:r>
      <w:r>
        <w:rPr>
          <w:szCs w:val="24"/>
          <w:lang w:val="es-ES"/>
        </w:rPr>
        <w:t>cisiones, Resoluciones o modificaciones del Reglamento de Radiocomunicaciones que pudieran tener repercusiones financieras tanto para los gastos como para los ingresos, como continuación de la información presentada en el Documento</w:t>
      </w:r>
      <w:r w:rsidRPr="007416F6">
        <w:rPr>
          <w:szCs w:val="24"/>
          <w:lang w:val="es-ES"/>
        </w:rPr>
        <w:t xml:space="preserve"> 8.</w:t>
      </w:r>
    </w:p>
    <w:p w14:paraId="31721D10" w14:textId="77777777" w:rsidR="00CC63FE" w:rsidRPr="007416F6" w:rsidRDefault="00CC63FE" w:rsidP="00CC63FE">
      <w:pPr>
        <w:rPr>
          <w:szCs w:val="24"/>
          <w:lang w:val="es-ES"/>
        </w:rPr>
      </w:pPr>
      <w:bookmarkStart w:id="11" w:name="_Hlk153195628"/>
      <w:r w:rsidRPr="007416F6">
        <w:rPr>
          <w:szCs w:val="24"/>
          <w:lang w:val="es-ES"/>
        </w:rPr>
        <w:lastRenderedPageBreak/>
        <w:t>7.3</w:t>
      </w:r>
      <w:r w:rsidRPr="007416F6">
        <w:rPr>
          <w:szCs w:val="24"/>
          <w:lang w:val="es-ES"/>
        </w:rPr>
        <w:tab/>
        <w:t>Esto permitirá a la Comisión 3 asumir sus responsabilidades de estimación de las posibles consecuencias financieras que podría</w:t>
      </w:r>
      <w:r>
        <w:rPr>
          <w:szCs w:val="24"/>
          <w:lang w:val="es-ES"/>
        </w:rPr>
        <w:t>n derivarse de</w:t>
      </w:r>
      <w:r w:rsidRPr="007416F6">
        <w:rPr>
          <w:szCs w:val="24"/>
          <w:lang w:val="es-ES"/>
        </w:rPr>
        <w:t xml:space="preserve"> la ejecució</w:t>
      </w:r>
      <w:r>
        <w:rPr>
          <w:szCs w:val="24"/>
          <w:lang w:val="es-ES"/>
        </w:rPr>
        <w:t>n de las decisiones de la Conferencia</w:t>
      </w:r>
      <w:r w:rsidRPr="007416F6">
        <w:rPr>
          <w:szCs w:val="24"/>
          <w:lang w:val="es-ES"/>
        </w:rPr>
        <w:t>.</w:t>
      </w:r>
    </w:p>
    <w:bookmarkEnd w:id="11"/>
    <w:p w14:paraId="01D1CC7A" w14:textId="77777777" w:rsidR="00CC63FE" w:rsidRPr="007416F6" w:rsidRDefault="00CC63FE" w:rsidP="00CC63FE">
      <w:pPr>
        <w:rPr>
          <w:szCs w:val="24"/>
          <w:lang w:val="es-ES"/>
        </w:rPr>
      </w:pPr>
      <w:r w:rsidRPr="007416F6">
        <w:rPr>
          <w:szCs w:val="24"/>
          <w:lang w:val="es-ES"/>
        </w:rPr>
        <w:t>7.4</w:t>
      </w:r>
      <w:r w:rsidRPr="007416F6">
        <w:rPr>
          <w:szCs w:val="24"/>
          <w:lang w:val="es-ES"/>
        </w:rPr>
        <w:tab/>
        <w:t>En la Nota se señalan a la atención de la Conferencia los números 488 y 489 del Artículo 34 del Convenio y el número 92 d</w:t>
      </w:r>
      <w:r>
        <w:rPr>
          <w:szCs w:val="24"/>
          <w:lang w:val="es-ES"/>
        </w:rPr>
        <w:t>el Artículo</w:t>
      </w:r>
      <w:r w:rsidRPr="007416F6">
        <w:rPr>
          <w:szCs w:val="24"/>
          <w:lang w:val="es-ES"/>
        </w:rPr>
        <w:t xml:space="preserve"> 13 </w:t>
      </w:r>
      <w:r>
        <w:rPr>
          <w:szCs w:val="24"/>
          <w:lang w:val="es-ES"/>
        </w:rPr>
        <w:t>de la Constitución de la UIT, cuyos textos se reproducen en el apartado 4 anterior</w:t>
      </w:r>
      <w:r w:rsidRPr="007416F6">
        <w:rPr>
          <w:szCs w:val="24"/>
          <w:lang w:val="es-ES"/>
        </w:rPr>
        <w:t>.</w:t>
      </w:r>
    </w:p>
    <w:p w14:paraId="689E19BE" w14:textId="77777777" w:rsidR="00CC63FE" w:rsidRPr="00BC7670" w:rsidRDefault="00CC63FE" w:rsidP="00CC63FE">
      <w:pPr>
        <w:pStyle w:val="enumlev1"/>
        <w:tabs>
          <w:tab w:val="left" w:pos="0"/>
        </w:tabs>
        <w:ind w:left="0" w:firstLine="0"/>
        <w:rPr>
          <w:szCs w:val="24"/>
          <w:lang w:val="es-ES"/>
        </w:rPr>
      </w:pPr>
      <w:r w:rsidRPr="00BC7670">
        <w:rPr>
          <w:szCs w:val="24"/>
          <w:lang w:val="es-ES"/>
        </w:rPr>
        <w:t>7.5</w:t>
      </w:r>
      <w:r w:rsidRPr="00BC7670">
        <w:rPr>
          <w:szCs w:val="24"/>
          <w:lang w:val="es-ES"/>
        </w:rPr>
        <w:tab/>
        <w:t>Al 11 de diciembre de 2023 se han enviado a la COM 3 tres notas de las Comisiones 4, 5 y 6 en las que se indican las de</w:t>
      </w:r>
      <w:r>
        <w:rPr>
          <w:szCs w:val="24"/>
          <w:lang w:val="es-ES"/>
        </w:rPr>
        <w:t>cisiones que podrían tener consecuencias financieras (respectivamente, Documentos</w:t>
      </w:r>
      <w:r w:rsidRPr="00BC7670">
        <w:rPr>
          <w:szCs w:val="24"/>
          <w:lang w:val="es-ES"/>
        </w:rPr>
        <w:t xml:space="preserve"> 350, 439 </w:t>
      </w:r>
      <w:r>
        <w:rPr>
          <w:szCs w:val="24"/>
          <w:lang w:val="es-ES"/>
        </w:rPr>
        <w:t>y</w:t>
      </w:r>
      <w:r w:rsidRPr="00BC7670">
        <w:rPr>
          <w:szCs w:val="24"/>
          <w:lang w:val="es-ES"/>
        </w:rPr>
        <w:t xml:space="preserve"> 358).</w:t>
      </w:r>
    </w:p>
    <w:p w14:paraId="21E1B035" w14:textId="77777777" w:rsidR="00CC63FE" w:rsidRPr="00CC63FE" w:rsidRDefault="00CC63FE" w:rsidP="00CC63FE">
      <w:pPr>
        <w:pStyle w:val="Heading1"/>
        <w:rPr>
          <w:lang w:val="es-ES"/>
        </w:rPr>
      </w:pPr>
      <w:r w:rsidRPr="00CC63FE">
        <w:rPr>
          <w:lang w:val="es-ES"/>
        </w:rPr>
        <w:t>8</w:t>
      </w:r>
      <w:r w:rsidRPr="00CC63FE">
        <w:rPr>
          <w:lang w:val="es-ES"/>
        </w:rPr>
        <w:tab/>
        <w:t>Consecuencias financieras provisionales de la Conferencia Mundial de Radiocomunicaciones (CMR-23) al 8 de diciembre de 2023 (</w:t>
      </w:r>
      <w:hyperlink r:id="rId24" w:history="1">
        <w:r w:rsidRPr="00CC63FE">
          <w:rPr>
            <w:rStyle w:val="Hyperlink"/>
          </w:rPr>
          <w:t>Documento 389</w:t>
        </w:r>
      </w:hyperlink>
      <w:r w:rsidRPr="00CC63FE">
        <w:rPr>
          <w:lang w:val="es-ES"/>
        </w:rPr>
        <w:t>)</w:t>
      </w:r>
    </w:p>
    <w:p w14:paraId="6A31B027" w14:textId="77777777" w:rsidR="00CC63FE" w:rsidRPr="00BC7670" w:rsidRDefault="00CC63FE" w:rsidP="00CC63FE">
      <w:pPr>
        <w:rPr>
          <w:b/>
          <w:bCs/>
          <w:szCs w:val="24"/>
          <w:lang w:val="es-ES"/>
        </w:rPr>
      </w:pPr>
      <w:r w:rsidRPr="00BC7670">
        <w:rPr>
          <w:bCs/>
          <w:szCs w:val="24"/>
          <w:lang w:val="es-ES"/>
        </w:rPr>
        <w:t>8.1</w:t>
      </w:r>
      <w:r w:rsidRPr="00BC7670">
        <w:rPr>
          <w:bCs/>
          <w:szCs w:val="24"/>
          <w:lang w:val="es-ES"/>
        </w:rPr>
        <w:tab/>
        <w:t>Al 8 de diciembre de 2023, y sobre la base de los posibles resultados de la Conferencia hasta la fecha, la es</w:t>
      </w:r>
      <w:r>
        <w:rPr>
          <w:bCs/>
          <w:szCs w:val="24"/>
          <w:lang w:val="es-ES"/>
        </w:rPr>
        <w:t>timación provisional de las consecuencias financieras de las decisiones de la CMR-23 asciende a</w:t>
      </w:r>
      <w:r w:rsidRPr="00BC7670">
        <w:rPr>
          <w:bCs/>
          <w:szCs w:val="24"/>
          <w:lang w:val="es-ES"/>
        </w:rPr>
        <w:t> 1</w:t>
      </w:r>
      <w:r>
        <w:rPr>
          <w:bCs/>
          <w:szCs w:val="24"/>
          <w:lang w:val="es-ES"/>
        </w:rPr>
        <w:t>2,</w:t>
      </w:r>
      <w:r w:rsidRPr="00BC7670">
        <w:rPr>
          <w:bCs/>
          <w:szCs w:val="24"/>
          <w:lang w:val="es-ES"/>
        </w:rPr>
        <w:t>5 millon</w:t>
      </w:r>
      <w:r>
        <w:rPr>
          <w:bCs/>
          <w:szCs w:val="24"/>
          <w:lang w:val="es-ES"/>
        </w:rPr>
        <w:t>es CHF</w:t>
      </w:r>
      <w:r w:rsidRPr="00BC7670">
        <w:rPr>
          <w:bCs/>
          <w:szCs w:val="24"/>
          <w:lang w:val="es-ES"/>
        </w:rPr>
        <w:t>.</w:t>
      </w:r>
    </w:p>
    <w:p w14:paraId="0F3FAC47" w14:textId="77777777" w:rsidR="00CC63FE" w:rsidRPr="00BC7670" w:rsidRDefault="00CC63FE" w:rsidP="00CC63FE">
      <w:pPr>
        <w:rPr>
          <w:lang w:val="es-ES"/>
        </w:rPr>
      </w:pPr>
      <w:r w:rsidRPr="00BC7670">
        <w:rPr>
          <w:lang w:val="es-ES"/>
        </w:rPr>
        <w:t>8.2</w:t>
      </w:r>
      <w:r w:rsidRPr="00BC7670">
        <w:rPr>
          <w:lang w:val="es-ES"/>
        </w:rPr>
        <w:tab/>
        <w:t xml:space="preserve">Esta estimación se examinará y actualizará para reflejar las decisiones que se adopten al final de la </w:t>
      </w:r>
      <w:r>
        <w:rPr>
          <w:lang w:val="es-ES"/>
        </w:rPr>
        <w:t xml:space="preserve">Conferencia. </w:t>
      </w:r>
      <w:r w:rsidRPr="00BC7670">
        <w:rPr>
          <w:lang w:val="es-ES"/>
        </w:rPr>
        <w:t>Se preparará una revisión de este Informe para incluir la estimación revisada y presentarlo a la Pl</w:t>
      </w:r>
      <w:r>
        <w:rPr>
          <w:lang w:val="es-ES"/>
        </w:rPr>
        <w:t>enaria</w:t>
      </w:r>
      <w:r w:rsidRPr="00BC7670">
        <w:rPr>
          <w:lang w:val="es-ES"/>
        </w:rPr>
        <w:t>.</w:t>
      </w:r>
    </w:p>
    <w:p w14:paraId="18C0C6AF" w14:textId="77777777" w:rsidR="00CC63FE" w:rsidRPr="00BC7670" w:rsidRDefault="00CC63FE" w:rsidP="00CC63FE">
      <w:pPr>
        <w:rPr>
          <w:lang w:val="es-ES"/>
        </w:rPr>
      </w:pPr>
      <w:r w:rsidRPr="00BC7670">
        <w:rPr>
          <w:lang w:val="es-ES"/>
        </w:rPr>
        <w:t>8.3</w:t>
      </w:r>
      <w:r w:rsidRPr="00BC7670">
        <w:rPr>
          <w:lang w:val="es-ES"/>
        </w:rPr>
        <w:tab/>
        <w:t>En el Anexo 2 se detallan las consecuencias fina</w:t>
      </w:r>
      <w:r>
        <w:rPr>
          <w:lang w:val="es-ES"/>
        </w:rPr>
        <w:t>ncieras provisionales al 8 de diciembre de</w:t>
      </w:r>
      <w:r w:rsidRPr="00BC7670">
        <w:rPr>
          <w:lang w:val="es-ES"/>
        </w:rPr>
        <w:t> 2023.</w:t>
      </w:r>
    </w:p>
    <w:p w14:paraId="3692E577" w14:textId="77777777" w:rsidR="00CC63FE" w:rsidRPr="00BC7670" w:rsidRDefault="00CC63FE" w:rsidP="00CC63FE">
      <w:pPr>
        <w:pStyle w:val="Heading1"/>
        <w:rPr>
          <w:lang w:val="es-ES"/>
        </w:rPr>
      </w:pPr>
      <w:r w:rsidRPr="00BC7670">
        <w:rPr>
          <w:lang w:val="es-ES"/>
        </w:rPr>
        <w:t>9</w:t>
      </w:r>
      <w:r w:rsidRPr="00BC7670">
        <w:rPr>
          <w:lang w:val="es-ES"/>
        </w:rPr>
        <w:tab/>
      </w:r>
      <w:r w:rsidRPr="00DF2617">
        <w:rPr>
          <w:lang w:val="es-ES"/>
        </w:rPr>
        <w:t>Conclusiones</w:t>
      </w:r>
    </w:p>
    <w:p w14:paraId="3C79E16B" w14:textId="77777777" w:rsidR="00CC63FE" w:rsidRPr="00BC7670" w:rsidRDefault="00CC63FE" w:rsidP="00CC63FE">
      <w:pPr>
        <w:rPr>
          <w:lang w:val="es-ES"/>
        </w:rPr>
      </w:pPr>
      <w:r w:rsidRPr="00BC7670">
        <w:rPr>
          <w:lang w:val="es-ES"/>
        </w:rPr>
        <w:t>9.1</w:t>
      </w:r>
      <w:r w:rsidRPr="00BC7670">
        <w:rPr>
          <w:lang w:val="es-ES"/>
        </w:rPr>
        <w:tab/>
      </w:r>
      <w:r w:rsidRPr="00D70DF2">
        <w:rPr>
          <w:szCs w:val="24"/>
          <w:lang w:val="es-ES"/>
        </w:rPr>
        <w:t>Se solicita a la Conferencia que examine y apruebe el presente Informe, que se remitirá ulteriormente a</w:t>
      </w:r>
      <w:r>
        <w:rPr>
          <w:szCs w:val="24"/>
          <w:lang w:val="es-ES"/>
        </w:rPr>
        <w:t xml:space="preserve"> </w:t>
      </w:r>
      <w:r w:rsidRPr="00D70DF2">
        <w:rPr>
          <w:szCs w:val="24"/>
          <w:lang w:val="es-ES"/>
        </w:rPr>
        <w:t>l</w:t>
      </w:r>
      <w:r>
        <w:rPr>
          <w:szCs w:val="24"/>
          <w:lang w:val="es-ES"/>
        </w:rPr>
        <w:t>a</w:t>
      </w:r>
      <w:r w:rsidRPr="00D70DF2">
        <w:rPr>
          <w:szCs w:val="24"/>
          <w:lang w:val="es-ES"/>
        </w:rPr>
        <w:t xml:space="preserve"> Secretari</w:t>
      </w:r>
      <w:r>
        <w:rPr>
          <w:szCs w:val="24"/>
          <w:lang w:val="es-ES"/>
        </w:rPr>
        <w:t>a</w:t>
      </w:r>
      <w:r w:rsidRPr="00D70DF2">
        <w:rPr>
          <w:szCs w:val="24"/>
          <w:lang w:val="es-ES"/>
        </w:rPr>
        <w:t xml:space="preserve"> General junto con las observaciones y las actas de la Sesión Plenaria, en su caso, y se someterá a la consideración del Consejo en su próxima reunión de 202</w:t>
      </w:r>
      <w:r>
        <w:rPr>
          <w:szCs w:val="24"/>
          <w:lang w:val="es-ES"/>
        </w:rPr>
        <w:t>4</w:t>
      </w:r>
      <w:r w:rsidRPr="00BC7670">
        <w:rPr>
          <w:lang w:val="es-ES"/>
        </w:rPr>
        <w:t>.</w:t>
      </w:r>
    </w:p>
    <w:p w14:paraId="2AC9A1E2" w14:textId="77777777" w:rsidR="00CC63FE" w:rsidRPr="00BC7670" w:rsidRDefault="00CC63FE" w:rsidP="00CC63FE">
      <w:pPr>
        <w:rPr>
          <w:lang w:val="es-ES"/>
        </w:rPr>
      </w:pPr>
      <w:r w:rsidRPr="00BC7670">
        <w:rPr>
          <w:lang w:val="es-ES"/>
        </w:rPr>
        <w:t>9.2</w:t>
      </w:r>
      <w:r w:rsidRPr="00BC7670">
        <w:rPr>
          <w:lang w:val="es-ES"/>
        </w:rPr>
        <w:tab/>
      </w:r>
      <w:r w:rsidRPr="00D70DF2">
        <w:rPr>
          <w:szCs w:val="24"/>
          <w:lang w:val="es-ES"/>
        </w:rPr>
        <w:t xml:space="preserve">La Comisión expresó su agradecimiento al Secretario General, al Director de la Oficina de Radiocomunicaciones y </w:t>
      </w:r>
      <w:r>
        <w:rPr>
          <w:szCs w:val="24"/>
          <w:lang w:val="es-ES"/>
        </w:rPr>
        <w:t xml:space="preserve">en particular </w:t>
      </w:r>
      <w:r w:rsidRPr="00D70DF2">
        <w:rPr>
          <w:szCs w:val="24"/>
          <w:lang w:val="es-ES"/>
        </w:rPr>
        <w:t xml:space="preserve">al personal de la Secretaría por su apoyo y la excelente labor preparatoria realizada para la Comisión </w:t>
      </w:r>
      <w:r w:rsidRPr="00BC7670">
        <w:rPr>
          <w:lang w:val="es-ES"/>
        </w:rPr>
        <w:t>3.</w:t>
      </w:r>
    </w:p>
    <w:p w14:paraId="1454370B" w14:textId="77777777" w:rsidR="00CC63FE" w:rsidRPr="00243EB9" w:rsidRDefault="00CC63FE" w:rsidP="00CC63FE">
      <w:pPr>
        <w:tabs>
          <w:tab w:val="clear" w:pos="1134"/>
          <w:tab w:val="clear" w:pos="1871"/>
          <w:tab w:val="clear" w:pos="2268"/>
        </w:tabs>
        <w:overflowPunct/>
        <w:autoSpaceDE/>
        <w:autoSpaceDN/>
        <w:adjustRightInd/>
        <w:spacing w:before="0"/>
        <w:textAlignment w:val="auto"/>
        <w:rPr>
          <w:sz w:val="28"/>
          <w:szCs w:val="28"/>
        </w:rPr>
      </w:pPr>
      <w:r w:rsidRPr="00DF2617">
        <w:rPr>
          <w:lang w:val="es-ES"/>
        </w:rPr>
        <w:br w:type="page"/>
      </w:r>
      <w:bookmarkEnd w:id="10"/>
    </w:p>
    <w:p w14:paraId="502A520F" w14:textId="77777777" w:rsidR="00CC63FE" w:rsidRPr="00B63554" w:rsidRDefault="00CC63FE" w:rsidP="00CC63FE">
      <w:pPr>
        <w:pStyle w:val="AnnexNo"/>
        <w:rPr>
          <w:lang w:val="es-ES"/>
        </w:rPr>
      </w:pPr>
      <w:r w:rsidRPr="00B63554">
        <w:rPr>
          <w:lang w:val="es-ES"/>
        </w:rPr>
        <w:lastRenderedPageBreak/>
        <w:t>ANEXO 1</w:t>
      </w:r>
    </w:p>
    <w:p w14:paraId="029AECA9" w14:textId="77777777" w:rsidR="00CC63FE" w:rsidRPr="00B63554" w:rsidRDefault="00CC63FE" w:rsidP="00CC63FE">
      <w:pPr>
        <w:rPr>
          <w:lang w:val="es-ES"/>
        </w:rPr>
      </w:pPr>
    </w:p>
    <w:tbl>
      <w:tblPr>
        <w:tblW w:w="9781" w:type="dxa"/>
        <w:tblLook w:val="04A0" w:firstRow="1" w:lastRow="0" w:firstColumn="1" w:lastColumn="0" w:noHBand="0" w:noVBand="1"/>
      </w:tblPr>
      <w:tblGrid>
        <w:gridCol w:w="4407"/>
        <w:gridCol w:w="1395"/>
        <w:gridCol w:w="1454"/>
        <w:gridCol w:w="1391"/>
        <w:gridCol w:w="1134"/>
      </w:tblGrid>
      <w:tr w:rsidR="00CC63FE" w:rsidRPr="00B63554" w14:paraId="4F06BC62" w14:textId="77777777" w:rsidTr="00E576CA">
        <w:trPr>
          <w:trHeight w:val="300"/>
        </w:trPr>
        <w:tc>
          <w:tcPr>
            <w:tcW w:w="4407" w:type="dxa"/>
            <w:tcBorders>
              <w:top w:val="nil"/>
              <w:left w:val="nil"/>
              <w:bottom w:val="nil"/>
              <w:right w:val="nil"/>
            </w:tcBorders>
            <w:shd w:val="clear" w:color="auto" w:fill="auto"/>
            <w:noWrap/>
            <w:vAlign w:val="bottom"/>
            <w:hideMark/>
          </w:tcPr>
          <w:p w14:paraId="0C75AF64" w14:textId="77777777" w:rsidR="00CC63FE" w:rsidRPr="00B63554" w:rsidRDefault="00CC63FE" w:rsidP="00C35E45">
            <w:pPr>
              <w:tabs>
                <w:tab w:val="clear" w:pos="1134"/>
                <w:tab w:val="clear" w:pos="1871"/>
                <w:tab w:val="clear" w:pos="2268"/>
              </w:tabs>
              <w:overflowPunct/>
              <w:autoSpaceDE/>
              <w:autoSpaceDN/>
              <w:adjustRightInd/>
              <w:spacing w:before="0"/>
              <w:textAlignment w:val="auto"/>
              <w:rPr>
                <w:sz w:val="20"/>
                <w:szCs w:val="24"/>
                <w:lang w:val="es-ES" w:eastAsia="en-GB"/>
              </w:rPr>
            </w:pPr>
          </w:p>
        </w:tc>
        <w:tc>
          <w:tcPr>
            <w:tcW w:w="5374" w:type="dxa"/>
            <w:gridSpan w:val="4"/>
            <w:tcBorders>
              <w:top w:val="nil"/>
              <w:left w:val="nil"/>
              <w:bottom w:val="nil"/>
              <w:right w:val="nil"/>
            </w:tcBorders>
            <w:shd w:val="clear" w:color="000000" w:fill="FFFFFF"/>
            <w:vAlign w:val="bottom"/>
            <w:hideMark/>
          </w:tcPr>
          <w:p w14:paraId="19D65850" w14:textId="77777777" w:rsidR="00CC63FE" w:rsidRPr="00B63554" w:rsidRDefault="00CC63FE" w:rsidP="00C35E45">
            <w:pPr>
              <w:pStyle w:val="Tablelegend"/>
              <w:jc w:val="center"/>
              <w:rPr>
                <w:i/>
                <w:iCs/>
                <w:lang w:val="es-ES" w:eastAsia="en-GB"/>
              </w:rPr>
            </w:pPr>
            <w:r w:rsidRPr="00B63554">
              <w:rPr>
                <w:i/>
                <w:iCs/>
                <w:lang w:val="es-ES" w:eastAsia="en-GB"/>
              </w:rPr>
              <w:t>En miles CHF</w:t>
            </w:r>
          </w:p>
        </w:tc>
      </w:tr>
      <w:tr w:rsidR="00CC63FE" w:rsidRPr="00B63554" w14:paraId="12F04B51" w14:textId="77777777" w:rsidTr="00E576CA">
        <w:trPr>
          <w:trHeight w:val="1275"/>
        </w:trPr>
        <w:tc>
          <w:tcPr>
            <w:tcW w:w="4407" w:type="dxa"/>
            <w:tcBorders>
              <w:top w:val="single" w:sz="4" w:space="0" w:color="auto"/>
              <w:left w:val="single" w:sz="4" w:space="0" w:color="auto"/>
              <w:bottom w:val="nil"/>
              <w:right w:val="single" w:sz="4" w:space="0" w:color="auto"/>
            </w:tcBorders>
            <w:shd w:val="clear" w:color="000000" w:fill="FFFFFF"/>
            <w:noWrap/>
            <w:vAlign w:val="bottom"/>
            <w:hideMark/>
          </w:tcPr>
          <w:p w14:paraId="5075E98F" w14:textId="77777777" w:rsidR="00CC63FE" w:rsidRPr="00B63554" w:rsidRDefault="00CC63FE" w:rsidP="00C35E45">
            <w:pPr>
              <w:pStyle w:val="Tablehead"/>
              <w:rPr>
                <w:lang w:val="es-ES" w:eastAsia="en-GB"/>
              </w:rPr>
            </w:pPr>
            <w:r w:rsidRPr="00B63554">
              <w:rPr>
                <w:lang w:val="es-ES" w:eastAsia="en-GB"/>
              </w:rPr>
              <w:t>Partidas presupuestarias</w:t>
            </w:r>
          </w:p>
        </w:tc>
        <w:tc>
          <w:tcPr>
            <w:tcW w:w="1395" w:type="dxa"/>
            <w:tcBorders>
              <w:top w:val="single" w:sz="4" w:space="0" w:color="auto"/>
              <w:left w:val="nil"/>
              <w:bottom w:val="nil"/>
              <w:right w:val="single" w:sz="4" w:space="0" w:color="auto"/>
            </w:tcBorders>
            <w:shd w:val="clear" w:color="000000" w:fill="FFFFFF"/>
            <w:vAlign w:val="center"/>
            <w:hideMark/>
          </w:tcPr>
          <w:p w14:paraId="568DEEF6" w14:textId="77777777" w:rsidR="00CC63FE" w:rsidRPr="00B63554" w:rsidRDefault="00CC63FE" w:rsidP="00C35E45">
            <w:pPr>
              <w:pStyle w:val="Tablehead"/>
              <w:rPr>
                <w:lang w:val="es-ES" w:eastAsia="en-GB"/>
              </w:rPr>
            </w:pPr>
            <w:r w:rsidRPr="00B63554">
              <w:rPr>
                <w:lang w:val="es-ES" w:eastAsia="en-GB"/>
              </w:rPr>
              <w:t>Presupuesto CMR-23</w:t>
            </w:r>
          </w:p>
        </w:tc>
        <w:tc>
          <w:tcPr>
            <w:tcW w:w="1454" w:type="dxa"/>
            <w:tcBorders>
              <w:top w:val="single" w:sz="4" w:space="0" w:color="auto"/>
              <w:left w:val="nil"/>
              <w:bottom w:val="nil"/>
              <w:right w:val="single" w:sz="4" w:space="0" w:color="auto"/>
            </w:tcBorders>
            <w:shd w:val="clear" w:color="auto" w:fill="auto"/>
            <w:vAlign w:val="center"/>
            <w:hideMark/>
          </w:tcPr>
          <w:p w14:paraId="1E152F4E" w14:textId="77777777" w:rsidR="00CC63FE" w:rsidRPr="00B63554" w:rsidRDefault="00CC63FE" w:rsidP="00C35E45">
            <w:pPr>
              <w:pStyle w:val="Tablehead"/>
              <w:rPr>
                <w:lang w:val="es-ES" w:eastAsia="en-GB"/>
              </w:rPr>
            </w:pPr>
            <w:r w:rsidRPr="00B63554">
              <w:rPr>
                <w:lang w:val="es-ES" w:eastAsia="en-GB"/>
              </w:rPr>
              <w:t>Gastos y compromisos reales al 8 de diciembre de 2023</w:t>
            </w:r>
          </w:p>
        </w:tc>
        <w:tc>
          <w:tcPr>
            <w:tcW w:w="1391" w:type="dxa"/>
            <w:tcBorders>
              <w:top w:val="single" w:sz="4" w:space="0" w:color="auto"/>
              <w:left w:val="nil"/>
              <w:bottom w:val="nil"/>
              <w:right w:val="single" w:sz="4" w:space="0" w:color="auto"/>
            </w:tcBorders>
            <w:shd w:val="clear" w:color="auto" w:fill="auto"/>
            <w:vAlign w:val="center"/>
            <w:hideMark/>
          </w:tcPr>
          <w:p w14:paraId="2DC4984E" w14:textId="77777777" w:rsidR="00CC63FE" w:rsidRPr="00B63554" w:rsidRDefault="00CC63FE" w:rsidP="00C35E45">
            <w:pPr>
              <w:pStyle w:val="Tablehead"/>
              <w:rPr>
                <w:lang w:val="es-ES" w:eastAsia="en-GB"/>
              </w:rPr>
            </w:pPr>
            <w:r w:rsidRPr="00B63554">
              <w:rPr>
                <w:lang w:val="es-ES" w:eastAsia="en-GB"/>
              </w:rPr>
              <w:t>Gastos previstos hasta el final de la Conferencia</w:t>
            </w:r>
          </w:p>
        </w:tc>
        <w:tc>
          <w:tcPr>
            <w:tcW w:w="1134" w:type="dxa"/>
            <w:tcBorders>
              <w:top w:val="single" w:sz="4" w:space="0" w:color="auto"/>
              <w:left w:val="nil"/>
              <w:bottom w:val="nil"/>
              <w:right w:val="single" w:sz="4" w:space="0" w:color="auto"/>
            </w:tcBorders>
            <w:shd w:val="clear" w:color="auto" w:fill="auto"/>
            <w:vAlign w:val="center"/>
            <w:hideMark/>
          </w:tcPr>
          <w:p w14:paraId="6A13C16C" w14:textId="77777777" w:rsidR="00CC63FE" w:rsidRPr="00B63554" w:rsidRDefault="00CC63FE" w:rsidP="00C35E45">
            <w:pPr>
              <w:pStyle w:val="Tablehead"/>
              <w:rPr>
                <w:lang w:val="es-ES" w:eastAsia="en-GB"/>
              </w:rPr>
            </w:pPr>
            <w:r w:rsidRPr="00B63554">
              <w:rPr>
                <w:lang w:val="es-ES" w:eastAsia="en-GB"/>
              </w:rPr>
              <w:t>Balance previsto</w:t>
            </w:r>
          </w:p>
        </w:tc>
      </w:tr>
      <w:tr w:rsidR="00CC63FE" w:rsidRPr="00B63554" w14:paraId="035E3CDF" w14:textId="77777777" w:rsidTr="00E576CA">
        <w:trPr>
          <w:trHeight w:val="300"/>
        </w:trPr>
        <w:tc>
          <w:tcPr>
            <w:tcW w:w="4407" w:type="dxa"/>
            <w:tcBorders>
              <w:top w:val="nil"/>
              <w:left w:val="single" w:sz="4" w:space="0" w:color="auto"/>
              <w:bottom w:val="single" w:sz="4" w:space="0" w:color="auto"/>
              <w:right w:val="single" w:sz="4" w:space="0" w:color="auto"/>
            </w:tcBorders>
            <w:shd w:val="clear" w:color="000000" w:fill="FFFFFF"/>
            <w:noWrap/>
            <w:vAlign w:val="bottom"/>
            <w:hideMark/>
          </w:tcPr>
          <w:p w14:paraId="2786184D" w14:textId="77777777" w:rsidR="00CC63FE" w:rsidRPr="00B63554" w:rsidRDefault="00CC63FE" w:rsidP="00C35E45">
            <w:pPr>
              <w:tabs>
                <w:tab w:val="clear" w:pos="1134"/>
                <w:tab w:val="clear" w:pos="1871"/>
                <w:tab w:val="clear" w:pos="2268"/>
              </w:tabs>
              <w:overflowPunct/>
              <w:autoSpaceDE/>
              <w:autoSpaceDN/>
              <w:adjustRightInd/>
              <w:spacing w:before="0"/>
              <w:textAlignment w:val="auto"/>
              <w:rPr>
                <w:b/>
                <w:bCs/>
                <w:color w:val="000000"/>
                <w:sz w:val="20"/>
                <w:lang w:val="es-ES" w:eastAsia="en-GB"/>
              </w:rPr>
            </w:pPr>
            <w:r w:rsidRPr="00B63554">
              <w:rPr>
                <w:b/>
                <w:bCs/>
                <w:color w:val="000000"/>
                <w:sz w:val="20"/>
                <w:lang w:val="es-ES" w:eastAsia="en-GB"/>
              </w:rPr>
              <w:t> </w:t>
            </w:r>
          </w:p>
        </w:tc>
        <w:tc>
          <w:tcPr>
            <w:tcW w:w="1395" w:type="dxa"/>
            <w:tcBorders>
              <w:top w:val="nil"/>
              <w:left w:val="nil"/>
              <w:bottom w:val="single" w:sz="4" w:space="0" w:color="auto"/>
              <w:right w:val="single" w:sz="4" w:space="0" w:color="auto"/>
            </w:tcBorders>
            <w:shd w:val="clear" w:color="000000" w:fill="FFFFFF"/>
            <w:vAlign w:val="center"/>
            <w:hideMark/>
          </w:tcPr>
          <w:p w14:paraId="5E5F0C73" w14:textId="77777777" w:rsidR="00CC63FE" w:rsidRPr="00B63554" w:rsidRDefault="00CC63FE" w:rsidP="00C35E45">
            <w:pPr>
              <w:pStyle w:val="Tabletext"/>
              <w:jc w:val="center"/>
              <w:rPr>
                <w:lang w:val="es-ES" w:eastAsia="en-GB"/>
              </w:rPr>
            </w:pPr>
            <w:r w:rsidRPr="00B63554">
              <w:rPr>
                <w:lang w:val="es-ES" w:eastAsia="en-GB"/>
              </w:rPr>
              <w:t>a</w:t>
            </w:r>
          </w:p>
        </w:tc>
        <w:tc>
          <w:tcPr>
            <w:tcW w:w="1454" w:type="dxa"/>
            <w:tcBorders>
              <w:top w:val="nil"/>
              <w:left w:val="nil"/>
              <w:bottom w:val="single" w:sz="4" w:space="0" w:color="auto"/>
              <w:right w:val="nil"/>
            </w:tcBorders>
            <w:shd w:val="clear" w:color="auto" w:fill="auto"/>
            <w:vAlign w:val="center"/>
            <w:hideMark/>
          </w:tcPr>
          <w:p w14:paraId="7F6D86BE" w14:textId="77777777" w:rsidR="00CC63FE" w:rsidRPr="00B63554" w:rsidRDefault="00CC63FE" w:rsidP="00C35E45">
            <w:pPr>
              <w:pStyle w:val="Tabletext"/>
              <w:jc w:val="center"/>
              <w:rPr>
                <w:lang w:val="es-ES" w:eastAsia="en-GB"/>
              </w:rPr>
            </w:pPr>
            <w:r w:rsidRPr="00B63554">
              <w:rPr>
                <w:lang w:val="es-ES" w:eastAsia="en-GB"/>
              </w:rPr>
              <w:t>b</w:t>
            </w:r>
          </w:p>
        </w:tc>
        <w:tc>
          <w:tcPr>
            <w:tcW w:w="1391" w:type="dxa"/>
            <w:tcBorders>
              <w:top w:val="nil"/>
              <w:left w:val="single" w:sz="4" w:space="0" w:color="auto"/>
              <w:bottom w:val="single" w:sz="4" w:space="0" w:color="auto"/>
              <w:right w:val="single" w:sz="4" w:space="0" w:color="auto"/>
            </w:tcBorders>
            <w:shd w:val="clear" w:color="auto" w:fill="auto"/>
            <w:vAlign w:val="center"/>
            <w:hideMark/>
          </w:tcPr>
          <w:p w14:paraId="27D7279A" w14:textId="77777777" w:rsidR="00CC63FE" w:rsidRPr="00B63554" w:rsidRDefault="00CC63FE" w:rsidP="00C35E45">
            <w:pPr>
              <w:pStyle w:val="Tabletext"/>
              <w:jc w:val="center"/>
              <w:rPr>
                <w:lang w:val="es-ES" w:eastAsia="en-GB"/>
              </w:rPr>
            </w:pPr>
            <w:r w:rsidRPr="00B63554">
              <w:rPr>
                <w:lang w:val="es-ES" w:eastAsia="en-GB"/>
              </w:rPr>
              <w:t>c</w:t>
            </w:r>
          </w:p>
        </w:tc>
        <w:tc>
          <w:tcPr>
            <w:tcW w:w="1134" w:type="dxa"/>
            <w:tcBorders>
              <w:top w:val="nil"/>
              <w:left w:val="nil"/>
              <w:bottom w:val="single" w:sz="4" w:space="0" w:color="auto"/>
              <w:right w:val="single" w:sz="4" w:space="0" w:color="auto"/>
            </w:tcBorders>
            <w:shd w:val="clear" w:color="auto" w:fill="auto"/>
            <w:vAlign w:val="center"/>
            <w:hideMark/>
          </w:tcPr>
          <w:p w14:paraId="04170D19" w14:textId="52E5E5B7" w:rsidR="00CC63FE" w:rsidRPr="00B63554" w:rsidRDefault="00CC63FE" w:rsidP="00C35E45">
            <w:pPr>
              <w:pStyle w:val="Tabletext"/>
              <w:jc w:val="center"/>
              <w:rPr>
                <w:lang w:val="es-ES" w:eastAsia="en-GB"/>
              </w:rPr>
            </w:pPr>
            <w:r w:rsidRPr="00B63554">
              <w:rPr>
                <w:lang w:val="es-ES" w:eastAsia="en-GB"/>
              </w:rPr>
              <w:t>= a</w:t>
            </w:r>
            <w:r w:rsidR="00E576CA">
              <w:rPr>
                <w:lang w:val="es-ES" w:eastAsia="en-GB"/>
              </w:rPr>
              <w:t xml:space="preserve"> </w:t>
            </w:r>
            <w:r w:rsidR="00E576CA" w:rsidRPr="00E576CA">
              <w:rPr>
                <w:lang w:val="es-ES" w:eastAsia="en-GB"/>
              </w:rPr>
              <w:t>–</w:t>
            </w:r>
            <w:r w:rsidR="00C635E0">
              <w:rPr>
                <w:lang w:val="es-ES" w:eastAsia="en-GB"/>
              </w:rPr>
              <w:t xml:space="preserve"> </w:t>
            </w:r>
            <w:r w:rsidRPr="00B63554">
              <w:rPr>
                <w:lang w:val="es-ES" w:eastAsia="en-GB"/>
              </w:rPr>
              <w:t>(b+c)</w:t>
            </w:r>
          </w:p>
        </w:tc>
      </w:tr>
      <w:tr w:rsidR="00CC63FE" w:rsidRPr="00B63554" w14:paraId="286DDCE4" w14:textId="77777777" w:rsidTr="00E576CA">
        <w:trPr>
          <w:trHeight w:val="300"/>
        </w:trPr>
        <w:tc>
          <w:tcPr>
            <w:tcW w:w="4407" w:type="dxa"/>
            <w:tcBorders>
              <w:top w:val="nil"/>
              <w:left w:val="single" w:sz="4" w:space="0" w:color="auto"/>
              <w:bottom w:val="nil"/>
              <w:right w:val="single" w:sz="4" w:space="0" w:color="auto"/>
            </w:tcBorders>
            <w:shd w:val="clear" w:color="000000" w:fill="FFFFFF"/>
            <w:noWrap/>
            <w:vAlign w:val="bottom"/>
            <w:hideMark/>
          </w:tcPr>
          <w:p w14:paraId="5151E0BF" w14:textId="77777777" w:rsidR="00CC63FE" w:rsidRPr="00B63554" w:rsidRDefault="00CC63FE" w:rsidP="00C35E45">
            <w:pPr>
              <w:pStyle w:val="Tabletext"/>
              <w:rPr>
                <w:lang w:val="es-ES" w:eastAsia="en-GB"/>
              </w:rPr>
            </w:pPr>
            <w:r w:rsidRPr="00B63554">
              <w:rPr>
                <w:lang w:val="es-ES" w:eastAsia="en-GB"/>
              </w:rPr>
              <w:t>Gastos de personal</w:t>
            </w:r>
          </w:p>
        </w:tc>
        <w:tc>
          <w:tcPr>
            <w:tcW w:w="1395" w:type="dxa"/>
            <w:tcBorders>
              <w:top w:val="nil"/>
              <w:left w:val="nil"/>
              <w:bottom w:val="nil"/>
              <w:right w:val="single" w:sz="4" w:space="0" w:color="auto"/>
            </w:tcBorders>
            <w:shd w:val="clear" w:color="000000" w:fill="FFFFFF"/>
            <w:noWrap/>
            <w:vAlign w:val="bottom"/>
          </w:tcPr>
          <w:p w14:paraId="4D27DFE5" w14:textId="77777777" w:rsidR="00CC63FE" w:rsidRPr="00B63554" w:rsidRDefault="00CC63FE" w:rsidP="00C35E45">
            <w:pPr>
              <w:pStyle w:val="Tabletext"/>
              <w:tabs>
                <w:tab w:val="clear" w:pos="851"/>
              </w:tabs>
              <w:ind w:right="76"/>
              <w:jc w:val="center"/>
              <w:rPr>
                <w:lang w:val="es-ES" w:eastAsia="en-GB"/>
              </w:rPr>
            </w:pPr>
            <w:r w:rsidRPr="00B63554">
              <w:rPr>
                <w:lang w:val="es-ES" w:eastAsia="en-GB"/>
              </w:rPr>
              <w:t>1 856</w:t>
            </w:r>
          </w:p>
        </w:tc>
        <w:tc>
          <w:tcPr>
            <w:tcW w:w="1454" w:type="dxa"/>
            <w:tcBorders>
              <w:top w:val="nil"/>
              <w:left w:val="nil"/>
              <w:bottom w:val="nil"/>
              <w:right w:val="nil"/>
            </w:tcBorders>
            <w:shd w:val="clear" w:color="000000" w:fill="FFFFFF"/>
            <w:noWrap/>
            <w:vAlign w:val="bottom"/>
          </w:tcPr>
          <w:p w14:paraId="0DC52C3C" w14:textId="77777777" w:rsidR="00CC63FE" w:rsidRPr="00B63554" w:rsidRDefault="00CC63FE" w:rsidP="00C35E45">
            <w:pPr>
              <w:pStyle w:val="Tabletext"/>
              <w:tabs>
                <w:tab w:val="clear" w:pos="1134"/>
              </w:tabs>
              <w:ind w:right="197"/>
              <w:jc w:val="center"/>
              <w:rPr>
                <w:lang w:val="es-ES" w:eastAsia="en-GB"/>
              </w:rPr>
            </w:pPr>
            <w:r w:rsidRPr="00B63554">
              <w:rPr>
                <w:lang w:val="es-ES" w:eastAsia="en-GB"/>
              </w:rPr>
              <w:t>943</w:t>
            </w:r>
          </w:p>
        </w:tc>
        <w:tc>
          <w:tcPr>
            <w:tcW w:w="1391" w:type="dxa"/>
            <w:tcBorders>
              <w:top w:val="nil"/>
              <w:left w:val="single" w:sz="4" w:space="0" w:color="auto"/>
              <w:bottom w:val="nil"/>
              <w:right w:val="single" w:sz="4" w:space="0" w:color="auto"/>
            </w:tcBorders>
            <w:shd w:val="clear" w:color="000000" w:fill="FFFFFF"/>
            <w:noWrap/>
            <w:vAlign w:val="bottom"/>
          </w:tcPr>
          <w:p w14:paraId="603EBDAE" w14:textId="77777777" w:rsidR="00CC63FE" w:rsidRPr="00B63554" w:rsidRDefault="00CC63FE" w:rsidP="00C35E45">
            <w:pPr>
              <w:pStyle w:val="Tabletext"/>
              <w:tabs>
                <w:tab w:val="clear" w:pos="851"/>
              </w:tabs>
              <w:ind w:right="172"/>
              <w:jc w:val="center"/>
              <w:rPr>
                <w:lang w:val="es-ES" w:eastAsia="en-GB"/>
              </w:rPr>
            </w:pPr>
            <w:r w:rsidRPr="00B63554">
              <w:rPr>
                <w:lang w:val="es-ES" w:eastAsia="en-GB"/>
              </w:rPr>
              <w:t>205</w:t>
            </w:r>
          </w:p>
        </w:tc>
        <w:tc>
          <w:tcPr>
            <w:tcW w:w="1134" w:type="dxa"/>
            <w:tcBorders>
              <w:top w:val="nil"/>
              <w:left w:val="nil"/>
              <w:bottom w:val="nil"/>
              <w:right w:val="single" w:sz="4" w:space="0" w:color="auto"/>
            </w:tcBorders>
            <w:shd w:val="clear" w:color="000000" w:fill="FFFFFF"/>
            <w:noWrap/>
            <w:vAlign w:val="bottom"/>
          </w:tcPr>
          <w:p w14:paraId="61FFABC7" w14:textId="77777777" w:rsidR="00CC63FE" w:rsidRPr="00B63554" w:rsidRDefault="00CC63FE" w:rsidP="00C35E45">
            <w:pPr>
              <w:pStyle w:val="Tabletext"/>
              <w:tabs>
                <w:tab w:val="clear" w:pos="851"/>
              </w:tabs>
              <w:ind w:right="104"/>
              <w:jc w:val="center"/>
              <w:rPr>
                <w:lang w:val="es-ES" w:eastAsia="en-GB"/>
              </w:rPr>
            </w:pPr>
            <w:r w:rsidRPr="00B63554">
              <w:rPr>
                <w:lang w:val="es-ES" w:eastAsia="en-GB"/>
              </w:rPr>
              <w:t>708</w:t>
            </w:r>
          </w:p>
        </w:tc>
      </w:tr>
      <w:tr w:rsidR="00CC63FE" w:rsidRPr="00B63554" w14:paraId="54C0ACEF" w14:textId="77777777" w:rsidTr="00E576CA">
        <w:trPr>
          <w:trHeight w:val="300"/>
        </w:trPr>
        <w:tc>
          <w:tcPr>
            <w:tcW w:w="4407" w:type="dxa"/>
            <w:tcBorders>
              <w:top w:val="nil"/>
              <w:left w:val="single" w:sz="4" w:space="0" w:color="auto"/>
              <w:bottom w:val="nil"/>
              <w:right w:val="single" w:sz="4" w:space="0" w:color="auto"/>
            </w:tcBorders>
            <w:shd w:val="clear" w:color="000000" w:fill="FFFFFF"/>
            <w:noWrap/>
            <w:vAlign w:val="bottom"/>
            <w:hideMark/>
          </w:tcPr>
          <w:p w14:paraId="19BFEA60" w14:textId="77777777" w:rsidR="00CC63FE" w:rsidRPr="00B63554" w:rsidRDefault="00CC63FE" w:rsidP="00C35E45">
            <w:pPr>
              <w:pStyle w:val="Tabletext"/>
              <w:rPr>
                <w:lang w:val="es-ES" w:eastAsia="en-GB"/>
              </w:rPr>
            </w:pPr>
            <w:r w:rsidRPr="00B63554">
              <w:rPr>
                <w:lang w:val="es-ES" w:eastAsia="en-GB"/>
              </w:rPr>
              <w:t>Otros gastos de personal</w:t>
            </w:r>
          </w:p>
        </w:tc>
        <w:tc>
          <w:tcPr>
            <w:tcW w:w="1395" w:type="dxa"/>
            <w:tcBorders>
              <w:top w:val="nil"/>
              <w:left w:val="nil"/>
              <w:bottom w:val="nil"/>
              <w:right w:val="single" w:sz="4" w:space="0" w:color="auto"/>
            </w:tcBorders>
            <w:shd w:val="clear" w:color="000000" w:fill="FFFFFF"/>
            <w:noWrap/>
            <w:vAlign w:val="bottom"/>
          </w:tcPr>
          <w:p w14:paraId="728F2CA7" w14:textId="77777777" w:rsidR="00CC63FE" w:rsidRPr="00B63554" w:rsidRDefault="00CC63FE" w:rsidP="00C35E45">
            <w:pPr>
              <w:pStyle w:val="Tabletext"/>
              <w:tabs>
                <w:tab w:val="clear" w:pos="851"/>
              </w:tabs>
              <w:ind w:right="76"/>
              <w:jc w:val="center"/>
              <w:rPr>
                <w:lang w:val="es-ES" w:eastAsia="en-GB"/>
              </w:rPr>
            </w:pPr>
            <w:r w:rsidRPr="00B63554">
              <w:rPr>
                <w:lang w:val="es-ES" w:eastAsia="en-GB"/>
              </w:rPr>
              <w:t>25</w:t>
            </w:r>
          </w:p>
        </w:tc>
        <w:tc>
          <w:tcPr>
            <w:tcW w:w="1454" w:type="dxa"/>
            <w:tcBorders>
              <w:top w:val="nil"/>
              <w:left w:val="nil"/>
              <w:bottom w:val="nil"/>
              <w:right w:val="nil"/>
            </w:tcBorders>
            <w:shd w:val="clear" w:color="000000" w:fill="FFFFFF"/>
            <w:noWrap/>
            <w:vAlign w:val="bottom"/>
          </w:tcPr>
          <w:p w14:paraId="79B10351" w14:textId="77777777" w:rsidR="00CC63FE" w:rsidRPr="00B63554" w:rsidRDefault="00CC63FE" w:rsidP="00C35E45">
            <w:pPr>
              <w:pStyle w:val="Tabletext"/>
              <w:tabs>
                <w:tab w:val="clear" w:pos="1134"/>
              </w:tabs>
              <w:ind w:right="197"/>
              <w:jc w:val="center"/>
              <w:rPr>
                <w:lang w:val="es-ES" w:eastAsia="en-GB"/>
              </w:rPr>
            </w:pPr>
            <w:r w:rsidRPr="00B63554">
              <w:rPr>
                <w:lang w:val="es-ES" w:eastAsia="en-GB"/>
              </w:rPr>
              <w:t>15</w:t>
            </w:r>
          </w:p>
        </w:tc>
        <w:tc>
          <w:tcPr>
            <w:tcW w:w="1391" w:type="dxa"/>
            <w:tcBorders>
              <w:top w:val="nil"/>
              <w:left w:val="single" w:sz="4" w:space="0" w:color="auto"/>
              <w:bottom w:val="nil"/>
              <w:right w:val="single" w:sz="4" w:space="0" w:color="auto"/>
            </w:tcBorders>
            <w:shd w:val="clear" w:color="000000" w:fill="FFFFFF"/>
            <w:noWrap/>
            <w:vAlign w:val="bottom"/>
          </w:tcPr>
          <w:p w14:paraId="16D935FC" w14:textId="77777777" w:rsidR="00CC63FE" w:rsidRPr="00B63554" w:rsidRDefault="00CC63FE" w:rsidP="00C35E45">
            <w:pPr>
              <w:pStyle w:val="Tabletext"/>
              <w:tabs>
                <w:tab w:val="clear" w:pos="851"/>
              </w:tabs>
              <w:ind w:right="172"/>
              <w:jc w:val="center"/>
              <w:rPr>
                <w:lang w:val="es-ES" w:eastAsia="en-GB"/>
              </w:rPr>
            </w:pPr>
            <w:r w:rsidRPr="00B63554">
              <w:rPr>
                <w:lang w:val="es-ES" w:eastAsia="en-GB"/>
              </w:rPr>
              <w:t>4</w:t>
            </w:r>
          </w:p>
        </w:tc>
        <w:tc>
          <w:tcPr>
            <w:tcW w:w="1134" w:type="dxa"/>
            <w:tcBorders>
              <w:top w:val="nil"/>
              <w:left w:val="nil"/>
              <w:bottom w:val="nil"/>
              <w:right w:val="single" w:sz="4" w:space="0" w:color="auto"/>
            </w:tcBorders>
            <w:shd w:val="clear" w:color="000000" w:fill="FFFFFF"/>
            <w:noWrap/>
            <w:vAlign w:val="bottom"/>
          </w:tcPr>
          <w:p w14:paraId="25F8CC41" w14:textId="77777777" w:rsidR="00CC63FE" w:rsidRPr="00B63554" w:rsidRDefault="00CC63FE" w:rsidP="00C35E45">
            <w:pPr>
              <w:pStyle w:val="Tabletext"/>
              <w:tabs>
                <w:tab w:val="clear" w:pos="851"/>
              </w:tabs>
              <w:ind w:right="104"/>
              <w:jc w:val="center"/>
              <w:rPr>
                <w:lang w:val="es-ES" w:eastAsia="en-GB"/>
              </w:rPr>
            </w:pPr>
            <w:r w:rsidRPr="00B63554">
              <w:rPr>
                <w:lang w:val="es-ES" w:eastAsia="en-GB"/>
              </w:rPr>
              <w:t>6</w:t>
            </w:r>
          </w:p>
        </w:tc>
      </w:tr>
      <w:tr w:rsidR="00CC63FE" w:rsidRPr="00B63554" w14:paraId="6242218A" w14:textId="77777777" w:rsidTr="00E576CA">
        <w:trPr>
          <w:trHeight w:val="300"/>
        </w:trPr>
        <w:tc>
          <w:tcPr>
            <w:tcW w:w="4407" w:type="dxa"/>
            <w:tcBorders>
              <w:top w:val="nil"/>
              <w:left w:val="single" w:sz="4" w:space="0" w:color="auto"/>
              <w:bottom w:val="nil"/>
              <w:right w:val="single" w:sz="4" w:space="0" w:color="auto"/>
            </w:tcBorders>
            <w:shd w:val="clear" w:color="000000" w:fill="FFFFFF"/>
            <w:noWrap/>
            <w:vAlign w:val="bottom"/>
            <w:hideMark/>
          </w:tcPr>
          <w:p w14:paraId="7EB7260F" w14:textId="77777777" w:rsidR="00CC63FE" w:rsidRPr="00B63554" w:rsidRDefault="00CC63FE" w:rsidP="00C35E45">
            <w:pPr>
              <w:pStyle w:val="Tabletext"/>
              <w:rPr>
                <w:lang w:val="es-ES" w:eastAsia="en-GB"/>
              </w:rPr>
            </w:pPr>
            <w:r w:rsidRPr="00B63554">
              <w:rPr>
                <w:lang w:val="es-ES" w:eastAsia="en-GB"/>
              </w:rPr>
              <w:t>Gastos de misión</w:t>
            </w:r>
          </w:p>
        </w:tc>
        <w:tc>
          <w:tcPr>
            <w:tcW w:w="1395" w:type="dxa"/>
            <w:tcBorders>
              <w:top w:val="nil"/>
              <w:left w:val="nil"/>
              <w:bottom w:val="nil"/>
              <w:right w:val="single" w:sz="4" w:space="0" w:color="auto"/>
            </w:tcBorders>
            <w:shd w:val="clear" w:color="000000" w:fill="FFFFFF"/>
            <w:noWrap/>
            <w:vAlign w:val="bottom"/>
          </w:tcPr>
          <w:p w14:paraId="533C1A77" w14:textId="77777777" w:rsidR="00CC63FE" w:rsidRPr="00B63554" w:rsidRDefault="00CC63FE" w:rsidP="00C35E45">
            <w:pPr>
              <w:pStyle w:val="Tabletext"/>
              <w:tabs>
                <w:tab w:val="clear" w:pos="851"/>
              </w:tabs>
              <w:ind w:right="76"/>
              <w:jc w:val="center"/>
              <w:rPr>
                <w:lang w:val="es-ES" w:eastAsia="en-GB"/>
              </w:rPr>
            </w:pPr>
            <w:r w:rsidRPr="00B63554">
              <w:rPr>
                <w:lang w:val="es-ES" w:eastAsia="en-GB"/>
              </w:rPr>
              <w:t>225</w:t>
            </w:r>
          </w:p>
        </w:tc>
        <w:tc>
          <w:tcPr>
            <w:tcW w:w="1454" w:type="dxa"/>
            <w:tcBorders>
              <w:top w:val="nil"/>
              <w:left w:val="nil"/>
              <w:bottom w:val="nil"/>
              <w:right w:val="nil"/>
            </w:tcBorders>
            <w:shd w:val="clear" w:color="000000" w:fill="FFFFFF"/>
            <w:noWrap/>
            <w:vAlign w:val="bottom"/>
          </w:tcPr>
          <w:p w14:paraId="43D01B60" w14:textId="77777777" w:rsidR="00CC63FE" w:rsidRPr="00B63554" w:rsidRDefault="00CC63FE" w:rsidP="00C35E45">
            <w:pPr>
              <w:pStyle w:val="Tabletext"/>
              <w:tabs>
                <w:tab w:val="clear" w:pos="1134"/>
              </w:tabs>
              <w:ind w:right="197"/>
              <w:jc w:val="center"/>
              <w:rPr>
                <w:lang w:val="es-ES" w:eastAsia="en-GB"/>
              </w:rPr>
            </w:pPr>
            <w:r w:rsidRPr="00B63554">
              <w:rPr>
                <w:lang w:val="es-ES" w:eastAsia="en-GB"/>
              </w:rPr>
              <w:t>2</w:t>
            </w:r>
          </w:p>
        </w:tc>
        <w:tc>
          <w:tcPr>
            <w:tcW w:w="1391" w:type="dxa"/>
            <w:tcBorders>
              <w:top w:val="nil"/>
              <w:left w:val="single" w:sz="4" w:space="0" w:color="auto"/>
              <w:bottom w:val="nil"/>
              <w:right w:val="single" w:sz="4" w:space="0" w:color="auto"/>
            </w:tcBorders>
            <w:shd w:val="clear" w:color="000000" w:fill="FFFFFF"/>
            <w:noWrap/>
            <w:vAlign w:val="bottom"/>
          </w:tcPr>
          <w:p w14:paraId="21B70B0B" w14:textId="77777777" w:rsidR="00CC63FE" w:rsidRPr="00B63554" w:rsidRDefault="00CC63FE" w:rsidP="00C35E45">
            <w:pPr>
              <w:pStyle w:val="Tabletext"/>
              <w:tabs>
                <w:tab w:val="clear" w:pos="851"/>
              </w:tabs>
              <w:ind w:right="172"/>
              <w:jc w:val="center"/>
              <w:rPr>
                <w:lang w:val="es-ES" w:eastAsia="en-GB"/>
              </w:rPr>
            </w:pPr>
            <w:r w:rsidRPr="00B63554">
              <w:rPr>
                <w:lang w:val="es-ES" w:eastAsia="en-GB"/>
              </w:rPr>
              <w:t>223</w:t>
            </w:r>
          </w:p>
        </w:tc>
        <w:tc>
          <w:tcPr>
            <w:tcW w:w="1134" w:type="dxa"/>
            <w:tcBorders>
              <w:top w:val="nil"/>
              <w:left w:val="nil"/>
              <w:bottom w:val="nil"/>
              <w:right w:val="single" w:sz="4" w:space="0" w:color="auto"/>
            </w:tcBorders>
            <w:shd w:val="clear" w:color="000000" w:fill="FFFFFF"/>
            <w:noWrap/>
            <w:vAlign w:val="bottom"/>
          </w:tcPr>
          <w:p w14:paraId="062F5E52" w14:textId="77777777" w:rsidR="00CC63FE" w:rsidRPr="00B63554" w:rsidRDefault="00CC63FE" w:rsidP="00C35E45">
            <w:pPr>
              <w:pStyle w:val="Tabletext"/>
              <w:tabs>
                <w:tab w:val="clear" w:pos="851"/>
              </w:tabs>
              <w:ind w:right="104"/>
              <w:jc w:val="center"/>
              <w:rPr>
                <w:lang w:val="es-ES" w:eastAsia="en-GB"/>
              </w:rPr>
            </w:pPr>
            <w:r w:rsidRPr="00B63554">
              <w:rPr>
                <w:lang w:val="es-ES" w:eastAsia="en-GB"/>
              </w:rPr>
              <w:t>0</w:t>
            </w:r>
          </w:p>
        </w:tc>
      </w:tr>
      <w:tr w:rsidR="00CC63FE" w:rsidRPr="00B63554" w14:paraId="74667655" w14:textId="77777777" w:rsidTr="00E576CA">
        <w:trPr>
          <w:trHeight w:val="300"/>
        </w:trPr>
        <w:tc>
          <w:tcPr>
            <w:tcW w:w="4407" w:type="dxa"/>
            <w:tcBorders>
              <w:top w:val="nil"/>
              <w:left w:val="single" w:sz="4" w:space="0" w:color="auto"/>
              <w:bottom w:val="nil"/>
              <w:right w:val="single" w:sz="4" w:space="0" w:color="auto"/>
            </w:tcBorders>
            <w:shd w:val="clear" w:color="000000" w:fill="FFFFFF"/>
            <w:noWrap/>
            <w:vAlign w:val="bottom"/>
            <w:hideMark/>
          </w:tcPr>
          <w:p w14:paraId="1E0D9C5A" w14:textId="77777777" w:rsidR="00CC63FE" w:rsidRPr="00B63554" w:rsidRDefault="00CC63FE" w:rsidP="00C35E45">
            <w:pPr>
              <w:pStyle w:val="Tabletext"/>
              <w:rPr>
                <w:lang w:val="es-ES" w:eastAsia="en-GB"/>
              </w:rPr>
            </w:pPr>
            <w:r w:rsidRPr="00B63554">
              <w:rPr>
                <w:lang w:val="es-ES" w:eastAsia="en-GB"/>
              </w:rPr>
              <w:t>Servicios por contrato</w:t>
            </w:r>
          </w:p>
        </w:tc>
        <w:tc>
          <w:tcPr>
            <w:tcW w:w="1395" w:type="dxa"/>
            <w:tcBorders>
              <w:top w:val="nil"/>
              <w:left w:val="nil"/>
              <w:bottom w:val="nil"/>
              <w:right w:val="single" w:sz="4" w:space="0" w:color="auto"/>
            </w:tcBorders>
            <w:shd w:val="clear" w:color="000000" w:fill="FFFFFF"/>
            <w:noWrap/>
            <w:vAlign w:val="bottom"/>
          </w:tcPr>
          <w:p w14:paraId="0B33EDC8" w14:textId="77777777" w:rsidR="00CC63FE" w:rsidRPr="00B63554" w:rsidRDefault="00CC63FE" w:rsidP="00C35E45">
            <w:pPr>
              <w:pStyle w:val="Tabletext"/>
              <w:tabs>
                <w:tab w:val="clear" w:pos="851"/>
              </w:tabs>
              <w:ind w:right="76"/>
              <w:jc w:val="center"/>
              <w:rPr>
                <w:lang w:val="es-ES" w:eastAsia="en-GB"/>
              </w:rPr>
            </w:pPr>
            <w:r w:rsidRPr="00B63554">
              <w:rPr>
                <w:lang w:val="es-ES" w:eastAsia="en-GB"/>
              </w:rPr>
              <w:t>120</w:t>
            </w:r>
          </w:p>
        </w:tc>
        <w:tc>
          <w:tcPr>
            <w:tcW w:w="1454" w:type="dxa"/>
            <w:tcBorders>
              <w:top w:val="nil"/>
              <w:left w:val="nil"/>
              <w:bottom w:val="nil"/>
              <w:right w:val="nil"/>
            </w:tcBorders>
            <w:shd w:val="clear" w:color="000000" w:fill="FFFFFF"/>
            <w:noWrap/>
            <w:vAlign w:val="bottom"/>
          </w:tcPr>
          <w:p w14:paraId="6235D743" w14:textId="77777777" w:rsidR="00CC63FE" w:rsidRPr="00B63554" w:rsidRDefault="00CC63FE" w:rsidP="00C35E45">
            <w:pPr>
              <w:pStyle w:val="Tabletext"/>
              <w:tabs>
                <w:tab w:val="clear" w:pos="1134"/>
              </w:tabs>
              <w:ind w:right="197"/>
              <w:jc w:val="center"/>
              <w:rPr>
                <w:lang w:val="es-ES" w:eastAsia="en-GB"/>
              </w:rPr>
            </w:pPr>
            <w:r w:rsidRPr="00B63554">
              <w:rPr>
                <w:lang w:val="es-ES" w:eastAsia="en-GB"/>
              </w:rPr>
              <w:t>18</w:t>
            </w:r>
          </w:p>
        </w:tc>
        <w:tc>
          <w:tcPr>
            <w:tcW w:w="1391" w:type="dxa"/>
            <w:tcBorders>
              <w:top w:val="nil"/>
              <w:left w:val="single" w:sz="4" w:space="0" w:color="auto"/>
              <w:bottom w:val="nil"/>
              <w:right w:val="single" w:sz="4" w:space="0" w:color="auto"/>
            </w:tcBorders>
            <w:shd w:val="clear" w:color="000000" w:fill="FFFFFF"/>
            <w:noWrap/>
            <w:vAlign w:val="bottom"/>
          </w:tcPr>
          <w:p w14:paraId="46901BBA" w14:textId="77777777" w:rsidR="00CC63FE" w:rsidRPr="00B63554" w:rsidRDefault="00CC63FE" w:rsidP="00C35E45">
            <w:pPr>
              <w:pStyle w:val="Tabletext"/>
              <w:tabs>
                <w:tab w:val="clear" w:pos="851"/>
              </w:tabs>
              <w:ind w:right="172"/>
              <w:jc w:val="center"/>
              <w:rPr>
                <w:lang w:val="es-ES" w:eastAsia="en-GB"/>
              </w:rPr>
            </w:pPr>
            <w:r w:rsidRPr="00B63554">
              <w:rPr>
                <w:lang w:val="es-ES" w:eastAsia="en-GB"/>
              </w:rPr>
              <w:t>20</w:t>
            </w:r>
          </w:p>
        </w:tc>
        <w:tc>
          <w:tcPr>
            <w:tcW w:w="1134" w:type="dxa"/>
            <w:tcBorders>
              <w:top w:val="nil"/>
              <w:left w:val="nil"/>
              <w:bottom w:val="nil"/>
              <w:right w:val="single" w:sz="4" w:space="0" w:color="auto"/>
            </w:tcBorders>
            <w:shd w:val="clear" w:color="000000" w:fill="FFFFFF"/>
            <w:noWrap/>
            <w:vAlign w:val="bottom"/>
          </w:tcPr>
          <w:p w14:paraId="2184881D" w14:textId="77777777" w:rsidR="00CC63FE" w:rsidRPr="00B63554" w:rsidRDefault="00CC63FE" w:rsidP="00C35E45">
            <w:pPr>
              <w:pStyle w:val="Tabletext"/>
              <w:tabs>
                <w:tab w:val="clear" w:pos="851"/>
              </w:tabs>
              <w:ind w:right="104"/>
              <w:jc w:val="center"/>
              <w:rPr>
                <w:lang w:val="es-ES" w:eastAsia="en-GB"/>
              </w:rPr>
            </w:pPr>
            <w:r w:rsidRPr="00B63554">
              <w:rPr>
                <w:lang w:val="es-ES" w:eastAsia="en-GB"/>
              </w:rPr>
              <w:t>82</w:t>
            </w:r>
          </w:p>
        </w:tc>
      </w:tr>
      <w:tr w:rsidR="00CC63FE" w:rsidRPr="00B63554" w14:paraId="5FC9E8B2" w14:textId="77777777" w:rsidTr="00E576CA">
        <w:trPr>
          <w:trHeight w:val="300"/>
        </w:trPr>
        <w:tc>
          <w:tcPr>
            <w:tcW w:w="4407" w:type="dxa"/>
            <w:tcBorders>
              <w:top w:val="nil"/>
              <w:left w:val="single" w:sz="4" w:space="0" w:color="auto"/>
              <w:bottom w:val="nil"/>
              <w:right w:val="single" w:sz="4" w:space="0" w:color="auto"/>
            </w:tcBorders>
            <w:shd w:val="clear" w:color="000000" w:fill="FFFFFF"/>
            <w:noWrap/>
            <w:vAlign w:val="bottom"/>
            <w:hideMark/>
          </w:tcPr>
          <w:p w14:paraId="19D684C1" w14:textId="77777777" w:rsidR="00CC63FE" w:rsidRPr="00B63554" w:rsidRDefault="00CC63FE" w:rsidP="00C35E45">
            <w:pPr>
              <w:pStyle w:val="Tabletext"/>
              <w:rPr>
                <w:lang w:val="es-ES" w:eastAsia="en-GB"/>
              </w:rPr>
            </w:pPr>
            <w:r w:rsidRPr="00B63554">
              <w:rPr>
                <w:lang w:val="es-ES" w:eastAsia="en-GB"/>
              </w:rPr>
              <w:t>Alquiler y conservación de edificios y equipos</w:t>
            </w:r>
          </w:p>
        </w:tc>
        <w:tc>
          <w:tcPr>
            <w:tcW w:w="1395" w:type="dxa"/>
            <w:tcBorders>
              <w:top w:val="nil"/>
              <w:left w:val="nil"/>
              <w:bottom w:val="nil"/>
              <w:right w:val="single" w:sz="4" w:space="0" w:color="auto"/>
            </w:tcBorders>
            <w:shd w:val="clear" w:color="000000" w:fill="FFFFFF"/>
            <w:noWrap/>
            <w:vAlign w:val="bottom"/>
          </w:tcPr>
          <w:p w14:paraId="55AFACEA" w14:textId="77777777" w:rsidR="00CC63FE" w:rsidRPr="00B63554" w:rsidRDefault="00CC63FE" w:rsidP="00C35E45">
            <w:pPr>
              <w:pStyle w:val="Tabletext"/>
              <w:tabs>
                <w:tab w:val="clear" w:pos="851"/>
              </w:tabs>
              <w:ind w:right="76"/>
              <w:jc w:val="center"/>
              <w:rPr>
                <w:lang w:val="es-ES" w:eastAsia="en-GB"/>
              </w:rPr>
            </w:pPr>
            <w:r w:rsidRPr="00B63554">
              <w:rPr>
                <w:lang w:val="es-ES" w:eastAsia="en-GB"/>
              </w:rPr>
              <w:t>200</w:t>
            </w:r>
          </w:p>
        </w:tc>
        <w:tc>
          <w:tcPr>
            <w:tcW w:w="1454" w:type="dxa"/>
            <w:tcBorders>
              <w:top w:val="nil"/>
              <w:left w:val="nil"/>
              <w:bottom w:val="nil"/>
              <w:right w:val="nil"/>
            </w:tcBorders>
            <w:shd w:val="clear" w:color="000000" w:fill="FFFFFF"/>
            <w:noWrap/>
            <w:vAlign w:val="bottom"/>
          </w:tcPr>
          <w:p w14:paraId="4F896DD1" w14:textId="77777777" w:rsidR="00CC63FE" w:rsidRPr="00B63554" w:rsidRDefault="00CC63FE" w:rsidP="00C35E45">
            <w:pPr>
              <w:pStyle w:val="Tabletext"/>
              <w:tabs>
                <w:tab w:val="clear" w:pos="1134"/>
              </w:tabs>
              <w:ind w:right="197"/>
              <w:jc w:val="center"/>
              <w:rPr>
                <w:lang w:val="es-ES" w:eastAsia="en-GB"/>
              </w:rPr>
            </w:pPr>
          </w:p>
        </w:tc>
        <w:tc>
          <w:tcPr>
            <w:tcW w:w="1391" w:type="dxa"/>
            <w:tcBorders>
              <w:top w:val="nil"/>
              <w:left w:val="single" w:sz="4" w:space="0" w:color="auto"/>
              <w:bottom w:val="nil"/>
              <w:right w:val="single" w:sz="4" w:space="0" w:color="auto"/>
            </w:tcBorders>
            <w:shd w:val="clear" w:color="000000" w:fill="FFFFFF"/>
            <w:noWrap/>
            <w:vAlign w:val="bottom"/>
          </w:tcPr>
          <w:p w14:paraId="6646B879" w14:textId="77777777" w:rsidR="00CC63FE" w:rsidRPr="00B63554" w:rsidRDefault="00CC63FE" w:rsidP="00C35E45">
            <w:pPr>
              <w:pStyle w:val="Tabletext"/>
              <w:tabs>
                <w:tab w:val="clear" w:pos="851"/>
              </w:tabs>
              <w:ind w:right="172"/>
              <w:jc w:val="center"/>
              <w:rPr>
                <w:lang w:val="es-ES" w:eastAsia="en-GB"/>
              </w:rPr>
            </w:pPr>
          </w:p>
        </w:tc>
        <w:tc>
          <w:tcPr>
            <w:tcW w:w="1134" w:type="dxa"/>
            <w:tcBorders>
              <w:top w:val="nil"/>
              <w:left w:val="nil"/>
              <w:bottom w:val="nil"/>
              <w:right w:val="single" w:sz="4" w:space="0" w:color="auto"/>
            </w:tcBorders>
            <w:shd w:val="clear" w:color="000000" w:fill="FFFFFF"/>
            <w:noWrap/>
            <w:vAlign w:val="bottom"/>
          </w:tcPr>
          <w:p w14:paraId="421FFA16" w14:textId="77777777" w:rsidR="00CC63FE" w:rsidRPr="00B63554" w:rsidRDefault="00CC63FE" w:rsidP="00C35E45">
            <w:pPr>
              <w:pStyle w:val="Tabletext"/>
              <w:tabs>
                <w:tab w:val="clear" w:pos="851"/>
              </w:tabs>
              <w:ind w:right="104"/>
              <w:jc w:val="center"/>
              <w:rPr>
                <w:lang w:val="es-ES" w:eastAsia="en-GB"/>
              </w:rPr>
            </w:pPr>
            <w:r w:rsidRPr="00B63554">
              <w:rPr>
                <w:lang w:val="es-ES" w:eastAsia="en-GB"/>
              </w:rPr>
              <w:t>200</w:t>
            </w:r>
          </w:p>
        </w:tc>
      </w:tr>
      <w:tr w:rsidR="00CC63FE" w:rsidRPr="00B63554" w14:paraId="7F32ACD8" w14:textId="77777777" w:rsidTr="00E576CA">
        <w:trPr>
          <w:trHeight w:val="300"/>
        </w:trPr>
        <w:tc>
          <w:tcPr>
            <w:tcW w:w="4407" w:type="dxa"/>
            <w:tcBorders>
              <w:top w:val="nil"/>
              <w:left w:val="single" w:sz="4" w:space="0" w:color="auto"/>
              <w:bottom w:val="nil"/>
              <w:right w:val="single" w:sz="4" w:space="0" w:color="auto"/>
            </w:tcBorders>
            <w:shd w:val="clear" w:color="000000" w:fill="FFFFFF"/>
            <w:noWrap/>
            <w:vAlign w:val="bottom"/>
            <w:hideMark/>
          </w:tcPr>
          <w:p w14:paraId="5FF0D22C" w14:textId="77777777" w:rsidR="00CC63FE" w:rsidRPr="00B63554" w:rsidRDefault="00CC63FE" w:rsidP="00C35E45">
            <w:pPr>
              <w:pStyle w:val="Tabletext"/>
              <w:rPr>
                <w:lang w:val="es-ES" w:eastAsia="en-GB"/>
              </w:rPr>
            </w:pPr>
            <w:r w:rsidRPr="00B63554">
              <w:rPr>
                <w:lang w:val="es-ES" w:eastAsia="en-GB"/>
              </w:rPr>
              <w:t>material y suministros</w:t>
            </w:r>
          </w:p>
        </w:tc>
        <w:tc>
          <w:tcPr>
            <w:tcW w:w="1395" w:type="dxa"/>
            <w:tcBorders>
              <w:top w:val="nil"/>
              <w:left w:val="nil"/>
              <w:bottom w:val="nil"/>
              <w:right w:val="single" w:sz="4" w:space="0" w:color="auto"/>
            </w:tcBorders>
            <w:shd w:val="clear" w:color="000000" w:fill="FFFFFF"/>
            <w:noWrap/>
            <w:vAlign w:val="bottom"/>
          </w:tcPr>
          <w:p w14:paraId="34BBD633" w14:textId="77777777" w:rsidR="00CC63FE" w:rsidRPr="00B63554" w:rsidRDefault="00CC63FE" w:rsidP="00C35E45">
            <w:pPr>
              <w:pStyle w:val="Tabletext"/>
              <w:tabs>
                <w:tab w:val="clear" w:pos="851"/>
              </w:tabs>
              <w:ind w:right="76"/>
              <w:jc w:val="center"/>
              <w:rPr>
                <w:lang w:val="es-ES" w:eastAsia="en-GB"/>
              </w:rPr>
            </w:pPr>
            <w:r w:rsidRPr="00B63554">
              <w:rPr>
                <w:lang w:val="es-ES" w:eastAsia="en-GB"/>
              </w:rPr>
              <w:t>10</w:t>
            </w:r>
          </w:p>
        </w:tc>
        <w:tc>
          <w:tcPr>
            <w:tcW w:w="1454" w:type="dxa"/>
            <w:tcBorders>
              <w:top w:val="nil"/>
              <w:left w:val="nil"/>
              <w:bottom w:val="nil"/>
              <w:right w:val="nil"/>
            </w:tcBorders>
            <w:shd w:val="clear" w:color="000000" w:fill="FFFFFF"/>
            <w:noWrap/>
            <w:vAlign w:val="bottom"/>
          </w:tcPr>
          <w:p w14:paraId="251531CE" w14:textId="77777777" w:rsidR="00CC63FE" w:rsidRPr="00B63554" w:rsidRDefault="00CC63FE" w:rsidP="00C35E45">
            <w:pPr>
              <w:pStyle w:val="Tabletext"/>
              <w:tabs>
                <w:tab w:val="clear" w:pos="1134"/>
              </w:tabs>
              <w:ind w:right="197"/>
              <w:jc w:val="center"/>
              <w:rPr>
                <w:lang w:val="es-ES" w:eastAsia="en-GB"/>
              </w:rPr>
            </w:pPr>
            <w:r w:rsidRPr="00B63554">
              <w:rPr>
                <w:lang w:val="es-ES" w:eastAsia="en-GB"/>
              </w:rPr>
              <w:t>9</w:t>
            </w:r>
          </w:p>
        </w:tc>
        <w:tc>
          <w:tcPr>
            <w:tcW w:w="1391" w:type="dxa"/>
            <w:tcBorders>
              <w:top w:val="nil"/>
              <w:left w:val="single" w:sz="4" w:space="0" w:color="auto"/>
              <w:bottom w:val="nil"/>
              <w:right w:val="single" w:sz="4" w:space="0" w:color="auto"/>
            </w:tcBorders>
            <w:shd w:val="clear" w:color="000000" w:fill="FFFFFF"/>
            <w:noWrap/>
            <w:vAlign w:val="bottom"/>
          </w:tcPr>
          <w:p w14:paraId="3924660E" w14:textId="77777777" w:rsidR="00CC63FE" w:rsidRPr="00B63554" w:rsidRDefault="00CC63FE" w:rsidP="00C35E45">
            <w:pPr>
              <w:pStyle w:val="Tabletext"/>
              <w:tabs>
                <w:tab w:val="clear" w:pos="851"/>
              </w:tabs>
              <w:ind w:right="172"/>
              <w:jc w:val="center"/>
              <w:rPr>
                <w:lang w:val="es-ES" w:eastAsia="en-GB"/>
              </w:rPr>
            </w:pPr>
            <w:r w:rsidRPr="00B63554">
              <w:rPr>
                <w:lang w:val="es-ES" w:eastAsia="en-GB"/>
              </w:rPr>
              <w:t>1</w:t>
            </w:r>
          </w:p>
        </w:tc>
        <w:tc>
          <w:tcPr>
            <w:tcW w:w="1134" w:type="dxa"/>
            <w:tcBorders>
              <w:top w:val="nil"/>
              <w:left w:val="nil"/>
              <w:bottom w:val="nil"/>
              <w:right w:val="single" w:sz="4" w:space="0" w:color="auto"/>
            </w:tcBorders>
            <w:shd w:val="clear" w:color="000000" w:fill="FFFFFF"/>
            <w:noWrap/>
            <w:vAlign w:val="bottom"/>
          </w:tcPr>
          <w:p w14:paraId="446C0618" w14:textId="77777777" w:rsidR="00CC63FE" w:rsidRPr="00B63554" w:rsidRDefault="00CC63FE" w:rsidP="00C35E45">
            <w:pPr>
              <w:pStyle w:val="Tabletext"/>
              <w:tabs>
                <w:tab w:val="clear" w:pos="851"/>
              </w:tabs>
              <w:ind w:right="104"/>
              <w:jc w:val="center"/>
              <w:rPr>
                <w:lang w:val="es-ES" w:eastAsia="en-GB"/>
              </w:rPr>
            </w:pPr>
            <w:r w:rsidRPr="00B63554">
              <w:rPr>
                <w:lang w:val="es-ES" w:eastAsia="en-GB"/>
              </w:rPr>
              <w:t>0</w:t>
            </w:r>
          </w:p>
        </w:tc>
      </w:tr>
      <w:tr w:rsidR="00CC63FE" w:rsidRPr="00B63554" w14:paraId="7F10AE47" w14:textId="77777777" w:rsidTr="00E576CA">
        <w:trPr>
          <w:trHeight w:val="300"/>
        </w:trPr>
        <w:tc>
          <w:tcPr>
            <w:tcW w:w="4407" w:type="dxa"/>
            <w:tcBorders>
              <w:top w:val="nil"/>
              <w:left w:val="single" w:sz="4" w:space="0" w:color="auto"/>
              <w:bottom w:val="nil"/>
              <w:right w:val="single" w:sz="4" w:space="0" w:color="auto"/>
            </w:tcBorders>
            <w:shd w:val="clear" w:color="000000" w:fill="FFFFFF"/>
            <w:noWrap/>
            <w:vAlign w:val="bottom"/>
            <w:hideMark/>
          </w:tcPr>
          <w:p w14:paraId="561DCA69" w14:textId="77777777" w:rsidR="00CC63FE" w:rsidRPr="00B63554" w:rsidRDefault="00CC63FE" w:rsidP="00C35E45">
            <w:pPr>
              <w:pStyle w:val="Tabletext"/>
              <w:rPr>
                <w:lang w:val="es-ES" w:eastAsia="en-GB"/>
              </w:rPr>
            </w:pPr>
            <w:r w:rsidRPr="00B63554">
              <w:rPr>
                <w:lang w:val="es-ES" w:eastAsia="en-GB"/>
              </w:rPr>
              <w:t>Adquisición de locales, mobiliario y equipo</w:t>
            </w:r>
          </w:p>
        </w:tc>
        <w:tc>
          <w:tcPr>
            <w:tcW w:w="1395" w:type="dxa"/>
            <w:tcBorders>
              <w:top w:val="nil"/>
              <w:left w:val="nil"/>
              <w:bottom w:val="nil"/>
              <w:right w:val="single" w:sz="4" w:space="0" w:color="auto"/>
            </w:tcBorders>
            <w:shd w:val="clear" w:color="000000" w:fill="FFFFFF"/>
            <w:noWrap/>
            <w:vAlign w:val="bottom"/>
          </w:tcPr>
          <w:p w14:paraId="4FEB065E" w14:textId="77777777" w:rsidR="00CC63FE" w:rsidRPr="00B63554" w:rsidRDefault="00CC63FE" w:rsidP="00C35E45">
            <w:pPr>
              <w:pStyle w:val="Tabletext"/>
              <w:tabs>
                <w:tab w:val="clear" w:pos="851"/>
              </w:tabs>
              <w:ind w:right="76"/>
              <w:jc w:val="center"/>
              <w:rPr>
                <w:lang w:val="es-ES" w:eastAsia="en-GB"/>
              </w:rPr>
            </w:pPr>
            <w:r w:rsidRPr="00B63554">
              <w:rPr>
                <w:lang w:val="es-ES" w:eastAsia="en-GB"/>
              </w:rPr>
              <w:t>3</w:t>
            </w:r>
          </w:p>
        </w:tc>
        <w:tc>
          <w:tcPr>
            <w:tcW w:w="1454" w:type="dxa"/>
            <w:tcBorders>
              <w:top w:val="nil"/>
              <w:left w:val="nil"/>
              <w:bottom w:val="nil"/>
              <w:right w:val="nil"/>
            </w:tcBorders>
            <w:shd w:val="clear" w:color="000000" w:fill="FFFFFF"/>
            <w:noWrap/>
            <w:vAlign w:val="bottom"/>
          </w:tcPr>
          <w:p w14:paraId="06603764" w14:textId="77777777" w:rsidR="00CC63FE" w:rsidRPr="00B63554" w:rsidRDefault="00CC63FE" w:rsidP="00C35E45">
            <w:pPr>
              <w:pStyle w:val="Tabletext"/>
              <w:tabs>
                <w:tab w:val="clear" w:pos="1134"/>
              </w:tabs>
              <w:ind w:right="197"/>
              <w:jc w:val="center"/>
              <w:rPr>
                <w:lang w:val="es-ES" w:eastAsia="en-GB"/>
              </w:rPr>
            </w:pPr>
          </w:p>
        </w:tc>
        <w:tc>
          <w:tcPr>
            <w:tcW w:w="1391" w:type="dxa"/>
            <w:tcBorders>
              <w:top w:val="nil"/>
              <w:left w:val="single" w:sz="4" w:space="0" w:color="auto"/>
              <w:bottom w:val="nil"/>
              <w:right w:val="single" w:sz="4" w:space="0" w:color="auto"/>
            </w:tcBorders>
            <w:shd w:val="clear" w:color="000000" w:fill="FFFFFF"/>
            <w:noWrap/>
            <w:vAlign w:val="bottom"/>
          </w:tcPr>
          <w:p w14:paraId="3439B8BE" w14:textId="77777777" w:rsidR="00CC63FE" w:rsidRPr="00B63554" w:rsidRDefault="00CC63FE" w:rsidP="00C35E45">
            <w:pPr>
              <w:pStyle w:val="Tabletext"/>
              <w:tabs>
                <w:tab w:val="clear" w:pos="851"/>
              </w:tabs>
              <w:ind w:right="172"/>
              <w:jc w:val="center"/>
              <w:rPr>
                <w:lang w:val="es-ES" w:eastAsia="en-GB"/>
              </w:rPr>
            </w:pPr>
          </w:p>
        </w:tc>
        <w:tc>
          <w:tcPr>
            <w:tcW w:w="1134" w:type="dxa"/>
            <w:tcBorders>
              <w:top w:val="nil"/>
              <w:left w:val="nil"/>
              <w:bottom w:val="nil"/>
              <w:right w:val="single" w:sz="4" w:space="0" w:color="auto"/>
            </w:tcBorders>
            <w:shd w:val="clear" w:color="000000" w:fill="FFFFFF"/>
            <w:noWrap/>
            <w:vAlign w:val="bottom"/>
          </w:tcPr>
          <w:p w14:paraId="25711A75" w14:textId="77777777" w:rsidR="00CC63FE" w:rsidRPr="00B63554" w:rsidRDefault="00CC63FE" w:rsidP="00C35E45">
            <w:pPr>
              <w:pStyle w:val="Tabletext"/>
              <w:tabs>
                <w:tab w:val="clear" w:pos="851"/>
              </w:tabs>
              <w:ind w:right="104"/>
              <w:jc w:val="center"/>
              <w:rPr>
                <w:lang w:val="es-ES" w:eastAsia="en-GB"/>
              </w:rPr>
            </w:pPr>
            <w:r w:rsidRPr="00B63554">
              <w:rPr>
                <w:lang w:val="es-ES" w:eastAsia="en-GB"/>
              </w:rPr>
              <w:t>3</w:t>
            </w:r>
          </w:p>
        </w:tc>
      </w:tr>
      <w:tr w:rsidR="00CC63FE" w:rsidRPr="00B63554" w14:paraId="02CBA51E" w14:textId="77777777" w:rsidTr="00E576CA">
        <w:trPr>
          <w:trHeight w:val="300"/>
        </w:trPr>
        <w:tc>
          <w:tcPr>
            <w:tcW w:w="4407" w:type="dxa"/>
            <w:tcBorders>
              <w:top w:val="nil"/>
              <w:left w:val="single" w:sz="4" w:space="0" w:color="auto"/>
              <w:bottom w:val="nil"/>
              <w:right w:val="single" w:sz="4" w:space="0" w:color="auto"/>
            </w:tcBorders>
            <w:shd w:val="clear" w:color="000000" w:fill="FFFFFF"/>
            <w:noWrap/>
            <w:vAlign w:val="bottom"/>
            <w:hideMark/>
          </w:tcPr>
          <w:p w14:paraId="3DFAC757" w14:textId="77777777" w:rsidR="00CC63FE" w:rsidRPr="00B63554" w:rsidRDefault="00CC63FE" w:rsidP="00C35E45">
            <w:pPr>
              <w:pStyle w:val="Tabletext"/>
              <w:rPr>
                <w:lang w:val="es-ES" w:eastAsia="en-GB"/>
              </w:rPr>
            </w:pPr>
            <w:r w:rsidRPr="00B63554">
              <w:rPr>
                <w:lang w:val="es-ES" w:eastAsia="en-GB"/>
              </w:rPr>
              <w:t>Servicios públicos e instalaciones</w:t>
            </w:r>
          </w:p>
        </w:tc>
        <w:tc>
          <w:tcPr>
            <w:tcW w:w="1395" w:type="dxa"/>
            <w:tcBorders>
              <w:top w:val="nil"/>
              <w:left w:val="nil"/>
              <w:bottom w:val="nil"/>
              <w:right w:val="single" w:sz="4" w:space="0" w:color="auto"/>
            </w:tcBorders>
            <w:shd w:val="clear" w:color="000000" w:fill="FFFFFF"/>
            <w:noWrap/>
            <w:vAlign w:val="bottom"/>
          </w:tcPr>
          <w:p w14:paraId="58BE1DA9" w14:textId="77777777" w:rsidR="00CC63FE" w:rsidRPr="00B63554" w:rsidRDefault="00CC63FE" w:rsidP="00C35E45">
            <w:pPr>
              <w:pStyle w:val="Tabletext"/>
              <w:tabs>
                <w:tab w:val="clear" w:pos="851"/>
              </w:tabs>
              <w:ind w:right="76"/>
              <w:jc w:val="center"/>
              <w:rPr>
                <w:lang w:val="es-ES" w:eastAsia="en-GB"/>
              </w:rPr>
            </w:pPr>
          </w:p>
        </w:tc>
        <w:tc>
          <w:tcPr>
            <w:tcW w:w="1454" w:type="dxa"/>
            <w:tcBorders>
              <w:top w:val="nil"/>
              <w:left w:val="nil"/>
              <w:bottom w:val="nil"/>
              <w:right w:val="nil"/>
            </w:tcBorders>
            <w:shd w:val="clear" w:color="000000" w:fill="FFFFFF"/>
            <w:noWrap/>
            <w:vAlign w:val="bottom"/>
          </w:tcPr>
          <w:p w14:paraId="1084BA0F" w14:textId="77777777" w:rsidR="00CC63FE" w:rsidRPr="00B63554" w:rsidRDefault="00CC63FE" w:rsidP="00C35E45">
            <w:pPr>
              <w:pStyle w:val="Tabletext"/>
              <w:tabs>
                <w:tab w:val="clear" w:pos="1134"/>
              </w:tabs>
              <w:ind w:right="197"/>
              <w:jc w:val="center"/>
              <w:rPr>
                <w:lang w:val="es-ES" w:eastAsia="en-GB"/>
              </w:rPr>
            </w:pPr>
          </w:p>
        </w:tc>
        <w:tc>
          <w:tcPr>
            <w:tcW w:w="1391" w:type="dxa"/>
            <w:tcBorders>
              <w:top w:val="nil"/>
              <w:left w:val="single" w:sz="4" w:space="0" w:color="auto"/>
              <w:bottom w:val="nil"/>
              <w:right w:val="single" w:sz="4" w:space="0" w:color="auto"/>
            </w:tcBorders>
            <w:shd w:val="clear" w:color="000000" w:fill="FFFFFF"/>
            <w:noWrap/>
            <w:vAlign w:val="bottom"/>
          </w:tcPr>
          <w:p w14:paraId="4EE286DF" w14:textId="77777777" w:rsidR="00CC63FE" w:rsidRPr="00B63554" w:rsidRDefault="00CC63FE" w:rsidP="00C35E45">
            <w:pPr>
              <w:pStyle w:val="Tabletext"/>
              <w:tabs>
                <w:tab w:val="clear" w:pos="851"/>
              </w:tabs>
              <w:ind w:right="172"/>
              <w:jc w:val="center"/>
              <w:rPr>
                <w:lang w:val="es-ES" w:eastAsia="en-GB"/>
              </w:rPr>
            </w:pPr>
          </w:p>
        </w:tc>
        <w:tc>
          <w:tcPr>
            <w:tcW w:w="1134" w:type="dxa"/>
            <w:tcBorders>
              <w:top w:val="nil"/>
              <w:left w:val="nil"/>
              <w:bottom w:val="nil"/>
              <w:right w:val="single" w:sz="4" w:space="0" w:color="auto"/>
            </w:tcBorders>
            <w:shd w:val="clear" w:color="000000" w:fill="FFFFFF"/>
            <w:noWrap/>
            <w:vAlign w:val="bottom"/>
          </w:tcPr>
          <w:p w14:paraId="635D0668" w14:textId="77777777" w:rsidR="00CC63FE" w:rsidRPr="00B63554" w:rsidRDefault="00CC63FE" w:rsidP="00C35E45">
            <w:pPr>
              <w:pStyle w:val="Tabletext"/>
              <w:tabs>
                <w:tab w:val="clear" w:pos="851"/>
              </w:tabs>
              <w:ind w:right="104"/>
              <w:jc w:val="center"/>
              <w:rPr>
                <w:lang w:val="es-ES" w:eastAsia="en-GB"/>
              </w:rPr>
            </w:pPr>
          </w:p>
        </w:tc>
      </w:tr>
      <w:tr w:rsidR="00CC63FE" w:rsidRPr="00B63554" w14:paraId="0200DA79" w14:textId="77777777" w:rsidTr="00E576CA">
        <w:trPr>
          <w:trHeight w:val="300"/>
        </w:trPr>
        <w:tc>
          <w:tcPr>
            <w:tcW w:w="4407" w:type="dxa"/>
            <w:tcBorders>
              <w:top w:val="nil"/>
              <w:left w:val="single" w:sz="4" w:space="0" w:color="auto"/>
              <w:bottom w:val="nil"/>
              <w:right w:val="single" w:sz="4" w:space="0" w:color="auto"/>
            </w:tcBorders>
            <w:shd w:val="clear" w:color="000000" w:fill="FFFFFF"/>
            <w:noWrap/>
            <w:vAlign w:val="bottom"/>
            <w:hideMark/>
          </w:tcPr>
          <w:p w14:paraId="598A2180" w14:textId="77777777" w:rsidR="00CC63FE" w:rsidRPr="00B63554" w:rsidRDefault="00CC63FE" w:rsidP="00C35E45">
            <w:pPr>
              <w:pStyle w:val="Tabletext"/>
              <w:rPr>
                <w:lang w:val="es-ES" w:eastAsia="en-GB"/>
              </w:rPr>
            </w:pPr>
            <w:r w:rsidRPr="00B63554">
              <w:rPr>
                <w:lang w:val="es-ES" w:eastAsia="en-GB"/>
              </w:rPr>
              <w:t>Varios</w:t>
            </w:r>
          </w:p>
        </w:tc>
        <w:tc>
          <w:tcPr>
            <w:tcW w:w="1395" w:type="dxa"/>
            <w:tcBorders>
              <w:top w:val="nil"/>
              <w:left w:val="nil"/>
              <w:bottom w:val="nil"/>
              <w:right w:val="single" w:sz="4" w:space="0" w:color="auto"/>
            </w:tcBorders>
            <w:shd w:val="clear" w:color="000000" w:fill="FFFFFF"/>
            <w:noWrap/>
            <w:vAlign w:val="bottom"/>
          </w:tcPr>
          <w:p w14:paraId="23340EC9" w14:textId="77777777" w:rsidR="00CC63FE" w:rsidRPr="00B63554" w:rsidRDefault="00CC63FE" w:rsidP="00C35E45">
            <w:pPr>
              <w:pStyle w:val="Tabletext"/>
              <w:tabs>
                <w:tab w:val="clear" w:pos="851"/>
              </w:tabs>
              <w:ind w:right="76"/>
              <w:jc w:val="center"/>
              <w:rPr>
                <w:lang w:val="es-ES" w:eastAsia="en-GB"/>
              </w:rPr>
            </w:pPr>
            <w:r w:rsidRPr="00B63554">
              <w:rPr>
                <w:lang w:val="es-ES" w:eastAsia="en-GB"/>
              </w:rPr>
              <w:t>10</w:t>
            </w:r>
          </w:p>
        </w:tc>
        <w:tc>
          <w:tcPr>
            <w:tcW w:w="1454" w:type="dxa"/>
            <w:tcBorders>
              <w:top w:val="nil"/>
              <w:left w:val="nil"/>
              <w:bottom w:val="nil"/>
              <w:right w:val="nil"/>
            </w:tcBorders>
            <w:shd w:val="clear" w:color="000000" w:fill="FFFFFF"/>
            <w:noWrap/>
            <w:vAlign w:val="bottom"/>
          </w:tcPr>
          <w:p w14:paraId="1F27F2FD" w14:textId="77777777" w:rsidR="00CC63FE" w:rsidRPr="00B63554" w:rsidRDefault="00CC63FE" w:rsidP="00C35E45">
            <w:pPr>
              <w:pStyle w:val="Tabletext"/>
              <w:tabs>
                <w:tab w:val="clear" w:pos="1134"/>
              </w:tabs>
              <w:ind w:right="197"/>
              <w:jc w:val="center"/>
              <w:rPr>
                <w:lang w:val="es-ES" w:eastAsia="en-GB"/>
              </w:rPr>
            </w:pPr>
          </w:p>
        </w:tc>
        <w:tc>
          <w:tcPr>
            <w:tcW w:w="1391" w:type="dxa"/>
            <w:tcBorders>
              <w:top w:val="nil"/>
              <w:left w:val="single" w:sz="4" w:space="0" w:color="auto"/>
              <w:bottom w:val="nil"/>
              <w:right w:val="single" w:sz="4" w:space="0" w:color="auto"/>
            </w:tcBorders>
            <w:shd w:val="clear" w:color="000000" w:fill="FFFFFF"/>
            <w:noWrap/>
            <w:vAlign w:val="bottom"/>
          </w:tcPr>
          <w:p w14:paraId="5AA18FB4" w14:textId="77777777" w:rsidR="00CC63FE" w:rsidRPr="00B63554" w:rsidRDefault="00CC63FE" w:rsidP="00C35E45">
            <w:pPr>
              <w:pStyle w:val="Tabletext"/>
              <w:tabs>
                <w:tab w:val="clear" w:pos="851"/>
              </w:tabs>
              <w:ind w:right="172"/>
              <w:jc w:val="center"/>
              <w:rPr>
                <w:lang w:val="es-ES" w:eastAsia="en-GB"/>
              </w:rPr>
            </w:pPr>
            <w:r w:rsidRPr="00B63554">
              <w:rPr>
                <w:lang w:val="es-ES" w:eastAsia="en-GB"/>
              </w:rPr>
              <w:t>3</w:t>
            </w:r>
          </w:p>
        </w:tc>
        <w:tc>
          <w:tcPr>
            <w:tcW w:w="1134" w:type="dxa"/>
            <w:tcBorders>
              <w:top w:val="nil"/>
              <w:left w:val="nil"/>
              <w:bottom w:val="single" w:sz="4" w:space="0" w:color="auto"/>
              <w:right w:val="single" w:sz="4" w:space="0" w:color="auto"/>
            </w:tcBorders>
            <w:shd w:val="clear" w:color="000000" w:fill="FFFFFF"/>
            <w:noWrap/>
            <w:vAlign w:val="bottom"/>
          </w:tcPr>
          <w:p w14:paraId="0312C449" w14:textId="77777777" w:rsidR="00CC63FE" w:rsidRPr="00B63554" w:rsidRDefault="00CC63FE" w:rsidP="00C35E45">
            <w:pPr>
              <w:pStyle w:val="Tabletext"/>
              <w:tabs>
                <w:tab w:val="clear" w:pos="851"/>
              </w:tabs>
              <w:ind w:right="104"/>
              <w:jc w:val="center"/>
              <w:rPr>
                <w:lang w:val="es-ES" w:eastAsia="en-GB"/>
              </w:rPr>
            </w:pPr>
            <w:r w:rsidRPr="00B63554">
              <w:rPr>
                <w:lang w:val="es-ES" w:eastAsia="en-GB"/>
              </w:rPr>
              <w:t>7</w:t>
            </w:r>
          </w:p>
        </w:tc>
      </w:tr>
      <w:tr w:rsidR="00CC63FE" w:rsidRPr="00B63554" w14:paraId="63BB0EF8" w14:textId="77777777" w:rsidTr="00E576CA">
        <w:trPr>
          <w:trHeight w:val="300"/>
        </w:trPr>
        <w:tc>
          <w:tcPr>
            <w:tcW w:w="4407"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75C9FF0A" w14:textId="77777777" w:rsidR="00CC63FE" w:rsidRPr="00B63554" w:rsidRDefault="00CC63FE" w:rsidP="00C35E45">
            <w:pPr>
              <w:pStyle w:val="Tabletext"/>
              <w:rPr>
                <w:b/>
                <w:bCs/>
                <w:lang w:val="es-ES" w:eastAsia="en-GB"/>
              </w:rPr>
            </w:pPr>
            <w:r w:rsidRPr="00B63554">
              <w:rPr>
                <w:b/>
                <w:bCs/>
                <w:lang w:val="es-ES" w:eastAsia="en-GB"/>
              </w:rPr>
              <w:t>Subtotal</w:t>
            </w:r>
          </w:p>
        </w:tc>
        <w:tc>
          <w:tcPr>
            <w:tcW w:w="1395" w:type="dxa"/>
            <w:tcBorders>
              <w:top w:val="single" w:sz="4" w:space="0" w:color="auto"/>
              <w:left w:val="nil"/>
              <w:bottom w:val="single" w:sz="4" w:space="0" w:color="auto"/>
              <w:right w:val="single" w:sz="4" w:space="0" w:color="auto"/>
            </w:tcBorders>
            <w:shd w:val="clear" w:color="000000" w:fill="DCE6F1"/>
            <w:noWrap/>
            <w:vAlign w:val="bottom"/>
          </w:tcPr>
          <w:p w14:paraId="614A247A" w14:textId="77777777" w:rsidR="00CC63FE" w:rsidRPr="00B63554" w:rsidRDefault="00CC63FE" w:rsidP="00C35E45">
            <w:pPr>
              <w:pStyle w:val="Tabletext"/>
              <w:tabs>
                <w:tab w:val="clear" w:pos="851"/>
              </w:tabs>
              <w:ind w:right="76"/>
              <w:jc w:val="center"/>
              <w:rPr>
                <w:b/>
                <w:bCs/>
                <w:lang w:val="es-ES" w:eastAsia="en-GB"/>
              </w:rPr>
            </w:pPr>
            <w:r w:rsidRPr="00B63554">
              <w:rPr>
                <w:b/>
                <w:bCs/>
                <w:lang w:val="es-ES" w:eastAsia="en-GB"/>
              </w:rPr>
              <w:t>2 449</w:t>
            </w:r>
          </w:p>
        </w:tc>
        <w:tc>
          <w:tcPr>
            <w:tcW w:w="1454" w:type="dxa"/>
            <w:tcBorders>
              <w:top w:val="single" w:sz="4" w:space="0" w:color="auto"/>
              <w:left w:val="nil"/>
              <w:bottom w:val="single" w:sz="4" w:space="0" w:color="auto"/>
              <w:right w:val="nil"/>
            </w:tcBorders>
            <w:shd w:val="clear" w:color="000000" w:fill="DCE6F1"/>
            <w:noWrap/>
            <w:vAlign w:val="bottom"/>
          </w:tcPr>
          <w:p w14:paraId="74664CA3" w14:textId="77777777" w:rsidR="00CC63FE" w:rsidRPr="00B63554" w:rsidRDefault="00CC63FE" w:rsidP="00C35E45">
            <w:pPr>
              <w:pStyle w:val="Tabletext"/>
              <w:tabs>
                <w:tab w:val="clear" w:pos="1134"/>
              </w:tabs>
              <w:ind w:right="197"/>
              <w:jc w:val="center"/>
              <w:rPr>
                <w:b/>
                <w:bCs/>
                <w:lang w:val="es-ES" w:eastAsia="en-GB"/>
              </w:rPr>
            </w:pPr>
            <w:r w:rsidRPr="00B63554">
              <w:rPr>
                <w:b/>
                <w:bCs/>
                <w:lang w:val="es-ES" w:eastAsia="en-GB"/>
              </w:rPr>
              <w:t>987</w:t>
            </w:r>
          </w:p>
        </w:tc>
        <w:tc>
          <w:tcPr>
            <w:tcW w:w="1391" w:type="dxa"/>
            <w:tcBorders>
              <w:top w:val="single" w:sz="4" w:space="0" w:color="auto"/>
              <w:left w:val="single" w:sz="4" w:space="0" w:color="auto"/>
              <w:bottom w:val="single" w:sz="4" w:space="0" w:color="auto"/>
              <w:right w:val="single" w:sz="4" w:space="0" w:color="auto"/>
            </w:tcBorders>
            <w:shd w:val="clear" w:color="000000" w:fill="DCE6F1"/>
            <w:noWrap/>
            <w:vAlign w:val="bottom"/>
          </w:tcPr>
          <w:p w14:paraId="1396EDC6" w14:textId="77777777" w:rsidR="00CC63FE" w:rsidRPr="00B63554" w:rsidRDefault="00CC63FE" w:rsidP="00C35E45">
            <w:pPr>
              <w:pStyle w:val="Tabletext"/>
              <w:tabs>
                <w:tab w:val="clear" w:pos="851"/>
              </w:tabs>
              <w:ind w:right="104"/>
              <w:jc w:val="center"/>
              <w:rPr>
                <w:b/>
                <w:bCs/>
                <w:lang w:val="es-ES" w:eastAsia="en-GB"/>
              </w:rPr>
            </w:pPr>
            <w:r w:rsidRPr="00B63554">
              <w:rPr>
                <w:b/>
                <w:bCs/>
                <w:lang w:val="es-ES" w:eastAsia="en-GB"/>
              </w:rPr>
              <w:t>456</w:t>
            </w:r>
          </w:p>
        </w:tc>
        <w:tc>
          <w:tcPr>
            <w:tcW w:w="1134" w:type="dxa"/>
            <w:tcBorders>
              <w:top w:val="single" w:sz="4" w:space="0" w:color="auto"/>
              <w:left w:val="nil"/>
              <w:bottom w:val="single" w:sz="4" w:space="0" w:color="auto"/>
              <w:right w:val="single" w:sz="4" w:space="0" w:color="auto"/>
            </w:tcBorders>
            <w:shd w:val="clear" w:color="000000" w:fill="DCE6F1"/>
            <w:noWrap/>
            <w:vAlign w:val="bottom"/>
          </w:tcPr>
          <w:p w14:paraId="202C6F6B" w14:textId="77777777" w:rsidR="00CC63FE" w:rsidRPr="00B63554" w:rsidRDefault="00CC63FE" w:rsidP="00C35E45">
            <w:pPr>
              <w:pStyle w:val="Tabletext"/>
              <w:tabs>
                <w:tab w:val="clear" w:pos="851"/>
              </w:tabs>
              <w:ind w:right="104"/>
              <w:jc w:val="center"/>
              <w:rPr>
                <w:b/>
                <w:bCs/>
                <w:lang w:val="es-ES" w:eastAsia="en-GB"/>
              </w:rPr>
            </w:pPr>
            <w:r w:rsidRPr="00B63554">
              <w:rPr>
                <w:b/>
                <w:bCs/>
                <w:lang w:val="es-ES" w:eastAsia="en-GB"/>
              </w:rPr>
              <w:t>1 006</w:t>
            </w:r>
          </w:p>
        </w:tc>
      </w:tr>
      <w:tr w:rsidR="00CC63FE" w:rsidRPr="00B63554" w14:paraId="6365172A" w14:textId="77777777" w:rsidTr="00E576CA">
        <w:trPr>
          <w:trHeight w:val="300"/>
        </w:trPr>
        <w:tc>
          <w:tcPr>
            <w:tcW w:w="4407" w:type="dxa"/>
            <w:tcBorders>
              <w:top w:val="nil"/>
              <w:left w:val="single" w:sz="4" w:space="0" w:color="auto"/>
              <w:bottom w:val="nil"/>
              <w:right w:val="single" w:sz="4" w:space="0" w:color="auto"/>
            </w:tcBorders>
            <w:shd w:val="clear" w:color="000000" w:fill="FFFFFF"/>
            <w:noWrap/>
            <w:vAlign w:val="bottom"/>
            <w:hideMark/>
          </w:tcPr>
          <w:p w14:paraId="1A3A3BA7" w14:textId="77777777" w:rsidR="00CC63FE" w:rsidRPr="00B63554" w:rsidRDefault="00CC63FE" w:rsidP="00C35E45">
            <w:pPr>
              <w:pStyle w:val="Tabletext"/>
              <w:rPr>
                <w:lang w:val="es-ES" w:eastAsia="en-GB"/>
              </w:rPr>
            </w:pPr>
            <w:r w:rsidRPr="00B63554">
              <w:rPr>
                <w:lang w:val="es-ES" w:eastAsia="en-GB"/>
              </w:rPr>
              <w:t>Traducción (12 256 páginas)</w:t>
            </w:r>
          </w:p>
        </w:tc>
        <w:tc>
          <w:tcPr>
            <w:tcW w:w="1395" w:type="dxa"/>
            <w:tcBorders>
              <w:top w:val="nil"/>
              <w:left w:val="nil"/>
              <w:bottom w:val="nil"/>
              <w:right w:val="single" w:sz="4" w:space="0" w:color="auto"/>
            </w:tcBorders>
            <w:shd w:val="clear" w:color="000000" w:fill="FFFFFF"/>
            <w:noWrap/>
            <w:vAlign w:val="bottom"/>
          </w:tcPr>
          <w:p w14:paraId="470F3D4D" w14:textId="77777777" w:rsidR="00CC63FE" w:rsidRPr="00B63554" w:rsidRDefault="00CC63FE" w:rsidP="00C35E45">
            <w:pPr>
              <w:pStyle w:val="Tabletext"/>
              <w:tabs>
                <w:tab w:val="clear" w:pos="851"/>
              </w:tabs>
              <w:ind w:right="76"/>
              <w:jc w:val="center"/>
              <w:rPr>
                <w:lang w:val="es-ES" w:eastAsia="en-GB"/>
              </w:rPr>
            </w:pPr>
            <w:r w:rsidRPr="00B63554">
              <w:rPr>
                <w:lang w:val="es-ES" w:eastAsia="en-GB"/>
              </w:rPr>
              <w:t>1 788</w:t>
            </w:r>
          </w:p>
        </w:tc>
        <w:tc>
          <w:tcPr>
            <w:tcW w:w="1454" w:type="dxa"/>
            <w:tcBorders>
              <w:top w:val="nil"/>
              <w:left w:val="nil"/>
              <w:bottom w:val="nil"/>
              <w:right w:val="nil"/>
            </w:tcBorders>
            <w:shd w:val="clear" w:color="auto" w:fill="auto"/>
            <w:noWrap/>
            <w:vAlign w:val="bottom"/>
          </w:tcPr>
          <w:p w14:paraId="2EAF7F53" w14:textId="77777777" w:rsidR="00CC63FE" w:rsidRPr="00B63554" w:rsidRDefault="00CC63FE" w:rsidP="00C35E45">
            <w:pPr>
              <w:pStyle w:val="Tabletext"/>
              <w:tabs>
                <w:tab w:val="clear" w:pos="1134"/>
              </w:tabs>
              <w:ind w:right="197"/>
              <w:jc w:val="center"/>
              <w:rPr>
                <w:lang w:val="es-ES" w:eastAsia="en-GB"/>
              </w:rPr>
            </w:pPr>
            <w:r w:rsidRPr="00B63554">
              <w:rPr>
                <w:lang w:val="es-ES" w:eastAsia="en-GB"/>
              </w:rPr>
              <w:t>1 421</w:t>
            </w:r>
          </w:p>
        </w:tc>
        <w:tc>
          <w:tcPr>
            <w:tcW w:w="1391" w:type="dxa"/>
            <w:tcBorders>
              <w:top w:val="nil"/>
              <w:left w:val="single" w:sz="4" w:space="0" w:color="auto"/>
              <w:bottom w:val="nil"/>
              <w:right w:val="single" w:sz="4" w:space="0" w:color="auto"/>
            </w:tcBorders>
            <w:shd w:val="clear" w:color="auto" w:fill="auto"/>
            <w:noWrap/>
            <w:vAlign w:val="bottom"/>
          </w:tcPr>
          <w:p w14:paraId="1DB47084" w14:textId="77777777" w:rsidR="00CC63FE" w:rsidRPr="00B63554" w:rsidRDefault="00CC63FE" w:rsidP="00C35E45">
            <w:pPr>
              <w:pStyle w:val="Tabletext"/>
              <w:tabs>
                <w:tab w:val="clear" w:pos="851"/>
              </w:tabs>
              <w:ind w:right="172"/>
              <w:jc w:val="center"/>
              <w:rPr>
                <w:lang w:val="es-ES" w:eastAsia="en-GB"/>
              </w:rPr>
            </w:pPr>
            <w:r w:rsidRPr="00B63554">
              <w:rPr>
                <w:lang w:val="es-ES" w:eastAsia="en-GB"/>
              </w:rPr>
              <w:t>367</w:t>
            </w:r>
          </w:p>
        </w:tc>
        <w:tc>
          <w:tcPr>
            <w:tcW w:w="1134" w:type="dxa"/>
            <w:tcBorders>
              <w:top w:val="nil"/>
              <w:left w:val="nil"/>
              <w:bottom w:val="nil"/>
              <w:right w:val="single" w:sz="4" w:space="0" w:color="auto"/>
            </w:tcBorders>
            <w:shd w:val="clear" w:color="auto" w:fill="auto"/>
            <w:noWrap/>
            <w:vAlign w:val="bottom"/>
          </w:tcPr>
          <w:p w14:paraId="2E4D37DE" w14:textId="77777777" w:rsidR="00CC63FE" w:rsidRPr="00B63554" w:rsidRDefault="00CC63FE" w:rsidP="00C35E45">
            <w:pPr>
              <w:pStyle w:val="Tabletext"/>
              <w:tabs>
                <w:tab w:val="clear" w:pos="851"/>
              </w:tabs>
              <w:ind w:right="104"/>
              <w:jc w:val="center"/>
              <w:rPr>
                <w:lang w:val="es-ES" w:eastAsia="en-GB"/>
              </w:rPr>
            </w:pPr>
            <w:r w:rsidRPr="00B63554">
              <w:rPr>
                <w:lang w:val="es-ES" w:eastAsia="en-GB"/>
              </w:rPr>
              <w:t>0</w:t>
            </w:r>
          </w:p>
        </w:tc>
      </w:tr>
      <w:tr w:rsidR="00CC63FE" w:rsidRPr="00B63554" w14:paraId="77D5D0A9" w14:textId="77777777" w:rsidTr="00E576CA">
        <w:trPr>
          <w:trHeight w:val="300"/>
        </w:trPr>
        <w:tc>
          <w:tcPr>
            <w:tcW w:w="4407" w:type="dxa"/>
            <w:tcBorders>
              <w:top w:val="nil"/>
              <w:left w:val="single" w:sz="4" w:space="0" w:color="auto"/>
              <w:bottom w:val="nil"/>
              <w:right w:val="single" w:sz="4" w:space="0" w:color="auto"/>
            </w:tcBorders>
            <w:shd w:val="clear" w:color="000000" w:fill="FFFFFF"/>
            <w:noWrap/>
            <w:vAlign w:val="bottom"/>
            <w:hideMark/>
          </w:tcPr>
          <w:p w14:paraId="38368618" w14:textId="77777777" w:rsidR="00CC63FE" w:rsidRPr="00B63554" w:rsidRDefault="00CC63FE" w:rsidP="00C35E45">
            <w:pPr>
              <w:pStyle w:val="Tabletext"/>
              <w:rPr>
                <w:lang w:val="es-ES" w:eastAsia="en-GB"/>
              </w:rPr>
            </w:pPr>
            <w:r w:rsidRPr="00B63554">
              <w:rPr>
                <w:lang w:val="es-ES" w:eastAsia="en-GB"/>
              </w:rPr>
              <w:t>Mecanografía (16 666 páginas)</w:t>
            </w:r>
          </w:p>
        </w:tc>
        <w:tc>
          <w:tcPr>
            <w:tcW w:w="1395" w:type="dxa"/>
            <w:tcBorders>
              <w:top w:val="nil"/>
              <w:left w:val="nil"/>
              <w:bottom w:val="nil"/>
              <w:right w:val="single" w:sz="4" w:space="0" w:color="auto"/>
            </w:tcBorders>
            <w:shd w:val="clear" w:color="000000" w:fill="FFFFFF"/>
            <w:noWrap/>
            <w:vAlign w:val="bottom"/>
          </w:tcPr>
          <w:p w14:paraId="1EC30669" w14:textId="77777777" w:rsidR="00CC63FE" w:rsidRPr="00B63554" w:rsidRDefault="00CC63FE" w:rsidP="00C35E45">
            <w:pPr>
              <w:pStyle w:val="Tabletext"/>
              <w:tabs>
                <w:tab w:val="clear" w:pos="851"/>
              </w:tabs>
              <w:ind w:right="76"/>
              <w:jc w:val="center"/>
              <w:rPr>
                <w:lang w:val="es-ES" w:eastAsia="en-GB"/>
              </w:rPr>
            </w:pPr>
            <w:r w:rsidRPr="00B63554">
              <w:rPr>
                <w:lang w:val="es-ES" w:eastAsia="en-GB"/>
              </w:rPr>
              <w:t>944</w:t>
            </w:r>
          </w:p>
        </w:tc>
        <w:tc>
          <w:tcPr>
            <w:tcW w:w="1454" w:type="dxa"/>
            <w:tcBorders>
              <w:top w:val="nil"/>
              <w:left w:val="nil"/>
              <w:bottom w:val="nil"/>
              <w:right w:val="nil"/>
            </w:tcBorders>
            <w:shd w:val="clear" w:color="auto" w:fill="auto"/>
            <w:noWrap/>
            <w:vAlign w:val="bottom"/>
          </w:tcPr>
          <w:p w14:paraId="3AD9ACC2" w14:textId="77777777" w:rsidR="00CC63FE" w:rsidRPr="00B63554" w:rsidRDefault="00CC63FE" w:rsidP="00C35E45">
            <w:pPr>
              <w:pStyle w:val="Tabletext"/>
              <w:tabs>
                <w:tab w:val="clear" w:pos="1134"/>
              </w:tabs>
              <w:ind w:right="197"/>
              <w:jc w:val="center"/>
              <w:rPr>
                <w:lang w:val="es-ES" w:eastAsia="en-GB"/>
              </w:rPr>
            </w:pPr>
            <w:r w:rsidRPr="00B63554">
              <w:rPr>
                <w:lang w:val="es-ES" w:eastAsia="en-GB"/>
              </w:rPr>
              <w:t>1 075</w:t>
            </w:r>
          </w:p>
        </w:tc>
        <w:tc>
          <w:tcPr>
            <w:tcW w:w="1391" w:type="dxa"/>
            <w:tcBorders>
              <w:top w:val="nil"/>
              <w:left w:val="single" w:sz="4" w:space="0" w:color="auto"/>
              <w:bottom w:val="nil"/>
              <w:right w:val="single" w:sz="4" w:space="0" w:color="auto"/>
            </w:tcBorders>
            <w:shd w:val="clear" w:color="auto" w:fill="auto"/>
            <w:noWrap/>
            <w:vAlign w:val="bottom"/>
          </w:tcPr>
          <w:p w14:paraId="4BC5544F" w14:textId="77777777" w:rsidR="00CC63FE" w:rsidRPr="00B63554" w:rsidRDefault="00CC63FE" w:rsidP="00C35E45">
            <w:pPr>
              <w:pStyle w:val="Tabletext"/>
              <w:tabs>
                <w:tab w:val="clear" w:pos="851"/>
              </w:tabs>
              <w:ind w:right="172"/>
              <w:jc w:val="center"/>
              <w:rPr>
                <w:lang w:val="es-ES" w:eastAsia="en-GB"/>
              </w:rPr>
            </w:pPr>
            <w:r w:rsidRPr="00B63554">
              <w:rPr>
                <w:lang w:val="es-ES" w:eastAsia="en-GB"/>
              </w:rPr>
              <w:t>176</w:t>
            </w:r>
          </w:p>
        </w:tc>
        <w:tc>
          <w:tcPr>
            <w:tcW w:w="1134" w:type="dxa"/>
            <w:tcBorders>
              <w:top w:val="nil"/>
              <w:left w:val="nil"/>
              <w:bottom w:val="nil"/>
              <w:right w:val="single" w:sz="4" w:space="0" w:color="auto"/>
            </w:tcBorders>
            <w:shd w:val="clear" w:color="auto" w:fill="auto"/>
            <w:noWrap/>
            <w:vAlign w:val="bottom"/>
          </w:tcPr>
          <w:p w14:paraId="6C403FA0" w14:textId="77777777" w:rsidR="00CC63FE" w:rsidRPr="00B63554" w:rsidRDefault="00CC63FE" w:rsidP="00C35E45">
            <w:pPr>
              <w:pStyle w:val="Tabletext"/>
              <w:tabs>
                <w:tab w:val="clear" w:pos="851"/>
              </w:tabs>
              <w:ind w:right="104"/>
              <w:jc w:val="center"/>
              <w:rPr>
                <w:lang w:val="es-ES" w:eastAsia="en-GB"/>
              </w:rPr>
            </w:pPr>
            <w:r w:rsidRPr="00B63554">
              <w:rPr>
                <w:lang w:val="es-ES" w:eastAsia="en-GB"/>
              </w:rPr>
              <w:t>−307</w:t>
            </w:r>
          </w:p>
        </w:tc>
      </w:tr>
      <w:tr w:rsidR="00CC63FE" w:rsidRPr="00B63554" w14:paraId="66E86886" w14:textId="77777777" w:rsidTr="00E576CA">
        <w:trPr>
          <w:trHeight w:val="300"/>
        </w:trPr>
        <w:tc>
          <w:tcPr>
            <w:tcW w:w="4407"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60B2E731" w14:textId="77777777" w:rsidR="00CC63FE" w:rsidRPr="00B63554" w:rsidRDefault="00CC63FE" w:rsidP="00C35E45">
            <w:pPr>
              <w:pStyle w:val="Tabletext"/>
              <w:rPr>
                <w:b/>
                <w:bCs/>
                <w:lang w:val="es-ES" w:eastAsia="en-GB"/>
              </w:rPr>
            </w:pPr>
            <w:r w:rsidRPr="00B63554">
              <w:rPr>
                <w:b/>
                <w:bCs/>
                <w:lang w:val="es-ES" w:eastAsia="en-GB"/>
              </w:rPr>
              <w:t>Subtotal correspondiente a la documentación</w:t>
            </w:r>
          </w:p>
        </w:tc>
        <w:tc>
          <w:tcPr>
            <w:tcW w:w="1395" w:type="dxa"/>
            <w:tcBorders>
              <w:top w:val="single" w:sz="4" w:space="0" w:color="auto"/>
              <w:left w:val="nil"/>
              <w:bottom w:val="single" w:sz="4" w:space="0" w:color="auto"/>
              <w:right w:val="single" w:sz="4" w:space="0" w:color="auto"/>
            </w:tcBorders>
            <w:shd w:val="clear" w:color="000000" w:fill="DCE6F1"/>
            <w:noWrap/>
            <w:vAlign w:val="bottom"/>
          </w:tcPr>
          <w:p w14:paraId="4A5C301F" w14:textId="77777777" w:rsidR="00CC63FE" w:rsidRPr="00B63554" w:rsidRDefault="00CC63FE" w:rsidP="00C35E45">
            <w:pPr>
              <w:pStyle w:val="Tabletext"/>
              <w:tabs>
                <w:tab w:val="clear" w:pos="851"/>
              </w:tabs>
              <w:ind w:right="76"/>
              <w:jc w:val="center"/>
              <w:rPr>
                <w:b/>
                <w:bCs/>
                <w:lang w:val="es-ES" w:eastAsia="en-GB"/>
              </w:rPr>
            </w:pPr>
            <w:r w:rsidRPr="00B63554">
              <w:rPr>
                <w:b/>
                <w:bCs/>
                <w:lang w:val="es-ES" w:eastAsia="en-GB"/>
              </w:rPr>
              <w:t>2 732</w:t>
            </w:r>
          </w:p>
        </w:tc>
        <w:tc>
          <w:tcPr>
            <w:tcW w:w="1454" w:type="dxa"/>
            <w:tcBorders>
              <w:top w:val="single" w:sz="4" w:space="0" w:color="auto"/>
              <w:left w:val="nil"/>
              <w:bottom w:val="single" w:sz="4" w:space="0" w:color="auto"/>
              <w:right w:val="nil"/>
            </w:tcBorders>
            <w:shd w:val="clear" w:color="000000" w:fill="DCE6F1"/>
            <w:noWrap/>
            <w:vAlign w:val="bottom"/>
          </w:tcPr>
          <w:p w14:paraId="4DAEEFA0" w14:textId="77777777" w:rsidR="00CC63FE" w:rsidRPr="00B63554" w:rsidRDefault="00CC63FE" w:rsidP="00C35E45">
            <w:pPr>
              <w:pStyle w:val="Tabletext"/>
              <w:tabs>
                <w:tab w:val="clear" w:pos="1134"/>
              </w:tabs>
              <w:ind w:right="197"/>
              <w:jc w:val="center"/>
              <w:rPr>
                <w:b/>
                <w:bCs/>
                <w:lang w:val="es-ES" w:eastAsia="en-GB"/>
              </w:rPr>
            </w:pPr>
            <w:r w:rsidRPr="00B63554">
              <w:rPr>
                <w:b/>
                <w:bCs/>
                <w:lang w:val="es-ES" w:eastAsia="en-GB"/>
              </w:rPr>
              <w:t>2 496</w:t>
            </w:r>
          </w:p>
        </w:tc>
        <w:tc>
          <w:tcPr>
            <w:tcW w:w="1391" w:type="dxa"/>
            <w:tcBorders>
              <w:top w:val="single" w:sz="4" w:space="0" w:color="auto"/>
              <w:left w:val="single" w:sz="4" w:space="0" w:color="auto"/>
              <w:bottom w:val="single" w:sz="4" w:space="0" w:color="auto"/>
              <w:right w:val="single" w:sz="4" w:space="0" w:color="auto"/>
            </w:tcBorders>
            <w:shd w:val="clear" w:color="000000" w:fill="DCE6F1"/>
            <w:noWrap/>
            <w:vAlign w:val="bottom"/>
          </w:tcPr>
          <w:p w14:paraId="4B2BA936" w14:textId="77777777" w:rsidR="00CC63FE" w:rsidRPr="00B63554" w:rsidRDefault="00CC63FE" w:rsidP="00C35E45">
            <w:pPr>
              <w:pStyle w:val="Tabletext"/>
              <w:tabs>
                <w:tab w:val="clear" w:pos="851"/>
              </w:tabs>
              <w:ind w:right="172"/>
              <w:jc w:val="center"/>
              <w:rPr>
                <w:b/>
                <w:bCs/>
                <w:lang w:val="es-ES" w:eastAsia="en-GB"/>
              </w:rPr>
            </w:pPr>
            <w:r w:rsidRPr="00B63554">
              <w:rPr>
                <w:b/>
                <w:bCs/>
                <w:lang w:val="es-ES" w:eastAsia="en-GB"/>
              </w:rPr>
              <w:t>543</w:t>
            </w:r>
          </w:p>
        </w:tc>
        <w:tc>
          <w:tcPr>
            <w:tcW w:w="1134" w:type="dxa"/>
            <w:tcBorders>
              <w:top w:val="single" w:sz="4" w:space="0" w:color="auto"/>
              <w:left w:val="nil"/>
              <w:bottom w:val="single" w:sz="4" w:space="0" w:color="auto"/>
              <w:right w:val="single" w:sz="4" w:space="0" w:color="auto"/>
            </w:tcBorders>
            <w:shd w:val="clear" w:color="000000" w:fill="DCE6F1"/>
            <w:noWrap/>
            <w:vAlign w:val="bottom"/>
          </w:tcPr>
          <w:p w14:paraId="65075F85" w14:textId="77777777" w:rsidR="00CC63FE" w:rsidRPr="00B63554" w:rsidRDefault="00CC63FE" w:rsidP="00C35E45">
            <w:pPr>
              <w:pStyle w:val="Tabletext"/>
              <w:tabs>
                <w:tab w:val="clear" w:pos="851"/>
              </w:tabs>
              <w:ind w:right="104"/>
              <w:jc w:val="center"/>
              <w:rPr>
                <w:b/>
                <w:bCs/>
                <w:lang w:val="es-ES" w:eastAsia="en-GB"/>
              </w:rPr>
            </w:pPr>
            <w:r w:rsidRPr="00B63554">
              <w:rPr>
                <w:b/>
                <w:bCs/>
                <w:lang w:val="es-ES" w:eastAsia="en-GB"/>
              </w:rPr>
              <w:t>−307</w:t>
            </w:r>
          </w:p>
        </w:tc>
      </w:tr>
      <w:tr w:rsidR="00CC63FE" w:rsidRPr="00B63554" w14:paraId="5C6D6BFA" w14:textId="77777777" w:rsidTr="00E576CA">
        <w:trPr>
          <w:trHeight w:val="300"/>
        </w:trPr>
        <w:tc>
          <w:tcPr>
            <w:tcW w:w="4407"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7CFEDC81" w14:textId="77777777" w:rsidR="00CC63FE" w:rsidRPr="00B63554" w:rsidRDefault="00CC63FE" w:rsidP="00C35E45">
            <w:pPr>
              <w:pStyle w:val="Tabletext"/>
              <w:rPr>
                <w:b/>
                <w:bCs/>
                <w:lang w:val="es-ES" w:eastAsia="en-GB"/>
              </w:rPr>
            </w:pPr>
            <w:r w:rsidRPr="00B63554">
              <w:rPr>
                <w:b/>
                <w:bCs/>
                <w:lang w:val="es-ES" w:eastAsia="en-GB"/>
              </w:rPr>
              <w:t>TOTAL</w:t>
            </w:r>
          </w:p>
        </w:tc>
        <w:tc>
          <w:tcPr>
            <w:tcW w:w="1395" w:type="dxa"/>
            <w:tcBorders>
              <w:top w:val="single" w:sz="4" w:space="0" w:color="auto"/>
              <w:left w:val="nil"/>
              <w:bottom w:val="single" w:sz="4" w:space="0" w:color="auto"/>
              <w:right w:val="single" w:sz="4" w:space="0" w:color="auto"/>
            </w:tcBorders>
            <w:shd w:val="clear" w:color="000000" w:fill="DCE6F1"/>
            <w:noWrap/>
            <w:vAlign w:val="bottom"/>
          </w:tcPr>
          <w:p w14:paraId="585E3C6B" w14:textId="77777777" w:rsidR="00CC63FE" w:rsidRPr="00B63554" w:rsidRDefault="00CC63FE" w:rsidP="00C35E45">
            <w:pPr>
              <w:pStyle w:val="Tabletext"/>
              <w:tabs>
                <w:tab w:val="clear" w:pos="851"/>
              </w:tabs>
              <w:ind w:right="76"/>
              <w:jc w:val="center"/>
              <w:rPr>
                <w:b/>
                <w:bCs/>
                <w:lang w:val="es-ES" w:eastAsia="en-GB"/>
              </w:rPr>
            </w:pPr>
            <w:r w:rsidRPr="00B63554">
              <w:rPr>
                <w:b/>
                <w:bCs/>
                <w:lang w:val="es-ES" w:eastAsia="en-GB"/>
              </w:rPr>
              <w:t>5 181</w:t>
            </w:r>
          </w:p>
        </w:tc>
        <w:tc>
          <w:tcPr>
            <w:tcW w:w="1454" w:type="dxa"/>
            <w:tcBorders>
              <w:top w:val="single" w:sz="4" w:space="0" w:color="auto"/>
              <w:left w:val="nil"/>
              <w:bottom w:val="single" w:sz="4" w:space="0" w:color="auto"/>
              <w:right w:val="nil"/>
            </w:tcBorders>
            <w:shd w:val="clear" w:color="000000" w:fill="DCE6F1"/>
            <w:noWrap/>
            <w:vAlign w:val="bottom"/>
          </w:tcPr>
          <w:p w14:paraId="3240C2F1" w14:textId="77777777" w:rsidR="00CC63FE" w:rsidRPr="00B63554" w:rsidRDefault="00CC63FE" w:rsidP="00C35E45">
            <w:pPr>
              <w:pStyle w:val="Tabletext"/>
              <w:tabs>
                <w:tab w:val="clear" w:pos="1134"/>
              </w:tabs>
              <w:ind w:right="197"/>
              <w:jc w:val="center"/>
              <w:rPr>
                <w:b/>
                <w:bCs/>
                <w:lang w:val="es-ES" w:eastAsia="en-GB"/>
              </w:rPr>
            </w:pPr>
            <w:r w:rsidRPr="00B63554">
              <w:rPr>
                <w:b/>
                <w:bCs/>
                <w:lang w:val="es-ES" w:eastAsia="en-GB"/>
              </w:rPr>
              <w:t>3 483</w:t>
            </w:r>
          </w:p>
        </w:tc>
        <w:tc>
          <w:tcPr>
            <w:tcW w:w="1391" w:type="dxa"/>
            <w:tcBorders>
              <w:top w:val="single" w:sz="4" w:space="0" w:color="auto"/>
              <w:left w:val="single" w:sz="4" w:space="0" w:color="auto"/>
              <w:bottom w:val="single" w:sz="4" w:space="0" w:color="auto"/>
              <w:right w:val="single" w:sz="4" w:space="0" w:color="auto"/>
            </w:tcBorders>
            <w:shd w:val="clear" w:color="000000" w:fill="DCE6F1"/>
            <w:noWrap/>
            <w:vAlign w:val="bottom"/>
          </w:tcPr>
          <w:p w14:paraId="79836ADE" w14:textId="77777777" w:rsidR="00CC63FE" w:rsidRPr="00B63554" w:rsidRDefault="00CC63FE" w:rsidP="00C35E45">
            <w:pPr>
              <w:pStyle w:val="Tabletext"/>
              <w:tabs>
                <w:tab w:val="clear" w:pos="851"/>
              </w:tabs>
              <w:ind w:right="172"/>
              <w:jc w:val="center"/>
              <w:rPr>
                <w:b/>
                <w:bCs/>
                <w:lang w:val="es-ES" w:eastAsia="en-GB"/>
              </w:rPr>
            </w:pPr>
            <w:r w:rsidRPr="00B63554">
              <w:rPr>
                <w:b/>
                <w:bCs/>
                <w:lang w:val="es-ES" w:eastAsia="en-GB"/>
              </w:rPr>
              <w:t>999</w:t>
            </w:r>
          </w:p>
        </w:tc>
        <w:tc>
          <w:tcPr>
            <w:tcW w:w="1134" w:type="dxa"/>
            <w:tcBorders>
              <w:top w:val="single" w:sz="4" w:space="0" w:color="auto"/>
              <w:left w:val="nil"/>
              <w:bottom w:val="single" w:sz="4" w:space="0" w:color="auto"/>
              <w:right w:val="single" w:sz="4" w:space="0" w:color="auto"/>
            </w:tcBorders>
            <w:shd w:val="clear" w:color="000000" w:fill="DCE6F1"/>
            <w:noWrap/>
            <w:vAlign w:val="bottom"/>
          </w:tcPr>
          <w:p w14:paraId="41A7C640" w14:textId="77777777" w:rsidR="00CC63FE" w:rsidRPr="00B63554" w:rsidRDefault="00CC63FE" w:rsidP="00C35E45">
            <w:pPr>
              <w:pStyle w:val="Tabletext"/>
              <w:tabs>
                <w:tab w:val="clear" w:pos="851"/>
              </w:tabs>
              <w:ind w:right="104"/>
              <w:jc w:val="center"/>
              <w:rPr>
                <w:b/>
                <w:bCs/>
                <w:lang w:val="es-ES" w:eastAsia="en-GB"/>
              </w:rPr>
            </w:pPr>
            <w:r w:rsidRPr="00B63554">
              <w:rPr>
                <w:b/>
                <w:bCs/>
                <w:lang w:val="es-ES" w:eastAsia="en-GB"/>
              </w:rPr>
              <w:t>699</w:t>
            </w:r>
          </w:p>
        </w:tc>
      </w:tr>
    </w:tbl>
    <w:p w14:paraId="23605621" w14:textId="77777777" w:rsidR="00CC63FE" w:rsidRPr="00B63554" w:rsidRDefault="00CC63FE" w:rsidP="00CC63FE">
      <w:pPr>
        <w:tabs>
          <w:tab w:val="clear" w:pos="1134"/>
          <w:tab w:val="clear" w:pos="1871"/>
          <w:tab w:val="clear" w:pos="2268"/>
        </w:tabs>
        <w:overflowPunct/>
        <w:autoSpaceDE/>
        <w:autoSpaceDN/>
        <w:adjustRightInd/>
        <w:spacing w:before="0"/>
        <w:textAlignment w:val="auto"/>
        <w:rPr>
          <w:sz w:val="28"/>
          <w:szCs w:val="28"/>
          <w:lang w:val="es-ES"/>
        </w:rPr>
      </w:pPr>
      <w:r w:rsidRPr="00B63554">
        <w:rPr>
          <w:sz w:val="28"/>
          <w:szCs w:val="28"/>
          <w:lang w:val="es-ES"/>
        </w:rPr>
        <w:br w:type="page"/>
      </w:r>
    </w:p>
    <w:p w14:paraId="41D4F200" w14:textId="77777777" w:rsidR="00CC63FE" w:rsidRPr="00B63554" w:rsidRDefault="00CC63FE" w:rsidP="00CC63FE">
      <w:pPr>
        <w:pStyle w:val="AnnexNo"/>
        <w:rPr>
          <w:lang w:val="es-ES"/>
        </w:rPr>
      </w:pPr>
      <w:r w:rsidRPr="00B63554">
        <w:rPr>
          <w:lang w:val="es-ES"/>
        </w:rPr>
        <w:lastRenderedPageBreak/>
        <w:t>ANEXO 2</w:t>
      </w:r>
    </w:p>
    <w:p w14:paraId="2154C4D1" w14:textId="77777777" w:rsidR="00CC63FE" w:rsidRPr="00B63554" w:rsidRDefault="00CC63FE" w:rsidP="002B26C8">
      <w:pPr>
        <w:pStyle w:val="TableNo"/>
        <w:rPr>
          <w:lang w:val="es-ES"/>
        </w:rPr>
      </w:pPr>
      <w:r w:rsidRPr="002B26C8">
        <w:t>cuADRO</w:t>
      </w:r>
      <w:r w:rsidRPr="00B63554">
        <w:rPr>
          <w:lang w:val="es-ES"/>
        </w:rPr>
        <w:t xml:space="preserve"> 1</w:t>
      </w:r>
    </w:p>
    <w:tbl>
      <w:tblPr>
        <w:tblW w:w="5000" w:type="pct"/>
        <w:tblCellMar>
          <w:left w:w="70" w:type="dxa"/>
          <w:right w:w="70" w:type="dxa"/>
        </w:tblCellMar>
        <w:tblLook w:val="04A0" w:firstRow="1" w:lastRow="0" w:firstColumn="1" w:lastColumn="0" w:noHBand="0" w:noVBand="1"/>
      </w:tblPr>
      <w:tblGrid>
        <w:gridCol w:w="5818"/>
        <w:gridCol w:w="147"/>
        <w:gridCol w:w="1134"/>
        <w:gridCol w:w="1297"/>
        <w:gridCol w:w="1243"/>
      </w:tblGrid>
      <w:tr w:rsidR="00CF773E" w:rsidRPr="00DF2617" w14:paraId="64AF2D20" w14:textId="77777777" w:rsidTr="00CF773E">
        <w:trPr>
          <w:trHeight w:val="172"/>
        </w:trPr>
        <w:tc>
          <w:tcPr>
            <w:tcW w:w="3018" w:type="pct"/>
            <w:tcBorders>
              <w:bottom w:val="single" w:sz="4" w:space="0" w:color="auto"/>
            </w:tcBorders>
            <w:shd w:val="clear" w:color="auto" w:fill="auto"/>
            <w:noWrap/>
            <w:vAlign w:val="center"/>
          </w:tcPr>
          <w:p w14:paraId="1C3378A6" w14:textId="77777777" w:rsidR="00CF773E" w:rsidRPr="00DF2617" w:rsidRDefault="00CF773E" w:rsidP="002B26C8">
            <w:pPr>
              <w:pStyle w:val="Tablehead"/>
              <w:rPr>
                <w:lang w:val="es-ES" w:eastAsia="es-ES"/>
              </w:rPr>
            </w:pPr>
          </w:p>
        </w:tc>
        <w:tc>
          <w:tcPr>
            <w:tcW w:w="76" w:type="pct"/>
            <w:tcBorders>
              <w:left w:val="nil"/>
              <w:bottom w:val="nil"/>
            </w:tcBorders>
            <w:shd w:val="clear" w:color="auto" w:fill="auto"/>
            <w:noWrap/>
            <w:vAlign w:val="bottom"/>
          </w:tcPr>
          <w:p w14:paraId="7DA84028" w14:textId="77777777" w:rsidR="00CF773E" w:rsidRPr="00DF2617" w:rsidRDefault="00CF773E" w:rsidP="002B26C8">
            <w:pPr>
              <w:tabs>
                <w:tab w:val="clear" w:pos="1134"/>
                <w:tab w:val="clear" w:pos="1871"/>
                <w:tab w:val="clear" w:pos="2268"/>
              </w:tabs>
              <w:overflowPunct/>
              <w:autoSpaceDE/>
              <w:autoSpaceDN/>
              <w:adjustRightInd/>
              <w:spacing w:before="0"/>
              <w:jc w:val="center"/>
              <w:textAlignment w:val="auto"/>
              <w:rPr>
                <w:rFonts w:ascii="Calibri" w:hAnsi="Calibri" w:cs="Calibri"/>
                <w:b/>
                <w:bCs/>
                <w:color w:val="000000"/>
                <w:szCs w:val="24"/>
                <w:lang w:val="es-ES" w:eastAsia="es-ES"/>
              </w:rPr>
            </w:pPr>
          </w:p>
        </w:tc>
        <w:tc>
          <w:tcPr>
            <w:tcW w:w="1906" w:type="pct"/>
            <w:gridSpan w:val="3"/>
            <w:tcBorders>
              <w:bottom w:val="single" w:sz="4" w:space="0" w:color="auto"/>
            </w:tcBorders>
            <w:shd w:val="clear" w:color="auto" w:fill="auto"/>
            <w:vAlign w:val="center"/>
          </w:tcPr>
          <w:p w14:paraId="239D4D67" w14:textId="00D6B62C" w:rsidR="00CF773E" w:rsidRPr="00CF773E" w:rsidRDefault="00CF773E" w:rsidP="002B26C8">
            <w:pPr>
              <w:pStyle w:val="Tablehead"/>
              <w:rPr>
                <w:b w:val="0"/>
                <w:i/>
                <w:iCs/>
                <w:color w:val="000000"/>
                <w:szCs w:val="24"/>
                <w:lang w:val="es-ES" w:eastAsia="es-ES"/>
              </w:rPr>
            </w:pPr>
            <w:r w:rsidRPr="00CF773E">
              <w:rPr>
                <w:b w:val="0"/>
                <w:i/>
                <w:iCs/>
                <w:color w:val="000000"/>
                <w:szCs w:val="24"/>
                <w:lang w:val="es-ES" w:eastAsia="es-ES"/>
              </w:rPr>
              <w:t>en CHF</w:t>
            </w:r>
          </w:p>
        </w:tc>
      </w:tr>
      <w:tr w:rsidR="00CC63FE" w:rsidRPr="00DF2617" w14:paraId="6BEBAF3E" w14:textId="77777777" w:rsidTr="00CF773E">
        <w:trPr>
          <w:trHeight w:val="475"/>
        </w:trPr>
        <w:tc>
          <w:tcPr>
            <w:tcW w:w="3018" w:type="pct"/>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7FF46C42" w14:textId="77777777" w:rsidR="00CC63FE" w:rsidRPr="00DF2617" w:rsidRDefault="00CC63FE" w:rsidP="002B26C8">
            <w:pPr>
              <w:pStyle w:val="Tablehead"/>
              <w:rPr>
                <w:lang w:val="es-ES" w:eastAsia="es-ES"/>
              </w:rPr>
            </w:pPr>
            <w:r w:rsidRPr="00DF2617">
              <w:rPr>
                <w:lang w:val="es-ES" w:eastAsia="es-ES"/>
              </w:rPr>
              <w:t>Esfera de responsabilidad</w:t>
            </w:r>
          </w:p>
        </w:tc>
        <w:tc>
          <w:tcPr>
            <w:tcW w:w="76" w:type="pct"/>
            <w:tcBorders>
              <w:top w:val="nil"/>
              <w:left w:val="nil"/>
              <w:bottom w:val="nil"/>
              <w:right w:val="nil"/>
            </w:tcBorders>
            <w:shd w:val="clear" w:color="auto" w:fill="auto"/>
            <w:noWrap/>
            <w:vAlign w:val="bottom"/>
            <w:hideMark/>
          </w:tcPr>
          <w:p w14:paraId="5EEA196F" w14:textId="77777777" w:rsidR="00CC63FE" w:rsidRPr="00DF2617" w:rsidRDefault="00CC63FE" w:rsidP="002B26C8">
            <w:pPr>
              <w:tabs>
                <w:tab w:val="clear" w:pos="1134"/>
                <w:tab w:val="clear" w:pos="1871"/>
                <w:tab w:val="clear" w:pos="2268"/>
              </w:tabs>
              <w:overflowPunct/>
              <w:autoSpaceDE/>
              <w:autoSpaceDN/>
              <w:adjustRightInd/>
              <w:spacing w:before="0"/>
              <w:jc w:val="center"/>
              <w:textAlignment w:val="auto"/>
              <w:rPr>
                <w:rFonts w:ascii="Calibri" w:hAnsi="Calibri" w:cs="Calibri"/>
                <w:b/>
                <w:bCs/>
                <w:color w:val="000000"/>
                <w:szCs w:val="24"/>
                <w:lang w:val="es-ES" w:eastAsia="es-ES"/>
              </w:rPr>
            </w:pPr>
          </w:p>
        </w:tc>
        <w:tc>
          <w:tcPr>
            <w:tcW w:w="588" w:type="pct"/>
            <w:tcBorders>
              <w:top w:val="single" w:sz="4" w:space="0" w:color="auto"/>
              <w:left w:val="single" w:sz="4" w:space="0" w:color="auto"/>
              <w:bottom w:val="single" w:sz="4" w:space="0" w:color="auto"/>
              <w:right w:val="single" w:sz="4" w:space="0" w:color="auto"/>
            </w:tcBorders>
            <w:shd w:val="clear" w:color="000000" w:fill="8497B0"/>
            <w:vAlign w:val="center"/>
            <w:hideMark/>
          </w:tcPr>
          <w:p w14:paraId="55DEA219" w14:textId="77777777" w:rsidR="00CC63FE" w:rsidRPr="00DF2617" w:rsidRDefault="00CC63FE" w:rsidP="002B26C8">
            <w:pPr>
              <w:pStyle w:val="Tablehead"/>
              <w:rPr>
                <w:rFonts w:ascii="Calibri" w:hAnsi="Calibri" w:cs="Calibri"/>
                <w:b w:val="0"/>
                <w:bCs/>
                <w:color w:val="000000"/>
                <w:szCs w:val="24"/>
                <w:lang w:val="es-ES" w:eastAsia="es-ES"/>
              </w:rPr>
            </w:pPr>
            <w:r w:rsidRPr="002B26C8">
              <w:rPr>
                <w:lang w:val="es-ES" w:eastAsia="es-ES"/>
              </w:rPr>
              <w:t>Gastos</w:t>
            </w:r>
            <w:r w:rsidRPr="00CF773E">
              <w:rPr>
                <w:lang w:val="es-ES" w:eastAsia="es-ES"/>
              </w:rPr>
              <w:t xml:space="preserve"> puntuales</w:t>
            </w:r>
          </w:p>
        </w:tc>
        <w:tc>
          <w:tcPr>
            <w:tcW w:w="673" w:type="pct"/>
            <w:tcBorders>
              <w:top w:val="single" w:sz="4" w:space="0" w:color="auto"/>
              <w:left w:val="nil"/>
              <w:bottom w:val="single" w:sz="4" w:space="0" w:color="auto"/>
              <w:right w:val="single" w:sz="4" w:space="0" w:color="auto"/>
            </w:tcBorders>
            <w:shd w:val="clear" w:color="000000" w:fill="8EA9DB"/>
            <w:vAlign w:val="center"/>
            <w:hideMark/>
          </w:tcPr>
          <w:p w14:paraId="58FD6CB3" w14:textId="77777777" w:rsidR="00CC63FE" w:rsidRPr="00DF2617" w:rsidRDefault="00CC63FE" w:rsidP="002B26C8">
            <w:pPr>
              <w:pStyle w:val="Tablehead"/>
              <w:rPr>
                <w:rFonts w:ascii="Calibri" w:hAnsi="Calibri" w:cs="Calibri"/>
                <w:b w:val="0"/>
                <w:bCs/>
                <w:color w:val="000000"/>
                <w:szCs w:val="24"/>
                <w:lang w:val="es-ES" w:eastAsia="es-ES"/>
              </w:rPr>
            </w:pPr>
            <w:r w:rsidRPr="00CF773E">
              <w:rPr>
                <w:lang w:val="es-ES" w:eastAsia="es-ES"/>
              </w:rPr>
              <w:t xml:space="preserve">Gastos </w:t>
            </w:r>
            <w:r w:rsidRPr="002B26C8">
              <w:rPr>
                <w:lang w:val="es-ES" w:eastAsia="es-ES"/>
              </w:rPr>
              <w:t>anuales</w:t>
            </w:r>
            <w:r w:rsidRPr="00CF773E">
              <w:rPr>
                <w:lang w:val="es-ES" w:eastAsia="es-ES"/>
              </w:rPr>
              <w:t xml:space="preserve"> recurrentes</w:t>
            </w:r>
          </w:p>
        </w:tc>
        <w:tc>
          <w:tcPr>
            <w:tcW w:w="645" w:type="pct"/>
            <w:tcBorders>
              <w:top w:val="single" w:sz="4" w:space="0" w:color="auto"/>
              <w:left w:val="nil"/>
              <w:bottom w:val="single" w:sz="4" w:space="0" w:color="auto"/>
              <w:right w:val="single" w:sz="4" w:space="0" w:color="auto"/>
            </w:tcBorders>
            <w:shd w:val="clear" w:color="000000" w:fill="9BC2E6"/>
            <w:vAlign w:val="center"/>
            <w:hideMark/>
          </w:tcPr>
          <w:p w14:paraId="0D400425" w14:textId="20774365" w:rsidR="00CC63FE" w:rsidRPr="00CF773E" w:rsidRDefault="00CC63FE" w:rsidP="002B26C8">
            <w:pPr>
              <w:pStyle w:val="Tablehead"/>
              <w:rPr>
                <w:lang w:val="es-ES" w:eastAsia="es-ES"/>
              </w:rPr>
            </w:pPr>
            <w:r w:rsidRPr="00CF773E">
              <w:rPr>
                <w:lang w:val="es-ES" w:eastAsia="es-ES"/>
              </w:rPr>
              <w:t xml:space="preserve">Total </w:t>
            </w:r>
            <w:r w:rsidR="002B26C8" w:rsidRPr="00CF773E">
              <w:rPr>
                <w:lang w:val="es-ES" w:eastAsia="es-ES"/>
              </w:rPr>
              <w:br/>
            </w:r>
            <w:r w:rsidRPr="00CF773E">
              <w:rPr>
                <w:lang w:val="es-ES" w:eastAsia="es-ES"/>
              </w:rPr>
              <w:t>2024-2027</w:t>
            </w:r>
          </w:p>
        </w:tc>
      </w:tr>
      <w:tr w:rsidR="00CC63FE" w:rsidRPr="00DF2617" w14:paraId="66F860DD" w14:textId="77777777" w:rsidTr="002B26C8">
        <w:trPr>
          <w:trHeight w:val="310"/>
        </w:trPr>
        <w:tc>
          <w:tcPr>
            <w:tcW w:w="3018" w:type="pct"/>
            <w:tcBorders>
              <w:top w:val="nil"/>
              <w:left w:val="single" w:sz="4" w:space="0" w:color="auto"/>
              <w:bottom w:val="single" w:sz="4" w:space="0" w:color="auto"/>
              <w:right w:val="single" w:sz="4" w:space="0" w:color="auto"/>
            </w:tcBorders>
            <w:shd w:val="clear" w:color="000000" w:fill="E2EFDA"/>
            <w:vAlign w:val="bottom"/>
            <w:hideMark/>
          </w:tcPr>
          <w:p w14:paraId="4BAED961" w14:textId="77777777" w:rsidR="00CC63FE" w:rsidRPr="00DF2617" w:rsidRDefault="00CC63FE" w:rsidP="002B26C8">
            <w:pPr>
              <w:pStyle w:val="Tabletext"/>
              <w:rPr>
                <w:lang w:val="es-ES" w:eastAsia="es-ES"/>
              </w:rPr>
            </w:pPr>
            <w:r w:rsidRPr="00DF2617">
              <w:rPr>
                <w:lang w:val="es-ES" w:eastAsia="es-ES"/>
              </w:rPr>
              <w:t>Comisiones de Estudio</w:t>
            </w:r>
          </w:p>
        </w:tc>
        <w:tc>
          <w:tcPr>
            <w:tcW w:w="76" w:type="pct"/>
            <w:tcBorders>
              <w:top w:val="nil"/>
              <w:left w:val="nil"/>
              <w:bottom w:val="nil"/>
              <w:right w:val="nil"/>
            </w:tcBorders>
            <w:shd w:val="clear" w:color="auto" w:fill="auto"/>
            <w:noWrap/>
            <w:vAlign w:val="bottom"/>
            <w:hideMark/>
          </w:tcPr>
          <w:p w14:paraId="0DD641D2" w14:textId="77777777" w:rsidR="00CC63FE" w:rsidRPr="00DF2617" w:rsidRDefault="00CC63FE" w:rsidP="002B26C8">
            <w:pPr>
              <w:tabs>
                <w:tab w:val="clear" w:pos="1134"/>
                <w:tab w:val="clear" w:pos="1871"/>
                <w:tab w:val="clear" w:pos="2268"/>
              </w:tabs>
              <w:overflowPunct/>
              <w:autoSpaceDE/>
              <w:autoSpaceDN/>
              <w:adjustRightInd/>
              <w:spacing w:before="0"/>
              <w:textAlignment w:val="auto"/>
              <w:rPr>
                <w:rFonts w:ascii="Calibri" w:hAnsi="Calibri" w:cs="Calibri"/>
                <w:color w:val="000000"/>
                <w:szCs w:val="24"/>
                <w:lang w:val="es-ES" w:eastAsia="es-ES"/>
              </w:rPr>
            </w:pPr>
          </w:p>
        </w:tc>
        <w:tc>
          <w:tcPr>
            <w:tcW w:w="588" w:type="pct"/>
            <w:tcBorders>
              <w:top w:val="nil"/>
              <w:left w:val="single" w:sz="4" w:space="0" w:color="auto"/>
              <w:bottom w:val="single" w:sz="4" w:space="0" w:color="auto"/>
              <w:right w:val="single" w:sz="4" w:space="0" w:color="auto"/>
            </w:tcBorders>
            <w:shd w:val="clear" w:color="000000" w:fill="D6DCE4"/>
            <w:noWrap/>
            <w:vAlign w:val="bottom"/>
            <w:hideMark/>
          </w:tcPr>
          <w:p w14:paraId="6FA7D81F" w14:textId="77777777" w:rsidR="00CC63FE" w:rsidRPr="002B26C8" w:rsidRDefault="00CC63FE" w:rsidP="00634BAB">
            <w:pPr>
              <w:pStyle w:val="Tabletext"/>
              <w:jc w:val="center"/>
              <w:rPr>
                <w:lang w:val="es-ES" w:eastAsia="es-ES"/>
              </w:rPr>
            </w:pPr>
            <w:r w:rsidRPr="002B26C8">
              <w:rPr>
                <w:lang w:val="es-ES" w:eastAsia="es-ES"/>
              </w:rPr>
              <w:t>594.900</w:t>
            </w:r>
          </w:p>
        </w:tc>
        <w:tc>
          <w:tcPr>
            <w:tcW w:w="673" w:type="pct"/>
            <w:tcBorders>
              <w:top w:val="nil"/>
              <w:left w:val="nil"/>
              <w:bottom w:val="single" w:sz="4" w:space="0" w:color="auto"/>
              <w:right w:val="nil"/>
            </w:tcBorders>
            <w:shd w:val="clear" w:color="000000" w:fill="D9E1F2"/>
            <w:noWrap/>
            <w:vAlign w:val="bottom"/>
            <w:hideMark/>
          </w:tcPr>
          <w:p w14:paraId="151B1E5E" w14:textId="77777777" w:rsidR="00CC63FE" w:rsidRPr="002B26C8" w:rsidRDefault="00CC63FE" w:rsidP="00634BAB">
            <w:pPr>
              <w:pStyle w:val="Tabletext"/>
              <w:jc w:val="center"/>
              <w:rPr>
                <w:lang w:val="es-ES" w:eastAsia="es-ES"/>
              </w:rPr>
            </w:pPr>
            <w:r w:rsidRPr="002B26C8">
              <w:rPr>
                <w:lang w:val="es-ES" w:eastAsia="es-ES"/>
              </w:rPr>
              <w:t>326.340</w:t>
            </w:r>
          </w:p>
        </w:tc>
        <w:tc>
          <w:tcPr>
            <w:tcW w:w="645" w:type="pct"/>
            <w:tcBorders>
              <w:top w:val="nil"/>
              <w:left w:val="single" w:sz="4" w:space="0" w:color="auto"/>
              <w:bottom w:val="single" w:sz="4" w:space="0" w:color="auto"/>
              <w:right w:val="single" w:sz="4" w:space="0" w:color="auto"/>
            </w:tcBorders>
            <w:shd w:val="clear" w:color="000000" w:fill="DDEBF7"/>
            <w:noWrap/>
            <w:vAlign w:val="bottom"/>
            <w:hideMark/>
          </w:tcPr>
          <w:p w14:paraId="4C68AE6D" w14:textId="77777777" w:rsidR="00CC63FE" w:rsidRPr="002B26C8" w:rsidRDefault="00CC63FE" w:rsidP="00634BAB">
            <w:pPr>
              <w:pStyle w:val="Tabletext"/>
              <w:jc w:val="center"/>
              <w:rPr>
                <w:lang w:val="es-ES" w:eastAsia="es-ES"/>
              </w:rPr>
            </w:pPr>
            <w:r w:rsidRPr="002B26C8">
              <w:rPr>
                <w:lang w:val="es-ES" w:eastAsia="es-ES"/>
              </w:rPr>
              <w:t>1.900.260</w:t>
            </w:r>
          </w:p>
        </w:tc>
      </w:tr>
      <w:tr w:rsidR="00CC63FE" w:rsidRPr="00DF2617" w14:paraId="2BC3E694" w14:textId="77777777" w:rsidTr="002B26C8">
        <w:trPr>
          <w:trHeight w:val="310"/>
        </w:trPr>
        <w:tc>
          <w:tcPr>
            <w:tcW w:w="3018" w:type="pct"/>
            <w:tcBorders>
              <w:top w:val="nil"/>
              <w:left w:val="single" w:sz="4" w:space="0" w:color="auto"/>
              <w:bottom w:val="single" w:sz="4" w:space="0" w:color="auto"/>
              <w:right w:val="single" w:sz="4" w:space="0" w:color="auto"/>
            </w:tcBorders>
            <w:shd w:val="clear" w:color="000000" w:fill="E2EFDA"/>
            <w:vAlign w:val="bottom"/>
            <w:hideMark/>
          </w:tcPr>
          <w:p w14:paraId="61A8F33F" w14:textId="77777777" w:rsidR="00CC63FE" w:rsidRPr="002B26C8" w:rsidRDefault="00CC63FE" w:rsidP="002B26C8">
            <w:pPr>
              <w:pStyle w:val="Tabletext"/>
              <w:rPr>
                <w:lang w:val="es-ES" w:eastAsia="es-ES"/>
              </w:rPr>
            </w:pPr>
            <w:r w:rsidRPr="002B26C8">
              <w:rPr>
                <w:lang w:val="es-ES" w:eastAsia="es-ES"/>
              </w:rPr>
              <w:t>Servicios terrenales</w:t>
            </w:r>
          </w:p>
        </w:tc>
        <w:tc>
          <w:tcPr>
            <w:tcW w:w="76" w:type="pct"/>
            <w:tcBorders>
              <w:top w:val="nil"/>
              <w:left w:val="nil"/>
              <w:bottom w:val="nil"/>
              <w:right w:val="nil"/>
            </w:tcBorders>
            <w:shd w:val="clear" w:color="auto" w:fill="auto"/>
            <w:noWrap/>
            <w:vAlign w:val="bottom"/>
            <w:hideMark/>
          </w:tcPr>
          <w:p w14:paraId="2988A67C" w14:textId="77777777" w:rsidR="00CC63FE" w:rsidRPr="00DF2617" w:rsidRDefault="00CC63FE" w:rsidP="002B26C8">
            <w:pPr>
              <w:tabs>
                <w:tab w:val="clear" w:pos="1134"/>
                <w:tab w:val="clear" w:pos="1871"/>
                <w:tab w:val="clear" w:pos="2268"/>
              </w:tabs>
              <w:overflowPunct/>
              <w:autoSpaceDE/>
              <w:autoSpaceDN/>
              <w:adjustRightInd/>
              <w:spacing w:before="0"/>
              <w:textAlignment w:val="auto"/>
              <w:rPr>
                <w:rFonts w:ascii="Calibri" w:hAnsi="Calibri" w:cs="Calibri"/>
                <w:color w:val="000000"/>
                <w:szCs w:val="24"/>
                <w:lang w:val="es-ES" w:eastAsia="es-ES"/>
              </w:rPr>
            </w:pPr>
          </w:p>
        </w:tc>
        <w:tc>
          <w:tcPr>
            <w:tcW w:w="588" w:type="pct"/>
            <w:tcBorders>
              <w:top w:val="nil"/>
              <w:left w:val="single" w:sz="4" w:space="0" w:color="auto"/>
              <w:bottom w:val="single" w:sz="4" w:space="0" w:color="auto"/>
              <w:right w:val="single" w:sz="4" w:space="0" w:color="auto"/>
            </w:tcBorders>
            <w:shd w:val="clear" w:color="000000" w:fill="D6DCE4"/>
            <w:noWrap/>
            <w:vAlign w:val="bottom"/>
            <w:hideMark/>
          </w:tcPr>
          <w:p w14:paraId="7A679A6A" w14:textId="77777777" w:rsidR="00CC63FE" w:rsidRPr="002B26C8" w:rsidRDefault="00CC63FE" w:rsidP="00634BAB">
            <w:pPr>
              <w:pStyle w:val="Tabletext"/>
              <w:jc w:val="center"/>
              <w:rPr>
                <w:lang w:val="es-ES" w:eastAsia="es-ES"/>
              </w:rPr>
            </w:pPr>
            <w:r w:rsidRPr="002B26C8">
              <w:rPr>
                <w:lang w:val="es-ES" w:eastAsia="es-ES"/>
              </w:rPr>
              <w:t>350.568</w:t>
            </w:r>
          </w:p>
        </w:tc>
        <w:tc>
          <w:tcPr>
            <w:tcW w:w="673" w:type="pct"/>
            <w:tcBorders>
              <w:top w:val="nil"/>
              <w:left w:val="nil"/>
              <w:bottom w:val="single" w:sz="4" w:space="0" w:color="auto"/>
              <w:right w:val="nil"/>
            </w:tcBorders>
            <w:shd w:val="clear" w:color="000000" w:fill="D9E1F2"/>
            <w:noWrap/>
            <w:vAlign w:val="bottom"/>
            <w:hideMark/>
          </w:tcPr>
          <w:p w14:paraId="739BDDA0" w14:textId="77777777" w:rsidR="00CC63FE" w:rsidRPr="002B26C8" w:rsidRDefault="00CC63FE" w:rsidP="00634BAB">
            <w:pPr>
              <w:pStyle w:val="Tabletext"/>
              <w:jc w:val="center"/>
              <w:rPr>
                <w:lang w:val="es-ES" w:eastAsia="es-ES"/>
              </w:rPr>
            </w:pPr>
            <w:r w:rsidRPr="002B26C8">
              <w:rPr>
                <w:lang w:val="es-ES" w:eastAsia="es-ES"/>
              </w:rPr>
              <w:t>0</w:t>
            </w:r>
          </w:p>
        </w:tc>
        <w:tc>
          <w:tcPr>
            <w:tcW w:w="645" w:type="pct"/>
            <w:tcBorders>
              <w:top w:val="nil"/>
              <w:left w:val="single" w:sz="4" w:space="0" w:color="auto"/>
              <w:bottom w:val="single" w:sz="4" w:space="0" w:color="auto"/>
              <w:right w:val="single" w:sz="4" w:space="0" w:color="auto"/>
            </w:tcBorders>
            <w:shd w:val="clear" w:color="000000" w:fill="DDEBF7"/>
            <w:noWrap/>
            <w:vAlign w:val="bottom"/>
            <w:hideMark/>
          </w:tcPr>
          <w:p w14:paraId="3D922C8D" w14:textId="77777777" w:rsidR="00CC63FE" w:rsidRPr="002B26C8" w:rsidRDefault="00CC63FE" w:rsidP="00634BAB">
            <w:pPr>
              <w:pStyle w:val="Tabletext"/>
              <w:jc w:val="center"/>
              <w:rPr>
                <w:lang w:val="es-ES" w:eastAsia="es-ES"/>
              </w:rPr>
            </w:pPr>
            <w:r w:rsidRPr="002B26C8">
              <w:rPr>
                <w:lang w:val="es-ES" w:eastAsia="es-ES"/>
              </w:rPr>
              <w:t>350.568</w:t>
            </w:r>
          </w:p>
        </w:tc>
      </w:tr>
      <w:tr w:rsidR="00CC63FE" w:rsidRPr="00DF2617" w14:paraId="002E06FB" w14:textId="77777777" w:rsidTr="002B26C8">
        <w:trPr>
          <w:trHeight w:val="310"/>
        </w:trPr>
        <w:tc>
          <w:tcPr>
            <w:tcW w:w="3018" w:type="pct"/>
            <w:tcBorders>
              <w:top w:val="nil"/>
              <w:left w:val="single" w:sz="4" w:space="0" w:color="auto"/>
              <w:bottom w:val="single" w:sz="4" w:space="0" w:color="auto"/>
              <w:right w:val="single" w:sz="4" w:space="0" w:color="auto"/>
            </w:tcBorders>
            <w:shd w:val="clear" w:color="000000" w:fill="E2EFDA"/>
            <w:vAlign w:val="bottom"/>
            <w:hideMark/>
          </w:tcPr>
          <w:p w14:paraId="15718EF0" w14:textId="77777777" w:rsidR="00CC63FE" w:rsidRPr="002B26C8" w:rsidRDefault="00CC63FE" w:rsidP="002B26C8">
            <w:pPr>
              <w:pStyle w:val="Tabletext"/>
              <w:rPr>
                <w:lang w:val="es-ES" w:eastAsia="es-ES"/>
              </w:rPr>
            </w:pPr>
            <w:r w:rsidRPr="002B26C8">
              <w:rPr>
                <w:lang w:val="es-ES" w:eastAsia="es-ES"/>
              </w:rPr>
              <w:t>Servicios espaciales</w:t>
            </w:r>
          </w:p>
        </w:tc>
        <w:tc>
          <w:tcPr>
            <w:tcW w:w="76" w:type="pct"/>
            <w:tcBorders>
              <w:top w:val="nil"/>
              <w:left w:val="nil"/>
              <w:bottom w:val="nil"/>
              <w:right w:val="nil"/>
            </w:tcBorders>
            <w:shd w:val="clear" w:color="auto" w:fill="auto"/>
            <w:noWrap/>
            <w:vAlign w:val="bottom"/>
            <w:hideMark/>
          </w:tcPr>
          <w:p w14:paraId="4085587E" w14:textId="77777777" w:rsidR="00CC63FE" w:rsidRPr="00DF2617" w:rsidRDefault="00CC63FE" w:rsidP="002B26C8">
            <w:pPr>
              <w:tabs>
                <w:tab w:val="clear" w:pos="1134"/>
                <w:tab w:val="clear" w:pos="1871"/>
                <w:tab w:val="clear" w:pos="2268"/>
              </w:tabs>
              <w:overflowPunct/>
              <w:autoSpaceDE/>
              <w:autoSpaceDN/>
              <w:adjustRightInd/>
              <w:spacing w:before="0"/>
              <w:textAlignment w:val="auto"/>
              <w:rPr>
                <w:rFonts w:ascii="Calibri" w:hAnsi="Calibri" w:cs="Calibri"/>
                <w:color w:val="000000"/>
                <w:szCs w:val="24"/>
                <w:lang w:val="es-ES" w:eastAsia="es-ES"/>
              </w:rPr>
            </w:pPr>
          </w:p>
        </w:tc>
        <w:tc>
          <w:tcPr>
            <w:tcW w:w="588" w:type="pct"/>
            <w:tcBorders>
              <w:top w:val="nil"/>
              <w:left w:val="single" w:sz="4" w:space="0" w:color="auto"/>
              <w:bottom w:val="single" w:sz="4" w:space="0" w:color="auto"/>
              <w:right w:val="single" w:sz="4" w:space="0" w:color="auto"/>
            </w:tcBorders>
            <w:shd w:val="clear" w:color="000000" w:fill="D6DCE4"/>
            <w:noWrap/>
            <w:vAlign w:val="bottom"/>
            <w:hideMark/>
          </w:tcPr>
          <w:p w14:paraId="56A0A24E" w14:textId="77777777" w:rsidR="00CC63FE" w:rsidRPr="002B26C8" w:rsidRDefault="00CC63FE" w:rsidP="00634BAB">
            <w:pPr>
              <w:pStyle w:val="Tabletext"/>
              <w:jc w:val="center"/>
              <w:rPr>
                <w:lang w:val="es-ES" w:eastAsia="es-ES"/>
              </w:rPr>
            </w:pPr>
            <w:r w:rsidRPr="002B26C8">
              <w:rPr>
                <w:lang w:val="es-ES" w:eastAsia="es-ES"/>
              </w:rPr>
              <w:t>2.979.828</w:t>
            </w:r>
          </w:p>
        </w:tc>
        <w:tc>
          <w:tcPr>
            <w:tcW w:w="673" w:type="pct"/>
            <w:tcBorders>
              <w:top w:val="nil"/>
              <w:left w:val="nil"/>
              <w:bottom w:val="single" w:sz="4" w:space="0" w:color="auto"/>
              <w:right w:val="nil"/>
            </w:tcBorders>
            <w:shd w:val="clear" w:color="000000" w:fill="D9E1F2"/>
            <w:noWrap/>
            <w:vAlign w:val="bottom"/>
            <w:hideMark/>
          </w:tcPr>
          <w:p w14:paraId="6B7F5D94" w14:textId="77777777" w:rsidR="00CC63FE" w:rsidRPr="002B26C8" w:rsidRDefault="00CC63FE" w:rsidP="00634BAB">
            <w:pPr>
              <w:pStyle w:val="Tabletext"/>
              <w:jc w:val="center"/>
              <w:rPr>
                <w:lang w:val="es-ES" w:eastAsia="es-ES"/>
              </w:rPr>
            </w:pPr>
            <w:r w:rsidRPr="002B26C8">
              <w:rPr>
                <w:lang w:val="es-ES" w:eastAsia="es-ES"/>
              </w:rPr>
              <w:t>1.827.336</w:t>
            </w:r>
          </w:p>
        </w:tc>
        <w:tc>
          <w:tcPr>
            <w:tcW w:w="645" w:type="pct"/>
            <w:tcBorders>
              <w:top w:val="nil"/>
              <w:left w:val="single" w:sz="4" w:space="0" w:color="auto"/>
              <w:bottom w:val="single" w:sz="4" w:space="0" w:color="auto"/>
              <w:right w:val="single" w:sz="4" w:space="0" w:color="auto"/>
            </w:tcBorders>
            <w:shd w:val="clear" w:color="000000" w:fill="DDEBF7"/>
            <w:noWrap/>
            <w:vAlign w:val="bottom"/>
            <w:hideMark/>
          </w:tcPr>
          <w:p w14:paraId="1035EF67" w14:textId="4F4FEF26" w:rsidR="00CC63FE" w:rsidRPr="002B26C8" w:rsidRDefault="00CC63FE" w:rsidP="00634BAB">
            <w:pPr>
              <w:pStyle w:val="Tabletext"/>
              <w:jc w:val="center"/>
              <w:rPr>
                <w:lang w:val="es-ES" w:eastAsia="es-ES"/>
              </w:rPr>
            </w:pPr>
            <w:r w:rsidRPr="002B26C8">
              <w:rPr>
                <w:lang w:val="es-ES" w:eastAsia="es-ES"/>
              </w:rPr>
              <w:t>10.289</w:t>
            </w:r>
            <w:r w:rsidR="001A59AC">
              <w:rPr>
                <w:lang w:val="es-ES" w:eastAsia="es-ES"/>
              </w:rPr>
              <w:t>.</w:t>
            </w:r>
            <w:r w:rsidRPr="002B26C8">
              <w:rPr>
                <w:lang w:val="es-ES" w:eastAsia="es-ES"/>
              </w:rPr>
              <w:t>171</w:t>
            </w:r>
          </w:p>
        </w:tc>
      </w:tr>
      <w:tr w:rsidR="00CC63FE" w:rsidRPr="00DF2617" w14:paraId="3B802E51" w14:textId="77777777" w:rsidTr="002B26C8">
        <w:trPr>
          <w:trHeight w:val="310"/>
        </w:trPr>
        <w:tc>
          <w:tcPr>
            <w:tcW w:w="3018" w:type="pct"/>
            <w:tcBorders>
              <w:top w:val="nil"/>
              <w:left w:val="nil"/>
              <w:bottom w:val="nil"/>
              <w:right w:val="nil"/>
            </w:tcBorders>
            <w:shd w:val="clear" w:color="auto" w:fill="auto"/>
            <w:noWrap/>
            <w:vAlign w:val="bottom"/>
            <w:hideMark/>
          </w:tcPr>
          <w:p w14:paraId="00CE8662" w14:textId="77777777" w:rsidR="00CC63FE" w:rsidRPr="00DF2617" w:rsidRDefault="00CC63FE" w:rsidP="002B26C8">
            <w:pPr>
              <w:tabs>
                <w:tab w:val="clear" w:pos="1134"/>
                <w:tab w:val="clear" w:pos="1871"/>
                <w:tab w:val="clear" w:pos="2268"/>
              </w:tabs>
              <w:overflowPunct/>
              <w:autoSpaceDE/>
              <w:autoSpaceDN/>
              <w:adjustRightInd/>
              <w:spacing w:before="0"/>
              <w:jc w:val="right"/>
              <w:textAlignment w:val="auto"/>
              <w:rPr>
                <w:rFonts w:ascii="Calibri" w:hAnsi="Calibri" w:cs="Calibri"/>
                <w:color w:val="000000"/>
                <w:szCs w:val="24"/>
                <w:lang w:val="es-ES" w:eastAsia="es-ES"/>
              </w:rPr>
            </w:pPr>
          </w:p>
        </w:tc>
        <w:tc>
          <w:tcPr>
            <w:tcW w:w="76" w:type="pct"/>
            <w:tcBorders>
              <w:top w:val="nil"/>
              <w:left w:val="nil"/>
              <w:bottom w:val="nil"/>
              <w:right w:val="nil"/>
            </w:tcBorders>
            <w:shd w:val="clear" w:color="auto" w:fill="auto"/>
            <w:noWrap/>
            <w:vAlign w:val="bottom"/>
            <w:hideMark/>
          </w:tcPr>
          <w:p w14:paraId="0E05FDC0" w14:textId="77777777" w:rsidR="00CC63FE" w:rsidRPr="00DF2617" w:rsidRDefault="00CC63FE" w:rsidP="002B26C8">
            <w:pPr>
              <w:tabs>
                <w:tab w:val="clear" w:pos="1134"/>
                <w:tab w:val="clear" w:pos="1871"/>
                <w:tab w:val="clear" w:pos="2268"/>
              </w:tabs>
              <w:overflowPunct/>
              <w:autoSpaceDE/>
              <w:autoSpaceDN/>
              <w:adjustRightInd/>
              <w:spacing w:before="0"/>
              <w:textAlignment w:val="auto"/>
              <w:rPr>
                <w:sz w:val="20"/>
                <w:lang w:val="es-ES" w:eastAsia="es-ES"/>
              </w:rPr>
            </w:pPr>
          </w:p>
        </w:tc>
        <w:tc>
          <w:tcPr>
            <w:tcW w:w="588" w:type="pct"/>
            <w:tcBorders>
              <w:top w:val="nil"/>
              <w:left w:val="nil"/>
              <w:bottom w:val="nil"/>
              <w:right w:val="nil"/>
            </w:tcBorders>
            <w:shd w:val="clear" w:color="auto" w:fill="auto"/>
            <w:noWrap/>
            <w:vAlign w:val="bottom"/>
            <w:hideMark/>
          </w:tcPr>
          <w:p w14:paraId="16E46DAE" w14:textId="77777777" w:rsidR="00CC63FE" w:rsidRPr="00DF2617" w:rsidRDefault="00CC63FE" w:rsidP="00634BAB">
            <w:pPr>
              <w:tabs>
                <w:tab w:val="clear" w:pos="1134"/>
                <w:tab w:val="clear" w:pos="1871"/>
                <w:tab w:val="clear" w:pos="2268"/>
              </w:tabs>
              <w:overflowPunct/>
              <w:autoSpaceDE/>
              <w:autoSpaceDN/>
              <w:adjustRightInd/>
              <w:spacing w:before="0"/>
              <w:jc w:val="center"/>
              <w:textAlignment w:val="auto"/>
              <w:rPr>
                <w:sz w:val="20"/>
                <w:lang w:val="es-ES" w:eastAsia="es-ES"/>
              </w:rPr>
            </w:pPr>
          </w:p>
        </w:tc>
        <w:tc>
          <w:tcPr>
            <w:tcW w:w="673" w:type="pct"/>
            <w:tcBorders>
              <w:top w:val="nil"/>
              <w:left w:val="nil"/>
              <w:bottom w:val="nil"/>
              <w:right w:val="nil"/>
            </w:tcBorders>
            <w:shd w:val="clear" w:color="auto" w:fill="auto"/>
            <w:noWrap/>
            <w:vAlign w:val="bottom"/>
            <w:hideMark/>
          </w:tcPr>
          <w:p w14:paraId="54506A7A" w14:textId="77777777" w:rsidR="00CC63FE" w:rsidRPr="00DF2617" w:rsidRDefault="00CC63FE" w:rsidP="00634BAB">
            <w:pPr>
              <w:tabs>
                <w:tab w:val="clear" w:pos="1134"/>
                <w:tab w:val="clear" w:pos="1871"/>
                <w:tab w:val="clear" w:pos="2268"/>
              </w:tabs>
              <w:overflowPunct/>
              <w:autoSpaceDE/>
              <w:autoSpaceDN/>
              <w:adjustRightInd/>
              <w:spacing w:before="0"/>
              <w:jc w:val="center"/>
              <w:textAlignment w:val="auto"/>
              <w:rPr>
                <w:sz w:val="20"/>
                <w:lang w:val="es-ES" w:eastAsia="es-ES"/>
              </w:rPr>
            </w:pPr>
          </w:p>
        </w:tc>
        <w:tc>
          <w:tcPr>
            <w:tcW w:w="645" w:type="pct"/>
            <w:tcBorders>
              <w:top w:val="nil"/>
              <w:left w:val="nil"/>
              <w:bottom w:val="nil"/>
              <w:right w:val="nil"/>
            </w:tcBorders>
            <w:shd w:val="clear" w:color="auto" w:fill="auto"/>
            <w:noWrap/>
            <w:vAlign w:val="bottom"/>
            <w:hideMark/>
          </w:tcPr>
          <w:p w14:paraId="2C11A1FD" w14:textId="77777777" w:rsidR="00CC63FE" w:rsidRPr="00DF2617" w:rsidRDefault="00CC63FE" w:rsidP="00634BAB">
            <w:pPr>
              <w:tabs>
                <w:tab w:val="clear" w:pos="1134"/>
                <w:tab w:val="clear" w:pos="1871"/>
                <w:tab w:val="clear" w:pos="2268"/>
              </w:tabs>
              <w:overflowPunct/>
              <w:autoSpaceDE/>
              <w:autoSpaceDN/>
              <w:adjustRightInd/>
              <w:spacing w:before="0"/>
              <w:jc w:val="center"/>
              <w:textAlignment w:val="auto"/>
              <w:rPr>
                <w:sz w:val="20"/>
                <w:lang w:val="es-ES" w:eastAsia="es-ES"/>
              </w:rPr>
            </w:pPr>
          </w:p>
        </w:tc>
      </w:tr>
      <w:tr w:rsidR="00CC63FE" w:rsidRPr="00DF2617" w14:paraId="0DC4B501" w14:textId="77777777" w:rsidTr="002B26C8">
        <w:trPr>
          <w:trHeight w:val="310"/>
        </w:trPr>
        <w:tc>
          <w:tcPr>
            <w:tcW w:w="3018" w:type="pct"/>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3F7DB73D" w14:textId="77777777" w:rsidR="00CC63FE" w:rsidRPr="00DF2617" w:rsidRDefault="00CC63FE" w:rsidP="002B26C8">
            <w:pPr>
              <w:pStyle w:val="Tabletext"/>
              <w:rPr>
                <w:rFonts w:ascii="Calibri" w:hAnsi="Calibri" w:cs="Calibri"/>
                <w:b/>
                <w:bCs/>
                <w:color w:val="000000"/>
                <w:szCs w:val="24"/>
                <w:lang w:val="es-ES" w:eastAsia="es-ES"/>
              </w:rPr>
            </w:pPr>
            <w:r w:rsidRPr="002B26C8">
              <w:rPr>
                <w:b/>
                <w:bCs/>
                <w:lang w:val="es-ES" w:eastAsia="es-ES"/>
              </w:rPr>
              <w:t>Tota</w:t>
            </w:r>
            <w:r w:rsidRPr="002B26C8">
              <w:rPr>
                <w:lang w:val="es-ES" w:eastAsia="es-ES"/>
              </w:rPr>
              <w:t>l</w:t>
            </w:r>
          </w:p>
        </w:tc>
        <w:tc>
          <w:tcPr>
            <w:tcW w:w="76" w:type="pct"/>
            <w:tcBorders>
              <w:top w:val="nil"/>
              <w:left w:val="nil"/>
              <w:bottom w:val="nil"/>
              <w:right w:val="nil"/>
            </w:tcBorders>
            <w:shd w:val="clear" w:color="auto" w:fill="auto"/>
            <w:noWrap/>
            <w:vAlign w:val="bottom"/>
            <w:hideMark/>
          </w:tcPr>
          <w:p w14:paraId="54EB6285" w14:textId="77777777" w:rsidR="00CC63FE" w:rsidRPr="00DF2617" w:rsidRDefault="00CC63FE" w:rsidP="002B26C8">
            <w:pPr>
              <w:tabs>
                <w:tab w:val="clear" w:pos="1134"/>
                <w:tab w:val="clear" w:pos="1871"/>
                <w:tab w:val="clear" w:pos="2268"/>
              </w:tabs>
              <w:overflowPunct/>
              <w:autoSpaceDE/>
              <w:autoSpaceDN/>
              <w:adjustRightInd/>
              <w:spacing w:before="0"/>
              <w:textAlignment w:val="auto"/>
              <w:rPr>
                <w:rFonts w:ascii="Calibri" w:hAnsi="Calibri" w:cs="Calibri"/>
                <w:b/>
                <w:bCs/>
                <w:color w:val="000000"/>
                <w:szCs w:val="24"/>
                <w:lang w:val="es-ES" w:eastAsia="es-ES"/>
              </w:rPr>
            </w:pPr>
          </w:p>
        </w:tc>
        <w:tc>
          <w:tcPr>
            <w:tcW w:w="588"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652F6D78" w14:textId="77777777" w:rsidR="00CC63FE" w:rsidRPr="002B26C8" w:rsidRDefault="00CC63FE" w:rsidP="00634BAB">
            <w:pPr>
              <w:pStyle w:val="Tabletext"/>
              <w:jc w:val="center"/>
              <w:rPr>
                <w:lang w:val="es-ES" w:eastAsia="es-ES"/>
              </w:rPr>
            </w:pPr>
            <w:r w:rsidRPr="002B26C8">
              <w:rPr>
                <w:lang w:val="es-ES" w:eastAsia="es-ES"/>
              </w:rPr>
              <w:t>3.925.296</w:t>
            </w:r>
          </w:p>
        </w:tc>
        <w:tc>
          <w:tcPr>
            <w:tcW w:w="673" w:type="pct"/>
            <w:tcBorders>
              <w:top w:val="single" w:sz="4" w:space="0" w:color="auto"/>
              <w:left w:val="nil"/>
              <w:bottom w:val="single" w:sz="4" w:space="0" w:color="auto"/>
              <w:right w:val="nil"/>
            </w:tcBorders>
            <w:shd w:val="clear" w:color="000000" w:fill="D9E1F2"/>
            <w:noWrap/>
            <w:vAlign w:val="bottom"/>
            <w:hideMark/>
          </w:tcPr>
          <w:p w14:paraId="678776AC" w14:textId="77777777" w:rsidR="00CC63FE" w:rsidRPr="002B26C8" w:rsidRDefault="00CC63FE" w:rsidP="00634BAB">
            <w:pPr>
              <w:pStyle w:val="Tabletext"/>
              <w:jc w:val="center"/>
              <w:rPr>
                <w:lang w:val="es-ES" w:eastAsia="es-ES"/>
              </w:rPr>
            </w:pPr>
            <w:r w:rsidRPr="002B26C8">
              <w:rPr>
                <w:lang w:val="es-ES" w:eastAsia="es-ES"/>
              </w:rPr>
              <w:t>2.153.676</w:t>
            </w:r>
          </w:p>
        </w:tc>
        <w:tc>
          <w:tcPr>
            <w:tcW w:w="645"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2E09BC5" w14:textId="77777777" w:rsidR="00CC63FE" w:rsidRPr="002B26C8" w:rsidRDefault="00CC63FE" w:rsidP="00634BAB">
            <w:pPr>
              <w:pStyle w:val="Tabletext"/>
              <w:jc w:val="center"/>
              <w:rPr>
                <w:b/>
                <w:bCs/>
                <w:lang w:val="es-ES" w:eastAsia="es-ES"/>
              </w:rPr>
            </w:pPr>
            <w:r w:rsidRPr="002B26C8">
              <w:rPr>
                <w:b/>
                <w:bCs/>
                <w:lang w:val="es-ES" w:eastAsia="es-ES"/>
              </w:rPr>
              <w:t>12.539.999</w:t>
            </w:r>
          </w:p>
        </w:tc>
      </w:tr>
    </w:tbl>
    <w:p w14:paraId="69D0AAE8" w14:textId="77777777" w:rsidR="00CC63FE" w:rsidRPr="00B63554" w:rsidRDefault="00CC63FE" w:rsidP="00CF773E">
      <w:pPr>
        <w:pStyle w:val="Headingb"/>
        <w:rPr>
          <w:lang w:val="es-ES"/>
        </w:rPr>
      </w:pPr>
      <w:r w:rsidRPr="00CF773E">
        <w:t>Comisiones</w:t>
      </w:r>
      <w:r w:rsidRPr="00B63554">
        <w:rPr>
          <w:lang w:val="es-ES"/>
        </w:rPr>
        <w:t xml:space="preserve"> de Estudio</w:t>
      </w:r>
    </w:p>
    <w:p w14:paraId="3D2246AE" w14:textId="77777777" w:rsidR="00CF773E" w:rsidRPr="00243EB9" w:rsidRDefault="00CC63FE" w:rsidP="002B26C8">
      <w:pPr>
        <w:pStyle w:val="TableNo"/>
      </w:pPr>
      <w:r w:rsidRPr="002B26C8">
        <w:t>CUADRO</w:t>
      </w:r>
      <w:r>
        <w:t xml:space="preserve"> 2</w:t>
      </w:r>
    </w:p>
    <w:tbl>
      <w:tblPr>
        <w:tblW w:w="5023" w:type="pct"/>
        <w:tblCellMar>
          <w:left w:w="70" w:type="dxa"/>
          <w:right w:w="70" w:type="dxa"/>
        </w:tblCellMar>
        <w:tblLook w:val="04A0" w:firstRow="1" w:lastRow="0" w:firstColumn="1" w:lastColumn="0" w:noHBand="0" w:noVBand="1"/>
      </w:tblPr>
      <w:tblGrid>
        <w:gridCol w:w="5817"/>
        <w:gridCol w:w="160"/>
        <w:gridCol w:w="1286"/>
        <w:gridCol w:w="1296"/>
        <w:gridCol w:w="1081"/>
        <w:gridCol w:w="43"/>
      </w:tblGrid>
      <w:tr w:rsidR="00CF773E" w:rsidRPr="00DF2617" w14:paraId="1C5B396B" w14:textId="77777777" w:rsidTr="00634BAB">
        <w:trPr>
          <w:gridAfter w:val="1"/>
          <w:wAfter w:w="22" w:type="pct"/>
          <w:trHeight w:val="63"/>
        </w:trPr>
        <w:tc>
          <w:tcPr>
            <w:tcW w:w="3004" w:type="pct"/>
            <w:tcBorders>
              <w:bottom w:val="single" w:sz="4" w:space="0" w:color="auto"/>
            </w:tcBorders>
            <w:shd w:val="clear" w:color="auto" w:fill="auto"/>
            <w:noWrap/>
            <w:vAlign w:val="center"/>
          </w:tcPr>
          <w:p w14:paraId="66FE549B" w14:textId="77777777" w:rsidR="00CF773E" w:rsidRPr="00DF2617" w:rsidRDefault="00CF773E" w:rsidP="00C35E45">
            <w:pPr>
              <w:pStyle w:val="Tablehead"/>
              <w:rPr>
                <w:lang w:val="es-ES" w:eastAsia="es-ES"/>
              </w:rPr>
            </w:pPr>
          </w:p>
        </w:tc>
        <w:tc>
          <w:tcPr>
            <w:tcW w:w="83" w:type="pct"/>
            <w:tcBorders>
              <w:left w:val="nil"/>
              <w:bottom w:val="nil"/>
            </w:tcBorders>
            <w:shd w:val="clear" w:color="auto" w:fill="auto"/>
            <w:noWrap/>
            <w:vAlign w:val="bottom"/>
          </w:tcPr>
          <w:p w14:paraId="46009E84" w14:textId="77777777" w:rsidR="00CF773E" w:rsidRPr="00DF2617" w:rsidRDefault="00CF773E" w:rsidP="00C35E45">
            <w:pPr>
              <w:tabs>
                <w:tab w:val="clear" w:pos="1134"/>
                <w:tab w:val="clear" w:pos="1871"/>
                <w:tab w:val="clear" w:pos="2268"/>
              </w:tabs>
              <w:overflowPunct/>
              <w:autoSpaceDE/>
              <w:autoSpaceDN/>
              <w:adjustRightInd/>
              <w:spacing w:before="0"/>
              <w:jc w:val="center"/>
              <w:textAlignment w:val="auto"/>
              <w:rPr>
                <w:rFonts w:ascii="Calibri" w:hAnsi="Calibri" w:cs="Calibri"/>
                <w:b/>
                <w:bCs/>
                <w:color w:val="000000"/>
                <w:szCs w:val="24"/>
                <w:lang w:val="es-ES" w:eastAsia="es-ES"/>
              </w:rPr>
            </w:pPr>
          </w:p>
        </w:tc>
        <w:tc>
          <w:tcPr>
            <w:tcW w:w="1891" w:type="pct"/>
            <w:gridSpan w:val="3"/>
            <w:tcBorders>
              <w:bottom w:val="single" w:sz="4" w:space="0" w:color="auto"/>
            </w:tcBorders>
            <w:shd w:val="clear" w:color="auto" w:fill="auto"/>
            <w:vAlign w:val="center"/>
          </w:tcPr>
          <w:p w14:paraId="20CE107C" w14:textId="77777777" w:rsidR="00CF773E" w:rsidRPr="00CF773E" w:rsidRDefault="00CF773E" w:rsidP="00C35E45">
            <w:pPr>
              <w:pStyle w:val="Tablehead"/>
              <w:rPr>
                <w:b w:val="0"/>
                <w:i/>
                <w:iCs/>
                <w:color w:val="000000"/>
                <w:szCs w:val="24"/>
                <w:lang w:val="es-ES" w:eastAsia="es-ES"/>
              </w:rPr>
            </w:pPr>
            <w:r w:rsidRPr="00CF773E">
              <w:rPr>
                <w:b w:val="0"/>
                <w:i/>
                <w:iCs/>
                <w:color w:val="000000"/>
                <w:szCs w:val="24"/>
                <w:lang w:val="es-ES" w:eastAsia="es-ES"/>
              </w:rPr>
              <w:t>en CHF</w:t>
            </w:r>
          </w:p>
        </w:tc>
      </w:tr>
      <w:tr w:rsidR="00CC63FE" w:rsidRPr="001843BD" w14:paraId="13422409" w14:textId="77777777" w:rsidTr="00634BAB">
        <w:trPr>
          <w:trHeight w:val="453"/>
        </w:trPr>
        <w:tc>
          <w:tcPr>
            <w:tcW w:w="3004" w:type="pct"/>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625CCB0D" w14:textId="77777777" w:rsidR="00CC63FE" w:rsidRPr="002B26C8" w:rsidRDefault="00CC63FE" w:rsidP="002B26C8">
            <w:pPr>
              <w:pStyle w:val="Tablehead"/>
              <w:rPr>
                <w:lang w:val="es-ES" w:eastAsia="es-ES"/>
              </w:rPr>
            </w:pPr>
            <w:r w:rsidRPr="002B26C8">
              <w:rPr>
                <w:lang w:val="es-ES" w:eastAsia="es-ES"/>
              </w:rPr>
              <w:t>Descripción</w:t>
            </w:r>
          </w:p>
        </w:tc>
        <w:tc>
          <w:tcPr>
            <w:tcW w:w="83" w:type="pct"/>
            <w:tcBorders>
              <w:top w:val="nil"/>
              <w:left w:val="nil"/>
              <w:bottom w:val="nil"/>
              <w:right w:val="nil"/>
            </w:tcBorders>
            <w:shd w:val="clear" w:color="auto" w:fill="auto"/>
            <w:noWrap/>
            <w:vAlign w:val="bottom"/>
            <w:hideMark/>
          </w:tcPr>
          <w:p w14:paraId="1CE69DFF" w14:textId="77777777" w:rsidR="00CC63FE" w:rsidRPr="002B26C8" w:rsidRDefault="00CC63FE" w:rsidP="002B26C8">
            <w:pPr>
              <w:pStyle w:val="Tablehead"/>
              <w:rPr>
                <w:lang w:val="es-ES" w:eastAsia="es-ES"/>
              </w:rPr>
            </w:pPr>
          </w:p>
        </w:tc>
        <w:tc>
          <w:tcPr>
            <w:tcW w:w="664" w:type="pct"/>
            <w:tcBorders>
              <w:top w:val="single" w:sz="4" w:space="0" w:color="auto"/>
              <w:left w:val="single" w:sz="4" w:space="0" w:color="auto"/>
              <w:bottom w:val="single" w:sz="4" w:space="0" w:color="auto"/>
              <w:right w:val="single" w:sz="4" w:space="0" w:color="auto"/>
            </w:tcBorders>
            <w:shd w:val="clear" w:color="000000" w:fill="8497B0"/>
            <w:vAlign w:val="center"/>
            <w:hideMark/>
          </w:tcPr>
          <w:p w14:paraId="5648052B" w14:textId="77777777" w:rsidR="00CC63FE" w:rsidRPr="002B26C8" w:rsidRDefault="00CC63FE" w:rsidP="002B26C8">
            <w:pPr>
              <w:pStyle w:val="Tablehead"/>
              <w:rPr>
                <w:lang w:val="es-ES" w:eastAsia="es-ES"/>
              </w:rPr>
            </w:pPr>
            <w:r w:rsidRPr="002B26C8">
              <w:rPr>
                <w:lang w:val="es-ES" w:eastAsia="es-ES"/>
              </w:rPr>
              <w:t>Gastos puntuales</w:t>
            </w:r>
          </w:p>
        </w:tc>
        <w:tc>
          <w:tcPr>
            <w:tcW w:w="669" w:type="pct"/>
            <w:tcBorders>
              <w:top w:val="single" w:sz="4" w:space="0" w:color="auto"/>
              <w:left w:val="nil"/>
              <w:bottom w:val="single" w:sz="4" w:space="0" w:color="auto"/>
              <w:right w:val="single" w:sz="4" w:space="0" w:color="auto"/>
            </w:tcBorders>
            <w:shd w:val="clear" w:color="000000" w:fill="8EA9DB"/>
            <w:vAlign w:val="center"/>
            <w:hideMark/>
          </w:tcPr>
          <w:p w14:paraId="23FB320B" w14:textId="77777777" w:rsidR="00CC63FE" w:rsidRPr="002B26C8" w:rsidRDefault="00CC63FE" w:rsidP="002B26C8">
            <w:pPr>
              <w:pStyle w:val="Tablehead"/>
              <w:rPr>
                <w:lang w:val="es-ES" w:eastAsia="es-ES"/>
              </w:rPr>
            </w:pPr>
            <w:r w:rsidRPr="002B26C8">
              <w:rPr>
                <w:lang w:val="es-ES" w:eastAsia="es-ES"/>
              </w:rPr>
              <w:t>Gastos anuales recurrentes</w:t>
            </w:r>
          </w:p>
        </w:tc>
        <w:tc>
          <w:tcPr>
            <w:tcW w:w="580" w:type="pct"/>
            <w:gridSpan w:val="2"/>
            <w:tcBorders>
              <w:top w:val="single" w:sz="4" w:space="0" w:color="auto"/>
              <w:left w:val="nil"/>
              <w:bottom w:val="single" w:sz="4" w:space="0" w:color="auto"/>
              <w:right w:val="single" w:sz="4" w:space="0" w:color="auto"/>
            </w:tcBorders>
            <w:shd w:val="clear" w:color="000000" w:fill="9BC2E6"/>
            <w:vAlign w:val="center"/>
            <w:hideMark/>
          </w:tcPr>
          <w:p w14:paraId="76BB874A" w14:textId="697C6804" w:rsidR="00CC63FE" w:rsidRPr="002B26C8" w:rsidRDefault="00CC63FE" w:rsidP="002B26C8">
            <w:pPr>
              <w:pStyle w:val="Tablehead"/>
              <w:rPr>
                <w:lang w:val="es-ES" w:eastAsia="es-ES"/>
              </w:rPr>
            </w:pPr>
            <w:r w:rsidRPr="002B26C8">
              <w:rPr>
                <w:lang w:val="es-ES" w:eastAsia="es-ES"/>
              </w:rPr>
              <w:t>Total</w:t>
            </w:r>
            <w:r w:rsidR="002B26C8">
              <w:rPr>
                <w:lang w:val="es-ES" w:eastAsia="es-ES"/>
              </w:rPr>
              <w:t xml:space="preserve"> </w:t>
            </w:r>
            <w:r w:rsidR="002B26C8">
              <w:rPr>
                <w:lang w:val="es-ES" w:eastAsia="es-ES"/>
              </w:rPr>
              <w:br/>
              <w:t>2024</w:t>
            </w:r>
            <w:r w:rsidRPr="002B26C8">
              <w:rPr>
                <w:lang w:val="es-ES" w:eastAsia="es-ES"/>
              </w:rPr>
              <w:t>-2027</w:t>
            </w:r>
          </w:p>
        </w:tc>
      </w:tr>
      <w:tr w:rsidR="00CC63FE" w:rsidRPr="001843BD" w14:paraId="4EEA0351" w14:textId="77777777" w:rsidTr="00634BAB">
        <w:trPr>
          <w:trHeight w:val="1700"/>
        </w:trPr>
        <w:tc>
          <w:tcPr>
            <w:tcW w:w="3004" w:type="pct"/>
            <w:tcBorders>
              <w:top w:val="nil"/>
              <w:left w:val="single" w:sz="4" w:space="0" w:color="auto"/>
              <w:bottom w:val="single" w:sz="4" w:space="0" w:color="auto"/>
              <w:right w:val="single" w:sz="4" w:space="0" w:color="auto"/>
            </w:tcBorders>
            <w:shd w:val="clear" w:color="000000" w:fill="E2EFDA"/>
            <w:vAlign w:val="center"/>
            <w:hideMark/>
          </w:tcPr>
          <w:p w14:paraId="6B6D3460" w14:textId="35E2AA48" w:rsidR="00CC63FE" w:rsidRPr="002B26C8" w:rsidRDefault="00CC63FE" w:rsidP="002B26C8">
            <w:pPr>
              <w:pStyle w:val="Tabletext"/>
              <w:rPr>
                <w:lang w:val="es-ES" w:eastAsia="es-ES"/>
              </w:rPr>
            </w:pPr>
            <w:r w:rsidRPr="002B26C8">
              <w:rPr>
                <w:lang w:val="es-ES" w:eastAsia="es-ES"/>
              </w:rPr>
              <w:t xml:space="preserve">Orden del día de la CMR-27 </w:t>
            </w:r>
            <w:r w:rsidR="002B26C8" w:rsidRPr="002B26C8">
              <w:rPr>
                <w:lang w:val="es-ES" w:eastAsia="es-ES"/>
              </w:rPr>
              <w:t>–</w:t>
            </w:r>
            <w:r w:rsidRPr="002B26C8">
              <w:rPr>
                <w:lang w:val="es-ES" w:eastAsia="es-ES"/>
              </w:rPr>
              <w:t xml:space="preserve"> Para algunos temas las Comisiones interesadas necesitarán más días de reunión para terminarlos dentro del ciclo de estudios. Entre otros temas técnicos, nuevas áreas de estudio como la meteorología espacial, las comunicaciones en la Luna, los enlaces entre satélites darían lugar a actividades adicionales.</w:t>
            </w:r>
          </w:p>
        </w:tc>
        <w:tc>
          <w:tcPr>
            <w:tcW w:w="83" w:type="pct"/>
            <w:tcBorders>
              <w:top w:val="nil"/>
              <w:left w:val="nil"/>
              <w:bottom w:val="nil"/>
              <w:right w:val="nil"/>
            </w:tcBorders>
            <w:shd w:val="clear" w:color="auto" w:fill="auto"/>
            <w:noWrap/>
            <w:vAlign w:val="bottom"/>
            <w:hideMark/>
          </w:tcPr>
          <w:p w14:paraId="577F2F2D" w14:textId="77777777" w:rsidR="00CC63FE" w:rsidRPr="001843BD" w:rsidRDefault="00CC63FE" w:rsidP="00C35E45">
            <w:pPr>
              <w:tabs>
                <w:tab w:val="clear" w:pos="1134"/>
                <w:tab w:val="clear" w:pos="1871"/>
                <w:tab w:val="clear" w:pos="2268"/>
              </w:tabs>
              <w:overflowPunct/>
              <w:autoSpaceDE/>
              <w:autoSpaceDN/>
              <w:adjustRightInd/>
              <w:spacing w:before="0"/>
              <w:textAlignment w:val="auto"/>
              <w:rPr>
                <w:rFonts w:ascii="Calibri" w:hAnsi="Calibri" w:cs="Calibri"/>
                <w:color w:val="000000"/>
                <w:szCs w:val="24"/>
                <w:lang w:val="es-ES" w:eastAsia="es-ES"/>
              </w:rPr>
            </w:pPr>
          </w:p>
        </w:tc>
        <w:tc>
          <w:tcPr>
            <w:tcW w:w="664" w:type="pct"/>
            <w:tcBorders>
              <w:top w:val="nil"/>
              <w:left w:val="single" w:sz="4" w:space="0" w:color="auto"/>
              <w:bottom w:val="single" w:sz="4" w:space="0" w:color="auto"/>
              <w:right w:val="single" w:sz="4" w:space="0" w:color="auto"/>
            </w:tcBorders>
            <w:shd w:val="clear" w:color="000000" w:fill="D6DCE4"/>
            <w:noWrap/>
            <w:vAlign w:val="bottom"/>
            <w:hideMark/>
          </w:tcPr>
          <w:p w14:paraId="4541A531" w14:textId="77777777" w:rsidR="00CC63FE" w:rsidRPr="002B26C8" w:rsidRDefault="00CC63FE" w:rsidP="00634BAB">
            <w:pPr>
              <w:pStyle w:val="Tabletext"/>
              <w:jc w:val="center"/>
              <w:rPr>
                <w:lang w:val="es-ES" w:eastAsia="es-ES"/>
              </w:rPr>
            </w:pPr>
            <w:r w:rsidRPr="002B26C8">
              <w:rPr>
                <w:lang w:val="es-ES" w:eastAsia="es-ES"/>
              </w:rPr>
              <w:t>83.000</w:t>
            </w:r>
          </w:p>
        </w:tc>
        <w:tc>
          <w:tcPr>
            <w:tcW w:w="669" w:type="pct"/>
            <w:tcBorders>
              <w:top w:val="nil"/>
              <w:left w:val="nil"/>
              <w:bottom w:val="single" w:sz="4" w:space="0" w:color="auto"/>
              <w:right w:val="nil"/>
            </w:tcBorders>
            <w:shd w:val="clear" w:color="000000" w:fill="D9E1F2"/>
            <w:noWrap/>
            <w:vAlign w:val="bottom"/>
            <w:hideMark/>
          </w:tcPr>
          <w:p w14:paraId="026B2C76" w14:textId="32EF3A8A" w:rsidR="00CC63FE" w:rsidRPr="002B26C8" w:rsidRDefault="00CC63FE" w:rsidP="00634BAB">
            <w:pPr>
              <w:pStyle w:val="Tabletext"/>
              <w:jc w:val="center"/>
              <w:rPr>
                <w:lang w:val="es-ES" w:eastAsia="es-ES"/>
              </w:rPr>
            </w:pPr>
          </w:p>
        </w:tc>
        <w:tc>
          <w:tcPr>
            <w:tcW w:w="580" w:type="pct"/>
            <w:gridSpan w:val="2"/>
            <w:tcBorders>
              <w:top w:val="nil"/>
              <w:left w:val="single" w:sz="4" w:space="0" w:color="auto"/>
              <w:bottom w:val="single" w:sz="4" w:space="0" w:color="auto"/>
              <w:right w:val="single" w:sz="4" w:space="0" w:color="auto"/>
            </w:tcBorders>
            <w:shd w:val="clear" w:color="000000" w:fill="DDEBF7"/>
            <w:noWrap/>
            <w:vAlign w:val="bottom"/>
            <w:hideMark/>
          </w:tcPr>
          <w:p w14:paraId="64954E4E" w14:textId="77777777" w:rsidR="00CC63FE" w:rsidRPr="002B26C8" w:rsidRDefault="00CC63FE" w:rsidP="00634BAB">
            <w:pPr>
              <w:pStyle w:val="Tabletext"/>
              <w:jc w:val="center"/>
              <w:rPr>
                <w:lang w:val="es-ES" w:eastAsia="es-ES"/>
              </w:rPr>
            </w:pPr>
            <w:r w:rsidRPr="002B26C8">
              <w:rPr>
                <w:lang w:val="es-ES" w:eastAsia="es-ES"/>
              </w:rPr>
              <w:t>83.000</w:t>
            </w:r>
          </w:p>
        </w:tc>
      </w:tr>
      <w:tr w:rsidR="00CC63FE" w:rsidRPr="001843BD" w14:paraId="4846BDCB" w14:textId="77777777" w:rsidTr="00634BAB">
        <w:trPr>
          <w:trHeight w:val="760"/>
        </w:trPr>
        <w:tc>
          <w:tcPr>
            <w:tcW w:w="3004" w:type="pct"/>
            <w:tcBorders>
              <w:top w:val="nil"/>
              <w:left w:val="single" w:sz="4" w:space="0" w:color="auto"/>
              <w:bottom w:val="single" w:sz="4" w:space="0" w:color="auto"/>
              <w:right w:val="single" w:sz="4" w:space="0" w:color="auto"/>
            </w:tcBorders>
            <w:shd w:val="clear" w:color="000000" w:fill="E2EFDA"/>
            <w:vAlign w:val="center"/>
            <w:hideMark/>
          </w:tcPr>
          <w:p w14:paraId="028E2A5F" w14:textId="77777777" w:rsidR="00CC63FE" w:rsidRPr="002B26C8" w:rsidRDefault="00CC63FE" w:rsidP="002B26C8">
            <w:pPr>
              <w:pStyle w:val="Tabletext"/>
              <w:rPr>
                <w:lang w:val="es-ES" w:eastAsia="es-ES"/>
              </w:rPr>
            </w:pPr>
            <w:r w:rsidRPr="002B26C8">
              <w:rPr>
                <w:lang w:val="es-ES" w:eastAsia="es-ES"/>
              </w:rPr>
              <w:t xml:space="preserve">También se necesitará documentación adicional, por ejemplo, aumento de la traducción y la mecanografía. </w:t>
            </w:r>
          </w:p>
        </w:tc>
        <w:tc>
          <w:tcPr>
            <w:tcW w:w="83" w:type="pct"/>
            <w:tcBorders>
              <w:top w:val="nil"/>
              <w:left w:val="nil"/>
              <w:bottom w:val="nil"/>
              <w:right w:val="nil"/>
            </w:tcBorders>
            <w:shd w:val="clear" w:color="auto" w:fill="auto"/>
            <w:noWrap/>
            <w:vAlign w:val="bottom"/>
            <w:hideMark/>
          </w:tcPr>
          <w:p w14:paraId="22FC403A" w14:textId="77777777" w:rsidR="00CC63FE" w:rsidRPr="001843BD" w:rsidRDefault="00CC63FE" w:rsidP="00C35E45">
            <w:pPr>
              <w:tabs>
                <w:tab w:val="clear" w:pos="1134"/>
                <w:tab w:val="clear" w:pos="1871"/>
                <w:tab w:val="clear" w:pos="2268"/>
              </w:tabs>
              <w:overflowPunct/>
              <w:autoSpaceDE/>
              <w:autoSpaceDN/>
              <w:adjustRightInd/>
              <w:spacing w:before="0"/>
              <w:textAlignment w:val="auto"/>
              <w:rPr>
                <w:rFonts w:ascii="Calibri" w:hAnsi="Calibri" w:cs="Calibri"/>
                <w:color w:val="000000"/>
                <w:szCs w:val="24"/>
                <w:lang w:val="es-ES" w:eastAsia="es-ES"/>
              </w:rPr>
            </w:pPr>
          </w:p>
        </w:tc>
        <w:tc>
          <w:tcPr>
            <w:tcW w:w="664" w:type="pct"/>
            <w:tcBorders>
              <w:top w:val="nil"/>
              <w:left w:val="single" w:sz="4" w:space="0" w:color="auto"/>
              <w:bottom w:val="single" w:sz="4" w:space="0" w:color="auto"/>
              <w:right w:val="single" w:sz="4" w:space="0" w:color="auto"/>
            </w:tcBorders>
            <w:shd w:val="clear" w:color="000000" w:fill="D6DCE4"/>
            <w:noWrap/>
            <w:vAlign w:val="bottom"/>
            <w:hideMark/>
          </w:tcPr>
          <w:p w14:paraId="4238B003" w14:textId="77777777" w:rsidR="00CC63FE" w:rsidRPr="002B26C8" w:rsidRDefault="00CC63FE" w:rsidP="00634BAB">
            <w:pPr>
              <w:pStyle w:val="Tabletext"/>
              <w:jc w:val="center"/>
              <w:rPr>
                <w:lang w:val="es-ES" w:eastAsia="es-ES"/>
              </w:rPr>
            </w:pPr>
            <w:r w:rsidRPr="002B26C8">
              <w:rPr>
                <w:lang w:val="es-ES" w:eastAsia="es-ES"/>
              </w:rPr>
              <w:t>511.900</w:t>
            </w:r>
          </w:p>
        </w:tc>
        <w:tc>
          <w:tcPr>
            <w:tcW w:w="669" w:type="pct"/>
            <w:tcBorders>
              <w:top w:val="nil"/>
              <w:left w:val="nil"/>
              <w:bottom w:val="single" w:sz="4" w:space="0" w:color="auto"/>
              <w:right w:val="nil"/>
            </w:tcBorders>
            <w:shd w:val="clear" w:color="000000" w:fill="D9E1F2"/>
            <w:noWrap/>
            <w:vAlign w:val="bottom"/>
            <w:hideMark/>
          </w:tcPr>
          <w:p w14:paraId="13C543C0" w14:textId="1EA59601" w:rsidR="00CC63FE" w:rsidRPr="002B26C8" w:rsidRDefault="00CC63FE" w:rsidP="00634BAB">
            <w:pPr>
              <w:pStyle w:val="Tabletext"/>
              <w:jc w:val="center"/>
              <w:rPr>
                <w:lang w:val="es-ES" w:eastAsia="es-ES"/>
              </w:rPr>
            </w:pPr>
          </w:p>
        </w:tc>
        <w:tc>
          <w:tcPr>
            <w:tcW w:w="580" w:type="pct"/>
            <w:gridSpan w:val="2"/>
            <w:tcBorders>
              <w:top w:val="nil"/>
              <w:left w:val="single" w:sz="4" w:space="0" w:color="auto"/>
              <w:bottom w:val="single" w:sz="4" w:space="0" w:color="auto"/>
              <w:right w:val="single" w:sz="4" w:space="0" w:color="auto"/>
            </w:tcBorders>
            <w:shd w:val="clear" w:color="000000" w:fill="DDEBF7"/>
            <w:noWrap/>
            <w:vAlign w:val="bottom"/>
            <w:hideMark/>
          </w:tcPr>
          <w:p w14:paraId="11C4DC5E" w14:textId="77777777" w:rsidR="00CC63FE" w:rsidRPr="002B26C8" w:rsidRDefault="00CC63FE" w:rsidP="00634BAB">
            <w:pPr>
              <w:pStyle w:val="Tabletext"/>
              <w:jc w:val="center"/>
              <w:rPr>
                <w:lang w:val="es-ES" w:eastAsia="es-ES"/>
              </w:rPr>
            </w:pPr>
            <w:r w:rsidRPr="002B26C8">
              <w:rPr>
                <w:lang w:val="es-ES" w:eastAsia="es-ES"/>
              </w:rPr>
              <w:t>511.900</w:t>
            </w:r>
          </w:p>
        </w:tc>
      </w:tr>
      <w:tr w:rsidR="00CC63FE" w:rsidRPr="001843BD" w14:paraId="724295C7" w14:textId="77777777" w:rsidTr="00634BAB">
        <w:trPr>
          <w:trHeight w:val="340"/>
        </w:trPr>
        <w:tc>
          <w:tcPr>
            <w:tcW w:w="3004" w:type="pct"/>
            <w:tcBorders>
              <w:top w:val="nil"/>
              <w:left w:val="single" w:sz="4" w:space="0" w:color="auto"/>
              <w:bottom w:val="single" w:sz="4" w:space="0" w:color="auto"/>
              <w:right w:val="single" w:sz="4" w:space="0" w:color="auto"/>
            </w:tcBorders>
            <w:shd w:val="clear" w:color="000000" w:fill="E2EFDA"/>
            <w:vAlign w:val="bottom"/>
            <w:hideMark/>
          </w:tcPr>
          <w:p w14:paraId="5CEBDEB3" w14:textId="77777777" w:rsidR="00CC63FE" w:rsidRPr="002B26C8" w:rsidRDefault="00CC63FE" w:rsidP="002B26C8">
            <w:pPr>
              <w:pStyle w:val="Tabletext"/>
              <w:rPr>
                <w:lang w:val="es-ES" w:eastAsia="es-ES"/>
              </w:rPr>
            </w:pPr>
            <w:r w:rsidRPr="002B26C8">
              <w:rPr>
                <w:lang w:val="es-ES" w:eastAsia="es-ES"/>
              </w:rPr>
              <w:t xml:space="preserve">La Secretaría de la BR necesitará recursos para soportar la carga de trabajo adicional. </w:t>
            </w:r>
          </w:p>
        </w:tc>
        <w:tc>
          <w:tcPr>
            <w:tcW w:w="83" w:type="pct"/>
            <w:tcBorders>
              <w:top w:val="nil"/>
              <w:left w:val="nil"/>
              <w:bottom w:val="nil"/>
              <w:right w:val="nil"/>
            </w:tcBorders>
            <w:shd w:val="clear" w:color="auto" w:fill="auto"/>
            <w:noWrap/>
            <w:vAlign w:val="bottom"/>
            <w:hideMark/>
          </w:tcPr>
          <w:p w14:paraId="5FCB5D94" w14:textId="77777777" w:rsidR="00CC63FE" w:rsidRPr="001843BD" w:rsidRDefault="00CC63FE" w:rsidP="00C35E45">
            <w:pPr>
              <w:tabs>
                <w:tab w:val="clear" w:pos="1134"/>
                <w:tab w:val="clear" w:pos="1871"/>
                <w:tab w:val="clear" w:pos="2268"/>
              </w:tabs>
              <w:overflowPunct/>
              <w:autoSpaceDE/>
              <w:autoSpaceDN/>
              <w:adjustRightInd/>
              <w:spacing w:before="0"/>
              <w:textAlignment w:val="auto"/>
              <w:rPr>
                <w:rFonts w:ascii="Calibri" w:hAnsi="Calibri" w:cs="Calibri"/>
                <w:color w:val="000000"/>
                <w:szCs w:val="24"/>
                <w:lang w:val="es-ES" w:eastAsia="es-ES"/>
              </w:rPr>
            </w:pPr>
          </w:p>
        </w:tc>
        <w:tc>
          <w:tcPr>
            <w:tcW w:w="664" w:type="pct"/>
            <w:tcBorders>
              <w:top w:val="nil"/>
              <w:left w:val="single" w:sz="4" w:space="0" w:color="auto"/>
              <w:bottom w:val="single" w:sz="4" w:space="0" w:color="auto"/>
              <w:right w:val="single" w:sz="4" w:space="0" w:color="auto"/>
            </w:tcBorders>
            <w:shd w:val="clear" w:color="000000" w:fill="D6DCE4"/>
            <w:noWrap/>
            <w:vAlign w:val="bottom"/>
            <w:hideMark/>
          </w:tcPr>
          <w:p w14:paraId="17D1EDD4" w14:textId="5178697C" w:rsidR="00CC63FE" w:rsidRPr="002B26C8" w:rsidRDefault="00CC63FE" w:rsidP="00634BAB">
            <w:pPr>
              <w:pStyle w:val="Tabletext"/>
              <w:jc w:val="center"/>
              <w:rPr>
                <w:lang w:val="es-ES" w:eastAsia="es-ES"/>
              </w:rPr>
            </w:pPr>
          </w:p>
        </w:tc>
        <w:tc>
          <w:tcPr>
            <w:tcW w:w="669" w:type="pct"/>
            <w:tcBorders>
              <w:top w:val="nil"/>
              <w:left w:val="nil"/>
              <w:bottom w:val="single" w:sz="4" w:space="0" w:color="auto"/>
              <w:right w:val="nil"/>
            </w:tcBorders>
            <w:shd w:val="clear" w:color="000000" w:fill="D9E1F2"/>
            <w:noWrap/>
            <w:vAlign w:val="bottom"/>
            <w:hideMark/>
          </w:tcPr>
          <w:p w14:paraId="6B9DA98A" w14:textId="77777777" w:rsidR="00CC63FE" w:rsidRPr="002B26C8" w:rsidRDefault="00CC63FE" w:rsidP="00634BAB">
            <w:pPr>
              <w:pStyle w:val="Tabletext"/>
              <w:jc w:val="center"/>
              <w:rPr>
                <w:lang w:val="es-ES" w:eastAsia="es-ES"/>
              </w:rPr>
            </w:pPr>
            <w:r w:rsidRPr="002B26C8">
              <w:rPr>
                <w:lang w:val="es-ES" w:eastAsia="es-ES"/>
              </w:rPr>
              <w:t>326.340</w:t>
            </w:r>
          </w:p>
        </w:tc>
        <w:tc>
          <w:tcPr>
            <w:tcW w:w="580" w:type="pct"/>
            <w:gridSpan w:val="2"/>
            <w:tcBorders>
              <w:top w:val="nil"/>
              <w:left w:val="single" w:sz="4" w:space="0" w:color="auto"/>
              <w:bottom w:val="single" w:sz="4" w:space="0" w:color="auto"/>
              <w:right w:val="single" w:sz="4" w:space="0" w:color="auto"/>
            </w:tcBorders>
            <w:shd w:val="clear" w:color="000000" w:fill="DDEBF7"/>
            <w:noWrap/>
            <w:vAlign w:val="bottom"/>
            <w:hideMark/>
          </w:tcPr>
          <w:p w14:paraId="1A7E16EF" w14:textId="77777777" w:rsidR="00CC63FE" w:rsidRPr="002B26C8" w:rsidRDefault="00CC63FE" w:rsidP="00634BAB">
            <w:pPr>
              <w:pStyle w:val="Tabletext"/>
              <w:jc w:val="center"/>
              <w:rPr>
                <w:lang w:val="es-ES" w:eastAsia="es-ES"/>
              </w:rPr>
            </w:pPr>
            <w:r w:rsidRPr="002B26C8">
              <w:rPr>
                <w:lang w:val="es-ES" w:eastAsia="es-ES"/>
              </w:rPr>
              <w:t>1.305.360</w:t>
            </w:r>
          </w:p>
        </w:tc>
      </w:tr>
      <w:tr w:rsidR="00CC63FE" w:rsidRPr="001843BD" w14:paraId="7DD278F0" w14:textId="77777777" w:rsidTr="00634BAB">
        <w:trPr>
          <w:trHeight w:val="310"/>
        </w:trPr>
        <w:tc>
          <w:tcPr>
            <w:tcW w:w="3004" w:type="pct"/>
            <w:tcBorders>
              <w:top w:val="nil"/>
              <w:left w:val="nil"/>
              <w:bottom w:val="nil"/>
              <w:right w:val="nil"/>
            </w:tcBorders>
            <w:shd w:val="clear" w:color="auto" w:fill="auto"/>
            <w:noWrap/>
            <w:vAlign w:val="bottom"/>
            <w:hideMark/>
          </w:tcPr>
          <w:p w14:paraId="7F78F404" w14:textId="77777777" w:rsidR="00CC63FE" w:rsidRPr="001843BD" w:rsidRDefault="00CC63FE" w:rsidP="00C35E45">
            <w:pPr>
              <w:tabs>
                <w:tab w:val="clear" w:pos="1134"/>
                <w:tab w:val="clear" w:pos="1871"/>
                <w:tab w:val="clear" w:pos="2268"/>
              </w:tabs>
              <w:overflowPunct/>
              <w:autoSpaceDE/>
              <w:autoSpaceDN/>
              <w:adjustRightInd/>
              <w:spacing w:before="0"/>
              <w:jc w:val="right"/>
              <w:textAlignment w:val="auto"/>
              <w:rPr>
                <w:rFonts w:ascii="Calibri" w:hAnsi="Calibri" w:cs="Calibri"/>
                <w:color w:val="000000"/>
                <w:szCs w:val="24"/>
                <w:lang w:val="es-ES" w:eastAsia="es-ES"/>
              </w:rPr>
            </w:pPr>
          </w:p>
        </w:tc>
        <w:tc>
          <w:tcPr>
            <w:tcW w:w="83" w:type="pct"/>
            <w:tcBorders>
              <w:top w:val="nil"/>
              <w:left w:val="nil"/>
              <w:bottom w:val="nil"/>
              <w:right w:val="nil"/>
            </w:tcBorders>
            <w:shd w:val="clear" w:color="auto" w:fill="auto"/>
            <w:noWrap/>
            <w:vAlign w:val="bottom"/>
            <w:hideMark/>
          </w:tcPr>
          <w:p w14:paraId="5E36400D" w14:textId="77777777" w:rsidR="00CC63FE" w:rsidRPr="001843BD" w:rsidRDefault="00CC63FE" w:rsidP="00C35E45">
            <w:pPr>
              <w:tabs>
                <w:tab w:val="clear" w:pos="1134"/>
                <w:tab w:val="clear" w:pos="1871"/>
                <w:tab w:val="clear" w:pos="2268"/>
              </w:tabs>
              <w:overflowPunct/>
              <w:autoSpaceDE/>
              <w:autoSpaceDN/>
              <w:adjustRightInd/>
              <w:spacing w:before="0"/>
              <w:textAlignment w:val="auto"/>
              <w:rPr>
                <w:sz w:val="20"/>
                <w:lang w:val="es-ES" w:eastAsia="es-ES"/>
              </w:rPr>
            </w:pPr>
          </w:p>
        </w:tc>
        <w:tc>
          <w:tcPr>
            <w:tcW w:w="664" w:type="pct"/>
            <w:tcBorders>
              <w:top w:val="nil"/>
              <w:left w:val="nil"/>
              <w:bottom w:val="nil"/>
              <w:right w:val="nil"/>
            </w:tcBorders>
            <w:shd w:val="clear" w:color="auto" w:fill="auto"/>
            <w:noWrap/>
            <w:vAlign w:val="bottom"/>
            <w:hideMark/>
          </w:tcPr>
          <w:p w14:paraId="624423A3" w14:textId="77777777" w:rsidR="00CC63FE" w:rsidRPr="001843BD" w:rsidRDefault="00CC63FE" w:rsidP="00634BAB">
            <w:pPr>
              <w:pStyle w:val="Tabletext"/>
              <w:jc w:val="center"/>
              <w:rPr>
                <w:lang w:val="es-ES" w:eastAsia="es-ES"/>
              </w:rPr>
            </w:pPr>
          </w:p>
        </w:tc>
        <w:tc>
          <w:tcPr>
            <w:tcW w:w="669" w:type="pct"/>
            <w:tcBorders>
              <w:top w:val="nil"/>
              <w:left w:val="nil"/>
              <w:bottom w:val="nil"/>
              <w:right w:val="nil"/>
            </w:tcBorders>
            <w:shd w:val="clear" w:color="auto" w:fill="auto"/>
            <w:noWrap/>
            <w:vAlign w:val="bottom"/>
            <w:hideMark/>
          </w:tcPr>
          <w:p w14:paraId="6B181A26" w14:textId="77777777" w:rsidR="00CC63FE" w:rsidRPr="001843BD" w:rsidRDefault="00CC63FE" w:rsidP="00634BAB">
            <w:pPr>
              <w:pStyle w:val="Tabletext"/>
              <w:jc w:val="center"/>
              <w:rPr>
                <w:lang w:val="es-ES" w:eastAsia="es-ES"/>
              </w:rPr>
            </w:pPr>
          </w:p>
        </w:tc>
        <w:tc>
          <w:tcPr>
            <w:tcW w:w="580" w:type="pct"/>
            <w:gridSpan w:val="2"/>
            <w:tcBorders>
              <w:top w:val="nil"/>
              <w:left w:val="nil"/>
              <w:bottom w:val="nil"/>
              <w:right w:val="nil"/>
            </w:tcBorders>
            <w:shd w:val="clear" w:color="auto" w:fill="auto"/>
            <w:noWrap/>
            <w:vAlign w:val="bottom"/>
            <w:hideMark/>
          </w:tcPr>
          <w:p w14:paraId="16B02043" w14:textId="77777777" w:rsidR="00CC63FE" w:rsidRPr="001843BD" w:rsidRDefault="00CC63FE" w:rsidP="00634BAB">
            <w:pPr>
              <w:pStyle w:val="Tabletext"/>
              <w:jc w:val="center"/>
              <w:rPr>
                <w:lang w:val="es-ES" w:eastAsia="es-ES"/>
              </w:rPr>
            </w:pPr>
          </w:p>
        </w:tc>
      </w:tr>
      <w:tr w:rsidR="00CC63FE" w:rsidRPr="002B26C8" w14:paraId="13146D39" w14:textId="77777777" w:rsidTr="00634BAB">
        <w:trPr>
          <w:trHeight w:val="310"/>
        </w:trPr>
        <w:tc>
          <w:tcPr>
            <w:tcW w:w="3004" w:type="pct"/>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0E767DC9" w14:textId="77777777" w:rsidR="00CC63FE" w:rsidRPr="002B26C8" w:rsidRDefault="00CC63FE" w:rsidP="002B26C8">
            <w:pPr>
              <w:pStyle w:val="Tabletext"/>
              <w:rPr>
                <w:rFonts w:ascii="Calibri" w:hAnsi="Calibri" w:cs="Calibri"/>
                <w:b/>
                <w:bCs/>
                <w:color w:val="000000"/>
                <w:szCs w:val="24"/>
                <w:lang w:val="es-ES" w:eastAsia="es-ES"/>
              </w:rPr>
            </w:pPr>
            <w:r w:rsidRPr="002B26C8">
              <w:rPr>
                <w:b/>
                <w:bCs/>
                <w:lang w:val="es-ES" w:eastAsia="es-ES"/>
              </w:rPr>
              <w:t>Total</w:t>
            </w:r>
          </w:p>
        </w:tc>
        <w:tc>
          <w:tcPr>
            <w:tcW w:w="83" w:type="pct"/>
            <w:tcBorders>
              <w:top w:val="nil"/>
              <w:left w:val="nil"/>
              <w:bottom w:val="nil"/>
              <w:right w:val="nil"/>
            </w:tcBorders>
            <w:shd w:val="clear" w:color="auto" w:fill="auto"/>
            <w:noWrap/>
            <w:vAlign w:val="bottom"/>
            <w:hideMark/>
          </w:tcPr>
          <w:p w14:paraId="72C43F64" w14:textId="77777777" w:rsidR="00CC63FE" w:rsidRPr="001843BD" w:rsidRDefault="00CC63FE" w:rsidP="00C35E45">
            <w:pPr>
              <w:tabs>
                <w:tab w:val="clear" w:pos="1134"/>
                <w:tab w:val="clear" w:pos="1871"/>
                <w:tab w:val="clear" w:pos="2268"/>
              </w:tabs>
              <w:overflowPunct/>
              <w:autoSpaceDE/>
              <w:autoSpaceDN/>
              <w:adjustRightInd/>
              <w:spacing w:before="0"/>
              <w:textAlignment w:val="auto"/>
              <w:rPr>
                <w:rFonts w:ascii="Calibri" w:hAnsi="Calibri" w:cs="Calibri"/>
                <w:b/>
                <w:bCs/>
                <w:color w:val="000000"/>
                <w:szCs w:val="24"/>
                <w:lang w:val="es-ES" w:eastAsia="es-ES"/>
              </w:rPr>
            </w:pPr>
          </w:p>
        </w:tc>
        <w:tc>
          <w:tcPr>
            <w:tcW w:w="664"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6DC0C215" w14:textId="77777777" w:rsidR="00CC63FE" w:rsidRPr="002B26C8" w:rsidRDefault="00CC63FE" w:rsidP="00634BAB">
            <w:pPr>
              <w:pStyle w:val="Tabletext"/>
              <w:jc w:val="center"/>
              <w:rPr>
                <w:lang w:val="es-ES" w:eastAsia="es-ES"/>
              </w:rPr>
            </w:pPr>
            <w:r w:rsidRPr="002B26C8">
              <w:rPr>
                <w:lang w:val="es-ES" w:eastAsia="es-ES"/>
              </w:rPr>
              <w:t>594.900</w:t>
            </w:r>
          </w:p>
        </w:tc>
        <w:tc>
          <w:tcPr>
            <w:tcW w:w="669" w:type="pct"/>
            <w:tcBorders>
              <w:top w:val="single" w:sz="4" w:space="0" w:color="auto"/>
              <w:left w:val="nil"/>
              <w:bottom w:val="single" w:sz="4" w:space="0" w:color="auto"/>
              <w:right w:val="nil"/>
            </w:tcBorders>
            <w:shd w:val="clear" w:color="000000" w:fill="D9E1F2"/>
            <w:noWrap/>
            <w:vAlign w:val="bottom"/>
            <w:hideMark/>
          </w:tcPr>
          <w:p w14:paraId="16E2890E" w14:textId="77777777" w:rsidR="00CC63FE" w:rsidRPr="002B26C8" w:rsidRDefault="00CC63FE" w:rsidP="00634BAB">
            <w:pPr>
              <w:pStyle w:val="Tabletext"/>
              <w:jc w:val="center"/>
              <w:rPr>
                <w:lang w:val="es-ES" w:eastAsia="es-ES"/>
              </w:rPr>
            </w:pPr>
            <w:r w:rsidRPr="002B26C8">
              <w:rPr>
                <w:lang w:val="es-ES" w:eastAsia="es-ES"/>
              </w:rPr>
              <w:t>326.340</w:t>
            </w:r>
          </w:p>
        </w:tc>
        <w:tc>
          <w:tcPr>
            <w:tcW w:w="580" w:type="pct"/>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BB0A772" w14:textId="77777777" w:rsidR="00CC63FE" w:rsidRPr="002B26C8" w:rsidRDefault="00CC63FE" w:rsidP="00634BAB">
            <w:pPr>
              <w:pStyle w:val="Tabletext"/>
              <w:jc w:val="center"/>
              <w:rPr>
                <w:b/>
                <w:bCs/>
                <w:lang w:val="es-ES" w:eastAsia="es-ES"/>
              </w:rPr>
            </w:pPr>
            <w:r w:rsidRPr="002B26C8">
              <w:rPr>
                <w:b/>
                <w:bCs/>
                <w:lang w:val="es-ES" w:eastAsia="es-ES"/>
              </w:rPr>
              <w:t>1.900.260</w:t>
            </w:r>
          </w:p>
        </w:tc>
      </w:tr>
    </w:tbl>
    <w:p w14:paraId="3F81BD02" w14:textId="77777777" w:rsidR="00CC63FE" w:rsidRPr="00B63554" w:rsidRDefault="00CC63FE" w:rsidP="00EC5F7C">
      <w:pPr>
        <w:pStyle w:val="Headingb"/>
        <w:keepLines/>
        <w:rPr>
          <w:lang w:val="es-ES"/>
        </w:rPr>
      </w:pPr>
      <w:r w:rsidRPr="00B63554">
        <w:rPr>
          <w:lang w:val="es-ES"/>
        </w:rPr>
        <w:lastRenderedPageBreak/>
        <w:t>Servicios terrenales</w:t>
      </w:r>
    </w:p>
    <w:p w14:paraId="5F2F5216" w14:textId="77777777" w:rsidR="00CF773E" w:rsidRPr="00243EB9" w:rsidRDefault="00CC63FE" w:rsidP="00EC5F7C">
      <w:pPr>
        <w:pStyle w:val="TableNo"/>
        <w:keepLines/>
      </w:pPr>
      <w:r>
        <w:t>cuadro 3</w:t>
      </w:r>
    </w:p>
    <w:tbl>
      <w:tblPr>
        <w:tblW w:w="5007" w:type="pct"/>
        <w:tblLayout w:type="fixed"/>
        <w:tblCellMar>
          <w:left w:w="70" w:type="dxa"/>
          <w:right w:w="70" w:type="dxa"/>
        </w:tblCellMar>
        <w:tblLook w:val="04A0" w:firstRow="1" w:lastRow="0" w:firstColumn="1" w:lastColumn="0" w:noHBand="0" w:noVBand="1"/>
      </w:tblPr>
      <w:tblGrid>
        <w:gridCol w:w="5811"/>
        <w:gridCol w:w="160"/>
        <w:gridCol w:w="1259"/>
        <w:gridCol w:w="14"/>
        <w:gridCol w:w="1276"/>
        <w:gridCol w:w="14"/>
        <w:gridCol w:w="1110"/>
        <w:gridCol w:w="8"/>
      </w:tblGrid>
      <w:tr w:rsidR="00CF773E" w:rsidRPr="00DF2617" w14:paraId="0AD8D124" w14:textId="77777777" w:rsidTr="00634BAB">
        <w:trPr>
          <w:gridAfter w:val="1"/>
          <w:wAfter w:w="4" w:type="pct"/>
          <w:trHeight w:val="172"/>
        </w:trPr>
        <w:tc>
          <w:tcPr>
            <w:tcW w:w="3011" w:type="pct"/>
            <w:tcBorders>
              <w:bottom w:val="single" w:sz="4" w:space="0" w:color="auto"/>
            </w:tcBorders>
            <w:shd w:val="clear" w:color="auto" w:fill="auto"/>
            <w:noWrap/>
            <w:vAlign w:val="center"/>
          </w:tcPr>
          <w:p w14:paraId="356CEF3C" w14:textId="77777777" w:rsidR="00CF773E" w:rsidRPr="00DF2617" w:rsidRDefault="00CF773E" w:rsidP="00EC5F7C">
            <w:pPr>
              <w:pStyle w:val="Tablehead"/>
              <w:keepLines/>
              <w:rPr>
                <w:lang w:val="es-ES" w:eastAsia="es-ES"/>
              </w:rPr>
            </w:pPr>
          </w:p>
        </w:tc>
        <w:tc>
          <w:tcPr>
            <w:tcW w:w="83" w:type="pct"/>
            <w:tcBorders>
              <w:left w:val="nil"/>
              <w:bottom w:val="nil"/>
            </w:tcBorders>
            <w:shd w:val="clear" w:color="auto" w:fill="auto"/>
            <w:noWrap/>
            <w:vAlign w:val="bottom"/>
          </w:tcPr>
          <w:p w14:paraId="2F229116" w14:textId="77777777" w:rsidR="00CF773E" w:rsidRPr="00DF2617" w:rsidRDefault="00CF773E" w:rsidP="00EC5F7C">
            <w:pPr>
              <w:keepNext/>
              <w:keepLines/>
              <w:tabs>
                <w:tab w:val="clear" w:pos="1134"/>
                <w:tab w:val="clear" w:pos="1871"/>
                <w:tab w:val="clear" w:pos="2268"/>
              </w:tabs>
              <w:overflowPunct/>
              <w:autoSpaceDE/>
              <w:autoSpaceDN/>
              <w:adjustRightInd/>
              <w:spacing w:before="0"/>
              <w:jc w:val="center"/>
              <w:textAlignment w:val="auto"/>
              <w:rPr>
                <w:rFonts w:ascii="Calibri" w:hAnsi="Calibri" w:cs="Calibri"/>
                <w:b/>
                <w:bCs/>
                <w:color w:val="000000"/>
                <w:szCs w:val="24"/>
                <w:lang w:val="es-ES" w:eastAsia="es-ES"/>
              </w:rPr>
            </w:pPr>
          </w:p>
        </w:tc>
        <w:tc>
          <w:tcPr>
            <w:tcW w:w="1902" w:type="pct"/>
            <w:gridSpan w:val="5"/>
            <w:tcBorders>
              <w:bottom w:val="single" w:sz="4" w:space="0" w:color="auto"/>
            </w:tcBorders>
            <w:shd w:val="clear" w:color="auto" w:fill="auto"/>
            <w:vAlign w:val="center"/>
          </w:tcPr>
          <w:p w14:paraId="5C24CCFC" w14:textId="77777777" w:rsidR="00CF773E" w:rsidRPr="00CF773E" w:rsidRDefault="00CF773E" w:rsidP="00EC5F7C">
            <w:pPr>
              <w:pStyle w:val="Tablehead"/>
              <w:keepLines/>
              <w:rPr>
                <w:b w:val="0"/>
                <w:i/>
                <w:iCs/>
                <w:color w:val="000000"/>
                <w:szCs w:val="24"/>
                <w:lang w:val="es-ES" w:eastAsia="es-ES"/>
              </w:rPr>
            </w:pPr>
            <w:r w:rsidRPr="00CF773E">
              <w:rPr>
                <w:b w:val="0"/>
                <w:i/>
                <w:iCs/>
                <w:color w:val="000000"/>
                <w:szCs w:val="24"/>
                <w:lang w:val="es-ES" w:eastAsia="es-ES"/>
              </w:rPr>
              <w:t>en CHF</w:t>
            </w:r>
          </w:p>
        </w:tc>
      </w:tr>
      <w:tr w:rsidR="00CC63FE" w:rsidRPr="00415F30" w14:paraId="4CE4BCB3" w14:textId="77777777" w:rsidTr="00634BAB">
        <w:trPr>
          <w:trHeight w:val="620"/>
        </w:trPr>
        <w:tc>
          <w:tcPr>
            <w:tcW w:w="3011" w:type="pct"/>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09D44C49" w14:textId="77777777" w:rsidR="00CC63FE" w:rsidRPr="00415F30" w:rsidRDefault="00CC63FE" w:rsidP="00EC5F7C">
            <w:pPr>
              <w:pStyle w:val="Tablehead"/>
              <w:keepLines/>
              <w:rPr>
                <w:rFonts w:ascii="Calibri" w:hAnsi="Calibri" w:cs="Calibri"/>
                <w:b w:val="0"/>
                <w:bCs/>
                <w:color w:val="000000"/>
                <w:szCs w:val="24"/>
                <w:lang w:val="es-ES" w:eastAsia="es-ES"/>
              </w:rPr>
            </w:pPr>
            <w:r w:rsidRPr="00CF773E">
              <w:rPr>
                <w:lang w:val="es-ES" w:eastAsia="es-ES"/>
              </w:rPr>
              <w:t>Descripción</w:t>
            </w:r>
          </w:p>
        </w:tc>
        <w:tc>
          <w:tcPr>
            <w:tcW w:w="83" w:type="pct"/>
            <w:tcBorders>
              <w:top w:val="nil"/>
              <w:left w:val="nil"/>
              <w:bottom w:val="nil"/>
              <w:right w:val="nil"/>
            </w:tcBorders>
            <w:shd w:val="clear" w:color="auto" w:fill="auto"/>
            <w:noWrap/>
            <w:vAlign w:val="bottom"/>
            <w:hideMark/>
          </w:tcPr>
          <w:p w14:paraId="307F35CE" w14:textId="77777777" w:rsidR="00CC63FE" w:rsidRPr="00415F30" w:rsidRDefault="00CC63FE" w:rsidP="00EC5F7C">
            <w:pPr>
              <w:keepNext/>
              <w:keepLines/>
              <w:tabs>
                <w:tab w:val="clear" w:pos="1134"/>
                <w:tab w:val="clear" w:pos="1871"/>
                <w:tab w:val="clear" w:pos="2268"/>
              </w:tabs>
              <w:overflowPunct/>
              <w:autoSpaceDE/>
              <w:autoSpaceDN/>
              <w:adjustRightInd/>
              <w:spacing w:before="0"/>
              <w:jc w:val="center"/>
              <w:textAlignment w:val="auto"/>
              <w:rPr>
                <w:rFonts w:ascii="Calibri" w:hAnsi="Calibri" w:cs="Calibri"/>
                <w:b/>
                <w:bCs/>
                <w:color w:val="000000"/>
                <w:szCs w:val="24"/>
                <w:lang w:val="es-ES" w:eastAsia="es-ES"/>
              </w:rPr>
            </w:pPr>
          </w:p>
        </w:tc>
        <w:tc>
          <w:tcPr>
            <w:tcW w:w="659" w:type="pct"/>
            <w:gridSpan w:val="2"/>
            <w:tcBorders>
              <w:top w:val="single" w:sz="4" w:space="0" w:color="auto"/>
              <w:left w:val="single" w:sz="4" w:space="0" w:color="auto"/>
              <w:bottom w:val="single" w:sz="4" w:space="0" w:color="auto"/>
              <w:right w:val="single" w:sz="4" w:space="0" w:color="auto"/>
            </w:tcBorders>
            <w:shd w:val="clear" w:color="000000" w:fill="8497B0"/>
            <w:vAlign w:val="center"/>
            <w:hideMark/>
          </w:tcPr>
          <w:p w14:paraId="1B3FFCE6" w14:textId="77777777" w:rsidR="00CC63FE" w:rsidRPr="00415F30" w:rsidRDefault="00CC63FE" w:rsidP="00EC5F7C">
            <w:pPr>
              <w:pStyle w:val="Tablehead"/>
              <w:keepLines/>
              <w:rPr>
                <w:rFonts w:ascii="Calibri" w:hAnsi="Calibri" w:cs="Calibri"/>
                <w:b w:val="0"/>
                <w:bCs/>
                <w:color w:val="000000"/>
                <w:szCs w:val="24"/>
                <w:lang w:val="es-ES" w:eastAsia="es-ES"/>
              </w:rPr>
            </w:pPr>
            <w:r w:rsidRPr="00CF773E">
              <w:rPr>
                <w:lang w:val="es-ES" w:eastAsia="es-ES"/>
              </w:rPr>
              <w:t>Gatos puntuales</w:t>
            </w:r>
          </w:p>
        </w:tc>
        <w:tc>
          <w:tcPr>
            <w:tcW w:w="668" w:type="pct"/>
            <w:gridSpan w:val="2"/>
            <w:tcBorders>
              <w:top w:val="single" w:sz="4" w:space="0" w:color="auto"/>
              <w:left w:val="nil"/>
              <w:bottom w:val="single" w:sz="4" w:space="0" w:color="auto"/>
              <w:right w:val="single" w:sz="4" w:space="0" w:color="auto"/>
            </w:tcBorders>
            <w:shd w:val="clear" w:color="000000" w:fill="8EA9DB"/>
            <w:vAlign w:val="center"/>
            <w:hideMark/>
          </w:tcPr>
          <w:p w14:paraId="00D5CDF6" w14:textId="77777777" w:rsidR="00CC63FE" w:rsidRPr="00415F30" w:rsidRDefault="00CC63FE" w:rsidP="00EC5F7C">
            <w:pPr>
              <w:pStyle w:val="Tablehead"/>
              <w:keepLines/>
              <w:rPr>
                <w:rFonts w:ascii="Calibri" w:hAnsi="Calibri" w:cs="Calibri"/>
                <w:b w:val="0"/>
                <w:bCs/>
                <w:color w:val="000000"/>
                <w:szCs w:val="24"/>
                <w:lang w:val="es-ES" w:eastAsia="es-ES"/>
              </w:rPr>
            </w:pPr>
            <w:r w:rsidRPr="00CF773E">
              <w:rPr>
                <w:lang w:val="es-ES" w:eastAsia="es-ES"/>
              </w:rPr>
              <w:t>Gatos anuales recurrentes</w:t>
            </w:r>
          </w:p>
        </w:tc>
        <w:tc>
          <w:tcPr>
            <w:tcW w:w="579" w:type="pct"/>
            <w:gridSpan w:val="2"/>
            <w:tcBorders>
              <w:top w:val="single" w:sz="4" w:space="0" w:color="auto"/>
              <w:left w:val="nil"/>
              <w:bottom w:val="single" w:sz="4" w:space="0" w:color="auto"/>
              <w:right w:val="single" w:sz="4" w:space="0" w:color="auto"/>
            </w:tcBorders>
            <w:shd w:val="clear" w:color="000000" w:fill="9BC2E6"/>
            <w:vAlign w:val="center"/>
            <w:hideMark/>
          </w:tcPr>
          <w:p w14:paraId="254B1802" w14:textId="59D2F1AF" w:rsidR="00CC63FE" w:rsidRPr="00415F30" w:rsidRDefault="00CC63FE" w:rsidP="00EC5F7C">
            <w:pPr>
              <w:pStyle w:val="Tablehead"/>
              <w:keepLines/>
              <w:rPr>
                <w:rFonts w:ascii="Calibri" w:hAnsi="Calibri" w:cs="Calibri"/>
                <w:b w:val="0"/>
                <w:bCs/>
                <w:color w:val="000000"/>
                <w:szCs w:val="24"/>
                <w:lang w:val="es-ES" w:eastAsia="es-ES"/>
              </w:rPr>
            </w:pPr>
            <w:r w:rsidRPr="00CF773E">
              <w:rPr>
                <w:lang w:val="es-ES" w:eastAsia="es-ES"/>
              </w:rPr>
              <w:t>Total</w:t>
            </w:r>
            <w:r w:rsidR="00CF773E">
              <w:rPr>
                <w:lang w:val="es-ES" w:eastAsia="es-ES"/>
              </w:rPr>
              <w:t xml:space="preserve"> </w:t>
            </w:r>
            <w:r w:rsidR="00CF773E">
              <w:rPr>
                <w:lang w:val="es-ES" w:eastAsia="es-ES"/>
              </w:rPr>
              <w:br/>
              <w:t>2024</w:t>
            </w:r>
            <w:r w:rsidRPr="00CF773E">
              <w:rPr>
                <w:lang w:val="es-ES" w:eastAsia="es-ES"/>
              </w:rPr>
              <w:t>-2027</w:t>
            </w:r>
          </w:p>
        </w:tc>
      </w:tr>
      <w:tr w:rsidR="00CC63FE" w:rsidRPr="00415F30" w14:paraId="65B5011E" w14:textId="77777777" w:rsidTr="00634BAB">
        <w:trPr>
          <w:gridAfter w:val="1"/>
          <w:wAfter w:w="4" w:type="pct"/>
          <w:trHeight w:val="310"/>
        </w:trPr>
        <w:tc>
          <w:tcPr>
            <w:tcW w:w="3011" w:type="pct"/>
            <w:tcBorders>
              <w:top w:val="nil"/>
              <w:left w:val="single" w:sz="4" w:space="0" w:color="auto"/>
              <w:bottom w:val="single" w:sz="4" w:space="0" w:color="auto"/>
              <w:right w:val="single" w:sz="4" w:space="0" w:color="auto"/>
            </w:tcBorders>
            <w:shd w:val="clear" w:color="000000" w:fill="E2EFDA"/>
            <w:vAlign w:val="bottom"/>
            <w:hideMark/>
          </w:tcPr>
          <w:p w14:paraId="7E27F84D" w14:textId="77777777" w:rsidR="00CC63FE" w:rsidRPr="00CF773E" w:rsidRDefault="00CC63FE" w:rsidP="00EC5F7C">
            <w:pPr>
              <w:pStyle w:val="Tabletext"/>
              <w:keepNext/>
              <w:keepLines/>
              <w:rPr>
                <w:lang w:val="es-ES" w:eastAsia="es-ES"/>
              </w:rPr>
            </w:pPr>
            <w:r w:rsidRPr="00CF773E">
              <w:rPr>
                <w:lang w:val="es-ES" w:eastAsia="es-ES"/>
              </w:rPr>
              <w:t>Nuevas condiciones y cálculo de límites de dfp para las HIBS</w:t>
            </w:r>
          </w:p>
        </w:tc>
        <w:tc>
          <w:tcPr>
            <w:tcW w:w="83" w:type="pct"/>
            <w:tcBorders>
              <w:top w:val="nil"/>
              <w:left w:val="nil"/>
              <w:bottom w:val="nil"/>
              <w:right w:val="nil"/>
            </w:tcBorders>
            <w:shd w:val="clear" w:color="auto" w:fill="auto"/>
            <w:noWrap/>
            <w:vAlign w:val="bottom"/>
            <w:hideMark/>
          </w:tcPr>
          <w:p w14:paraId="5E6D9F40" w14:textId="77777777" w:rsidR="00CC63FE" w:rsidRPr="00415F30" w:rsidRDefault="00CC63FE" w:rsidP="00EC5F7C">
            <w:pPr>
              <w:keepNext/>
              <w:keepLines/>
              <w:tabs>
                <w:tab w:val="clear" w:pos="1134"/>
                <w:tab w:val="clear" w:pos="1871"/>
                <w:tab w:val="clear" w:pos="2268"/>
              </w:tabs>
              <w:overflowPunct/>
              <w:autoSpaceDE/>
              <w:autoSpaceDN/>
              <w:adjustRightInd/>
              <w:spacing w:before="0"/>
              <w:textAlignment w:val="auto"/>
              <w:rPr>
                <w:rFonts w:ascii="Calibri" w:hAnsi="Calibri" w:cs="Calibri"/>
                <w:color w:val="000000"/>
                <w:szCs w:val="24"/>
                <w:lang w:val="es-ES" w:eastAsia="es-ES"/>
              </w:rPr>
            </w:pPr>
          </w:p>
        </w:tc>
        <w:tc>
          <w:tcPr>
            <w:tcW w:w="652" w:type="pct"/>
            <w:tcBorders>
              <w:top w:val="nil"/>
              <w:left w:val="single" w:sz="4" w:space="0" w:color="auto"/>
              <w:bottom w:val="single" w:sz="4" w:space="0" w:color="auto"/>
              <w:right w:val="single" w:sz="4" w:space="0" w:color="auto"/>
            </w:tcBorders>
            <w:shd w:val="clear" w:color="000000" w:fill="D6DCE4"/>
            <w:noWrap/>
            <w:vAlign w:val="bottom"/>
            <w:hideMark/>
          </w:tcPr>
          <w:p w14:paraId="2E834F11" w14:textId="77777777" w:rsidR="00CC63FE" w:rsidRPr="00CF773E" w:rsidRDefault="00CC63FE" w:rsidP="00634BAB">
            <w:pPr>
              <w:pStyle w:val="Tabletext"/>
              <w:keepNext/>
              <w:keepLines/>
              <w:jc w:val="center"/>
              <w:rPr>
                <w:lang w:val="es-ES" w:eastAsia="es-ES"/>
              </w:rPr>
            </w:pPr>
            <w:r w:rsidRPr="00CF773E">
              <w:rPr>
                <w:lang w:val="es-ES" w:eastAsia="es-ES"/>
              </w:rPr>
              <w:t>175.284</w:t>
            </w:r>
          </w:p>
        </w:tc>
        <w:tc>
          <w:tcPr>
            <w:tcW w:w="668" w:type="pct"/>
            <w:gridSpan w:val="2"/>
            <w:tcBorders>
              <w:top w:val="nil"/>
              <w:left w:val="nil"/>
              <w:bottom w:val="single" w:sz="4" w:space="0" w:color="auto"/>
              <w:right w:val="single" w:sz="4" w:space="0" w:color="auto"/>
            </w:tcBorders>
            <w:shd w:val="clear" w:color="000000" w:fill="D9E1F2"/>
            <w:noWrap/>
            <w:vAlign w:val="bottom"/>
            <w:hideMark/>
          </w:tcPr>
          <w:p w14:paraId="7E7CF977" w14:textId="13739653" w:rsidR="00CC63FE" w:rsidRPr="00CF773E" w:rsidRDefault="00CC63FE" w:rsidP="00634BAB">
            <w:pPr>
              <w:pStyle w:val="Tabletext"/>
              <w:keepNext/>
              <w:keepLines/>
              <w:jc w:val="center"/>
              <w:rPr>
                <w:lang w:val="es-ES" w:eastAsia="es-ES"/>
              </w:rPr>
            </w:pPr>
          </w:p>
        </w:tc>
        <w:tc>
          <w:tcPr>
            <w:tcW w:w="582" w:type="pct"/>
            <w:gridSpan w:val="2"/>
            <w:tcBorders>
              <w:top w:val="nil"/>
              <w:left w:val="nil"/>
              <w:bottom w:val="single" w:sz="4" w:space="0" w:color="auto"/>
              <w:right w:val="single" w:sz="4" w:space="0" w:color="auto"/>
            </w:tcBorders>
            <w:shd w:val="clear" w:color="000000" w:fill="DDEBF7"/>
            <w:noWrap/>
            <w:vAlign w:val="bottom"/>
            <w:hideMark/>
          </w:tcPr>
          <w:p w14:paraId="1B7B5693" w14:textId="77777777" w:rsidR="00CC63FE" w:rsidRPr="00CF773E" w:rsidRDefault="00CC63FE" w:rsidP="00634BAB">
            <w:pPr>
              <w:pStyle w:val="Tabletext"/>
              <w:keepNext/>
              <w:keepLines/>
              <w:jc w:val="center"/>
              <w:rPr>
                <w:lang w:val="es-ES" w:eastAsia="es-ES"/>
              </w:rPr>
            </w:pPr>
            <w:r w:rsidRPr="00CF773E">
              <w:rPr>
                <w:lang w:val="es-ES" w:eastAsia="es-ES"/>
              </w:rPr>
              <w:t>175.284</w:t>
            </w:r>
          </w:p>
        </w:tc>
      </w:tr>
      <w:tr w:rsidR="00CC63FE" w:rsidRPr="00415F30" w14:paraId="23D2077D" w14:textId="77777777" w:rsidTr="00634BAB">
        <w:trPr>
          <w:gridAfter w:val="1"/>
          <w:wAfter w:w="4" w:type="pct"/>
          <w:trHeight w:val="340"/>
        </w:trPr>
        <w:tc>
          <w:tcPr>
            <w:tcW w:w="3011" w:type="pct"/>
            <w:tcBorders>
              <w:top w:val="nil"/>
              <w:left w:val="single" w:sz="4" w:space="0" w:color="auto"/>
              <w:bottom w:val="single" w:sz="4" w:space="0" w:color="auto"/>
              <w:right w:val="single" w:sz="4" w:space="0" w:color="auto"/>
            </w:tcBorders>
            <w:shd w:val="clear" w:color="000000" w:fill="E2EFDA"/>
            <w:vAlign w:val="bottom"/>
            <w:hideMark/>
          </w:tcPr>
          <w:p w14:paraId="6BF8D32F" w14:textId="07331F99" w:rsidR="00CC63FE" w:rsidRPr="00CF773E" w:rsidRDefault="00CC63FE" w:rsidP="00EC5F7C">
            <w:pPr>
              <w:pStyle w:val="Tabletext"/>
              <w:keepNext/>
              <w:keepLines/>
              <w:rPr>
                <w:lang w:val="es-ES" w:eastAsia="es-ES"/>
              </w:rPr>
            </w:pPr>
            <w:r w:rsidRPr="00CF773E">
              <w:rPr>
                <w:lang w:val="es-ES" w:eastAsia="es-ES"/>
              </w:rPr>
              <w:t xml:space="preserve">Cálculo del límite de dfp de las IMT con directividad de antena asociada en virtud del número </w:t>
            </w:r>
            <w:r w:rsidRPr="00CF773E">
              <w:rPr>
                <w:b/>
                <w:bCs/>
                <w:lang w:val="es-ES" w:eastAsia="es-ES"/>
              </w:rPr>
              <w:t>5.441B</w:t>
            </w:r>
            <w:r w:rsidR="001A59AC" w:rsidRPr="001A59AC">
              <w:rPr>
                <w:lang w:val="es-ES" w:eastAsia="es-ES"/>
              </w:rPr>
              <w:t>.</w:t>
            </w:r>
          </w:p>
        </w:tc>
        <w:tc>
          <w:tcPr>
            <w:tcW w:w="83" w:type="pct"/>
            <w:tcBorders>
              <w:top w:val="nil"/>
              <w:left w:val="nil"/>
              <w:bottom w:val="nil"/>
              <w:right w:val="nil"/>
            </w:tcBorders>
            <w:shd w:val="clear" w:color="auto" w:fill="auto"/>
            <w:noWrap/>
            <w:vAlign w:val="bottom"/>
            <w:hideMark/>
          </w:tcPr>
          <w:p w14:paraId="43CA9282" w14:textId="77777777" w:rsidR="00CC63FE" w:rsidRPr="00415F30" w:rsidRDefault="00CC63FE" w:rsidP="00EC5F7C">
            <w:pPr>
              <w:keepNext/>
              <w:keepLines/>
              <w:tabs>
                <w:tab w:val="clear" w:pos="1134"/>
                <w:tab w:val="clear" w:pos="1871"/>
                <w:tab w:val="clear" w:pos="2268"/>
              </w:tabs>
              <w:overflowPunct/>
              <w:autoSpaceDE/>
              <w:autoSpaceDN/>
              <w:adjustRightInd/>
              <w:spacing w:before="0"/>
              <w:textAlignment w:val="auto"/>
              <w:rPr>
                <w:color w:val="000000"/>
                <w:szCs w:val="24"/>
                <w:lang w:val="es-ES" w:eastAsia="es-ES"/>
              </w:rPr>
            </w:pPr>
          </w:p>
        </w:tc>
        <w:tc>
          <w:tcPr>
            <w:tcW w:w="652" w:type="pct"/>
            <w:tcBorders>
              <w:top w:val="nil"/>
              <w:left w:val="single" w:sz="4" w:space="0" w:color="auto"/>
              <w:bottom w:val="single" w:sz="4" w:space="0" w:color="auto"/>
              <w:right w:val="single" w:sz="4" w:space="0" w:color="auto"/>
            </w:tcBorders>
            <w:shd w:val="clear" w:color="000000" w:fill="D6DCE4"/>
            <w:noWrap/>
            <w:vAlign w:val="bottom"/>
            <w:hideMark/>
          </w:tcPr>
          <w:p w14:paraId="4D635660" w14:textId="77777777" w:rsidR="00CC63FE" w:rsidRPr="00CF773E" w:rsidRDefault="00CC63FE" w:rsidP="00634BAB">
            <w:pPr>
              <w:pStyle w:val="Tabletext"/>
              <w:keepNext/>
              <w:keepLines/>
              <w:jc w:val="center"/>
              <w:rPr>
                <w:lang w:val="es-ES" w:eastAsia="es-ES"/>
              </w:rPr>
            </w:pPr>
            <w:r w:rsidRPr="00CF773E">
              <w:rPr>
                <w:lang w:val="es-ES" w:eastAsia="es-ES"/>
              </w:rPr>
              <w:t>52.585</w:t>
            </w:r>
          </w:p>
        </w:tc>
        <w:tc>
          <w:tcPr>
            <w:tcW w:w="668" w:type="pct"/>
            <w:gridSpan w:val="2"/>
            <w:tcBorders>
              <w:top w:val="nil"/>
              <w:left w:val="nil"/>
              <w:bottom w:val="single" w:sz="4" w:space="0" w:color="auto"/>
              <w:right w:val="single" w:sz="4" w:space="0" w:color="auto"/>
            </w:tcBorders>
            <w:shd w:val="clear" w:color="000000" w:fill="D9E1F2"/>
            <w:noWrap/>
            <w:vAlign w:val="bottom"/>
            <w:hideMark/>
          </w:tcPr>
          <w:p w14:paraId="76F56FD9" w14:textId="545AA8E5" w:rsidR="00CC63FE" w:rsidRPr="00CF773E" w:rsidRDefault="00CC63FE" w:rsidP="00634BAB">
            <w:pPr>
              <w:pStyle w:val="Tabletext"/>
              <w:keepNext/>
              <w:keepLines/>
              <w:jc w:val="center"/>
              <w:rPr>
                <w:lang w:val="es-ES" w:eastAsia="es-ES"/>
              </w:rPr>
            </w:pPr>
          </w:p>
        </w:tc>
        <w:tc>
          <w:tcPr>
            <w:tcW w:w="582" w:type="pct"/>
            <w:gridSpan w:val="2"/>
            <w:tcBorders>
              <w:top w:val="nil"/>
              <w:left w:val="nil"/>
              <w:bottom w:val="single" w:sz="4" w:space="0" w:color="auto"/>
              <w:right w:val="single" w:sz="4" w:space="0" w:color="auto"/>
            </w:tcBorders>
            <w:shd w:val="clear" w:color="000000" w:fill="DDEBF7"/>
            <w:noWrap/>
            <w:vAlign w:val="bottom"/>
            <w:hideMark/>
          </w:tcPr>
          <w:p w14:paraId="40D0C2E8" w14:textId="77777777" w:rsidR="00CC63FE" w:rsidRPr="00CF773E" w:rsidRDefault="00CC63FE" w:rsidP="00634BAB">
            <w:pPr>
              <w:pStyle w:val="Tabletext"/>
              <w:keepNext/>
              <w:keepLines/>
              <w:jc w:val="center"/>
              <w:rPr>
                <w:lang w:val="es-ES" w:eastAsia="es-ES"/>
              </w:rPr>
            </w:pPr>
            <w:r w:rsidRPr="00CF773E">
              <w:rPr>
                <w:lang w:val="es-ES" w:eastAsia="es-ES"/>
              </w:rPr>
              <w:t>52.585</w:t>
            </w:r>
          </w:p>
        </w:tc>
      </w:tr>
      <w:tr w:rsidR="00CC63FE" w:rsidRPr="00415F30" w14:paraId="5F0CF0FB" w14:textId="77777777" w:rsidTr="00634BAB">
        <w:trPr>
          <w:gridAfter w:val="1"/>
          <w:wAfter w:w="4" w:type="pct"/>
          <w:trHeight w:val="310"/>
        </w:trPr>
        <w:tc>
          <w:tcPr>
            <w:tcW w:w="3011" w:type="pct"/>
            <w:tcBorders>
              <w:top w:val="nil"/>
              <w:left w:val="single" w:sz="4" w:space="0" w:color="auto"/>
              <w:bottom w:val="single" w:sz="4" w:space="0" w:color="auto"/>
              <w:right w:val="single" w:sz="4" w:space="0" w:color="auto"/>
            </w:tcBorders>
            <w:shd w:val="clear" w:color="000000" w:fill="E2EFDA"/>
            <w:noWrap/>
            <w:vAlign w:val="bottom"/>
            <w:hideMark/>
          </w:tcPr>
          <w:p w14:paraId="4B760BA5" w14:textId="77777777" w:rsidR="00CC63FE" w:rsidRPr="004A7C6A" w:rsidRDefault="00CC63FE" w:rsidP="00EC5F7C">
            <w:pPr>
              <w:pStyle w:val="Tabletext"/>
              <w:keepNext/>
              <w:keepLines/>
              <w:rPr>
                <w:lang w:val="en-GB" w:eastAsia="es-ES"/>
              </w:rPr>
            </w:pPr>
            <w:r w:rsidRPr="004A7C6A">
              <w:rPr>
                <w:lang w:val="en-GB" w:eastAsia="es-ES"/>
              </w:rPr>
              <w:t xml:space="preserve">New IMT spectrum mask for the 6 GHz band </w:t>
            </w:r>
          </w:p>
        </w:tc>
        <w:tc>
          <w:tcPr>
            <w:tcW w:w="83" w:type="pct"/>
            <w:tcBorders>
              <w:top w:val="nil"/>
              <w:left w:val="nil"/>
              <w:bottom w:val="nil"/>
              <w:right w:val="nil"/>
            </w:tcBorders>
            <w:shd w:val="clear" w:color="auto" w:fill="auto"/>
            <w:noWrap/>
            <w:vAlign w:val="bottom"/>
            <w:hideMark/>
          </w:tcPr>
          <w:p w14:paraId="0AA98C7D" w14:textId="77777777" w:rsidR="00CC63FE" w:rsidRPr="00415F30" w:rsidRDefault="00CC63FE" w:rsidP="00EC5F7C">
            <w:pPr>
              <w:keepNext/>
              <w:keepLines/>
              <w:tabs>
                <w:tab w:val="clear" w:pos="1134"/>
                <w:tab w:val="clear" w:pos="1871"/>
                <w:tab w:val="clear" w:pos="2268"/>
              </w:tabs>
              <w:overflowPunct/>
              <w:autoSpaceDE/>
              <w:autoSpaceDN/>
              <w:adjustRightInd/>
              <w:spacing w:before="0"/>
              <w:textAlignment w:val="auto"/>
              <w:rPr>
                <w:color w:val="000000"/>
                <w:szCs w:val="24"/>
                <w:lang w:val="en-US" w:eastAsia="es-ES"/>
              </w:rPr>
            </w:pPr>
          </w:p>
        </w:tc>
        <w:tc>
          <w:tcPr>
            <w:tcW w:w="652" w:type="pct"/>
            <w:tcBorders>
              <w:top w:val="nil"/>
              <w:left w:val="single" w:sz="4" w:space="0" w:color="auto"/>
              <w:bottom w:val="single" w:sz="4" w:space="0" w:color="auto"/>
              <w:right w:val="single" w:sz="4" w:space="0" w:color="auto"/>
            </w:tcBorders>
            <w:shd w:val="clear" w:color="000000" w:fill="D6DCE4"/>
            <w:noWrap/>
            <w:vAlign w:val="bottom"/>
            <w:hideMark/>
          </w:tcPr>
          <w:p w14:paraId="257F5F32" w14:textId="77777777" w:rsidR="00CC63FE" w:rsidRPr="00CF773E" w:rsidRDefault="00CC63FE" w:rsidP="00634BAB">
            <w:pPr>
              <w:pStyle w:val="Tabletext"/>
              <w:keepNext/>
              <w:keepLines/>
              <w:jc w:val="center"/>
              <w:rPr>
                <w:lang w:val="es-ES" w:eastAsia="es-ES"/>
              </w:rPr>
            </w:pPr>
            <w:r w:rsidRPr="00CF773E">
              <w:rPr>
                <w:lang w:val="es-ES" w:eastAsia="es-ES"/>
              </w:rPr>
              <w:t>70.114</w:t>
            </w:r>
          </w:p>
        </w:tc>
        <w:tc>
          <w:tcPr>
            <w:tcW w:w="668" w:type="pct"/>
            <w:gridSpan w:val="2"/>
            <w:tcBorders>
              <w:top w:val="nil"/>
              <w:left w:val="nil"/>
              <w:bottom w:val="single" w:sz="4" w:space="0" w:color="auto"/>
              <w:right w:val="single" w:sz="4" w:space="0" w:color="auto"/>
            </w:tcBorders>
            <w:shd w:val="clear" w:color="000000" w:fill="D9E1F2"/>
            <w:noWrap/>
            <w:vAlign w:val="bottom"/>
            <w:hideMark/>
          </w:tcPr>
          <w:p w14:paraId="2273B517" w14:textId="350E429E" w:rsidR="00CC63FE" w:rsidRPr="00CF773E" w:rsidRDefault="00CC63FE" w:rsidP="00634BAB">
            <w:pPr>
              <w:pStyle w:val="Tabletext"/>
              <w:keepNext/>
              <w:keepLines/>
              <w:jc w:val="center"/>
              <w:rPr>
                <w:lang w:val="es-ES" w:eastAsia="es-ES"/>
              </w:rPr>
            </w:pPr>
          </w:p>
        </w:tc>
        <w:tc>
          <w:tcPr>
            <w:tcW w:w="582" w:type="pct"/>
            <w:gridSpan w:val="2"/>
            <w:tcBorders>
              <w:top w:val="nil"/>
              <w:left w:val="nil"/>
              <w:bottom w:val="single" w:sz="4" w:space="0" w:color="auto"/>
              <w:right w:val="single" w:sz="4" w:space="0" w:color="auto"/>
            </w:tcBorders>
            <w:shd w:val="clear" w:color="000000" w:fill="DDEBF7"/>
            <w:noWrap/>
            <w:vAlign w:val="bottom"/>
            <w:hideMark/>
          </w:tcPr>
          <w:p w14:paraId="4BF70879" w14:textId="77777777" w:rsidR="00CC63FE" w:rsidRPr="00CF773E" w:rsidRDefault="00CC63FE" w:rsidP="00634BAB">
            <w:pPr>
              <w:pStyle w:val="Tabletext"/>
              <w:keepNext/>
              <w:keepLines/>
              <w:jc w:val="center"/>
              <w:rPr>
                <w:lang w:val="es-ES" w:eastAsia="es-ES"/>
              </w:rPr>
            </w:pPr>
            <w:r w:rsidRPr="00CF773E">
              <w:rPr>
                <w:lang w:val="es-ES" w:eastAsia="es-ES"/>
              </w:rPr>
              <w:t>70.114</w:t>
            </w:r>
          </w:p>
        </w:tc>
      </w:tr>
      <w:tr w:rsidR="00CC63FE" w:rsidRPr="00415F30" w14:paraId="746B2280" w14:textId="77777777" w:rsidTr="00634BAB">
        <w:trPr>
          <w:gridAfter w:val="1"/>
          <w:wAfter w:w="4" w:type="pct"/>
          <w:trHeight w:val="340"/>
        </w:trPr>
        <w:tc>
          <w:tcPr>
            <w:tcW w:w="3011" w:type="pct"/>
            <w:tcBorders>
              <w:top w:val="nil"/>
              <w:left w:val="single" w:sz="4" w:space="0" w:color="auto"/>
              <w:bottom w:val="single" w:sz="4" w:space="0" w:color="auto"/>
              <w:right w:val="single" w:sz="4" w:space="0" w:color="auto"/>
            </w:tcBorders>
            <w:shd w:val="clear" w:color="000000" w:fill="E2EFDA"/>
            <w:vAlign w:val="bottom"/>
            <w:hideMark/>
          </w:tcPr>
          <w:p w14:paraId="0E85C406" w14:textId="73405CC0" w:rsidR="00CC63FE" w:rsidRPr="00CF773E" w:rsidRDefault="00CC63FE" w:rsidP="00EC5F7C">
            <w:pPr>
              <w:pStyle w:val="Tabletext"/>
              <w:keepNext/>
              <w:keepLines/>
              <w:rPr>
                <w:lang w:val="es-ES" w:eastAsia="es-ES"/>
              </w:rPr>
            </w:pPr>
            <w:r w:rsidRPr="00CF773E">
              <w:rPr>
                <w:lang w:val="es-ES" w:eastAsia="es-ES"/>
              </w:rPr>
              <w:t>Nuevo límite de dfp para el SMA(OR) para la protección de los servicios existentes en la banda de 22 GHz</w:t>
            </w:r>
            <w:r w:rsidR="001A59AC">
              <w:rPr>
                <w:lang w:val="es-ES" w:eastAsia="es-ES"/>
              </w:rPr>
              <w:t>.</w:t>
            </w:r>
          </w:p>
        </w:tc>
        <w:tc>
          <w:tcPr>
            <w:tcW w:w="83" w:type="pct"/>
            <w:tcBorders>
              <w:top w:val="nil"/>
              <w:left w:val="nil"/>
              <w:bottom w:val="nil"/>
              <w:right w:val="nil"/>
            </w:tcBorders>
            <w:shd w:val="clear" w:color="auto" w:fill="auto"/>
            <w:noWrap/>
            <w:vAlign w:val="bottom"/>
            <w:hideMark/>
          </w:tcPr>
          <w:p w14:paraId="3CBDD0CE" w14:textId="77777777" w:rsidR="00CC63FE" w:rsidRPr="00415F30" w:rsidRDefault="00CC63FE" w:rsidP="00EC5F7C">
            <w:pPr>
              <w:keepNext/>
              <w:keepLines/>
              <w:tabs>
                <w:tab w:val="clear" w:pos="1134"/>
                <w:tab w:val="clear" w:pos="1871"/>
                <w:tab w:val="clear" w:pos="2268"/>
              </w:tabs>
              <w:overflowPunct/>
              <w:autoSpaceDE/>
              <w:autoSpaceDN/>
              <w:adjustRightInd/>
              <w:spacing w:before="0"/>
              <w:textAlignment w:val="auto"/>
              <w:rPr>
                <w:color w:val="000000"/>
                <w:szCs w:val="24"/>
                <w:lang w:val="es-ES" w:eastAsia="es-ES"/>
              </w:rPr>
            </w:pPr>
          </w:p>
        </w:tc>
        <w:tc>
          <w:tcPr>
            <w:tcW w:w="652" w:type="pct"/>
            <w:tcBorders>
              <w:top w:val="nil"/>
              <w:left w:val="single" w:sz="4" w:space="0" w:color="auto"/>
              <w:bottom w:val="single" w:sz="4" w:space="0" w:color="auto"/>
              <w:right w:val="single" w:sz="4" w:space="0" w:color="auto"/>
            </w:tcBorders>
            <w:shd w:val="clear" w:color="000000" w:fill="D6DCE4"/>
            <w:noWrap/>
            <w:vAlign w:val="bottom"/>
            <w:hideMark/>
          </w:tcPr>
          <w:p w14:paraId="59003245" w14:textId="77777777" w:rsidR="00CC63FE" w:rsidRPr="00CF773E" w:rsidRDefault="00CC63FE" w:rsidP="00634BAB">
            <w:pPr>
              <w:pStyle w:val="Tabletext"/>
              <w:keepNext/>
              <w:keepLines/>
              <w:jc w:val="center"/>
              <w:rPr>
                <w:lang w:val="es-ES" w:eastAsia="es-ES"/>
              </w:rPr>
            </w:pPr>
            <w:r w:rsidRPr="00CF773E">
              <w:rPr>
                <w:lang w:val="es-ES" w:eastAsia="es-ES"/>
              </w:rPr>
              <w:t>52.585</w:t>
            </w:r>
          </w:p>
        </w:tc>
        <w:tc>
          <w:tcPr>
            <w:tcW w:w="668" w:type="pct"/>
            <w:gridSpan w:val="2"/>
            <w:tcBorders>
              <w:top w:val="nil"/>
              <w:left w:val="nil"/>
              <w:bottom w:val="single" w:sz="4" w:space="0" w:color="auto"/>
              <w:right w:val="single" w:sz="4" w:space="0" w:color="auto"/>
            </w:tcBorders>
            <w:shd w:val="clear" w:color="000000" w:fill="D9E1F2"/>
            <w:noWrap/>
            <w:vAlign w:val="bottom"/>
            <w:hideMark/>
          </w:tcPr>
          <w:p w14:paraId="77956D2F" w14:textId="7F1E70AD" w:rsidR="00CC63FE" w:rsidRPr="00CF773E" w:rsidRDefault="00CC63FE" w:rsidP="00634BAB">
            <w:pPr>
              <w:pStyle w:val="Tabletext"/>
              <w:keepNext/>
              <w:keepLines/>
              <w:jc w:val="center"/>
              <w:rPr>
                <w:lang w:val="es-ES" w:eastAsia="es-ES"/>
              </w:rPr>
            </w:pPr>
          </w:p>
        </w:tc>
        <w:tc>
          <w:tcPr>
            <w:tcW w:w="582" w:type="pct"/>
            <w:gridSpan w:val="2"/>
            <w:tcBorders>
              <w:top w:val="nil"/>
              <w:left w:val="nil"/>
              <w:bottom w:val="single" w:sz="4" w:space="0" w:color="auto"/>
              <w:right w:val="single" w:sz="4" w:space="0" w:color="auto"/>
            </w:tcBorders>
            <w:shd w:val="clear" w:color="000000" w:fill="DDEBF7"/>
            <w:noWrap/>
            <w:vAlign w:val="bottom"/>
            <w:hideMark/>
          </w:tcPr>
          <w:p w14:paraId="3A8AA866" w14:textId="77777777" w:rsidR="00CC63FE" w:rsidRPr="00CF773E" w:rsidRDefault="00CC63FE" w:rsidP="00634BAB">
            <w:pPr>
              <w:pStyle w:val="Tabletext"/>
              <w:keepNext/>
              <w:keepLines/>
              <w:jc w:val="center"/>
              <w:rPr>
                <w:lang w:val="es-ES" w:eastAsia="es-ES"/>
              </w:rPr>
            </w:pPr>
            <w:r w:rsidRPr="00CF773E">
              <w:rPr>
                <w:lang w:val="es-ES" w:eastAsia="es-ES"/>
              </w:rPr>
              <w:t>52.585</w:t>
            </w:r>
          </w:p>
        </w:tc>
      </w:tr>
      <w:tr w:rsidR="00CC63FE" w:rsidRPr="00415F30" w14:paraId="164DC5EC" w14:textId="77777777" w:rsidTr="00634BAB">
        <w:trPr>
          <w:gridAfter w:val="1"/>
          <w:wAfter w:w="4" w:type="pct"/>
          <w:trHeight w:val="310"/>
        </w:trPr>
        <w:tc>
          <w:tcPr>
            <w:tcW w:w="3011" w:type="pct"/>
            <w:tcBorders>
              <w:top w:val="nil"/>
              <w:left w:val="nil"/>
              <w:bottom w:val="nil"/>
              <w:right w:val="nil"/>
            </w:tcBorders>
            <w:shd w:val="clear" w:color="auto" w:fill="auto"/>
            <w:noWrap/>
            <w:vAlign w:val="bottom"/>
            <w:hideMark/>
          </w:tcPr>
          <w:p w14:paraId="4D177359" w14:textId="77777777" w:rsidR="00CC63FE" w:rsidRPr="00415F30" w:rsidRDefault="00CC63FE" w:rsidP="00EC5F7C">
            <w:pPr>
              <w:keepNext/>
              <w:keepLines/>
              <w:tabs>
                <w:tab w:val="clear" w:pos="1134"/>
                <w:tab w:val="clear" w:pos="1871"/>
                <w:tab w:val="clear" w:pos="2268"/>
              </w:tabs>
              <w:overflowPunct/>
              <w:autoSpaceDE/>
              <w:autoSpaceDN/>
              <w:adjustRightInd/>
              <w:spacing w:before="0"/>
              <w:jc w:val="right"/>
              <w:textAlignment w:val="auto"/>
              <w:rPr>
                <w:rFonts w:ascii="Calibri" w:hAnsi="Calibri" w:cs="Calibri"/>
                <w:color w:val="000000"/>
                <w:szCs w:val="24"/>
                <w:lang w:val="es-ES" w:eastAsia="es-ES"/>
              </w:rPr>
            </w:pPr>
          </w:p>
        </w:tc>
        <w:tc>
          <w:tcPr>
            <w:tcW w:w="83" w:type="pct"/>
            <w:tcBorders>
              <w:top w:val="nil"/>
              <w:left w:val="nil"/>
              <w:bottom w:val="nil"/>
              <w:right w:val="nil"/>
            </w:tcBorders>
            <w:shd w:val="clear" w:color="auto" w:fill="auto"/>
            <w:noWrap/>
            <w:vAlign w:val="bottom"/>
            <w:hideMark/>
          </w:tcPr>
          <w:p w14:paraId="17B0F813" w14:textId="77777777" w:rsidR="00CC63FE" w:rsidRPr="00415F30" w:rsidRDefault="00CC63FE" w:rsidP="00EC5F7C">
            <w:pPr>
              <w:keepNext/>
              <w:keepLines/>
              <w:tabs>
                <w:tab w:val="clear" w:pos="1134"/>
                <w:tab w:val="clear" w:pos="1871"/>
                <w:tab w:val="clear" w:pos="2268"/>
              </w:tabs>
              <w:overflowPunct/>
              <w:autoSpaceDE/>
              <w:autoSpaceDN/>
              <w:adjustRightInd/>
              <w:spacing w:before="0"/>
              <w:textAlignment w:val="auto"/>
              <w:rPr>
                <w:sz w:val="20"/>
                <w:lang w:val="es-ES" w:eastAsia="es-ES"/>
              </w:rPr>
            </w:pPr>
          </w:p>
        </w:tc>
        <w:tc>
          <w:tcPr>
            <w:tcW w:w="652" w:type="pct"/>
            <w:tcBorders>
              <w:top w:val="nil"/>
              <w:left w:val="nil"/>
              <w:bottom w:val="nil"/>
              <w:right w:val="nil"/>
            </w:tcBorders>
            <w:shd w:val="clear" w:color="auto" w:fill="auto"/>
            <w:noWrap/>
            <w:vAlign w:val="bottom"/>
            <w:hideMark/>
          </w:tcPr>
          <w:p w14:paraId="7B29A31A" w14:textId="77777777" w:rsidR="00CC63FE" w:rsidRPr="00415F30" w:rsidRDefault="00CC63FE" w:rsidP="00634BAB">
            <w:pPr>
              <w:pStyle w:val="Tabletext"/>
              <w:keepNext/>
              <w:keepLines/>
              <w:jc w:val="center"/>
              <w:rPr>
                <w:lang w:val="es-ES" w:eastAsia="es-ES"/>
              </w:rPr>
            </w:pPr>
          </w:p>
        </w:tc>
        <w:tc>
          <w:tcPr>
            <w:tcW w:w="668" w:type="pct"/>
            <w:gridSpan w:val="2"/>
            <w:tcBorders>
              <w:top w:val="nil"/>
              <w:left w:val="nil"/>
              <w:bottom w:val="nil"/>
              <w:right w:val="nil"/>
            </w:tcBorders>
            <w:shd w:val="clear" w:color="auto" w:fill="auto"/>
            <w:noWrap/>
            <w:vAlign w:val="bottom"/>
            <w:hideMark/>
          </w:tcPr>
          <w:p w14:paraId="0763111D" w14:textId="77777777" w:rsidR="00CC63FE" w:rsidRPr="00415F30" w:rsidRDefault="00CC63FE" w:rsidP="00634BAB">
            <w:pPr>
              <w:pStyle w:val="Tabletext"/>
              <w:keepNext/>
              <w:keepLines/>
              <w:jc w:val="center"/>
              <w:rPr>
                <w:lang w:val="es-ES" w:eastAsia="es-ES"/>
              </w:rPr>
            </w:pPr>
          </w:p>
        </w:tc>
        <w:tc>
          <w:tcPr>
            <w:tcW w:w="582" w:type="pct"/>
            <w:gridSpan w:val="2"/>
            <w:tcBorders>
              <w:top w:val="nil"/>
              <w:left w:val="nil"/>
              <w:bottom w:val="nil"/>
              <w:right w:val="nil"/>
            </w:tcBorders>
            <w:shd w:val="clear" w:color="auto" w:fill="auto"/>
            <w:noWrap/>
            <w:vAlign w:val="bottom"/>
            <w:hideMark/>
          </w:tcPr>
          <w:p w14:paraId="7E9431F7" w14:textId="77777777" w:rsidR="00CC63FE" w:rsidRPr="00415F30" w:rsidRDefault="00CC63FE" w:rsidP="00634BAB">
            <w:pPr>
              <w:pStyle w:val="Tabletext"/>
              <w:keepNext/>
              <w:keepLines/>
              <w:jc w:val="center"/>
              <w:rPr>
                <w:lang w:val="es-ES" w:eastAsia="es-ES"/>
              </w:rPr>
            </w:pPr>
          </w:p>
        </w:tc>
      </w:tr>
      <w:tr w:rsidR="00CC63FE" w:rsidRPr="00CF773E" w14:paraId="666F48E1" w14:textId="77777777" w:rsidTr="00634BAB">
        <w:trPr>
          <w:gridAfter w:val="1"/>
          <w:wAfter w:w="4" w:type="pct"/>
          <w:trHeight w:val="310"/>
        </w:trPr>
        <w:tc>
          <w:tcPr>
            <w:tcW w:w="3011" w:type="pct"/>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40AEA582" w14:textId="77777777" w:rsidR="00CC63FE" w:rsidRPr="00CF773E" w:rsidRDefault="00CC63FE" w:rsidP="00EC5F7C">
            <w:pPr>
              <w:pStyle w:val="Tabletext"/>
              <w:keepNext/>
              <w:keepLines/>
              <w:rPr>
                <w:rFonts w:ascii="Calibri" w:hAnsi="Calibri" w:cs="Calibri"/>
                <w:b/>
                <w:bCs/>
                <w:color w:val="000000"/>
                <w:szCs w:val="24"/>
                <w:lang w:val="es-ES" w:eastAsia="es-ES"/>
              </w:rPr>
            </w:pPr>
            <w:r w:rsidRPr="00CF773E">
              <w:rPr>
                <w:b/>
                <w:bCs/>
                <w:lang w:val="es-ES" w:eastAsia="es-ES"/>
              </w:rPr>
              <w:t>Total</w:t>
            </w:r>
          </w:p>
        </w:tc>
        <w:tc>
          <w:tcPr>
            <w:tcW w:w="83" w:type="pct"/>
            <w:tcBorders>
              <w:top w:val="nil"/>
              <w:left w:val="nil"/>
              <w:bottom w:val="nil"/>
              <w:right w:val="nil"/>
            </w:tcBorders>
            <w:shd w:val="clear" w:color="auto" w:fill="auto"/>
            <w:noWrap/>
            <w:vAlign w:val="bottom"/>
            <w:hideMark/>
          </w:tcPr>
          <w:p w14:paraId="07103D9A" w14:textId="77777777" w:rsidR="00CC63FE" w:rsidRPr="00415F30" w:rsidRDefault="00CC63FE" w:rsidP="00EC5F7C">
            <w:pPr>
              <w:keepNext/>
              <w:keepLines/>
              <w:tabs>
                <w:tab w:val="clear" w:pos="1134"/>
                <w:tab w:val="clear" w:pos="1871"/>
                <w:tab w:val="clear" w:pos="2268"/>
              </w:tabs>
              <w:overflowPunct/>
              <w:autoSpaceDE/>
              <w:autoSpaceDN/>
              <w:adjustRightInd/>
              <w:spacing w:before="0"/>
              <w:textAlignment w:val="auto"/>
              <w:rPr>
                <w:rFonts w:ascii="Calibri" w:hAnsi="Calibri" w:cs="Calibri"/>
                <w:b/>
                <w:bCs/>
                <w:color w:val="000000"/>
                <w:szCs w:val="24"/>
                <w:lang w:val="es-ES" w:eastAsia="es-ES"/>
              </w:rPr>
            </w:pPr>
          </w:p>
        </w:tc>
        <w:tc>
          <w:tcPr>
            <w:tcW w:w="652"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1517FA77" w14:textId="77777777" w:rsidR="00CC63FE" w:rsidRPr="00CF773E" w:rsidRDefault="00CC63FE" w:rsidP="00634BAB">
            <w:pPr>
              <w:pStyle w:val="Tabletext"/>
              <w:keepNext/>
              <w:keepLines/>
              <w:jc w:val="center"/>
              <w:rPr>
                <w:lang w:val="es-ES" w:eastAsia="es-ES"/>
              </w:rPr>
            </w:pPr>
            <w:r w:rsidRPr="00CF773E">
              <w:rPr>
                <w:lang w:val="es-ES" w:eastAsia="es-ES"/>
              </w:rPr>
              <w:t>350.568</w:t>
            </w:r>
          </w:p>
        </w:tc>
        <w:tc>
          <w:tcPr>
            <w:tcW w:w="668" w:type="pct"/>
            <w:gridSpan w:val="2"/>
            <w:tcBorders>
              <w:top w:val="single" w:sz="4" w:space="0" w:color="auto"/>
              <w:left w:val="nil"/>
              <w:bottom w:val="single" w:sz="4" w:space="0" w:color="auto"/>
              <w:right w:val="nil"/>
            </w:tcBorders>
            <w:shd w:val="clear" w:color="000000" w:fill="D9E1F2"/>
            <w:noWrap/>
            <w:vAlign w:val="bottom"/>
            <w:hideMark/>
          </w:tcPr>
          <w:p w14:paraId="53F05F93" w14:textId="77777777" w:rsidR="00CC63FE" w:rsidRPr="00CF773E" w:rsidRDefault="00CC63FE" w:rsidP="00634BAB">
            <w:pPr>
              <w:pStyle w:val="Tabletext"/>
              <w:keepNext/>
              <w:keepLines/>
              <w:jc w:val="center"/>
              <w:rPr>
                <w:lang w:val="es-ES" w:eastAsia="es-ES"/>
              </w:rPr>
            </w:pPr>
            <w:r w:rsidRPr="00CF773E">
              <w:rPr>
                <w:lang w:val="es-ES" w:eastAsia="es-ES"/>
              </w:rPr>
              <w:t>0</w:t>
            </w:r>
          </w:p>
        </w:tc>
        <w:tc>
          <w:tcPr>
            <w:tcW w:w="582" w:type="pct"/>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78F7B05" w14:textId="77777777" w:rsidR="00CC63FE" w:rsidRPr="00CF773E" w:rsidRDefault="00CC63FE" w:rsidP="00634BAB">
            <w:pPr>
              <w:pStyle w:val="Tabletext"/>
              <w:keepNext/>
              <w:keepLines/>
              <w:jc w:val="center"/>
              <w:rPr>
                <w:b/>
                <w:bCs/>
                <w:lang w:val="es-ES" w:eastAsia="es-ES"/>
              </w:rPr>
            </w:pPr>
            <w:r w:rsidRPr="00CF773E">
              <w:rPr>
                <w:b/>
                <w:bCs/>
                <w:lang w:val="es-ES" w:eastAsia="es-ES"/>
              </w:rPr>
              <w:t>350.568</w:t>
            </w:r>
          </w:p>
        </w:tc>
      </w:tr>
    </w:tbl>
    <w:p w14:paraId="4F206141" w14:textId="77777777" w:rsidR="00CC63FE" w:rsidRPr="00B63554" w:rsidRDefault="00CC63FE" w:rsidP="00EC5F7C">
      <w:pPr>
        <w:pStyle w:val="Headingb"/>
        <w:keepNext w:val="0"/>
        <w:rPr>
          <w:lang w:val="es-ES"/>
        </w:rPr>
      </w:pPr>
      <w:r w:rsidRPr="00B63554">
        <w:rPr>
          <w:lang w:val="es-ES"/>
        </w:rPr>
        <w:t>Servicios espaciales</w:t>
      </w:r>
    </w:p>
    <w:p w14:paraId="35AC01F5" w14:textId="311D4258" w:rsidR="00CC63FE" w:rsidRDefault="00CC63FE" w:rsidP="00EC5F7C">
      <w:pPr>
        <w:pStyle w:val="TableNo"/>
        <w:keepNext w:val="0"/>
      </w:pPr>
      <w:r>
        <w:t>CUADRO</w:t>
      </w:r>
      <w:r w:rsidRPr="00243EB9">
        <w:t xml:space="preserve"> 4-1</w:t>
      </w:r>
    </w:p>
    <w:tbl>
      <w:tblPr>
        <w:tblW w:w="5000" w:type="pct"/>
        <w:tblCellMar>
          <w:left w:w="70" w:type="dxa"/>
          <w:right w:w="70" w:type="dxa"/>
        </w:tblCellMar>
        <w:tblLook w:val="04A0" w:firstRow="1" w:lastRow="0" w:firstColumn="1" w:lastColumn="0" w:noHBand="0" w:noVBand="1"/>
      </w:tblPr>
      <w:tblGrid>
        <w:gridCol w:w="5813"/>
        <w:gridCol w:w="6"/>
        <w:gridCol w:w="154"/>
        <w:gridCol w:w="6"/>
        <w:gridCol w:w="1322"/>
        <w:gridCol w:w="1162"/>
        <w:gridCol w:w="1176"/>
      </w:tblGrid>
      <w:tr w:rsidR="00EC5F7C" w:rsidRPr="00DF2617" w14:paraId="6F0E81D9" w14:textId="77777777" w:rsidTr="00634BAB">
        <w:trPr>
          <w:trHeight w:val="172"/>
        </w:trPr>
        <w:tc>
          <w:tcPr>
            <w:tcW w:w="3018" w:type="pct"/>
            <w:gridSpan w:val="2"/>
            <w:tcBorders>
              <w:bottom w:val="single" w:sz="4" w:space="0" w:color="auto"/>
            </w:tcBorders>
            <w:shd w:val="clear" w:color="auto" w:fill="auto"/>
            <w:noWrap/>
            <w:vAlign w:val="center"/>
          </w:tcPr>
          <w:p w14:paraId="35909191" w14:textId="77777777" w:rsidR="00EC5F7C" w:rsidRPr="00DF2617" w:rsidRDefault="00EC5F7C" w:rsidP="00EC5F7C">
            <w:pPr>
              <w:pStyle w:val="Tablehead"/>
              <w:keepNext w:val="0"/>
              <w:rPr>
                <w:lang w:val="es-ES" w:eastAsia="es-ES"/>
              </w:rPr>
            </w:pPr>
          </w:p>
        </w:tc>
        <w:tc>
          <w:tcPr>
            <w:tcW w:w="83" w:type="pct"/>
            <w:gridSpan w:val="2"/>
            <w:tcBorders>
              <w:left w:val="nil"/>
              <w:bottom w:val="nil"/>
            </w:tcBorders>
            <w:shd w:val="clear" w:color="auto" w:fill="auto"/>
            <w:noWrap/>
            <w:vAlign w:val="bottom"/>
          </w:tcPr>
          <w:p w14:paraId="062D3395" w14:textId="77777777" w:rsidR="00EC5F7C" w:rsidRPr="00DF2617" w:rsidRDefault="00EC5F7C" w:rsidP="00EC5F7C">
            <w:pPr>
              <w:tabs>
                <w:tab w:val="clear" w:pos="1134"/>
                <w:tab w:val="clear" w:pos="1871"/>
                <w:tab w:val="clear" w:pos="2268"/>
              </w:tabs>
              <w:overflowPunct/>
              <w:autoSpaceDE/>
              <w:autoSpaceDN/>
              <w:adjustRightInd/>
              <w:spacing w:before="0"/>
              <w:jc w:val="center"/>
              <w:textAlignment w:val="auto"/>
              <w:rPr>
                <w:rFonts w:ascii="Calibri" w:hAnsi="Calibri" w:cs="Calibri"/>
                <w:b/>
                <w:bCs/>
                <w:color w:val="000000"/>
                <w:szCs w:val="24"/>
                <w:lang w:val="es-ES" w:eastAsia="es-ES"/>
              </w:rPr>
            </w:pPr>
          </w:p>
        </w:tc>
        <w:tc>
          <w:tcPr>
            <w:tcW w:w="1899" w:type="pct"/>
            <w:gridSpan w:val="3"/>
            <w:tcBorders>
              <w:bottom w:val="single" w:sz="4" w:space="0" w:color="auto"/>
            </w:tcBorders>
            <w:shd w:val="clear" w:color="auto" w:fill="auto"/>
            <w:vAlign w:val="center"/>
          </w:tcPr>
          <w:p w14:paraId="0F208EAF" w14:textId="77777777" w:rsidR="00EC5F7C" w:rsidRPr="00CF773E" w:rsidRDefault="00EC5F7C" w:rsidP="00EC5F7C">
            <w:pPr>
              <w:pStyle w:val="Tablehead"/>
              <w:keepNext w:val="0"/>
              <w:rPr>
                <w:b w:val="0"/>
                <w:i/>
                <w:iCs/>
                <w:color w:val="000000"/>
                <w:szCs w:val="24"/>
                <w:lang w:val="es-ES" w:eastAsia="es-ES"/>
              </w:rPr>
            </w:pPr>
            <w:r w:rsidRPr="00CF773E">
              <w:rPr>
                <w:b w:val="0"/>
                <w:i/>
                <w:iCs/>
                <w:color w:val="000000"/>
                <w:szCs w:val="24"/>
                <w:lang w:val="es-ES" w:eastAsia="es-ES"/>
              </w:rPr>
              <w:t>en CHF</w:t>
            </w:r>
          </w:p>
        </w:tc>
      </w:tr>
      <w:tr w:rsidR="00CC63FE" w:rsidRPr="00415F30" w14:paraId="35158EED" w14:textId="77777777" w:rsidTr="00634BAB">
        <w:trPr>
          <w:trHeight w:val="930"/>
        </w:trPr>
        <w:tc>
          <w:tcPr>
            <w:tcW w:w="3015" w:type="pct"/>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22D3E77A" w14:textId="77777777" w:rsidR="00CC63FE" w:rsidRPr="00415F30" w:rsidRDefault="00CC63FE" w:rsidP="00EC5F7C">
            <w:pPr>
              <w:pStyle w:val="Tablehead"/>
              <w:keepNext w:val="0"/>
              <w:rPr>
                <w:rFonts w:ascii="Calibri" w:hAnsi="Calibri" w:cs="Calibri"/>
                <w:b w:val="0"/>
                <w:bCs/>
                <w:color w:val="000000"/>
                <w:szCs w:val="24"/>
                <w:lang w:val="es-ES" w:eastAsia="es-ES"/>
              </w:rPr>
            </w:pPr>
            <w:r w:rsidRPr="00CF773E">
              <w:rPr>
                <w:lang w:val="es-ES" w:eastAsia="es-ES"/>
              </w:rPr>
              <w:t>Descripción</w:t>
            </w:r>
          </w:p>
        </w:tc>
        <w:tc>
          <w:tcPr>
            <w:tcW w:w="83" w:type="pct"/>
            <w:gridSpan w:val="2"/>
            <w:tcBorders>
              <w:top w:val="nil"/>
              <w:left w:val="nil"/>
              <w:bottom w:val="nil"/>
              <w:right w:val="nil"/>
            </w:tcBorders>
            <w:shd w:val="clear" w:color="auto" w:fill="auto"/>
            <w:noWrap/>
            <w:vAlign w:val="bottom"/>
            <w:hideMark/>
          </w:tcPr>
          <w:p w14:paraId="3663F422" w14:textId="77777777" w:rsidR="00CC63FE" w:rsidRPr="00415F30" w:rsidRDefault="00CC63FE" w:rsidP="00EC5F7C">
            <w:pPr>
              <w:tabs>
                <w:tab w:val="clear" w:pos="1134"/>
                <w:tab w:val="clear" w:pos="1871"/>
                <w:tab w:val="clear" w:pos="2268"/>
              </w:tabs>
              <w:overflowPunct/>
              <w:autoSpaceDE/>
              <w:autoSpaceDN/>
              <w:adjustRightInd/>
              <w:spacing w:before="0"/>
              <w:jc w:val="center"/>
              <w:textAlignment w:val="auto"/>
              <w:rPr>
                <w:rFonts w:ascii="Calibri" w:hAnsi="Calibri" w:cs="Calibri"/>
                <w:b/>
                <w:bCs/>
                <w:color w:val="000000"/>
                <w:szCs w:val="24"/>
                <w:lang w:val="es-ES" w:eastAsia="es-ES"/>
              </w:rPr>
            </w:pPr>
          </w:p>
        </w:tc>
        <w:tc>
          <w:tcPr>
            <w:tcW w:w="689" w:type="pct"/>
            <w:gridSpan w:val="2"/>
            <w:tcBorders>
              <w:top w:val="single" w:sz="4" w:space="0" w:color="auto"/>
              <w:left w:val="single" w:sz="4" w:space="0" w:color="auto"/>
              <w:bottom w:val="single" w:sz="4" w:space="0" w:color="auto"/>
              <w:right w:val="single" w:sz="4" w:space="0" w:color="auto"/>
            </w:tcBorders>
            <w:shd w:val="clear" w:color="000000" w:fill="8497B0"/>
            <w:vAlign w:val="center"/>
            <w:hideMark/>
          </w:tcPr>
          <w:p w14:paraId="33999AC3" w14:textId="77777777" w:rsidR="00CC63FE" w:rsidRPr="00CF773E" w:rsidRDefault="00CC63FE" w:rsidP="00EC5F7C">
            <w:pPr>
              <w:pStyle w:val="Tablehead"/>
              <w:keepNext w:val="0"/>
              <w:rPr>
                <w:lang w:val="es-ES" w:eastAsia="es-ES"/>
              </w:rPr>
            </w:pPr>
            <w:r w:rsidRPr="00CF773E">
              <w:rPr>
                <w:lang w:val="es-ES" w:eastAsia="es-ES"/>
              </w:rPr>
              <w:t>Gastos puntuales</w:t>
            </w:r>
          </w:p>
        </w:tc>
        <w:tc>
          <w:tcPr>
            <w:tcW w:w="603" w:type="pct"/>
            <w:tcBorders>
              <w:top w:val="single" w:sz="4" w:space="0" w:color="auto"/>
              <w:left w:val="nil"/>
              <w:bottom w:val="single" w:sz="4" w:space="0" w:color="auto"/>
              <w:right w:val="single" w:sz="4" w:space="0" w:color="auto"/>
            </w:tcBorders>
            <w:shd w:val="clear" w:color="000000" w:fill="8EA9DB"/>
            <w:vAlign w:val="center"/>
            <w:hideMark/>
          </w:tcPr>
          <w:p w14:paraId="26D2FF96" w14:textId="77777777" w:rsidR="00CC63FE" w:rsidRPr="00CF773E" w:rsidRDefault="00CC63FE" w:rsidP="00EC5F7C">
            <w:pPr>
              <w:pStyle w:val="Tablehead"/>
              <w:keepNext w:val="0"/>
              <w:rPr>
                <w:lang w:val="es-ES" w:eastAsia="es-ES"/>
              </w:rPr>
            </w:pPr>
            <w:r w:rsidRPr="00CF773E">
              <w:rPr>
                <w:lang w:val="es-ES" w:eastAsia="es-ES"/>
              </w:rPr>
              <w:t>Gastos anuales recurrentes</w:t>
            </w:r>
          </w:p>
        </w:tc>
        <w:tc>
          <w:tcPr>
            <w:tcW w:w="610" w:type="pct"/>
            <w:tcBorders>
              <w:top w:val="single" w:sz="4" w:space="0" w:color="auto"/>
              <w:left w:val="nil"/>
              <w:bottom w:val="single" w:sz="4" w:space="0" w:color="auto"/>
              <w:right w:val="single" w:sz="4" w:space="0" w:color="auto"/>
            </w:tcBorders>
            <w:shd w:val="clear" w:color="000000" w:fill="9BC2E6"/>
            <w:vAlign w:val="center"/>
            <w:hideMark/>
          </w:tcPr>
          <w:p w14:paraId="07A3E1AE" w14:textId="441A7D00" w:rsidR="00CC63FE" w:rsidRPr="00CF773E" w:rsidRDefault="00CC63FE" w:rsidP="00EC5F7C">
            <w:pPr>
              <w:pStyle w:val="Tablehead"/>
              <w:keepNext w:val="0"/>
              <w:rPr>
                <w:lang w:val="es-ES" w:eastAsia="es-ES"/>
              </w:rPr>
            </w:pPr>
            <w:r w:rsidRPr="00CF773E">
              <w:rPr>
                <w:lang w:val="es-ES" w:eastAsia="es-ES"/>
              </w:rPr>
              <w:t>Total</w:t>
            </w:r>
            <w:r w:rsidR="00CF773E">
              <w:rPr>
                <w:lang w:val="es-ES" w:eastAsia="es-ES"/>
              </w:rPr>
              <w:br/>
            </w:r>
            <w:r w:rsidRPr="00CF773E">
              <w:rPr>
                <w:lang w:val="es-ES" w:eastAsia="es-ES"/>
              </w:rPr>
              <w:t>2024-2027</w:t>
            </w:r>
          </w:p>
        </w:tc>
      </w:tr>
      <w:tr w:rsidR="00CC63FE" w:rsidRPr="00415F30" w14:paraId="1E847B9B" w14:textId="77777777" w:rsidTr="00634BAB">
        <w:trPr>
          <w:trHeight w:val="340"/>
        </w:trPr>
        <w:tc>
          <w:tcPr>
            <w:tcW w:w="3015" w:type="pct"/>
            <w:tcBorders>
              <w:top w:val="nil"/>
              <w:left w:val="single" w:sz="4" w:space="0" w:color="auto"/>
              <w:bottom w:val="single" w:sz="4" w:space="0" w:color="auto"/>
              <w:right w:val="single" w:sz="4" w:space="0" w:color="auto"/>
            </w:tcBorders>
            <w:shd w:val="clear" w:color="000000" w:fill="E2EFDA"/>
            <w:vAlign w:val="bottom"/>
            <w:hideMark/>
          </w:tcPr>
          <w:p w14:paraId="1718F537" w14:textId="6A6D59AC" w:rsidR="00CC63FE" w:rsidRPr="00EC5F7C" w:rsidRDefault="00CC63FE" w:rsidP="00EC5F7C">
            <w:pPr>
              <w:pStyle w:val="Tabletext"/>
              <w:rPr>
                <w:lang w:val="es-ES" w:eastAsia="es-ES"/>
              </w:rPr>
            </w:pPr>
            <w:r w:rsidRPr="00EC5F7C">
              <w:rPr>
                <w:lang w:val="es-ES" w:eastAsia="es-ES"/>
              </w:rPr>
              <w:t>SMA(R) en la banda 117</w:t>
            </w:r>
            <w:r w:rsidR="00B870A5">
              <w:rPr>
                <w:lang w:val="es-ES" w:eastAsia="es-ES"/>
              </w:rPr>
              <w:t>,</w:t>
            </w:r>
            <w:r w:rsidRPr="00EC5F7C">
              <w:rPr>
                <w:lang w:val="es-ES" w:eastAsia="es-ES"/>
              </w:rPr>
              <w:t>975-137 MHz</w:t>
            </w:r>
          </w:p>
        </w:tc>
        <w:tc>
          <w:tcPr>
            <w:tcW w:w="83" w:type="pct"/>
            <w:gridSpan w:val="2"/>
            <w:tcBorders>
              <w:top w:val="nil"/>
              <w:left w:val="nil"/>
              <w:bottom w:val="nil"/>
              <w:right w:val="nil"/>
            </w:tcBorders>
            <w:shd w:val="clear" w:color="auto" w:fill="auto"/>
            <w:noWrap/>
            <w:vAlign w:val="bottom"/>
            <w:hideMark/>
          </w:tcPr>
          <w:p w14:paraId="3383EDA9" w14:textId="77777777" w:rsidR="00CC63FE" w:rsidRPr="00415F30" w:rsidRDefault="00CC63FE" w:rsidP="00EC5F7C">
            <w:pPr>
              <w:tabs>
                <w:tab w:val="clear" w:pos="1134"/>
                <w:tab w:val="clear" w:pos="1871"/>
                <w:tab w:val="clear" w:pos="2268"/>
              </w:tabs>
              <w:overflowPunct/>
              <w:autoSpaceDE/>
              <w:autoSpaceDN/>
              <w:adjustRightInd/>
              <w:spacing w:before="0"/>
              <w:textAlignment w:val="auto"/>
              <w:rPr>
                <w:rFonts w:ascii="Calibri" w:hAnsi="Calibri" w:cs="Calibri"/>
                <w:color w:val="000000"/>
                <w:szCs w:val="24"/>
                <w:lang w:val="es-ES" w:eastAsia="es-ES"/>
              </w:rPr>
            </w:pPr>
          </w:p>
        </w:tc>
        <w:tc>
          <w:tcPr>
            <w:tcW w:w="689" w:type="pct"/>
            <w:gridSpan w:val="2"/>
            <w:tcBorders>
              <w:top w:val="nil"/>
              <w:left w:val="single" w:sz="4" w:space="0" w:color="auto"/>
              <w:bottom w:val="single" w:sz="4" w:space="0" w:color="auto"/>
              <w:right w:val="single" w:sz="4" w:space="0" w:color="auto"/>
            </w:tcBorders>
            <w:shd w:val="clear" w:color="auto" w:fill="auto"/>
            <w:noWrap/>
            <w:vAlign w:val="bottom"/>
            <w:hideMark/>
          </w:tcPr>
          <w:p w14:paraId="67414C73" w14:textId="533325AE" w:rsidR="00CC63FE" w:rsidRPr="00EC5F7C" w:rsidRDefault="00CC63FE" w:rsidP="00634BAB">
            <w:pPr>
              <w:pStyle w:val="Tabletext"/>
              <w:jc w:val="center"/>
              <w:rPr>
                <w:lang w:val="es-ES" w:eastAsia="es-ES"/>
              </w:rPr>
            </w:pPr>
            <w:r w:rsidRPr="00EC5F7C">
              <w:rPr>
                <w:lang w:val="es-ES" w:eastAsia="es-ES"/>
              </w:rPr>
              <w:t>43.821</w:t>
            </w:r>
          </w:p>
        </w:tc>
        <w:tc>
          <w:tcPr>
            <w:tcW w:w="603" w:type="pct"/>
            <w:tcBorders>
              <w:top w:val="nil"/>
              <w:left w:val="nil"/>
              <w:bottom w:val="single" w:sz="4" w:space="0" w:color="auto"/>
              <w:right w:val="nil"/>
            </w:tcBorders>
            <w:shd w:val="clear" w:color="auto" w:fill="auto"/>
            <w:noWrap/>
            <w:vAlign w:val="bottom"/>
            <w:hideMark/>
          </w:tcPr>
          <w:p w14:paraId="4F1ED2BC" w14:textId="4DD58F6A" w:rsidR="00CC63FE" w:rsidRPr="00EC5F7C" w:rsidRDefault="00CC63FE" w:rsidP="00634BAB">
            <w:pPr>
              <w:pStyle w:val="Tabletext"/>
              <w:jc w:val="center"/>
              <w:rPr>
                <w:lang w:val="es-ES" w:eastAsia="es-ES"/>
              </w:rPr>
            </w:pPr>
          </w:p>
        </w:tc>
        <w:tc>
          <w:tcPr>
            <w:tcW w:w="610" w:type="pct"/>
            <w:tcBorders>
              <w:top w:val="nil"/>
              <w:left w:val="single" w:sz="4" w:space="0" w:color="auto"/>
              <w:bottom w:val="single" w:sz="4" w:space="0" w:color="auto"/>
              <w:right w:val="single" w:sz="4" w:space="0" w:color="auto"/>
            </w:tcBorders>
            <w:shd w:val="clear" w:color="auto" w:fill="auto"/>
            <w:noWrap/>
            <w:vAlign w:val="bottom"/>
            <w:hideMark/>
          </w:tcPr>
          <w:p w14:paraId="6C8752E8" w14:textId="77777777" w:rsidR="00CC63FE" w:rsidRPr="00EC5F7C" w:rsidRDefault="00CC63FE" w:rsidP="00634BAB">
            <w:pPr>
              <w:pStyle w:val="Tabletext"/>
              <w:jc w:val="center"/>
              <w:rPr>
                <w:lang w:val="es-ES" w:eastAsia="es-ES"/>
              </w:rPr>
            </w:pPr>
            <w:r w:rsidRPr="00EC5F7C">
              <w:rPr>
                <w:lang w:val="es-ES" w:eastAsia="es-ES"/>
              </w:rPr>
              <w:t>43.821</w:t>
            </w:r>
          </w:p>
        </w:tc>
      </w:tr>
      <w:tr w:rsidR="00CC63FE" w:rsidRPr="00415F30" w14:paraId="50EECE56" w14:textId="77777777" w:rsidTr="00634BAB">
        <w:trPr>
          <w:trHeight w:val="340"/>
        </w:trPr>
        <w:tc>
          <w:tcPr>
            <w:tcW w:w="3015" w:type="pct"/>
            <w:tcBorders>
              <w:top w:val="nil"/>
              <w:left w:val="single" w:sz="4" w:space="0" w:color="auto"/>
              <w:bottom w:val="single" w:sz="4" w:space="0" w:color="auto"/>
              <w:right w:val="single" w:sz="4" w:space="0" w:color="auto"/>
            </w:tcBorders>
            <w:shd w:val="clear" w:color="000000" w:fill="E2EFDA"/>
            <w:vAlign w:val="bottom"/>
            <w:hideMark/>
          </w:tcPr>
          <w:p w14:paraId="5B869D62" w14:textId="3C979D26" w:rsidR="00CC63FE" w:rsidRPr="00EC5F7C" w:rsidRDefault="00CC63FE" w:rsidP="00EC5F7C">
            <w:pPr>
              <w:pStyle w:val="Tabletext"/>
              <w:rPr>
                <w:lang w:val="es-ES" w:eastAsia="es-ES"/>
              </w:rPr>
            </w:pPr>
            <w:r w:rsidRPr="00EC5F7C">
              <w:rPr>
                <w:lang w:val="es-ES" w:eastAsia="es-ES"/>
              </w:rPr>
              <w:t>Servicio de investigación especial en la banda de frecuencias 14</w:t>
            </w:r>
            <w:r w:rsidR="004A7C6A">
              <w:rPr>
                <w:lang w:val="es-ES" w:eastAsia="es-ES"/>
              </w:rPr>
              <w:t>,</w:t>
            </w:r>
            <w:r w:rsidRPr="00EC5F7C">
              <w:rPr>
                <w:lang w:val="es-ES" w:eastAsia="es-ES"/>
              </w:rPr>
              <w:t>8</w:t>
            </w:r>
            <w:r w:rsidR="00634BAB">
              <w:rPr>
                <w:lang w:val="es-ES" w:eastAsia="es-ES"/>
              </w:rPr>
              <w:noBreakHyphen/>
            </w:r>
            <w:r w:rsidRPr="00EC5F7C">
              <w:rPr>
                <w:lang w:val="es-ES" w:eastAsia="es-ES"/>
              </w:rPr>
              <w:t>15</w:t>
            </w:r>
            <w:r w:rsidR="004A7C6A">
              <w:rPr>
                <w:lang w:val="es-ES" w:eastAsia="es-ES"/>
              </w:rPr>
              <w:t>,</w:t>
            </w:r>
            <w:r w:rsidRPr="00EC5F7C">
              <w:rPr>
                <w:lang w:val="es-ES" w:eastAsia="es-ES"/>
              </w:rPr>
              <w:t>35 GHz</w:t>
            </w:r>
            <w:r w:rsidR="001A59AC">
              <w:rPr>
                <w:lang w:val="es-ES" w:eastAsia="es-ES"/>
              </w:rPr>
              <w:t>.</w:t>
            </w:r>
          </w:p>
        </w:tc>
        <w:tc>
          <w:tcPr>
            <w:tcW w:w="83" w:type="pct"/>
            <w:gridSpan w:val="2"/>
            <w:tcBorders>
              <w:top w:val="nil"/>
              <w:left w:val="nil"/>
              <w:bottom w:val="nil"/>
              <w:right w:val="nil"/>
            </w:tcBorders>
            <w:shd w:val="clear" w:color="auto" w:fill="auto"/>
            <w:noWrap/>
            <w:vAlign w:val="bottom"/>
            <w:hideMark/>
          </w:tcPr>
          <w:p w14:paraId="56509BA8" w14:textId="77777777" w:rsidR="00CC63FE" w:rsidRPr="00415F30" w:rsidRDefault="00CC63FE" w:rsidP="00EC5F7C">
            <w:pPr>
              <w:tabs>
                <w:tab w:val="clear" w:pos="1134"/>
                <w:tab w:val="clear" w:pos="1871"/>
                <w:tab w:val="clear" w:pos="2268"/>
              </w:tabs>
              <w:overflowPunct/>
              <w:autoSpaceDE/>
              <w:autoSpaceDN/>
              <w:adjustRightInd/>
              <w:spacing w:before="0"/>
              <w:textAlignment w:val="auto"/>
              <w:rPr>
                <w:rFonts w:ascii="Calibri" w:hAnsi="Calibri" w:cs="Calibri"/>
                <w:color w:val="000000"/>
                <w:szCs w:val="24"/>
                <w:lang w:val="es-ES" w:eastAsia="es-ES"/>
              </w:rPr>
            </w:pPr>
          </w:p>
        </w:tc>
        <w:tc>
          <w:tcPr>
            <w:tcW w:w="689" w:type="pct"/>
            <w:gridSpan w:val="2"/>
            <w:tcBorders>
              <w:top w:val="nil"/>
              <w:left w:val="single" w:sz="4" w:space="0" w:color="auto"/>
              <w:bottom w:val="single" w:sz="4" w:space="0" w:color="auto"/>
              <w:right w:val="single" w:sz="4" w:space="0" w:color="auto"/>
            </w:tcBorders>
            <w:shd w:val="clear" w:color="auto" w:fill="auto"/>
            <w:noWrap/>
            <w:vAlign w:val="bottom"/>
            <w:hideMark/>
          </w:tcPr>
          <w:p w14:paraId="6D705AD0" w14:textId="77777777" w:rsidR="00CC63FE" w:rsidRPr="00EC5F7C" w:rsidRDefault="00CC63FE" w:rsidP="00634BAB">
            <w:pPr>
              <w:pStyle w:val="Tabletext"/>
              <w:jc w:val="center"/>
              <w:rPr>
                <w:lang w:val="es-ES" w:eastAsia="es-ES"/>
              </w:rPr>
            </w:pPr>
            <w:r w:rsidRPr="00EC5F7C">
              <w:rPr>
                <w:lang w:val="es-ES" w:eastAsia="es-ES"/>
              </w:rPr>
              <w:t>78.878</w:t>
            </w:r>
          </w:p>
        </w:tc>
        <w:tc>
          <w:tcPr>
            <w:tcW w:w="603" w:type="pct"/>
            <w:tcBorders>
              <w:top w:val="nil"/>
              <w:left w:val="nil"/>
              <w:bottom w:val="single" w:sz="4" w:space="0" w:color="auto"/>
              <w:right w:val="nil"/>
            </w:tcBorders>
            <w:shd w:val="clear" w:color="auto" w:fill="auto"/>
            <w:noWrap/>
            <w:vAlign w:val="bottom"/>
            <w:hideMark/>
          </w:tcPr>
          <w:p w14:paraId="0A58D527" w14:textId="14EBA502" w:rsidR="00CC63FE" w:rsidRPr="00EC5F7C" w:rsidRDefault="00CC63FE" w:rsidP="00634BAB">
            <w:pPr>
              <w:pStyle w:val="Tabletext"/>
              <w:jc w:val="center"/>
              <w:rPr>
                <w:lang w:val="es-ES" w:eastAsia="es-ES"/>
              </w:rPr>
            </w:pPr>
          </w:p>
        </w:tc>
        <w:tc>
          <w:tcPr>
            <w:tcW w:w="610" w:type="pct"/>
            <w:tcBorders>
              <w:top w:val="nil"/>
              <w:left w:val="single" w:sz="4" w:space="0" w:color="auto"/>
              <w:bottom w:val="single" w:sz="4" w:space="0" w:color="auto"/>
              <w:right w:val="single" w:sz="4" w:space="0" w:color="auto"/>
            </w:tcBorders>
            <w:shd w:val="clear" w:color="auto" w:fill="auto"/>
            <w:noWrap/>
            <w:vAlign w:val="bottom"/>
            <w:hideMark/>
          </w:tcPr>
          <w:p w14:paraId="0CF5E8C0" w14:textId="77777777" w:rsidR="00CC63FE" w:rsidRPr="00EC5F7C" w:rsidRDefault="00CC63FE" w:rsidP="00634BAB">
            <w:pPr>
              <w:pStyle w:val="Tabletext"/>
              <w:jc w:val="center"/>
              <w:rPr>
                <w:lang w:val="es-ES" w:eastAsia="es-ES"/>
              </w:rPr>
            </w:pPr>
            <w:r w:rsidRPr="00EC5F7C">
              <w:rPr>
                <w:lang w:val="es-ES" w:eastAsia="es-ES"/>
              </w:rPr>
              <w:t>78.878</w:t>
            </w:r>
          </w:p>
        </w:tc>
      </w:tr>
      <w:tr w:rsidR="00CC63FE" w:rsidRPr="00415F30" w14:paraId="4E746204" w14:textId="77777777" w:rsidTr="00634BAB">
        <w:trPr>
          <w:trHeight w:val="340"/>
        </w:trPr>
        <w:tc>
          <w:tcPr>
            <w:tcW w:w="3015" w:type="pct"/>
            <w:tcBorders>
              <w:top w:val="nil"/>
              <w:left w:val="single" w:sz="4" w:space="0" w:color="auto"/>
              <w:bottom w:val="single" w:sz="4" w:space="0" w:color="auto"/>
              <w:right w:val="single" w:sz="4" w:space="0" w:color="auto"/>
            </w:tcBorders>
            <w:shd w:val="clear" w:color="000000" w:fill="E2EFDA"/>
            <w:vAlign w:val="bottom"/>
            <w:hideMark/>
          </w:tcPr>
          <w:p w14:paraId="746EA91B" w14:textId="77777777" w:rsidR="00CC63FE" w:rsidRPr="00EC5F7C" w:rsidRDefault="00CC63FE" w:rsidP="00EC5F7C">
            <w:pPr>
              <w:pStyle w:val="Tabletext"/>
              <w:rPr>
                <w:lang w:val="es-ES" w:eastAsia="es-ES"/>
              </w:rPr>
            </w:pPr>
            <w:r w:rsidRPr="00EC5F7C">
              <w:rPr>
                <w:lang w:val="es-ES" w:eastAsia="es-ES"/>
              </w:rPr>
              <w:t xml:space="preserve">ETEM AP30B </w:t>
            </w:r>
          </w:p>
        </w:tc>
        <w:tc>
          <w:tcPr>
            <w:tcW w:w="83" w:type="pct"/>
            <w:gridSpan w:val="2"/>
            <w:tcBorders>
              <w:top w:val="nil"/>
              <w:left w:val="nil"/>
              <w:bottom w:val="nil"/>
              <w:right w:val="nil"/>
            </w:tcBorders>
            <w:shd w:val="clear" w:color="auto" w:fill="auto"/>
            <w:noWrap/>
            <w:vAlign w:val="bottom"/>
            <w:hideMark/>
          </w:tcPr>
          <w:p w14:paraId="545A7847" w14:textId="77777777" w:rsidR="00CC63FE" w:rsidRPr="00415F30" w:rsidRDefault="00CC63FE" w:rsidP="00EC5F7C">
            <w:pPr>
              <w:tabs>
                <w:tab w:val="clear" w:pos="1134"/>
                <w:tab w:val="clear" w:pos="1871"/>
                <w:tab w:val="clear" w:pos="2268"/>
              </w:tabs>
              <w:overflowPunct/>
              <w:autoSpaceDE/>
              <w:autoSpaceDN/>
              <w:adjustRightInd/>
              <w:spacing w:before="0"/>
              <w:textAlignment w:val="auto"/>
              <w:rPr>
                <w:rFonts w:ascii="Calibri" w:hAnsi="Calibri" w:cs="Calibri"/>
                <w:color w:val="000000"/>
                <w:szCs w:val="24"/>
                <w:lang w:val="es-ES" w:eastAsia="es-ES"/>
              </w:rPr>
            </w:pPr>
          </w:p>
        </w:tc>
        <w:tc>
          <w:tcPr>
            <w:tcW w:w="689" w:type="pct"/>
            <w:gridSpan w:val="2"/>
            <w:tcBorders>
              <w:top w:val="nil"/>
              <w:left w:val="single" w:sz="4" w:space="0" w:color="auto"/>
              <w:bottom w:val="single" w:sz="4" w:space="0" w:color="auto"/>
              <w:right w:val="single" w:sz="4" w:space="0" w:color="auto"/>
            </w:tcBorders>
            <w:shd w:val="clear" w:color="auto" w:fill="auto"/>
            <w:noWrap/>
            <w:vAlign w:val="bottom"/>
            <w:hideMark/>
          </w:tcPr>
          <w:p w14:paraId="2DC52538" w14:textId="77777777" w:rsidR="00CC63FE" w:rsidRPr="00EC5F7C" w:rsidRDefault="00CC63FE" w:rsidP="00634BAB">
            <w:pPr>
              <w:pStyle w:val="Tabletext"/>
              <w:jc w:val="center"/>
              <w:rPr>
                <w:lang w:val="es-ES" w:eastAsia="es-ES"/>
              </w:rPr>
            </w:pPr>
            <w:r w:rsidRPr="00EC5F7C">
              <w:rPr>
                <w:lang w:val="es-ES" w:eastAsia="es-ES"/>
              </w:rPr>
              <w:t>438.210</w:t>
            </w:r>
          </w:p>
        </w:tc>
        <w:tc>
          <w:tcPr>
            <w:tcW w:w="603" w:type="pct"/>
            <w:tcBorders>
              <w:top w:val="nil"/>
              <w:left w:val="nil"/>
              <w:bottom w:val="single" w:sz="4" w:space="0" w:color="auto"/>
              <w:right w:val="nil"/>
            </w:tcBorders>
            <w:shd w:val="clear" w:color="auto" w:fill="auto"/>
            <w:noWrap/>
            <w:vAlign w:val="bottom"/>
            <w:hideMark/>
          </w:tcPr>
          <w:p w14:paraId="7F319E9F" w14:textId="77777777" w:rsidR="00CC63FE" w:rsidRPr="00EC5F7C" w:rsidRDefault="00CC63FE" w:rsidP="00634BAB">
            <w:pPr>
              <w:pStyle w:val="Tabletext"/>
              <w:jc w:val="center"/>
              <w:rPr>
                <w:lang w:val="es-ES" w:eastAsia="es-ES"/>
              </w:rPr>
            </w:pPr>
            <w:r w:rsidRPr="00EC5F7C">
              <w:rPr>
                <w:lang w:val="es-ES" w:eastAsia="es-ES"/>
              </w:rPr>
              <w:t>569.673</w:t>
            </w:r>
          </w:p>
        </w:tc>
        <w:tc>
          <w:tcPr>
            <w:tcW w:w="610" w:type="pct"/>
            <w:tcBorders>
              <w:top w:val="nil"/>
              <w:left w:val="single" w:sz="4" w:space="0" w:color="auto"/>
              <w:bottom w:val="single" w:sz="4" w:space="0" w:color="auto"/>
              <w:right w:val="single" w:sz="4" w:space="0" w:color="auto"/>
            </w:tcBorders>
            <w:shd w:val="clear" w:color="auto" w:fill="auto"/>
            <w:noWrap/>
            <w:vAlign w:val="bottom"/>
            <w:hideMark/>
          </w:tcPr>
          <w:p w14:paraId="2D9F2C54" w14:textId="77777777" w:rsidR="00CC63FE" w:rsidRPr="00EC5F7C" w:rsidRDefault="00CC63FE" w:rsidP="00634BAB">
            <w:pPr>
              <w:pStyle w:val="Tabletext"/>
              <w:jc w:val="center"/>
              <w:rPr>
                <w:lang w:val="es-ES" w:eastAsia="es-ES"/>
              </w:rPr>
            </w:pPr>
            <w:r w:rsidRPr="00EC5F7C">
              <w:rPr>
                <w:lang w:val="es-ES" w:eastAsia="es-ES"/>
              </w:rPr>
              <w:t>2.716.902</w:t>
            </w:r>
          </w:p>
        </w:tc>
      </w:tr>
      <w:tr w:rsidR="00CC63FE" w:rsidRPr="00415F30" w14:paraId="6352F7D1" w14:textId="77777777" w:rsidTr="00634BAB">
        <w:trPr>
          <w:trHeight w:val="340"/>
        </w:trPr>
        <w:tc>
          <w:tcPr>
            <w:tcW w:w="3015" w:type="pct"/>
            <w:tcBorders>
              <w:top w:val="nil"/>
              <w:left w:val="single" w:sz="4" w:space="0" w:color="auto"/>
              <w:bottom w:val="single" w:sz="4" w:space="0" w:color="auto"/>
              <w:right w:val="single" w:sz="4" w:space="0" w:color="auto"/>
            </w:tcBorders>
            <w:shd w:val="clear" w:color="000000" w:fill="E2EFDA"/>
            <w:vAlign w:val="bottom"/>
            <w:hideMark/>
          </w:tcPr>
          <w:p w14:paraId="61E10293" w14:textId="77777777" w:rsidR="00CC63FE" w:rsidRPr="00EC5F7C" w:rsidRDefault="00CC63FE" w:rsidP="00EC5F7C">
            <w:pPr>
              <w:pStyle w:val="Tabletext"/>
              <w:rPr>
                <w:lang w:val="es-ES" w:eastAsia="es-ES"/>
              </w:rPr>
            </w:pPr>
            <w:r w:rsidRPr="00EC5F7C">
              <w:rPr>
                <w:lang w:val="es-ES" w:eastAsia="es-ES"/>
              </w:rPr>
              <w:t>ETEM no OSG</w:t>
            </w:r>
          </w:p>
        </w:tc>
        <w:tc>
          <w:tcPr>
            <w:tcW w:w="83" w:type="pct"/>
            <w:gridSpan w:val="2"/>
            <w:tcBorders>
              <w:top w:val="nil"/>
              <w:left w:val="nil"/>
              <w:bottom w:val="nil"/>
              <w:right w:val="nil"/>
            </w:tcBorders>
            <w:shd w:val="clear" w:color="auto" w:fill="auto"/>
            <w:noWrap/>
            <w:vAlign w:val="bottom"/>
            <w:hideMark/>
          </w:tcPr>
          <w:p w14:paraId="102CBA6A" w14:textId="77777777" w:rsidR="00CC63FE" w:rsidRPr="00415F30" w:rsidRDefault="00CC63FE" w:rsidP="00EC5F7C">
            <w:pPr>
              <w:tabs>
                <w:tab w:val="clear" w:pos="1134"/>
                <w:tab w:val="clear" w:pos="1871"/>
                <w:tab w:val="clear" w:pos="2268"/>
              </w:tabs>
              <w:overflowPunct/>
              <w:autoSpaceDE/>
              <w:autoSpaceDN/>
              <w:adjustRightInd/>
              <w:spacing w:before="0"/>
              <w:textAlignment w:val="auto"/>
              <w:rPr>
                <w:rFonts w:ascii="Calibri" w:hAnsi="Calibri" w:cs="Calibri"/>
                <w:color w:val="000000"/>
                <w:szCs w:val="24"/>
                <w:lang w:val="es-ES" w:eastAsia="es-ES"/>
              </w:rPr>
            </w:pPr>
          </w:p>
        </w:tc>
        <w:tc>
          <w:tcPr>
            <w:tcW w:w="689" w:type="pct"/>
            <w:gridSpan w:val="2"/>
            <w:tcBorders>
              <w:top w:val="nil"/>
              <w:left w:val="single" w:sz="4" w:space="0" w:color="auto"/>
              <w:bottom w:val="single" w:sz="4" w:space="0" w:color="auto"/>
              <w:right w:val="single" w:sz="4" w:space="0" w:color="auto"/>
            </w:tcBorders>
            <w:shd w:val="clear" w:color="auto" w:fill="auto"/>
            <w:noWrap/>
            <w:vAlign w:val="bottom"/>
            <w:hideMark/>
          </w:tcPr>
          <w:p w14:paraId="1EF83566" w14:textId="77777777" w:rsidR="00CC63FE" w:rsidRPr="00EC5F7C" w:rsidRDefault="00CC63FE" w:rsidP="00634BAB">
            <w:pPr>
              <w:pStyle w:val="Tabletext"/>
              <w:jc w:val="center"/>
              <w:rPr>
                <w:lang w:val="es-ES" w:eastAsia="es-ES"/>
              </w:rPr>
            </w:pPr>
            <w:r w:rsidRPr="00EC5F7C">
              <w:rPr>
                <w:lang w:val="es-ES" w:eastAsia="es-ES"/>
              </w:rPr>
              <w:t>350.568</w:t>
            </w:r>
          </w:p>
        </w:tc>
        <w:tc>
          <w:tcPr>
            <w:tcW w:w="603" w:type="pct"/>
            <w:tcBorders>
              <w:top w:val="nil"/>
              <w:left w:val="nil"/>
              <w:bottom w:val="single" w:sz="4" w:space="0" w:color="auto"/>
              <w:right w:val="nil"/>
            </w:tcBorders>
            <w:shd w:val="clear" w:color="auto" w:fill="auto"/>
            <w:noWrap/>
            <w:vAlign w:val="bottom"/>
            <w:hideMark/>
          </w:tcPr>
          <w:p w14:paraId="33254912" w14:textId="77777777" w:rsidR="00CC63FE" w:rsidRPr="00EC5F7C" w:rsidRDefault="00CC63FE" w:rsidP="00634BAB">
            <w:pPr>
              <w:pStyle w:val="Tabletext"/>
              <w:jc w:val="center"/>
              <w:rPr>
                <w:lang w:val="es-ES" w:eastAsia="es-ES"/>
              </w:rPr>
            </w:pPr>
            <w:r w:rsidRPr="00EC5F7C">
              <w:rPr>
                <w:lang w:val="es-ES" w:eastAsia="es-ES"/>
              </w:rPr>
              <w:t>385.625</w:t>
            </w:r>
          </w:p>
        </w:tc>
        <w:tc>
          <w:tcPr>
            <w:tcW w:w="610" w:type="pct"/>
            <w:tcBorders>
              <w:top w:val="nil"/>
              <w:left w:val="single" w:sz="4" w:space="0" w:color="auto"/>
              <w:bottom w:val="single" w:sz="4" w:space="0" w:color="auto"/>
              <w:right w:val="single" w:sz="4" w:space="0" w:color="auto"/>
            </w:tcBorders>
            <w:shd w:val="clear" w:color="auto" w:fill="auto"/>
            <w:noWrap/>
            <w:vAlign w:val="bottom"/>
            <w:hideMark/>
          </w:tcPr>
          <w:p w14:paraId="3871082A" w14:textId="77777777" w:rsidR="00CC63FE" w:rsidRPr="00EC5F7C" w:rsidRDefault="00CC63FE" w:rsidP="00634BAB">
            <w:pPr>
              <w:pStyle w:val="Tabletext"/>
              <w:jc w:val="center"/>
              <w:rPr>
                <w:lang w:val="es-ES" w:eastAsia="es-ES"/>
              </w:rPr>
            </w:pPr>
            <w:r w:rsidRPr="00EC5F7C">
              <w:rPr>
                <w:lang w:val="es-ES" w:eastAsia="es-ES"/>
              </w:rPr>
              <w:t>1.893.067</w:t>
            </w:r>
          </w:p>
        </w:tc>
      </w:tr>
      <w:tr w:rsidR="00CC63FE" w:rsidRPr="00415F30" w14:paraId="27C841D9" w14:textId="77777777" w:rsidTr="00634BAB">
        <w:trPr>
          <w:trHeight w:val="340"/>
        </w:trPr>
        <w:tc>
          <w:tcPr>
            <w:tcW w:w="3015" w:type="pct"/>
            <w:tcBorders>
              <w:top w:val="nil"/>
              <w:left w:val="single" w:sz="4" w:space="0" w:color="auto"/>
              <w:bottom w:val="single" w:sz="4" w:space="0" w:color="auto"/>
              <w:right w:val="single" w:sz="4" w:space="0" w:color="auto"/>
            </w:tcBorders>
            <w:shd w:val="clear" w:color="000000" w:fill="E2EFDA"/>
            <w:vAlign w:val="bottom"/>
            <w:hideMark/>
          </w:tcPr>
          <w:p w14:paraId="00F9EE7D" w14:textId="77777777" w:rsidR="00CC63FE" w:rsidRPr="00EC5F7C" w:rsidRDefault="00CC63FE" w:rsidP="00EC5F7C">
            <w:pPr>
              <w:pStyle w:val="Tabletext"/>
              <w:rPr>
                <w:lang w:val="es-ES" w:eastAsia="es-ES"/>
              </w:rPr>
            </w:pPr>
            <w:r w:rsidRPr="00EC5F7C">
              <w:rPr>
                <w:lang w:val="es-ES" w:eastAsia="es-ES"/>
              </w:rPr>
              <w:t>Enlaces entre satélites: Protección se servicios espaciales y terrenales</w:t>
            </w:r>
          </w:p>
        </w:tc>
        <w:tc>
          <w:tcPr>
            <w:tcW w:w="83" w:type="pct"/>
            <w:gridSpan w:val="2"/>
            <w:tcBorders>
              <w:top w:val="nil"/>
              <w:left w:val="nil"/>
              <w:bottom w:val="nil"/>
              <w:right w:val="nil"/>
            </w:tcBorders>
            <w:shd w:val="clear" w:color="auto" w:fill="auto"/>
            <w:noWrap/>
            <w:vAlign w:val="bottom"/>
            <w:hideMark/>
          </w:tcPr>
          <w:p w14:paraId="0F3ED18F" w14:textId="77777777" w:rsidR="00CC63FE" w:rsidRPr="00415F30" w:rsidRDefault="00CC63FE" w:rsidP="00EC5F7C">
            <w:pPr>
              <w:tabs>
                <w:tab w:val="clear" w:pos="1134"/>
                <w:tab w:val="clear" w:pos="1871"/>
                <w:tab w:val="clear" w:pos="2268"/>
              </w:tabs>
              <w:overflowPunct/>
              <w:autoSpaceDE/>
              <w:autoSpaceDN/>
              <w:adjustRightInd/>
              <w:spacing w:before="0"/>
              <w:textAlignment w:val="auto"/>
              <w:rPr>
                <w:rFonts w:ascii="Calibri" w:hAnsi="Calibri" w:cs="Calibri"/>
                <w:color w:val="000000"/>
                <w:szCs w:val="24"/>
                <w:lang w:val="es-ES" w:eastAsia="es-ES"/>
              </w:rPr>
            </w:pPr>
          </w:p>
        </w:tc>
        <w:tc>
          <w:tcPr>
            <w:tcW w:w="689" w:type="pct"/>
            <w:gridSpan w:val="2"/>
            <w:tcBorders>
              <w:top w:val="nil"/>
              <w:left w:val="single" w:sz="4" w:space="0" w:color="auto"/>
              <w:bottom w:val="single" w:sz="4" w:space="0" w:color="auto"/>
              <w:right w:val="single" w:sz="4" w:space="0" w:color="auto"/>
            </w:tcBorders>
            <w:shd w:val="clear" w:color="auto" w:fill="auto"/>
            <w:noWrap/>
            <w:vAlign w:val="bottom"/>
            <w:hideMark/>
          </w:tcPr>
          <w:p w14:paraId="77FA0B80" w14:textId="77777777" w:rsidR="00CC63FE" w:rsidRPr="00EC5F7C" w:rsidRDefault="00CC63FE" w:rsidP="00634BAB">
            <w:pPr>
              <w:pStyle w:val="Tabletext"/>
              <w:jc w:val="center"/>
              <w:rPr>
                <w:lang w:val="es-ES" w:eastAsia="es-ES"/>
              </w:rPr>
            </w:pPr>
            <w:r w:rsidRPr="00EC5F7C">
              <w:rPr>
                <w:lang w:val="es-ES" w:eastAsia="es-ES"/>
              </w:rPr>
              <w:t>350.568</w:t>
            </w:r>
          </w:p>
        </w:tc>
        <w:tc>
          <w:tcPr>
            <w:tcW w:w="603" w:type="pct"/>
            <w:tcBorders>
              <w:top w:val="nil"/>
              <w:left w:val="nil"/>
              <w:bottom w:val="single" w:sz="4" w:space="0" w:color="auto"/>
              <w:right w:val="nil"/>
            </w:tcBorders>
            <w:shd w:val="clear" w:color="auto" w:fill="auto"/>
            <w:noWrap/>
            <w:vAlign w:val="bottom"/>
            <w:hideMark/>
          </w:tcPr>
          <w:p w14:paraId="4E982DD0" w14:textId="77777777" w:rsidR="00CC63FE" w:rsidRPr="00EC5F7C" w:rsidRDefault="00CC63FE" w:rsidP="00634BAB">
            <w:pPr>
              <w:pStyle w:val="Tabletext"/>
              <w:jc w:val="center"/>
              <w:rPr>
                <w:lang w:val="es-ES" w:eastAsia="es-ES"/>
              </w:rPr>
            </w:pPr>
            <w:r w:rsidRPr="00EC5F7C">
              <w:rPr>
                <w:lang w:val="es-ES" w:eastAsia="es-ES"/>
              </w:rPr>
              <w:t>210.341</w:t>
            </w:r>
          </w:p>
        </w:tc>
        <w:tc>
          <w:tcPr>
            <w:tcW w:w="610" w:type="pct"/>
            <w:tcBorders>
              <w:top w:val="nil"/>
              <w:left w:val="single" w:sz="4" w:space="0" w:color="auto"/>
              <w:bottom w:val="single" w:sz="4" w:space="0" w:color="auto"/>
              <w:right w:val="single" w:sz="4" w:space="0" w:color="auto"/>
            </w:tcBorders>
            <w:shd w:val="clear" w:color="auto" w:fill="auto"/>
            <w:noWrap/>
            <w:vAlign w:val="bottom"/>
            <w:hideMark/>
          </w:tcPr>
          <w:p w14:paraId="3F2273FB" w14:textId="77777777" w:rsidR="00CC63FE" w:rsidRPr="00EC5F7C" w:rsidRDefault="00CC63FE" w:rsidP="00634BAB">
            <w:pPr>
              <w:pStyle w:val="Tabletext"/>
              <w:jc w:val="center"/>
              <w:rPr>
                <w:lang w:val="es-ES" w:eastAsia="es-ES"/>
              </w:rPr>
            </w:pPr>
            <w:r w:rsidRPr="00EC5F7C">
              <w:rPr>
                <w:lang w:val="es-ES" w:eastAsia="es-ES"/>
              </w:rPr>
              <w:t>1.191.931</w:t>
            </w:r>
          </w:p>
        </w:tc>
      </w:tr>
      <w:tr w:rsidR="00CC63FE" w:rsidRPr="00415F30" w14:paraId="47063EB5" w14:textId="77777777" w:rsidTr="00634BAB">
        <w:trPr>
          <w:trHeight w:val="340"/>
        </w:trPr>
        <w:tc>
          <w:tcPr>
            <w:tcW w:w="3015" w:type="pct"/>
            <w:tcBorders>
              <w:top w:val="nil"/>
              <w:left w:val="single" w:sz="4" w:space="0" w:color="auto"/>
              <w:bottom w:val="single" w:sz="4" w:space="0" w:color="auto"/>
              <w:right w:val="single" w:sz="4" w:space="0" w:color="auto"/>
            </w:tcBorders>
            <w:shd w:val="clear" w:color="000000" w:fill="E2EFDA"/>
            <w:vAlign w:val="bottom"/>
            <w:hideMark/>
          </w:tcPr>
          <w:p w14:paraId="4892D741" w14:textId="3C72F1C8" w:rsidR="00CC63FE" w:rsidRPr="00EC5F7C" w:rsidRDefault="00CC63FE" w:rsidP="00EC5F7C">
            <w:pPr>
              <w:pStyle w:val="Tabletext"/>
              <w:rPr>
                <w:lang w:val="es-ES" w:eastAsia="es-ES"/>
              </w:rPr>
            </w:pPr>
            <w:r w:rsidRPr="00EC5F7C">
              <w:rPr>
                <w:lang w:val="es-ES" w:eastAsia="es-ES"/>
              </w:rPr>
              <w:t>Tolerancias para determinadas características orbitales de los sistemas no OSG</w:t>
            </w:r>
            <w:r w:rsidR="001A59AC">
              <w:rPr>
                <w:lang w:val="es-ES" w:eastAsia="es-ES"/>
              </w:rPr>
              <w:t>.</w:t>
            </w:r>
          </w:p>
        </w:tc>
        <w:tc>
          <w:tcPr>
            <w:tcW w:w="83" w:type="pct"/>
            <w:gridSpan w:val="2"/>
            <w:tcBorders>
              <w:top w:val="nil"/>
              <w:left w:val="nil"/>
              <w:bottom w:val="nil"/>
              <w:right w:val="nil"/>
            </w:tcBorders>
            <w:shd w:val="clear" w:color="auto" w:fill="auto"/>
            <w:noWrap/>
            <w:vAlign w:val="bottom"/>
            <w:hideMark/>
          </w:tcPr>
          <w:p w14:paraId="4458C602" w14:textId="77777777" w:rsidR="00CC63FE" w:rsidRPr="00415F30" w:rsidRDefault="00CC63FE" w:rsidP="00EC5F7C">
            <w:pPr>
              <w:tabs>
                <w:tab w:val="clear" w:pos="1134"/>
                <w:tab w:val="clear" w:pos="1871"/>
                <w:tab w:val="clear" w:pos="2268"/>
              </w:tabs>
              <w:overflowPunct/>
              <w:autoSpaceDE/>
              <w:autoSpaceDN/>
              <w:adjustRightInd/>
              <w:spacing w:before="0"/>
              <w:textAlignment w:val="auto"/>
              <w:rPr>
                <w:rFonts w:ascii="Calibri" w:hAnsi="Calibri" w:cs="Calibri"/>
                <w:color w:val="000000"/>
                <w:szCs w:val="24"/>
                <w:lang w:val="es-ES" w:eastAsia="es-ES"/>
              </w:rPr>
            </w:pPr>
          </w:p>
        </w:tc>
        <w:tc>
          <w:tcPr>
            <w:tcW w:w="689" w:type="pct"/>
            <w:gridSpan w:val="2"/>
            <w:tcBorders>
              <w:top w:val="nil"/>
              <w:left w:val="single" w:sz="4" w:space="0" w:color="auto"/>
              <w:bottom w:val="single" w:sz="4" w:space="0" w:color="auto"/>
              <w:right w:val="single" w:sz="4" w:space="0" w:color="auto"/>
            </w:tcBorders>
            <w:shd w:val="clear" w:color="auto" w:fill="auto"/>
            <w:noWrap/>
            <w:vAlign w:val="bottom"/>
            <w:hideMark/>
          </w:tcPr>
          <w:p w14:paraId="1CB11C10" w14:textId="77777777" w:rsidR="00CC63FE" w:rsidRPr="00EC5F7C" w:rsidRDefault="00CC63FE" w:rsidP="00634BAB">
            <w:pPr>
              <w:pStyle w:val="Tabletext"/>
              <w:jc w:val="center"/>
              <w:rPr>
                <w:lang w:val="es-ES" w:eastAsia="es-ES"/>
              </w:rPr>
            </w:pPr>
            <w:r w:rsidRPr="00EC5F7C">
              <w:rPr>
                <w:lang w:val="es-ES" w:eastAsia="es-ES"/>
              </w:rPr>
              <w:t>262.926</w:t>
            </w:r>
          </w:p>
        </w:tc>
        <w:tc>
          <w:tcPr>
            <w:tcW w:w="603" w:type="pct"/>
            <w:tcBorders>
              <w:top w:val="nil"/>
              <w:left w:val="nil"/>
              <w:bottom w:val="single" w:sz="4" w:space="0" w:color="auto"/>
              <w:right w:val="nil"/>
            </w:tcBorders>
            <w:shd w:val="clear" w:color="auto" w:fill="auto"/>
            <w:noWrap/>
            <w:vAlign w:val="bottom"/>
            <w:hideMark/>
          </w:tcPr>
          <w:p w14:paraId="518E436A" w14:textId="77777777" w:rsidR="00CC63FE" w:rsidRPr="00EC5F7C" w:rsidRDefault="00CC63FE" w:rsidP="00634BAB">
            <w:pPr>
              <w:pStyle w:val="Tabletext"/>
              <w:jc w:val="center"/>
              <w:rPr>
                <w:lang w:val="es-ES" w:eastAsia="es-ES"/>
              </w:rPr>
            </w:pPr>
            <w:r w:rsidRPr="00EC5F7C">
              <w:rPr>
                <w:lang w:val="es-ES" w:eastAsia="es-ES"/>
              </w:rPr>
              <w:t>201.577</w:t>
            </w:r>
          </w:p>
        </w:tc>
        <w:tc>
          <w:tcPr>
            <w:tcW w:w="610" w:type="pct"/>
            <w:tcBorders>
              <w:top w:val="nil"/>
              <w:left w:val="single" w:sz="4" w:space="0" w:color="auto"/>
              <w:bottom w:val="single" w:sz="4" w:space="0" w:color="auto"/>
              <w:right w:val="single" w:sz="4" w:space="0" w:color="auto"/>
            </w:tcBorders>
            <w:shd w:val="clear" w:color="auto" w:fill="auto"/>
            <w:noWrap/>
            <w:vAlign w:val="bottom"/>
            <w:hideMark/>
          </w:tcPr>
          <w:p w14:paraId="59BD1CC9" w14:textId="77777777" w:rsidR="00CC63FE" w:rsidRPr="00EC5F7C" w:rsidRDefault="00CC63FE" w:rsidP="00634BAB">
            <w:pPr>
              <w:pStyle w:val="Tabletext"/>
              <w:jc w:val="center"/>
              <w:rPr>
                <w:lang w:val="es-ES" w:eastAsia="es-ES"/>
              </w:rPr>
            </w:pPr>
            <w:r w:rsidRPr="00EC5F7C">
              <w:rPr>
                <w:lang w:val="es-ES" w:eastAsia="es-ES"/>
              </w:rPr>
              <w:t>1.069.232</w:t>
            </w:r>
          </w:p>
        </w:tc>
      </w:tr>
      <w:tr w:rsidR="00CC63FE" w:rsidRPr="00415F30" w14:paraId="6EA25704" w14:textId="77777777" w:rsidTr="00634BAB">
        <w:trPr>
          <w:trHeight w:val="340"/>
        </w:trPr>
        <w:tc>
          <w:tcPr>
            <w:tcW w:w="3015" w:type="pct"/>
            <w:tcBorders>
              <w:top w:val="nil"/>
              <w:left w:val="single" w:sz="4" w:space="0" w:color="auto"/>
              <w:bottom w:val="single" w:sz="4" w:space="0" w:color="auto"/>
              <w:right w:val="single" w:sz="4" w:space="0" w:color="auto"/>
            </w:tcBorders>
            <w:shd w:val="clear" w:color="000000" w:fill="E2EFDA"/>
            <w:vAlign w:val="center"/>
            <w:hideMark/>
          </w:tcPr>
          <w:p w14:paraId="55A090FA" w14:textId="77777777" w:rsidR="00CC63FE" w:rsidRPr="00EC5F7C" w:rsidRDefault="00CC63FE" w:rsidP="00EC5F7C">
            <w:pPr>
              <w:pStyle w:val="Tabletext"/>
              <w:rPr>
                <w:lang w:val="es-ES" w:eastAsia="es-ES"/>
              </w:rPr>
            </w:pPr>
            <w:r w:rsidRPr="00EC5F7C">
              <w:rPr>
                <w:lang w:val="es-ES" w:eastAsia="es-ES"/>
              </w:rPr>
              <w:t xml:space="preserve">Protección del SMS OSG en las bandas de 7/8 GHz y 20/30 GHz </w:t>
            </w:r>
          </w:p>
        </w:tc>
        <w:tc>
          <w:tcPr>
            <w:tcW w:w="83" w:type="pct"/>
            <w:gridSpan w:val="2"/>
            <w:tcBorders>
              <w:top w:val="nil"/>
              <w:left w:val="nil"/>
              <w:bottom w:val="nil"/>
              <w:right w:val="nil"/>
            </w:tcBorders>
            <w:shd w:val="clear" w:color="auto" w:fill="auto"/>
            <w:noWrap/>
            <w:vAlign w:val="bottom"/>
            <w:hideMark/>
          </w:tcPr>
          <w:p w14:paraId="0BE69DE4" w14:textId="77777777" w:rsidR="00CC63FE" w:rsidRPr="00415F30" w:rsidRDefault="00CC63FE" w:rsidP="00EC5F7C">
            <w:pPr>
              <w:tabs>
                <w:tab w:val="clear" w:pos="1134"/>
                <w:tab w:val="clear" w:pos="1871"/>
                <w:tab w:val="clear" w:pos="2268"/>
              </w:tabs>
              <w:overflowPunct/>
              <w:autoSpaceDE/>
              <w:autoSpaceDN/>
              <w:adjustRightInd/>
              <w:spacing w:before="0"/>
              <w:textAlignment w:val="auto"/>
              <w:rPr>
                <w:rFonts w:ascii="Calibri" w:hAnsi="Calibri" w:cs="Calibri"/>
                <w:color w:val="000000"/>
                <w:szCs w:val="24"/>
                <w:lang w:val="es-ES" w:eastAsia="es-ES"/>
              </w:rPr>
            </w:pPr>
          </w:p>
        </w:tc>
        <w:tc>
          <w:tcPr>
            <w:tcW w:w="689" w:type="pct"/>
            <w:gridSpan w:val="2"/>
            <w:tcBorders>
              <w:top w:val="nil"/>
              <w:left w:val="single" w:sz="4" w:space="0" w:color="auto"/>
              <w:bottom w:val="single" w:sz="4" w:space="0" w:color="auto"/>
              <w:right w:val="single" w:sz="4" w:space="0" w:color="auto"/>
            </w:tcBorders>
            <w:shd w:val="clear" w:color="auto" w:fill="auto"/>
            <w:noWrap/>
            <w:vAlign w:val="bottom"/>
            <w:hideMark/>
          </w:tcPr>
          <w:p w14:paraId="2943E9DA" w14:textId="77777777" w:rsidR="00CC63FE" w:rsidRPr="00EC5F7C" w:rsidRDefault="00CC63FE" w:rsidP="00634BAB">
            <w:pPr>
              <w:pStyle w:val="Tabletext"/>
              <w:jc w:val="center"/>
              <w:rPr>
                <w:lang w:val="es-ES" w:eastAsia="es-ES"/>
              </w:rPr>
            </w:pPr>
            <w:r w:rsidRPr="00EC5F7C">
              <w:rPr>
                <w:lang w:val="es-ES" w:eastAsia="es-ES"/>
              </w:rPr>
              <w:t>43.821</w:t>
            </w:r>
          </w:p>
        </w:tc>
        <w:tc>
          <w:tcPr>
            <w:tcW w:w="603" w:type="pct"/>
            <w:tcBorders>
              <w:top w:val="nil"/>
              <w:left w:val="nil"/>
              <w:bottom w:val="single" w:sz="4" w:space="0" w:color="auto"/>
              <w:right w:val="nil"/>
            </w:tcBorders>
            <w:shd w:val="clear" w:color="auto" w:fill="auto"/>
            <w:noWrap/>
            <w:vAlign w:val="bottom"/>
            <w:hideMark/>
          </w:tcPr>
          <w:p w14:paraId="2D6F289D" w14:textId="2F260CDA" w:rsidR="00CC63FE" w:rsidRPr="00EC5F7C" w:rsidRDefault="00CC63FE" w:rsidP="00634BAB">
            <w:pPr>
              <w:pStyle w:val="Tabletext"/>
              <w:jc w:val="center"/>
              <w:rPr>
                <w:lang w:val="es-ES" w:eastAsia="es-ES"/>
              </w:rPr>
            </w:pPr>
          </w:p>
        </w:tc>
        <w:tc>
          <w:tcPr>
            <w:tcW w:w="610" w:type="pct"/>
            <w:tcBorders>
              <w:top w:val="nil"/>
              <w:left w:val="single" w:sz="4" w:space="0" w:color="auto"/>
              <w:bottom w:val="single" w:sz="4" w:space="0" w:color="auto"/>
              <w:right w:val="single" w:sz="4" w:space="0" w:color="auto"/>
            </w:tcBorders>
            <w:shd w:val="clear" w:color="auto" w:fill="auto"/>
            <w:noWrap/>
            <w:vAlign w:val="bottom"/>
            <w:hideMark/>
          </w:tcPr>
          <w:p w14:paraId="1C75CF67" w14:textId="77777777" w:rsidR="00CC63FE" w:rsidRPr="00EC5F7C" w:rsidRDefault="00CC63FE" w:rsidP="00634BAB">
            <w:pPr>
              <w:pStyle w:val="Tabletext"/>
              <w:jc w:val="center"/>
              <w:rPr>
                <w:lang w:val="es-ES" w:eastAsia="es-ES"/>
              </w:rPr>
            </w:pPr>
            <w:r w:rsidRPr="00EC5F7C">
              <w:rPr>
                <w:lang w:val="es-ES" w:eastAsia="es-ES"/>
              </w:rPr>
              <w:t>43.821</w:t>
            </w:r>
          </w:p>
        </w:tc>
      </w:tr>
      <w:tr w:rsidR="00CC63FE" w:rsidRPr="00415F30" w14:paraId="3848954C" w14:textId="77777777" w:rsidTr="00634BAB">
        <w:trPr>
          <w:trHeight w:val="340"/>
        </w:trPr>
        <w:tc>
          <w:tcPr>
            <w:tcW w:w="3015" w:type="pct"/>
            <w:tcBorders>
              <w:top w:val="nil"/>
              <w:left w:val="single" w:sz="4" w:space="0" w:color="auto"/>
              <w:bottom w:val="single" w:sz="4" w:space="0" w:color="auto"/>
              <w:right w:val="single" w:sz="4" w:space="0" w:color="auto"/>
            </w:tcBorders>
            <w:shd w:val="clear" w:color="000000" w:fill="E2EFDA"/>
            <w:vAlign w:val="bottom"/>
            <w:hideMark/>
          </w:tcPr>
          <w:p w14:paraId="64F121EC" w14:textId="77777777" w:rsidR="00CC63FE" w:rsidRPr="00EC5F7C" w:rsidRDefault="00CC63FE" w:rsidP="00EC5F7C">
            <w:pPr>
              <w:pStyle w:val="Tabletext"/>
              <w:rPr>
                <w:lang w:val="es-ES" w:eastAsia="es-ES"/>
              </w:rPr>
            </w:pPr>
            <w:r w:rsidRPr="00EC5F7C">
              <w:rPr>
                <w:lang w:val="es-ES" w:eastAsia="es-ES"/>
              </w:rPr>
              <w:t>Parámetros del AP4 del RR para la actualización de la Rec. UIT-R S.1503</w:t>
            </w:r>
          </w:p>
        </w:tc>
        <w:tc>
          <w:tcPr>
            <w:tcW w:w="83" w:type="pct"/>
            <w:gridSpan w:val="2"/>
            <w:tcBorders>
              <w:top w:val="nil"/>
              <w:left w:val="nil"/>
              <w:bottom w:val="nil"/>
              <w:right w:val="nil"/>
            </w:tcBorders>
            <w:shd w:val="clear" w:color="auto" w:fill="auto"/>
            <w:noWrap/>
            <w:vAlign w:val="bottom"/>
            <w:hideMark/>
          </w:tcPr>
          <w:p w14:paraId="11AF431D" w14:textId="77777777" w:rsidR="00CC63FE" w:rsidRPr="00415F30" w:rsidRDefault="00CC63FE" w:rsidP="00EC5F7C">
            <w:pPr>
              <w:tabs>
                <w:tab w:val="clear" w:pos="1134"/>
                <w:tab w:val="clear" w:pos="1871"/>
                <w:tab w:val="clear" w:pos="2268"/>
              </w:tabs>
              <w:overflowPunct/>
              <w:autoSpaceDE/>
              <w:autoSpaceDN/>
              <w:adjustRightInd/>
              <w:spacing w:before="0"/>
              <w:textAlignment w:val="auto"/>
              <w:rPr>
                <w:rFonts w:ascii="Calibri" w:hAnsi="Calibri" w:cs="Calibri"/>
                <w:color w:val="000000"/>
                <w:szCs w:val="24"/>
                <w:lang w:val="es-ES" w:eastAsia="es-ES"/>
              </w:rPr>
            </w:pPr>
          </w:p>
        </w:tc>
        <w:tc>
          <w:tcPr>
            <w:tcW w:w="689" w:type="pct"/>
            <w:gridSpan w:val="2"/>
            <w:tcBorders>
              <w:top w:val="nil"/>
              <w:left w:val="single" w:sz="4" w:space="0" w:color="auto"/>
              <w:bottom w:val="single" w:sz="4" w:space="0" w:color="auto"/>
              <w:right w:val="single" w:sz="4" w:space="0" w:color="auto"/>
            </w:tcBorders>
            <w:shd w:val="clear" w:color="auto" w:fill="auto"/>
            <w:noWrap/>
            <w:vAlign w:val="bottom"/>
            <w:hideMark/>
          </w:tcPr>
          <w:p w14:paraId="0BAE63FD" w14:textId="77777777" w:rsidR="00CC63FE" w:rsidRPr="00EC5F7C" w:rsidRDefault="00CC63FE" w:rsidP="00634BAB">
            <w:pPr>
              <w:pStyle w:val="Tabletext"/>
              <w:jc w:val="center"/>
              <w:rPr>
                <w:lang w:val="es-ES" w:eastAsia="es-ES"/>
              </w:rPr>
            </w:pPr>
            <w:r w:rsidRPr="00EC5F7C">
              <w:rPr>
                <w:lang w:val="es-ES" w:eastAsia="es-ES"/>
              </w:rPr>
              <w:t>35.057</w:t>
            </w:r>
          </w:p>
        </w:tc>
        <w:tc>
          <w:tcPr>
            <w:tcW w:w="603" w:type="pct"/>
            <w:tcBorders>
              <w:top w:val="nil"/>
              <w:left w:val="nil"/>
              <w:bottom w:val="single" w:sz="4" w:space="0" w:color="auto"/>
              <w:right w:val="nil"/>
            </w:tcBorders>
            <w:shd w:val="clear" w:color="auto" w:fill="auto"/>
            <w:noWrap/>
            <w:vAlign w:val="bottom"/>
            <w:hideMark/>
          </w:tcPr>
          <w:p w14:paraId="3C3E9A15" w14:textId="61C7D9D7" w:rsidR="00CC63FE" w:rsidRPr="00EC5F7C" w:rsidRDefault="00CC63FE" w:rsidP="00634BAB">
            <w:pPr>
              <w:pStyle w:val="Tabletext"/>
              <w:jc w:val="center"/>
              <w:rPr>
                <w:lang w:val="es-ES" w:eastAsia="es-ES"/>
              </w:rPr>
            </w:pPr>
          </w:p>
        </w:tc>
        <w:tc>
          <w:tcPr>
            <w:tcW w:w="610" w:type="pct"/>
            <w:tcBorders>
              <w:top w:val="nil"/>
              <w:left w:val="single" w:sz="4" w:space="0" w:color="auto"/>
              <w:bottom w:val="single" w:sz="4" w:space="0" w:color="auto"/>
              <w:right w:val="single" w:sz="4" w:space="0" w:color="auto"/>
            </w:tcBorders>
            <w:shd w:val="clear" w:color="auto" w:fill="auto"/>
            <w:noWrap/>
            <w:vAlign w:val="bottom"/>
            <w:hideMark/>
          </w:tcPr>
          <w:p w14:paraId="48A9E1CF" w14:textId="77777777" w:rsidR="00CC63FE" w:rsidRPr="00EC5F7C" w:rsidRDefault="00CC63FE" w:rsidP="00634BAB">
            <w:pPr>
              <w:pStyle w:val="Tabletext"/>
              <w:jc w:val="center"/>
              <w:rPr>
                <w:lang w:val="es-ES" w:eastAsia="es-ES"/>
              </w:rPr>
            </w:pPr>
            <w:r w:rsidRPr="00EC5F7C">
              <w:rPr>
                <w:lang w:val="es-ES" w:eastAsia="es-ES"/>
              </w:rPr>
              <w:t>35.057</w:t>
            </w:r>
          </w:p>
        </w:tc>
      </w:tr>
      <w:tr w:rsidR="00CC63FE" w:rsidRPr="00415F30" w14:paraId="4A25AB40" w14:textId="77777777" w:rsidTr="00634BAB">
        <w:trPr>
          <w:trHeight w:val="310"/>
        </w:trPr>
        <w:tc>
          <w:tcPr>
            <w:tcW w:w="3015" w:type="pct"/>
            <w:tcBorders>
              <w:top w:val="nil"/>
              <w:left w:val="single" w:sz="4" w:space="0" w:color="auto"/>
              <w:bottom w:val="single" w:sz="4" w:space="0" w:color="auto"/>
              <w:right w:val="single" w:sz="4" w:space="0" w:color="auto"/>
            </w:tcBorders>
            <w:shd w:val="clear" w:color="000000" w:fill="E2EFDA"/>
            <w:vAlign w:val="bottom"/>
            <w:hideMark/>
          </w:tcPr>
          <w:p w14:paraId="539448F1" w14:textId="77777777" w:rsidR="00CC63FE" w:rsidRPr="00EC5F7C" w:rsidRDefault="00CC63FE" w:rsidP="00EC5F7C">
            <w:pPr>
              <w:pStyle w:val="Tabletext"/>
              <w:rPr>
                <w:lang w:val="es-ES" w:eastAsia="es-ES"/>
              </w:rPr>
            </w:pPr>
            <w:r w:rsidRPr="00EC5F7C">
              <w:rPr>
                <w:lang w:val="es-ES" w:eastAsia="es-ES"/>
              </w:rPr>
              <w:t>Recordatorios de puesta en servicio y reanudación del servicio</w:t>
            </w:r>
          </w:p>
        </w:tc>
        <w:tc>
          <w:tcPr>
            <w:tcW w:w="83" w:type="pct"/>
            <w:gridSpan w:val="2"/>
            <w:tcBorders>
              <w:top w:val="nil"/>
              <w:left w:val="nil"/>
              <w:bottom w:val="nil"/>
              <w:right w:val="nil"/>
            </w:tcBorders>
            <w:shd w:val="clear" w:color="auto" w:fill="auto"/>
            <w:noWrap/>
            <w:vAlign w:val="bottom"/>
            <w:hideMark/>
          </w:tcPr>
          <w:p w14:paraId="7ABF3890" w14:textId="77777777" w:rsidR="00CC63FE" w:rsidRPr="00415F30" w:rsidRDefault="00CC63FE" w:rsidP="00EC5F7C">
            <w:pPr>
              <w:tabs>
                <w:tab w:val="clear" w:pos="1134"/>
                <w:tab w:val="clear" w:pos="1871"/>
                <w:tab w:val="clear" w:pos="2268"/>
              </w:tabs>
              <w:overflowPunct/>
              <w:autoSpaceDE/>
              <w:autoSpaceDN/>
              <w:adjustRightInd/>
              <w:spacing w:before="0"/>
              <w:textAlignment w:val="auto"/>
              <w:rPr>
                <w:rFonts w:ascii="Calibri" w:hAnsi="Calibri" w:cs="Calibri"/>
                <w:color w:val="000000"/>
                <w:szCs w:val="24"/>
                <w:lang w:val="es-ES" w:eastAsia="es-ES"/>
              </w:rPr>
            </w:pPr>
          </w:p>
        </w:tc>
        <w:tc>
          <w:tcPr>
            <w:tcW w:w="689" w:type="pct"/>
            <w:gridSpan w:val="2"/>
            <w:tcBorders>
              <w:top w:val="nil"/>
              <w:left w:val="single" w:sz="4" w:space="0" w:color="auto"/>
              <w:bottom w:val="single" w:sz="4" w:space="0" w:color="auto"/>
              <w:right w:val="single" w:sz="4" w:space="0" w:color="auto"/>
            </w:tcBorders>
            <w:shd w:val="clear" w:color="auto" w:fill="auto"/>
            <w:noWrap/>
            <w:vAlign w:val="bottom"/>
            <w:hideMark/>
          </w:tcPr>
          <w:p w14:paraId="14E9E58D" w14:textId="77777777" w:rsidR="00CC63FE" w:rsidRPr="00EC5F7C" w:rsidRDefault="00CC63FE" w:rsidP="00634BAB">
            <w:pPr>
              <w:pStyle w:val="Tabletext"/>
              <w:jc w:val="center"/>
              <w:rPr>
                <w:lang w:val="es-ES" w:eastAsia="es-ES"/>
              </w:rPr>
            </w:pPr>
            <w:r w:rsidRPr="00EC5F7C">
              <w:rPr>
                <w:lang w:val="es-ES" w:eastAsia="es-ES"/>
              </w:rPr>
              <w:t>43.821</w:t>
            </w:r>
          </w:p>
        </w:tc>
        <w:tc>
          <w:tcPr>
            <w:tcW w:w="603" w:type="pct"/>
            <w:tcBorders>
              <w:top w:val="nil"/>
              <w:left w:val="nil"/>
              <w:bottom w:val="single" w:sz="4" w:space="0" w:color="auto"/>
              <w:right w:val="nil"/>
            </w:tcBorders>
            <w:shd w:val="clear" w:color="auto" w:fill="auto"/>
            <w:noWrap/>
            <w:vAlign w:val="bottom"/>
            <w:hideMark/>
          </w:tcPr>
          <w:p w14:paraId="6C1801CD" w14:textId="4AFCF45B" w:rsidR="00CC63FE" w:rsidRPr="00EC5F7C" w:rsidRDefault="00CC63FE" w:rsidP="00634BAB">
            <w:pPr>
              <w:pStyle w:val="Tabletext"/>
              <w:jc w:val="center"/>
              <w:rPr>
                <w:lang w:val="es-ES" w:eastAsia="es-ES"/>
              </w:rPr>
            </w:pPr>
          </w:p>
        </w:tc>
        <w:tc>
          <w:tcPr>
            <w:tcW w:w="610" w:type="pct"/>
            <w:tcBorders>
              <w:top w:val="nil"/>
              <w:left w:val="single" w:sz="4" w:space="0" w:color="auto"/>
              <w:bottom w:val="single" w:sz="4" w:space="0" w:color="auto"/>
              <w:right w:val="single" w:sz="4" w:space="0" w:color="auto"/>
            </w:tcBorders>
            <w:shd w:val="clear" w:color="auto" w:fill="auto"/>
            <w:noWrap/>
            <w:vAlign w:val="bottom"/>
            <w:hideMark/>
          </w:tcPr>
          <w:p w14:paraId="7009FC6C" w14:textId="77777777" w:rsidR="00CC63FE" w:rsidRPr="00EC5F7C" w:rsidRDefault="00CC63FE" w:rsidP="00634BAB">
            <w:pPr>
              <w:pStyle w:val="Tabletext"/>
              <w:jc w:val="center"/>
              <w:rPr>
                <w:lang w:val="es-ES" w:eastAsia="es-ES"/>
              </w:rPr>
            </w:pPr>
            <w:r w:rsidRPr="00EC5F7C">
              <w:rPr>
                <w:lang w:val="es-ES" w:eastAsia="es-ES"/>
              </w:rPr>
              <w:t>43.821</w:t>
            </w:r>
          </w:p>
        </w:tc>
      </w:tr>
      <w:tr w:rsidR="00CC63FE" w:rsidRPr="00415F30" w14:paraId="21E177BB" w14:textId="77777777" w:rsidTr="00634BAB">
        <w:trPr>
          <w:trHeight w:val="310"/>
        </w:trPr>
        <w:tc>
          <w:tcPr>
            <w:tcW w:w="3015" w:type="pct"/>
            <w:tcBorders>
              <w:top w:val="nil"/>
              <w:left w:val="single" w:sz="4" w:space="0" w:color="auto"/>
              <w:bottom w:val="single" w:sz="4" w:space="0" w:color="auto"/>
              <w:right w:val="single" w:sz="4" w:space="0" w:color="auto"/>
            </w:tcBorders>
            <w:shd w:val="clear" w:color="000000" w:fill="E2EFDA"/>
            <w:vAlign w:val="bottom"/>
            <w:hideMark/>
          </w:tcPr>
          <w:p w14:paraId="2227A55F" w14:textId="77777777" w:rsidR="00CC63FE" w:rsidRPr="00EC5F7C" w:rsidRDefault="00CC63FE" w:rsidP="00EC5F7C">
            <w:pPr>
              <w:pStyle w:val="Tabletext"/>
              <w:rPr>
                <w:lang w:val="es-ES" w:eastAsia="es-ES"/>
              </w:rPr>
            </w:pPr>
            <w:r w:rsidRPr="00EC5F7C">
              <w:rPr>
                <w:lang w:val="es-ES" w:eastAsia="es-ES"/>
              </w:rPr>
              <w:t>Modificación del Adjunto a la Resolución 553</w:t>
            </w:r>
          </w:p>
        </w:tc>
        <w:tc>
          <w:tcPr>
            <w:tcW w:w="83" w:type="pct"/>
            <w:gridSpan w:val="2"/>
            <w:tcBorders>
              <w:top w:val="nil"/>
              <w:left w:val="nil"/>
              <w:bottom w:val="nil"/>
              <w:right w:val="nil"/>
            </w:tcBorders>
            <w:shd w:val="clear" w:color="auto" w:fill="auto"/>
            <w:noWrap/>
            <w:vAlign w:val="bottom"/>
            <w:hideMark/>
          </w:tcPr>
          <w:p w14:paraId="65FFEF4C" w14:textId="77777777" w:rsidR="00CC63FE" w:rsidRPr="00415F30" w:rsidRDefault="00CC63FE" w:rsidP="00EC5F7C">
            <w:pPr>
              <w:tabs>
                <w:tab w:val="clear" w:pos="1134"/>
                <w:tab w:val="clear" w:pos="1871"/>
                <w:tab w:val="clear" w:pos="2268"/>
              </w:tabs>
              <w:overflowPunct/>
              <w:autoSpaceDE/>
              <w:autoSpaceDN/>
              <w:adjustRightInd/>
              <w:spacing w:before="0"/>
              <w:textAlignment w:val="auto"/>
              <w:rPr>
                <w:rFonts w:ascii="Calibri" w:hAnsi="Calibri" w:cs="Calibri"/>
                <w:color w:val="000000"/>
                <w:szCs w:val="24"/>
                <w:lang w:val="es-ES" w:eastAsia="es-ES"/>
              </w:rPr>
            </w:pPr>
          </w:p>
        </w:tc>
        <w:tc>
          <w:tcPr>
            <w:tcW w:w="689" w:type="pct"/>
            <w:gridSpan w:val="2"/>
            <w:tcBorders>
              <w:top w:val="nil"/>
              <w:left w:val="single" w:sz="4" w:space="0" w:color="auto"/>
              <w:bottom w:val="single" w:sz="4" w:space="0" w:color="auto"/>
              <w:right w:val="single" w:sz="4" w:space="0" w:color="auto"/>
            </w:tcBorders>
            <w:shd w:val="clear" w:color="auto" w:fill="auto"/>
            <w:noWrap/>
            <w:vAlign w:val="bottom"/>
            <w:hideMark/>
          </w:tcPr>
          <w:p w14:paraId="268C22E2" w14:textId="77777777" w:rsidR="00CC63FE" w:rsidRPr="00EC5F7C" w:rsidRDefault="00CC63FE" w:rsidP="00634BAB">
            <w:pPr>
              <w:pStyle w:val="Tabletext"/>
              <w:jc w:val="center"/>
              <w:rPr>
                <w:lang w:val="es-ES" w:eastAsia="es-ES"/>
              </w:rPr>
            </w:pPr>
            <w:r w:rsidRPr="00EC5F7C">
              <w:rPr>
                <w:lang w:val="es-ES" w:eastAsia="es-ES"/>
              </w:rPr>
              <w:t>26.293</w:t>
            </w:r>
          </w:p>
        </w:tc>
        <w:tc>
          <w:tcPr>
            <w:tcW w:w="603" w:type="pct"/>
            <w:tcBorders>
              <w:top w:val="nil"/>
              <w:left w:val="nil"/>
              <w:bottom w:val="single" w:sz="4" w:space="0" w:color="auto"/>
              <w:right w:val="nil"/>
            </w:tcBorders>
            <w:shd w:val="clear" w:color="auto" w:fill="auto"/>
            <w:noWrap/>
            <w:vAlign w:val="bottom"/>
            <w:hideMark/>
          </w:tcPr>
          <w:p w14:paraId="6922FDA2" w14:textId="65372C6F" w:rsidR="00CC63FE" w:rsidRPr="00EC5F7C" w:rsidRDefault="00CC63FE" w:rsidP="00634BAB">
            <w:pPr>
              <w:pStyle w:val="Tabletext"/>
              <w:jc w:val="center"/>
              <w:rPr>
                <w:lang w:val="es-ES" w:eastAsia="es-ES"/>
              </w:rPr>
            </w:pPr>
          </w:p>
        </w:tc>
        <w:tc>
          <w:tcPr>
            <w:tcW w:w="610" w:type="pct"/>
            <w:tcBorders>
              <w:top w:val="nil"/>
              <w:left w:val="single" w:sz="4" w:space="0" w:color="auto"/>
              <w:bottom w:val="single" w:sz="4" w:space="0" w:color="auto"/>
              <w:right w:val="single" w:sz="4" w:space="0" w:color="auto"/>
            </w:tcBorders>
            <w:shd w:val="clear" w:color="auto" w:fill="auto"/>
            <w:noWrap/>
            <w:vAlign w:val="bottom"/>
            <w:hideMark/>
          </w:tcPr>
          <w:p w14:paraId="7E691F44" w14:textId="77777777" w:rsidR="00CC63FE" w:rsidRPr="00EC5F7C" w:rsidRDefault="00CC63FE" w:rsidP="00634BAB">
            <w:pPr>
              <w:pStyle w:val="Tabletext"/>
              <w:jc w:val="center"/>
              <w:rPr>
                <w:lang w:val="es-ES" w:eastAsia="es-ES"/>
              </w:rPr>
            </w:pPr>
            <w:r w:rsidRPr="00EC5F7C">
              <w:rPr>
                <w:lang w:val="es-ES" w:eastAsia="es-ES"/>
              </w:rPr>
              <w:t>26.293</w:t>
            </w:r>
          </w:p>
        </w:tc>
      </w:tr>
      <w:tr w:rsidR="00CC63FE" w:rsidRPr="00415F30" w14:paraId="567AA797" w14:textId="77777777" w:rsidTr="00634BAB">
        <w:trPr>
          <w:trHeight w:val="310"/>
        </w:trPr>
        <w:tc>
          <w:tcPr>
            <w:tcW w:w="3015" w:type="pct"/>
            <w:tcBorders>
              <w:top w:val="nil"/>
              <w:left w:val="single" w:sz="4" w:space="0" w:color="auto"/>
              <w:bottom w:val="single" w:sz="4" w:space="0" w:color="auto"/>
              <w:right w:val="single" w:sz="4" w:space="0" w:color="auto"/>
            </w:tcBorders>
            <w:shd w:val="clear" w:color="000000" w:fill="E2EFDA"/>
            <w:vAlign w:val="bottom"/>
            <w:hideMark/>
          </w:tcPr>
          <w:p w14:paraId="61BAF681" w14:textId="77777777" w:rsidR="00CC63FE" w:rsidRPr="00EC5F7C" w:rsidRDefault="00CC63FE" w:rsidP="00EC5F7C">
            <w:pPr>
              <w:pStyle w:val="Tabletext"/>
              <w:rPr>
                <w:lang w:val="es-ES" w:eastAsia="es-ES"/>
              </w:rPr>
            </w:pPr>
            <w:r w:rsidRPr="00EC5F7C">
              <w:rPr>
                <w:lang w:val="es-ES" w:eastAsia="es-ES"/>
              </w:rPr>
              <w:t>Modificación del Artículo 21 del RR</w:t>
            </w:r>
          </w:p>
        </w:tc>
        <w:tc>
          <w:tcPr>
            <w:tcW w:w="83" w:type="pct"/>
            <w:gridSpan w:val="2"/>
            <w:tcBorders>
              <w:top w:val="nil"/>
              <w:left w:val="nil"/>
              <w:bottom w:val="nil"/>
              <w:right w:val="nil"/>
            </w:tcBorders>
            <w:shd w:val="clear" w:color="auto" w:fill="auto"/>
            <w:noWrap/>
            <w:vAlign w:val="bottom"/>
            <w:hideMark/>
          </w:tcPr>
          <w:p w14:paraId="5C8FAE32" w14:textId="77777777" w:rsidR="00CC63FE" w:rsidRPr="00415F30" w:rsidRDefault="00CC63FE" w:rsidP="00EC5F7C">
            <w:pPr>
              <w:tabs>
                <w:tab w:val="clear" w:pos="1134"/>
                <w:tab w:val="clear" w:pos="1871"/>
                <w:tab w:val="clear" w:pos="2268"/>
              </w:tabs>
              <w:overflowPunct/>
              <w:autoSpaceDE/>
              <w:autoSpaceDN/>
              <w:adjustRightInd/>
              <w:spacing w:before="0"/>
              <w:textAlignment w:val="auto"/>
              <w:rPr>
                <w:rFonts w:ascii="Calibri" w:hAnsi="Calibri" w:cs="Calibri"/>
                <w:color w:val="000000"/>
                <w:szCs w:val="24"/>
                <w:lang w:val="es-ES" w:eastAsia="es-ES"/>
              </w:rPr>
            </w:pPr>
          </w:p>
        </w:tc>
        <w:tc>
          <w:tcPr>
            <w:tcW w:w="689" w:type="pct"/>
            <w:gridSpan w:val="2"/>
            <w:tcBorders>
              <w:top w:val="nil"/>
              <w:left w:val="single" w:sz="4" w:space="0" w:color="auto"/>
              <w:bottom w:val="single" w:sz="4" w:space="0" w:color="auto"/>
              <w:right w:val="single" w:sz="4" w:space="0" w:color="auto"/>
            </w:tcBorders>
            <w:shd w:val="clear" w:color="auto" w:fill="auto"/>
            <w:noWrap/>
            <w:vAlign w:val="bottom"/>
            <w:hideMark/>
          </w:tcPr>
          <w:p w14:paraId="0F1A8D42" w14:textId="77777777" w:rsidR="00CC63FE" w:rsidRPr="00EC5F7C" w:rsidRDefault="00CC63FE" w:rsidP="00634BAB">
            <w:pPr>
              <w:pStyle w:val="Tabletext"/>
              <w:jc w:val="center"/>
              <w:rPr>
                <w:lang w:val="es-ES" w:eastAsia="es-ES"/>
              </w:rPr>
            </w:pPr>
            <w:r w:rsidRPr="00EC5F7C">
              <w:rPr>
                <w:lang w:val="es-ES" w:eastAsia="es-ES"/>
              </w:rPr>
              <w:t>26.293</w:t>
            </w:r>
          </w:p>
        </w:tc>
        <w:tc>
          <w:tcPr>
            <w:tcW w:w="603" w:type="pct"/>
            <w:tcBorders>
              <w:top w:val="nil"/>
              <w:left w:val="nil"/>
              <w:bottom w:val="single" w:sz="4" w:space="0" w:color="auto"/>
              <w:right w:val="nil"/>
            </w:tcBorders>
            <w:shd w:val="clear" w:color="auto" w:fill="auto"/>
            <w:noWrap/>
            <w:vAlign w:val="bottom"/>
            <w:hideMark/>
          </w:tcPr>
          <w:p w14:paraId="08A9CF55" w14:textId="10B09550" w:rsidR="00CC63FE" w:rsidRPr="00EC5F7C" w:rsidRDefault="00CC63FE" w:rsidP="00634BAB">
            <w:pPr>
              <w:pStyle w:val="Tabletext"/>
              <w:jc w:val="center"/>
              <w:rPr>
                <w:lang w:val="es-ES" w:eastAsia="es-ES"/>
              </w:rPr>
            </w:pPr>
          </w:p>
        </w:tc>
        <w:tc>
          <w:tcPr>
            <w:tcW w:w="610" w:type="pct"/>
            <w:tcBorders>
              <w:top w:val="nil"/>
              <w:left w:val="single" w:sz="4" w:space="0" w:color="auto"/>
              <w:bottom w:val="single" w:sz="4" w:space="0" w:color="auto"/>
              <w:right w:val="single" w:sz="4" w:space="0" w:color="auto"/>
            </w:tcBorders>
            <w:shd w:val="clear" w:color="auto" w:fill="auto"/>
            <w:noWrap/>
            <w:vAlign w:val="bottom"/>
            <w:hideMark/>
          </w:tcPr>
          <w:p w14:paraId="7583A5C0" w14:textId="77777777" w:rsidR="00CC63FE" w:rsidRPr="00EC5F7C" w:rsidRDefault="00CC63FE" w:rsidP="00634BAB">
            <w:pPr>
              <w:pStyle w:val="Tabletext"/>
              <w:jc w:val="center"/>
              <w:rPr>
                <w:lang w:val="es-ES" w:eastAsia="es-ES"/>
              </w:rPr>
            </w:pPr>
            <w:r w:rsidRPr="00EC5F7C">
              <w:rPr>
                <w:lang w:val="es-ES" w:eastAsia="es-ES"/>
              </w:rPr>
              <w:t>26.293</w:t>
            </w:r>
          </w:p>
        </w:tc>
      </w:tr>
      <w:tr w:rsidR="00CC63FE" w:rsidRPr="00415F30" w14:paraId="5067CC39" w14:textId="77777777" w:rsidTr="00634BAB">
        <w:trPr>
          <w:trHeight w:val="310"/>
        </w:trPr>
        <w:tc>
          <w:tcPr>
            <w:tcW w:w="3015" w:type="pct"/>
            <w:tcBorders>
              <w:top w:val="nil"/>
              <w:left w:val="single" w:sz="4" w:space="0" w:color="auto"/>
              <w:bottom w:val="single" w:sz="4" w:space="0" w:color="auto"/>
              <w:right w:val="single" w:sz="4" w:space="0" w:color="auto"/>
            </w:tcBorders>
            <w:shd w:val="clear" w:color="000000" w:fill="E2EFDA"/>
            <w:vAlign w:val="bottom"/>
            <w:hideMark/>
          </w:tcPr>
          <w:p w14:paraId="3A7C3AFA" w14:textId="77777777" w:rsidR="00CC63FE" w:rsidRPr="00EC5F7C" w:rsidRDefault="00CC63FE" w:rsidP="00EC5F7C">
            <w:pPr>
              <w:pStyle w:val="Tabletext"/>
              <w:rPr>
                <w:lang w:val="es-ES" w:eastAsia="es-ES"/>
              </w:rPr>
            </w:pPr>
            <w:r w:rsidRPr="00EC5F7C">
              <w:rPr>
                <w:lang w:val="es-ES" w:eastAsia="es-ES"/>
              </w:rPr>
              <w:t>Protección del SETS (pasivo) en la banda 36-37 GHz</w:t>
            </w:r>
          </w:p>
        </w:tc>
        <w:tc>
          <w:tcPr>
            <w:tcW w:w="83" w:type="pct"/>
            <w:gridSpan w:val="2"/>
            <w:tcBorders>
              <w:top w:val="nil"/>
              <w:left w:val="nil"/>
              <w:bottom w:val="nil"/>
              <w:right w:val="nil"/>
            </w:tcBorders>
            <w:shd w:val="clear" w:color="auto" w:fill="auto"/>
            <w:noWrap/>
            <w:vAlign w:val="bottom"/>
            <w:hideMark/>
          </w:tcPr>
          <w:p w14:paraId="4AEF4A9B" w14:textId="77777777" w:rsidR="00CC63FE" w:rsidRPr="00415F30" w:rsidRDefault="00CC63FE" w:rsidP="00EC5F7C">
            <w:pPr>
              <w:tabs>
                <w:tab w:val="clear" w:pos="1134"/>
                <w:tab w:val="clear" w:pos="1871"/>
                <w:tab w:val="clear" w:pos="2268"/>
              </w:tabs>
              <w:overflowPunct/>
              <w:autoSpaceDE/>
              <w:autoSpaceDN/>
              <w:adjustRightInd/>
              <w:spacing w:before="0"/>
              <w:textAlignment w:val="auto"/>
              <w:rPr>
                <w:rFonts w:ascii="Calibri" w:hAnsi="Calibri" w:cs="Calibri"/>
                <w:color w:val="000000"/>
                <w:szCs w:val="24"/>
                <w:lang w:val="es-ES" w:eastAsia="es-ES"/>
              </w:rPr>
            </w:pPr>
          </w:p>
        </w:tc>
        <w:tc>
          <w:tcPr>
            <w:tcW w:w="689" w:type="pct"/>
            <w:gridSpan w:val="2"/>
            <w:tcBorders>
              <w:top w:val="nil"/>
              <w:left w:val="single" w:sz="4" w:space="0" w:color="auto"/>
              <w:bottom w:val="single" w:sz="4" w:space="0" w:color="auto"/>
              <w:right w:val="single" w:sz="4" w:space="0" w:color="auto"/>
            </w:tcBorders>
            <w:shd w:val="clear" w:color="auto" w:fill="auto"/>
            <w:noWrap/>
            <w:vAlign w:val="bottom"/>
            <w:hideMark/>
          </w:tcPr>
          <w:p w14:paraId="590E0894" w14:textId="77777777" w:rsidR="00CC63FE" w:rsidRPr="00EC5F7C" w:rsidRDefault="00CC63FE" w:rsidP="00634BAB">
            <w:pPr>
              <w:pStyle w:val="Tabletext"/>
              <w:jc w:val="center"/>
              <w:rPr>
                <w:lang w:val="es-ES" w:eastAsia="es-ES"/>
              </w:rPr>
            </w:pPr>
            <w:r w:rsidRPr="00EC5F7C">
              <w:rPr>
                <w:lang w:val="es-ES" w:eastAsia="es-ES"/>
              </w:rPr>
              <w:t>87.642</w:t>
            </w:r>
          </w:p>
        </w:tc>
        <w:tc>
          <w:tcPr>
            <w:tcW w:w="603" w:type="pct"/>
            <w:tcBorders>
              <w:top w:val="nil"/>
              <w:left w:val="nil"/>
              <w:bottom w:val="single" w:sz="4" w:space="0" w:color="auto"/>
              <w:right w:val="nil"/>
            </w:tcBorders>
            <w:shd w:val="clear" w:color="auto" w:fill="auto"/>
            <w:noWrap/>
            <w:vAlign w:val="bottom"/>
            <w:hideMark/>
          </w:tcPr>
          <w:p w14:paraId="0A6C01AA" w14:textId="615CE29F" w:rsidR="00CC63FE" w:rsidRPr="00EC5F7C" w:rsidRDefault="00CC63FE" w:rsidP="00634BAB">
            <w:pPr>
              <w:pStyle w:val="Tabletext"/>
              <w:jc w:val="center"/>
              <w:rPr>
                <w:lang w:val="es-ES" w:eastAsia="es-ES"/>
              </w:rPr>
            </w:pPr>
          </w:p>
        </w:tc>
        <w:tc>
          <w:tcPr>
            <w:tcW w:w="610" w:type="pct"/>
            <w:tcBorders>
              <w:top w:val="nil"/>
              <w:left w:val="single" w:sz="4" w:space="0" w:color="auto"/>
              <w:bottom w:val="single" w:sz="4" w:space="0" w:color="auto"/>
              <w:right w:val="single" w:sz="4" w:space="0" w:color="auto"/>
            </w:tcBorders>
            <w:shd w:val="clear" w:color="auto" w:fill="auto"/>
            <w:noWrap/>
            <w:vAlign w:val="bottom"/>
            <w:hideMark/>
          </w:tcPr>
          <w:p w14:paraId="6C889FCF" w14:textId="77777777" w:rsidR="00CC63FE" w:rsidRPr="00EC5F7C" w:rsidRDefault="00CC63FE" w:rsidP="00634BAB">
            <w:pPr>
              <w:pStyle w:val="Tabletext"/>
              <w:jc w:val="center"/>
              <w:rPr>
                <w:lang w:val="es-ES" w:eastAsia="es-ES"/>
              </w:rPr>
            </w:pPr>
            <w:r w:rsidRPr="00EC5F7C">
              <w:rPr>
                <w:lang w:val="es-ES" w:eastAsia="es-ES"/>
              </w:rPr>
              <w:t>87.642</w:t>
            </w:r>
          </w:p>
        </w:tc>
      </w:tr>
      <w:tr w:rsidR="00CC63FE" w:rsidRPr="00415F30" w14:paraId="203B2F00" w14:textId="77777777" w:rsidTr="00634BAB">
        <w:trPr>
          <w:trHeight w:val="340"/>
        </w:trPr>
        <w:tc>
          <w:tcPr>
            <w:tcW w:w="3015" w:type="pct"/>
            <w:tcBorders>
              <w:top w:val="nil"/>
              <w:left w:val="single" w:sz="4" w:space="0" w:color="auto"/>
              <w:bottom w:val="single" w:sz="4" w:space="0" w:color="auto"/>
              <w:right w:val="single" w:sz="4" w:space="0" w:color="auto"/>
            </w:tcBorders>
            <w:shd w:val="clear" w:color="000000" w:fill="E2EFDA"/>
            <w:vAlign w:val="bottom"/>
            <w:hideMark/>
          </w:tcPr>
          <w:p w14:paraId="391282A5" w14:textId="77777777" w:rsidR="00CC63FE" w:rsidRPr="00EC5F7C" w:rsidRDefault="00CC63FE" w:rsidP="00EC5F7C">
            <w:pPr>
              <w:pStyle w:val="Tabletext"/>
              <w:rPr>
                <w:lang w:val="es-ES" w:eastAsia="es-ES"/>
              </w:rPr>
            </w:pPr>
            <w:r w:rsidRPr="00EC5F7C">
              <w:rPr>
                <w:lang w:val="es-ES" w:eastAsia="es-ES"/>
              </w:rPr>
              <w:t>Modificación del Artículo 6 y Artículo 8 del AP30B, actas plenarias</w:t>
            </w:r>
          </w:p>
        </w:tc>
        <w:tc>
          <w:tcPr>
            <w:tcW w:w="83" w:type="pct"/>
            <w:gridSpan w:val="2"/>
            <w:tcBorders>
              <w:top w:val="nil"/>
              <w:left w:val="nil"/>
              <w:bottom w:val="nil"/>
              <w:right w:val="nil"/>
            </w:tcBorders>
            <w:shd w:val="clear" w:color="auto" w:fill="auto"/>
            <w:noWrap/>
            <w:vAlign w:val="bottom"/>
            <w:hideMark/>
          </w:tcPr>
          <w:p w14:paraId="162AC8EA" w14:textId="77777777" w:rsidR="00CC63FE" w:rsidRPr="00415F30" w:rsidRDefault="00CC63FE" w:rsidP="00EC5F7C">
            <w:pPr>
              <w:tabs>
                <w:tab w:val="clear" w:pos="1134"/>
                <w:tab w:val="clear" w:pos="1871"/>
                <w:tab w:val="clear" w:pos="2268"/>
              </w:tabs>
              <w:overflowPunct/>
              <w:autoSpaceDE/>
              <w:autoSpaceDN/>
              <w:adjustRightInd/>
              <w:spacing w:before="0"/>
              <w:textAlignment w:val="auto"/>
              <w:rPr>
                <w:rFonts w:ascii="Calibri" w:hAnsi="Calibri" w:cs="Calibri"/>
                <w:color w:val="000000"/>
                <w:szCs w:val="24"/>
                <w:lang w:val="es-ES" w:eastAsia="es-ES"/>
              </w:rPr>
            </w:pPr>
          </w:p>
        </w:tc>
        <w:tc>
          <w:tcPr>
            <w:tcW w:w="689" w:type="pct"/>
            <w:gridSpan w:val="2"/>
            <w:tcBorders>
              <w:top w:val="nil"/>
              <w:left w:val="single" w:sz="4" w:space="0" w:color="auto"/>
              <w:bottom w:val="single" w:sz="4" w:space="0" w:color="auto"/>
              <w:right w:val="single" w:sz="4" w:space="0" w:color="auto"/>
            </w:tcBorders>
            <w:shd w:val="clear" w:color="auto" w:fill="auto"/>
            <w:noWrap/>
            <w:vAlign w:val="bottom"/>
            <w:hideMark/>
          </w:tcPr>
          <w:p w14:paraId="026A6BBD" w14:textId="77777777" w:rsidR="00CC63FE" w:rsidRPr="00EC5F7C" w:rsidRDefault="00CC63FE" w:rsidP="00634BAB">
            <w:pPr>
              <w:pStyle w:val="Tabletext"/>
              <w:jc w:val="center"/>
              <w:rPr>
                <w:lang w:val="es-ES" w:eastAsia="es-ES"/>
              </w:rPr>
            </w:pPr>
            <w:r w:rsidRPr="00EC5F7C">
              <w:rPr>
                <w:lang w:val="es-ES" w:eastAsia="es-ES"/>
              </w:rPr>
              <w:t>17.528</w:t>
            </w:r>
          </w:p>
        </w:tc>
        <w:tc>
          <w:tcPr>
            <w:tcW w:w="603" w:type="pct"/>
            <w:tcBorders>
              <w:top w:val="nil"/>
              <w:left w:val="nil"/>
              <w:bottom w:val="single" w:sz="4" w:space="0" w:color="auto"/>
              <w:right w:val="nil"/>
            </w:tcBorders>
            <w:shd w:val="clear" w:color="auto" w:fill="auto"/>
            <w:noWrap/>
            <w:vAlign w:val="bottom"/>
            <w:hideMark/>
          </w:tcPr>
          <w:p w14:paraId="47B3E403" w14:textId="436ECF52" w:rsidR="00CC63FE" w:rsidRPr="00EC5F7C" w:rsidRDefault="00CC63FE" w:rsidP="00634BAB">
            <w:pPr>
              <w:pStyle w:val="Tabletext"/>
              <w:jc w:val="center"/>
              <w:rPr>
                <w:lang w:val="es-ES" w:eastAsia="es-ES"/>
              </w:rPr>
            </w:pPr>
          </w:p>
        </w:tc>
        <w:tc>
          <w:tcPr>
            <w:tcW w:w="610" w:type="pct"/>
            <w:tcBorders>
              <w:top w:val="nil"/>
              <w:left w:val="single" w:sz="4" w:space="0" w:color="auto"/>
              <w:bottom w:val="single" w:sz="4" w:space="0" w:color="auto"/>
              <w:right w:val="single" w:sz="4" w:space="0" w:color="auto"/>
            </w:tcBorders>
            <w:shd w:val="clear" w:color="auto" w:fill="auto"/>
            <w:noWrap/>
            <w:vAlign w:val="bottom"/>
            <w:hideMark/>
          </w:tcPr>
          <w:p w14:paraId="5B3F2354" w14:textId="77777777" w:rsidR="00CC63FE" w:rsidRPr="00EC5F7C" w:rsidRDefault="00CC63FE" w:rsidP="00634BAB">
            <w:pPr>
              <w:pStyle w:val="Tabletext"/>
              <w:jc w:val="center"/>
              <w:rPr>
                <w:lang w:val="es-ES" w:eastAsia="es-ES"/>
              </w:rPr>
            </w:pPr>
            <w:r w:rsidRPr="00EC5F7C">
              <w:rPr>
                <w:lang w:val="es-ES" w:eastAsia="es-ES"/>
              </w:rPr>
              <w:t>17.528</w:t>
            </w:r>
          </w:p>
        </w:tc>
      </w:tr>
      <w:tr w:rsidR="00CC63FE" w:rsidRPr="00415F30" w14:paraId="621F5FE3" w14:textId="77777777" w:rsidTr="00634BAB">
        <w:trPr>
          <w:trHeight w:val="310"/>
        </w:trPr>
        <w:tc>
          <w:tcPr>
            <w:tcW w:w="3015" w:type="pct"/>
            <w:tcBorders>
              <w:top w:val="nil"/>
              <w:left w:val="single" w:sz="4" w:space="0" w:color="auto"/>
              <w:bottom w:val="single" w:sz="4" w:space="0" w:color="auto"/>
              <w:right w:val="single" w:sz="4" w:space="0" w:color="auto"/>
            </w:tcBorders>
            <w:shd w:val="clear" w:color="000000" w:fill="E2EFDA"/>
            <w:vAlign w:val="bottom"/>
            <w:hideMark/>
          </w:tcPr>
          <w:p w14:paraId="1986D28B" w14:textId="77777777" w:rsidR="00CC63FE" w:rsidRPr="00EC5F7C" w:rsidRDefault="00CC63FE" w:rsidP="00EC5F7C">
            <w:pPr>
              <w:pStyle w:val="Tabletext"/>
              <w:rPr>
                <w:lang w:val="es-ES" w:eastAsia="es-ES"/>
              </w:rPr>
            </w:pPr>
            <w:r w:rsidRPr="00EC5F7C">
              <w:rPr>
                <w:lang w:val="es-ES" w:eastAsia="es-ES"/>
              </w:rPr>
              <w:t>Modificación del Artículo 7 y Artículo 10 del AP30B</w:t>
            </w:r>
          </w:p>
        </w:tc>
        <w:tc>
          <w:tcPr>
            <w:tcW w:w="83" w:type="pct"/>
            <w:gridSpan w:val="2"/>
            <w:tcBorders>
              <w:top w:val="nil"/>
              <w:left w:val="nil"/>
              <w:bottom w:val="nil"/>
              <w:right w:val="nil"/>
            </w:tcBorders>
            <w:shd w:val="clear" w:color="auto" w:fill="auto"/>
            <w:noWrap/>
            <w:vAlign w:val="bottom"/>
            <w:hideMark/>
          </w:tcPr>
          <w:p w14:paraId="6447D32B" w14:textId="77777777" w:rsidR="00CC63FE" w:rsidRPr="00415F30" w:rsidRDefault="00CC63FE" w:rsidP="00EC5F7C">
            <w:pPr>
              <w:tabs>
                <w:tab w:val="clear" w:pos="1134"/>
                <w:tab w:val="clear" w:pos="1871"/>
                <w:tab w:val="clear" w:pos="2268"/>
              </w:tabs>
              <w:overflowPunct/>
              <w:autoSpaceDE/>
              <w:autoSpaceDN/>
              <w:adjustRightInd/>
              <w:spacing w:before="0"/>
              <w:textAlignment w:val="auto"/>
              <w:rPr>
                <w:rFonts w:ascii="Calibri" w:hAnsi="Calibri" w:cs="Calibri"/>
                <w:color w:val="000000"/>
                <w:szCs w:val="24"/>
                <w:lang w:val="es-ES" w:eastAsia="es-ES"/>
              </w:rPr>
            </w:pPr>
          </w:p>
        </w:tc>
        <w:tc>
          <w:tcPr>
            <w:tcW w:w="689" w:type="pct"/>
            <w:gridSpan w:val="2"/>
            <w:tcBorders>
              <w:top w:val="nil"/>
              <w:left w:val="single" w:sz="4" w:space="0" w:color="auto"/>
              <w:bottom w:val="single" w:sz="4" w:space="0" w:color="auto"/>
              <w:right w:val="single" w:sz="4" w:space="0" w:color="auto"/>
            </w:tcBorders>
            <w:shd w:val="clear" w:color="auto" w:fill="auto"/>
            <w:noWrap/>
            <w:vAlign w:val="bottom"/>
            <w:hideMark/>
          </w:tcPr>
          <w:p w14:paraId="327D0D10" w14:textId="77777777" w:rsidR="00CC63FE" w:rsidRPr="00EC5F7C" w:rsidRDefault="00CC63FE" w:rsidP="00634BAB">
            <w:pPr>
              <w:pStyle w:val="Tabletext"/>
              <w:jc w:val="center"/>
              <w:rPr>
                <w:lang w:val="es-ES" w:eastAsia="es-ES"/>
              </w:rPr>
            </w:pPr>
            <w:r w:rsidRPr="00EC5F7C">
              <w:rPr>
                <w:lang w:val="es-ES" w:eastAsia="es-ES"/>
              </w:rPr>
              <w:t>175.284</w:t>
            </w:r>
          </w:p>
        </w:tc>
        <w:tc>
          <w:tcPr>
            <w:tcW w:w="603" w:type="pct"/>
            <w:tcBorders>
              <w:top w:val="nil"/>
              <w:left w:val="nil"/>
              <w:bottom w:val="single" w:sz="4" w:space="0" w:color="auto"/>
              <w:right w:val="nil"/>
            </w:tcBorders>
            <w:shd w:val="clear" w:color="auto" w:fill="auto"/>
            <w:noWrap/>
            <w:vAlign w:val="bottom"/>
            <w:hideMark/>
          </w:tcPr>
          <w:p w14:paraId="026ADCA2" w14:textId="77777777" w:rsidR="00CC63FE" w:rsidRPr="00EC5F7C" w:rsidRDefault="00CC63FE" w:rsidP="00634BAB">
            <w:pPr>
              <w:pStyle w:val="Tabletext"/>
              <w:jc w:val="center"/>
              <w:rPr>
                <w:lang w:val="es-ES" w:eastAsia="es-ES"/>
              </w:rPr>
            </w:pPr>
            <w:r w:rsidRPr="00EC5F7C">
              <w:rPr>
                <w:lang w:val="es-ES" w:eastAsia="es-ES"/>
              </w:rPr>
              <w:t>61.349</w:t>
            </w:r>
          </w:p>
        </w:tc>
        <w:tc>
          <w:tcPr>
            <w:tcW w:w="610" w:type="pct"/>
            <w:tcBorders>
              <w:top w:val="nil"/>
              <w:left w:val="single" w:sz="4" w:space="0" w:color="auto"/>
              <w:bottom w:val="single" w:sz="4" w:space="0" w:color="auto"/>
              <w:right w:val="single" w:sz="4" w:space="0" w:color="auto"/>
            </w:tcBorders>
            <w:shd w:val="clear" w:color="auto" w:fill="auto"/>
            <w:noWrap/>
            <w:vAlign w:val="bottom"/>
            <w:hideMark/>
          </w:tcPr>
          <w:p w14:paraId="589EE0B5" w14:textId="77777777" w:rsidR="00CC63FE" w:rsidRPr="00EC5F7C" w:rsidRDefault="00CC63FE" w:rsidP="00634BAB">
            <w:pPr>
              <w:pStyle w:val="Tabletext"/>
              <w:jc w:val="center"/>
              <w:rPr>
                <w:lang w:val="es-ES" w:eastAsia="es-ES"/>
              </w:rPr>
            </w:pPr>
            <w:r w:rsidRPr="00EC5F7C">
              <w:rPr>
                <w:lang w:val="es-ES" w:eastAsia="es-ES"/>
              </w:rPr>
              <w:t>420.682</w:t>
            </w:r>
          </w:p>
        </w:tc>
      </w:tr>
      <w:tr w:rsidR="00CC63FE" w:rsidRPr="00415F30" w14:paraId="1B179158" w14:textId="77777777" w:rsidTr="00634BAB">
        <w:trPr>
          <w:trHeight w:val="310"/>
        </w:trPr>
        <w:tc>
          <w:tcPr>
            <w:tcW w:w="3015" w:type="pct"/>
            <w:tcBorders>
              <w:top w:val="nil"/>
              <w:left w:val="single" w:sz="4" w:space="0" w:color="auto"/>
              <w:bottom w:val="single" w:sz="4" w:space="0" w:color="auto"/>
              <w:right w:val="single" w:sz="4" w:space="0" w:color="auto"/>
            </w:tcBorders>
            <w:shd w:val="clear" w:color="000000" w:fill="E2EFDA"/>
            <w:vAlign w:val="bottom"/>
            <w:hideMark/>
          </w:tcPr>
          <w:p w14:paraId="68AE7A07" w14:textId="77777777" w:rsidR="00CC63FE" w:rsidRPr="00EC5F7C" w:rsidRDefault="00CC63FE" w:rsidP="00EC5F7C">
            <w:pPr>
              <w:pStyle w:val="Tabletext"/>
              <w:rPr>
                <w:lang w:val="es-ES" w:eastAsia="es-ES"/>
              </w:rPr>
            </w:pPr>
            <w:r w:rsidRPr="00EC5F7C">
              <w:rPr>
                <w:lang w:val="es-ES" w:eastAsia="es-ES"/>
              </w:rPr>
              <w:t>Modificación del Artículo 4 del AP30A y del Artículo 6 del AP30B</w:t>
            </w:r>
          </w:p>
        </w:tc>
        <w:tc>
          <w:tcPr>
            <w:tcW w:w="83" w:type="pct"/>
            <w:gridSpan w:val="2"/>
            <w:tcBorders>
              <w:top w:val="nil"/>
              <w:left w:val="nil"/>
              <w:bottom w:val="nil"/>
              <w:right w:val="nil"/>
            </w:tcBorders>
            <w:shd w:val="clear" w:color="auto" w:fill="auto"/>
            <w:noWrap/>
            <w:vAlign w:val="bottom"/>
            <w:hideMark/>
          </w:tcPr>
          <w:p w14:paraId="088C5455" w14:textId="77777777" w:rsidR="00CC63FE" w:rsidRPr="00EC5F7C" w:rsidRDefault="00CC63FE" w:rsidP="00EC5F7C">
            <w:pPr>
              <w:pStyle w:val="Tabletext"/>
              <w:rPr>
                <w:lang w:val="es-ES" w:eastAsia="es-ES"/>
              </w:rPr>
            </w:pPr>
          </w:p>
        </w:tc>
        <w:tc>
          <w:tcPr>
            <w:tcW w:w="689" w:type="pct"/>
            <w:gridSpan w:val="2"/>
            <w:tcBorders>
              <w:top w:val="nil"/>
              <w:left w:val="single" w:sz="4" w:space="0" w:color="auto"/>
              <w:bottom w:val="single" w:sz="4" w:space="0" w:color="auto"/>
              <w:right w:val="single" w:sz="4" w:space="0" w:color="auto"/>
            </w:tcBorders>
            <w:shd w:val="clear" w:color="auto" w:fill="auto"/>
            <w:noWrap/>
            <w:vAlign w:val="bottom"/>
            <w:hideMark/>
          </w:tcPr>
          <w:p w14:paraId="0A8C090A" w14:textId="77777777" w:rsidR="00CC63FE" w:rsidRPr="00EC5F7C" w:rsidRDefault="00CC63FE" w:rsidP="00634BAB">
            <w:pPr>
              <w:pStyle w:val="Tabletext"/>
              <w:jc w:val="center"/>
              <w:rPr>
                <w:lang w:val="es-ES" w:eastAsia="es-ES"/>
              </w:rPr>
            </w:pPr>
            <w:r w:rsidRPr="00EC5F7C">
              <w:rPr>
                <w:lang w:val="es-ES" w:eastAsia="es-ES"/>
              </w:rPr>
              <w:t>175.284</w:t>
            </w:r>
          </w:p>
        </w:tc>
        <w:tc>
          <w:tcPr>
            <w:tcW w:w="603" w:type="pct"/>
            <w:tcBorders>
              <w:top w:val="nil"/>
              <w:left w:val="nil"/>
              <w:bottom w:val="single" w:sz="4" w:space="0" w:color="auto"/>
              <w:right w:val="nil"/>
            </w:tcBorders>
            <w:shd w:val="clear" w:color="auto" w:fill="auto"/>
            <w:noWrap/>
            <w:vAlign w:val="bottom"/>
            <w:hideMark/>
          </w:tcPr>
          <w:p w14:paraId="3943750A" w14:textId="77777777" w:rsidR="00CC63FE" w:rsidRPr="00EC5F7C" w:rsidRDefault="00CC63FE" w:rsidP="00634BAB">
            <w:pPr>
              <w:pStyle w:val="Tabletext"/>
              <w:jc w:val="center"/>
              <w:rPr>
                <w:lang w:val="es-ES" w:eastAsia="es-ES"/>
              </w:rPr>
            </w:pPr>
            <w:r w:rsidRPr="00EC5F7C">
              <w:rPr>
                <w:lang w:val="es-ES" w:eastAsia="es-ES"/>
              </w:rPr>
              <w:t>61.349</w:t>
            </w:r>
          </w:p>
        </w:tc>
        <w:tc>
          <w:tcPr>
            <w:tcW w:w="610" w:type="pct"/>
            <w:tcBorders>
              <w:top w:val="nil"/>
              <w:left w:val="single" w:sz="4" w:space="0" w:color="auto"/>
              <w:bottom w:val="single" w:sz="4" w:space="0" w:color="auto"/>
              <w:right w:val="single" w:sz="4" w:space="0" w:color="auto"/>
            </w:tcBorders>
            <w:shd w:val="clear" w:color="auto" w:fill="auto"/>
            <w:noWrap/>
            <w:vAlign w:val="bottom"/>
            <w:hideMark/>
          </w:tcPr>
          <w:p w14:paraId="6BEDC125" w14:textId="77777777" w:rsidR="00CC63FE" w:rsidRPr="00EC5F7C" w:rsidRDefault="00CC63FE" w:rsidP="00634BAB">
            <w:pPr>
              <w:pStyle w:val="Tabletext"/>
              <w:jc w:val="center"/>
              <w:rPr>
                <w:lang w:val="es-ES" w:eastAsia="es-ES"/>
              </w:rPr>
            </w:pPr>
            <w:r w:rsidRPr="00EC5F7C">
              <w:rPr>
                <w:lang w:val="es-ES" w:eastAsia="es-ES"/>
              </w:rPr>
              <w:t>420.682</w:t>
            </w:r>
          </w:p>
        </w:tc>
      </w:tr>
      <w:tr w:rsidR="00CC63FE" w:rsidRPr="00415F30" w14:paraId="2444C0BB" w14:textId="77777777" w:rsidTr="00634BAB">
        <w:trPr>
          <w:trHeight w:val="310"/>
        </w:trPr>
        <w:tc>
          <w:tcPr>
            <w:tcW w:w="3015" w:type="pct"/>
            <w:tcBorders>
              <w:top w:val="nil"/>
              <w:left w:val="single" w:sz="4" w:space="0" w:color="auto"/>
              <w:bottom w:val="single" w:sz="4" w:space="0" w:color="auto"/>
              <w:right w:val="single" w:sz="4" w:space="0" w:color="auto"/>
            </w:tcBorders>
            <w:shd w:val="clear" w:color="000000" w:fill="E2EFDA"/>
            <w:vAlign w:val="bottom"/>
            <w:hideMark/>
          </w:tcPr>
          <w:p w14:paraId="722F9BD5" w14:textId="5B8924B4" w:rsidR="00CC63FE" w:rsidRPr="00EC5F7C" w:rsidRDefault="00CC63FE" w:rsidP="00EC5F7C">
            <w:pPr>
              <w:pStyle w:val="Tabletext"/>
              <w:rPr>
                <w:lang w:val="es-ES" w:eastAsia="es-ES"/>
              </w:rPr>
            </w:pPr>
            <w:r w:rsidRPr="00EC5F7C">
              <w:rPr>
                <w:lang w:val="es-ES" w:eastAsia="es-ES"/>
              </w:rPr>
              <w:t>Modificación del software de validación de la dfpe de la Resolución</w:t>
            </w:r>
            <w:r w:rsidR="00634BAB">
              <w:rPr>
                <w:lang w:val="es-ES" w:eastAsia="es-ES"/>
              </w:rPr>
              <w:t> </w:t>
            </w:r>
            <w:r w:rsidRPr="00EC5F7C">
              <w:rPr>
                <w:lang w:val="es-ES" w:eastAsia="es-ES"/>
              </w:rPr>
              <w:t>770</w:t>
            </w:r>
            <w:r w:rsidR="00634BAB">
              <w:rPr>
                <w:lang w:val="es-ES" w:eastAsia="es-ES"/>
              </w:rPr>
              <w:t>.</w:t>
            </w:r>
          </w:p>
        </w:tc>
        <w:tc>
          <w:tcPr>
            <w:tcW w:w="83" w:type="pct"/>
            <w:gridSpan w:val="2"/>
            <w:tcBorders>
              <w:top w:val="nil"/>
              <w:left w:val="nil"/>
              <w:bottom w:val="nil"/>
              <w:right w:val="nil"/>
            </w:tcBorders>
            <w:shd w:val="clear" w:color="auto" w:fill="auto"/>
            <w:noWrap/>
            <w:vAlign w:val="bottom"/>
            <w:hideMark/>
          </w:tcPr>
          <w:p w14:paraId="277A236E" w14:textId="77777777" w:rsidR="00CC63FE" w:rsidRPr="00EC5F7C" w:rsidRDefault="00CC63FE" w:rsidP="00EC5F7C">
            <w:pPr>
              <w:pStyle w:val="Tabletext"/>
              <w:rPr>
                <w:lang w:val="es-ES" w:eastAsia="es-ES"/>
              </w:rPr>
            </w:pPr>
          </w:p>
        </w:tc>
        <w:tc>
          <w:tcPr>
            <w:tcW w:w="689" w:type="pct"/>
            <w:gridSpan w:val="2"/>
            <w:tcBorders>
              <w:top w:val="nil"/>
              <w:left w:val="single" w:sz="4" w:space="0" w:color="auto"/>
              <w:bottom w:val="single" w:sz="4" w:space="0" w:color="auto"/>
              <w:right w:val="single" w:sz="4" w:space="0" w:color="auto"/>
            </w:tcBorders>
            <w:shd w:val="clear" w:color="auto" w:fill="auto"/>
            <w:noWrap/>
            <w:vAlign w:val="bottom"/>
            <w:hideMark/>
          </w:tcPr>
          <w:p w14:paraId="13ADFFEA" w14:textId="77777777" w:rsidR="00CC63FE" w:rsidRPr="00EC5F7C" w:rsidRDefault="00CC63FE" w:rsidP="00634BAB">
            <w:pPr>
              <w:pStyle w:val="Tabletext"/>
              <w:jc w:val="center"/>
              <w:rPr>
                <w:lang w:val="es-ES" w:eastAsia="es-ES"/>
              </w:rPr>
            </w:pPr>
            <w:r w:rsidRPr="00EC5F7C">
              <w:rPr>
                <w:lang w:val="es-ES" w:eastAsia="es-ES"/>
              </w:rPr>
              <w:t>175.284</w:t>
            </w:r>
          </w:p>
        </w:tc>
        <w:tc>
          <w:tcPr>
            <w:tcW w:w="603" w:type="pct"/>
            <w:tcBorders>
              <w:top w:val="nil"/>
              <w:left w:val="nil"/>
              <w:bottom w:val="single" w:sz="4" w:space="0" w:color="auto"/>
              <w:right w:val="nil"/>
            </w:tcBorders>
            <w:shd w:val="clear" w:color="auto" w:fill="auto"/>
            <w:noWrap/>
            <w:vAlign w:val="bottom"/>
            <w:hideMark/>
          </w:tcPr>
          <w:p w14:paraId="153F7C64" w14:textId="0D14434D" w:rsidR="00CC63FE" w:rsidRPr="00EC5F7C" w:rsidRDefault="00CC63FE" w:rsidP="00634BAB">
            <w:pPr>
              <w:pStyle w:val="Tabletext"/>
              <w:jc w:val="center"/>
              <w:rPr>
                <w:lang w:val="es-ES" w:eastAsia="es-ES"/>
              </w:rPr>
            </w:pPr>
          </w:p>
        </w:tc>
        <w:tc>
          <w:tcPr>
            <w:tcW w:w="610" w:type="pct"/>
            <w:tcBorders>
              <w:top w:val="nil"/>
              <w:left w:val="single" w:sz="4" w:space="0" w:color="auto"/>
              <w:bottom w:val="single" w:sz="4" w:space="0" w:color="auto"/>
              <w:right w:val="single" w:sz="4" w:space="0" w:color="auto"/>
            </w:tcBorders>
            <w:shd w:val="clear" w:color="auto" w:fill="auto"/>
            <w:noWrap/>
            <w:vAlign w:val="bottom"/>
            <w:hideMark/>
          </w:tcPr>
          <w:p w14:paraId="3F93CDA3" w14:textId="77777777" w:rsidR="00CC63FE" w:rsidRPr="00EC5F7C" w:rsidRDefault="00CC63FE" w:rsidP="00634BAB">
            <w:pPr>
              <w:pStyle w:val="Tabletext"/>
              <w:jc w:val="center"/>
              <w:rPr>
                <w:lang w:val="es-ES" w:eastAsia="es-ES"/>
              </w:rPr>
            </w:pPr>
            <w:r w:rsidRPr="00EC5F7C">
              <w:rPr>
                <w:lang w:val="es-ES" w:eastAsia="es-ES"/>
              </w:rPr>
              <w:t>175.284</w:t>
            </w:r>
          </w:p>
        </w:tc>
      </w:tr>
      <w:tr w:rsidR="00CC63FE" w:rsidRPr="00415F30" w14:paraId="5FA103B4" w14:textId="77777777" w:rsidTr="00634BAB">
        <w:trPr>
          <w:trHeight w:val="310"/>
        </w:trPr>
        <w:tc>
          <w:tcPr>
            <w:tcW w:w="3015" w:type="pct"/>
            <w:tcBorders>
              <w:top w:val="nil"/>
              <w:left w:val="single" w:sz="4" w:space="0" w:color="auto"/>
              <w:bottom w:val="single" w:sz="4" w:space="0" w:color="auto"/>
              <w:right w:val="single" w:sz="4" w:space="0" w:color="auto"/>
            </w:tcBorders>
            <w:shd w:val="clear" w:color="000000" w:fill="E2EFDA"/>
            <w:vAlign w:val="bottom"/>
            <w:hideMark/>
          </w:tcPr>
          <w:p w14:paraId="7CA28997" w14:textId="77777777" w:rsidR="00CC63FE" w:rsidRPr="00EC5F7C" w:rsidRDefault="00CC63FE" w:rsidP="00EC5F7C">
            <w:pPr>
              <w:pStyle w:val="Tabletext"/>
              <w:rPr>
                <w:lang w:val="es-ES" w:eastAsia="es-ES"/>
              </w:rPr>
            </w:pPr>
            <w:r w:rsidRPr="00EC5F7C">
              <w:rPr>
                <w:lang w:val="es-ES" w:eastAsia="es-ES"/>
              </w:rPr>
              <w:lastRenderedPageBreak/>
              <w:t>Modificación del AP30, AP30A, AP30B (Método H1C)</w:t>
            </w:r>
          </w:p>
        </w:tc>
        <w:tc>
          <w:tcPr>
            <w:tcW w:w="83" w:type="pct"/>
            <w:gridSpan w:val="2"/>
            <w:tcBorders>
              <w:top w:val="nil"/>
              <w:left w:val="nil"/>
              <w:bottom w:val="nil"/>
              <w:right w:val="nil"/>
            </w:tcBorders>
            <w:shd w:val="clear" w:color="auto" w:fill="auto"/>
            <w:noWrap/>
            <w:vAlign w:val="bottom"/>
            <w:hideMark/>
          </w:tcPr>
          <w:p w14:paraId="028566E3" w14:textId="77777777" w:rsidR="00CC63FE" w:rsidRPr="00EC5F7C" w:rsidRDefault="00CC63FE" w:rsidP="00EC5F7C">
            <w:pPr>
              <w:pStyle w:val="Tabletext"/>
              <w:rPr>
                <w:lang w:val="es-ES" w:eastAsia="es-ES"/>
              </w:rPr>
            </w:pPr>
          </w:p>
        </w:tc>
        <w:tc>
          <w:tcPr>
            <w:tcW w:w="689" w:type="pct"/>
            <w:gridSpan w:val="2"/>
            <w:tcBorders>
              <w:top w:val="nil"/>
              <w:left w:val="single" w:sz="4" w:space="0" w:color="auto"/>
              <w:bottom w:val="single" w:sz="4" w:space="0" w:color="auto"/>
              <w:right w:val="single" w:sz="4" w:space="0" w:color="auto"/>
            </w:tcBorders>
            <w:shd w:val="clear" w:color="auto" w:fill="auto"/>
            <w:noWrap/>
            <w:vAlign w:val="bottom"/>
            <w:hideMark/>
          </w:tcPr>
          <w:p w14:paraId="52C8BDD9" w14:textId="5D669186" w:rsidR="00CC63FE" w:rsidRPr="00EC5F7C" w:rsidRDefault="00CC63FE" w:rsidP="00634BAB">
            <w:pPr>
              <w:pStyle w:val="Tabletext"/>
              <w:jc w:val="center"/>
              <w:rPr>
                <w:lang w:val="es-ES" w:eastAsia="es-ES"/>
              </w:rPr>
            </w:pPr>
          </w:p>
        </w:tc>
        <w:tc>
          <w:tcPr>
            <w:tcW w:w="603" w:type="pct"/>
            <w:tcBorders>
              <w:top w:val="nil"/>
              <w:left w:val="nil"/>
              <w:bottom w:val="single" w:sz="4" w:space="0" w:color="auto"/>
              <w:right w:val="nil"/>
            </w:tcBorders>
            <w:shd w:val="clear" w:color="auto" w:fill="auto"/>
            <w:noWrap/>
            <w:vAlign w:val="bottom"/>
            <w:hideMark/>
          </w:tcPr>
          <w:p w14:paraId="7A280E30" w14:textId="77777777" w:rsidR="00CC63FE" w:rsidRPr="00EC5F7C" w:rsidRDefault="00CC63FE" w:rsidP="00634BAB">
            <w:pPr>
              <w:pStyle w:val="Tabletext"/>
              <w:jc w:val="center"/>
              <w:rPr>
                <w:lang w:val="es-ES" w:eastAsia="es-ES"/>
              </w:rPr>
            </w:pPr>
            <w:r w:rsidRPr="00EC5F7C">
              <w:rPr>
                <w:lang w:val="es-ES" w:eastAsia="es-ES"/>
              </w:rPr>
              <w:t>43.821</w:t>
            </w:r>
          </w:p>
        </w:tc>
        <w:tc>
          <w:tcPr>
            <w:tcW w:w="610" w:type="pct"/>
            <w:tcBorders>
              <w:top w:val="nil"/>
              <w:left w:val="single" w:sz="4" w:space="0" w:color="auto"/>
              <w:bottom w:val="single" w:sz="4" w:space="0" w:color="auto"/>
              <w:right w:val="single" w:sz="4" w:space="0" w:color="auto"/>
            </w:tcBorders>
            <w:shd w:val="clear" w:color="auto" w:fill="auto"/>
            <w:noWrap/>
            <w:vAlign w:val="bottom"/>
            <w:hideMark/>
          </w:tcPr>
          <w:p w14:paraId="6DB54EE8" w14:textId="77777777" w:rsidR="00CC63FE" w:rsidRPr="00EC5F7C" w:rsidRDefault="00CC63FE" w:rsidP="00634BAB">
            <w:pPr>
              <w:pStyle w:val="Tabletext"/>
              <w:jc w:val="center"/>
              <w:rPr>
                <w:lang w:val="es-ES" w:eastAsia="es-ES"/>
              </w:rPr>
            </w:pPr>
            <w:r w:rsidRPr="00EC5F7C">
              <w:rPr>
                <w:lang w:val="es-ES" w:eastAsia="es-ES"/>
              </w:rPr>
              <w:t>175.284</w:t>
            </w:r>
          </w:p>
        </w:tc>
      </w:tr>
      <w:tr w:rsidR="00CC63FE" w:rsidRPr="00415F30" w14:paraId="1A41724F" w14:textId="77777777" w:rsidTr="00634BAB">
        <w:trPr>
          <w:trHeight w:val="340"/>
        </w:trPr>
        <w:tc>
          <w:tcPr>
            <w:tcW w:w="3015" w:type="pct"/>
            <w:tcBorders>
              <w:top w:val="nil"/>
              <w:left w:val="single" w:sz="4" w:space="0" w:color="auto"/>
              <w:bottom w:val="single" w:sz="4" w:space="0" w:color="auto"/>
              <w:right w:val="single" w:sz="4" w:space="0" w:color="auto"/>
            </w:tcBorders>
            <w:shd w:val="clear" w:color="000000" w:fill="E2EFDA"/>
            <w:vAlign w:val="bottom"/>
            <w:hideMark/>
          </w:tcPr>
          <w:p w14:paraId="3F18001C" w14:textId="77777777" w:rsidR="00CC63FE" w:rsidRPr="00EC5F7C" w:rsidRDefault="00CC63FE" w:rsidP="00EC5F7C">
            <w:pPr>
              <w:pStyle w:val="Tabletext"/>
              <w:rPr>
                <w:lang w:val="es-ES" w:eastAsia="es-ES"/>
              </w:rPr>
            </w:pPr>
            <w:r w:rsidRPr="00EC5F7C">
              <w:rPr>
                <w:lang w:val="es-ES" w:eastAsia="es-ES"/>
              </w:rPr>
              <w:t>Resolución [A7(I)-Método I2]: medidas provisionales del AP30B</w:t>
            </w:r>
          </w:p>
        </w:tc>
        <w:tc>
          <w:tcPr>
            <w:tcW w:w="83" w:type="pct"/>
            <w:gridSpan w:val="2"/>
            <w:tcBorders>
              <w:top w:val="nil"/>
              <w:left w:val="nil"/>
              <w:bottom w:val="nil"/>
              <w:right w:val="nil"/>
            </w:tcBorders>
            <w:shd w:val="clear" w:color="auto" w:fill="auto"/>
            <w:noWrap/>
            <w:vAlign w:val="bottom"/>
            <w:hideMark/>
          </w:tcPr>
          <w:p w14:paraId="16C90558" w14:textId="77777777" w:rsidR="00CC63FE" w:rsidRPr="00EC5F7C" w:rsidRDefault="00CC63FE" w:rsidP="00EC5F7C">
            <w:pPr>
              <w:pStyle w:val="Tabletext"/>
              <w:rPr>
                <w:lang w:val="es-ES" w:eastAsia="es-ES"/>
              </w:rPr>
            </w:pPr>
          </w:p>
        </w:tc>
        <w:tc>
          <w:tcPr>
            <w:tcW w:w="689" w:type="pct"/>
            <w:gridSpan w:val="2"/>
            <w:tcBorders>
              <w:top w:val="nil"/>
              <w:left w:val="single" w:sz="4" w:space="0" w:color="auto"/>
              <w:bottom w:val="single" w:sz="4" w:space="0" w:color="auto"/>
              <w:right w:val="single" w:sz="4" w:space="0" w:color="auto"/>
            </w:tcBorders>
            <w:shd w:val="clear" w:color="auto" w:fill="auto"/>
            <w:noWrap/>
            <w:vAlign w:val="bottom"/>
            <w:hideMark/>
          </w:tcPr>
          <w:p w14:paraId="38DECC46" w14:textId="77777777" w:rsidR="00CC63FE" w:rsidRPr="00EC5F7C" w:rsidRDefault="00CC63FE" w:rsidP="00634BAB">
            <w:pPr>
              <w:pStyle w:val="Tabletext"/>
              <w:jc w:val="center"/>
              <w:rPr>
                <w:lang w:val="es-ES" w:eastAsia="es-ES"/>
              </w:rPr>
            </w:pPr>
            <w:r w:rsidRPr="00EC5F7C">
              <w:rPr>
                <w:lang w:val="es-ES" w:eastAsia="es-ES"/>
              </w:rPr>
              <w:t>87.642</w:t>
            </w:r>
          </w:p>
        </w:tc>
        <w:tc>
          <w:tcPr>
            <w:tcW w:w="603" w:type="pct"/>
            <w:tcBorders>
              <w:top w:val="nil"/>
              <w:left w:val="nil"/>
              <w:bottom w:val="single" w:sz="4" w:space="0" w:color="auto"/>
              <w:right w:val="nil"/>
            </w:tcBorders>
            <w:shd w:val="clear" w:color="auto" w:fill="auto"/>
            <w:noWrap/>
            <w:vAlign w:val="bottom"/>
            <w:hideMark/>
          </w:tcPr>
          <w:p w14:paraId="564F61F6" w14:textId="77777777" w:rsidR="00CC63FE" w:rsidRPr="00EC5F7C" w:rsidRDefault="00CC63FE" w:rsidP="00634BAB">
            <w:pPr>
              <w:pStyle w:val="Tabletext"/>
              <w:jc w:val="center"/>
              <w:rPr>
                <w:lang w:val="es-ES" w:eastAsia="es-ES"/>
              </w:rPr>
            </w:pPr>
            <w:r w:rsidRPr="00EC5F7C">
              <w:rPr>
                <w:lang w:val="es-ES" w:eastAsia="es-ES"/>
              </w:rPr>
              <w:t>26.293</w:t>
            </w:r>
          </w:p>
        </w:tc>
        <w:tc>
          <w:tcPr>
            <w:tcW w:w="610" w:type="pct"/>
            <w:tcBorders>
              <w:top w:val="nil"/>
              <w:left w:val="single" w:sz="4" w:space="0" w:color="auto"/>
              <w:bottom w:val="single" w:sz="4" w:space="0" w:color="auto"/>
              <w:right w:val="single" w:sz="4" w:space="0" w:color="auto"/>
            </w:tcBorders>
            <w:shd w:val="clear" w:color="auto" w:fill="auto"/>
            <w:noWrap/>
            <w:vAlign w:val="bottom"/>
            <w:hideMark/>
          </w:tcPr>
          <w:p w14:paraId="3E6DED9D" w14:textId="77777777" w:rsidR="00CC63FE" w:rsidRPr="00EC5F7C" w:rsidRDefault="00CC63FE" w:rsidP="00634BAB">
            <w:pPr>
              <w:pStyle w:val="Tabletext"/>
              <w:jc w:val="center"/>
              <w:rPr>
                <w:lang w:val="es-ES" w:eastAsia="es-ES"/>
              </w:rPr>
            </w:pPr>
            <w:r w:rsidRPr="00EC5F7C">
              <w:rPr>
                <w:lang w:val="es-ES" w:eastAsia="es-ES"/>
              </w:rPr>
              <w:t>192.812</w:t>
            </w:r>
          </w:p>
        </w:tc>
      </w:tr>
      <w:tr w:rsidR="00CC63FE" w:rsidRPr="00415F30" w14:paraId="316E1F99" w14:textId="77777777" w:rsidTr="00634BAB">
        <w:trPr>
          <w:trHeight w:val="340"/>
        </w:trPr>
        <w:tc>
          <w:tcPr>
            <w:tcW w:w="3015" w:type="pct"/>
            <w:tcBorders>
              <w:top w:val="nil"/>
              <w:left w:val="single" w:sz="4" w:space="0" w:color="auto"/>
              <w:bottom w:val="single" w:sz="4" w:space="0" w:color="auto"/>
              <w:right w:val="single" w:sz="4" w:space="0" w:color="auto"/>
            </w:tcBorders>
            <w:shd w:val="clear" w:color="000000" w:fill="E2EFDA"/>
            <w:vAlign w:val="bottom"/>
            <w:hideMark/>
          </w:tcPr>
          <w:p w14:paraId="5BCB051B" w14:textId="1F74868F" w:rsidR="00CC63FE" w:rsidRPr="00EC5F7C" w:rsidRDefault="00CC63FE" w:rsidP="00EC5F7C">
            <w:pPr>
              <w:pStyle w:val="Tabletext"/>
              <w:rPr>
                <w:lang w:val="es-ES" w:eastAsia="es-ES"/>
              </w:rPr>
            </w:pPr>
            <w:r w:rsidRPr="00EC5F7C">
              <w:rPr>
                <w:lang w:val="es-ES" w:eastAsia="es-ES"/>
              </w:rPr>
              <w:t>Modificación de la Resolución 76, software dfpe interferente combinada</w:t>
            </w:r>
            <w:r w:rsidR="00634BAB">
              <w:rPr>
                <w:lang w:val="es-ES" w:eastAsia="es-ES"/>
              </w:rPr>
              <w:t>.</w:t>
            </w:r>
          </w:p>
        </w:tc>
        <w:tc>
          <w:tcPr>
            <w:tcW w:w="83" w:type="pct"/>
            <w:gridSpan w:val="2"/>
            <w:tcBorders>
              <w:top w:val="nil"/>
              <w:left w:val="nil"/>
              <w:bottom w:val="nil"/>
              <w:right w:val="nil"/>
            </w:tcBorders>
            <w:shd w:val="clear" w:color="auto" w:fill="auto"/>
            <w:noWrap/>
            <w:vAlign w:val="bottom"/>
            <w:hideMark/>
          </w:tcPr>
          <w:p w14:paraId="168FD6CB" w14:textId="77777777" w:rsidR="00CC63FE" w:rsidRPr="00EC5F7C" w:rsidRDefault="00CC63FE" w:rsidP="00EC5F7C">
            <w:pPr>
              <w:pStyle w:val="Tabletext"/>
              <w:rPr>
                <w:lang w:val="es-ES" w:eastAsia="es-ES"/>
              </w:rPr>
            </w:pPr>
          </w:p>
        </w:tc>
        <w:tc>
          <w:tcPr>
            <w:tcW w:w="689" w:type="pct"/>
            <w:gridSpan w:val="2"/>
            <w:tcBorders>
              <w:top w:val="nil"/>
              <w:left w:val="single" w:sz="4" w:space="0" w:color="auto"/>
              <w:bottom w:val="single" w:sz="4" w:space="0" w:color="auto"/>
              <w:right w:val="single" w:sz="4" w:space="0" w:color="auto"/>
            </w:tcBorders>
            <w:shd w:val="clear" w:color="auto" w:fill="auto"/>
            <w:noWrap/>
            <w:vAlign w:val="bottom"/>
            <w:hideMark/>
          </w:tcPr>
          <w:p w14:paraId="272FF87F" w14:textId="42E9B67E" w:rsidR="00CC63FE" w:rsidRPr="00EC5F7C" w:rsidRDefault="00CC63FE" w:rsidP="00634BAB">
            <w:pPr>
              <w:pStyle w:val="Tabletext"/>
              <w:jc w:val="center"/>
              <w:rPr>
                <w:lang w:val="es-ES" w:eastAsia="es-ES"/>
              </w:rPr>
            </w:pPr>
          </w:p>
        </w:tc>
        <w:tc>
          <w:tcPr>
            <w:tcW w:w="603" w:type="pct"/>
            <w:tcBorders>
              <w:top w:val="nil"/>
              <w:left w:val="nil"/>
              <w:bottom w:val="single" w:sz="4" w:space="0" w:color="auto"/>
              <w:right w:val="nil"/>
            </w:tcBorders>
            <w:shd w:val="clear" w:color="auto" w:fill="auto"/>
            <w:noWrap/>
            <w:vAlign w:val="bottom"/>
            <w:hideMark/>
          </w:tcPr>
          <w:p w14:paraId="765CF64D" w14:textId="77777777" w:rsidR="00CC63FE" w:rsidRPr="00EC5F7C" w:rsidRDefault="00CC63FE" w:rsidP="00634BAB">
            <w:pPr>
              <w:pStyle w:val="Tabletext"/>
              <w:jc w:val="center"/>
              <w:rPr>
                <w:lang w:val="es-ES" w:eastAsia="es-ES"/>
              </w:rPr>
            </w:pPr>
            <w:r w:rsidRPr="00EC5F7C">
              <w:rPr>
                <w:lang w:val="es-ES" w:eastAsia="es-ES"/>
              </w:rPr>
              <w:t>43.821</w:t>
            </w:r>
          </w:p>
        </w:tc>
        <w:tc>
          <w:tcPr>
            <w:tcW w:w="610" w:type="pct"/>
            <w:tcBorders>
              <w:top w:val="nil"/>
              <w:left w:val="single" w:sz="4" w:space="0" w:color="auto"/>
              <w:bottom w:val="single" w:sz="4" w:space="0" w:color="auto"/>
              <w:right w:val="single" w:sz="4" w:space="0" w:color="auto"/>
            </w:tcBorders>
            <w:shd w:val="clear" w:color="auto" w:fill="auto"/>
            <w:noWrap/>
            <w:vAlign w:val="bottom"/>
            <w:hideMark/>
          </w:tcPr>
          <w:p w14:paraId="6761E3D4" w14:textId="77777777" w:rsidR="00CC63FE" w:rsidRPr="00EC5F7C" w:rsidRDefault="00CC63FE" w:rsidP="00634BAB">
            <w:pPr>
              <w:pStyle w:val="Tabletext"/>
              <w:jc w:val="center"/>
              <w:rPr>
                <w:lang w:val="es-ES" w:eastAsia="es-ES"/>
              </w:rPr>
            </w:pPr>
            <w:r w:rsidRPr="00EC5F7C">
              <w:rPr>
                <w:lang w:val="es-ES" w:eastAsia="es-ES"/>
              </w:rPr>
              <w:t>175.284</w:t>
            </w:r>
          </w:p>
        </w:tc>
      </w:tr>
      <w:tr w:rsidR="00CC63FE" w:rsidRPr="00415F30" w14:paraId="525D7AED" w14:textId="77777777" w:rsidTr="00634BAB">
        <w:trPr>
          <w:trHeight w:val="340"/>
        </w:trPr>
        <w:tc>
          <w:tcPr>
            <w:tcW w:w="3015" w:type="pct"/>
            <w:tcBorders>
              <w:top w:val="nil"/>
              <w:left w:val="single" w:sz="4" w:space="0" w:color="auto"/>
              <w:bottom w:val="nil"/>
              <w:right w:val="single" w:sz="4" w:space="0" w:color="auto"/>
            </w:tcBorders>
            <w:shd w:val="clear" w:color="000000" w:fill="E2EFDA"/>
            <w:vAlign w:val="bottom"/>
            <w:hideMark/>
          </w:tcPr>
          <w:p w14:paraId="68BEF36A" w14:textId="77777777" w:rsidR="00CC63FE" w:rsidRPr="00EC5F7C" w:rsidRDefault="00CC63FE" w:rsidP="00EC5F7C">
            <w:pPr>
              <w:pStyle w:val="Tabletext"/>
              <w:rPr>
                <w:lang w:val="es-ES" w:eastAsia="es-ES"/>
              </w:rPr>
            </w:pPr>
            <w:r w:rsidRPr="00EC5F7C">
              <w:rPr>
                <w:lang w:val="es-ES" w:eastAsia="es-ES"/>
              </w:rPr>
              <w:t xml:space="preserve">Modificación del 9.52.1 (interferencia inaceptable), RR21, y mejora del procesamiento por la BR. </w:t>
            </w:r>
          </w:p>
        </w:tc>
        <w:tc>
          <w:tcPr>
            <w:tcW w:w="83" w:type="pct"/>
            <w:gridSpan w:val="2"/>
            <w:tcBorders>
              <w:top w:val="nil"/>
              <w:left w:val="nil"/>
              <w:bottom w:val="nil"/>
              <w:right w:val="nil"/>
            </w:tcBorders>
            <w:shd w:val="clear" w:color="auto" w:fill="auto"/>
            <w:noWrap/>
            <w:vAlign w:val="bottom"/>
            <w:hideMark/>
          </w:tcPr>
          <w:p w14:paraId="008D2A9D" w14:textId="77777777" w:rsidR="00CC63FE" w:rsidRPr="00EC5F7C" w:rsidRDefault="00CC63FE" w:rsidP="00EC5F7C">
            <w:pPr>
              <w:pStyle w:val="Tabletext"/>
              <w:rPr>
                <w:lang w:val="es-ES" w:eastAsia="es-ES"/>
              </w:rPr>
            </w:pPr>
          </w:p>
        </w:tc>
        <w:tc>
          <w:tcPr>
            <w:tcW w:w="689" w:type="pct"/>
            <w:gridSpan w:val="2"/>
            <w:tcBorders>
              <w:top w:val="nil"/>
              <w:left w:val="single" w:sz="4" w:space="0" w:color="auto"/>
              <w:bottom w:val="nil"/>
              <w:right w:val="single" w:sz="4" w:space="0" w:color="auto"/>
            </w:tcBorders>
            <w:shd w:val="clear" w:color="auto" w:fill="auto"/>
            <w:noWrap/>
            <w:vAlign w:val="bottom"/>
            <w:hideMark/>
          </w:tcPr>
          <w:p w14:paraId="42A87B3D" w14:textId="77777777" w:rsidR="00CC63FE" w:rsidRPr="00EC5F7C" w:rsidRDefault="00CC63FE" w:rsidP="00634BAB">
            <w:pPr>
              <w:pStyle w:val="Tabletext"/>
              <w:jc w:val="center"/>
              <w:rPr>
                <w:lang w:val="es-ES" w:eastAsia="es-ES"/>
              </w:rPr>
            </w:pPr>
            <w:r w:rsidRPr="00EC5F7C">
              <w:rPr>
                <w:lang w:val="es-ES" w:eastAsia="es-ES"/>
              </w:rPr>
              <w:t>87.642</w:t>
            </w:r>
          </w:p>
        </w:tc>
        <w:tc>
          <w:tcPr>
            <w:tcW w:w="603" w:type="pct"/>
            <w:tcBorders>
              <w:top w:val="nil"/>
              <w:left w:val="nil"/>
              <w:bottom w:val="nil"/>
              <w:right w:val="nil"/>
            </w:tcBorders>
            <w:shd w:val="clear" w:color="auto" w:fill="auto"/>
            <w:noWrap/>
            <w:vAlign w:val="bottom"/>
            <w:hideMark/>
          </w:tcPr>
          <w:p w14:paraId="548CA176" w14:textId="77777777" w:rsidR="00CC63FE" w:rsidRPr="00EC5F7C" w:rsidRDefault="00CC63FE" w:rsidP="00634BAB">
            <w:pPr>
              <w:pStyle w:val="Tabletext"/>
              <w:jc w:val="center"/>
              <w:rPr>
                <w:lang w:val="es-ES" w:eastAsia="es-ES"/>
              </w:rPr>
            </w:pPr>
            <w:r w:rsidRPr="00EC5F7C">
              <w:rPr>
                <w:lang w:val="es-ES" w:eastAsia="es-ES"/>
              </w:rPr>
              <w:t>96.406</w:t>
            </w:r>
          </w:p>
        </w:tc>
        <w:tc>
          <w:tcPr>
            <w:tcW w:w="610" w:type="pct"/>
            <w:tcBorders>
              <w:top w:val="nil"/>
              <w:left w:val="single" w:sz="4" w:space="0" w:color="auto"/>
              <w:bottom w:val="single" w:sz="4" w:space="0" w:color="auto"/>
              <w:right w:val="single" w:sz="4" w:space="0" w:color="auto"/>
            </w:tcBorders>
            <w:shd w:val="clear" w:color="auto" w:fill="auto"/>
            <w:noWrap/>
            <w:vAlign w:val="bottom"/>
            <w:hideMark/>
          </w:tcPr>
          <w:p w14:paraId="321B0A0E" w14:textId="77777777" w:rsidR="00CC63FE" w:rsidRPr="00EC5F7C" w:rsidRDefault="00CC63FE" w:rsidP="00634BAB">
            <w:pPr>
              <w:pStyle w:val="Tabletext"/>
              <w:jc w:val="center"/>
              <w:rPr>
                <w:lang w:val="es-ES" w:eastAsia="es-ES"/>
              </w:rPr>
            </w:pPr>
            <w:r w:rsidRPr="00EC5F7C">
              <w:rPr>
                <w:lang w:val="es-ES" w:eastAsia="es-ES"/>
              </w:rPr>
              <w:t>473.267</w:t>
            </w:r>
          </w:p>
        </w:tc>
      </w:tr>
      <w:tr w:rsidR="00CC63FE" w:rsidRPr="00415F30" w14:paraId="25F7ADCC" w14:textId="77777777" w:rsidTr="00634BAB">
        <w:trPr>
          <w:trHeight w:val="340"/>
        </w:trPr>
        <w:tc>
          <w:tcPr>
            <w:tcW w:w="3015" w:type="pct"/>
            <w:tcBorders>
              <w:top w:val="single" w:sz="4" w:space="0" w:color="auto"/>
              <w:left w:val="single" w:sz="4" w:space="0" w:color="auto"/>
              <w:bottom w:val="nil"/>
              <w:right w:val="single" w:sz="4" w:space="0" w:color="auto"/>
            </w:tcBorders>
            <w:shd w:val="clear" w:color="000000" w:fill="E2EFDA"/>
            <w:vAlign w:val="bottom"/>
            <w:hideMark/>
          </w:tcPr>
          <w:p w14:paraId="6741A6A5" w14:textId="77777777" w:rsidR="00CC63FE" w:rsidRPr="00EC5F7C" w:rsidRDefault="00CC63FE" w:rsidP="00EC5F7C">
            <w:pPr>
              <w:pStyle w:val="Tabletext"/>
              <w:rPr>
                <w:lang w:val="es-ES" w:eastAsia="es-ES"/>
              </w:rPr>
            </w:pPr>
            <w:r w:rsidRPr="00EC5F7C">
              <w:rPr>
                <w:lang w:val="es-ES" w:eastAsia="es-ES"/>
              </w:rPr>
              <w:t>EESS (activo) para sonda radar espacial</w:t>
            </w:r>
          </w:p>
        </w:tc>
        <w:tc>
          <w:tcPr>
            <w:tcW w:w="83" w:type="pct"/>
            <w:gridSpan w:val="2"/>
            <w:tcBorders>
              <w:top w:val="nil"/>
              <w:left w:val="nil"/>
              <w:bottom w:val="nil"/>
              <w:right w:val="nil"/>
            </w:tcBorders>
            <w:shd w:val="clear" w:color="auto" w:fill="auto"/>
            <w:noWrap/>
            <w:vAlign w:val="bottom"/>
            <w:hideMark/>
          </w:tcPr>
          <w:p w14:paraId="5CA2EBE5" w14:textId="77777777" w:rsidR="00CC63FE" w:rsidRPr="00EC5F7C" w:rsidRDefault="00CC63FE" w:rsidP="00EC5F7C">
            <w:pPr>
              <w:pStyle w:val="Tabletext"/>
              <w:rPr>
                <w:lang w:val="es-ES" w:eastAsia="es-ES"/>
              </w:rPr>
            </w:pPr>
          </w:p>
        </w:tc>
        <w:tc>
          <w:tcPr>
            <w:tcW w:w="689" w:type="pct"/>
            <w:gridSpan w:val="2"/>
            <w:tcBorders>
              <w:top w:val="single" w:sz="4" w:space="0" w:color="auto"/>
              <w:left w:val="single" w:sz="4" w:space="0" w:color="auto"/>
              <w:bottom w:val="nil"/>
              <w:right w:val="single" w:sz="4" w:space="0" w:color="auto"/>
            </w:tcBorders>
            <w:shd w:val="clear" w:color="auto" w:fill="auto"/>
            <w:noWrap/>
            <w:vAlign w:val="bottom"/>
            <w:hideMark/>
          </w:tcPr>
          <w:p w14:paraId="714095DE" w14:textId="77777777" w:rsidR="00CC63FE" w:rsidRPr="00EC5F7C" w:rsidRDefault="00CC63FE" w:rsidP="00634BAB">
            <w:pPr>
              <w:pStyle w:val="Tabletext"/>
              <w:jc w:val="center"/>
              <w:rPr>
                <w:lang w:val="es-ES" w:eastAsia="es-ES"/>
              </w:rPr>
            </w:pPr>
            <w:r w:rsidRPr="00EC5F7C">
              <w:rPr>
                <w:lang w:val="es-ES" w:eastAsia="es-ES"/>
              </w:rPr>
              <w:t>148.991</w:t>
            </w:r>
          </w:p>
        </w:tc>
        <w:tc>
          <w:tcPr>
            <w:tcW w:w="603" w:type="pct"/>
            <w:tcBorders>
              <w:top w:val="single" w:sz="4" w:space="0" w:color="auto"/>
              <w:left w:val="nil"/>
              <w:bottom w:val="nil"/>
              <w:right w:val="nil"/>
            </w:tcBorders>
            <w:shd w:val="clear" w:color="auto" w:fill="auto"/>
            <w:noWrap/>
            <w:vAlign w:val="bottom"/>
            <w:hideMark/>
          </w:tcPr>
          <w:p w14:paraId="55C25225" w14:textId="77777777" w:rsidR="00CC63FE" w:rsidRPr="00EC5F7C" w:rsidRDefault="00CC63FE" w:rsidP="00634BAB">
            <w:pPr>
              <w:pStyle w:val="Tabletext"/>
              <w:jc w:val="center"/>
              <w:rPr>
                <w:lang w:val="es-ES" w:eastAsia="es-ES"/>
              </w:rPr>
            </w:pPr>
            <w:r w:rsidRPr="00EC5F7C">
              <w:rPr>
                <w:lang w:val="es-ES" w:eastAsia="es-ES"/>
              </w:rPr>
              <w:t>26.293</w:t>
            </w:r>
          </w:p>
        </w:tc>
        <w:tc>
          <w:tcPr>
            <w:tcW w:w="610" w:type="pct"/>
            <w:tcBorders>
              <w:top w:val="nil"/>
              <w:left w:val="single" w:sz="4" w:space="0" w:color="auto"/>
              <w:bottom w:val="single" w:sz="4" w:space="0" w:color="auto"/>
              <w:right w:val="single" w:sz="4" w:space="0" w:color="auto"/>
            </w:tcBorders>
            <w:shd w:val="clear" w:color="auto" w:fill="auto"/>
            <w:noWrap/>
            <w:vAlign w:val="bottom"/>
            <w:hideMark/>
          </w:tcPr>
          <w:p w14:paraId="1AD62FE2" w14:textId="77777777" w:rsidR="00CC63FE" w:rsidRPr="00EC5F7C" w:rsidRDefault="00CC63FE" w:rsidP="00634BAB">
            <w:pPr>
              <w:pStyle w:val="Tabletext"/>
              <w:jc w:val="center"/>
              <w:rPr>
                <w:lang w:val="es-ES" w:eastAsia="es-ES"/>
              </w:rPr>
            </w:pPr>
            <w:r w:rsidRPr="00EC5F7C">
              <w:rPr>
                <w:lang w:val="es-ES" w:eastAsia="es-ES"/>
              </w:rPr>
              <w:t>254.162</w:t>
            </w:r>
          </w:p>
        </w:tc>
      </w:tr>
      <w:tr w:rsidR="00CC63FE" w:rsidRPr="00415F30" w14:paraId="2A96ADB3" w14:textId="77777777" w:rsidTr="00634BAB">
        <w:trPr>
          <w:trHeight w:val="340"/>
        </w:trPr>
        <w:tc>
          <w:tcPr>
            <w:tcW w:w="3015" w:type="pct"/>
            <w:tcBorders>
              <w:top w:val="single" w:sz="4" w:space="0" w:color="auto"/>
              <w:left w:val="single" w:sz="4" w:space="0" w:color="auto"/>
              <w:bottom w:val="nil"/>
              <w:right w:val="single" w:sz="4" w:space="0" w:color="auto"/>
            </w:tcBorders>
            <w:shd w:val="clear" w:color="000000" w:fill="E2EFDA"/>
            <w:vAlign w:val="bottom"/>
            <w:hideMark/>
          </w:tcPr>
          <w:p w14:paraId="29D32388" w14:textId="77777777" w:rsidR="00CC63FE" w:rsidRPr="00EC5F7C" w:rsidRDefault="00CC63FE" w:rsidP="00EC5F7C">
            <w:pPr>
              <w:pStyle w:val="Tabletext"/>
              <w:rPr>
                <w:lang w:val="es-ES" w:eastAsia="es-ES"/>
              </w:rPr>
            </w:pPr>
            <w:r w:rsidRPr="00EC5F7C">
              <w:rPr>
                <w:lang w:val="es-ES" w:eastAsia="es-ES"/>
              </w:rPr>
              <w:t>SFS (espacio-Tierra) en la banda 17,3-17,7 GHz en la Región 2</w:t>
            </w:r>
          </w:p>
        </w:tc>
        <w:tc>
          <w:tcPr>
            <w:tcW w:w="83" w:type="pct"/>
            <w:gridSpan w:val="2"/>
            <w:tcBorders>
              <w:top w:val="nil"/>
              <w:left w:val="nil"/>
              <w:bottom w:val="nil"/>
              <w:right w:val="nil"/>
            </w:tcBorders>
            <w:shd w:val="clear" w:color="auto" w:fill="auto"/>
            <w:noWrap/>
            <w:vAlign w:val="bottom"/>
            <w:hideMark/>
          </w:tcPr>
          <w:p w14:paraId="2406E9A1" w14:textId="77777777" w:rsidR="00CC63FE" w:rsidRPr="00EC5F7C" w:rsidRDefault="00CC63FE" w:rsidP="00EC5F7C">
            <w:pPr>
              <w:pStyle w:val="Tabletext"/>
              <w:rPr>
                <w:lang w:val="es-ES" w:eastAsia="es-ES"/>
              </w:rPr>
            </w:pPr>
          </w:p>
        </w:tc>
        <w:tc>
          <w:tcPr>
            <w:tcW w:w="689" w:type="pct"/>
            <w:gridSpan w:val="2"/>
            <w:tcBorders>
              <w:top w:val="single" w:sz="4" w:space="0" w:color="auto"/>
              <w:left w:val="single" w:sz="4" w:space="0" w:color="auto"/>
              <w:bottom w:val="nil"/>
              <w:right w:val="single" w:sz="4" w:space="0" w:color="auto"/>
            </w:tcBorders>
            <w:shd w:val="clear" w:color="auto" w:fill="auto"/>
            <w:noWrap/>
            <w:vAlign w:val="bottom"/>
            <w:hideMark/>
          </w:tcPr>
          <w:p w14:paraId="383D9B6F" w14:textId="77777777" w:rsidR="00CC63FE" w:rsidRPr="00EC5F7C" w:rsidRDefault="00CC63FE" w:rsidP="00634BAB">
            <w:pPr>
              <w:pStyle w:val="Tabletext"/>
              <w:jc w:val="center"/>
              <w:rPr>
                <w:lang w:val="es-ES" w:eastAsia="es-ES"/>
              </w:rPr>
            </w:pPr>
            <w:r w:rsidRPr="00EC5F7C">
              <w:rPr>
                <w:lang w:val="es-ES" w:eastAsia="es-ES"/>
              </w:rPr>
              <w:t>148.991</w:t>
            </w:r>
          </w:p>
        </w:tc>
        <w:tc>
          <w:tcPr>
            <w:tcW w:w="603" w:type="pct"/>
            <w:tcBorders>
              <w:top w:val="single" w:sz="4" w:space="0" w:color="auto"/>
              <w:left w:val="nil"/>
              <w:bottom w:val="nil"/>
              <w:right w:val="nil"/>
            </w:tcBorders>
            <w:shd w:val="clear" w:color="auto" w:fill="auto"/>
            <w:noWrap/>
            <w:vAlign w:val="bottom"/>
            <w:hideMark/>
          </w:tcPr>
          <w:p w14:paraId="2E80B1EA" w14:textId="77777777" w:rsidR="00CC63FE" w:rsidRPr="00EC5F7C" w:rsidRDefault="00CC63FE" w:rsidP="00634BAB">
            <w:pPr>
              <w:pStyle w:val="Tabletext"/>
              <w:jc w:val="center"/>
              <w:rPr>
                <w:lang w:val="es-ES" w:eastAsia="es-ES"/>
              </w:rPr>
            </w:pPr>
            <w:r w:rsidRPr="00EC5F7C">
              <w:rPr>
                <w:lang w:val="es-ES" w:eastAsia="es-ES"/>
              </w:rPr>
              <w:t>39.439</w:t>
            </w:r>
          </w:p>
        </w:tc>
        <w:tc>
          <w:tcPr>
            <w:tcW w:w="610" w:type="pct"/>
            <w:tcBorders>
              <w:top w:val="nil"/>
              <w:left w:val="single" w:sz="4" w:space="0" w:color="auto"/>
              <w:bottom w:val="single" w:sz="4" w:space="0" w:color="auto"/>
              <w:right w:val="single" w:sz="4" w:space="0" w:color="auto"/>
            </w:tcBorders>
            <w:shd w:val="clear" w:color="auto" w:fill="auto"/>
            <w:noWrap/>
            <w:vAlign w:val="bottom"/>
            <w:hideMark/>
          </w:tcPr>
          <w:p w14:paraId="1A362784" w14:textId="77777777" w:rsidR="00CC63FE" w:rsidRPr="00EC5F7C" w:rsidRDefault="00CC63FE" w:rsidP="00634BAB">
            <w:pPr>
              <w:pStyle w:val="Tabletext"/>
              <w:jc w:val="center"/>
              <w:rPr>
                <w:lang w:val="es-ES" w:eastAsia="es-ES"/>
              </w:rPr>
            </w:pPr>
            <w:r w:rsidRPr="00EC5F7C">
              <w:rPr>
                <w:lang w:val="es-ES" w:eastAsia="es-ES"/>
              </w:rPr>
              <w:t>306.747</w:t>
            </w:r>
          </w:p>
        </w:tc>
      </w:tr>
      <w:tr w:rsidR="00CC63FE" w:rsidRPr="00415F30" w14:paraId="0463D81F" w14:textId="77777777" w:rsidTr="00634BAB">
        <w:trPr>
          <w:trHeight w:val="310"/>
        </w:trPr>
        <w:tc>
          <w:tcPr>
            <w:tcW w:w="3015" w:type="pct"/>
            <w:tcBorders>
              <w:top w:val="single" w:sz="4" w:space="0" w:color="auto"/>
              <w:left w:val="single" w:sz="4" w:space="0" w:color="auto"/>
              <w:bottom w:val="single" w:sz="4" w:space="0" w:color="auto"/>
              <w:right w:val="single" w:sz="4" w:space="0" w:color="auto"/>
            </w:tcBorders>
            <w:shd w:val="clear" w:color="000000" w:fill="E2EFDA"/>
            <w:vAlign w:val="bottom"/>
            <w:hideMark/>
          </w:tcPr>
          <w:p w14:paraId="71926F16" w14:textId="529515D2" w:rsidR="00CC63FE" w:rsidRPr="00EC5F7C" w:rsidRDefault="00CC63FE" w:rsidP="00EC5F7C">
            <w:pPr>
              <w:pStyle w:val="Tabletext"/>
              <w:rPr>
                <w:lang w:val="es-ES" w:eastAsia="es-ES"/>
              </w:rPr>
            </w:pPr>
            <w:r w:rsidRPr="00EC5F7C">
              <w:rPr>
                <w:lang w:val="es-ES" w:eastAsia="es-ES"/>
              </w:rPr>
              <w:t>Procedimiento de puesta en servicio de sistemas no OSG después de cada objetivo intermedio (Resolución 35 REV. CMR-23)</w:t>
            </w:r>
            <w:r w:rsidR="001A59AC">
              <w:rPr>
                <w:lang w:val="es-ES" w:eastAsia="es-ES"/>
              </w:rPr>
              <w:t>.</w:t>
            </w:r>
          </w:p>
        </w:tc>
        <w:tc>
          <w:tcPr>
            <w:tcW w:w="83" w:type="pct"/>
            <w:gridSpan w:val="2"/>
            <w:tcBorders>
              <w:top w:val="nil"/>
              <w:left w:val="nil"/>
              <w:bottom w:val="nil"/>
              <w:right w:val="nil"/>
            </w:tcBorders>
            <w:shd w:val="clear" w:color="auto" w:fill="auto"/>
            <w:noWrap/>
            <w:vAlign w:val="bottom"/>
            <w:hideMark/>
          </w:tcPr>
          <w:p w14:paraId="19BC8EA3" w14:textId="77777777" w:rsidR="00CC63FE" w:rsidRPr="00EC5F7C" w:rsidRDefault="00CC63FE" w:rsidP="00EC5F7C">
            <w:pPr>
              <w:pStyle w:val="Tabletext"/>
              <w:rPr>
                <w:lang w:val="es-ES" w:eastAsia="es-ES"/>
              </w:rPr>
            </w:pPr>
          </w:p>
        </w:tc>
        <w:tc>
          <w:tcPr>
            <w:tcW w:w="68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8CF90" w14:textId="77777777" w:rsidR="00CC63FE" w:rsidRPr="00EC5F7C" w:rsidRDefault="00CC63FE" w:rsidP="00634BAB">
            <w:pPr>
              <w:pStyle w:val="Tabletext"/>
              <w:jc w:val="center"/>
              <w:rPr>
                <w:lang w:val="es-ES" w:eastAsia="es-ES"/>
              </w:rPr>
            </w:pPr>
            <w:r w:rsidRPr="00EC5F7C">
              <w:rPr>
                <w:lang w:val="es-ES" w:eastAsia="es-ES"/>
              </w:rPr>
              <w:t>175.284</w:t>
            </w:r>
          </w:p>
        </w:tc>
        <w:tc>
          <w:tcPr>
            <w:tcW w:w="603" w:type="pct"/>
            <w:tcBorders>
              <w:top w:val="single" w:sz="4" w:space="0" w:color="auto"/>
              <w:left w:val="nil"/>
              <w:bottom w:val="single" w:sz="4" w:space="0" w:color="auto"/>
              <w:right w:val="nil"/>
            </w:tcBorders>
            <w:shd w:val="clear" w:color="auto" w:fill="auto"/>
            <w:noWrap/>
            <w:vAlign w:val="bottom"/>
            <w:hideMark/>
          </w:tcPr>
          <w:p w14:paraId="59FFCB09" w14:textId="77777777" w:rsidR="00CC63FE" w:rsidRPr="00EC5F7C" w:rsidRDefault="00CC63FE" w:rsidP="00634BAB">
            <w:pPr>
              <w:pStyle w:val="Tabletext"/>
              <w:jc w:val="center"/>
              <w:rPr>
                <w:lang w:val="es-ES" w:eastAsia="es-ES"/>
              </w:rPr>
            </w:pPr>
            <w:r w:rsidRPr="00EC5F7C">
              <w:rPr>
                <w:lang w:val="es-ES" w:eastAsia="es-ES"/>
              </w:rPr>
              <w:t>61.349</w:t>
            </w:r>
          </w:p>
        </w:tc>
        <w:tc>
          <w:tcPr>
            <w:tcW w:w="610" w:type="pct"/>
            <w:tcBorders>
              <w:top w:val="nil"/>
              <w:left w:val="single" w:sz="4" w:space="0" w:color="auto"/>
              <w:bottom w:val="single" w:sz="4" w:space="0" w:color="auto"/>
              <w:right w:val="single" w:sz="4" w:space="0" w:color="auto"/>
            </w:tcBorders>
            <w:shd w:val="clear" w:color="auto" w:fill="auto"/>
            <w:noWrap/>
            <w:vAlign w:val="bottom"/>
            <w:hideMark/>
          </w:tcPr>
          <w:p w14:paraId="451CFEB2" w14:textId="77777777" w:rsidR="00CC63FE" w:rsidRPr="00EC5F7C" w:rsidRDefault="00CC63FE" w:rsidP="00634BAB">
            <w:pPr>
              <w:pStyle w:val="Tabletext"/>
              <w:jc w:val="center"/>
              <w:rPr>
                <w:lang w:val="es-ES" w:eastAsia="es-ES"/>
              </w:rPr>
            </w:pPr>
            <w:r w:rsidRPr="00EC5F7C">
              <w:rPr>
                <w:lang w:val="es-ES" w:eastAsia="es-ES"/>
              </w:rPr>
              <w:t>420.682</w:t>
            </w:r>
          </w:p>
        </w:tc>
      </w:tr>
      <w:tr w:rsidR="00CC63FE" w:rsidRPr="00415F30" w14:paraId="4055E887" w14:textId="77777777" w:rsidTr="00634BAB">
        <w:trPr>
          <w:trHeight w:val="310"/>
        </w:trPr>
        <w:tc>
          <w:tcPr>
            <w:tcW w:w="3015" w:type="pct"/>
            <w:tcBorders>
              <w:top w:val="nil"/>
              <w:left w:val="nil"/>
              <w:bottom w:val="nil"/>
              <w:right w:val="nil"/>
            </w:tcBorders>
            <w:shd w:val="clear" w:color="auto" w:fill="auto"/>
            <w:noWrap/>
            <w:vAlign w:val="bottom"/>
            <w:hideMark/>
          </w:tcPr>
          <w:p w14:paraId="0566CE7E" w14:textId="77777777" w:rsidR="00CC63FE" w:rsidRPr="00EC5F7C" w:rsidRDefault="00CC63FE" w:rsidP="00EC5F7C">
            <w:pPr>
              <w:pStyle w:val="Tabletext"/>
              <w:rPr>
                <w:lang w:val="es-ES" w:eastAsia="es-ES"/>
              </w:rPr>
            </w:pPr>
          </w:p>
        </w:tc>
        <w:tc>
          <w:tcPr>
            <w:tcW w:w="83" w:type="pct"/>
            <w:gridSpan w:val="2"/>
            <w:tcBorders>
              <w:top w:val="nil"/>
              <w:left w:val="nil"/>
              <w:bottom w:val="nil"/>
              <w:right w:val="nil"/>
            </w:tcBorders>
            <w:shd w:val="clear" w:color="auto" w:fill="auto"/>
            <w:noWrap/>
            <w:vAlign w:val="bottom"/>
            <w:hideMark/>
          </w:tcPr>
          <w:p w14:paraId="540C7836" w14:textId="77777777" w:rsidR="00CC63FE" w:rsidRPr="00415F30" w:rsidRDefault="00CC63FE" w:rsidP="00EC5F7C">
            <w:pPr>
              <w:pStyle w:val="Tabletext"/>
              <w:rPr>
                <w:lang w:val="es-ES" w:eastAsia="es-ES"/>
              </w:rPr>
            </w:pPr>
          </w:p>
        </w:tc>
        <w:tc>
          <w:tcPr>
            <w:tcW w:w="689" w:type="pct"/>
            <w:gridSpan w:val="2"/>
            <w:tcBorders>
              <w:top w:val="nil"/>
              <w:left w:val="nil"/>
              <w:bottom w:val="nil"/>
              <w:right w:val="nil"/>
            </w:tcBorders>
            <w:shd w:val="clear" w:color="auto" w:fill="auto"/>
            <w:noWrap/>
            <w:vAlign w:val="bottom"/>
            <w:hideMark/>
          </w:tcPr>
          <w:p w14:paraId="7D6C918C" w14:textId="77777777" w:rsidR="00CC63FE" w:rsidRPr="00415F30" w:rsidRDefault="00CC63FE" w:rsidP="00634BAB">
            <w:pPr>
              <w:pStyle w:val="Tabletext"/>
              <w:jc w:val="center"/>
              <w:rPr>
                <w:lang w:val="es-ES" w:eastAsia="es-ES"/>
              </w:rPr>
            </w:pPr>
          </w:p>
        </w:tc>
        <w:tc>
          <w:tcPr>
            <w:tcW w:w="603" w:type="pct"/>
            <w:tcBorders>
              <w:top w:val="nil"/>
              <w:left w:val="nil"/>
              <w:bottom w:val="nil"/>
              <w:right w:val="nil"/>
            </w:tcBorders>
            <w:shd w:val="clear" w:color="auto" w:fill="auto"/>
            <w:noWrap/>
            <w:vAlign w:val="bottom"/>
            <w:hideMark/>
          </w:tcPr>
          <w:p w14:paraId="49189135" w14:textId="77777777" w:rsidR="00CC63FE" w:rsidRPr="00415F30" w:rsidRDefault="00CC63FE" w:rsidP="00634BAB">
            <w:pPr>
              <w:pStyle w:val="Tabletext"/>
              <w:jc w:val="center"/>
              <w:rPr>
                <w:lang w:val="es-ES" w:eastAsia="es-ES"/>
              </w:rPr>
            </w:pPr>
          </w:p>
        </w:tc>
        <w:tc>
          <w:tcPr>
            <w:tcW w:w="610" w:type="pct"/>
            <w:tcBorders>
              <w:top w:val="nil"/>
              <w:left w:val="nil"/>
              <w:bottom w:val="nil"/>
              <w:right w:val="nil"/>
            </w:tcBorders>
            <w:shd w:val="clear" w:color="auto" w:fill="auto"/>
            <w:noWrap/>
            <w:vAlign w:val="bottom"/>
            <w:hideMark/>
          </w:tcPr>
          <w:p w14:paraId="4E878714" w14:textId="77777777" w:rsidR="00CC63FE" w:rsidRPr="00415F30" w:rsidRDefault="00CC63FE" w:rsidP="00634BAB">
            <w:pPr>
              <w:pStyle w:val="Tabletext"/>
              <w:jc w:val="center"/>
              <w:rPr>
                <w:lang w:val="es-ES" w:eastAsia="es-ES"/>
              </w:rPr>
            </w:pPr>
          </w:p>
        </w:tc>
      </w:tr>
      <w:tr w:rsidR="00CC63FE" w:rsidRPr="00415F30" w14:paraId="215B87FF" w14:textId="77777777" w:rsidTr="00634BAB">
        <w:trPr>
          <w:trHeight w:val="310"/>
        </w:trPr>
        <w:tc>
          <w:tcPr>
            <w:tcW w:w="3015" w:type="pct"/>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3AC649DA" w14:textId="77777777" w:rsidR="00CC63FE" w:rsidRPr="00EC5F7C" w:rsidRDefault="00CC63FE" w:rsidP="00EC5F7C">
            <w:pPr>
              <w:pStyle w:val="Tabletext"/>
              <w:rPr>
                <w:b/>
                <w:bCs/>
                <w:lang w:val="es-ES" w:eastAsia="es-ES"/>
              </w:rPr>
            </w:pPr>
            <w:r w:rsidRPr="00EC5F7C">
              <w:rPr>
                <w:b/>
                <w:bCs/>
                <w:lang w:val="es-ES" w:eastAsia="es-ES"/>
              </w:rPr>
              <w:t>Total</w:t>
            </w:r>
          </w:p>
        </w:tc>
        <w:tc>
          <w:tcPr>
            <w:tcW w:w="83" w:type="pct"/>
            <w:gridSpan w:val="2"/>
            <w:tcBorders>
              <w:top w:val="nil"/>
              <w:left w:val="nil"/>
              <w:bottom w:val="nil"/>
              <w:right w:val="nil"/>
            </w:tcBorders>
            <w:shd w:val="clear" w:color="auto" w:fill="auto"/>
            <w:noWrap/>
            <w:vAlign w:val="bottom"/>
            <w:hideMark/>
          </w:tcPr>
          <w:p w14:paraId="640BFC9F" w14:textId="77777777" w:rsidR="00CC63FE" w:rsidRPr="00EC5F7C" w:rsidRDefault="00CC63FE" w:rsidP="00EC5F7C">
            <w:pPr>
              <w:pStyle w:val="Tabletext"/>
              <w:rPr>
                <w:lang w:val="es-ES" w:eastAsia="es-ES"/>
              </w:rPr>
            </w:pPr>
          </w:p>
        </w:tc>
        <w:tc>
          <w:tcPr>
            <w:tcW w:w="68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74417" w14:textId="77777777" w:rsidR="00CC63FE" w:rsidRPr="00EC5F7C" w:rsidRDefault="00CC63FE" w:rsidP="00634BAB">
            <w:pPr>
              <w:pStyle w:val="Tabletext"/>
              <w:jc w:val="center"/>
              <w:rPr>
                <w:lang w:val="es-ES" w:eastAsia="es-ES"/>
              </w:rPr>
            </w:pPr>
            <w:r w:rsidRPr="00EC5F7C">
              <w:rPr>
                <w:lang w:val="es-ES" w:eastAsia="es-ES"/>
              </w:rPr>
              <w:t>2.979.828</w:t>
            </w:r>
          </w:p>
        </w:tc>
        <w:tc>
          <w:tcPr>
            <w:tcW w:w="603" w:type="pct"/>
            <w:tcBorders>
              <w:top w:val="single" w:sz="4" w:space="0" w:color="auto"/>
              <w:left w:val="nil"/>
              <w:bottom w:val="single" w:sz="4" w:space="0" w:color="auto"/>
              <w:right w:val="nil"/>
            </w:tcBorders>
            <w:shd w:val="clear" w:color="auto" w:fill="auto"/>
            <w:noWrap/>
            <w:vAlign w:val="bottom"/>
            <w:hideMark/>
          </w:tcPr>
          <w:p w14:paraId="552C0883" w14:textId="01AD4469" w:rsidR="00CC63FE" w:rsidRPr="00EC5F7C" w:rsidRDefault="00CC63FE" w:rsidP="00634BAB">
            <w:pPr>
              <w:pStyle w:val="Tabletext"/>
              <w:jc w:val="center"/>
              <w:rPr>
                <w:lang w:val="es-ES" w:eastAsia="es-ES"/>
              </w:rPr>
            </w:pPr>
            <w:r w:rsidRPr="00EC5F7C">
              <w:rPr>
                <w:lang w:val="es-ES" w:eastAsia="es-ES"/>
              </w:rPr>
              <w:t>1</w:t>
            </w:r>
            <w:r w:rsidR="003B7CFD">
              <w:rPr>
                <w:lang w:val="es-ES" w:eastAsia="es-ES"/>
              </w:rPr>
              <w:t>.</w:t>
            </w:r>
            <w:r w:rsidRPr="00EC5F7C">
              <w:rPr>
                <w:lang w:val="es-ES" w:eastAsia="es-ES"/>
              </w:rPr>
              <w:t>827</w:t>
            </w:r>
            <w:r w:rsidR="003B7CFD">
              <w:rPr>
                <w:lang w:val="es-ES" w:eastAsia="es-ES"/>
              </w:rPr>
              <w:t>.</w:t>
            </w:r>
            <w:r w:rsidRPr="00EC5F7C">
              <w:rPr>
                <w:lang w:val="es-ES" w:eastAsia="es-ES"/>
              </w:rPr>
              <w:t>336</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F617C" w14:textId="0E15F4B2" w:rsidR="00CC63FE" w:rsidRPr="00EC5F7C" w:rsidRDefault="00CC63FE" w:rsidP="00634BAB">
            <w:pPr>
              <w:pStyle w:val="Tabletext"/>
              <w:jc w:val="center"/>
              <w:rPr>
                <w:b/>
                <w:bCs/>
                <w:lang w:val="es-ES" w:eastAsia="es-ES"/>
              </w:rPr>
            </w:pPr>
            <w:r w:rsidRPr="00EC5F7C">
              <w:rPr>
                <w:b/>
                <w:bCs/>
                <w:lang w:val="es-ES" w:eastAsia="es-ES"/>
              </w:rPr>
              <w:t>10</w:t>
            </w:r>
            <w:r w:rsidR="003B7CFD">
              <w:rPr>
                <w:b/>
                <w:bCs/>
                <w:lang w:val="es-ES" w:eastAsia="es-ES"/>
              </w:rPr>
              <w:t>.</w:t>
            </w:r>
            <w:r w:rsidRPr="00EC5F7C">
              <w:rPr>
                <w:b/>
                <w:bCs/>
                <w:lang w:val="es-ES" w:eastAsia="es-ES"/>
              </w:rPr>
              <w:t>289</w:t>
            </w:r>
            <w:r w:rsidR="003B7CFD">
              <w:rPr>
                <w:b/>
                <w:bCs/>
                <w:lang w:val="es-ES" w:eastAsia="es-ES"/>
              </w:rPr>
              <w:t>.</w:t>
            </w:r>
            <w:r w:rsidRPr="00EC5F7C">
              <w:rPr>
                <w:b/>
                <w:bCs/>
                <w:lang w:val="es-ES" w:eastAsia="es-ES"/>
              </w:rPr>
              <w:t>171</w:t>
            </w:r>
          </w:p>
        </w:tc>
      </w:tr>
      <w:tr w:rsidR="00CC63FE" w:rsidRPr="00415F30" w14:paraId="4E8AB76E" w14:textId="77777777" w:rsidTr="00634BAB">
        <w:trPr>
          <w:trHeight w:val="310"/>
        </w:trPr>
        <w:tc>
          <w:tcPr>
            <w:tcW w:w="3015" w:type="pct"/>
            <w:tcBorders>
              <w:top w:val="nil"/>
              <w:left w:val="nil"/>
              <w:bottom w:val="nil"/>
              <w:right w:val="nil"/>
            </w:tcBorders>
            <w:shd w:val="clear" w:color="auto" w:fill="auto"/>
            <w:noWrap/>
            <w:vAlign w:val="bottom"/>
            <w:hideMark/>
          </w:tcPr>
          <w:p w14:paraId="4F7D1315" w14:textId="77777777" w:rsidR="00CC63FE" w:rsidRPr="00415F30" w:rsidRDefault="00CC63FE" w:rsidP="00EC5F7C">
            <w:pPr>
              <w:tabs>
                <w:tab w:val="clear" w:pos="1134"/>
                <w:tab w:val="clear" w:pos="1871"/>
                <w:tab w:val="clear" w:pos="2268"/>
              </w:tabs>
              <w:overflowPunct/>
              <w:autoSpaceDE/>
              <w:autoSpaceDN/>
              <w:adjustRightInd/>
              <w:spacing w:before="0"/>
              <w:jc w:val="right"/>
              <w:textAlignment w:val="auto"/>
              <w:rPr>
                <w:rFonts w:ascii="Calibri" w:hAnsi="Calibri" w:cs="Calibri"/>
                <w:b/>
                <w:bCs/>
                <w:color w:val="000000"/>
                <w:szCs w:val="24"/>
                <w:lang w:val="es-ES" w:eastAsia="es-ES"/>
              </w:rPr>
            </w:pPr>
          </w:p>
        </w:tc>
        <w:tc>
          <w:tcPr>
            <w:tcW w:w="83" w:type="pct"/>
            <w:gridSpan w:val="2"/>
            <w:tcBorders>
              <w:top w:val="nil"/>
              <w:left w:val="nil"/>
              <w:bottom w:val="nil"/>
              <w:right w:val="nil"/>
            </w:tcBorders>
            <w:shd w:val="clear" w:color="auto" w:fill="auto"/>
            <w:noWrap/>
            <w:vAlign w:val="bottom"/>
            <w:hideMark/>
          </w:tcPr>
          <w:p w14:paraId="0C51F77B" w14:textId="77777777" w:rsidR="00CC63FE" w:rsidRPr="00415F30" w:rsidRDefault="00CC63FE" w:rsidP="00EC5F7C">
            <w:pPr>
              <w:tabs>
                <w:tab w:val="clear" w:pos="1134"/>
                <w:tab w:val="clear" w:pos="1871"/>
                <w:tab w:val="clear" w:pos="2268"/>
              </w:tabs>
              <w:overflowPunct/>
              <w:autoSpaceDE/>
              <w:autoSpaceDN/>
              <w:adjustRightInd/>
              <w:spacing w:before="0"/>
              <w:textAlignment w:val="auto"/>
              <w:rPr>
                <w:sz w:val="20"/>
                <w:lang w:val="es-ES" w:eastAsia="es-ES"/>
              </w:rPr>
            </w:pPr>
          </w:p>
        </w:tc>
        <w:tc>
          <w:tcPr>
            <w:tcW w:w="689" w:type="pct"/>
            <w:gridSpan w:val="2"/>
            <w:tcBorders>
              <w:top w:val="nil"/>
              <w:left w:val="nil"/>
              <w:bottom w:val="nil"/>
              <w:right w:val="nil"/>
            </w:tcBorders>
            <w:shd w:val="clear" w:color="auto" w:fill="auto"/>
            <w:noWrap/>
            <w:vAlign w:val="bottom"/>
            <w:hideMark/>
          </w:tcPr>
          <w:p w14:paraId="3F8FDDE9" w14:textId="77777777" w:rsidR="00CC63FE" w:rsidRPr="00415F30" w:rsidRDefault="00CC63FE" w:rsidP="00EC5F7C">
            <w:pPr>
              <w:tabs>
                <w:tab w:val="clear" w:pos="1134"/>
                <w:tab w:val="clear" w:pos="1871"/>
                <w:tab w:val="clear" w:pos="2268"/>
              </w:tabs>
              <w:overflowPunct/>
              <w:autoSpaceDE/>
              <w:autoSpaceDN/>
              <w:adjustRightInd/>
              <w:spacing w:before="0"/>
              <w:textAlignment w:val="auto"/>
              <w:rPr>
                <w:sz w:val="20"/>
                <w:lang w:val="es-ES" w:eastAsia="es-ES"/>
              </w:rPr>
            </w:pPr>
          </w:p>
        </w:tc>
        <w:tc>
          <w:tcPr>
            <w:tcW w:w="603" w:type="pct"/>
            <w:tcBorders>
              <w:top w:val="nil"/>
              <w:left w:val="nil"/>
              <w:bottom w:val="nil"/>
              <w:right w:val="nil"/>
            </w:tcBorders>
            <w:shd w:val="clear" w:color="auto" w:fill="auto"/>
            <w:noWrap/>
            <w:vAlign w:val="bottom"/>
            <w:hideMark/>
          </w:tcPr>
          <w:p w14:paraId="0D40FE47" w14:textId="77777777" w:rsidR="00CC63FE" w:rsidRPr="00415F30" w:rsidRDefault="00CC63FE" w:rsidP="00EC5F7C">
            <w:pPr>
              <w:tabs>
                <w:tab w:val="clear" w:pos="1134"/>
                <w:tab w:val="clear" w:pos="1871"/>
                <w:tab w:val="clear" w:pos="2268"/>
              </w:tabs>
              <w:overflowPunct/>
              <w:autoSpaceDE/>
              <w:autoSpaceDN/>
              <w:adjustRightInd/>
              <w:spacing w:before="0"/>
              <w:textAlignment w:val="auto"/>
              <w:rPr>
                <w:sz w:val="20"/>
                <w:lang w:val="es-ES" w:eastAsia="es-ES"/>
              </w:rPr>
            </w:pPr>
          </w:p>
        </w:tc>
        <w:tc>
          <w:tcPr>
            <w:tcW w:w="610" w:type="pct"/>
            <w:tcBorders>
              <w:top w:val="nil"/>
              <w:left w:val="nil"/>
              <w:bottom w:val="nil"/>
              <w:right w:val="nil"/>
            </w:tcBorders>
            <w:shd w:val="clear" w:color="auto" w:fill="auto"/>
            <w:noWrap/>
            <w:vAlign w:val="bottom"/>
            <w:hideMark/>
          </w:tcPr>
          <w:p w14:paraId="116799FA" w14:textId="77777777" w:rsidR="00CC63FE" w:rsidRPr="00415F30" w:rsidRDefault="00CC63FE" w:rsidP="00EC5F7C">
            <w:pPr>
              <w:tabs>
                <w:tab w:val="clear" w:pos="1134"/>
                <w:tab w:val="clear" w:pos="1871"/>
                <w:tab w:val="clear" w:pos="2268"/>
              </w:tabs>
              <w:overflowPunct/>
              <w:autoSpaceDE/>
              <w:autoSpaceDN/>
              <w:adjustRightInd/>
              <w:spacing w:before="0"/>
              <w:textAlignment w:val="auto"/>
              <w:rPr>
                <w:sz w:val="20"/>
                <w:lang w:val="es-ES" w:eastAsia="es-ES"/>
              </w:rPr>
            </w:pPr>
          </w:p>
        </w:tc>
      </w:tr>
      <w:tr w:rsidR="00CC63FE" w:rsidRPr="00415F30" w14:paraId="25AD72CC" w14:textId="77777777" w:rsidTr="00634BAB">
        <w:trPr>
          <w:trHeight w:val="660"/>
        </w:trPr>
        <w:tc>
          <w:tcPr>
            <w:tcW w:w="5000" w:type="pct"/>
            <w:gridSpan w:val="7"/>
            <w:tcBorders>
              <w:top w:val="nil"/>
              <w:left w:val="nil"/>
              <w:bottom w:val="nil"/>
              <w:right w:val="nil"/>
            </w:tcBorders>
            <w:shd w:val="clear" w:color="auto" w:fill="auto"/>
            <w:vAlign w:val="bottom"/>
            <w:hideMark/>
          </w:tcPr>
          <w:p w14:paraId="6AD26D06" w14:textId="55F09D40" w:rsidR="00CC63FE" w:rsidRPr="002B26C8" w:rsidRDefault="00CC63FE" w:rsidP="00EC5F7C">
            <w:pPr>
              <w:pStyle w:val="Note"/>
              <w:rPr>
                <w:lang w:val="es-ES"/>
              </w:rPr>
            </w:pPr>
            <w:r>
              <w:rPr>
                <w:lang w:val="es-ES"/>
              </w:rPr>
              <w:t>NOTA para la Resolución 76: el «encarga 4» puede implicar que el Consejo tenga que considerar una financiación adicional (para el software de simulación de la dfpe combinada), pero no se puede formular una estimación por el momento.</w:t>
            </w:r>
          </w:p>
        </w:tc>
      </w:tr>
    </w:tbl>
    <w:p w14:paraId="0ACD8C13" w14:textId="77777777" w:rsidR="002B26C8" w:rsidRDefault="002B26C8" w:rsidP="00EC5F7C">
      <w:pPr>
        <w:pStyle w:val="Reasons"/>
      </w:pPr>
    </w:p>
    <w:p w14:paraId="0A8376FE" w14:textId="77777777" w:rsidR="002B26C8" w:rsidRDefault="002B26C8" w:rsidP="00EC5F7C">
      <w:pPr>
        <w:jc w:val="center"/>
      </w:pPr>
      <w:r>
        <w:t>______________</w:t>
      </w:r>
    </w:p>
    <w:sectPr w:rsidR="002B26C8" w:rsidSect="00C635E0">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7F776" w14:textId="77777777" w:rsidR="00794064" w:rsidRDefault="00794064">
      <w:r>
        <w:separator/>
      </w:r>
    </w:p>
  </w:endnote>
  <w:endnote w:type="continuationSeparator" w:id="0">
    <w:p w14:paraId="7198A49E" w14:textId="77777777" w:rsidR="00794064" w:rsidRDefault="00794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CA9CA"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9A6A99" w14:textId="46AD6108" w:rsidR="0077084A" w:rsidRDefault="0077084A">
    <w:pPr>
      <w:ind w:right="360"/>
      <w:rPr>
        <w:lang w:val="en-US"/>
      </w:rPr>
    </w:pPr>
    <w:r>
      <w:fldChar w:fldCharType="begin"/>
    </w:r>
    <w:r>
      <w:rPr>
        <w:lang w:val="en-US"/>
      </w:rPr>
      <w:instrText xml:space="preserve"> FILENAME \p  \* MERGEFORMAT </w:instrText>
    </w:r>
    <w:r>
      <w:fldChar w:fldCharType="separate"/>
    </w:r>
    <w:r w:rsidR="001B29FC">
      <w:rPr>
        <w:noProof/>
        <w:lang w:val="en-US"/>
      </w:rPr>
      <w:t>Document11</w:t>
    </w:r>
    <w:r>
      <w:fldChar w:fldCharType="end"/>
    </w:r>
    <w:r>
      <w:rPr>
        <w:lang w:val="en-US"/>
      </w:rPr>
      <w:tab/>
    </w:r>
    <w:r>
      <w:fldChar w:fldCharType="begin"/>
    </w:r>
    <w:r>
      <w:instrText xml:space="preserve"> SAVEDATE \@ DD.MM.YY </w:instrText>
    </w:r>
    <w:r>
      <w:fldChar w:fldCharType="separate"/>
    </w:r>
    <w:r w:rsidR="0056382F">
      <w:rPr>
        <w:noProof/>
      </w:rPr>
      <w:t>20.03.24</w:t>
    </w:r>
    <w:r>
      <w:fldChar w:fldCharType="end"/>
    </w:r>
    <w:r>
      <w:rPr>
        <w:lang w:val="en-US"/>
      </w:rPr>
      <w:tab/>
    </w:r>
    <w:r>
      <w:fldChar w:fldCharType="begin"/>
    </w:r>
    <w:r>
      <w:instrText xml:space="preserve"> PRINTDATE \@ DD.MM.YY </w:instrText>
    </w:r>
    <w:r>
      <w:fldChar w:fldCharType="separate"/>
    </w:r>
    <w:r w:rsidR="001B29FC">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16AA1" w14:textId="5A06F398" w:rsidR="00CC63FE" w:rsidRPr="00CC63FE" w:rsidRDefault="004A7C6A" w:rsidP="004A7C6A">
    <w:pPr>
      <w:pStyle w:val="Footer"/>
      <w:rPr>
        <w:lang w:val="en-GB"/>
      </w:rPr>
    </w:pPr>
    <w:fldSimple w:instr=" FILENAME \p  \* MERGEFORMAT ">
      <w:r>
        <w:t>P:\ESP\ITU-R\AG\RAG\INF\001S.docx</w:t>
      </w:r>
    </w:fldSimple>
    <w:r>
      <w:t xml:space="preserve"> (535623)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D8F0A" w14:textId="11173B63" w:rsidR="0077084A" w:rsidRPr="00CC63FE" w:rsidRDefault="00C635E0" w:rsidP="00C635E0">
    <w:pPr>
      <w:pStyle w:val="Footer"/>
      <w:rPr>
        <w:lang w:val="en-GB"/>
      </w:rPr>
    </w:pPr>
    <w:fldSimple w:instr=" FILENAME \p  \* MERGEFORMAT ">
      <w:r>
        <w:t>P:\ESP\ITU-R\AG\RAG\INF\001S.docx</w:t>
      </w:r>
    </w:fldSimple>
    <w:r>
      <w:t xml:space="preserve"> (535623)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DBC22" w14:textId="77777777" w:rsidR="00794064" w:rsidRDefault="00794064">
      <w:r>
        <w:rPr>
          <w:b/>
        </w:rPr>
        <w:t>_______________</w:t>
      </w:r>
    </w:p>
  </w:footnote>
  <w:footnote w:type="continuationSeparator" w:id="0">
    <w:p w14:paraId="2B4BD8CD" w14:textId="77777777" w:rsidR="00794064" w:rsidRDefault="00794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5260"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E45E1">
      <w:rPr>
        <w:rStyle w:val="PageNumber"/>
        <w:noProof/>
      </w:rPr>
      <w:t>2</w:t>
    </w:r>
    <w:r>
      <w:rPr>
        <w:rStyle w:val="PageNumber"/>
      </w:rPr>
      <w:fldChar w:fldCharType="end"/>
    </w:r>
  </w:p>
  <w:p w14:paraId="53F90D3B" w14:textId="24A13DD1" w:rsidR="0077084A" w:rsidRDefault="00BC1479" w:rsidP="00A4450C">
    <w:pPr>
      <w:pStyle w:val="Header"/>
      <w:rPr>
        <w:lang w:val="en-US"/>
      </w:rPr>
    </w:pPr>
    <w:r>
      <w:rPr>
        <w:lang w:val="es-ES"/>
      </w:rPr>
      <w:t>RAG/INFO/1-S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610769967">
    <w:abstractNumId w:val="8"/>
  </w:num>
  <w:num w:numId="2" w16cid:durableId="27191022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67786157">
    <w:abstractNumId w:val="9"/>
  </w:num>
  <w:num w:numId="4" w16cid:durableId="652367133">
    <w:abstractNumId w:val="7"/>
  </w:num>
  <w:num w:numId="5" w16cid:durableId="2112585681">
    <w:abstractNumId w:val="6"/>
  </w:num>
  <w:num w:numId="6" w16cid:durableId="1423799400">
    <w:abstractNumId w:val="5"/>
  </w:num>
  <w:num w:numId="7" w16cid:durableId="460538083">
    <w:abstractNumId w:val="4"/>
  </w:num>
  <w:num w:numId="8" w16cid:durableId="398556948">
    <w:abstractNumId w:val="3"/>
  </w:num>
  <w:num w:numId="9" w16cid:durableId="717242498">
    <w:abstractNumId w:val="2"/>
  </w:num>
  <w:num w:numId="10" w16cid:durableId="48037897">
    <w:abstractNumId w:val="1"/>
  </w:num>
  <w:num w:numId="11" w16cid:durableId="34744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9FC"/>
    <w:rsid w:val="00087AE8"/>
    <w:rsid w:val="000D1059"/>
    <w:rsid w:val="000E45E1"/>
    <w:rsid w:val="000E5BF9"/>
    <w:rsid w:val="000F0E6D"/>
    <w:rsid w:val="00112A3D"/>
    <w:rsid w:val="00121170"/>
    <w:rsid w:val="00123CC5"/>
    <w:rsid w:val="0015142D"/>
    <w:rsid w:val="001557BC"/>
    <w:rsid w:val="001616DC"/>
    <w:rsid w:val="00163962"/>
    <w:rsid w:val="00191A97"/>
    <w:rsid w:val="001A59AC"/>
    <w:rsid w:val="001B29FC"/>
    <w:rsid w:val="001C41FA"/>
    <w:rsid w:val="001C5102"/>
    <w:rsid w:val="001E2B52"/>
    <w:rsid w:val="001E3F27"/>
    <w:rsid w:val="00236D2A"/>
    <w:rsid w:val="00255F12"/>
    <w:rsid w:val="00262C09"/>
    <w:rsid w:val="00280126"/>
    <w:rsid w:val="002A791F"/>
    <w:rsid w:val="002B26C8"/>
    <w:rsid w:val="002C1B26"/>
    <w:rsid w:val="002E701F"/>
    <w:rsid w:val="0032680B"/>
    <w:rsid w:val="00363A65"/>
    <w:rsid w:val="00377704"/>
    <w:rsid w:val="003B7CFD"/>
    <w:rsid w:val="003C2508"/>
    <w:rsid w:val="003D0AA3"/>
    <w:rsid w:val="0044541C"/>
    <w:rsid w:val="00454553"/>
    <w:rsid w:val="004A7C6A"/>
    <w:rsid w:val="004B124A"/>
    <w:rsid w:val="004F05BC"/>
    <w:rsid w:val="00532097"/>
    <w:rsid w:val="0056382F"/>
    <w:rsid w:val="0058350F"/>
    <w:rsid w:val="005B061F"/>
    <w:rsid w:val="005F2605"/>
    <w:rsid w:val="00634BAB"/>
    <w:rsid w:val="00662BA0"/>
    <w:rsid w:val="006775FB"/>
    <w:rsid w:val="006810E4"/>
    <w:rsid w:val="00692AAE"/>
    <w:rsid w:val="006D6E67"/>
    <w:rsid w:val="00701C20"/>
    <w:rsid w:val="007354E9"/>
    <w:rsid w:val="007542C0"/>
    <w:rsid w:val="00762BBC"/>
    <w:rsid w:val="00765578"/>
    <w:rsid w:val="0077084A"/>
    <w:rsid w:val="00794064"/>
    <w:rsid w:val="007A196E"/>
    <w:rsid w:val="007A590C"/>
    <w:rsid w:val="007C2317"/>
    <w:rsid w:val="007D330A"/>
    <w:rsid w:val="00866AE6"/>
    <w:rsid w:val="008A0A47"/>
    <w:rsid w:val="0094091F"/>
    <w:rsid w:val="00945050"/>
    <w:rsid w:val="009538D2"/>
    <w:rsid w:val="00973754"/>
    <w:rsid w:val="009A599E"/>
    <w:rsid w:val="009C0BED"/>
    <w:rsid w:val="009E11EC"/>
    <w:rsid w:val="009F6FD5"/>
    <w:rsid w:val="00A118DB"/>
    <w:rsid w:val="00A4450C"/>
    <w:rsid w:val="00A54CD2"/>
    <w:rsid w:val="00AA5E6C"/>
    <w:rsid w:val="00AE5677"/>
    <w:rsid w:val="00AF2F78"/>
    <w:rsid w:val="00B52D55"/>
    <w:rsid w:val="00B870A5"/>
    <w:rsid w:val="00B95DD9"/>
    <w:rsid w:val="00BC1479"/>
    <w:rsid w:val="00BE2E80"/>
    <w:rsid w:val="00BE5EDD"/>
    <w:rsid w:val="00BE6A1F"/>
    <w:rsid w:val="00C104EC"/>
    <w:rsid w:val="00C126C4"/>
    <w:rsid w:val="00C635E0"/>
    <w:rsid w:val="00C63EB5"/>
    <w:rsid w:val="00C8286D"/>
    <w:rsid w:val="00C918CF"/>
    <w:rsid w:val="00C97A88"/>
    <w:rsid w:val="00CC01E0"/>
    <w:rsid w:val="00CC63FE"/>
    <w:rsid w:val="00CE60D2"/>
    <w:rsid w:val="00CF773E"/>
    <w:rsid w:val="00D0288A"/>
    <w:rsid w:val="00D04D3F"/>
    <w:rsid w:val="00D405F7"/>
    <w:rsid w:val="00D72A5D"/>
    <w:rsid w:val="00DC629B"/>
    <w:rsid w:val="00E167B8"/>
    <w:rsid w:val="00E262F1"/>
    <w:rsid w:val="00E576CA"/>
    <w:rsid w:val="00E71D14"/>
    <w:rsid w:val="00EC5F7C"/>
    <w:rsid w:val="00F03DDF"/>
    <w:rsid w:val="00F8150C"/>
    <w:rsid w:val="00FD7E08"/>
    <w:rsid w:val="00FE4574"/>
    <w:rsid w:val="00FF3F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604BB2"/>
  <w15:docId w15:val="{23C2E33A-A0C3-4DC1-B5E6-5F8B9821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86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C8286D"/>
    <w:pPr>
      <w:keepNext/>
      <w:keepLines/>
      <w:spacing w:before="280"/>
      <w:ind w:left="1134" w:hanging="1134"/>
      <w:outlineLvl w:val="0"/>
    </w:pPr>
    <w:rPr>
      <w:b/>
      <w:sz w:val="28"/>
    </w:rPr>
  </w:style>
  <w:style w:type="paragraph" w:styleId="Heading2">
    <w:name w:val="heading 2"/>
    <w:basedOn w:val="Heading1"/>
    <w:next w:val="Normal"/>
    <w:qFormat/>
    <w:rsid w:val="00C8286D"/>
    <w:pPr>
      <w:spacing w:before="200"/>
      <w:outlineLvl w:val="1"/>
    </w:pPr>
    <w:rPr>
      <w:sz w:val="24"/>
    </w:rPr>
  </w:style>
  <w:style w:type="paragraph" w:styleId="Heading3">
    <w:name w:val="heading 3"/>
    <w:basedOn w:val="Heading1"/>
    <w:next w:val="Normal"/>
    <w:qFormat/>
    <w:rsid w:val="00C8286D"/>
    <w:pPr>
      <w:tabs>
        <w:tab w:val="clear" w:pos="1134"/>
      </w:tabs>
      <w:spacing w:before="200"/>
      <w:outlineLvl w:val="2"/>
    </w:pPr>
    <w:rPr>
      <w:sz w:val="24"/>
    </w:rPr>
  </w:style>
  <w:style w:type="paragraph" w:styleId="Heading4">
    <w:name w:val="heading 4"/>
    <w:basedOn w:val="Heading3"/>
    <w:next w:val="Normal"/>
    <w:qFormat/>
    <w:rsid w:val="00C8286D"/>
    <w:pPr>
      <w:outlineLvl w:val="3"/>
    </w:pPr>
  </w:style>
  <w:style w:type="paragraph" w:styleId="Heading5">
    <w:name w:val="heading 5"/>
    <w:basedOn w:val="Heading4"/>
    <w:next w:val="Normal"/>
    <w:qFormat/>
    <w:rsid w:val="00C8286D"/>
    <w:pPr>
      <w:outlineLvl w:val="4"/>
    </w:pPr>
  </w:style>
  <w:style w:type="paragraph" w:styleId="Heading6">
    <w:name w:val="heading 6"/>
    <w:basedOn w:val="Heading4"/>
    <w:next w:val="Normal"/>
    <w:qFormat/>
    <w:rsid w:val="00C8286D"/>
    <w:pPr>
      <w:outlineLvl w:val="5"/>
    </w:pPr>
  </w:style>
  <w:style w:type="paragraph" w:styleId="Heading7">
    <w:name w:val="heading 7"/>
    <w:basedOn w:val="Heading6"/>
    <w:next w:val="Normal"/>
    <w:qFormat/>
    <w:rsid w:val="00C8286D"/>
    <w:pPr>
      <w:outlineLvl w:val="6"/>
    </w:pPr>
  </w:style>
  <w:style w:type="paragraph" w:styleId="Heading8">
    <w:name w:val="heading 8"/>
    <w:basedOn w:val="Heading6"/>
    <w:next w:val="Normal"/>
    <w:qFormat/>
    <w:rsid w:val="00C8286D"/>
    <w:pPr>
      <w:outlineLvl w:val="7"/>
    </w:pPr>
  </w:style>
  <w:style w:type="paragraph" w:styleId="Heading9">
    <w:name w:val="heading 9"/>
    <w:basedOn w:val="Heading6"/>
    <w:next w:val="Normal"/>
    <w:qFormat/>
    <w:rsid w:val="00C82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C8286D"/>
    <w:pPr>
      <w:keepNext/>
      <w:keepLines/>
      <w:spacing w:before="480" w:after="80"/>
      <w:jc w:val="center"/>
    </w:pPr>
    <w:rPr>
      <w:caps/>
      <w:sz w:val="28"/>
    </w:rPr>
  </w:style>
  <w:style w:type="paragraph" w:customStyle="1" w:styleId="Annexref">
    <w:name w:val="Annex_ref"/>
    <w:basedOn w:val="Normal"/>
    <w:next w:val="Annextitle"/>
    <w:rsid w:val="00C8286D"/>
    <w:pPr>
      <w:keepNext/>
      <w:keepLines/>
      <w:spacing w:after="280"/>
      <w:jc w:val="center"/>
    </w:pPr>
  </w:style>
  <w:style w:type="paragraph" w:customStyle="1" w:styleId="Annextitle">
    <w:name w:val="Annex_title"/>
    <w:basedOn w:val="Normal"/>
    <w:next w:val="Normalaftertitle"/>
    <w:rsid w:val="00C8286D"/>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C8286D"/>
  </w:style>
  <w:style w:type="paragraph" w:customStyle="1" w:styleId="Appendixref">
    <w:name w:val="Appendix_ref"/>
    <w:basedOn w:val="Annexref"/>
    <w:next w:val="Annextitle"/>
    <w:rsid w:val="00C8286D"/>
  </w:style>
  <w:style w:type="paragraph" w:customStyle="1" w:styleId="Appendixtitle">
    <w:name w:val="Appendix_title"/>
    <w:basedOn w:val="Annextitle"/>
    <w:next w:val="Normalaftertitle"/>
    <w:rsid w:val="00C8286D"/>
  </w:style>
  <w:style w:type="paragraph" w:customStyle="1" w:styleId="Artheading">
    <w:name w:val="Art_heading"/>
    <w:basedOn w:val="Normal"/>
    <w:next w:val="Normalaftertitle"/>
    <w:rsid w:val="00C8286D"/>
    <w:pPr>
      <w:spacing w:before="480"/>
      <w:jc w:val="center"/>
    </w:pPr>
    <w:rPr>
      <w:rFonts w:ascii="Times New Roman Bold" w:hAnsi="Times New Roman Bold"/>
      <w:b/>
      <w:sz w:val="28"/>
    </w:rPr>
  </w:style>
  <w:style w:type="paragraph" w:customStyle="1" w:styleId="ArtNo">
    <w:name w:val="Art_No"/>
    <w:basedOn w:val="Normal"/>
    <w:next w:val="Arttitle"/>
    <w:rsid w:val="00C8286D"/>
    <w:pPr>
      <w:keepNext/>
      <w:keepLines/>
      <w:spacing w:before="480"/>
      <w:jc w:val="center"/>
    </w:pPr>
    <w:rPr>
      <w:caps/>
      <w:sz w:val="28"/>
    </w:rPr>
  </w:style>
  <w:style w:type="paragraph" w:customStyle="1" w:styleId="Arttitle">
    <w:name w:val="Art_title"/>
    <w:basedOn w:val="Normal"/>
    <w:next w:val="Normalaftertitle"/>
    <w:rsid w:val="00C8286D"/>
    <w:pPr>
      <w:keepNext/>
      <w:keepLines/>
      <w:spacing w:before="240"/>
      <w:jc w:val="center"/>
    </w:pPr>
    <w:rPr>
      <w:b/>
      <w:sz w:val="28"/>
    </w:rPr>
  </w:style>
  <w:style w:type="paragraph" w:customStyle="1" w:styleId="Call">
    <w:name w:val="Call"/>
    <w:basedOn w:val="Normal"/>
    <w:next w:val="Normal"/>
    <w:rsid w:val="00C8286D"/>
    <w:pPr>
      <w:keepNext/>
      <w:keepLines/>
      <w:spacing w:before="160"/>
      <w:ind w:left="1134"/>
    </w:pPr>
    <w:rPr>
      <w:i/>
    </w:rPr>
  </w:style>
  <w:style w:type="paragraph" w:customStyle="1" w:styleId="ChapNo">
    <w:name w:val="Chap_No"/>
    <w:basedOn w:val="ArtNo"/>
    <w:next w:val="Chaptitle"/>
    <w:rsid w:val="00C8286D"/>
    <w:rPr>
      <w:rFonts w:ascii="Times New Roman Bold" w:hAnsi="Times New Roman Bold"/>
      <w:b/>
    </w:rPr>
  </w:style>
  <w:style w:type="paragraph" w:customStyle="1" w:styleId="Chaptitle">
    <w:name w:val="Chap_title"/>
    <w:basedOn w:val="Arttitle"/>
    <w:next w:val="Normalaftertitle"/>
    <w:rsid w:val="00C8286D"/>
  </w:style>
  <w:style w:type="paragraph" w:customStyle="1" w:styleId="ddate">
    <w:name w:val="ddate"/>
    <w:basedOn w:val="Normal"/>
    <w:rsid w:val="00C8286D"/>
    <w:pPr>
      <w:framePr w:hSpace="181" w:wrap="around" w:vAnchor="page" w:hAnchor="margin" w:y="852"/>
      <w:shd w:val="solid" w:color="FFFFFF" w:fill="FFFFFF"/>
      <w:spacing w:before="0"/>
    </w:pPr>
    <w:rPr>
      <w:b/>
      <w:bCs/>
    </w:rPr>
  </w:style>
  <w:style w:type="paragraph" w:customStyle="1" w:styleId="dnum">
    <w:name w:val="dnum"/>
    <w:basedOn w:val="Normal"/>
    <w:rsid w:val="00C8286D"/>
    <w:pPr>
      <w:framePr w:hSpace="181" w:wrap="around" w:vAnchor="page" w:hAnchor="margin" w:y="852"/>
      <w:shd w:val="solid" w:color="FFFFFF" w:fill="FFFFFF"/>
    </w:pPr>
    <w:rPr>
      <w:b/>
      <w:bCs/>
    </w:rPr>
  </w:style>
  <w:style w:type="paragraph" w:customStyle="1" w:styleId="dorlang">
    <w:name w:val="dorlang"/>
    <w:basedOn w:val="Normal"/>
    <w:rsid w:val="00C8286D"/>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C8286D"/>
    <w:rPr>
      <w:vertAlign w:val="superscript"/>
    </w:rPr>
  </w:style>
  <w:style w:type="paragraph" w:customStyle="1" w:styleId="enumlev1">
    <w:name w:val="enumlev1"/>
    <w:basedOn w:val="Normal"/>
    <w:rsid w:val="00C8286D"/>
    <w:pPr>
      <w:tabs>
        <w:tab w:val="clear" w:pos="2268"/>
        <w:tab w:val="left" w:pos="2608"/>
        <w:tab w:val="left" w:pos="3345"/>
      </w:tabs>
      <w:spacing w:before="80"/>
      <w:ind w:left="1134" w:hanging="1134"/>
    </w:pPr>
  </w:style>
  <w:style w:type="paragraph" w:customStyle="1" w:styleId="enumlev2">
    <w:name w:val="enumlev2"/>
    <w:basedOn w:val="enumlev1"/>
    <w:rsid w:val="00C8286D"/>
    <w:pPr>
      <w:ind w:left="1871" w:hanging="737"/>
    </w:pPr>
  </w:style>
  <w:style w:type="paragraph" w:customStyle="1" w:styleId="enumlev3">
    <w:name w:val="enumlev3"/>
    <w:basedOn w:val="enumlev2"/>
    <w:rsid w:val="00C8286D"/>
    <w:pPr>
      <w:ind w:left="2268" w:hanging="397"/>
    </w:pPr>
  </w:style>
  <w:style w:type="paragraph" w:customStyle="1" w:styleId="Equation">
    <w:name w:val="Equation"/>
    <w:basedOn w:val="Normal"/>
    <w:rsid w:val="00C8286D"/>
    <w:pPr>
      <w:tabs>
        <w:tab w:val="clear" w:pos="1871"/>
        <w:tab w:val="clear" w:pos="2268"/>
        <w:tab w:val="center" w:pos="4820"/>
        <w:tab w:val="right" w:pos="9639"/>
      </w:tabs>
    </w:pPr>
  </w:style>
  <w:style w:type="paragraph" w:styleId="NormalIndent">
    <w:name w:val="Normal Indent"/>
    <w:basedOn w:val="Normal"/>
    <w:rsid w:val="00C8286D"/>
    <w:pPr>
      <w:ind w:left="1134"/>
    </w:pPr>
  </w:style>
  <w:style w:type="paragraph" w:customStyle="1" w:styleId="Equationlegend">
    <w:name w:val="Equation_legend"/>
    <w:basedOn w:val="NormalIndent"/>
    <w:rsid w:val="00C8286D"/>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C8286D"/>
    <w:pPr>
      <w:keepNext/>
      <w:keepLines/>
      <w:spacing w:before="20" w:after="20"/>
    </w:pPr>
    <w:rPr>
      <w:sz w:val="18"/>
    </w:rPr>
  </w:style>
  <w:style w:type="paragraph" w:customStyle="1" w:styleId="FigureNo">
    <w:name w:val="Figure_No"/>
    <w:basedOn w:val="Normal"/>
    <w:next w:val="Figuretitle"/>
    <w:rsid w:val="00C8286D"/>
    <w:pPr>
      <w:keepNext/>
      <w:keepLines/>
      <w:spacing w:before="480" w:after="120"/>
      <w:jc w:val="center"/>
    </w:pPr>
    <w:rPr>
      <w:caps/>
      <w:sz w:val="20"/>
    </w:rPr>
  </w:style>
  <w:style w:type="paragraph" w:customStyle="1" w:styleId="Figuretitle">
    <w:name w:val="Figure_title"/>
    <w:basedOn w:val="Normal"/>
    <w:next w:val="Normal"/>
    <w:rsid w:val="0044541C"/>
    <w:pPr>
      <w:spacing w:after="480"/>
      <w:jc w:val="center"/>
    </w:pPr>
    <w:rPr>
      <w:b/>
      <w:sz w:val="20"/>
    </w:rPr>
  </w:style>
  <w:style w:type="paragraph" w:customStyle="1" w:styleId="Figurewithouttitle">
    <w:name w:val="Figure_without_title"/>
    <w:basedOn w:val="FigureNo"/>
    <w:next w:val="Normal"/>
    <w:rsid w:val="00C8286D"/>
    <w:pPr>
      <w:keepNext w:val="0"/>
    </w:pPr>
  </w:style>
  <w:style w:type="paragraph" w:styleId="Footer">
    <w:name w:val="footer"/>
    <w:basedOn w:val="Normal"/>
    <w:rsid w:val="00C8286D"/>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C8286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8286D"/>
    <w:rPr>
      <w:position w:val="6"/>
      <w:sz w:val="18"/>
    </w:rPr>
  </w:style>
  <w:style w:type="paragraph" w:styleId="FootnoteText">
    <w:name w:val="footnote text"/>
    <w:basedOn w:val="Normal"/>
    <w:rsid w:val="00C8286D"/>
    <w:pPr>
      <w:keepLines/>
      <w:tabs>
        <w:tab w:val="left" w:pos="255"/>
      </w:tabs>
    </w:pPr>
  </w:style>
  <w:style w:type="paragraph" w:styleId="Header">
    <w:name w:val="header"/>
    <w:basedOn w:val="Normal"/>
    <w:rsid w:val="00C8286D"/>
    <w:pPr>
      <w:spacing w:before="0"/>
      <w:jc w:val="center"/>
    </w:pPr>
    <w:rPr>
      <w:sz w:val="18"/>
    </w:rPr>
  </w:style>
  <w:style w:type="paragraph" w:customStyle="1" w:styleId="Headingb">
    <w:name w:val="Heading_b"/>
    <w:basedOn w:val="Normal"/>
    <w:next w:val="Normal"/>
    <w:qFormat/>
    <w:rsid w:val="00C8286D"/>
    <w:pPr>
      <w:keepNext/>
      <w:spacing w:before="160"/>
    </w:pPr>
    <w:rPr>
      <w:rFonts w:ascii="Times" w:hAnsi="Times"/>
      <w:b/>
    </w:rPr>
  </w:style>
  <w:style w:type="paragraph" w:customStyle="1" w:styleId="Headingi">
    <w:name w:val="Heading_i"/>
    <w:basedOn w:val="Normal"/>
    <w:next w:val="Normal"/>
    <w:rsid w:val="00C8286D"/>
    <w:pPr>
      <w:keepNext/>
      <w:spacing w:before="160"/>
    </w:pPr>
    <w:rPr>
      <w:rFonts w:ascii="Times" w:hAnsi="Times"/>
      <w:i/>
    </w:rPr>
  </w:style>
  <w:style w:type="paragraph" w:styleId="Index1">
    <w:name w:val="index 1"/>
    <w:basedOn w:val="Normal"/>
    <w:next w:val="Normal"/>
    <w:semiHidden/>
    <w:rsid w:val="00C8286D"/>
  </w:style>
  <w:style w:type="paragraph" w:styleId="Index2">
    <w:name w:val="index 2"/>
    <w:basedOn w:val="Normal"/>
    <w:next w:val="Normal"/>
    <w:semiHidden/>
    <w:rsid w:val="00C8286D"/>
    <w:pPr>
      <w:ind w:left="283"/>
    </w:pPr>
  </w:style>
  <w:style w:type="paragraph" w:styleId="Index3">
    <w:name w:val="index 3"/>
    <w:basedOn w:val="Normal"/>
    <w:next w:val="Normal"/>
    <w:semiHidden/>
    <w:rsid w:val="00C8286D"/>
    <w:pPr>
      <w:ind w:left="566"/>
    </w:pPr>
  </w:style>
  <w:style w:type="paragraph" w:styleId="Index4">
    <w:name w:val="index 4"/>
    <w:basedOn w:val="Normal"/>
    <w:next w:val="Normal"/>
    <w:semiHidden/>
    <w:rsid w:val="00C8286D"/>
    <w:pPr>
      <w:ind w:left="849"/>
    </w:pPr>
  </w:style>
  <w:style w:type="paragraph" w:styleId="Index5">
    <w:name w:val="index 5"/>
    <w:basedOn w:val="Normal"/>
    <w:next w:val="Normal"/>
    <w:semiHidden/>
    <w:rsid w:val="00C8286D"/>
    <w:pPr>
      <w:ind w:left="1132"/>
    </w:pPr>
  </w:style>
  <w:style w:type="paragraph" w:styleId="Index6">
    <w:name w:val="index 6"/>
    <w:basedOn w:val="Normal"/>
    <w:next w:val="Normal"/>
    <w:semiHidden/>
    <w:rsid w:val="00C8286D"/>
    <w:pPr>
      <w:ind w:left="1415"/>
    </w:pPr>
  </w:style>
  <w:style w:type="paragraph" w:styleId="Index7">
    <w:name w:val="index 7"/>
    <w:basedOn w:val="Normal"/>
    <w:next w:val="Normal"/>
    <w:semiHidden/>
    <w:rsid w:val="00C8286D"/>
    <w:pPr>
      <w:ind w:left="1698"/>
    </w:pPr>
  </w:style>
  <w:style w:type="paragraph" w:styleId="IndexHeading">
    <w:name w:val="index heading"/>
    <w:basedOn w:val="Normal"/>
    <w:next w:val="Index1"/>
    <w:semiHidden/>
    <w:rsid w:val="00C8286D"/>
  </w:style>
  <w:style w:type="character" w:styleId="LineNumber">
    <w:name w:val="line number"/>
    <w:basedOn w:val="DefaultParagraphFont"/>
    <w:rsid w:val="00C8286D"/>
  </w:style>
  <w:style w:type="paragraph" w:customStyle="1" w:styleId="Normalaftertitle">
    <w:name w:val="Normal after title"/>
    <w:basedOn w:val="Normal"/>
    <w:next w:val="Normal"/>
    <w:rsid w:val="00C8286D"/>
    <w:pPr>
      <w:spacing w:before="280"/>
    </w:pPr>
  </w:style>
  <w:style w:type="paragraph" w:customStyle="1" w:styleId="Note">
    <w:name w:val="Note"/>
    <w:basedOn w:val="Normal"/>
    <w:rsid w:val="00C8286D"/>
    <w:pPr>
      <w:tabs>
        <w:tab w:val="left" w:pos="284"/>
      </w:tabs>
      <w:spacing w:before="80"/>
    </w:pPr>
  </w:style>
  <w:style w:type="paragraph" w:customStyle="1" w:styleId="PartNo">
    <w:name w:val="Part_No"/>
    <w:basedOn w:val="AnnexNo"/>
    <w:next w:val="Normal"/>
    <w:rsid w:val="00C8286D"/>
  </w:style>
  <w:style w:type="paragraph" w:customStyle="1" w:styleId="Parttitle">
    <w:name w:val="Part_title"/>
    <w:basedOn w:val="Annextitle"/>
    <w:next w:val="Normalaftertitle"/>
    <w:rsid w:val="00C8286D"/>
  </w:style>
  <w:style w:type="paragraph" w:customStyle="1" w:styleId="RecNo">
    <w:name w:val="Rec_No"/>
    <w:basedOn w:val="Normal"/>
    <w:next w:val="Rectitle"/>
    <w:rsid w:val="00C8286D"/>
    <w:pPr>
      <w:keepNext/>
      <w:keepLines/>
      <w:spacing w:before="480"/>
      <w:jc w:val="center"/>
    </w:pPr>
    <w:rPr>
      <w:caps/>
      <w:sz w:val="28"/>
    </w:rPr>
  </w:style>
  <w:style w:type="paragraph" w:customStyle="1" w:styleId="Rectitle">
    <w:name w:val="Rec_title"/>
    <w:basedOn w:val="RecNo"/>
    <w:next w:val="Recref"/>
    <w:rsid w:val="00C8286D"/>
    <w:pPr>
      <w:spacing w:before="240"/>
    </w:pPr>
    <w:rPr>
      <w:rFonts w:ascii="Times New Roman Bold" w:hAnsi="Times New Roman Bold"/>
      <w:b/>
      <w:caps w:val="0"/>
    </w:rPr>
  </w:style>
  <w:style w:type="paragraph" w:customStyle="1" w:styleId="Recref">
    <w:name w:val="Rec_ref"/>
    <w:basedOn w:val="Rectitle"/>
    <w:next w:val="Recdate"/>
    <w:rsid w:val="00C8286D"/>
    <w:pPr>
      <w:spacing w:before="120"/>
    </w:pPr>
    <w:rPr>
      <w:rFonts w:ascii="Times New Roman" w:hAnsi="Times New Roman"/>
      <w:b w:val="0"/>
      <w:sz w:val="24"/>
    </w:rPr>
  </w:style>
  <w:style w:type="paragraph" w:customStyle="1" w:styleId="Recdate">
    <w:name w:val="Rec_date"/>
    <w:basedOn w:val="Recref"/>
    <w:next w:val="Normalaftertitle"/>
    <w:rsid w:val="00C8286D"/>
    <w:pPr>
      <w:jc w:val="right"/>
    </w:pPr>
    <w:rPr>
      <w:sz w:val="22"/>
    </w:rPr>
  </w:style>
  <w:style w:type="paragraph" w:customStyle="1" w:styleId="Questiondate">
    <w:name w:val="Question_date"/>
    <w:basedOn w:val="Recdate"/>
    <w:next w:val="Normalaftertitle"/>
    <w:rsid w:val="00C8286D"/>
  </w:style>
  <w:style w:type="paragraph" w:customStyle="1" w:styleId="QuestionNo">
    <w:name w:val="Question_No"/>
    <w:basedOn w:val="RecNo"/>
    <w:next w:val="Questiontitle"/>
    <w:rsid w:val="00C8286D"/>
  </w:style>
  <w:style w:type="paragraph" w:customStyle="1" w:styleId="Questiontitle">
    <w:name w:val="Question_title"/>
    <w:basedOn w:val="Rectitle"/>
    <w:next w:val="Normal"/>
    <w:rsid w:val="00C8286D"/>
  </w:style>
  <w:style w:type="paragraph" w:customStyle="1" w:styleId="Reftext">
    <w:name w:val="Ref_text"/>
    <w:basedOn w:val="Normal"/>
    <w:rsid w:val="00C8286D"/>
    <w:pPr>
      <w:ind w:left="1134" w:hanging="1134"/>
    </w:pPr>
  </w:style>
  <w:style w:type="paragraph" w:customStyle="1" w:styleId="Reftitle">
    <w:name w:val="Ref_title"/>
    <w:basedOn w:val="Normal"/>
    <w:next w:val="Reftext"/>
    <w:rsid w:val="00C8286D"/>
    <w:pPr>
      <w:spacing w:before="480"/>
      <w:jc w:val="center"/>
    </w:pPr>
    <w:rPr>
      <w:caps/>
    </w:rPr>
  </w:style>
  <w:style w:type="paragraph" w:customStyle="1" w:styleId="Repdate">
    <w:name w:val="Rep_date"/>
    <w:basedOn w:val="Recdate"/>
    <w:next w:val="Normalaftertitle"/>
    <w:rsid w:val="00C8286D"/>
  </w:style>
  <w:style w:type="paragraph" w:customStyle="1" w:styleId="RepNo">
    <w:name w:val="Rep_No"/>
    <w:basedOn w:val="RecNo"/>
    <w:next w:val="Reptitle"/>
    <w:rsid w:val="00C8286D"/>
  </w:style>
  <w:style w:type="paragraph" w:customStyle="1" w:styleId="Repref">
    <w:name w:val="Rep_ref"/>
    <w:basedOn w:val="Recref"/>
    <w:next w:val="Repdate"/>
    <w:rsid w:val="00C8286D"/>
  </w:style>
  <w:style w:type="paragraph" w:customStyle="1" w:styleId="Reptitle">
    <w:name w:val="Rep_title"/>
    <w:basedOn w:val="Rectitle"/>
    <w:next w:val="Repref"/>
    <w:rsid w:val="00C8286D"/>
  </w:style>
  <w:style w:type="paragraph" w:customStyle="1" w:styleId="Resdate">
    <w:name w:val="Res_date"/>
    <w:basedOn w:val="Recdate"/>
    <w:next w:val="Normalaftertitle"/>
    <w:rsid w:val="00C8286D"/>
  </w:style>
  <w:style w:type="paragraph" w:customStyle="1" w:styleId="ResNo">
    <w:name w:val="Res_No"/>
    <w:basedOn w:val="RecNo"/>
    <w:next w:val="Normal"/>
    <w:rsid w:val="00C8286D"/>
  </w:style>
  <w:style w:type="paragraph" w:customStyle="1" w:styleId="Resref">
    <w:name w:val="Res_ref"/>
    <w:basedOn w:val="Recref"/>
    <w:next w:val="Resdate"/>
    <w:rsid w:val="00C8286D"/>
  </w:style>
  <w:style w:type="character" w:customStyle="1" w:styleId="Appdef">
    <w:name w:val="App_def"/>
    <w:basedOn w:val="DefaultParagraphFont"/>
    <w:rsid w:val="00C8286D"/>
    <w:rPr>
      <w:rFonts w:ascii="Times New Roman" w:hAnsi="Times New Roman"/>
      <w:b/>
    </w:rPr>
  </w:style>
  <w:style w:type="character" w:customStyle="1" w:styleId="Appref">
    <w:name w:val="App_ref"/>
    <w:basedOn w:val="DefaultParagraphFont"/>
    <w:rsid w:val="00C8286D"/>
  </w:style>
  <w:style w:type="character" w:customStyle="1" w:styleId="Artdef">
    <w:name w:val="Art_def"/>
    <w:basedOn w:val="DefaultParagraphFont"/>
    <w:rsid w:val="00C8286D"/>
    <w:rPr>
      <w:rFonts w:ascii="Times New Roman" w:hAnsi="Times New Roman"/>
      <w:b/>
    </w:rPr>
  </w:style>
  <w:style w:type="character" w:customStyle="1" w:styleId="Artref">
    <w:name w:val="Art_ref"/>
    <w:basedOn w:val="DefaultParagraphFont"/>
    <w:rsid w:val="00C8286D"/>
  </w:style>
  <w:style w:type="character" w:customStyle="1" w:styleId="Recdef">
    <w:name w:val="Rec_def"/>
    <w:basedOn w:val="DefaultParagraphFont"/>
    <w:rsid w:val="00C8286D"/>
    <w:rPr>
      <w:b/>
    </w:rPr>
  </w:style>
  <w:style w:type="character" w:customStyle="1" w:styleId="Resdef">
    <w:name w:val="Res_def"/>
    <w:basedOn w:val="DefaultParagraphFont"/>
    <w:rsid w:val="00C8286D"/>
    <w:rPr>
      <w:rFonts w:ascii="Times New Roman" w:hAnsi="Times New Roman"/>
      <w:b/>
    </w:rPr>
  </w:style>
  <w:style w:type="character" w:styleId="PageNumber">
    <w:name w:val="page number"/>
    <w:basedOn w:val="DefaultParagraphFont"/>
    <w:rsid w:val="00C8286D"/>
  </w:style>
  <w:style w:type="paragraph" w:customStyle="1" w:styleId="Reasons">
    <w:name w:val="Reasons"/>
    <w:basedOn w:val="Normal"/>
    <w:qFormat/>
    <w:rsid w:val="00C8286D"/>
    <w:pPr>
      <w:tabs>
        <w:tab w:val="clear" w:pos="1871"/>
        <w:tab w:val="clear" w:pos="2268"/>
        <w:tab w:val="left" w:pos="1588"/>
        <w:tab w:val="left" w:pos="1985"/>
      </w:tabs>
    </w:pPr>
  </w:style>
  <w:style w:type="paragraph" w:customStyle="1" w:styleId="Border">
    <w:name w:val="Border"/>
    <w:basedOn w:val="Normal"/>
    <w:rsid w:val="00C8286D"/>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sid w:val="00C8286D"/>
    <w:rPr>
      <w:sz w:val="16"/>
      <w:szCs w:val="16"/>
    </w:rPr>
  </w:style>
  <w:style w:type="paragraph" w:customStyle="1" w:styleId="Proposal">
    <w:name w:val="Proposal"/>
    <w:basedOn w:val="Normal"/>
    <w:next w:val="Normal"/>
    <w:rsid w:val="00C8286D"/>
    <w:pPr>
      <w:keepNext/>
      <w:spacing w:before="240"/>
    </w:pPr>
    <w:rPr>
      <w:rFonts w:hAnsi="Times New Roman Bold"/>
      <w:b/>
    </w:rPr>
  </w:style>
  <w:style w:type="paragraph" w:styleId="CommentText">
    <w:name w:val="annotation text"/>
    <w:basedOn w:val="Normal"/>
    <w:semiHidden/>
    <w:rsid w:val="00C8286D"/>
    <w:rPr>
      <w:sz w:val="20"/>
    </w:rPr>
  </w:style>
  <w:style w:type="paragraph" w:customStyle="1" w:styleId="Figure">
    <w:name w:val="Figure"/>
    <w:basedOn w:val="Normal"/>
    <w:next w:val="Figuretitle"/>
    <w:rsid w:val="00C8286D"/>
    <w:pPr>
      <w:keepNext/>
      <w:keepLines/>
      <w:jc w:val="center"/>
    </w:pPr>
  </w:style>
  <w:style w:type="paragraph" w:customStyle="1" w:styleId="Agendaitem">
    <w:name w:val="Agenda_item"/>
    <w:basedOn w:val="Normal"/>
    <w:next w:val="Normalaftertitle"/>
    <w:qFormat/>
    <w:rsid w:val="00C8286D"/>
    <w:pPr>
      <w:overflowPunct/>
      <w:autoSpaceDE/>
      <w:autoSpaceDN/>
      <w:adjustRightInd/>
      <w:spacing w:before="240"/>
      <w:jc w:val="center"/>
      <w:textAlignment w:val="auto"/>
    </w:pPr>
    <w:rPr>
      <w:sz w:val="28"/>
    </w:rPr>
  </w:style>
  <w:style w:type="paragraph" w:customStyle="1" w:styleId="Part1">
    <w:name w:val="Part_1"/>
    <w:basedOn w:val="Normal"/>
    <w:qFormat/>
    <w:rsid w:val="00C8286D"/>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C8286D"/>
  </w:style>
  <w:style w:type="paragraph" w:customStyle="1" w:styleId="ApptoAnnex">
    <w:name w:val="App_to_Annex"/>
    <w:basedOn w:val="AppendixNo"/>
    <w:qFormat/>
    <w:rsid w:val="00C8286D"/>
  </w:style>
  <w:style w:type="character" w:customStyle="1" w:styleId="Tablefreq">
    <w:name w:val="Table_freq"/>
    <w:basedOn w:val="DefaultParagraphFont"/>
    <w:rsid w:val="00C8286D"/>
    <w:rPr>
      <w:b/>
      <w:color w:val="auto"/>
      <w:sz w:val="20"/>
    </w:rPr>
  </w:style>
  <w:style w:type="paragraph" w:customStyle="1" w:styleId="Tabletext">
    <w:name w:val="Table_text"/>
    <w:basedOn w:val="Normal"/>
    <w:rsid w:val="00C828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C8286D"/>
    <w:pPr>
      <w:keepNext/>
      <w:spacing w:before="80" w:after="80"/>
      <w:jc w:val="center"/>
    </w:pPr>
    <w:rPr>
      <w:b/>
    </w:rPr>
  </w:style>
  <w:style w:type="paragraph" w:customStyle="1" w:styleId="Tablelegend">
    <w:name w:val="Table_legend"/>
    <w:basedOn w:val="Tabletext"/>
    <w:rsid w:val="00C8286D"/>
    <w:pPr>
      <w:tabs>
        <w:tab w:val="clear" w:pos="284"/>
      </w:tabs>
      <w:spacing w:before="120"/>
    </w:pPr>
  </w:style>
  <w:style w:type="paragraph" w:customStyle="1" w:styleId="TableNo">
    <w:name w:val="Table_No"/>
    <w:basedOn w:val="Normal"/>
    <w:next w:val="Normal"/>
    <w:rsid w:val="00C8286D"/>
    <w:pPr>
      <w:keepNext/>
      <w:spacing w:before="560" w:after="120"/>
      <w:jc w:val="center"/>
    </w:pPr>
    <w:rPr>
      <w:caps/>
      <w:sz w:val="20"/>
    </w:rPr>
  </w:style>
  <w:style w:type="paragraph" w:customStyle="1" w:styleId="Tableref">
    <w:name w:val="Table_ref"/>
    <w:basedOn w:val="Normal"/>
    <w:next w:val="Normal"/>
    <w:rsid w:val="00C8286D"/>
    <w:pPr>
      <w:keepNext/>
      <w:spacing w:before="560"/>
      <w:jc w:val="center"/>
    </w:pPr>
    <w:rPr>
      <w:sz w:val="20"/>
    </w:rPr>
  </w:style>
  <w:style w:type="paragraph" w:customStyle="1" w:styleId="TableTextS5">
    <w:name w:val="Table_TextS5"/>
    <w:basedOn w:val="Normal"/>
    <w:rsid w:val="00C104EC"/>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C8286D"/>
    <w:pPr>
      <w:keepNext/>
      <w:keepLines/>
      <w:spacing w:before="0" w:after="120"/>
      <w:jc w:val="center"/>
    </w:pPr>
    <w:rPr>
      <w:rFonts w:ascii="Times New Roman Bold" w:hAnsi="Times New Roman Bold"/>
      <w:b/>
      <w:sz w:val="20"/>
    </w:rPr>
  </w:style>
  <w:style w:type="paragraph" w:customStyle="1" w:styleId="Section1">
    <w:name w:val="Section_1"/>
    <w:basedOn w:val="Normal"/>
    <w:rsid w:val="00C8286D"/>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C8286D"/>
    <w:rPr>
      <w:b w:val="0"/>
      <w:i/>
    </w:rPr>
  </w:style>
  <w:style w:type="paragraph" w:customStyle="1" w:styleId="Section3">
    <w:name w:val="Section_3"/>
    <w:basedOn w:val="Section1"/>
    <w:rsid w:val="00C8286D"/>
    <w:rPr>
      <w:b w:val="0"/>
    </w:rPr>
  </w:style>
  <w:style w:type="paragraph" w:customStyle="1" w:styleId="SectionNo">
    <w:name w:val="Section_No"/>
    <w:basedOn w:val="AnnexNo"/>
    <w:next w:val="Normal"/>
    <w:rsid w:val="00C8286D"/>
  </w:style>
  <w:style w:type="paragraph" w:customStyle="1" w:styleId="Sectiontitle">
    <w:name w:val="Section_title"/>
    <w:basedOn w:val="Annextitle"/>
    <w:next w:val="Normalaftertitle"/>
    <w:rsid w:val="00C8286D"/>
  </w:style>
  <w:style w:type="paragraph" w:customStyle="1" w:styleId="Source">
    <w:name w:val="Source"/>
    <w:basedOn w:val="Normal"/>
    <w:next w:val="Normal"/>
    <w:rsid w:val="00C8286D"/>
    <w:pPr>
      <w:spacing w:before="840"/>
      <w:jc w:val="center"/>
    </w:pPr>
    <w:rPr>
      <w:b/>
      <w:sz w:val="28"/>
    </w:rPr>
  </w:style>
  <w:style w:type="paragraph" w:customStyle="1" w:styleId="Title1">
    <w:name w:val="Title 1"/>
    <w:basedOn w:val="Source"/>
    <w:next w:val="Normal"/>
    <w:rsid w:val="00C8286D"/>
    <w:pPr>
      <w:tabs>
        <w:tab w:val="left" w:pos="567"/>
        <w:tab w:val="left" w:pos="1701"/>
        <w:tab w:val="left" w:pos="2835"/>
      </w:tabs>
      <w:spacing w:before="240"/>
    </w:pPr>
    <w:rPr>
      <w:b w:val="0"/>
      <w:caps/>
    </w:rPr>
  </w:style>
  <w:style w:type="paragraph" w:customStyle="1" w:styleId="Title2">
    <w:name w:val="Title 2"/>
    <w:basedOn w:val="Source"/>
    <w:next w:val="Normal"/>
    <w:rsid w:val="00C8286D"/>
    <w:pPr>
      <w:overflowPunct/>
      <w:autoSpaceDE/>
      <w:autoSpaceDN/>
      <w:adjustRightInd/>
      <w:spacing w:before="480"/>
      <w:textAlignment w:val="auto"/>
    </w:pPr>
    <w:rPr>
      <w:b w:val="0"/>
      <w:caps/>
    </w:rPr>
  </w:style>
  <w:style w:type="paragraph" w:customStyle="1" w:styleId="Title3">
    <w:name w:val="Title 3"/>
    <w:basedOn w:val="Title2"/>
    <w:next w:val="Normal"/>
    <w:rsid w:val="00C8286D"/>
    <w:pPr>
      <w:spacing w:before="240"/>
    </w:pPr>
    <w:rPr>
      <w:caps w:val="0"/>
    </w:rPr>
  </w:style>
  <w:style w:type="paragraph" w:customStyle="1" w:styleId="Title4">
    <w:name w:val="Title 4"/>
    <w:basedOn w:val="Title3"/>
    <w:next w:val="Heading1"/>
    <w:rsid w:val="00C8286D"/>
    <w:rPr>
      <w:b/>
    </w:rPr>
  </w:style>
  <w:style w:type="paragraph" w:customStyle="1" w:styleId="toc0">
    <w:name w:val="toc 0"/>
    <w:basedOn w:val="Normal"/>
    <w:next w:val="TOC1"/>
    <w:rsid w:val="00C8286D"/>
    <w:pPr>
      <w:tabs>
        <w:tab w:val="clear" w:pos="1134"/>
        <w:tab w:val="clear" w:pos="1871"/>
        <w:tab w:val="clear" w:pos="2268"/>
        <w:tab w:val="right" w:pos="9781"/>
      </w:tabs>
    </w:pPr>
    <w:rPr>
      <w:b/>
    </w:rPr>
  </w:style>
  <w:style w:type="paragraph" w:styleId="TOC1">
    <w:name w:val="toc 1"/>
    <w:basedOn w:val="Normal"/>
    <w:rsid w:val="00C8286D"/>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C8286D"/>
    <w:pPr>
      <w:spacing w:before="120"/>
    </w:pPr>
  </w:style>
  <w:style w:type="paragraph" w:styleId="TOC3">
    <w:name w:val="toc 3"/>
    <w:basedOn w:val="TOC2"/>
    <w:rsid w:val="00C8286D"/>
  </w:style>
  <w:style w:type="paragraph" w:styleId="TOC4">
    <w:name w:val="toc 4"/>
    <w:basedOn w:val="TOC3"/>
    <w:rsid w:val="00C8286D"/>
  </w:style>
  <w:style w:type="paragraph" w:styleId="TOC5">
    <w:name w:val="toc 5"/>
    <w:basedOn w:val="TOC4"/>
    <w:rsid w:val="00C8286D"/>
  </w:style>
  <w:style w:type="paragraph" w:styleId="TOC6">
    <w:name w:val="toc 6"/>
    <w:basedOn w:val="TOC4"/>
    <w:rsid w:val="00C8286D"/>
  </w:style>
  <w:style w:type="paragraph" w:styleId="TOC7">
    <w:name w:val="toc 7"/>
    <w:basedOn w:val="TOC4"/>
    <w:rsid w:val="00C8286D"/>
  </w:style>
  <w:style w:type="paragraph" w:styleId="TOC8">
    <w:name w:val="toc 8"/>
    <w:basedOn w:val="TOC4"/>
    <w:rsid w:val="00C8286D"/>
  </w:style>
  <w:style w:type="paragraph" w:customStyle="1" w:styleId="Partref">
    <w:name w:val="Part_ref"/>
    <w:basedOn w:val="Annexref"/>
    <w:next w:val="Parttitle"/>
    <w:rsid w:val="00C8286D"/>
  </w:style>
  <w:style w:type="paragraph" w:customStyle="1" w:styleId="Questionref">
    <w:name w:val="Question_ref"/>
    <w:basedOn w:val="Recref"/>
    <w:next w:val="Questiondate"/>
    <w:rsid w:val="00C8286D"/>
  </w:style>
  <w:style w:type="paragraph" w:customStyle="1" w:styleId="Restitle">
    <w:name w:val="Res_title"/>
    <w:basedOn w:val="Rectitle"/>
    <w:next w:val="Resref"/>
    <w:rsid w:val="00C8286D"/>
  </w:style>
  <w:style w:type="paragraph" w:customStyle="1" w:styleId="SpecialFooter">
    <w:name w:val="Special Footer"/>
    <w:basedOn w:val="Footer"/>
    <w:rsid w:val="00C8286D"/>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C8286D"/>
  </w:style>
  <w:style w:type="paragraph" w:customStyle="1" w:styleId="AppArttitle">
    <w:name w:val="App_Art_title"/>
    <w:basedOn w:val="Arttitle"/>
    <w:next w:val="Normalaftertitle"/>
    <w:qFormat/>
    <w:rsid w:val="00C8286D"/>
  </w:style>
  <w:style w:type="paragraph" w:customStyle="1" w:styleId="AppArtNo">
    <w:name w:val="App_Art_No"/>
    <w:basedOn w:val="ArtNo"/>
    <w:next w:val="AppArttitle"/>
    <w:qFormat/>
    <w:rsid w:val="00C8286D"/>
  </w:style>
  <w:style w:type="paragraph" w:customStyle="1" w:styleId="Committee">
    <w:name w:val="Committee"/>
    <w:basedOn w:val="Normal"/>
    <w:qFormat/>
    <w:rsid w:val="00C8286D"/>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Volumetitle">
    <w:name w:val="Volume_title"/>
    <w:basedOn w:val="ArtNo"/>
    <w:qFormat/>
    <w:rsid w:val="00C8286D"/>
  </w:style>
  <w:style w:type="paragraph" w:customStyle="1" w:styleId="Headingsplit">
    <w:name w:val="Heading_split"/>
    <w:basedOn w:val="Headingi"/>
    <w:next w:val="Normal"/>
    <w:qFormat/>
    <w:rsid w:val="00C8286D"/>
    <w:rPr>
      <w:color w:val="000000"/>
    </w:rPr>
  </w:style>
  <w:style w:type="character" w:customStyle="1" w:styleId="Provsplit">
    <w:name w:val="Prov_split"/>
    <w:basedOn w:val="DefaultParagraphFont"/>
    <w:uiPriority w:val="1"/>
    <w:qFormat/>
    <w:rsid w:val="00C8286D"/>
  </w:style>
  <w:style w:type="paragraph" w:customStyle="1" w:styleId="MethodHeadingb">
    <w:name w:val="Method_Headingb"/>
    <w:basedOn w:val="Headingb"/>
    <w:qFormat/>
    <w:rsid w:val="00C8286D"/>
  </w:style>
  <w:style w:type="paragraph" w:customStyle="1" w:styleId="Methodheading1">
    <w:name w:val="Method_heading1"/>
    <w:basedOn w:val="Heading1"/>
    <w:next w:val="Normal"/>
    <w:qFormat/>
    <w:rsid w:val="00C8286D"/>
  </w:style>
  <w:style w:type="paragraph" w:customStyle="1" w:styleId="Methodheading2">
    <w:name w:val="Method_heading2"/>
    <w:basedOn w:val="Heading2"/>
    <w:next w:val="Normal"/>
    <w:qFormat/>
    <w:rsid w:val="00C8286D"/>
  </w:style>
  <w:style w:type="paragraph" w:customStyle="1" w:styleId="Methodheading3">
    <w:name w:val="Method_heading3"/>
    <w:basedOn w:val="Heading3"/>
    <w:next w:val="Normal"/>
    <w:qFormat/>
    <w:rsid w:val="00C8286D"/>
  </w:style>
  <w:style w:type="paragraph" w:customStyle="1" w:styleId="Methodheading4">
    <w:name w:val="Method_heading4"/>
    <w:basedOn w:val="Heading4"/>
    <w:next w:val="Normal"/>
    <w:qFormat/>
    <w:rsid w:val="00C8286D"/>
  </w:style>
  <w:style w:type="character" w:customStyle="1" w:styleId="Heading1Char">
    <w:name w:val="Heading 1 Char"/>
    <w:basedOn w:val="DefaultParagraphFont"/>
    <w:link w:val="Heading1"/>
    <w:rsid w:val="00CC63FE"/>
    <w:rPr>
      <w:rFonts w:ascii="Times New Roman" w:hAnsi="Times New Roman"/>
      <w:b/>
      <w:sz w:val="28"/>
      <w:lang w:val="es-ES_tradnl" w:eastAsia="en-US"/>
    </w:rPr>
  </w:style>
  <w:style w:type="character" w:styleId="Hyperlink">
    <w:name w:val="Hyperlink"/>
    <w:basedOn w:val="DefaultParagraphFont"/>
    <w:rsid w:val="00CC63FE"/>
    <w:rPr>
      <w:color w:val="0000FF"/>
      <w:u w:val="single"/>
    </w:rPr>
  </w:style>
  <w:style w:type="paragraph" w:styleId="Revision">
    <w:name w:val="Revision"/>
    <w:hidden/>
    <w:uiPriority w:val="99"/>
    <w:semiHidden/>
    <w:rsid w:val="00A54CD2"/>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https://www.itu.int/md/R23-WRC23-C-0007/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md/R23-WRC23-C-0270/es"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itu.int/md/R23-WRC23-C-0008/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R23-WRC23-231120-TD-0002/es" TargetMode="External"/><Relationship Id="rId20" Type="http://schemas.openxmlformats.org/officeDocument/2006/relationships/hyperlink" Target="https://www.itu.int/md/R23-WRC23-C-0220/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tu.int/md/R23-WRC23-C-0389/es" TargetMode="External"/><Relationship Id="rId5" Type="http://schemas.openxmlformats.org/officeDocument/2006/relationships/webSettings" Target="webSettings.xml"/><Relationship Id="rId15" Type="http://schemas.openxmlformats.org/officeDocument/2006/relationships/hyperlink" Target="https://www.itu.int/md/R23-WRC23-C-0005/es" TargetMode="External"/><Relationship Id="rId23" Type="http://schemas.openxmlformats.org/officeDocument/2006/relationships/hyperlink" Target="https://www.itu.int/md/R23-WRC23-C-0219/es" TargetMode="External"/><Relationship Id="rId10" Type="http://schemas.openxmlformats.org/officeDocument/2006/relationships/footer" Target="footer1.xml"/><Relationship Id="rId19" Type="http://schemas.openxmlformats.org/officeDocument/2006/relationships/hyperlink" Target="https://www.itu.int/md/R23-WRC23-C-0006/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yperlink" Target="https://www.itu.int/md/R23-WRC23-C-0387/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BR\PS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F6E68-8757-4DDB-8DFC-40390F9D4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PS_WRC23.dotx</Template>
  <TotalTime>169</TotalTime>
  <Pages>9</Pages>
  <Words>2386</Words>
  <Characters>13471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15826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- 2023</dc:subject>
  <dc:creator>Spanish</dc:creator>
  <cp:keywords>WRC-23</cp:keywords>
  <cp:lastModifiedBy>Spanish</cp:lastModifiedBy>
  <cp:revision>23</cp:revision>
  <cp:lastPrinted>2003-02-19T20:20:00Z</cp:lastPrinted>
  <dcterms:created xsi:type="dcterms:W3CDTF">2024-03-20T16:05:00Z</dcterms:created>
  <dcterms:modified xsi:type="dcterms:W3CDTF">2024-03-21T10:42:00Z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