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663"/>
        <w:gridCol w:w="3226"/>
      </w:tblGrid>
      <w:tr w:rsidR="00443261" w:rsidRPr="004F4906" w14:paraId="6B49F823" w14:textId="77777777" w:rsidTr="00D9047C">
        <w:trPr>
          <w:cantSplit/>
        </w:trPr>
        <w:tc>
          <w:tcPr>
            <w:tcW w:w="6663" w:type="dxa"/>
            <w:vAlign w:val="center"/>
          </w:tcPr>
          <w:p w14:paraId="7911B4CE" w14:textId="40B424E5" w:rsidR="00443261" w:rsidRPr="004F4906" w:rsidRDefault="00443261" w:rsidP="007711EA">
            <w:pPr>
              <w:shd w:val="solid" w:color="FFFFFF" w:fill="FFFFFF"/>
              <w:spacing w:before="360" w:after="240"/>
              <w:rPr>
                <w:rFonts w:ascii="Verdana" w:hAnsi="Verdana"/>
                <w:b/>
                <w:bCs/>
              </w:rPr>
            </w:pPr>
            <w:r w:rsidRPr="004F4906">
              <w:rPr>
                <w:rFonts w:ascii="Verdana" w:hAnsi="Verdana" w:cs="Times New Roman Bold"/>
                <w:b/>
                <w:sz w:val="25"/>
                <w:szCs w:val="25"/>
              </w:rPr>
              <w:t>Groupe Consultatif des Radiocommunications</w:t>
            </w:r>
          </w:p>
        </w:tc>
        <w:tc>
          <w:tcPr>
            <w:tcW w:w="3226" w:type="dxa"/>
          </w:tcPr>
          <w:p w14:paraId="37524C68" w14:textId="77777777" w:rsidR="00443261" w:rsidRPr="004F4906" w:rsidRDefault="007711EA" w:rsidP="004E76DF">
            <w:pPr>
              <w:shd w:val="solid" w:color="FFFFFF" w:fill="FFFFFF"/>
              <w:spacing w:before="0" w:line="240" w:lineRule="atLeast"/>
            </w:pPr>
            <w:r w:rsidRPr="004F4906">
              <w:rPr>
                <w:noProof/>
                <w:lang w:eastAsia="zh-CN"/>
              </w:rPr>
              <w:drawing>
                <wp:inline distT="0" distB="0" distL="0" distR="0" wp14:anchorId="5E444215" wp14:editId="7BA80E4B">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4F4906" w14:paraId="7644F8BA" w14:textId="77777777" w:rsidTr="00D9047C">
        <w:trPr>
          <w:cantSplit/>
        </w:trPr>
        <w:tc>
          <w:tcPr>
            <w:tcW w:w="6663" w:type="dxa"/>
            <w:tcBorders>
              <w:bottom w:val="single" w:sz="12" w:space="0" w:color="auto"/>
            </w:tcBorders>
          </w:tcPr>
          <w:p w14:paraId="0FC14610" w14:textId="77777777" w:rsidR="002D238A" w:rsidRPr="004F4906" w:rsidRDefault="002D238A" w:rsidP="00773E5E">
            <w:pPr>
              <w:shd w:val="solid" w:color="FFFFFF" w:fill="FFFFFF"/>
              <w:spacing w:before="0" w:after="48"/>
              <w:rPr>
                <w:rFonts w:ascii="Verdana" w:hAnsi="Verdana" w:cs="Times New Roman Bold"/>
                <w:b/>
                <w:sz w:val="22"/>
                <w:szCs w:val="22"/>
              </w:rPr>
            </w:pPr>
          </w:p>
        </w:tc>
        <w:tc>
          <w:tcPr>
            <w:tcW w:w="3226" w:type="dxa"/>
            <w:tcBorders>
              <w:bottom w:val="single" w:sz="12" w:space="0" w:color="auto"/>
            </w:tcBorders>
          </w:tcPr>
          <w:p w14:paraId="04A9844C" w14:textId="77777777" w:rsidR="002D238A" w:rsidRPr="004F4906" w:rsidRDefault="002D238A" w:rsidP="00773E5E">
            <w:pPr>
              <w:shd w:val="solid" w:color="FFFFFF" w:fill="FFFFFF"/>
              <w:spacing w:before="0" w:after="48" w:line="240" w:lineRule="atLeast"/>
              <w:rPr>
                <w:sz w:val="22"/>
                <w:szCs w:val="22"/>
              </w:rPr>
            </w:pPr>
          </w:p>
        </w:tc>
      </w:tr>
      <w:tr w:rsidR="002D238A" w:rsidRPr="004F4906" w14:paraId="194BC13A" w14:textId="77777777" w:rsidTr="00D9047C">
        <w:trPr>
          <w:cantSplit/>
        </w:trPr>
        <w:tc>
          <w:tcPr>
            <w:tcW w:w="6663" w:type="dxa"/>
            <w:tcBorders>
              <w:top w:val="single" w:sz="12" w:space="0" w:color="auto"/>
            </w:tcBorders>
          </w:tcPr>
          <w:p w14:paraId="4F06DC59" w14:textId="77777777" w:rsidR="002D238A" w:rsidRPr="004F4906" w:rsidRDefault="002D238A" w:rsidP="00773E5E">
            <w:pPr>
              <w:shd w:val="solid" w:color="FFFFFF" w:fill="FFFFFF"/>
              <w:spacing w:before="0" w:after="48"/>
              <w:rPr>
                <w:rFonts w:ascii="Verdana" w:hAnsi="Verdana" w:cs="Times New Roman Bold"/>
                <w:bCs/>
                <w:sz w:val="22"/>
                <w:szCs w:val="22"/>
              </w:rPr>
            </w:pPr>
          </w:p>
        </w:tc>
        <w:tc>
          <w:tcPr>
            <w:tcW w:w="3226" w:type="dxa"/>
            <w:tcBorders>
              <w:top w:val="single" w:sz="12" w:space="0" w:color="auto"/>
            </w:tcBorders>
          </w:tcPr>
          <w:p w14:paraId="55402802" w14:textId="77777777" w:rsidR="002D238A" w:rsidRPr="004F4906" w:rsidRDefault="002D238A" w:rsidP="00773E5E">
            <w:pPr>
              <w:shd w:val="solid" w:color="FFFFFF" w:fill="FFFFFF"/>
              <w:spacing w:before="0" w:after="48" w:line="240" w:lineRule="atLeast"/>
              <w:rPr>
                <w:rFonts w:ascii="Verdana" w:hAnsi="Verdana"/>
                <w:sz w:val="22"/>
                <w:szCs w:val="22"/>
              </w:rPr>
            </w:pPr>
          </w:p>
        </w:tc>
      </w:tr>
      <w:tr w:rsidR="00D9047C" w:rsidRPr="004F4906" w14:paraId="57C5EEEB" w14:textId="77777777" w:rsidTr="00D9047C">
        <w:trPr>
          <w:cantSplit/>
        </w:trPr>
        <w:tc>
          <w:tcPr>
            <w:tcW w:w="6663" w:type="dxa"/>
            <w:vMerge w:val="restart"/>
          </w:tcPr>
          <w:p w14:paraId="0A408226" w14:textId="77777777" w:rsidR="00D9047C" w:rsidRPr="004F4906" w:rsidRDefault="00D9047C" w:rsidP="00D9047C">
            <w:pPr>
              <w:shd w:val="solid" w:color="FFFFFF" w:fill="FFFFFF"/>
              <w:spacing w:before="0" w:line="240" w:lineRule="atLeast"/>
              <w:rPr>
                <w:rFonts w:ascii="Verdana" w:hAnsi="Verdana"/>
                <w:sz w:val="20"/>
              </w:rPr>
            </w:pPr>
            <w:bookmarkStart w:id="0" w:name="dnum" w:colFirst="1" w:colLast="1"/>
          </w:p>
        </w:tc>
        <w:tc>
          <w:tcPr>
            <w:tcW w:w="3226" w:type="dxa"/>
          </w:tcPr>
          <w:p w14:paraId="67CDA87F" w14:textId="4FC1E47D" w:rsidR="00D9047C" w:rsidRPr="004F4906" w:rsidRDefault="00D9047C" w:rsidP="00D9047C">
            <w:pPr>
              <w:shd w:val="solid" w:color="FFFFFF" w:fill="FFFFFF"/>
              <w:spacing w:before="0" w:line="240" w:lineRule="atLeast"/>
              <w:rPr>
                <w:rFonts w:ascii="Verdana" w:hAnsi="Verdana"/>
                <w:sz w:val="20"/>
              </w:rPr>
            </w:pPr>
            <w:r w:rsidRPr="004F4906">
              <w:rPr>
                <w:rFonts w:ascii="Verdana" w:hAnsi="Verdana"/>
                <w:b/>
                <w:bCs/>
                <w:sz w:val="20"/>
              </w:rPr>
              <w:t>Document RAG/INFO/1-F</w:t>
            </w:r>
          </w:p>
        </w:tc>
      </w:tr>
      <w:tr w:rsidR="00D9047C" w:rsidRPr="004F4906" w14:paraId="1690CADE" w14:textId="77777777" w:rsidTr="00D9047C">
        <w:trPr>
          <w:cantSplit/>
        </w:trPr>
        <w:tc>
          <w:tcPr>
            <w:tcW w:w="6663" w:type="dxa"/>
            <w:vMerge/>
          </w:tcPr>
          <w:p w14:paraId="5F6BA4F4" w14:textId="77777777" w:rsidR="00D9047C" w:rsidRPr="004F4906" w:rsidRDefault="00D9047C" w:rsidP="00D9047C">
            <w:pPr>
              <w:spacing w:before="60"/>
              <w:jc w:val="center"/>
              <w:rPr>
                <w:b/>
                <w:smallCaps/>
                <w:sz w:val="32"/>
              </w:rPr>
            </w:pPr>
            <w:bookmarkStart w:id="1" w:name="ddate" w:colFirst="1" w:colLast="1"/>
            <w:bookmarkEnd w:id="0"/>
          </w:p>
        </w:tc>
        <w:tc>
          <w:tcPr>
            <w:tcW w:w="3226" w:type="dxa"/>
          </w:tcPr>
          <w:p w14:paraId="3FA420F2" w14:textId="5C676068" w:rsidR="00D9047C" w:rsidRPr="004F4906" w:rsidRDefault="00D9047C" w:rsidP="00D9047C">
            <w:pPr>
              <w:shd w:val="solid" w:color="FFFFFF" w:fill="FFFFFF"/>
              <w:spacing w:before="0" w:line="240" w:lineRule="atLeast"/>
              <w:rPr>
                <w:rFonts w:ascii="Verdana" w:hAnsi="Verdana"/>
                <w:sz w:val="20"/>
              </w:rPr>
            </w:pPr>
            <w:r w:rsidRPr="004F4906">
              <w:rPr>
                <w:rFonts w:ascii="Verdana" w:hAnsi="Verdana"/>
                <w:b/>
                <w:bCs/>
                <w:sz w:val="20"/>
              </w:rPr>
              <w:t>20 mars 2024</w:t>
            </w:r>
          </w:p>
        </w:tc>
      </w:tr>
      <w:tr w:rsidR="00D9047C" w:rsidRPr="004F4906" w14:paraId="0E7D8BDB" w14:textId="77777777" w:rsidTr="00D9047C">
        <w:trPr>
          <w:cantSplit/>
        </w:trPr>
        <w:tc>
          <w:tcPr>
            <w:tcW w:w="6663" w:type="dxa"/>
            <w:vMerge/>
          </w:tcPr>
          <w:p w14:paraId="4BC37027" w14:textId="77777777" w:rsidR="00D9047C" w:rsidRPr="004F4906" w:rsidRDefault="00D9047C" w:rsidP="00D9047C">
            <w:pPr>
              <w:spacing w:before="60"/>
              <w:jc w:val="center"/>
              <w:rPr>
                <w:b/>
                <w:smallCaps/>
                <w:sz w:val="32"/>
              </w:rPr>
            </w:pPr>
            <w:bookmarkStart w:id="2" w:name="dorlang" w:colFirst="1" w:colLast="1"/>
            <w:bookmarkEnd w:id="1"/>
          </w:p>
        </w:tc>
        <w:tc>
          <w:tcPr>
            <w:tcW w:w="3226" w:type="dxa"/>
          </w:tcPr>
          <w:p w14:paraId="23B26947" w14:textId="04EA5D30" w:rsidR="00D9047C" w:rsidRPr="004F4906" w:rsidRDefault="00D9047C" w:rsidP="00D9047C">
            <w:pPr>
              <w:shd w:val="solid" w:color="FFFFFF" w:fill="FFFFFF"/>
              <w:spacing w:before="0" w:after="120" w:line="240" w:lineRule="atLeast"/>
              <w:rPr>
                <w:rFonts w:ascii="Verdana" w:hAnsi="Verdana"/>
                <w:sz w:val="20"/>
              </w:rPr>
            </w:pPr>
            <w:r w:rsidRPr="004F4906">
              <w:rPr>
                <w:rFonts w:ascii="Verdana" w:hAnsi="Verdana"/>
                <w:b/>
                <w:bCs/>
                <w:sz w:val="20"/>
              </w:rPr>
              <w:t>Original: anglais</w:t>
            </w:r>
          </w:p>
        </w:tc>
      </w:tr>
      <w:tr w:rsidR="00D9047C" w:rsidRPr="004F4906" w14:paraId="04CB1950" w14:textId="77777777">
        <w:trPr>
          <w:cantSplit/>
        </w:trPr>
        <w:tc>
          <w:tcPr>
            <w:tcW w:w="9889" w:type="dxa"/>
            <w:gridSpan w:val="2"/>
          </w:tcPr>
          <w:p w14:paraId="016B19D8" w14:textId="3AEAC263" w:rsidR="00D9047C" w:rsidRPr="004F4906" w:rsidRDefault="00D9047C" w:rsidP="00D9047C">
            <w:pPr>
              <w:pStyle w:val="Source"/>
            </w:pPr>
            <w:bookmarkStart w:id="3" w:name="dsource" w:colFirst="0" w:colLast="0"/>
            <w:bookmarkEnd w:id="2"/>
            <w:r w:rsidRPr="004F4906">
              <w:t>Directeur du BR</w:t>
            </w:r>
          </w:p>
        </w:tc>
      </w:tr>
      <w:tr w:rsidR="00D9047C" w:rsidRPr="004F4906" w14:paraId="77958E46" w14:textId="77777777">
        <w:trPr>
          <w:cantSplit/>
        </w:trPr>
        <w:tc>
          <w:tcPr>
            <w:tcW w:w="9889" w:type="dxa"/>
            <w:gridSpan w:val="2"/>
          </w:tcPr>
          <w:p w14:paraId="7E96BB1F" w14:textId="60D2E7FE" w:rsidR="00D9047C" w:rsidRPr="004F4906" w:rsidRDefault="00D9047C" w:rsidP="00D9047C">
            <w:pPr>
              <w:pStyle w:val="Title1"/>
            </w:pPr>
            <w:bookmarkStart w:id="4" w:name="dtitle1" w:colFirst="0" w:colLast="0"/>
            <w:bookmarkEnd w:id="3"/>
            <w:r w:rsidRPr="004F4906">
              <w:t>RAPPORT DE LA COMMISSION DE CONTRÔLE BUDG</w:t>
            </w:r>
            <w:r w:rsidRPr="004F4906">
              <w:t>É</w:t>
            </w:r>
            <w:r w:rsidRPr="004F4906">
              <w:t>TAIRE</w:t>
            </w:r>
          </w:p>
        </w:tc>
      </w:tr>
    </w:tbl>
    <w:bookmarkEnd w:id="4"/>
    <w:p w14:paraId="08AAA327" w14:textId="2C88DBE8" w:rsidR="00D9047C" w:rsidRPr="004F4906" w:rsidRDefault="00D9047C" w:rsidP="00D9047C">
      <w:pPr>
        <w:pStyle w:val="Normalaftertitle"/>
      </w:pPr>
      <w:r w:rsidRPr="004F4906">
        <w:t>Le présent document est soumis pour information.</w:t>
      </w:r>
      <w:r w:rsidRPr="004F4906">
        <w:br w:type="page"/>
      </w:r>
    </w:p>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D9047C" w:rsidRPr="004F4906" w14:paraId="6AB5A247" w14:textId="77777777" w:rsidTr="00F7231D">
        <w:trPr>
          <w:cantSplit/>
        </w:trPr>
        <w:tc>
          <w:tcPr>
            <w:tcW w:w="1418" w:type="dxa"/>
            <w:vAlign w:val="center"/>
          </w:tcPr>
          <w:p w14:paraId="1541CF03" w14:textId="77777777" w:rsidR="00D9047C" w:rsidRPr="004F4906" w:rsidRDefault="00D9047C" w:rsidP="00F7231D">
            <w:pPr>
              <w:spacing w:before="100" w:beforeAutospacing="1"/>
              <w:rPr>
                <w:rFonts w:ascii="Verdana" w:hAnsi="Verdana"/>
                <w:b/>
                <w:bCs/>
                <w:sz w:val="20"/>
              </w:rPr>
            </w:pPr>
            <w:r w:rsidRPr="004F4906">
              <w:rPr>
                <w:noProof/>
                <w:lang w:eastAsia="fr-CH"/>
              </w:rPr>
              <w:lastRenderedPageBreak/>
              <w:drawing>
                <wp:inline distT="0" distB="0" distL="0" distR="0" wp14:anchorId="031C68DC" wp14:editId="73EF829B">
                  <wp:extent cx="712470" cy="785495"/>
                  <wp:effectExtent l="0" t="0" r="0" b="0"/>
                  <wp:docPr id="1844232048" name="Picture 184423204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18AF5047" w14:textId="77777777" w:rsidR="00D9047C" w:rsidRPr="004F4906" w:rsidRDefault="00D9047C" w:rsidP="00F7231D">
            <w:pPr>
              <w:spacing w:before="400" w:after="48"/>
              <w:rPr>
                <w:rFonts w:ascii="Verdana" w:hAnsi="Verdana"/>
                <w:b/>
                <w:bCs/>
                <w:sz w:val="20"/>
              </w:rPr>
            </w:pPr>
            <w:r w:rsidRPr="004F4906">
              <w:rPr>
                <w:rFonts w:ascii="Verdana" w:hAnsi="Verdana"/>
                <w:b/>
                <w:bCs/>
                <w:sz w:val="20"/>
              </w:rPr>
              <w:t>Conférence mondiale des radiocommunications (CMR-23)</w:t>
            </w:r>
            <w:r w:rsidRPr="004F4906">
              <w:rPr>
                <w:rFonts w:ascii="Verdana" w:hAnsi="Verdana"/>
                <w:b/>
                <w:bCs/>
                <w:sz w:val="20"/>
              </w:rPr>
              <w:br/>
            </w:r>
            <w:r w:rsidRPr="004F4906">
              <w:rPr>
                <w:rFonts w:ascii="Verdana" w:hAnsi="Verdana"/>
                <w:b/>
                <w:bCs/>
                <w:sz w:val="18"/>
                <w:szCs w:val="18"/>
              </w:rPr>
              <w:t>Dubaï, 20 novembre – 15 décembre 2023</w:t>
            </w:r>
          </w:p>
        </w:tc>
        <w:tc>
          <w:tcPr>
            <w:tcW w:w="1667" w:type="dxa"/>
            <w:vAlign w:val="center"/>
          </w:tcPr>
          <w:p w14:paraId="18A77163" w14:textId="77777777" w:rsidR="00D9047C" w:rsidRPr="004F4906" w:rsidRDefault="00D9047C" w:rsidP="00F7231D">
            <w:pPr>
              <w:spacing w:before="0"/>
            </w:pPr>
            <w:bookmarkStart w:id="5" w:name="ditulogo"/>
            <w:bookmarkEnd w:id="5"/>
            <w:r w:rsidRPr="004F4906">
              <w:rPr>
                <w:noProof/>
                <w:lang w:eastAsia="fr-CH"/>
              </w:rPr>
              <w:drawing>
                <wp:inline distT="0" distB="0" distL="0" distR="0" wp14:anchorId="4672677A" wp14:editId="2DF884C5">
                  <wp:extent cx="1015340" cy="1015340"/>
                  <wp:effectExtent l="0" t="0" r="0" b="0"/>
                  <wp:docPr id="4" name="Picture 4" descr="A black background with text and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text and colorful lin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D9047C" w:rsidRPr="004F4906" w14:paraId="1D7DF3D9" w14:textId="77777777" w:rsidTr="00F7231D">
        <w:trPr>
          <w:cantSplit/>
        </w:trPr>
        <w:tc>
          <w:tcPr>
            <w:tcW w:w="6911" w:type="dxa"/>
            <w:gridSpan w:val="2"/>
            <w:tcBorders>
              <w:bottom w:val="single" w:sz="12" w:space="0" w:color="auto"/>
            </w:tcBorders>
          </w:tcPr>
          <w:p w14:paraId="551F6A4A" w14:textId="77777777" w:rsidR="00D9047C" w:rsidRPr="004F4906" w:rsidRDefault="00D9047C" w:rsidP="00F7231D">
            <w:pPr>
              <w:spacing w:before="0" w:after="48"/>
              <w:rPr>
                <w:b/>
                <w:smallCaps/>
                <w:szCs w:val="24"/>
              </w:rPr>
            </w:pPr>
            <w:bookmarkStart w:id="6" w:name="dhead"/>
          </w:p>
        </w:tc>
        <w:tc>
          <w:tcPr>
            <w:tcW w:w="3120" w:type="dxa"/>
            <w:gridSpan w:val="2"/>
            <w:tcBorders>
              <w:bottom w:val="single" w:sz="12" w:space="0" w:color="auto"/>
            </w:tcBorders>
          </w:tcPr>
          <w:p w14:paraId="313D7353" w14:textId="77777777" w:rsidR="00D9047C" w:rsidRPr="004F4906" w:rsidRDefault="00D9047C" w:rsidP="00F7231D">
            <w:pPr>
              <w:spacing w:before="0"/>
              <w:rPr>
                <w:rFonts w:ascii="Verdana" w:hAnsi="Verdana"/>
                <w:szCs w:val="24"/>
              </w:rPr>
            </w:pPr>
          </w:p>
        </w:tc>
      </w:tr>
      <w:tr w:rsidR="00D9047C" w:rsidRPr="004F4906" w14:paraId="4D4E21AF" w14:textId="77777777" w:rsidTr="00F7231D">
        <w:trPr>
          <w:cantSplit/>
        </w:trPr>
        <w:tc>
          <w:tcPr>
            <w:tcW w:w="6911" w:type="dxa"/>
            <w:gridSpan w:val="2"/>
            <w:tcBorders>
              <w:top w:val="single" w:sz="12" w:space="0" w:color="auto"/>
            </w:tcBorders>
          </w:tcPr>
          <w:p w14:paraId="04008442" w14:textId="77777777" w:rsidR="00D9047C" w:rsidRPr="004F4906" w:rsidRDefault="00D9047C" w:rsidP="00F7231D">
            <w:pPr>
              <w:spacing w:before="0" w:after="48"/>
              <w:rPr>
                <w:rFonts w:ascii="Verdana" w:hAnsi="Verdana"/>
                <w:b/>
                <w:smallCaps/>
                <w:sz w:val="20"/>
              </w:rPr>
            </w:pPr>
          </w:p>
        </w:tc>
        <w:tc>
          <w:tcPr>
            <w:tcW w:w="3120" w:type="dxa"/>
            <w:gridSpan w:val="2"/>
            <w:tcBorders>
              <w:top w:val="single" w:sz="12" w:space="0" w:color="auto"/>
            </w:tcBorders>
          </w:tcPr>
          <w:p w14:paraId="22DE82D6" w14:textId="77777777" w:rsidR="00D9047C" w:rsidRPr="004F4906" w:rsidRDefault="00D9047C" w:rsidP="00F7231D">
            <w:pPr>
              <w:spacing w:before="0"/>
              <w:rPr>
                <w:rFonts w:ascii="Verdana" w:hAnsi="Verdana"/>
                <w:sz w:val="20"/>
              </w:rPr>
            </w:pPr>
          </w:p>
        </w:tc>
      </w:tr>
      <w:tr w:rsidR="00D9047C" w:rsidRPr="004F4906" w14:paraId="305F14F8" w14:textId="77777777" w:rsidTr="00F7231D">
        <w:trPr>
          <w:cantSplit/>
        </w:trPr>
        <w:tc>
          <w:tcPr>
            <w:tcW w:w="6911" w:type="dxa"/>
            <w:gridSpan w:val="2"/>
          </w:tcPr>
          <w:p w14:paraId="496F1D87" w14:textId="77777777" w:rsidR="00D9047C" w:rsidRPr="004F4906" w:rsidRDefault="00D9047C" w:rsidP="00F7231D">
            <w:pPr>
              <w:spacing w:before="0"/>
              <w:rPr>
                <w:rFonts w:ascii="Verdana" w:hAnsi="Verdana"/>
                <w:b/>
                <w:sz w:val="20"/>
              </w:rPr>
            </w:pPr>
            <w:r w:rsidRPr="004F4906">
              <w:rPr>
                <w:rFonts w:ascii="Verdana" w:hAnsi="Verdana"/>
                <w:b/>
                <w:sz w:val="20"/>
              </w:rPr>
              <w:t>SÉANCE PLÉNIÈRE</w:t>
            </w:r>
          </w:p>
        </w:tc>
        <w:tc>
          <w:tcPr>
            <w:tcW w:w="3120" w:type="dxa"/>
            <w:gridSpan w:val="2"/>
          </w:tcPr>
          <w:p w14:paraId="46CC8D8C" w14:textId="77777777" w:rsidR="00D9047C" w:rsidRPr="004F4906" w:rsidRDefault="00D9047C" w:rsidP="00F7231D">
            <w:pPr>
              <w:spacing w:before="0"/>
              <w:rPr>
                <w:rFonts w:ascii="Verdana" w:hAnsi="Verdana"/>
                <w:sz w:val="20"/>
              </w:rPr>
            </w:pPr>
            <w:r w:rsidRPr="004F4906">
              <w:rPr>
                <w:rFonts w:ascii="Verdana" w:hAnsi="Verdana"/>
                <w:b/>
                <w:sz w:val="20"/>
              </w:rPr>
              <w:t>Révision 1 du</w:t>
            </w:r>
            <w:r w:rsidRPr="004F4906">
              <w:rPr>
                <w:rFonts w:ascii="Verdana" w:hAnsi="Verdana"/>
                <w:b/>
                <w:sz w:val="20"/>
              </w:rPr>
              <w:br/>
              <w:t>Document 460-F</w:t>
            </w:r>
          </w:p>
        </w:tc>
      </w:tr>
      <w:bookmarkEnd w:id="6"/>
      <w:tr w:rsidR="00D9047C" w:rsidRPr="004F4906" w14:paraId="792FBBC3" w14:textId="77777777" w:rsidTr="00F7231D">
        <w:trPr>
          <w:cantSplit/>
        </w:trPr>
        <w:tc>
          <w:tcPr>
            <w:tcW w:w="6911" w:type="dxa"/>
            <w:gridSpan w:val="2"/>
          </w:tcPr>
          <w:p w14:paraId="4AB43127" w14:textId="77777777" w:rsidR="00D9047C" w:rsidRPr="004F4906" w:rsidRDefault="00D9047C" w:rsidP="00F7231D">
            <w:pPr>
              <w:spacing w:before="0"/>
              <w:rPr>
                <w:rFonts w:ascii="Verdana" w:hAnsi="Verdana"/>
                <w:b/>
                <w:sz w:val="20"/>
              </w:rPr>
            </w:pPr>
          </w:p>
        </w:tc>
        <w:tc>
          <w:tcPr>
            <w:tcW w:w="3120" w:type="dxa"/>
            <w:gridSpan w:val="2"/>
          </w:tcPr>
          <w:p w14:paraId="7DCE94CF" w14:textId="77777777" w:rsidR="00D9047C" w:rsidRPr="004F4906" w:rsidRDefault="00D9047C" w:rsidP="00F7231D">
            <w:pPr>
              <w:spacing w:before="0"/>
              <w:rPr>
                <w:rFonts w:ascii="Verdana" w:hAnsi="Verdana"/>
                <w:b/>
                <w:sz w:val="20"/>
              </w:rPr>
            </w:pPr>
            <w:r w:rsidRPr="004F4906">
              <w:rPr>
                <w:rFonts w:ascii="Verdana" w:hAnsi="Verdana"/>
                <w:b/>
                <w:sz w:val="20"/>
              </w:rPr>
              <w:t>13 décembre 2023</w:t>
            </w:r>
          </w:p>
        </w:tc>
      </w:tr>
      <w:tr w:rsidR="00D9047C" w:rsidRPr="004F4906" w14:paraId="7361E778" w14:textId="77777777" w:rsidTr="00F7231D">
        <w:trPr>
          <w:cantSplit/>
        </w:trPr>
        <w:tc>
          <w:tcPr>
            <w:tcW w:w="6911" w:type="dxa"/>
            <w:gridSpan w:val="2"/>
          </w:tcPr>
          <w:p w14:paraId="37431DB4" w14:textId="77777777" w:rsidR="00D9047C" w:rsidRPr="004F4906" w:rsidRDefault="00D9047C" w:rsidP="00F7231D">
            <w:pPr>
              <w:spacing w:before="0" w:after="48"/>
              <w:rPr>
                <w:rFonts w:ascii="Verdana" w:hAnsi="Verdana"/>
                <w:b/>
                <w:smallCaps/>
                <w:sz w:val="20"/>
              </w:rPr>
            </w:pPr>
          </w:p>
        </w:tc>
        <w:tc>
          <w:tcPr>
            <w:tcW w:w="3120" w:type="dxa"/>
            <w:gridSpan w:val="2"/>
          </w:tcPr>
          <w:p w14:paraId="24D75198" w14:textId="77777777" w:rsidR="00D9047C" w:rsidRPr="004F4906" w:rsidRDefault="00D9047C" w:rsidP="00F7231D">
            <w:pPr>
              <w:spacing w:before="0"/>
              <w:rPr>
                <w:rFonts w:ascii="Verdana" w:hAnsi="Verdana"/>
                <w:b/>
                <w:sz w:val="20"/>
              </w:rPr>
            </w:pPr>
            <w:r w:rsidRPr="004F4906">
              <w:rPr>
                <w:rFonts w:ascii="Verdana" w:hAnsi="Verdana"/>
                <w:b/>
                <w:sz w:val="20"/>
              </w:rPr>
              <w:t>Original: anglais</w:t>
            </w:r>
          </w:p>
        </w:tc>
      </w:tr>
      <w:tr w:rsidR="00D9047C" w:rsidRPr="004F4906" w14:paraId="42BCA409" w14:textId="77777777" w:rsidTr="00F7231D">
        <w:trPr>
          <w:cantSplit/>
        </w:trPr>
        <w:tc>
          <w:tcPr>
            <w:tcW w:w="10031" w:type="dxa"/>
            <w:gridSpan w:val="4"/>
          </w:tcPr>
          <w:p w14:paraId="0DF9C9BA" w14:textId="77777777" w:rsidR="00D9047C" w:rsidRPr="004F4906" w:rsidRDefault="00D9047C" w:rsidP="00F7231D">
            <w:pPr>
              <w:spacing w:before="0"/>
              <w:rPr>
                <w:rFonts w:ascii="Verdana" w:hAnsi="Verdana"/>
                <w:b/>
                <w:sz w:val="20"/>
              </w:rPr>
            </w:pPr>
          </w:p>
        </w:tc>
      </w:tr>
      <w:tr w:rsidR="00D9047C" w:rsidRPr="004F4906" w14:paraId="111EF8CE" w14:textId="77777777" w:rsidTr="00F7231D">
        <w:trPr>
          <w:cantSplit/>
        </w:trPr>
        <w:tc>
          <w:tcPr>
            <w:tcW w:w="10031" w:type="dxa"/>
            <w:gridSpan w:val="4"/>
          </w:tcPr>
          <w:p w14:paraId="59EDC156" w14:textId="77777777" w:rsidR="00D9047C" w:rsidRPr="004F4906" w:rsidRDefault="00D9047C" w:rsidP="00F7231D">
            <w:pPr>
              <w:pStyle w:val="Source"/>
            </w:pPr>
            <w:r w:rsidRPr="004F4906">
              <w:t>Commission de contrôle budgétaire</w:t>
            </w:r>
          </w:p>
        </w:tc>
      </w:tr>
      <w:tr w:rsidR="00D9047C" w:rsidRPr="004F4906" w14:paraId="497FDF89" w14:textId="77777777" w:rsidTr="00F7231D">
        <w:trPr>
          <w:cantSplit/>
        </w:trPr>
        <w:tc>
          <w:tcPr>
            <w:tcW w:w="10031" w:type="dxa"/>
            <w:gridSpan w:val="4"/>
          </w:tcPr>
          <w:p w14:paraId="6C3BB446" w14:textId="77777777" w:rsidR="00D9047C" w:rsidRPr="004F4906" w:rsidRDefault="00D9047C" w:rsidP="00F7231D">
            <w:pPr>
              <w:pStyle w:val="Title1"/>
            </w:pPr>
            <w:r w:rsidRPr="004F4906">
              <w:t>RAPPORT DE LA COMMISSION DE CONTRÔLE BUDGÉTAIRE</w:t>
            </w:r>
          </w:p>
        </w:tc>
      </w:tr>
      <w:tr w:rsidR="00D9047C" w:rsidRPr="004F4906" w14:paraId="66FE9A00" w14:textId="77777777" w:rsidTr="00F7231D">
        <w:trPr>
          <w:cantSplit/>
        </w:trPr>
        <w:tc>
          <w:tcPr>
            <w:tcW w:w="10031" w:type="dxa"/>
            <w:gridSpan w:val="4"/>
          </w:tcPr>
          <w:p w14:paraId="49AF5938" w14:textId="77777777" w:rsidR="00D9047C" w:rsidRPr="004F4906" w:rsidRDefault="00D9047C" w:rsidP="00F7231D">
            <w:pPr>
              <w:pStyle w:val="Title2"/>
            </w:pPr>
            <w:bookmarkStart w:id="7" w:name="dtitle2" w:colFirst="0" w:colLast="0"/>
          </w:p>
        </w:tc>
      </w:tr>
      <w:tr w:rsidR="00D9047C" w:rsidRPr="004F4906" w14:paraId="147873D4" w14:textId="77777777" w:rsidTr="00F7231D">
        <w:trPr>
          <w:cantSplit/>
        </w:trPr>
        <w:tc>
          <w:tcPr>
            <w:tcW w:w="10031" w:type="dxa"/>
            <w:gridSpan w:val="4"/>
          </w:tcPr>
          <w:p w14:paraId="5066D7FA" w14:textId="77777777" w:rsidR="00D9047C" w:rsidRPr="004F4906" w:rsidRDefault="00D9047C" w:rsidP="00F7231D">
            <w:pPr>
              <w:pStyle w:val="Agendaitem"/>
              <w:rPr>
                <w:lang w:val="fr-FR"/>
              </w:rPr>
            </w:pPr>
            <w:bookmarkStart w:id="8" w:name="dtitle3" w:colFirst="0" w:colLast="0"/>
            <w:bookmarkEnd w:id="7"/>
          </w:p>
        </w:tc>
      </w:tr>
    </w:tbl>
    <w:bookmarkEnd w:id="8"/>
    <w:p w14:paraId="6C0055F8" w14:textId="77777777" w:rsidR="00D9047C" w:rsidRPr="004F4906" w:rsidRDefault="00D9047C" w:rsidP="00D9047C">
      <w:pPr>
        <w:pStyle w:val="Heading1"/>
      </w:pPr>
      <w:r w:rsidRPr="004F4906">
        <w:t>1</w:t>
      </w:r>
      <w:r w:rsidRPr="004F4906">
        <w:tab/>
        <w:t>La Commission de contrôle budgétaire</w:t>
      </w:r>
    </w:p>
    <w:p w14:paraId="63EEEFA5" w14:textId="77777777" w:rsidR="00D9047C" w:rsidRPr="004F4906" w:rsidRDefault="00D9047C" w:rsidP="00D9047C">
      <w:r w:rsidRPr="004F4906">
        <w:t>1.1</w:t>
      </w:r>
      <w:r w:rsidRPr="004F4906">
        <w:tab/>
        <w:t>La Commission de contrôle budgétaire (Commission 3) est présidée par Mme Cindy Cook (Canada). Cette commission compte également, parmi son équipe de direction, les Vice-Présidents suivants: Mme C. Suleiman Kamil (Soudan du Sud); M. F. M. Albarjas (Koweït); M. C. Hose (Australie); M. K. Concannon (Irlande) et M. S. Myrzakhmet (Kazakhstan), et le Secrétariat de l'UIT participe à ses travaux.</w:t>
      </w:r>
    </w:p>
    <w:p w14:paraId="606C8427" w14:textId="77777777" w:rsidR="00D9047C" w:rsidRPr="004F4906" w:rsidRDefault="00D9047C" w:rsidP="00D9047C">
      <w:r w:rsidRPr="004F4906">
        <w:t>1.2</w:t>
      </w:r>
      <w:r w:rsidRPr="004F4906">
        <w:tab/>
        <w:t>La Commission de contrôle budgétaire a tenu trois séances au cours de la Conférence mondiale des radiocommunications (CMR-23) et a examiné des documents relatifs aux points suivants:</w:t>
      </w:r>
    </w:p>
    <w:p w14:paraId="3E16A5A2" w14:textId="77777777" w:rsidR="00D9047C" w:rsidRPr="004F4906" w:rsidRDefault="00D9047C" w:rsidP="00D9047C">
      <w:pPr>
        <w:pStyle w:val="enumlev1"/>
      </w:pPr>
      <w:r w:rsidRPr="004F4906">
        <w:t>1.1</w:t>
      </w:r>
      <w:r w:rsidRPr="004F4906">
        <w:tab/>
        <w:t>Mandat de la Commission 3 et structure de la Conférence.</w:t>
      </w:r>
    </w:p>
    <w:p w14:paraId="05DD0D0D" w14:textId="77777777" w:rsidR="00D9047C" w:rsidRPr="004F4906" w:rsidRDefault="00D9047C" w:rsidP="00D9047C">
      <w:pPr>
        <w:pStyle w:val="enumlev1"/>
      </w:pPr>
      <w:r w:rsidRPr="004F4906">
        <w:t>1.2</w:t>
      </w:r>
      <w:r w:rsidRPr="004F4906">
        <w:tab/>
        <w:t>Accord de pays hôte.</w:t>
      </w:r>
    </w:p>
    <w:p w14:paraId="0C4A4CFF" w14:textId="77777777" w:rsidR="00D9047C" w:rsidRPr="004F4906" w:rsidRDefault="00D9047C" w:rsidP="00D9047C">
      <w:pPr>
        <w:pStyle w:val="enumlev1"/>
      </w:pPr>
      <w:r w:rsidRPr="004F4906">
        <w:t>1.3</w:t>
      </w:r>
      <w:r w:rsidRPr="004F4906">
        <w:tab/>
        <w:t>Responsabilités financières des conférences.</w:t>
      </w:r>
    </w:p>
    <w:p w14:paraId="197878A1" w14:textId="77777777" w:rsidR="00D9047C" w:rsidRPr="004F4906" w:rsidRDefault="00D9047C" w:rsidP="00D9047C">
      <w:pPr>
        <w:pStyle w:val="enumlev1"/>
      </w:pPr>
      <w:r w:rsidRPr="004F4906">
        <w:t>1.4</w:t>
      </w:r>
      <w:r w:rsidRPr="004F4906">
        <w:tab/>
        <w:t>Contributions des organisations ayant un caractère international et des Membres de Secteur aux dépenses de la Conférence (CMR-23).</w:t>
      </w:r>
    </w:p>
    <w:p w14:paraId="3DB86F7C" w14:textId="77777777" w:rsidR="00D9047C" w:rsidRPr="004F4906" w:rsidRDefault="00D9047C" w:rsidP="00D9047C">
      <w:pPr>
        <w:pStyle w:val="enumlev1"/>
      </w:pPr>
      <w:r w:rsidRPr="004F4906">
        <w:t>1.5</w:t>
      </w:r>
      <w:r w:rsidRPr="004F4906">
        <w:tab/>
        <w:t>Budget et dépenses de la Conférence mondiale des radiocommunications (CMR</w:t>
      </w:r>
      <w:r w:rsidRPr="004F4906">
        <w:noBreakHyphen/>
        <w:t>23).</w:t>
      </w:r>
    </w:p>
    <w:p w14:paraId="6799CE52" w14:textId="77777777" w:rsidR="00D9047C" w:rsidRPr="004F4906" w:rsidRDefault="00D9047C" w:rsidP="00D9047C">
      <w:pPr>
        <w:pStyle w:val="enumlev1"/>
      </w:pPr>
      <w:r w:rsidRPr="004F4906">
        <w:t>1.6</w:t>
      </w:r>
      <w:r w:rsidRPr="004F4906">
        <w:tab/>
        <w:t>Situation financière au 8 décembre 2023.</w:t>
      </w:r>
    </w:p>
    <w:p w14:paraId="128D1DAC" w14:textId="77777777" w:rsidR="00D9047C" w:rsidRPr="004F4906" w:rsidRDefault="00D9047C" w:rsidP="00D9047C">
      <w:pPr>
        <w:pStyle w:val="enumlev1"/>
      </w:pPr>
      <w:r w:rsidRPr="004F4906">
        <w:t>1.7</w:t>
      </w:r>
      <w:r w:rsidRPr="004F4906">
        <w:tab/>
        <w:t>Note de la Présidente de la Commission 3 aux présidents des autres commissions.</w:t>
      </w:r>
    </w:p>
    <w:p w14:paraId="4AB808F4" w14:textId="77777777" w:rsidR="00D9047C" w:rsidRPr="004F4906" w:rsidRDefault="00D9047C" w:rsidP="00D9047C">
      <w:pPr>
        <w:pStyle w:val="Heading1"/>
      </w:pPr>
      <w:r w:rsidRPr="004F4906">
        <w:t>2</w:t>
      </w:r>
      <w:r w:rsidRPr="004F4906">
        <w:tab/>
        <w:t>Accord de pays hôte (</w:t>
      </w:r>
      <w:hyperlink r:id="rId9" w:history="1">
        <w:r w:rsidRPr="004F4906">
          <w:rPr>
            <w:rStyle w:val="Hyperlink"/>
          </w:rPr>
          <w:t>Document 5</w:t>
        </w:r>
      </w:hyperlink>
      <w:r w:rsidRPr="004F4906">
        <w:t>)</w:t>
      </w:r>
    </w:p>
    <w:p w14:paraId="113C5EB2" w14:textId="77777777" w:rsidR="00D9047C" w:rsidRPr="004F4906" w:rsidRDefault="00D9047C" w:rsidP="00D9047C">
      <w:pPr>
        <w:keepNext/>
        <w:keepLines/>
      </w:pPr>
      <w:r w:rsidRPr="004F4906">
        <w:t>2.1</w:t>
      </w:r>
      <w:r w:rsidRPr="004F4906">
        <w:tab/>
        <w:t>L'Accord entre le Gouvernement des Émirats arabes unis et l'Union internationale des télécommunications est relatif à la tenue, à l'organisation et au financement de l'Assemblée des radiocommunications, de la Conférence mondiale des radiocommunications et de la Réunion de préparation à la Conférence de l'Union internationale des télécommunications à Dubaï (Émirats arabes unis). La commission a adressé ses plus sincères remerciements au Gouvernement des Émirats arabes unis pour sa générosité et son grand sens de l'hospitalité.</w:t>
      </w:r>
    </w:p>
    <w:p w14:paraId="54099546" w14:textId="77777777" w:rsidR="00D9047C" w:rsidRPr="004F4906" w:rsidRDefault="00D9047C" w:rsidP="00D9047C">
      <w:pPr>
        <w:pStyle w:val="Heading1"/>
      </w:pPr>
      <w:r w:rsidRPr="004F4906">
        <w:t>3</w:t>
      </w:r>
      <w:r w:rsidRPr="004F4906">
        <w:tab/>
        <w:t>Mandat de la Commission 3 et structure de la Conférence (</w:t>
      </w:r>
      <w:hyperlink r:id="rId10" w:history="1">
        <w:r w:rsidRPr="004F4906">
          <w:rPr>
            <w:rStyle w:val="Hyperlink"/>
          </w:rPr>
          <w:t>Document DT/2</w:t>
        </w:r>
      </w:hyperlink>
      <w:r w:rsidRPr="004F4906">
        <w:t>)</w:t>
      </w:r>
    </w:p>
    <w:p w14:paraId="0EB08AA1" w14:textId="77777777" w:rsidR="00D9047C" w:rsidRPr="004F4906" w:rsidRDefault="00D9047C" w:rsidP="00D9047C">
      <w:r w:rsidRPr="004F4906">
        <w:t>3.1</w:t>
      </w:r>
      <w:r w:rsidRPr="004F4906">
        <w:rPr>
          <w:rFonts w:asciiTheme="majorBidi" w:hAnsiTheme="majorBidi" w:cstheme="majorBidi"/>
          <w:szCs w:val="24"/>
        </w:rPr>
        <w:tab/>
      </w:r>
      <w:r w:rsidRPr="004F4906">
        <w:t>Apprécier l'organisation et les moyens d'action mis à la disposition des délégués, examiner et approuver les comptes des dépenses engagées pendant toute la durée de la Conférence et présenter à la séance plénière un rapport indiquant le montant total estimé des dépenses de la Conférence ainsi qu'une estimation des incidences financières (numéro 488 de la Convention) susceptibles de découler de l'exécution des décisions prises par la Conférence (numéros 71 à 74 des Règles générales).</w:t>
      </w:r>
    </w:p>
    <w:p w14:paraId="25C3010E" w14:textId="77777777" w:rsidR="00D9047C" w:rsidRPr="004F4906" w:rsidRDefault="00D9047C" w:rsidP="00D9047C">
      <w:pPr>
        <w:pStyle w:val="Heading1"/>
      </w:pPr>
      <w:r w:rsidRPr="004F4906">
        <w:t>4</w:t>
      </w:r>
      <w:r w:rsidRPr="004F4906">
        <w:tab/>
        <w:t>Responsabilités financières des conférences (</w:t>
      </w:r>
      <w:hyperlink r:id="rId11" w:history="1">
        <w:r w:rsidRPr="004F4906">
          <w:rPr>
            <w:rStyle w:val="Hyperlink"/>
          </w:rPr>
          <w:t>Document 8</w:t>
        </w:r>
      </w:hyperlink>
      <w:r w:rsidRPr="004F4906">
        <w:t>)</w:t>
      </w:r>
    </w:p>
    <w:p w14:paraId="450C4343" w14:textId="77777777" w:rsidR="00D9047C" w:rsidRPr="004F4906" w:rsidRDefault="00D9047C" w:rsidP="00D9047C">
      <w:r w:rsidRPr="004F4906">
        <w:t>4.1</w:t>
      </w:r>
      <w:r w:rsidRPr="004F4906">
        <w:tab/>
        <w:t>L'attention de la Conférence a été attirée sur le numéro 92 (article 13) de la Constitution de l'Union internationale des télécommunications, qui dispose que:</w:t>
      </w:r>
    </w:p>
    <w:p w14:paraId="027D3EA1" w14:textId="77777777" w:rsidR="00D9047C" w:rsidRPr="004F4906" w:rsidRDefault="00D9047C" w:rsidP="00D9047C">
      <w:r w:rsidRPr="004F4906">
        <w:t>«Les décisions des conférences mondiales des radiocommunications, des assemblées des radiocommunications et des conférences régionales des radiocommunications doivent être, dans tous les cas, conformes aux dispositions de la présente Constitution et de la Convention. Les décisions des assemblées des radiocommunications ou des conférences régionales des radiocommunications doivent être aussi, dans tous les cas, conformes aux dispositions du Règlement des radiocommunications. Lorsqu'elles adoptent des résolutions ou des décisions, les conférences doivent tenir compte des répercussions financières prévisibles et devraient éviter d'adopter des résolutions ou des décisions susceptibles d'entraîner le dépassement des limites financières fixées par la Conférence de plénipotentiaires.»</w:t>
      </w:r>
    </w:p>
    <w:p w14:paraId="19D85F70" w14:textId="77777777" w:rsidR="00D9047C" w:rsidRPr="004F4906" w:rsidRDefault="00D9047C" w:rsidP="00D9047C">
      <w:r w:rsidRPr="004F4906">
        <w:t>4.2</w:t>
      </w:r>
      <w:r w:rsidRPr="004F4906">
        <w:tab/>
        <w:t>L'attention de la Conférence a également été attirée sur les numéros 488 et 489 (article 34) de la</w:t>
      </w:r>
      <w:r w:rsidRPr="004F4906">
        <w:rPr>
          <w:rFonts w:ascii="Arial" w:hAnsi="Arial" w:cs="Arial"/>
          <w:szCs w:val="24"/>
        </w:rPr>
        <w:t xml:space="preserve"> </w:t>
      </w:r>
      <w:r w:rsidRPr="004F4906">
        <w:t>Convention de l'Union internationale des télécommunications, qui disposent que:</w:t>
      </w:r>
    </w:p>
    <w:p w14:paraId="1CD200F7" w14:textId="77777777" w:rsidR="00D9047C" w:rsidRPr="004F4906" w:rsidRDefault="00D9047C" w:rsidP="00D9047C">
      <w:r w:rsidRPr="004F4906">
        <w:t>«Avant d'adopter des propositions ou avant de prendre des décisions ayant des incidences financières, les conférences de l'Union tiennent compte de toutes les prévisions budgétaires de l'Union en vue d'assurer qu'elles n'entraînent pas de dépenses supérieures aux crédits que le Conseil est habilité à autoriser.</w:t>
      </w:r>
    </w:p>
    <w:p w14:paraId="3F7BD3D4" w14:textId="77777777" w:rsidR="00D9047C" w:rsidRPr="004F4906" w:rsidRDefault="00D9047C" w:rsidP="00D9047C">
      <w:r w:rsidRPr="004F4906">
        <w:t>Il n'est donné suite à aucune décision d'une conférence ayant pour conséquence une augmentation directe ou indirecte des dépenses au-delà des crédits que le Conseil est habilité à autoriser.»</w:t>
      </w:r>
    </w:p>
    <w:p w14:paraId="0C7A4C87" w14:textId="77777777" w:rsidR="00D9047C" w:rsidRPr="004F4906" w:rsidRDefault="00D9047C" w:rsidP="00D9047C">
      <w:pPr>
        <w:pStyle w:val="Heading1"/>
      </w:pPr>
      <w:r w:rsidRPr="004F4906">
        <w:t>5</w:t>
      </w:r>
      <w:r w:rsidRPr="004F4906">
        <w:tab/>
        <w:t>Contributions des organisations ayant un caractère international et des Membres de Secteur aux dépenses de la Conférence (</w:t>
      </w:r>
      <w:hyperlink r:id="rId12" w:history="1">
        <w:r w:rsidRPr="004F4906">
          <w:rPr>
            <w:rStyle w:val="Hyperlink"/>
          </w:rPr>
          <w:t>Document 7</w:t>
        </w:r>
      </w:hyperlink>
      <w:r w:rsidRPr="004F4906">
        <w:t>)</w:t>
      </w:r>
    </w:p>
    <w:p w14:paraId="4AD688B8" w14:textId="77777777" w:rsidR="00D9047C" w:rsidRPr="004F4906" w:rsidRDefault="00D9047C" w:rsidP="00D9047C">
      <w:r w:rsidRPr="004F4906">
        <w:t>5.1</w:t>
      </w:r>
      <w:r w:rsidRPr="004F4906">
        <w:tab/>
        <w:t>Le numéro 476 de la Convention de l'Union internationale des télécommunications dispose que:</w:t>
      </w:r>
    </w:p>
    <w:p w14:paraId="2347E518" w14:textId="77777777" w:rsidR="00D9047C" w:rsidRPr="004F4906" w:rsidRDefault="00D9047C" w:rsidP="00D9047C">
      <w:pPr>
        <w:rPr>
          <w:rFonts w:asciiTheme="majorBidi" w:hAnsiTheme="majorBidi" w:cstheme="majorBidi"/>
          <w:szCs w:val="24"/>
        </w:rPr>
      </w:pPr>
      <w:r w:rsidRPr="004F4906">
        <w:t>«Les organisations visées aux numéros 269A à 269E de la présente Convention et d'autres organisations également indiquées au Chapitre II de cette même Convention (sauf si elles ont été exonérées par le Conseil, sous réserve de réciprocité) et les Membres des Secteurs visés au numéro 230 de la présente Convention qui participent, conformément aux dispositions de la présente Convention, à une Conférence de plénipotentiaires, à une conférence, à une assemblée ou à une réunion d'un Secteur de l'Union, ou à une conférence mondiale des télécommunications internationales, contribuent aux dépenses des conférences, assemblées et réunions auxquelles ils participent en fonction du coût de ces conférences et réunions et conformément au Règlement financier. Toutefois, les Membres des Secteurs ne contribueront pas spécifiquement aux dépenses liées à leur participation à une conférence, une assemblée ou une réunion de leur Secteur respectif, sauf dans le cas des conférences régionales des radiocommunications.»</w:t>
      </w:r>
    </w:p>
    <w:p w14:paraId="182C92ED" w14:textId="77777777" w:rsidR="00D9047C" w:rsidRPr="004F4906" w:rsidRDefault="00D9047C" w:rsidP="00D9047C">
      <w:r w:rsidRPr="004F4906">
        <w:t>L'Article 7.5 du Règlement financier stipule que:</w:t>
      </w:r>
    </w:p>
    <w:p w14:paraId="010D5356" w14:textId="77777777" w:rsidR="00D9047C" w:rsidRPr="004F4906" w:rsidRDefault="00D9047C" w:rsidP="00D9047C">
      <w:pPr>
        <w:pStyle w:val="enumlev1"/>
      </w:pPr>
      <w:r w:rsidRPr="004F4906">
        <w:t>«a)</w:t>
      </w:r>
      <w:r w:rsidRPr="004F4906">
        <w:tab/>
        <w:t>Sous réserve des dispositions de l'alinéa b) ci-dessous, les contributions visées au numéro 476 de la Convention se fondent sur le libre choix d'une classe de contribution dans l'échelle établie au numéro 468 de la Convention.</w:t>
      </w:r>
    </w:p>
    <w:p w14:paraId="7742B76C" w14:textId="77777777" w:rsidR="00D9047C" w:rsidRPr="004F4906" w:rsidRDefault="00D9047C" w:rsidP="00D9047C">
      <w:pPr>
        <w:pStyle w:val="enumlev1"/>
        <w:rPr>
          <w:rFonts w:asciiTheme="majorBidi" w:hAnsiTheme="majorBidi" w:cstheme="majorBidi"/>
          <w:szCs w:val="24"/>
        </w:rPr>
      </w:pPr>
      <w:r w:rsidRPr="004F4906">
        <w:t>b)</w:t>
      </w:r>
      <w:r w:rsidRPr="004F4906">
        <w:tab/>
        <w:t>Le montant de la contribution par unité payable au titre des dépenses d'une conférence ou d'une assemblée s'établit en divisant le budget de la conférence ou de l'assemblée en question par le nombre total d'unités payées par les États Membres au titre de leur part des dépenses de l'Union. Les contributions sont considérées comme constituant des recettes de l'Union; elles portent intérêts à partir du soixantième jour après la date d'envoi des comptes, aux taux fixés dans le numéro 474 de la Convention. Les organisations internationales et les Membres des Secteurs qui ne sont pas exonérés contribuent au niveau minimum d'une unité</w:t>
      </w:r>
      <w:r w:rsidRPr="004F4906">
        <w:rPr>
          <w:rFonts w:asciiTheme="majorBidi" w:hAnsiTheme="majorBidi" w:cstheme="majorBidi"/>
          <w:szCs w:val="24"/>
        </w:rPr>
        <w:t>.»</w:t>
      </w:r>
    </w:p>
    <w:p w14:paraId="55839861" w14:textId="3712AA5A" w:rsidR="00D9047C" w:rsidRPr="004F4906" w:rsidRDefault="00D9047C" w:rsidP="00D9047C">
      <w:pPr>
        <w:rPr>
          <w:rFonts w:asciiTheme="majorBidi" w:hAnsiTheme="majorBidi" w:cstheme="majorBidi"/>
          <w:szCs w:val="24"/>
        </w:rPr>
      </w:pPr>
      <w:r w:rsidRPr="004F4906">
        <w:t>5.2</w:t>
      </w:r>
      <w:r w:rsidRPr="004F4906">
        <w:tab/>
        <w:t>Le budget de la Conférence mondiale des radiocommunications (CMR-23) s'élève à</w:t>
      </w:r>
      <w:r w:rsidRPr="004F4906">
        <w:rPr>
          <w:rFonts w:asciiTheme="majorBidi" w:hAnsiTheme="majorBidi" w:cstheme="majorBidi"/>
          <w:szCs w:val="24"/>
        </w:rPr>
        <w:t> 5 181</w:t>
      </w:r>
      <w:r w:rsidR="004F4906" w:rsidRPr="004F4906">
        <w:rPr>
          <w:rFonts w:asciiTheme="majorBidi" w:hAnsiTheme="majorBidi" w:cstheme="majorBidi"/>
          <w:szCs w:val="24"/>
        </w:rPr>
        <w:t> </w:t>
      </w:r>
      <w:r w:rsidRPr="004F4906">
        <w:rPr>
          <w:rFonts w:asciiTheme="majorBidi" w:hAnsiTheme="majorBidi" w:cstheme="majorBidi"/>
          <w:szCs w:val="24"/>
        </w:rPr>
        <w:t>000 CHF,</w:t>
      </w:r>
      <w:r w:rsidRPr="004F4906">
        <w:t xml:space="preserve"> y compris le coût de la production des documents. Le nombre total d'unités contributives des États Membres étant de 343 11/16, le montant de l'unité contributive pour les organisations internationales non exonérées et les Membres des Secteurs (autres que celui des radiocommunications) qui contribuent aux dépenses de la Conférence s'établit à </w:t>
      </w:r>
      <w:r w:rsidRPr="004F4906">
        <w:rPr>
          <w:rFonts w:asciiTheme="majorBidi" w:hAnsiTheme="majorBidi" w:cstheme="majorBidi"/>
          <w:szCs w:val="24"/>
        </w:rPr>
        <w:t>15 075 CHF.</w:t>
      </w:r>
    </w:p>
    <w:p w14:paraId="3479A711" w14:textId="77777777" w:rsidR="00D9047C" w:rsidRPr="004F4906" w:rsidRDefault="00D9047C" w:rsidP="00D9047C">
      <w:r w:rsidRPr="004F4906">
        <w:t>5.3</w:t>
      </w:r>
      <w:r w:rsidRPr="004F4906">
        <w:tab/>
        <w:t>Au 11 décembre 2023, aucune organisation ou aucun Membre de Secteur tenu de participer aux dépenses de la Conférence n'avait été enregistré.</w:t>
      </w:r>
    </w:p>
    <w:p w14:paraId="3A0B0B3F" w14:textId="77777777" w:rsidR="00D9047C" w:rsidRPr="004F4906" w:rsidRDefault="00D9047C" w:rsidP="00D9047C">
      <w:pPr>
        <w:pStyle w:val="Heading1"/>
      </w:pPr>
      <w:r w:rsidRPr="004F4906">
        <w:t>6</w:t>
      </w:r>
      <w:r w:rsidRPr="004F4906">
        <w:tab/>
        <w:t xml:space="preserve">Budget et situation financière de la Conférence mondiale des radiocommunications de 2023 (Documents </w:t>
      </w:r>
      <w:hyperlink r:id="rId13" w:history="1">
        <w:r w:rsidRPr="004F4906">
          <w:rPr>
            <w:rStyle w:val="Hyperlink"/>
          </w:rPr>
          <w:t>6</w:t>
        </w:r>
      </w:hyperlink>
      <w:r w:rsidRPr="004F4906">
        <w:t xml:space="preserve">, </w:t>
      </w:r>
      <w:hyperlink r:id="rId14" w:history="1">
        <w:r w:rsidRPr="004F4906">
          <w:rPr>
            <w:rStyle w:val="Hyperlink"/>
          </w:rPr>
          <w:t>220</w:t>
        </w:r>
      </w:hyperlink>
      <w:r w:rsidRPr="004F4906">
        <w:t xml:space="preserve">, </w:t>
      </w:r>
      <w:hyperlink r:id="rId15" w:history="1">
        <w:r w:rsidRPr="004F4906">
          <w:rPr>
            <w:rStyle w:val="Hyperlink"/>
          </w:rPr>
          <w:t>270</w:t>
        </w:r>
      </w:hyperlink>
      <w:r w:rsidRPr="004F4906">
        <w:t xml:space="preserve"> et </w:t>
      </w:r>
      <w:hyperlink r:id="rId16" w:history="1">
        <w:r w:rsidRPr="004F4906">
          <w:rPr>
            <w:rStyle w:val="Hyperlink"/>
          </w:rPr>
          <w:t>387</w:t>
        </w:r>
      </w:hyperlink>
      <w:r w:rsidRPr="004F4906">
        <w:t>)</w:t>
      </w:r>
    </w:p>
    <w:p w14:paraId="54BB4215" w14:textId="77777777" w:rsidR="00D9047C" w:rsidRPr="004F4906" w:rsidRDefault="00D9047C" w:rsidP="00D9047C">
      <w:pPr>
        <w:rPr>
          <w:rFonts w:asciiTheme="majorBidi" w:hAnsiTheme="majorBidi" w:cstheme="majorBidi"/>
          <w:szCs w:val="24"/>
        </w:rPr>
      </w:pPr>
      <w:r w:rsidRPr="004F4906">
        <w:t>6.1</w:t>
      </w:r>
      <w:r w:rsidRPr="004F4906">
        <w:tab/>
        <w:t>Le budget de la Conférence mondiale des radiocommunications (CMR-23) pour l'année 2023, que le Conseil a approuvé à sa session de 2021 par sa Résolution 1405, s'élève à </w:t>
      </w:r>
      <w:r w:rsidRPr="004F4906">
        <w:rPr>
          <w:rFonts w:asciiTheme="majorBidi" w:hAnsiTheme="majorBidi" w:cstheme="majorBidi"/>
          <w:szCs w:val="24"/>
        </w:rPr>
        <w:t xml:space="preserve">2 449 000 </w:t>
      </w:r>
      <w:r w:rsidRPr="004F4906">
        <w:t>CHF (coûts directs), montant auquel s'ajoute le coût de la production des documents (2</w:t>
      </w:r>
      <w:r w:rsidRPr="004F4906">
        <w:rPr>
          <w:rFonts w:asciiTheme="majorBidi" w:hAnsiTheme="majorBidi" w:cstheme="majorBidi"/>
          <w:szCs w:val="24"/>
        </w:rPr>
        <w:t xml:space="preserve"> 732 000 </w:t>
      </w:r>
      <w:r w:rsidRPr="004F4906">
        <w:t xml:space="preserve">CHF). Des précisions sont données dans le Document </w:t>
      </w:r>
      <w:r w:rsidRPr="004F4906">
        <w:rPr>
          <w:rFonts w:asciiTheme="majorBidi" w:hAnsiTheme="majorBidi" w:cstheme="majorBidi"/>
          <w:szCs w:val="24"/>
        </w:rPr>
        <w:t>6.</w:t>
      </w:r>
    </w:p>
    <w:p w14:paraId="2EE3036F" w14:textId="77777777" w:rsidR="00D9047C" w:rsidRPr="004F4906" w:rsidRDefault="00D9047C" w:rsidP="00D9047C">
      <w:pPr>
        <w:rPr>
          <w:rFonts w:asciiTheme="majorBidi" w:hAnsiTheme="majorBidi" w:cstheme="majorBidi"/>
          <w:szCs w:val="24"/>
        </w:rPr>
      </w:pPr>
      <w:r w:rsidRPr="004F4906">
        <w:t>6.2</w:t>
      </w:r>
      <w:r w:rsidRPr="004F4906">
        <w:tab/>
        <w:t>Le tableau figurant dans le Document 387 donne des précisions ainsi que l'état financier prévu au 8 décembre 2023 pour la Conférence mondiale des radiocommunications de 2023 (CMR</w:t>
      </w:r>
      <w:r w:rsidRPr="004F4906">
        <w:noBreakHyphen/>
        <w:t>23). Le montant total des coûts pour la gestion de la Conférence, coût de la production des documents compris, s'établit, selon les estimations, à 4 482 000 CHF</w:t>
      </w:r>
      <w:r w:rsidRPr="004F4906">
        <w:rPr>
          <w:rFonts w:asciiTheme="majorBidi" w:hAnsiTheme="majorBidi" w:cstheme="majorBidi"/>
          <w:szCs w:val="24"/>
        </w:rPr>
        <w:t>, ce qui entraîne un excédant s'établissant, selon les estimations, à environ 699 000 CHF à la fin de la conférence.</w:t>
      </w:r>
    </w:p>
    <w:p w14:paraId="56079110" w14:textId="77777777" w:rsidR="00D9047C" w:rsidRPr="004F4906" w:rsidRDefault="00D9047C" w:rsidP="00D9047C">
      <w:r w:rsidRPr="004F4906">
        <w:t>6.3</w:t>
      </w:r>
      <w:r w:rsidRPr="004F4906">
        <w:tab/>
        <w:t>Le représentant d'un État Membre a pris la parole afin de recommander que l'excédent de 699 000 CHF soit utilisé, dans la mesure du possible, pour financer la mise en œuvre des résultats de la conférence.</w:t>
      </w:r>
    </w:p>
    <w:p w14:paraId="7B55078C" w14:textId="77777777" w:rsidR="00D9047C" w:rsidRPr="004F4906" w:rsidRDefault="00D9047C" w:rsidP="00D9047C">
      <w:r w:rsidRPr="004F4906">
        <w:t>6.4</w:t>
      </w:r>
      <w:r w:rsidRPr="004F4906">
        <w:tab/>
        <w:t>L'Annexe 1 contient la situation financière détaillée de la CMR-23 au 8 décembre 2023.</w:t>
      </w:r>
    </w:p>
    <w:p w14:paraId="080F85EA" w14:textId="77777777" w:rsidR="00D9047C" w:rsidRPr="004F4906" w:rsidRDefault="00D9047C" w:rsidP="00D9047C">
      <w:pPr>
        <w:pStyle w:val="Heading1"/>
      </w:pPr>
      <w:r w:rsidRPr="004F4906">
        <w:t>7</w:t>
      </w:r>
      <w:r w:rsidRPr="004F4906">
        <w:tab/>
        <w:t>Note de la Présidente de la Commission 3 aux autres commissions (</w:t>
      </w:r>
      <w:hyperlink r:id="rId17" w:history="1">
        <w:r w:rsidRPr="004F4906">
          <w:rPr>
            <w:rStyle w:val="Hyperlink"/>
          </w:rPr>
          <w:t>Document 219</w:t>
        </w:r>
      </w:hyperlink>
      <w:r w:rsidRPr="004F4906">
        <w:t>)</w:t>
      </w:r>
    </w:p>
    <w:p w14:paraId="569125D1" w14:textId="77777777" w:rsidR="00D9047C" w:rsidRPr="004F4906" w:rsidRDefault="00D9047C" w:rsidP="00D9047C">
      <w:r w:rsidRPr="004F4906">
        <w:t>7.1</w:t>
      </w:r>
      <w:r w:rsidRPr="004F4906">
        <w:tab/>
        <w:t>La Présidente de la Commission 3 a envoyé une note (Document 219) aux Présidents des Commissions 4, 5 et 6.</w:t>
      </w:r>
    </w:p>
    <w:p w14:paraId="1964AB87" w14:textId="77777777" w:rsidR="00D9047C" w:rsidRPr="004F4906" w:rsidRDefault="00D9047C" w:rsidP="00D9047C">
      <w:r w:rsidRPr="004F4906">
        <w:t>7.2</w:t>
      </w:r>
      <w:r w:rsidRPr="004F4906">
        <w:tab/>
        <w:t>Dans cette note, elle demande aux présidents de toutes les commissions de fournir, dès que possible, toutes les indications et informations concernant les décisions, résolutions ou modifications apportées au Règlement des radiocommunications susceptibles d'avoir des incidences financières sur les produits ou les charges, conformément aux informations présentées dans le Document 8.</w:t>
      </w:r>
    </w:p>
    <w:p w14:paraId="46152366" w14:textId="77777777" w:rsidR="00D9047C" w:rsidRPr="004F4906" w:rsidRDefault="00D9047C" w:rsidP="00D9047C">
      <w:r w:rsidRPr="004F4906">
        <w:t>7.3</w:t>
      </w:r>
      <w:r w:rsidRPr="004F4906">
        <w:tab/>
        <w:t>L'objectif est de permettre à la Commission 3 de s'acquitter de ses responsabilités concernant le montant estimatif des incidences financières susceptibles de découler de l'exécution des décisions prises par la Conférence.</w:t>
      </w:r>
    </w:p>
    <w:p w14:paraId="33FBD33A" w14:textId="77777777" w:rsidR="00D9047C" w:rsidRPr="004F4906" w:rsidRDefault="00D9047C" w:rsidP="00D9047C">
      <w:r w:rsidRPr="004F4906">
        <w:t>7.4</w:t>
      </w:r>
      <w:r w:rsidRPr="004F4906">
        <w:tab/>
        <w:t>Dans ladite note, l'attention de la Conférence est attirée sur les numéros 488 et 489 (article 34) de la Convention de l'UIT et sur le numéro 92 (article 13) de la Constitution de l'UIT, dont les textes figurent au paragraphe 4 ci-dessus.</w:t>
      </w:r>
    </w:p>
    <w:p w14:paraId="5EE3235F" w14:textId="77777777" w:rsidR="00D9047C" w:rsidRPr="004F4906" w:rsidRDefault="00D9047C" w:rsidP="00D9047C">
      <w:r w:rsidRPr="004F4906">
        <w:t>7.5</w:t>
      </w:r>
      <w:r w:rsidRPr="004F4906">
        <w:tab/>
        <w:t>Au 11 décembre 2023, les Commissions 4, 5 et 6 avaient envoyé trois notes à la Commission 3, afin de lui faire part des décisions susceptibles d'avoir des incidences financières (Documents 350, 439 et 358, respectivement).</w:t>
      </w:r>
    </w:p>
    <w:p w14:paraId="4AD0E268" w14:textId="77777777" w:rsidR="00D9047C" w:rsidRPr="004F4906" w:rsidRDefault="00D9047C" w:rsidP="00D9047C">
      <w:pPr>
        <w:pStyle w:val="Heading1"/>
      </w:pPr>
      <w:r w:rsidRPr="004F4906">
        <w:t>8</w:t>
      </w:r>
      <w:r w:rsidRPr="004F4906">
        <w:tab/>
        <w:t>Incidences financières provisoires des décisions de la Conférence mondiale des radiocommunications (CMR-23) au 8 décembre 2023 (</w:t>
      </w:r>
      <w:hyperlink r:id="rId18" w:history="1">
        <w:r w:rsidRPr="004F4906">
          <w:rPr>
            <w:rStyle w:val="Hyperlink"/>
          </w:rPr>
          <w:t>Document 389</w:t>
        </w:r>
      </w:hyperlink>
      <w:r w:rsidRPr="004F4906">
        <w:t>)</w:t>
      </w:r>
    </w:p>
    <w:p w14:paraId="4A8A8307" w14:textId="77777777" w:rsidR="00D9047C" w:rsidRPr="004F4906" w:rsidRDefault="00D9047C" w:rsidP="00D9047C">
      <w:r w:rsidRPr="004F4906">
        <w:t>8.1</w:t>
      </w:r>
      <w:r w:rsidRPr="004F4906">
        <w:tab/>
        <w:t>Au 8 décembre 2023, et compte tenu des résultats prévisionnels de la Conférence à cette date, le montant des incidences financières provisoires des décisions de la CMR-23 était estimé à 12,5 millions CHF.</w:t>
      </w:r>
    </w:p>
    <w:p w14:paraId="3ED175D1" w14:textId="77777777" w:rsidR="00D9047C" w:rsidRPr="004F4906" w:rsidRDefault="00D9047C" w:rsidP="00D9047C">
      <w:r w:rsidRPr="004F4906">
        <w:t>8.2</w:t>
      </w:r>
      <w:r w:rsidRPr="004F4906">
        <w:tab/>
        <w:t>Cette estimation sera revue et mise à jour pour tenir compte des décisions qui seront prises jusqu'à la fin de la Conférence. Une version révisée du présent rapport sera élaborée afin d'inclure cette estimation mise à jour, puis présentée à la Plénière.</w:t>
      </w:r>
    </w:p>
    <w:p w14:paraId="04A19757" w14:textId="77777777" w:rsidR="00D9047C" w:rsidRPr="004F4906" w:rsidRDefault="00D9047C" w:rsidP="00D9047C">
      <w:r w:rsidRPr="004F4906">
        <w:t>8.3</w:t>
      </w:r>
      <w:r w:rsidRPr="004F4906">
        <w:tab/>
        <w:t>L'Annexe 2 décrit en détail les incidences financières provisoires au 8 décembre 2023.</w:t>
      </w:r>
    </w:p>
    <w:p w14:paraId="463791DD" w14:textId="77777777" w:rsidR="00D9047C" w:rsidRPr="004F4906" w:rsidRDefault="00D9047C" w:rsidP="00D9047C">
      <w:pPr>
        <w:pStyle w:val="Heading1"/>
      </w:pPr>
      <w:r w:rsidRPr="004F4906">
        <w:t>9</w:t>
      </w:r>
      <w:r w:rsidRPr="004F4906">
        <w:tab/>
        <w:t>Conclusions</w:t>
      </w:r>
    </w:p>
    <w:p w14:paraId="5CE39A09" w14:textId="77777777" w:rsidR="00D9047C" w:rsidRPr="004F4906" w:rsidRDefault="00D9047C" w:rsidP="00D9047C">
      <w:r w:rsidRPr="004F4906">
        <w:t>9.1</w:t>
      </w:r>
      <w:r w:rsidRPr="004F4906">
        <w:tab/>
        <w:t>La Conférence est priée d'examiner et d'approuver le présent rapport qui sera ensuite transmis au Secrétaire général, y compris, mais non exclusivement, les observations et le procès</w:t>
      </w:r>
      <w:r w:rsidRPr="004F4906">
        <w:noBreakHyphen/>
        <w:t>verbal de la séance plénière, si nécessaire, en vue de sa soumission au Conseil à sa session de 2024.</w:t>
      </w:r>
    </w:p>
    <w:p w14:paraId="22992170" w14:textId="77777777" w:rsidR="00D9047C" w:rsidRPr="004F4906" w:rsidRDefault="00D9047C" w:rsidP="00D9047C">
      <w:r w:rsidRPr="004F4906">
        <w:t>9.2</w:t>
      </w:r>
      <w:r w:rsidRPr="004F4906">
        <w:tab/>
        <w:t>La Commission a remercié la Secrétaire générale, le Directeur du Bureau des radiocommunications et tout particulièrement les fonctionnaires du secrétariat pour leur appui et leur travail de préparation pour la Commission 3.</w:t>
      </w:r>
    </w:p>
    <w:p w14:paraId="67A49B2E" w14:textId="77777777" w:rsidR="00D9047C" w:rsidRPr="004F4906" w:rsidRDefault="00D9047C" w:rsidP="00D9047C">
      <w:pPr>
        <w:overflowPunct/>
        <w:autoSpaceDE/>
        <w:autoSpaceDN/>
        <w:adjustRightInd/>
        <w:spacing w:before="0"/>
        <w:textAlignment w:val="auto"/>
      </w:pPr>
      <w:r w:rsidRPr="004F4906">
        <w:br w:type="page"/>
      </w:r>
    </w:p>
    <w:p w14:paraId="30E21738" w14:textId="77777777" w:rsidR="00D9047C" w:rsidRPr="004F4906" w:rsidRDefault="00D9047C" w:rsidP="00D9047C">
      <w:pPr>
        <w:pStyle w:val="AnnexNo"/>
        <w:spacing w:after="480"/>
      </w:pPr>
      <w:r w:rsidRPr="004F4906">
        <w:t>ANNEXE 1</w:t>
      </w:r>
    </w:p>
    <w:tbl>
      <w:tblPr>
        <w:tblW w:w="9817" w:type="dxa"/>
        <w:tblInd w:w="-142" w:type="dxa"/>
        <w:tblLayout w:type="fixed"/>
        <w:tblLook w:val="04A0" w:firstRow="1" w:lastRow="0" w:firstColumn="1" w:lastColumn="0" w:noHBand="0" w:noVBand="1"/>
      </w:tblPr>
      <w:tblGrid>
        <w:gridCol w:w="4395"/>
        <w:gridCol w:w="1276"/>
        <w:gridCol w:w="1417"/>
        <w:gridCol w:w="1276"/>
        <w:gridCol w:w="1453"/>
      </w:tblGrid>
      <w:tr w:rsidR="00D9047C" w:rsidRPr="004F4906" w14:paraId="55D911A9" w14:textId="77777777" w:rsidTr="00F7231D">
        <w:trPr>
          <w:trHeight w:val="332"/>
        </w:trPr>
        <w:tc>
          <w:tcPr>
            <w:tcW w:w="4395" w:type="dxa"/>
            <w:noWrap/>
            <w:vAlign w:val="bottom"/>
          </w:tcPr>
          <w:p w14:paraId="6CA17B36" w14:textId="77777777" w:rsidR="00D9047C" w:rsidRPr="004F4906" w:rsidRDefault="00D9047C" w:rsidP="00F7231D">
            <w:pPr>
              <w:overflowPunct/>
              <w:autoSpaceDE/>
              <w:adjustRightInd/>
              <w:spacing w:before="0"/>
              <w:rPr>
                <w:rFonts w:eastAsia="SimSun"/>
                <w:sz w:val="22"/>
                <w:szCs w:val="22"/>
                <w:lang w:eastAsia="zh-CN"/>
              </w:rPr>
            </w:pPr>
          </w:p>
        </w:tc>
        <w:tc>
          <w:tcPr>
            <w:tcW w:w="5422" w:type="dxa"/>
            <w:gridSpan w:val="4"/>
            <w:noWrap/>
            <w:vAlign w:val="bottom"/>
            <w:hideMark/>
          </w:tcPr>
          <w:p w14:paraId="0A00A57B" w14:textId="77777777" w:rsidR="00D9047C" w:rsidRPr="004F4906" w:rsidRDefault="00D9047C" w:rsidP="00F7231D">
            <w:pPr>
              <w:pStyle w:val="Tablelegend"/>
              <w:spacing w:before="0"/>
              <w:jc w:val="center"/>
              <w:rPr>
                <w:rFonts w:eastAsia="SimSun"/>
                <w:i/>
                <w:iCs/>
                <w:lang w:eastAsia="zh-CN"/>
              </w:rPr>
            </w:pPr>
            <w:r w:rsidRPr="004F4906">
              <w:rPr>
                <w:rFonts w:eastAsia="SimSun"/>
                <w:i/>
                <w:iCs/>
                <w:lang w:eastAsia="zh-CN"/>
              </w:rPr>
              <w:t>Montant en milliers de CHF</w:t>
            </w:r>
          </w:p>
        </w:tc>
      </w:tr>
      <w:tr w:rsidR="00D9047C" w:rsidRPr="004F4906" w14:paraId="70453428" w14:textId="77777777" w:rsidTr="00F7231D">
        <w:trPr>
          <w:trHeight w:val="570"/>
        </w:trPr>
        <w:tc>
          <w:tcPr>
            <w:tcW w:w="4395" w:type="dxa"/>
            <w:vMerge w:val="restart"/>
            <w:tcBorders>
              <w:top w:val="single" w:sz="4" w:space="0" w:color="auto"/>
              <w:left w:val="single" w:sz="4" w:space="0" w:color="auto"/>
              <w:bottom w:val="nil"/>
              <w:right w:val="single" w:sz="4" w:space="0" w:color="auto"/>
            </w:tcBorders>
            <w:vAlign w:val="center"/>
            <w:hideMark/>
          </w:tcPr>
          <w:p w14:paraId="03876028" w14:textId="77777777" w:rsidR="00D9047C" w:rsidRPr="004F4906" w:rsidRDefault="00D9047C" w:rsidP="00F7231D">
            <w:pPr>
              <w:pStyle w:val="Tablehead"/>
              <w:rPr>
                <w:rFonts w:eastAsia="SimSun"/>
              </w:rPr>
            </w:pPr>
            <w:r w:rsidRPr="004F4906">
              <w:t>Rubriques budgétaires</w:t>
            </w:r>
          </w:p>
        </w:tc>
        <w:tc>
          <w:tcPr>
            <w:tcW w:w="1276" w:type="dxa"/>
            <w:vMerge w:val="restart"/>
            <w:tcBorders>
              <w:top w:val="single" w:sz="4" w:space="0" w:color="auto"/>
              <w:left w:val="single" w:sz="4" w:space="0" w:color="auto"/>
              <w:bottom w:val="nil"/>
              <w:right w:val="single" w:sz="4" w:space="0" w:color="auto"/>
            </w:tcBorders>
            <w:vAlign w:val="center"/>
            <w:hideMark/>
          </w:tcPr>
          <w:p w14:paraId="7B809740" w14:textId="77777777" w:rsidR="00D9047C" w:rsidRPr="004F4906" w:rsidRDefault="00D9047C" w:rsidP="00F7231D">
            <w:pPr>
              <w:pStyle w:val="Tablehead"/>
              <w:rPr>
                <w:rFonts w:eastAsia="SimSun"/>
              </w:rPr>
            </w:pPr>
            <w:r w:rsidRPr="004F4906">
              <w:t>Budget de la CMR-23</w:t>
            </w:r>
          </w:p>
        </w:tc>
        <w:tc>
          <w:tcPr>
            <w:tcW w:w="1417" w:type="dxa"/>
            <w:vMerge w:val="restart"/>
            <w:tcBorders>
              <w:top w:val="single" w:sz="4" w:space="0" w:color="auto"/>
              <w:left w:val="single" w:sz="4" w:space="0" w:color="auto"/>
              <w:bottom w:val="nil"/>
              <w:right w:val="single" w:sz="4" w:space="0" w:color="auto"/>
            </w:tcBorders>
            <w:vAlign w:val="center"/>
            <w:hideMark/>
          </w:tcPr>
          <w:p w14:paraId="0F375F59" w14:textId="77777777" w:rsidR="00D9047C" w:rsidRPr="004F4906" w:rsidRDefault="00D9047C" w:rsidP="00F7231D">
            <w:pPr>
              <w:pStyle w:val="Tablehead"/>
              <w:rPr>
                <w:rFonts w:eastAsia="SimSun"/>
              </w:rPr>
            </w:pPr>
            <w:r w:rsidRPr="004F4906">
              <w:t>Dépenses effectives et engagements au 8 déc. 2023</w:t>
            </w:r>
          </w:p>
        </w:tc>
        <w:tc>
          <w:tcPr>
            <w:tcW w:w="1276" w:type="dxa"/>
            <w:vMerge w:val="restart"/>
            <w:tcBorders>
              <w:top w:val="single" w:sz="4" w:space="0" w:color="auto"/>
              <w:left w:val="single" w:sz="4" w:space="0" w:color="auto"/>
              <w:bottom w:val="nil"/>
              <w:right w:val="single" w:sz="4" w:space="0" w:color="auto"/>
            </w:tcBorders>
            <w:vAlign w:val="center"/>
            <w:hideMark/>
          </w:tcPr>
          <w:p w14:paraId="5A519ECA" w14:textId="77777777" w:rsidR="00D9047C" w:rsidRPr="004F4906" w:rsidRDefault="00D9047C" w:rsidP="00F7231D">
            <w:pPr>
              <w:pStyle w:val="Tablehead"/>
              <w:rPr>
                <w:rFonts w:eastAsia="SimSun"/>
              </w:rPr>
            </w:pPr>
            <w:r w:rsidRPr="004F4906">
              <w:t xml:space="preserve">Prévision des dépenses jusqu'à la </w:t>
            </w:r>
            <w:r w:rsidRPr="004F4906">
              <w:br/>
              <w:t>fin de la Conférence</w:t>
            </w:r>
          </w:p>
        </w:tc>
        <w:tc>
          <w:tcPr>
            <w:tcW w:w="1453" w:type="dxa"/>
            <w:vMerge w:val="restart"/>
            <w:tcBorders>
              <w:top w:val="single" w:sz="4" w:space="0" w:color="auto"/>
              <w:left w:val="single" w:sz="4" w:space="0" w:color="auto"/>
              <w:bottom w:val="nil"/>
              <w:right w:val="single" w:sz="4" w:space="0" w:color="auto"/>
            </w:tcBorders>
            <w:vAlign w:val="center"/>
            <w:hideMark/>
          </w:tcPr>
          <w:p w14:paraId="084593D6" w14:textId="77777777" w:rsidR="00D9047C" w:rsidRPr="004F4906" w:rsidRDefault="00D9047C" w:rsidP="00F7231D">
            <w:pPr>
              <w:pStyle w:val="Tablehead"/>
              <w:rPr>
                <w:rFonts w:eastAsia="SimSun"/>
              </w:rPr>
            </w:pPr>
            <w:r w:rsidRPr="004F4906">
              <w:t>Solde prévu</w:t>
            </w:r>
          </w:p>
        </w:tc>
      </w:tr>
      <w:tr w:rsidR="00D9047C" w:rsidRPr="004F4906" w14:paraId="66318116" w14:textId="77777777" w:rsidTr="00F7231D">
        <w:trPr>
          <w:trHeight w:val="1185"/>
        </w:trPr>
        <w:tc>
          <w:tcPr>
            <w:tcW w:w="4395" w:type="dxa"/>
            <w:vMerge/>
            <w:tcBorders>
              <w:top w:val="single" w:sz="4" w:space="0" w:color="auto"/>
              <w:left w:val="single" w:sz="4" w:space="0" w:color="auto"/>
              <w:bottom w:val="nil"/>
              <w:right w:val="single" w:sz="4" w:space="0" w:color="auto"/>
            </w:tcBorders>
            <w:vAlign w:val="center"/>
            <w:hideMark/>
          </w:tcPr>
          <w:p w14:paraId="29EEE44F" w14:textId="77777777" w:rsidR="00D9047C" w:rsidRPr="004F4906" w:rsidRDefault="00D9047C" w:rsidP="00F7231D">
            <w:pPr>
              <w:overflowPunct/>
              <w:autoSpaceDE/>
              <w:autoSpaceDN/>
              <w:adjustRightInd/>
              <w:spacing w:before="0"/>
              <w:rPr>
                <w:rFonts w:eastAsia="SimSun"/>
                <w:b/>
                <w:sz w:val="20"/>
                <w:lang w:eastAsia="zh-CN"/>
              </w:rPr>
            </w:pPr>
          </w:p>
        </w:tc>
        <w:tc>
          <w:tcPr>
            <w:tcW w:w="1276" w:type="dxa"/>
            <w:vMerge/>
            <w:tcBorders>
              <w:top w:val="single" w:sz="4" w:space="0" w:color="auto"/>
              <w:left w:val="single" w:sz="4" w:space="0" w:color="auto"/>
              <w:bottom w:val="nil"/>
              <w:right w:val="single" w:sz="4" w:space="0" w:color="auto"/>
            </w:tcBorders>
            <w:vAlign w:val="center"/>
            <w:hideMark/>
          </w:tcPr>
          <w:p w14:paraId="4CB97541" w14:textId="77777777" w:rsidR="00D9047C" w:rsidRPr="004F4906" w:rsidRDefault="00D9047C" w:rsidP="00F7231D">
            <w:pPr>
              <w:overflowPunct/>
              <w:autoSpaceDE/>
              <w:autoSpaceDN/>
              <w:adjustRightInd/>
              <w:spacing w:before="0"/>
              <w:rPr>
                <w:rFonts w:eastAsia="SimSun"/>
                <w:b/>
                <w:sz w:val="20"/>
                <w:lang w:eastAsia="zh-CN"/>
              </w:rPr>
            </w:pPr>
          </w:p>
        </w:tc>
        <w:tc>
          <w:tcPr>
            <w:tcW w:w="1417" w:type="dxa"/>
            <w:vMerge/>
            <w:tcBorders>
              <w:top w:val="single" w:sz="4" w:space="0" w:color="auto"/>
              <w:left w:val="single" w:sz="4" w:space="0" w:color="auto"/>
              <w:bottom w:val="nil"/>
              <w:right w:val="single" w:sz="4" w:space="0" w:color="auto"/>
            </w:tcBorders>
            <w:vAlign w:val="center"/>
            <w:hideMark/>
          </w:tcPr>
          <w:p w14:paraId="01D40E31" w14:textId="77777777" w:rsidR="00D9047C" w:rsidRPr="004F4906" w:rsidRDefault="00D9047C" w:rsidP="00F7231D">
            <w:pPr>
              <w:overflowPunct/>
              <w:autoSpaceDE/>
              <w:autoSpaceDN/>
              <w:adjustRightInd/>
              <w:spacing w:before="0"/>
              <w:rPr>
                <w:rFonts w:eastAsia="SimSun"/>
                <w:b/>
                <w:sz w:val="20"/>
                <w:lang w:eastAsia="zh-CN"/>
              </w:rPr>
            </w:pPr>
          </w:p>
        </w:tc>
        <w:tc>
          <w:tcPr>
            <w:tcW w:w="1276" w:type="dxa"/>
            <w:vMerge/>
            <w:tcBorders>
              <w:top w:val="single" w:sz="4" w:space="0" w:color="auto"/>
              <w:left w:val="single" w:sz="4" w:space="0" w:color="auto"/>
              <w:bottom w:val="nil"/>
              <w:right w:val="single" w:sz="4" w:space="0" w:color="auto"/>
            </w:tcBorders>
            <w:vAlign w:val="center"/>
            <w:hideMark/>
          </w:tcPr>
          <w:p w14:paraId="3F311D88" w14:textId="77777777" w:rsidR="00D9047C" w:rsidRPr="004F4906" w:rsidRDefault="00D9047C" w:rsidP="00F7231D">
            <w:pPr>
              <w:overflowPunct/>
              <w:autoSpaceDE/>
              <w:autoSpaceDN/>
              <w:adjustRightInd/>
              <w:spacing w:before="0"/>
              <w:rPr>
                <w:rFonts w:eastAsia="SimSun"/>
                <w:b/>
                <w:sz w:val="20"/>
                <w:lang w:eastAsia="zh-CN"/>
              </w:rPr>
            </w:pPr>
          </w:p>
        </w:tc>
        <w:tc>
          <w:tcPr>
            <w:tcW w:w="1453" w:type="dxa"/>
            <w:vMerge/>
            <w:tcBorders>
              <w:top w:val="single" w:sz="4" w:space="0" w:color="auto"/>
              <w:left w:val="single" w:sz="4" w:space="0" w:color="auto"/>
              <w:bottom w:val="nil"/>
              <w:right w:val="single" w:sz="4" w:space="0" w:color="auto"/>
            </w:tcBorders>
            <w:vAlign w:val="center"/>
            <w:hideMark/>
          </w:tcPr>
          <w:p w14:paraId="5A46B8EF" w14:textId="77777777" w:rsidR="00D9047C" w:rsidRPr="004F4906" w:rsidRDefault="00D9047C" w:rsidP="00F7231D">
            <w:pPr>
              <w:overflowPunct/>
              <w:autoSpaceDE/>
              <w:autoSpaceDN/>
              <w:adjustRightInd/>
              <w:spacing w:before="0"/>
              <w:rPr>
                <w:rFonts w:eastAsia="SimSun"/>
                <w:b/>
                <w:sz w:val="20"/>
                <w:lang w:eastAsia="zh-CN"/>
              </w:rPr>
            </w:pPr>
          </w:p>
        </w:tc>
      </w:tr>
      <w:tr w:rsidR="00D9047C" w:rsidRPr="004F4906" w14:paraId="2271279B" w14:textId="77777777" w:rsidTr="00F7231D">
        <w:trPr>
          <w:trHeight w:val="300"/>
        </w:trPr>
        <w:tc>
          <w:tcPr>
            <w:tcW w:w="4395" w:type="dxa"/>
            <w:tcBorders>
              <w:top w:val="nil"/>
              <w:left w:val="single" w:sz="4" w:space="0" w:color="auto"/>
              <w:bottom w:val="single" w:sz="4" w:space="0" w:color="000000"/>
              <w:right w:val="single" w:sz="4" w:space="0" w:color="auto"/>
            </w:tcBorders>
            <w:vAlign w:val="center"/>
            <w:hideMark/>
          </w:tcPr>
          <w:p w14:paraId="14322826" w14:textId="77777777" w:rsidR="00D9047C" w:rsidRPr="004F4906" w:rsidRDefault="00D9047C" w:rsidP="00F7231D">
            <w:pPr>
              <w:pStyle w:val="Tabletext"/>
              <w:rPr>
                <w:rFonts w:eastAsia="SimSun"/>
              </w:rPr>
            </w:pPr>
            <w:r w:rsidRPr="004F4906">
              <w:rPr>
                <w:rFonts w:eastAsia="SimSun"/>
              </w:rPr>
              <w:t> </w:t>
            </w:r>
          </w:p>
        </w:tc>
        <w:tc>
          <w:tcPr>
            <w:tcW w:w="1276" w:type="dxa"/>
            <w:tcBorders>
              <w:top w:val="nil"/>
              <w:left w:val="nil"/>
              <w:bottom w:val="single" w:sz="4" w:space="0" w:color="000000"/>
              <w:right w:val="single" w:sz="4" w:space="0" w:color="auto"/>
            </w:tcBorders>
            <w:tcMar>
              <w:top w:w="0" w:type="dxa"/>
              <w:left w:w="108" w:type="dxa"/>
              <w:bottom w:w="0" w:type="dxa"/>
              <w:right w:w="227" w:type="dxa"/>
            </w:tcMar>
            <w:hideMark/>
          </w:tcPr>
          <w:p w14:paraId="633AF6A5" w14:textId="77777777" w:rsidR="00D9047C" w:rsidRPr="004F4906" w:rsidRDefault="00D9047C" w:rsidP="00F7231D">
            <w:pPr>
              <w:pStyle w:val="Tabletext"/>
              <w:jc w:val="center"/>
              <w:rPr>
                <w:rFonts w:eastAsia="SimSun"/>
              </w:rPr>
            </w:pPr>
            <w:r w:rsidRPr="004F4906">
              <w:rPr>
                <w:rFonts w:eastAsia="SimSun"/>
              </w:rPr>
              <w:t>a</w:t>
            </w:r>
          </w:p>
        </w:tc>
        <w:tc>
          <w:tcPr>
            <w:tcW w:w="1417" w:type="dxa"/>
            <w:tcBorders>
              <w:top w:val="nil"/>
              <w:left w:val="nil"/>
              <w:bottom w:val="single" w:sz="4" w:space="0" w:color="000000"/>
              <w:right w:val="single" w:sz="4" w:space="0" w:color="auto"/>
            </w:tcBorders>
            <w:tcMar>
              <w:top w:w="0" w:type="dxa"/>
              <w:left w:w="108" w:type="dxa"/>
              <w:bottom w:w="0" w:type="dxa"/>
              <w:right w:w="227" w:type="dxa"/>
            </w:tcMar>
            <w:hideMark/>
          </w:tcPr>
          <w:p w14:paraId="681504A9" w14:textId="77777777" w:rsidR="00D9047C" w:rsidRPr="004F4906" w:rsidRDefault="00D9047C" w:rsidP="00F7231D">
            <w:pPr>
              <w:pStyle w:val="Tabletext"/>
              <w:jc w:val="center"/>
              <w:rPr>
                <w:rFonts w:eastAsia="SimSun"/>
              </w:rPr>
            </w:pPr>
            <w:r w:rsidRPr="004F4906">
              <w:rPr>
                <w:rFonts w:eastAsia="SimSun"/>
              </w:rPr>
              <w:t>b</w:t>
            </w:r>
          </w:p>
        </w:tc>
        <w:tc>
          <w:tcPr>
            <w:tcW w:w="1276" w:type="dxa"/>
            <w:tcBorders>
              <w:top w:val="nil"/>
              <w:left w:val="nil"/>
              <w:bottom w:val="single" w:sz="4" w:space="0" w:color="000000"/>
              <w:right w:val="single" w:sz="4" w:space="0" w:color="auto"/>
            </w:tcBorders>
            <w:noWrap/>
            <w:tcMar>
              <w:top w:w="0" w:type="dxa"/>
              <w:left w:w="108" w:type="dxa"/>
              <w:bottom w:w="0" w:type="dxa"/>
              <w:right w:w="227" w:type="dxa"/>
            </w:tcMar>
            <w:vAlign w:val="bottom"/>
            <w:hideMark/>
          </w:tcPr>
          <w:p w14:paraId="0960B6BE" w14:textId="77777777" w:rsidR="00D9047C" w:rsidRPr="004F4906" w:rsidRDefault="00D9047C" w:rsidP="00F7231D">
            <w:pPr>
              <w:pStyle w:val="Tabletext"/>
              <w:jc w:val="center"/>
              <w:rPr>
                <w:rFonts w:eastAsia="SimSun"/>
              </w:rPr>
            </w:pPr>
            <w:r w:rsidRPr="004F4906">
              <w:rPr>
                <w:rFonts w:eastAsia="SimSun"/>
              </w:rPr>
              <w:t>c</w:t>
            </w:r>
          </w:p>
        </w:tc>
        <w:tc>
          <w:tcPr>
            <w:tcW w:w="1453" w:type="dxa"/>
            <w:tcBorders>
              <w:top w:val="nil"/>
              <w:left w:val="nil"/>
              <w:bottom w:val="single" w:sz="4" w:space="0" w:color="000000"/>
              <w:right w:val="single" w:sz="4" w:space="0" w:color="auto"/>
            </w:tcBorders>
            <w:noWrap/>
            <w:tcMar>
              <w:top w:w="0" w:type="dxa"/>
              <w:left w:w="108" w:type="dxa"/>
              <w:bottom w:w="0" w:type="dxa"/>
              <w:right w:w="227" w:type="dxa"/>
            </w:tcMar>
            <w:vAlign w:val="bottom"/>
            <w:hideMark/>
          </w:tcPr>
          <w:p w14:paraId="5E4F475A" w14:textId="77777777" w:rsidR="00D9047C" w:rsidRPr="004F4906" w:rsidRDefault="00D9047C" w:rsidP="00F7231D">
            <w:pPr>
              <w:pStyle w:val="Tabletext"/>
              <w:jc w:val="center"/>
              <w:rPr>
                <w:rFonts w:eastAsia="SimSun"/>
              </w:rPr>
            </w:pPr>
            <w:r w:rsidRPr="004F4906">
              <w:rPr>
                <w:rFonts w:eastAsia="SimSun"/>
              </w:rPr>
              <w:t xml:space="preserve">= a </w:t>
            </w:r>
            <w:r w:rsidRPr="004F4906">
              <w:t>–</w:t>
            </w:r>
            <w:r w:rsidRPr="004F4906">
              <w:rPr>
                <w:rFonts w:eastAsia="SimSun"/>
              </w:rPr>
              <w:t xml:space="preserve"> (b + c)</w:t>
            </w:r>
          </w:p>
        </w:tc>
      </w:tr>
      <w:tr w:rsidR="00D9047C" w:rsidRPr="004F4906" w14:paraId="6C25B4E5" w14:textId="77777777" w:rsidTr="00F7231D">
        <w:trPr>
          <w:trHeight w:val="300"/>
        </w:trPr>
        <w:tc>
          <w:tcPr>
            <w:tcW w:w="4395" w:type="dxa"/>
            <w:tcBorders>
              <w:top w:val="nil"/>
              <w:left w:val="single" w:sz="4" w:space="0" w:color="auto"/>
              <w:bottom w:val="nil"/>
              <w:right w:val="single" w:sz="4" w:space="0" w:color="auto"/>
            </w:tcBorders>
            <w:vAlign w:val="center"/>
            <w:hideMark/>
          </w:tcPr>
          <w:p w14:paraId="6A092BF7" w14:textId="77777777" w:rsidR="00D9047C" w:rsidRPr="004F4906" w:rsidRDefault="00D9047C" w:rsidP="00F7231D">
            <w:pPr>
              <w:pStyle w:val="Tabletext"/>
              <w:rPr>
                <w:rFonts w:eastAsia="SimSun"/>
              </w:rPr>
            </w:pPr>
            <w:r w:rsidRPr="004F4906">
              <w:rPr>
                <w:rFonts w:eastAsia="SimSun"/>
              </w:rPr>
              <w:t>Dépenses de personnel</w:t>
            </w:r>
          </w:p>
        </w:tc>
        <w:tc>
          <w:tcPr>
            <w:tcW w:w="1276" w:type="dxa"/>
            <w:tcBorders>
              <w:top w:val="nil"/>
              <w:left w:val="nil"/>
              <w:bottom w:val="nil"/>
              <w:right w:val="single" w:sz="4" w:space="0" w:color="auto"/>
            </w:tcBorders>
            <w:tcMar>
              <w:top w:w="0" w:type="dxa"/>
              <w:left w:w="108" w:type="dxa"/>
              <w:bottom w:w="0" w:type="dxa"/>
              <w:right w:w="227" w:type="dxa"/>
            </w:tcMar>
            <w:vAlign w:val="bottom"/>
            <w:hideMark/>
          </w:tcPr>
          <w:p w14:paraId="7CE88795" w14:textId="77777777" w:rsidR="00D9047C" w:rsidRPr="004F4906" w:rsidRDefault="00D9047C" w:rsidP="00F7231D">
            <w:pPr>
              <w:pStyle w:val="Tabletext"/>
              <w:jc w:val="center"/>
              <w:rPr>
                <w:rFonts w:eastAsia="SimSun"/>
              </w:rPr>
            </w:pPr>
            <w:r w:rsidRPr="004F4906">
              <w:rPr>
                <w:rFonts w:eastAsia="SimSun"/>
              </w:rPr>
              <w:t>1 856</w:t>
            </w:r>
          </w:p>
        </w:tc>
        <w:tc>
          <w:tcPr>
            <w:tcW w:w="1417" w:type="dxa"/>
            <w:tcBorders>
              <w:top w:val="nil"/>
              <w:left w:val="nil"/>
              <w:bottom w:val="nil"/>
              <w:right w:val="single" w:sz="4" w:space="0" w:color="auto"/>
            </w:tcBorders>
            <w:tcMar>
              <w:top w:w="0" w:type="dxa"/>
              <w:left w:w="108" w:type="dxa"/>
              <w:bottom w:w="0" w:type="dxa"/>
              <w:right w:w="227" w:type="dxa"/>
            </w:tcMar>
            <w:vAlign w:val="bottom"/>
            <w:hideMark/>
          </w:tcPr>
          <w:p w14:paraId="7FA64BB2" w14:textId="77777777" w:rsidR="00D9047C" w:rsidRPr="004F4906" w:rsidRDefault="00D9047C" w:rsidP="00F7231D">
            <w:pPr>
              <w:pStyle w:val="Tabletext"/>
              <w:jc w:val="center"/>
              <w:rPr>
                <w:rFonts w:eastAsia="SimSun"/>
              </w:rPr>
            </w:pPr>
            <w:r w:rsidRPr="004F4906">
              <w:t>943</w:t>
            </w:r>
          </w:p>
        </w:tc>
        <w:tc>
          <w:tcPr>
            <w:tcW w:w="1276" w:type="dxa"/>
            <w:tcBorders>
              <w:top w:val="nil"/>
              <w:left w:val="nil"/>
              <w:bottom w:val="nil"/>
              <w:right w:val="single" w:sz="4" w:space="0" w:color="auto"/>
            </w:tcBorders>
            <w:noWrap/>
            <w:tcMar>
              <w:top w:w="0" w:type="dxa"/>
              <w:left w:w="108" w:type="dxa"/>
              <w:bottom w:w="0" w:type="dxa"/>
              <w:right w:w="227" w:type="dxa"/>
            </w:tcMar>
            <w:vAlign w:val="bottom"/>
            <w:hideMark/>
          </w:tcPr>
          <w:p w14:paraId="29B2F383" w14:textId="77777777" w:rsidR="00D9047C" w:rsidRPr="004F4906" w:rsidRDefault="00D9047C" w:rsidP="00F7231D">
            <w:pPr>
              <w:pStyle w:val="Tabletext"/>
              <w:jc w:val="center"/>
              <w:rPr>
                <w:rFonts w:eastAsia="SimSun"/>
              </w:rPr>
            </w:pPr>
            <w:r w:rsidRPr="004F4906">
              <w:t>205</w:t>
            </w:r>
          </w:p>
        </w:tc>
        <w:tc>
          <w:tcPr>
            <w:tcW w:w="1453" w:type="dxa"/>
            <w:tcBorders>
              <w:top w:val="nil"/>
              <w:left w:val="nil"/>
              <w:bottom w:val="nil"/>
              <w:right w:val="single" w:sz="4" w:space="0" w:color="auto"/>
            </w:tcBorders>
            <w:noWrap/>
            <w:tcMar>
              <w:top w:w="0" w:type="dxa"/>
              <w:left w:w="108" w:type="dxa"/>
              <w:bottom w:w="0" w:type="dxa"/>
              <w:right w:w="227" w:type="dxa"/>
            </w:tcMar>
            <w:vAlign w:val="bottom"/>
            <w:hideMark/>
          </w:tcPr>
          <w:p w14:paraId="5134A834" w14:textId="77777777" w:rsidR="00D9047C" w:rsidRPr="004F4906" w:rsidRDefault="00D9047C" w:rsidP="00F7231D">
            <w:pPr>
              <w:pStyle w:val="Tabletext"/>
              <w:jc w:val="center"/>
              <w:rPr>
                <w:rFonts w:eastAsia="SimSun"/>
              </w:rPr>
            </w:pPr>
            <w:r w:rsidRPr="004F4906">
              <w:t>708</w:t>
            </w:r>
          </w:p>
        </w:tc>
      </w:tr>
      <w:tr w:rsidR="00D9047C" w:rsidRPr="004F4906" w14:paraId="0AC88EA9" w14:textId="77777777" w:rsidTr="00F7231D">
        <w:trPr>
          <w:trHeight w:val="300"/>
        </w:trPr>
        <w:tc>
          <w:tcPr>
            <w:tcW w:w="4395" w:type="dxa"/>
            <w:tcBorders>
              <w:top w:val="nil"/>
              <w:left w:val="single" w:sz="4" w:space="0" w:color="auto"/>
              <w:bottom w:val="nil"/>
              <w:right w:val="single" w:sz="4" w:space="0" w:color="auto"/>
            </w:tcBorders>
            <w:vAlign w:val="center"/>
            <w:hideMark/>
          </w:tcPr>
          <w:p w14:paraId="7D99A581" w14:textId="77777777" w:rsidR="00D9047C" w:rsidRPr="004F4906" w:rsidRDefault="00D9047C" w:rsidP="00F7231D">
            <w:pPr>
              <w:pStyle w:val="Tabletext"/>
              <w:rPr>
                <w:rFonts w:eastAsia="SimSun"/>
              </w:rPr>
            </w:pPr>
            <w:r w:rsidRPr="004F4906">
              <w:rPr>
                <w:rFonts w:eastAsia="SimSun"/>
              </w:rPr>
              <w:t>Autres dépenses de personnel</w:t>
            </w:r>
          </w:p>
        </w:tc>
        <w:tc>
          <w:tcPr>
            <w:tcW w:w="1276" w:type="dxa"/>
            <w:tcBorders>
              <w:top w:val="nil"/>
              <w:left w:val="nil"/>
              <w:bottom w:val="nil"/>
              <w:right w:val="single" w:sz="4" w:space="0" w:color="auto"/>
            </w:tcBorders>
            <w:tcMar>
              <w:top w:w="0" w:type="dxa"/>
              <w:left w:w="108" w:type="dxa"/>
              <w:bottom w:w="0" w:type="dxa"/>
              <w:right w:w="227" w:type="dxa"/>
            </w:tcMar>
            <w:vAlign w:val="bottom"/>
            <w:hideMark/>
          </w:tcPr>
          <w:p w14:paraId="0A6F50DC" w14:textId="77777777" w:rsidR="00D9047C" w:rsidRPr="004F4906" w:rsidRDefault="00D9047C" w:rsidP="00F7231D">
            <w:pPr>
              <w:pStyle w:val="Tabletext"/>
              <w:jc w:val="center"/>
              <w:rPr>
                <w:rFonts w:eastAsia="SimSun"/>
              </w:rPr>
            </w:pPr>
            <w:r w:rsidRPr="004F4906">
              <w:rPr>
                <w:rFonts w:eastAsia="SimSun"/>
              </w:rPr>
              <w:t>25</w:t>
            </w:r>
          </w:p>
        </w:tc>
        <w:tc>
          <w:tcPr>
            <w:tcW w:w="1417" w:type="dxa"/>
            <w:tcBorders>
              <w:top w:val="nil"/>
              <w:left w:val="nil"/>
              <w:bottom w:val="nil"/>
              <w:right w:val="single" w:sz="4" w:space="0" w:color="auto"/>
            </w:tcBorders>
            <w:tcMar>
              <w:top w:w="0" w:type="dxa"/>
              <w:left w:w="108" w:type="dxa"/>
              <w:bottom w:w="0" w:type="dxa"/>
              <w:right w:w="227" w:type="dxa"/>
            </w:tcMar>
            <w:vAlign w:val="bottom"/>
            <w:hideMark/>
          </w:tcPr>
          <w:p w14:paraId="6B7DB94C" w14:textId="77777777" w:rsidR="00D9047C" w:rsidRPr="004F4906" w:rsidRDefault="00D9047C" w:rsidP="00F7231D">
            <w:pPr>
              <w:pStyle w:val="Tabletext"/>
              <w:jc w:val="center"/>
              <w:rPr>
                <w:rFonts w:eastAsia="SimSun"/>
              </w:rPr>
            </w:pPr>
            <w:r w:rsidRPr="004F4906">
              <w:rPr>
                <w:rFonts w:eastAsia="SimSun"/>
              </w:rPr>
              <w:t>15</w:t>
            </w:r>
          </w:p>
        </w:tc>
        <w:tc>
          <w:tcPr>
            <w:tcW w:w="1276" w:type="dxa"/>
            <w:tcBorders>
              <w:top w:val="nil"/>
              <w:left w:val="nil"/>
              <w:bottom w:val="nil"/>
              <w:right w:val="single" w:sz="4" w:space="0" w:color="auto"/>
            </w:tcBorders>
            <w:noWrap/>
            <w:tcMar>
              <w:top w:w="0" w:type="dxa"/>
              <w:left w:w="108" w:type="dxa"/>
              <w:bottom w:w="0" w:type="dxa"/>
              <w:right w:w="227" w:type="dxa"/>
            </w:tcMar>
            <w:vAlign w:val="bottom"/>
          </w:tcPr>
          <w:p w14:paraId="513A8D59" w14:textId="77777777" w:rsidR="00D9047C" w:rsidRPr="004F4906" w:rsidRDefault="00D9047C" w:rsidP="00F7231D">
            <w:pPr>
              <w:pStyle w:val="Tabletext"/>
              <w:jc w:val="center"/>
              <w:rPr>
                <w:rFonts w:eastAsia="SimSun"/>
              </w:rPr>
            </w:pPr>
            <w:r w:rsidRPr="004F4906">
              <w:t>4</w:t>
            </w:r>
          </w:p>
        </w:tc>
        <w:tc>
          <w:tcPr>
            <w:tcW w:w="1453" w:type="dxa"/>
            <w:tcBorders>
              <w:top w:val="nil"/>
              <w:left w:val="nil"/>
              <w:bottom w:val="nil"/>
              <w:right w:val="single" w:sz="4" w:space="0" w:color="auto"/>
            </w:tcBorders>
            <w:noWrap/>
            <w:tcMar>
              <w:top w:w="0" w:type="dxa"/>
              <w:left w:w="108" w:type="dxa"/>
              <w:bottom w:w="0" w:type="dxa"/>
              <w:right w:w="227" w:type="dxa"/>
            </w:tcMar>
            <w:vAlign w:val="bottom"/>
            <w:hideMark/>
          </w:tcPr>
          <w:p w14:paraId="4E4D692C" w14:textId="77777777" w:rsidR="00D9047C" w:rsidRPr="004F4906" w:rsidRDefault="00D9047C" w:rsidP="00F7231D">
            <w:pPr>
              <w:pStyle w:val="Tabletext"/>
              <w:jc w:val="center"/>
              <w:rPr>
                <w:rFonts w:eastAsia="SimSun"/>
              </w:rPr>
            </w:pPr>
            <w:r w:rsidRPr="004F4906">
              <w:t>6</w:t>
            </w:r>
          </w:p>
        </w:tc>
      </w:tr>
      <w:tr w:rsidR="00D9047C" w:rsidRPr="004F4906" w14:paraId="4BBE6204" w14:textId="77777777" w:rsidTr="00F7231D">
        <w:trPr>
          <w:trHeight w:val="300"/>
        </w:trPr>
        <w:tc>
          <w:tcPr>
            <w:tcW w:w="4395" w:type="dxa"/>
            <w:tcBorders>
              <w:top w:val="nil"/>
              <w:left w:val="single" w:sz="4" w:space="0" w:color="auto"/>
              <w:bottom w:val="nil"/>
              <w:right w:val="single" w:sz="4" w:space="0" w:color="auto"/>
            </w:tcBorders>
            <w:vAlign w:val="center"/>
            <w:hideMark/>
          </w:tcPr>
          <w:p w14:paraId="4B159C6C" w14:textId="77777777" w:rsidR="00D9047C" w:rsidRPr="004F4906" w:rsidRDefault="00D9047C" w:rsidP="00F7231D">
            <w:pPr>
              <w:pStyle w:val="Tabletext"/>
              <w:rPr>
                <w:rFonts w:eastAsia="SimSun"/>
              </w:rPr>
            </w:pPr>
            <w:r w:rsidRPr="004F4906">
              <w:rPr>
                <w:rFonts w:eastAsia="SimSun"/>
              </w:rPr>
              <w:t>Frais de mission</w:t>
            </w:r>
          </w:p>
        </w:tc>
        <w:tc>
          <w:tcPr>
            <w:tcW w:w="1276" w:type="dxa"/>
            <w:tcBorders>
              <w:top w:val="nil"/>
              <w:left w:val="nil"/>
              <w:bottom w:val="nil"/>
              <w:right w:val="single" w:sz="4" w:space="0" w:color="auto"/>
            </w:tcBorders>
            <w:tcMar>
              <w:top w:w="0" w:type="dxa"/>
              <w:left w:w="108" w:type="dxa"/>
              <w:bottom w:w="0" w:type="dxa"/>
              <w:right w:w="227" w:type="dxa"/>
            </w:tcMar>
            <w:vAlign w:val="bottom"/>
            <w:hideMark/>
          </w:tcPr>
          <w:p w14:paraId="171EA976" w14:textId="77777777" w:rsidR="00D9047C" w:rsidRPr="004F4906" w:rsidRDefault="00D9047C" w:rsidP="00F7231D">
            <w:pPr>
              <w:pStyle w:val="Tabletext"/>
              <w:jc w:val="center"/>
              <w:rPr>
                <w:rFonts w:eastAsia="SimSun"/>
              </w:rPr>
            </w:pPr>
            <w:r w:rsidRPr="004F4906">
              <w:rPr>
                <w:rFonts w:eastAsia="SimSun"/>
              </w:rPr>
              <w:t>225</w:t>
            </w:r>
          </w:p>
        </w:tc>
        <w:tc>
          <w:tcPr>
            <w:tcW w:w="1417" w:type="dxa"/>
            <w:tcBorders>
              <w:top w:val="nil"/>
              <w:left w:val="nil"/>
              <w:bottom w:val="nil"/>
              <w:right w:val="single" w:sz="4" w:space="0" w:color="auto"/>
            </w:tcBorders>
            <w:tcMar>
              <w:top w:w="0" w:type="dxa"/>
              <w:left w:w="108" w:type="dxa"/>
              <w:bottom w:w="0" w:type="dxa"/>
              <w:right w:w="227" w:type="dxa"/>
            </w:tcMar>
            <w:vAlign w:val="bottom"/>
          </w:tcPr>
          <w:p w14:paraId="0E57DFA0" w14:textId="77777777" w:rsidR="00D9047C" w:rsidRPr="004F4906" w:rsidRDefault="00D9047C" w:rsidP="00F7231D">
            <w:pPr>
              <w:pStyle w:val="Tabletext"/>
              <w:jc w:val="center"/>
              <w:rPr>
                <w:rFonts w:eastAsia="SimSun"/>
              </w:rPr>
            </w:pPr>
            <w:r w:rsidRPr="004F4906">
              <w:t>2</w:t>
            </w:r>
          </w:p>
        </w:tc>
        <w:tc>
          <w:tcPr>
            <w:tcW w:w="1276" w:type="dxa"/>
            <w:tcBorders>
              <w:top w:val="nil"/>
              <w:left w:val="nil"/>
              <w:bottom w:val="nil"/>
              <w:right w:val="single" w:sz="4" w:space="0" w:color="auto"/>
            </w:tcBorders>
            <w:noWrap/>
            <w:tcMar>
              <w:top w:w="0" w:type="dxa"/>
              <w:left w:w="108" w:type="dxa"/>
              <w:bottom w:w="0" w:type="dxa"/>
              <w:right w:w="227" w:type="dxa"/>
            </w:tcMar>
            <w:vAlign w:val="bottom"/>
          </w:tcPr>
          <w:p w14:paraId="5C2AA2BD" w14:textId="77777777" w:rsidR="00D9047C" w:rsidRPr="004F4906" w:rsidRDefault="00D9047C" w:rsidP="00F7231D">
            <w:pPr>
              <w:pStyle w:val="Tabletext"/>
              <w:jc w:val="center"/>
              <w:rPr>
                <w:rFonts w:eastAsia="SimSun"/>
              </w:rPr>
            </w:pPr>
            <w:r w:rsidRPr="004F4906">
              <w:t>223</w:t>
            </w:r>
          </w:p>
        </w:tc>
        <w:tc>
          <w:tcPr>
            <w:tcW w:w="1453" w:type="dxa"/>
            <w:tcBorders>
              <w:top w:val="nil"/>
              <w:left w:val="nil"/>
              <w:bottom w:val="nil"/>
              <w:right w:val="single" w:sz="4" w:space="0" w:color="auto"/>
            </w:tcBorders>
            <w:noWrap/>
            <w:tcMar>
              <w:top w:w="0" w:type="dxa"/>
              <w:left w:w="108" w:type="dxa"/>
              <w:bottom w:w="0" w:type="dxa"/>
              <w:right w:w="227" w:type="dxa"/>
            </w:tcMar>
            <w:vAlign w:val="bottom"/>
            <w:hideMark/>
          </w:tcPr>
          <w:p w14:paraId="6AB20D8A" w14:textId="77777777" w:rsidR="00D9047C" w:rsidRPr="004F4906" w:rsidRDefault="00D9047C" w:rsidP="00F7231D">
            <w:pPr>
              <w:pStyle w:val="Tabletext"/>
              <w:jc w:val="center"/>
              <w:rPr>
                <w:rFonts w:eastAsia="SimSun"/>
              </w:rPr>
            </w:pPr>
            <w:r w:rsidRPr="004F4906">
              <w:t>0</w:t>
            </w:r>
          </w:p>
        </w:tc>
      </w:tr>
      <w:tr w:rsidR="00D9047C" w:rsidRPr="004F4906" w14:paraId="5A4DB4AD" w14:textId="77777777" w:rsidTr="00F7231D">
        <w:trPr>
          <w:trHeight w:val="300"/>
        </w:trPr>
        <w:tc>
          <w:tcPr>
            <w:tcW w:w="4395" w:type="dxa"/>
            <w:tcBorders>
              <w:top w:val="nil"/>
              <w:left w:val="single" w:sz="4" w:space="0" w:color="auto"/>
              <w:bottom w:val="nil"/>
              <w:right w:val="single" w:sz="4" w:space="0" w:color="auto"/>
            </w:tcBorders>
            <w:vAlign w:val="center"/>
            <w:hideMark/>
          </w:tcPr>
          <w:p w14:paraId="61C30918" w14:textId="77777777" w:rsidR="00D9047C" w:rsidRPr="004F4906" w:rsidRDefault="00D9047C" w:rsidP="00F7231D">
            <w:pPr>
              <w:pStyle w:val="Tabletext"/>
              <w:rPr>
                <w:rFonts w:eastAsia="SimSun"/>
              </w:rPr>
            </w:pPr>
            <w:r w:rsidRPr="004F4906">
              <w:rPr>
                <w:rFonts w:eastAsia="SimSun"/>
              </w:rPr>
              <w:t>Services contractuels</w:t>
            </w:r>
          </w:p>
        </w:tc>
        <w:tc>
          <w:tcPr>
            <w:tcW w:w="1276" w:type="dxa"/>
            <w:tcBorders>
              <w:top w:val="nil"/>
              <w:left w:val="nil"/>
              <w:bottom w:val="nil"/>
              <w:right w:val="single" w:sz="4" w:space="0" w:color="auto"/>
            </w:tcBorders>
            <w:tcMar>
              <w:top w:w="0" w:type="dxa"/>
              <w:left w:w="108" w:type="dxa"/>
              <w:bottom w:w="0" w:type="dxa"/>
              <w:right w:w="227" w:type="dxa"/>
            </w:tcMar>
            <w:vAlign w:val="bottom"/>
            <w:hideMark/>
          </w:tcPr>
          <w:p w14:paraId="1240CF2A" w14:textId="77777777" w:rsidR="00D9047C" w:rsidRPr="004F4906" w:rsidRDefault="00D9047C" w:rsidP="00F7231D">
            <w:pPr>
              <w:pStyle w:val="Tabletext"/>
              <w:jc w:val="center"/>
              <w:rPr>
                <w:rFonts w:eastAsia="SimSun"/>
              </w:rPr>
            </w:pPr>
            <w:r w:rsidRPr="004F4906">
              <w:t>120</w:t>
            </w:r>
          </w:p>
        </w:tc>
        <w:tc>
          <w:tcPr>
            <w:tcW w:w="1417" w:type="dxa"/>
            <w:tcBorders>
              <w:top w:val="nil"/>
              <w:left w:val="nil"/>
              <w:bottom w:val="nil"/>
              <w:right w:val="single" w:sz="4" w:space="0" w:color="auto"/>
            </w:tcBorders>
            <w:tcMar>
              <w:top w:w="0" w:type="dxa"/>
              <w:left w:w="108" w:type="dxa"/>
              <w:bottom w:w="0" w:type="dxa"/>
              <w:right w:w="227" w:type="dxa"/>
            </w:tcMar>
            <w:vAlign w:val="bottom"/>
          </w:tcPr>
          <w:p w14:paraId="5B5831E2" w14:textId="77777777" w:rsidR="00D9047C" w:rsidRPr="004F4906" w:rsidRDefault="00D9047C" w:rsidP="00F7231D">
            <w:pPr>
              <w:pStyle w:val="Tabletext"/>
              <w:jc w:val="center"/>
              <w:rPr>
                <w:rFonts w:eastAsia="SimSun"/>
              </w:rPr>
            </w:pPr>
            <w:r w:rsidRPr="004F4906">
              <w:t>18</w:t>
            </w:r>
          </w:p>
        </w:tc>
        <w:tc>
          <w:tcPr>
            <w:tcW w:w="1276" w:type="dxa"/>
            <w:tcBorders>
              <w:top w:val="nil"/>
              <w:left w:val="nil"/>
              <w:bottom w:val="nil"/>
              <w:right w:val="single" w:sz="4" w:space="0" w:color="auto"/>
            </w:tcBorders>
            <w:noWrap/>
            <w:tcMar>
              <w:top w:w="0" w:type="dxa"/>
              <w:left w:w="108" w:type="dxa"/>
              <w:bottom w:w="0" w:type="dxa"/>
              <w:right w:w="227" w:type="dxa"/>
            </w:tcMar>
            <w:vAlign w:val="bottom"/>
          </w:tcPr>
          <w:p w14:paraId="617E8AB5" w14:textId="77777777" w:rsidR="00D9047C" w:rsidRPr="004F4906" w:rsidRDefault="00D9047C" w:rsidP="00F7231D">
            <w:pPr>
              <w:pStyle w:val="Tabletext"/>
              <w:jc w:val="center"/>
              <w:rPr>
                <w:rFonts w:eastAsia="SimSun"/>
              </w:rPr>
            </w:pPr>
            <w:r w:rsidRPr="004F4906">
              <w:t>20</w:t>
            </w:r>
          </w:p>
        </w:tc>
        <w:tc>
          <w:tcPr>
            <w:tcW w:w="1453" w:type="dxa"/>
            <w:tcBorders>
              <w:top w:val="nil"/>
              <w:left w:val="nil"/>
              <w:bottom w:val="nil"/>
              <w:right w:val="single" w:sz="4" w:space="0" w:color="auto"/>
            </w:tcBorders>
            <w:noWrap/>
            <w:tcMar>
              <w:top w:w="0" w:type="dxa"/>
              <w:left w:w="108" w:type="dxa"/>
              <w:bottom w:w="0" w:type="dxa"/>
              <w:right w:w="227" w:type="dxa"/>
            </w:tcMar>
            <w:vAlign w:val="bottom"/>
            <w:hideMark/>
          </w:tcPr>
          <w:p w14:paraId="4E9C3944" w14:textId="77777777" w:rsidR="00D9047C" w:rsidRPr="004F4906" w:rsidRDefault="00D9047C" w:rsidP="00F7231D">
            <w:pPr>
              <w:pStyle w:val="Tabletext"/>
              <w:jc w:val="center"/>
              <w:rPr>
                <w:rFonts w:eastAsia="SimSun"/>
              </w:rPr>
            </w:pPr>
            <w:r w:rsidRPr="004F4906">
              <w:t>82</w:t>
            </w:r>
          </w:p>
        </w:tc>
      </w:tr>
      <w:tr w:rsidR="00D9047C" w:rsidRPr="004F4906" w14:paraId="3981D66D" w14:textId="77777777" w:rsidTr="00F7231D">
        <w:trPr>
          <w:trHeight w:val="300"/>
        </w:trPr>
        <w:tc>
          <w:tcPr>
            <w:tcW w:w="4395" w:type="dxa"/>
            <w:tcBorders>
              <w:top w:val="nil"/>
              <w:left w:val="single" w:sz="4" w:space="0" w:color="auto"/>
              <w:bottom w:val="nil"/>
              <w:right w:val="single" w:sz="4" w:space="0" w:color="auto"/>
            </w:tcBorders>
            <w:vAlign w:val="center"/>
            <w:hideMark/>
          </w:tcPr>
          <w:p w14:paraId="72193BEB" w14:textId="77777777" w:rsidR="00D9047C" w:rsidRPr="004F4906" w:rsidRDefault="00D9047C" w:rsidP="00F7231D">
            <w:pPr>
              <w:pStyle w:val="Tabletext"/>
              <w:rPr>
                <w:rFonts w:eastAsia="SimSun"/>
              </w:rPr>
            </w:pPr>
            <w:r w:rsidRPr="004F4906">
              <w:rPr>
                <w:rFonts w:eastAsia="SimSun"/>
              </w:rPr>
              <w:t>Location et entretien des locaux et des équipements</w:t>
            </w:r>
          </w:p>
        </w:tc>
        <w:tc>
          <w:tcPr>
            <w:tcW w:w="1276" w:type="dxa"/>
            <w:tcBorders>
              <w:top w:val="nil"/>
              <w:left w:val="nil"/>
              <w:bottom w:val="nil"/>
              <w:right w:val="single" w:sz="4" w:space="0" w:color="auto"/>
            </w:tcBorders>
            <w:tcMar>
              <w:top w:w="0" w:type="dxa"/>
              <w:left w:w="108" w:type="dxa"/>
              <w:bottom w:w="0" w:type="dxa"/>
              <w:right w:w="227" w:type="dxa"/>
            </w:tcMar>
            <w:vAlign w:val="bottom"/>
            <w:hideMark/>
          </w:tcPr>
          <w:p w14:paraId="4D1C95DD" w14:textId="77777777" w:rsidR="00D9047C" w:rsidRPr="004F4906" w:rsidRDefault="00D9047C" w:rsidP="00F7231D">
            <w:pPr>
              <w:pStyle w:val="Tabletext"/>
              <w:jc w:val="center"/>
              <w:rPr>
                <w:rFonts w:eastAsia="SimSun"/>
              </w:rPr>
            </w:pPr>
            <w:r w:rsidRPr="004F4906">
              <w:t>200</w:t>
            </w:r>
          </w:p>
        </w:tc>
        <w:tc>
          <w:tcPr>
            <w:tcW w:w="1417" w:type="dxa"/>
            <w:tcBorders>
              <w:top w:val="nil"/>
              <w:left w:val="nil"/>
              <w:bottom w:val="nil"/>
              <w:right w:val="single" w:sz="4" w:space="0" w:color="auto"/>
            </w:tcBorders>
            <w:tcMar>
              <w:top w:w="0" w:type="dxa"/>
              <w:left w:w="108" w:type="dxa"/>
              <w:bottom w:w="0" w:type="dxa"/>
              <w:right w:w="227" w:type="dxa"/>
            </w:tcMar>
            <w:vAlign w:val="bottom"/>
          </w:tcPr>
          <w:p w14:paraId="5CAE23EA" w14:textId="77777777" w:rsidR="00D9047C" w:rsidRPr="004F4906" w:rsidRDefault="00D9047C" w:rsidP="00F7231D">
            <w:pPr>
              <w:pStyle w:val="Tabletext"/>
              <w:jc w:val="center"/>
              <w:rPr>
                <w:rFonts w:eastAsia="SimSun"/>
              </w:rPr>
            </w:pPr>
          </w:p>
        </w:tc>
        <w:tc>
          <w:tcPr>
            <w:tcW w:w="1276" w:type="dxa"/>
            <w:tcBorders>
              <w:top w:val="nil"/>
              <w:left w:val="nil"/>
              <w:bottom w:val="nil"/>
              <w:right w:val="single" w:sz="4" w:space="0" w:color="auto"/>
            </w:tcBorders>
            <w:noWrap/>
            <w:tcMar>
              <w:top w:w="0" w:type="dxa"/>
              <w:left w:w="108" w:type="dxa"/>
              <w:bottom w:w="0" w:type="dxa"/>
              <w:right w:w="227" w:type="dxa"/>
            </w:tcMar>
            <w:vAlign w:val="bottom"/>
          </w:tcPr>
          <w:p w14:paraId="1FA49FAD" w14:textId="77777777" w:rsidR="00D9047C" w:rsidRPr="004F4906" w:rsidRDefault="00D9047C" w:rsidP="00F7231D">
            <w:pPr>
              <w:pStyle w:val="Tabletext"/>
              <w:jc w:val="center"/>
              <w:rPr>
                <w:rFonts w:eastAsia="SimSun"/>
              </w:rPr>
            </w:pPr>
          </w:p>
        </w:tc>
        <w:tc>
          <w:tcPr>
            <w:tcW w:w="1453" w:type="dxa"/>
            <w:tcBorders>
              <w:top w:val="nil"/>
              <w:left w:val="nil"/>
              <w:bottom w:val="nil"/>
              <w:right w:val="single" w:sz="4" w:space="0" w:color="auto"/>
            </w:tcBorders>
            <w:noWrap/>
            <w:tcMar>
              <w:top w:w="0" w:type="dxa"/>
              <w:left w:w="108" w:type="dxa"/>
              <w:bottom w:w="0" w:type="dxa"/>
              <w:right w:w="227" w:type="dxa"/>
            </w:tcMar>
            <w:vAlign w:val="bottom"/>
            <w:hideMark/>
          </w:tcPr>
          <w:p w14:paraId="098E7742" w14:textId="77777777" w:rsidR="00D9047C" w:rsidRPr="004F4906" w:rsidRDefault="00D9047C" w:rsidP="00F7231D">
            <w:pPr>
              <w:pStyle w:val="Tabletext"/>
              <w:jc w:val="center"/>
              <w:rPr>
                <w:rFonts w:eastAsia="SimSun"/>
              </w:rPr>
            </w:pPr>
            <w:r w:rsidRPr="004F4906">
              <w:t>200</w:t>
            </w:r>
          </w:p>
        </w:tc>
      </w:tr>
      <w:tr w:rsidR="00D9047C" w:rsidRPr="004F4906" w14:paraId="7457E785" w14:textId="77777777" w:rsidTr="00F7231D">
        <w:trPr>
          <w:trHeight w:val="300"/>
        </w:trPr>
        <w:tc>
          <w:tcPr>
            <w:tcW w:w="4395" w:type="dxa"/>
            <w:tcBorders>
              <w:top w:val="nil"/>
              <w:left w:val="single" w:sz="4" w:space="0" w:color="auto"/>
              <w:bottom w:val="nil"/>
              <w:right w:val="single" w:sz="4" w:space="0" w:color="auto"/>
            </w:tcBorders>
            <w:vAlign w:val="center"/>
            <w:hideMark/>
          </w:tcPr>
          <w:p w14:paraId="450BD6F5" w14:textId="77777777" w:rsidR="00D9047C" w:rsidRPr="004F4906" w:rsidRDefault="00D9047C" w:rsidP="00F7231D">
            <w:pPr>
              <w:pStyle w:val="Tabletext"/>
              <w:rPr>
                <w:rFonts w:eastAsia="SimSun"/>
              </w:rPr>
            </w:pPr>
            <w:r w:rsidRPr="004F4906">
              <w:rPr>
                <w:rFonts w:eastAsia="SimSun"/>
              </w:rPr>
              <w:t>Matériels et fournitures</w:t>
            </w:r>
          </w:p>
        </w:tc>
        <w:tc>
          <w:tcPr>
            <w:tcW w:w="1276" w:type="dxa"/>
            <w:tcBorders>
              <w:top w:val="nil"/>
              <w:left w:val="nil"/>
              <w:bottom w:val="nil"/>
              <w:right w:val="single" w:sz="4" w:space="0" w:color="auto"/>
            </w:tcBorders>
            <w:tcMar>
              <w:top w:w="0" w:type="dxa"/>
              <w:left w:w="108" w:type="dxa"/>
              <w:bottom w:w="0" w:type="dxa"/>
              <w:right w:w="227" w:type="dxa"/>
            </w:tcMar>
            <w:vAlign w:val="bottom"/>
            <w:hideMark/>
          </w:tcPr>
          <w:p w14:paraId="72425A28" w14:textId="77777777" w:rsidR="00D9047C" w:rsidRPr="004F4906" w:rsidRDefault="00D9047C" w:rsidP="00F7231D">
            <w:pPr>
              <w:pStyle w:val="Tabletext"/>
              <w:jc w:val="center"/>
              <w:rPr>
                <w:rFonts w:eastAsia="SimSun"/>
              </w:rPr>
            </w:pPr>
            <w:r w:rsidRPr="004F4906">
              <w:t>10</w:t>
            </w:r>
          </w:p>
        </w:tc>
        <w:tc>
          <w:tcPr>
            <w:tcW w:w="1417" w:type="dxa"/>
            <w:tcBorders>
              <w:top w:val="nil"/>
              <w:left w:val="nil"/>
              <w:bottom w:val="nil"/>
              <w:right w:val="single" w:sz="4" w:space="0" w:color="auto"/>
            </w:tcBorders>
            <w:tcMar>
              <w:top w:w="0" w:type="dxa"/>
              <w:left w:w="108" w:type="dxa"/>
              <w:bottom w:w="0" w:type="dxa"/>
              <w:right w:w="227" w:type="dxa"/>
            </w:tcMar>
            <w:vAlign w:val="bottom"/>
            <w:hideMark/>
          </w:tcPr>
          <w:p w14:paraId="7689929C" w14:textId="77777777" w:rsidR="00D9047C" w:rsidRPr="004F4906" w:rsidRDefault="00D9047C" w:rsidP="00F7231D">
            <w:pPr>
              <w:pStyle w:val="Tabletext"/>
              <w:jc w:val="center"/>
              <w:rPr>
                <w:rFonts w:eastAsia="SimSun"/>
              </w:rPr>
            </w:pPr>
            <w:r w:rsidRPr="004F4906">
              <w:rPr>
                <w:rFonts w:eastAsia="SimSun"/>
              </w:rPr>
              <w:t>9</w:t>
            </w:r>
          </w:p>
        </w:tc>
        <w:tc>
          <w:tcPr>
            <w:tcW w:w="1276" w:type="dxa"/>
            <w:tcBorders>
              <w:top w:val="nil"/>
              <w:left w:val="nil"/>
              <w:bottom w:val="nil"/>
              <w:right w:val="single" w:sz="4" w:space="0" w:color="auto"/>
            </w:tcBorders>
            <w:noWrap/>
            <w:tcMar>
              <w:top w:w="0" w:type="dxa"/>
              <w:left w:w="108" w:type="dxa"/>
              <w:bottom w:w="0" w:type="dxa"/>
              <w:right w:w="227" w:type="dxa"/>
            </w:tcMar>
            <w:vAlign w:val="bottom"/>
            <w:hideMark/>
          </w:tcPr>
          <w:p w14:paraId="16CA6209" w14:textId="77777777" w:rsidR="00D9047C" w:rsidRPr="004F4906" w:rsidRDefault="00D9047C" w:rsidP="00F7231D">
            <w:pPr>
              <w:pStyle w:val="Tabletext"/>
              <w:jc w:val="center"/>
              <w:rPr>
                <w:rFonts w:eastAsia="SimSun"/>
              </w:rPr>
            </w:pPr>
            <w:r w:rsidRPr="004F4906">
              <w:t>1</w:t>
            </w:r>
          </w:p>
        </w:tc>
        <w:tc>
          <w:tcPr>
            <w:tcW w:w="1453" w:type="dxa"/>
            <w:tcBorders>
              <w:top w:val="nil"/>
              <w:left w:val="nil"/>
              <w:bottom w:val="nil"/>
              <w:right w:val="single" w:sz="4" w:space="0" w:color="auto"/>
            </w:tcBorders>
            <w:noWrap/>
            <w:tcMar>
              <w:top w:w="0" w:type="dxa"/>
              <w:left w:w="108" w:type="dxa"/>
              <w:bottom w:w="0" w:type="dxa"/>
              <w:right w:w="227" w:type="dxa"/>
            </w:tcMar>
            <w:vAlign w:val="bottom"/>
            <w:hideMark/>
          </w:tcPr>
          <w:p w14:paraId="6D1FB461" w14:textId="77777777" w:rsidR="00D9047C" w:rsidRPr="004F4906" w:rsidRDefault="00D9047C" w:rsidP="00F7231D">
            <w:pPr>
              <w:pStyle w:val="Tabletext"/>
              <w:jc w:val="center"/>
              <w:rPr>
                <w:rFonts w:eastAsia="SimSun"/>
              </w:rPr>
            </w:pPr>
            <w:r w:rsidRPr="004F4906">
              <w:t>0</w:t>
            </w:r>
          </w:p>
        </w:tc>
      </w:tr>
      <w:tr w:rsidR="00D9047C" w:rsidRPr="004F4906" w14:paraId="5DD64D8A" w14:textId="77777777" w:rsidTr="00F7231D">
        <w:trPr>
          <w:trHeight w:val="300"/>
        </w:trPr>
        <w:tc>
          <w:tcPr>
            <w:tcW w:w="4395" w:type="dxa"/>
            <w:tcBorders>
              <w:top w:val="nil"/>
              <w:left w:val="single" w:sz="4" w:space="0" w:color="auto"/>
              <w:bottom w:val="nil"/>
              <w:right w:val="single" w:sz="4" w:space="0" w:color="auto"/>
            </w:tcBorders>
            <w:vAlign w:val="center"/>
            <w:hideMark/>
          </w:tcPr>
          <w:p w14:paraId="6B59C3F0" w14:textId="77777777" w:rsidR="00D9047C" w:rsidRPr="004F4906" w:rsidRDefault="00D9047C" w:rsidP="00F7231D">
            <w:pPr>
              <w:pStyle w:val="Tabletext"/>
              <w:rPr>
                <w:rFonts w:eastAsia="SimSun"/>
              </w:rPr>
            </w:pPr>
            <w:r w:rsidRPr="004F4906">
              <w:rPr>
                <w:rFonts w:eastAsia="SimSun"/>
              </w:rPr>
              <w:t>Acquisition de locaux, de mobilier et de matériel</w:t>
            </w:r>
          </w:p>
        </w:tc>
        <w:tc>
          <w:tcPr>
            <w:tcW w:w="1276" w:type="dxa"/>
            <w:tcBorders>
              <w:top w:val="nil"/>
              <w:left w:val="nil"/>
              <w:bottom w:val="nil"/>
              <w:right w:val="single" w:sz="4" w:space="0" w:color="auto"/>
            </w:tcBorders>
            <w:tcMar>
              <w:top w:w="0" w:type="dxa"/>
              <w:left w:w="108" w:type="dxa"/>
              <w:bottom w:w="0" w:type="dxa"/>
              <w:right w:w="227" w:type="dxa"/>
            </w:tcMar>
            <w:vAlign w:val="bottom"/>
            <w:hideMark/>
          </w:tcPr>
          <w:p w14:paraId="6DBEBA4E" w14:textId="77777777" w:rsidR="00D9047C" w:rsidRPr="004F4906" w:rsidRDefault="00D9047C" w:rsidP="00F7231D">
            <w:pPr>
              <w:pStyle w:val="Tabletext"/>
              <w:jc w:val="center"/>
              <w:rPr>
                <w:rFonts w:eastAsia="SimSun"/>
              </w:rPr>
            </w:pPr>
            <w:r w:rsidRPr="004F4906">
              <w:rPr>
                <w:rFonts w:eastAsia="SimSun"/>
              </w:rPr>
              <w:t>3</w:t>
            </w:r>
          </w:p>
        </w:tc>
        <w:tc>
          <w:tcPr>
            <w:tcW w:w="1417" w:type="dxa"/>
            <w:tcBorders>
              <w:top w:val="nil"/>
              <w:left w:val="nil"/>
              <w:bottom w:val="nil"/>
              <w:right w:val="single" w:sz="4" w:space="0" w:color="auto"/>
            </w:tcBorders>
            <w:tcMar>
              <w:top w:w="0" w:type="dxa"/>
              <w:left w:w="108" w:type="dxa"/>
              <w:bottom w:w="0" w:type="dxa"/>
              <w:right w:w="227" w:type="dxa"/>
            </w:tcMar>
            <w:vAlign w:val="bottom"/>
          </w:tcPr>
          <w:p w14:paraId="48FE46BC" w14:textId="77777777" w:rsidR="00D9047C" w:rsidRPr="004F4906" w:rsidRDefault="00D9047C" w:rsidP="00F7231D">
            <w:pPr>
              <w:pStyle w:val="Tabletext"/>
              <w:jc w:val="center"/>
              <w:rPr>
                <w:rFonts w:eastAsia="SimSun"/>
              </w:rPr>
            </w:pPr>
          </w:p>
        </w:tc>
        <w:tc>
          <w:tcPr>
            <w:tcW w:w="1276" w:type="dxa"/>
            <w:tcBorders>
              <w:top w:val="nil"/>
              <w:left w:val="nil"/>
              <w:bottom w:val="nil"/>
              <w:right w:val="single" w:sz="4" w:space="0" w:color="auto"/>
            </w:tcBorders>
            <w:noWrap/>
            <w:tcMar>
              <w:top w:w="0" w:type="dxa"/>
              <w:left w:w="108" w:type="dxa"/>
              <w:bottom w:w="0" w:type="dxa"/>
              <w:right w:w="227" w:type="dxa"/>
            </w:tcMar>
            <w:vAlign w:val="bottom"/>
          </w:tcPr>
          <w:p w14:paraId="5DEC72A3" w14:textId="77777777" w:rsidR="00D9047C" w:rsidRPr="004F4906" w:rsidRDefault="00D9047C" w:rsidP="00F7231D">
            <w:pPr>
              <w:pStyle w:val="Tabletext"/>
              <w:jc w:val="center"/>
              <w:rPr>
                <w:rFonts w:eastAsia="SimSun"/>
              </w:rPr>
            </w:pPr>
          </w:p>
        </w:tc>
        <w:tc>
          <w:tcPr>
            <w:tcW w:w="1453" w:type="dxa"/>
            <w:tcBorders>
              <w:top w:val="nil"/>
              <w:left w:val="nil"/>
              <w:bottom w:val="nil"/>
              <w:right w:val="single" w:sz="4" w:space="0" w:color="auto"/>
            </w:tcBorders>
            <w:noWrap/>
            <w:tcMar>
              <w:top w:w="0" w:type="dxa"/>
              <w:left w:w="108" w:type="dxa"/>
              <w:bottom w:w="0" w:type="dxa"/>
              <w:right w:w="227" w:type="dxa"/>
            </w:tcMar>
            <w:vAlign w:val="bottom"/>
            <w:hideMark/>
          </w:tcPr>
          <w:p w14:paraId="52F6B6F9" w14:textId="77777777" w:rsidR="00D9047C" w:rsidRPr="004F4906" w:rsidRDefault="00D9047C" w:rsidP="00F7231D">
            <w:pPr>
              <w:pStyle w:val="Tabletext"/>
              <w:jc w:val="center"/>
              <w:rPr>
                <w:rFonts w:eastAsia="SimSun"/>
              </w:rPr>
            </w:pPr>
            <w:r w:rsidRPr="004F4906">
              <w:t>3</w:t>
            </w:r>
          </w:p>
        </w:tc>
      </w:tr>
      <w:tr w:rsidR="00D9047C" w:rsidRPr="004F4906" w14:paraId="1FBBABC1" w14:textId="77777777" w:rsidTr="00F7231D">
        <w:trPr>
          <w:trHeight w:val="300"/>
        </w:trPr>
        <w:tc>
          <w:tcPr>
            <w:tcW w:w="4395" w:type="dxa"/>
            <w:tcBorders>
              <w:top w:val="nil"/>
              <w:left w:val="single" w:sz="4" w:space="0" w:color="auto"/>
              <w:bottom w:val="nil"/>
              <w:right w:val="single" w:sz="4" w:space="0" w:color="auto"/>
            </w:tcBorders>
            <w:vAlign w:val="center"/>
            <w:hideMark/>
          </w:tcPr>
          <w:p w14:paraId="0169943C" w14:textId="77777777" w:rsidR="00D9047C" w:rsidRPr="004F4906" w:rsidRDefault="00D9047C" w:rsidP="00F7231D">
            <w:pPr>
              <w:pStyle w:val="Tabletext"/>
              <w:rPr>
                <w:rFonts w:eastAsia="SimSun"/>
              </w:rPr>
            </w:pPr>
            <w:r w:rsidRPr="004F4906">
              <w:rPr>
                <w:rFonts w:eastAsia="SimSun"/>
              </w:rPr>
              <w:t>Services publics et services intérieurs</w:t>
            </w:r>
          </w:p>
        </w:tc>
        <w:tc>
          <w:tcPr>
            <w:tcW w:w="1276" w:type="dxa"/>
            <w:tcBorders>
              <w:top w:val="nil"/>
              <w:left w:val="nil"/>
              <w:bottom w:val="nil"/>
              <w:right w:val="single" w:sz="4" w:space="0" w:color="auto"/>
            </w:tcBorders>
            <w:tcMar>
              <w:top w:w="0" w:type="dxa"/>
              <w:left w:w="108" w:type="dxa"/>
              <w:bottom w:w="0" w:type="dxa"/>
              <w:right w:w="227" w:type="dxa"/>
            </w:tcMar>
            <w:vAlign w:val="bottom"/>
            <w:hideMark/>
          </w:tcPr>
          <w:p w14:paraId="4A6860E4" w14:textId="77777777" w:rsidR="00D9047C" w:rsidRPr="004F4906" w:rsidRDefault="00D9047C" w:rsidP="00F7231D">
            <w:pPr>
              <w:pStyle w:val="Tabletext"/>
              <w:jc w:val="center"/>
              <w:rPr>
                <w:rFonts w:eastAsia="SimSun"/>
              </w:rPr>
            </w:pPr>
          </w:p>
        </w:tc>
        <w:tc>
          <w:tcPr>
            <w:tcW w:w="1417" w:type="dxa"/>
            <w:tcBorders>
              <w:top w:val="nil"/>
              <w:left w:val="nil"/>
              <w:bottom w:val="nil"/>
              <w:right w:val="single" w:sz="4" w:space="0" w:color="auto"/>
            </w:tcBorders>
            <w:tcMar>
              <w:top w:w="0" w:type="dxa"/>
              <w:left w:w="108" w:type="dxa"/>
              <w:bottom w:w="0" w:type="dxa"/>
              <w:right w:w="227" w:type="dxa"/>
            </w:tcMar>
            <w:vAlign w:val="bottom"/>
          </w:tcPr>
          <w:p w14:paraId="2159F348" w14:textId="77777777" w:rsidR="00D9047C" w:rsidRPr="004F4906" w:rsidRDefault="00D9047C" w:rsidP="00F7231D">
            <w:pPr>
              <w:pStyle w:val="Tabletext"/>
              <w:jc w:val="center"/>
              <w:rPr>
                <w:rFonts w:eastAsia="SimSun"/>
              </w:rPr>
            </w:pPr>
          </w:p>
        </w:tc>
        <w:tc>
          <w:tcPr>
            <w:tcW w:w="1276" w:type="dxa"/>
            <w:tcBorders>
              <w:top w:val="nil"/>
              <w:left w:val="nil"/>
              <w:bottom w:val="nil"/>
              <w:right w:val="single" w:sz="4" w:space="0" w:color="auto"/>
            </w:tcBorders>
            <w:noWrap/>
            <w:tcMar>
              <w:top w:w="0" w:type="dxa"/>
              <w:left w:w="108" w:type="dxa"/>
              <w:bottom w:w="0" w:type="dxa"/>
              <w:right w:w="227" w:type="dxa"/>
            </w:tcMar>
            <w:vAlign w:val="bottom"/>
          </w:tcPr>
          <w:p w14:paraId="12D6D80B" w14:textId="77777777" w:rsidR="00D9047C" w:rsidRPr="004F4906" w:rsidRDefault="00D9047C" w:rsidP="00F7231D">
            <w:pPr>
              <w:pStyle w:val="Tabletext"/>
              <w:jc w:val="center"/>
              <w:rPr>
                <w:rFonts w:eastAsia="SimSun"/>
              </w:rPr>
            </w:pPr>
          </w:p>
        </w:tc>
        <w:tc>
          <w:tcPr>
            <w:tcW w:w="1453" w:type="dxa"/>
            <w:tcBorders>
              <w:top w:val="nil"/>
              <w:left w:val="nil"/>
              <w:bottom w:val="nil"/>
              <w:right w:val="single" w:sz="4" w:space="0" w:color="auto"/>
            </w:tcBorders>
            <w:noWrap/>
            <w:tcMar>
              <w:top w:w="0" w:type="dxa"/>
              <w:left w:w="108" w:type="dxa"/>
              <w:bottom w:w="0" w:type="dxa"/>
              <w:right w:w="227" w:type="dxa"/>
            </w:tcMar>
            <w:vAlign w:val="bottom"/>
            <w:hideMark/>
          </w:tcPr>
          <w:p w14:paraId="572ACB07" w14:textId="77777777" w:rsidR="00D9047C" w:rsidRPr="004F4906" w:rsidRDefault="00D9047C" w:rsidP="00F7231D">
            <w:pPr>
              <w:pStyle w:val="Tabletext"/>
              <w:jc w:val="center"/>
              <w:rPr>
                <w:rFonts w:eastAsia="SimSun"/>
              </w:rPr>
            </w:pPr>
          </w:p>
        </w:tc>
      </w:tr>
      <w:tr w:rsidR="00D9047C" w:rsidRPr="004F4906" w14:paraId="23EC3C5A" w14:textId="77777777" w:rsidTr="00F7231D">
        <w:trPr>
          <w:trHeight w:val="300"/>
        </w:trPr>
        <w:tc>
          <w:tcPr>
            <w:tcW w:w="4395" w:type="dxa"/>
            <w:tcBorders>
              <w:top w:val="nil"/>
              <w:left w:val="single" w:sz="4" w:space="0" w:color="auto"/>
              <w:bottom w:val="nil"/>
              <w:right w:val="single" w:sz="4" w:space="0" w:color="auto"/>
            </w:tcBorders>
            <w:vAlign w:val="center"/>
            <w:hideMark/>
          </w:tcPr>
          <w:p w14:paraId="7DB8C747" w14:textId="77777777" w:rsidR="00D9047C" w:rsidRPr="004F4906" w:rsidRDefault="00D9047C" w:rsidP="00F7231D">
            <w:pPr>
              <w:pStyle w:val="Tabletext"/>
              <w:rPr>
                <w:rFonts w:eastAsia="SimSun"/>
              </w:rPr>
            </w:pPr>
            <w:r w:rsidRPr="004F4906">
              <w:rPr>
                <w:rFonts w:eastAsia="SimSun"/>
              </w:rPr>
              <w:t>Divers</w:t>
            </w:r>
          </w:p>
        </w:tc>
        <w:tc>
          <w:tcPr>
            <w:tcW w:w="1276" w:type="dxa"/>
            <w:tcBorders>
              <w:top w:val="nil"/>
              <w:left w:val="nil"/>
              <w:bottom w:val="nil"/>
              <w:right w:val="single" w:sz="4" w:space="0" w:color="auto"/>
            </w:tcBorders>
            <w:tcMar>
              <w:top w:w="0" w:type="dxa"/>
              <w:left w:w="108" w:type="dxa"/>
              <w:bottom w:w="0" w:type="dxa"/>
              <w:right w:w="227" w:type="dxa"/>
            </w:tcMar>
            <w:vAlign w:val="bottom"/>
            <w:hideMark/>
          </w:tcPr>
          <w:p w14:paraId="34C1E987" w14:textId="77777777" w:rsidR="00D9047C" w:rsidRPr="004F4906" w:rsidRDefault="00D9047C" w:rsidP="00F7231D">
            <w:pPr>
              <w:pStyle w:val="Tabletext"/>
              <w:jc w:val="center"/>
              <w:rPr>
                <w:rFonts w:eastAsia="SimSun"/>
              </w:rPr>
            </w:pPr>
            <w:r w:rsidRPr="004F4906">
              <w:rPr>
                <w:rFonts w:eastAsia="SimSun"/>
              </w:rPr>
              <w:t>10</w:t>
            </w:r>
          </w:p>
        </w:tc>
        <w:tc>
          <w:tcPr>
            <w:tcW w:w="1417" w:type="dxa"/>
            <w:tcBorders>
              <w:top w:val="nil"/>
              <w:left w:val="nil"/>
              <w:bottom w:val="nil"/>
              <w:right w:val="single" w:sz="4" w:space="0" w:color="auto"/>
            </w:tcBorders>
            <w:tcMar>
              <w:top w:w="0" w:type="dxa"/>
              <w:left w:w="108" w:type="dxa"/>
              <w:bottom w:w="0" w:type="dxa"/>
              <w:right w:w="227" w:type="dxa"/>
            </w:tcMar>
            <w:vAlign w:val="bottom"/>
          </w:tcPr>
          <w:p w14:paraId="0E28A7E7" w14:textId="77777777" w:rsidR="00D9047C" w:rsidRPr="004F4906" w:rsidRDefault="00D9047C" w:rsidP="00F7231D">
            <w:pPr>
              <w:pStyle w:val="Tabletext"/>
              <w:jc w:val="center"/>
              <w:rPr>
                <w:rFonts w:eastAsia="SimSun"/>
              </w:rPr>
            </w:pPr>
          </w:p>
        </w:tc>
        <w:tc>
          <w:tcPr>
            <w:tcW w:w="1276" w:type="dxa"/>
            <w:tcBorders>
              <w:top w:val="nil"/>
              <w:left w:val="nil"/>
              <w:bottom w:val="nil"/>
              <w:right w:val="single" w:sz="4" w:space="0" w:color="auto"/>
            </w:tcBorders>
            <w:noWrap/>
            <w:tcMar>
              <w:top w:w="0" w:type="dxa"/>
              <w:left w:w="108" w:type="dxa"/>
              <w:bottom w:w="0" w:type="dxa"/>
              <w:right w:w="227" w:type="dxa"/>
            </w:tcMar>
            <w:vAlign w:val="bottom"/>
            <w:hideMark/>
          </w:tcPr>
          <w:p w14:paraId="48BE03D0" w14:textId="77777777" w:rsidR="00D9047C" w:rsidRPr="004F4906" w:rsidRDefault="00D9047C" w:rsidP="00F7231D">
            <w:pPr>
              <w:pStyle w:val="Tabletext"/>
              <w:jc w:val="center"/>
              <w:rPr>
                <w:rFonts w:eastAsia="SimSun"/>
              </w:rPr>
            </w:pPr>
            <w:r w:rsidRPr="004F4906">
              <w:t>3</w:t>
            </w:r>
          </w:p>
        </w:tc>
        <w:tc>
          <w:tcPr>
            <w:tcW w:w="1453" w:type="dxa"/>
            <w:tcBorders>
              <w:top w:val="nil"/>
              <w:left w:val="nil"/>
              <w:bottom w:val="nil"/>
              <w:right w:val="single" w:sz="4" w:space="0" w:color="auto"/>
            </w:tcBorders>
            <w:noWrap/>
            <w:tcMar>
              <w:top w:w="0" w:type="dxa"/>
              <w:left w:w="108" w:type="dxa"/>
              <w:bottom w:w="0" w:type="dxa"/>
              <w:right w:w="227" w:type="dxa"/>
            </w:tcMar>
            <w:vAlign w:val="bottom"/>
            <w:hideMark/>
          </w:tcPr>
          <w:p w14:paraId="3CA5138F" w14:textId="77777777" w:rsidR="00D9047C" w:rsidRPr="004F4906" w:rsidRDefault="00D9047C" w:rsidP="00F7231D">
            <w:pPr>
              <w:pStyle w:val="Tabletext"/>
              <w:jc w:val="center"/>
              <w:rPr>
                <w:rFonts w:eastAsia="SimSun"/>
              </w:rPr>
            </w:pPr>
            <w:r w:rsidRPr="004F4906">
              <w:t>7</w:t>
            </w:r>
          </w:p>
        </w:tc>
      </w:tr>
      <w:tr w:rsidR="00D9047C" w:rsidRPr="004F4906" w14:paraId="608595ED" w14:textId="77777777" w:rsidTr="00F7231D">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8D415A6" w14:textId="77777777" w:rsidR="00D9047C" w:rsidRPr="004F4906" w:rsidRDefault="00D9047C" w:rsidP="00F7231D">
            <w:pPr>
              <w:pStyle w:val="Tabletext"/>
              <w:spacing w:before="0"/>
              <w:rPr>
                <w:rFonts w:eastAsia="SimSun"/>
                <w:b/>
                <w:bCs/>
                <w:lang w:eastAsia="zh-CN"/>
              </w:rPr>
            </w:pPr>
            <w:r w:rsidRPr="004F4906">
              <w:rPr>
                <w:rFonts w:eastAsia="SimSun"/>
                <w:b/>
                <w:bCs/>
                <w:lang w:eastAsia="zh-CN"/>
              </w:rPr>
              <w:t>Sous-total</w:t>
            </w:r>
          </w:p>
        </w:tc>
        <w:tc>
          <w:tcPr>
            <w:tcW w:w="1276" w:type="dxa"/>
            <w:tcBorders>
              <w:top w:val="single" w:sz="4" w:space="0" w:color="auto"/>
              <w:left w:val="nil"/>
              <w:bottom w:val="single" w:sz="4" w:space="0" w:color="auto"/>
              <w:right w:val="single" w:sz="4" w:space="0" w:color="auto"/>
            </w:tcBorders>
            <w:shd w:val="clear" w:color="auto" w:fill="DBE5F1" w:themeFill="accent1" w:themeFillTint="33"/>
            <w:tcMar>
              <w:top w:w="0" w:type="dxa"/>
              <w:left w:w="108" w:type="dxa"/>
              <w:bottom w:w="0" w:type="dxa"/>
              <w:right w:w="227" w:type="dxa"/>
            </w:tcMar>
            <w:vAlign w:val="bottom"/>
            <w:hideMark/>
          </w:tcPr>
          <w:p w14:paraId="3B4F49B0" w14:textId="77777777" w:rsidR="00D9047C" w:rsidRPr="004F4906" w:rsidRDefault="00D9047C" w:rsidP="00F7231D">
            <w:pPr>
              <w:pStyle w:val="Tabletext"/>
              <w:tabs>
                <w:tab w:val="clear" w:pos="284"/>
                <w:tab w:val="clear" w:pos="567"/>
                <w:tab w:val="right" w:pos="576"/>
              </w:tabs>
              <w:spacing w:before="0"/>
              <w:jc w:val="center"/>
              <w:rPr>
                <w:rFonts w:eastAsia="SimSun"/>
                <w:b/>
                <w:bCs/>
                <w:lang w:eastAsia="zh-CN"/>
              </w:rPr>
            </w:pPr>
            <w:r w:rsidRPr="004F4906">
              <w:rPr>
                <w:rFonts w:eastAsia="SimSun"/>
                <w:b/>
                <w:bCs/>
                <w:lang w:eastAsia="zh-CN"/>
              </w:rPr>
              <w:t>2 449</w:t>
            </w:r>
          </w:p>
        </w:tc>
        <w:tc>
          <w:tcPr>
            <w:tcW w:w="1417" w:type="dxa"/>
            <w:tcBorders>
              <w:top w:val="single" w:sz="4" w:space="0" w:color="auto"/>
              <w:left w:val="nil"/>
              <w:bottom w:val="single" w:sz="4" w:space="0" w:color="auto"/>
              <w:right w:val="single" w:sz="4" w:space="0" w:color="auto"/>
            </w:tcBorders>
            <w:shd w:val="clear" w:color="auto" w:fill="DBE5F1" w:themeFill="accent1" w:themeFillTint="33"/>
            <w:tcMar>
              <w:top w:w="0" w:type="dxa"/>
              <w:left w:w="108" w:type="dxa"/>
              <w:bottom w:w="0" w:type="dxa"/>
              <w:right w:w="227" w:type="dxa"/>
            </w:tcMar>
            <w:vAlign w:val="bottom"/>
            <w:hideMark/>
          </w:tcPr>
          <w:p w14:paraId="6BCAAA3E" w14:textId="77777777" w:rsidR="00D9047C" w:rsidRPr="004F4906" w:rsidRDefault="00D9047C" w:rsidP="00F7231D">
            <w:pPr>
              <w:pStyle w:val="Tabletext"/>
              <w:tabs>
                <w:tab w:val="clear" w:pos="284"/>
                <w:tab w:val="clear" w:pos="567"/>
                <w:tab w:val="clear" w:pos="851"/>
                <w:tab w:val="right" w:pos="840"/>
              </w:tabs>
              <w:spacing w:before="0"/>
              <w:jc w:val="center"/>
              <w:rPr>
                <w:rFonts w:eastAsia="SimSun"/>
                <w:b/>
                <w:bCs/>
                <w:lang w:eastAsia="zh-CN"/>
              </w:rPr>
            </w:pPr>
            <w:r w:rsidRPr="004F4906">
              <w:rPr>
                <w:b/>
                <w:bCs/>
                <w:lang w:eastAsia="en-GB"/>
              </w:rPr>
              <w:t>987</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tcMar>
              <w:top w:w="0" w:type="dxa"/>
              <w:left w:w="108" w:type="dxa"/>
              <w:bottom w:w="0" w:type="dxa"/>
              <w:right w:w="227" w:type="dxa"/>
            </w:tcMar>
            <w:vAlign w:val="bottom"/>
            <w:hideMark/>
          </w:tcPr>
          <w:p w14:paraId="58F20D66" w14:textId="77777777" w:rsidR="00D9047C" w:rsidRPr="004F4906" w:rsidRDefault="00D9047C" w:rsidP="00F7231D">
            <w:pPr>
              <w:pStyle w:val="Tabletext"/>
              <w:tabs>
                <w:tab w:val="clear" w:pos="284"/>
                <w:tab w:val="clear" w:pos="567"/>
                <w:tab w:val="clear" w:pos="851"/>
                <w:tab w:val="decimal" w:pos="840"/>
              </w:tabs>
              <w:spacing w:before="0"/>
              <w:jc w:val="center"/>
              <w:rPr>
                <w:rFonts w:eastAsia="SimSun"/>
                <w:b/>
                <w:bCs/>
                <w:lang w:eastAsia="zh-CN"/>
              </w:rPr>
            </w:pPr>
            <w:r w:rsidRPr="004F4906">
              <w:rPr>
                <w:b/>
                <w:bCs/>
                <w:lang w:eastAsia="en-GB"/>
              </w:rPr>
              <w:t>456</w:t>
            </w:r>
          </w:p>
        </w:tc>
        <w:tc>
          <w:tcPr>
            <w:tcW w:w="1453" w:type="dxa"/>
            <w:tcBorders>
              <w:top w:val="single" w:sz="4" w:space="0" w:color="auto"/>
              <w:left w:val="nil"/>
              <w:bottom w:val="single" w:sz="4" w:space="0" w:color="auto"/>
              <w:right w:val="single" w:sz="4" w:space="0" w:color="auto"/>
            </w:tcBorders>
            <w:shd w:val="clear" w:color="auto" w:fill="DBE5F1" w:themeFill="accent1" w:themeFillTint="33"/>
            <w:noWrap/>
            <w:tcMar>
              <w:top w:w="0" w:type="dxa"/>
              <w:left w:w="108" w:type="dxa"/>
              <w:bottom w:w="0" w:type="dxa"/>
              <w:right w:w="227" w:type="dxa"/>
            </w:tcMar>
            <w:vAlign w:val="bottom"/>
            <w:hideMark/>
          </w:tcPr>
          <w:p w14:paraId="58F8EC14" w14:textId="77777777" w:rsidR="00D9047C" w:rsidRPr="004F4906" w:rsidRDefault="00D9047C" w:rsidP="00F7231D">
            <w:pPr>
              <w:pStyle w:val="Tabletext"/>
              <w:tabs>
                <w:tab w:val="clear" w:pos="284"/>
                <w:tab w:val="clear" w:pos="567"/>
                <w:tab w:val="clear" w:pos="851"/>
                <w:tab w:val="right" w:pos="739"/>
              </w:tabs>
              <w:spacing w:before="0"/>
              <w:jc w:val="center"/>
              <w:rPr>
                <w:rFonts w:eastAsia="SimSun"/>
                <w:b/>
                <w:bCs/>
                <w:lang w:eastAsia="zh-CN"/>
              </w:rPr>
            </w:pPr>
            <w:r w:rsidRPr="004F4906">
              <w:rPr>
                <w:b/>
                <w:bCs/>
                <w:lang w:eastAsia="en-GB"/>
              </w:rPr>
              <w:t>1 006</w:t>
            </w:r>
          </w:p>
        </w:tc>
      </w:tr>
      <w:tr w:rsidR="00D9047C" w:rsidRPr="004F4906" w14:paraId="66EFC994" w14:textId="77777777" w:rsidTr="00F7231D">
        <w:trPr>
          <w:trHeight w:val="300"/>
        </w:trPr>
        <w:tc>
          <w:tcPr>
            <w:tcW w:w="4395" w:type="dxa"/>
            <w:tcBorders>
              <w:top w:val="nil"/>
              <w:left w:val="single" w:sz="4" w:space="0" w:color="auto"/>
              <w:bottom w:val="nil"/>
              <w:right w:val="single" w:sz="4" w:space="0" w:color="auto"/>
            </w:tcBorders>
            <w:hideMark/>
          </w:tcPr>
          <w:p w14:paraId="7FD59D0E" w14:textId="77777777" w:rsidR="00D9047C" w:rsidRPr="004F4906" w:rsidRDefault="00D9047C" w:rsidP="00F7231D">
            <w:pPr>
              <w:pStyle w:val="Tabletext"/>
              <w:spacing w:before="0"/>
              <w:rPr>
                <w:rFonts w:eastAsia="SimSun"/>
                <w:lang w:eastAsia="zh-CN"/>
              </w:rPr>
            </w:pPr>
            <w:r w:rsidRPr="004F4906">
              <w:rPr>
                <w:rFonts w:eastAsia="SimSun"/>
                <w:lang w:eastAsia="zh-CN"/>
              </w:rPr>
              <w:t>Traduction (12 256 pages)</w:t>
            </w:r>
          </w:p>
        </w:tc>
        <w:tc>
          <w:tcPr>
            <w:tcW w:w="1276" w:type="dxa"/>
            <w:tcBorders>
              <w:top w:val="nil"/>
              <w:left w:val="nil"/>
              <w:bottom w:val="nil"/>
              <w:right w:val="single" w:sz="4" w:space="0" w:color="auto"/>
            </w:tcBorders>
            <w:tcMar>
              <w:top w:w="0" w:type="dxa"/>
              <w:left w:w="108" w:type="dxa"/>
              <w:bottom w:w="0" w:type="dxa"/>
              <w:right w:w="227" w:type="dxa"/>
            </w:tcMar>
            <w:vAlign w:val="bottom"/>
            <w:hideMark/>
          </w:tcPr>
          <w:p w14:paraId="40F71ADF" w14:textId="77777777" w:rsidR="00D9047C" w:rsidRPr="004F4906" w:rsidRDefault="00D9047C" w:rsidP="00F7231D">
            <w:pPr>
              <w:pStyle w:val="Tabletext"/>
              <w:tabs>
                <w:tab w:val="clear" w:pos="284"/>
                <w:tab w:val="clear" w:pos="567"/>
                <w:tab w:val="right" w:pos="576"/>
              </w:tabs>
              <w:spacing w:before="0"/>
              <w:jc w:val="center"/>
              <w:rPr>
                <w:rFonts w:eastAsia="SimSun"/>
                <w:lang w:eastAsia="zh-CN"/>
              </w:rPr>
            </w:pPr>
            <w:r w:rsidRPr="004F4906">
              <w:rPr>
                <w:rFonts w:eastAsia="SimSun"/>
                <w:lang w:eastAsia="zh-CN"/>
              </w:rPr>
              <w:t>1 788</w:t>
            </w:r>
          </w:p>
        </w:tc>
        <w:tc>
          <w:tcPr>
            <w:tcW w:w="1417" w:type="dxa"/>
            <w:tcBorders>
              <w:top w:val="nil"/>
              <w:left w:val="nil"/>
              <w:bottom w:val="nil"/>
              <w:right w:val="single" w:sz="4" w:space="0" w:color="auto"/>
            </w:tcBorders>
            <w:tcMar>
              <w:top w:w="0" w:type="dxa"/>
              <w:left w:w="108" w:type="dxa"/>
              <w:bottom w:w="0" w:type="dxa"/>
              <w:right w:w="227" w:type="dxa"/>
            </w:tcMar>
            <w:vAlign w:val="bottom"/>
            <w:hideMark/>
          </w:tcPr>
          <w:p w14:paraId="62CEAF5B" w14:textId="77777777" w:rsidR="00D9047C" w:rsidRPr="004F4906" w:rsidRDefault="00D9047C" w:rsidP="00F7231D">
            <w:pPr>
              <w:pStyle w:val="Tabletext"/>
              <w:tabs>
                <w:tab w:val="clear" w:pos="284"/>
                <w:tab w:val="clear" w:pos="567"/>
                <w:tab w:val="clear" w:pos="851"/>
                <w:tab w:val="right" w:pos="840"/>
              </w:tabs>
              <w:spacing w:before="0"/>
              <w:jc w:val="center"/>
              <w:rPr>
                <w:rFonts w:eastAsia="SimSun"/>
                <w:lang w:eastAsia="zh-CN"/>
              </w:rPr>
            </w:pPr>
            <w:r w:rsidRPr="004F4906">
              <w:rPr>
                <w:rFonts w:eastAsia="SimSun"/>
                <w:lang w:eastAsia="zh-CN"/>
              </w:rPr>
              <w:t>1 421</w:t>
            </w:r>
          </w:p>
        </w:tc>
        <w:tc>
          <w:tcPr>
            <w:tcW w:w="1276" w:type="dxa"/>
            <w:tcBorders>
              <w:top w:val="nil"/>
              <w:left w:val="nil"/>
              <w:bottom w:val="nil"/>
              <w:right w:val="single" w:sz="4" w:space="0" w:color="auto"/>
            </w:tcBorders>
            <w:noWrap/>
            <w:tcMar>
              <w:top w:w="0" w:type="dxa"/>
              <w:left w:w="108" w:type="dxa"/>
              <w:bottom w:w="0" w:type="dxa"/>
              <w:right w:w="227" w:type="dxa"/>
            </w:tcMar>
            <w:vAlign w:val="bottom"/>
            <w:hideMark/>
          </w:tcPr>
          <w:p w14:paraId="2E2A27CD" w14:textId="77777777" w:rsidR="00D9047C" w:rsidRPr="004F4906" w:rsidRDefault="00D9047C" w:rsidP="00F7231D">
            <w:pPr>
              <w:pStyle w:val="Tabletext"/>
              <w:tabs>
                <w:tab w:val="clear" w:pos="284"/>
                <w:tab w:val="clear" w:pos="567"/>
                <w:tab w:val="clear" w:pos="851"/>
                <w:tab w:val="decimal" w:pos="840"/>
              </w:tabs>
              <w:spacing w:before="0"/>
              <w:jc w:val="center"/>
              <w:rPr>
                <w:rFonts w:eastAsia="SimSun"/>
                <w:lang w:eastAsia="zh-CN"/>
              </w:rPr>
            </w:pPr>
            <w:r w:rsidRPr="004F4906">
              <w:rPr>
                <w:lang w:eastAsia="en-GB"/>
              </w:rPr>
              <w:t>367</w:t>
            </w:r>
          </w:p>
        </w:tc>
        <w:tc>
          <w:tcPr>
            <w:tcW w:w="1453" w:type="dxa"/>
            <w:tcBorders>
              <w:top w:val="nil"/>
              <w:left w:val="nil"/>
              <w:bottom w:val="nil"/>
              <w:right w:val="single" w:sz="4" w:space="0" w:color="auto"/>
            </w:tcBorders>
            <w:noWrap/>
            <w:tcMar>
              <w:top w:w="0" w:type="dxa"/>
              <w:left w:w="108" w:type="dxa"/>
              <w:bottom w:w="0" w:type="dxa"/>
              <w:right w:w="227" w:type="dxa"/>
            </w:tcMar>
            <w:vAlign w:val="bottom"/>
            <w:hideMark/>
          </w:tcPr>
          <w:p w14:paraId="2245B2F9" w14:textId="77777777" w:rsidR="00D9047C" w:rsidRPr="004F4906" w:rsidRDefault="00D9047C" w:rsidP="00F7231D">
            <w:pPr>
              <w:pStyle w:val="Tabletext"/>
              <w:tabs>
                <w:tab w:val="clear" w:pos="284"/>
                <w:tab w:val="clear" w:pos="567"/>
                <w:tab w:val="clear" w:pos="851"/>
                <w:tab w:val="right" w:pos="739"/>
              </w:tabs>
              <w:spacing w:before="0"/>
              <w:jc w:val="center"/>
              <w:rPr>
                <w:rFonts w:eastAsia="SimSun"/>
                <w:lang w:eastAsia="zh-CN"/>
              </w:rPr>
            </w:pPr>
            <w:r w:rsidRPr="004F4906">
              <w:rPr>
                <w:lang w:eastAsia="en-GB"/>
              </w:rPr>
              <w:t>0</w:t>
            </w:r>
          </w:p>
        </w:tc>
      </w:tr>
      <w:tr w:rsidR="00D9047C" w:rsidRPr="004F4906" w14:paraId="1EE79779" w14:textId="77777777" w:rsidTr="00F7231D">
        <w:trPr>
          <w:trHeight w:val="300"/>
        </w:trPr>
        <w:tc>
          <w:tcPr>
            <w:tcW w:w="4395" w:type="dxa"/>
            <w:tcBorders>
              <w:top w:val="nil"/>
              <w:left w:val="single" w:sz="4" w:space="0" w:color="auto"/>
              <w:bottom w:val="nil"/>
              <w:right w:val="single" w:sz="4" w:space="0" w:color="auto"/>
            </w:tcBorders>
            <w:hideMark/>
          </w:tcPr>
          <w:p w14:paraId="18152BC7" w14:textId="77777777" w:rsidR="00D9047C" w:rsidRPr="004F4906" w:rsidRDefault="00D9047C" w:rsidP="00F7231D">
            <w:pPr>
              <w:pStyle w:val="Tabletext"/>
              <w:spacing w:before="0"/>
              <w:rPr>
                <w:rFonts w:eastAsia="SimSun"/>
                <w:lang w:eastAsia="zh-CN"/>
              </w:rPr>
            </w:pPr>
            <w:r w:rsidRPr="004F4906">
              <w:rPr>
                <w:rFonts w:eastAsia="SimSun"/>
                <w:lang w:eastAsia="zh-CN"/>
              </w:rPr>
              <w:t>Dactylographie (16 666 pages)</w:t>
            </w:r>
          </w:p>
        </w:tc>
        <w:tc>
          <w:tcPr>
            <w:tcW w:w="1276" w:type="dxa"/>
            <w:tcBorders>
              <w:top w:val="nil"/>
              <w:left w:val="nil"/>
              <w:bottom w:val="nil"/>
              <w:right w:val="single" w:sz="4" w:space="0" w:color="auto"/>
            </w:tcBorders>
            <w:tcMar>
              <w:top w:w="0" w:type="dxa"/>
              <w:left w:w="108" w:type="dxa"/>
              <w:bottom w:w="0" w:type="dxa"/>
              <w:right w:w="227" w:type="dxa"/>
            </w:tcMar>
            <w:vAlign w:val="bottom"/>
            <w:hideMark/>
          </w:tcPr>
          <w:p w14:paraId="7F3D322D" w14:textId="77777777" w:rsidR="00D9047C" w:rsidRPr="004F4906" w:rsidRDefault="00D9047C" w:rsidP="00F7231D">
            <w:pPr>
              <w:pStyle w:val="Tabletext"/>
              <w:tabs>
                <w:tab w:val="clear" w:pos="284"/>
                <w:tab w:val="clear" w:pos="567"/>
                <w:tab w:val="right" w:pos="576"/>
              </w:tabs>
              <w:spacing w:before="0"/>
              <w:jc w:val="center"/>
              <w:rPr>
                <w:rFonts w:eastAsia="SimSun"/>
                <w:lang w:eastAsia="zh-CN"/>
              </w:rPr>
            </w:pPr>
            <w:r w:rsidRPr="004F4906">
              <w:rPr>
                <w:rFonts w:eastAsia="SimSun"/>
                <w:lang w:eastAsia="zh-CN"/>
              </w:rPr>
              <w:t>944</w:t>
            </w:r>
          </w:p>
        </w:tc>
        <w:tc>
          <w:tcPr>
            <w:tcW w:w="1417" w:type="dxa"/>
            <w:tcBorders>
              <w:top w:val="nil"/>
              <w:left w:val="nil"/>
              <w:bottom w:val="nil"/>
              <w:right w:val="single" w:sz="4" w:space="0" w:color="auto"/>
            </w:tcBorders>
            <w:tcMar>
              <w:top w:w="0" w:type="dxa"/>
              <w:left w:w="108" w:type="dxa"/>
              <w:bottom w:w="0" w:type="dxa"/>
              <w:right w:w="227" w:type="dxa"/>
            </w:tcMar>
            <w:vAlign w:val="bottom"/>
            <w:hideMark/>
          </w:tcPr>
          <w:p w14:paraId="69BAF416" w14:textId="77777777" w:rsidR="00D9047C" w:rsidRPr="004F4906" w:rsidRDefault="00D9047C" w:rsidP="00F7231D">
            <w:pPr>
              <w:pStyle w:val="Tabletext"/>
              <w:tabs>
                <w:tab w:val="clear" w:pos="284"/>
                <w:tab w:val="clear" w:pos="567"/>
                <w:tab w:val="clear" w:pos="851"/>
                <w:tab w:val="right" w:pos="840"/>
              </w:tabs>
              <w:spacing w:before="0"/>
              <w:jc w:val="center"/>
              <w:rPr>
                <w:rFonts w:eastAsia="SimSun"/>
                <w:lang w:eastAsia="zh-CN"/>
              </w:rPr>
            </w:pPr>
            <w:r w:rsidRPr="004F4906">
              <w:rPr>
                <w:lang w:eastAsia="en-GB"/>
              </w:rPr>
              <w:t>1 075</w:t>
            </w:r>
          </w:p>
        </w:tc>
        <w:tc>
          <w:tcPr>
            <w:tcW w:w="1276" w:type="dxa"/>
            <w:tcBorders>
              <w:top w:val="nil"/>
              <w:left w:val="nil"/>
              <w:bottom w:val="nil"/>
              <w:right w:val="single" w:sz="4" w:space="0" w:color="auto"/>
            </w:tcBorders>
            <w:noWrap/>
            <w:tcMar>
              <w:top w:w="0" w:type="dxa"/>
              <w:left w:w="108" w:type="dxa"/>
              <w:bottom w:w="0" w:type="dxa"/>
              <w:right w:w="227" w:type="dxa"/>
            </w:tcMar>
            <w:vAlign w:val="bottom"/>
            <w:hideMark/>
          </w:tcPr>
          <w:p w14:paraId="4432E70E" w14:textId="77777777" w:rsidR="00D9047C" w:rsidRPr="004F4906" w:rsidRDefault="00D9047C" w:rsidP="00F7231D">
            <w:pPr>
              <w:pStyle w:val="Tabletext"/>
              <w:tabs>
                <w:tab w:val="clear" w:pos="284"/>
                <w:tab w:val="clear" w:pos="567"/>
                <w:tab w:val="clear" w:pos="851"/>
                <w:tab w:val="decimal" w:pos="840"/>
              </w:tabs>
              <w:spacing w:before="0"/>
              <w:jc w:val="center"/>
              <w:rPr>
                <w:rFonts w:eastAsia="SimSun"/>
                <w:lang w:eastAsia="zh-CN"/>
              </w:rPr>
            </w:pPr>
            <w:r w:rsidRPr="004F4906">
              <w:rPr>
                <w:lang w:eastAsia="en-GB"/>
              </w:rPr>
              <w:t>176</w:t>
            </w:r>
          </w:p>
        </w:tc>
        <w:tc>
          <w:tcPr>
            <w:tcW w:w="1453" w:type="dxa"/>
            <w:tcBorders>
              <w:top w:val="nil"/>
              <w:left w:val="nil"/>
              <w:bottom w:val="nil"/>
              <w:right w:val="single" w:sz="4" w:space="0" w:color="auto"/>
            </w:tcBorders>
            <w:noWrap/>
            <w:tcMar>
              <w:top w:w="0" w:type="dxa"/>
              <w:left w:w="108" w:type="dxa"/>
              <w:bottom w:w="0" w:type="dxa"/>
              <w:right w:w="227" w:type="dxa"/>
            </w:tcMar>
            <w:vAlign w:val="bottom"/>
            <w:hideMark/>
          </w:tcPr>
          <w:p w14:paraId="6FD6CF9C" w14:textId="77777777" w:rsidR="00D9047C" w:rsidRPr="004F4906" w:rsidRDefault="00D9047C" w:rsidP="00F7231D">
            <w:pPr>
              <w:pStyle w:val="Tabletext"/>
              <w:tabs>
                <w:tab w:val="clear" w:pos="284"/>
                <w:tab w:val="clear" w:pos="567"/>
                <w:tab w:val="clear" w:pos="851"/>
                <w:tab w:val="right" w:pos="739"/>
              </w:tabs>
              <w:spacing w:before="0"/>
              <w:jc w:val="center"/>
              <w:rPr>
                <w:rFonts w:eastAsia="SimSun"/>
                <w:lang w:eastAsia="zh-CN"/>
              </w:rPr>
            </w:pPr>
            <w:r w:rsidRPr="004F4906">
              <w:rPr>
                <w:lang w:eastAsia="en-GB"/>
              </w:rPr>
              <w:t>‒307</w:t>
            </w:r>
          </w:p>
        </w:tc>
      </w:tr>
      <w:tr w:rsidR="00D9047C" w:rsidRPr="004F4906" w14:paraId="76872D54" w14:textId="77777777" w:rsidTr="00F7231D">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5AAC3EA" w14:textId="77777777" w:rsidR="00D9047C" w:rsidRPr="004F4906" w:rsidRDefault="00D9047C" w:rsidP="00F7231D">
            <w:pPr>
              <w:pStyle w:val="Tabletext"/>
              <w:spacing w:before="0"/>
              <w:rPr>
                <w:rFonts w:eastAsia="SimSun"/>
                <w:b/>
                <w:bCs/>
                <w:lang w:eastAsia="zh-CN"/>
              </w:rPr>
            </w:pPr>
            <w:r w:rsidRPr="004F4906">
              <w:rPr>
                <w:rFonts w:eastAsia="SimSun"/>
                <w:b/>
                <w:bCs/>
                <w:lang w:eastAsia="zh-CN"/>
              </w:rPr>
              <w:t>Sous-total documentation</w:t>
            </w:r>
          </w:p>
        </w:tc>
        <w:tc>
          <w:tcPr>
            <w:tcW w:w="1276" w:type="dxa"/>
            <w:tcBorders>
              <w:top w:val="single" w:sz="4" w:space="0" w:color="auto"/>
              <w:left w:val="nil"/>
              <w:bottom w:val="single" w:sz="4" w:space="0" w:color="auto"/>
              <w:right w:val="single" w:sz="4" w:space="0" w:color="auto"/>
            </w:tcBorders>
            <w:shd w:val="clear" w:color="auto" w:fill="DBE5F1" w:themeFill="accent1" w:themeFillTint="33"/>
            <w:tcMar>
              <w:top w:w="0" w:type="dxa"/>
              <w:left w:w="108" w:type="dxa"/>
              <w:bottom w:w="0" w:type="dxa"/>
              <w:right w:w="227" w:type="dxa"/>
            </w:tcMar>
            <w:vAlign w:val="bottom"/>
            <w:hideMark/>
          </w:tcPr>
          <w:p w14:paraId="732AC25E" w14:textId="77777777" w:rsidR="00D9047C" w:rsidRPr="004F4906" w:rsidRDefault="00D9047C" w:rsidP="00F7231D">
            <w:pPr>
              <w:pStyle w:val="Tabletext"/>
              <w:tabs>
                <w:tab w:val="clear" w:pos="284"/>
                <w:tab w:val="clear" w:pos="567"/>
                <w:tab w:val="right" w:pos="576"/>
              </w:tabs>
              <w:spacing w:before="0"/>
              <w:jc w:val="center"/>
              <w:rPr>
                <w:rFonts w:eastAsia="SimSun"/>
                <w:b/>
                <w:bCs/>
                <w:lang w:eastAsia="zh-CN"/>
              </w:rPr>
            </w:pPr>
            <w:r w:rsidRPr="004F4906">
              <w:rPr>
                <w:rFonts w:eastAsia="SimSun"/>
                <w:b/>
                <w:bCs/>
                <w:lang w:eastAsia="zh-CN"/>
              </w:rPr>
              <w:t>2 732</w:t>
            </w:r>
          </w:p>
        </w:tc>
        <w:tc>
          <w:tcPr>
            <w:tcW w:w="1417" w:type="dxa"/>
            <w:tcBorders>
              <w:top w:val="single" w:sz="4" w:space="0" w:color="auto"/>
              <w:left w:val="nil"/>
              <w:bottom w:val="single" w:sz="4" w:space="0" w:color="auto"/>
              <w:right w:val="single" w:sz="4" w:space="0" w:color="auto"/>
            </w:tcBorders>
            <w:shd w:val="clear" w:color="auto" w:fill="DBE5F1" w:themeFill="accent1" w:themeFillTint="33"/>
            <w:tcMar>
              <w:top w:w="0" w:type="dxa"/>
              <w:left w:w="108" w:type="dxa"/>
              <w:bottom w:w="0" w:type="dxa"/>
              <w:right w:w="227" w:type="dxa"/>
            </w:tcMar>
            <w:vAlign w:val="bottom"/>
            <w:hideMark/>
          </w:tcPr>
          <w:p w14:paraId="4A6F9299" w14:textId="77777777" w:rsidR="00D9047C" w:rsidRPr="004F4906" w:rsidRDefault="00D9047C" w:rsidP="00F7231D">
            <w:pPr>
              <w:pStyle w:val="Tabletext"/>
              <w:tabs>
                <w:tab w:val="clear" w:pos="284"/>
                <w:tab w:val="clear" w:pos="567"/>
                <w:tab w:val="clear" w:pos="851"/>
                <w:tab w:val="right" w:pos="840"/>
              </w:tabs>
              <w:spacing w:before="0"/>
              <w:jc w:val="center"/>
              <w:rPr>
                <w:rFonts w:eastAsia="SimSun"/>
                <w:b/>
                <w:bCs/>
                <w:lang w:eastAsia="zh-CN"/>
              </w:rPr>
            </w:pPr>
            <w:r w:rsidRPr="004F4906">
              <w:rPr>
                <w:rFonts w:eastAsia="SimSun"/>
                <w:b/>
                <w:bCs/>
                <w:lang w:eastAsia="zh-CN"/>
              </w:rPr>
              <w:t>2 496</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tcMar>
              <w:top w:w="0" w:type="dxa"/>
              <w:left w:w="108" w:type="dxa"/>
              <w:bottom w:w="0" w:type="dxa"/>
              <w:right w:w="227" w:type="dxa"/>
            </w:tcMar>
            <w:vAlign w:val="bottom"/>
            <w:hideMark/>
          </w:tcPr>
          <w:p w14:paraId="3557DA90" w14:textId="77777777" w:rsidR="00D9047C" w:rsidRPr="004F4906" w:rsidRDefault="00D9047C" w:rsidP="00F7231D">
            <w:pPr>
              <w:pStyle w:val="Tabletext"/>
              <w:tabs>
                <w:tab w:val="clear" w:pos="284"/>
                <w:tab w:val="clear" w:pos="567"/>
                <w:tab w:val="clear" w:pos="851"/>
                <w:tab w:val="decimal" w:pos="840"/>
              </w:tabs>
              <w:spacing w:before="0"/>
              <w:jc w:val="center"/>
              <w:rPr>
                <w:rFonts w:eastAsia="SimSun"/>
                <w:b/>
                <w:bCs/>
                <w:lang w:eastAsia="zh-CN"/>
              </w:rPr>
            </w:pPr>
            <w:r w:rsidRPr="004F4906">
              <w:rPr>
                <w:b/>
                <w:bCs/>
                <w:lang w:eastAsia="en-GB"/>
              </w:rPr>
              <w:t>543</w:t>
            </w:r>
          </w:p>
        </w:tc>
        <w:tc>
          <w:tcPr>
            <w:tcW w:w="1453" w:type="dxa"/>
            <w:tcBorders>
              <w:top w:val="single" w:sz="4" w:space="0" w:color="auto"/>
              <w:left w:val="nil"/>
              <w:bottom w:val="single" w:sz="4" w:space="0" w:color="auto"/>
              <w:right w:val="single" w:sz="4" w:space="0" w:color="auto"/>
            </w:tcBorders>
            <w:shd w:val="clear" w:color="auto" w:fill="DBE5F1" w:themeFill="accent1" w:themeFillTint="33"/>
            <w:noWrap/>
            <w:tcMar>
              <w:top w:w="0" w:type="dxa"/>
              <w:left w:w="108" w:type="dxa"/>
              <w:bottom w:w="0" w:type="dxa"/>
              <w:right w:w="227" w:type="dxa"/>
            </w:tcMar>
            <w:vAlign w:val="bottom"/>
            <w:hideMark/>
          </w:tcPr>
          <w:p w14:paraId="06689E22" w14:textId="77777777" w:rsidR="00D9047C" w:rsidRPr="004F4906" w:rsidRDefault="00D9047C" w:rsidP="00F7231D">
            <w:pPr>
              <w:pStyle w:val="Tabletext"/>
              <w:tabs>
                <w:tab w:val="clear" w:pos="284"/>
                <w:tab w:val="clear" w:pos="567"/>
                <w:tab w:val="clear" w:pos="851"/>
                <w:tab w:val="right" w:pos="739"/>
              </w:tabs>
              <w:spacing w:before="0"/>
              <w:jc w:val="center"/>
              <w:rPr>
                <w:rFonts w:eastAsia="SimSun"/>
                <w:b/>
                <w:bCs/>
                <w:lang w:eastAsia="zh-CN"/>
              </w:rPr>
            </w:pPr>
            <w:r w:rsidRPr="004F4906">
              <w:rPr>
                <w:b/>
                <w:bCs/>
                <w:lang w:eastAsia="en-GB"/>
              </w:rPr>
              <w:t>‒307</w:t>
            </w:r>
          </w:p>
        </w:tc>
      </w:tr>
      <w:tr w:rsidR="00D9047C" w:rsidRPr="004F4906" w14:paraId="1F0BD6EC" w14:textId="77777777" w:rsidTr="00F7231D">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AE2EB73" w14:textId="77777777" w:rsidR="00D9047C" w:rsidRPr="004F4906" w:rsidRDefault="00D9047C" w:rsidP="00F7231D">
            <w:pPr>
              <w:pStyle w:val="Tabletext"/>
              <w:spacing w:before="0"/>
              <w:rPr>
                <w:rFonts w:eastAsia="SimSun"/>
                <w:b/>
                <w:bCs/>
                <w:lang w:eastAsia="zh-CN"/>
              </w:rPr>
            </w:pPr>
            <w:r w:rsidRPr="004F4906">
              <w:rPr>
                <w:rFonts w:eastAsia="SimSun"/>
                <w:b/>
                <w:bCs/>
                <w:lang w:eastAsia="zh-CN"/>
              </w:rPr>
              <w:t>TOTAL</w:t>
            </w:r>
          </w:p>
        </w:tc>
        <w:tc>
          <w:tcPr>
            <w:tcW w:w="1276" w:type="dxa"/>
            <w:tcBorders>
              <w:top w:val="single" w:sz="4" w:space="0" w:color="auto"/>
              <w:left w:val="nil"/>
              <w:bottom w:val="single" w:sz="4" w:space="0" w:color="auto"/>
              <w:right w:val="single" w:sz="4" w:space="0" w:color="auto"/>
            </w:tcBorders>
            <w:shd w:val="clear" w:color="auto" w:fill="DBE5F1" w:themeFill="accent1" w:themeFillTint="33"/>
            <w:tcMar>
              <w:top w:w="0" w:type="dxa"/>
              <w:left w:w="108" w:type="dxa"/>
              <w:bottom w:w="0" w:type="dxa"/>
              <w:right w:w="227" w:type="dxa"/>
            </w:tcMar>
            <w:vAlign w:val="bottom"/>
            <w:hideMark/>
          </w:tcPr>
          <w:p w14:paraId="2E6F5F0A" w14:textId="77777777" w:rsidR="00D9047C" w:rsidRPr="004F4906" w:rsidRDefault="00D9047C" w:rsidP="00F7231D">
            <w:pPr>
              <w:pStyle w:val="Tabletext"/>
              <w:tabs>
                <w:tab w:val="clear" w:pos="284"/>
                <w:tab w:val="clear" w:pos="567"/>
                <w:tab w:val="right" w:pos="576"/>
              </w:tabs>
              <w:spacing w:before="0"/>
              <w:jc w:val="center"/>
              <w:rPr>
                <w:rFonts w:eastAsia="SimSun"/>
                <w:b/>
                <w:bCs/>
                <w:lang w:eastAsia="zh-CN"/>
              </w:rPr>
            </w:pPr>
            <w:r w:rsidRPr="004F4906">
              <w:rPr>
                <w:rFonts w:eastAsia="SimSun"/>
                <w:b/>
                <w:bCs/>
                <w:lang w:eastAsia="zh-CN"/>
              </w:rPr>
              <w:t>5 181</w:t>
            </w:r>
          </w:p>
        </w:tc>
        <w:tc>
          <w:tcPr>
            <w:tcW w:w="1417" w:type="dxa"/>
            <w:tcBorders>
              <w:top w:val="single" w:sz="4" w:space="0" w:color="auto"/>
              <w:left w:val="nil"/>
              <w:bottom w:val="single" w:sz="4" w:space="0" w:color="auto"/>
              <w:right w:val="single" w:sz="4" w:space="0" w:color="auto"/>
            </w:tcBorders>
            <w:shd w:val="clear" w:color="auto" w:fill="DBE5F1" w:themeFill="accent1" w:themeFillTint="33"/>
            <w:tcMar>
              <w:top w:w="0" w:type="dxa"/>
              <w:left w:w="108" w:type="dxa"/>
              <w:bottom w:w="0" w:type="dxa"/>
              <w:right w:w="227" w:type="dxa"/>
            </w:tcMar>
            <w:vAlign w:val="bottom"/>
            <w:hideMark/>
          </w:tcPr>
          <w:p w14:paraId="019DC852" w14:textId="77777777" w:rsidR="00D9047C" w:rsidRPr="004F4906" w:rsidRDefault="00D9047C" w:rsidP="00F7231D">
            <w:pPr>
              <w:pStyle w:val="Tabletext"/>
              <w:tabs>
                <w:tab w:val="clear" w:pos="284"/>
                <w:tab w:val="clear" w:pos="567"/>
                <w:tab w:val="clear" w:pos="851"/>
                <w:tab w:val="right" w:pos="840"/>
              </w:tabs>
              <w:spacing w:before="0"/>
              <w:jc w:val="center"/>
              <w:rPr>
                <w:rFonts w:eastAsia="SimSun"/>
                <w:b/>
                <w:bCs/>
                <w:lang w:eastAsia="zh-CN"/>
              </w:rPr>
            </w:pPr>
            <w:r w:rsidRPr="004F4906">
              <w:rPr>
                <w:b/>
                <w:bCs/>
                <w:lang w:eastAsia="en-GB"/>
              </w:rPr>
              <w:t>3 483</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tcMar>
              <w:top w:w="0" w:type="dxa"/>
              <w:left w:w="108" w:type="dxa"/>
              <w:bottom w:w="0" w:type="dxa"/>
              <w:right w:w="227" w:type="dxa"/>
            </w:tcMar>
            <w:vAlign w:val="bottom"/>
            <w:hideMark/>
          </w:tcPr>
          <w:p w14:paraId="1D1AA26C" w14:textId="77777777" w:rsidR="00D9047C" w:rsidRPr="004F4906" w:rsidRDefault="00D9047C" w:rsidP="00F7231D">
            <w:pPr>
              <w:pStyle w:val="Tabletext"/>
              <w:tabs>
                <w:tab w:val="clear" w:pos="284"/>
                <w:tab w:val="clear" w:pos="567"/>
                <w:tab w:val="clear" w:pos="851"/>
                <w:tab w:val="decimal" w:pos="840"/>
              </w:tabs>
              <w:spacing w:before="0"/>
              <w:jc w:val="center"/>
              <w:rPr>
                <w:rFonts w:eastAsia="SimSun"/>
                <w:b/>
                <w:bCs/>
                <w:lang w:eastAsia="zh-CN"/>
              </w:rPr>
            </w:pPr>
            <w:r w:rsidRPr="004F4906">
              <w:rPr>
                <w:b/>
                <w:bCs/>
                <w:lang w:eastAsia="en-GB"/>
              </w:rPr>
              <w:t>999</w:t>
            </w:r>
          </w:p>
        </w:tc>
        <w:tc>
          <w:tcPr>
            <w:tcW w:w="1453" w:type="dxa"/>
            <w:tcBorders>
              <w:top w:val="single" w:sz="4" w:space="0" w:color="auto"/>
              <w:left w:val="nil"/>
              <w:bottom w:val="single" w:sz="4" w:space="0" w:color="auto"/>
              <w:right w:val="single" w:sz="4" w:space="0" w:color="auto"/>
            </w:tcBorders>
            <w:shd w:val="clear" w:color="auto" w:fill="DBE5F1" w:themeFill="accent1" w:themeFillTint="33"/>
            <w:noWrap/>
            <w:tcMar>
              <w:top w:w="0" w:type="dxa"/>
              <w:left w:w="108" w:type="dxa"/>
              <w:bottom w:w="0" w:type="dxa"/>
              <w:right w:w="227" w:type="dxa"/>
            </w:tcMar>
            <w:vAlign w:val="bottom"/>
            <w:hideMark/>
          </w:tcPr>
          <w:p w14:paraId="21D5B84B" w14:textId="77777777" w:rsidR="00D9047C" w:rsidRPr="004F4906" w:rsidRDefault="00D9047C" w:rsidP="00F7231D">
            <w:pPr>
              <w:pStyle w:val="Tabletext"/>
              <w:tabs>
                <w:tab w:val="clear" w:pos="284"/>
                <w:tab w:val="clear" w:pos="567"/>
                <w:tab w:val="clear" w:pos="851"/>
                <w:tab w:val="right" w:pos="739"/>
              </w:tabs>
              <w:spacing w:before="0"/>
              <w:jc w:val="center"/>
              <w:rPr>
                <w:rFonts w:eastAsia="SimSun"/>
                <w:b/>
                <w:bCs/>
                <w:lang w:eastAsia="zh-CN"/>
              </w:rPr>
            </w:pPr>
            <w:r w:rsidRPr="004F4906">
              <w:rPr>
                <w:b/>
                <w:bCs/>
                <w:lang w:eastAsia="en-GB"/>
              </w:rPr>
              <w:t>699</w:t>
            </w:r>
          </w:p>
        </w:tc>
      </w:tr>
    </w:tbl>
    <w:p w14:paraId="2440EA60" w14:textId="77777777" w:rsidR="00D9047C" w:rsidRPr="004F4906" w:rsidRDefault="00D9047C" w:rsidP="00D9047C">
      <w:pPr>
        <w:overflowPunct/>
        <w:autoSpaceDE/>
        <w:autoSpaceDN/>
        <w:adjustRightInd/>
        <w:spacing w:before="0"/>
        <w:textAlignment w:val="auto"/>
        <w:rPr>
          <w:caps/>
          <w:sz w:val="28"/>
        </w:rPr>
      </w:pPr>
      <w:r w:rsidRPr="004F4906">
        <w:br w:type="page"/>
      </w:r>
    </w:p>
    <w:p w14:paraId="696C1D68" w14:textId="77777777" w:rsidR="00D9047C" w:rsidRPr="004F4906" w:rsidRDefault="00D9047C" w:rsidP="00D9047C">
      <w:pPr>
        <w:pStyle w:val="AnnexNo"/>
      </w:pPr>
      <w:r w:rsidRPr="004F4906">
        <w:t>annexe 2</w:t>
      </w:r>
    </w:p>
    <w:p w14:paraId="73B10DA3" w14:textId="77777777" w:rsidR="00D9047C" w:rsidRPr="004F4906" w:rsidRDefault="00D9047C" w:rsidP="00D9047C">
      <w:pPr>
        <w:pStyle w:val="TableNo"/>
      </w:pPr>
      <w:r w:rsidRPr="004F4906">
        <w:t>TABLEAU 1</w:t>
      </w:r>
    </w:p>
    <w:p w14:paraId="6A65091E" w14:textId="77777777" w:rsidR="00D9047C" w:rsidRPr="004F4906" w:rsidRDefault="00D9047C" w:rsidP="00D9047C">
      <w:r w:rsidRPr="004F4906">
        <w:rPr>
          <w:noProof/>
        </w:rPr>
        <w:drawing>
          <wp:inline distT="0" distB="0" distL="0" distR="0" wp14:anchorId="320A3E0D" wp14:editId="4DFB534F">
            <wp:extent cx="6120765" cy="1182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765" cy="1182370"/>
                    </a:xfrm>
                    <a:prstGeom prst="rect">
                      <a:avLst/>
                    </a:prstGeom>
                    <a:noFill/>
                    <a:ln>
                      <a:noFill/>
                    </a:ln>
                  </pic:spPr>
                </pic:pic>
              </a:graphicData>
            </a:graphic>
          </wp:inline>
        </w:drawing>
      </w:r>
    </w:p>
    <w:p w14:paraId="411BBB1C" w14:textId="77777777" w:rsidR="00D9047C" w:rsidRPr="004F4906" w:rsidRDefault="00D9047C" w:rsidP="00D9047C">
      <w:pPr>
        <w:pStyle w:val="Headingb"/>
        <w:spacing w:before="360"/>
      </w:pPr>
      <w:r w:rsidRPr="004F4906">
        <w:t>Commissions d'études</w:t>
      </w:r>
    </w:p>
    <w:p w14:paraId="5FE5FAA2" w14:textId="77777777" w:rsidR="00D9047C" w:rsidRPr="004F4906" w:rsidRDefault="00D9047C" w:rsidP="00D9047C">
      <w:pPr>
        <w:pStyle w:val="TableNo"/>
      </w:pPr>
      <w:r w:rsidRPr="004F4906">
        <w:t>TABLEAU 2</w:t>
      </w:r>
    </w:p>
    <w:p w14:paraId="14CD1469" w14:textId="77777777" w:rsidR="00D9047C" w:rsidRPr="004F4906" w:rsidRDefault="00D9047C" w:rsidP="00D9047C">
      <w:r w:rsidRPr="004F4906">
        <w:rPr>
          <w:noProof/>
        </w:rPr>
        <w:drawing>
          <wp:inline distT="0" distB="0" distL="0" distR="0" wp14:anchorId="3DB7EEB1" wp14:editId="544CD2D8">
            <wp:extent cx="6120765" cy="2295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2295525"/>
                    </a:xfrm>
                    <a:prstGeom prst="rect">
                      <a:avLst/>
                    </a:prstGeom>
                    <a:noFill/>
                    <a:ln>
                      <a:noFill/>
                    </a:ln>
                  </pic:spPr>
                </pic:pic>
              </a:graphicData>
            </a:graphic>
          </wp:inline>
        </w:drawing>
      </w:r>
    </w:p>
    <w:p w14:paraId="1A94C7C7" w14:textId="77777777" w:rsidR="00D9047C" w:rsidRPr="004F4906" w:rsidRDefault="00D9047C" w:rsidP="00D9047C">
      <w:pPr>
        <w:pStyle w:val="Headingb"/>
        <w:spacing w:before="360"/>
      </w:pPr>
      <w:r w:rsidRPr="004F4906">
        <w:t>Services de Terre</w:t>
      </w:r>
    </w:p>
    <w:p w14:paraId="58C0E9A5" w14:textId="77777777" w:rsidR="00D9047C" w:rsidRPr="004F4906" w:rsidRDefault="00D9047C" w:rsidP="00D9047C">
      <w:pPr>
        <w:pStyle w:val="TableNo"/>
      </w:pPr>
      <w:r w:rsidRPr="004F4906">
        <w:t>TABLEAU 3</w:t>
      </w:r>
    </w:p>
    <w:p w14:paraId="7BD03C4C" w14:textId="77777777" w:rsidR="00D9047C" w:rsidRPr="004F4906" w:rsidRDefault="00D9047C" w:rsidP="00D9047C">
      <w:r w:rsidRPr="004F4906">
        <w:rPr>
          <w:noProof/>
        </w:rPr>
        <w:drawing>
          <wp:inline distT="0" distB="0" distL="0" distR="0" wp14:anchorId="22417A71" wp14:editId="45030FF3">
            <wp:extent cx="6120765" cy="17887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765" cy="1788795"/>
                    </a:xfrm>
                    <a:prstGeom prst="rect">
                      <a:avLst/>
                    </a:prstGeom>
                    <a:noFill/>
                    <a:ln>
                      <a:noFill/>
                    </a:ln>
                  </pic:spPr>
                </pic:pic>
              </a:graphicData>
            </a:graphic>
          </wp:inline>
        </w:drawing>
      </w:r>
    </w:p>
    <w:p w14:paraId="7EA63C3F" w14:textId="77777777" w:rsidR="00D9047C" w:rsidRPr="004F4906" w:rsidRDefault="00D9047C" w:rsidP="00D9047C">
      <w:pPr>
        <w:pStyle w:val="Headingb"/>
        <w:keepLines/>
        <w:spacing w:before="360"/>
      </w:pPr>
      <w:r w:rsidRPr="004F4906">
        <w:t>Services spatiaux</w:t>
      </w:r>
    </w:p>
    <w:p w14:paraId="4A623AD7" w14:textId="77777777" w:rsidR="00D9047C" w:rsidRPr="004F4906" w:rsidRDefault="00D9047C" w:rsidP="00D9047C">
      <w:pPr>
        <w:pStyle w:val="TableNo"/>
        <w:keepLines/>
      </w:pPr>
      <w:r w:rsidRPr="004F4906">
        <w:t>TABLEAU 4-1</w:t>
      </w:r>
    </w:p>
    <w:p w14:paraId="357830FC" w14:textId="77777777" w:rsidR="00D9047C" w:rsidRPr="004F4906" w:rsidRDefault="00D9047C" w:rsidP="00D9047C">
      <w:r w:rsidRPr="004F4906">
        <w:rPr>
          <w:noProof/>
        </w:rPr>
        <w:drawing>
          <wp:inline distT="0" distB="0" distL="0" distR="0" wp14:anchorId="2187C162" wp14:editId="701299DA">
            <wp:extent cx="6120765" cy="57677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5767705"/>
                    </a:xfrm>
                    <a:prstGeom prst="rect">
                      <a:avLst/>
                    </a:prstGeom>
                    <a:noFill/>
                    <a:ln>
                      <a:noFill/>
                    </a:ln>
                  </pic:spPr>
                </pic:pic>
              </a:graphicData>
            </a:graphic>
          </wp:inline>
        </w:drawing>
      </w:r>
    </w:p>
    <w:p w14:paraId="5EFBF615" w14:textId="77777777" w:rsidR="00D9047C" w:rsidRPr="004F4906" w:rsidRDefault="00D9047C" w:rsidP="00D9047C">
      <w:pPr>
        <w:jc w:val="center"/>
      </w:pPr>
      <w:r w:rsidRPr="004F4906">
        <w:t>______________</w:t>
      </w:r>
    </w:p>
    <w:sectPr w:rsidR="00D9047C" w:rsidRPr="004F4906">
      <w:headerReference w:type="even" r:id="rId23"/>
      <w:headerReference w:type="default" r:id="rId24"/>
      <w:footerReference w:type="even"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4C3E" w14:textId="77777777" w:rsidR="00D9047C" w:rsidRDefault="00D9047C">
      <w:r>
        <w:separator/>
      </w:r>
    </w:p>
  </w:endnote>
  <w:endnote w:type="continuationSeparator" w:id="0">
    <w:p w14:paraId="412F3097" w14:textId="77777777" w:rsidR="00D9047C" w:rsidRDefault="00D9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F0B8" w14:textId="7CF5E9FB"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4F4906">
      <w:rPr>
        <w:lang w:val="en-US"/>
      </w:rPr>
      <w:t>P:\FRA\ITU-R\AG\RAG\INF\001F.docx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4F4906">
      <w:t>21.03.24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4F4906">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037" w14:textId="7D8468B6" w:rsidR="00847AAC" w:rsidRDefault="004F4906">
    <w:pPr>
      <w:pStyle w:val="Footer"/>
      <w:rPr>
        <w:lang w:val="en-US"/>
      </w:rPr>
    </w:pPr>
    <w:r>
      <w:fldChar w:fldCharType="begin"/>
    </w:r>
    <w:r w:rsidRPr="00A9055C">
      <w:rPr>
        <w:lang w:val="en-US"/>
      </w:rPr>
      <w:instrText xml:space="preserve"> FILENAME \p \* MERGEFORMAT </w:instrText>
    </w:r>
    <w:r>
      <w:fldChar w:fldCharType="separate"/>
    </w:r>
    <w:r>
      <w:rPr>
        <w:lang w:val="en-US"/>
      </w:rPr>
      <w:t>P:\FRA\ITU-R\AG\RAG\INF\001F.docx</w:t>
    </w:r>
    <w:r>
      <w:rPr>
        <w:lang w:val="en-US"/>
      </w:rPr>
      <w:fldChar w:fldCharType="end"/>
    </w:r>
    <w:r>
      <w:rPr>
        <w:lang w:val="en-US"/>
      </w:rPr>
      <w:t xml:space="preserve"> (535623)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C43C" w14:textId="570D71D2" w:rsidR="00847AAC" w:rsidRDefault="00A9055C" w:rsidP="007711EA">
    <w:pPr>
      <w:pStyle w:val="Footer"/>
      <w:rPr>
        <w:lang w:val="en-US"/>
      </w:rPr>
    </w:pPr>
    <w:r>
      <w:fldChar w:fldCharType="begin"/>
    </w:r>
    <w:r w:rsidRPr="00A9055C">
      <w:rPr>
        <w:lang w:val="en-US"/>
      </w:rPr>
      <w:instrText xml:space="preserve"> FILENAME \p \* MERGEFORMAT </w:instrText>
    </w:r>
    <w:r>
      <w:fldChar w:fldCharType="separate"/>
    </w:r>
    <w:r w:rsidR="004F4906">
      <w:rPr>
        <w:lang w:val="en-US"/>
      </w:rPr>
      <w:t>P:\FRA\ITU-R\AG\RAG\INF\001F.docx</w:t>
    </w:r>
    <w:r>
      <w:rPr>
        <w:lang w:val="en-US"/>
      </w:rPr>
      <w:fldChar w:fldCharType="end"/>
    </w:r>
    <w:r w:rsidR="004F4906">
      <w:rPr>
        <w:lang w:val="en-US"/>
      </w:rPr>
      <w:t xml:space="preserve"> (535623)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F363" w14:textId="77777777" w:rsidR="00D9047C" w:rsidRDefault="00D9047C">
      <w:r>
        <w:t>____________________</w:t>
      </w:r>
    </w:p>
  </w:footnote>
  <w:footnote w:type="continuationSeparator" w:id="0">
    <w:p w14:paraId="47F51AFB" w14:textId="77777777" w:rsidR="00D9047C" w:rsidRDefault="00D9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DD91"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1340" w14:textId="7476004C"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33DA66A0" w14:textId="5C0C656D" w:rsidR="00847AAC" w:rsidRDefault="0097156E" w:rsidP="007711EA">
    <w:pPr>
      <w:pStyle w:val="Header"/>
      <w:rPr>
        <w:lang w:val="es-ES"/>
      </w:rPr>
    </w:pPr>
    <w:r>
      <w:rPr>
        <w:lang w:val="es-ES"/>
      </w:rPr>
      <w:t>RAG</w:t>
    </w:r>
    <w:r w:rsidR="00847AAC">
      <w:rPr>
        <w:lang w:val="es-ES"/>
      </w:rPr>
      <w:t>/</w:t>
    </w:r>
    <w:r w:rsidR="00D9047C">
      <w:rPr>
        <w:lang w:val="es-ES"/>
      </w:rPr>
      <w:t>INFO/1-</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7C"/>
    <w:rsid w:val="000C06D8"/>
    <w:rsid w:val="00140AE6"/>
    <w:rsid w:val="00222A1C"/>
    <w:rsid w:val="002D238A"/>
    <w:rsid w:val="003A6CEE"/>
    <w:rsid w:val="00405FBE"/>
    <w:rsid w:val="00443261"/>
    <w:rsid w:val="004E1CCF"/>
    <w:rsid w:val="004E76DF"/>
    <w:rsid w:val="004F4906"/>
    <w:rsid w:val="005031C8"/>
    <w:rsid w:val="005207F5"/>
    <w:rsid w:val="005430E4"/>
    <w:rsid w:val="0059294E"/>
    <w:rsid w:val="0067019B"/>
    <w:rsid w:val="00677EE5"/>
    <w:rsid w:val="00694DEF"/>
    <w:rsid w:val="007711EA"/>
    <w:rsid w:val="00773E5E"/>
    <w:rsid w:val="008069E9"/>
    <w:rsid w:val="00847AAC"/>
    <w:rsid w:val="00902253"/>
    <w:rsid w:val="00925627"/>
    <w:rsid w:val="0093101F"/>
    <w:rsid w:val="0097156E"/>
    <w:rsid w:val="00A9055C"/>
    <w:rsid w:val="00AB7F92"/>
    <w:rsid w:val="00AC39EE"/>
    <w:rsid w:val="00AF2EDC"/>
    <w:rsid w:val="00B41D84"/>
    <w:rsid w:val="00BA0C7B"/>
    <w:rsid w:val="00BC4591"/>
    <w:rsid w:val="00C72A86"/>
    <w:rsid w:val="00C77EE7"/>
    <w:rsid w:val="00CC5B9E"/>
    <w:rsid w:val="00CC7208"/>
    <w:rsid w:val="00CE6184"/>
    <w:rsid w:val="00D228F7"/>
    <w:rsid w:val="00D34E1C"/>
    <w:rsid w:val="00D9047C"/>
    <w:rsid w:val="00D95965"/>
    <w:rsid w:val="00DD55EB"/>
    <w:rsid w:val="00E2659D"/>
    <w:rsid w:val="00EC0F12"/>
    <w:rsid w:val="00ED59FA"/>
    <w:rsid w:val="00F775D5"/>
    <w:rsid w:val="00F90A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74D12"/>
  <w15:docId w15:val="{FDB8CD10-B6AB-401E-A49D-DEB78A75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
    <w:name w:val="Annex_No"/>
    <w:basedOn w:val="Normal"/>
    <w:next w:val="Normal"/>
    <w:rsid w:val="00D9047C"/>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gendaitem">
    <w:name w:val="Agenda_item"/>
    <w:basedOn w:val="Normal"/>
    <w:next w:val="Normal"/>
    <w:qFormat/>
    <w:rsid w:val="00D9047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fr-CH"/>
    </w:rPr>
  </w:style>
  <w:style w:type="paragraph" w:customStyle="1" w:styleId="TableNo">
    <w:name w:val="Table_No"/>
    <w:basedOn w:val="Normal"/>
    <w:next w:val="Normal"/>
    <w:rsid w:val="00D9047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styleId="Hyperlink">
    <w:name w:val="Hyperlink"/>
    <w:basedOn w:val="DefaultParagraphFont"/>
    <w:unhideWhenUsed/>
    <w:rsid w:val="00D904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itu.int/md/R23-WRC23-C-0006/fr" TargetMode="External"/><Relationship Id="rId18" Type="http://schemas.openxmlformats.org/officeDocument/2006/relationships/hyperlink" Target="https://www.itu.int/md/R23-WRC23-C-0389/fr"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6.emf"/><Relationship Id="rId7" Type="http://schemas.openxmlformats.org/officeDocument/2006/relationships/image" Target="media/image2.jpeg"/><Relationship Id="rId12" Type="http://schemas.openxmlformats.org/officeDocument/2006/relationships/hyperlink" Target="https://www.itu.int/md/R23-WRC23-C-0007/fr" TargetMode="External"/><Relationship Id="rId17" Type="http://schemas.openxmlformats.org/officeDocument/2006/relationships/hyperlink" Target="https://www.itu.int/md/R23-WRC23-C-0219/fr"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itu.int/md/R23-WRC23-C-0387/fr" TargetMode="Externa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R23-WRC23-C-0008/fr"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itu.int/md/R23-WRC23-C-0270/fr"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itu.int/md/R23-WRC23-231120-TD-0002/fr" TargetMode="External"/><Relationship Id="rId19"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hyperlink" Target="https://www.itu.int/md/R23-WRC23-C-0005/fr" TargetMode="External"/><Relationship Id="rId14" Type="http://schemas.openxmlformats.org/officeDocument/2006/relationships/hyperlink" Target="https://www.itu.int/md/R23-WRC23-C-0220/fr" TargetMode="External"/><Relationship Id="rId22" Type="http://schemas.openxmlformats.org/officeDocument/2006/relationships/image" Target="media/image7.emf"/><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BR\PF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PF_RAG.dotm</Template>
  <TotalTime>41</TotalTime>
  <Pages>8</Pages>
  <Words>1811</Words>
  <Characters>9959</Characters>
  <Application>Microsoft Office Word</Application>
  <DocSecurity>0</DocSecurity>
  <Lines>285</Lines>
  <Paragraphs>141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1	La Commission de contrôle budgétaire</vt:lpstr>
      <vt:lpstr>2	Accord de pays hôte (Document 5)</vt:lpstr>
      <vt:lpstr>3	Mandat de la Commission 3 et structure de la Conférence (Document DT/2)</vt:lpstr>
      <vt:lpstr>4	Responsabilités financières des conférences (Document 8)</vt:lpstr>
      <vt:lpstr>5	Contributions des organisations ayant un caractère international et des Membre</vt:lpstr>
      <vt:lpstr>6	Budget et situation financière de la Conférence mondiale des radiocommunicatio</vt:lpstr>
      <vt:lpstr>7	Note de la Présidente de la Commission 3 aux autres commissions (Document 219)</vt:lpstr>
      <vt:lpstr>8	Incidences financières provisoires des décisions de la Conférence mondiale des</vt:lpstr>
      <vt:lpstr>9	Conclusions</vt:lpstr>
    </vt:vector>
  </TitlesOfParts>
  <Manager>General Secretariat - Pool</Manager>
  <Company>International Telecommunication Union (ITU)</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COMMISSION DE CONTRÔLE BUDGÉTAIRE</dc:title>
  <dc:subject>GROUPE CONSULTATIF DES RADIOCOMMUNICATIONS</dc:subject>
  <dc:creator>Directeur du BR</dc:creator>
  <cp:keywords>RAG03-1</cp:keywords>
  <dc:description>Document RAG/INFO/1-F  For: _x000d_Document date: 20 mars 2024_x000d_Saved by ITU51014352 at 12:40:53 on 21.03.2024</dc:description>
  <cp:lastModifiedBy>French</cp:lastModifiedBy>
  <cp:revision>4</cp:revision>
  <cp:lastPrinted>1999-10-11T14:58:00Z</cp:lastPrinted>
  <dcterms:created xsi:type="dcterms:W3CDTF">2024-03-21T10:55:00Z</dcterms:created>
  <dcterms:modified xsi:type="dcterms:W3CDTF">2024-03-21T11:40:00Z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RAG/INFO/1-F</vt:lpwstr>
  </property>
  <property fmtid="{D5CDD505-2E9C-101B-9397-08002B2CF9AE}" pid="3" name="Docdate">
    <vt:lpwstr>20 mars 2024</vt:lpwstr>
  </property>
  <property fmtid="{D5CDD505-2E9C-101B-9397-08002B2CF9AE}" pid="4" name="Docorlang">
    <vt:lpwstr>Original: anglais</vt:lpwstr>
  </property>
  <property fmtid="{D5CDD505-2E9C-101B-9397-08002B2CF9AE}" pid="5" name="Docauthor">
    <vt:lpwstr>Directeur du BR</vt:lpwstr>
  </property>
</Properties>
</file>