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64C23AE7" w14:textId="77777777" w:rsidTr="0057336B">
        <w:trPr>
          <w:cantSplit/>
        </w:trPr>
        <w:tc>
          <w:tcPr>
            <w:tcW w:w="6775" w:type="dxa"/>
            <w:vAlign w:val="center"/>
          </w:tcPr>
          <w:p w14:paraId="5DFA815C"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4" w:type="dxa"/>
            <w:vAlign w:val="center"/>
          </w:tcPr>
          <w:p w14:paraId="6E419371" w14:textId="77777777" w:rsidR="0057336B" w:rsidRDefault="00AB4BAD" w:rsidP="00A7663C">
            <w:pPr>
              <w:shd w:val="solid" w:color="FFFFFF" w:fill="FFFFFF"/>
              <w:spacing w:before="0"/>
            </w:pPr>
            <w:r w:rsidRPr="00C126C1">
              <w:rPr>
                <w:noProof/>
                <w:lang w:val="en-US" w:eastAsia="zh-CN"/>
              </w:rPr>
              <w:drawing>
                <wp:inline distT="0" distB="0" distL="0" distR="0" wp14:anchorId="322512CE" wp14:editId="534F442C">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6DAD2CA4" w14:textId="77777777" w:rsidTr="008F0106">
        <w:trPr>
          <w:cantSplit/>
        </w:trPr>
        <w:tc>
          <w:tcPr>
            <w:tcW w:w="6771" w:type="dxa"/>
            <w:tcBorders>
              <w:bottom w:val="single" w:sz="12" w:space="0" w:color="auto"/>
            </w:tcBorders>
          </w:tcPr>
          <w:p w14:paraId="0A5A9CA4"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5138088F"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18DDD208" w14:textId="77777777" w:rsidTr="008F0106">
        <w:trPr>
          <w:cantSplit/>
        </w:trPr>
        <w:tc>
          <w:tcPr>
            <w:tcW w:w="6771" w:type="dxa"/>
            <w:tcBorders>
              <w:top w:val="single" w:sz="12" w:space="0" w:color="auto"/>
            </w:tcBorders>
          </w:tcPr>
          <w:p w14:paraId="27966F7D"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513FD511"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331B4C7C" w14:textId="77777777" w:rsidTr="008F0106">
        <w:trPr>
          <w:cantSplit/>
        </w:trPr>
        <w:tc>
          <w:tcPr>
            <w:tcW w:w="6771" w:type="dxa"/>
            <w:vMerge w:val="restart"/>
          </w:tcPr>
          <w:p w14:paraId="10CF431E" w14:textId="77777777" w:rsidR="006E291F" w:rsidRDefault="006E291F" w:rsidP="00CB7A43">
            <w:pPr>
              <w:shd w:val="solid" w:color="FFFFFF" w:fill="FFFFFF"/>
              <w:spacing w:after="240"/>
              <w:rPr>
                <w:sz w:val="20"/>
              </w:rPr>
            </w:pPr>
            <w:bookmarkStart w:id="0" w:name="dnum" w:colFirst="1" w:colLast="1"/>
          </w:p>
        </w:tc>
        <w:tc>
          <w:tcPr>
            <w:tcW w:w="3118" w:type="dxa"/>
          </w:tcPr>
          <w:p w14:paraId="7A4E90F0" w14:textId="5EBEFF32" w:rsidR="006E291F" w:rsidRPr="00BE5E72" w:rsidRDefault="00BE5E72" w:rsidP="00BE5E72">
            <w:pPr>
              <w:shd w:val="solid" w:color="FFFFFF" w:fill="FFFFFF"/>
              <w:spacing w:before="0" w:line="240" w:lineRule="atLeast"/>
              <w:rPr>
                <w:rFonts w:ascii="Verdana" w:hAnsi="Verdana"/>
                <w:sz w:val="20"/>
              </w:rPr>
            </w:pPr>
            <w:r>
              <w:rPr>
                <w:rFonts w:ascii="Verdana" w:hAnsi="Verdana"/>
                <w:b/>
                <w:sz w:val="20"/>
              </w:rPr>
              <w:t>Documento RAG/78-S</w:t>
            </w:r>
          </w:p>
        </w:tc>
      </w:tr>
      <w:tr w:rsidR="006E291F" w:rsidRPr="002A127E" w14:paraId="7B73783B" w14:textId="77777777" w:rsidTr="008F0106">
        <w:trPr>
          <w:cantSplit/>
        </w:trPr>
        <w:tc>
          <w:tcPr>
            <w:tcW w:w="6771" w:type="dxa"/>
            <w:vMerge/>
          </w:tcPr>
          <w:p w14:paraId="39521048" w14:textId="77777777" w:rsidR="006E291F" w:rsidRDefault="006E291F" w:rsidP="00CB7A43">
            <w:pPr>
              <w:spacing w:before="60"/>
              <w:jc w:val="center"/>
              <w:rPr>
                <w:b/>
                <w:smallCaps/>
                <w:sz w:val="32"/>
              </w:rPr>
            </w:pPr>
            <w:bookmarkStart w:id="1" w:name="ddate" w:colFirst="1" w:colLast="1"/>
            <w:bookmarkEnd w:id="0"/>
          </w:p>
        </w:tc>
        <w:tc>
          <w:tcPr>
            <w:tcW w:w="3118" w:type="dxa"/>
          </w:tcPr>
          <w:p w14:paraId="1C476ED4" w14:textId="6050F798" w:rsidR="006E291F" w:rsidRPr="00BE5E72" w:rsidRDefault="00BE5E72" w:rsidP="00BE5E72">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145B8E6C" w14:textId="77777777" w:rsidTr="008F0106">
        <w:trPr>
          <w:cantSplit/>
        </w:trPr>
        <w:tc>
          <w:tcPr>
            <w:tcW w:w="6771" w:type="dxa"/>
            <w:vMerge/>
          </w:tcPr>
          <w:p w14:paraId="17D858A3" w14:textId="77777777" w:rsidR="006E291F" w:rsidRDefault="006E291F" w:rsidP="00CB7A43">
            <w:pPr>
              <w:spacing w:before="60"/>
              <w:jc w:val="center"/>
              <w:rPr>
                <w:b/>
                <w:smallCaps/>
                <w:sz w:val="32"/>
              </w:rPr>
            </w:pPr>
            <w:bookmarkStart w:id="2" w:name="dorlang" w:colFirst="1" w:colLast="1"/>
            <w:bookmarkEnd w:id="1"/>
          </w:p>
        </w:tc>
        <w:tc>
          <w:tcPr>
            <w:tcW w:w="3118" w:type="dxa"/>
          </w:tcPr>
          <w:p w14:paraId="61CD1997" w14:textId="1D375CE2" w:rsidR="006E291F" w:rsidRPr="00BE5E72" w:rsidRDefault="00BE5E72" w:rsidP="00BE5E72">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47EFC17D" w14:textId="77777777" w:rsidTr="008F0106">
        <w:trPr>
          <w:cantSplit/>
        </w:trPr>
        <w:tc>
          <w:tcPr>
            <w:tcW w:w="9889" w:type="dxa"/>
            <w:gridSpan w:val="2"/>
          </w:tcPr>
          <w:p w14:paraId="1773938A" w14:textId="77B89BC1" w:rsidR="006E291F" w:rsidRDefault="00BE5E72" w:rsidP="00CB7A43">
            <w:pPr>
              <w:pStyle w:val="Source"/>
            </w:pPr>
            <w:bookmarkStart w:id="3" w:name="dsource" w:colFirst="0" w:colLast="0"/>
            <w:bookmarkEnd w:id="2"/>
            <w:r w:rsidRPr="0095725F">
              <w:rPr>
                <w:lang w:val="es-ES"/>
              </w:rPr>
              <w:t>Alemania (República Federal de), Austria, Bélgica, Bulgaria (República de), Chipre (República de), Croacia (República de), Dinamarca, España,</w:t>
            </w:r>
            <w:r>
              <w:rPr>
                <w:lang w:val="es-ES"/>
              </w:rPr>
              <w:br/>
            </w:r>
            <w:r w:rsidRPr="0095725F">
              <w:rPr>
                <w:lang w:val="es-ES"/>
              </w:rPr>
              <w:t>Estonia (República de), Finlandia, Francia, Grecia, Irlanda,</w:t>
            </w:r>
            <w:r w:rsidR="00C44057">
              <w:rPr>
                <w:lang w:val="es-ES"/>
              </w:rPr>
              <w:t xml:space="preserve"> </w:t>
            </w:r>
            <w:r w:rsidRPr="0095725F">
              <w:rPr>
                <w:lang w:val="es-ES"/>
              </w:rPr>
              <w:t>Islandia,</w:t>
            </w:r>
            <w:r w:rsidR="00C44057">
              <w:rPr>
                <w:lang w:val="es-ES"/>
              </w:rPr>
              <w:br/>
            </w:r>
            <w:r w:rsidRPr="0095725F">
              <w:rPr>
                <w:lang w:val="es-ES"/>
              </w:rPr>
              <w:t>Italia, Letonia (República de),</w:t>
            </w:r>
            <w:r w:rsidR="00C44057">
              <w:rPr>
                <w:lang w:val="es-ES"/>
              </w:rPr>
              <w:t xml:space="preserve"> Lituania </w:t>
            </w:r>
            <w:r w:rsidRPr="0095725F">
              <w:rPr>
                <w:lang w:val="es-ES"/>
              </w:rPr>
              <w:t xml:space="preserve">(República </w:t>
            </w:r>
            <w:r>
              <w:rPr>
                <w:lang w:val="es-ES"/>
              </w:rPr>
              <w:t>de</w:t>
            </w:r>
            <w:r w:rsidRPr="0095725F">
              <w:rPr>
                <w:lang w:val="es-ES"/>
              </w:rPr>
              <w:t>),</w:t>
            </w:r>
            <w:r w:rsidR="00C44057">
              <w:rPr>
                <w:lang w:val="es-ES"/>
              </w:rPr>
              <w:br/>
            </w:r>
            <w:r w:rsidRPr="0095725F">
              <w:rPr>
                <w:lang w:val="es-ES"/>
              </w:rPr>
              <w:t>Luxemburg</w:t>
            </w:r>
            <w:r>
              <w:rPr>
                <w:lang w:val="es-ES"/>
              </w:rPr>
              <w:t>o</w:t>
            </w:r>
            <w:r w:rsidRPr="0095725F">
              <w:rPr>
                <w:lang w:val="es-ES"/>
              </w:rPr>
              <w:t>,</w:t>
            </w:r>
            <w:r w:rsidR="00C44057">
              <w:rPr>
                <w:lang w:val="es-ES"/>
              </w:rPr>
              <w:t xml:space="preserve"> </w:t>
            </w:r>
            <w:r w:rsidRPr="0095725F">
              <w:rPr>
                <w:lang w:val="es-ES"/>
              </w:rPr>
              <w:t>Malta, Moldova (Rep</w:t>
            </w:r>
            <w:r>
              <w:rPr>
                <w:lang w:val="es-ES"/>
              </w:rPr>
              <w:t>ública de</w:t>
            </w:r>
            <w:r w:rsidRPr="0095725F">
              <w:rPr>
                <w:lang w:val="es-ES"/>
              </w:rPr>
              <w:t>),</w:t>
            </w:r>
            <w:r w:rsidR="00C44057">
              <w:rPr>
                <w:lang w:val="es-ES"/>
              </w:rPr>
              <w:t xml:space="preserve"> </w:t>
            </w:r>
            <w:r w:rsidRPr="0095725F">
              <w:rPr>
                <w:lang w:val="es-ES"/>
              </w:rPr>
              <w:t>Nor</w:t>
            </w:r>
            <w:r>
              <w:rPr>
                <w:lang w:val="es-ES"/>
              </w:rPr>
              <w:t>uega</w:t>
            </w:r>
            <w:r w:rsidRPr="0095725F">
              <w:rPr>
                <w:lang w:val="es-ES"/>
              </w:rPr>
              <w:t>,</w:t>
            </w:r>
            <w:r w:rsidR="00C44057">
              <w:rPr>
                <w:lang w:val="es-ES"/>
              </w:rPr>
              <w:br/>
            </w:r>
            <w:r>
              <w:rPr>
                <w:lang w:val="es-ES"/>
              </w:rPr>
              <w:t>Países Bajos (Reino de los</w:t>
            </w:r>
            <w:r w:rsidRPr="0095725F">
              <w:rPr>
                <w:lang w:val="es-ES"/>
              </w:rPr>
              <w:t>),</w:t>
            </w:r>
            <w:r w:rsidR="00C44057">
              <w:rPr>
                <w:lang w:val="es-ES"/>
              </w:rPr>
              <w:t xml:space="preserve"> </w:t>
            </w:r>
            <w:r w:rsidRPr="0095725F">
              <w:rPr>
                <w:lang w:val="es-ES"/>
              </w:rPr>
              <w:t>Pol</w:t>
            </w:r>
            <w:r>
              <w:rPr>
                <w:lang w:val="es-ES"/>
              </w:rPr>
              <w:t>onia (República de</w:t>
            </w:r>
            <w:r w:rsidRPr="0095725F">
              <w:rPr>
                <w:lang w:val="es-ES"/>
              </w:rPr>
              <w:t xml:space="preserve">), </w:t>
            </w:r>
            <w:r w:rsidR="00C44057">
              <w:rPr>
                <w:lang w:val="es-ES"/>
              </w:rPr>
              <w:br/>
            </w:r>
            <w:r w:rsidRPr="0095725F">
              <w:rPr>
                <w:lang w:val="es-ES"/>
              </w:rPr>
              <w:t>Portugal,</w:t>
            </w:r>
            <w:r w:rsidR="00C44057">
              <w:rPr>
                <w:lang w:val="es-ES"/>
              </w:rPr>
              <w:t xml:space="preserve"> </w:t>
            </w:r>
            <w:r w:rsidRPr="0095725F">
              <w:rPr>
                <w:lang w:val="es-ES"/>
              </w:rPr>
              <w:t>R</w:t>
            </w:r>
            <w:r>
              <w:rPr>
                <w:lang w:val="es-ES"/>
              </w:rPr>
              <w:t>u</w:t>
            </w:r>
            <w:r w:rsidRPr="0095725F">
              <w:rPr>
                <w:lang w:val="es-ES"/>
              </w:rPr>
              <w:t xml:space="preserve">mania, </w:t>
            </w:r>
            <w:r>
              <w:rPr>
                <w:lang w:val="es-ES"/>
              </w:rPr>
              <w:t>República Eslovaca</w:t>
            </w:r>
            <w:r w:rsidRPr="0095725F">
              <w:rPr>
                <w:lang w:val="es-ES"/>
              </w:rPr>
              <w:t>,</w:t>
            </w:r>
            <w:r>
              <w:rPr>
                <w:lang w:val="es-ES"/>
              </w:rPr>
              <w:br/>
              <w:t>República Checa</w:t>
            </w:r>
            <w:r w:rsidRPr="0095725F">
              <w:rPr>
                <w:lang w:val="es-ES"/>
              </w:rPr>
              <w:t xml:space="preserve">, </w:t>
            </w:r>
            <w:r>
              <w:rPr>
                <w:lang w:val="es-ES"/>
              </w:rPr>
              <w:t>Es</w:t>
            </w:r>
            <w:r w:rsidRPr="0095725F">
              <w:rPr>
                <w:lang w:val="es-ES"/>
              </w:rPr>
              <w:t>lovenia (Rep</w:t>
            </w:r>
            <w:r>
              <w:rPr>
                <w:lang w:val="es-ES"/>
              </w:rPr>
              <w:t>ública de),</w:t>
            </w:r>
            <w:r>
              <w:rPr>
                <w:lang w:val="es-ES"/>
              </w:rPr>
              <w:br/>
              <w:t>Suiza (Confederación</w:t>
            </w:r>
            <w:r w:rsidRPr="0095725F">
              <w:rPr>
                <w:lang w:val="es-ES"/>
              </w:rPr>
              <w:t>), S</w:t>
            </w:r>
            <w:r>
              <w:rPr>
                <w:lang w:val="es-ES"/>
              </w:rPr>
              <w:t>uecia y Ucrania</w:t>
            </w:r>
          </w:p>
        </w:tc>
      </w:tr>
      <w:tr w:rsidR="006E291F" w14:paraId="2476EFBF" w14:textId="77777777" w:rsidTr="008F0106">
        <w:trPr>
          <w:cantSplit/>
        </w:trPr>
        <w:tc>
          <w:tcPr>
            <w:tcW w:w="9889" w:type="dxa"/>
            <w:gridSpan w:val="2"/>
          </w:tcPr>
          <w:p w14:paraId="53DEC6A1" w14:textId="293660A6" w:rsidR="006E291F" w:rsidRDefault="00BE5E72" w:rsidP="00CB7A43">
            <w:pPr>
              <w:pStyle w:val="Title1"/>
            </w:pPr>
            <w:bookmarkStart w:id="4" w:name="dtitle1" w:colFirst="0" w:colLast="0"/>
            <w:bookmarkEnd w:id="3"/>
            <w:r w:rsidRPr="0095725F">
              <w:rPr>
                <w:lang w:val="es-ES"/>
              </w:rPr>
              <w:t>inteferencia perjudicial causada a</w:t>
            </w:r>
            <w:r>
              <w:rPr>
                <w:lang w:val="es-ES"/>
              </w:rPr>
              <w:br/>
            </w:r>
            <w:r w:rsidRPr="0095725F">
              <w:rPr>
                <w:lang w:val="es-ES"/>
              </w:rPr>
              <w:t>redes de satélites</w:t>
            </w:r>
            <w:r>
              <w:rPr>
                <w:lang w:val="es-ES"/>
              </w:rPr>
              <w:t xml:space="preserve"> </w:t>
            </w:r>
            <w:r w:rsidRPr="0095725F">
              <w:rPr>
                <w:lang w:val="es-ES"/>
              </w:rPr>
              <w:t>y del srn</w:t>
            </w:r>
            <w:r>
              <w:rPr>
                <w:lang w:val="es-ES"/>
              </w:rPr>
              <w:t>s</w:t>
            </w:r>
          </w:p>
        </w:tc>
      </w:tr>
    </w:tbl>
    <w:bookmarkEnd w:id="4"/>
    <w:p w14:paraId="08F34673" w14:textId="77777777" w:rsidR="00BE5E72" w:rsidRPr="003D0BB3" w:rsidRDefault="00BE5E72" w:rsidP="00BE5E72">
      <w:pPr>
        <w:pStyle w:val="Headingb"/>
        <w:rPr>
          <w:lang w:val="es-ES"/>
        </w:rPr>
      </w:pPr>
      <w:r w:rsidRPr="003D0BB3">
        <w:rPr>
          <w:lang w:val="es-ES"/>
        </w:rPr>
        <w:t>Introducción</w:t>
      </w:r>
    </w:p>
    <w:p w14:paraId="77E26724" w14:textId="77777777" w:rsidR="00BE5E72" w:rsidRPr="0095725F" w:rsidRDefault="00BE5E72" w:rsidP="00BE5E72">
      <w:pPr>
        <w:rPr>
          <w:rFonts w:eastAsia="Aptos"/>
          <w:lang w:val="es-ES"/>
        </w:rPr>
      </w:pPr>
      <w:r w:rsidRPr="0095725F">
        <w:rPr>
          <w:rFonts w:eastAsia="Aptos"/>
          <w:lang w:val="es-ES"/>
        </w:rPr>
        <w:t>La creciente incidencia de interferencias voluntarias y continuas causadas al servicio de radionavegación por satélite (SRNS), incluidas interferencias deliberadas y suplantación de identidad, así como de interferencias causa</w:t>
      </w:r>
      <w:r>
        <w:rPr>
          <w:rFonts w:eastAsia="Aptos"/>
          <w:lang w:val="es-ES"/>
        </w:rPr>
        <w:t>d</w:t>
      </w:r>
      <w:r w:rsidRPr="0095725F">
        <w:rPr>
          <w:rFonts w:eastAsia="Aptos"/>
          <w:lang w:val="es-ES"/>
        </w:rPr>
        <w:t>as a redes de satélites, plantea serios riesgos para la seguridad, la estabilidad económica y la seguridad nacional de varias</w:t>
      </w:r>
      <w:r>
        <w:rPr>
          <w:rFonts w:eastAsia="Aptos"/>
          <w:lang w:val="es-ES"/>
        </w:rPr>
        <w:t xml:space="preserve"> regionales, haciendo de ello un problema de gestión del espectro de carácter internacional</w:t>
      </w:r>
      <w:r w:rsidRPr="0095725F">
        <w:rPr>
          <w:rFonts w:eastAsia="Aptos"/>
          <w:lang w:val="es-ES"/>
        </w:rPr>
        <w:t>.</w:t>
      </w:r>
    </w:p>
    <w:p w14:paraId="439BC737" w14:textId="185D83D6" w:rsidR="00BE5E72" w:rsidRPr="00BC5E7E" w:rsidRDefault="00BE5E72" w:rsidP="00BE5E72">
      <w:pPr>
        <w:rPr>
          <w:rFonts w:eastAsia="Aptos"/>
          <w:lang w:val="es-ES"/>
        </w:rPr>
      </w:pPr>
      <w:r w:rsidRPr="0095725F">
        <w:rPr>
          <w:rFonts w:eastAsia="Aptos"/>
          <w:lang w:val="es-ES"/>
        </w:rPr>
        <w:t>A pesar de la atención prestada a la interferencia causada al SRNS por la CMR-19 y la CMR</w:t>
      </w:r>
      <w:r w:rsidR="003D5338">
        <w:rPr>
          <w:rFonts w:eastAsia="Aptos"/>
          <w:lang w:val="es-ES"/>
        </w:rPr>
        <w:noBreakHyphen/>
      </w:r>
      <w:r w:rsidRPr="0095725F">
        <w:rPr>
          <w:rFonts w:eastAsia="Aptos"/>
          <w:lang w:val="es-ES"/>
        </w:rPr>
        <w:t xml:space="preserve">23, </w:t>
      </w:r>
      <w:r>
        <w:rPr>
          <w:rFonts w:eastAsia="Aptos"/>
          <w:lang w:val="es-ES"/>
        </w:rPr>
        <w:t>como se refleja en las Resoluciones</w:t>
      </w:r>
      <w:r w:rsidRPr="0095725F">
        <w:rPr>
          <w:rFonts w:eastAsia="Aptos"/>
          <w:lang w:val="es-ES"/>
        </w:rPr>
        <w:t xml:space="preserve"> 774 (C</w:t>
      </w:r>
      <w:r>
        <w:rPr>
          <w:rFonts w:eastAsia="Aptos"/>
          <w:lang w:val="es-ES"/>
        </w:rPr>
        <w:t>MR</w:t>
      </w:r>
      <w:r w:rsidRPr="0095725F">
        <w:rPr>
          <w:rFonts w:eastAsia="Aptos"/>
          <w:lang w:val="es-ES"/>
        </w:rPr>
        <w:t xml:space="preserve">-19) </w:t>
      </w:r>
      <w:r>
        <w:rPr>
          <w:rFonts w:eastAsia="Aptos"/>
          <w:lang w:val="es-ES"/>
        </w:rPr>
        <w:t>y</w:t>
      </w:r>
      <w:r w:rsidRPr="0095725F">
        <w:rPr>
          <w:rFonts w:eastAsia="Aptos"/>
          <w:lang w:val="es-ES"/>
        </w:rPr>
        <w:t xml:space="preserve"> 676 (C</w:t>
      </w:r>
      <w:r>
        <w:rPr>
          <w:rFonts w:eastAsia="Aptos"/>
          <w:lang w:val="es-ES"/>
        </w:rPr>
        <w:t>MR</w:t>
      </w:r>
      <w:r w:rsidRPr="0095725F">
        <w:rPr>
          <w:rFonts w:eastAsia="Aptos"/>
          <w:lang w:val="es-ES"/>
        </w:rPr>
        <w:t xml:space="preserve">-23), </w:t>
      </w:r>
      <w:r>
        <w:rPr>
          <w:rFonts w:eastAsia="Aptos"/>
          <w:lang w:val="es-ES"/>
        </w:rPr>
        <w:t xml:space="preserve">se ha seguido constatando un número importante de casos de interferencia perjudicial causada a los receptores del SRNS. </w:t>
      </w:r>
      <w:r w:rsidRPr="00BC5E7E">
        <w:rPr>
          <w:rFonts w:eastAsia="Aptos"/>
          <w:lang w:val="es-ES"/>
        </w:rPr>
        <w:t xml:space="preserve">Tales interferencias han causado graves perturbaciones </w:t>
      </w:r>
      <w:r>
        <w:rPr>
          <w:rFonts w:eastAsia="Aptos"/>
          <w:lang w:val="es-ES"/>
        </w:rPr>
        <w:t>en</w:t>
      </w:r>
      <w:r w:rsidRPr="00BC5E7E">
        <w:rPr>
          <w:rFonts w:eastAsia="Aptos"/>
          <w:lang w:val="es-ES"/>
        </w:rPr>
        <w:t xml:space="preserve"> la aviaci</w:t>
      </w:r>
      <w:r>
        <w:rPr>
          <w:rFonts w:eastAsia="Aptos"/>
          <w:lang w:val="es-ES"/>
        </w:rPr>
        <w:t>ón civil, el transporte marítimo y otros servicios y en las actividades cotidianas contraviniendo lo dispuesto en la Resolución</w:t>
      </w:r>
      <w:r w:rsidR="003D5338">
        <w:rPr>
          <w:rFonts w:eastAsia="Aptos"/>
          <w:lang w:val="es-ES"/>
        </w:rPr>
        <w:t> </w:t>
      </w:r>
      <w:r w:rsidRPr="00BC5E7E">
        <w:rPr>
          <w:rFonts w:eastAsia="Aptos"/>
          <w:lang w:val="es-ES"/>
        </w:rPr>
        <w:t>676 (CM</w:t>
      </w:r>
      <w:r>
        <w:rPr>
          <w:rFonts w:eastAsia="Aptos"/>
          <w:lang w:val="es-ES"/>
        </w:rPr>
        <w:t>R</w:t>
      </w:r>
      <w:r w:rsidR="003D5338">
        <w:rPr>
          <w:rFonts w:eastAsia="Aptos"/>
          <w:lang w:val="es-ES"/>
        </w:rPr>
        <w:noBreakHyphen/>
      </w:r>
      <w:r w:rsidRPr="00BC5E7E">
        <w:rPr>
          <w:rFonts w:eastAsia="Aptos"/>
          <w:lang w:val="es-ES"/>
        </w:rPr>
        <w:t xml:space="preserve">23), </w:t>
      </w:r>
      <w:r>
        <w:rPr>
          <w:rFonts w:eastAsia="Aptos"/>
          <w:lang w:val="es-ES"/>
        </w:rPr>
        <w:t>los Artículos</w:t>
      </w:r>
      <w:r w:rsidRPr="00BC5E7E">
        <w:rPr>
          <w:rFonts w:eastAsia="Aptos"/>
          <w:lang w:val="es-ES"/>
        </w:rPr>
        <w:t xml:space="preserve"> 45, 47 </w:t>
      </w:r>
      <w:r>
        <w:rPr>
          <w:rFonts w:eastAsia="Aptos"/>
          <w:lang w:val="es-ES"/>
        </w:rPr>
        <w:t>y</w:t>
      </w:r>
      <w:r w:rsidRPr="00BC5E7E">
        <w:rPr>
          <w:rFonts w:eastAsia="Aptos"/>
          <w:lang w:val="es-ES"/>
        </w:rPr>
        <w:t xml:space="preserve"> 48 </w:t>
      </w:r>
      <w:r>
        <w:rPr>
          <w:rFonts w:eastAsia="Aptos"/>
          <w:lang w:val="es-ES"/>
        </w:rPr>
        <w:t>de la Constitución de la UIT y la Resolución</w:t>
      </w:r>
      <w:r w:rsidR="003D5338">
        <w:rPr>
          <w:rFonts w:eastAsia="Aptos"/>
          <w:lang w:val="es-ES"/>
        </w:rPr>
        <w:t> </w:t>
      </w:r>
      <w:r w:rsidRPr="00BC5E7E">
        <w:rPr>
          <w:rFonts w:eastAsia="Aptos"/>
          <w:lang w:val="es-ES"/>
        </w:rPr>
        <w:t>216 (PP</w:t>
      </w:r>
      <w:r w:rsidR="003D5338">
        <w:rPr>
          <w:rFonts w:eastAsia="Aptos"/>
          <w:lang w:val="es-ES"/>
        </w:rPr>
        <w:noBreakHyphen/>
      </w:r>
      <w:r w:rsidRPr="00BC5E7E">
        <w:rPr>
          <w:rFonts w:eastAsia="Aptos"/>
          <w:lang w:val="es-ES"/>
        </w:rPr>
        <w:t>22). El 25</w:t>
      </w:r>
      <w:r w:rsidR="003D5338">
        <w:rPr>
          <w:rFonts w:eastAsia="Aptos"/>
          <w:lang w:val="es-ES"/>
        </w:rPr>
        <w:t> </w:t>
      </w:r>
      <w:r w:rsidRPr="00BC5E7E">
        <w:rPr>
          <w:rFonts w:eastAsia="Aptos"/>
          <w:lang w:val="es-ES"/>
        </w:rPr>
        <w:t xml:space="preserve">de marzo de 2025 la Unión Internacional de Telecomunicaciones (UIT), la Organización de la Aviación Civil Internacional (OACI) y </w:t>
      </w:r>
      <w:r>
        <w:rPr>
          <w:rFonts w:eastAsia="Aptos"/>
          <w:lang w:val="es-ES"/>
        </w:rPr>
        <w:t xml:space="preserve">la Organización </w:t>
      </w:r>
      <w:r w:rsidRPr="00BC5E7E">
        <w:rPr>
          <w:rFonts w:eastAsia="Aptos"/>
          <w:lang w:val="es-ES"/>
        </w:rPr>
        <w:t>Marítima Internacion</w:t>
      </w:r>
      <w:r>
        <w:rPr>
          <w:rFonts w:eastAsia="Aptos"/>
          <w:lang w:val="es-ES"/>
        </w:rPr>
        <w:t>al (OMI)</w:t>
      </w:r>
      <w:r w:rsidRPr="00BC5E7E">
        <w:rPr>
          <w:rFonts w:eastAsia="Aptos"/>
          <w:lang w:val="es-ES"/>
        </w:rPr>
        <w:t xml:space="preserve"> emiti</w:t>
      </w:r>
      <w:r>
        <w:rPr>
          <w:rFonts w:eastAsia="Aptos"/>
          <w:lang w:val="es-ES"/>
        </w:rPr>
        <w:t xml:space="preserve">eron </w:t>
      </w:r>
      <w:r w:rsidRPr="00BC5E7E">
        <w:rPr>
          <w:rFonts w:eastAsia="Aptos"/>
          <w:lang w:val="es-ES"/>
        </w:rPr>
        <w:t>una declaración conjunta</w:t>
      </w:r>
      <w:r>
        <w:rPr>
          <w:rFonts w:eastAsia="Aptos"/>
          <w:lang w:val="es-ES"/>
        </w:rPr>
        <w:t xml:space="preserve"> en la que se aborda el aumento de los incidentes de interferencia perjudicial subrayando los riesgos que tal interferencia supone para los servicios de telecomunicaciones aeronáuticas y marítimas y otros servicios de telecomunicaciones por satélite</w:t>
      </w:r>
      <w:r w:rsidRPr="00BC5E7E">
        <w:rPr>
          <w:rFonts w:eastAsia="Aptos"/>
          <w:lang w:val="es-ES"/>
        </w:rPr>
        <w:t>.</w:t>
      </w:r>
    </w:p>
    <w:p w14:paraId="4A365BA0" w14:textId="44D0E6F4" w:rsidR="00BE5E72" w:rsidRPr="005703BE" w:rsidRDefault="00BE5E72" w:rsidP="00BE5E72">
      <w:pPr>
        <w:rPr>
          <w:rFonts w:eastAsia="Aptos"/>
          <w:lang w:val="es-ES"/>
        </w:rPr>
      </w:pPr>
      <w:r w:rsidRPr="00BC5E7E">
        <w:rPr>
          <w:rFonts w:eastAsia="Aptos"/>
          <w:lang w:val="es-ES"/>
        </w:rPr>
        <w:t>A lo largo de los últimos años la Junta del Reglamento de Radiocomunicaciones (RRB) h</w:t>
      </w:r>
      <w:r>
        <w:rPr>
          <w:rFonts w:eastAsia="Aptos"/>
          <w:lang w:val="es-ES"/>
        </w:rPr>
        <w:t xml:space="preserve">a examinado numerosos informes de interferencia perjudicial causada a los receptores del SRNS y a las redes de satélites, presentados por diversas administraciones en sus comunicaciones. </w:t>
      </w:r>
      <w:r w:rsidRPr="005703BE">
        <w:rPr>
          <w:rFonts w:eastAsia="Aptos"/>
          <w:lang w:val="es-ES"/>
        </w:rPr>
        <w:t>La RRB reiteró la obligación que incumbe a las administraciones de cesar inmediatamente toda fuente de interferencia perjudicial para la seguridad del servicio SRNS y de cooperar urgentemente para resolver los casos de interferencia perjudicial, insistiendo en que un conflicto militar entre do</w:t>
      </w:r>
      <w:r>
        <w:rPr>
          <w:rFonts w:eastAsia="Aptos"/>
          <w:lang w:val="es-ES"/>
        </w:rPr>
        <w:t xml:space="preserve">s países no puede justificar el incumplimiento de las obligaciones de la UIT ni cualquier acción </w:t>
      </w:r>
      <w:r>
        <w:rPr>
          <w:rFonts w:eastAsia="Aptos"/>
          <w:lang w:val="es-ES"/>
        </w:rPr>
        <w:lastRenderedPageBreak/>
        <w:t>ponga en peligro las infraestructuras esenciales y la vidas de la población de otras administraciones no implicadas en el conflicto</w:t>
      </w:r>
      <w:r>
        <w:rPr>
          <w:rStyle w:val="FootnoteReference"/>
          <w:rFonts w:eastAsia="Aptos"/>
          <w:kern w:val="2"/>
          <w:szCs w:val="24"/>
          <w14:ligatures w14:val="standardContextual"/>
        </w:rPr>
        <w:footnoteReference w:id="1"/>
      </w:r>
      <w:r w:rsidRPr="005703BE">
        <w:rPr>
          <w:rFonts w:eastAsia="Aptos"/>
          <w:lang w:val="es-ES"/>
        </w:rPr>
        <w:t>.</w:t>
      </w:r>
    </w:p>
    <w:p w14:paraId="2265F061" w14:textId="77777777" w:rsidR="00BE5E72" w:rsidRPr="005703BE" w:rsidRDefault="00BE5E72" w:rsidP="00BE5E72">
      <w:pPr>
        <w:rPr>
          <w:rFonts w:eastAsia="Aptos"/>
          <w:lang w:val="es-ES"/>
        </w:rPr>
      </w:pPr>
      <w:r w:rsidRPr="005703BE">
        <w:rPr>
          <w:rFonts w:eastAsia="Aptos"/>
          <w:lang w:val="es-ES"/>
        </w:rPr>
        <w:t xml:space="preserve">Aunque la Oficina de Radiocomunicaciones y la Junta del Reglamento de Radiocomunicaciones han considerado este asunto en repetidas ocasiones, han identificado a las administraciones responsables de la interferencia perjudicial y han pedido su cese inmediato, la persistencia de la interferencia causada al SRNS y a los </w:t>
      </w:r>
      <w:r w:rsidRPr="003D5338">
        <w:rPr>
          <w:lang w:val="es-ES"/>
        </w:rPr>
        <w:t>servicios por satélite demuestra que este asunto exige la adopción de medidas firmes y urgentes por la UIT para garantizar el cumplimiento de sus normas y poner fin al perjuicio causado a los Estados</w:t>
      </w:r>
      <w:r>
        <w:rPr>
          <w:rFonts w:eastAsia="Aptos"/>
          <w:lang w:val="es-ES"/>
        </w:rPr>
        <w:t xml:space="preserve"> Miembros de la UIT</w:t>
      </w:r>
      <w:r w:rsidRPr="005703BE">
        <w:rPr>
          <w:rFonts w:eastAsia="Aptos"/>
          <w:lang w:val="es-ES"/>
        </w:rPr>
        <w:t>.</w:t>
      </w:r>
    </w:p>
    <w:p w14:paraId="54E9263C" w14:textId="77777777" w:rsidR="00BE5E72" w:rsidRPr="003D0BB3" w:rsidRDefault="00BE5E72" w:rsidP="00BE5E72">
      <w:pPr>
        <w:pStyle w:val="Headingb"/>
        <w:rPr>
          <w:lang w:val="es-ES"/>
        </w:rPr>
      </w:pPr>
      <w:r w:rsidRPr="003D0BB3">
        <w:rPr>
          <w:lang w:val="es-ES"/>
        </w:rPr>
        <w:t>Propuesta</w:t>
      </w:r>
    </w:p>
    <w:p w14:paraId="0F6CB6B9" w14:textId="2E3F9BEA" w:rsidR="00BE5E72" w:rsidRPr="005703BE" w:rsidRDefault="00BE5E72" w:rsidP="00BE5E72">
      <w:pPr>
        <w:rPr>
          <w:lang w:val="es-ES"/>
        </w:rPr>
      </w:pPr>
      <w:r w:rsidRPr="005703BE">
        <w:rPr>
          <w:lang w:val="es-ES"/>
        </w:rPr>
        <w:t>Los países autores de esta contribución desean señalar a la atención del Grupo Asesor de Radiocomunicaciones (GAR) la inte</w:t>
      </w:r>
      <w:r>
        <w:rPr>
          <w:lang w:val="es-ES"/>
        </w:rPr>
        <w:t>r</w:t>
      </w:r>
      <w:r w:rsidRPr="005703BE">
        <w:rPr>
          <w:lang w:val="es-ES"/>
        </w:rPr>
        <w:t xml:space="preserve">ferencia deliberada y continua causada al SRNS y los servicios por satélite a pesar de los esfuerzos invertidos por los Estados Miembros y la </w:t>
      </w:r>
      <w:r>
        <w:rPr>
          <w:lang w:val="es-ES"/>
        </w:rPr>
        <w:t xml:space="preserve">Oficina de Radiocomunicaciones. </w:t>
      </w:r>
      <w:r w:rsidRPr="005703BE">
        <w:rPr>
          <w:lang w:val="es-ES"/>
        </w:rPr>
        <w:t>Esta interferencia sigue menoscabando el tráfico aéreo, el transporte marítimo y otros sectores y actividades, por ejemplo, la maquinaria agrícola que utiliza el posicionamiento por GNSS, las</w:t>
      </w:r>
      <w:r>
        <w:rPr>
          <w:lang w:val="es-ES"/>
        </w:rPr>
        <w:t xml:space="preserve"> redes móviles y las operaciones de los servicios de emergencia y seguridad pública.</w:t>
      </w:r>
    </w:p>
    <w:p w14:paraId="619527CF" w14:textId="594D36EC" w:rsidR="00F77D5F" w:rsidRDefault="00BE5E72" w:rsidP="00BE5E72">
      <w:pPr>
        <w:rPr>
          <w:lang w:val="es-ES"/>
        </w:rPr>
      </w:pPr>
      <w:r w:rsidRPr="005703BE">
        <w:rPr>
          <w:lang w:val="es-ES"/>
        </w:rPr>
        <w:t>Para resolver la interferencia causada al SRNS y los servicios por satélite, los países que presentan esta contribución solicitan al GAR que, de conformidad con su mandato, mantenga una estrecha coordinación con la Oficina de</w:t>
      </w:r>
      <w:r>
        <w:rPr>
          <w:lang w:val="es-ES"/>
        </w:rPr>
        <w:t xml:space="preserve"> Radiocomunicaciones</w:t>
      </w:r>
      <w:r w:rsidRPr="005703BE">
        <w:rPr>
          <w:lang w:val="es-ES"/>
        </w:rPr>
        <w:t xml:space="preserve"> (BR) </w:t>
      </w:r>
      <w:r>
        <w:rPr>
          <w:lang w:val="es-ES"/>
        </w:rPr>
        <w:t>y la Junta del Reglamento de Radiocomunicaciones</w:t>
      </w:r>
      <w:r w:rsidRPr="005703BE">
        <w:rPr>
          <w:lang w:val="es-ES"/>
        </w:rPr>
        <w:t xml:space="preserve"> (RRB)</w:t>
      </w:r>
      <w:r>
        <w:rPr>
          <w:lang w:val="es-ES"/>
        </w:rPr>
        <w:t xml:space="preserve"> y considere adecuadamente el problema que plantea esta interferencia perjudicial en sus reuniones. </w:t>
      </w:r>
      <w:r w:rsidRPr="005703BE">
        <w:rPr>
          <w:lang w:val="es-ES"/>
        </w:rPr>
        <w:t>También ha de considerarse este asunto en el contexto de la preparación de la CMR-27, pues es esencial para reforzar el marco reglamentario, aument</w:t>
      </w:r>
      <w:r>
        <w:rPr>
          <w:lang w:val="es-ES"/>
        </w:rPr>
        <w:t>ar la protección del servicio de radionavegación por satélite y fomentar la cooperación internacional para garantizar la continua disponibilidad, integridad y fiabilidad del SRNS y los satélites para todos los sectores</w:t>
      </w:r>
      <w:r>
        <w:rPr>
          <w:lang w:val="es-ES"/>
        </w:rPr>
        <w:t>.</w:t>
      </w:r>
    </w:p>
    <w:p w14:paraId="412A3945" w14:textId="77777777" w:rsidR="00BE5E72" w:rsidRPr="003D5338" w:rsidRDefault="00BE5E72" w:rsidP="00411C49">
      <w:pPr>
        <w:pStyle w:val="Reasons"/>
        <w:rPr>
          <w:lang w:val="es-ES"/>
        </w:rPr>
      </w:pPr>
    </w:p>
    <w:p w14:paraId="6EA16846" w14:textId="3FEF52DA" w:rsidR="00BE5E72" w:rsidRDefault="00BE5E72" w:rsidP="00BE5E72">
      <w:pPr>
        <w:jc w:val="center"/>
      </w:pPr>
      <w:r>
        <w:t>______________</w:t>
      </w:r>
    </w:p>
    <w:sectPr w:rsidR="00BE5E72" w:rsidSect="004D6C09">
      <w:headerReference w:type="default" r:id="rId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5A6A" w14:textId="77777777" w:rsidR="00BE5E72" w:rsidRDefault="00BE5E72">
      <w:r>
        <w:separator/>
      </w:r>
    </w:p>
  </w:endnote>
  <w:endnote w:type="continuationSeparator" w:id="0">
    <w:p w14:paraId="2CF1EB41" w14:textId="77777777" w:rsidR="00BE5E72" w:rsidRDefault="00BE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E586" w14:textId="77777777" w:rsidR="00BE5E72" w:rsidRDefault="00BE5E72">
      <w:r>
        <w:t>____________________</w:t>
      </w:r>
    </w:p>
  </w:footnote>
  <w:footnote w:type="continuationSeparator" w:id="0">
    <w:p w14:paraId="708E2C51" w14:textId="77777777" w:rsidR="00BE5E72" w:rsidRDefault="00BE5E72">
      <w:r>
        <w:continuationSeparator/>
      </w:r>
    </w:p>
  </w:footnote>
  <w:footnote w:id="1">
    <w:p w14:paraId="22BF3FED" w14:textId="50B0CAB1" w:rsidR="00BE5E72" w:rsidRPr="00CF5835" w:rsidRDefault="00BE5E72" w:rsidP="00BE5E72">
      <w:pPr>
        <w:pStyle w:val="FootnoteText"/>
        <w:rPr>
          <w:sz w:val="20"/>
          <w:lang w:val="lt-LT"/>
        </w:rPr>
      </w:pPr>
      <w:r w:rsidRPr="00CF5835">
        <w:rPr>
          <w:rStyle w:val="FootnoteReference"/>
          <w:sz w:val="20"/>
        </w:rPr>
        <w:footnoteRef/>
      </w:r>
      <w:r>
        <w:rPr>
          <w:sz w:val="20"/>
          <w:lang w:val="es-ES"/>
        </w:rPr>
        <w:tab/>
      </w:r>
      <w:r w:rsidRPr="005703BE">
        <w:rPr>
          <w:sz w:val="20"/>
          <w:lang w:val="es-ES"/>
        </w:rPr>
        <w:t>Pueden consultarse las decisiones detalladas de la Junta del R</w:t>
      </w:r>
      <w:r>
        <w:rPr>
          <w:sz w:val="20"/>
          <w:lang w:val="es-ES"/>
        </w:rPr>
        <w:t>e</w:t>
      </w:r>
      <w:r w:rsidRPr="005703BE">
        <w:rPr>
          <w:sz w:val="20"/>
          <w:lang w:val="es-ES"/>
        </w:rPr>
        <w:t>glamento de Radiocomunicaciones</w:t>
      </w:r>
      <w:r w:rsidRPr="00CF5835">
        <w:rPr>
          <w:sz w:val="20"/>
          <w:lang w:val="lt-LT"/>
        </w:rPr>
        <w:t xml:space="preserve"> (RRB) </w:t>
      </w:r>
      <w:r>
        <w:rPr>
          <w:sz w:val="20"/>
          <w:lang w:val="lt-LT"/>
        </w:rPr>
        <w:t>en relación con la interferencia perjudicial en</w:t>
      </w:r>
      <w:r w:rsidRPr="00CF5835">
        <w:rPr>
          <w:sz w:val="20"/>
          <w:lang w:val="lt-LT"/>
        </w:rPr>
        <w:t xml:space="preserve"> </w:t>
      </w:r>
      <w:hyperlink r:id="rId1" w:history="1">
        <w:r w:rsidRPr="00CF5835">
          <w:rPr>
            <w:rStyle w:val="Hyperlink"/>
            <w:sz w:val="20"/>
            <w:lang w:val="lt-LT"/>
          </w:rPr>
          <w:t>https://www.itu.int/harmful-interference-to-rnss/</w:t>
        </w:r>
      </w:hyperlink>
      <w:r w:rsidRPr="00CF5835">
        <w:rPr>
          <w:sz w:val="20"/>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58BE"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747530DC" w14:textId="26A452A0" w:rsidR="00616601" w:rsidRDefault="0034043B" w:rsidP="00AB4BAD">
    <w:pPr>
      <w:pStyle w:val="Header"/>
      <w:rPr>
        <w:lang w:val="es-ES"/>
      </w:rPr>
    </w:pPr>
    <w:r>
      <w:rPr>
        <w:lang w:val="es-ES"/>
      </w:rPr>
      <w:t>RAG</w:t>
    </w:r>
    <w:r w:rsidR="00616601">
      <w:rPr>
        <w:lang w:val="es-ES"/>
      </w:rPr>
      <w:t>/</w:t>
    </w:r>
    <w:r w:rsidR="00BE5E72">
      <w:rPr>
        <w:lang w:val="es-ES"/>
      </w:rPr>
      <w:t>78</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72"/>
    <w:rsid w:val="000C62BA"/>
    <w:rsid w:val="000D756D"/>
    <w:rsid w:val="0012592F"/>
    <w:rsid w:val="001B17C5"/>
    <w:rsid w:val="001F2F50"/>
    <w:rsid w:val="0031432E"/>
    <w:rsid w:val="0034043B"/>
    <w:rsid w:val="003D5338"/>
    <w:rsid w:val="00414D8B"/>
    <w:rsid w:val="00482905"/>
    <w:rsid w:val="00494752"/>
    <w:rsid w:val="004D6C09"/>
    <w:rsid w:val="0057336B"/>
    <w:rsid w:val="005A2195"/>
    <w:rsid w:val="005D3E02"/>
    <w:rsid w:val="00610642"/>
    <w:rsid w:val="00616601"/>
    <w:rsid w:val="00646EEF"/>
    <w:rsid w:val="00663829"/>
    <w:rsid w:val="006A42AB"/>
    <w:rsid w:val="006B5313"/>
    <w:rsid w:val="006E291F"/>
    <w:rsid w:val="008506C9"/>
    <w:rsid w:val="008F0106"/>
    <w:rsid w:val="00924B63"/>
    <w:rsid w:val="00982618"/>
    <w:rsid w:val="009C205E"/>
    <w:rsid w:val="00A0579C"/>
    <w:rsid w:val="00A7663C"/>
    <w:rsid w:val="00AB4BAD"/>
    <w:rsid w:val="00B32E51"/>
    <w:rsid w:val="00BE5E72"/>
    <w:rsid w:val="00C44057"/>
    <w:rsid w:val="00C837F0"/>
    <w:rsid w:val="00CB7A43"/>
    <w:rsid w:val="00CF4CAC"/>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544FD"/>
  <w15:docId w15:val="{03C52E8B-613F-4C3D-BF29-A1339682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noteTextChar">
    <w:name w:val="Footnote Text Char"/>
    <w:basedOn w:val="DefaultParagraphFont"/>
    <w:link w:val="FootnoteText"/>
    <w:rsid w:val="00BE5E72"/>
    <w:rPr>
      <w:rFonts w:ascii="Times New Roman" w:hAnsi="Times New Roman"/>
      <w:sz w:val="24"/>
      <w:lang w:val="es-ES_tradnl" w:eastAsia="en-US"/>
    </w:rPr>
  </w:style>
  <w:style w:type="character" w:styleId="Hyperlink">
    <w:name w:val="Hyperlink"/>
    <w:uiPriority w:val="99"/>
    <w:rsid w:val="00BE5E72"/>
    <w:rPr>
      <w:color w:val="0000FF"/>
      <w:u w:val="single"/>
    </w:rPr>
  </w:style>
  <w:style w:type="paragraph" w:customStyle="1" w:styleId="Reasons">
    <w:name w:val="Reasons"/>
    <w:basedOn w:val="Normal"/>
    <w:qFormat/>
    <w:rsid w:val="00BE5E72"/>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harmful-interference-to-rn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35</TotalTime>
  <Pages>2</Pages>
  <Words>704</Words>
  <Characters>4151</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INTEFERENCIA PERJUDICIAL CAUSADA A REDES DE SATÉLITES Y DEL SRNS</dc:title>
  <dc:subject>GRUPO ASESOR DE RADIOCOMUNICACIONES</dc:subject>
  <dc:creator>Alemania (República Federal de), Austria, Bélgica, Bulgaria (República de), Chipre (República de), Croacia (República de), Dinamarca, España, Estonia (República de), Finlandia, Francia, Grecia, Irlanda, Islandia, Italia, Letonia (República de), Lituania (República de), Luxemburgo, Malta, Moldova (República de), Noruega, Países Bajos (Reino de los), Polonia (República de), Portugal, Rumania, República Eslovaca, República Checa, Eslovenia (República de), Suiza (Confederación), Suecia y Ucrania</dc:creator>
  <cp:keywords>RAG03-1</cp:keywords>
  <dc:description>Documento RAG/78-S  For: _x000d_Document date: 16 de marzo de 2026_x000d_Saved by ITU51013774 at 15:20:17 on 17/03/2026</dc:description>
  <cp:lastModifiedBy>Spanish</cp:lastModifiedBy>
  <cp:revision>5</cp:revision>
  <cp:lastPrinted>1993-02-18T11:12:00Z</cp:lastPrinted>
  <dcterms:created xsi:type="dcterms:W3CDTF">2026-03-17T13:45:00Z</dcterms:created>
  <dcterms:modified xsi:type="dcterms:W3CDTF">2026-03-17T14:20:00Z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RAG/78-S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Alemania (República Federal de), Austria, Bélgica, Bulgaria (República de), Chipre (República de), Croacia (República de), Dinamarca, España, Estonia (República de), Finlandia, Francia, Grecia, Irlanda, Islandia, Italia, Letonia (República de), Lituania (República de), Luxemburgo, Malta, Moldova (República de), Noruega, Países Bajos (Reino de los), Polonia (República de), Portugal, Rumania, República Eslovaca, República Checa, Eslovenia (República de), Suiza (Confederación), Suecia y Ucrania</vt:lpwstr>
  </property>
</Properties>
</file>