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7F3134" w14:paraId="62DA109D" w14:textId="77777777" w:rsidTr="0020275A">
        <w:trPr>
          <w:cantSplit/>
        </w:trPr>
        <w:tc>
          <w:tcPr>
            <w:tcW w:w="6771" w:type="dxa"/>
            <w:vAlign w:val="center"/>
          </w:tcPr>
          <w:p w14:paraId="4D8626EB" w14:textId="77777777" w:rsidR="0020275A" w:rsidRPr="007F3134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7F31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7F3134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2E8FEF3F" w14:textId="77777777" w:rsidR="0020275A" w:rsidRPr="007F3134" w:rsidRDefault="00B239A0" w:rsidP="00083244">
            <w:pPr>
              <w:shd w:val="solid" w:color="FFFFFF" w:fill="FFFFFF"/>
              <w:spacing w:before="0"/>
              <w:jc w:val="right"/>
            </w:pPr>
            <w:r w:rsidRPr="007F3134">
              <w:rPr>
                <w:noProof/>
                <w:lang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7F3134" w14:paraId="22CC4CC0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2BC30DF" w14:textId="77777777" w:rsidR="0051782D" w:rsidRPr="007F31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8ABD30B" w14:textId="77777777" w:rsidR="0051782D" w:rsidRPr="007F31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7F3134" w14:paraId="11B9B462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12A92FFA" w14:textId="77777777" w:rsidR="0051782D" w:rsidRPr="007F31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FA25592" w14:textId="77777777" w:rsidR="0051782D" w:rsidRPr="007F31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7F3134" w14:paraId="4A0F5515" w14:textId="77777777" w:rsidTr="00675D35">
        <w:trPr>
          <w:cantSplit/>
        </w:trPr>
        <w:tc>
          <w:tcPr>
            <w:tcW w:w="6771" w:type="dxa"/>
            <w:vMerge w:val="restart"/>
          </w:tcPr>
          <w:p w14:paraId="1C49CE46" w14:textId="77777777" w:rsidR="0051782D" w:rsidRPr="007F31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567B0F85" w14:textId="42AC61B8" w:rsidR="0051782D" w:rsidRPr="007F3134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F31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7F3134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7F3134" w:rsidRPr="007F3134">
              <w:rPr>
                <w:rFonts w:ascii="Verdana" w:hAnsi="Verdana"/>
                <w:b/>
                <w:sz w:val="18"/>
                <w:szCs w:val="18"/>
              </w:rPr>
              <w:t>78</w:t>
            </w:r>
            <w:r w:rsidR="00BD7223" w:rsidRPr="007F3134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7F31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7F3134" w14:paraId="45CD098A" w14:textId="77777777" w:rsidTr="00675D35">
        <w:trPr>
          <w:cantSplit/>
        </w:trPr>
        <w:tc>
          <w:tcPr>
            <w:tcW w:w="6771" w:type="dxa"/>
            <w:vMerge/>
          </w:tcPr>
          <w:p w14:paraId="493FD275" w14:textId="77777777" w:rsidR="0051782D" w:rsidRPr="007F31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3079A573" w14:textId="3F4CAF00" w:rsidR="0051782D" w:rsidRPr="007F3134" w:rsidRDefault="007F3134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F3134">
              <w:rPr>
                <w:rFonts w:ascii="Verdana" w:hAnsi="Verdana"/>
                <w:b/>
                <w:sz w:val="18"/>
                <w:szCs w:val="18"/>
              </w:rPr>
              <w:t>16 марта 2026 года</w:t>
            </w:r>
          </w:p>
        </w:tc>
      </w:tr>
      <w:tr w:rsidR="0051782D" w:rsidRPr="007F3134" w14:paraId="3D340498" w14:textId="77777777" w:rsidTr="00675D35">
        <w:trPr>
          <w:cantSplit/>
        </w:trPr>
        <w:tc>
          <w:tcPr>
            <w:tcW w:w="6771" w:type="dxa"/>
            <w:vMerge/>
          </w:tcPr>
          <w:p w14:paraId="65F3C806" w14:textId="77777777" w:rsidR="0051782D" w:rsidRPr="007F31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544D86AA" w14:textId="2EE2AA4B" w:rsidR="0051782D" w:rsidRPr="007F3134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F31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7F3134" w:rsidRPr="007F3134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7F3134" w14:paraId="31FF4EA1" w14:textId="77777777" w:rsidTr="00675D35">
        <w:trPr>
          <w:cantSplit/>
        </w:trPr>
        <w:tc>
          <w:tcPr>
            <w:tcW w:w="9889" w:type="dxa"/>
            <w:gridSpan w:val="2"/>
          </w:tcPr>
          <w:p w14:paraId="0FA11716" w14:textId="555E58B4" w:rsidR="00093C73" w:rsidRPr="007F3134" w:rsidRDefault="00093C73" w:rsidP="000252AA">
            <w:pPr>
              <w:pStyle w:val="Source"/>
            </w:pPr>
            <w:bookmarkStart w:id="3" w:name="dsource" w:colFirst="0" w:colLast="0"/>
            <w:bookmarkEnd w:id="2"/>
          </w:p>
        </w:tc>
      </w:tr>
      <w:tr w:rsidR="00093C73" w:rsidRPr="007F3134" w14:paraId="652FD25E" w14:textId="77777777" w:rsidTr="00675D35">
        <w:trPr>
          <w:cantSplit/>
        </w:trPr>
        <w:tc>
          <w:tcPr>
            <w:tcW w:w="9889" w:type="dxa"/>
            <w:gridSpan w:val="2"/>
          </w:tcPr>
          <w:p w14:paraId="2A7853B3" w14:textId="2616D7B7" w:rsidR="00093C73" w:rsidRPr="007F3134" w:rsidRDefault="00DD669D" w:rsidP="000252AA">
            <w:pPr>
              <w:pStyle w:val="Title1"/>
            </w:pPr>
            <w:bookmarkStart w:id="4" w:name="dtitle1" w:colFirst="0" w:colLast="0"/>
            <w:bookmarkEnd w:id="3"/>
            <w:r w:rsidRPr="00DD669D">
              <w:t>Представление администраций Эстонии, Финляндии, Франции, Латвии, Литвы, Люксембурга, Молдовы, Норвегии, Польши, Швеции и Украины</w:t>
            </w:r>
            <w:r>
              <w:t>, КАСАЮЩЕЕСЯ</w:t>
            </w:r>
            <w:r w:rsidRPr="00DD669D">
              <w:t xml:space="preserve"> </w:t>
            </w:r>
            <w:r w:rsidR="007F3134" w:rsidRPr="007F3134">
              <w:t>ВРЕДНЫ</w:t>
            </w:r>
            <w:r>
              <w:t>Х</w:t>
            </w:r>
            <w:r w:rsidR="007F3134" w:rsidRPr="007F3134">
              <w:t xml:space="preserve"> ПОМЕХ РНСС И СПУТНИКОВЫМ СЕТЯМ</w:t>
            </w:r>
            <w:r>
              <w:t xml:space="preserve">, КОТОРОЕ ПОДДЕРЖАНО </w:t>
            </w:r>
            <w:r w:rsidRPr="007F3134">
              <w:t>Австри</w:t>
            </w:r>
            <w:r>
              <w:t xml:space="preserve">ей, </w:t>
            </w:r>
            <w:r w:rsidRPr="00DD669D">
              <w:t>Бельгией, Болгарией, Кипром, Хорватией, Чешской Республикой, Данией, Исландией, Ирландией, Италией, Германией, Греция, Мальтой, Нидерландами (Королевством), Португалией, Румынией, Словакией, Словенией, Испанией и Швейцарией</w:t>
            </w:r>
          </w:p>
        </w:tc>
      </w:tr>
      <w:tr w:rsidR="007F3134" w:rsidRPr="007F3134" w14:paraId="1BFFBDC2" w14:textId="77777777" w:rsidTr="00675D35">
        <w:trPr>
          <w:cantSplit/>
        </w:trPr>
        <w:tc>
          <w:tcPr>
            <w:tcW w:w="9889" w:type="dxa"/>
            <w:gridSpan w:val="2"/>
          </w:tcPr>
          <w:p w14:paraId="6D02B5A7" w14:textId="77777777" w:rsidR="007F3134" w:rsidRPr="007F3134" w:rsidRDefault="007F3134" w:rsidP="000252AA">
            <w:pPr>
              <w:pStyle w:val="Title1"/>
            </w:pPr>
          </w:p>
        </w:tc>
      </w:tr>
    </w:tbl>
    <w:bookmarkEnd w:id="4"/>
    <w:p w14:paraId="6FE19054" w14:textId="77777777" w:rsidR="007F3134" w:rsidRPr="007F3134" w:rsidRDefault="007F3134" w:rsidP="007F3134">
      <w:pPr>
        <w:pStyle w:val="Headingb"/>
        <w:rPr>
          <w:lang w:val="ru-RU"/>
        </w:rPr>
      </w:pPr>
      <w:r w:rsidRPr="007F3134">
        <w:rPr>
          <w:lang w:val="ru-RU"/>
        </w:rPr>
        <w:t>Введение</w:t>
      </w:r>
    </w:p>
    <w:p w14:paraId="3B6ACC92" w14:textId="3D1F7925" w:rsidR="007F3134" w:rsidRPr="007F3134" w:rsidRDefault="007F3134" w:rsidP="007F3134">
      <w:pPr>
        <w:rPr>
          <w:rFonts w:eastAsia="Aptos"/>
        </w:rPr>
      </w:pPr>
      <w:r w:rsidRPr="007F3134">
        <w:rPr>
          <w:rFonts w:eastAsia="Aptos"/>
        </w:rPr>
        <w:t>Рост числа случаев преднамеренных и постоянных помех радионавигационной спутниковой службе (РНСС), включая глушение и спуфинг, а также помех, затрагивающих спутниковые сети, создает серьезные риски для общественной и национальной безопасности, а также экономической стабильности в ряде регионов. Это делает данный вопрос по своей сути проблемой управления использованием спектра на международном уровне.</w:t>
      </w:r>
    </w:p>
    <w:p w14:paraId="0B36BFCE" w14:textId="77777777" w:rsidR="007F3134" w:rsidRPr="007F3134" w:rsidRDefault="007F3134" w:rsidP="007F3134">
      <w:pPr>
        <w:rPr>
          <w:rFonts w:eastAsia="Aptos"/>
        </w:rPr>
      </w:pPr>
      <w:r w:rsidRPr="007F3134">
        <w:rPr>
          <w:rFonts w:eastAsia="Aptos"/>
        </w:rPr>
        <w:t xml:space="preserve">Несмотря на то что на ВКР-19 и ВКР-23 помехам для РНСС уделялось внимание, как это отражено в Резолюциях 774 (ВКР-19) и 676 (ВКР-23), продолжают поступать сообщения о значительном количестве случаев вредных помех, затрагивающих приемники РНСС. Эти случаи вызвали серьезные сбои в работе гражданской авиации, морского транспорта и других служб, а также повседневной деятельности, что противоречит Резолюции 676 (ВКР-23), Статьям 45, 47 и 48 Устава МСЭ и Резолюции 216 (ПК-22). Двадцать пятого марта 2025 года Международный союз электросвязи (МСЭ), Международная организация гражданской авиации (ИКАО) и Международная морская организация (ИМО) опубликовали совместное заявление, в котором рассматриваются участившиеся случаи причинения вредных помех и подчеркиваются риски, создаваемые такими помехами для авиации, морских служб и других служб спутниковой электросвязи. </w:t>
      </w:r>
    </w:p>
    <w:p w14:paraId="4E68EF3E" w14:textId="7B7746B9" w:rsidR="007F3134" w:rsidRPr="007F3134" w:rsidRDefault="007F3134" w:rsidP="007F3134">
      <w:pPr>
        <w:rPr>
          <w:rFonts w:eastAsia="Aptos"/>
        </w:rPr>
      </w:pPr>
      <w:r w:rsidRPr="007F3134">
        <w:rPr>
          <w:rFonts w:eastAsia="Aptos"/>
        </w:rPr>
        <w:t>За последние годы Радиорегламентарный комитет (РРК) рассмотрел множество сообщений о вредных помехах, затрагивающих приемники РНСС и спутниковые сети, на основе представлений широкого круга администраций. РРК вновь подтвердил обязанность администраций немедленно устранять любые источники вредных помех службам безопасности РНСС и безотлагательно идти на сотрудничество в разрешении случаев вредных помех, подчеркивая, что военный конфликт между двумя странами не может служить оправданием для несоблюдения обязательств перед МСЭ или действий, ставящих под угрозу критическую инфраструктуру и функционирование других администраций, не являющихся участниками конфликта</w:t>
      </w:r>
      <w:r w:rsidRPr="007F3134">
        <w:rPr>
          <w:rStyle w:val="FootnoteReference"/>
          <w:rFonts w:eastAsia="Aptos"/>
          <w:kern w:val="2"/>
          <w:szCs w:val="24"/>
          <w14:ligatures w14:val="standardContextual"/>
        </w:rPr>
        <w:footnoteReference w:id="1"/>
      </w:r>
      <w:r w:rsidRPr="007F3134">
        <w:rPr>
          <w:rFonts w:eastAsia="Aptos"/>
        </w:rPr>
        <w:t>.</w:t>
      </w:r>
    </w:p>
    <w:p w14:paraId="2AAEFA36" w14:textId="77777777" w:rsidR="007F3134" w:rsidRPr="007F3134" w:rsidRDefault="007F3134" w:rsidP="007F3134">
      <w:pPr>
        <w:rPr>
          <w:rFonts w:eastAsia="Aptos"/>
        </w:rPr>
      </w:pPr>
      <w:r w:rsidRPr="007F3134">
        <w:rPr>
          <w:rFonts w:eastAsia="Aptos"/>
        </w:rPr>
        <w:lastRenderedPageBreak/>
        <w:t>Хотя Бюро радиосвязи и Радиорегламентарный комитет неоднократно рассматривали этот вопрос, определяли администрации, ответственные за вредные помехи, и призывали к их прекращению, продолжающиеся помехи, затрагивающие РНСС и спутниковые службы, свидетельствуют о том, что этот вопрос требует решительных и безотлагательных действий со стороны МСЭ для обеспечения соблюдения его правил и прекращения вредного воздействия на Государства – Члены МСЭ.</w:t>
      </w:r>
    </w:p>
    <w:p w14:paraId="43AB25BD" w14:textId="77777777" w:rsidR="007F3134" w:rsidRPr="007F3134" w:rsidRDefault="007F3134" w:rsidP="007F3134">
      <w:pPr>
        <w:pStyle w:val="Headingb"/>
        <w:rPr>
          <w:lang w:val="ru-RU"/>
        </w:rPr>
      </w:pPr>
      <w:r w:rsidRPr="007F3134">
        <w:rPr>
          <w:lang w:val="ru-RU"/>
        </w:rPr>
        <w:t>Предложение</w:t>
      </w:r>
    </w:p>
    <w:p w14:paraId="17D3A020" w14:textId="77777777" w:rsidR="007F3134" w:rsidRPr="007F3134" w:rsidRDefault="007F3134" w:rsidP="007F3134">
      <w:r w:rsidRPr="007F3134">
        <w:t xml:space="preserve">Страны, представляющие настоящий вклад, хотели бы обратить внимание Консультативной группы по радиосвязи (КГР) на продолжающиеся преднамеренные помехи, затрагивающие РНСС и спутниковые службы, которые создаются несмотря на усилия, предпринимаемые Государствами-Членами и Бюро радиосвязи. Эти помехи по-прежнему негативно сказываются на воздушном движении, морском транспорте и других секторах и видах деятельности, например на сельскохозяйственных машинах, использующих определение местоположения с помощью ГНСС, сетях подвижной связи и работе экстренных служб и служб общественной безопасности. </w:t>
      </w:r>
    </w:p>
    <w:p w14:paraId="2CB2A4A6" w14:textId="3770DB0B" w:rsidR="007F3134" w:rsidRPr="007F3134" w:rsidRDefault="007F3134" w:rsidP="007F3134">
      <w:r w:rsidRPr="007F3134">
        <w:t>Страны, сообщающие о помехах РНСС и спутниковым службам, просят, чтобы КГР, в соответствии со своим мандатом, поддерживала тесную координацию с Бюро радиосвязи (БР) и Радиорегламентарным комитетом (РРК) и должным образом рассматривала вопрос вредных помех на</w:t>
      </w:r>
      <w:r>
        <w:t> </w:t>
      </w:r>
      <w:r w:rsidRPr="007F3134">
        <w:t>своих собраниях. Это должно включать рассмотрение данного вопроса в контексте подготовки к ВКР-27, что необходимо для укрепления регламентарной основы, усиления защиты радионавигационных спутниковых служб и содействия международному сотрудничеству в целях обеспечения постоянной доступности, целостности и надежности РНСС и спутников для всех секторов.</w:t>
      </w:r>
    </w:p>
    <w:p w14:paraId="76A63FE7" w14:textId="7C5D1CF9" w:rsidR="00585978" w:rsidRPr="007F3134" w:rsidRDefault="007F3134" w:rsidP="007F3134">
      <w:pPr>
        <w:spacing w:before="480"/>
        <w:jc w:val="center"/>
      </w:pPr>
      <w:r w:rsidRPr="007F3134">
        <w:t>______________</w:t>
      </w:r>
    </w:p>
    <w:sectPr w:rsidR="00585978" w:rsidRPr="007F3134" w:rsidSect="005409F7">
      <w:headerReference w:type="default" r:id="rId8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D637" w14:textId="77777777" w:rsidR="00A67128" w:rsidRDefault="00A67128">
      <w:r>
        <w:separator/>
      </w:r>
    </w:p>
  </w:endnote>
  <w:endnote w:type="continuationSeparator" w:id="0">
    <w:p w14:paraId="47719F95" w14:textId="77777777" w:rsidR="00A67128" w:rsidRDefault="00A6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8676" w14:textId="77777777" w:rsidR="00A67128" w:rsidRDefault="00A67128">
      <w:r>
        <w:t>____________________</w:t>
      </w:r>
    </w:p>
  </w:footnote>
  <w:footnote w:type="continuationSeparator" w:id="0">
    <w:p w14:paraId="08DB97E5" w14:textId="77777777" w:rsidR="00A67128" w:rsidRDefault="00A67128">
      <w:r>
        <w:continuationSeparator/>
      </w:r>
    </w:p>
  </w:footnote>
  <w:footnote w:id="1">
    <w:p w14:paraId="5C63308C" w14:textId="4DCAADA9" w:rsidR="007F3134" w:rsidRPr="007F3134" w:rsidRDefault="007F3134" w:rsidP="007F3134">
      <w:pPr>
        <w:pStyle w:val="FootnoteText"/>
        <w:rPr>
          <w:szCs w:val="22"/>
          <w:lang w:val="ru-RU"/>
        </w:rPr>
      </w:pPr>
      <w:r w:rsidRPr="007F3134">
        <w:rPr>
          <w:rStyle w:val="FootnoteReference"/>
        </w:rPr>
        <w:footnoteRef/>
      </w:r>
      <w:r>
        <w:rPr>
          <w:lang w:val="ru-RU"/>
        </w:rPr>
        <w:tab/>
      </w:r>
      <w:r w:rsidRPr="00244ACF">
        <w:rPr>
          <w:lang w:val="lt-LT"/>
        </w:rPr>
        <w:t xml:space="preserve">С более подробными решениями Радиорегламентарного комитета (РРК), касающимися вредных </w:t>
      </w:r>
      <w:r w:rsidRPr="007F3134">
        <w:rPr>
          <w:szCs w:val="22"/>
          <w:lang w:val="lt-LT"/>
        </w:rPr>
        <w:t xml:space="preserve">помех, можно ознакомиться по адресу: </w:t>
      </w:r>
      <w:hyperlink r:id="rId1" w:history="1">
        <w:r w:rsidRPr="007F3134">
          <w:rPr>
            <w:rStyle w:val="Hyperlink"/>
            <w:szCs w:val="22"/>
            <w:lang w:val="lt-LT"/>
          </w:rPr>
          <w:t>https://www.itu.int/harmful-interference-to-rnss/</w:t>
        </w:r>
      </w:hyperlink>
      <w:r>
        <w:rPr>
          <w:szCs w:val="22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CEEB" w14:textId="3E4F1ECB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7F3134">
      <w:rPr>
        <w:lang w:val="ru-RU"/>
      </w:rPr>
      <w:t>78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6262783">
    <w:abstractNumId w:val="9"/>
  </w:num>
  <w:num w:numId="2" w16cid:durableId="949238343">
    <w:abstractNumId w:val="7"/>
  </w:num>
  <w:num w:numId="3" w16cid:durableId="630281359">
    <w:abstractNumId w:val="6"/>
  </w:num>
  <w:num w:numId="4" w16cid:durableId="119764434">
    <w:abstractNumId w:val="5"/>
  </w:num>
  <w:num w:numId="5" w16cid:durableId="123231222">
    <w:abstractNumId w:val="4"/>
  </w:num>
  <w:num w:numId="6" w16cid:durableId="1437597793">
    <w:abstractNumId w:val="8"/>
  </w:num>
  <w:num w:numId="7" w16cid:durableId="895624635">
    <w:abstractNumId w:val="3"/>
  </w:num>
  <w:num w:numId="8" w16cid:durableId="907111917">
    <w:abstractNumId w:val="2"/>
  </w:num>
  <w:num w:numId="9" w16cid:durableId="906450549">
    <w:abstractNumId w:val="1"/>
  </w:num>
  <w:num w:numId="10" w16cid:durableId="1424260096">
    <w:abstractNumId w:val="0"/>
  </w:num>
  <w:num w:numId="11" w16cid:durableId="1764298265">
    <w:abstractNumId w:val="17"/>
  </w:num>
  <w:num w:numId="12" w16cid:durableId="1225725351">
    <w:abstractNumId w:val="33"/>
  </w:num>
  <w:num w:numId="13" w16cid:durableId="253981637">
    <w:abstractNumId w:val="35"/>
  </w:num>
  <w:num w:numId="14" w16cid:durableId="157114366">
    <w:abstractNumId w:val="28"/>
  </w:num>
  <w:num w:numId="15" w16cid:durableId="718939820">
    <w:abstractNumId w:val="25"/>
  </w:num>
  <w:num w:numId="16" w16cid:durableId="46341210">
    <w:abstractNumId w:val="34"/>
  </w:num>
  <w:num w:numId="17" w16cid:durableId="1151095488">
    <w:abstractNumId w:val="24"/>
  </w:num>
  <w:num w:numId="18" w16cid:durableId="847914495">
    <w:abstractNumId w:val="10"/>
  </w:num>
  <w:num w:numId="19" w16cid:durableId="1880362547">
    <w:abstractNumId w:val="15"/>
  </w:num>
  <w:num w:numId="20" w16cid:durableId="877352018">
    <w:abstractNumId w:val="16"/>
  </w:num>
  <w:num w:numId="21" w16cid:durableId="452094694">
    <w:abstractNumId w:val="22"/>
  </w:num>
  <w:num w:numId="22" w16cid:durableId="1346050840">
    <w:abstractNumId w:val="37"/>
  </w:num>
  <w:num w:numId="23" w16cid:durableId="1082871989">
    <w:abstractNumId w:val="26"/>
  </w:num>
  <w:num w:numId="24" w16cid:durableId="1319192945">
    <w:abstractNumId w:val="27"/>
  </w:num>
  <w:num w:numId="25" w16cid:durableId="1170408062">
    <w:abstractNumId w:val="12"/>
  </w:num>
  <w:num w:numId="26" w16cid:durableId="2060468505">
    <w:abstractNumId w:val="23"/>
  </w:num>
  <w:num w:numId="27" w16cid:durableId="1077674097">
    <w:abstractNumId w:val="14"/>
  </w:num>
  <w:num w:numId="28" w16cid:durableId="965547253">
    <w:abstractNumId w:val="40"/>
  </w:num>
  <w:num w:numId="29" w16cid:durableId="1301957898">
    <w:abstractNumId w:val="20"/>
  </w:num>
  <w:num w:numId="30" w16cid:durableId="621813204">
    <w:abstractNumId w:val="31"/>
  </w:num>
  <w:num w:numId="31" w16cid:durableId="358548665">
    <w:abstractNumId w:val="36"/>
  </w:num>
  <w:num w:numId="32" w16cid:durableId="861674812">
    <w:abstractNumId w:val="21"/>
  </w:num>
  <w:num w:numId="33" w16cid:durableId="1221673412">
    <w:abstractNumId w:val="19"/>
  </w:num>
  <w:num w:numId="34" w16cid:durableId="249316163">
    <w:abstractNumId w:val="39"/>
  </w:num>
  <w:num w:numId="35" w16cid:durableId="534197692">
    <w:abstractNumId w:val="32"/>
  </w:num>
  <w:num w:numId="36" w16cid:durableId="6452024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0282623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61483257">
    <w:abstractNumId w:val="13"/>
  </w:num>
  <w:num w:numId="39" w16cid:durableId="863056096">
    <w:abstractNumId w:val="38"/>
  </w:num>
  <w:num w:numId="40" w16cid:durableId="477235837">
    <w:abstractNumId w:val="11"/>
  </w:num>
  <w:num w:numId="41" w16cid:durableId="2726367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34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4293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3134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67128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3DC8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D669D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5F357"/>
  <w15:docId w15:val="{B7C34348-2A9C-4D56-9B35-FC543BC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uiPriority w:val="99"/>
    <w:rsid w:val="007F3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harmful-interference-to-rns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0</TotalTime>
  <Pages>2</Pages>
  <Words>506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4177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NA</dc:creator>
  <cp:keywords>RAG03-1</cp:keywords>
  <dc:description>Document RAG08-1/1-E  For: _x000d_Document date: 12 December 2007_x000d_Saved by JJF44233 at 15:38:46 on 18/12/2007</dc:description>
  <cp:lastModifiedBy>Maloletkova, Svetlana</cp:lastModifiedBy>
  <cp:revision>2</cp:revision>
  <cp:lastPrinted>2011-05-23T08:58:00Z</cp:lastPrinted>
  <dcterms:created xsi:type="dcterms:W3CDTF">2026-03-27T16:54:00Z</dcterms:created>
  <dcterms:modified xsi:type="dcterms:W3CDTF">2026-03-27T16:54:00Z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