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14:paraId="74544E3F" w14:textId="77777777" w:rsidTr="00443261">
        <w:trPr>
          <w:cantSplit/>
        </w:trPr>
        <w:tc>
          <w:tcPr>
            <w:tcW w:w="6771" w:type="dxa"/>
            <w:vAlign w:val="center"/>
          </w:tcPr>
          <w:p w14:paraId="5B8388D0" w14:textId="77777777" w:rsidR="00443261" w:rsidRPr="002D238A" w:rsidRDefault="00443261" w:rsidP="007711EA">
            <w:pPr>
              <w:shd w:val="solid" w:color="FFFFFF" w:fill="FFFFFF"/>
              <w:spacing w:before="360" w:after="240"/>
              <w:rPr>
                <w:rFonts w:ascii="Verdana" w:hAnsi="Verdana"/>
                <w:b/>
                <w:bCs/>
              </w:rPr>
            </w:pPr>
            <w:r w:rsidRPr="002D238A">
              <w:rPr>
                <w:rFonts w:ascii="Verdana" w:hAnsi="Verdana" w:cs="Times New Roman Bold"/>
                <w:b/>
                <w:sz w:val="25"/>
                <w:szCs w:val="25"/>
              </w:rPr>
              <w:t>Groupe Consultatif des Radiocommunications</w:t>
            </w:r>
            <w:r w:rsidRPr="002D238A">
              <w:rPr>
                <w:rFonts w:ascii="Verdana" w:hAnsi="Verdana"/>
                <w:b/>
                <w:sz w:val="25"/>
                <w:szCs w:val="25"/>
              </w:rPr>
              <w:br/>
            </w:r>
          </w:p>
        </w:tc>
        <w:tc>
          <w:tcPr>
            <w:tcW w:w="3118" w:type="dxa"/>
          </w:tcPr>
          <w:p w14:paraId="602486CD" w14:textId="77777777" w:rsidR="00443261" w:rsidRDefault="007711EA" w:rsidP="004E76DF">
            <w:pPr>
              <w:shd w:val="solid" w:color="FFFFFF" w:fill="FFFFFF"/>
              <w:spacing w:before="0" w:line="240" w:lineRule="atLeast"/>
            </w:pPr>
            <w:r w:rsidRPr="00C126C1">
              <w:rPr>
                <w:noProof/>
                <w:lang w:val="en-US" w:eastAsia="zh-CN"/>
              </w:rPr>
              <w:drawing>
                <wp:inline distT="0" distB="0" distL="0" distR="0" wp14:anchorId="3A471AC3" wp14:editId="54DA8BB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1782D" w14:paraId="157342E1" w14:textId="77777777">
        <w:trPr>
          <w:cantSplit/>
        </w:trPr>
        <w:tc>
          <w:tcPr>
            <w:tcW w:w="6771" w:type="dxa"/>
            <w:tcBorders>
              <w:bottom w:val="single" w:sz="12" w:space="0" w:color="auto"/>
            </w:tcBorders>
          </w:tcPr>
          <w:p w14:paraId="614AB6AE" w14:textId="77777777" w:rsidR="002D238A" w:rsidRPr="0051782D"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0A4F0B5A" w14:textId="77777777" w:rsidR="002D238A" w:rsidRPr="0051782D" w:rsidRDefault="002D238A" w:rsidP="00773E5E">
            <w:pPr>
              <w:shd w:val="solid" w:color="FFFFFF" w:fill="FFFFFF"/>
              <w:spacing w:before="0" w:after="48" w:line="240" w:lineRule="atLeast"/>
              <w:rPr>
                <w:sz w:val="22"/>
                <w:szCs w:val="22"/>
                <w:lang w:val="en-US"/>
              </w:rPr>
            </w:pPr>
          </w:p>
        </w:tc>
      </w:tr>
      <w:tr w:rsidR="002D238A" w:rsidRPr="00710D66" w14:paraId="12F1ECCB" w14:textId="77777777">
        <w:trPr>
          <w:cantSplit/>
        </w:trPr>
        <w:tc>
          <w:tcPr>
            <w:tcW w:w="6771" w:type="dxa"/>
            <w:tcBorders>
              <w:top w:val="single" w:sz="12" w:space="0" w:color="auto"/>
            </w:tcBorders>
          </w:tcPr>
          <w:p w14:paraId="01D97AA6" w14:textId="77777777" w:rsidR="002D238A" w:rsidRPr="0051782D"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0F42DBAB" w14:textId="77777777" w:rsidR="002D238A" w:rsidRPr="002D238A" w:rsidRDefault="002D238A" w:rsidP="00773E5E">
            <w:pPr>
              <w:shd w:val="solid" w:color="FFFFFF" w:fill="FFFFFF"/>
              <w:spacing w:before="0" w:after="48" w:line="240" w:lineRule="atLeast"/>
              <w:rPr>
                <w:rFonts w:ascii="Verdana" w:hAnsi="Verdana"/>
                <w:sz w:val="22"/>
                <w:szCs w:val="22"/>
                <w:lang w:val="en-US"/>
              </w:rPr>
            </w:pPr>
          </w:p>
        </w:tc>
      </w:tr>
      <w:tr w:rsidR="002D238A" w:rsidRPr="002A127E" w14:paraId="1D04C89A" w14:textId="77777777">
        <w:trPr>
          <w:cantSplit/>
        </w:trPr>
        <w:tc>
          <w:tcPr>
            <w:tcW w:w="6771" w:type="dxa"/>
            <w:vMerge w:val="restart"/>
          </w:tcPr>
          <w:p w14:paraId="6615DEAB" w14:textId="77777777" w:rsidR="002D238A" w:rsidRPr="005031C8"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700C256D" w14:textId="1E58F233" w:rsidR="002D238A" w:rsidRPr="006142AD" w:rsidRDefault="006142AD" w:rsidP="00773E5E">
            <w:pPr>
              <w:shd w:val="solid" w:color="FFFFFF" w:fill="FFFFFF"/>
              <w:spacing w:before="0" w:line="240" w:lineRule="atLeast"/>
              <w:rPr>
                <w:rFonts w:ascii="Verdana" w:hAnsi="Verdana"/>
                <w:b/>
                <w:bCs/>
                <w:sz w:val="20"/>
              </w:rPr>
            </w:pPr>
            <w:r w:rsidRPr="006142AD">
              <w:rPr>
                <w:rFonts w:ascii="Verdana" w:hAnsi="Verdana"/>
                <w:b/>
                <w:bCs/>
                <w:sz w:val="20"/>
              </w:rPr>
              <w:t>Document RAG/78-F</w:t>
            </w:r>
          </w:p>
        </w:tc>
      </w:tr>
      <w:tr w:rsidR="002D238A" w:rsidRPr="002A127E" w14:paraId="56FA345C" w14:textId="77777777">
        <w:trPr>
          <w:cantSplit/>
        </w:trPr>
        <w:tc>
          <w:tcPr>
            <w:tcW w:w="6771" w:type="dxa"/>
            <w:vMerge/>
          </w:tcPr>
          <w:p w14:paraId="5B90751D" w14:textId="77777777" w:rsidR="002D238A" w:rsidRDefault="002D238A" w:rsidP="00773E5E">
            <w:pPr>
              <w:spacing w:before="60"/>
              <w:jc w:val="center"/>
              <w:rPr>
                <w:b/>
                <w:smallCaps/>
                <w:sz w:val="32"/>
              </w:rPr>
            </w:pPr>
            <w:bookmarkStart w:id="1" w:name="ddate" w:colFirst="1" w:colLast="1"/>
            <w:bookmarkEnd w:id="0"/>
          </w:p>
        </w:tc>
        <w:tc>
          <w:tcPr>
            <w:tcW w:w="3118" w:type="dxa"/>
          </w:tcPr>
          <w:p w14:paraId="4FE9CA14" w14:textId="4314A6E9" w:rsidR="002D238A" w:rsidRPr="006142AD" w:rsidRDefault="006142AD" w:rsidP="00773E5E">
            <w:pPr>
              <w:shd w:val="solid" w:color="FFFFFF" w:fill="FFFFFF"/>
              <w:spacing w:before="0" w:line="240" w:lineRule="atLeast"/>
              <w:rPr>
                <w:rFonts w:ascii="Verdana" w:hAnsi="Verdana"/>
                <w:b/>
                <w:bCs/>
                <w:sz w:val="20"/>
              </w:rPr>
            </w:pPr>
            <w:r w:rsidRPr="006142AD">
              <w:rPr>
                <w:rFonts w:ascii="Verdana" w:hAnsi="Verdana"/>
                <w:b/>
                <w:bCs/>
                <w:sz w:val="20"/>
              </w:rPr>
              <w:t>16 mars 2026</w:t>
            </w:r>
          </w:p>
        </w:tc>
      </w:tr>
      <w:tr w:rsidR="002D238A" w:rsidRPr="002A127E" w14:paraId="59AA48E1" w14:textId="77777777">
        <w:trPr>
          <w:cantSplit/>
        </w:trPr>
        <w:tc>
          <w:tcPr>
            <w:tcW w:w="6771" w:type="dxa"/>
            <w:vMerge/>
          </w:tcPr>
          <w:p w14:paraId="57B7981E" w14:textId="77777777" w:rsidR="002D238A" w:rsidRDefault="002D238A" w:rsidP="00773E5E">
            <w:pPr>
              <w:spacing w:before="60"/>
              <w:jc w:val="center"/>
              <w:rPr>
                <w:b/>
                <w:smallCaps/>
                <w:sz w:val="32"/>
              </w:rPr>
            </w:pPr>
            <w:bookmarkStart w:id="2" w:name="dorlang" w:colFirst="1" w:colLast="1"/>
            <w:bookmarkEnd w:id="1"/>
          </w:p>
        </w:tc>
        <w:tc>
          <w:tcPr>
            <w:tcW w:w="3118" w:type="dxa"/>
          </w:tcPr>
          <w:p w14:paraId="3953A9EA" w14:textId="0BFDB938" w:rsidR="002D238A" w:rsidRPr="006142AD" w:rsidRDefault="006142AD" w:rsidP="00773E5E">
            <w:pPr>
              <w:shd w:val="solid" w:color="FFFFFF" w:fill="FFFFFF"/>
              <w:spacing w:before="0" w:after="120" w:line="240" w:lineRule="atLeast"/>
              <w:rPr>
                <w:rFonts w:ascii="Verdana" w:hAnsi="Verdana"/>
                <w:b/>
                <w:bCs/>
                <w:sz w:val="20"/>
              </w:rPr>
            </w:pPr>
            <w:r w:rsidRPr="006142AD">
              <w:rPr>
                <w:rFonts w:ascii="Verdana" w:hAnsi="Verdana"/>
                <w:b/>
                <w:bCs/>
                <w:sz w:val="20"/>
              </w:rPr>
              <w:t>Original: anglais</w:t>
            </w:r>
          </w:p>
        </w:tc>
      </w:tr>
      <w:tr w:rsidR="002D238A" w14:paraId="39D2FB6C" w14:textId="77777777">
        <w:trPr>
          <w:cantSplit/>
        </w:trPr>
        <w:tc>
          <w:tcPr>
            <w:tcW w:w="9889" w:type="dxa"/>
            <w:gridSpan w:val="2"/>
          </w:tcPr>
          <w:p w14:paraId="74BAB587" w14:textId="54F280C8" w:rsidR="002D238A" w:rsidRDefault="006142AD" w:rsidP="00773E5E">
            <w:pPr>
              <w:pStyle w:val="Source"/>
            </w:pPr>
            <w:bookmarkStart w:id="3" w:name="dsource" w:colFirst="0" w:colLast="0"/>
            <w:bookmarkEnd w:id="2"/>
            <w:r w:rsidRPr="006142AD">
              <w:t xml:space="preserve">Allemagne (République fédérale d'), Autriche, Belgique, Bulgarie (République de), Chypre (République de), Croatie (République de), Danemark, Espagne, Estonie (République d'), Finlande, France, Grèce, Irlande, Islande, Italie, Lettonie (République de), Lituanie (République de), Luxembourg, Malte, Moldova (République de), Norvège, Pays-Bas (Royaume des), Pologne (République de), Portugal, Roumanie, République slovaque, </w:t>
            </w:r>
            <w:r w:rsidR="00F544A0">
              <w:br/>
            </w:r>
            <w:r w:rsidRPr="006142AD">
              <w:t xml:space="preserve">République tchèque, Slovénie (République de), Suède, </w:t>
            </w:r>
            <w:r w:rsidR="00F544A0">
              <w:br/>
            </w:r>
            <w:r w:rsidRPr="006142AD">
              <w:t>Suisse (Confédération), Suède et Ukraine</w:t>
            </w:r>
          </w:p>
        </w:tc>
      </w:tr>
      <w:tr w:rsidR="002D238A" w14:paraId="31B1908B" w14:textId="77777777">
        <w:trPr>
          <w:cantSplit/>
        </w:trPr>
        <w:tc>
          <w:tcPr>
            <w:tcW w:w="9889" w:type="dxa"/>
            <w:gridSpan w:val="2"/>
          </w:tcPr>
          <w:p w14:paraId="6E042FFB" w14:textId="1B246A01" w:rsidR="002D238A" w:rsidRDefault="00F544A0" w:rsidP="00773E5E">
            <w:pPr>
              <w:pStyle w:val="Title1"/>
            </w:pPr>
            <w:bookmarkStart w:id="4" w:name="dtitle1" w:colFirst="0" w:colLast="0"/>
            <w:bookmarkEnd w:id="3"/>
            <w:r w:rsidRPr="00F544A0">
              <w:t xml:space="preserve">Brouillages préjudiciables causés au service de radionavigation par satellite et </w:t>
            </w:r>
            <w:r>
              <w:br/>
            </w:r>
            <w:r w:rsidRPr="00F544A0">
              <w:t>aux réseaux à satellite</w:t>
            </w:r>
          </w:p>
        </w:tc>
      </w:tr>
    </w:tbl>
    <w:bookmarkEnd w:id="4"/>
    <w:p w14:paraId="1B233D06" w14:textId="77777777" w:rsidR="00F544A0" w:rsidRDefault="00F544A0" w:rsidP="00F544A0">
      <w:pPr>
        <w:pStyle w:val="Headingb"/>
      </w:pPr>
      <w:r>
        <w:t>Introduction</w:t>
      </w:r>
    </w:p>
    <w:p w14:paraId="31E8C5E1" w14:textId="77777777" w:rsidR="00F544A0" w:rsidRDefault="00F544A0" w:rsidP="00F544A0">
      <w:r>
        <w:t>Le nombre croissant de brouillages intentionnels et continus causés au service de radionavigation par satellite (SRNS) (cas de brouillage et de piratage compris), ainsi que de brouillages affectant les réseaux à satellite, présente des risques graves pour la sécurité, la stabilité économique et la sécurité nationale dans un certain nombre de régions. Il s'agit donc d'un problème de gestion du spectre qui est par définition international.</w:t>
      </w:r>
    </w:p>
    <w:p w14:paraId="49FC1324" w14:textId="7CE26627" w:rsidR="00F544A0" w:rsidRDefault="00F544A0" w:rsidP="00F544A0">
      <w:r>
        <w:t>Malgré l'attention accordée par les Conférences mondiales des radiocommunications de 2019 (CMR</w:t>
      </w:r>
      <w:r w:rsidR="00191A64">
        <w:noBreakHyphen/>
      </w:r>
      <w:r>
        <w:t>19) et de 2023 (CMR-23) aux brouillages causés au SRNS, comme il ressort des Résolutions</w:t>
      </w:r>
      <w:r w:rsidR="00191A64">
        <w:t> </w:t>
      </w:r>
      <w:r>
        <w:t>774 (CMR-19) et 676 (CMR-23), un nombre important de cas de brouillages préjudiciables affectant des récepteurs du SRNS ont continué d'être signalés. Ces cas ont fortement perturbé l'aviation civile, le transport maritime et d'autres services ainsi que les activités quotidiennes, en violation de la Résolution 676 (CMR-23), des articles 45, 47 et 48 de la Constitution de l'UIT et de la Résolution 216 de la Conférence de plénipotentiaires de 2022 (PP</w:t>
      </w:r>
      <w:r w:rsidR="00191A64">
        <w:noBreakHyphen/>
      </w:r>
      <w:r>
        <w:t>22). Le 25 mars 2025, l'Union internationale des télécommunications (UIT), l'Organisation de l'aviation civile internationale (OACI) et l'Organisation maritime internationale (OMI) ont publié une déclaration commune sur le nombre croissant de cas de brouillages préjudiciables, dans laquelle les risques que ces brouillages présentent pour les services d'aviation, les services maritimes et d'autres services de télécommunication par satellite sont mis en évidence.</w:t>
      </w:r>
    </w:p>
    <w:p w14:paraId="66773414" w14:textId="27ABDBA0" w:rsidR="00F544A0" w:rsidRDefault="00F544A0" w:rsidP="00F544A0">
      <w:r>
        <w:t>Ces dernières années, le Comité du Règlement des radiocommunications (RRB) a examiné de nombreux rapports faisant état de brouillages préjudiciables causés à des récepteurs du SRNS et à des réseaux à satellite, sur la base de communications soumises par un grand nombre d'administrations. Le RRB a rappelé que les administrations étaient tenues de faire cesser immédiatement les brouillages préjudiciables causés aux services de sécurité du SRNS et de coopérer d'urgence en vue de résoudre ces cas de brouillages, et a souligné qu'un conflit militaire entre deux pays ne saurait justifier le non-respect par ces pays des obligations qui leur incombent au titre des instruments de l'UIT ou les actions qui mettent en danger les infrastructures essentielles et les populations des autres administrations non parties à ce conflit</w:t>
      </w:r>
      <w:r>
        <w:rPr>
          <w:rStyle w:val="FootnoteReference"/>
        </w:rPr>
        <w:footnoteReference w:id="1"/>
      </w:r>
      <w:r>
        <w:t xml:space="preserve">. </w:t>
      </w:r>
    </w:p>
    <w:p w14:paraId="0615C19B" w14:textId="095E8456" w:rsidR="00F544A0" w:rsidRDefault="00F544A0" w:rsidP="00F544A0">
      <w:r>
        <w:t>Bien que le Bureau des radiocommunications (BR) et le RRB aient examiné la question à maintes reprises, recensé les administrations responsables des brouillages préjudiciables en cause et demandé qu'il soit mis fin à ces derniers, la persistance de ces brouillages causés au SRNS et aux services par satellite démontre que l'UIT doit prendre de toute urgence des mesures fortes pour garantir le respect de ses règles et mettre fin aux effets préjudiciables qui en résultent sur les États</w:t>
      </w:r>
      <w:r w:rsidR="00191A64">
        <w:t> </w:t>
      </w:r>
      <w:r>
        <w:t>Membres de l'UIT.</w:t>
      </w:r>
    </w:p>
    <w:p w14:paraId="2028C784" w14:textId="77777777" w:rsidR="00F544A0" w:rsidRDefault="00F544A0" w:rsidP="00F544A0">
      <w:pPr>
        <w:pStyle w:val="Headingb"/>
      </w:pPr>
      <w:r>
        <w:t>Proposition</w:t>
      </w:r>
    </w:p>
    <w:p w14:paraId="577AD14B" w14:textId="77777777" w:rsidR="00F544A0" w:rsidRDefault="00F544A0" w:rsidP="00F544A0">
      <w:r>
        <w:t xml:space="preserve">Les pays qui soumettent la présente contribution souhaitent attirer l'attention du Groupe consultatif des radiocommunications (GCR) sur les brouillages délibérés qui continuent d'être causés au SRNS et aux services par satellite, malgré les efforts déployés par les États Membres et le BR. Ces brouillages continuent de nuire au trafic aérien, au transport maritime et à d'autres secteurs et activités, par exemple les machines agricoles utilisant le positionnement du système mondial de navigation par satellite (GNSS), les réseaux mobiles et les services d'urgence et de sécurité publique. </w:t>
      </w:r>
    </w:p>
    <w:p w14:paraId="0402EEC1" w14:textId="1DBC08E2" w:rsidR="00AF2EDC" w:rsidRDefault="00F544A0" w:rsidP="00F544A0">
      <w:r>
        <w:t>S'agissant des brouillages causés au SRNS et aux services par satellite, les pays auteurs de la présente contribution demandent au GCR, conformément à son mandat, d'assurer une coordination étroite avec le BR et le RRB et d'examiner comme il se doit la question des brouillages préjudiciables lors de ses réunions. Il conviendrait notamment d'examiner la question dans le contexte des travaux préparatoires en vue de la CMR-27, examen essentiel au renforcement du cadre réglementaire et de la protection des services de radionavigation par satellite et à la promotion de la coopération internationale, afin de garantir la disponibilité, l'intégrité et la fiabilité permanentes du SRNS et des satellites pour tous les secteurs.</w:t>
      </w:r>
    </w:p>
    <w:p w14:paraId="142C9D61" w14:textId="77777777" w:rsidR="00F544A0" w:rsidRDefault="00F544A0">
      <w:pPr>
        <w:jc w:val="center"/>
      </w:pPr>
      <w:r>
        <w:t>______________</w:t>
      </w:r>
    </w:p>
    <w:sectPr w:rsidR="00F544A0">
      <w:headerReference w:type="even" r:id="rId8"/>
      <w:headerReference w:type="default" r:id="rId9"/>
      <w:footerReference w:type="even"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99C1" w14:textId="77777777" w:rsidR="003C7EB2" w:rsidRDefault="003C7EB2">
      <w:r>
        <w:separator/>
      </w:r>
    </w:p>
  </w:endnote>
  <w:endnote w:type="continuationSeparator" w:id="0">
    <w:p w14:paraId="00B7379B" w14:textId="77777777" w:rsidR="003C7EB2" w:rsidRDefault="003C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7E48" w14:textId="773F5EEF"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2E26CB">
      <w:rPr>
        <w:lang w:val="en-US"/>
      </w:rPr>
      <w:t>P:\FRA\gDoc\BR\RAG\2600629F.docx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2E26CB">
      <w:t>18.03.26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2E26CB">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EEB9" w14:textId="77777777" w:rsidR="003C7EB2" w:rsidRDefault="003C7EB2">
      <w:r>
        <w:t>____________________</w:t>
      </w:r>
    </w:p>
  </w:footnote>
  <w:footnote w:type="continuationSeparator" w:id="0">
    <w:p w14:paraId="4D56D578" w14:textId="77777777" w:rsidR="003C7EB2" w:rsidRDefault="003C7EB2">
      <w:r>
        <w:continuationSeparator/>
      </w:r>
    </w:p>
  </w:footnote>
  <w:footnote w:id="1">
    <w:p w14:paraId="07155BA0" w14:textId="251ED7BE" w:rsidR="00F544A0" w:rsidRDefault="00F544A0">
      <w:pPr>
        <w:pStyle w:val="FootnoteText"/>
      </w:pPr>
      <w:r>
        <w:rPr>
          <w:rStyle w:val="FootnoteReference"/>
        </w:rPr>
        <w:footnoteRef/>
      </w:r>
      <w:r>
        <w:tab/>
      </w:r>
      <w:r w:rsidRPr="00F544A0">
        <w:t xml:space="preserve">On trouvera des renseignements plus détaillés sur les décisions du RRB concernant les brouillages préjudiciables à l'adresse suivante: </w:t>
      </w:r>
      <w:hyperlink r:id="rId1" w:history="1">
        <w:r w:rsidRPr="00F544A0">
          <w:rPr>
            <w:rStyle w:val="Hyperlink"/>
          </w:rPr>
          <w:t>https://www.itu.int/harmful-interference-to-rnss/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2F62"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9A45"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476C4A95" w14:textId="719E3930" w:rsidR="00847AAC" w:rsidRDefault="0097156E" w:rsidP="007711EA">
    <w:pPr>
      <w:pStyle w:val="Header"/>
      <w:rPr>
        <w:lang w:val="es-ES"/>
      </w:rPr>
    </w:pPr>
    <w:r>
      <w:rPr>
        <w:lang w:val="es-ES"/>
      </w:rPr>
      <w:t>RAG</w:t>
    </w:r>
    <w:r w:rsidR="00847AAC">
      <w:rPr>
        <w:lang w:val="es-ES"/>
      </w:rPr>
      <w:t>/</w:t>
    </w:r>
    <w:r w:rsidR="00F544A0">
      <w:rPr>
        <w:lang w:val="es-ES"/>
      </w:rPr>
      <w:t>78</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B2"/>
    <w:rsid w:val="000C06D8"/>
    <w:rsid w:val="00140AE6"/>
    <w:rsid w:val="00191A64"/>
    <w:rsid w:val="00222A1C"/>
    <w:rsid w:val="002D238A"/>
    <w:rsid w:val="002E26CB"/>
    <w:rsid w:val="003A3978"/>
    <w:rsid w:val="003A6CEE"/>
    <w:rsid w:val="003C7EB2"/>
    <w:rsid w:val="00405FBE"/>
    <w:rsid w:val="00443261"/>
    <w:rsid w:val="004E1CCF"/>
    <w:rsid w:val="004E76DF"/>
    <w:rsid w:val="005031C8"/>
    <w:rsid w:val="005207F5"/>
    <w:rsid w:val="005430E4"/>
    <w:rsid w:val="005E3F7E"/>
    <w:rsid w:val="006142AD"/>
    <w:rsid w:val="0067019B"/>
    <w:rsid w:val="00677EE5"/>
    <w:rsid w:val="00694DEF"/>
    <w:rsid w:val="007711EA"/>
    <w:rsid w:val="00773E5E"/>
    <w:rsid w:val="008069E9"/>
    <w:rsid w:val="00847AAC"/>
    <w:rsid w:val="00902253"/>
    <w:rsid w:val="00925627"/>
    <w:rsid w:val="0093101F"/>
    <w:rsid w:val="0097156E"/>
    <w:rsid w:val="00A9055C"/>
    <w:rsid w:val="00AB7F92"/>
    <w:rsid w:val="00AC39EE"/>
    <w:rsid w:val="00AF2EDC"/>
    <w:rsid w:val="00B41D84"/>
    <w:rsid w:val="00B47992"/>
    <w:rsid w:val="00BA0C7B"/>
    <w:rsid w:val="00BC4591"/>
    <w:rsid w:val="00C72A86"/>
    <w:rsid w:val="00CC5B9E"/>
    <w:rsid w:val="00CC7208"/>
    <w:rsid w:val="00CE6184"/>
    <w:rsid w:val="00D228F7"/>
    <w:rsid w:val="00D34E1C"/>
    <w:rsid w:val="00D95965"/>
    <w:rsid w:val="00DD55EB"/>
    <w:rsid w:val="00E2659D"/>
    <w:rsid w:val="00EC0F12"/>
    <w:rsid w:val="00ED59FA"/>
    <w:rsid w:val="00F544A0"/>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4E6FB"/>
  <w15:docId w15:val="{C86C9507-5E5A-4D11-8DE1-EBB106B3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nhideWhenUsed/>
    <w:rsid w:val="00F544A0"/>
    <w:rPr>
      <w:color w:val="0000FF" w:themeColor="hyperlink"/>
      <w:u w:val="single"/>
    </w:rPr>
  </w:style>
  <w:style w:type="character" w:styleId="UnresolvedMention">
    <w:name w:val="Unresolved Mention"/>
    <w:basedOn w:val="DefaultParagraphFont"/>
    <w:uiPriority w:val="99"/>
    <w:semiHidden/>
    <w:unhideWhenUsed/>
    <w:rsid w:val="00F544A0"/>
    <w:rPr>
      <w:color w:val="605E5C"/>
      <w:shd w:val="clear" w:color="auto" w:fill="E1DFDD"/>
    </w:rPr>
  </w:style>
  <w:style w:type="paragraph" w:customStyle="1" w:styleId="Reasons">
    <w:name w:val="Reasons"/>
    <w:basedOn w:val="Normal"/>
    <w:qFormat/>
    <w:rsid w:val="00F544A0"/>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harmful-interference-to-rnss/#/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7C4FA-E3CA-4BA7-BF73-727B4F56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Template>
  <TotalTime>25</TotalTime>
  <Pages>2</Pages>
  <Words>716</Words>
  <Characters>4236</Characters>
  <Application>Microsoft Office Word</Application>
  <DocSecurity>0</DocSecurity>
  <Lines>74</Lines>
  <Paragraphs>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BROUILLAGES PRÉJUDICIABLES CAUSÉS AU SERVICE DE RADIONAVIGATION PAR SATELLITE ET AUX RÉSEAUX À SATELLITE</dc:title>
  <dc:subject>GROUPE CONSULTATIF DES RADIOCOMMUNICATIONS</dc:subject>
  <dc:creator>Allemagne (République fédérale d'), Autriche, Belgique, Bulgarie (République de), Chypre (République de), Croatie (République de), Danemark, Espagne, Estonie (République d'), Finlande, France, Grèce, Irlande, Islande, Italie, Lettonie (République de), Lituanie (République de), Luxembourg, Malte, Moldova (République de), Norvège, Pays-Bas (Royaume des), Pologne (République de), Portugal, Roumanie, République slovaque, République tchèque, Slovénie (République de), Suède, Suisse (Confédération), Suède et Ukraine</dc:creator>
  <cp:keywords>RAG03-1</cp:keywords>
  <dc:description>Document RAG/78-F  For: _x000d_Document date: 16 mars 2026_x000d_Saved by ITU51017658 at 1:27:27 PM on 3/18/2026</dc:description>
  <cp:lastModifiedBy>French</cp:lastModifiedBy>
  <cp:revision>5</cp:revision>
  <cp:lastPrinted>1999-10-11T14:58:00Z</cp:lastPrinted>
  <dcterms:created xsi:type="dcterms:W3CDTF">2026-03-18T12:00:00Z</dcterms:created>
  <dcterms:modified xsi:type="dcterms:W3CDTF">2026-03-18T12:27:00Z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RAG/78-F</vt:lpwstr>
  </property>
  <property fmtid="{D5CDD505-2E9C-101B-9397-08002B2CF9AE}" pid="3" name="Docdate">
    <vt:lpwstr>16 mars 2026</vt:lpwstr>
  </property>
  <property fmtid="{D5CDD505-2E9C-101B-9397-08002B2CF9AE}" pid="4" name="Docorlang">
    <vt:lpwstr>Original: anglais</vt:lpwstr>
  </property>
  <property fmtid="{D5CDD505-2E9C-101B-9397-08002B2CF9AE}" pid="5" name="Docauthor">
    <vt:lpwstr>Allemagne (République fédérale d'), Autriche, Belgique, Bulgarie (République de), Chypre (République de), Croatie (République de), Danemark, Espagne, Estonie (République d'), Finlande, France, Grèce, Irlande, Islande, Italie, Lettonie (République de), Lituanie (République de), Luxembourg, Malte, Moldova (République de), Norvège, Pays-Bas (Royaume des), Pologne (République de), Portugal, Roumanie, République slovaque, République tchèque, Slovénie (République de), Suède, Suisse (Confédération), Suède et Ukraine</vt:lpwstr>
  </property>
</Properties>
</file>