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6B68ECD" w14:textId="77777777" w:rsidTr="001B4810">
        <w:trPr>
          <w:cantSplit/>
        </w:trPr>
        <w:tc>
          <w:tcPr>
            <w:tcW w:w="6771" w:type="dxa"/>
            <w:vAlign w:val="center"/>
          </w:tcPr>
          <w:p w14:paraId="60390450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06675F10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0EA2CEAB" wp14:editId="16DF3942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592DB48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4912BD5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304B70A8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127F4FA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9743EB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0B95F25B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5436CF3C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39203F51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2529EB5B" w14:textId="45030B5F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764552">
              <w:rPr>
                <w:rFonts w:ascii="Verdana" w:hAnsi="Verdana"/>
                <w:b/>
                <w:sz w:val="20"/>
                <w:lang w:eastAsia="zh-CN"/>
              </w:rPr>
              <w:t>78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03C44D3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55B90E15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375E1AF0" w14:textId="2026E215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764552">
              <w:rPr>
                <w:rFonts w:ascii="Verdana" w:hAnsi="Verdana"/>
                <w:b/>
                <w:sz w:val="20"/>
                <w:lang w:eastAsia="zh-CN"/>
              </w:rPr>
              <w:t>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A30B26">
              <w:rPr>
                <w:rFonts w:ascii="Verdana" w:hAnsi="Verdana" w:hint="eastAsia"/>
                <w:b/>
                <w:sz w:val="20"/>
                <w:lang w:eastAsia="zh-CN"/>
              </w:rPr>
              <w:t>3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764552">
              <w:rPr>
                <w:rFonts w:ascii="Verdana" w:hAnsi="Verdana"/>
                <w:b/>
                <w:sz w:val="20"/>
                <w:lang w:eastAsia="zh-CN"/>
              </w:rPr>
              <w:t>16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3DA4879B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329321D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2E7445BF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65B76C3D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BF30944" w14:textId="40DE2508" w:rsidR="00426448" w:rsidRPr="00D872CB" w:rsidRDefault="00764552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764552">
              <w:rPr>
                <w:rFonts w:hint="eastAsia"/>
                <w:bCs/>
                <w:color w:val="000000"/>
                <w:lang w:val="zh-CN" w:eastAsia="zh-CN"/>
              </w:rPr>
              <w:t>德意志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（</w:t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联邦共和国）、奥地利、比利时、保加利亚（共和国）、</w:t>
            </w:r>
            <w:r w:rsidR="00BA6E4B">
              <w:rPr>
                <w:bCs/>
                <w:color w:val="000000"/>
                <w:lang w:val="en-US" w:eastAsia="zh-CN"/>
              </w:rPr>
              <w:br/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塞浦路斯（共和国）、克罗地亚（共和国）、丹麦、西班牙、</w:t>
            </w:r>
            <w:r w:rsidR="00BA6E4B">
              <w:rPr>
                <w:bCs/>
                <w:color w:val="000000"/>
                <w:lang w:val="en-US" w:eastAsia="zh-CN"/>
              </w:rPr>
              <w:br/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爱沙尼亚（共和国）、芬兰、法国、希腊、爱尔兰、冰岛、意大利、</w:t>
            </w:r>
            <w:r w:rsidR="00BA6E4B">
              <w:rPr>
                <w:bCs/>
                <w:color w:val="000000"/>
                <w:lang w:val="en-US" w:eastAsia="zh-CN"/>
              </w:rPr>
              <w:br/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拉脱维亚（共和国）、立陶宛（共和国）、卢森堡、马耳他、</w:t>
            </w:r>
            <w:r w:rsidR="00BA6E4B">
              <w:rPr>
                <w:bCs/>
                <w:color w:val="000000"/>
                <w:lang w:val="en-US" w:eastAsia="zh-CN"/>
              </w:rPr>
              <w:br/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摩尔多瓦（共和国）、挪威、荷兰（王国）、波兰（共和国）、葡萄牙、</w:t>
            </w:r>
            <w:r w:rsidR="00BA6E4B">
              <w:rPr>
                <w:bCs/>
                <w:color w:val="000000"/>
                <w:lang w:val="en-US" w:eastAsia="zh-CN"/>
              </w:rPr>
              <w:br/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罗马尼亚、斯洛伐克共和国、捷克共和国、斯洛文尼亚（共和国）、</w:t>
            </w:r>
            <w:r w:rsidR="00BA6E4B">
              <w:rPr>
                <w:bCs/>
                <w:color w:val="000000"/>
                <w:lang w:val="en-US" w:eastAsia="zh-CN"/>
              </w:rPr>
              <w:br/>
            </w:r>
            <w:r w:rsidRPr="00764552">
              <w:rPr>
                <w:rFonts w:hint="eastAsia"/>
                <w:bCs/>
                <w:color w:val="000000"/>
                <w:lang w:val="zh-CN" w:eastAsia="zh-CN"/>
              </w:rPr>
              <w:t>瑞士（联邦）、瑞典和乌克兰</w:t>
            </w:r>
          </w:p>
        </w:tc>
      </w:tr>
      <w:tr w:rsidR="00BC195C" w:rsidRPr="00D872CB" w14:paraId="138ECBE1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48C047C9" w14:textId="7D49FEF8" w:rsidR="00E130B3" w:rsidRPr="00726BD1" w:rsidRDefault="00764552" w:rsidP="000A4F34">
            <w:pPr>
              <w:tabs>
                <w:tab w:val="left" w:pos="851"/>
                <w:tab w:val="left" w:pos="5670"/>
              </w:tabs>
              <w:spacing w:before="240" w:after="240"/>
              <w:jc w:val="center"/>
              <w:rPr>
                <w:sz w:val="28"/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sz w:val="28"/>
                <w:szCs w:val="28"/>
                <w:lang w:val="zh-CN" w:eastAsia="zh-CN"/>
              </w:rPr>
              <w:t>对</w:t>
            </w:r>
            <w:r w:rsidR="00415A9B" w:rsidRPr="00415A9B">
              <w:rPr>
                <w:rFonts w:hint="eastAsia"/>
                <w:sz w:val="28"/>
                <w:szCs w:val="28"/>
                <w:lang w:val="zh-CN" w:eastAsia="zh-CN"/>
              </w:rPr>
              <w:t>卫星无线电导航业务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RNSS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）和卫星网络的有害干扰</w:t>
            </w:r>
          </w:p>
        </w:tc>
      </w:tr>
    </w:tbl>
    <w:bookmarkEnd w:id="4"/>
    <w:p w14:paraId="11136FE8" w14:textId="3E393050" w:rsidR="005604A1" w:rsidRDefault="00460911" w:rsidP="00791F82">
      <w:pPr>
        <w:pStyle w:val="Headingb"/>
        <w:rPr>
          <w:lang w:val="zh-CN" w:eastAsia="zh-CN"/>
        </w:rPr>
      </w:pPr>
      <w:r>
        <w:rPr>
          <w:rFonts w:hint="eastAsia"/>
          <w:lang w:val="zh-CN" w:eastAsia="zh-CN"/>
        </w:rPr>
        <w:t>引言</w:t>
      </w:r>
    </w:p>
    <w:p w14:paraId="4B507911" w14:textId="7E00C0B9" w:rsidR="00764552" w:rsidRPr="00267AD2" w:rsidRDefault="00764552" w:rsidP="00431402">
      <w:pPr>
        <w:ind w:firstLineChars="200" w:firstLine="480"/>
        <w:rPr>
          <w:lang w:eastAsia="zh-CN"/>
        </w:rPr>
      </w:pPr>
      <w:r w:rsidRPr="00267AD2">
        <w:rPr>
          <w:rFonts w:hint="eastAsia"/>
          <w:lang w:eastAsia="zh-CN"/>
        </w:rPr>
        <w:t>对</w:t>
      </w:r>
      <w:r w:rsidR="00415A9B" w:rsidRPr="00267AD2">
        <w:rPr>
          <w:rFonts w:hint="eastAsia"/>
          <w:lang w:eastAsia="zh-CN"/>
        </w:rPr>
        <w:t>卫星无线电导航业务</w:t>
      </w:r>
      <w:r w:rsidRPr="00267AD2">
        <w:rPr>
          <w:rFonts w:hint="eastAsia"/>
          <w:lang w:eastAsia="zh-CN"/>
        </w:rPr>
        <w:t>（</w:t>
      </w:r>
      <w:r w:rsidRPr="00267AD2">
        <w:rPr>
          <w:rFonts w:hint="eastAsia"/>
          <w:lang w:eastAsia="zh-CN"/>
        </w:rPr>
        <w:t>RNSS</w:t>
      </w:r>
      <w:r w:rsidRPr="00267AD2">
        <w:rPr>
          <w:rFonts w:hint="eastAsia"/>
          <w:lang w:eastAsia="zh-CN"/>
        </w:rPr>
        <w:t>）的蓄意和持续干扰（包括</w:t>
      </w:r>
      <w:r w:rsidR="006D4A88" w:rsidRPr="00267AD2">
        <w:rPr>
          <w:rFonts w:hint="eastAsia"/>
          <w:lang w:eastAsia="zh-CN"/>
        </w:rPr>
        <w:t>干扰</w:t>
      </w:r>
      <w:r w:rsidRPr="00267AD2">
        <w:rPr>
          <w:rFonts w:hint="eastAsia"/>
          <w:lang w:eastAsia="zh-CN"/>
        </w:rPr>
        <w:t>和</w:t>
      </w:r>
      <w:r w:rsidR="006D4A88" w:rsidRPr="00267AD2">
        <w:rPr>
          <w:rFonts w:hint="eastAsia"/>
          <w:lang w:eastAsia="zh-CN"/>
        </w:rPr>
        <w:t>窃用</w:t>
      </w:r>
      <w:r w:rsidRPr="00267AD2">
        <w:rPr>
          <w:rFonts w:hint="eastAsia"/>
          <w:lang w:eastAsia="zh-CN"/>
        </w:rPr>
        <w:t>），以及</w:t>
      </w:r>
      <w:r w:rsidR="006D4A88" w:rsidRPr="00267AD2">
        <w:rPr>
          <w:rFonts w:hint="eastAsia"/>
          <w:lang w:eastAsia="zh-CN"/>
        </w:rPr>
        <w:t>影响</w:t>
      </w:r>
      <w:r w:rsidRPr="00267AD2">
        <w:rPr>
          <w:rFonts w:hint="eastAsia"/>
          <w:lang w:eastAsia="zh-CN"/>
        </w:rPr>
        <w:t>卫星网络的干扰</w:t>
      </w:r>
      <w:r w:rsidR="00493EDD" w:rsidRPr="00267AD2">
        <w:rPr>
          <w:rFonts w:hint="eastAsia"/>
          <w:lang w:eastAsia="zh-CN"/>
        </w:rPr>
        <w:t>案件</w:t>
      </w:r>
      <w:r w:rsidRPr="00267AD2">
        <w:rPr>
          <w:rFonts w:hint="eastAsia"/>
          <w:lang w:eastAsia="zh-CN"/>
        </w:rPr>
        <w:t>日益增多，</w:t>
      </w:r>
      <w:r w:rsidR="006D4A88" w:rsidRPr="00267AD2">
        <w:rPr>
          <w:rFonts w:hint="eastAsia"/>
          <w:lang w:eastAsia="zh-CN"/>
        </w:rPr>
        <w:t>对</w:t>
      </w:r>
      <w:r w:rsidRPr="00267AD2">
        <w:rPr>
          <w:rFonts w:hint="eastAsia"/>
          <w:lang w:eastAsia="zh-CN"/>
        </w:rPr>
        <w:t>若干</w:t>
      </w:r>
      <w:r w:rsidR="00F126A2" w:rsidRPr="00267AD2">
        <w:rPr>
          <w:rFonts w:hint="eastAsia"/>
          <w:lang w:val="en-US" w:eastAsia="zh-CN"/>
        </w:rPr>
        <w:t>区域</w:t>
      </w:r>
      <w:r w:rsidR="006D4A88" w:rsidRPr="00267AD2">
        <w:rPr>
          <w:rFonts w:hint="eastAsia"/>
          <w:lang w:eastAsia="zh-CN"/>
        </w:rPr>
        <w:t>的</w:t>
      </w:r>
      <w:r w:rsidRPr="00267AD2">
        <w:rPr>
          <w:rFonts w:hint="eastAsia"/>
          <w:lang w:eastAsia="zh-CN"/>
        </w:rPr>
        <w:t>安全、经济稳定和国家安全构成严重风险。这使该问题</w:t>
      </w:r>
      <w:r w:rsidR="006D4A88" w:rsidRPr="00267AD2">
        <w:rPr>
          <w:rFonts w:hint="eastAsia"/>
          <w:lang w:eastAsia="zh-CN"/>
        </w:rPr>
        <w:t>在</w:t>
      </w:r>
      <w:r w:rsidRPr="00267AD2">
        <w:rPr>
          <w:rFonts w:hint="eastAsia"/>
          <w:lang w:eastAsia="zh-CN"/>
        </w:rPr>
        <w:t>本质上成为一个国际频谱管理问题。</w:t>
      </w:r>
    </w:p>
    <w:p w14:paraId="3DBE8CEF" w14:textId="76EEC2B4" w:rsidR="00764552" w:rsidRPr="00267AD2" w:rsidRDefault="006D4A88" w:rsidP="00431402">
      <w:pPr>
        <w:ind w:firstLineChars="200" w:firstLine="480"/>
        <w:rPr>
          <w:lang w:eastAsia="zh-CN"/>
        </w:rPr>
      </w:pPr>
      <w:r w:rsidRPr="00267AD2">
        <w:rPr>
          <w:rFonts w:hint="eastAsia"/>
          <w:lang w:eastAsia="zh-CN"/>
        </w:rPr>
        <w:t>尽管如第</w:t>
      </w:r>
      <w:r w:rsidRPr="00267AD2">
        <w:rPr>
          <w:rFonts w:hint="eastAsia"/>
          <w:lang w:eastAsia="zh-CN"/>
        </w:rPr>
        <w:t>774</w:t>
      </w:r>
      <w:r w:rsidRPr="00267AD2">
        <w:rPr>
          <w:rFonts w:hint="eastAsia"/>
          <w:lang w:eastAsia="zh-CN"/>
        </w:rPr>
        <w:t>号决议（</w:t>
      </w:r>
      <w:r w:rsidR="00415A9B" w:rsidRPr="00267AD2">
        <w:rPr>
          <w:rFonts w:hint="eastAsia"/>
          <w:lang w:eastAsia="zh-CN"/>
        </w:rPr>
        <w:t>WRC-19</w:t>
      </w:r>
      <w:r w:rsidR="00415A9B" w:rsidRPr="00267AD2">
        <w:rPr>
          <w:rFonts w:hint="eastAsia"/>
          <w:lang w:eastAsia="zh-CN"/>
        </w:rPr>
        <w:t>）</w:t>
      </w:r>
      <w:r w:rsidRPr="00267AD2">
        <w:rPr>
          <w:rFonts w:hint="eastAsia"/>
          <w:lang w:eastAsia="zh-CN"/>
        </w:rPr>
        <w:t>和第</w:t>
      </w:r>
      <w:r w:rsidRPr="00267AD2">
        <w:rPr>
          <w:rFonts w:hint="eastAsia"/>
          <w:lang w:eastAsia="zh-CN"/>
        </w:rPr>
        <w:t>676</w:t>
      </w:r>
      <w:r w:rsidRPr="00267AD2">
        <w:rPr>
          <w:rFonts w:hint="eastAsia"/>
          <w:lang w:eastAsia="zh-CN"/>
        </w:rPr>
        <w:t>号决议（</w:t>
      </w:r>
      <w:r w:rsidR="00415A9B" w:rsidRPr="00267AD2">
        <w:rPr>
          <w:rFonts w:hint="eastAsia"/>
          <w:lang w:eastAsia="zh-CN"/>
        </w:rPr>
        <w:t>WRC-23</w:t>
      </w:r>
      <w:r w:rsidRPr="00267AD2">
        <w:rPr>
          <w:rFonts w:hint="eastAsia"/>
          <w:lang w:eastAsia="zh-CN"/>
        </w:rPr>
        <w:t>）反映的那样，</w:t>
      </w:r>
      <w:r w:rsidRPr="00267AD2">
        <w:rPr>
          <w:rFonts w:hint="eastAsia"/>
          <w:lang w:eastAsia="zh-CN"/>
        </w:rPr>
        <w:t>WRC-19</w:t>
      </w:r>
      <w:r w:rsidRPr="00267AD2">
        <w:rPr>
          <w:rFonts w:hint="eastAsia"/>
          <w:lang w:eastAsia="zh-CN"/>
        </w:rPr>
        <w:t>与</w:t>
      </w:r>
      <w:r w:rsidRPr="00267AD2">
        <w:rPr>
          <w:rFonts w:hint="eastAsia"/>
          <w:lang w:eastAsia="zh-CN"/>
        </w:rPr>
        <w:t>WRC-23</w:t>
      </w:r>
      <w:r w:rsidRPr="00267AD2">
        <w:rPr>
          <w:rFonts w:hint="eastAsia"/>
          <w:lang w:eastAsia="zh-CN"/>
        </w:rPr>
        <w:t>对</w:t>
      </w:r>
      <w:r w:rsidRPr="00267AD2">
        <w:rPr>
          <w:rFonts w:hint="eastAsia"/>
          <w:lang w:eastAsia="zh-CN"/>
        </w:rPr>
        <w:t>RNSS</w:t>
      </w:r>
      <w:r w:rsidRPr="00267AD2">
        <w:rPr>
          <w:rFonts w:hint="eastAsia"/>
          <w:lang w:eastAsia="zh-CN"/>
        </w:rPr>
        <w:t>干扰问题给予了关注，但仍不断有大量影响</w:t>
      </w:r>
      <w:r w:rsidRPr="00267AD2">
        <w:rPr>
          <w:rFonts w:hint="eastAsia"/>
          <w:lang w:eastAsia="zh-CN"/>
        </w:rPr>
        <w:t>RNSS</w:t>
      </w:r>
      <w:r w:rsidRPr="00267AD2">
        <w:rPr>
          <w:rFonts w:hint="eastAsia"/>
          <w:lang w:eastAsia="zh-CN"/>
        </w:rPr>
        <w:t>接收机</w:t>
      </w:r>
      <w:r w:rsidR="00FB14B8" w:rsidRPr="00267AD2">
        <w:rPr>
          <w:rFonts w:hint="eastAsia"/>
          <w:lang w:eastAsia="zh-CN"/>
        </w:rPr>
        <w:t>的</w:t>
      </w:r>
      <w:r w:rsidRPr="00267AD2">
        <w:rPr>
          <w:rFonts w:hint="eastAsia"/>
          <w:lang w:eastAsia="zh-CN"/>
        </w:rPr>
        <w:t>有害</w:t>
      </w:r>
      <w:r w:rsidR="00431402" w:rsidRPr="00267AD2">
        <w:rPr>
          <w:rFonts w:hint="eastAsia"/>
          <w:lang w:val="en-US" w:eastAsia="zh-CN"/>
        </w:rPr>
        <w:t>干扰</w:t>
      </w:r>
      <w:r w:rsidR="00493EDD" w:rsidRPr="00267AD2">
        <w:rPr>
          <w:rFonts w:hint="eastAsia"/>
          <w:lang w:eastAsia="zh-CN"/>
        </w:rPr>
        <w:t>案件</w:t>
      </w:r>
      <w:r w:rsidR="00FB14B8" w:rsidRPr="00267AD2">
        <w:rPr>
          <w:rFonts w:hint="eastAsia"/>
          <w:lang w:eastAsia="zh-CN"/>
        </w:rPr>
        <w:t>的</w:t>
      </w:r>
      <w:r w:rsidRPr="00267AD2">
        <w:rPr>
          <w:rFonts w:hint="eastAsia"/>
          <w:lang w:eastAsia="zh-CN"/>
        </w:rPr>
        <w:t>报告。这些</w:t>
      </w:r>
      <w:r w:rsidR="00493EDD" w:rsidRPr="00267AD2">
        <w:rPr>
          <w:rFonts w:hint="eastAsia"/>
          <w:lang w:eastAsia="zh-CN"/>
        </w:rPr>
        <w:t>案件</w:t>
      </w:r>
      <w:r w:rsidR="0075779F" w:rsidRPr="00267AD2">
        <w:rPr>
          <w:rFonts w:hint="eastAsia"/>
          <w:lang w:eastAsia="zh-CN"/>
        </w:rPr>
        <w:t>对民用航空、水上运输以及其他业务和日常活动造成了严重破坏，违反了第</w:t>
      </w:r>
      <w:r w:rsidR="0075779F" w:rsidRPr="00267AD2">
        <w:rPr>
          <w:rFonts w:hint="eastAsia"/>
          <w:lang w:eastAsia="zh-CN"/>
        </w:rPr>
        <w:t>676</w:t>
      </w:r>
      <w:r w:rsidR="0075779F" w:rsidRPr="00267AD2">
        <w:rPr>
          <w:rFonts w:hint="eastAsia"/>
          <w:lang w:eastAsia="zh-CN"/>
        </w:rPr>
        <w:t>号决议（</w:t>
      </w:r>
      <w:r w:rsidR="0075779F" w:rsidRPr="00267AD2">
        <w:rPr>
          <w:rFonts w:hint="eastAsia"/>
          <w:lang w:eastAsia="zh-CN"/>
        </w:rPr>
        <w:t>WRC-23</w:t>
      </w:r>
      <w:r w:rsidR="0075779F" w:rsidRPr="00267AD2">
        <w:rPr>
          <w:rFonts w:hint="eastAsia"/>
          <w:lang w:eastAsia="zh-CN"/>
        </w:rPr>
        <w:t>）、国际电联《组织法》第</w:t>
      </w:r>
      <w:r w:rsidR="0075779F" w:rsidRPr="00267AD2">
        <w:rPr>
          <w:rFonts w:hint="eastAsia"/>
          <w:lang w:eastAsia="zh-CN"/>
        </w:rPr>
        <w:t>45</w:t>
      </w:r>
      <w:r w:rsidR="0075779F" w:rsidRPr="00267AD2">
        <w:rPr>
          <w:rFonts w:hint="eastAsia"/>
          <w:lang w:eastAsia="zh-CN"/>
        </w:rPr>
        <w:t>、</w:t>
      </w:r>
      <w:r w:rsidR="0075779F" w:rsidRPr="00267AD2">
        <w:rPr>
          <w:rFonts w:hint="eastAsia"/>
          <w:lang w:eastAsia="zh-CN"/>
        </w:rPr>
        <w:t>47</w:t>
      </w:r>
      <w:r w:rsidR="0075779F" w:rsidRPr="00267AD2">
        <w:rPr>
          <w:rFonts w:hint="eastAsia"/>
          <w:lang w:eastAsia="zh-CN"/>
        </w:rPr>
        <w:t>和</w:t>
      </w:r>
      <w:r w:rsidR="0075779F" w:rsidRPr="00267AD2">
        <w:rPr>
          <w:rFonts w:hint="eastAsia"/>
          <w:lang w:eastAsia="zh-CN"/>
        </w:rPr>
        <w:t>48</w:t>
      </w:r>
      <w:r w:rsidR="0075779F" w:rsidRPr="00267AD2">
        <w:rPr>
          <w:rFonts w:hint="eastAsia"/>
          <w:lang w:eastAsia="zh-CN"/>
        </w:rPr>
        <w:t>条以及第</w:t>
      </w:r>
      <w:r w:rsidR="0075779F" w:rsidRPr="00267AD2">
        <w:rPr>
          <w:rFonts w:hint="eastAsia"/>
          <w:lang w:eastAsia="zh-CN"/>
        </w:rPr>
        <w:t>216</w:t>
      </w:r>
      <w:r w:rsidR="0075779F" w:rsidRPr="00267AD2">
        <w:rPr>
          <w:rFonts w:hint="eastAsia"/>
          <w:lang w:eastAsia="zh-CN"/>
        </w:rPr>
        <w:t>号决议（</w:t>
      </w:r>
      <w:r w:rsidR="00415A9B" w:rsidRPr="00267AD2">
        <w:rPr>
          <w:rFonts w:hint="eastAsia"/>
          <w:lang w:eastAsia="zh-CN"/>
        </w:rPr>
        <w:t>PP-2</w:t>
      </w:r>
      <w:r w:rsidR="00E660E9" w:rsidRPr="00267AD2">
        <w:rPr>
          <w:rFonts w:hint="eastAsia"/>
          <w:lang w:eastAsia="zh-CN"/>
        </w:rPr>
        <w:t>2</w:t>
      </w:r>
      <w:r w:rsidR="0075779F" w:rsidRPr="00267AD2">
        <w:rPr>
          <w:rFonts w:hint="eastAsia"/>
          <w:lang w:eastAsia="zh-CN"/>
        </w:rPr>
        <w:t>）。</w:t>
      </w:r>
      <w:r w:rsidR="0075779F" w:rsidRPr="00267AD2">
        <w:rPr>
          <w:rFonts w:hint="eastAsia"/>
          <w:lang w:eastAsia="zh-CN"/>
        </w:rPr>
        <w:t>2025</w:t>
      </w:r>
      <w:r w:rsidR="0075779F" w:rsidRPr="00267AD2">
        <w:rPr>
          <w:rFonts w:hint="eastAsia"/>
          <w:lang w:eastAsia="zh-CN"/>
        </w:rPr>
        <w:t>年</w:t>
      </w:r>
      <w:r w:rsidR="0075779F" w:rsidRPr="00267AD2">
        <w:rPr>
          <w:rFonts w:hint="eastAsia"/>
          <w:lang w:eastAsia="zh-CN"/>
        </w:rPr>
        <w:t>3</w:t>
      </w:r>
      <w:r w:rsidR="0075779F" w:rsidRPr="00267AD2">
        <w:rPr>
          <w:rFonts w:hint="eastAsia"/>
          <w:lang w:eastAsia="zh-CN"/>
        </w:rPr>
        <w:t>月</w:t>
      </w:r>
      <w:r w:rsidR="0075779F" w:rsidRPr="00267AD2">
        <w:rPr>
          <w:rFonts w:hint="eastAsia"/>
          <w:lang w:eastAsia="zh-CN"/>
        </w:rPr>
        <w:t>25</w:t>
      </w:r>
      <w:r w:rsidR="0075779F" w:rsidRPr="00267AD2">
        <w:rPr>
          <w:rFonts w:hint="eastAsia"/>
          <w:lang w:eastAsia="zh-CN"/>
        </w:rPr>
        <w:t>日，国际电信联盟（国际电联）、国际民用航空组织（</w:t>
      </w:r>
      <w:r w:rsidR="0075779F" w:rsidRPr="00267AD2">
        <w:rPr>
          <w:rFonts w:hint="eastAsia"/>
          <w:lang w:eastAsia="zh-CN"/>
        </w:rPr>
        <w:t>ICAO</w:t>
      </w:r>
      <w:r w:rsidR="0075779F" w:rsidRPr="00267AD2">
        <w:rPr>
          <w:rFonts w:hint="eastAsia"/>
          <w:lang w:eastAsia="zh-CN"/>
        </w:rPr>
        <w:t>）和国际海事组织（</w:t>
      </w:r>
      <w:r w:rsidR="0075779F" w:rsidRPr="00267AD2">
        <w:rPr>
          <w:rFonts w:hint="eastAsia"/>
          <w:lang w:eastAsia="zh-CN"/>
        </w:rPr>
        <w:t>IMO</w:t>
      </w:r>
      <w:r w:rsidR="0075779F" w:rsidRPr="00267AD2">
        <w:rPr>
          <w:rFonts w:hint="eastAsia"/>
          <w:lang w:eastAsia="zh-CN"/>
        </w:rPr>
        <w:t>）</w:t>
      </w:r>
      <w:r w:rsidR="001E028D" w:rsidRPr="00267AD2">
        <w:rPr>
          <w:rFonts w:hint="eastAsia"/>
          <w:lang w:eastAsia="zh-CN"/>
        </w:rPr>
        <w:t>针对日益增多的有害干扰案件</w:t>
      </w:r>
      <w:r w:rsidR="0075779F" w:rsidRPr="00267AD2">
        <w:rPr>
          <w:rFonts w:hint="eastAsia"/>
          <w:lang w:eastAsia="zh-CN"/>
        </w:rPr>
        <w:t>发表联合声明，强调了此类干扰对航空、水上和其他卫星电信业务构成的风险。</w:t>
      </w:r>
    </w:p>
    <w:p w14:paraId="0A27D6BC" w14:textId="53CE2A8A" w:rsidR="0075779F" w:rsidRPr="00267AD2" w:rsidRDefault="0075779F" w:rsidP="00431402">
      <w:pPr>
        <w:ind w:firstLineChars="200" w:firstLine="480"/>
        <w:rPr>
          <w:lang w:eastAsia="zh-CN"/>
        </w:rPr>
      </w:pPr>
      <w:r w:rsidRPr="00267AD2">
        <w:rPr>
          <w:rFonts w:hint="eastAsia"/>
          <w:lang w:eastAsia="zh-CN"/>
        </w:rPr>
        <w:t>在过去的几年中，无线电规则委员会（</w:t>
      </w:r>
      <w:r w:rsidRPr="00267AD2">
        <w:rPr>
          <w:rFonts w:hint="eastAsia"/>
          <w:lang w:eastAsia="zh-CN"/>
        </w:rPr>
        <w:t>R</w:t>
      </w:r>
      <w:r w:rsidR="00D5228B" w:rsidRPr="00267AD2">
        <w:rPr>
          <w:rFonts w:hint="eastAsia"/>
          <w:lang w:eastAsia="zh-CN"/>
        </w:rPr>
        <w:t>RB</w:t>
      </w:r>
      <w:r w:rsidRPr="00267AD2">
        <w:rPr>
          <w:rFonts w:hint="eastAsia"/>
          <w:lang w:eastAsia="zh-CN"/>
        </w:rPr>
        <w:t>）根据各主管部门提供的资料，审查了大量有关影响</w:t>
      </w:r>
      <w:r w:rsidRPr="00267AD2">
        <w:rPr>
          <w:rFonts w:hint="eastAsia"/>
          <w:lang w:eastAsia="zh-CN"/>
        </w:rPr>
        <w:t>RNSS</w:t>
      </w:r>
      <w:r w:rsidRPr="00267AD2">
        <w:rPr>
          <w:rFonts w:hint="eastAsia"/>
          <w:lang w:eastAsia="zh-CN"/>
        </w:rPr>
        <w:t>接收机和卫星网络的有害干扰报告。</w:t>
      </w:r>
      <w:r w:rsidRPr="00267AD2">
        <w:rPr>
          <w:rFonts w:hint="eastAsia"/>
          <w:lang w:eastAsia="zh-CN"/>
        </w:rPr>
        <w:t>R</w:t>
      </w:r>
      <w:r w:rsidR="00D5228B" w:rsidRPr="00267AD2">
        <w:rPr>
          <w:rFonts w:hint="eastAsia"/>
          <w:lang w:eastAsia="zh-CN"/>
        </w:rPr>
        <w:t>RB</w:t>
      </w:r>
      <w:r w:rsidRPr="00267AD2">
        <w:rPr>
          <w:rFonts w:hint="eastAsia"/>
          <w:lang w:eastAsia="zh-CN"/>
        </w:rPr>
        <w:t>重申，主管部门有义务立即停止对</w:t>
      </w:r>
      <w:r w:rsidRPr="00267AD2">
        <w:rPr>
          <w:rFonts w:hint="eastAsia"/>
          <w:lang w:eastAsia="zh-CN"/>
        </w:rPr>
        <w:t>RNSS</w:t>
      </w:r>
      <w:r w:rsidRPr="00267AD2">
        <w:rPr>
          <w:rFonts w:hint="eastAsia"/>
          <w:lang w:eastAsia="zh-CN"/>
        </w:rPr>
        <w:t>安全业务的任何有害干扰源，紧急合作解决有害干扰案件，强调两国之间的军事冲突不能成为不遵守国际电联义务</w:t>
      </w:r>
      <w:r w:rsidR="00415A9B" w:rsidRPr="00267AD2">
        <w:rPr>
          <w:rFonts w:hint="eastAsia"/>
          <w:lang w:eastAsia="zh-CN"/>
        </w:rPr>
        <w:t>的理由</w:t>
      </w:r>
      <w:r w:rsidR="00431402" w:rsidRPr="00267AD2">
        <w:rPr>
          <w:rFonts w:hint="eastAsia"/>
          <w:lang w:eastAsia="zh-CN"/>
        </w:rPr>
        <w:t>，</w:t>
      </w:r>
      <w:r w:rsidR="00493EDD" w:rsidRPr="00267AD2">
        <w:rPr>
          <w:rFonts w:hint="eastAsia"/>
          <w:lang w:eastAsia="zh-CN"/>
        </w:rPr>
        <w:t>也不能成为采取危及</w:t>
      </w:r>
      <w:r w:rsidR="001E028D" w:rsidRPr="00267AD2">
        <w:rPr>
          <w:rFonts w:hint="eastAsia"/>
          <w:lang w:eastAsia="zh-CN"/>
        </w:rPr>
        <w:t>作为</w:t>
      </w:r>
      <w:r w:rsidR="00493EDD" w:rsidRPr="00267AD2">
        <w:rPr>
          <w:rFonts w:hint="eastAsia"/>
          <w:lang w:eastAsia="zh-CN"/>
        </w:rPr>
        <w:t>非冲突当事方其他主管部门关键基础设施和生命安全之行动的借口。</w:t>
      </w:r>
      <w:r w:rsidR="00431402" w:rsidRPr="00267AD2">
        <w:rPr>
          <w:rStyle w:val="FootnoteReference"/>
          <w:kern w:val="2"/>
          <w:szCs w:val="24"/>
          <w14:ligatures w14:val="standardContextual"/>
        </w:rPr>
        <w:footnoteReference w:id="1"/>
      </w:r>
    </w:p>
    <w:p w14:paraId="0326D885" w14:textId="2BE19761" w:rsidR="00493EDD" w:rsidRPr="00764552" w:rsidRDefault="00493EDD" w:rsidP="00415A9B">
      <w:pPr>
        <w:ind w:firstLineChars="200" w:firstLine="480"/>
        <w:rPr>
          <w:lang w:eastAsia="zh-CN"/>
        </w:rPr>
      </w:pPr>
      <w:r w:rsidRPr="00267AD2">
        <w:rPr>
          <w:rFonts w:hint="eastAsia"/>
          <w:lang w:eastAsia="zh-CN"/>
        </w:rPr>
        <w:t>尽管无线电通信局和无线电规则委员会已多次处理该问题，确定了对有害干扰负有责任的主管部门并呼吁停止该干扰，但影响</w:t>
      </w:r>
      <w:r w:rsidRPr="00267AD2">
        <w:rPr>
          <w:rFonts w:hint="eastAsia"/>
          <w:lang w:eastAsia="zh-CN"/>
        </w:rPr>
        <w:t>RNSS</w:t>
      </w:r>
      <w:r w:rsidRPr="00267AD2">
        <w:rPr>
          <w:rFonts w:hint="eastAsia"/>
          <w:lang w:eastAsia="zh-CN"/>
        </w:rPr>
        <w:t>和卫星业务的持续干扰表明</w:t>
      </w:r>
      <w:r w:rsidRPr="00493EDD">
        <w:rPr>
          <w:rFonts w:hint="eastAsia"/>
          <w:lang w:eastAsia="zh-CN"/>
        </w:rPr>
        <w:t>，此事需要国际电</w:t>
      </w:r>
      <w:r w:rsidRPr="00493EDD">
        <w:rPr>
          <w:rFonts w:hint="eastAsia"/>
          <w:lang w:eastAsia="zh-CN"/>
        </w:rPr>
        <w:lastRenderedPageBreak/>
        <w:t>联采取强有力而紧急的行动，以确保其规则得到遵守，并终止对国际电联</w:t>
      </w:r>
      <w:r w:rsidR="00431402">
        <w:rPr>
          <w:rFonts w:hint="eastAsia"/>
          <w:lang w:eastAsia="zh-CN"/>
        </w:rPr>
        <w:t>成员</w:t>
      </w:r>
      <w:r w:rsidRPr="00493EDD">
        <w:rPr>
          <w:rFonts w:hint="eastAsia"/>
          <w:lang w:eastAsia="zh-CN"/>
        </w:rPr>
        <w:t>国造成的有害影响。</w:t>
      </w:r>
    </w:p>
    <w:p w14:paraId="2DACC6C2" w14:textId="2A21A311" w:rsidR="005604A1" w:rsidRPr="00C3209B" w:rsidRDefault="00415A9B" w:rsidP="00E948FA">
      <w:pPr>
        <w:pStyle w:val="Headingb"/>
        <w:rPr>
          <w:lang w:eastAsia="zh-CN"/>
        </w:rPr>
      </w:pPr>
      <w:r>
        <w:rPr>
          <w:rFonts w:hint="eastAsia"/>
          <w:lang w:val="zh-CN" w:eastAsia="zh-CN"/>
        </w:rPr>
        <w:t>提案</w:t>
      </w:r>
    </w:p>
    <w:p w14:paraId="46DA0A02" w14:textId="7E665212" w:rsidR="00493EDD" w:rsidRPr="00493EDD" w:rsidRDefault="00493EDD" w:rsidP="00431402">
      <w:pPr>
        <w:ind w:firstLineChars="200" w:firstLine="480"/>
        <w:rPr>
          <w:lang w:eastAsia="zh-CN"/>
        </w:rPr>
      </w:pPr>
      <w:r w:rsidRPr="00493EDD">
        <w:rPr>
          <w:rFonts w:hint="eastAsia"/>
          <w:lang w:eastAsia="zh-CN"/>
        </w:rPr>
        <w:t>提交本</w:t>
      </w:r>
      <w:r w:rsidR="00431402">
        <w:rPr>
          <w:rFonts w:hint="eastAsia"/>
          <w:lang w:eastAsia="zh-CN"/>
        </w:rPr>
        <w:t>文稿</w:t>
      </w:r>
      <w:r w:rsidRPr="00493EDD">
        <w:rPr>
          <w:rFonts w:hint="eastAsia"/>
          <w:lang w:eastAsia="zh-CN"/>
        </w:rPr>
        <w:t>的国家希望提请无线电</w:t>
      </w:r>
      <w:r w:rsidR="00431402">
        <w:rPr>
          <w:rFonts w:hint="eastAsia"/>
          <w:lang w:eastAsia="zh-CN"/>
        </w:rPr>
        <w:t>通信</w:t>
      </w:r>
      <w:r>
        <w:rPr>
          <w:rFonts w:hint="eastAsia"/>
          <w:lang w:eastAsia="zh-CN"/>
        </w:rPr>
        <w:t>顾问组</w:t>
      </w:r>
      <w:r w:rsidRPr="00493EDD">
        <w:rPr>
          <w:rFonts w:hint="eastAsia"/>
          <w:lang w:eastAsia="zh-CN"/>
        </w:rPr>
        <w:t>（</w:t>
      </w:r>
      <w:r w:rsidRPr="00493EDD">
        <w:rPr>
          <w:rFonts w:hint="eastAsia"/>
          <w:lang w:eastAsia="zh-CN"/>
        </w:rPr>
        <w:t>RAG</w:t>
      </w:r>
      <w:r w:rsidRPr="00493EDD">
        <w:rPr>
          <w:rFonts w:hint="eastAsia"/>
          <w:lang w:eastAsia="zh-CN"/>
        </w:rPr>
        <w:t>）注意</w:t>
      </w:r>
      <w:r>
        <w:rPr>
          <w:rFonts w:hint="eastAsia"/>
          <w:lang w:eastAsia="zh-CN"/>
        </w:rPr>
        <w:t>，</w:t>
      </w:r>
      <w:r w:rsidRPr="00493EDD">
        <w:rPr>
          <w:rFonts w:hint="eastAsia"/>
          <w:lang w:eastAsia="zh-CN"/>
        </w:rPr>
        <w:t>尽管成员国和无线电通信局已</w:t>
      </w:r>
      <w:proofErr w:type="gramStart"/>
      <w:r w:rsidRPr="00493EDD">
        <w:rPr>
          <w:rFonts w:hint="eastAsia"/>
          <w:lang w:eastAsia="zh-CN"/>
        </w:rPr>
        <w:t>作出</w:t>
      </w:r>
      <w:proofErr w:type="gramEnd"/>
      <w:r w:rsidRPr="00493EDD">
        <w:rPr>
          <w:rFonts w:hint="eastAsia"/>
          <w:lang w:eastAsia="zh-CN"/>
        </w:rPr>
        <w:t>努力，影响</w:t>
      </w:r>
      <w:r w:rsidRPr="00493EDD">
        <w:rPr>
          <w:rFonts w:hint="eastAsia"/>
          <w:lang w:eastAsia="zh-CN"/>
        </w:rPr>
        <w:t>RNSS</w:t>
      </w:r>
      <w:r w:rsidRPr="00493EDD">
        <w:rPr>
          <w:rFonts w:hint="eastAsia"/>
          <w:lang w:eastAsia="zh-CN"/>
        </w:rPr>
        <w:t>和卫星业务的持续蓄意干扰仍然存在。这种干扰继续对</w:t>
      </w:r>
      <w:r w:rsidR="00415A9B">
        <w:rPr>
          <w:rFonts w:hint="eastAsia"/>
          <w:lang w:eastAsia="zh-CN"/>
        </w:rPr>
        <w:t>空中</w:t>
      </w:r>
      <w:r w:rsidRPr="00493EDD">
        <w:rPr>
          <w:rFonts w:hint="eastAsia"/>
          <w:lang w:eastAsia="zh-CN"/>
        </w:rPr>
        <w:t>交通、</w:t>
      </w:r>
      <w:r w:rsidR="00431402">
        <w:rPr>
          <w:rFonts w:hint="eastAsia"/>
          <w:lang w:eastAsia="zh-CN"/>
        </w:rPr>
        <w:t>水上</w:t>
      </w:r>
      <w:r w:rsidRPr="00493EDD">
        <w:rPr>
          <w:rFonts w:hint="eastAsia"/>
          <w:lang w:eastAsia="zh-CN"/>
        </w:rPr>
        <w:t>运输以及其他部门和活动造成不利影响，例如使用</w:t>
      </w:r>
      <w:r w:rsidR="00415A9B">
        <w:rPr>
          <w:rFonts w:hint="eastAsia"/>
          <w:lang w:eastAsia="zh-CN"/>
        </w:rPr>
        <w:t>GNSS</w:t>
      </w:r>
      <w:r w:rsidRPr="00493EDD">
        <w:rPr>
          <w:rFonts w:hint="eastAsia"/>
          <w:lang w:eastAsia="zh-CN"/>
        </w:rPr>
        <w:t>定位的农业机械、移动网络，以及应急和公共安全业务的运行。</w:t>
      </w:r>
    </w:p>
    <w:p w14:paraId="0A78340B" w14:textId="4E1F3F49" w:rsidR="005604A1" w:rsidRDefault="00172B0B" w:rsidP="00431402">
      <w:pPr>
        <w:ind w:firstLineChars="200" w:firstLine="480"/>
        <w:rPr>
          <w:lang w:val="en-US" w:eastAsia="zh-CN"/>
        </w:rPr>
      </w:pPr>
      <w:r w:rsidRPr="00172B0B">
        <w:rPr>
          <w:rFonts w:hint="eastAsia"/>
          <w:lang w:eastAsia="zh-CN"/>
        </w:rPr>
        <w:t>在解决对</w:t>
      </w:r>
      <w:r w:rsidRPr="00172B0B">
        <w:rPr>
          <w:rFonts w:hint="eastAsia"/>
          <w:lang w:eastAsia="zh-CN"/>
        </w:rPr>
        <w:t>RNSS</w:t>
      </w:r>
      <w:r w:rsidRPr="00172B0B">
        <w:rPr>
          <w:rFonts w:hint="eastAsia"/>
          <w:lang w:eastAsia="zh-CN"/>
        </w:rPr>
        <w:t>和卫星业务的干扰</w:t>
      </w:r>
      <w:r>
        <w:rPr>
          <w:rFonts w:hint="eastAsia"/>
          <w:lang w:eastAsia="zh-CN"/>
        </w:rPr>
        <w:t>问题</w:t>
      </w:r>
      <w:r w:rsidRPr="00172B0B">
        <w:rPr>
          <w:rFonts w:hint="eastAsia"/>
          <w:lang w:eastAsia="zh-CN"/>
        </w:rPr>
        <w:t>时，提交</w:t>
      </w:r>
      <w:r>
        <w:rPr>
          <w:rFonts w:hint="eastAsia"/>
          <w:lang w:eastAsia="zh-CN"/>
        </w:rPr>
        <w:t>本</w:t>
      </w:r>
      <w:r w:rsidRPr="00172B0B">
        <w:rPr>
          <w:rFonts w:hint="eastAsia"/>
          <w:lang w:eastAsia="zh-CN"/>
        </w:rPr>
        <w:t>文稿的国家要求</w:t>
      </w:r>
      <w:r w:rsidRPr="00172B0B">
        <w:rPr>
          <w:rFonts w:hint="eastAsia"/>
          <w:lang w:eastAsia="zh-CN"/>
        </w:rPr>
        <w:t>RAG</w:t>
      </w:r>
      <w:r w:rsidRPr="00172B0B">
        <w:rPr>
          <w:rFonts w:hint="eastAsia"/>
          <w:lang w:eastAsia="zh-CN"/>
        </w:rPr>
        <w:t>根据其</w:t>
      </w:r>
      <w:r>
        <w:rPr>
          <w:rFonts w:hint="eastAsia"/>
          <w:lang w:eastAsia="zh-CN"/>
        </w:rPr>
        <w:t>职权</w:t>
      </w:r>
      <w:r w:rsidRPr="00172B0B">
        <w:rPr>
          <w:rFonts w:hint="eastAsia"/>
          <w:lang w:eastAsia="zh-CN"/>
        </w:rPr>
        <w:t>，与无线</w:t>
      </w:r>
      <w:r w:rsidR="00415A9B">
        <w:rPr>
          <w:rFonts w:hint="eastAsia"/>
          <w:lang w:eastAsia="zh-CN"/>
        </w:rPr>
        <w:t>电</w:t>
      </w:r>
      <w:r w:rsidRPr="00172B0B">
        <w:rPr>
          <w:rFonts w:hint="eastAsia"/>
          <w:lang w:eastAsia="zh-CN"/>
        </w:rPr>
        <w:t>通信局（</w:t>
      </w:r>
      <w:r w:rsidRPr="00172B0B">
        <w:rPr>
          <w:rFonts w:hint="eastAsia"/>
          <w:lang w:eastAsia="zh-CN"/>
        </w:rPr>
        <w:t>BR</w:t>
      </w:r>
      <w:r w:rsidRPr="00172B0B">
        <w:rPr>
          <w:rFonts w:hint="eastAsia"/>
          <w:lang w:eastAsia="zh-CN"/>
        </w:rPr>
        <w:t>）和无线电规则委员会（</w:t>
      </w:r>
      <w:r w:rsidRPr="00172B0B">
        <w:rPr>
          <w:rFonts w:hint="eastAsia"/>
          <w:lang w:eastAsia="zh-CN"/>
        </w:rPr>
        <w:t>RRB</w:t>
      </w:r>
      <w:r w:rsidRPr="00172B0B">
        <w:rPr>
          <w:rFonts w:hint="eastAsia"/>
          <w:lang w:eastAsia="zh-CN"/>
        </w:rPr>
        <w:t>）保持密切协调，并在其会议上</w:t>
      </w:r>
      <w:r>
        <w:rPr>
          <w:rFonts w:hint="eastAsia"/>
          <w:lang w:eastAsia="zh-CN"/>
        </w:rPr>
        <w:t>妥善处理</w:t>
      </w:r>
      <w:r w:rsidRPr="00172B0B">
        <w:rPr>
          <w:rFonts w:hint="eastAsia"/>
          <w:lang w:eastAsia="zh-CN"/>
        </w:rPr>
        <w:t>有害干扰问题。这应包括在筹备</w:t>
      </w:r>
      <w:r w:rsidRPr="00172B0B">
        <w:rPr>
          <w:rFonts w:hint="eastAsia"/>
          <w:lang w:eastAsia="zh-CN"/>
        </w:rPr>
        <w:t>WRC-27</w:t>
      </w:r>
      <w:r w:rsidRPr="00172B0B">
        <w:rPr>
          <w:rFonts w:hint="eastAsia"/>
          <w:lang w:eastAsia="zh-CN"/>
        </w:rPr>
        <w:t>的背景下</w:t>
      </w:r>
      <w:r>
        <w:rPr>
          <w:rFonts w:hint="eastAsia"/>
          <w:lang w:eastAsia="zh-CN"/>
        </w:rPr>
        <w:t>审议</w:t>
      </w:r>
      <w:r w:rsidRPr="00172B0B">
        <w:rPr>
          <w:rFonts w:hint="eastAsia"/>
          <w:lang w:eastAsia="zh-CN"/>
        </w:rPr>
        <w:t>此事项，这对于加强</w:t>
      </w:r>
      <w:r w:rsidR="00431402">
        <w:rPr>
          <w:rFonts w:hint="eastAsia"/>
          <w:lang w:eastAsia="zh-CN"/>
        </w:rPr>
        <w:t>监管</w:t>
      </w:r>
      <w:r w:rsidRPr="00172B0B">
        <w:rPr>
          <w:rFonts w:hint="eastAsia"/>
          <w:lang w:eastAsia="zh-CN"/>
        </w:rPr>
        <w:t>框架、加强对</w:t>
      </w:r>
      <w:r w:rsidR="00415A9B" w:rsidRPr="00415A9B">
        <w:rPr>
          <w:rFonts w:hint="eastAsia"/>
          <w:lang w:eastAsia="zh-CN"/>
        </w:rPr>
        <w:t>卫星无线电导航业务</w:t>
      </w:r>
      <w:r w:rsidRPr="00172B0B">
        <w:rPr>
          <w:rFonts w:hint="eastAsia"/>
          <w:lang w:eastAsia="zh-CN"/>
        </w:rPr>
        <w:t>的保护以及促进国际合作以确保所有</w:t>
      </w:r>
      <w:r w:rsidR="00FC7A32">
        <w:rPr>
          <w:rFonts w:hint="eastAsia"/>
          <w:lang w:eastAsia="zh-CN"/>
        </w:rPr>
        <w:t>行业的</w:t>
      </w:r>
      <w:r w:rsidRPr="00172B0B">
        <w:rPr>
          <w:rFonts w:hint="eastAsia"/>
          <w:lang w:eastAsia="zh-CN"/>
        </w:rPr>
        <w:t>RNSS</w:t>
      </w:r>
      <w:r w:rsidRPr="00172B0B">
        <w:rPr>
          <w:rFonts w:hint="eastAsia"/>
          <w:lang w:eastAsia="zh-CN"/>
        </w:rPr>
        <w:t>和卫星的持续</w:t>
      </w:r>
      <w:r w:rsidR="00FC7A32">
        <w:rPr>
          <w:rFonts w:hint="eastAsia"/>
          <w:lang w:eastAsia="zh-CN"/>
        </w:rPr>
        <w:t>可用</w:t>
      </w:r>
      <w:r w:rsidR="00431402">
        <w:rPr>
          <w:rFonts w:hint="eastAsia"/>
          <w:lang w:eastAsia="zh-CN"/>
        </w:rPr>
        <w:t>性</w:t>
      </w:r>
      <w:r w:rsidRPr="00172B0B">
        <w:rPr>
          <w:rFonts w:hint="eastAsia"/>
          <w:lang w:eastAsia="zh-CN"/>
        </w:rPr>
        <w:t>、完整性和可信</w:t>
      </w:r>
      <w:r w:rsidR="00431402">
        <w:rPr>
          <w:rFonts w:hint="eastAsia"/>
          <w:lang w:eastAsia="zh-CN"/>
        </w:rPr>
        <w:t>度</w:t>
      </w:r>
      <w:r w:rsidRPr="00172B0B">
        <w:rPr>
          <w:rFonts w:hint="eastAsia"/>
          <w:lang w:eastAsia="zh-CN"/>
        </w:rPr>
        <w:t>至关重要。</w:t>
      </w:r>
    </w:p>
    <w:p w14:paraId="2F8D4470" w14:textId="77777777" w:rsidR="00BC4B77" w:rsidRPr="00BC4B77" w:rsidRDefault="00BC4B77" w:rsidP="00BC4B77">
      <w:pPr>
        <w:rPr>
          <w:lang w:val="en-US" w:eastAsia="zh-CN"/>
        </w:rPr>
      </w:pPr>
    </w:p>
    <w:p w14:paraId="05E424A8" w14:textId="77777777" w:rsidR="005604A1" w:rsidRDefault="005604A1" w:rsidP="005604A1">
      <w:pPr>
        <w:jc w:val="center"/>
      </w:pPr>
      <w:r>
        <w:rPr>
          <w:lang w:val="zh-CN"/>
        </w:rPr>
        <w:t>______________</w:t>
      </w:r>
    </w:p>
    <w:sectPr w:rsidR="005604A1" w:rsidSect="00A5181E">
      <w:head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3872" w14:textId="77777777" w:rsidR="009C5657" w:rsidRDefault="009C5657">
      <w:r>
        <w:separator/>
      </w:r>
    </w:p>
  </w:endnote>
  <w:endnote w:type="continuationSeparator" w:id="0">
    <w:p w14:paraId="3CABBDC7" w14:textId="77777777" w:rsidR="009C5657" w:rsidRDefault="009C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329E" w14:textId="77777777" w:rsidR="009C5657" w:rsidRDefault="009C5657">
      <w:r>
        <w:t>____________________</w:t>
      </w:r>
    </w:p>
  </w:footnote>
  <w:footnote w:type="continuationSeparator" w:id="0">
    <w:p w14:paraId="385E6B20" w14:textId="77777777" w:rsidR="009C5657" w:rsidRDefault="009C5657">
      <w:r>
        <w:continuationSeparator/>
      </w:r>
    </w:p>
  </w:footnote>
  <w:footnote w:id="1">
    <w:p w14:paraId="18E5B0D8" w14:textId="7464AD13" w:rsidR="00431402" w:rsidRPr="00CF5835" w:rsidRDefault="00431402" w:rsidP="00431402">
      <w:pPr>
        <w:pStyle w:val="FootnoteText"/>
        <w:rPr>
          <w:sz w:val="20"/>
          <w:lang w:val="lt-LT" w:eastAsia="zh-CN"/>
        </w:rPr>
      </w:pPr>
      <w:r w:rsidRPr="00CF5835">
        <w:rPr>
          <w:rStyle w:val="FootnoteReference"/>
          <w:sz w:val="20"/>
        </w:rPr>
        <w:footnoteRef/>
      </w:r>
      <w:r w:rsidRPr="00CF5835">
        <w:rPr>
          <w:sz w:val="20"/>
          <w:lang w:val="en-US"/>
        </w:rPr>
        <w:t xml:space="preserve"> </w:t>
      </w:r>
      <w:r>
        <w:rPr>
          <w:rFonts w:hint="eastAsia"/>
          <w:sz w:val="20"/>
          <w:lang w:val="lt-LT" w:eastAsia="zh-CN"/>
        </w:rPr>
        <w:t>有关无线电规则委员会（</w:t>
      </w:r>
      <w:r>
        <w:rPr>
          <w:rFonts w:hint="eastAsia"/>
          <w:sz w:val="20"/>
          <w:lang w:val="lt-LT" w:eastAsia="zh-CN"/>
        </w:rPr>
        <w:t>RRB</w:t>
      </w:r>
      <w:r>
        <w:rPr>
          <w:rFonts w:hint="eastAsia"/>
          <w:sz w:val="20"/>
          <w:lang w:val="lt-LT" w:eastAsia="zh-CN"/>
        </w:rPr>
        <w:t>）涉及有害干扰的更多详细</w:t>
      </w:r>
      <w:r w:rsidR="00D5228B">
        <w:rPr>
          <w:rFonts w:hint="eastAsia"/>
          <w:sz w:val="20"/>
          <w:lang w:val="lt-LT" w:eastAsia="zh-CN"/>
        </w:rPr>
        <w:t>决定，请访问：</w:t>
      </w:r>
      <w:hyperlink r:id="rId1" w:history="1">
        <w:r w:rsidRPr="00CF5835">
          <w:rPr>
            <w:rStyle w:val="Hyperlink"/>
            <w:sz w:val="20"/>
            <w:lang w:val="lt-LT"/>
          </w:rPr>
          <w:t>https://www.itu.int/harmful-interference-to-rnss/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C30A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0E261880" w14:textId="7C6C6AFA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493EDD">
      <w:rPr>
        <w:rFonts w:hint="eastAsia"/>
        <w:lang w:eastAsia="zh-CN"/>
      </w:rPr>
      <w:t>78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E46D4"/>
    <w:multiLevelType w:val="hybridMultilevel"/>
    <w:tmpl w:val="E196BD02"/>
    <w:lvl w:ilvl="0" w:tplc="542A655A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71D7A"/>
    <w:multiLevelType w:val="hybridMultilevel"/>
    <w:tmpl w:val="035A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9BF67BC"/>
    <w:multiLevelType w:val="hybridMultilevel"/>
    <w:tmpl w:val="7BB653FC"/>
    <w:lvl w:ilvl="0" w:tplc="E6D63E88">
      <w:start w:val="1"/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4271">
    <w:abstractNumId w:val="9"/>
  </w:num>
  <w:num w:numId="2" w16cid:durableId="427165315">
    <w:abstractNumId w:val="7"/>
  </w:num>
  <w:num w:numId="3" w16cid:durableId="712920319">
    <w:abstractNumId w:val="6"/>
  </w:num>
  <w:num w:numId="4" w16cid:durableId="651837810">
    <w:abstractNumId w:val="5"/>
  </w:num>
  <w:num w:numId="5" w16cid:durableId="1060250915">
    <w:abstractNumId w:val="4"/>
  </w:num>
  <w:num w:numId="6" w16cid:durableId="1068184036">
    <w:abstractNumId w:val="8"/>
  </w:num>
  <w:num w:numId="7" w16cid:durableId="1279602119">
    <w:abstractNumId w:val="3"/>
  </w:num>
  <w:num w:numId="8" w16cid:durableId="829561960">
    <w:abstractNumId w:val="2"/>
  </w:num>
  <w:num w:numId="9" w16cid:durableId="748113882">
    <w:abstractNumId w:val="1"/>
  </w:num>
  <w:num w:numId="10" w16cid:durableId="396975565">
    <w:abstractNumId w:val="0"/>
  </w:num>
  <w:num w:numId="11" w16cid:durableId="1797605209">
    <w:abstractNumId w:val="16"/>
  </w:num>
  <w:num w:numId="12" w16cid:durableId="377634568">
    <w:abstractNumId w:val="26"/>
  </w:num>
  <w:num w:numId="13" w16cid:durableId="654455796">
    <w:abstractNumId w:val="28"/>
  </w:num>
  <w:num w:numId="14" w16cid:durableId="832378278">
    <w:abstractNumId w:val="25"/>
  </w:num>
  <w:num w:numId="15" w16cid:durableId="982809005">
    <w:abstractNumId w:val="21"/>
  </w:num>
  <w:num w:numId="16" w16cid:durableId="240457358">
    <w:abstractNumId w:val="27"/>
  </w:num>
  <w:num w:numId="17" w16cid:durableId="831290283">
    <w:abstractNumId w:val="20"/>
  </w:num>
  <w:num w:numId="18" w16cid:durableId="585110719">
    <w:abstractNumId w:val="10"/>
  </w:num>
  <w:num w:numId="19" w16cid:durableId="789976166">
    <w:abstractNumId w:val="14"/>
  </w:num>
  <w:num w:numId="20" w16cid:durableId="113255943">
    <w:abstractNumId w:val="15"/>
  </w:num>
  <w:num w:numId="21" w16cid:durableId="1551452620">
    <w:abstractNumId w:val="18"/>
  </w:num>
  <w:num w:numId="22" w16cid:durableId="218594623">
    <w:abstractNumId w:val="29"/>
  </w:num>
  <w:num w:numId="23" w16cid:durableId="1360857731">
    <w:abstractNumId w:val="22"/>
  </w:num>
  <w:num w:numId="24" w16cid:durableId="1828741614">
    <w:abstractNumId w:val="23"/>
  </w:num>
  <w:num w:numId="25" w16cid:durableId="691538770">
    <w:abstractNumId w:val="12"/>
  </w:num>
  <w:num w:numId="26" w16cid:durableId="1883857725">
    <w:abstractNumId w:val="19"/>
  </w:num>
  <w:num w:numId="27" w16cid:durableId="810363706">
    <w:abstractNumId w:val="13"/>
  </w:num>
  <w:num w:numId="28" w16cid:durableId="1128007206">
    <w:abstractNumId w:val="17"/>
  </w:num>
  <w:num w:numId="29" w16cid:durableId="1242063300">
    <w:abstractNumId w:val="30"/>
  </w:num>
  <w:num w:numId="30" w16cid:durableId="1152796758">
    <w:abstractNumId w:val="24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1" w16cid:durableId="2634892">
    <w:abstractNumId w:val="11"/>
    <w:lvlOverride w:ilvl="0">
      <w:lvl w:ilvl="0" w:tplc="542A655A">
        <w:start w:val="42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38"/>
    <w:rsid w:val="00020106"/>
    <w:rsid w:val="00021007"/>
    <w:rsid w:val="00034C59"/>
    <w:rsid w:val="00044C2D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2B0B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028D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67AD2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125BF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3C3C"/>
    <w:rsid w:val="003859B4"/>
    <w:rsid w:val="00387355"/>
    <w:rsid w:val="00392390"/>
    <w:rsid w:val="00397CD7"/>
    <w:rsid w:val="003A0B83"/>
    <w:rsid w:val="003A361A"/>
    <w:rsid w:val="003A71AC"/>
    <w:rsid w:val="003B0962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15A9B"/>
    <w:rsid w:val="004242A1"/>
    <w:rsid w:val="0042612F"/>
    <w:rsid w:val="00426448"/>
    <w:rsid w:val="00431402"/>
    <w:rsid w:val="00432D7F"/>
    <w:rsid w:val="0043586E"/>
    <w:rsid w:val="00450148"/>
    <w:rsid w:val="00450E11"/>
    <w:rsid w:val="0045496A"/>
    <w:rsid w:val="004557A7"/>
    <w:rsid w:val="00460615"/>
    <w:rsid w:val="00460911"/>
    <w:rsid w:val="0046370D"/>
    <w:rsid w:val="00465D72"/>
    <w:rsid w:val="004673F1"/>
    <w:rsid w:val="00474CCC"/>
    <w:rsid w:val="00491D13"/>
    <w:rsid w:val="00492483"/>
    <w:rsid w:val="00493EDD"/>
    <w:rsid w:val="004974DE"/>
    <w:rsid w:val="004976C5"/>
    <w:rsid w:val="004A07A2"/>
    <w:rsid w:val="004B468C"/>
    <w:rsid w:val="004C1105"/>
    <w:rsid w:val="004C3178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04A1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B3756"/>
    <w:rsid w:val="006D0022"/>
    <w:rsid w:val="006D0CA1"/>
    <w:rsid w:val="006D36FE"/>
    <w:rsid w:val="006D3CED"/>
    <w:rsid w:val="006D43D7"/>
    <w:rsid w:val="006D4A88"/>
    <w:rsid w:val="006E5B7C"/>
    <w:rsid w:val="006E6364"/>
    <w:rsid w:val="006F0D51"/>
    <w:rsid w:val="006F31AB"/>
    <w:rsid w:val="007029A5"/>
    <w:rsid w:val="00705809"/>
    <w:rsid w:val="00723E69"/>
    <w:rsid w:val="00725BEA"/>
    <w:rsid w:val="00726BD1"/>
    <w:rsid w:val="00730A2A"/>
    <w:rsid w:val="007403C7"/>
    <w:rsid w:val="0074537E"/>
    <w:rsid w:val="00747D24"/>
    <w:rsid w:val="0075704C"/>
    <w:rsid w:val="0075779F"/>
    <w:rsid w:val="00757BB1"/>
    <w:rsid w:val="00764552"/>
    <w:rsid w:val="007669B2"/>
    <w:rsid w:val="00767544"/>
    <w:rsid w:val="00777351"/>
    <w:rsid w:val="00791F82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519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120"/>
    <w:rsid w:val="008D06A4"/>
    <w:rsid w:val="008E11BE"/>
    <w:rsid w:val="008F1F07"/>
    <w:rsid w:val="008F50C1"/>
    <w:rsid w:val="008F60D1"/>
    <w:rsid w:val="00901060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0FDC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C5657"/>
    <w:rsid w:val="009F11AC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0B26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A6E4B"/>
    <w:rsid w:val="00BB099B"/>
    <w:rsid w:val="00BB3DBA"/>
    <w:rsid w:val="00BB4ADA"/>
    <w:rsid w:val="00BC195C"/>
    <w:rsid w:val="00BC3ACA"/>
    <w:rsid w:val="00BC3C94"/>
    <w:rsid w:val="00BC42EE"/>
    <w:rsid w:val="00BC4B77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53738"/>
    <w:rsid w:val="00C60AC9"/>
    <w:rsid w:val="00C77784"/>
    <w:rsid w:val="00C81509"/>
    <w:rsid w:val="00C90A0A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12CE"/>
    <w:rsid w:val="00D5228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935B8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660E9"/>
    <w:rsid w:val="00E91301"/>
    <w:rsid w:val="00E948FA"/>
    <w:rsid w:val="00E96E00"/>
    <w:rsid w:val="00E979BD"/>
    <w:rsid w:val="00EA1892"/>
    <w:rsid w:val="00EB0045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04252"/>
    <w:rsid w:val="00F1110E"/>
    <w:rsid w:val="00F126A2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4B8"/>
    <w:rsid w:val="00FB1E59"/>
    <w:rsid w:val="00FB2090"/>
    <w:rsid w:val="00FB29A3"/>
    <w:rsid w:val="00FB630E"/>
    <w:rsid w:val="00FC36D2"/>
    <w:rsid w:val="00FC3D94"/>
    <w:rsid w:val="00FC7A32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3536F"/>
  <w15:docId w15:val="{41691A9B-4105-496B-9E68-52CB7DD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604A1"/>
    <w:rPr>
      <w:rFonts w:ascii="Times New Roman" w:hAnsi="Times New Roman"/>
      <w:b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04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26A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harmful-interference-to-rns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7</TotalTime>
  <Pages>2</Pages>
  <Words>1140</Words>
  <Characters>164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1302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LING-C(JL)</dc:creator>
  <cp:keywords>RAG03-1</cp:keywords>
  <dc:description>Document RAG08-1/1-E  For: _x000d_Document date: 12 December 2007_x000d_Saved by JJF44233 at 15:38:46 on 18/12/2007</dc:description>
  <cp:lastModifiedBy>Kong, Hongli</cp:lastModifiedBy>
  <cp:revision>7</cp:revision>
  <cp:lastPrinted>2011-05-04T08:20:00Z</cp:lastPrinted>
  <dcterms:created xsi:type="dcterms:W3CDTF">2026-03-18T13:42:00Z</dcterms:created>
  <dcterms:modified xsi:type="dcterms:W3CDTF">2026-03-18T13:49:00Z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