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B9A7CE3" w14:textId="77777777" w:rsidTr="00553F66">
        <w:trPr>
          <w:cantSplit/>
          <w:trHeight w:val="20"/>
        </w:trPr>
        <w:tc>
          <w:tcPr>
            <w:tcW w:w="6619" w:type="dxa"/>
          </w:tcPr>
          <w:p w14:paraId="4E49A70E"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7A9AB18E"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3A1F03BC" wp14:editId="52DF2680">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22D602DD" w14:textId="77777777" w:rsidTr="00553F66">
        <w:trPr>
          <w:cantSplit/>
          <w:trHeight w:val="20"/>
        </w:trPr>
        <w:tc>
          <w:tcPr>
            <w:tcW w:w="6619" w:type="dxa"/>
            <w:tcBorders>
              <w:bottom w:val="single" w:sz="12" w:space="0" w:color="auto"/>
            </w:tcBorders>
          </w:tcPr>
          <w:p w14:paraId="10B5E450"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2D048E5B" w14:textId="77777777" w:rsidR="00280E04" w:rsidRPr="00A9645C" w:rsidRDefault="00280E04" w:rsidP="002F3031">
            <w:pPr>
              <w:spacing w:before="0" w:line="120" w:lineRule="auto"/>
              <w:rPr>
                <w:lang w:bidi="ar-EG"/>
              </w:rPr>
            </w:pPr>
          </w:p>
        </w:tc>
      </w:tr>
      <w:tr w:rsidR="00280E04" w14:paraId="5CE63EB3" w14:textId="77777777" w:rsidTr="00553F66">
        <w:trPr>
          <w:cantSplit/>
          <w:trHeight w:val="20"/>
        </w:trPr>
        <w:tc>
          <w:tcPr>
            <w:tcW w:w="6619" w:type="dxa"/>
            <w:tcBorders>
              <w:top w:val="single" w:sz="12" w:space="0" w:color="auto"/>
            </w:tcBorders>
          </w:tcPr>
          <w:p w14:paraId="0738AEE8"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249AACDC" w14:textId="77777777" w:rsidR="00280E04" w:rsidRPr="00BD6EF3" w:rsidRDefault="00280E04" w:rsidP="00D44350">
            <w:pPr>
              <w:pStyle w:val="Adress"/>
              <w:framePr w:hSpace="0" w:wrap="auto" w:xAlign="left" w:yAlign="inline"/>
            </w:pPr>
          </w:p>
        </w:tc>
      </w:tr>
      <w:tr w:rsidR="0030601A" w14:paraId="383B1FA7" w14:textId="77777777" w:rsidTr="00553F66">
        <w:trPr>
          <w:cantSplit/>
        </w:trPr>
        <w:tc>
          <w:tcPr>
            <w:tcW w:w="6619" w:type="dxa"/>
            <w:vMerge w:val="restart"/>
          </w:tcPr>
          <w:p w14:paraId="08003D83"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0C446DF6" w14:textId="113E79BC"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BE38DD">
              <w:t>78</w:t>
            </w:r>
            <w:r w:rsidRPr="0012545F">
              <w:t>-A</w:t>
            </w:r>
          </w:p>
        </w:tc>
      </w:tr>
      <w:tr w:rsidR="0030601A" w14:paraId="0483313F" w14:textId="77777777" w:rsidTr="00553F66">
        <w:trPr>
          <w:cantSplit/>
        </w:trPr>
        <w:tc>
          <w:tcPr>
            <w:tcW w:w="6619" w:type="dxa"/>
            <w:vMerge/>
          </w:tcPr>
          <w:p w14:paraId="4F3A26BA"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04EC9E57" w14:textId="5AD5DAA5" w:rsidR="0030601A" w:rsidRPr="0012545F" w:rsidRDefault="00BE38DD" w:rsidP="0030601A">
            <w:pPr>
              <w:pStyle w:val="Adress"/>
              <w:framePr w:hSpace="0" w:wrap="auto" w:xAlign="left" w:yAlign="inline"/>
              <w:spacing w:before="20" w:after="20"/>
              <w:rPr>
                <w:rtl/>
              </w:rPr>
            </w:pPr>
            <w:r>
              <w:t>16</w:t>
            </w:r>
            <w:r w:rsidR="0030601A" w:rsidRPr="0012545F">
              <w:rPr>
                <w:rFonts w:hint="cs"/>
                <w:rtl/>
              </w:rPr>
              <w:t xml:space="preserve"> </w:t>
            </w:r>
            <w:r>
              <w:rPr>
                <w:rFonts w:hint="cs"/>
                <w:rtl/>
              </w:rPr>
              <w:t>مارس</w:t>
            </w:r>
            <w:r w:rsidR="0030601A" w:rsidRPr="0012545F">
              <w:rPr>
                <w:rFonts w:hint="cs"/>
                <w:rtl/>
              </w:rPr>
              <w:t xml:space="preserve"> </w:t>
            </w:r>
            <w:r>
              <w:t>2026</w:t>
            </w:r>
          </w:p>
        </w:tc>
      </w:tr>
      <w:tr w:rsidR="0030601A" w14:paraId="35CB8956" w14:textId="77777777" w:rsidTr="00553F66">
        <w:trPr>
          <w:cantSplit/>
        </w:trPr>
        <w:tc>
          <w:tcPr>
            <w:tcW w:w="6619" w:type="dxa"/>
            <w:vMerge/>
          </w:tcPr>
          <w:p w14:paraId="3804F5DC"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3158C6B3"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794C40C3" w14:textId="77777777" w:rsidTr="00553F66">
        <w:trPr>
          <w:cantSplit/>
        </w:trPr>
        <w:tc>
          <w:tcPr>
            <w:tcW w:w="9672" w:type="dxa"/>
            <w:gridSpan w:val="2"/>
          </w:tcPr>
          <w:p w14:paraId="5C606695" w14:textId="63C6355D" w:rsidR="00764079" w:rsidRPr="00422BF1" w:rsidRDefault="00BE38DD" w:rsidP="00422BF1">
            <w:pPr>
              <w:pStyle w:val="Source"/>
              <w:rPr>
                <w:rtl/>
              </w:rPr>
            </w:pPr>
            <w:r w:rsidRPr="00422BF1">
              <w:rPr>
                <w:rtl/>
              </w:rPr>
              <w:t>جمهورية ألمانيا الاتحادية، النمسا، بلجيكا، جمهورية بلغاريا، جمهورية قبرص، جمهورية</w:t>
            </w:r>
            <w:r w:rsidR="00A9679A" w:rsidRPr="00422BF1">
              <w:rPr>
                <w:rFonts w:hint="cs"/>
                <w:rtl/>
              </w:rPr>
              <w:t> </w:t>
            </w:r>
            <w:r w:rsidRPr="00422BF1">
              <w:rPr>
                <w:rtl/>
              </w:rPr>
              <w:t>كرواتيا، الد</w:t>
            </w:r>
            <w:r w:rsidR="006D3CD7" w:rsidRPr="00422BF1">
              <w:rPr>
                <w:rFonts w:hint="cs"/>
                <w:rtl/>
              </w:rPr>
              <w:t>ا</w:t>
            </w:r>
            <w:r w:rsidRPr="00422BF1">
              <w:rPr>
                <w:rtl/>
              </w:rPr>
              <w:t xml:space="preserve">نمارك، إسبانيا، جمهورية إستونيا، فنلندا، فرنسا، اليونان، أيرلندا، أيسلندا، إيطاليا، جمهورية لاتفيا، جمهورية ليتوانيا، لكسمبرغ، مالطة، جمهورية مولدوفا، النرويج، مملكة هولندا، جمهورية بولندا، البرتغال، رومانيا، الجمهورية السلوفاكية، الجمهورية التشيكية، جمهورية سلوفينيا، الاتحاد السويسري، السويد، </w:t>
            </w:r>
            <w:bookmarkStart w:id="1" w:name="_Hlk224807610"/>
            <w:r w:rsidRPr="00422BF1">
              <w:rPr>
                <w:rtl/>
              </w:rPr>
              <w:t>أوكرانيا</w:t>
            </w:r>
            <w:bookmarkEnd w:id="1"/>
          </w:p>
        </w:tc>
      </w:tr>
      <w:tr w:rsidR="00764079" w14:paraId="029833C0" w14:textId="77777777" w:rsidTr="00553F66">
        <w:trPr>
          <w:cantSplit/>
        </w:trPr>
        <w:tc>
          <w:tcPr>
            <w:tcW w:w="9672" w:type="dxa"/>
            <w:gridSpan w:val="2"/>
          </w:tcPr>
          <w:p w14:paraId="7D5D627C" w14:textId="43FC7584" w:rsidR="00764079" w:rsidRPr="00422BF1" w:rsidRDefault="00BE38DD" w:rsidP="00713CB6">
            <w:pPr>
              <w:pStyle w:val="Title1"/>
              <w:rPr>
                <w:rtl/>
              </w:rPr>
            </w:pPr>
            <w:r w:rsidRPr="00422BF1">
              <w:rPr>
                <w:rtl/>
              </w:rPr>
              <w:t>التداخل الضار على خدمة الملاحة الراديوية الساتلية والشبكات الساتلية</w:t>
            </w:r>
          </w:p>
        </w:tc>
      </w:tr>
      <w:tr w:rsidR="0012545F" w14:paraId="13779771" w14:textId="77777777" w:rsidTr="00553F66">
        <w:trPr>
          <w:cantSplit/>
        </w:trPr>
        <w:tc>
          <w:tcPr>
            <w:tcW w:w="9672" w:type="dxa"/>
            <w:gridSpan w:val="2"/>
          </w:tcPr>
          <w:p w14:paraId="2405F43D" w14:textId="77777777" w:rsidR="0012545F" w:rsidRDefault="0012545F" w:rsidP="0012545F">
            <w:pPr>
              <w:rPr>
                <w:rtl/>
              </w:rPr>
            </w:pPr>
          </w:p>
        </w:tc>
      </w:tr>
    </w:tbl>
    <w:p w14:paraId="2D8CD13B" w14:textId="77777777" w:rsidR="00BE38DD" w:rsidRPr="00BE38DD" w:rsidRDefault="00BE38DD" w:rsidP="00556DFC">
      <w:pPr>
        <w:pStyle w:val="Headingb"/>
        <w:rPr>
          <w:lang w:bidi="ar-SA"/>
        </w:rPr>
      </w:pPr>
      <w:r w:rsidRPr="00BE38DD">
        <w:rPr>
          <w:rtl/>
        </w:rPr>
        <w:t>مقدمة</w:t>
      </w:r>
    </w:p>
    <w:p w14:paraId="0E438F71" w14:textId="0E8909B6" w:rsidR="00BE38DD" w:rsidRPr="00BE38DD" w:rsidRDefault="00BE38DD" w:rsidP="00BE38DD">
      <w:r w:rsidRPr="00BE38DD">
        <w:rPr>
          <w:rtl/>
        </w:rPr>
        <w:t xml:space="preserve">إن تزايد </w:t>
      </w:r>
      <w:r w:rsidR="00B60AF2" w:rsidRPr="00BE38DD">
        <w:rPr>
          <w:rFonts w:hint="cs"/>
          <w:rtl/>
        </w:rPr>
        <w:t>حوادث</w:t>
      </w:r>
      <w:r w:rsidRPr="00BE38DD">
        <w:rPr>
          <w:rtl/>
        </w:rPr>
        <w:t xml:space="preserve"> </w:t>
      </w:r>
      <w:r w:rsidRPr="00BE38DD">
        <w:rPr>
          <w:rtl/>
        </w:rPr>
        <w:t xml:space="preserve">التداخل المتعمد والمستمر مع خدمة الملاحة الراديوية الساتلية </w:t>
      </w:r>
      <w:r w:rsidRPr="00BE38DD">
        <w:t>(RNSS)</w:t>
      </w:r>
      <w:r w:rsidR="00556DFC">
        <w:rPr>
          <w:rFonts w:hint="cs"/>
          <w:rtl/>
        </w:rPr>
        <w:t xml:space="preserve"> -</w:t>
      </w:r>
      <w:r w:rsidRPr="00BE38DD">
        <w:rPr>
          <w:rtl/>
        </w:rPr>
        <w:t xml:space="preserve"> ويشمل ذلك التشويش وانتحال الهوية - وكذلك التداخل الذي يؤثر على الشبكات الساتلية، يلحق مخاطر جسيمة بالسلامة والاستقرار الاقتصادي والأمن القومي في عدد من المناطق. وهو ما يجعل من هذه المسألة بطبيعتها مشكلة دولية في إدارة الطيف.</w:t>
      </w:r>
    </w:p>
    <w:p w14:paraId="50E28EB5" w14:textId="3A4649AF" w:rsidR="00BE38DD" w:rsidRPr="00BE38DD" w:rsidRDefault="00BE38DD" w:rsidP="00815502">
      <w:pPr>
        <w:rPr>
          <w:spacing w:val="-2"/>
        </w:rPr>
      </w:pPr>
      <w:r w:rsidRPr="00BE38DD">
        <w:rPr>
          <w:rtl/>
        </w:rPr>
        <w:t>ورغم الاهتمام الذي حظيت به مسألة التداخل مع خدمة الملاحة الراديوية الساتلية في المؤتمرين العالميين للاتصالات الراديوية لعام</w:t>
      </w:r>
      <w:r w:rsidR="00713CB6">
        <w:rPr>
          <w:rFonts w:hint="cs"/>
          <w:rtl/>
        </w:rPr>
        <w:t>َ</w:t>
      </w:r>
      <w:r w:rsidRPr="00BE38DD">
        <w:rPr>
          <w:rtl/>
        </w:rPr>
        <w:t xml:space="preserve">ي 2019 و2023 (WRC-19 وWRC-23)، على النحو المبين في القرارين </w:t>
      </w:r>
      <w:r w:rsidR="00815502" w:rsidRPr="00815502">
        <w:rPr>
          <w:lang w:val="en-GB"/>
        </w:rPr>
        <w:t>774 (WRC-19)</w:t>
      </w:r>
      <w:r w:rsidRPr="00BE38DD">
        <w:rPr>
          <w:rtl/>
        </w:rPr>
        <w:t xml:space="preserve"> و</w:t>
      </w:r>
      <w:r w:rsidR="00815502" w:rsidRPr="00815502">
        <w:rPr>
          <w:lang w:val="en-GB"/>
        </w:rPr>
        <w:t>676 (WRC-23)</w:t>
      </w:r>
      <w:r w:rsidRPr="00BE38DD">
        <w:rPr>
          <w:rtl/>
        </w:rPr>
        <w:t xml:space="preserve">، تواصل الإبلاغ عن عدد كبير من حالات التداخل الضار التي تؤثر على مستقبلات هذه الخدمة. تسببت هذه الحالات في حدوث اضطرابات خطيرة في حركة الطيران المدني والنقل البحري وغير ذلك من الخدمات والأنشطة اليومية، بالمخالفة للقرار </w:t>
      </w:r>
      <w:r w:rsidR="00815502" w:rsidRPr="00815502">
        <w:rPr>
          <w:lang w:val="en-GB"/>
        </w:rPr>
        <w:t>676</w:t>
      </w:r>
      <w:r w:rsidR="001818A9">
        <w:rPr>
          <w:lang w:val="en-GB"/>
        </w:rPr>
        <w:t> </w:t>
      </w:r>
      <w:r w:rsidR="00815502" w:rsidRPr="00815502">
        <w:rPr>
          <w:lang w:val="en-GB"/>
        </w:rPr>
        <w:t>(WRC</w:t>
      </w:r>
      <w:r w:rsidR="001818A9">
        <w:rPr>
          <w:lang w:val="en-GB"/>
        </w:rPr>
        <w:noBreakHyphen/>
      </w:r>
      <w:r w:rsidR="00815502" w:rsidRPr="00815502">
        <w:rPr>
          <w:lang w:val="en-GB"/>
        </w:rPr>
        <w:t>23)</w:t>
      </w:r>
      <w:r w:rsidRPr="00BE38DD">
        <w:rPr>
          <w:rtl/>
        </w:rPr>
        <w:t xml:space="preserve">، والمواد 45 و47 و48 من دستور الاتحاد، والقرار 216 (مؤتمر المندوبين المفوضين لعام 2022 (PP-22)). وفي 25 مارس 2025، أصدر الاتحاد الدولي للاتصالات </w:t>
      </w:r>
      <w:r w:rsidRPr="00BE38DD">
        <w:t>(ITU)</w:t>
      </w:r>
      <w:r w:rsidRPr="00BE38DD">
        <w:rPr>
          <w:rtl/>
        </w:rPr>
        <w:t xml:space="preserve"> ومنظمة الطيران المدني الدولي </w:t>
      </w:r>
      <w:r w:rsidRPr="00BE38DD">
        <w:t>(ICAO)</w:t>
      </w:r>
      <w:r w:rsidRPr="00BE38DD">
        <w:rPr>
          <w:rtl/>
        </w:rPr>
        <w:t xml:space="preserve"> والمنظمة البحرية الدولية </w:t>
      </w:r>
      <w:r w:rsidRPr="00BE38DD">
        <w:t>(IMO)</w:t>
      </w:r>
      <w:r w:rsidRPr="00BE38DD">
        <w:rPr>
          <w:rtl/>
        </w:rPr>
        <w:t xml:space="preserve"> بياناً مشتركاً </w:t>
      </w:r>
      <w:r w:rsidRPr="00BE38DD">
        <w:rPr>
          <w:spacing w:val="-2"/>
          <w:rtl/>
        </w:rPr>
        <w:t>بشأن تزايد حوادث التداخل الضار، شدد على المخاطر التي يشكلها هذا التداخل على خدمات الطيران والخدمات البحرية وغير ذلك من خدمات الاتصالات الساتلية.</w:t>
      </w:r>
    </w:p>
    <w:p w14:paraId="1E89997C" w14:textId="63306B1E" w:rsidR="00BE38DD" w:rsidRPr="00BE38DD" w:rsidRDefault="00BE38DD" w:rsidP="00BE38DD">
      <w:pPr>
        <w:rPr>
          <w:spacing w:val="-2"/>
        </w:rPr>
      </w:pPr>
      <w:r w:rsidRPr="00BE38DD">
        <w:rPr>
          <w:spacing w:val="-2"/>
          <w:rtl/>
        </w:rPr>
        <w:t>وعلى مدار السنوات الماضية، نظرت لجنة لوائح الراديو</w:t>
      </w:r>
      <w:r w:rsidR="0076595E" w:rsidRPr="00D85C25">
        <w:rPr>
          <w:rFonts w:hint="cs"/>
          <w:spacing w:val="-2"/>
          <w:rtl/>
        </w:rPr>
        <w:t xml:space="preserve"> </w:t>
      </w:r>
      <w:r w:rsidRPr="00BE38DD">
        <w:rPr>
          <w:spacing w:val="-2"/>
        </w:rPr>
        <w:t>(RBB)</w:t>
      </w:r>
      <w:r w:rsidR="0076595E" w:rsidRPr="00D85C25">
        <w:rPr>
          <w:rFonts w:hint="cs"/>
          <w:spacing w:val="-2"/>
          <w:rtl/>
        </w:rPr>
        <w:t xml:space="preserve"> </w:t>
      </w:r>
      <w:r w:rsidRPr="00BE38DD">
        <w:rPr>
          <w:spacing w:val="-2"/>
          <w:rtl/>
        </w:rPr>
        <w:t>في بلاغات عديدة عن التداخل الضار الذي يؤثر على مستقبلات خدمة الملاحة الراديوية الساتلية والشبكات الساتلية، وفقاً لتبليغات قدمتها مجموعة واسعة من الإدارات. وكررت لجنة لوائح الراديو التأكيد على ضرورة التزام الإدارات بالوقف الفوري لأي مصدر للتداخلات الضارة على خدمات السلامة في خدمة الملاحة الراديوية الساتلية، والتعاون العاجل لتسوية حالات التداخل الضار، وشددت على أن وقوع نزاع عسكري بين بلدين لا ينهض مبرراً لعدم الامتثال لالتزامات الاتحاد أو اتخاذ إجراءات تهدد البنية التحتية الحيوية ومجريات الحياة في إدارات أخرى ليست طرفاً في النزاع.</w:t>
      </w:r>
      <w:r w:rsidR="008C03C4" w:rsidRPr="00D85C25">
        <w:rPr>
          <w:rStyle w:val="FootnoteReference"/>
          <w:spacing w:val="-2"/>
          <w:rtl/>
        </w:rPr>
        <w:footnoteReference w:customMarkFollows="1" w:id="1"/>
        <w:t>1</w:t>
      </w:r>
    </w:p>
    <w:p w14:paraId="1FD1FAD2" w14:textId="77777777" w:rsidR="00BE38DD" w:rsidRPr="00BE38DD" w:rsidRDefault="00BE38DD" w:rsidP="00D85C25">
      <w:pPr>
        <w:keepNext/>
        <w:keepLines/>
      </w:pPr>
      <w:r w:rsidRPr="00BE38DD">
        <w:rPr>
          <w:rtl/>
        </w:rPr>
        <w:lastRenderedPageBreak/>
        <w:t>ورغم أن مكتب الاتصالات الراديوية ولجنة لوائح الراديو عملا على التصدي لهذه المسألة مراراً وتكراراً، وتحديد الإدارات المسؤولة عن التداخل الضار والدعوة إلى وقفه، يبرهن استمرار التداخل الذي يؤثر على خدمة الملاحة الراديوية الساتلية والخدمات الساتلية على أن المسألة تتطلب إقدام الاتحاد على اتخاذ إجراء قوي وعاجل لضمان الامتثال لقواعده ووضع حد للآثار الضارة التي تلحق بالدول الأعضاء في الاتحاد.</w:t>
      </w:r>
    </w:p>
    <w:p w14:paraId="14AD2456" w14:textId="77777777" w:rsidR="00BE38DD" w:rsidRPr="00BE38DD" w:rsidRDefault="00BE38DD" w:rsidP="00556DFC">
      <w:pPr>
        <w:pStyle w:val="Headingb"/>
        <w:rPr>
          <w:lang w:bidi="ar-SA"/>
        </w:rPr>
      </w:pPr>
      <w:r w:rsidRPr="00BE38DD">
        <w:rPr>
          <w:rtl/>
        </w:rPr>
        <w:t>المقترح</w:t>
      </w:r>
    </w:p>
    <w:p w14:paraId="5157BE80" w14:textId="74F5EA49" w:rsidR="00BE38DD" w:rsidRPr="00BE38DD" w:rsidRDefault="00BE38DD" w:rsidP="00BE38DD">
      <w:r w:rsidRPr="00BE38DD">
        <w:rPr>
          <w:rtl/>
        </w:rPr>
        <w:t xml:space="preserve">تود البلدان المقدمة لهذه المساهمة أن تلفت انتباه الفريق الاستشاري للاتصالات الراديوية </w:t>
      </w:r>
      <w:r w:rsidRPr="00BE38DD">
        <w:t>(RAG)</w:t>
      </w:r>
      <w:r w:rsidRPr="00BE38DD">
        <w:rPr>
          <w:rtl/>
        </w:rPr>
        <w:t xml:space="preserve"> إلى استمرار التداخل المتعمد الذي يؤثر على خدمة الملاحة الراديوية الساتلية والخدمات الساتلية، رغم الجهود التي تبذلها الدول الأعضاء ومكتب الاتصالات الراديوية. وما يزال هذا التداخل يؤثر سلباً على الحركة الجوية والنقل البحري والقطاعات والأنشطة الأخرى، مثل الآلات الزراعية التي تستخدم النظام العالمي للملاحة الساتلية </w:t>
      </w:r>
      <w:r w:rsidRPr="00BE38DD">
        <w:t>(GNSS)</w:t>
      </w:r>
      <w:r w:rsidRPr="00BE38DD">
        <w:rPr>
          <w:rtl/>
        </w:rPr>
        <w:t xml:space="preserve"> لتحديد المواقع، والشبكات المتنقلة، وعمليات خدمات الطوارئ والسلامة العامة.</w:t>
      </w:r>
    </w:p>
    <w:p w14:paraId="2E340460" w14:textId="69BCEEAB" w:rsidR="00BE38DD" w:rsidRPr="00BE38DD" w:rsidRDefault="00BE38DD" w:rsidP="00BE38DD">
      <w:pPr>
        <w:rPr>
          <w:spacing w:val="-2"/>
        </w:rPr>
      </w:pPr>
      <w:r w:rsidRPr="00BE38DD">
        <w:rPr>
          <w:spacing w:val="-2"/>
          <w:rtl/>
        </w:rPr>
        <w:t>وسعياً إلى التصدي للتداخل مع خدمة الملاحة الراديوية الساتلية والخدمات الساتلية، تلتمس البلدان المقدمة لهذه المساهمة أن يواصل الفريق الاستشاري للاتصالات الراديوية، في حدود اختصاصاته، جهود التنسيق الوثيق مع مكتب الاتصالات الراديوية</w:t>
      </w:r>
      <w:r w:rsidR="00BF0545">
        <w:rPr>
          <w:rFonts w:hint="cs"/>
          <w:spacing w:val="-2"/>
          <w:rtl/>
        </w:rPr>
        <w:t> </w:t>
      </w:r>
      <w:r w:rsidRPr="00BE38DD">
        <w:rPr>
          <w:spacing w:val="-2"/>
        </w:rPr>
        <w:t>(BR)</w:t>
      </w:r>
      <w:r w:rsidRPr="00BE38DD">
        <w:rPr>
          <w:spacing w:val="-2"/>
          <w:rtl/>
        </w:rPr>
        <w:t xml:space="preserve"> ولجنة لوائح الراديو </w:t>
      </w:r>
      <w:r w:rsidRPr="00BE38DD">
        <w:rPr>
          <w:spacing w:val="-2"/>
        </w:rPr>
        <w:t>(RRB)</w:t>
      </w:r>
      <w:r w:rsidRPr="00BE38DD">
        <w:rPr>
          <w:spacing w:val="-2"/>
          <w:rtl/>
        </w:rPr>
        <w:t>، ومعالجة مسألة التداخل الضار على النحو الواجب في اجتماعاته. وينبغي أن يتضمن ذلك النظر في</w:t>
      </w:r>
      <w:r w:rsidR="00ED4A84">
        <w:rPr>
          <w:rFonts w:hint="cs"/>
          <w:spacing w:val="-2"/>
          <w:rtl/>
        </w:rPr>
        <w:t> </w:t>
      </w:r>
      <w:r w:rsidRPr="00BE38DD">
        <w:rPr>
          <w:spacing w:val="-2"/>
          <w:rtl/>
        </w:rPr>
        <w:t xml:space="preserve">المسألة في إطار الأعمال التحضيرية للمؤتمر العالمي للاتصالات الراديوية لعام 2027 </w:t>
      </w:r>
      <w:r w:rsidRPr="00BE38DD">
        <w:rPr>
          <w:spacing w:val="-2"/>
        </w:rPr>
        <w:t>(WRC-27)</w:t>
      </w:r>
      <w:r w:rsidRPr="00BE38DD">
        <w:rPr>
          <w:spacing w:val="-2"/>
          <w:rtl/>
        </w:rPr>
        <w:t>، وهو إجراء ضروري لتعزيز الإطار التنظيمي، وتحسين مستوى حماية خدمات الملاحة الراديوية الساتلية، وتقوية أواصر التعاون الدولي، بما يضمن استمرار إتاحة هذه الخدمات والسواتل، والحفاظ على سلامتها وموثوقيتها في مختلف القطاعات.</w:t>
      </w:r>
    </w:p>
    <w:p w14:paraId="2028039B"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3"/>
      <w:headerReference w:type="default" r:id="rId14"/>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0651" w14:textId="77777777" w:rsidR="001C710D" w:rsidRDefault="001C710D" w:rsidP="002919E1">
      <w:r>
        <w:separator/>
      </w:r>
    </w:p>
    <w:p w14:paraId="59321EFA" w14:textId="77777777" w:rsidR="001C710D" w:rsidRDefault="001C710D" w:rsidP="002919E1"/>
    <w:p w14:paraId="72DB3695" w14:textId="77777777" w:rsidR="001C710D" w:rsidRDefault="001C710D" w:rsidP="002919E1"/>
    <w:p w14:paraId="5EC9E332" w14:textId="77777777" w:rsidR="001C710D" w:rsidRDefault="001C710D"/>
  </w:endnote>
  <w:endnote w:type="continuationSeparator" w:id="0">
    <w:p w14:paraId="4D2AE491" w14:textId="77777777" w:rsidR="001C710D" w:rsidRDefault="001C710D" w:rsidP="002919E1">
      <w:r>
        <w:continuationSeparator/>
      </w:r>
    </w:p>
    <w:p w14:paraId="018F8033" w14:textId="77777777" w:rsidR="001C710D" w:rsidRDefault="001C710D" w:rsidP="002919E1"/>
    <w:p w14:paraId="7935CFC2" w14:textId="77777777" w:rsidR="001C710D" w:rsidRDefault="001C710D" w:rsidP="002919E1"/>
    <w:p w14:paraId="20703E44" w14:textId="77777777" w:rsidR="001C710D" w:rsidRDefault="001C7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CD84" w14:textId="77777777" w:rsidR="001C710D" w:rsidRDefault="001C710D" w:rsidP="002919E1">
      <w:r>
        <w:separator/>
      </w:r>
    </w:p>
  </w:footnote>
  <w:footnote w:type="continuationSeparator" w:id="0">
    <w:p w14:paraId="59B57C9C" w14:textId="77777777" w:rsidR="001C710D" w:rsidRDefault="001C710D" w:rsidP="002919E1">
      <w:r>
        <w:continuationSeparator/>
      </w:r>
    </w:p>
    <w:p w14:paraId="227A446A" w14:textId="77777777" w:rsidR="001C710D" w:rsidRDefault="001C710D" w:rsidP="002919E1"/>
    <w:p w14:paraId="479F64E2" w14:textId="77777777" w:rsidR="001C710D" w:rsidRDefault="001C710D" w:rsidP="002919E1"/>
    <w:p w14:paraId="48EE0BCA" w14:textId="77777777" w:rsidR="001C710D" w:rsidRDefault="001C710D"/>
  </w:footnote>
  <w:footnote w:id="1">
    <w:p w14:paraId="305BACA9" w14:textId="6A710691" w:rsidR="008C03C4" w:rsidRDefault="008C03C4">
      <w:pPr>
        <w:pStyle w:val="FootnoteText"/>
      </w:pPr>
      <w:r>
        <w:rPr>
          <w:rStyle w:val="FootnoteReference"/>
          <w:rtl/>
        </w:rPr>
        <w:t>1</w:t>
      </w:r>
      <w:r>
        <w:rPr>
          <w:rtl/>
        </w:rPr>
        <w:tab/>
      </w:r>
      <w:r w:rsidRPr="00B8546C">
        <w:rPr>
          <w:spacing w:val="-6"/>
          <w:rtl/>
        </w:rPr>
        <w:t xml:space="preserve">للاطلاع على قرارات لجنة لوائح الراديو </w:t>
      </w:r>
      <w:r w:rsidR="00713CB6">
        <w:rPr>
          <w:spacing w:val="-6"/>
        </w:rPr>
        <w:t>(RRB)</w:t>
      </w:r>
      <w:r w:rsidR="00713CB6">
        <w:rPr>
          <w:rFonts w:hint="cs"/>
          <w:spacing w:val="-6"/>
          <w:rtl/>
        </w:rPr>
        <w:t xml:space="preserve"> </w:t>
      </w:r>
      <w:r w:rsidRPr="00B8546C">
        <w:rPr>
          <w:spacing w:val="-6"/>
          <w:rtl/>
        </w:rPr>
        <w:t>بشأن التداخل الضار بشكل أكثر تفصيلاً، يرجى زيارة الموقع</w:t>
      </w:r>
      <w:r w:rsidRPr="00B8546C">
        <w:rPr>
          <w:rFonts w:hint="cs"/>
          <w:spacing w:val="-6"/>
          <w:rtl/>
        </w:rPr>
        <w:t xml:space="preserve">: </w:t>
      </w:r>
      <w:hyperlink r:id="rId1" w:anchor="/ar" w:history="1">
        <w:r w:rsidR="00B8546C" w:rsidRPr="00B8546C">
          <w:rPr>
            <w:rStyle w:val="Hyperlink"/>
            <w:spacing w:val="-6"/>
            <w:lang w:val="lt-LT"/>
          </w:rPr>
          <w:t>https://www.itu.int/harmful-interference-to-rnss/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B0D8" w14:textId="77777777" w:rsidR="00281F5F" w:rsidRDefault="00281F5F" w:rsidP="002919E1"/>
  <w:p w14:paraId="6742374B" w14:textId="77777777" w:rsidR="00281F5F" w:rsidRDefault="00281F5F" w:rsidP="002919E1"/>
  <w:p w14:paraId="7250168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65C6" w14:textId="58562419"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C54DCE">
      <w:rPr>
        <w:rStyle w:val="PageNumber"/>
      </w:rPr>
      <w:t>78</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77"/>
    <w:rsid w:val="00011021"/>
    <w:rsid w:val="000114EC"/>
    <w:rsid w:val="00011F8C"/>
    <w:rsid w:val="00022B74"/>
    <w:rsid w:val="0002327C"/>
    <w:rsid w:val="00034B65"/>
    <w:rsid w:val="00040C94"/>
    <w:rsid w:val="000425FC"/>
    <w:rsid w:val="00044D43"/>
    <w:rsid w:val="00051907"/>
    <w:rsid w:val="00075A3F"/>
    <w:rsid w:val="000923EB"/>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7364"/>
    <w:rsid w:val="001818A9"/>
    <w:rsid w:val="001903B2"/>
    <w:rsid w:val="001B5953"/>
    <w:rsid w:val="001C710D"/>
    <w:rsid w:val="001D746E"/>
    <w:rsid w:val="001E190C"/>
    <w:rsid w:val="001E51EE"/>
    <w:rsid w:val="001E54F6"/>
    <w:rsid w:val="001E5A8C"/>
    <w:rsid w:val="001E6923"/>
    <w:rsid w:val="001F3A15"/>
    <w:rsid w:val="00201A0A"/>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97F10"/>
    <w:rsid w:val="003B27AD"/>
    <w:rsid w:val="003B4F23"/>
    <w:rsid w:val="003C12F6"/>
    <w:rsid w:val="003C3A13"/>
    <w:rsid w:val="003E02EF"/>
    <w:rsid w:val="003E1D90"/>
    <w:rsid w:val="00400CD4"/>
    <w:rsid w:val="004147B9"/>
    <w:rsid w:val="00422BF1"/>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E1664"/>
    <w:rsid w:val="004F0BED"/>
    <w:rsid w:val="00505FCA"/>
    <w:rsid w:val="00510C2D"/>
    <w:rsid w:val="00512E77"/>
    <w:rsid w:val="00516042"/>
    <w:rsid w:val="005166A4"/>
    <w:rsid w:val="005169F4"/>
    <w:rsid w:val="005210D1"/>
    <w:rsid w:val="00523146"/>
    <w:rsid w:val="00523275"/>
    <w:rsid w:val="00531DC7"/>
    <w:rsid w:val="005350B0"/>
    <w:rsid w:val="005431B5"/>
    <w:rsid w:val="00546A99"/>
    <w:rsid w:val="00553411"/>
    <w:rsid w:val="00553F66"/>
    <w:rsid w:val="00554AE7"/>
    <w:rsid w:val="00556DFC"/>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D3CD7"/>
    <w:rsid w:val="006E38D0"/>
    <w:rsid w:val="006E465B"/>
    <w:rsid w:val="006F70BF"/>
    <w:rsid w:val="00713CB6"/>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6595E"/>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01238"/>
    <w:rsid w:val="00810482"/>
    <w:rsid w:val="0081550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03C4"/>
    <w:rsid w:val="008C3818"/>
    <w:rsid w:val="008D6ACC"/>
    <w:rsid w:val="008D7AF0"/>
    <w:rsid w:val="008E2CBE"/>
    <w:rsid w:val="008E32DD"/>
    <w:rsid w:val="008F4626"/>
    <w:rsid w:val="009004DF"/>
    <w:rsid w:val="00904AA5"/>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9679A"/>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0AF2"/>
    <w:rsid w:val="00B66817"/>
    <w:rsid w:val="00B71E3B"/>
    <w:rsid w:val="00B721D5"/>
    <w:rsid w:val="00B81CB5"/>
    <w:rsid w:val="00B8351F"/>
    <w:rsid w:val="00B8546C"/>
    <w:rsid w:val="00B86C44"/>
    <w:rsid w:val="00B9727C"/>
    <w:rsid w:val="00BA7D44"/>
    <w:rsid w:val="00BD6291"/>
    <w:rsid w:val="00BD6EF3"/>
    <w:rsid w:val="00BE38DD"/>
    <w:rsid w:val="00BE69C3"/>
    <w:rsid w:val="00BF0545"/>
    <w:rsid w:val="00C1165E"/>
    <w:rsid w:val="00C22074"/>
    <w:rsid w:val="00C2377B"/>
    <w:rsid w:val="00C34E09"/>
    <w:rsid w:val="00C3693C"/>
    <w:rsid w:val="00C449F7"/>
    <w:rsid w:val="00C53F6F"/>
    <w:rsid w:val="00C5489D"/>
    <w:rsid w:val="00C54DCE"/>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03532"/>
    <w:rsid w:val="00D25120"/>
    <w:rsid w:val="00D36C5E"/>
    <w:rsid w:val="00D419CB"/>
    <w:rsid w:val="00D44350"/>
    <w:rsid w:val="00D44E3F"/>
    <w:rsid w:val="00D51BB8"/>
    <w:rsid w:val="00D525F5"/>
    <w:rsid w:val="00D535D0"/>
    <w:rsid w:val="00D577D8"/>
    <w:rsid w:val="00D62C78"/>
    <w:rsid w:val="00D81703"/>
    <w:rsid w:val="00D82929"/>
    <w:rsid w:val="00D84214"/>
    <w:rsid w:val="00D85C25"/>
    <w:rsid w:val="00D943E5"/>
    <w:rsid w:val="00DA1AE0"/>
    <w:rsid w:val="00DB2381"/>
    <w:rsid w:val="00DC29DD"/>
    <w:rsid w:val="00DC7C0E"/>
    <w:rsid w:val="00DE7387"/>
    <w:rsid w:val="00DF2A6A"/>
    <w:rsid w:val="00DF3B72"/>
    <w:rsid w:val="00E10821"/>
    <w:rsid w:val="00E2489D"/>
    <w:rsid w:val="00E26520"/>
    <w:rsid w:val="00E26732"/>
    <w:rsid w:val="00E343A3"/>
    <w:rsid w:val="00E47277"/>
    <w:rsid w:val="00E51BFA"/>
    <w:rsid w:val="00E6129E"/>
    <w:rsid w:val="00E621A3"/>
    <w:rsid w:val="00E833BC"/>
    <w:rsid w:val="00E8580E"/>
    <w:rsid w:val="00E97E21"/>
    <w:rsid w:val="00EA1B76"/>
    <w:rsid w:val="00EA2128"/>
    <w:rsid w:val="00EA77D7"/>
    <w:rsid w:val="00EC09B9"/>
    <w:rsid w:val="00ED048C"/>
    <w:rsid w:val="00ED4A84"/>
    <w:rsid w:val="00EE60E9"/>
    <w:rsid w:val="00EF38AF"/>
    <w:rsid w:val="00F00143"/>
    <w:rsid w:val="00F055F8"/>
    <w:rsid w:val="00F10CB4"/>
    <w:rsid w:val="00F11B3D"/>
    <w:rsid w:val="00F146AC"/>
    <w:rsid w:val="00F14763"/>
    <w:rsid w:val="00F16212"/>
    <w:rsid w:val="00F16602"/>
    <w:rsid w:val="00F25B80"/>
    <w:rsid w:val="00F2685F"/>
    <w:rsid w:val="00F31072"/>
    <w:rsid w:val="00F33A34"/>
    <w:rsid w:val="00F350C8"/>
    <w:rsid w:val="00F52E75"/>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DCD07"/>
  <w15:docId w15:val="{3372817B-743B-488E-9B59-2F541A1D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iPriority w:val="99"/>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styleId="Revision">
    <w:name w:val="Revision"/>
    <w:hidden/>
    <w:uiPriority w:val="99"/>
    <w:semiHidden/>
    <w:rsid w:val="004E1664"/>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harmful-interference-to-rn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PA_RAG25.dotx</Template>
  <TotalTime>4</TotalTime>
  <Pages>2</Pages>
  <Words>561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Arabic_AA</dc:creator>
  <cp:keywords>WRC-12</cp:keywords>
  <cp:lastModifiedBy>Arabic_I.R</cp:lastModifiedBy>
  <cp:revision>5</cp:revision>
  <cp:lastPrinted>2019-06-26T10:10:00Z</cp:lastPrinted>
  <dcterms:created xsi:type="dcterms:W3CDTF">2026-03-20T08:29:00Z</dcterms:created>
  <dcterms:modified xsi:type="dcterms:W3CDTF">2026-03-20T08:33:00Z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