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06353FE4" w14:textId="77777777" w:rsidTr="004D2C13">
        <w:trPr>
          <w:cantSplit/>
        </w:trPr>
        <w:tc>
          <w:tcPr>
            <w:tcW w:w="6772" w:type="dxa"/>
            <w:vAlign w:val="center"/>
          </w:tcPr>
          <w:p w14:paraId="11FB3F1A"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6EB08D9A" w14:textId="77777777" w:rsidR="0057336B" w:rsidRDefault="00AB4BAD" w:rsidP="00A7663C">
            <w:pPr>
              <w:shd w:val="solid" w:color="FFFFFF" w:fill="FFFFFF"/>
              <w:spacing w:before="0"/>
            </w:pPr>
            <w:r w:rsidRPr="00C126C1">
              <w:rPr>
                <w:noProof/>
                <w:lang w:val="en-US" w:eastAsia="zh-CN"/>
              </w:rPr>
              <w:drawing>
                <wp:inline distT="0" distB="0" distL="0" distR="0" wp14:anchorId="0EE722E4" wp14:editId="5432477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0C98CD3D" w14:textId="77777777" w:rsidTr="004D2C13">
        <w:trPr>
          <w:cantSplit/>
        </w:trPr>
        <w:tc>
          <w:tcPr>
            <w:tcW w:w="6772" w:type="dxa"/>
            <w:tcBorders>
              <w:bottom w:val="single" w:sz="12" w:space="0" w:color="auto"/>
            </w:tcBorders>
          </w:tcPr>
          <w:p w14:paraId="43E0B384"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1E53B6CE"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69E81B6E" w14:textId="77777777" w:rsidTr="004D2C13">
        <w:trPr>
          <w:cantSplit/>
        </w:trPr>
        <w:tc>
          <w:tcPr>
            <w:tcW w:w="6772" w:type="dxa"/>
            <w:tcBorders>
              <w:top w:val="single" w:sz="12" w:space="0" w:color="auto"/>
            </w:tcBorders>
          </w:tcPr>
          <w:p w14:paraId="5D064CD0"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55BDB57B"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4D2C13" w:rsidRPr="002A127E" w14:paraId="64D6FBAD" w14:textId="77777777" w:rsidTr="004D2C13">
        <w:trPr>
          <w:cantSplit/>
        </w:trPr>
        <w:tc>
          <w:tcPr>
            <w:tcW w:w="6772" w:type="dxa"/>
            <w:vMerge w:val="restart"/>
          </w:tcPr>
          <w:p w14:paraId="08712C72" w14:textId="77777777" w:rsidR="004D2C13" w:rsidRDefault="004D2C13" w:rsidP="004D2C13">
            <w:pPr>
              <w:shd w:val="solid" w:color="FFFFFF" w:fill="FFFFFF"/>
              <w:spacing w:after="240"/>
              <w:rPr>
                <w:sz w:val="20"/>
              </w:rPr>
            </w:pPr>
            <w:bookmarkStart w:id="0" w:name="dnum" w:colFirst="1" w:colLast="1"/>
          </w:p>
        </w:tc>
        <w:tc>
          <w:tcPr>
            <w:tcW w:w="3117" w:type="dxa"/>
          </w:tcPr>
          <w:p w14:paraId="78C2D0F3" w14:textId="7ABC04BD" w:rsidR="004D2C13" w:rsidRPr="00786266" w:rsidRDefault="004D2C13" w:rsidP="004D2C13">
            <w:pPr>
              <w:shd w:val="solid" w:color="FFFFFF" w:fill="FFFFFF"/>
              <w:spacing w:before="0" w:line="240" w:lineRule="atLeast"/>
              <w:rPr>
                <w:rFonts w:ascii="Verdana" w:hAnsi="Verdana"/>
                <w:sz w:val="20"/>
              </w:rPr>
            </w:pPr>
            <w:r w:rsidRPr="00D07103">
              <w:rPr>
                <w:b/>
                <w:bCs/>
                <w:color w:val="000000"/>
                <w:lang w:val="es-ES"/>
              </w:rPr>
              <w:t>Documen</w:t>
            </w:r>
            <w:r w:rsidR="006E3716">
              <w:rPr>
                <w:b/>
                <w:bCs/>
                <w:color w:val="000000"/>
                <w:lang w:val="es-ES"/>
              </w:rPr>
              <w:t xml:space="preserve">to </w:t>
            </w:r>
            <w:r w:rsidRPr="00D07103">
              <w:rPr>
                <w:b/>
                <w:bCs/>
                <w:color w:val="000000"/>
                <w:lang w:val="es-ES"/>
              </w:rPr>
              <w:t>RAG/77-S</w:t>
            </w:r>
          </w:p>
        </w:tc>
      </w:tr>
      <w:tr w:rsidR="004D2C13" w:rsidRPr="002A127E" w14:paraId="1C7CA524" w14:textId="77777777" w:rsidTr="004D2C13">
        <w:trPr>
          <w:cantSplit/>
        </w:trPr>
        <w:tc>
          <w:tcPr>
            <w:tcW w:w="6772" w:type="dxa"/>
            <w:vMerge/>
          </w:tcPr>
          <w:p w14:paraId="2682105D" w14:textId="77777777" w:rsidR="004D2C13" w:rsidRDefault="004D2C13" w:rsidP="004D2C13">
            <w:pPr>
              <w:spacing w:before="60"/>
              <w:jc w:val="center"/>
              <w:rPr>
                <w:b/>
                <w:smallCaps/>
                <w:sz w:val="32"/>
              </w:rPr>
            </w:pPr>
            <w:bookmarkStart w:id="1" w:name="ddate" w:colFirst="1" w:colLast="1"/>
            <w:bookmarkEnd w:id="0"/>
          </w:p>
        </w:tc>
        <w:tc>
          <w:tcPr>
            <w:tcW w:w="3117" w:type="dxa"/>
          </w:tcPr>
          <w:p w14:paraId="66BA8491" w14:textId="069A7E9D" w:rsidR="004D2C13" w:rsidRPr="00786266" w:rsidRDefault="004D2C13" w:rsidP="004D2C13">
            <w:pPr>
              <w:shd w:val="solid" w:color="FFFFFF" w:fill="FFFFFF"/>
              <w:spacing w:before="0" w:line="240" w:lineRule="atLeast"/>
              <w:rPr>
                <w:rFonts w:ascii="Verdana" w:hAnsi="Verdana"/>
                <w:sz w:val="20"/>
              </w:rPr>
            </w:pPr>
            <w:r w:rsidRPr="00D07103">
              <w:rPr>
                <w:b/>
                <w:bCs/>
                <w:color w:val="000000"/>
                <w:lang w:val="es-ES"/>
              </w:rPr>
              <w:t>16 de marzo de 2026</w:t>
            </w:r>
          </w:p>
        </w:tc>
      </w:tr>
      <w:tr w:rsidR="004D2C13" w:rsidRPr="002A127E" w14:paraId="4FEEB3B6" w14:textId="77777777" w:rsidTr="004D2C13">
        <w:trPr>
          <w:cantSplit/>
        </w:trPr>
        <w:tc>
          <w:tcPr>
            <w:tcW w:w="6772" w:type="dxa"/>
            <w:vMerge/>
          </w:tcPr>
          <w:p w14:paraId="74D81038" w14:textId="77777777" w:rsidR="004D2C13" w:rsidRDefault="004D2C13" w:rsidP="004D2C13">
            <w:pPr>
              <w:spacing w:before="60"/>
              <w:jc w:val="center"/>
              <w:rPr>
                <w:b/>
                <w:smallCaps/>
                <w:sz w:val="32"/>
              </w:rPr>
            </w:pPr>
            <w:bookmarkStart w:id="2" w:name="dorlang" w:colFirst="1" w:colLast="1"/>
            <w:bookmarkEnd w:id="1"/>
          </w:p>
        </w:tc>
        <w:tc>
          <w:tcPr>
            <w:tcW w:w="3117" w:type="dxa"/>
          </w:tcPr>
          <w:p w14:paraId="1FF332C0" w14:textId="6FF7FDF6" w:rsidR="004D2C13" w:rsidRPr="00786266" w:rsidRDefault="004D2C13" w:rsidP="004D2C13">
            <w:pPr>
              <w:shd w:val="solid" w:color="FFFFFF" w:fill="FFFFFF"/>
              <w:spacing w:before="0" w:after="120" w:line="240" w:lineRule="atLeast"/>
              <w:rPr>
                <w:rFonts w:ascii="Verdana" w:hAnsi="Verdana"/>
                <w:sz w:val="20"/>
              </w:rPr>
            </w:pPr>
            <w:r w:rsidRPr="00D07103">
              <w:rPr>
                <w:b/>
                <w:bCs/>
                <w:color w:val="000000"/>
                <w:lang w:val="es-ES"/>
              </w:rPr>
              <w:t>Original: inglés</w:t>
            </w:r>
          </w:p>
        </w:tc>
      </w:tr>
      <w:tr w:rsidR="004D2C13" w14:paraId="757D875B" w14:textId="77777777" w:rsidTr="008F0106">
        <w:trPr>
          <w:cantSplit/>
        </w:trPr>
        <w:tc>
          <w:tcPr>
            <w:tcW w:w="9889" w:type="dxa"/>
            <w:gridSpan w:val="2"/>
          </w:tcPr>
          <w:p w14:paraId="13711D4B" w14:textId="5AF40027" w:rsidR="004D2C13" w:rsidRDefault="004D2C13" w:rsidP="004D2C13">
            <w:pPr>
              <w:pStyle w:val="Source"/>
            </w:pPr>
            <w:bookmarkStart w:id="3" w:name="dsource" w:colFirst="0" w:colLast="0"/>
            <w:bookmarkEnd w:id="2"/>
            <w:r w:rsidRPr="00D07103">
              <w:rPr>
                <w:bCs/>
                <w:color w:val="000000"/>
                <w:lang w:val="es-ES"/>
              </w:rPr>
              <w:t>Arabia Saudita (Reino de), Bahrein (Reino de), Djibouti (República de), Egipto (República Árabe de), Jordania (Reino Hachemita de), Kuwait (Estado de)</w:t>
            </w:r>
            <w:r w:rsidRPr="00D07103">
              <w:rPr>
                <w:color w:val="000000"/>
                <w:lang w:val="es-ES"/>
              </w:rPr>
              <w:t xml:space="preserve"> </w:t>
            </w:r>
            <w:r w:rsidRPr="00D07103">
              <w:rPr>
                <w:bCs/>
                <w:color w:val="000000"/>
                <w:lang w:val="es-ES"/>
              </w:rPr>
              <w:t>Marruecos (Reino de), Túnez, Emiratos Árabes Unidos</w:t>
            </w:r>
          </w:p>
        </w:tc>
      </w:tr>
      <w:tr w:rsidR="004D2C13" w14:paraId="0C4CFC3B" w14:textId="77777777" w:rsidTr="008F0106">
        <w:trPr>
          <w:cantSplit/>
        </w:trPr>
        <w:tc>
          <w:tcPr>
            <w:tcW w:w="9889" w:type="dxa"/>
            <w:gridSpan w:val="2"/>
          </w:tcPr>
          <w:p w14:paraId="6BBEA857" w14:textId="0B02E3F4" w:rsidR="004D2C13" w:rsidRDefault="004D2C13" w:rsidP="004D2C13">
            <w:pPr>
              <w:pStyle w:val="Title1"/>
            </w:pPr>
            <w:bookmarkStart w:id="4" w:name="dtitle1" w:colFirst="0" w:colLast="0"/>
            <w:bookmarkEnd w:id="3"/>
            <w:r w:rsidRPr="00D07103">
              <w:rPr>
                <w:color w:val="000000"/>
                <w:lang w:val="es-ES"/>
              </w:rPr>
              <w:t>MEJORA DE LA ESTRUCTURA DE LAS COMISIONES DE ESTUDIO DE RADIOCOMUNICACIONES</w:t>
            </w:r>
          </w:p>
        </w:tc>
      </w:tr>
    </w:tbl>
    <w:bookmarkEnd w:id="4"/>
    <w:p w14:paraId="6772110B" w14:textId="00817CFD" w:rsidR="004D2C13" w:rsidRPr="00D07103" w:rsidRDefault="006E3716" w:rsidP="006E3716">
      <w:pPr>
        <w:pStyle w:val="Heading1"/>
        <w:rPr>
          <w:lang w:val="es-ES"/>
        </w:rPr>
      </w:pPr>
      <w:r>
        <w:rPr>
          <w:lang w:val="es-ES"/>
        </w:rPr>
        <w:t>1</w:t>
      </w:r>
      <w:r>
        <w:rPr>
          <w:lang w:val="es-ES"/>
        </w:rPr>
        <w:tab/>
      </w:r>
      <w:r w:rsidR="004D2C13" w:rsidRPr="00D07103">
        <w:rPr>
          <w:lang w:val="es-ES"/>
        </w:rPr>
        <w:t>Introducción</w:t>
      </w:r>
    </w:p>
    <w:p w14:paraId="1E04BAED" w14:textId="3F7B57B8" w:rsidR="004D2C13" w:rsidRPr="00D07103" w:rsidRDefault="004D2C13" w:rsidP="004D2C13">
      <w:pPr>
        <w:rPr>
          <w:lang w:val="es-ES"/>
        </w:rPr>
      </w:pPr>
      <w:r w:rsidRPr="00D07103">
        <w:rPr>
          <w:lang w:val="es-ES"/>
        </w:rPr>
        <w:t xml:space="preserve">En su 32ª reunión, el Grupo Asesor de Radiocomunicaciones (GAR) invitó a las Comisiones de Estudio del UIT-R a identificar los retos, los solapamientos y las oportunidades de mejora en su ámbito de trabajo actual (véase el Resumen de conclusiones, </w:t>
      </w:r>
      <w:hyperlink r:id="rId8" w:history="1">
        <w:r w:rsidRPr="00D07103">
          <w:rPr>
            <w:rStyle w:val="Hyperlink"/>
            <w:szCs w:val="24"/>
            <w:shd w:val="clear" w:color="auto" w:fill="FFFFFF"/>
            <w:lang w:val="es-ES"/>
          </w:rPr>
          <w:t>CA/277</w:t>
        </w:r>
      </w:hyperlink>
      <w:r w:rsidRPr="00D07103">
        <w:rPr>
          <w:color w:val="000000"/>
          <w:szCs w:val="24"/>
          <w:shd w:val="clear" w:color="auto" w:fill="FFFFFF"/>
          <w:lang w:val="es-ES"/>
        </w:rPr>
        <w:t>)</w:t>
      </w:r>
      <w:r w:rsidRPr="00D07103">
        <w:rPr>
          <w:lang w:val="es-ES"/>
        </w:rPr>
        <w:t>). El propósito de esta solicitud era garantizar que el marco de estudios del UIT-R continuara funcionando de manera eficiente al tiempo que apoyaba la preparación de los resultados para la AR-27 y la CMR-27, y evaluar si la estructura organizativa existente seguía siendo adecuada para el cambiante panorama de las radiocomunicaciones.</w:t>
      </w:r>
      <w:hyperlink r:id="rId9" w:history="1"/>
    </w:p>
    <w:p w14:paraId="3683C71A" w14:textId="79E0FF23" w:rsidR="004D2C13" w:rsidRPr="00D07103" w:rsidRDefault="004D2C13" w:rsidP="004D2C13">
      <w:pPr>
        <w:rPr>
          <w:lang w:val="es-ES"/>
        </w:rPr>
      </w:pPr>
      <w:r w:rsidRPr="00D07103">
        <w:rPr>
          <w:lang w:val="es-ES"/>
        </w:rPr>
        <w:t>En respuesta a esta petición, la Oficina de Radiocomunicaciones (BR) invitó a las Comisiones de Estudio a proporcionar información sobre los problemas asociados a la realización de sus estudios, así como sobre los ámbitos en los que se podría aumentar la eficacia mejorando la coordinación o revisando la estructura y el método de trabajo. Los comentarios recibidos de las Comisiones de Estudio se resumen en el Anexo 2 al Addéndum 1 del Informe del Director de la BR a la 33</w:t>
      </w:r>
      <w:r w:rsidR="00F53FB2">
        <w:rPr>
          <w:lang w:val="es-ES"/>
        </w:rPr>
        <w:t>.</w:t>
      </w:r>
      <w:r w:rsidRPr="00D07103">
        <w:rPr>
          <w:lang w:val="es-ES"/>
        </w:rPr>
        <w:t xml:space="preserve">ª reunión del GAR (véase el Documento </w:t>
      </w:r>
      <w:hyperlink r:id="rId10" w:history="1">
        <w:r w:rsidRPr="00D07103">
          <w:rPr>
            <w:rStyle w:val="Hyperlink"/>
            <w:lang w:val="es-ES" w:eastAsia="zh-CN"/>
          </w:rPr>
          <w:t>RAG/58-S</w:t>
        </w:r>
      </w:hyperlink>
      <w:r w:rsidRPr="00D07103">
        <w:rPr>
          <w:lang w:val="es-ES"/>
        </w:rPr>
        <w:t xml:space="preserve">), donde se recopilan las contribuciones proporcionadas por las diferentes Comisiones de Estudio en relación con los retos, solapamientos y oportunidades de mejora en su ámbito de trabajo actual. </w:t>
      </w:r>
      <w:hyperlink r:id="rId11" w:history="1"/>
    </w:p>
    <w:p w14:paraId="787A0257" w14:textId="77777777" w:rsidR="004D2C13" w:rsidRPr="00D07103" w:rsidRDefault="004D2C13" w:rsidP="004D2C13">
      <w:pPr>
        <w:rPr>
          <w:lang w:val="es-ES"/>
        </w:rPr>
      </w:pPr>
      <w:r w:rsidRPr="00D07103">
        <w:rPr>
          <w:lang w:val="es-ES"/>
        </w:rPr>
        <w:t xml:space="preserve">Como se indica en el Anexo 2, varias Comisiones de Estudio examinaron estos asuntos durante sus reuniones y a través de contribuciones específicas. En particular, las Comisiones de Estudio 4 y 5 consideraron las contribuciones multipaís relacionadas, a saber, el </w:t>
      </w:r>
      <w:hyperlink r:id="rId12" w:history="1">
        <w:r w:rsidRPr="00D07103">
          <w:rPr>
            <w:rStyle w:val="Hyperlink"/>
            <w:lang w:val="es-ES"/>
          </w:rPr>
          <w:t>Documento 4/47</w:t>
        </w:r>
      </w:hyperlink>
      <w:r w:rsidRPr="00D07103">
        <w:rPr>
          <w:lang w:val="es-ES"/>
        </w:rPr>
        <w:t xml:space="preserve"> y el </w:t>
      </w:r>
      <w:hyperlink r:id="rId13" w:history="1">
        <w:r w:rsidRPr="00D07103">
          <w:rPr>
            <w:rStyle w:val="Hyperlink"/>
            <w:lang w:val="es-ES"/>
          </w:rPr>
          <w:t>Documento 5/96</w:t>
        </w:r>
      </w:hyperlink>
      <w:r w:rsidRPr="00D07103">
        <w:rPr>
          <w:lang w:val="es-ES"/>
        </w:rPr>
        <w:t xml:space="preserve">, en las que se abordan los retos, los solapamientos y las posibles oportunidades de mejora en sus respectivos ámbitos de trabajo. Estos debates pusieron de relieve la complejidad cada vez mayor de los estudios relacionados con los servicios terrenales y por satélite y la creciente necesidad de coordinación entre los distintos ámbitos técnicos. </w:t>
      </w:r>
      <w:hyperlink r:id="rId14" w:history="1"/>
      <w:hyperlink r:id="rId15" w:history="1"/>
    </w:p>
    <w:p w14:paraId="7BB8B1E6" w14:textId="3565A0BE" w:rsidR="004D2C13" w:rsidRPr="00D07103" w:rsidRDefault="004D2C13" w:rsidP="004D2C13">
      <w:pPr>
        <w:rPr>
          <w:lang w:val="es-ES"/>
        </w:rPr>
      </w:pPr>
      <w:r w:rsidRPr="00D07103">
        <w:rPr>
          <w:lang w:val="es-ES"/>
        </w:rPr>
        <w:t xml:space="preserve">La Comisión de Estudio 3, que también examinó cuestiones relacionadas con la actual estructura de las Comisiones de Estudio, señaló que no se ha realizado ninguna revisión importante de la estructura de las Comisiones de Estudio desde 2007 e indicó que, por consiguiente, podría resultar oportuno hacerlo a la luz de la evolución del entorno tecnológico. Además, durante los debates se mencionó la observación de que la evolución de las tecnologías de radiocomunicaciones está ampliando cada vez más los límites de los servicios tradicionales y exige un enfoque coordinado </w:t>
      </w:r>
      <w:r w:rsidRPr="00D07103">
        <w:rPr>
          <w:lang w:val="es-ES"/>
        </w:rPr>
        <w:lastRenderedPageBreak/>
        <w:t>entre las Comisiones de Estudio. La Comisión de Estudio 3 destacó además que sus Recomendaciones sobre propagación (serie P) constituyen contribuciones importantes a la labor de otras Comisiones de Estudio, lo que demuestra la interdependencia de los estudios dentro del UIT</w:t>
      </w:r>
      <w:r w:rsidR="00F53FB2">
        <w:rPr>
          <w:lang w:val="es-ES"/>
        </w:rPr>
        <w:noBreakHyphen/>
      </w:r>
      <w:r w:rsidRPr="00D07103">
        <w:rPr>
          <w:lang w:val="es-ES"/>
        </w:rPr>
        <w:t xml:space="preserve">R. </w:t>
      </w:r>
    </w:p>
    <w:p w14:paraId="778DACC7" w14:textId="77777777" w:rsidR="004D2C13" w:rsidRPr="00D07103" w:rsidRDefault="004D2C13" w:rsidP="004D2C13">
      <w:pPr>
        <w:rPr>
          <w:lang w:val="es-ES"/>
        </w:rPr>
      </w:pPr>
      <w:r w:rsidRPr="00D07103">
        <w:rPr>
          <w:lang w:val="es-ES"/>
        </w:rPr>
        <w:t>En general, la información presentada en el Anexo 2 indica que la rápida evolución de las tecnologías y los servicios de radiocomunicaciones ha incrementado el alcance, la complejidad y la interdependencia de los estudios del UIT-R, especialmente en ámbitos tales como las comunicaciones por satélite, los sistemas móviles terrenales y las nuevas arquitecturas de red. Cada vez más, estos avances abarcan múltiples ámbitos de las radiocomunicaciones y requieren una coordinación más estrecha entre las Comisiones de Estudio a través de mecanismos tales como declaraciones de coordinación e intercambio de resultados de estudios. Aunque todo esto evidencia la pertinencia y el dinamismo constantes de las actividades del UIT-R, también ha supuesto una mayor carga de trabajo para algunas Comisiones de Estudio y sus Grupos de Trabajo. A pesar de estos cambios en la naturaleza y la escala de los trabajos realizados, la estructura global de las Comisiones de Estudio del UIT-R ha permanecido prácticamente inalterada durante más de quince años (esto es, aproximadamente cuatro ciclos de la Asamblea de Radiocomunicaciones [AR]), lo que plantea la cuestión de si la revisión estructural periódica puede ayudar a garantizar que el marco de estudios sigue en la línea de los avances actuales y futuros en materia de radiocomunicaciones.</w:t>
      </w:r>
    </w:p>
    <w:p w14:paraId="112A419C" w14:textId="73F408B7" w:rsidR="004D2C13" w:rsidRPr="00D07103" w:rsidRDefault="006E3716" w:rsidP="004D2C13">
      <w:pPr>
        <w:pStyle w:val="Heading1"/>
        <w:rPr>
          <w:lang w:val="es-ES"/>
        </w:rPr>
      </w:pPr>
      <w:r>
        <w:rPr>
          <w:bCs/>
          <w:lang w:val="es-ES"/>
        </w:rPr>
        <w:t>2</w:t>
      </w:r>
      <w:r>
        <w:rPr>
          <w:bCs/>
          <w:lang w:val="es-ES"/>
        </w:rPr>
        <w:tab/>
      </w:r>
      <w:r w:rsidR="004D2C13" w:rsidRPr="00D07103">
        <w:rPr>
          <w:bCs/>
          <w:lang w:val="es-ES"/>
        </w:rPr>
        <w:t>Debate</w:t>
      </w:r>
    </w:p>
    <w:p w14:paraId="1D23C621" w14:textId="77777777" w:rsidR="004D2C13" w:rsidRPr="00D07103" w:rsidRDefault="004D2C13" w:rsidP="004D2C13">
      <w:pPr>
        <w:rPr>
          <w:lang w:val="es-ES"/>
        </w:rPr>
      </w:pPr>
      <w:r w:rsidRPr="00D07103">
        <w:rPr>
          <w:lang w:val="es-ES"/>
        </w:rPr>
        <w:t>De conformidad con la Resolución UIT-R 4, la estructura actual de las Comisiones de Estudio ha ido adaptándose en las sucesivas Asambleas de Radiocomunicaciones a fin de reflejar la evolución de las tecnologías, los servicios y los requisitos reglamentarios de las radiocomunicaciones. La Asamblea de Radiocomunicaciones revisa periódicamente el alcance y la organización de las Comisiones de Estudio para garantizar que su estructura se mantiene en consonancia con las necesidades cambiantes del sector de radiocomunicaciones y que puede contribuir eficazmente a la preparación de los resultados de las Conferencias Mundiales de Radiocomunicaciones (CMR).</w:t>
      </w:r>
    </w:p>
    <w:p w14:paraId="0074AC45" w14:textId="77777777" w:rsidR="004D2C13" w:rsidRPr="00D07103" w:rsidRDefault="004D2C13" w:rsidP="004D2C13">
      <w:pPr>
        <w:rPr>
          <w:lang w:val="es-ES"/>
        </w:rPr>
      </w:pPr>
      <w:r w:rsidRPr="00D07103">
        <w:rPr>
          <w:lang w:val="es-ES"/>
        </w:rPr>
        <w:t>Como se muestra en la Figura 1, se han ido introduciendo varios ajustes estructurales a lo largo del tiempo. Los cambios son, entre otros:</w:t>
      </w:r>
    </w:p>
    <w:p w14:paraId="17018319" w14:textId="1F3964CA" w:rsidR="004D2C13" w:rsidRPr="00D07103" w:rsidRDefault="00F53FB2" w:rsidP="00F53FB2">
      <w:pPr>
        <w:pStyle w:val="enumlev1"/>
        <w:rPr>
          <w:lang w:val="es-ES"/>
        </w:rPr>
      </w:pPr>
      <w:r w:rsidRPr="00F53FB2">
        <w:rPr>
          <w:lang w:val="es-ES"/>
        </w:rPr>
        <w:t>–</w:t>
      </w:r>
      <w:r>
        <w:rPr>
          <w:lang w:val="es-ES"/>
        </w:rPr>
        <w:tab/>
      </w:r>
      <w:r w:rsidR="004D2C13" w:rsidRPr="00D07103">
        <w:rPr>
          <w:lang w:val="es-ES"/>
        </w:rPr>
        <w:t>la consolidación de las actividades de estudio a fin de racionalizar las labores técnicas conexas y mejorar la coordinación entre temas estrechamente relacionados. Este enfoque se materializó, por ejemplo, en la fusión de las antiguas Comisiones de Estudio 10 y 11 en la Comisión de Estudio 6, lo que consolidó los estudios relativos a los servicios de radiodifusión en una sola Comisión de Estudio y mejoró la coordinación de las actividades relacionadas con la radiodifusión;</w:t>
      </w:r>
    </w:p>
    <w:p w14:paraId="300F1A1F" w14:textId="50797A22" w:rsidR="004D2C13" w:rsidRPr="00D07103" w:rsidRDefault="00F53FB2" w:rsidP="00F53FB2">
      <w:pPr>
        <w:pStyle w:val="enumlev1"/>
        <w:rPr>
          <w:lang w:val="es-ES"/>
        </w:rPr>
      </w:pPr>
      <w:r w:rsidRPr="00F53FB2">
        <w:rPr>
          <w:lang w:val="es-ES"/>
        </w:rPr>
        <w:t>–</w:t>
      </w:r>
      <w:r>
        <w:rPr>
          <w:lang w:val="es-ES"/>
        </w:rPr>
        <w:tab/>
      </w:r>
      <w:r w:rsidR="004D2C13" w:rsidRPr="00D07103">
        <w:rPr>
          <w:lang w:val="es-ES"/>
        </w:rPr>
        <w:t>la reasignación de responsabilidades entre las Comisiones de Estudio, permitiendo que los estudios se realicen en los grupos más preparados para abordar las nuevas cuestiones técnicas y reglamentarias. Este proceder se reflejó en particular en la supresión de las Comisiones de Estudio 8 y 9, cuyas responsabilidades se redistribuyeron mediante la modificación del cometido de la Comisión de Estudio 4 y el establecimiento de la Comisión de Estudio 5, lo que se tradujo en una diferenciación más clara entre los estudios relacionados con los satélites y los estudios relacionados con los servicios terrenales;</w:t>
      </w:r>
    </w:p>
    <w:p w14:paraId="4E69D38A" w14:textId="77777777" w:rsidR="004D2C13" w:rsidRPr="00D07103" w:rsidRDefault="004D2C13" w:rsidP="004D2C13">
      <w:pPr>
        <w:rPr>
          <w:lang w:val="es-ES"/>
        </w:rPr>
      </w:pPr>
      <w:r w:rsidRPr="00D07103">
        <w:rPr>
          <w:lang w:val="es-ES"/>
        </w:rPr>
        <w:t>Estos cambios históricos también muestran que la mejora del marco del UIT-R puede manifestarse de diferentes maneras, como cambios estructurales, aclaración de los mandatos, redistribución de temas, aumento de la coordinación y ajuste de los métodos de trabajo, dependiendo de la naturaleza del problema identificado.</w:t>
      </w:r>
    </w:p>
    <w:p w14:paraId="12E6DE63" w14:textId="77777777" w:rsidR="004D2C13" w:rsidRPr="00CB2FED" w:rsidRDefault="004D2C13" w:rsidP="00CB2FED">
      <w:pPr>
        <w:pStyle w:val="FigureNotitle"/>
        <w:keepNext/>
        <w:rPr>
          <w:lang w:val="es-ES"/>
        </w:rPr>
      </w:pPr>
      <w:r w:rsidRPr="00CB2FED">
        <w:rPr>
          <w:lang w:val="es-ES"/>
        </w:rPr>
        <w:lastRenderedPageBreak/>
        <w:t>Figura 1</w:t>
      </w:r>
    </w:p>
    <w:p w14:paraId="3DEE392F" w14:textId="77777777" w:rsidR="004D2C13" w:rsidRDefault="004D2C13" w:rsidP="009A22BD">
      <w:pPr>
        <w:pStyle w:val="FigureNotitle"/>
        <w:keepNext/>
        <w:spacing w:before="120"/>
        <w:rPr>
          <w:lang w:val="es-ES"/>
        </w:rPr>
      </w:pPr>
      <w:r w:rsidRPr="00CB2FED">
        <w:rPr>
          <w:lang w:val="es-ES"/>
        </w:rPr>
        <w:t>Cambios históricos en la estructura de las Comisiones de Estudio a lo largo de los años</w:t>
      </w:r>
    </w:p>
    <w:p w14:paraId="75890204" w14:textId="76547F52" w:rsidR="00CB2FED" w:rsidRPr="009A22BD" w:rsidRDefault="00CB2FED" w:rsidP="00CB2FED">
      <w:pPr>
        <w:pStyle w:val="FigureNotitle"/>
        <w:keepNext/>
        <w:spacing w:before="120"/>
        <w:rPr>
          <w:b w:val="0"/>
          <w:bCs/>
          <w:lang w:val="es-ES"/>
        </w:rPr>
      </w:pPr>
      <w:r w:rsidRPr="009A22BD">
        <w:rPr>
          <w:b w:val="0"/>
          <w:bCs/>
          <w:lang w:val="es-ES"/>
        </w:rPr>
        <w:t>(Datos recopilados de la Resolución UIT-R 4 disponible)</w:t>
      </w:r>
    </w:p>
    <w:p w14:paraId="3B9E9716" w14:textId="4E16ED6D" w:rsidR="00CB2FED" w:rsidRPr="00CB2FED" w:rsidRDefault="00CB2FED" w:rsidP="00CB2FED">
      <w:pPr>
        <w:pStyle w:val="Normalaftertitle"/>
        <w:rPr>
          <w:lang w:val="es-ES"/>
        </w:rPr>
      </w:pPr>
      <w:r w:rsidRPr="00CB2FED">
        <w:rPr>
          <w:noProof/>
          <w:lang w:val="es-ES"/>
        </w:rPr>
        <w:drawing>
          <wp:anchor distT="0" distB="0" distL="114300" distR="114300" simplePos="0" relativeHeight="251659264" behindDoc="0" locked="0" layoutInCell="1" allowOverlap="1" wp14:anchorId="609F3E8B" wp14:editId="3A905687">
            <wp:simplePos x="0" y="0"/>
            <wp:positionH relativeFrom="margin">
              <wp:posOffset>0</wp:posOffset>
            </wp:positionH>
            <wp:positionV relativeFrom="paragraph">
              <wp:posOffset>333375</wp:posOffset>
            </wp:positionV>
            <wp:extent cx="6316345" cy="182880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6345" cy="1828800"/>
                    </a:xfrm>
                    <a:prstGeom prst="rect">
                      <a:avLst/>
                    </a:prstGeom>
                    <a:noFill/>
                  </pic:spPr>
                </pic:pic>
              </a:graphicData>
            </a:graphic>
            <wp14:sizeRelH relativeFrom="page">
              <wp14:pctWidth>0</wp14:pctWidth>
            </wp14:sizeRelH>
            <wp14:sizeRelV relativeFrom="page">
              <wp14:pctHeight>0</wp14:pctHeight>
            </wp14:sizeRelV>
          </wp:anchor>
        </w:drawing>
      </w:r>
    </w:p>
    <w:p w14:paraId="33C82B3E" w14:textId="77777777" w:rsidR="004D2C13" w:rsidRPr="00D07103" w:rsidRDefault="004D2C13" w:rsidP="00F53FB2">
      <w:pPr>
        <w:keepNext/>
        <w:spacing w:before="360"/>
        <w:rPr>
          <w:lang w:val="es-ES"/>
        </w:rPr>
      </w:pPr>
      <w:r w:rsidRPr="00D07103">
        <w:rPr>
          <w:lang w:val="es-ES"/>
        </w:rPr>
        <w:t>Sin embargo, desde que se adoptó la Resolución UIT-R 4-6 apenas se han realizado cambios en la estructura de las Comisiones de Estudio, con seis Comisiones de Estudio que se ocupan de lo siguiente:</w:t>
      </w:r>
    </w:p>
    <w:p w14:paraId="212FBECB" w14:textId="202C0385" w:rsidR="004D2C13" w:rsidRPr="00D07103" w:rsidRDefault="00CB2FED" w:rsidP="00CB2FED">
      <w:pPr>
        <w:pStyle w:val="enumlev1"/>
        <w:rPr>
          <w:lang w:val="es-ES"/>
        </w:rPr>
      </w:pPr>
      <w:r w:rsidRPr="00CB2FED">
        <w:rPr>
          <w:lang w:val="es-ES"/>
        </w:rPr>
        <w:t>–</w:t>
      </w:r>
      <w:r>
        <w:rPr>
          <w:lang w:val="es-ES"/>
        </w:rPr>
        <w:tab/>
        <w:t>G</w:t>
      </w:r>
      <w:r w:rsidR="004D2C13" w:rsidRPr="00D07103">
        <w:rPr>
          <w:lang w:val="es-ES"/>
        </w:rPr>
        <w:t>estión del espectro (CE 1)</w:t>
      </w:r>
    </w:p>
    <w:p w14:paraId="3FB74059" w14:textId="4B80379E" w:rsidR="004D2C13" w:rsidRPr="00D07103" w:rsidRDefault="00CB2FED" w:rsidP="00CB2FED">
      <w:pPr>
        <w:pStyle w:val="enumlev1"/>
        <w:rPr>
          <w:lang w:val="es-ES"/>
        </w:rPr>
      </w:pPr>
      <w:r w:rsidRPr="00CB2FED">
        <w:rPr>
          <w:lang w:val="es-ES"/>
        </w:rPr>
        <w:t>–</w:t>
      </w:r>
      <w:r>
        <w:rPr>
          <w:lang w:val="es-ES"/>
        </w:rPr>
        <w:tab/>
        <w:t>P</w:t>
      </w:r>
      <w:r w:rsidR="004D2C13" w:rsidRPr="00D07103">
        <w:rPr>
          <w:lang w:val="es-ES"/>
        </w:rPr>
        <w:t>ropagación (CE 3)</w:t>
      </w:r>
    </w:p>
    <w:p w14:paraId="742C5E8F" w14:textId="5B9A1C1E" w:rsidR="004D2C13" w:rsidRPr="00D07103" w:rsidRDefault="00CB2FED" w:rsidP="00CB2FED">
      <w:pPr>
        <w:pStyle w:val="enumlev1"/>
        <w:rPr>
          <w:lang w:val="es-ES"/>
        </w:rPr>
      </w:pPr>
      <w:r w:rsidRPr="00CB2FED">
        <w:rPr>
          <w:lang w:val="es-ES"/>
        </w:rPr>
        <w:t>–</w:t>
      </w:r>
      <w:r>
        <w:rPr>
          <w:lang w:val="es-ES"/>
        </w:rPr>
        <w:tab/>
        <w:t>S</w:t>
      </w:r>
      <w:r w:rsidR="004D2C13" w:rsidRPr="00D07103">
        <w:rPr>
          <w:lang w:val="es-ES"/>
        </w:rPr>
        <w:t>ervicios por satélite (CE 4)</w:t>
      </w:r>
    </w:p>
    <w:p w14:paraId="6534980C" w14:textId="1B4EAB88" w:rsidR="004D2C13" w:rsidRPr="00D07103" w:rsidRDefault="00CB2FED" w:rsidP="00CB2FED">
      <w:pPr>
        <w:pStyle w:val="enumlev1"/>
        <w:rPr>
          <w:lang w:val="es-ES"/>
        </w:rPr>
      </w:pPr>
      <w:r w:rsidRPr="00CB2FED">
        <w:rPr>
          <w:lang w:val="es-ES"/>
        </w:rPr>
        <w:t>–</w:t>
      </w:r>
      <w:r>
        <w:rPr>
          <w:lang w:val="es-ES"/>
        </w:rPr>
        <w:tab/>
        <w:t>S</w:t>
      </w:r>
      <w:r w:rsidR="004D2C13" w:rsidRPr="00D07103">
        <w:rPr>
          <w:lang w:val="es-ES"/>
        </w:rPr>
        <w:t>ervicios terrenales (CE 5)</w:t>
      </w:r>
    </w:p>
    <w:p w14:paraId="2DB9E731" w14:textId="2B6483DE" w:rsidR="004D2C13" w:rsidRPr="00D07103" w:rsidRDefault="00CB2FED" w:rsidP="00CB2FED">
      <w:pPr>
        <w:pStyle w:val="enumlev1"/>
        <w:rPr>
          <w:lang w:val="es-ES"/>
        </w:rPr>
      </w:pPr>
      <w:r w:rsidRPr="00CB2FED">
        <w:rPr>
          <w:lang w:val="es-ES"/>
        </w:rPr>
        <w:t>–</w:t>
      </w:r>
      <w:r>
        <w:rPr>
          <w:lang w:val="es-ES"/>
        </w:rPr>
        <w:tab/>
        <w:t>S</w:t>
      </w:r>
      <w:r w:rsidR="004D2C13" w:rsidRPr="00D07103">
        <w:rPr>
          <w:lang w:val="es-ES"/>
        </w:rPr>
        <w:t>ervicios de radiodifusión (CE 6)</w:t>
      </w:r>
    </w:p>
    <w:p w14:paraId="4FE70CAE" w14:textId="5369F6F3" w:rsidR="004D2C13" w:rsidRPr="00D07103" w:rsidRDefault="00CB2FED" w:rsidP="00CB2FED">
      <w:pPr>
        <w:pStyle w:val="enumlev1"/>
        <w:rPr>
          <w:lang w:val="es-ES"/>
        </w:rPr>
      </w:pPr>
      <w:r w:rsidRPr="00CB2FED">
        <w:rPr>
          <w:lang w:val="es-ES"/>
        </w:rPr>
        <w:t>–</w:t>
      </w:r>
      <w:r>
        <w:rPr>
          <w:lang w:val="es-ES"/>
        </w:rPr>
        <w:tab/>
        <w:t>S</w:t>
      </w:r>
      <w:r w:rsidR="004D2C13" w:rsidRPr="00D07103">
        <w:rPr>
          <w:lang w:val="es-ES"/>
        </w:rPr>
        <w:t>ervicios científicos (CE 7)</w:t>
      </w:r>
    </w:p>
    <w:p w14:paraId="6DDE4CCB" w14:textId="77777777" w:rsidR="004D2C13" w:rsidRPr="00D07103" w:rsidRDefault="004D2C13" w:rsidP="004D2C13">
      <w:pPr>
        <w:rPr>
          <w:lang w:val="es-ES"/>
        </w:rPr>
      </w:pPr>
      <w:r w:rsidRPr="00D07103">
        <w:rPr>
          <w:lang w:val="es-ES"/>
        </w:rPr>
        <w:t>Si bien este largo periodo de estabilidad estructural ha permitido continuar con las actividades de las Comisiones de Estudio, la rápida evolución de las tecnologías y los servicios de radiocomunicaciones ha modificado significativamente la naturaleza, la complejidad y la interdependencia de los estudios realizados en el UIT-R. Habida cuenta de que siguen apareciendo nuevas tecnologías y nuevos servicios, se han introducido temas de estudio y responsabilidades adicionales en el marco de las Comisiones de Estudio existentes.</w:t>
      </w:r>
    </w:p>
    <w:p w14:paraId="043502EF" w14:textId="77777777" w:rsidR="004D2C13" w:rsidRPr="00D07103" w:rsidRDefault="004D2C13" w:rsidP="004D2C13">
      <w:pPr>
        <w:rPr>
          <w:lang w:val="es-ES"/>
        </w:rPr>
      </w:pPr>
      <w:r w:rsidRPr="00D07103">
        <w:rPr>
          <w:lang w:val="es-ES"/>
        </w:rPr>
        <w:t>La Figura 2 presenta un análisis de la documentación de las reuniones de las Comisiones de Estudio a lo largo de varios ciclos de estudio de la CMR, basado en una recopilación de las contribuciones presentadas durante los dos primeros años de cada ciclo. El análisis indica que un número limitado de Comisiones de Estudio concentra una proporción importante de las contribuciones. Esta tendencia pone de relieve la desigual distribución de la carga de trabajo en la estructura del UIT-R y refleja tanto la creciente complejidad de algunos estudios de radiocomunicaciones como el mayor compromiso de las administraciones y los Miembros de Sector en estos ámbitos.</w:t>
      </w:r>
    </w:p>
    <w:p w14:paraId="00BE2F9E" w14:textId="77777777" w:rsidR="004D2C13" w:rsidRPr="00CB2FED" w:rsidRDefault="004D2C13" w:rsidP="00CB2FED">
      <w:pPr>
        <w:pStyle w:val="FigureNotitle"/>
        <w:keepNext/>
        <w:rPr>
          <w:lang w:val="es-ES"/>
        </w:rPr>
      </w:pPr>
      <w:r w:rsidRPr="00CB2FED">
        <w:rPr>
          <w:lang w:val="es-ES"/>
        </w:rPr>
        <w:t>Figura 2</w:t>
      </w:r>
    </w:p>
    <w:p w14:paraId="1B357AFF" w14:textId="77777777" w:rsidR="004D2C13" w:rsidRPr="00CB2FED" w:rsidRDefault="004D2C13" w:rsidP="00A91245">
      <w:pPr>
        <w:pStyle w:val="FigureNotitle"/>
        <w:keepNext/>
        <w:spacing w:before="120"/>
        <w:rPr>
          <w:lang w:val="es-ES"/>
        </w:rPr>
      </w:pPr>
      <w:r w:rsidRPr="00CB2FED">
        <w:rPr>
          <w:lang w:val="es-ES"/>
        </w:rPr>
        <w:t>Número de contribuciones presentadas a las Comisiones de Estudio del UIT-R en diferentes ciclos de la CMR</w:t>
      </w:r>
    </w:p>
    <w:p w14:paraId="6DBC3DC2" w14:textId="77777777" w:rsidR="004D2C13" w:rsidRPr="00A91245" w:rsidRDefault="004D2C13" w:rsidP="00CB2FED">
      <w:pPr>
        <w:pStyle w:val="FigureNotitle"/>
        <w:keepNext/>
        <w:spacing w:before="120" w:after="360"/>
        <w:rPr>
          <w:b w:val="0"/>
          <w:bCs/>
          <w:lang w:val="es-ES"/>
        </w:rPr>
      </w:pPr>
      <w:r w:rsidRPr="00A91245">
        <w:rPr>
          <w:b w:val="0"/>
          <w:bCs/>
          <w:lang w:val="es-ES"/>
        </w:rPr>
        <w:t>(Datos recopilados de la página web de las CE del UIT-R)</w:t>
      </w:r>
    </w:p>
    <w:p w14:paraId="699A3EDC" w14:textId="77777777" w:rsidR="004D2C13" w:rsidRPr="00D07103" w:rsidRDefault="004D2C13" w:rsidP="004D2C13">
      <w:pPr>
        <w:tabs>
          <w:tab w:val="clear" w:pos="794"/>
          <w:tab w:val="clear" w:pos="1191"/>
          <w:tab w:val="clear" w:pos="1588"/>
          <w:tab w:val="clear" w:pos="1985"/>
        </w:tabs>
        <w:overflowPunct/>
        <w:autoSpaceDE/>
        <w:autoSpaceDN/>
        <w:adjustRightInd/>
        <w:spacing w:before="0"/>
        <w:textAlignment w:val="auto"/>
        <w:rPr>
          <w:lang w:val="es-ES" w:eastAsia="zh-CN"/>
        </w:rPr>
      </w:pPr>
      <w:r w:rsidRPr="00D07103">
        <w:rPr>
          <w:noProof/>
          <w:lang w:val="es-ES"/>
        </w:rPr>
        <w:drawing>
          <wp:inline distT="0" distB="0" distL="0" distR="0" wp14:anchorId="3752F040" wp14:editId="03D7A3CA">
            <wp:extent cx="6120765" cy="2009803"/>
            <wp:effectExtent l="0" t="0" r="13335" b="9525"/>
            <wp:docPr id="12" name="Chart 12">
              <a:extLst xmlns:a="http://schemas.openxmlformats.org/drawingml/2006/main">
                <a:ext uri="{FF2B5EF4-FFF2-40B4-BE49-F238E27FC236}">
                  <a16:creationId xmlns:a16="http://schemas.microsoft.com/office/drawing/2014/main" id="{58C60865-3391-4FDF-96D3-F28EBC93B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6A7E6C" w14:textId="77777777" w:rsidR="004D2C13" w:rsidRPr="00D07103" w:rsidRDefault="004D2C13" w:rsidP="004D2C13">
      <w:pPr>
        <w:keepNext/>
        <w:rPr>
          <w:lang w:val="es-ES"/>
        </w:rPr>
      </w:pPr>
      <w:r w:rsidRPr="00D07103">
        <w:rPr>
          <w:lang w:val="es-ES"/>
        </w:rPr>
        <w:t>Los datos recopilados de la base de datos de documentos de las Comisiones de Estudio indican lo siguiente:</w:t>
      </w:r>
    </w:p>
    <w:p w14:paraId="5980E2C7" w14:textId="62E5BBDA" w:rsidR="004D2C13" w:rsidRPr="00D07103" w:rsidRDefault="00C73EE7" w:rsidP="00C73EE7">
      <w:pPr>
        <w:pStyle w:val="enumlev1"/>
        <w:rPr>
          <w:lang w:val="es-ES"/>
        </w:rPr>
      </w:pPr>
      <w:r w:rsidRPr="00C73EE7">
        <w:rPr>
          <w:lang w:val="es-ES"/>
        </w:rPr>
        <w:t>–</w:t>
      </w:r>
      <w:r>
        <w:rPr>
          <w:lang w:val="es-ES"/>
        </w:rPr>
        <w:tab/>
      </w:r>
      <w:r w:rsidR="004D2C13" w:rsidRPr="00D07103">
        <w:rPr>
          <w:lang w:val="es-ES"/>
        </w:rPr>
        <w:t>Las Comisiones de Estudio 4 y 5 son las que reciben sistemáticamente el mayor número de contribuciones, lo que refleja la creciente importancia de los sistemas de satélite y las tecnologías móviles terrenales.</w:t>
      </w:r>
    </w:p>
    <w:p w14:paraId="4088DB90" w14:textId="61635AE1" w:rsidR="004D2C13" w:rsidRPr="00D07103" w:rsidRDefault="00C73EE7" w:rsidP="00C73EE7">
      <w:pPr>
        <w:pStyle w:val="enumlev1"/>
        <w:rPr>
          <w:lang w:val="es-ES"/>
        </w:rPr>
      </w:pPr>
      <w:r w:rsidRPr="00C73EE7">
        <w:rPr>
          <w:lang w:val="es-ES"/>
        </w:rPr>
        <w:t>–</w:t>
      </w:r>
      <w:r>
        <w:rPr>
          <w:lang w:val="es-ES"/>
        </w:rPr>
        <w:tab/>
      </w:r>
      <w:r w:rsidR="004D2C13" w:rsidRPr="00D07103">
        <w:rPr>
          <w:lang w:val="es-ES"/>
        </w:rPr>
        <w:t>Los niveles de actividad también se mantienen elevados en otras Comisiones de Estudio, como la CE 3 y la CE 7, aunque han disminuido en la CE 1 y la CE 6.</w:t>
      </w:r>
    </w:p>
    <w:p w14:paraId="5D5BF309" w14:textId="77777777" w:rsidR="004D2C13" w:rsidRPr="00D07103" w:rsidRDefault="004D2C13" w:rsidP="004D2C13">
      <w:pPr>
        <w:rPr>
          <w:lang w:val="es-ES"/>
        </w:rPr>
      </w:pPr>
      <w:r w:rsidRPr="00D07103">
        <w:rPr>
          <w:lang w:val="es-ES"/>
        </w:rPr>
        <w:t>Como resultado, la estructura de las Comisiones de Estudio no ha cambiado apenas durante mucho tiempo, mientras que el alcance y el volumen de trabajo han seguido aumentando. En consecuencia, la creciente carga de trabajo no se ha redistribuido entre las Comisiones de Estudio, por lo que las Comisiones de Estudio existentes y sus Grupos de Trabajo deben asumir cada vez más cuestiones técnicas y reglamentarias. Esta situación puede suponer una presión considerable para algunas Comisiones de Estudio, debido sobre todo al número y la importancia de los asuntos que deben tratar, lo que en última instancia podría afectar a la eficacia y la puntualidad de sus resultados.</w:t>
      </w:r>
    </w:p>
    <w:p w14:paraId="2B87844D" w14:textId="77777777" w:rsidR="004D2C13" w:rsidRPr="00D07103" w:rsidRDefault="004D2C13" w:rsidP="004D2C13">
      <w:pPr>
        <w:rPr>
          <w:lang w:val="es-ES"/>
        </w:rPr>
      </w:pPr>
      <w:r w:rsidRPr="00D07103">
        <w:rPr>
          <w:lang w:val="es-ES"/>
        </w:rPr>
        <w:t>En algunos casos, los Grupos de Trabajo deben tramitar cientos de contribuciones durante una sola reunión, lo que supone una presión considerable para el calendario de reuniones y los procesos de redacción.</w:t>
      </w:r>
    </w:p>
    <w:p w14:paraId="08EB4442" w14:textId="77777777" w:rsidR="004D2C13" w:rsidRPr="00D07103" w:rsidRDefault="004D2C13" w:rsidP="004D2C13">
      <w:pPr>
        <w:rPr>
          <w:lang w:val="es-ES"/>
        </w:rPr>
      </w:pPr>
      <w:r w:rsidRPr="00D07103">
        <w:rPr>
          <w:lang w:val="es-ES"/>
        </w:rPr>
        <w:t>Este creciente volumen de contribuciones también puede tener consecuencias para la preparación oportuna del Informe de la RPC. La preparación del Informe de la RPC requiere que los Grupos de Trabajo examinen un gran número de contribuciones técnicas, realicen estudios de compatibilidad y compartición y consoliden los resultados en secciones del proyecto de Informe de la RPC en un tiempo de reunión relativamente limitado. En algunos casos, debido al elevado número de contribuciones, resulta difícil examinar y consolidar la totalidad del material pertinente en una sola reunión. Por ejemplo, en el GT 4A, que es responsable de varios puntos del orden del día de la CMR-27, el elevado número de contribuciones presentadas ha provocado que algunos proyectos de textos de la RPC y estudios conexos aún no hayan sido examinados y refundidos, lo que refleja la creciente complejidad y carga de trabajo asociadas a la preparación de las contribuciones de la RPC.</w:t>
      </w:r>
    </w:p>
    <w:p w14:paraId="44A659FD" w14:textId="77777777" w:rsidR="004D2C13" w:rsidRPr="00D07103" w:rsidRDefault="004D2C13" w:rsidP="004D2C13">
      <w:pPr>
        <w:rPr>
          <w:lang w:val="es-ES"/>
        </w:rPr>
      </w:pPr>
      <w:r w:rsidRPr="00D07103">
        <w:rPr>
          <w:lang w:val="es-ES"/>
        </w:rPr>
        <w:t>Si bien el número de contribuciones presentadas ha aumentado considerablemente en algunas CE, el número de textos aprobados (Recomendaciones, Informes, Manuales, etc.) se ha mantenido relativamente estable o, como mucho, se ha reducido muy ligeramente.</w:t>
      </w:r>
    </w:p>
    <w:p w14:paraId="3CD719B9" w14:textId="77777777" w:rsidR="004D2C13" w:rsidRPr="00CB2FED" w:rsidRDefault="004D2C13" w:rsidP="00CB2FED">
      <w:pPr>
        <w:pStyle w:val="FigureNotitle"/>
        <w:keepNext/>
        <w:rPr>
          <w:lang w:val="es-ES"/>
        </w:rPr>
      </w:pPr>
      <w:r w:rsidRPr="00D07103">
        <w:rPr>
          <w:lang w:val="es-ES"/>
        </w:rPr>
        <w:t>Figura 3</w:t>
      </w:r>
    </w:p>
    <w:p w14:paraId="2302ADBE" w14:textId="77777777" w:rsidR="004D2C13" w:rsidRPr="00CB2FED" w:rsidRDefault="004D2C13" w:rsidP="00A91245">
      <w:pPr>
        <w:pStyle w:val="FigureNotitle"/>
        <w:keepNext/>
        <w:spacing w:before="120"/>
        <w:rPr>
          <w:lang w:val="es-ES"/>
        </w:rPr>
      </w:pPr>
      <w:r w:rsidRPr="00CB2FED">
        <w:rPr>
          <w:lang w:val="es-ES"/>
        </w:rPr>
        <w:t>Número de textos aprobados por las Comisiones de Estudio del UIT-R en diferentes ciclos de la CMR</w:t>
      </w:r>
    </w:p>
    <w:p w14:paraId="38D01C34" w14:textId="77777777" w:rsidR="004D2C13" w:rsidRPr="00A91245" w:rsidRDefault="004D2C13" w:rsidP="00CB2FED">
      <w:pPr>
        <w:pStyle w:val="FigureNotitle"/>
        <w:keepNext/>
        <w:spacing w:before="120" w:after="240"/>
        <w:rPr>
          <w:b w:val="0"/>
          <w:bCs/>
          <w:sz w:val="22"/>
          <w:szCs w:val="18"/>
          <w:lang w:val="es-ES"/>
        </w:rPr>
      </w:pPr>
      <w:r w:rsidRPr="00A91245">
        <w:rPr>
          <w:b w:val="0"/>
          <w:bCs/>
          <w:lang w:val="es-ES"/>
        </w:rPr>
        <w:t>(Recopilados a partir de la asignación de textos a la Comisión de Estudio del UIT-R)</w:t>
      </w:r>
    </w:p>
    <w:p w14:paraId="22D6C9FD" w14:textId="77777777" w:rsidR="004D2C13" w:rsidRPr="00D07103" w:rsidRDefault="004D2C13" w:rsidP="004D2C13">
      <w:pPr>
        <w:tabs>
          <w:tab w:val="clear" w:pos="794"/>
          <w:tab w:val="clear" w:pos="1191"/>
          <w:tab w:val="clear" w:pos="1588"/>
          <w:tab w:val="clear" w:pos="1985"/>
        </w:tabs>
        <w:overflowPunct/>
        <w:autoSpaceDE/>
        <w:autoSpaceDN/>
        <w:adjustRightInd/>
        <w:spacing w:before="0"/>
        <w:textAlignment w:val="auto"/>
        <w:rPr>
          <w:lang w:val="es-ES" w:eastAsia="zh-CN"/>
        </w:rPr>
      </w:pPr>
      <w:r w:rsidRPr="00D07103">
        <w:rPr>
          <w:noProof/>
          <w:lang w:val="es-ES"/>
        </w:rPr>
        <w:drawing>
          <wp:inline distT="0" distB="0" distL="0" distR="0" wp14:anchorId="02B33C60" wp14:editId="311FE6FF">
            <wp:extent cx="6120765" cy="2009803"/>
            <wp:effectExtent l="0" t="0" r="13335" b="9525"/>
            <wp:docPr id="4" name="Chart 4">
              <a:extLst xmlns:a="http://schemas.openxmlformats.org/drawingml/2006/main">
                <a:ext uri="{FF2B5EF4-FFF2-40B4-BE49-F238E27FC236}">
                  <a16:creationId xmlns:a16="http://schemas.microsoft.com/office/drawing/2014/main" id="{C3A9DD68-9A74-4D67-80A3-2500654C89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0FB33F" w14:textId="77777777" w:rsidR="004D2C13" w:rsidRPr="00D07103" w:rsidRDefault="004D2C13" w:rsidP="004C3BE6">
      <w:pPr>
        <w:spacing w:before="240"/>
        <w:rPr>
          <w:lang w:val="es-ES"/>
        </w:rPr>
      </w:pPr>
      <w:r w:rsidRPr="00D07103">
        <w:rPr>
          <w:lang w:val="es-ES"/>
        </w:rPr>
        <w:t>La Figura 3 muestra el análisis de los textos aprobados en diferentes ciclos de estudio, que al comparar los datos recopilados durante los dos primeros años de cada ciclo con el volumen de contribuciones pone de manifiesto que:</w:t>
      </w:r>
    </w:p>
    <w:p w14:paraId="665C4489" w14:textId="350F56B0" w:rsidR="004D2C13" w:rsidRPr="00D07103" w:rsidRDefault="00CB2FED" w:rsidP="00CB2FED">
      <w:pPr>
        <w:pStyle w:val="enumlev1"/>
        <w:rPr>
          <w:lang w:val="es-ES"/>
        </w:rPr>
      </w:pPr>
      <w:r w:rsidRPr="00CB2FED">
        <w:rPr>
          <w:lang w:val="es-ES"/>
        </w:rPr>
        <w:t>–</w:t>
      </w:r>
      <w:r>
        <w:rPr>
          <w:lang w:val="es-ES"/>
        </w:rPr>
        <w:tab/>
      </w:r>
      <w:r w:rsidR="004D2C13" w:rsidRPr="00D07103">
        <w:rPr>
          <w:lang w:val="es-ES"/>
        </w:rPr>
        <w:t xml:space="preserve">Se necesita un gran número de contribuciones para producir un número relativamente limitado de productos finales. Por ejemplo, como se ilustra en la Figura 2, la Comisión de Estudio 5 recibe varios miles de contribuciones durante un ciclo de estudios, pero el número de textos aprobados sigue siendo limitado en comparación, normalmente del orden de unos pocos cientos de productos. </w:t>
      </w:r>
    </w:p>
    <w:p w14:paraId="7CBE3500" w14:textId="2198A1E0" w:rsidR="004D2C13" w:rsidRPr="00D07103" w:rsidRDefault="00CB2FED" w:rsidP="00CB2FED">
      <w:pPr>
        <w:pStyle w:val="enumlev1"/>
        <w:rPr>
          <w:lang w:val="es-ES"/>
        </w:rPr>
      </w:pPr>
      <w:r w:rsidRPr="00CB2FED">
        <w:rPr>
          <w:lang w:val="es-ES"/>
        </w:rPr>
        <w:t>–</w:t>
      </w:r>
      <w:r>
        <w:rPr>
          <w:lang w:val="es-ES"/>
        </w:rPr>
        <w:tab/>
      </w:r>
      <w:r w:rsidR="004D2C13" w:rsidRPr="00D07103">
        <w:rPr>
          <w:lang w:val="es-ES"/>
        </w:rPr>
        <w:t>El análisis muestra que, si bien el número de contribuciones ha aumentado significativamente durante los sucesivos ciclos de estudio de la CMR, el número de resultados aprobados se ha mantenido relativamente reducido. Esto indica una relación decreciente entre las contribuciones y los textos aprobados. Por ejemplo, en Comisiones de Estudio como la CE 4 y la CE 5 se presenta un gran volumen de contribuciones; sin embargo, no ha aumentado proporcionalmente el número de resultados aprobados, lo que refleja la creciente complejidad de los estudios y la amplia coordinación entre administraciones necesaria.</w:t>
      </w:r>
    </w:p>
    <w:p w14:paraId="28043D28" w14:textId="094BA869" w:rsidR="004D2C13" w:rsidRPr="00D07103" w:rsidRDefault="004D2C13" w:rsidP="004D2C13">
      <w:pPr>
        <w:rPr>
          <w:lang w:val="es-ES"/>
        </w:rPr>
      </w:pPr>
      <w:r w:rsidRPr="00D07103">
        <w:rPr>
          <w:lang w:val="es-ES"/>
        </w:rPr>
        <w:t>Esta tendencia sugiere que el proceso de estudio necesita cada vez más recursos, por lo exige un esfuerzo mayor por parte de las administraciones para lograr un consenso y finalizar los resultados. Estas observaciones proporcionan otro ejemplo de la carga de trabajo creciente impuesta a algunas Comisiones de Estudio y respaldan la necesidad de un examen más amplio y basado en pruebas para determinar si es necesario introducir mejoras en la estructura, los mandatos, los mecanismos de coordinación, los métodos de trabajo o la distribución de temas a fin de mantener el marco del UIT</w:t>
      </w:r>
      <w:r w:rsidR="00CB2FED">
        <w:rPr>
          <w:lang w:val="es-ES"/>
        </w:rPr>
        <w:noBreakHyphen/>
      </w:r>
      <w:r w:rsidRPr="00D07103">
        <w:rPr>
          <w:lang w:val="es-ES"/>
        </w:rPr>
        <w:t>R en consonancia con el entorno cambiante de las radiocomunicaciones.</w:t>
      </w:r>
    </w:p>
    <w:p w14:paraId="45AB009F" w14:textId="77777777" w:rsidR="004D2C13" w:rsidRPr="00D07103" w:rsidRDefault="004D2C13" w:rsidP="004D2C13">
      <w:pPr>
        <w:rPr>
          <w:lang w:val="es-ES"/>
        </w:rPr>
      </w:pPr>
      <w:r w:rsidRPr="00D07103">
        <w:rPr>
          <w:lang w:val="es-ES"/>
        </w:rPr>
        <w:t>Otro indicador importante de la carga de trabajo y la complejidad del proceso de estudio del UIT-R es el nivel de participación en las reuniones de las Comisiones de Estudio y de los Grupos de Trabajo.</w:t>
      </w:r>
    </w:p>
    <w:p w14:paraId="4C43AC7A" w14:textId="77777777" w:rsidR="004D2C13" w:rsidRPr="00D07103" w:rsidRDefault="004D2C13" w:rsidP="004D2C13">
      <w:pPr>
        <w:rPr>
          <w:lang w:val="es-ES"/>
        </w:rPr>
      </w:pPr>
      <w:r w:rsidRPr="00D07103">
        <w:rPr>
          <w:lang w:val="es-ES"/>
        </w:rPr>
        <w:t xml:space="preserve">Según el Informe del Director sobre las actividades de las Comisiones de Estudio (véase el </w:t>
      </w:r>
      <w:hyperlink r:id="rId19" w:history="1">
        <w:r w:rsidRPr="00D07103">
          <w:rPr>
            <w:rStyle w:val="Hyperlink"/>
            <w:lang w:val="es-ES"/>
          </w:rPr>
          <w:t>Addéndum 1 al Documento RAG/58-S</w:t>
        </w:r>
      </w:hyperlink>
      <w:r w:rsidRPr="00D07103">
        <w:rPr>
          <w:lang w:val="es-ES"/>
        </w:rPr>
        <w:t xml:space="preserve">), la participación en las reuniones del UIT-R ha aumentado considerablemente en los últimos años. </w:t>
      </w:r>
      <w:hyperlink r:id="rId20" w:history="1"/>
    </w:p>
    <w:p w14:paraId="5B3CA08E" w14:textId="77777777" w:rsidR="004D2C13" w:rsidRPr="00A91245" w:rsidRDefault="004D2C13" w:rsidP="00A91245">
      <w:pPr>
        <w:pStyle w:val="FigureNotitle"/>
        <w:keepNext/>
        <w:rPr>
          <w:lang w:val="es-ES"/>
        </w:rPr>
      </w:pPr>
      <w:r w:rsidRPr="00D07103">
        <w:rPr>
          <w:lang w:val="es-ES"/>
        </w:rPr>
        <w:t>Figura 4</w:t>
      </w:r>
    </w:p>
    <w:p w14:paraId="3FE8586E" w14:textId="77777777" w:rsidR="004D2C13" w:rsidRPr="00A91245" w:rsidRDefault="004D2C13" w:rsidP="00A91245">
      <w:pPr>
        <w:pStyle w:val="FigureNotitle"/>
        <w:keepNext/>
        <w:spacing w:before="120"/>
        <w:rPr>
          <w:lang w:val="es-ES"/>
        </w:rPr>
      </w:pPr>
      <w:r w:rsidRPr="00A91245">
        <w:rPr>
          <w:lang w:val="es-ES"/>
        </w:rPr>
        <w:t>Número total de participantes presenciales por reunión de las Comisiones de Estudio/los Grupos de Trabajo del UIT-R</w:t>
      </w:r>
      <w:r w:rsidRPr="00D07103">
        <w:rPr>
          <w:lang w:val="es-ES"/>
        </w:rPr>
        <w:t xml:space="preserve"> </w:t>
      </w:r>
    </w:p>
    <w:p w14:paraId="4F953C91" w14:textId="7A8AD9F2" w:rsidR="004D2C13" w:rsidRPr="00A91245" w:rsidRDefault="004D2C13" w:rsidP="00A91245">
      <w:pPr>
        <w:pStyle w:val="FigureNotitle"/>
        <w:keepNext/>
        <w:spacing w:before="120"/>
        <w:rPr>
          <w:b w:val="0"/>
          <w:bCs/>
          <w:lang w:val="es-ES"/>
        </w:rPr>
      </w:pPr>
      <w:r w:rsidRPr="00A91245">
        <w:rPr>
          <w:b w:val="0"/>
          <w:bCs/>
          <w:lang w:val="es-ES"/>
        </w:rPr>
        <w:t>(Informe de la BR sobre las actividades de las Comisiones de Estudio para las</w:t>
      </w:r>
      <w:r w:rsidR="00A91245" w:rsidRPr="00A91245">
        <w:rPr>
          <w:b w:val="0"/>
          <w:bCs/>
          <w:lang w:val="es-ES"/>
        </w:rPr>
        <w:br/>
      </w:r>
      <w:r w:rsidRPr="00A91245">
        <w:rPr>
          <w:b w:val="0"/>
          <w:bCs/>
          <w:lang w:val="es-ES"/>
        </w:rPr>
        <w:t>reuniones 32ª y 33ª del GAR)</w:t>
      </w:r>
    </w:p>
    <w:p w14:paraId="2B4160E4" w14:textId="77777777" w:rsidR="004D2C13" w:rsidRPr="00A91245" w:rsidRDefault="004D2C13" w:rsidP="00A91245">
      <w:pPr>
        <w:pStyle w:val="FigureNotitle"/>
        <w:keepNext/>
        <w:spacing w:before="120"/>
        <w:rPr>
          <w:b w:val="0"/>
          <w:bCs/>
          <w:lang w:val="es-ES"/>
        </w:rPr>
      </w:pPr>
      <w:r w:rsidRPr="00A91245">
        <w:rPr>
          <w:b w:val="0"/>
          <w:bCs/>
          <w:lang w:val="es-ES"/>
        </w:rPr>
        <w:t>en 2025</w:t>
      </w:r>
    </w:p>
    <w:p w14:paraId="062ED8FB" w14:textId="77777777" w:rsidR="004D2C13" w:rsidRPr="00D07103" w:rsidRDefault="004D2C13" w:rsidP="004D2C13">
      <w:pPr>
        <w:rPr>
          <w:lang w:val="es-ES" w:eastAsia="zh-CN"/>
        </w:rPr>
      </w:pPr>
      <w:r w:rsidRPr="00D07103">
        <w:rPr>
          <w:noProof/>
          <w:lang w:val="es-ES"/>
        </w:rPr>
        <w:drawing>
          <wp:inline distT="0" distB="0" distL="0" distR="0" wp14:anchorId="2FEDA05A" wp14:editId="16D4C822">
            <wp:extent cx="6120765" cy="2663687"/>
            <wp:effectExtent l="0" t="0" r="13335" b="3810"/>
            <wp:docPr id="1677447098"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E46D9F8" w14:textId="77777777" w:rsidR="004D2C13" w:rsidRPr="00D07103" w:rsidRDefault="004D2C13" w:rsidP="004D2C13">
      <w:pPr>
        <w:keepNext/>
        <w:spacing w:before="0"/>
        <w:jc w:val="center"/>
        <w:rPr>
          <w:lang w:val="es-ES"/>
        </w:rPr>
      </w:pPr>
      <w:r w:rsidRPr="00D07103">
        <w:rPr>
          <w:lang w:val="es-ES"/>
        </w:rPr>
        <w:t>en 2024</w:t>
      </w:r>
    </w:p>
    <w:p w14:paraId="0F24CF32" w14:textId="77777777" w:rsidR="004D2C13" w:rsidRPr="00D07103" w:rsidRDefault="004D2C13" w:rsidP="004D2C13">
      <w:pPr>
        <w:rPr>
          <w:lang w:val="es-ES" w:eastAsia="zh-CN"/>
        </w:rPr>
      </w:pPr>
      <w:r w:rsidRPr="00D07103">
        <w:rPr>
          <w:noProof/>
          <w:lang w:val="es-ES"/>
        </w:rPr>
        <w:drawing>
          <wp:inline distT="0" distB="0" distL="0" distR="0" wp14:anchorId="4CBEDC3A" wp14:editId="5AE6969C">
            <wp:extent cx="6120765" cy="2639833"/>
            <wp:effectExtent l="0" t="0" r="13335" b="8255"/>
            <wp:docPr id="14"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2D6B50" w14:textId="77777777" w:rsidR="004D2C13" w:rsidRPr="00D07103" w:rsidRDefault="004D2C13" w:rsidP="00A91245">
      <w:pPr>
        <w:keepNext/>
        <w:keepLines/>
        <w:rPr>
          <w:lang w:val="es-ES"/>
        </w:rPr>
      </w:pPr>
      <w:r w:rsidRPr="00D07103">
        <w:rPr>
          <w:lang w:val="es-ES"/>
        </w:rPr>
        <w:t>La Figura 4 y el Informe del Director sobre las actividades de las Comisiones de Estudio ilustran lo siguiente:</w:t>
      </w:r>
    </w:p>
    <w:p w14:paraId="737A8DBD" w14:textId="4763A9DE" w:rsidR="004D2C13" w:rsidRPr="00D07103" w:rsidRDefault="00A91245" w:rsidP="00A91245">
      <w:pPr>
        <w:pStyle w:val="enumlev1"/>
        <w:keepNext/>
        <w:keepLines/>
        <w:rPr>
          <w:lang w:val="es-ES"/>
        </w:rPr>
      </w:pPr>
      <w:r w:rsidRPr="00A91245">
        <w:rPr>
          <w:lang w:val="es-ES"/>
        </w:rPr>
        <w:t>–</w:t>
      </w:r>
      <w:r>
        <w:rPr>
          <w:lang w:val="es-ES"/>
        </w:rPr>
        <w:tab/>
      </w:r>
      <w:r w:rsidR="004D2C13" w:rsidRPr="00D07103">
        <w:rPr>
          <w:lang w:val="es-ES"/>
        </w:rPr>
        <w:t xml:space="preserve">La participación en reuniones presenciales con participación a distancia ha aumentado considerablemente desde 2020. </w:t>
      </w:r>
    </w:p>
    <w:p w14:paraId="3F9C75E9" w14:textId="13823DEF" w:rsidR="004D2C13" w:rsidRPr="00D07103" w:rsidRDefault="00A91245" w:rsidP="00A91245">
      <w:pPr>
        <w:pStyle w:val="enumlev1"/>
        <w:keepNext/>
        <w:keepLines/>
        <w:rPr>
          <w:lang w:val="es-ES"/>
        </w:rPr>
      </w:pPr>
      <w:r w:rsidRPr="00A91245">
        <w:rPr>
          <w:lang w:val="es-ES"/>
        </w:rPr>
        <w:t>–</w:t>
      </w:r>
      <w:r>
        <w:rPr>
          <w:lang w:val="es-ES"/>
        </w:rPr>
        <w:tab/>
      </w:r>
      <w:r w:rsidR="004D2C13" w:rsidRPr="00D07103">
        <w:rPr>
          <w:lang w:val="es-ES"/>
        </w:rPr>
        <w:t>Actualmente, algunos Grupos de Trabajo atraen a varios centenares de participantes en cada reunión, especialmente en las Comisiones de Estudio que se ocupan de las tecnologías móviles terrenales y por satélite.</w:t>
      </w:r>
    </w:p>
    <w:p w14:paraId="706434FF" w14:textId="77777777" w:rsidR="004D2C13" w:rsidRPr="00D07103" w:rsidRDefault="004D2C13" w:rsidP="004D2C13">
      <w:pPr>
        <w:keepNext/>
        <w:rPr>
          <w:lang w:val="es-ES"/>
        </w:rPr>
      </w:pPr>
      <w:r w:rsidRPr="00D07103">
        <w:rPr>
          <w:lang w:val="es-ES"/>
        </w:rPr>
        <w:t xml:space="preserve">El aumento de la participación ha planteado dificultades relacionadas con la organización de reuniones y la capacidad de las salas, especialmente debido al limitado número de salas de reunión con capacidad para grupos grandes. </w:t>
      </w:r>
    </w:p>
    <w:p w14:paraId="4F52142B" w14:textId="77777777" w:rsidR="004D2C13" w:rsidRPr="00D07103" w:rsidRDefault="004D2C13" w:rsidP="004D2C13">
      <w:pPr>
        <w:keepNext/>
        <w:rPr>
          <w:lang w:val="es-ES"/>
        </w:rPr>
      </w:pPr>
      <w:r w:rsidRPr="00D07103">
        <w:rPr>
          <w:lang w:val="es-ES"/>
        </w:rPr>
        <w:t>El aumento de la participación refleja la importancia creciente de los estudios del UIT-R para las administraciones, la industria y las instituciones de investigación. Con todo, también conlleva nuevos desafíos, por ejemplo:</w:t>
      </w:r>
    </w:p>
    <w:p w14:paraId="1ADCA771" w14:textId="7CA83517" w:rsidR="004D2C13" w:rsidRPr="00D07103" w:rsidRDefault="00A91245" w:rsidP="00A91245">
      <w:pPr>
        <w:pStyle w:val="enumlev1"/>
        <w:keepNext/>
        <w:keepLines/>
        <w:rPr>
          <w:lang w:val="es-ES"/>
        </w:rPr>
      </w:pPr>
      <w:r w:rsidRPr="00A91245">
        <w:rPr>
          <w:lang w:val="es-ES"/>
        </w:rPr>
        <w:t>–</w:t>
      </w:r>
      <w:r>
        <w:rPr>
          <w:lang w:val="es-ES"/>
        </w:rPr>
        <w:tab/>
      </w:r>
      <w:r w:rsidR="004D2C13" w:rsidRPr="00D07103">
        <w:rPr>
          <w:lang w:val="es-ES"/>
        </w:rPr>
        <w:t>debates más prolongados para poder alcanzar un acuerdo</w:t>
      </w:r>
      <w:r>
        <w:rPr>
          <w:lang w:val="es-ES"/>
        </w:rPr>
        <w:t>;</w:t>
      </w:r>
    </w:p>
    <w:p w14:paraId="1E104A28" w14:textId="7AF549CC" w:rsidR="004D2C13" w:rsidRPr="00D07103" w:rsidRDefault="00A91245" w:rsidP="00A91245">
      <w:pPr>
        <w:pStyle w:val="enumlev1"/>
        <w:keepNext/>
        <w:keepLines/>
        <w:rPr>
          <w:lang w:val="es-ES"/>
        </w:rPr>
      </w:pPr>
      <w:r w:rsidRPr="00A91245">
        <w:rPr>
          <w:lang w:val="es-ES"/>
        </w:rPr>
        <w:t>–</w:t>
      </w:r>
      <w:r>
        <w:rPr>
          <w:lang w:val="es-ES"/>
        </w:rPr>
        <w:tab/>
      </w:r>
      <w:r w:rsidR="004D2C13" w:rsidRPr="00D07103">
        <w:rPr>
          <w:lang w:val="es-ES"/>
        </w:rPr>
        <w:t>mayor complejidad en la gestión de las reuniones y sesiones de redacción</w:t>
      </w:r>
      <w:r>
        <w:rPr>
          <w:lang w:val="es-ES"/>
        </w:rPr>
        <w:t>;</w:t>
      </w:r>
    </w:p>
    <w:p w14:paraId="71F9AB88" w14:textId="2F1D0DA6" w:rsidR="004D2C13" w:rsidRPr="00D07103" w:rsidRDefault="00A91245" w:rsidP="00A91245">
      <w:pPr>
        <w:pStyle w:val="enumlev1"/>
        <w:keepNext/>
        <w:keepLines/>
        <w:rPr>
          <w:rFonts w:ascii="Times New Roman Bold" w:hAnsi="Times New Roman Bold" w:cs="Times New Roman Bold"/>
          <w:b/>
          <w:lang w:val="es-ES"/>
        </w:rPr>
      </w:pPr>
      <w:r w:rsidRPr="00A91245">
        <w:rPr>
          <w:lang w:val="es-ES"/>
        </w:rPr>
        <w:t>–</w:t>
      </w:r>
      <w:r>
        <w:rPr>
          <w:lang w:val="es-ES"/>
        </w:rPr>
        <w:tab/>
      </w:r>
      <w:r w:rsidR="004D2C13" w:rsidRPr="00D07103">
        <w:rPr>
          <w:lang w:val="es-ES"/>
        </w:rPr>
        <w:t>mayor necesidad de coordinación entre las Comisiones de Estudio.</w:t>
      </w:r>
    </w:p>
    <w:p w14:paraId="123679CB" w14:textId="5284BF0F" w:rsidR="004D2C13" w:rsidRPr="00D07103" w:rsidRDefault="004D2C13" w:rsidP="00A91245">
      <w:pPr>
        <w:rPr>
          <w:lang w:val="es-ES"/>
        </w:rPr>
      </w:pPr>
      <w:r w:rsidRPr="00D07103">
        <w:rPr>
          <w:lang w:val="es-ES"/>
        </w:rPr>
        <w:t xml:space="preserve">En este contexto, cualquier examen debe realizarse de manera imparcial y analítica y debe considerar toda la gama de posibles respuestas. En particular, antes de recomendar cualquier reforma estructural, el examen debería valorar si las cuestiones identificadas pueden abordarse mejorando la coordinación entre los grupos existentes, delimitando los mandatos con más claridad, optimizando los métodos de trabajo o </w:t>
      </w:r>
      <w:r w:rsidR="00A91245" w:rsidRPr="00D07103">
        <w:rPr>
          <w:lang w:val="es-ES"/>
        </w:rPr>
        <w:t>redistribuyendo</w:t>
      </w:r>
      <w:r w:rsidRPr="00D07103">
        <w:rPr>
          <w:lang w:val="es-ES"/>
        </w:rPr>
        <w:t xml:space="preserve"> los temas y las responsabilidades de manera selectiva.</w:t>
      </w:r>
    </w:p>
    <w:p w14:paraId="4EEB1E1D" w14:textId="77777777" w:rsidR="004D2C13" w:rsidRPr="00D07103" w:rsidRDefault="004D2C13" w:rsidP="004D2C13">
      <w:pPr>
        <w:rPr>
          <w:lang w:val="es-ES"/>
        </w:rPr>
      </w:pPr>
      <w:r w:rsidRPr="00D07103">
        <w:rPr>
          <w:lang w:val="es-ES"/>
        </w:rPr>
        <w:t>El examen también debería considerar, en la medida de lo posible, múltiples indicadores de las Comisiones de Estudio y los Grupos de Trabajo, incluidos los trabajos relacionados con conferencias, los trabajos ajenos a conferencias, las contribuciones, los productos aprobados, el número de reuniones, las tendencias de participación, las interdependencias entre grupos y las implicaciones para el apoyo y los recursos de la BR.</w:t>
      </w:r>
    </w:p>
    <w:p w14:paraId="2CEF0F4F" w14:textId="23306B69" w:rsidR="004D2C13" w:rsidRPr="00D07103" w:rsidRDefault="006E3716" w:rsidP="006E3716">
      <w:pPr>
        <w:pStyle w:val="Heading1"/>
        <w:rPr>
          <w:lang w:val="es-ES"/>
        </w:rPr>
      </w:pPr>
      <w:r>
        <w:rPr>
          <w:lang w:val="es-ES"/>
        </w:rPr>
        <w:t>3</w:t>
      </w:r>
      <w:r>
        <w:rPr>
          <w:lang w:val="es-ES"/>
        </w:rPr>
        <w:tab/>
      </w:r>
      <w:r w:rsidR="004D2C13" w:rsidRPr="00D07103">
        <w:rPr>
          <w:lang w:val="es-ES"/>
        </w:rPr>
        <w:t>Propuesta</w:t>
      </w:r>
    </w:p>
    <w:p w14:paraId="6A2B1C31" w14:textId="77777777" w:rsidR="004D2C13" w:rsidRPr="00D07103" w:rsidRDefault="004D2C13" w:rsidP="004D2C13">
      <w:pPr>
        <w:rPr>
          <w:lang w:val="es-ES"/>
        </w:rPr>
      </w:pPr>
      <w:r w:rsidRPr="00D07103">
        <w:rPr>
          <w:lang w:val="es-ES"/>
        </w:rPr>
        <w:t>Con miras a facilitar un examen organizado de la estructura actual de las Comisiones de Estudio del UIT-R, se invita al GAR a considerar la posibilidad de establecer un Grupo por Correspondencia encargado de examinar posibles mejoras de la estructura y los métodos de trabajo de las Comisiones de Estudio, teniendo en cuenta la evolución del entorno de las radiocomunicaciones y el aumento de la carga de trabajo de las Comisiones de Estudio. El Grupo por Correspondencia realizaría su trabajo de conformidad con las disposiciones aplicables de las Resoluciones UIT-R 4-9 y UIT-R 1-9 y tendría en consideración, entre otras cosas, la evolución de las tecnologías de radiocomunicaciones, el número creciente de contribuciones y la mayor participación en las actividades de las Comisiones de Estudio, y la creciente interdependencia entre los estudios realizados en las diferentes Comisiones de Estudio.</w:t>
      </w:r>
    </w:p>
    <w:p w14:paraId="12E5837B" w14:textId="77777777" w:rsidR="004D2C13" w:rsidRPr="00D07103" w:rsidRDefault="004D2C13" w:rsidP="004D2C13">
      <w:pPr>
        <w:rPr>
          <w:lang w:val="es-ES"/>
        </w:rPr>
      </w:pPr>
      <w:r w:rsidRPr="00D07103">
        <w:rPr>
          <w:lang w:val="es-ES"/>
        </w:rPr>
        <w:t>El Grupo por Correspondencia debería adoptar un enfoque imparcial con respecto a las soluciones y elaborar conclusiones y opciones de mejora, incluidas, si procede, medidas no estructurales como mecanismos de coordinación optimizados, mandatos más claros, métodos de trabajo mejorados y redistribución de los temas seleccionados, así como cualquier posible opción estructural que el análisis justifique.</w:t>
      </w:r>
    </w:p>
    <w:p w14:paraId="09F1CCF2" w14:textId="77777777" w:rsidR="004D2C13" w:rsidRPr="00D07103" w:rsidRDefault="004D2C13" w:rsidP="004D2C13">
      <w:pPr>
        <w:rPr>
          <w:lang w:val="es-ES"/>
        </w:rPr>
      </w:pPr>
      <w:r w:rsidRPr="00D07103">
        <w:rPr>
          <w:lang w:val="es-ES"/>
        </w:rPr>
        <w:t>A fin de apoyar los trabajos del Grupo por Correspondencia, se invita a la Oficina de Radiocomunicaciones (BR) a facilitar información pertinente sobre los requisitos, procedimientos y consideraciones prácticas de la estructura de las Comisiones de Estudio del UIT-R, incluidos los aspectos relacionados con la Resolución UIT-R 4-9. Dicha información sería una valiosa aportación a los trabajos del Grupo por Correspondencia.</w:t>
      </w:r>
    </w:p>
    <w:p w14:paraId="1C50096D" w14:textId="77777777" w:rsidR="004D2C13" w:rsidRPr="00D07103" w:rsidRDefault="004D2C13" w:rsidP="004D2C13">
      <w:pPr>
        <w:rPr>
          <w:lang w:val="es-ES"/>
        </w:rPr>
      </w:pPr>
      <w:r w:rsidRPr="00D07103">
        <w:rPr>
          <w:lang w:val="es-ES"/>
        </w:rPr>
        <w:t>También se invita a la BR a proporcionar la información fáctica disponible que pueda ayudar al Grupo por Correspondencia a llevar a cabo un examen objetivo, por ejemplo, información sobre el modelo de reunión de las Comisiones de Estudio y los Grupos de Trabajo, la participación, el volumen de documentos, los productos aprobados y otras consideraciones operacionales pertinentes.</w:t>
      </w:r>
    </w:p>
    <w:p w14:paraId="45866633" w14:textId="77777777" w:rsidR="004D2C13" w:rsidRPr="00D07103" w:rsidRDefault="004D2C13" w:rsidP="004D2C13">
      <w:pPr>
        <w:rPr>
          <w:lang w:val="es-ES"/>
        </w:rPr>
      </w:pPr>
      <w:r w:rsidRPr="00D07103">
        <w:rPr>
          <w:lang w:val="es-ES"/>
        </w:rPr>
        <w:t>El mandato del Grupo por Correspondencia figura en el Adjunto al presente documento.</w:t>
      </w:r>
    </w:p>
    <w:p w14:paraId="500B96EE" w14:textId="49A29623" w:rsidR="004D2C13" w:rsidRPr="00D07103" w:rsidRDefault="004D2C13" w:rsidP="004D2C13">
      <w:pPr>
        <w:rPr>
          <w:lang w:val="es-ES"/>
        </w:rPr>
      </w:pPr>
      <w:r w:rsidRPr="00D07103">
        <w:rPr>
          <w:lang w:val="es-ES"/>
        </w:rPr>
        <w:t>El Grupo por Correspondencia informaría de los resultados de sus trabajos al Grupo Asesor de Radiocomunicaciones en su 34</w:t>
      </w:r>
      <w:r w:rsidR="00A91245">
        <w:rPr>
          <w:lang w:val="es-ES"/>
        </w:rPr>
        <w:t>.</w:t>
      </w:r>
      <w:r w:rsidRPr="00D07103">
        <w:rPr>
          <w:lang w:val="es-ES"/>
        </w:rPr>
        <w:t>ª reunión.</w:t>
      </w:r>
    </w:p>
    <w:p w14:paraId="67AA1195" w14:textId="77777777" w:rsidR="004D2C13" w:rsidRPr="00D07103" w:rsidRDefault="004D2C13" w:rsidP="004D2C13">
      <w:pPr>
        <w:spacing w:before="1080"/>
        <w:rPr>
          <w:lang w:val="es-ES"/>
        </w:rPr>
      </w:pPr>
      <w:r w:rsidRPr="00D07103">
        <w:rPr>
          <w:b/>
          <w:bCs/>
          <w:lang w:val="es-ES"/>
        </w:rPr>
        <w:t>Adjunto:</w:t>
      </w:r>
      <w:r w:rsidRPr="00D07103">
        <w:rPr>
          <w:lang w:val="es-ES"/>
        </w:rPr>
        <w:t xml:space="preserve"> </w:t>
      </w:r>
      <w:r w:rsidRPr="00D07103">
        <w:rPr>
          <w:lang w:val="es-ES"/>
        </w:rPr>
        <w:tab/>
        <w:t>1</w:t>
      </w:r>
    </w:p>
    <w:p w14:paraId="02717B44" w14:textId="77777777" w:rsidR="004D2C13" w:rsidRPr="00D07103" w:rsidRDefault="004D2C13" w:rsidP="004D2C13">
      <w:pPr>
        <w:tabs>
          <w:tab w:val="clear" w:pos="794"/>
          <w:tab w:val="clear" w:pos="1191"/>
          <w:tab w:val="clear" w:pos="1588"/>
          <w:tab w:val="clear" w:pos="1985"/>
        </w:tabs>
        <w:overflowPunct/>
        <w:autoSpaceDE/>
        <w:autoSpaceDN/>
        <w:adjustRightInd/>
        <w:spacing w:before="0"/>
        <w:textAlignment w:val="auto"/>
        <w:rPr>
          <w:lang w:val="es-ES"/>
        </w:rPr>
      </w:pPr>
      <w:r w:rsidRPr="00D07103">
        <w:rPr>
          <w:lang w:val="es-ES"/>
        </w:rPr>
        <w:br w:type="page"/>
      </w:r>
    </w:p>
    <w:p w14:paraId="56929606" w14:textId="77777777" w:rsidR="004D2C13" w:rsidRPr="00A91245" w:rsidRDefault="004D2C13" w:rsidP="00A91245">
      <w:pPr>
        <w:pStyle w:val="AnnexNotitle"/>
        <w:rPr>
          <w:b w:val="0"/>
          <w:bCs/>
          <w:lang w:val="es-ES"/>
        </w:rPr>
      </w:pPr>
      <w:r w:rsidRPr="00A91245">
        <w:rPr>
          <w:b w:val="0"/>
          <w:bCs/>
          <w:lang w:val="es-ES"/>
        </w:rPr>
        <w:t>ADJUNTO</w:t>
      </w:r>
    </w:p>
    <w:p w14:paraId="50925878" w14:textId="77777777" w:rsidR="004D2C13" w:rsidRPr="00A91245" w:rsidRDefault="004D2C13" w:rsidP="00A91245">
      <w:pPr>
        <w:pStyle w:val="AnnexNotitle"/>
        <w:spacing w:before="120" w:after="240"/>
        <w:rPr>
          <w:rFonts w:cstheme="minorHAnsi"/>
          <w:sz w:val="24"/>
          <w:szCs w:val="24"/>
          <w:lang w:val="es-ES"/>
        </w:rPr>
      </w:pPr>
      <w:r w:rsidRPr="00A91245">
        <w:rPr>
          <w:bCs/>
          <w:sz w:val="24"/>
          <w:szCs w:val="24"/>
          <w:lang w:val="es-ES"/>
        </w:rPr>
        <w:t>Mandato del Grupo por Correspondencia del GAR sobre la mejora de la estructura y el marco de las Comisiones de Estudio de Radiocomunicaciones</w:t>
      </w:r>
    </w:p>
    <w:p w14:paraId="1958E0D8" w14:textId="77777777" w:rsidR="004D2C13" w:rsidRPr="00D07103" w:rsidRDefault="004D2C13" w:rsidP="004D2C13">
      <w:pPr>
        <w:rPr>
          <w:lang w:val="es-ES"/>
        </w:rPr>
      </w:pPr>
      <w:r w:rsidRPr="00D07103">
        <w:rPr>
          <w:lang w:val="es-ES"/>
        </w:rPr>
        <w:t>El Grupo por Correspondencia (GC) del Grupo Asesor de Radiocomunicaciones (GAR) sobre la mejora de la estructura y el marco de las Comisiones de Estudio de Radiocomunicaciones tiene el cometido de realizar un examen imparcial y basado en pruebas del marco de estudios del UIT-R y explorar posibles mejoras de la estructura y el método de trabajo de las Comisiones de Estudio del UIT-R, con el siguiente mandato:</w:t>
      </w:r>
    </w:p>
    <w:p w14:paraId="01B66B81" w14:textId="0A218890" w:rsidR="004D2C13" w:rsidRPr="00D07103" w:rsidRDefault="00A91245" w:rsidP="00A91245">
      <w:pPr>
        <w:pStyle w:val="enumlev1"/>
        <w:rPr>
          <w:rFonts w:cstheme="minorHAnsi"/>
          <w:lang w:val="es-ES"/>
        </w:rPr>
      </w:pPr>
      <w:r w:rsidRPr="00A91245">
        <w:rPr>
          <w:lang w:val="es-ES"/>
        </w:rPr>
        <w:t>–</w:t>
      </w:r>
      <w:r>
        <w:rPr>
          <w:lang w:val="es-ES"/>
        </w:rPr>
        <w:tab/>
      </w:r>
      <w:r w:rsidR="004D2C13" w:rsidRPr="00D07103">
        <w:rPr>
          <w:lang w:val="es-ES"/>
        </w:rPr>
        <w:t>revisar la estructura actual de las Comisiones de Estudio del UIT-R, definida en la Resolución UIT-R 4-9, incluidos el alcance y las responsabilidades asignadas a cada Comisión de Estudio;</w:t>
      </w:r>
    </w:p>
    <w:p w14:paraId="4E46EDB5" w14:textId="7AB567FB" w:rsidR="004D2C13" w:rsidRPr="00D07103" w:rsidRDefault="000D1783" w:rsidP="00A91245">
      <w:pPr>
        <w:pStyle w:val="enumlev1"/>
        <w:rPr>
          <w:rFonts w:cstheme="minorHAnsi"/>
          <w:lang w:val="es-ES"/>
        </w:rPr>
      </w:pPr>
      <w:r w:rsidRPr="00A91245">
        <w:rPr>
          <w:lang w:val="es-ES"/>
        </w:rPr>
        <w:t>–</w:t>
      </w:r>
      <w:r>
        <w:rPr>
          <w:lang w:val="es-ES"/>
        </w:rPr>
        <w:tab/>
      </w:r>
      <w:r w:rsidR="004D2C13" w:rsidRPr="00D07103">
        <w:rPr>
          <w:lang w:val="es-ES"/>
        </w:rPr>
        <w:t>examinar, según proceda, la eficacia de la actual distribución de los trabajos entre las Comisiones de Estudio y los Grupos de Trabajo, incluido el equilibrio entre las actividades relacionadas con conferencias y las actividades ajenas a ellas;</w:t>
      </w:r>
    </w:p>
    <w:p w14:paraId="121A1B4A" w14:textId="1C62EFBD" w:rsidR="004D2C13" w:rsidRPr="00D07103" w:rsidRDefault="000D1783" w:rsidP="00A91245">
      <w:pPr>
        <w:pStyle w:val="enumlev1"/>
        <w:rPr>
          <w:rFonts w:cstheme="minorHAnsi"/>
          <w:lang w:val="es-ES"/>
        </w:rPr>
      </w:pPr>
      <w:r w:rsidRPr="00A91245">
        <w:rPr>
          <w:lang w:val="es-ES"/>
        </w:rPr>
        <w:t>–</w:t>
      </w:r>
      <w:r>
        <w:rPr>
          <w:lang w:val="es-ES"/>
        </w:rPr>
        <w:tab/>
      </w:r>
      <w:r w:rsidR="004D2C13" w:rsidRPr="00D07103">
        <w:rPr>
          <w:lang w:val="es-ES"/>
        </w:rPr>
        <w:t>identificar los problemas estructurales y de procedimiento que repercuten en la eficiencia de los estudios del UIT-R, incluidos:</w:t>
      </w:r>
    </w:p>
    <w:p w14:paraId="0E95AAE5" w14:textId="48822487" w:rsidR="004D2C13" w:rsidRPr="00D07103" w:rsidRDefault="000D1783" w:rsidP="000D1783">
      <w:pPr>
        <w:pStyle w:val="enumlev2"/>
        <w:rPr>
          <w:rFonts w:cstheme="minorHAnsi"/>
          <w:lang w:val="es-ES"/>
        </w:rPr>
      </w:pPr>
      <w:r w:rsidRPr="000D1783">
        <w:rPr>
          <w:lang w:val="es-ES"/>
        </w:rPr>
        <w:t>•</w:t>
      </w:r>
      <w:r>
        <w:rPr>
          <w:lang w:val="es-ES"/>
        </w:rPr>
        <w:tab/>
      </w:r>
      <w:r w:rsidR="004D2C13" w:rsidRPr="00D07103">
        <w:rPr>
          <w:lang w:val="es-ES"/>
        </w:rPr>
        <w:t>las cargas de trabajo de ciertas Comisiones de Estudio</w:t>
      </w:r>
      <w:r>
        <w:rPr>
          <w:lang w:val="es-ES"/>
        </w:rPr>
        <w:t>;</w:t>
      </w:r>
    </w:p>
    <w:p w14:paraId="1EC9D1D5" w14:textId="3D68FDB9" w:rsidR="004D2C13" w:rsidRPr="00D07103" w:rsidRDefault="000D1783" w:rsidP="000D1783">
      <w:pPr>
        <w:pStyle w:val="enumlev2"/>
        <w:rPr>
          <w:rFonts w:cstheme="minorHAnsi"/>
          <w:lang w:val="es-ES"/>
        </w:rPr>
      </w:pPr>
      <w:r w:rsidRPr="000D1783">
        <w:rPr>
          <w:lang w:val="es-ES"/>
        </w:rPr>
        <w:t>•</w:t>
      </w:r>
      <w:r>
        <w:rPr>
          <w:lang w:val="es-ES"/>
        </w:rPr>
        <w:tab/>
      </w:r>
      <w:r w:rsidR="004D2C13" w:rsidRPr="00D07103">
        <w:rPr>
          <w:lang w:val="es-ES"/>
        </w:rPr>
        <w:t>las interdependencias entre las Comisiones de Estudio</w:t>
      </w:r>
      <w:r>
        <w:rPr>
          <w:lang w:val="es-ES"/>
        </w:rPr>
        <w:t>;</w:t>
      </w:r>
    </w:p>
    <w:p w14:paraId="3F83AC86" w14:textId="57A2F2E1" w:rsidR="004D2C13" w:rsidRPr="00D07103" w:rsidRDefault="000D1783" w:rsidP="000D1783">
      <w:pPr>
        <w:pStyle w:val="enumlev2"/>
        <w:rPr>
          <w:rFonts w:cstheme="minorHAnsi"/>
          <w:lang w:val="es-ES"/>
        </w:rPr>
      </w:pPr>
      <w:r w:rsidRPr="000D1783">
        <w:rPr>
          <w:lang w:val="es-ES"/>
        </w:rPr>
        <w:t>•</w:t>
      </w:r>
      <w:r>
        <w:rPr>
          <w:lang w:val="es-ES"/>
        </w:rPr>
        <w:tab/>
      </w:r>
      <w:r w:rsidR="004D2C13" w:rsidRPr="00D07103">
        <w:rPr>
          <w:lang w:val="es-ES"/>
        </w:rPr>
        <w:t>el número de contribuciones y los niveles de participación</w:t>
      </w:r>
      <w:r w:rsidR="00FD2185">
        <w:rPr>
          <w:lang w:val="es-ES"/>
        </w:rPr>
        <w:t>;</w:t>
      </w:r>
    </w:p>
    <w:p w14:paraId="397E69D8" w14:textId="4A3F0FE5" w:rsidR="004D2C13" w:rsidRPr="00D07103" w:rsidRDefault="00FD2185" w:rsidP="000D1783">
      <w:pPr>
        <w:pStyle w:val="enumlev2"/>
        <w:rPr>
          <w:rFonts w:cstheme="minorHAnsi"/>
          <w:lang w:val="es-ES"/>
        </w:rPr>
      </w:pPr>
      <w:r w:rsidRPr="000D1783">
        <w:rPr>
          <w:lang w:val="es-ES"/>
        </w:rPr>
        <w:t>•</w:t>
      </w:r>
      <w:r>
        <w:rPr>
          <w:lang w:val="es-ES"/>
        </w:rPr>
        <w:tab/>
      </w:r>
      <w:r w:rsidR="004D2C13" w:rsidRPr="00D07103">
        <w:rPr>
          <w:lang w:val="es-ES"/>
        </w:rPr>
        <w:t>las nuevas tecnologías que requieren conocimientos interdisciplinarios.</w:t>
      </w:r>
    </w:p>
    <w:p w14:paraId="41AF6327" w14:textId="1A93DA56" w:rsidR="004D2C13" w:rsidRPr="00D07103" w:rsidRDefault="000D1783" w:rsidP="00FD2185">
      <w:pPr>
        <w:pStyle w:val="enumlev1"/>
        <w:rPr>
          <w:rFonts w:cstheme="minorHAnsi"/>
          <w:lang w:val="es-ES"/>
        </w:rPr>
      </w:pPr>
      <w:r w:rsidRPr="00A91245">
        <w:rPr>
          <w:lang w:val="es-ES"/>
        </w:rPr>
        <w:t>–</w:t>
      </w:r>
      <w:r>
        <w:rPr>
          <w:lang w:val="es-ES"/>
        </w:rPr>
        <w:tab/>
      </w:r>
      <w:r w:rsidR="004D2C13" w:rsidRPr="00D07103">
        <w:rPr>
          <w:lang w:val="es-ES"/>
        </w:rPr>
        <w:t>evaluar si los problemas identificados pueden abordarse con medidas no estructurales, incluida una mejor coordinación, mandatos más claros, mejores métodos de trabajo o la redistribución de temas y responsabilidades seleccionados entre los grupos existentes;</w:t>
      </w:r>
    </w:p>
    <w:p w14:paraId="007BA74A" w14:textId="352BE352" w:rsidR="004D2C13" w:rsidRPr="00D07103" w:rsidRDefault="000D1783" w:rsidP="000D1783">
      <w:pPr>
        <w:pStyle w:val="enumlev1"/>
        <w:rPr>
          <w:rFonts w:cstheme="minorHAnsi"/>
          <w:lang w:val="es-ES"/>
        </w:rPr>
      </w:pPr>
      <w:r w:rsidRPr="00A91245">
        <w:rPr>
          <w:lang w:val="es-ES"/>
        </w:rPr>
        <w:t>–</w:t>
      </w:r>
      <w:r>
        <w:rPr>
          <w:lang w:val="es-ES"/>
        </w:rPr>
        <w:tab/>
      </w:r>
      <w:r w:rsidR="004D2C13" w:rsidRPr="00D07103">
        <w:rPr>
          <w:lang w:val="es-ES"/>
        </w:rPr>
        <w:t>elaborar conclusiones y posibles opciones de mejora de la eficiencia, la coordinación y la capacidad de respuesta de los estudios del UIT-R, por ejemplo, opciones de procedimiento, de coordinación, relacionadas con el mandato, de distribución de la carga de trabajo y, cuando esté justificado, de carácter estructural;</w:t>
      </w:r>
    </w:p>
    <w:p w14:paraId="22CD6660" w14:textId="6FBC7E9A" w:rsidR="004D2C13" w:rsidRPr="00D07103" w:rsidRDefault="000D1783" w:rsidP="000D1783">
      <w:pPr>
        <w:pStyle w:val="enumlev1"/>
        <w:rPr>
          <w:rFonts w:cstheme="minorHAnsi"/>
          <w:lang w:val="es-ES"/>
        </w:rPr>
      </w:pPr>
      <w:r w:rsidRPr="00A91245">
        <w:rPr>
          <w:lang w:val="es-ES"/>
        </w:rPr>
        <w:t>–</w:t>
      </w:r>
      <w:r>
        <w:rPr>
          <w:lang w:val="es-ES"/>
        </w:rPr>
        <w:tab/>
      </w:r>
      <w:r w:rsidR="004D2C13" w:rsidRPr="00D07103">
        <w:rPr>
          <w:lang w:val="es-ES"/>
        </w:rPr>
        <w:t>tener en cuenta, en la medida de lo posible, la información objetiva pertinente, como la frecuencia y duración de las reuniones, los volúmenes de contribuciones, los productos aprobados, las tendencias de participación, las dependencias entre Comisiones de Estudio y las implicaciones operacionales/de recursos para la BR.</w:t>
      </w:r>
    </w:p>
    <w:p w14:paraId="3CDD35F6" w14:textId="5AD5CB19" w:rsidR="004D2C13" w:rsidRPr="00D07103" w:rsidRDefault="004D2C13" w:rsidP="000D1783">
      <w:pPr>
        <w:rPr>
          <w:lang w:val="es-ES"/>
        </w:rPr>
      </w:pPr>
      <w:r w:rsidRPr="00D07103">
        <w:rPr>
          <w:lang w:val="es-ES"/>
        </w:rPr>
        <w:t>El GC iniciará sus trabajos inmediatamente después de la 33</w:t>
      </w:r>
      <w:r w:rsidR="00FD2185">
        <w:rPr>
          <w:lang w:val="es-ES"/>
        </w:rPr>
        <w:t>.</w:t>
      </w:r>
      <w:r w:rsidRPr="00D07103">
        <w:rPr>
          <w:lang w:val="es-ES"/>
        </w:rPr>
        <w:t>ª reunión del GAR y solicitará información y orientación a la BR con respecto a:</w:t>
      </w:r>
    </w:p>
    <w:p w14:paraId="0D6BEF7B" w14:textId="075CE990" w:rsidR="004D2C13" w:rsidRPr="00D07103" w:rsidRDefault="000D1783" w:rsidP="000D1783">
      <w:pPr>
        <w:pStyle w:val="enumlev1"/>
        <w:rPr>
          <w:rFonts w:cstheme="minorHAnsi"/>
          <w:lang w:val="es-ES"/>
        </w:rPr>
      </w:pPr>
      <w:r w:rsidRPr="00A91245">
        <w:rPr>
          <w:lang w:val="es-ES"/>
        </w:rPr>
        <w:t>–</w:t>
      </w:r>
      <w:r>
        <w:rPr>
          <w:lang w:val="es-ES"/>
        </w:rPr>
        <w:tab/>
      </w:r>
      <w:r w:rsidR="004D2C13" w:rsidRPr="00D07103">
        <w:rPr>
          <w:lang w:val="es-ES"/>
        </w:rPr>
        <w:t>los requisitos de procedimiento asociados a la reestructuración de las Comisiones de Estudio a tenor de la Resolución UIT-R 4-9</w:t>
      </w:r>
      <w:r w:rsidR="00FD2185">
        <w:rPr>
          <w:lang w:val="es-ES"/>
        </w:rPr>
        <w:t>;</w:t>
      </w:r>
    </w:p>
    <w:p w14:paraId="00CEFA09" w14:textId="58B60CB9" w:rsidR="004D2C13" w:rsidRPr="00D07103" w:rsidRDefault="000D1783" w:rsidP="000D1783">
      <w:pPr>
        <w:pStyle w:val="enumlev1"/>
        <w:rPr>
          <w:rFonts w:cstheme="minorHAnsi"/>
          <w:lang w:val="es-ES"/>
        </w:rPr>
      </w:pPr>
      <w:r w:rsidRPr="00A91245">
        <w:rPr>
          <w:lang w:val="es-ES"/>
        </w:rPr>
        <w:t>–</w:t>
      </w:r>
      <w:r>
        <w:rPr>
          <w:lang w:val="es-ES"/>
        </w:rPr>
        <w:tab/>
      </w:r>
      <w:r w:rsidR="004D2C13" w:rsidRPr="00D07103">
        <w:rPr>
          <w:lang w:val="es-ES"/>
        </w:rPr>
        <w:t>consideraciones prácticas para modificar la estructura de las Comisiones de Estudio</w:t>
      </w:r>
      <w:r w:rsidR="00FD2185">
        <w:rPr>
          <w:lang w:val="es-ES"/>
        </w:rPr>
        <w:t>;</w:t>
      </w:r>
    </w:p>
    <w:p w14:paraId="1F5ACF2A" w14:textId="426BE6B6" w:rsidR="004D2C13" w:rsidRPr="00D07103" w:rsidRDefault="000D1783" w:rsidP="000D1783">
      <w:pPr>
        <w:pStyle w:val="enumlev1"/>
        <w:rPr>
          <w:rFonts w:cstheme="minorHAnsi"/>
          <w:lang w:val="es-ES"/>
        </w:rPr>
      </w:pPr>
      <w:r w:rsidRPr="00A91245">
        <w:rPr>
          <w:lang w:val="es-ES"/>
        </w:rPr>
        <w:t>–</w:t>
      </w:r>
      <w:r>
        <w:rPr>
          <w:lang w:val="es-ES"/>
        </w:rPr>
        <w:tab/>
      </w:r>
      <w:r w:rsidR="004D2C13" w:rsidRPr="00D07103">
        <w:rPr>
          <w:lang w:val="es-ES"/>
        </w:rPr>
        <w:t>los mecanismos existentes que pueden contribuir a mejorar la coordinación y la eficacia en el marco actual de las Comisiones de Estudio</w:t>
      </w:r>
      <w:r w:rsidR="00FD2185">
        <w:rPr>
          <w:lang w:val="es-ES"/>
        </w:rPr>
        <w:t>;</w:t>
      </w:r>
    </w:p>
    <w:p w14:paraId="79CA31F5" w14:textId="492AAF22" w:rsidR="004D2C13" w:rsidRPr="00D07103" w:rsidRDefault="000D1783" w:rsidP="000D1783">
      <w:pPr>
        <w:pStyle w:val="enumlev1"/>
        <w:rPr>
          <w:rFonts w:cstheme="minorHAnsi"/>
          <w:lang w:val="es-ES"/>
        </w:rPr>
      </w:pPr>
      <w:r w:rsidRPr="00A91245">
        <w:rPr>
          <w:lang w:val="es-ES"/>
        </w:rPr>
        <w:t>–</w:t>
      </w:r>
      <w:r>
        <w:rPr>
          <w:lang w:val="es-ES"/>
        </w:rPr>
        <w:tab/>
      </w:r>
      <w:r w:rsidR="004D2C13" w:rsidRPr="00D07103">
        <w:rPr>
          <w:lang w:val="es-ES"/>
        </w:rPr>
        <w:t>cualquier implicación operacional u organizativa de los posibles ajustes estructurales.</w:t>
      </w:r>
    </w:p>
    <w:p w14:paraId="5CEB7615" w14:textId="54773517" w:rsidR="004D2C13" w:rsidRPr="00D07103" w:rsidRDefault="004D2C13" w:rsidP="000D1783">
      <w:pPr>
        <w:rPr>
          <w:lang w:val="es-ES"/>
        </w:rPr>
      </w:pPr>
      <w:r w:rsidRPr="00D07103">
        <w:rPr>
          <w:lang w:val="es-ES"/>
        </w:rPr>
        <w:t>El GC tratará de presentar un informe completo antes de la 34</w:t>
      </w:r>
      <w:r w:rsidR="00FD2185">
        <w:rPr>
          <w:lang w:val="es-ES"/>
        </w:rPr>
        <w:t>.</w:t>
      </w:r>
      <w:r w:rsidRPr="00D07103">
        <w:rPr>
          <w:lang w:val="es-ES"/>
        </w:rPr>
        <w:t>ª reunión del GAR. En aras de la eficacia y la inclusión, el trabajo deberá llevarse a cabo principalmente mediante reuniones por correspondencia y virtuales, con tres reuniones virtuales como máximo, ciñéndose a las secciones § A1.3.2.9 y § A.1.3.2.10 de la Resolución UIT-R 1-9</w:t>
      </w:r>
      <w:r w:rsidR="00FD2185">
        <w:rPr>
          <w:lang w:val="es-ES"/>
        </w:rPr>
        <w:t>.</w:t>
      </w:r>
    </w:p>
    <w:p w14:paraId="501DDF6A" w14:textId="4E193F1E" w:rsidR="004D2C13" w:rsidRPr="00D07103" w:rsidRDefault="004D2C13" w:rsidP="000D1783">
      <w:pPr>
        <w:rPr>
          <w:lang w:val="es-ES"/>
        </w:rPr>
      </w:pPr>
      <w:r w:rsidRPr="00D07103">
        <w:rPr>
          <w:lang w:val="es-ES"/>
        </w:rPr>
        <w:t xml:space="preserve">El GC está presidido por XXX (correo-e: </w:t>
      </w:r>
      <w:hyperlink r:id="rId23" w:history="1">
        <w:r w:rsidR="00FD2185">
          <w:rPr>
            <w:rStyle w:val="Hyperlink"/>
            <w:rFonts w:cstheme="minorHAnsi"/>
          </w:rPr>
          <w:t>XXX</w:t>
        </w:r>
      </w:hyperlink>
      <w:r w:rsidRPr="00D07103">
        <w:rPr>
          <w:lang w:val="es-ES"/>
        </w:rPr>
        <w:t>) que coordinará las actividades y garantizará la comunicación y presentación oportunas del informe del Grupo 45 días antes de la 34</w:t>
      </w:r>
      <w:r w:rsidR="00FD2185">
        <w:rPr>
          <w:lang w:val="es-ES"/>
        </w:rPr>
        <w:t>.</w:t>
      </w:r>
      <w:r w:rsidRPr="00D07103">
        <w:rPr>
          <w:lang w:val="es-ES"/>
        </w:rPr>
        <w:t>ª reunión del GAR.</w:t>
      </w:r>
      <w:hyperlink r:id="rId24" w:history="1"/>
    </w:p>
    <w:p w14:paraId="2510D2E8" w14:textId="77777777" w:rsidR="004D2C13" w:rsidRPr="00D07103" w:rsidRDefault="004D2C13" w:rsidP="000D1783">
      <w:pPr>
        <w:rPr>
          <w:lang w:val="es-ES"/>
        </w:rPr>
      </w:pPr>
      <w:r w:rsidRPr="00D07103">
        <w:rPr>
          <w:lang w:val="es-ES"/>
        </w:rPr>
        <w:t>En la página web del GAR se facilitará información pertinente para los trabajos de este Grupo por Correspondencia.</w:t>
      </w:r>
    </w:p>
    <w:p w14:paraId="7FE2027C" w14:textId="77777777" w:rsidR="004D2C13" w:rsidRPr="00C73EE7" w:rsidRDefault="004D2C13" w:rsidP="00411C49">
      <w:pPr>
        <w:pStyle w:val="Reasons"/>
        <w:rPr>
          <w:lang w:val="es-ES"/>
        </w:rPr>
      </w:pPr>
    </w:p>
    <w:p w14:paraId="45243321" w14:textId="7C129A85" w:rsidR="00F77D5F" w:rsidRDefault="004D2C13" w:rsidP="004D2C13">
      <w:pPr>
        <w:jc w:val="center"/>
      </w:pPr>
      <w:r>
        <w:t>______________</w:t>
      </w:r>
    </w:p>
    <w:sectPr w:rsidR="00F77D5F" w:rsidSect="004D6C09">
      <w:headerReference w:type="defaul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8085" w14:textId="77777777" w:rsidR="004D2C13" w:rsidRDefault="004D2C13">
      <w:r>
        <w:separator/>
      </w:r>
    </w:p>
  </w:endnote>
  <w:endnote w:type="continuationSeparator" w:id="0">
    <w:p w14:paraId="7362E594" w14:textId="77777777" w:rsidR="004D2C13" w:rsidRDefault="004D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9CDE" w14:textId="77777777" w:rsidR="004D2C13" w:rsidRDefault="004D2C13">
      <w:r>
        <w:t>____________________</w:t>
      </w:r>
    </w:p>
  </w:footnote>
  <w:footnote w:type="continuationSeparator" w:id="0">
    <w:p w14:paraId="4F8F7E15" w14:textId="77777777" w:rsidR="004D2C13" w:rsidRDefault="004D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C166"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69282824" w14:textId="15675AD5" w:rsidR="00616601" w:rsidRDefault="0034043B" w:rsidP="00AB4BAD">
    <w:pPr>
      <w:pStyle w:val="Header"/>
      <w:rPr>
        <w:lang w:val="es-ES"/>
      </w:rPr>
    </w:pPr>
    <w:r>
      <w:rPr>
        <w:lang w:val="es-ES"/>
      </w:rPr>
      <w:t>RAG</w:t>
    </w:r>
    <w:r w:rsidR="00616601">
      <w:rPr>
        <w:lang w:val="es-ES"/>
      </w:rPr>
      <w:t>/</w:t>
    </w:r>
    <w:r w:rsidR="00F53FB2">
      <w:rPr>
        <w:lang w:val="es-ES"/>
      </w:rPr>
      <w:t>77</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C22"/>
    <w:multiLevelType w:val="hybridMultilevel"/>
    <w:tmpl w:val="E5BE2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06D5E"/>
    <w:multiLevelType w:val="hybridMultilevel"/>
    <w:tmpl w:val="DBE0B7D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906590"/>
    <w:multiLevelType w:val="hybridMultilevel"/>
    <w:tmpl w:val="FF04F7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76C5D"/>
    <w:multiLevelType w:val="hybridMultilevel"/>
    <w:tmpl w:val="D6505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50BCB"/>
    <w:multiLevelType w:val="hybridMultilevel"/>
    <w:tmpl w:val="2280D7CC"/>
    <w:lvl w:ilvl="0" w:tplc="1A3CD4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673EE"/>
    <w:multiLevelType w:val="hybridMultilevel"/>
    <w:tmpl w:val="8AF69AD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D665C"/>
    <w:multiLevelType w:val="hybridMultilevel"/>
    <w:tmpl w:val="5F9A14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350FAC"/>
    <w:multiLevelType w:val="hybridMultilevel"/>
    <w:tmpl w:val="C73A8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A0136"/>
    <w:multiLevelType w:val="hybridMultilevel"/>
    <w:tmpl w:val="6C542D00"/>
    <w:lvl w:ilvl="0" w:tplc="1A3CD41A">
      <w:numFmt w:val="bullet"/>
      <w:lvlText w:val="-"/>
      <w:lvlJc w:val="left"/>
      <w:pPr>
        <w:ind w:left="1154" w:hanging="360"/>
      </w:pPr>
      <w:rPr>
        <w:rFonts w:ascii="Times New Roman" w:eastAsiaTheme="minorHAnsi" w:hAnsi="Times New Roman" w:cs="Times New Roman" w:hint="default"/>
      </w:rPr>
    </w:lvl>
    <w:lvl w:ilvl="1" w:tplc="08090003">
      <w:start w:val="1"/>
      <w:numFmt w:val="bullet"/>
      <w:lvlText w:val="o"/>
      <w:lvlJc w:val="left"/>
      <w:pPr>
        <w:ind w:left="1874" w:hanging="360"/>
      </w:pPr>
      <w:rPr>
        <w:rFonts w:ascii="Courier New" w:hAnsi="Courier New" w:cs="Courier New" w:hint="default"/>
      </w:rPr>
    </w:lvl>
    <w:lvl w:ilvl="2" w:tplc="08090005">
      <w:start w:val="1"/>
      <w:numFmt w:val="bullet"/>
      <w:lvlText w:val=""/>
      <w:lvlJc w:val="left"/>
      <w:pPr>
        <w:ind w:left="2594" w:hanging="360"/>
      </w:pPr>
      <w:rPr>
        <w:rFonts w:ascii="Wingdings" w:hAnsi="Wingdings" w:hint="default"/>
      </w:rPr>
    </w:lvl>
    <w:lvl w:ilvl="3" w:tplc="08090001">
      <w:start w:val="1"/>
      <w:numFmt w:val="bullet"/>
      <w:lvlText w:val=""/>
      <w:lvlJc w:val="left"/>
      <w:pPr>
        <w:ind w:left="3314" w:hanging="360"/>
      </w:pPr>
      <w:rPr>
        <w:rFonts w:ascii="Symbol" w:hAnsi="Symbol" w:hint="default"/>
      </w:rPr>
    </w:lvl>
    <w:lvl w:ilvl="4" w:tplc="08090003">
      <w:start w:val="1"/>
      <w:numFmt w:val="bullet"/>
      <w:lvlText w:val="o"/>
      <w:lvlJc w:val="left"/>
      <w:pPr>
        <w:ind w:left="4034" w:hanging="360"/>
      </w:pPr>
      <w:rPr>
        <w:rFonts w:ascii="Courier New" w:hAnsi="Courier New" w:cs="Courier New" w:hint="default"/>
      </w:rPr>
    </w:lvl>
    <w:lvl w:ilvl="5" w:tplc="08090005">
      <w:start w:val="1"/>
      <w:numFmt w:val="bullet"/>
      <w:lvlText w:val=""/>
      <w:lvlJc w:val="left"/>
      <w:pPr>
        <w:ind w:left="4754" w:hanging="360"/>
      </w:pPr>
      <w:rPr>
        <w:rFonts w:ascii="Wingdings" w:hAnsi="Wingdings" w:hint="default"/>
      </w:rPr>
    </w:lvl>
    <w:lvl w:ilvl="6" w:tplc="08090001">
      <w:start w:val="1"/>
      <w:numFmt w:val="bullet"/>
      <w:lvlText w:val=""/>
      <w:lvlJc w:val="left"/>
      <w:pPr>
        <w:ind w:left="5474" w:hanging="360"/>
      </w:pPr>
      <w:rPr>
        <w:rFonts w:ascii="Symbol" w:hAnsi="Symbol" w:hint="default"/>
      </w:rPr>
    </w:lvl>
    <w:lvl w:ilvl="7" w:tplc="08090003">
      <w:start w:val="1"/>
      <w:numFmt w:val="bullet"/>
      <w:lvlText w:val="o"/>
      <w:lvlJc w:val="left"/>
      <w:pPr>
        <w:ind w:left="6194" w:hanging="360"/>
      </w:pPr>
      <w:rPr>
        <w:rFonts w:ascii="Courier New" w:hAnsi="Courier New" w:cs="Courier New" w:hint="default"/>
      </w:rPr>
    </w:lvl>
    <w:lvl w:ilvl="8" w:tplc="08090005">
      <w:start w:val="1"/>
      <w:numFmt w:val="bullet"/>
      <w:lvlText w:val=""/>
      <w:lvlJc w:val="left"/>
      <w:pPr>
        <w:ind w:left="6914" w:hanging="360"/>
      </w:pPr>
      <w:rPr>
        <w:rFonts w:ascii="Wingdings" w:hAnsi="Wingdings" w:hint="default"/>
      </w:rPr>
    </w:lvl>
  </w:abstractNum>
  <w:abstractNum w:abstractNumId="9" w15:restartNumberingAfterBreak="0">
    <w:nsid w:val="749A0E63"/>
    <w:multiLevelType w:val="hybridMultilevel"/>
    <w:tmpl w:val="37EE1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411538">
    <w:abstractNumId w:val="2"/>
  </w:num>
  <w:num w:numId="2" w16cid:durableId="2089185782">
    <w:abstractNumId w:val="0"/>
  </w:num>
  <w:num w:numId="3" w16cid:durableId="1004480431">
    <w:abstractNumId w:val="9"/>
  </w:num>
  <w:num w:numId="4" w16cid:durableId="1628508206">
    <w:abstractNumId w:val="7"/>
  </w:num>
  <w:num w:numId="5" w16cid:durableId="2091612467">
    <w:abstractNumId w:val="3"/>
  </w:num>
  <w:num w:numId="6" w16cid:durableId="456678934">
    <w:abstractNumId w:val="8"/>
  </w:num>
  <w:num w:numId="7" w16cid:durableId="906958349">
    <w:abstractNumId w:val="1"/>
  </w:num>
  <w:num w:numId="8" w16cid:durableId="1935892071">
    <w:abstractNumId w:val="4"/>
  </w:num>
  <w:num w:numId="9" w16cid:durableId="1852797759">
    <w:abstractNumId w:val="6"/>
  </w:num>
  <w:num w:numId="10" w16cid:durableId="1889024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13"/>
    <w:rsid w:val="000C62BA"/>
    <w:rsid w:val="000D1783"/>
    <w:rsid w:val="000D756D"/>
    <w:rsid w:val="0012592F"/>
    <w:rsid w:val="001C0F93"/>
    <w:rsid w:val="001F2F50"/>
    <w:rsid w:val="0031432E"/>
    <w:rsid w:val="0034043B"/>
    <w:rsid w:val="00414D8B"/>
    <w:rsid w:val="00482905"/>
    <w:rsid w:val="00494752"/>
    <w:rsid w:val="004C3BE6"/>
    <w:rsid w:val="004D2C13"/>
    <w:rsid w:val="004D6C09"/>
    <w:rsid w:val="00516329"/>
    <w:rsid w:val="0057336B"/>
    <w:rsid w:val="005A2195"/>
    <w:rsid w:val="005D3E02"/>
    <w:rsid w:val="00610642"/>
    <w:rsid w:val="00616601"/>
    <w:rsid w:val="00646EEF"/>
    <w:rsid w:val="00654B80"/>
    <w:rsid w:val="00663829"/>
    <w:rsid w:val="006A42AB"/>
    <w:rsid w:val="006B5313"/>
    <w:rsid w:val="006E291F"/>
    <w:rsid w:val="006E3716"/>
    <w:rsid w:val="00722016"/>
    <w:rsid w:val="008506C9"/>
    <w:rsid w:val="008F0106"/>
    <w:rsid w:val="00924B63"/>
    <w:rsid w:val="00982618"/>
    <w:rsid w:val="009A22BD"/>
    <w:rsid w:val="009C205E"/>
    <w:rsid w:val="00A0579C"/>
    <w:rsid w:val="00A7663C"/>
    <w:rsid w:val="00A91245"/>
    <w:rsid w:val="00AA449F"/>
    <w:rsid w:val="00AB4BAD"/>
    <w:rsid w:val="00B32E51"/>
    <w:rsid w:val="00C73EE7"/>
    <w:rsid w:val="00C837F0"/>
    <w:rsid w:val="00CB2FED"/>
    <w:rsid w:val="00CB65A1"/>
    <w:rsid w:val="00CB7A43"/>
    <w:rsid w:val="00CF4CAC"/>
    <w:rsid w:val="00D51E1E"/>
    <w:rsid w:val="00DE77E6"/>
    <w:rsid w:val="00E05F75"/>
    <w:rsid w:val="00E12DB1"/>
    <w:rsid w:val="00E72EA7"/>
    <w:rsid w:val="00EA4101"/>
    <w:rsid w:val="00F23715"/>
    <w:rsid w:val="00F53FB2"/>
    <w:rsid w:val="00F77D5F"/>
    <w:rsid w:val="00FD21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EA7D1"/>
  <w15:docId w15:val="{4D632CB1-5F9E-443E-9CF2-5D9F3D01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qFormat/>
    <w:rsid w:val="004D2C13"/>
    <w:rPr>
      <w:color w:val="0000FF"/>
      <w:u w:val="single"/>
    </w:rPr>
  </w:style>
  <w:style w:type="paragraph" w:styleId="ListParagraph">
    <w:name w:val="List Paragraph"/>
    <w:basedOn w:val="Normal"/>
    <w:link w:val="ListParagraphChar"/>
    <w:uiPriority w:val="34"/>
    <w:qFormat/>
    <w:rsid w:val="004D2C13"/>
    <w:pPr>
      <w:tabs>
        <w:tab w:val="clear" w:pos="794"/>
        <w:tab w:val="clear" w:pos="1191"/>
        <w:tab w:val="clear" w:pos="1588"/>
        <w:tab w:val="clear" w:pos="1985"/>
        <w:tab w:val="left" w:pos="1134"/>
        <w:tab w:val="left" w:pos="1871"/>
        <w:tab w:val="left" w:pos="2268"/>
      </w:tabs>
      <w:ind w:left="720"/>
      <w:contextualSpacing/>
      <w:textAlignment w:val="auto"/>
    </w:pPr>
    <w:rPr>
      <w:rFonts w:eastAsia="SimSun"/>
      <w:lang w:val="en-GB"/>
    </w:rPr>
  </w:style>
  <w:style w:type="character" w:customStyle="1" w:styleId="ListParagraphChar">
    <w:name w:val="List Paragraph Char"/>
    <w:basedOn w:val="DefaultParagraphFont"/>
    <w:link w:val="ListParagraph"/>
    <w:uiPriority w:val="34"/>
    <w:locked/>
    <w:rsid w:val="004D2C13"/>
    <w:rPr>
      <w:rFonts w:ascii="Times New Roman" w:eastAsia="SimSun" w:hAnsi="Times New Roman"/>
      <w:sz w:val="24"/>
      <w:lang w:val="en-GB" w:eastAsia="en-US"/>
    </w:rPr>
  </w:style>
  <w:style w:type="paragraph" w:customStyle="1" w:styleId="Figuretitle">
    <w:name w:val="Figure_title"/>
    <w:basedOn w:val="Normal"/>
    <w:next w:val="Normal"/>
    <w:link w:val="FiguretitleChar"/>
    <w:rsid w:val="004D2C13"/>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Theme="minorEastAsia" w:hAnsi="Times New Roman Bold"/>
      <w:b/>
      <w:sz w:val="20"/>
      <w:lang w:val="en-GB"/>
    </w:rPr>
  </w:style>
  <w:style w:type="paragraph" w:customStyle="1" w:styleId="FigureNo">
    <w:name w:val="Figure_No"/>
    <w:basedOn w:val="Normal"/>
    <w:next w:val="Normal"/>
    <w:rsid w:val="004D2C13"/>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sz w:val="20"/>
      <w:lang w:val="en-GB"/>
    </w:rPr>
  </w:style>
  <w:style w:type="character" w:customStyle="1" w:styleId="FiguretitleChar">
    <w:name w:val="Figure_title Char"/>
    <w:basedOn w:val="DefaultParagraphFont"/>
    <w:link w:val="Figuretitle"/>
    <w:rsid w:val="004D2C13"/>
    <w:rPr>
      <w:rFonts w:ascii="Times New Roman Bold" w:eastAsiaTheme="minorEastAsia" w:hAnsi="Times New Roman Bold"/>
      <w:b/>
      <w:lang w:val="en-GB" w:eastAsia="en-US"/>
    </w:rPr>
  </w:style>
  <w:style w:type="paragraph" w:customStyle="1" w:styleId="AnnexNo">
    <w:name w:val="Annex_No"/>
    <w:basedOn w:val="Normal"/>
    <w:next w:val="Normal"/>
    <w:rsid w:val="004D2C13"/>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rFonts w:eastAsiaTheme="minorEastAsia"/>
      <w:sz w:val="28"/>
      <w:lang w:val="en-GB"/>
    </w:rPr>
  </w:style>
  <w:style w:type="paragraph" w:customStyle="1" w:styleId="Reasons">
    <w:name w:val="Reasons"/>
    <w:basedOn w:val="Normal"/>
    <w:qFormat/>
    <w:rsid w:val="004D2C13"/>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F53F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7/es" TargetMode="External"/><Relationship Id="rId13" Type="http://schemas.openxmlformats.org/officeDocument/2006/relationships/hyperlink" Target="https://www.itu.int/md/R23-SG05-C-0096/en" TargetMode="Externa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image" Target="media/image1.jpeg"/><Relationship Id="rId12" Type="http://schemas.openxmlformats.org/officeDocument/2006/relationships/hyperlink" Target="https://www.itu.int/md/R23-SG04-C-0047/es" TargetMode="Externa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itu.int/md/R23-RAG-C-0058/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23-RAG-C-0058/en" TargetMode="External"/><Relationship Id="rId24" Type="http://schemas.openxmlformats.org/officeDocument/2006/relationships/hyperlink" Target="mailto:fabghamdi@citc.gov.sa" TargetMode="External"/><Relationship Id="rId5" Type="http://schemas.openxmlformats.org/officeDocument/2006/relationships/footnotes" Target="footnotes.xml"/><Relationship Id="rId15" Type="http://schemas.openxmlformats.org/officeDocument/2006/relationships/hyperlink" Target="https://www.itu.int/md/R23-SG05-C-0096/en" TargetMode="External"/><Relationship Id="rId23" Type="http://schemas.openxmlformats.org/officeDocument/2006/relationships/hyperlink" Target="mailto:fabghamdi@citc.gov.sa" TargetMode="External"/><Relationship Id="rId10" Type="http://schemas.openxmlformats.org/officeDocument/2006/relationships/hyperlink" Target="https://www.itu.int/md/R23-RAG-C-0058/es" TargetMode="External"/><Relationship Id="rId19" Type="http://schemas.openxmlformats.org/officeDocument/2006/relationships/hyperlink" Target="https://www.itu.int/md/R23-RAG-C-0058/es" TargetMode="External"/><Relationship Id="rId4" Type="http://schemas.openxmlformats.org/officeDocument/2006/relationships/webSettings" Target="webSettings.xml"/><Relationship Id="rId9" Type="http://schemas.openxmlformats.org/officeDocument/2006/relationships/hyperlink" Target="https://www.itu.int/md/R00-CA-CIR-0277/en" TargetMode="External"/><Relationship Id="rId14" Type="http://schemas.openxmlformats.org/officeDocument/2006/relationships/hyperlink" Target="https://www.itu.int/md/R23-SG04-C-0047/en" TargetMode="External"/><Relationship Id="rId22" Type="http://schemas.openxmlformats.org/officeDocument/2006/relationships/chart" Target="charts/chart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BR\PS_RAG.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1605;&#1604;&#1601;&#1575;&#1578;%20&#1575;&#1604;&#1591;&#1610;&#1601;\&#1575;&#1583;&#1575;&#1585;&#1577;%20&#1575;&#1604;&#1578;&#1606;&#1587;&#1610;&#1602;%20&#1575;&#1604;&#1583;&#1608;&#1604;&#1610;\&#1575;&#1604;&#1578;&#1606;&#1592;&#1610;&#1605;&#1575;&#1578;%20&#1608;%20&#1575;&#1604;&#1583;&#1585;&#1575;&#1587;&#1575;&#1578;\RAG\33rd%20meeting\SG\SG%20wor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605;&#1604;&#1601;&#1575;&#1578;%20&#1575;&#1604;&#1591;&#1610;&#1601;\&#1575;&#1583;&#1575;&#1585;&#1577;%20&#1575;&#1604;&#1578;&#1606;&#1587;&#1610;&#1602;%20&#1575;&#1604;&#1583;&#1608;&#1604;&#1610;\&#1575;&#1604;&#1578;&#1606;&#1592;&#1610;&#1605;&#1575;&#1578;%20&#1608;%20&#1575;&#1604;&#1583;&#1585;&#1575;&#1587;&#1575;&#1578;\RAG\33rd%20meeting\SG\SG%20wor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Sheet2!$B$28</c:f>
              <c:strCache>
                <c:ptCount val="1"/>
                <c:pt idx="0">
                  <c:v>2007-2012 (WRC-12)</c:v>
                </c:pt>
              </c:strCache>
            </c:strRef>
          </c:tx>
          <c:spPr>
            <a:solidFill>
              <a:schemeClr val="accent1"/>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Sheet2!$B$29:$B$34</c:f>
              <c:numCache>
                <c:formatCode>General</c:formatCode>
                <c:ptCount val="6"/>
                <c:pt idx="0">
                  <c:v>516</c:v>
                </c:pt>
                <c:pt idx="1">
                  <c:v>391</c:v>
                </c:pt>
                <c:pt idx="2">
                  <c:v>828</c:v>
                </c:pt>
                <c:pt idx="3">
                  <c:v>1859</c:v>
                </c:pt>
                <c:pt idx="4">
                  <c:v>949</c:v>
                </c:pt>
                <c:pt idx="5">
                  <c:v>572</c:v>
                </c:pt>
              </c:numCache>
            </c:numRef>
          </c:val>
          <c:extLst>
            <c:ext xmlns:c16="http://schemas.microsoft.com/office/drawing/2014/chart" uri="{C3380CC4-5D6E-409C-BE32-E72D297353CC}">
              <c16:uniqueId val="{00000000-B5A3-47B6-8631-A494F88A1DF2}"/>
            </c:ext>
          </c:extLst>
        </c:ser>
        <c:ser>
          <c:idx val="1"/>
          <c:order val="1"/>
          <c:tx>
            <c:strRef>
              <c:f>Sheet2!$C$28</c:f>
              <c:strCache>
                <c:ptCount val="1"/>
                <c:pt idx="0">
                  <c:v>2012-2015 (WRC-15)</c:v>
                </c:pt>
              </c:strCache>
            </c:strRef>
          </c:tx>
          <c:spPr>
            <a:solidFill>
              <a:schemeClr val="accent2"/>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Sheet2!$C$29:$C$34</c:f>
              <c:numCache>
                <c:formatCode>General</c:formatCode>
                <c:ptCount val="6"/>
                <c:pt idx="0">
                  <c:v>575</c:v>
                </c:pt>
                <c:pt idx="1">
                  <c:v>539</c:v>
                </c:pt>
                <c:pt idx="2">
                  <c:v>1191</c:v>
                </c:pt>
                <c:pt idx="3">
                  <c:v>2763</c:v>
                </c:pt>
                <c:pt idx="4">
                  <c:v>1447</c:v>
                </c:pt>
                <c:pt idx="5">
                  <c:v>949</c:v>
                </c:pt>
              </c:numCache>
            </c:numRef>
          </c:val>
          <c:extLst>
            <c:ext xmlns:c16="http://schemas.microsoft.com/office/drawing/2014/chart" uri="{C3380CC4-5D6E-409C-BE32-E72D297353CC}">
              <c16:uniqueId val="{00000001-B5A3-47B6-8631-A494F88A1DF2}"/>
            </c:ext>
          </c:extLst>
        </c:ser>
        <c:ser>
          <c:idx val="2"/>
          <c:order val="2"/>
          <c:tx>
            <c:strRef>
              <c:f>Sheet2!$D$28</c:f>
              <c:strCache>
                <c:ptCount val="1"/>
                <c:pt idx="0">
                  <c:v>2015-2019 (WRC-19)</c:v>
                </c:pt>
              </c:strCache>
            </c:strRef>
          </c:tx>
          <c:spPr>
            <a:solidFill>
              <a:schemeClr val="accent3"/>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Sheet2!$D$29:$D$34</c:f>
              <c:numCache>
                <c:formatCode>General</c:formatCode>
                <c:ptCount val="6"/>
                <c:pt idx="0">
                  <c:v>694</c:v>
                </c:pt>
                <c:pt idx="1">
                  <c:v>737</c:v>
                </c:pt>
                <c:pt idx="2">
                  <c:v>908</c:v>
                </c:pt>
                <c:pt idx="3">
                  <c:v>2300</c:v>
                </c:pt>
                <c:pt idx="4">
                  <c:v>989</c:v>
                </c:pt>
                <c:pt idx="5">
                  <c:v>655</c:v>
                </c:pt>
              </c:numCache>
            </c:numRef>
          </c:val>
          <c:extLst>
            <c:ext xmlns:c16="http://schemas.microsoft.com/office/drawing/2014/chart" uri="{C3380CC4-5D6E-409C-BE32-E72D297353CC}">
              <c16:uniqueId val="{00000002-B5A3-47B6-8631-A494F88A1DF2}"/>
            </c:ext>
          </c:extLst>
        </c:ser>
        <c:ser>
          <c:idx val="3"/>
          <c:order val="3"/>
          <c:tx>
            <c:strRef>
              <c:f>Sheet2!$E$28</c:f>
              <c:strCache>
                <c:ptCount val="1"/>
                <c:pt idx="0">
                  <c:v>2019-2023 (WRC-23)</c:v>
                </c:pt>
              </c:strCache>
            </c:strRef>
          </c:tx>
          <c:spPr>
            <a:solidFill>
              <a:schemeClr val="accent4"/>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Sheet2!$E$29:$E$34</c:f>
              <c:numCache>
                <c:formatCode>General</c:formatCode>
                <c:ptCount val="6"/>
                <c:pt idx="0">
                  <c:v>391</c:v>
                </c:pt>
                <c:pt idx="1">
                  <c:v>676</c:v>
                </c:pt>
                <c:pt idx="2">
                  <c:v>938</c:v>
                </c:pt>
                <c:pt idx="3">
                  <c:v>2771</c:v>
                </c:pt>
                <c:pt idx="4">
                  <c:v>694</c:v>
                </c:pt>
                <c:pt idx="5">
                  <c:v>627</c:v>
                </c:pt>
              </c:numCache>
            </c:numRef>
          </c:val>
          <c:extLst>
            <c:ext xmlns:c16="http://schemas.microsoft.com/office/drawing/2014/chart" uri="{C3380CC4-5D6E-409C-BE32-E72D297353CC}">
              <c16:uniqueId val="{00000003-B5A3-47B6-8631-A494F88A1DF2}"/>
            </c:ext>
          </c:extLst>
        </c:ser>
        <c:ser>
          <c:idx val="4"/>
          <c:order val="4"/>
          <c:tx>
            <c:strRef>
              <c:f>Sheet2!$F$28</c:f>
              <c:strCache>
                <c:ptCount val="1"/>
                <c:pt idx="0">
                  <c:v>2023-2027 (WRC-27)</c:v>
                </c:pt>
              </c:strCache>
            </c:strRef>
          </c:tx>
          <c:spPr>
            <a:solidFill>
              <a:schemeClr val="accent5"/>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Sheet2!$F$29:$F$34</c:f>
              <c:numCache>
                <c:formatCode>General</c:formatCode>
                <c:ptCount val="6"/>
                <c:pt idx="0">
                  <c:v>267</c:v>
                </c:pt>
                <c:pt idx="1">
                  <c:v>688</c:v>
                </c:pt>
                <c:pt idx="2">
                  <c:v>1588</c:v>
                </c:pt>
                <c:pt idx="3">
                  <c:v>2138</c:v>
                </c:pt>
                <c:pt idx="4">
                  <c:v>614</c:v>
                </c:pt>
                <c:pt idx="5">
                  <c:v>820</c:v>
                </c:pt>
              </c:numCache>
            </c:numRef>
          </c:val>
          <c:extLst>
            <c:ext xmlns:c16="http://schemas.microsoft.com/office/drawing/2014/chart" uri="{C3380CC4-5D6E-409C-BE32-E72D297353CC}">
              <c16:uniqueId val="{00000004-B5A3-47B6-8631-A494F88A1DF2}"/>
            </c:ext>
          </c:extLst>
        </c:ser>
        <c:dLbls>
          <c:showLegendKey val="0"/>
          <c:showVal val="0"/>
          <c:showCatName val="0"/>
          <c:showSerName val="0"/>
          <c:showPercent val="0"/>
          <c:showBubbleSize val="0"/>
        </c:dLbls>
        <c:gapWidth val="219"/>
        <c:axId val="1270705583"/>
        <c:axId val="1270703919"/>
      </c:barChart>
      <c:catAx>
        <c:axId val="127070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70703919"/>
        <c:crosses val="autoZero"/>
        <c:auto val="1"/>
        <c:lblAlgn val="ctr"/>
        <c:lblOffset val="100"/>
        <c:noMultiLvlLbl val="0"/>
      </c:catAx>
      <c:valAx>
        <c:axId val="1270703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7070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Sheet2!$B$46</c:f>
              <c:strCache>
                <c:ptCount val="1"/>
                <c:pt idx="0">
                  <c:v>2007-2012 (WRC-12)</c:v>
                </c:pt>
              </c:strCache>
            </c:strRef>
          </c:tx>
          <c:spPr>
            <a:solidFill>
              <a:schemeClr val="accent1"/>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Sheet2!$B$47:$B$52</c:f>
              <c:numCache>
                <c:formatCode>General</c:formatCode>
                <c:ptCount val="6"/>
                <c:pt idx="0">
                  <c:v>16</c:v>
                </c:pt>
                <c:pt idx="1">
                  <c:v>7</c:v>
                </c:pt>
                <c:pt idx="2">
                  <c:v>28</c:v>
                </c:pt>
                <c:pt idx="3">
                  <c:v>51</c:v>
                </c:pt>
                <c:pt idx="4">
                  <c:v>19</c:v>
                </c:pt>
                <c:pt idx="5">
                  <c:v>20</c:v>
                </c:pt>
              </c:numCache>
            </c:numRef>
          </c:val>
          <c:extLst>
            <c:ext xmlns:c16="http://schemas.microsoft.com/office/drawing/2014/chart" uri="{C3380CC4-5D6E-409C-BE32-E72D297353CC}">
              <c16:uniqueId val="{00000000-8052-439C-A2FD-359940F85D1C}"/>
            </c:ext>
          </c:extLst>
        </c:ser>
        <c:ser>
          <c:idx val="1"/>
          <c:order val="1"/>
          <c:tx>
            <c:strRef>
              <c:f>Sheet2!$C$46</c:f>
              <c:strCache>
                <c:ptCount val="1"/>
                <c:pt idx="0">
                  <c:v>2012-2015 (WRC-15)</c:v>
                </c:pt>
              </c:strCache>
            </c:strRef>
          </c:tx>
          <c:spPr>
            <a:solidFill>
              <a:schemeClr val="accent2"/>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Sheet2!$C$47:$C$52</c:f>
              <c:numCache>
                <c:formatCode>General</c:formatCode>
                <c:ptCount val="6"/>
                <c:pt idx="0">
                  <c:v>15</c:v>
                </c:pt>
                <c:pt idx="1">
                  <c:v>7</c:v>
                </c:pt>
                <c:pt idx="2">
                  <c:v>25</c:v>
                </c:pt>
                <c:pt idx="3">
                  <c:v>31</c:v>
                </c:pt>
                <c:pt idx="4">
                  <c:v>13</c:v>
                </c:pt>
                <c:pt idx="5">
                  <c:v>20</c:v>
                </c:pt>
              </c:numCache>
            </c:numRef>
          </c:val>
          <c:extLst>
            <c:ext xmlns:c16="http://schemas.microsoft.com/office/drawing/2014/chart" uri="{C3380CC4-5D6E-409C-BE32-E72D297353CC}">
              <c16:uniqueId val="{00000001-8052-439C-A2FD-359940F85D1C}"/>
            </c:ext>
          </c:extLst>
        </c:ser>
        <c:ser>
          <c:idx val="2"/>
          <c:order val="2"/>
          <c:tx>
            <c:strRef>
              <c:f>Sheet2!$D$46</c:f>
              <c:strCache>
                <c:ptCount val="1"/>
                <c:pt idx="0">
                  <c:v>2015-2019 (WRC-19)</c:v>
                </c:pt>
              </c:strCache>
            </c:strRef>
          </c:tx>
          <c:spPr>
            <a:solidFill>
              <a:schemeClr val="accent3"/>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Sheet2!$D$47:$D$52</c:f>
              <c:numCache>
                <c:formatCode>General</c:formatCode>
                <c:ptCount val="6"/>
                <c:pt idx="0">
                  <c:v>13</c:v>
                </c:pt>
                <c:pt idx="1">
                  <c:v>7</c:v>
                </c:pt>
                <c:pt idx="2">
                  <c:v>8</c:v>
                </c:pt>
                <c:pt idx="3">
                  <c:v>14</c:v>
                </c:pt>
                <c:pt idx="4">
                  <c:v>15</c:v>
                </c:pt>
                <c:pt idx="5">
                  <c:v>18</c:v>
                </c:pt>
              </c:numCache>
            </c:numRef>
          </c:val>
          <c:extLst>
            <c:ext xmlns:c16="http://schemas.microsoft.com/office/drawing/2014/chart" uri="{C3380CC4-5D6E-409C-BE32-E72D297353CC}">
              <c16:uniqueId val="{00000002-8052-439C-A2FD-359940F85D1C}"/>
            </c:ext>
          </c:extLst>
        </c:ser>
        <c:ser>
          <c:idx val="3"/>
          <c:order val="3"/>
          <c:tx>
            <c:strRef>
              <c:f>Sheet2!$E$46</c:f>
              <c:strCache>
                <c:ptCount val="1"/>
                <c:pt idx="0">
                  <c:v>2019-2023 (WRC-23)</c:v>
                </c:pt>
              </c:strCache>
            </c:strRef>
          </c:tx>
          <c:spPr>
            <a:solidFill>
              <a:schemeClr val="accent4"/>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Sheet2!$E$47:$E$52</c:f>
              <c:numCache>
                <c:formatCode>General</c:formatCode>
                <c:ptCount val="6"/>
                <c:pt idx="0">
                  <c:v>10</c:v>
                </c:pt>
                <c:pt idx="1">
                  <c:v>6</c:v>
                </c:pt>
                <c:pt idx="2">
                  <c:v>2</c:v>
                </c:pt>
                <c:pt idx="3">
                  <c:v>10</c:v>
                </c:pt>
                <c:pt idx="4">
                  <c:v>15</c:v>
                </c:pt>
                <c:pt idx="5">
                  <c:v>8</c:v>
                </c:pt>
              </c:numCache>
            </c:numRef>
          </c:val>
          <c:extLst>
            <c:ext xmlns:c16="http://schemas.microsoft.com/office/drawing/2014/chart" uri="{C3380CC4-5D6E-409C-BE32-E72D297353CC}">
              <c16:uniqueId val="{00000003-8052-439C-A2FD-359940F85D1C}"/>
            </c:ext>
          </c:extLst>
        </c:ser>
        <c:ser>
          <c:idx val="4"/>
          <c:order val="4"/>
          <c:tx>
            <c:strRef>
              <c:f>Sheet2!$F$46</c:f>
              <c:strCache>
                <c:ptCount val="1"/>
                <c:pt idx="0">
                  <c:v>2023-2027 (WRC-27)</c:v>
                </c:pt>
              </c:strCache>
            </c:strRef>
          </c:tx>
          <c:spPr>
            <a:solidFill>
              <a:schemeClr val="accent5"/>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Sheet2!$F$47:$F$52</c:f>
              <c:numCache>
                <c:formatCode>General</c:formatCode>
                <c:ptCount val="6"/>
                <c:pt idx="0">
                  <c:v>12</c:v>
                </c:pt>
                <c:pt idx="1">
                  <c:v>22</c:v>
                </c:pt>
                <c:pt idx="2">
                  <c:v>5</c:v>
                </c:pt>
                <c:pt idx="4">
                  <c:v>37</c:v>
                </c:pt>
                <c:pt idx="5">
                  <c:v>1</c:v>
                </c:pt>
              </c:numCache>
            </c:numRef>
          </c:val>
          <c:extLst>
            <c:ext xmlns:c16="http://schemas.microsoft.com/office/drawing/2014/chart" uri="{C3380CC4-5D6E-409C-BE32-E72D297353CC}">
              <c16:uniqueId val="{00000004-8052-439C-A2FD-359940F85D1C}"/>
            </c:ext>
          </c:extLst>
        </c:ser>
        <c:dLbls>
          <c:showLegendKey val="0"/>
          <c:showVal val="0"/>
          <c:showCatName val="0"/>
          <c:showSerName val="0"/>
          <c:showPercent val="0"/>
          <c:showBubbleSize val="0"/>
        </c:dLbls>
        <c:gapWidth val="219"/>
        <c:overlap val="-27"/>
        <c:axId val="1256176463"/>
        <c:axId val="1256163567"/>
      </c:barChart>
      <c:catAx>
        <c:axId val="1256176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56163567"/>
        <c:crosses val="autoZero"/>
        <c:auto val="1"/>
        <c:lblAlgn val="ctr"/>
        <c:lblOffset val="100"/>
        <c:noMultiLvlLbl val="0"/>
      </c:catAx>
      <c:valAx>
        <c:axId val="1256163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56176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BC42-46D5-871A-FE56ECD3748C}"/>
              </c:ext>
            </c:extLst>
          </c:dPt>
          <c:dPt>
            <c:idx val="5"/>
            <c:invertIfNegative val="0"/>
            <c:bubble3D val="0"/>
            <c:spPr>
              <a:solidFill>
                <a:srgbClr val="ED7D31"/>
              </a:solidFill>
              <a:ln>
                <a:noFill/>
              </a:ln>
              <a:effectLst/>
            </c:spPr>
            <c:extLst>
              <c:ext xmlns:c16="http://schemas.microsoft.com/office/drawing/2014/chart" uri="{C3380CC4-5D6E-409C-BE32-E72D297353CC}">
                <c16:uniqueId val="{00000003-BC42-46D5-871A-FE56ECD3748C}"/>
              </c:ext>
            </c:extLst>
          </c:dPt>
          <c:dPt>
            <c:idx val="6"/>
            <c:invertIfNegative val="0"/>
            <c:bubble3D val="0"/>
            <c:spPr>
              <a:solidFill>
                <a:srgbClr val="ED7D31"/>
              </a:solidFill>
              <a:ln>
                <a:noFill/>
              </a:ln>
              <a:effectLst/>
            </c:spPr>
            <c:extLst>
              <c:ext xmlns:c16="http://schemas.microsoft.com/office/drawing/2014/chart" uri="{C3380CC4-5D6E-409C-BE32-E72D297353CC}">
                <c16:uniqueId val="{00000005-BC42-46D5-871A-FE56ECD3748C}"/>
              </c:ext>
            </c:extLst>
          </c:dPt>
          <c:dPt>
            <c:idx val="7"/>
            <c:invertIfNegative val="0"/>
            <c:bubble3D val="0"/>
            <c:spPr>
              <a:solidFill>
                <a:srgbClr val="ED7D31"/>
              </a:solidFill>
              <a:ln>
                <a:noFill/>
              </a:ln>
              <a:effectLst/>
            </c:spPr>
            <c:extLst>
              <c:ext xmlns:c16="http://schemas.microsoft.com/office/drawing/2014/chart" uri="{C3380CC4-5D6E-409C-BE32-E72D297353CC}">
                <c16:uniqueId val="{00000007-BC42-46D5-871A-FE56ECD3748C}"/>
              </c:ext>
            </c:extLst>
          </c:dPt>
          <c:dPt>
            <c:idx val="8"/>
            <c:invertIfNegative val="0"/>
            <c:bubble3D val="0"/>
            <c:spPr>
              <a:solidFill>
                <a:srgbClr val="ED7D31"/>
              </a:solidFill>
              <a:ln>
                <a:noFill/>
              </a:ln>
              <a:effectLst/>
            </c:spPr>
            <c:extLst>
              <c:ext xmlns:c16="http://schemas.microsoft.com/office/drawing/2014/chart" uri="{C3380CC4-5D6E-409C-BE32-E72D297353CC}">
                <c16:uniqueId val="{00000009-BC42-46D5-871A-FE56ECD3748C}"/>
              </c:ext>
            </c:extLst>
          </c:dPt>
          <c:dPt>
            <c:idx val="9"/>
            <c:invertIfNegative val="0"/>
            <c:bubble3D val="0"/>
            <c:spPr>
              <a:solidFill>
                <a:srgbClr val="00823B"/>
              </a:solidFill>
              <a:ln>
                <a:noFill/>
              </a:ln>
              <a:effectLst/>
            </c:spPr>
            <c:extLst>
              <c:ext xmlns:c16="http://schemas.microsoft.com/office/drawing/2014/chart" uri="{C3380CC4-5D6E-409C-BE32-E72D297353CC}">
                <c16:uniqueId val="{0000000B-BC42-46D5-871A-FE56ECD3748C}"/>
              </c:ext>
            </c:extLst>
          </c:dPt>
          <c:dPt>
            <c:idx val="10"/>
            <c:invertIfNegative val="0"/>
            <c:bubble3D val="0"/>
            <c:spPr>
              <a:solidFill>
                <a:srgbClr val="00B050"/>
              </a:solidFill>
              <a:ln>
                <a:noFill/>
              </a:ln>
              <a:effectLst/>
            </c:spPr>
            <c:extLst>
              <c:ext xmlns:c16="http://schemas.microsoft.com/office/drawing/2014/chart" uri="{C3380CC4-5D6E-409C-BE32-E72D297353CC}">
                <c16:uniqueId val="{0000000D-BC42-46D5-871A-FE56ECD3748C}"/>
              </c:ext>
            </c:extLst>
          </c:dPt>
          <c:dPt>
            <c:idx val="11"/>
            <c:invertIfNegative val="0"/>
            <c:bubble3D val="0"/>
            <c:spPr>
              <a:solidFill>
                <a:srgbClr val="00B050"/>
              </a:solidFill>
              <a:ln>
                <a:noFill/>
              </a:ln>
              <a:effectLst/>
            </c:spPr>
            <c:extLst>
              <c:ext xmlns:c16="http://schemas.microsoft.com/office/drawing/2014/chart" uri="{C3380CC4-5D6E-409C-BE32-E72D297353CC}">
                <c16:uniqueId val="{0000000F-BC42-46D5-871A-FE56ECD3748C}"/>
              </c:ext>
            </c:extLst>
          </c:dPt>
          <c:dPt>
            <c:idx val="12"/>
            <c:invertIfNegative val="0"/>
            <c:bubble3D val="0"/>
            <c:spPr>
              <a:solidFill>
                <a:srgbClr val="00B050"/>
              </a:solidFill>
              <a:ln>
                <a:noFill/>
              </a:ln>
              <a:effectLst/>
            </c:spPr>
            <c:extLst>
              <c:ext xmlns:c16="http://schemas.microsoft.com/office/drawing/2014/chart" uri="{C3380CC4-5D6E-409C-BE32-E72D297353CC}">
                <c16:uniqueId val="{00000011-BC42-46D5-871A-FE56ECD3748C}"/>
              </c:ext>
            </c:extLst>
          </c:dPt>
          <c:dPt>
            <c:idx val="13"/>
            <c:invertIfNegative val="0"/>
            <c:bubble3D val="0"/>
            <c:spPr>
              <a:solidFill>
                <a:srgbClr val="532476"/>
              </a:solidFill>
              <a:ln>
                <a:noFill/>
              </a:ln>
              <a:effectLst/>
            </c:spPr>
            <c:extLst>
              <c:ext xmlns:c16="http://schemas.microsoft.com/office/drawing/2014/chart" uri="{C3380CC4-5D6E-409C-BE32-E72D297353CC}">
                <c16:uniqueId val="{00000013-BC42-46D5-871A-FE56ECD3748C}"/>
              </c:ext>
            </c:extLst>
          </c:dPt>
          <c:dPt>
            <c:idx val="14"/>
            <c:invertIfNegative val="0"/>
            <c:bubble3D val="0"/>
            <c:spPr>
              <a:solidFill>
                <a:srgbClr val="7030A0"/>
              </a:solidFill>
              <a:ln>
                <a:noFill/>
              </a:ln>
              <a:effectLst/>
            </c:spPr>
            <c:extLst>
              <c:ext xmlns:c16="http://schemas.microsoft.com/office/drawing/2014/chart" uri="{C3380CC4-5D6E-409C-BE32-E72D297353CC}">
                <c16:uniqueId val="{00000015-BC42-46D5-871A-FE56ECD3748C}"/>
              </c:ext>
            </c:extLst>
          </c:dPt>
          <c:dPt>
            <c:idx val="15"/>
            <c:invertIfNegative val="0"/>
            <c:bubble3D val="0"/>
            <c:spPr>
              <a:solidFill>
                <a:srgbClr val="7030A0"/>
              </a:solidFill>
              <a:ln>
                <a:noFill/>
              </a:ln>
              <a:effectLst/>
            </c:spPr>
            <c:extLst>
              <c:ext xmlns:c16="http://schemas.microsoft.com/office/drawing/2014/chart" uri="{C3380CC4-5D6E-409C-BE32-E72D297353CC}">
                <c16:uniqueId val="{00000017-BC42-46D5-871A-FE56ECD3748C}"/>
              </c:ext>
            </c:extLst>
          </c:dPt>
          <c:dPt>
            <c:idx val="16"/>
            <c:invertIfNegative val="0"/>
            <c:bubble3D val="0"/>
            <c:spPr>
              <a:solidFill>
                <a:srgbClr val="7030A0"/>
              </a:solidFill>
              <a:ln>
                <a:noFill/>
              </a:ln>
              <a:effectLst/>
            </c:spPr>
            <c:extLst>
              <c:ext xmlns:c16="http://schemas.microsoft.com/office/drawing/2014/chart" uri="{C3380CC4-5D6E-409C-BE32-E72D297353CC}">
                <c16:uniqueId val="{00000019-BC42-46D5-871A-FE56ECD3748C}"/>
              </c:ext>
            </c:extLst>
          </c:dPt>
          <c:dPt>
            <c:idx val="17"/>
            <c:invertIfNegative val="0"/>
            <c:bubble3D val="0"/>
            <c:spPr>
              <a:solidFill>
                <a:srgbClr val="7030A0"/>
              </a:solidFill>
              <a:ln>
                <a:noFill/>
              </a:ln>
              <a:effectLst/>
            </c:spPr>
            <c:extLst>
              <c:ext xmlns:c16="http://schemas.microsoft.com/office/drawing/2014/chart" uri="{C3380CC4-5D6E-409C-BE32-E72D297353CC}">
                <c16:uniqueId val="{0000001B-BC42-46D5-871A-FE56ECD3748C}"/>
              </c:ext>
            </c:extLst>
          </c:dPt>
          <c:dPt>
            <c:idx val="18"/>
            <c:invertIfNegative val="0"/>
            <c:bubble3D val="0"/>
            <c:spPr>
              <a:solidFill>
                <a:srgbClr val="A80000"/>
              </a:solidFill>
              <a:ln>
                <a:noFill/>
              </a:ln>
              <a:effectLst/>
            </c:spPr>
            <c:extLst>
              <c:ext xmlns:c16="http://schemas.microsoft.com/office/drawing/2014/chart" uri="{C3380CC4-5D6E-409C-BE32-E72D297353CC}">
                <c16:uniqueId val="{0000001D-BC42-46D5-871A-FE56ECD3748C}"/>
              </c:ext>
            </c:extLst>
          </c:dPt>
          <c:dPt>
            <c:idx val="19"/>
            <c:invertIfNegative val="0"/>
            <c:bubble3D val="0"/>
            <c:spPr>
              <a:solidFill>
                <a:srgbClr val="C00000"/>
              </a:solidFill>
              <a:ln>
                <a:noFill/>
              </a:ln>
              <a:effectLst/>
            </c:spPr>
            <c:extLst>
              <c:ext xmlns:c16="http://schemas.microsoft.com/office/drawing/2014/chart" uri="{C3380CC4-5D6E-409C-BE32-E72D297353CC}">
                <c16:uniqueId val="{0000001F-BC42-46D5-871A-FE56ECD3748C}"/>
              </c:ext>
            </c:extLst>
          </c:dPt>
          <c:dPt>
            <c:idx val="20"/>
            <c:invertIfNegative val="0"/>
            <c:bubble3D val="0"/>
            <c:spPr>
              <a:solidFill>
                <a:srgbClr val="C00000"/>
              </a:solidFill>
              <a:ln>
                <a:noFill/>
              </a:ln>
              <a:effectLst/>
            </c:spPr>
            <c:extLst>
              <c:ext xmlns:c16="http://schemas.microsoft.com/office/drawing/2014/chart" uri="{C3380CC4-5D6E-409C-BE32-E72D297353CC}">
                <c16:uniqueId val="{00000021-BC42-46D5-871A-FE56ECD3748C}"/>
              </c:ext>
            </c:extLst>
          </c:dPt>
          <c:dPt>
            <c:idx val="21"/>
            <c:invertIfNegative val="0"/>
            <c:bubble3D val="0"/>
            <c:spPr>
              <a:solidFill>
                <a:srgbClr val="C00000"/>
              </a:solidFill>
              <a:ln>
                <a:noFill/>
              </a:ln>
              <a:effectLst/>
            </c:spPr>
            <c:extLst>
              <c:ext xmlns:c16="http://schemas.microsoft.com/office/drawing/2014/chart" uri="{C3380CC4-5D6E-409C-BE32-E72D297353CC}">
                <c16:uniqueId val="{00000023-BC42-46D5-871A-FE56ECD3748C}"/>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BC42-46D5-871A-FE56ECD3748C}"/>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BC42-46D5-871A-FE56ECD3748C}"/>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BC42-46D5-871A-FE56ECD3748C}"/>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BC42-46D5-871A-FE56ECD3748C}"/>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BC42-46D5-871A-FE56ECD3748C}"/>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SG 1</c:v>
                </c:pt>
                <c:pt idx="1">
                  <c:v>WP 1A</c:v>
                </c:pt>
                <c:pt idx="2">
                  <c:v>WP 1B</c:v>
                </c:pt>
                <c:pt idx="3">
                  <c:v>WP 1C</c:v>
                </c:pt>
                <c:pt idx="4">
                  <c:v>SG 3</c:v>
                </c:pt>
                <c:pt idx="5">
                  <c:v>WP 3J</c:v>
                </c:pt>
                <c:pt idx="6">
                  <c:v>WP 3K</c:v>
                </c:pt>
                <c:pt idx="7">
                  <c:v>WP 3L</c:v>
                </c:pt>
                <c:pt idx="8">
                  <c:v>WP 3M</c:v>
                </c:pt>
                <c:pt idx="9">
                  <c:v>SG 4</c:v>
                </c:pt>
                <c:pt idx="10">
                  <c:v>WP 4A</c:v>
                </c:pt>
                <c:pt idx="11">
                  <c:v>WP 4B</c:v>
                </c:pt>
                <c:pt idx="12">
                  <c:v>WP 4C</c:v>
                </c:pt>
                <c:pt idx="13">
                  <c:v>SG 5</c:v>
                </c:pt>
                <c:pt idx="14">
                  <c:v>WP 5A</c:v>
                </c:pt>
                <c:pt idx="15">
                  <c:v>WP 5B</c:v>
                </c:pt>
                <c:pt idx="16">
                  <c:v>WP 5C</c:v>
                </c:pt>
                <c:pt idx="17">
                  <c:v>WP 5D</c:v>
                </c:pt>
                <c:pt idx="18">
                  <c:v>SG 6</c:v>
                </c:pt>
                <c:pt idx="19">
                  <c:v>WP 6A</c:v>
                </c:pt>
                <c:pt idx="20">
                  <c:v>WP 6B</c:v>
                </c:pt>
                <c:pt idx="21">
                  <c:v>WP 6C</c:v>
                </c:pt>
                <c:pt idx="22">
                  <c:v>SG 7</c:v>
                </c:pt>
                <c:pt idx="23">
                  <c:v>WP 7A</c:v>
                </c:pt>
                <c:pt idx="24">
                  <c:v>WP 7B</c:v>
                </c:pt>
                <c:pt idx="25">
                  <c:v>WP 7C</c:v>
                </c:pt>
                <c:pt idx="26">
                  <c:v>WP 7D</c:v>
                </c:pt>
              </c:strCache>
            </c:strRef>
          </c:cat>
          <c:val>
            <c:numRef>
              <c:f>Sheet1!$B$2:$B$28</c:f>
              <c:numCache>
                <c:formatCode>General</c:formatCode>
                <c:ptCount val="27"/>
                <c:pt idx="0">
                  <c:v>92</c:v>
                </c:pt>
                <c:pt idx="1">
                  <c:v>89</c:v>
                </c:pt>
                <c:pt idx="2">
                  <c:v>84</c:v>
                </c:pt>
                <c:pt idx="3">
                  <c:v>103</c:v>
                </c:pt>
                <c:pt idx="4">
                  <c:v>57</c:v>
                </c:pt>
                <c:pt idx="5">
                  <c:v>57</c:v>
                </c:pt>
                <c:pt idx="6">
                  <c:v>58</c:v>
                </c:pt>
                <c:pt idx="7">
                  <c:v>56</c:v>
                </c:pt>
                <c:pt idx="8">
                  <c:v>65</c:v>
                </c:pt>
                <c:pt idx="9">
                  <c:v>263</c:v>
                </c:pt>
                <c:pt idx="10">
                  <c:v>422</c:v>
                </c:pt>
                <c:pt idx="11">
                  <c:v>185</c:v>
                </c:pt>
                <c:pt idx="12">
                  <c:v>312</c:v>
                </c:pt>
                <c:pt idx="13">
                  <c:v>144</c:v>
                </c:pt>
                <c:pt idx="14">
                  <c:v>137</c:v>
                </c:pt>
                <c:pt idx="15">
                  <c:v>159</c:v>
                </c:pt>
                <c:pt idx="16">
                  <c:v>108</c:v>
                </c:pt>
                <c:pt idx="17">
                  <c:v>355</c:v>
                </c:pt>
                <c:pt idx="18">
                  <c:v>90</c:v>
                </c:pt>
                <c:pt idx="19">
                  <c:v>90</c:v>
                </c:pt>
                <c:pt idx="20">
                  <c:v>69</c:v>
                </c:pt>
                <c:pt idx="21">
                  <c:v>62</c:v>
                </c:pt>
                <c:pt idx="22">
                  <c:v>93</c:v>
                </c:pt>
                <c:pt idx="23">
                  <c:v>54</c:v>
                </c:pt>
                <c:pt idx="24">
                  <c:v>112</c:v>
                </c:pt>
                <c:pt idx="25">
                  <c:v>116</c:v>
                </c:pt>
                <c:pt idx="26">
                  <c:v>87</c:v>
                </c:pt>
              </c:numCache>
            </c:numRef>
          </c:val>
          <c:extLst>
            <c:ext xmlns:c16="http://schemas.microsoft.com/office/drawing/2014/chart" uri="{C3380CC4-5D6E-409C-BE32-E72D297353CC}">
              <c16:uniqueId val="{0000002E-BC42-46D5-871A-FE56ECD3748C}"/>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Group</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s-E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Number of participants in-person</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B8D0-4DC0-A214-B2F07190FF62}"/>
              </c:ext>
            </c:extLst>
          </c:dPt>
          <c:dPt>
            <c:idx val="5"/>
            <c:invertIfNegative val="0"/>
            <c:bubble3D val="0"/>
            <c:spPr>
              <a:solidFill>
                <a:srgbClr val="ED7D31"/>
              </a:solidFill>
              <a:ln>
                <a:noFill/>
              </a:ln>
              <a:effectLst/>
            </c:spPr>
            <c:extLst>
              <c:ext xmlns:c16="http://schemas.microsoft.com/office/drawing/2014/chart" uri="{C3380CC4-5D6E-409C-BE32-E72D297353CC}">
                <c16:uniqueId val="{00000003-B8D0-4DC0-A214-B2F07190FF62}"/>
              </c:ext>
            </c:extLst>
          </c:dPt>
          <c:dPt>
            <c:idx val="6"/>
            <c:invertIfNegative val="0"/>
            <c:bubble3D val="0"/>
            <c:spPr>
              <a:solidFill>
                <a:srgbClr val="ED7D31"/>
              </a:solidFill>
              <a:ln>
                <a:noFill/>
              </a:ln>
              <a:effectLst/>
            </c:spPr>
            <c:extLst>
              <c:ext xmlns:c16="http://schemas.microsoft.com/office/drawing/2014/chart" uri="{C3380CC4-5D6E-409C-BE32-E72D297353CC}">
                <c16:uniqueId val="{00000005-B8D0-4DC0-A214-B2F07190FF62}"/>
              </c:ext>
            </c:extLst>
          </c:dPt>
          <c:dPt>
            <c:idx val="7"/>
            <c:invertIfNegative val="0"/>
            <c:bubble3D val="0"/>
            <c:spPr>
              <a:solidFill>
                <a:srgbClr val="ED7D31"/>
              </a:solidFill>
              <a:ln>
                <a:noFill/>
              </a:ln>
              <a:effectLst/>
            </c:spPr>
            <c:extLst>
              <c:ext xmlns:c16="http://schemas.microsoft.com/office/drawing/2014/chart" uri="{C3380CC4-5D6E-409C-BE32-E72D297353CC}">
                <c16:uniqueId val="{00000007-B8D0-4DC0-A214-B2F07190FF62}"/>
              </c:ext>
            </c:extLst>
          </c:dPt>
          <c:dPt>
            <c:idx val="8"/>
            <c:invertIfNegative val="0"/>
            <c:bubble3D val="0"/>
            <c:spPr>
              <a:solidFill>
                <a:srgbClr val="ED7D31"/>
              </a:solidFill>
              <a:ln>
                <a:noFill/>
              </a:ln>
              <a:effectLst/>
            </c:spPr>
            <c:extLst>
              <c:ext xmlns:c16="http://schemas.microsoft.com/office/drawing/2014/chart" uri="{C3380CC4-5D6E-409C-BE32-E72D297353CC}">
                <c16:uniqueId val="{00000009-B8D0-4DC0-A214-B2F07190FF62}"/>
              </c:ext>
            </c:extLst>
          </c:dPt>
          <c:dPt>
            <c:idx val="9"/>
            <c:invertIfNegative val="0"/>
            <c:bubble3D val="0"/>
            <c:spPr>
              <a:solidFill>
                <a:srgbClr val="00823B"/>
              </a:solidFill>
              <a:ln>
                <a:noFill/>
              </a:ln>
              <a:effectLst/>
            </c:spPr>
            <c:extLst>
              <c:ext xmlns:c16="http://schemas.microsoft.com/office/drawing/2014/chart" uri="{C3380CC4-5D6E-409C-BE32-E72D297353CC}">
                <c16:uniqueId val="{0000000B-B8D0-4DC0-A214-B2F07190FF62}"/>
              </c:ext>
            </c:extLst>
          </c:dPt>
          <c:dPt>
            <c:idx val="10"/>
            <c:invertIfNegative val="0"/>
            <c:bubble3D val="0"/>
            <c:spPr>
              <a:solidFill>
                <a:srgbClr val="00B050"/>
              </a:solidFill>
              <a:ln>
                <a:noFill/>
              </a:ln>
              <a:effectLst/>
            </c:spPr>
            <c:extLst>
              <c:ext xmlns:c16="http://schemas.microsoft.com/office/drawing/2014/chart" uri="{C3380CC4-5D6E-409C-BE32-E72D297353CC}">
                <c16:uniqueId val="{0000000D-B8D0-4DC0-A214-B2F07190FF62}"/>
              </c:ext>
            </c:extLst>
          </c:dPt>
          <c:dPt>
            <c:idx val="11"/>
            <c:invertIfNegative val="0"/>
            <c:bubble3D val="0"/>
            <c:spPr>
              <a:solidFill>
                <a:srgbClr val="00B050"/>
              </a:solidFill>
              <a:ln>
                <a:noFill/>
              </a:ln>
              <a:effectLst/>
            </c:spPr>
            <c:extLst>
              <c:ext xmlns:c16="http://schemas.microsoft.com/office/drawing/2014/chart" uri="{C3380CC4-5D6E-409C-BE32-E72D297353CC}">
                <c16:uniqueId val="{0000000F-B8D0-4DC0-A214-B2F07190FF62}"/>
              </c:ext>
            </c:extLst>
          </c:dPt>
          <c:dPt>
            <c:idx val="12"/>
            <c:invertIfNegative val="0"/>
            <c:bubble3D val="0"/>
            <c:spPr>
              <a:solidFill>
                <a:srgbClr val="00B050"/>
              </a:solidFill>
              <a:ln>
                <a:noFill/>
              </a:ln>
              <a:effectLst/>
            </c:spPr>
            <c:extLst>
              <c:ext xmlns:c16="http://schemas.microsoft.com/office/drawing/2014/chart" uri="{C3380CC4-5D6E-409C-BE32-E72D297353CC}">
                <c16:uniqueId val="{00000011-B8D0-4DC0-A214-B2F07190FF62}"/>
              </c:ext>
            </c:extLst>
          </c:dPt>
          <c:dPt>
            <c:idx val="13"/>
            <c:invertIfNegative val="0"/>
            <c:bubble3D val="0"/>
            <c:spPr>
              <a:solidFill>
                <a:srgbClr val="532476"/>
              </a:solidFill>
              <a:ln>
                <a:noFill/>
              </a:ln>
              <a:effectLst/>
            </c:spPr>
            <c:extLst>
              <c:ext xmlns:c16="http://schemas.microsoft.com/office/drawing/2014/chart" uri="{C3380CC4-5D6E-409C-BE32-E72D297353CC}">
                <c16:uniqueId val="{00000013-B8D0-4DC0-A214-B2F07190FF62}"/>
              </c:ext>
            </c:extLst>
          </c:dPt>
          <c:dPt>
            <c:idx val="14"/>
            <c:invertIfNegative val="0"/>
            <c:bubble3D val="0"/>
            <c:spPr>
              <a:solidFill>
                <a:srgbClr val="7030A0"/>
              </a:solidFill>
              <a:ln>
                <a:noFill/>
              </a:ln>
              <a:effectLst/>
            </c:spPr>
            <c:extLst>
              <c:ext xmlns:c16="http://schemas.microsoft.com/office/drawing/2014/chart" uri="{C3380CC4-5D6E-409C-BE32-E72D297353CC}">
                <c16:uniqueId val="{00000015-B8D0-4DC0-A214-B2F07190FF62}"/>
              </c:ext>
            </c:extLst>
          </c:dPt>
          <c:dPt>
            <c:idx val="15"/>
            <c:invertIfNegative val="0"/>
            <c:bubble3D val="0"/>
            <c:spPr>
              <a:solidFill>
                <a:srgbClr val="7030A0"/>
              </a:solidFill>
              <a:ln>
                <a:noFill/>
              </a:ln>
              <a:effectLst/>
            </c:spPr>
            <c:extLst>
              <c:ext xmlns:c16="http://schemas.microsoft.com/office/drawing/2014/chart" uri="{C3380CC4-5D6E-409C-BE32-E72D297353CC}">
                <c16:uniqueId val="{00000017-B8D0-4DC0-A214-B2F07190FF62}"/>
              </c:ext>
            </c:extLst>
          </c:dPt>
          <c:dPt>
            <c:idx val="16"/>
            <c:invertIfNegative val="0"/>
            <c:bubble3D val="0"/>
            <c:spPr>
              <a:solidFill>
                <a:srgbClr val="7030A0"/>
              </a:solidFill>
              <a:ln>
                <a:noFill/>
              </a:ln>
              <a:effectLst/>
            </c:spPr>
            <c:extLst>
              <c:ext xmlns:c16="http://schemas.microsoft.com/office/drawing/2014/chart" uri="{C3380CC4-5D6E-409C-BE32-E72D297353CC}">
                <c16:uniqueId val="{00000019-B8D0-4DC0-A214-B2F07190FF62}"/>
              </c:ext>
            </c:extLst>
          </c:dPt>
          <c:dPt>
            <c:idx val="17"/>
            <c:invertIfNegative val="0"/>
            <c:bubble3D val="0"/>
            <c:spPr>
              <a:solidFill>
                <a:srgbClr val="7030A0"/>
              </a:solidFill>
              <a:ln>
                <a:noFill/>
              </a:ln>
              <a:effectLst/>
            </c:spPr>
            <c:extLst>
              <c:ext xmlns:c16="http://schemas.microsoft.com/office/drawing/2014/chart" uri="{C3380CC4-5D6E-409C-BE32-E72D297353CC}">
                <c16:uniqueId val="{0000001B-B8D0-4DC0-A214-B2F07190FF62}"/>
              </c:ext>
            </c:extLst>
          </c:dPt>
          <c:dPt>
            <c:idx val="18"/>
            <c:invertIfNegative val="0"/>
            <c:bubble3D val="0"/>
            <c:spPr>
              <a:solidFill>
                <a:srgbClr val="A80000"/>
              </a:solidFill>
              <a:ln>
                <a:noFill/>
              </a:ln>
              <a:effectLst/>
            </c:spPr>
            <c:extLst>
              <c:ext xmlns:c16="http://schemas.microsoft.com/office/drawing/2014/chart" uri="{C3380CC4-5D6E-409C-BE32-E72D297353CC}">
                <c16:uniqueId val="{0000001D-B8D0-4DC0-A214-B2F07190FF62}"/>
              </c:ext>
            </c:extLst>
          </c:dPt>
          <c:dPt>
            <c:idx val="19"/>
            <c:invertIfNegative val="0"/>
            <c:bubble3D val="0"/>
            <c:spPr>
              <a:solidFill>
                <a:srgbClr val="C00000"/>
              </a:solidFill>
              <a:ln>
                <a:noFill/>
              </a:ln>
              <a:effectLst/>
            </c:spPr>
            <c:extLst>
              <c:ext xmlns:c16="http://schemas.microsoft.com/office/drawing/2014/chart" uri="{C3380CC4-5D6E-409C-BE32-E72D297353CC}">
                <c16:uniqueId val="{0000001F-B8D0-4DC0-A214-B2F07190FF62}"/>
              </c:ext>
            </c:extLst>
          </c:dPt>
          <c:dPt>
            <c:idx val="20"/>
            <c:invertIfNegative val="0"/>
            <c:bubble3D val="0"/>
            <c:spPr>
              <a:solidFill>
                <a:srgbClr val="C00000"/>
              </a:solidFill>
              <a:ln>
                <a:noFill/>
              </a:ln>
              <a:effectLst/>
            </c:spPr>
            <c:extLst>
              <c:ext xmlns:c16="http://schemas.microsoft.com/office/drawing/2014/chart" uri="{C3380CC4-5D6E-409C-BE32-E72D297353CC}">
                <c16:uniqueId val="{00000021-B8D0-4DC0-A214-B2F07190FF62}"/>
              </c:ext>
            </c:extLst>
          </c:dPt>
          <c:dPt>
            <c:idx val="21"/>
            <c:invertIfNegative val="0"/>
            <c:bubble3D val="0"/>
            <c:spPr>
              <a:solidFill>
                <a:srgbClr val="C00000"/>
              </a:solidFill>
              <a:ln>
                <a:noFill/>
              </a:ln>
              <a:effectLst/>
            </c:spPr>
            <c:extLst>
              <c:ext xmlns:c16="http://schemas.microsoft.com/office/drawing/2014/chart" uri="{C3380CC4-5D6E-409C-BE32-E72D297353CC}">
                <c16:uniqueId val="{00000023-B8D0-4DC0-A214-B2F07190FF62}"/>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B8D0-4DC0-A214-B2F07190FF62}"/>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B8D0-4DC0-A214-B2F07190FF62}"/>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B8D0-4DC0-A214-B2F07190FF62}"/>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B8D0-4DC0-A214-B2F07190FF62}"/>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B8D0-4DC0-A214-B2F07190FF62}"/>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SG 1</c:v>
                </c:pt>
                <c:pt idx="1">
                  <c:v>WP 1A</c:v>
                </c:pt>
                <c:pt idx="2">
                  <c:v>WP 1B</c:v>
                </c:pt>
                <c:pt idx="3">
                  <c:v>WP 1C</c:v>
                </c:pt>
                <c:pt idx="4">
                  <c:v>SG 3</c:v>
                </c:pt>
                <c:pt idx="5">
                  <c:v>WP 3J</c:v>
                </c:pt>
                <c:pt idx="6">
                  <c:v>WP 3K</c:v>
                </c:pt>
                <c:pt idx="7">
                  <c:v>WP 3L</c:v>
                </c:pt>
                <c:pt idx="8">
                  <c:v>WP 3M</c:v>
                </c:pt>
                <c:pt idx="9">
                  <c:v>SG 4</c:v>
                </c:pt>
                <c:pt idx="10">
                  <c:v>WP 4A</c:v>
                </c:pt>
                <c:pt idx="11">
                  <c:v>WP 4B</c:v>
                </c:pt>
                <c:pt idx="12">
                  <c:v>WP 4C</c:v>
                </c:pt>
                <c:pt idx="13">
                  <c:v>SG 5</c:v>
                </c:pt>
                <c:pt idx="14">
                  <c:v>WP 5A</c:v>
                </c:pt>
                <c:pt idx="15">
                  <c:v>WP 5B</c:v>
                </c:pt>
                <c:pt idx="16">
                  <c:v>WP 5C</c:v>
                </c:pt>
                <c:pt idx="17">
                  <c:v>WP 5D</c:v>
                </c:pt>
                <c:pt idx="18">
                  <c:v>SG 6</c:v>
                </c:pt>
                <c:pt idx="19">
                  <c:v>WP 6A</c:v>
                </c:pt>
                <c:pt idx="20">
                  <c:v>WP 6B</c:v>
                </c:pt>
                <c:pt idx="21">
                  <c:v>WP 6C</c:v>
                </c:pt>
                <c:pt idx="22">
                  <c:v>SG 7</c:v>
                </c:pt>
                <c:pt idx="23">
                  <c:v>WP 7A</c:v>
                </c:pt>
                <c:pt idx="24">
                  <c:v>WP 7B</c:v>
                </c:pt>
                <c:pt idx="25">
                  <c:v>WP 7C</c:v>
                </c:pt>
                <c:pt idx="26">
                  <c:v>WP 7D</c:v>
                </c:pt>
              </c:strCache>
            </c:strRef>
          </c:cat>
          <c:val>
            <c:numRef>
              <c:f>Sheet1!$B$2:$B$28</c:f>
              <c:numCache>
                <c:formatCode>General</c:formatCode>
                <c:ptCount val="27"/>
                <c:pt idx="0">
                  <c:v>141</c:v>
                </c:pt>
                <c:pt idx="1">
                  <c:v>110</c:v>
                </c:pt>
                <c:pt idx="2">
                  <c:v>93</c:v>
                </c:pt>
                <c:pt idx="3">
                  <c:v>109</c:v>
                </c:pt>
                <c:pt idx="4">
                  <c:v>51</c:v>
                </c:pt>
                <c:pt idx="5">
                  <c:v>57</c:v>
                </c:pt>
                <c:pt idx="6">
                  <c:v>53</c:v>
                </c:pt>
                <c:pt idx="7">
                  <c:v>43</c:v>
                </c:pt>
                <c:pt idx="8">
                  <c:v>54</c:v>
                </c:pt>
                <c:pt idx="9">
                  <c:v>208</c:v>
                </c:pt>
                <c:pt idx="10">
                  <c:v>443</c:v>
                </c:pt>
                <c:pt idx="11">
                  <c:v>206</c:v>
                </c:pt>
                <c:pt idx="12">
                  <c:v>347</c:v>
                </c:pt>
                <c:pt idx="13">
                  <c:v>150</c:v>
                </c:pt>
                <c:pt idx="14">
                  <c:v>179</c:v>
                </c:pt>
                <c:pt idx="15">
                  <c:v>183</c:v>
                </c:pt>
                <c:pt idx="16">
                  <c:v>142</c:v>
                </c:pt>
                <c:pt idx="17">
                  <c:v>307</c:v>
                </c:pt>
                <c:pt idx="18">
                  <c:v>117</c:v>
                </c:pt>
                <c:pt idx="19">
                  <c:v>92</c:v>
                </c:pt>
                <c:pt idx="20">
                  <c:v>67</c:v>
                </c:pt>
                <c:pt idx="21">
                  <c:v>78</c:v>
                </c:pt>
                <c:pt idx="22">
                  <c:v>136</c:v>
                </c:pt>
                <c:pt idx="23">
                  <c:v>108</c:v>
                </c:pt>
                <c:pt idx="24">
                  <c:v>106</c:v>
                </c:pt>
                <c:pt idx="25">
                  <c:v>105</c:v>
                </c:pt>
                <c:pt idx="26">
                  <c:v>85</c:v>
                </c:pt>
              </c:numCache>
            </c:numRef>
          </c:val>
          <c:extLst>
            <c:ext xmlns:c16="http://schemas.microsoft.com/office/drawing/2014/chart" uri="{C3380CC4-5D6E-409C-BE32-E72D297353CC}">
              <c16:uniqueId val="{0000002E-B8D0-4DC0-A214-B2F07190FF62}"/>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Group</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s-E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Number of physical participants</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TotalTime>
  <Pages>10</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MEJORA DE LA ESTRUCTURA DE LAS COMISIONES DE ESTUDIO DE RADIOCOMUNICACIONES</vt:lpstr>
    </vt:vector>
  </TitlesOfParts>
  <Manager>General Secretariat - Pool</Manager>
  <Company>International Telecommunication Union (ITU)</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Arabia Saudita (Reino de), Bahrein (Reino de), Djibouti (República de), Egipto (República Árabe de), Jordania (Reino Hachemita de), Kuwait (Estado de) Marruecos (Reino de), Túnez, Emiratos Árabes Unidos</dc:creator>
  <cp:keywords/>
  <dc:description/>
  <cp:lastModifiedBy>Xue, Kun</cp:lastModifiedBy>
  <cp:revision>2</cp:revision>
  <cp:lastPrinted>1993-02-18T11:12:00Z</cp:lastPrinted>
  <dcterms:created xsi:type="dcterms:W3CDTF">2026-03-18T15:48:00Z</dcterms:created>
  <dcterms:modified xsi:type="dcterms:W3CDTF">2026-03-18T15:48:00Z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RAG/77-S</vt:lpwstr>
  </property>
  <property fmtid="{D5CDD505-2E9C-101B-9397-08002B2CF9AE}" pid="3" name="Docdate">
    <vt:lpwstr>16 de marzo de 2026</vt:lpwstr>
  </property>
  <property fmtid="{D5CDD505-2E9C-101B-9397-08002B2CF9AE}" pid="4" name="Docorlang">
    <vt:lpwstr>Original: inglés</vt:lpwstr>
  </property>
  <property fmtid="{D5CDD505-2E9C-101B-9397-08002B2CF9AE}" pid="5" name="Docauthor">
    <vt:lpwstr>Arabia Saudita (Reino de), Bahrein (Reino de), Djibouti (República de), Egipto (República Árabe de), Jordania (Reino Hachemita de), Kuwait (Estado de) Marruecos (Reino de), Túnez, Emiratos Árabes Unidos</vt:lpwstr>
  </property>
</Properties>
</file>