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05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20275A" w:rsidRPr="00356CD9" w14:paraId="7FFCDFA2" w14:textId="77777777" w:rsidTr="0020275A">
        <w:trPr>
          <w:cantSplit/>
        </w:trPr>
        <w:tc>
          <w:tcPr>
            <w:tcW w:w="6771" w:type="dxa"/>
            <w:vAlign w:val="center"/>
          </w:tcPr>
          <w:p w14:paraId="4C7E69AF" w14:textId="77777777" w:rsidR="0020275A" w:rsidRPr="00356CD9" w:rsidRDefault="0020275A" w:rsidP="00032498">
            <w:pPr>
              <w:shd w:val="solid" w:color="FFFFFF" w:fill="FFFFFF"/>
              <w:tabs>
                <w:tab w:val="clear" w:pos="113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bookmarkStart w:id="0" w:name="_Hlk224920198"/>
            <w:bookmarkEnd w:id="0"/>
            <w:r w:rsidRPr="00356CD9">
              <w:rPr>
                <w:rFonts w:ascii="Verdana" w:hAnsi="Verdana" w:cs="Times New Roman Bold"/>
                <w:b/>
                <w:sz w:val="24"/>
                <w:szCs w:val="24"/>
              </w:rPr>
              <w:t>Консультативная группа по радиосвязи</w:t>
            </w:r>
            <w:r w:rsidRPr="00356CD9"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</w:p>
        </w:tc>
        <w:tc>
          <w:tcPr>
            <w:tcW w:w="3118" w:type="dxa"/>
            <w:vAlign w:val="center"/>
          </w:tcPr>
          <w:p w14:paraId="28A93FAF" w14:textId="77777777" w:rsidR="0020275A" w:rsidRPr="00356CD9" w:rsidRDefault="00B239A0" w:rsidP="00083244">
            <w:pPr>
              <w:shd w:val="solid" w:color="FFFFFF" w:fill="FFFFFF"/>
              <w:spacing w:before="0"/>
              <w:jc w:val="right"/>
            </w:pPr>
            <w:r w:rsidRPr="00356CD9">
              <w:rPr>
                <w:noProof/>
                <w:lang w:eastAsia="zh-CN"/>
              </w:rPr>
              <w:drawing>
                <wp:inline distT="0" distB="0" distL="0" distR="0" wp14:anchorId="4C2CA8F1" wp14:editId="685A0C0D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356CD9" w14:paraId="1D655DC6" w14:textId="77777777" w:rsidTr="00675D35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231C397F" w14:textId="77777777" w:rsidR="0051782D" w:rsidRPr="00356CD9" w:rsidRDefault="0051782D" w:rsidP="00675D3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0CD6897E" w14:textId="77777777" w:rsidR="0051782D" w:rsidRPr="00356CD9" w:rsidRDefault="0051782D" w:rsidP="00675D35">
            <w:pPr>
              <w:shd w:val="solid" w:color="FFFFFF" w:fill="FFFFFF"/>
              <w:spacing w:before="0" w:after="48"/>
              <w:rPr>
                <w:szCs w:val="22"/>
              </w:rPr>
            </w:pPr>
          </w:p>
        </w:tc>
      </w:tr>
      <w:tr w:rsidR="0051782D" w:rsidRPr="00356CD9" w14:paraId="156CB862" w14:textId="77777777" w:rsidTr="000365C9">
        <w:trPr>
          <w:cantSplit/>
          <w:trHeight w:val="98"/>
        </w:trPr>
        <w:tc>
          <w:tcPr>
            <w:tcW w:w="6771" w:type="dxa"/>
            <w:tcBorders>
              <w:top w:val="single" w:sz="12" w:space="0" w:color="auto"/>
            </w:tcBorders>
          </w:tcPr>
          <w:p w14:paraId="54CB34D8" w14:textId="77777777" w:rsidR="0051782D" w:rsidRPr="00356CD9" w:rsidRDefault="0051782D" w:rsidP="000365C9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12B719FD" w14:textId="77777777" w:rsidR="0051782D" w:rsidRPr="00356CD9" w:rsidRDefault="0051782D" w:rsidP="000365C9">
            <w:pPr>
              <w:shd w:val="solid" w:color="FFFFFF" w:fill="FFFFFF"/>
              <w:spacing w:before="0" w:after="48"/>
            </w:pPr>
          </w:p>
        </w:tc>
      </w:tr>
      <w:tr w:rsidR="0051782D" w:rsidRPr="00356CD9" w14:paraId="601C1FC1" w14:textId="77777777" w:rsidTr="00675D35">
        <w:trPr>
          <w:cantSplit/>
        </w:trPr>
        <w:tc>
          <w:tcPr>
            <w:tcW w:w="6771" w:type="dxa"/>
            <w:vMerge w:val="restart"/>
          </w:tcPr>
          <w:p w14:paraId="06EA474B" w14:textId="77777777" w:rsidR="0051782D" w:rsidRPr="00356CD9" w:rsidRDefault="0051782D" w:rsidP="00675D35">
            <w:pPr>
              <w:shd w:val="solid" w:color="FFFFFF" w:fill="FFFFFF"/>
              <w:spacing w:after="240"/>
              <w:rPr>
                <w:sz w:val="20"/>
              </w:rPr>
            </w:pPr>
            <w:bookmarkStart w:id="1" w:name="dnum" w:colFirst="1" w:colLast="1"/>
          </w:p>
        </w:tc>
        <w:tc>
          <w:tcPr>
            <w:tcW w:w="3118" w:type="dxa"/>
          </w:tcPr>
          <w:p w14:paraId="64BDCADB" w14:textId="3978EB0D" w:rsidR="0051782D" w:rsidRPr="00356CD9" w:rsidRDefault="006262A3" w:rsidP="000324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356CD9">
              <w:rPr>
                <w:rFonts w:ascii="Verdana" w:hAnsi="Verdana"/>
                <w:b/>
                <w:sz w:val="18"/>
                <w:szCs w:val="18"/>
              </w:rPr>
              <w:t>Документ</w:t>
            </w:r>
            <w:r w:rsidR="00BD7223" w:rsidRPr="00356CD9">
              <w:rPr>
                <w:rFonts w:ascii="Verdana" w:hAnsi="Verdana"/>
                <w:b/>
                <w:sz w:val="18"/>
                <w:szCs w:val="18"/>
              </w:rPr>
              <w:t xml:space="preserve"> RAG/</w:t>
            </w:r>
            <w:r w:rsidR="005A5B56" w:rsidRPr="00356CD9">
              <w:rPr>
                <w:rFonts w:ascii="Verdana" w:hAnsi="Verdana"/>
                <w:b/>
                <w:sz w:val="18"/>
                <w:szCs w:val="18"/>
              </w:rPr>
              <w:t>77</w:t>
            </w:r>
            <w:r w:rsidR="00BD7223" w:rsidRPr="00356CD9">
              <w:rPr>
                <w:rFonts w:ascii="Verdana" w:hAnsi="Verdana"/>
                <w:b/>
                <w:sz w:val="18"/>
                <w:szCs w:val="18"/>
              </w:rPr>
              <w:t>-</w:t>
            </w:r>
            <w:r w:rsidR="008E282B" w:rsidRPr="00356CD9">
              <w:rPr>
                <w:rFonts w:ascii="Verdana" w:hAnsi="Verdana"/>
                <w:b/>
                <w:sz w:val="18"/>
                <w:szCs w:val="18"/>
              </w:rPr>
              <w:t>R</w:t>
            </w:r>
          </w:p>
        </w:tc>
      </w:tr>
      <w:tr w:rsidR="0051782D" w:rsidRPr="00356CD9" w14:paraId="1C4BF046" w14:textId="77777777" w:rsidTr="00675D35">
        <w:trPr>
          <w:cantSplit/>
        </w:trPr>
        <w:tc>
          <w:tcPr>
            <w:tcW w:w="6771" w:type="dxa"/>
            <w:vMerge/>
          </w:tcPr>
          <w:p w14:paraId="31FB140B" w14:textId="77777777" w:rsidR="0051782D" w:rsidRPr="00356CD9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date" w:colFirst="1" w:colLast="1"/>
            <w:bookmarkEnd w:id="1"/>
          </w:p>
        </w:tc>
        <w:tc>
          <w:tcPr>
            <w:tcW w:w="3118" w:type="dxa"/>
          </w:tcPr>
          <w:p w14:paraId="083CB72D" w14:textId="6C202C2C" w:rsidR="0051782D" w:rsidRPr="00356CD9" w:rsidRDefault="005A5B56" w:rsidP="000324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356CD9">
              <w:rPr>
                <w:rFonts w:ascii="Verdana" w:hAnsi="Verdana"/>
                <w:b/>
                <w:sz w:val="18"/>
                <w:szCs w:val="18"/>
              </w:rPr>
              <w:t xml:space="preserve">16 марта </w:t>
            </w:r>
            <w:r w:rsidR="001B00F1" w:rsidRPr="00356CD9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032498" w:rsidRPr="00356CD9">
              <w:rPr>
                <w:rFonts w:ascii="Verdana" w:hAnsi="Verdana"/>
                <w:b/>
                <w:sz w:val="18"/>
                <w:szCs w:val="18"/>
              </w:rPr>
              <w:t>2</w:t>
            </w:r>
            <w:r w:rsidRPr="00356CD9">
              <w:rPr>
                <w:rFonts w:ascii="Verdana" w:hAnsi="Verdana"/>
                <w:b/>
                <w:sz w:val="18"/>
                <w:szCs w:val="18"/>
              </w:rPr>
              <w:t>6</w:t>
            </w:r>
            <w:r w:rsidR="006262A3" w:rsidRPr="00356CD9">
              <w:rPr>
                <w:rFonts w:ascii="Verdana" w:hAnsi="Verdana"/>
                <w:b/>
                <w:sz w:val="18"/>
                <w:szCs w:val="18"/>
              </w:rPr>
              <w:t xml:space="preserve"> года</w:t>
            </w:r>
          </w:p>
        </w:tc>
      </w:tr>
      <w:tr w:rsidR="0051782D" w:rsidRPr="00356CD9" w14:paraId="624D1D0C" w14:textId="77777777" w:rsidTr="00675D35">
        <w:trPr>
          <w:cantSplit/>
        </w:trPr>
        <w:tc>
          <w:tcPr>
            <w:tcW w:w="6771" w:type="dxa"/>
            <w:vMerge/>
          </w:tcPr>
          <w:p w14:paraId="284D6661" w14:textId="77777777" w:rsidR="0051782D" w:rsidRPr="00356CD9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3" w:name="dorlang" w:colFirst="1" w:colLast="1"/>
            <w:bookmarkEnd w:id="2"/>
          </w:p>
        </w:tc>
        <w:tc>
          <w:tcPr>
            <w:tcW w:w="3118" w:type="dxa"/>
          </w:tcPr>
          <w:p w14:paraId="3C5D4C83" w14:textId="52A10CB1" w:rsidR="0051782D" w:rsidRPr="00356CD9" w:rsidRDefault="006262A3" w:rsidP="00FB6D5F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356CD9">
              <w:rPr>
                <w:rFonts w:ascii="Verdana" w:hAnsi="Verdana"/>
                <w:b/>
                <w:sz w:val="18"/>
                <w:szCs w:val="18"/>
              </w:rPr>
              <w:t xml:space="preserve">Оригинал: </w:t>
            </w:r>
            <w:r w:rsidR="005A5B56" w:rsidRPr="00356CD9">
              <w:rPr>
                <w:rFonts w:ascii="Verdana" w:hAnsi="Verdana"/>
                <w:b/>
                <w:sz w:val="18"/>
                <w:szCs w:val="18"/>
              </w:rPr>
              <w:t>английский</w:t>
            </w:r>
          </w:p>
        </w:tc>
      </w:tr>
      <w:tr w:rsidR="00093C73" w:rsidRPr="00356CD9" w14:paraId="5E5B2E0A" w14:textId="77777777" w:rsidTr="00675D35">
        <w:trPr>
          <w:cantSplit/>
        </w:trPr>
        <w:tc>
          <w:tcPr>
            <w:tcW w:w="9889" w:type="dxa"/>
            <w:gridSpan w:val="2"/>
          </w:tcPr>
          <w:p w14:paraId="43603EEF" w14:textId="43BFAB62" w:rsidR="00093C73" w:rsidRPr="00356CD9" w:rsidRDefault="005A5B56" w:rsidP="00A957E8">
            <w:pPr>
              <w:pStyle w:val="Source"/>
            </w:pPr>
            <w:bookmarkStart w:id="4" w:name="dsource" w:colFirst="0" w:colLast="0"/>
            <w:bookmarkEnd w:id="3"/>
            <w:r w:rsidRPr="00356CD9">
              <w:t>Саудовская Аравия</w:t>
            </w:r>
            <w:r w:rsidR="003B3445">
              <w:t xml:space="preserve"> (</w:t>
            </w:r>
            <w:r w:rsidR="003B3445" w:rsidRPr="00356CD9">
              <w:t>Королевство</w:t>
            </w:r>
            <w:r w:rsidR="003B3445">
              <w:t>)</w:t>
            </w:r>
            <w:r w:rsidRPr="00356CD9">
              <w:t>, Бахрейн</w:t>
            </w:r>
            <w:r w:rsidR="003B3445">
              <w:t xml:space="preserve"> (</w:t>
            </w:r>
            <w:r w:rsidR="003B3445" w:rsidRPr="00356CD9">
              <w:t>Королевство</w:t>
            </w:r>
            <w:r w:rsidR="003B3445">
              <w:t>)</w:t>
            </w:r>
            <w:r w:rsidRPr="00356CD9">
              <w:t>, Джибути</w:t>
            </w:r>
            <w:r w:rsidR="003B3445">
              <w:t xml:space="preserve"> (</w:t>
            </w:r>
            <w:r w:rsidR="003B3445" w:rsidRPr="00356CD9">
              <w:t>Республика</w:t>
            </w:r>
            <w:r w:rsidR="003B3445">
              <w:t>)</w:t>
            </w:r>
            <w:r w:rsidRPr="00356CD9">
              <w:t>, Египет</w:t>
            </w:r>
            <w:r w:rsidR="003B3445">
              <w:t xml:space="preserve"> (</w:t>
            </w:r>
            <w:r w:rsidR="003B3445" w:rsidRPr="00356CD9">
              <w:t>Арабская Республика</w:t>
            </w:r>
            <w:r w:rsidR="003B3445">
              <w:t>)</w:t>
            </w:r>
            <w:r w:rsidRPr="00356CD9">
              <w:t>, Иорданское Хашимитское Королевство, Кувейт</w:t>
            </w:r>
            <w:r w:rsidR="003B3445">
              <w:t xml:space="preserve"> (</w:t>
            </w:r>
            <w:r w:rsidR="003B3445" w:rsidRPr="00356CD9">
              <w:t>Государство</w:t>
            </w:r>
            <w:r w:rsidR="003B3445">
              <w:t>)</w:t>
            </w:r>
            <w:r w:rsidRPr="00356CD9">
              <w:t>, Марокко</w:t>
            </w:r>
            <w:r w:rsidR="003B3445">
              <w:t xml:space="preserve"> (</w:t>
            </w:r>
            <w:r w:rsidR="003B3445" w:rsidRPr="00356CD9">
              <w:t>Королевство</w:t>
            </w:r>
            <w:r w:rsidR="003B3445">
              <w:t>)</w:t>
            </w:r>
            <w:r w:rsidRPr="00356CD9">
              <w:t xml:space="preserve">, Тунис, </w:t>
            </w:r>
            <w:r w:rsidR="00150662" w:rsidRPr="00356CD9">
              <w:br/>
            </w:r>
            <w:r w:rsidRPr="00356CD9">
              <w:t>Объединенные Арабские Эмираты</w:t>
            </w:r>
          </w:p>
        </w:tc>
      </w:tr>
      <w:tr w:rsidR="00093C73" w:rsidRPr="00356CD9" w14:paraId="4B90CA2D" w14:textId="77777777" w:rsidTr="00675D35">
        <w:trPr>
          <w:cantSplit/>
        </w:trPr>
        <w:tc>
          <w:tcPr>
            <w:tcW w:w="9889" w:type="dxa"/>
            <w:gridSpan w:val="2"/>
          </w:tcPr>
          <w:p w14:paraId="6B021FF4" w14:textId="4A6495C4" w:rsidR="00093C73" w:rsidRPr="00356CD9" w:rsidRDefault="005A5B56" w:rsidP="00A957E8">
            <w:pPr>
              <w:pStyle w:val="Title1"/>
            </w:pPr>
            <w:bookmarkStart w:id="5" w:name="dtitle1" w:colFirst="0" w:colLast="0"/>
            <w:bookmarkEnd w:id="4"/>
            <w:r w:rsidRPr="00356CD9">
              <w:t xml:space="preserve">СОВЕРШЕНСТВОВАНИЕ СТРУКТУРЫ ИССЛЕДОВАТЕЛЬСКИХ </w:t>
            </w:r>
            <w:r w:rsidR="00A957E8" w:rsidRPr="00356CD9">
              <w:br/>
            </w:r>
            <w:r w:rsidRPr="00356CD9">
              <w:t>КОМИССИЙ ПО РАДИОСВЯЗИ</w:t>
            </w:r>
          </w:p>
        </w:tc>
      </w:tr>
      <w:tr w:rsidR="00A957E8" w:rsidRPr="00356CD9" w14:paraId="6804CBE9" w14:textId="77777777" w:rsidTr="00675D35">
        <w:trPr>
          <w:cantSplit/>
        </w:trPr>
        <w:tc>
          <w:tcPr>
            <w:tcW w:w="9889" w:type="dxa"/>
            <w:gridSpan w:val="2"/>
          </w:tcPr>
          <w:p w14:paraId="12DDF4CB" w14:textId="77777777" w:rsidR="00A957E8" w:rsidRPr="00356CD9" w:rsidRDefault="00A957E8" w:rsidP="00A957E8">
            <w:pPr>
              <w:pStyle w:val="Title2"/>
            </w:pPr>
          </w:p>
        </w:tc>
      </w:tr>
    </w:tbl>
    <w:bookmarkEnd w:id="5"/>
    <w:p w14:paraId="79E4C978" w14:textId="27DF62E1" w:rsidR="005A5B56" w:rsidRPr="00356CD9" w:rsidRDefault="005A5B56" w:rsidP="00A957E8">
      <w:pPr>
        <w:pStyle w:val="Heading1"/>
      </w:pPr>
      <w:r w:rsidRPr="00356CD9">
        <w:t>1</w:t>
      </w:r>
      <w:r w:rsidR="003B3445">
        <w:tab/>
      </w:r>
      <w:r w:rsidRPr="00356CD9">
        <w:t>Введение</w:t>
      </w:r>
    </w:p>
    <w:p w14:paraId="5911EB71" w14:textId="3A7B02AA" w:rsidR="005A5B56" w:rsidRPr="00356CD9" w:rsidRDefault="005A5B56" w:rsidP="00A957E8">
      <w:r w:rsidRPr="00356CD9">
        <w:t>На своем 32-м собрании Консультативная группа по радиосвязи (КГР) предложила исследовательским комиссиям МСЭ-R указать на проблемы, дублирование и возможности для улучшения в рамках их текущей сферы деятельности (см. Краткий обзор выводов, Документ</w:t>
      </w:r>
      <w:r w:rsidR="00356CD9">
        <w:t> </w:t>
      </w:r>
      <w:hyperlink r:id="rId8" w:history="1">
        <w:r w:rsidRPr="00356CD9">
          <w:rPr>
            <w:rStyle w:val="Hyperlink"/>
            <w:szCs w:val="22"/>
            <w:shd w:val="clear" w:color="auto" w:fill="FFFFFF"/>
          </w:rPr>
          <w:t>CA/277</w:t>
        </w:r>
      </w:hyperlink>
      <w:r w:rsidRPr="00356CD9">
        <w:t>). Эта просьба была представлена для обеспечения продолжения эффективного функционирования исследовательской основы МСЭ-R, поддержки подготовки результатов работы для АР</w:t>
      </w:r>
      <w:r w:rsidR="00356CD9">
        <w:noBreakHyphen/>
      </w:r>
      <w:r w:rsidRPr="00356CD9">
        <w:t>27 и ВКР</w:t>
      </w:r>
      <w:r w:rsidR="00356CD9">
        <w:noBreakHyphen/>
      </w:r>
      <w:r w:rsidRPr="00356CD9">
        <w:t>27, а</w:t>
      </w:r>
      <w:r w:rsidR="00356CD9">
        <w:t> </w:t>
      </w:r>
      <w:r w:rsidRPr="00356CD9">
        <w:t>также для оценки того, насколько существующая организационная структура по-прежнему подходит для удовлетворения изменяющихся условий в сфере радиосвязи.</w:t>
      </w:r>
      <w:hyperlink r:id="rId9" w:history="1"/>
    </w:p>
    <w:p w14:paraId="1F8228CB" w14:textId="61D4FE66" w:rsidR="005A5B56" w:rsidRPr="00356CD9" w:rsidRDefault="005A5B56" w:rsidP="00A957E8">
      <w:r w:rsidRPr="00356CD9">
        <w:t>В ответ на эту просьбу Бюро радиосвязи (БР) предложило исследовательским комиссиям представить отзывы о проблемах, встречающихся при проведении их исследований, а также указать потенциальные области, в которых улучшенная координация или пересмотр структуры и методов работы могли бы повысить эффективность. Замечания, полученные от исследовательских комиссий, кратко изложены в Приложении</w:t>
      </w:r>
      <w:r w:rsidR="00356CD9">
        <w:t> </w:t>
      </w:r>
      <w:r w:rsidRPr="00356CD9">
        <w:t>2 к Дополнительному документу</w:t>
      </w:r>
      <w:r w:rsidR="00356CD9">
        <w:t> </w:t>
      </w:r>
      <w:r w:rsidRPr="00356CD9">
        <w:t>1 к Отчету Директора БР 33</w:t>
      </w:r>
      <w:r w:rsidR="00356CD9">
        <w:noBreakHyphen/>
      </w:r>
      <w:r w:rsidRPr="00356CD9">
        <w:t>му</w:t>
      </w:r>
      <w:r w:rsidR="00356CD9">
        <w:t> </w:t>
      </w:r>
      <w:r w:rsidRPr="00356CD9">
        <w:t>собранию КГР (см. Документ</w:t>
      </w:r>
      <w:r w:rsidR="00356CD9">
        <w:t> </w:t>
      </w:r>
      <w:hyperlink r:id="rId10" w:history="1">
        <w:r w:rsidRPr="00356CD9">
          <w:rPr>
            <w:rStyle w:val="Hyperlink"/>
            <w:szCs w:val="22"/>
            <w:lang w:eastAsia="zh-CN"/>
          </w:rPr>
          <w:t>RAG/58</w:t>
        </w:r>
      </w:hyperlink>
      <w:r w:rsidRPr="00356CD9">
        <w:t>), в котором собраны вклады, представленные различными исследовательскими комиссиями по проблемам, дублированию и возможностям для улучшения в рамках текущей сферы деятельности.</w:t>
      </w:r>
      <w:hyperlink r:id="rId11" w:history="1"/>
    </w:p>
    <w:p w14:paraId="5F63A5F2" w14:textId="71C0904F" w:rsidR="005A5B56" w:rsidRPr="00356CD9" w:rsidRDefault="005A5B56" w:rsidP="00A957E8">
      <w:r w:rsidRPr="00356CD9">
        <w:t>Как указано в Приложении 2, несколько исследовательских комиссий рассматривали эти вопросы в</w:t>
      </w:r>
      <w:r w:rsidR="00150662" w:rsidRPr="00356CD9">
        <w:t> </w:t>
      </w:r>
      <w:r w:rsidRPr="00356CD9">
        <w:t>ходе своих собраний и в специальных вкладах. В частности, 4-я Исследовательская комиссия и 5</w:t>
      </w:r>
      <w:r w:rsidR="00150662" w:rsidRPr="00356CD9">
        <w:noBreakHyphen/>
      </w:r>
      <w:r w:rsidRPr="00356CD9">
        <w:t>я</w:t>
      </w:r>
      <w:r w:rsidR="00150662" w:rsidRPr="00356CD9">
        <w:t> </w:t>
      </w:r>
      <w:r w:rsidRPr="00356CD9">
        <w:t>Исследовательская комиссия рассмотрели соответствующие вклады групп стран, а именно Документ</w:t>
      </w:r>
      <w:r w:rsidR="00150662" w:rsidRPr="00356CD9">
        <w:t> </w:t>
      </w:r>
      <w:hyperlink r:id="rId12" w:history="1">
        <w:r w:rsidRPr="00356CD9">
          <w:rPr>
            <w:rStyle w:val="Hyperlink"/>
            <w:szCs w:val="22"/>
          </w:rPr>
          <w:t>4/47</w:t>
        </w:r>
      </w:hyperlink>
      <w:r w:rsidRPr="00356CD9">
        <w:t xml:space="preserve"> и Документ</w:t>
      </w:r>
      <w:r w:rsidR="00150662" w:rsidRPr="00356CD9">
        <w:t> </w:t>
      </w:r>
      <w:hyperlink r:id="rId13" w:history="1">
        <w:r w:rsidRPr="00356CD9">
          <w:rPr>
            <w:rStyle w:val="Hyperlink"/>
            <w:szCs w:val="22"/>
          </w:rPr>
          <w:t>5/96</w:t>
        </w:r>
      </w:hyperlink>
      <w:r w:rsidRPr="00356CD9">
        <w:t>, в которых рассматриваются проблемы, дублирование и потенциальные возможности для улучшения в рамках соответствующих сфер деятельности. В ходе этих обсуждений была подчеркнута возрастающая сложность исследований, связанных со спутниковыми и наземными службами, и растущая потребность в координации между различными техническими областями.</w:t>
      </w:r>
      <w:hyperlink r:id="rId14" w:history="1"/>
      <w:hyperlink r:id="rId15" w:history="1"/>
    </w:p>
    <w:p w14:paraId="0CE22995" w14:textId="387491F8" w:rsidR="005A5B56" w:rsidRPr="00356CD9" w:rsidRDefault="005A5B56" w:rsidP="00356CD9">
      <w:r w:rsidRPr="00356CD9">
        <w:t>3-я Исследовательская комиссия также рассмотрела вопросы, касающиеся текущей структуры исследовательских комиссий, отметила, что с 2007 года структура исследовательских комиссий не</w:t>
      </w:r>
      <w:r w:rsidR="00356CD9">
        <w:t> </w:t>
      </w:r>
      <w:r w:rsidRPr="00356CD9">
        <w:t xml:space="preserve">подвергалась существенному пересмотру, и указала, что по этой причине пересмотр может быть актуален, принимая во внимание меняющуюся технологическую среду. Кроме того, в ходе обсуждения было отмечено, что развивающиеся технологии радиосвязи все больше раздвигают границы традиционных </w:t>
      </w:r>
      <w:r w:rsidR="009D4AF1" w:rsidRPr="00356CD9">
        <w:t>служб</w:t>
      </w:r>
      <w:r w:rsidRPr="00356CD9">
        <w:t xml:space="preserve"> и требуют скоординированного подхода между исследовательскими </w:t>
      </w:r>
      <w:r w:rsidRPr="00356CD9">
        <w:lastRenderedPageBreak/>
        <w:t>комиссиями. 3-я Исследовательская комиссия далее подчеркнула, что ее Рекомендации по</w:t>
      </w:r>
      <w:r w:rsidR="00356CD9">
        <w:t> </w:t>
      </w:r>
      <w:r w:rsidRPr="00356CD9">
        <w:t>распространению радиоволн (серия P) служат важным вкладом в работу других исследовательских комиссий, что демонстрирует взаимозависимость исследований в рамках МСЭ</w:t>
      </w:r>
      <w:r w:rsidR="00356CD9">
        <w:noBreakHyphen/>
      </w:r>
      <w:r w:rsidRPr="00356CD9">
        <w:t>R.</w:t>
      </w:r>
    </w:p>
    <w:p w14:paraId="5B61E57C" w14:textId="31D45827" w:rsidR="005A5B56" w:rsidRPr="00356CD9" w:rsidRDefault="005A5B56" w:rsidP="00A957E8">
      <w:r w:rsidRPr="00356CD9">
        <w:t xml:space="preserve">В целом обратная связь, обобщенная в Приложении 2, показывает, что стремительное развитие технологий и </w:t>
      </w:r>
      <w:r w:rsidR="009D4AF1" w:rsidRPr="00356CD9">
        <w:t>служб</w:t>
      </w:r>
      <w:r w:rsidRPr="00356CD9">
        <w:t xml:space="preserve"> радиосвязи привело к расширению сферы охвата, сложности и взаимозависимости исследований МСЭ-R, особенно в таких областях, как спутниковая связь, системы наземной подвижной службы и возникающие сетевые архитектуры. Эти изменения все в</w:t>
      </w:r>
      <w:r w:rsidR="00356CD9">
        <w:t> </w:t>
      </w:r>
      <w:r w:rsidRPr="00356CD9">
        <w:t>большей степени охватывают множество областей радиосвязи и требуют более тесной координации между исследовательскими комиссиями с помощью таких механизмов, как заявления о</w:t>
      </w:r>
      <w:r w:rsidR="00356CD9">
        <w:t> </w:t>
      </w:r>
      <w:r w:rsidRPr="00356CD9">
        <w:t>взаимодействии и обмен результатами исследований. Это свидетельствует о сохраняющейся актуальности и активности деятельности МСЭ-R, но вместе с тем это также увеличивает объем работы отдельных исследовательских комиссий и их рабочих групп. Несмотря на эти изменения в</w:t>
      </w:r>
      <w:r w:rsidR="00356CD9">
        <w:t> </w:t>
      </w:r>
      <w:r w:rsidRPr="00356CD9">
        <w:t>характере и масштабах проводимой работы, общая структура исследовательских комиссий МСЭ</w:t>
      </w:r>
      <w:r w:rsidR="00CC0CDB" w:rsidRPr="00356CD9">
        <w:noBreakHyphen/>
      </w:r>
      <w:r w:rsidRPr="00356CD9">
        <w:t>R оставалась в целом неизменной на протяжении более пятнадцати лет, что соответствует приблизительно четырем циклам Ассамблей радиосвязи (АР), в связи с чем возникает вопрос о том, может ли быть полезен периодический структурный анализ для обеспечения поддержания согласованности исследовательской основы с текущей и будущей деятельностью в области радиосвязи.</w:t>
      </w:r>
    </w:p>
    <w:p w14:paraId="55ADB444" w14:textId="47174911" w:rsidR="005A5B56" w:rsidRPr="00356CD9" w:rsidRDefault="005A5B56" w:rsidP="00A957E8">
      <w:pPr>
        <w:pStyle w:val="Heading1"/>
      </w:pPr>
      <w:r w:rsidRPr="00356CD9">
        <w:t>2</w:t>
      </w:r>
      <w:r w:rsidR="003B3445">
        <w:tab/>
      </w:r>
      <w:r w:rsidRPr="00356CD9">
        <w:t>Обсужд</w:t>
      </w:r>
      <w:r w:rsidR="009D4AF1" w:rsidRPr="00356CD9">
        <w:t>аемый вопрос</w:t>
      </w:r>
    </w:p>
    <w:p w14:paraId="03E975F7" w14:textId="1129AF2D" w:rsidR="005A5B56" w:rsidRPr="00356CD9" w:rsidRDefault="005A5B56" w:rsidP="00A957E8">
      <w:r w:rsidRPr="00356CD9">
        <w:t xml:space="preserve">Согласно Резолюции МСЭ-R 4 действующая структура исследовательских комиссий претерпевала изменения на проходивших последовательно ассамблеях радиосвязи, с тем чтобы отражать развитие технологий, </w:t>
      </w:r>
      <w:r w:rsidR="009D4AF1" w:rsidRPr="00356CD9">
        <w:t>служб</w:t>
      </w:r>
      <w:r w:rsidRPr="00356CD9">
        <w:t xml:space="preserve"> и регламентарных требований в области радиосвязи. Ассамблея радиосвязи периодически пересматривает сферу деятельности и организацию исследовательских комиссий для обеспечения сохранения соответствия их структуры меняющимся потребностям Сектора радиосвязи, а также с тем чтобы она была способна эффективно поддерживать подготовку результатов работы для всемирных конференций радиосвязи (ВКР).</w:t>
      </w:r>
    </w:p>
    <w:p w14:paraId="2E5F2F5E" w14:textId="0A863F9B" w:rsidR="005A5B56" w:rsidRPr="00356CD9" w:rsidRDefault="005A5B56" w:rsidP="00A957E8">
      <w:r w:rsidRPr="00356CD9">
        <w:t xml:space="preserve">Как показано на </w:t>
      </w:r>
      <w:r w:rsidR="00150662" w:rsidRPr="00356CD9">
        <w:t>Р</w:t>
      </w:r>
      <w:r w:rsidRPr="00356CD9">
        <w:t>ис</w:t>
      </w:r>
      <w:r w:rsidR="009D4AF1" w:rsidRPr="00356CD9">
        <w:t>унке</w:t>
      </w:r>
      <w:r w:rsidRPr="00356CD9">
        <w:t xml:space="preserve"> 1, со временем был внесен ряд структурных изменений. Речь идет о следующих изменениях:</w:t>
      </w:r>
    </w:p>
    <w:p w14:paraId="14A8EA30" w14:textId="0DA6AFE6" w:rsidR="005A5B56" w:rsidRPr="00356CD9" w:rsidRDefault="00A957E8" w:rsidP="00A957E8">
      <w:pPr>
        <w:pStyle w:val="enumlev1"/>
      </w:pPr>
      <w:r w:rsidRPr="00356CD9">
        <w:t>−</w:t>
      </w:r>
      <w:r w:rsidRPr="00356CD9">
        <w:tab/>
      </w:r>
      <w:r w:rsidR="005A5B56" w:rsidRPr="00356CD9">
        <w:t xml:space="preserve">консолидация исследовательской деятельности в целях упорядочения соответствующей технической работы и улучшения координации между тесно связанными темами. Примером такого подхода является </w:t>
      </w:r>
      <w:r w:rsidR="009D4AF1" w:rsidRPr="00356CD9">
        <w:t xml:space="preserve">объединение </w:t>
      </w:r>
      <w:r w:rsidR="005A5B56" w:rsidRPr="00356CD9">
        <w:t xml:space="preserve">бывших 10-й и 11-й </w:t>
      </w:r>
      <w:r w:rsidR="009D4AF1" w:rsidRPr="00356CD9">
        <w:t xml:space="preserve">Исследовательских </w:t>
      </w:r>
      <w:r w:rsidR="005A5B56" w:rsidRPr="00356CD9">
        <w:t>комиссий в 6-ю Исследовательскую комиссию; в рамках одной исследовательской комиссии были объединены исследования, относящиеся к радиовещательным службам, и</w:t>
      </w:r>
      <w:r w:rsidR="00D3239F">
        <w:t> </w:t>
      </w:r>
      <w:r w:rsidR="005A5B56" w:rsidRPr="00356CD9">
        <w:t>улучшена координаци</w:t>
      </w:r>
      <w:r w:rsidR="00D3239F">
        <w:t>я</w:t>
      </w:r>
      <w:r w:rsidR="005A5B56" w:rsidRPr="00356CD9">
        <w:t xml:space="preserve"> деятельности, связанной с радиовещанием;</w:t>
      </w:r>
    </w:p>
    <w:p w14:paraId="2F2D0064" w14:textId="7310A4A4" w:rsidR="005A5B56" w:rsidRPr="00356CD9" w:rsidRDefault="00A957E8" w:rsidP="00A957E8">
      <w:pPr>
        <w:pStyle w:val="enumlev1"/>
      </w:pPr>
      <w:r w:rsidRPr="00356CD9">
        <w:t>−</w:t>
      </w:r>
      <w:r w:rsidRPr="00356CD9">
        <w:tab/>
      </w:r>
      <w:r w:rsidR="005A5B56" w:rsidRPr="00356CD9">
        <w:t xml:space="preserve">перераспределение обязанностей между исследовательскими комиссиями, что обеспечило возможность проводить исследования в рамках комиссий, наиболее подходящих для решения возникающих технических и регламентарных вопросов. Это было реализовано </w:t>
      </w:r>
      <w:r w:rsidR="009D4AF1" w:rsidRPr="00356CD9">
        <w:t xml:space="preserve">путем </w:t>
      </w:r>
      <w:r w:rsidR="005A5B56" w:rsidRPr="00356CD9">
        <w:t>прекращени</w:t>
      </w:r>
      <w:r w:rsidR="009D4AF1" w:rsidRPr="00356CD9">
        <w:t>я</w:t>
      </w:r>
      <w:r w:rsidR="005A5B56" w:rsidRPr="00356CD9">
        <w:t xml:space="preserve"> деятель</w:t>
      </w:r>
      <w:r w:rsidR="009D4AF1" w:rsidRPr="00356CD9">
        <w:t>н</w:t>
      </w:r>
      <w:r w:rsidR="005A5B56" w:rsidRPr="00356CD9">
        <w:t xml:space="preserve">ости 8-й и 9-й </w:t>
      </w:r>
      <w:r w:rsidR="009D4AF1" w:rsidRPr="00356CD9">
        <w:t xml:space="preserve">Исследовательских </w:t>
      </w:r>
      <w:r w:rsidR="005A5B56" w:rsidRPr="00356CD9">
        <w:t>комиссий; их обязанности были перераспределены путем изменения сферы деятельности 4-й Исследовательской комиссии и создания 5-й Исследовательской комиссии, что обеспечило более четкое разграничение между исследованиями, связанными со спутниками, и наземными службами</w:t>
      </w:r>
      <w:r w:rsidR="00C668B8" w:rsidRPr="00356CD9">
        <w:t>.</w:t>
      </w:r>
    </w:p>
    <w:p w14:paraId="6C74C4B5" w14:textId="77777777" w:rsidR="005A5B56" w:rsidRPr="00356CD9" w:rsidRDefault="005A5B56" w:rsidP="00A957E8">
      <w:r w:rsidRPr="00356CD9">
        <w:t>Эти прецеденты также показывают, что совершенствование структуры МСЭ-R может принимать различные формы, включая структурные изменения, уточнение мандатов, перераспределение тем и совершенствование координации и методов работы, в зависимости от характера определенного вопроса.</w:t>
      </w:r>
    </w:p>
    <w:p w14:paraId="02AD1331" w14:textId="77777777" w:rsidR="005A5B56" w:rsidRPr="00356CD9" w:rsidRDefault="005A5B56" w:rsidP="00CC0CDB">
      <w:pPr>
        <w:pStyle w:val="FigureNo"/>
      </w:pPr>
      <w:r w:rsidRPr="00356CD9">
        <w:lastRenderedPageBreak/>
        <w:t>Рисунок 1</w:t>
      </w:r>
    </w:p>
    <w:p w14:paraId="2C6E6FB3" w14:textId="668B6C0D" w:rsidR="00CC0CDB" w:rsidRPr="00356CD9" w:rsidRDefault="00CC0CDB" w:rsidP="003B3445">
      <w:pPr>
        <w:pStyle w:val="Figuretitle"/>
      </w:pPr>
      <w:r w:rsidRPr="00356CD9">
        <w:t>Последовательность изменений в структуре исследовательских комиссий</w:t>
      </w:r>
      <w:r w:rsidRPr="00356CD9">
        <w:br/>
      </w:r>
      <w:r w:rsidRPr="00356CD9">
        <w:rPr>
          <w:b w:val="0"/>
          <w:bCs/>
        </w:rPr>
        <w:t xml:space="preserve">(Данные взяты из </w:t>
      </w:r>
      <w:r w:rsidRPr="003B3445">
        <w:t>имеющейся</w:t>
      </w:r>
      <w:r w:rsidRPr="00356CD9">
        <w:rPr>
          <w:b w:val="0"/>
          <w:bCs/>
        </w:rPr>
        <w:t xml:space="preserve"> Резолюции МСЭ-R 4)</w:t>
      </w:r>
    </w:p>
    <w:p w14:paraId="76A4D9B8" w14:textId="35BB1E70" w:rsidR="005A5B56" w:rsidRPr="00356CD9" w:rsidRDefault="00CC0CDB" w:rsidP="00CC0CDB">
      <w:r w:rsidRPr="00356CD9">
        <w:rPr>
          <w:noProof/>
          <w:lang w:eastAsia="zh-CN"/>
        </w:rPr>
        <w:drawing>
          <wp:inline distT="0" distB="0" distL="0" distR="0" wp14:anchorId="21512255" wp14:editId="5C182D0A">
            <wp:extent cx="6316498" cy="18288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498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C64E33" w14:textId="20C7F37A" w:rsidR="005A5B56" w:rsidRPr="00356CD9" w:rsidRDefault="005A5B56" w:rsidP="00CC0CDB">
      <w:pPr>
        <w:pStyle w:val="Normalaftertitle"/>
      </w:pPr>
      <w:r w:rsidRPr="00356CD9">
        <w:t>Вместе с тем после принятия Резолюции МСЭ-R 4-6 структура исследовательских комиссий оставалась в основном неизменной; в настоящий момент она включает шесть исследовательских комиссий:</w:t>
      </w:r>
    </w:p>
    <w:p w14:paraId="7BB2C00F" w14:textId="68EDE077" w:rsidR="005A5B56" w:rsidRPr="00356CD9" w:rsidRDefault="00CC0CDB" w:rsidP="00CC0CDB">
      <w:pPr>
        <w:pStyle w:val="enumlev1"/>
      </w:pPr>
      <w:r w:rsidRPr="00356CD9">
        <w:t>−</w:t>
      </w:r>
      <w:r w:rsidRPr="00356CD9">
        <w:tab/>
      </w:r>
      <w:r w:rsidR="005A5B56" w:rsidRPr="00356CD9">
        <w:t>Управление использованием спектра (ИК1)</w:t>
      </w:r>
      <w:r w:rsidR="00150662" w:rsidRPr="00356CD9">
        <w:t>;</w:t>
      </w:r>
    </w:p>
    <w:p w14:paraId="137EEEDF" w14:textId="08C91C30" w:rsidR="005A5B56" w:rsidRPr="00356CD9" w:rsidRDefault="00CC0CDB" w:rsidP="00CC0CDB">
      <w:pPr>
        <w:pStyle w:val="enumlev1"/>
      </w:pPr>
      <w:r w:rsidRPr="00356CD9">
        <w:t>−</w:t>
      </w:r>
      <w:r w:rsidRPr="00356CD9">
        <w:tab/>
      </w:r>
      <w:r w:rsidR="005A5B56" w:rsidRPr="00356CD9">
        <w:t>Распространение радиоволн (ИК3)</w:t>
      </w:r>
      <w:r w:rsidR="00150662" w:rsidRPr="00356CD9">
        <w:t>;</w:t>
      </w:r>
    </w:p>
    <w:p w14:paraId="079E9863" w14:textId="264B0EF8" w:rsidR="005A5B56" w:rsidRPr="00356CD9" w:rsidRDefault="00CC0CDB" w:rsidP="00CC0CDB">
      <w:pPr>
        <w:pStyle w:val="enumlev1"/>
      </w:pPr>
      <w:r w:rsidRPr="00356CD9">
        <w:t>−</w:t>
      </w:r>
      <w:r w:rsidRPr="00356CD9">
        <w:tab/>
      </w:r>
      <w:r w:rsidR="005A5B56" w:rsidRPr="00356CD9">
        <w:t>Спутниковые службы (ИК4)</w:t>
      </w:r>
      <w:r w:rsidR="00150662" w:rsidRPr="00356CD9">
        <w:t>;</w:t>
      </w:r>
    </w:p>
    <w:p w14:paraId="6A48CA5B" w14:textId="2889F60B" w:rsidR="005A5B56" w:rsidRPr="00356CD9" w:rsidRDefault="00CC0CDB" w:rsidP="00CC0CDB">
      <w:pPr>
        <w:pStyle w:val="enumlev1"/>
      </w:pPr>
      <w:r w:rsidRPr="00356CD9">
        <w:t>−</w:t>
      </w:r>
      <w:r w:rsidRPr="00356CD9">
        <w:tab/>
      </w:r>
      <w:r w:rsidR="005A5B56" w:rsidRPr="00356CD9">
        <w:t>Наземные службы (ИК5)</w:t>
      </w:r>
      <w:r w:rsidR="00150662" w:rsidRPr="00356CD9">
        <w:t>;</w:t>
      </w:r>
    </w:p>
    <w:p w14:paraId="0587EE56" w14:textId="4FB0D571" w:rsidR="005A5B56" w:rsidRPr="00356CD9" w:rsidRDefault="00CC0CDB" w:rsidP="00CC0CDB">
      <w:pPr>
        <w:pStyle w:val="enumlev1"/>
      </w:pPr>
      <w:r w:rsidRPr="00356CD9">
        <w:t>−</w:t>
      </w:r>
      <w:r w:rsidRPr="00356CD9">
        <w:tab/>
      </w:r>
      <w:r w:rsidR="005A5B56" w:rsidRPr="00356CD9">
        <w:t>Вещательные службы (ИК6)</w:t>
      </w:r>
      <w:r w:rsidR="00150662" w:rsidRPr="00356CD9">
        <w:t>;</w:t>
      </w:r>
    </w:p>
    <w:p w14:paraId="4ACF1496" w14:textId="003AC03F" w:rsidR="005A5B56" w:rsidRPr="00356CD9" w:rsidRDefault="00CC0CDB" w:rsidP="00CC0CDB">
      <w:pPr>
        <w:pStyle w:val="enumlev1"/>
      </w:pPr>
      <w:r w:rsidRPr="00356CD9">
        <w:t>−</w:t>
      </w:r>
      <w:r w:rsidRPr="00356CD9">
        <w:tab/>
      </w:r>
      <w:r w:rsidR="005A5B56" w:rsidRPr="00356CD9">
        <w:t>Научные службы (ИК7)</w:t>
      </w:r>
      <w:r w:rsidR="00150662" w:rsidRPr="00356CD9">
        <w:t>.</w:t>
      </w:r>
    </w:p>
    <w:p w14:paraId="055592F1" w14:textId="7D5A7ABD" w:rsidR="005A5B56" w:rsidRPr="00356CD9" w:rsidRDefault="005A5B56" w:rsidP="00CC0CDB">
      <w:r w:rsidRPr="00356CD9">
        <w:t>Этот длительный период стабильности структуры стабильности обеспечил преемственность в</w:t>
      </w:r>
      <w:r w:rsidR="00D3239F">
        <w:t> </w:t>
      </w:r>
      <w:r w:rsidRPr="00356CD9">
        <w:t>деятельности исследовательских комиссий, однако стремительное развитие технологий и служб радиосвязи существенным образом изменило характер, сложность и взаимозависимость исследований, проводимых в рамках МСЭ-R. По мере дальнейшего развития новых технологий и появляющихся служб в рамках существующей структуры исследовательских комиссий были введены дополнительные темы исследований и сферы ответственности.</w:t>
      </w:r>
    </w:p>
    <w:p w14:paraId="3EF2CFDD" w14:textId="5A1C5C96" w:rsidR="005A5B56" w:rsidRPr="00356CD9" w:rsidRDefault="005A5B56" w:rsidP="00CC0CDB">
      <w:r w:rsidRPr="00356CD9">
        <w:t xml:space="preserve">На </w:t>
      </w:r>
      <w:r w:rsidR="00356CD9" w:rsidRPr="00356CD9">
        <w:t>Р</w:t>
      </w:r>
      <w:r w:rsidRPr="00356CD9">
        <w:t>ис</w:t>
      </w:r>
      <w:r w:rsidR="00C668B8" w:rsidRPr="00356CD9">
        <w:t>унке</w:t>
      </w:r>
      <w:r w:rsidRPr="00356CD9">
        <w:t xml:space="preserve"> 2 представлен анализ документации собраний исследовательских комиссий в течение нескольких исследовательских периодов ВКР на основе подборки вкладов, представленных в течение первых двух лет каждого цикла. Анализ показывает, что значительная доля вкладов сосредоточена в</w:t>
      </w:r>
      <w:r w:rsidR="00D3239F">
        <w:t> </w:t>
      </w:r>
      <w:r w:rsidRPr="00356CD9">
        <w:t>ограниченном количестве исследовательских комиссий. Эта тенденция указывает на неравномерное распределение рабочей нагрузки в структуре МСЭ-R и отражает как усложнение отдельных исследований в области радиосвязи, так и растущую вовлеченность администраций и членов Сектора в эти области.</w:t>
      </w:r>
    </w:p>
    <w:p w14:paraId="041D207D" w14:textId="77777777" w:rsidR="005A5B56" w:rsidRPr="00356CD9" w:rsidRDefault="005A5B56" w:rsidP="00CC0CDB">
      <w:pPr>
        <w:pStyle w:val="FigureNo"/>
      </w:pPr>
      <w:r w:rsidRPr="00356CD9">
        <w:t>Рисунок 2</w:t>
      </w:r>
    </w:p>
    <w:p w14:paraId="3B634C86" w14:textId="12EAB51C" w:rsidR="005A5B56" w:rsidRPr="00356CD9" w:rsidRDefault="005A5B56" w:rsidP="00B26416">
      <w:pPr>
        <w:pStyle w:val="Figuretitle"/>
      </w:pPr>
      <w:r w:rsidRPr="00356CD9">
        <w:t xml:space="preserve">Количество вкладов, представленных исследовательским комиссиям МСЭ-R </w:t>
      </w:r>
      <w:r w:rsidR="00B26416" w:rsidRPr="00356CD9">
        <w:br/>
      </w:r>
      <w:r w:rsidRPr="00356CD9">
        <w:t>в различных исследовательских периодах между ВКР</w:t>
      </w:r>
      <w:r w:rsidR="00B26416" w:rsidRPr="00356CD9">
        <w:br/>
      </w:r>
      <w:r w:rsidRPr="00356CD9">
        <w:t>(Данные взяты с веб-страницы исследовательских комиссий МСЭ-R)</w:t>
      </w:r>
    </w:p>
    <w:p w14:paraId="6B7B9681" w14:textId="77777777" w:rsidR="005A5B56" w:rsidRPr="00356CD9" w:rsidRDefault="005A5B56" w:rsidP="00B26416">
      <w:pPr>
        <w:rPr>
          <w:lang w:eastAsia="zh-CN"/>
        </w:rPr>
      </w:pPr>
      <w:r w:rsidRPr="00356CD9">
        <w:rPr>
          <w:noProof/>
        </w:rPr>
        <w:drawing>
          <wp:inline distT="0" distB="0" distL="0" distR="0" wp14:anchorId="2BEA5B80" wp14:editId="58C50F3F">
            <wp:extent cx="6120765" cy="2009803"/>
            <wp:effectExtent l="0" t="0" r="13335" b="9525"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id="{58C60865-3391-4FDF-96D3-F28EBC93BE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F49CD4B" w14:textId="77777777" w:rsidR="005A5B56" w:rsidRPr="00356CD9" w:rsidRDefault="005A5B56" w:rsidP="00B26416">
      <w:pPr>
        <w:pStyle w:val="Normalaftertitle"/>
      </w:pPr>
      <w:r w:rsidRPr="00356CD9">
        <w:t>Данные, собранные из базы данных документов исследовательских комиссий, показывают следующее:</w:t>
      </w:r>
    </w:p>
    <w:p w14:paraId="4D55AEF5" w14:textId="31084558" w:rsidR="005A5B56" w:rsidRPr="00356CD9" w:rsidRDefault="00B26416" w:rsidP="00B26416">
      <w:pPr>
        <w:pStyle w:val="enumlev1"/>
      </w:pPr>
      <w:r w:rsidRPr="00356CD9">
        <w:t>−</w:t>
      </w:r>
      <w:r w:rsidRPr="00356CD9">
        <w:tab/>
      </w:r>
      <w:r w:rsidR="00C668B8" w:rsidRPr="00356CD9">
        <w:t xml:space="preserve">исследовательские </w:t>
      </w:r>
      <w:r w:rsidR="005A5B56" w:rsidRPr="00356CD9">
        <w:t>комиссии ИК4 и ИК5 стабильно получают наибольшее количество вкладов, что отражает растущее значение спутниковых систем и технологий наземной подвижной связи</w:t>
      </w:r>
      <w:r w:rsidR="00C668B8" w:rsidRPr="00356CD9">
        <w:t>;</w:t>
      </w:r>
    </w:p>
    <w:p w14:paraId="6B25B874" w14:textId="2558FE1D" w:rsidR="005A5B56" w:rsidRPr="00356CD9" w:rsidRDefault="00B26416" w:rsidP="00B26416">
      <w:pPr>
        <w:pStyle w:val="enumlev1"/>
      </w:pPr>
      <w:r w:rsidRPr="00356CD9">
        <w:t>−</w:t>
      </w:r>
      <w:r w:rsidRPr="00356CD9">
        <w:tab/>
      </w:r>
      <w:r w:rsidR="00C668B8" w:rsidRPr="00356CD9">
        <w:t xml:space="preserve">другие </w:t>
      </w:r>
      <w:r w:rsidR="005A5B56" w:rsidRPr="00356CD9">
        <w:t>исследовательские комиссии, такие как ИК3 и ИК7, также сохраняют значимый уровень активности, а объем работы ИК1 и ИК6 сократился.</w:t>
      </w:r>
    </w:p>
    <w:p w14:paraId="212236F9" w14:textId="0C68C746" w:rsidR="005A5B56" w:rsidRPr="00356CD9" w:rsidRDefault="005A5B56" w:rsidP="00B26416">
      <w:r w:rsidRPr="00356CD9">
        <w:t>В результате структура исследовательских комиссий в течение длительного периода оставалась в</w:t>
      </w:r>
      <w:r w:rsidR="00D3239F">
        <w:t> </w:t>
      </w:r>
      <w:r w:rsidRPr="00356CD9">
        <w:t>основном неизменной, в то время как сфера охвата и объем работы продолжали расширяться. Вследствие этого увеличивающийся объем работы не был перераспределен между исследовательскими комиссиями, в результате чего существующим комиссиям и их рабочим группам поручается рассмотрение все большего числа технических и регламентарных вопросов. Такая ситуация может оказывать значительное давление на отдельные исследовательские комиссии, особенно учитывая количество и важность вопросов, которыми им поручено заниматься, что в</w:t>
      </w:r>
      <w:r w:rsidR="00D3239F">
        <w:t> </w:t>
      </w:r>
      <w:r w:rsidRPr="00356CD9">
        <w:t>конечном счете может сказаться на эффективности и своевременности результатов их работы.</w:t>
      </w:r>
    </w:p>
    <w:p w14:paraId="38A3B99C" w14:textId="77777777" w:rsidR="005A5B56" w:rsidRPr="00356CD9" w:rsidRDefault="005A5B56" w:rsidP="00B26416">
      <w:r w:rsidRPr="00356CD9">
        <w:t>В ряде случаев рабочие группы должны обрабатывать сотни вкладов в течение одного собрания, что создает значительную нагрузку на графики собраний и процессы подготовки проектов.</w:t>
      </w:r>
    </w:p>
    <w:p w14:paraId="7C1476A0" w14:textId="65EEC57C" w:rsidR="005A5B56" w:rsidRPr="00356CD9" w:rsidRDefault="005A5B56" w:rsidP="00B26416">
      <w:r w:rsidRPr="00356CD9">
        <w:t>Такой растущий объем вкладов может также сказаться на своевременности подготовки Отчета ПСК. Подготовка текста ПСК требует от рабочих групп рассмотрения большого числа технических вкладов, проведения исследований совместимости и совместного использования частот и сведения результатов в проекты разделов Отчета ПСК в пределах относительно ограниченного времени собрания. В некоторых случаях из-за большого количества входных документов было затруднительно в полной мере рассмотреть и объединить все соответствующие материалы в рамках одного собрания. Например, в РГ</w:t>
      </w:r>
      <w:r w:rsidR="00D3239F">
        <w:t> </w:t>
      </w:r>
      <w:r w:rsidRPr="00356CD9">
        <w:t>4A, которой поручено несколько пунктов повестки дня ВКР</w:t>
      </w:r>
      <w:r w:rsidR="000032D7">
        <w:t>-</w:t>
      </w:r>
      <w:r w:rsidRPr="00356CD9">
        <w:t>27, большое количество представленных вкладов привело к ситуациям, когда некоторые проекты текстов ПСК и связанные с ними исследования все еще требуют дальнейшего рассмотрения и объединения, что отражает возрастающую сложность и рабочую нагрузку, связанную с подготовкой вкладов ПСК.</w:t>
      </w:r>
    </w:p>
    <w:p w14:paraId="3817D9FA" w14:textId="77777777" w:rsidR="005A5B56" w:rsidRPr="00356CD9" w:rsidRDefault="005A5B56" w:rsidP="00B26416">
      <w:r w:rsidRPr="00356CD9">
        <w:t>В то время как в некоторых ИК количество представленных вкладов значительно увеличилось, количество утвержденных текстов (Рекомендаций, Отчетов, Справочников и пр.) оставалось относительно стабильным или сократилось лишь незначительно.</w:t>
      </w:r>
    </w:p>
    <w:p w14:paraId="06121D6C" w14:textId="77777777" w:rsidR="005A5B56" w:rsidRPr="00356CD9" w:rsidRDefault="005A5B56" w:rsidP="00B26416">
      <w:pPr>
        <w:pStyle w:val="FigureNo"/>
      </w:pPr>
      <w:r w:rsidRPr="00356CD9">
        <w:t>Рисунок 3</w:t>
      </w:r>
    </w:p>
    <w:p w14:paraId="03B76399" w14:textId="0B4D7BFD" w:rsidR="005A5B56" w:rsidRPr="00356CD9" w:rsidRDefault="005A5B56" w:rsidP="00B26416">
      <w:pPr>
        <w:pStyle w:val="Figuretitle"/>
      </w:pPr>
      <w:r w:rsidRPr="00356CD9">
        <w:t xml:space="preserve">Количество текстов, утвержденных исследовательскими комиссиями МСЭ-R </w:t>
      </w:r>
      <w:r w:rsidR="00B26416" w:rsidRPr="00356CD9">
        <w:br/>
      </w:r>
      <w:r w:rsidRPr="00356CD9">
        <w:t>в различных исследовательских периодах между ВКР</w:t>
      </w:r>
      <w:r w:rsidR="00B26416" w:rsidRPr="00356CD9">
        <w:br/>
      </w:r>
      <w:r w:rsidRPr="00356CD9">
        <w:t>(Составлено на основе распределения текстов по исследовательским комиссиям МСЭ-R)</w:t>
      </w:r>
    </w:p>
    <w:p w14:paraId="2D7489AC" w14:textId="77777777" w:rsidR="005A5B56" w:rsidRPr="00356CD9" w:rsidRDefault="005A5B56" w:rsidP="00B26416">
      <w:pPr>
        <w:rPr>
          <w:lang w:eastAsia="zh-CN"/>
        </w:rPr>
      </w:pPr>
      <w:r w:rsidRPr="00356CD9">
        <w:rPr>
          <w:noProof/>
        </w:rPr>
        <w:drawing>
          <wp:inline distT="0" distB="0" distL="0" distR="0" wp14:anchorId="1AE6C43F" wp14:editId="22036EFE">
            <wp:extent cx="6120765" cy="2009803"/>
            <wp:effectExtent l="0" t="0" r="13335" b="9525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C3A9DD68-9A74-4D67-80A3-2500654C89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AD261F3" w14:textId="6D556424" w:rsidR="005A5B56" w:rsidRPr="00356CD9" w:rsidRDefault="005A5B56" w:rsidP="00B26416">
      <w:pPr>
        <w:pStyle w:val="Normalaftertitle"/>
      </w:pPr>
      <w:r w:rsidRPr="00356CD9">
        <w:t xml:space="preserve">На </w:t>
      </w:r>
      <w:r w:rsidR="00150662" w:rsidRPr="00356CD9">
        <w:t>Р</w:t>
      </w:r>
      <w:r w:rsidRPr="00356CD9">
        <w:t>ис</w:t>
      </w:r>
      <w:r w:rsidR="00C668B8" w:rsidRPr="00356CD9">
        <w:t>унке</w:t>
      </w:r>
      <w:r w:rsidRPr="00356CD9">
        <w:t xml:space="preserve"> 3 представлен анализ утвержденных текстов в течение нескольких исследовательских периодов на основе данных, собранных за первые два года каждого цикла; при сравнении с объемом вкладов становятся очевидным следующее:</w:t>
      </w:r>
    </w:p>
    <w:p w14:paraId="240498A5" w14:textId="246681D5" w:rsidR="005A5B56" w:rsidRPr="00356CD9" w:rsidRDefault="00B26416" w:rsidP="00B26416">
      <w:pPr>
        <w:pStyle w:val="enumlev1"/>
      </w:pPr>
      <w:r w:rsidRPr="00356CD9">
        <w:t>−</w:t>
      </w:r>
      <w:r w:rsidRPr="00356CD9">
        <w:tab/>
      </w:r>
      <w:r w:rsidR="00C668B8" w:rsidRPr="00356CD9">
        <w:t xml:space="preserve">для </w:t>
      </w:r>
      <w:r w:rsidR="005A5B56" w:rsidRPr="00356CD9">
        <w:t xml:space="preserve">получения относительно ограниченного числа заключительных итоговых документов требуется очень большое количество входных документов. Например, как показано на </w:t>
      </w:r>
      <w:r w:rsidR="00356CD9" w:rsidRPr="00356CD9">
        <w:t>Р</w:t>
      </w:r>
      <w:r w:rsidR="005A5B56" w:rsidRPr="00356CD9">
        <w:t>ис</w:t>
      </w:r>
      <w:r w:rsidR="00C668B8" w:rsidRPr="00356CD9">
        <w:t>унке</w:t>
      </w:r>
      <w:r w:rsidR="005A5B56" w:rsidRPr="00356CD9">
        <w:t xml:space="preserve"> 2, 5-я Исследовательская комиссия получает в течение исследовательского цикла несколько тысяч вкладов, в то время как число утвержденных текстов остается сравнительно ограниченным и обычно составляет порядка нескольких сотен итоговых документов</w:t>
      </w:r>
      <w:r w:rsidR="00C668B8" w:rsidRPr="00356CD9">
        <w:t>;</w:t>
      </w:r>
    </w:p>
    <w:p w14:paraId="5F60C509" w14:textId="1EFBDF47" w:rsidR="005A5B56" w:rsidRPr="00356CD9" w:rsidRDefault="00B26416" w:rsidP="00B26416">
      <w:pPr>
        <w:pStyle w:val="enumlev1"/>
      </w:pPr>
      <w:r w:rsidRPr="00356CD9">
        <w:t>−</w:t>
      </w:r>
      <w:r w:rsidRPr="00356CD9">
        <w:tab/>
      </w:r>
      <w:r w:rsidR="00C668B8" w:rsidRPr="00356CD9">
        <w:t xml:space="preserve">анализ </w:t>
      </w:r>
      <w:r w:rsidR="005A5B56" w:rsidRPr="00356CD9">
        <w:t>показывает, что, хотя количество входных вкладов значительно выросло за</w:t>
      </w:r>
      <w:r w:rsidR="00D3239F">
        <w:t> </w:t>
      </w:r>
      <w:r w:rsidR="005A5B56" w:rsidRPr="00356CD9">
        <w:t>несколько исследовательских периодов между ВКР, количество утвержденных итоговых документов остается относительно ограниченным. Это указывает на снижение соотношения между вкладами и утвержденными текстами. Например, в исследовательские комиссии, такие как ИК4 и ИК5, представляется большое количество вкладов; однако это не сопровождалось пропорциональным увеличением количества утвержденных итоговых документов, что отражает как усложнение исследований, так и необходимость значительных усилий по координации между администрациями.</w:t>
      </w:r>
    </w:p>
    <w:p w14:paraId="1E73D4F8" w14:textId="27636BE4" w:rsidR="005A5B56" w:rsidRPr="00356CD9" w:rsidRDefault="005A5B56" w:rsidP="00B26416">
      <w:r w:rsidRPr="00356CD9">
        <w:t>Эта тенденция предполагает, что процесс исследований стал более ресурсоемким и требует от администраций прилагать больше усилий для достижения консенсуса и окончательной доработки итоговых документов. Эти наблюдения также свидетельствуют о возрастающей рабочей нагрузке на</w:t>
      </w:r>
      <w:r w:rsidR="00D3239F">
        <w:t> </w:t>
      </w:r>
      <w:r w:rsidRPr="00356CD9">
        <w:t>некоторые исследовательские комиссии и подтверждают необходимость более широкого и основанного на фактах рассмотрения вопроса о том, требуется ли совершенствование структуры, мандатов, механизмов координации, методов работы или распределения тем, с тем чтобы основа МСЭ</w:t>
      </w:r>
      <w:r w:rsidR="00D3239F">
        <w:noBreakHyphen/>
      </w:r>
      <w:r w:rsidRPr="00356CD9">
        <w:t>R была надлежащим образом согласована с изменяющейся средой радиосвязи.</w:t>
      </w:r>
    </w:p>
    <w:p w14:paraId="5CBDFABE" w14:textId="13768EFA" w:rsidR="005A5B56" w:rsidRPr="00356CD9" w:rsidRDefault="005A5B56" w:rsidP="00B26416">
      <w:r w:rsidRPr="00356CD9">
        <w:t>Еще одним важным показателем объема и сложности работы в рамках исследовательского процесса МСЭ</w:t>
      </w:r>
      <w:r w:rsidR="008A16C4">
        <w:noBreakHyphen/>
      </w:r>
      <w:r w:rsidRPr="00356CD9">
        <w:t>R является уровень участия в собраниях исследовательских комиссий и рабочих групп.</w:t>
      </w:r>
    </w:p>
    <w:p w14:paraId="7F494441" w14:textId="5C35665D" w:rsidR="005A5B56" w:rsidRPr="00356CD9" w:rsidRDefault="005A5B56" w:rsidP="00B26416">
      <w:r w:rsidRPr="00356CD9">
        <w:t xml:space="preserve">Согласно Отчету Директора о деятельности исследовательских комиссий (см. </w:t>
      </w:r>
      <w:hyperlink r:id="rId19" w:history="1">
        <w:r w:rsidRPr="00356CD9">
          <w:rPr>
            <w:rStyle w:val="Hyperlink"/>
            <w:szCs w:val="22"/>
          </w:rPr>
          <w:t>Дополнительный документ</w:t>
        </w:r>
        <w:r w:rsidR="00B26416" w:rsidRPr="00356CD9">
          <w:rPr>
            <w:rStyle w:val="Hyperlink"/>
            <w:szCs w:val="22"/>
          </w:rPr>
          <w:t> </w:t>
        </w:r>
        <w:r w:rsidRPr="00356CD9">
          <w:rPr>
            <w:rStyle w:val="Hyperlink"/>
            <w:szCs w:val="22"/>
          </w:rPr>
          <w:t>1 к Документу</w:t>
        </w:r>
        <w:r w:rsidR="00B26416" w:rsidRPr="00356CD9">
          <w:rPr>
            <w:rStyle w:val="Hyperlink"/>
            <w:szCs w:val="22"/>
          </w:rPr>
          <w:t> </w:t>
        </w:r>
        <w:r w:rsidRPr="00356CD9">
          <w:rPr>
            <w:rStyle w:val="Hyperlink"/>
            <w:szCs w:val="22"/>
          </w:rPr>
          <w:t>RAG/58</w:t>
        </w:r>
      </w:hyperlink>
      <w:r w:rsidRPr="00356CD9">
        <w:t>), за последние годы участие в собраниях МСЭ</w:t>
      </w:r>
      <w:r w:rsidR="008A16C4">
        <w:noBreakHyphen/>
      </w:r>
      <w:r w:rsidRPr="00356CD9">
        <w:t>R существенно возросло.</w:t>
      </w:r>
      <w:hyperlink r:id="rId20" w:history="1"/>
    </w:p>
    <w:p w14:paraId="38CC6DC5" w14:textId="77777777" w:rsidR="005A5B56" w:rsidRPr="00356CD9" w:rsidRDefault="005A5B56" w:rsidP="00B26416">
      <w:pPr>
        <w:pStyle w:val="FigureNo"/>
      </w:pPr>
      <w:r w:rsidRPr="00356CD9">
        <w:t>Рисунок 4</w:t>
      </w:r>
    </w:p>
    <w:p w14:paraId="02873BA1" w14:textId="356859F7" w:rsidR="005A5B56" w:rsidRPr="00356CD9" w:rsidRDefault="005A5B56" w:rsidP="00B26416">
      <w:pPr>
        <w:pStyle w:val="Figuretitle"/>
      </w:pPr>
      <w:r w:rsidRPr="00356CD9">
        <w:t xml:space="preserve">Общее количество очных участников в собраниях исследовательских комиссий/рабочих групп МСЭ-R </w:t>
      </w:r>
      <w:r w:rsidR="00B26416" w:rsidRPr="00356CD9">
        <w:br/>
      </w:r>
      <w:r w:rsidRPr="00356CD9">
        <w:t>(Отчет БР о деятельности исследовательских комиссий 32-му и 33-му собраниям КГР)</w:t>
      </w:r>
      <w:r w:rsidR="00B26416" w:rsidRPr="00356CD9">
        <w:br/>
      </w:r>
      <w:r w:rsidR="00B26416" w:rsidRPr="00356CD9">
        <w:br/>
      </w:r>
      <w:r w:rsidRPr="00356CD9">
        <w:t>в 2025 году</w:t>
      </w:r>
    </w:p>
    <w:p w14:paraId="1907339B" w14:textId="77777777" w:rsidR="005A5B56" w:rsidRPr="00356CD9" w:rsidRDefault="005A5B56" w:rsidP="00B26416">
      <w:pPr>
        <w:rPr>
          <w:lang w:eastAsia="zh-CN"/>
        </w:rPr>
      </w:pPr>
      <w:r w:rsidRPr="00356CD9">
        <w:rPr>
          <w:noProof/>
        </w:rPr>
        <w:drawing>
          <wp:inline distT="0" distB="0" distL="0" distR="0" wp14:anchorId="78C5D266" wp14:editId="582581DF">
            <wp:extent cx="6120765" cy="2009803"/>
            <wp:effectExtent l="0" t="0" r="13335" b="9525"/>
            <wp:docPr id="167744709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01347-FF51-628D-F741-C8B79A42B1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45389EB" w14:textId="2E25BEA9" w:rsidR="005A5B56" w:rsidRPr="00356CD9" w:rsidRDefault="00B26416" w:rsidP="00B26416">
      <w:pPr>
        <w:pStyle w:val="Figuretitle"/>
      </w:pPr>
      <w:r w:rsidRPr="00356CD9">
        <w:br/>
      </w:r>
      <w:r w:rsidR="005A5B56" w:rsidRPr="00356CD9">
        <w:t>в 2024 году</w:t>
      </w:r>
    </w:p>
    <w:p w14:paraId="53DEC739" w14:textId="77777777" w:rsidR="005A5B56" w:rsidRPr="00356CD9" w:rsidRDefault="005A5B56" w:rsidP="00B26416">
      <w:pPr>
        <w:rPr>
          <w:lang w:eastAsia="zh-CN"/>
        </w:rPr>
      </w:pPr>
      <w:r w:rsidRPr="00356CD9">
        <w:rPr>
          <w:noProof/>
        </w:rPr>
        <w:drawing>
          <wp:inline distT="0" distB="0" distL="0" distR="0" wp14:anchorId="31F43ABA" wp14:editId="017DCEEF">
            <wp:extent cx="6120765" cy="2009803"/>
            <wp:effectExtent l="0" t="0" r="13335" b="9525"/>
            <wp:docPr id="1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01347-FF51-628D-F741-C8B79A42B1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48DC128" w14:textId="26D1FEFD" w:rsidR="005A5B56" w:rsidRPr="00356CD9" w:rsidRDefault="005A5B56" w:rsidP="00B26416">
      <w:pPr>
        <w:pStyle w:val="Normalaftertitle"/>
      </w:pPr>
      <w:r w:rsidRPr="00356CD9">
        <w:t xml:space="preserve">На </w:t>
      </w:r>
      <w:r w:rsidR="00356CD9" w:rsidRPr="00356CD9">
        <w:t>Р</w:t>
      </w:r>
      <w:r w:rsidRPr="00356CD9">
        <w:t>ис</w:t>
      </w:r>
      <w:r w:rsidR="00C668B8" w:rsidRPr="00356CD9">
        <w:t>унке</w:t>
      </w:r>
      <w:r w:rsidRPr="00356CD9">
        <w:t xml:space="preserve"> 4 и в Отчете Директора о деятельности исследовательских комиссий показано следующее:</w:t>
      </w:r>
    </w:p>
    <w:p w14:paraId="6D37E123" w14:textId="23E808A2" w:rsidR="005A5B56" w:rsidRPr="00356CD9" w:rsidRDefault="00B26416" w:rsidP="00B26416">
      <w:pPr>
        <w:pStyle w:val="enumlev1"/>
      </w:pPr>
      <w:r w:rsidRPr="00356CD9">
        <w:t>−</w:t>
      </w:r>
      <w:r w:rsidRPr="00356CD9">
        <w:tab/>
      </w:r>
      <w:r w:rsidR="00C668B8" w:rsidRPr="00356CD9">
        <w:t xml:space="preserve">с </w:t>
      </w:r>
      <w:r w:rsidR="005A5B56" w:rsidRPr="00356CD9">
        <w:t>2020 года существенно возросло число участников очных собраний с возможностью дистанционного участия</w:t>
      </w:r>
      <w:r w:rsidR="00C668B8" w:rsidRPr="00356CD9">
        <w:t>;</w:t>
      </w:r>
    </w:p>
    <w:p w14:paraId="13C4F21B" w14:textId="7B87CD9D" w:rsidR="005A5B56" w:rsidRPr="00356CD9" w:rsidRDefault="00B26416" w:rsidP="00B26416">
      <w:pPr>
        <w:pStyle w:val="enumlev1"/>
      </w:pPr>
      <w:r w:rsidRPr="00356CD9">
        <w:t>−</w:t>
      </w:r>
      <w:r w:rsidRPr="00356CD9">
        <w:tab/>
      </w:r>
      <w:r w:rsidR="00C668B8" w:rsidRPr="00356CD9">
        <w:t xml:space="preserve">в </w:t>
      </w:r>
      <w:r w:rsidR="005A5B56" w:rsidRPr="00356CD9">
        <w:t>настоящее время в собраниях некоторых рабочих групп принимают участие несколько сотен человек, особенно в собраниях исследовательских комиссий, занимающихся технологиями спутниковой и наземной подвижной связи.</w:t>
      </w:r>
    </w:p>
    <w:p w14:paraId="0588A8FD" w14:textId="084C7AF2" w:rsidR="005A5B56" w:rsidRPr="00356CD9" w:rsidRDefault="005A5B56" w:rsidP="00B26416">
      <w:r w:rsidRPr="00356CD9">
        <w:t>Рост числа участников привел к возникновению проблем в отношении организации собраний и вместимости залов, особенно с учетом ограниченного числа залов собраний, способных вместить большие группы.</w:t>
      </w:r>
    </w:p>
    <w:p w14:paraId="66C7A7B5" w14:textId="77777777" w:rsidR="005A5B56" w:rsidRPr="00356CD9" w:rsidRDefault="005A5B56" w:rsidP="00B26416">
      <w:r w:rsidRPr="00356CD9">
        <w:t>Рост числа участников отражает растущее значение исследований МСЭ-R для администраций, компаний отрасли и научно-исследовательских учреждений. Однако это создает и дополнительные проблемы, в том числе следующие:</w:t>
      </w:r>
    </w:p>
    <w:p w14:paraId="1479B4A1" w14:textId="6C7DF964" w:rsidR="005A5B56" w:rsidRPr="00356CD9" w:rsidRDefault="00B26416" w:rsidP="00B26416">
      <w:pPr>
        <w:pStyle w:val="enumlev1"/>
      </w:pPr>
      <w:r w:rsidRPr="00356CD9">
        <w:t>−</w:t>
      </w:r>
      <w:r w:rsidRPr="00356CD9">
        <w:tab/>
      </w:r>
      <w:r w:rsidR="005A5B56" w:rsidRPr="00356CD9">
        <w:t>увеличение продолжительности обсу</w:t>
      </w:r>
      <w:r w:rsidR="00C668B8" w:rsidRPr="00356CD9">
        <w:t>ж</w:t>
      </w:r>
      <w:r w:rsidR="005A5B56" w:rsidRPr="00356CD9">
        <w:t>дений для достижения консенсуса</w:t>
      </w:r>
      <w:r w:rsidR="00C668B8" w:rsidRPr="00356CD9">
        <w:t>;</w:t>
      </w:r>
    </w:p>
    <w:p w14:paraId="1C135138" w14:textId="64DCF2FC" w:rsidR="005A5B56" w:rsidRPr="00356CD9" w:rsidRDefault="00B26416" w:rsidP="00B26416">
      <w:pPr>
        <w:pStyle w:val="enumlev1"/>
      </w:pPr>
      <w:r w:rsidRPr="00356CD9">
        <w:t>−</w:t>
      </w:r>
      <w:r w:rsidRPr="00356CD9">
        <w:tab/>
      </w:r>
      <w:r w:rsidR="005A5B56" w:rsidRPr="00356CD9">
        <w:t>повышенная сложность управления работой собраний и редакционных сессий;</w:t>
      </w:r>
    </w:p>
    <w:p w14:paraId="2C1F84D2" w14:textId="66F00875" w:rsidR="005A5B56" w:rsidRPr="00356CD9" w:rsidRDefault="00B26416" w:rsidP="00B26416">
      <w:pPr>
        <w:pStyle w:val="enumlev1"/>
        <w:rPr>
          <w:b/>
        </w:rPr>
      </w:pPr>
      <w:r w:rsidRPr="00356CD9">
        <w:t>−</w:t>
      </w:r>
      <w:r w:rsidRPr="00356CD9">
        <w:tab/>
      </w:r>
      <w:r w:rsidR="005A5B56" w:rsidRPr="00356CD9">
        <w:t>более строгие требования к координации между исследовательскими комиссиями.</w:t>
      </w:r>
    </w:p>
    <w:p w14:paraId="50373DF6" w14:textId="77777777" w:rsidR="005A5B56" w:rsidRPr="00356CD9" w:rsidRDefault="005A5B56" w:rsidP="00B26416">
      <w:r w:rsidRPr="00356CD9">
        <w:t>В этом контексте любое рассмотрение должно осуществляться на основе нейтрального и аналитического подхода и охватывать весь спектр возможных мер. В частности, прежде чем рекомендовать какую-либо структурную реформу, в рамках рассмотрения следует оценить, можно ли решить выявленные проблемы путем улучшения координации между существующими комиссиями, более четкого разграничения мандатов, совершенствования методов работы или целенаправленного перераспределения тем и сфер ответственности.</w:t>
      </w:r>
    </w:p>
    <w:p w14:paraId="7250DFC1" w14:textId="6ADEFCE0" w:rsidR="005A5B56" w:rsidRPr="00356CD9" w:rsidRDefault="005A5B56" w:rsidP="00B26416">
      <w:r w:rsidRPr="00356CD9">
        <w:t>При рассмотрении следует, по мере возможности, учитывать различные показатели деятельности исследовательских комиссий и рабочих групп, включая работу, связанную и не связанную с</w:t>
      </w:r>
      <w:r w:rsidR="009F6357">
        <w:t> </w:t>
      </w:r>
      <w:r w:rsidRPr="00356CD9">
        <w:t>конференцией, вклады, утвержденные итоговые документы, связанную с собраниями нагрузку, тенденции в области участия, взаимозависимость между комиссиями и последствия для поддержки и ресурсов БР.</w:t>
      </w:r>
    </w:p>
    <w:p w14:paraId="23A4E3B4" w14:textId="3788C203" w:rsidR="005A5B56" w:rsidRPr="00356CD9" w:rsidRDefault="005A5B56" w:rsidP="00B26416">
      <w:pPr>
        <w:pStyle w:val="Heading1"/>
      </w:pPr>
      <w:r w:rsidRPr="00356CD9">
        <w:t>3</w:t>
      </w:r>
      <w:r w:rsidR="000032D7">
        <w:tab/>
      </w:r>
      <w:r w:rsidRPr="00356CD9">
        <w:t>Предложение</w:t>
      </w:r>
    </w:p>
    <w:p w14:paraId="07C03C26" w14:textId="6718EAC4" w:rsidR="005A5B56" w:rsidRPr="00356CD9" w:rsidRDefault="005A5B56" w:rsidP="00B26416">
      <w:r w:rsidRPr="00356CD9">
        <w:t>В целях содействия структурированному рассмотрению существующей структуры исследовательских комиссий МСЭ-R КГР предлагается рассмотреть вопрос о создании работающей по переписке группы для изучения возможного совершенствования структуры и методов работы исследовательских комиссий, принимая во внимание изменяющуюся среду радиосвязи и возрастающую рабочую нагрузку исследовательских комиссий. Работающая по переписке группа будет выполнять свою работу согласно соответствующим положениям Резолюций МСЭ</w:t>
      </w:r>
      <w:r w:rsidR="009F6357">
        <w:noBreakHyphen/>
      </w:r>
      <w:r w:rsidRPr="00356CD9">
        <w:t>R</w:t>
      </w:r>
      <w:r w:rsidR="009F6357">
        <w:t> </w:t>
      </w:r>
      <w:r w:rsidRPr="00356CD9">
        <w:t>4</w:t>
      </w:r>
      <w:r w:rsidR="009F6357">
        <w:noBreakHyphen/>
      </w:r>
      <w:r w:rsidRPr="00356CD9">
        <w:t>9 и МСЭ</w:t>
      </w:r>
      <w:r w:rsidR="009F6357">
        <w:noBreakHyphen/>
      </w:r>
      <w:r w:rsidRPr="00356CD9">
        <w:t>R</w:t>
      </w:r>
      <w:r w:rsidR="009F6357">
        <w:t> </w:t>
      </w:r>
      <w:r w:rsidRPr="00356CD9">
        <w:t>1</w:t>
      </w:r>
      <w:r w:rsidR="009F6357">
        <w:noBreakHyphen/>
      </w:r>
      <w:r w:rsidRPr="00356CD9">
        <w:t>9 и будет рассматривать, среди прочего, эволюцию технологий радиосвязи, рост числа вкладов и активизацию участия в деятельности исследовательских комиссий, а также растущую взаимозависимость между исследованиями, проводимыми в различных исследовательских комиссиях.</w:t>
      </w:r>
    </w:p>
    <w:p w14:paraId="74D0236A" w14:textId="5267EED5" w:rsidR="005A5B56" w:rsidRPr="00356CD9" w:rsidRDefault="005A5B56" w:rsidP="00B26416">
      <w:r w:rsidRPr="00356CD9">
        <w:t xml:space="preserve">Работающей по переписке группе, следует руководствоваться нейтральным в отношении решений подходом и выработать заключения и варианты для улучшения, включая, в зависимости от случая, неструктурные меры, такие как усовершенствованные механизмы координации, более четкие мандаты, усовершенствованные методы работы и перераспределение отдельных тем, а также любые возможные структурные варианты, обоснованные </w:t>
      </w:r>
      <w:r w:rsidR="00C668B8" w:rsidRPr="00356CD9">
        <w:t xml:space="preserve">результатами </w:t>
      </w:r>
      <w:r w:rsidRPr="00356CD9">
        <w:t>анализ</w:t>
      </w:r>
      <w:r w:rsidR="00C668B8" w:rsidRPr="00356CD9">
        <w:t>а</w:t>
      </w:r>
      <w:r w:rsidRPr="00356CD9">
        <w:t>.</w:t>
      </w:r>
    </w:p>
    <w:p w14:paraId="6FEBA0C0" w14:textId="77777777" w:rsidR="005A5B56" w:rsidRPr="00356CD9" w:rsidRDefault="005A5B56" w:rsidP="00B26416">
      <w:r w:rsidRPr="00356CD9">
        <w:t>В целях поддержки работы работающей по переписке группы Бюро радиосвязи (БР) предлагается представить соответствующую информацию, касающуюся требований, процедур и практических соображений, связанных со структурой исследовательских комиссий МСЭ-R, включая аспекты, связанные с Резолюцией МСЭ-R 4-9. Такая информация послужит важным вкладом в деятельность работающей по переписке группы.</w:t>
      </w:r>
    </w:p>
    <w:p w14:paraId="3D82E0B5" w14:textId="77777777" w:rsidR="005A5B56" w:rsidRPr="00356CD9" w:rsidRDefault="005A5B56" w:rsidP="00B26416">
      <w:r w:rsidRPr="00356CD9">
        <w:t>БР также предлагается, при наличии возможности, представить фактическую информацию, которая может помочь работающей по переписке группе в проведении объективного рассмотрения, включая информацию о графике проведения собраний исследовательских комиссий и рабочих групп, количестве участников, объемах документов, утвержденных итоговых документах, а также другие соответствующие оперативные соображения.</w:t>
      </w:r>
    </w:p>
    <w:p w14:paraId="60F35C70" w14:textId="77777777" w:rsidR="005A5B56" w:rsidRPr="00356CD9" w:rsidRDefault="005A5B56" w:rsidP="00B26416">
      <w:r w:rsidRPr="00356CD9">
        <w:t>Круг ведения работающей по переписке группы представлен в Прилагаемом документе.</w:t>
      </w:r>
    </w:p>
    <w:p w14:paraId="732E28F9" w14:textId="77777777" w:rsidR="005A5B56" w:rsidRPr="00356CD9" w:rsidRDefault="005A5B56" w:rsidP="00B26416">
      <w:r w:rsidRPr="00356CD9">
        <w:t>Работающая по переписке группа представит отчет о результатах своей работы 34-му собранию Консультативной группы по радиосвязи.</w:t>
      </w:r>
    </w:p>
    <w:p w14:paraId="4CE6D510" w14:textId="38A0F4BF" w:rsidR="005A5B56" w:rsidRPr="00356CD9" w:rsidRDefault="005A5B56" w:rsidP="00B26416">
      <w:pPr>
        <w:spacing w:before="1440"/>
      </w:pPr>
      <w:r w:rsidRPr="00356CD9">
        <w:rPr>
          <w:b/>
          <w:bCs/>
        </w:rPr>
        <w:t>Прилагаемый документ</w:t>
      </w:r>
      <w:r w:rsidRPr="00356CD9">
        <w:t>:</w:t>
      </w:r>
      <w:r w:rsidR="003B3445" w:rsidRPr="00356CD9">
        <w:t xml:space="preserve"> </w:t>
      </w:r>
      <w:r w:rsidRPr="00356CD9">
        <w:t>1</w:t>
      </w:r>
    </w:p>
    <w:p w14:paraId="4E88A359" w14:textId="77777777" w:rsidR="005A5B56" w:rsidRPr="00356CD9" w:rsidRDefault="005A5B56" w:rsidP="005A5B56">
      <w:pPr>
        <w:overflowPunct/>
        <w:autoSpaceDE/>
        <w:autoSpaceDN/>
        <w:adjustRightInd/>
        <w:spacing w:before="0"/>
        <w:textAlignment w:val="auto"/>
        <w:rPr>
          <w:szCs w:val="22"/>
        </w:rPr>
      </w:pPr>
      <w:r w:rsidRPr="00356CD9">
        <w:rPr>
          <w:szCs w:val="22"/>
        </w:rPr>
        <w:br w:type="page"/>
      </w:r>
    </w:p>
    <w:p w14:paraId="6AEF73AF" w14:textId="77777777" w:rsidR="005A5B56" w:rsidRPr="00356CD9" w:rsidRDefault="005A5B56" w:rsidP="00B26416">
      <w:pPr>
        <w:pStyle w:val="AnnexNo"/>
      </w:pPr>
      <w:r w:rsidRPr="00356CD9">
        <w:t>Прилагаемый документ</w:t>
      </w:r>
    </w:p>
    <w:p w14:paraId="7F35DF0E" w14:textId="77777777" w:rsidR="005A5B56" w:rsidRPr="00356CD9" w:rsidRDefault="005A5B56" w:rsidP="00B26416">
      <w:pPr>
        <w:pStyle w:val="Annextitle"/>
      </w:pPr>
      <w:r w:rsidRPr="00356CD9">
        <w:t>Круг ведения Работающей по переписке группы КГР по совершенствованию структуры и основы исследовательских комиссий по радиосвязи</w:t>
      </w:r>
    </w:p>
    <w:p w14:paraId="50BB1E3C" w14:textId="2E858021" w:rsidR="005A5B56" w:rsidRPr="00356CD9" w:rsidRDefault="005A5B56" w:rsidP="00B26416">
      <w:r w:rsidRPr="00356CD9">
        <w:t xml:space="preserve">Работающей по переписке группе (ГП) Консультативной группы по радиосвязи (КГР) </w:t>
      </w:r>
      <w:r w:rsidRPr="00356CD9">
        <w:rPr>
          <w:b/>
          <w:bCs/>
        </w:rPr>
        <w:t>по совершенствованию структуры и основы исследовательских комиссий по радиосвязи</w:t>
      </w:r>
      <w:r w:rsidRPr="00356CD9">
        <w:t xml:space="preserve"> поручается провести независимое и основанное на фактах рассмотрение исследовательской основы МСЭ</w:t>
      </w:r>
      <w:r w:rsidR="009F6357">
        <w:noBreakHyphen/>
      </w:r>
      <w:r w:rsidRPr="00356CD9">
        <w:t>R и изучить возможности совершенствования структуры и методов работы исследовательских комиссий МСЭ-R со следующим кругом ведения:</w:t>
      </w:r>
    </w:p>
    <w:p w14:paraId="3583D145" w14:textId="2AF4573E" w:rsidR="005A5B56" w:rsidRPr="00356CD9" w:rsidRDefault="00B26416" w:rsidP="00B26416">
      <w:pPr>
        <w:pStyle w:val="enumlev1"/>
      </w:pPr>
      <w:r w:rsidRPr="00356CD9">
        <w:t>−</w:t>
      </w:r>
      <w:r w:rsidRPr="00356CD9">
        <w:tab/>
      </w:r>
      <w:r w:rsidR="00C668B8" w:rsidRPr="00356CD9">
        <w:t xml:space="preserve">рассмотреть </w:t>
      </w:r>
      <w:r w:rsidR="005A5B56" w:rsidRPr="00356CD9">
        <w:t>существующую структуру исследовательских комиссий МСЭ</w:t>
      </w:r>
      <w:r w:rsidR="009F6357">
        <w:noBreakHyphen/>
      </w:r>
      <w:r w:rsidR="005A5B56" w:rsidRPr="00356CD9">
        <w:t>R, определенную в Резолюции МСЭ-R 4</w:t>
      </w:r>
      <w:r w:rsidR="00D57F96" w:rsidRPr="00356CD9">
        <w:noBreakHyphen/>
      </w:r>
      <w:r w:rsidR="005A5B56" w:rsidRPr="00356CD9">
        <w:t xml:space="preserve">9, в том числе сферу деятельности и сферу ответственности каждой исследовательской </w:t>
      </w:r>
      <w:r w:rsidR="00C668B8" w:rsidRPr="00356CD9">
        <w:t>Комиссии;</w:t>
      </w:r>
    </w:p>
    <w:p w14:paraId="1D000601" w14:textId="511C43E2" w:rsidR="005A5B56" w:rsidRPr="00356CD9" w:rsidRDefault="00B26416" w:rsidP="00B26416">
      <w:pPr>
        <w:pStyle w:val="enumlev1"/>
      </w:pPr>
      <w:r w:rsidRPr="00356CD9">
        <w:t>−</w:t>
      </w:r>
      <w:r w:rsidRPr="00356CD9">
        <w:tab/>
      </w:r>
      <w:r w:rsidR="00C668B8" w:rsidRPr="00356CD9">
        <w:t>рассмотреть</w:t>
      </w:r>
      <w:r w:rsidR="005A5B56" w:rsidRPr="00356CD9">
        <w:t>, при необходимости, эффективность существующего распределения работы между исследовательскими комиссиями и рабочими группами, включая баланс между видами деятельности, связанными с конференцией и не связанными с ней;</w:t>
      </w:r>
    </w:p>
    <w:p w14:paraId="24F32836" w14:textId="44650C78" w:rsidR="005A5B56" w:rsidRPr="00356CD9" w:rsidRDefault="00B26416" w:rsidP="00B26416">
      <w:pPr>
        <w:pStyle w:val="enumlev1"/>
      </w:pPr>
      <w:r w:rsidRPr="00356CD9">
        <w:t>−</w:t>
      </w:r>
      <w:r w:rsidRPr="00356CD9">
        <w:tab/>
      </w:r>
      <w:r w:rsidR="00C668B8" w:rsidRPr="00356CD9">
        <w:t xml:space="preserve">определить </w:t>
      </w:r>
      <w:r w:rsidR="005A5B56" w:rsidRPr="00356CD9">
        <w:t>структурные и процедурные проблемы, влияющие на эффективность исследований МСЭ-R, в том числе:</w:t>
      </w:r>
    </w:p>
    <w:p w14:paraId="1F5A5CE9" w14:textId="79077D86" w:rsidR="005A5B56" w:rsidRPr="00356CD9" w:rsidRDefault="00A17646" w:rsidP="00A17646">
      <w:pPr>
        <w:pStyle w:val="enumlev2"/>
      </w:pPr>
      <w:r w:rsidRPr="00356CD9">
        <w:t>•</w:t>
      </w:r>
      <w:r w:rsidRPr="00356CD9">
        <w:tab/>
      </w:r>
      <w:r w:rsidR="005A5B56" w:rsidRPr="00356CD9">
        <w:t>рабочую нагрузку в определенных исследовательских комиссиях;</w:t>
      </w:r>
    </w:p>
    <w:p w14:paraId="68AB2072" w14:textId="32C430F1" w:rsidR="005A5B56" w:rsidRPr="00356CD9" w:rsidRDefault="00974C29" w:rsidP="00A17646">
      <w:pPr>
        <w:pStyle w:val="enumlev2"/>
      </w:pPr>
      <w:r w:rsidRPr="00356CD9">
        <w:t>•</w:t>
      </w:r>
      <w:r w:rsidRPr="00356CD9">
        <w:tab/>
      </w:r>
      <w:r w:rsidR="005A5B56" w:rsidRPr="00356CD9">
        <w:t>взаимозависимость между исследовательскими комиссиями;</w:t>
      </w:r>
    </w:p>
    <w:p w14:paraId="0808B266" w14:textId="2B965BC7" w:rsidR="005A5B56" w:rsidRPr="00356CD9" w:rsidRDefault="00974C29" w:rsidP="00A17646">
      <w:pPr>
        <w:pStyle w:val="enumlev2"/>
      </w:pPr>
      <w:r w:rsidRPr="00356CD9">
        <w:t>•</w:t>
      </w:r>
      <w:r w:rsidRPr="00356CD9">
        <w:tab/>
      </w:r>
      <w:r w:rsidR="005A5B56" w:rsidRPr="00356CD9">
        <w:t>количество вкладов и участников собраний;</w:t>
      </w:r>
    </w:p>
    <w:p w14:paraId="50B0A5A1" w14:textId="424BAD0C" w:rsidR="005A5B56" w:rsidRPr="00356CD9" w:rsidRDefault="00974C29" w:rsidP="00A17646">
      <w:pPr>
        <w:pStyle w:val="enumlev2"/>
      </w:pPr>
      <w:r w:rsidRPr="00356CD9">
        <w:t>•</w:t>
      </w:r>
      <w:r w:rsidRPr="00356CD9">
        <w:tab/>
      </w:r>
      <w:r w:rsidR="005A5B56" w:rsidRPr="00356CD9">
        <w:t>появляющиеся технологии, требующие междисциплинарных знаний</w:t>
      </w:r>
      <w:r w:rsidRPr="00356CD9">
        <w:t>;</w:t>
      </w:r>
    </w:p>
    <w:p w14:paraId="23CF02A2" w14:textId="739C297D" w:rsidR="005A5B56" w:rsidRPr="00356CD9" w:rsidRDefault="00B26416" w:rsidP="00B26416">
      <w:pPr>
        <w:pStyle w:val="enumlev1"/>
      </w:pPr>
      <w:r w:rsidRPr="00356CD9">
        <w:t>−</w:t>
      </w:r>
      <w:r w:rsidRPr="00356CD9">
        <w:tab/>
      </w:r>
      <w:r w:rsidR="00C668B8" w:rsidRPr="00356CD9">
        <w:t>оценить</w:t>
      </w:r>
      <w:r w:rsidR="005A5B56" w:rsidRPr="00356CD9">
        <w:t>, можно ли решить выявленные проблемы с помощью неструктурных мер, включая улучшение координации, более четкие мандаты, усовершенствованные методы работы или перераспределение отдельных тем и сфер ответственности между существующими группами;</w:t>
      </w:r>
    </w:p>
    <w:p w14:paraId="57A4BEF7" w14:textId="48F08EB4" w:rsidR="005A5B56" w:rsidRPr="00356CD9" w:rsidRDefault="00B26416" w:rsidP="00B26416">
      <w:pPr>
        <w:pStyle w:val="enumlev1"/>
      </w:pPr>
      <w:r w:rsidRPr="00356CD9">
        <w:t>−</w:t>
      </w:r>
      <w:r w:rsidRPr="00356CD9">
        <w:tab/>
      </w:r>
      <w:r w:rsidR="00A45050" w:rsidRPr="00356CD9">
        <w:t xml:space="preserve">подготовить </w:t>
      </w:r>
      <w:r w:rsidR="005A5B56" w:rsidRPr="00356CD9">
        <w:t>заключения и возможные варианты повышения эффективности, совершенствования координации и оперативности исследований МСЭ-R, включая варианты, связанные с процедурами, координацией, мандатами, распределением рабочей нагрузки и, когда это оправдано, структурой</w:t>
      </w:r>
      <w:r w:rsidR="00A45050" w:rsidRPr="00356CD9">
        <w:t>;</w:t>
      </w:r>
    </w:p>
    <w:p w14:paraId="663EF9D2" w14:textId="5608D02E" w:rsidR="005A5B56" w:rsidRPr="00356CD9" w:rsidRDefault="00B26416" w:rsidP="00B26416">
      <w:pPr>
        <w:pStyle w:val="enumlev1"/>
      </w:pPr>
      <w:r w:rsidRPr="00356CD9">
        <w:t>−</w:t>
      </w:r>
      <w:r w:rsidRPr="00356CD9">
        <w:tab/>
      </w:r>
      <w:r w:rsidR="00A45050" w:rsidRPr="00356CD9">
        <w:t xml:space="preserve">принимать </w:t>
      </w:r>
      <w:r w:rsidR="005A5B56" w:rsidRPr="00356CD9">
        <w:t>во внимание, насколько это практически возможно, соответствующую фактическую информацию, такую как частота и продолжительность собраний, объемы вкладов, утвержденные итоговые документы, тенденции в отношении участия, взаимозависимость между исследовательскими комиссиями, а также оперативные/ресурсные последствия для БР.</w:t>
      </w:r>
    </w:p>
    <w:p w14:paraId="1902E34E" w14:textId="77777777" w:rsidR="005A5B56" w:rsidRPr="00356CD9" w:rsidRDefault="005A5B56" w:rsidP="00974C29">
      <w:r w:rsidRPr="00356CD9">
        <w:t>ГП должна начать свою работу непосредственно после 33-го собрания КГР и запросить информацию и рекомендации от Бюро радиосвязи (БР) относительно:</w:t>
      </w:r>
    </w:p>
    <w:p w14:paraId="1ED6DE09" w14:textId="3E69944F" w:rsidR="005A5B56" w:rsidRPr="00356CD9" w:rsidRDefault="00974C29" w:rsidP="00974C29">
      <w:pPr>
        <w:pStyle w:val="enumlev1"/>
      </w:pPr>
      <w:r w:rsidRPr="00356CD9">
        <w:t>−</w:t>
      </w:r>
      <w:r w:rsidRPr="00356CD9">
        <w:tab/>
      </w:r>
      <w:r w:rsidR="005A5B56" w:rsidRPr="00356CD9">
        <w:t>процедурных требований, связанных с реструктуризацией исследовательских комиссий в</w:t>
      </w:r>
      <w:r w:rsidR="009F6357">
        <w:t> </w:t>
      </w:r>
      <w:r w:rsidR="005A5B56" w:rsidRPr="00356CD9">
        <w:t>соответствии с Резолюцией МСЭ-R 4-9</w:t>
      </w:r>
      <w:r w:rsidRPr="00356CD9">
        <w:t>;</w:t>
      </w:r>
    </w:p>
    <w:p w14:paraId="3410C9AD" w14:textId="4B745354" w:rsidR="005A5B56" w:rsidRPr="00356CD9" w:rsidRDefault="00974C29" w:rsidP="00974C29">
      <w:pPr>
        <w:pStyle w:val="enumlev1"/>
      </w:pPr>
      <w:r w:rsidRPr="00356CD9">
        <w:t>−</w:t>
      </w:r>
      <w:r w:rsidRPr="00356CD9">
        <w:tab/>
      </w:r>
      <w:r w:rsidR="005A5B56" w:rsidRPr="00356CD9">
        <w:t>практических соображений по изменению структуры исследовательских комиссий</w:t>
      </w:r>
      <w:r w:rsidRPr="00356CD9">
        <w:t>;</w:t>
      </w:r>
    </w:p>
    <w:p w14:paraId="0315B37D" w14:textId="47E1C0BA" w:rsidR="005A5B56" w:rsidRPr="00356CD9" w:rsidRDefault="00974C29" w:rsidP="00974C29">
      <w:pPr>
        <w:pStyle w:val="enumlev1"/>
      </w:pPr>
      <w:r w:rsidRPr="00356CD9">
        <w:t>−</w:t>
      </w:r>
      <w:r w:rsidRPr="00356CD9">
        <w:tab/>
      </w:r>
      <w:r w:rsidR="005A5B56" w:rsidRPr="00356CD9">
        <w:t>существующих механизмов, которые могут способствовать улучшению координации и повышению эффективности в рамках существующей структуры исследовательских комиссий</w:t>
      </w:r>
      <w:r w:rsidRPr="00356CD9">
        <w:t>;</w:t>
      </w:r>
    </w:p>
    <w:p w14:paraId="72937A61" w14:textId="0DCB709B" w:rsidR="005A5B56" w:rsidRPr="00356CD9" w:rsidRDefault="00974C29" w:rsidP="00974C29">
      <w:pPr>
        <w:pStyle w:val="enumlev1"/>
      </w:pPr>
      <w:r w:rsidRPr="00356CD9">
        <w:t>−</w:t>
      </w:r>
      <w:r w:rsidRPr="00356CD9">
        <w:tab/>
      </w:r>
      <w:r w:rsidR="005A5B56" w:rsidRPr="00356CD9">
        <w:t>любых оперативных или организационных последствий возможных изменений структуры.</w:t>
      </w:r>
    </w:p>
    <w:p w14:paraId="1ECACF62" w14:textId="7ADBB564" w:rsidR="005A5B56" w:rsidRPr="00356CD9" w:rsidRDefault="005A5B56" w:rsidP="00974C29">
      <w:r w:rsidRPr="00356CD9">
        <w:t>ГП должна стремиться представить комплексный отчет к 34-му собранию КГР. Работа должна проводиться главным образом по переписке и в рамках не более трех виртуальных собраний при соблюдении разделов A1.3.2.9 и A.1.3.2.10 Резолюции МСЭ-R 1</w:t>
      </w:r>
      <w:r w:rsidR="009F6357">
        <w:noBreakHyphen/>
      </w:r>
      <w:r w:rsidRPr="00356CD9">
        <w:t>9 для обеспечения эффективности и открытости.</w:t>
      </w:r>
    </w:p>
    <w:p w14:paraId="65829B9F" w14:textId="54B46BC4" w:rsidR="005A5B56" w:rsidRPr="00356CD9" w:rsidRDefault="005A5B56" w:rsidP="00356CD9">
      <w:pPr>
        <w:keepNext/>
      </w:pPr>
      <w:r w:rsidRPr="00356CD9">
        <w:t xml:space="preserve">Председателем ГП является ХХХ (эл. почта: </w:t>
      </w:r>
      <w:hyperlink r:id="rId23" w:history="1">
        <w:r w:rsidR="00A45050" w:rsidRPr="00356CD9">
          <w:rPr>
            <w:rStyle w:val="Hyperlink"/>
            <w:szCs w:val="22"/>
          </w:rPr>
          <w:t>XXX</w:t>
        </w:r>
      </w:hyperlink>
      <w:r w:rsidRPr="00356CD9">
        <w:t>), который будет координировать деятельность и обеспечивать своевременную связь и представление отчета группы за 45 дней до 34-го собрания КГР.</w:t>
      </w:r>
      <w:hyperlink r:id="rId24" w:history="1"/>
    </w:p>
    <w:p w14:paraId="5E99055E" w14:textId="77777777" w:rsidR="005A5B56" w:rsidRPr="00356CD9" w:rsidRDefault="005A5B56" w:rsidP="00974C29">
      <w:r w:rsidRPr="00356CD9">
        <w:t>Другая соответствующая информация о деятельности этой группы, работающей по переписке, будет размещена на веб-странице КГР.</w:t>
      </w:r>
    </w:p>
    <w:p w14:paraId="7FEDB9FE" w14:textId="77777777" w:rsidR="00D57F96" w:rsidRPr="00356CD9" w:rsidRDefault="00D57F96" w:rsidP="003B3445">
      <w:pPr>
        <w:spacing w:before="720"/>
        <w:jc w:val="center"/>
      </w:pPr>
      <w:r w:rsidRPr="00356CD9">
        <w:t>______________</w:t>
      </w:r>
    </w:p>
    <w:sectPr w:rsidR="00D57F96" w:rsidRPr="00356CD9" w:rsidSect="005409F7">
      <w:headerReference w:type="default" r:id="rId25"/>
      <w:pgSz w:w="11907" w:h="16834" w:code="9"/>
      <w:pgMar w:top="1134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A44CF" w14:textId="77777777" w:rsidR="00121BBC" w:rsidRDefault="00121BBC">
      <w:r>
        <w:separator/>
      </w:r>
    </w:p>
  </w:endnote>
  <w:endnote w:type="continuationSeparator" w:id="0">
    <w:p w14:paraId="621A9E83" w14:textId="77777777" w:rsidR="00121BBC" w:rsidRDefault="0012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9F5E9" w14:textId="77777777" w:rsidR="00121BBC" w:rsidRDefault="00121BBC">
      <w:r>
        <w:t>____________________</w:t>
      </w:r>
    </w:p>
  </w:footnote>
  <w:footnote w:type="continuationSeparator" w:id="0">
    <w:p w14:paraId="44C76EED" w14:textId="77777777" w:rsidR="00121BBC" w:rsidRDefault="00121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3DB04" w14:textId="1AA42ABE" w:rsidR="00633D6D" w:rsidRDefault="00633D6D" w:rsidP="00032498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B239A0">
      <w:rPr>
        <w:noProof/>
      </w:rPr>
      <w:t>2</w:t>
    </w:r>
    <w:r>
      <w:fldChar w:fldCharType="end"/>
    </w:r>
    <w:r>
      <w:rPr>
        <w:lang w:val="es-ES"/>
      </w:rPr>
      <w:br/>
      <w:t>RAG/</w:t>
    </w:r>
    <w:r w:rsidR="00A957E8">
      <w:rPr>
        <w:lang w:val="es-ES"/>
      </w:rPr>
      <w:t>77</w:t>
    </w:r>
    <w:r>
      <w:rPr>
        <w:lang w:val="es-ES"/>
      </w:rP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C22"/>
    <w:multiLevelType w:val="hybridMultilevel"/>
    <w:tmpl w:val="E5BE2D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6D5E"/>
    <w:multiLevelType w:val="hybridMultilevel"/>
    <w:tmpl w:val="DBE0B7D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906590"/>
    <w:multiLevelType w:val="hybridMultilevel"/>
    <w:tmpl w:val="FF04F7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76C5D"/>
    <w:multiLevelType w:val="hybridMultilevel"/>
    <w:tmpl w:val="D65059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0BCB"/>
    <w:multiLevelType w:val="hybridMultilevel"/>
    <w:tmpl w:val="2280D7CC"/>
    <w:lvl w:ilvl="0" w:tplc="1A3CD4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673EE"/>
    <w:multiLevelType w:val="hybridMultilevel"/>
    <w:tmpl w:val="8AF69A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D665C"/>
    <w:multiLevelType w:val="hybridMultilevel"/>
    <w:tmpl w:val="5F9A1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50FAC"/>
    <w:multiLevelType w:val="hybridMultilevel"/>
    <w:tmpl w:val="C73A86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A0136"/>
    <w:multiLevelType w:val="hybridMultilevel"/>
    <w:tmpl w:val="6C542D00"/>
    <w:lvl w:ilvl="0" w:tplc="1A3CD41A">
      <w:numFmt w:val="bullet"/>
      <w:lvlText w:val="-"/>
      <w:lvlJc w:val="left"/>
      <w:pPr>
        <w:ind w:left="1154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9" w15:restartNumberingAfterBreak="0">
    <w:nsid w:val="749A0E63"/>
    <w:multiLevelType w:val="hybridMultilevel"/>
    <w:tmpl w:val="37EE16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071574">
    <w:abstractNumId w:val="2"/>
  </w:num>
  <w:num w:numId="2" w16cid:durableId="1883443335">
    <w:abstractNumId w:val="0"/>
  </w:num>
  <w:num w:numId="3" w16cid:durableId="1274556154">
    <w:abstractNumId w:val="9"/>
  </w:num>
  <w:num w:numId="4" w16cid:durableId="1397557848">
    <w:abstractNumId w:val="7"/>
  </w:num>
  <w:num w:numId="5" w16cid:durableId="1488858085">
    <w:abstractNumId w:val="3"/>
  </w:num>
  <w:num w:numId="6" w16cid:durableId="1786851074">
    <w:abstractNumId w:val="8"/>
  </w:num>
  <w:num w:numId="7" w16cid:durableId="1655529099">
    <w:abstractNumId w:val="1"/>
  </w:num>
  <w:num w:numId="8" w16cid:durableId="1259875420">
    <w:abstractNumId w:val="4"/>
  </w:num>
  <w:num w:numId="9" w16cid:durableId="342051009">
    <w:abstractNumId w:val="6"/>
  </w:num>
  <w:num w:numId="10" w16cid:durableId="33122330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56"/>
    <w:rsid w:val="000032D7"/>
    <w:rsid w:val="00006439"/>
    <w:rsid w:val="00006FE0"/>
    <w:rsid w:val="0000725B"/>
    <w:rsid w:val="00010232"/>
    <w:rsid w:val="000115DA"/>
    <w:rsid w:val="0001212D"/>
    <w:rsid w:val="00013688"/>
    <w:rsid w:val="000138D4"/>
    <w:rsid w:val="00015F0B"/>
    <w:rsid w:val="0001724C"/>
    <w:rsid w:val="00020106"/>
    <w:rsid w:val="00021007"/>
    <w:rsid w:val="000252AA"/>
    <w:rsid w:val="000311CF"/>
    <w:rsid w:val="00032498"/>
    <w:rsid w:val="000365C9"/>
    <w:rsid w:val="00047081"/>
    <w:rsid w:val="00050979"/>
    <w:rsid w:val="00055FEE"/>
    <w:rsid w:val="00060A29"/>
    <w:rsid w:val="000653E0"/>
    <w:rsid w:val="0006614B"/>
    <w:rsid w:val="00066577"/>
    <w:rsid w:val="000736F4"/>
    <w:rsid w:val="0007689D"/>
    <w:rsid w:val="00083135"/>
    <w:rsid w:val="00083244"/>
    <w:rsid w:val="00083378"/>
    <w:rsid w:val="00083ACC"/>
    <w:rsid w:val="00084871"/>
    <w:rsid w:val="00084C05"/>
    <w:rsid w:val="000850DA"/>
    <w:rsid w:val="00086DD7"/>
    <w:rsid w:val="00093C73"/>
    <w:rsid w:val="00096A5C"/>
    <w:rsid w:val="00097E01"/>
    <w:rsid w:val="000B15E2"/>
    <w:rsid w:val="000B3C3A"/>
    <w:rsid w:val="000B4D42"/>
    <w:rsid w:val="000B5DA3"/>
    <w:rsid w:val="000B6377"/>
    <w:rsid w:val="000B769B"/>
    <w:rsid w:val="000C064A"/>
    <w:rsid w:val="000C0FEC"/>
    <w:rsid w:val="000C33C1"/>
    <w:rsid w:val="000C3407"/>
    <w:rsid w:val="000C40C0"/>
    <w:rsid w:val="000D738C"/>
    <w:rsid w:val="000E036E"/>
    <w:rsid w:val="000E2292"/>
    <w:rsid w:val="000E2C05"/>
    <w:rsid w:val="000F275A"/>
    <w:rsid w:val="000F438F"/>
    <w:rsid w:val="000F47E9"/>
    <w:rsid w:val="000F5F8B"/>
    <w:rsid w:val="00101C48"/>
    <w:rsid w:val="00107E5A"/>
    <w:rsid w:val="00110829"/>
    <w:rsid w:val="00113164"/>
    <w:rsid w:val="00114B08"/>
    <w:rsid w:val="00116077"/>
    <w:rsid w:val="00121BBC"/>
    <w:rsid w:val="001225EE"/>
    <w:rsid w:val="00126441"/>
    <w:rsid w:val="0012724F"/>
    <w:rsid w:val="00130A81"/>
    <w:rsid w:val="00130BE2"/>
    <w:rsid w:val="0013473D"/>
    <w:rsid w:val="00134F13"/>
    <w:rsid w:val="00135FF1"/>
    <w:rsid w:val="00140B2F"/>
    <w:rsid w:val="00147382"/>
    <w:rsid w:val="00147B5C"/>
    <w:rsid w:val="00150662"/>
    <w:rsid w:val="00150712"/>
    <w:rsid w:val="00152B3F"/>
    <w:rsid w:val="00152C2B"/>
    <w:rsid w:val="001539C7"/>
    <w:rsid w:val="001575F8"/>
    <w:rsid w:val="00163B42"/>
    <w:rsid w:val="00164043"/>
    <w:rsid w:val="00165EAA"/>
    <w:rsid w:val="001722B2"/>
    <w:rsid w:val="001725F1"/>
    <w:rsid w:val="00173D75"/>
    <w:rsid w:val="00180A3A"/>
    <w:rsid w:val="001842A5"/>
    <w:rsid w:val="00184DF4"/>
    <w:rsid w:val="00185093"/>
    <w:rsid w:val="00185346"/>
    <w:rsid w:val="0019463F"/>
    <w:rsid w:val="00194AD3"/>
    <w:rsid w:val="001A5A4C"/>
    <w:rsid w:val="001A5D06"/>
    <w:rsid w:val="001B00F1"/>
    <w:rsid w:val="001B425E"/>
    <w:rsid w:val="001C04A2"/>
    <w:rsid w:val="001D071A"/>
    <w:rsid w:val="001D1E45"/>
    <w:rsid w:val="001D2334"/>
    <w:rsid w:val="001D4F90"/>
    <w:rsid w:val="001D513A"/>
    <w:rsid w:val="001D6E77"/>
    <w:rsid w:val="001E4972"/>
    <w:rsid w:val="001E5A76"/>
    <w:rsid w:val="001E6608"/>
    <w:rsid w:val="001E692F"/>
    <w:rsid w:val="001F20FB"/>
    <w:rsid w:val="001F6CBE"/>
    <w:rsid w:val="00200E65"/>
    <w:rsid w:val="0020275A"/>
    <w:rsid w:val="00203844"/>
    <w:rsid w:val="002052B1"/>
    <w:rsid w:val="002135E2"/>
    <w:rsid w:val="0021570F"/>
    <w:rsid w:val="00217144"/>
    <w:rsid w:val="00217585"/>
    <w:rsid w:val="00222354"/>
    <w:rsid w:val="002254EA"/>
    <w:rsid w:val="00234515"/>
    <w:rsid w:val="00235207"/>
    <w:rsid w:val="002352F3"/>
    <w:rsid w:val="00240A6E"/>
    <w:rsid w:val="0024623E"/>
    <w:rsid w:val="002511AD"/>
    <w:rsid w:val="00252B08"/>
    <w:rsid w:val="00254F06"/>
    <w:rsid w:val="00255BE1"/>
    <w:rsid w:val="002605E6"/>
    <w:rsid w:val="002644F7"/>
    <w:rsid w:val="00265AF2"/>
    <w:rsid w:val="002679FD"/>
    <w:rsid w:val="00272B41"/>
    <w:rsid w:val="00274F95"/>
    <w:rsid w:val="00276ED4"/>
    <w:rsid w:val="0028191B"/>
    <w:rsid w:val="002864D7"/>
    <w:rsid w:val="002963EF"/>
    <w:rsid w:val="002A0B6D"/>
    <w:rsid w:val="002A42BA"/>
    <w:rsid w:val="002A6FC3"/>
    <w:rsid w:val="002A7323"/>
    <w:rsid w:val="002A78EC"/>
    <w:rsid w:val="002B09B0"/>
    <w:rsid w:val="002B224F"/>
    <w:rsid w:val="002C7355"/>
    <w:rsid w:val="002D53B7"/>
    <w:rsid w:val="002D5588"/>
    <w:rsid w:val="002D7FEB"/>
    <w:rsid w:val="002E0179"/>
    <w:rsid w:val="002E25C5"/>
    <w:rsid w:val="002E2FAB"/>
    <w:rsid w:val="002E6592"/>
    <w:rsid w:val="002F0408"/>
    <w:rsid w:val="002F340E"/>
    <w:rsid w:val="002F3B90"/>
    <w:rsid w:val="002F5FD6"/>
    <w:rsid w:val="002F7456"/>
    <w:rsid w:val="00300E02"/>
    <w:rsid w:val="003011A3"/>
    <w:rsid w:val="00303349"/>
    <w:rsid w:val="00311633"/>
    <w:rsid w:val="00312735"/>
    <w:rsid w:val="003140E9"/>
    <w:rsid w:val="00314CF7"/>
    <w:rsid w:val="00314DB3"/>
    <w:rsid w:val="00315AF9"/>
    <w:rsid w:val="0032058C"/>
    <w:rsid w:val="0032086D"/>
    <w:rsid w:val="0032204B"/>
    <w:rsid w:val="003221F3"/>
    <w:rsid w:val="00326EAD"/>
    <w:rsid w:val="0033041D"/>
    <w:rsid w:val="003317CB"/>
    <w:rsid w:val="00333270"/>
    <w:rsid w:val="00333A04"/>
    <w:rsid w:val="003346E4"/>
    <w:rsid w:val="00335235"/>
    <w:rsid w:val="003365BF"/>
    <w:rsid w:val="00342659"/>
    <w:rsid w:val="0034529C"/>
    <w:rsid w:val="003459B1"/>
    <w:rsid w:val="003522D4"/>
    <w:rsid w:val="00355F7A"/>
    <w:rsid w:val="00356CD9"/>
    <w:rsid w:val="00362A4F"/>
    <w:rsid w:val="00363AF1"/>
    <w:rsid w:val="003708AD"/>
    <w:rsid w:val="00370DA9"/>
    <w:rsid w:val="00373370"/>
    <w:rsid w:val="0037765B"/>
    <w:rsid w:val="00380BC3"/>
    <w:rsid w:val="00382FD5"/>
    <w:rsid w:val="003830F5"/>
    <w:rsid w:val="00383C09"/>
    <w:rsid w:val="00384E75"/>
    <w:rsid w:val="00384FF1"/>
    <w:rsid w:val="00385CB6"/>
    <w:rsid w:val="00390C86"/>
    <w:rsid w:val="003915C9"/>
    <w:rsid w:val="003A0580"/>
    <w:rsid w:val="003A0B83"/>
    <w:rsid w:val="003B317F"/>
    <w:rsid w:val="003B31B7"/>
    <w:rsid w:val="003B3445"/>
    <w:rsid w:val="003B55F3"/>
    <w:rsid w:val="003B6621"/>
    <w:rsid w:val="003C5141"/>
    <w:rsid w:val="003D0AB2"/>
    <w:rsid w:val="003D2EFD"/>
    <w:rsid w:val="003E056B"/>
    <w:rsid w:val="003E4819"/>
    <w:rsid w:val="003E4E3F"/>
    <w:rsid w:val="003E578C"/>
    <w:rsid w:val="003F2683"/>
    <w:rsid w:val="0040461A"/>
    <w:rsid w:val="00404D37"/>
    <w:rsid w:val="00405539"/>
    <w:rsid w:val="00406282"/>
    <w:rsid w:val="004064BF"/>
    <w:rsid w:val="00410C2C"/>
    <w:rsid w:val="00410DC4"/>
    <w:rsid w:val="00411DE5"/>
    <w:rsid w:val="004124E3"/>
    <w:rsid w:val="00420A6B"/>
    <w:rsid w:val="00421632"/>
    <w:rsid w:val="0042612F"/>
    <w:rsid w:val="004305B9"/>
    <w:rsid w:val="00431081"/>
    <w:rsid w:val="00434B89"/>
    <w:rsid w:val="0043586E"/>
    <w:rsid w:val="004425CD"/>
    <w:rsid w:val="004426AF"/>
    <w:rsid w:val="00443165"/>
    <w:rsid w:val="004431E5"/>
    <w:rsid w:val="00445B14"/>
    <w:rsid w:val="0045253D"/>
    <w:rsid w:val="0045496A"/>
    <w:rsid w:val="004575B4"/>
    <w:rsid w:val="00457FA2"/>
    <w:rsid w:val="004607AB"/>
    <w:rsid w:val="004618D6"/>
    <w:rsid w:val="004644CD"/>
    <w:rsid w:val="00472847"/>
    <w:rsid w:val="004733D4"/>
    <w:rsid w:val="00473479"/>
    <w:rsid w:val="00474CCC"/>
    <w:rsid w:val="00475F29"/>
    <w:rsid w:val="0048197F"/>
    <w:rsid w:val="00483763"/>
    <w:rsid w:val="0048584C"/>
    <w:rsid w:val="004B358C"/>
    <w:rsid w:val="004B468C"/>
    <w:rsid w:val="004B5692"/>
    <w:rsid w:val="004C01AA"/>
    <w:rsid w:val="004C1CE6"/>
    <w:rsid w:val="004C6851"/>
    <w:rsid w:val="004C6B2A"/>
    <w:rsid w:val="004D1784"/>
    <w:rsid w:val="004D5597"/>
    <w:rsid w:val="004D5B60"/>
    <w:rsid w:val="004D5FED"/>
    <w:rsid w:val="004D6A72"/>
    <w:rsid w:val="004E209D"/>
    <w:rsid w:val="004E2B28"/>
    <w:rsid w:val="004E5818"/>
    <w:rsid w:val="004E61D4"/>
    <w:rsid w:val="004E66D6"/>
    <w:rsid w:val="004E731A"/>
    <w:rsid w:val="004F425A"/>
    <w:rsid w:val="004F454E"/>
    <w:rsid w:val="004F46C5"/>
    <w:rsid w:val="004F6F3D"/>
    <w:rsid w:val="00502695"/>
    <w:rsid w:val="005039D9"/>
    <w:rsid w:val="005047D3"/>
    <w:rsid w:val="00504EBB"/>
    <w:rsid w:val="00505CAF"/>
    <w:rsid w:val="00507C57"/>
    <w:rsid w:val="005110E8"/>
    <w:rsid w:val="0051204C"/>
    <w:rsid w:val="00512C8F"/>
    <w:rsid w:val="00513BEA"/>
    <w:rsid w:val="0051782D"/>
    <w:rsid w:val="00521064"/>
    <w:rsid w:val="00526B4A"/>
    <w:rsid w:val="0053462E"/>
    <w:rsid w:val="00536070"/>
    <w:rsid w:val="005407A6"/>
    <w:rsid w:val="005409F7"/>
    <w:rsid w:val="00552474"/>
    <w:rsid w:val="00552F81"/>
    <w:rsid w:val="0055408A"/>
    <w:rsid w:val="0055452F"/>
    <w:rsid w:val="00555376"/>
    <w:rsid w:val="00556907"/>
    <w:rsid w:val="005624C2"/>
    <w:rsid w:val="0056406C"/>
    <w:rsid w:val="00565763"/>
    <w:rsid w:val="00567628"/>
    <w:rsid w:val="00567C41"/>
    <w:rsid w:val="00572887"/>
    <w:rsid w:val="00576A0F"/>
    <w:rsid w:val="00577FAD"/>
    <w:rsid w:val="00584B91"/>
    <w:rsid w:val="00585978"/>
    <w:rsid w:val="00587134"/>
    <w:rsid w:val="00587219"/>
    <w:rsid w:val="00587D68"/>
    <w:rsid w:val="005916ED"/>
    <w:rsid w:val="00591E9F"/>
    <w:rsid w:val="00595966"/>
    <w:rsid w:val="00597414"/>
    <w:rsid w:val="005A2C08"/>
    <w:rsid w:val="005A5B56"/>
    <w:rsid w:val="005C08C0"/>
    <w:rsid w:val="005C1745"/>
    <w:rsid w:val="005C190E"/>
    <w:rsid w:val="005C1B2D"/>
    <w:rsid w:val="005C6338"/>
    <w:rsid w:val="005C6906"/>
    <w:rsid w:val="005D0F3F"/>
    <w:rsid w:val="005D3374"/>
    <w:rsid w:val="005D4564"/>
    <w:rsid w:val="005D6AB1"/>
    <w:rsid w:val="005D6EC1"/>
    <w:rsid w:val="005D7FF8"/>
    <w:rsid w:val="005E1C6A"/>
    <w:rsid w:val="005E3A4B"/>
    <w:rsid w:val="005E5BEE"/>
    <w:rsid w:val="005F188A"/>
    <w:rsid w:val="005F4A85"/>
    <w:rsid w:val="005F6E04"/>
    <w:rsid w:val="00604016"/>
    <w:rsid w:val="0060773B"/>
    <w:rsid w:val="00611199"/>
    <w:rsid w:val="00616C43"/>
    <w:rsid w:val="0061785E"/>
    <w:rsid w:val="00620255"/>
    <w:rsid w:val="006202DD"/>
    <w:rsid w:val="00624E06"/>
    <w:rsid w:val="006262A3"/>
    <w:rsid w:val="00632DDD"/>
    <w:rsid w:val="00633D6D"/>
    <w:rsid w:val="00637F8A"/>
    <w:rsid w:val="006427A8"/>
    <w:rsid w:val="00645289"/>
    <w:rsid w:val="006476FF"/>
    <w:rsid w:val="0065517E"/>
    <w:rsid w:val="00662CAA"/>
    <w:rsid w:val="00666A4C"/>
    <w:rsid w:val="0066731E"/>
    <w:rsid w:val="00667B8C"/>
    <w:rsid w:val="00667E3A"/>
    <w:rsid w:val="006707FC"/>
    <w:rsid w:val="006719A5"/>
    <w:rsid w:val="00675D35"/>
    <w:rsid w:val="00682478"/>
    <w:rsid w:val="00683C7F"/>
    <w:rsid w:val="00686545"/>
    <w:rsid w:val="00686700"/>
    <w:rsid w:val="00687ABA"/>
    <w:rsid w:val="00690DAD"/>
    <w:rsid w:val="00691132"/>
    <w:rsid w:val="00693E88"/>
    <w:rsid w:val="006A0BBB"/>
    <w:rsid w:val="006A354B"/>
    <w:rsid w:val="006A3E35"/>
    <w:rsid w:val="006A3FBE"/>
    <w:rsid w:val="006A579C"/>
    <w:rsid w:val="006A78B6"/>
    <w:rsid w:val="006B1646"/>
    <w:rsid w:val="006C0595"/>
    <w:rsid w:val="006C6CC6"/>
    <w:rsid w:val="006D36FE"/>
    <w:rsid w:val="006D3CED"/>
    <w:rsid w:val="006D693C"/>
    <w:rsid w:val="006E3368"/>
    <w:rsid w:val="006E4886"/>
    <w:rsid w:val="006E6364"/>
    <w:rsid w:val="006E7A1F"/>
    <w:rsid w:val="006F1BE6"/>
    <w:rsid w:val="006F5F4C"/>
    <w:rsid w:val="006F72DF"/>
    <w:rsid w:val="007029A5"/>
    <w:rsid w:val="00702E90"/>
    <w:rsid w:val="00710EB4"/>
    <w:rsid w:val="00712E3F"/>
    <w:rsid w:val="00717B14"/>
    <w:rsid w:val="00723977"/>
    <w:rsid w:val="00725BEA"/>
    <w:rsid w:val="0073010A"/>
    <w:rsid w:val="007331B2"/>
    <w:rsid w:val="00743DFA"/>
    <w:rsid w:val="007459BF"/>
    <w:rsid w:val="00745BF9"/>
    <w:rsid w:val="00747DE4"/>
    <w:rsid w:val="0075704C"/>
    <w:rsid w:val="0076044E"/>
    <w:rsid w:val="00763088"/>
    <w:rsid w:val="007712F8"/>
    <w:rsid w:val="00772533"/>
    <w:rsid w:val="00776BF6"/>
    <w:rsid w:val="00782996"/>
    <w:rsid w:val="00782AEA"/>
    <w:rsid w:val="007873EB"/>
    <w:rsid w:val="007955F2"/>
    <w:rsid w:val="007A0A02"/>
    <w:rsid w:val="007A299C"/>
    <w:rsid w:val="007C1EBA"/>
    <w:rsid w:val="007C3994"/>
    <w:rsid w:val="007C4F8B"/>
    <w:rsid w:val="007D1EFB"/>
    <w:rsid w:val="007E206B"/>
    <w:rsid w:val="007E730A"/>
    <w:rsid w:val="007E7B34"/>
    <w:rsid w:val="007F087F"/>
    <w:rsid w:val="007F28FE"/>
    <w:rsid w:val="007F42B2"/>
    <w:rsid w:val="007F4426"/>
    <w:rsid w:val="008024F9"/>
    <w:rsid w:val="00804750"/>
    <w:rsid w:val="008051C9"/>
    <w:rsid w:val="00806C44"/>
    <w:rsid w:val="0080716C"/>
    <w:rsid w:val="008136D8"/>
    <w:rsid w:val="008138D7"/>
    <w:rsid w:val="00817414"/>
    <w:rsid w:val="00817FE6"/>
    <w:rsid w:val="00820B20"/>
    <w:rsid w:val="00821D2C"/>
    <w:rsid w:val="00823553"/>
    <w:rsid w:val="00824811"/>
    <w:rsid w:val="00824ADB"/>
    <w:rsid w:val="00825B2A"/>
    <w:rsid w:val="008261D5"/>
    <w:rsid w:val="008262F2"/>
    <w:rsid w:val="00826449"/>
    <w:rsid w:val="008272E9"/>
    <w:rsid w:val="0084565A"/>
    <w:rsid w:val="0084602B"/>
    <w:rsid w:val="00846404"/>
    <w:rsid w:val="00846490"/>
    <w:rsid w:val="008558A1"/>
    <w:rsid w:val="00855B4C"/>
    <w:rsid w:val="0085719C"/>
    <w:rsid w:val="008579F2"/>
    <w:rsid w:val="00861A6D"/>
    <w:rsid w:val="00861C2D"/>
    <w:rsid w:val="0086284F"/>
    <w:rsid w:val="0087115D"/>
    <w:rsid w:val="00875C5A"/>
    <w:rsid w:val="0088755C"/>
    <w:rsid w:val="00891006"/>
    <w:rsid w:val="0089511D"/>
    <w:rsid w:val="008954AA"/>
    <w:rsid w:val="008960A0"/>
    <w:rsid w:val="008A0906"/>
    <w:rsid w:val="008A16C4"/>
    <w:rsid w:val="008A29F6"/>
    <w:rsid w:val="008A56A5"/>
    <w:rsid w:val="008B06FC"/>
    <w:rsid w:val="008C1346"/>
    <w:rsid w:val="008C34A4"/>
    <w:rsid w:val="008C3808"/>
    <w:rsid w:val="008C7E12"/>
    <w:rsid w:val="008D7DE1"/>
    <w:rsid w:val="008E1D3D"/>
    <w:rsid w:val="008E282B"/>
    <w:rsid w:val="008E63AD"/>
    <w:rsid w:val="008F1F07"/>
    <w:rsid w:val="00916CD0"/>
    <w:rsid w:val="0092089E"/>
    <w:rsid w:val="00920D5A"/>
    <w:rsid w:val="00921045"/>
    <w:rsid w:val="00921B3C"/>
    <w:rsid w:val="0092218E"/>
    <w:rsid w:val="00923512"/>
    <w:rsid w:val="00924B9F"/>
    <w:rsid w:val="009253A5"/>
    <w:rsid w:val="0093023C"/>
    <w:rsid w:val="0093036D"/>
    <w:rsid w:val="0093297F"/>
    <w:rsid w:val="009456BE"/>
    <w:rsid w:val="00950560"/>
    <w:rsid w:val="00951324"/>
    <w:rsid w:val="0095144B"/>
    <w:rsid w:val="00953AF7"/>
    <w:rsid w:val="009540C3"/>
    <w:rsid w:val="0095722A"/>
    <w:rsid w:val="009650D7"/>
    <w:rsid w:val="009670B0"/>
    <w:rsid w:val="00974C29"/>
    <w:rsid w:val="0098015B"/>
    <w:rsid w:val="00981E62"/>
    <w:rsid w:val="00982915"/>
    <w:rsid w:val="0098698E"/>
    <w:rsid w:val="00990B31"/>
    <w:rsid w:val="009B0131"/>
    <w:rsid w:val="009B113A"/>
    <w:rsid w:val="009B33EA"/>
    <w:rsid w:val="009B4770"/>
    <w:rsid w:val="009C0DC9"/>
    <w:rsid w:val="009C16F8"/>
    <w:rsid w:val="009C29B2"/>
    <w:rsid w:val="009C521B"/>
    <w:rsid w:val="009C5EEF"/>
    <w:rsid w:val="009C7F84"/>
    <w:rsid w:val="009D10D0"/>
    <w:rsid w:val="009D1E49"/>
    <w:rsid w:val="009D36FD"/>
    <w:rsid w:val="009D4AF1"/>
    <w:rsid w:val="009D79B4"/>
    <w:rsid w:val="009E3FB0"/>
    <w:rsid w:val="009E763E"/>
    <w:rsid w:val="009F2C16"/>
    <w:rsid w:val="009F6357"/>
    <w:rsid w:val="009F64E5"/>
    <w:rsid w:val="009F7E74"/>
    <w:rsid w:val="00A0023F"/>
    <w:rsid w:val="00A022C8"/>
    <w:rsid w:val="00A038FA"/>
    <w:rsid w:val="00A04487"/>
    <w:rsid w:val="00A05E32"/>
    <w:rsid w:val="00A0606D"/>
    <w:rsid w:val="00A0632E"/>
    <w:rsid w:val="00A06654"/>
    <w:rsid w:val="00A16CB2"/>
    <w:rsid w:val="00A17646"/>
    <w:rsid w:val="00A202CB"/>
    <w:rsid w:val="00A21ECC"/>
    <w:rsid w:val="00A23258"/>
    <w:rsid w:val="00A23E26"/>
    <w:rsid w:val="00A27ECF"/>
    <w:rsid w:val="00A31978"/>
    <w:rsid w:val="00A326CD"/>
    <w:rsid w:val="00A3455E"/>
    <w:rsid w:val="00A34BB7"/>
    <w:rsid w:val="00A43ACF"/>
    <w:rsid w:val="00A45050"/>
    <w:rsid w:val="00A45950"/>
    <w:rsid w:val="00A466C8"/>
    <w:rsid w:val="00A47E56"/>
    <w:rsid w:val="00A50605"/>
    <w:rsid w:val="00A50AA5"/>
    <w:rsid w:val="00A50E68"/>
    <w:rsid w:val="00A56060"/>
    <w:rsid w:val="00A56CFB"/>
    <w:rsid w:val="00A620A1"/>
    <w:rsid w:val="00A6373C"/>
    <w:rsid w:val="00A66E4C"/>
    <w:rsid w:val="00A71784"/>
    <w:rsid w:val="00A7469A"/>
    <w:rsid w:val="00A84AEC"/>
    <w:rsid w:val="00A9373B"/>
    <w:rsid w:val="00A93DC8"/>
    <w:rsid w:val="00A941E2"/>
    <w:rsid w:val="00A957E8"/>
    <w:rsid w:val="00A9776C"/>
    <w:rsid w:val="00AA0C11"/>
    <w:rsid w:val="00AA38D3"/>
    <w:rsid w:val="00AA4079"/>
    <w:rsid w:val="00AA456A"/>
    <w:rsid w:val="00AA47A7"/>
    <w:rsid w:val="00AA504B"/>
    <w:rsid w:val="00AA7564"/>
    <w:rsid w:val="00AA7BBD"/>
    <w:rsid w:val="00AB50C4"/>
    <w:rsid w:val="00AB71A7"/>
    <w:rsid w:val="00AC2193"/>
    <w:rsid w:val="00AD21E9"/>
    <w:rsid w:val="00AD3A2D"/>
    <w:rsid w:val="00AD5D1A"/>
    <w:rsid w:val="00AD6EBC"/>
    <w:rsid w:val="00AE40E0"/>
    <w:rsid w:val="00AF0307"/>
    <w:rsid w:val="00AF35CB"/>
    <w:rsid w:val="00AF575D"/>
    <w:rsid w:val="00AF6B02"/>
    <w:rsid w:val="00AF7953"/>
    <w:rsid w:val="00B11BA5"/>
    <w:rsid w:val="00B13131"/>
    <w:rsid w:val="00B14F67"/>
    <w:rsid w:val="00B1508A"/>
    <w:rsid w:val="00B16424"/>
    <w:rsid w:val="00B207FF"/>
    <w:rsid w:val="00B239A0"/>
    <w:rsid w:val="00B25A3A"/>
    <w:rsid w:val="00B26416"/>
    <w:rsid w:val="00B277C7"/>
    <w:rsid w:val="00B326CB"/>
    <w:rsid w:val="00B40AB3"/>
    <w:rsid w:val="00B45BEE"/>
    <w:rsid w:val="00B52992"/>
    <w:rsid w:val="00B530A8"/>
    <w:rsid w:val="00B53E66"/>
    <w:rsid w:val="00B55F5F"/>
    <w:rsid w:val="00B57898"/>
    <w:rsid w:val="00B602EB"/>
    <w:rsid w:val="00B64A0E"/>
    <w:rsid w:val="00B65DBA"/>
    <w:rsid w:val="00B66008"/>
    <w:rsid w:val="00B72EF3"/>
    <w:rsid w:val="00B820B1"/>
    <w:rsid w:val="00B82BEC"/>
    <w:rsid w:val="00B8548B"/>
    <w:rsid w:val="00B87B3E"/>
    <w:rsid w:val="00B912A0"/>
    <w:rsid w:val="00B958A7"/>
    <w:rsid w:val="00BB4ADA"/>
    <w:rsid w:val="00BC2E16"/>
    <w:rsid w:val="00BC3C0F"/>
    <w:rsid w:val="00BC72C9"/>
    <w:rsid w:val="00BD4758"/>
    <w:rsid w:val="00BD7223"/>
    <w:rsid w:val="00BD7C73"/>
    <w:rsid w:val="00BE1F57"/>
    <w:rsid w:val="00BE3942"/>
    <w:rsid w:val="00BE5431"/>
    <w:rsid w:val="00BF4ECD"/>
    <w:rsid w:val="00BF5D79"/>
    <w:rsid w:val="00C06656"/>
    <w:rsid w:val="00C07CB6"/>
    <w:rsid w:val="00C102CC"/>
    <w:rsid w:val="00C14CE7"/>
    <w:rsid w:val="00C226F4"/>
    <w:rsid w:val="00C23957"/>
    <w:rsid w:val="00C25047"/>
    <w:rsid w:val="00C251DA"/>
    <w:rsid w:val="00C30A3C"/>
    <w:rsid w:val="00C3184E"/>
    <w:rsid w:val="00C53997"/>
    <w:rsid w:val="00C60F9F"/>
    <w:rsid w:val="00C6189E"/>
    <w:rsid w:val="00C630C3"/>
    <w:rsid w:val="00C659E9"/>
    <w:rsid w:val="00C668B8"/>
    <w:rsid w:val="00C7040D"/>
    <w:rsid w:val="00C736BD"/>
    <w:rsid w:val="00C73D9E"/>
    <w:rsid w:val="00C753AE"/>
    <w:rsid w:val="00C75D7A"/>
    <w:rsid w:val="00C82617"/>
    <w:rsid w:val="00C83B40"/>
    <w:rsid w:val="00C841B9"/>
    <w:rsid w:val="00C93772"/>
    <w:rsid w:val="00C96AC3"/>
    <w:rsid w:val="00CA784A"/>
    <w:rsid w:val="00CB007C"/>
    <w:rsid w:val="00CB2312"/>
    <w:rsid w:val="00CB5A5C"/>
    <w:rsid w:val="00CB7F4E"/>
    <w:rsid w:val="00CC0991"/>
    <w:rsid w:val="00CC0CDB"/>
    <w:rsid w:val="00CC0F47"/>
    <w:rsid w:val="00CC3661"/>
    <w:rsid w:val="00CD107B"/>
    <w:rsid w:val="00CD7876"/>
    <w:rsid w:val="00CE1DEC"/>
    <w:rsid w:val="00CE20C1"/>
    <w:rsid w:val="00CE6FDB"/>
    <w:rsid w:val="00CF350B"/>
    <w:rsid w:val="00CF6EFF"/>
    <w:rsid w:val="00D0037A"/>
    <w:rsid w:val="00D00939"/>
    <w:rsid w:val="00D01572"/>
    <w:rsid w:val="00D02852"/>
    <w:rsid w:val="00D030CF"/>
    <w:rsid w:val="00D03E6D"/>
    <w:rsid w:val="00D04DD1"/>
    <w:rsid w:val="00D105D6"/>
    <w:rsid w:val="00D12C28"/>
    <w:rsid w:val="00D14247"/>
    <w:rsid w:val="00D16119"/>
    <w:rsid w:val="00D20CD4"/>
    <w:rsid w:val="00D22D5C"/>
    <w:rsid w:val="00D2593D"/>
    <w:rsid w:val="00D26E22"/>
    <w:rsid w:val="00D27D74"/>
    <w:rsid w:val="00D3239F"/>
    <w:rsid w:val="00D33717"/>
    <w:rsid w:val="00D33A41"/>
    <w:rsid w:val="00D42892"/>
    <w:rsid w:val="00D42BEE"/>
    <w:rsid w:val="00D45252"/>
    <w:rsid w:val="00D45618"/>
    <w:rsid w:val="00D476FB"/>
    <w:rsid w:val="00D510CA"/>
    <w:rsid w:val="00D57D8C"/>
    <w:rsid w:val="00D57F96"/>
    <w:rsid w:val="00D63CD7"/>
    <w:rsid w:val="00D769B3"/>
    <w:rsid w:val="00D805D1"/>
    <w:rsid w:val="00D80A4C"/>
    <w:rsid w:val="00D8149F"/>
    <w:rsid w:val="00D83773"/>
    <w:rsid w:val="00D83981"/>
    <w:rsid w:val="00D872CB"/>
    <w:rsid w:val="00D913A9"/>
    <w:rsid w:val="00D91C7F"/>
    <w:rsid w:val="00D9666E"/>
    <w:rsid w:val="00D97BAD"/>
    <w:rsid w:val="00DA1982"/>
    <w:rsid w:val="00DA1DC0"/>
    <w:rsid w:val="00DA593F"/>
    <w:rsid w:val="00DA6EFE"/>
    <w:rsid w:val="00DB489B"/>
    <w:rsid w:val="00DC5051"/>
    <w:rsid w:val="00DE27E2"/>
    <w:rsid w:val="00DE6419"/>
    <w:rsid w:val="00DF3182"/>
    <w:rsid w:val="00DF3D87"/>
    <w:rsid w:val="00E04D9B"/>
    <w:rsid w:val="00E123C0"/>
    <w:rsid w:val="00E13D80"/>
    <w:rsid w:val="00E1699D"/>
    <w:rsid w:val="00E17DF4"/>
    <w:rsid w:val="00E218B9"/>
    <w:rsid w:val="00E253F9"/>
    <w:rsid w:val="00E2683D"/>
    <w:rsid w:val="00E27750"/>
    <w:rsid w:val="00E301FE"/>
    <w:rsid w:val="00E32DE7"/>
    <w:rsid w:val="00E34DC8"/>
    <w:rsid w:val="00E37220"/>
    <w:rsid w:val="00E37793"/>
    <w:rsid w:val="00E41191"/>
    <w:rsid w:val="00E528E0"/>
    <w:rsid w:val="00E5332A"/>
    <w:rsid w:val="00E54DCD"/>
    <w:rsid w:val="00E57B2A"/>
    <w:rsid w:val="00E742EE"/>
    <w:rsid w:val="00E75D79"/>
    <w:rsid w:val="00E91301"/>
    <w:rsid w:val="00E916B2"/>
    <w:rsid w:val="00E91B49"/>
    <w:rsid w:val="00E91B8F"/>
    <w:rsid w:val="00E935D6"/>
    <w:rsid w:val="00E96988"/>
    <w:rsid w:val="00EA3A88"/>
    <w:rsid w:val="00EA45CD"/>
    <w:rsid w:val="00EA7EA7"/>
    <w:rsid w:val="00EB27F8"/>
    <w:rsid w:val="00EB6F34"/>
    <w:rsid w:val="00EC0ADA"/>
    <w:rsid w:val="00EC2739"/>
    <w:rsid w:val="00EC48CC"/>
    <w:rsid w:val="00EC5C8A"/>
    <w:rsid w:val="00EC70AC"/>
    <w:rsid w:val="00EC79F5"/>
    <w:rsid w:val="00ED021D"/>
    <w:rsid w:val="00ED13A2"/>
    <w:rsid w:val="00EE06FF"/>
    <w:rsid w:val="00EE44D4"/>
    <w:rsid w:val="00EF5D90"/>
    <w:rsid w:val="00EF6791"/>
    <w:rsid w:val="00EF6E54"/>
    <w:rsid w:val="00F07E56"/>
    <w:rsid w:val="00F10CEC"/>
    <w:rsid w:val="00F12444"/>
    <w:rsid w:val="00F1262C"/>
    <w:rsid w:val="00F13BA3"/>
    <w:rsid w:val="00F15FFB"/>
    <w:rsid w:val="00F17801"/>
    <w:rsid w:val="00F179DC"/>
    <w:rsid w:val="00F17AA1"/>
    <w:rsid w:val="00F25FF5"/>
    <w:rsid w:val="00F30153"/>
    <w:rsid w:val="00F30F45"/>
    <w:rsid w:val="00F349E0"/>
    <w:rsid w:val="00F34F9C"/>
    <w:rsid w:val="00F36FFF"/>
    <w:rsid w:val="00F50FD6"/>
    <w:rsid w:val="00F517D3"/>
    <w:rsid w:val="00F52782"/>
    <w:rsid w:val="00F529DA"/>
    <w:rsid w:val="00F53331"/>
    <w:rsid w:val="00F55E16"/>
    <w:rsid w:val="00F56BE0"/>
    <w:rsid w:val="00F5795F"/>
    <w:rsid w:val="00F6788A"/>
    <w:rsid w:val="00F818E8"/>
    <w:rsid w:val="00F84FB7"/>
    <w:rsid w:val="00F85331"/>
    <w:rsid w:val="00F90561"/>
    <w:rsid w:val="00F9582A"/>
    <w:rsid w:val="00F95A2A"/>
    <w:rsid w:val="00F97513"/>
    <w:rsid w:val="00FA433B"/>
    <w:rsid w:val="00FB0B89"/>
    <w:rsid w:val="00FB1E59"/>
    <w:rsid w:val="00FB62A3"/>
    <w:rsid w:val="00FB6D5F"/>
    <w:rsid w:val="00FC3D94"/>
    <w:rsid w:val="00FC42B3"/>
    <w:rsid w:val="00FD6111"/>
    <w:rsid w:val="00FE0B76"/>
    <w:rsid w:val="00FE43AB"/>
    <w:rsid w:val="00FF3CF4"/>
    <w:rsid w:val="00FF5B6E"/>
    <w:rsid w:val="00FF66BB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8CA4EF"/>
  <w15:docId w15:val="{CC5E3D2F-6179-48AE-931B-DF68C05B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254F06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254F06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254F0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254F06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254F06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254F06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54F06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254F06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54F06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254F06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link w:val="Sourc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254F06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254F06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254F06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254F06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link w:val="Anne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254F0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254F06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ArtNo">
    <w:name w:val="Art_No"/>
    <w:basedOn w:val="Normal"/>
    <w:next w:val="Normal"/>
    <w:link w:val="Art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link w:val="Art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254F06"/>
  </w:style>
  <w:style w:type="paragraph" w:customStyle="1" w:styleId="Arttitle">
    <w:name w:val="Art_title"/>
    <w:basedOn w:val="Normal"/>
    <w:next w:val="Normal"/>
    <w:link w:val="ArttitleCar"/>
    <w:rsid w:val="00254F06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link w:val="Art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254F06"/>
  </w:style>
  <w:style w:type="character" w:customStyle="1" w:styleId="Appdef">
    <w:name w:val="App_def"/>
    <w:rsid w:val="00254F06"/>
    <w:rPr>
      <w:rFonts w:ascii="Times New Roman" w:hAnsi="Times New Roman" w:cs="Times New Roman"/>
      <w:b/>
    </w:rPr>
  </w:style>
  <w:style w:type="character" w:customStyle="1" w:styleId="Appref">
    <w:name w:val="App_ref"/>
    <w:rsid w:val="00254F06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254F06"/>
  </w:style>
  <w:style w:type="character" w:customStyle="1" w:styleId="AppendixNoCar">
    <w:name w:val="Appendix_No Car"/>
    <w:link w:val="Appendi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254F06"/>
    <w:rPr>
      <w:lang w:val="en-GB"/>
    </w:rPr>
  </w:style>
  <w:style w:type="paragraph" w:customStyle="1" w:styleId="Appendixref">
    <w:name w:val="Appendix_ref"/>
    <w:basedOn w:val="Annexref"/>
    <w:next w:val="Annextitle"/>
    <w:rsid w:val="00254F06"/>
  </w:style>
  <w:style w:type="paragraph" w:customStyle="1" w:styleId="Appendixtitle">
    <w:name w:val="Appendix_title"/>
    <w:basedOn w:val="Annextitle"/>
    <w:next w:val="Normal"/>
    <w:link w:val="AppendixtitleChar"/>
    <w:rsid w:val="00254F06"/>
  </w:style>
  <w:style w:type="character" w:customStyle="1" w:styleId="AppendixtitleChar">
    <w:name w:val="Appendix_title Char"/>
    <w:link w:val="Appendi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rsid w:val="00254F06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254F06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rsid w:val="00254F06"/>
    <w:rPr>
      <w:rFonts w:cs="Times New Roman"/>
      <w:bCs/>
      <w:sz w:val="18"/>
      <w:lang w:val="en-US" w:eastAsia="x-none"/>
    </w:rPr>
  </w:style>
  <w:style w:type="paragraph" w:customStyle="1" w:styleId="Tabletext">
    <w:name w:val="Table_text"/>
    <w:basedOn w:val="Normal"/>
    <w:link w:val="TabletextChar"/>
    <w:rsid w:val="00254F06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link w:val="Tabletext"/>
    <w:locked/>
    <w:rsid w:val="00254F06"/>
    <w:rPr>
      <w:rFonts w:ascii="Times New Roman" w:hAnsi="Times New Roman"/>
      <w:sz w:val="18"/>
      <w:lang w:val="ru-RU" w:eastAsia="en-US"/>
    </w:rPr>
  </w:style>
  <w:style w:type="paragraph" w:customStyle="1" w:styleId="Call">
    <w:name w:val="Call"/>
    <w:basedOn w:val="Normal"/>
    <w:next w:val="Normal"/>
    <w:link w:val="CallChar"/>
    <w:rsid w:val="00254F06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link w:val="Call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254F0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254F06"/>
  </w:style>
  <w:style w:type="character" w:customStyle="1" w:styleId="ChaptitleChar">
    <w:name w:val="Chap_title Char"/>
    <w:link w:val="Chap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enumlev1">
    <w:name w:val="enumlev1"/>
    <w:basedOn w:val="Normal"/>
    <w:link w:val="enumlev1Char"/>
    <w:rsid w:val="00254F0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link w:val="enumlev1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254F06"/>
    <w:pPr>
      <w:ind w:left="1871" w:hanging="737"/>
    </w:pPr>
  </w:style>
  <w:style w:type="character" w:customStyle="1" w:styleId="enumlev2Char">
    <w:name w:val="enumlev2 Char"/>
    <w:link w:val="enumlev2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254F06"/>
    <w:pPr>
      <w:ind w:left="2268" w:hanging="397"/>
    </w:pPr>
  </w:style>
  <w:style w:type="paragraph" w:customStyle="1" w:styleId="Equation">
    <w:name w:val="Equation"/>
    <w:basedOn w:val="Normal"/>
    <w:link w:val="EquationChar"/>
    <w:rsid w:val="00254F06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link w:val="Equation"/>
    <w:locked/>
    <w:rsid w:val="00254F06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254F06"/>
    <w:pPr>
      <w:ind w:left="1134"/>
    </w:pPr>
  </w:style>
  <w:style w:type="paragraph" w:customStyle="1" w:styleId="Equationlegend">
    <w:name w:val="Equation_legend"/>
    <w:basedOn w:val="NormalIndent"/>
    <w:rsid w:val="00254F06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254F06"/>
    <w:pPr>
      <w:keepNext/>
      <w:keepLines/>
      <w:jc w:val="center"/>
    </w:pPr>
  </w:style>
  <w:style w:type="paragraph" w:customStyle="1" w:styleId="Figurelegend">
    <w:name w:val="Figure_legend"/>
    <w:basedOn w:val="Normal"/>
    <w:rsid w:val="00254F06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254F06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254F06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254F06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254F06"/>
    <w:pPr>
      <w:spacing w:after="480"/>
    </w:pPr>
  </w:style>
  <w:style w:type="character" w:customStyle="1" w:styleId="FiguretitleChar">
    <w:name w:val="Figure_title Char"/>
    <w:link w:val="Figur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254F06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254F06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link w:val="Footer"/>
    <w:rsid w:val="00254F06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254F0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254F06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254F06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link w:val="FootnoteText"/>
    <w:rsid w:val="00254F06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254F06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254F06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link w:val="Header"/>
    <w:rsid w:val="00254F06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link w:val="Heading1"/>
    <w:locked/>
    <w:rsid w:val="00254F06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link w:val="Heading2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link w:val="Heading4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link w:val="Heading5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link w:val="Heading6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link w:val="Heading7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link w:val="Heading8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link w:val="Heading9"/>
    <w:locked/>
    <w:rsid w:val="00254F06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254F06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link w:val="Headingb"/>
    <w:locked/>
    <w:rsid w:val="00254F06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254F06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254F06"/>
  </w:style>
  <w:style w:type="paragraph" w:styleId="Index2">
    <w:name w:val="index 2"/>
    <w:basedOn w:val="Normal"/>
    <w:next w:val="Normal"/>
    <w:rsid w:val="00254F06"/>
    <w:pPr>
      <w:ind w:left="283"/>
    </w:pPr>
  </w:style>
  <w:style w:type="paragraph" w:styleId="Index3">
    <w:name w:val="index 3"/>
    <w:basedOn w:val="Normal"/>
    <w:next w:val="Normal"/>
    <w:rsid w:val="00254F06"/>
    <w:pPr>
      <w:ind w:left="566"/>
    </w:pPr>
  </w:style>
  <w:style w:type="paragraph" w:styleId="Index4">
    <w:name w:val="index 4"/>
    <w:basedOn w:val="Normal"/>
    <w:next w:val="Normal"/>
    <w:rsid w:val="00254F06"/>
    <w:pPr>
      <w:ind w:left="849"/>
    </w:pPr>
  </w:style>
  <w:style w:type="paragraph" w:styleId="Index5">
    <w:name w:val="index 5"/>
    <w:basedOn w:val="Normal"/>
    <w:next w:val="Normal"/>
    <w:rsid w:val="00254F06"/>
    <w:pPr>
      <w:ind w:left="1132"/>
    </w:pPr>
  </w:style>
  <w:style w:type="paragraph" w:styleId="Index6">
    <w:name w:val="index 6"/>
    <w:basedOn w:val="Normal"/>
    <w:next w:val="Normal"/>
    <w:rsid w:val="00254F06"/>
    <w:pPr>
      <w:ind w:left="1415"/>
    </w:pPr>
  </w:style>
  <w:style w:type="paragraph" w:styleId="Index7">
    <w:name w:val="index 7"/>
    <w:basedOn w:val="Normal"/>
    <w:next w:val="Normal"/>
    <w:rsid w:val="00254F06"/>
    <w:pPr>
      <w:ind w:left="1698"/>
    </w:pPr>
  </w:style>
  <w:style w:type="paragraph" w:styleId="IndexHeading">
    <w:name w:val="index heading"/>
    <w:basedOn w:val="Normal"/>
    <w:next w:val="Index1"/>
    <w:rsid w:val="00254F06"/>
  </w:style>
  <w:style w:type="character" w:styleId="LineNumber">
    <w:name w:val="line number"/>
    <w:rsid w:val="00254F06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254F06"/>
    <w:pPr>
      <w:spacing w:before="280"/>
    </w:pPr>
  </w:style>
  <w:style w:type="character" w:customStyle="1" w:styleId="NormalaftertitleChar">
    <w:name w:val="Normal after title Char"/>
    <w:link w:val="Normalaftertitle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254F06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link w:val="Note"/>
    <w:locked/>
    <w:rsid w:val="00254F06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rsid w:val="00254F06"/>
    <w:rPr>
      <w:rFonts w:cs="Times New Roman"/>
    </w:rPr>
  </w:style>
  <w:style w:type="paragraph" w:customStyle="1" w:styleId="PartNo">
    <w:name w:val="Part_No"/>
    <w:basedOn w:val="AnnexNo"/>
    <w:next w:val="Normal"/>
    <w:rsid w:val="00254F06"/>
  </w:style>
  <w:style w:type="paragraph" w:customStyle="1" w:styleId="Partref">
    <w:name w:val="Part_ref"/>
    <w:basedOn w:val="Annexref"/>
    <w:next w:val="Normal"/>
    <w:rsid w:val="00254F06"/>
  </w:style>
  <w:style w:type="paragraph" w:customStyle="1" w:styleId="Parttitle">
    <w:name w:val="Part_title"/>
    <w:basedOn w:val="Annextitle"/>
    <w:next w:val="Normalaftertitle"/>
    <w:rsid w:val="00254F06"/>
  </w:style>
  <w:style w:type="paragraph" w:customStyle="1" w:styleId="Proposal">
    <w:name w:val="Proposal"/>
    <w:basedOn w:val="Normal"/>
    <w:next w:val="Normal"/>
    <w:link w:val="ProposalChar"/>
    <w:rsid w:val="00254F06"/>
    <w:pPr>
      <w:keepNext/>
      <w:spacing w:before="240"/>
    </w:pPr>
  </w:style>
  <w:style w:type="character" w:customStyle="1" w:styleId="ProposalChar">
    <w:name w:val="Proposal Char"/>
    <w:link w:val="Proposal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link w:val="Rec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254F06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254F06"/>
    <w:pPr>
      <w:spacing w:before="120"/>
    </w:pPr>
    <w:rPr>
      <w:rFonts w:ascii="Times New Roman" w:hAnsi="Times New Roman"/>
      <w:b w:val="0"/>
      <w:sz w:val="24"/>
    </w:rPr>
  </w:style>
  <w:style w:type="character" w:customStyle="1" w:styleId="Heading3Char">
    <w:name w:val="Heading 3 Char"/>
    <w:link w:val="Heading3"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Recdate">
    <w:name w:val="Rec_date"/>
    <w:basedOn w:val="Recref"/>
    <w:next w:val="Normalaftertitle"/>
    <w:rsid w:val="00254F0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54F06"/>
  </w:style>
  <w:style w:type="paragraph" w:customStyle="1" w:styleId="QuestionNo">
    <w:name w:val="Question_No"/>
    <w:basedOn w:val="RecNo"/>
    <w:next w:val="Normal"/>
    <w:rsid w:val="00254F06"/>
  </w:style>
  <w:style w:type="paragraph" w:customStyle="1" w:styleId="Questionref">
    <w:name w:val="Question_ref"/>
    <w:basedOn w:val="Recref"/>
    <w:next w:val="Questiondate"/>
    <w:rsid w:val="00254F06"/>
  </w:style>
  <w:style w:type="paragraph" w:customStyle="1" w:styleId="Questiontitle">
    <w:name w:val="Question_title"/>
    <w:basedOn w:val="Rectitle"/>
    <w:next w:val="Questionref"/>
    <w:rsid w:val="00254F06"/>
  </w:style>
  <w:style w:type="paragraph" w:customStyle="1" w:styleId="Reasons">
    <w:name w:val="Reasons"/>
    <w:basedOn w:val="Normal"/>
    <w:link w:val="ReasonsChar"/>
    <w:qFormat/>
    <w:rsid w:val="00254F06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link w:val="Reasons"/>
    <w:locked/>
    <w:rsid w:val="00254F06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rsid w:val="00254F06"/>
    <w:rPr>
      <w:rFonts w:cs="Times New Roman"/>
      <w:b/>
    </w:rPr>
  </w:style>
  <w:style w:type="paragraph" w:customStyle="1" w:styleId="Reftext">
    <w:name w:val="Ref_text"/>
    <w:basedOn w:val="Normal"/>
    <w:rsid w:val="00254F06"/>
    <w:pPr>
      <w:ind w:left="1134" w:hanging="1134"/>
    </w:pPr>
  </w:style>
  <w:style w:type="paragraph" w:customStyle="1" w:styleId="Reftitle">
    <w:name w:val="Ref_title"/>
    <w:basedOn w:val="Normal"/>
    <w:next w:val="Reftext"/>
    <w:rsid w:val="00254F0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54F06"/>
  </w:style>
  <w:style w:type="paragraph" w:customStyle="1" w:styleId="RepNo">
    <w:name w:val="Rep_No"/>
    <w:basedOn w:val="RecNo"/>
    <w:next w:val="Normal"/>
    <w:rsid w:val="00254F06"/>
  </w:style>
  <w:style w:type="paragraph" w:customStyle="1" w:styleId="Repref">
    <w:name w:val="Rep_ref"/>
    <w:basedOn w:val="Recref"/>
    <w:next w:val="Repdate"/>
    <w:rsid w:val="00254F06"/>
  </w:style>
  <w:style w:type="paragraph" w:customStyle="1" w:styleId="Reptitle">
    <w:name w:val="Rep_title"/>
    <w:basedOn w:val="Rectitle"/>
    <w:next w:val="Repref"/>
    <w:rsid w:val="00254F06"/>
  </w:style>
  <w:style w:type="paragraph" w:customStyle="1" w:styleId="Resdate">
    <w:name w:val="Res_date"/>
    <w:basedOn w:val="Recdate"/>
    <w:next w:val="Normalaftertitle"/>
    <w:rsid w:val="00254F06"/>
  </w:style>
  <w:style w:type="character" w:customStyle="1" w:styleId="Resdef">
    <w:name w:val="Res_def"/>
    <w:rsid w:val="00254F0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254F06"/>
  </w:style>
  <w:style w:type="character" w:customStyle="1" w:styleId="ResNoChar">
    <w:name w:val="Res_No Char"/>
    <w:link w:val="Res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254F06"/>
  </w:style>
  <w:style w:type="paragraph" w:customStyle="1" w:styleId="Restitle">
    <w:name w:val="Res_title"/>
    <w:basedOn w:val="Rectitle"/>
    <w:next w:val="Resref"/>
    <w:link w:val="RestitleChar"/>
    <w:rsid w:val="00254F06"/>
  </w:style>
  <w:style w:type="character" w:customStyle="1" w:styleId="RestitleChar">
    <w:name w:val="Res_title Char"/>
    <w:link w:val="Res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254F06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link w:val="Section1"/>
    <w:locked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254F06"/>
    <w:rPr>
      <w:b w:val="0"/>
      <w:i/>
    </w:rPr>
  </w:style>
  <w:style w:type="character" w:customStyle="1" w:styleId="Section2Char">
    <w:name w:val="Section_2 Char"/>
    <w:link w:val="Section2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254F06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254F06"/>
    <w:rPr>
      <w:rFonts w:ascii="Times New Roman" w:eastAsia="SimSun" w:hAnsi="Times New Roman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254F06"/>
  </w:style>
  <w:style w:type="paragraph" w:customStyle="1" w:styleId="Sectiontitle">
    <w:name w:val="Section_title"/>
    <w:basedOn w:val="Annextitle"/>
    <w:next w:val="Normalaftertitle"/>
    <w:rsid w:val="00254F06"/>
  </w:style>
  <w:style w:type="paragraph" w:styleId="Revision">
    <w:name w:val="Revision"/>
    <w:hidden/>
    <w:uiPriority w:val="99"/>
    <w:semiHidden/>
    <w:rsid w:val="001B00F1"/>
    <w:rPr>
      <w:rFonts w:ascii="Times New Roman" w:hAnsi="Times New Roman"/>
      <w:sz w:val="24"/>
      <w:lang w:val="en-GB" w:eastAsia="en-US"/>
    </w:rPr>
  </w:style>
  <w:style w:type="paragraph" w:customStyle="1" w:styleId="SpecialFooter">
    <w:name w:val="Special Footer"/>
    <w:basedOn w:val="Footer"/>
    <w:rsid w:val="00254F0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254F06"/>
    <w:rPr>
      <w:lang w:val="en-GB"/>
    </w:rPr>
  </w:style>
  <w:style w:type="table" w:styleId="TableGrid">
    <w:name w:val="Table Grid"/>
    <w:basedOn w:val="TableNormal"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254F06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rsid w:val="00254F06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254F06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link w:val="Tablehead"/>
    <w:locked/>
    <w:rsid w:val="00254F06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254F06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254F06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254F06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254F06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254F06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link w:val="TableTextS5"/>
    <w:locked/>
    <w:rsid w:val="00254F06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254F06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254F06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link w:val="Title1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254F06"/>
    <w:rPr>
      <w:b/>
    </w:rPr>
  </w:style>
  <w:style w:type="paragraph" w:customStyle="1" w:styleId="toc0">
    <w:name w:val="toc 0"/>
    <w:basedOn w:val="Normal"/>
    <w:next w:val="TOC1"/>
    <w:rsid w:val="00254F06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254F06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254F06"/>
    <w:pPr>
      <w:spacing w:before="120"/>
    </w:pPr>
  </w:style>
  <w:style w:type="paragraph" w:styleId="TOC3">
    <w:name w:val="toc 3"/>
    <w:basedOn w:val="TOC2"/>
    <w:rsid w:val="00254F06"/>
  </w:style>
  <w:style w:type="paragraph" w:styleId="TOC4">
    <w:name w:val="toc 4"/>
    <w:basedOn w:val="TOC3"/>
    <w:rsid w:val="00254F06"/>
  </w:style>
  <w:style w:type="paragraph" w:styleId="TOC5">
    <w:name w:val="toc 5"/>
    <w:basedOn w:val="TOC4"/>
    <w:rsid w:val="00254F06"/>
  </w:style>
  <w:style w:type="paragraph" w:styleId="TOC6">
    <w:name w:val="toc 6"/>
    <w:basedOn w:val="TOC4"/>
    <w:rsid w:val="00254F06"/>
  </w:style>
  <w:style w:type="paragraph" w:styleId="TOC7">
    <w:name w:val="toc 7"/>
    <w:basedOn w:val="TOC4"/>
    <w:rsid w:val="00254F06"/>
  </w:style>
  <w:style w:type="paragraph" w:styleId="TOC8">
    <w:name w:val="toc 8"/>
    <w:basedOn w:val="TOC4"/>
    <w:rsid w:val="00254F06"/>
  </w:style>
  <w:style w:type="paragraph" w:customStyle="1" w:styleId="Volumetitle">
    <w:name w:val="Volume_title"/>
    <w:basedOn w:val="Normal"/>
    <w:qFormat/>
    <w:rsid w:val="00254F06"/>
    <w:pPr>
      <w:jc w:val="center"/>
    </w:pPr>
    <w:rPr>
      <w:b/>
      <w:bCs/>
      <w:sz w:val="26"/>
      <w:szCs w:val="28"/>
      <w:lang w:val="en-GB"/>
    </w:r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?,Style?,S"/>
    <w:basedOn w:val="DefaultParagraphFont"/>
    <w:qFormat/>
    <w:rsid w:val="005A5B5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A5B56"/>
    <w:pPr>
      <w:ind w:left="720"/>
      <w:contextualSpacing/>
      <w:textAlignment w:val="auto"/>
    </w:pPr>
    <w:rPr>
      <w:rFonts w:eastAsia="SimSun"/>
      <w:sz w:val="24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A5B56"/>
    <w:rPr>
      <w:rFonts w:ascii="Times New Roman" w:eastAsia="SimSun" w:hAnsi="Times New Roman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450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56C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-CIR-0277/en" TargetMode="External"/><Relationship Id="rId13" Type="http://schemas.openxmlformats.org/officeDocument/2006/relationships/hyperlink" Target="https://www.itu.int/md/R23-SG05-C-0096/en" TargetMode="External"/><Relationship Id="rId18" Type="http://schemas.openxmlformats.org/officeDocument/2006/relationships/chart" Target="charts/chart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hart" Target="charts/chart3.xml"/><Relationship Id="rId7" Type="http://schemas.openxmlformats.org/officeDocument/2006/relationships/image" Target="media/image1.jpeg"/><Relationship Id="rId12" Type="http://schemas.openxmlformats.org/officeDocument/2006/relationships/hyperlink" Target="https://www.itu.int/md/R23-SG04-C-0047/en" TargetMode="External"/><Relationship Id="rId17" Type="http://schemas.openxmlformats.org/officeDocument/2006/relationships/chart" Target="charts/chart1.xm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https://www.itu.int/md/R23-RAG-C-0058/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R23-RAG-C-0058/en" TargetMode="External"/><Relationship Id="rId24" Type="http://schemas.openxmlformats.org/officeDocument/2006/relationships/hyperlink" Target="mailto:fabghamdi@citc.gov.s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tu.int/md/R23-SG05-C-0096/en" TargetMode="External"/><Relationship Id="rId23" Type="http://schemas.openxmlformats.org/officeDocument/2006/relationships/hyperlink" Target="mailto:fabghamdi@citc.gov.sa" TargetMode="External"/><Relationship Id="rId10" Type="http://schemas.openxmlformats.org/officeDocument/2006/relationships/hyperlink" Target="https://www.itu.int/md/R23-RAG-C-0058/en" TargetMode="External"/><Relationship Id="rId19" Type="http://schemas.openxmlformats.org/officeDocument/2006/relationships/hyperlink" Target="https://www.itu.int/md/R23-RAG-C-0058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R00-CA-CIR-0277/en" TargetMode="External"/><Relationship Id="rId14" Type="http://schemas.openxmlformats.org/officeDocument/2006/relationships/hyperlink" Target="https://www.itu.int/md/R23-SG04-C-0047/en" TargetMode="External"/><Relationship Id="rId22" Type="http://schemas.openxmlformats.org/officeDocument/2006/relationships/chart" Target="charts/chart4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605;&#1604;&#1601;&#1575;&#1578;%20&#1575;&#1604;&#1591;&#1610;&#1601;\&#1575;&#1583;&#1575;&#1585;&#1577;%20&#1575;&#1604;&#1578;&#1606;&#1587;&#1610;&#1602;%20&#1575;&#1604;&#1583;&#1608;&#1604;&#1610;\&#1575;&#1604;&#1578;&#1606;&#1592;&#1610;&#1605;&#1575;&#1578;%20&#1608;%20&#1575;&#1604;&#1583;&#1585;&#1575;&#1587;&#1575;&#1578;\RAG\33rd%20meeting\SG\SG%20work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605;&#1604;&#1601;&#1575;&#1578;%20&#1575;&#1604;&#1591;&#1610;&#1601;\&#1575;&#1583;&#1575;&#1585;&#1577;%20&#1575;&#1604;&#1578;&#1606;&#1587;&#1610;&#1602;%20&#1575;&#1604;&#1583;&#1608;&#1604;&#1610;\&#1575;&#1604;&#1578;&#1606;&#1592;&#1610;&#1605;&#1575;&#1578;%20&#1608;%20&#1575;&#1604;&#1583;&#1585;&#1575;&#1587;&#1575;&#1578;\RAG\33rd%20meeting\SG\SG%20work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Sheet2!$B$28</c:f>
              <c:strCache>
                <c:ptCount val="1"/>
                <c:pt idx="0">
                  <c:v>2007-2012 (WRC-12)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Sheet2!$A$29:$A$34</c:f>
              <c:strCache>
                <c:ptCount val="6"/>
                <c:pt idx="0">
                  <c:v>SG 1</c:v>
                </c:pt>
                <c:pt idx="1">
                  <c:v>SG 3</c:v>
                </c:pt>
                <c:pt idx="2">
                  <c:v>SG 4</c:v>
                </c:pt>
                <c:pt idx="3">
                  <c:v>SG 5</c:v>
                </c:pt>
                <c:pt idx="4">
                  <c:v>SG 6</c:v>
                </c:pt>
                <c:pt idx="5">
                  <c:v>SG 7</c:v>
                </c:pt>
              </c:strCache>
            </c:strRef>
          </c:cat>
          <c:val>
            <c:numRef>
              <c:f>Sheet2!$B$29:$B$34</c:f>
              <c:numCache>
                <c:formatCode>General</c:formatCode>
                <c:ptCount val="6"/>
                <c:pt idx="0">
                  <c:v>516</c:v>
                </c:pt>
                <c:pt idx="1">
                  <c:v>391</c:v>
                </c:pt>
                <c:pt idx="2">
                  <c:v>828</c:v>
                </c:pt>
                <c:pt idx="3">
                  <c:v>1859</c:v>
                </c:pt>
                <c:pt idx="4">
                  <c:v>949</c:v>
                </c:pt>
                <c:pt idx="5">
                  <c:v>572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64-46B4-896D-F5A14A95A8A6}"/>
            </c:ext>
          </c:extLst>
        </c:ser>
        <c:ser>
          <c:idx val="1"/>
          <c:order val="1"/>
          <c:tx>
            <c:strRef>
              <c:f>Sheet2!$C$28</c:f>
              <c:strCache>
                <c:ptCount val="1"/>
                <c:pt idx="0">
                  <c:v>2012-2015 (WRC-15)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Sheet2!$A$29:$A$34</c:f>
              <c:strCache>
                <c:ptCount val="6"/>
                <c:pt idx="0">
                  <c:v>SG 1</c:v>
                </c:pt>
                <c:pt idx="1">
                  <c:v>SG 3</c:v>
                </c:pt>
                <c:pt idx="2">
                  <c:v>SG 4</c:v>
                </c:pt>
                <c:pt idx="3">
                  <c:v>SG 5</c:v>
                </c:pt>
                <c:pt idx="4">
                  <c:v>SG 6</c:v>
                </c:pt>
                <c:pt idx="5">
                  <c:v>SG 7</c:v>
                </c:pt>
              </c:strCache>
            </c:strRef>
          </c:cat>
          <c:val>
            <c:numRef>
              <c:f>Sheet2!$C$29:$C$34</c:f>
              <c:numCache>
                <c:formatCode>General</c:formatCode>
                <c:ptCount val="6"/>
                <c:pt idx="0">
                  <c:v>575</c:v>
                </c:pt>
                <c:pt idx="1">
                  <c:v>539</c:v>
                </c:pt>
                <c:pt idx="2">
                  <c:v>1191</c:v>
                </c:pt>
                <c:pt idx="3">
                  <c:v>2763</c:v>
                </c:pt>
                <c:pt idx="4">
                  <c:v>1447</c:v>
                </c:pt>
                <c:pt idx="5">
                  <c:v>949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64-46B4-896D-F5A14A95A8A6}"/>
            </c:ext>
          </c:extLst>
        </c:ser>
        <c:ser>
          <c:idx val="2"/>
          <c:order val="2"/>
          <c:tx>
            <c:strRef>
              <c:f>Sheet2!$D$28</c:f>
              <c:strCache>
                <c:ptCount val="1"/>
                <c:pt idx="0">
                  <c:v>2015-2019 (WRC-19)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Sheet2!$A$29:$A$34</c:f>
              <c:strCache>
                <c:ptCount val="6"/>
                <c:pt idx="0">
                  <c:v>SG 1</c:v>
                </c:pt>
                <c:pt idx="1">
                  <c:v>SG 3</c:v>
                </c:pt>
                <c:pt idx="2">
                  <c:v>SG 4</c:v>
                </c:pt>
                <c:pt idx="3">
                  <c:v>SG 5</c:v>
                </c:pt>
                <c:pt idx="4">
                  <c:v>SG 6</c:v>
                </c:pt>
                <c:pt idx="5">
                  <c:v>SG 7</c:v>
                </c:pt>
              </c:strCache>
            </c:strRef>
          </c:cat>
          <c:val>
            <c:numRef>
              <c:f>Sheet2!$D$29:$D$34</c:f>
              <c:numCache>
                <c:formatCode>General</c:formatCode>
                <c:ptCount val="6"/>
                <c:pt idx="0">
                  <c:v>694</c:v>
                </c:pt>
                <c:pt idx="1">
                  <c:v>737</c:v>
                </c:pt>
                <c:pt idx="2">
                  <c:v>908</c:v>
                </c:pt>
                <c:pt idx="3">
                  <c:v>2300</c:v>
                </c:pt>
                <c:pt idx="4">
                  <c:v>989</c:v>
                </c:pt>
                <c:pt idx="5">
                  <c:v>655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764-46B4-896D-F5A14A95A8A6}"/>
            </c:ext>
          </c:extLst>
        </c:ser>
        <c:ser>
          <c:idx val="3"/>
          <c:order val="3"/>
          <c:tx>
            <c:strRef>
              <c:f>Sheet2!$E$28</c:f>
              <c:strCache>
                <c:ptCount val="1"/>
                <c:pt idx="0">
                  <c:v>2019-2023 (WRC-23)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Sheet2!$A$29:$A$34</c:f>
              <c:strCache>
                <c:ptCount val="6"/>
                <c:pt idx="0">
                  <c:v>SG 1</c:v>
                </c:pt>
                <c:pt idx="1">
                  <c:v>SG 3</c:v>
                </c:pt>
                <c:pt idx="2">
                  <c:v>SG 4</c:v>
                </c:pt>
                <c:pt idx="3">
                  <c:v>SG 5</c:v>
                </c:pt>
                <c:pt idx="4">
                  <c:v>SG 6</c:v>
                </c:pt>
                <c:pt idx="5">
                  <c:v>SG 7</c:v>
                </c:pt>
              </c:strCache>
            </c:strRef>
          </c:cat>
          <c:val>
            <c:numRef>
              <c:f>Sheet2!$E$29:$E$34</c:f>
              <c:numCache>
                <c:formatCode>General</c:formatCode>
                <c:ptCount val="6"/>
                <c:pt idx="0">
                  <c:v>391</c:v>
                </c:pt>
                <c:pt idx="1">
                  <c:v>676</c:v>
                </c:pt>
                <c:pt idx="2">
                  <c:v>938</c:v>
                </c:pt>
                <c:pt idx="3">
                  <c:v>2771</c:v>
                </c:pt>
                <c:pt idx="4">
                  <c:v>694</c:v>
                </c:pt>
                <c:pt idx="5">
                  <c:v>627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764-46B4-896D-F5A14A95A8A6}"/>
            </c:ext>
          </c:extLst>
        </c:ser>
        <c:ser>
          <c:idx val="4"/>
          <c:order val="4"/>
          <c:tx>
            <c:strRef>
              <c:f>Sheet2!$F$28</c:f>
              <c:strCache>
                <c:ptCount val="1"/>
                <c:pt idx="0">
                  <c:v>2023-2027 (WRC-27)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Sheet2!$A$29:$A$34</c:f>
              <c:strCache>
                <c:ptCount val="6"/>
                <c:pt idx="0">
                  <c:v>SG 1</c:v>
                </c:pt>
                <c:pt idx="1">
                  <c:v>SG 3</c:v>
                </c:pt>
                <c:pt idx="2">
                  <c:v>SG 4</c:v>
                </c:pt>
                <c:pt idx="3">
                  <c:v>SG 5</c:v>
                </c:pt>
                <c:pt idx="4">
                  <c:v>SG 6</c:v>
                </c:pt>
                <c:pt idx="5">
                  <c:v>SG 7</c:v>
                </c:pt>
              </c:strCache>
            </c:strRef>
          </c:cat>
          <c:val>
            <c:numRef>
              <c:f>Sheet2!$F$29:$F$34</c:f>
              <c:numCache>
                <c:formatCode>General</c:formatCode>
                <c:ptCount val="6"/>
                <c:pt idx="0">
                  <c:v>267</c:v>
                </c:pt>
                <c:pt idx="1">
                  <c:v>688</c:v>
                </c:pt>
                <c:pt idx="2">
                  <c:v>1588</c:v>
                </c:pt>
                <c:pt idx="3">
                  <c:v>2138</c:v>
                </c:pt>
                <c:pt idx="4">
                  <c:v>614</c:v>
                </c:pt>
                <c:pt idx="5">
                  <c:v>820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764-46B4-896D-F5A14A95A8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70705583"/>
        <c:axId val="1270703919"/>
      </c:barChart>
      <c:catAx>
        <c:axId val="12707055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0703919"/>
        <c:crosses val="autoZero"/>
        <c:auto val="1"/>
        <c:lblAlgn val="ctr"/>
        <c:lblOffset val="100"/>
        <c:noMultiLvlLbl val="0"/>
      </c:catAx>
      <c:valAx>
        <c:axId val="12707039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07055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Sheet2!$B$46</c:f>
              <c:strCache>
                <c:ptCount val="1"/>
                <c:pt idx="0">
                  <c:v>2007-2012 (WRC-12)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Sheet2!$A$47:$A$52</c:f>
              <c:strCache>
                <c:ptCount val="6"/>
                <c:pt idx="0">
                  <c:v>SG 1</c:v>
                </c:pt>
                <c:pt idx="1">
                  <c:v>SG 3</c:v>
                </c:pt>
                <c:pt idx="2">
                  <c:v>SG 4</c:v>
                </c:pt>
                <c:pt idx="3">
                  <c:v>SG 5</c:v>
                </c:pt>
                <c:pt idx="4">
                  <c:v>SG 6</c:v>
                </c:pt>
                <c:pt idx="5">
                  <c:v>SG 7</c:v>
                </c:pt>
              </c:strCache>
            </c:strRef>
          </c:cat>
          <c:val>
            <c:numRef>
              <c:f>Sheet2!$B$47:$B$52</c:f>
              <c:numCache>
                <c:formatCode>General</c:formatCode>
                <c:ptCount val="6"/>
                <c:pt idx="0">
                  <c:v>16</c:v>
                </c:pt>
                <c:pt idx="1">
                  <c:v>7</c:v>
                </c:pt>
                <c:pt idx="2">
                  <c:v>28</c:v>
                </c:pt>
                <c:pt idx="3">
                  <c:v>51</c:v>
                </c:pt>
                <c:pt idx="4">
                  <c:v>19</c:v>
                </c:pt>
                <c:pt idx="5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90-4F4F-B029-0850E6B2012B}"/>
            </c:ext>
          </c:extLst>
        </c:ser>
        <c:ser>
          <c:idx val="1"/>
          <c:order val="1"/>
          <c:tx>
            <c:strRef>
              <c:f>Sheet2!$C$46</c:f>
              <c:strCache>
                <c:ptCount val="1"/>
                <c:pt idx="0">
                  <c:v>2012-2015 (WRC-15)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Sheet2!$A$47:$A$52</c:f>
              <c:strCache>
                <c:ptCount val="6"/>
                <c:pt idx="0">
                  <c:v>SG 1</c:v>
                </c:pt>
                <c:pt idx="1">
                  <c:v>SG 3</c:v>
                </c:pt>
                <c:pt idx="2">
                  <c:v>SG 4</c:v>
                </c:pt>
                <c:pt idx="3">
                  <c:v>SG 5</c:v>
                </c:pt>
                <c:pt idx="4">
                  <c:v>SG 6</c:v>
                </c:pt>
                <c:pt idx="5">
                  <c:v>SG 7</c:v>
                </c:pt>
              </c:strCache>
            </c:strRef>
          </c:cat>
          <c:val>
            <c:numRef>
              <c:f>Sheet2!$C$47:$C$52</c:f>
              <c:numCache>
                <c:formatCode>General</c:formatCode>
                <c:ptCount val="6"/>
                <c:pt idx="0">
                  <c:v>15</c:v>
                </c:pt>
                <c:pt idx="1">
                  <c:v>7</c:v>
                </c:pt>
                <c:pt idx="2">
                  <c:v>25</c:v>
                </c:pt>
                <c:pt idx="3">
                  <c:v>31</c:v>
                </c:pt>
                <c:pt idx="4">
                  <c:v>13</c:v>
                </c:pt>
                <c:pt idx="5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690-4F4F-B029-0850E6B2012B}"/>
            </c:ext>
          </c:extLst>
        </c:ser>
        <c:ser>
          <c:idx val="2"/>
          <c:order val="2"/>
          <c:tx>
            <c:strRef>
              <c:f>Sheet2!$D$46</c:f>
              <c:strCache>
                <c:ptCount val="1"/>
                <c:pt idx="0">
                  <c:v>2015-2019 (WRC-19)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Sheet2!$A$47:$A$52</c:f>
              <c:strCache>
                <c:ptCount val="6"/>
                <c:pt idx="0">
                  <c:v>SG 1</c:v>
                </c:pt>
                <c:pt idx="1">
                  <c:v>SG 3</c:v>
                </c:pt>
                <c:pt idx="2">
                  <c:v>SG 4</c:v>
                </c:pt>
                <c:pt idx="3">
                  <c:v>SG 5</c:v>
                </c:pt>
                <c:pt idx="4">
                  <c:v>SG 6</c:v>
                </c:pt>
                <c:pt idx="5">
                  <c:v>SG 7</c:v>
                </c:pt>
              </c:strCache>
            </c:strRef>
          </c:cat>
          <c:val>
            <c:numRef>
              <c:f>Sheet2!$D$47:$D$52</c:f>
              <c:numCache>
                <c:formatCode>General</c:formatCode>
                <c:ptCount val="6"/>
                <c:pt idx="0">
                  <c:v>13</c:v>
                </c:pt>
                <c:pt idx="1">
                  <c:v>7</c:v>
                </c:pt>
                <c:pt idx="2">
                  <c:v>8</c:v>
                </c:pt>
                <c:pt idx="3">
                  <c:v>14</c:v>
                </c:pt>
                <c:pt idx="4">
                  <c:v>15</c:v>
                </c:pt>
                <c:pt idx="5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690-4F4F-B029-0850E6B2012B}"/>
            </c:ext>
          </c:extLst>
        </c:ser>
        <c:ser>
          <c:idx val="3"/>
          <c:order val="3"/>
          <c:tx>
            <c:strRef>
              <c:f>Sheet2!$E$46</c:f>
              <c:strCache>
                <c:ptCount val="1"/>
                <c:pt idx="0">
                  <c:v>2019-2023 (WRC-23)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Sheet2!$A$47:$A$52</c:f>
              <c:strCache>
                <c:ptCount val="6"/>
                <c:pt idx="0">
                  <c:v>SG 1</c:v>
                </c:pt>
                <c:pt idx="1">
                  <c:v>SG 3</c:v>
                </c:pt>
                <c:pt idx="2">
                  <c:v>SG 4</c:v>
                </c:pt>
                <c:pt idx="3">
                  <c:v>SG 5</c:v>
                </c:pt>
                <c:pt idx="4">
                  <c:v>SG 6</c:v>
                </c:pt>
                <c:pt idx="5">
                  <c:v>SG 7</c:v>
                </c:pt>
              </c:strCache>
            </c:strRef>
          </c:cat>
          <c:val>
            <c:numRef>
              <c:f>Sheet2!$E$47:$E$52</c:f>
              <c:numCache>
                <c:formatCode>General</c:formatCode>
                <c:ptCount val="6"/>
                <c:pt idx="0">
                  <c:v>10</c:v>
                </c:pt>
                <c:pt idx="1">
                  <c:v>6</c:v>
                </c:pt>
                <c:pt idx="2">
                  <c:v>2</c:v>
                </c:pt>
                <c:pt idx="3">
                  <c:v>10</c:v>
                </c:pt>
                <c:pt idx="4">
                  <c:v>15</c:v>
                </c:pt>
                <c:pt idx="5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690-4F4F-B029-0850E6B2012B}"/>
            </c:ext>
          </c:extLst>
        </c:ser>
        <c:ser>
          <c:idx val="4"/>
          <c:order val="4"/>
          <c:tx>
            <c:strRef>
              <c:f>Sheet2!$F$46</c:f>
              <c:strCache>
                <c:ptCount val="1"/>
                <c:pt idx="0">
                  <c:v>2023-2027 (WRC-27)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Sheet2!$A$47:$A$52</c:f>
              <c:strCache>
                <c:ptCount val="6"/>
                <c:pt idx="0">
                  <c:v>SG 1</c:v>
                </c:pt>
                <c:pt idx="1">
                  <c:v>SG 3</c:v>
                </c:pt>
                <c:pt idx="2">
                  <c:v>SG 4</c:v>
                </c:pt>
                <c:pt idx="3">
                  <c:v>SG 5</c:v>
                </c:pt>
                <c:pt idx="4">
                  <c:v>SG 6</c:v>
                </c:pt>
                <c:pt idx="5">
                  <c:v>SG 7</c:v>
                </c:pt>
              </c:strCache>
            </c:strRef>
          </c:cat>
          <c:val>
            <c:numRef>
              <c:f>Sheet2!$F$47:$F$52</c:f>
              <c:numCache>
                <c:formatCode>General</c:formatCode>
                <c:ptCount val="6"/>
                <c:pt idx="0">
                  <c:v>12</c:v>
                </c:pt>
                <c:pt idx="1">
                  <c:v>22</c:v>
                </c:pt>
                <c:pt idx="2">
                  <c:v>5</c:v>
                </c:pt>
                <c:pt idx="4">
                  <c:v>37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690-4F4F-B029-0850E6B201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56176463"/>
        <c:axId val="1256163567"/>
      </c:barChart>
      <c:catAx>
        <c:axId val="1256176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56163567"/>
        <c:crosses val="autoZero"/>
        <c:auto val="1"/>
        <c:lblAlgn val="ctr"/>
        <c:lblOffset val="100"/>
        <c:noMultiLvlLbl val="0"/>
      </c:catAx>
      <c:valAx>
        <c:axId val="12561635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561764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Physical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4"/>
            <c:invertIfNegative val="0"/>
            <c:bubble3D val="0"/>
            <c:spPr>
              <a:solidFill>
                <a:srgbClr val="B8541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3E9-45D5-9806-6C455A8F6A3B}"/>
              </c:ext>
            </c:extLst>
          </c:dPt>
          <c:dPt>
            <c:idx val="5"/>
            <c:invertIfNegative val="0"/>
            <c:bubble3D val="0"/>
            <c:spPr>
              <a:solidFill>
                <a:srgbClr val="ED7D3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F3E9-45D5-9806-6C455A8F6A3B}"/>
              </c:ext>
            </c:extLst>
          </c:dPt>
          <c:dPt>
            <c:idx val="6"/>
            <c:invertIfNegative val="0"/>
            <c:bubble3D val="0"/>
            <c:spPr>
              <a:solidFill>
                <a:srgbClr val="ED7D3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F3E9-45D5-9806-6C455A8F6A3B}"/>
              </c:ext>
            </c:extLst>
          </c:dPt>
          <c:dPt>
            <c:idx val="7"/>
            <c:invertIfNegative val="0"/>
            <c:bubble3D val="0"/>
            <c:spPr>
              <a:solidFill>
                <a:srgbClr val="ED7D3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F3E9-45D5-9806-6C455A8F6A3B}"/>
              </c:ext>
            </c:extLst>
          </c:dPt>
          <c:dPt>
            <c:idx val="8"/>
            <c:invertIfNegative val="0"/>
            <c:bubble3D val="0"/>
            <c:spPr>
              <a:solidFill>
                <a:srgbClr val="ED7D3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F3E9-45D5-9806-6C455A8F6A3B}"/>
              </c:ext>
            </c:extLst>
          </c:dPt>
          <c:dPt>
            <c:idx val="9"/>
            <c:invertIfNegative val="0"/>
            <c:bubble3D val="0"/>
            <c:spPr>
              <a:solidFill>
                <a:srgbClr val="00823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F3E9-45D5-9806-6C455A8F6A3B}"/>
              </c:ext>
            </c:extLst>
          </c:dPt>
          <c:dPt>
            <c:idx val="1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F3E9-45D5-9806-6C455A8F6A3B}"/>
              </c:ext>
            </c:extLst>
          </c:dPt>
          <c:dPt>
            <c:idx val="1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F3E9-45D5-9806-6C455A8F6A3B}"/>
              </c:ext>
            </c:extLst>
          </c:dPt>
          <c:dPt>
            <c:idx val="1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F3E9-45D5-9806-6C455A8F6A3B}"/>
              </c:ext>
            </c:extLst>
          </c:dPt>
          <c:dPt>
            <c:idx val="13"/>
            <c:invertIfNegative val="0"/>
            <c:bubble3D val="0"/>
            <c:spPr>
              <a:solidFill>
                <a:srgbClr val="53247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F3E9-45D5-9806-6C455A8F6A3B}"/>
              </c:ext>
            </c:extLst>
          </c:dPt>
          <c:dPt>
            <c:idx val="14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F3E9-45D5-9806-6C455A8F6A3B}"/>
              </c:ext>
            </c:extLst>
          </c:dPt>
          <c:dPt>
            <c:idx val="15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F3E9-45D5-9806-6C455A8F6A3B}"/>
              </c:ext>
            </c:extLst>
          </c:dPt>
          <c:dPt>
            <c:idx val="16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F3E9-45D5-9806-6C455A8F6A3B}"/>
              </c:ext>
            </c:extLst>
          </c:dPt>
          <c:dPt>
            <c:idx val="17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F3E9-45D5-9806-6C455A8F6A3B}"/>
              </c:ext>
            </c:extLst>
          </c:dPt>
          <c:dPt>
            <c:idx val="18"/>
            <c:invertIfNegative val="0"/>
            <c:bubble3D val="0"/>
            <c:spPr>
              <a:solidFill>
                <a:srgbClr val="A8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F3E9-45D5-9806-6C455A8F6A3B}"/>
              </c:ext>
            </c:extLst>
          </c:dPt>
          <c:dPt>
            <c:idx val="19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F3E9-45D5-9806-6C455A8F6A3B}"/>
              </c:ext>
            </c:extLst>
          </c:dPt>
          <c:dPt>
            <c:idx val="20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F3E9-45D5-9806-6C455A8F6A3B}"/>
              </c:ext>
            </c:extLst>
          </c:dPt>
          <c:dPt>
            <c:idx val="21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F3E9-45D5-9806-6C455A8F6A3B}"/>
              </c:ext>
            </c:extLst>
          </c:dPt>
          <c:dPt>
            <c:idx val="22"/>
            <c:invertIfNegative val="0"/>
            <c:bubble3D val="0"/>
            <c:spPr>
              <a:solidFill>
                <a:schemeClr val="bg1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F3E9-45D5-9806-6C455A8F6A3B}"/>
              </c:ext>
            </c:extLst>
          </c:dPt>
          <c:dPt>
            <c:idx val="23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7-F3E9-45D5-9806-6C455A8F6A3B}"/>
              </c:ext>
            </c:extLst>
          </c:dPt>
          <c:dPt>
            <c:idx val="24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9-F3E9-45D5-9806-6C455A8F6A3B}"/>
              </c:ext>
            </c:extLst>
          </c:dPt>
          <c:dPt>
            <c:idx val="25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B-F3E9-45D5-9806-6C455A8F6A3B}"/>
              </c:ext>
            </c:extLst>
          </c:dPt>
          <c:dPt>
            <c:idx val="26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D-F3E9-45D5-9806-6C455A8F6A3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Sheet1!$A$2:$A$28</c:f>
              <c:strCache>
                <c:ptCount val="27"/>
                <c:pt idx="0">
                  <c:v>SG 1</c:v>
                </c:pt>
                <c:pt idx="1">
                  <c:v>WP 1A</c:v>
                </c:pt>
                <c:pt idx="2">
                  <c:v>WP 1B</c:v>
                </c:pt>
                <c:pt idx="3">
                  <c:v>WP 1C</c:v>
                </c:pt>
                <c:pt idx="4">
                  <c:v>SG 3</c:v>
                </c:pt>
                <c:pt idx="5">
                  <c:v>WP 3J</c:v>
                </c:pt>
                <c:pt idx="6">
                  <c:v>WP 3K</c:v>
                </c:pt>
                <c:pt idx="7">
                  <c:v>WP 3L</c:v>
                </c:pt>
                <c:pt idx="8">
                  <c:v>WP 3M</c:v>
                </c:pt>
                <c:pt idx="9">
                  <c:v>SG 4</c:v>
                </c:pt>
                <c:pt idx="10">
                  <c:v>WP 4A</c:v>
                </c:pt>
                <c:pt idx="11">
                  <c:v>WP 4B</c:v>
                </c:pt>
                <c:pt idx="12">
                  <c:v>WP 4C</c:v>
                </c:pt>
                <c:pt idx="13">
                  <c:v>SG 5</c:v>
                </c:pt>
                <c:pt idx="14">
                  <c:v>WP 5A</c:v>
                </c:pt>
                <c:pt idx="15">
                  <c:v>WP 5B</c:v>
                </c:pt>
                <c:pt idx="16">
                  <c:v>WP 5C</c:v>
                </c:pt>
                <c:pt idx="17">
                  <c:v>WP 5D</c:v>
                </c:pt>
                <c:pt idx="18">
                  <c:v>SG 6</c:v>
                </c:pt>
                <c:pt idx="19">
                  <c:v>WP 6A</c:v>
                </c:pt>
                <c:pt idx="20">
                  <c:v>WP 6B</c:v>
                </c:pt>
                <c:pt idx="21">
                  <c:v>WP 6C</c:v>
                </c:pt>
                <c:pt idx="22">
                  <c:v>SG 7</c:v>
                </c:pt>
                <c:pt idx="23">
                  <c:v>WP 7A</c:v>
                </c:pt>
                <c:pt idx="24">
                  <c:v>WP 7B</c:v>
                </c:pt>
                <c:pt idx="25">
                  <c:v>WP 7C</c:v>
                </c:pt>
                <c:pt idx="26">
                  <c:v>WP 7D</c:v>
                </c:pt>
              </c:strCache>
            </c:strRef>
          </c:cat>
          <c:val>
            <c:numRef>
              <c:f>Sheet1!$B$2:$B$28</c:f>
              <c:numCache>
                <c:formatCode>General</c:formatCode>
                <c:ptCount val="27"/>
                <c:pt idx="0">
                  <c:v>92</c:v>
                </c:pt>
                <c:pt idx="1">
                  <c:v>89</c:v>
                </c:pt>
                <c:pt idx="2">
                  <c:v>84</c:v>
                </c:pt>
                <c:pt idx="3">
                  <c:v>103</c:v>
                </c:pt>
                <c:pt idx="4">
                  <c:v>57</c:v>
                </c:pt>
                <c:pt idx="5">
                  <c:v>57</c:v>
                </c:pt>
                <c:pt idx="6">
                  <c:v>58</c:v>
                </c:pt>
                <c:pt idx="7">
                  <c:v>56</c:v>
                </c:pt>
                <c:pt idx="8">
                  <c:v>65</c:v>
                </c:pt>
                <c:pt idx="9">
                  <c:v>263</c:v>
                </c:pt>
                <c:pt idx="10">
                  <c:v>422</c:v>
                </c:pt>
                <c:pt idx="11">
                  <c:v>185</c:v>
                </c:pt>
                <c:pt idx="12">
                  <c:v>312</c:v>
                </c:pt>
                <c:pt idx="13">
                  <c:v>144</c:v>
                </c:pt>
                <c:pt idx="14">
                  <c:v>137</c:v>
                </c:pt>
                <c:pt idx="15">
                  <c:v>159</c:v>
                </c:pt>
                <c:pt idx="16">
                  <c:v>108</c:v>
                </c:pt>
                <c:pt idx="17">
                  <c:v>355</c:v>
                </c:pt>
                <c:pt idx="18">
                  <c:v>90</c:v>
                </c:pt>
                <c:pt idx="19">
                  <c:v>90</c:v>
                </c:pt>
                <c:pt idx="20">
                  <c:v>69</c:v>
                </c:pt>
                <c:pt idx="21">
                  <c:v>62</c:v>
                </c:pt>
                <c:pt idx="22">
                  <c:v>93</c:v>
                </c:pt>
                <c:pt idx="23">
                  <c:v>54</c:v>
                </c:pt>
                <c:pt idx="24">
                  <c:v>112</c:v>
                </c:pt>
                <c:pt idx="25">
                  <c:v>116</c:v>
                </c:pt>
                <c:pt idx="26">
                  <c:v>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E-F3E9-45D5-9806-6C455A8F6A3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883584144"/>
        <c:axId val="883574064"/>
      </c:barChart>
      <c:catAx>
        <c:axId val="883584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800" cap="none" dirty="0"/>
                  <a:t>Group</a:t>
                </a:r>
                <a:endParaRPr lang="en-GB" sz="800" dirty="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GB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83574064"/>
        <c:crosses val="autoZero"/>
        <c:auto val="1"/>
        <c:lblAlgn val="ctr"/>
        <c:lblOffset val="100"/>
        <c:noMultiLvlLbl val="0"/>
      </c:catAx>
      <c:valAx>
        <c:axId val="883574064"/>
        <c:scaling>
          <c:orientation val="minMax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800" cap="none" dirty="0"/>
                  <a:t>Number of participants in-person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crossAx val="883584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Physical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4"/>
            <c:invertIfNegative val="0"/>
            <c:bubble3D val="0"/>
            <c:spPr>
              <a:solidFill>
                <a:srgbClr val="B8541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F2A-4C36-91DD-C93E9C83027E}"/>
              </c:ext>
            </c:extLst>
          </c:dPt>
          <c:dPt>
            <c:idx val="5"/>
            <c:invertIfNegative val="0"/>
            <c:bubble3D val="0"/>
            <c:spPr>
              <a:solidFill>
                <a:srgbClr val="ED7D3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FF2A-4C36-91DD-C93E9C83027E}"/>
              </c:ext>
            </c:extLst>
          </c:dPt>
          <c:dPt>
            <c:idx val="6"/>
            <c:invertIfNegative val="0"/>
            <c:bubble3D val="0"/>
            <c:spPr>
              <a:solidFill>
                <a:srgbClr val="ED7D3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FF2A-4C36-91DD-C93E9C83027E}"/>
              </c:ext>
            </c:extLst>
          </c:dPt>
          <c:dPt>
            <c:idx val="7"/>
            <c:invertIfNegative val="0"/>
            <c:bubble3D val="0"/>
            <c:spPr>
              <a:solidFill>
                <a:srgbClr val="ED7D3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FF2A-4C36-91DD-C93E9C83027E}"/>
              </c:ext>
            </c:extLst>
          </c:dPt>
          <c:dPt>
            <c:idx val="8"/>
            <c:invertIfNegative val="0"/>
            <c:bubble3D val="0"/>
            <c:spPr>
              <a:solidFill>
                <a:srgbClr val="ED7D3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FF2A-4C36-91DD-C93E9C83027E}"/>
              </c:ext>
            </c:extLst>
          </c:dPt>
          <c:dPt>
            <c:idx val="9"/>
            <c:invertIfNegative val="0"/>
            <c:bubble3D val="0"/>
            <c:spPr>
              <a:solidFill>
                <a:srgbClr val="00823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FF2A-4C36-91DD-C93E9C83027E}"/>
              </c:ext>
            </c:extLst>
          </c:dPt>
          <c:dPt>
            <c:idx val="1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FF2A-4C36-91DD-C93E9C83027E}"/>
              </c:ext>
            </c:extLst>
          </c:dPt>
          <c:dPt>
            <c:idx val="1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FF2A-4C36-91DD-C93E9C83027E}"/>
              </c:ext>
            </c:extLst>
          </c:dPt>
          <c:dPt>
            <c:idx val="1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FF2A-4C36-91DD-C93E9C83027E}"/>
              </c:ext>
            </c:extLst>
          </c:dPt>
          <c:dPt>
            <c:idx val="13"/>
            <c:invertIfNegative val="0"/>
            <c:bubble3D val="0"/>
            <c:spPr>
              <a:solidFill>
                <a:srgbClr val="53247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FF2A-4C36-91DD-C93E9C83027E}"/>
              </c:ext>
            </c:extLst>
          </c:dPt>
          <c:dPt>
            <c:idx val="14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FF2A-4C36-91DD-C93E9C83027E}"/>
              </c:ext>
            </c:extLst>
          </c:dPt>
          <c:dPt>
            <c:idx val="15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FF2A-4C36-91DD-C93E9C83027E}"/>
              </c:ext>
            </c:extLst>
          </c:dPt>
          <c:dPt>
            <c:idx val="16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FF2A-4C36-91DD-C93E9C83027E}"/>
              </c:ext>
            </c:extLst>
          </c:dPt>
          <c:dPt>
            <c:idx val="17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FF2A-4C36-91DD-C93E9C83027E}"/>
              </c:ext>
            </c:extLst>
          </c:dPt>
          <c:dPt>
            <c:idx val="18"/>
            <c:invertIfNegative val="0"/>
            <c:bubble3D val="0"/>
            <c:spPr>
              <a:solidFill>
                <a:srgbClr val="A8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FF2A-4C36-91DD-C93E9C83027E}"/>
              </c:ext>
            </c:extLst>
          </c:dPt>
          <c:dPt>
            <c:idx val="19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FF2A-4C36-91DD-C93E9C83027E}"/>
              </c:ext>
            </c:extLst>
          </c:dPt>
          <c:dPt>
            <c:idx val="20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FF2A-4C36-91DD-C93E9C83027E}"/>
              </c:ext>
            </c:extLst>
          </c:dPt>
          <c:dPt>
            <c:idx val="21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FF2A-4C36-91DD-C93E9C83027E}"/>
              </c:ext>
            </c:extLst>
          </c:dPt>
          <c:dPt>
            <c:idx val="22"/>
            <c:invertIfNegative val="0"/>
            <c:bubble3D val="0"/>
            <c:spPr>
              <a:solidFill>
                <a:schemeClr val="bg1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FF2A-4C36-91DD-C93E9C83027E}"/>
              </c:ext>
            </c:extLst>
          </c:dPt>
          <c:dPt>
            <c:idx val="23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7-FF2A-4C36-91DD-C93E9C83027E}"/>
              </c:ext>
            </c:extLst>
          </c:dPt>
          <c:dPt>
            <c:idx val="24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9-FF2A-4C36-91DD-C93E9C83027E}"/>
              </c:ext>
            </c:extLst>
          </c:dPt>
          <c:dPt>
            <c:idx val="25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B-FF2A-4C36-91DD-C93E9C83027E}"/>
              </c:ext>
            </c:extLst>
          </c:dPt>
          <c:dPt>
            <c:idx val="26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D-FF2A-4C36-91DD-C93E9C83027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Sheet1!$A$2:$A$28</c:f>
              <c:strCache>
                <c:ptCount val="27"/>
                <c:pt idx="0">
                  <c:v>SG 1</c:v>
                </c:pt>
                <c:pt idx="1">
                  <c:v>WP 1A</c:v>
                </c:pt>
                <c:pt idx="2">
                  <c:v>WP 1B</c:v>
                </c:pt>
                <c:pt idx="3">
                  <c:v>WP 1C</c:v>
                </c:pt>
                <c:pt idx="4">
                  <c:v>SG 3</c:v>
                </c:pt>
                <c:pt idx="5">
                  <c:v>WP 3J</c:v>
                </c:pt>
                <c:pt idx="6">
                  <c:v>WP 3K</c:v>
                </c:pt>
                <c:pt idx="7">
                  <c:v>WP 3L</c:v>
                </c:pt>
                <c:pt idx="8">
                  <c:v>WP 3M</c:v>
                </c:pt>
                <c:pt idx="9">
                  <c:v>SG 4</c:v>
                </c:pt>
                <c:pt idx="10">
                  <c:v>WP 4A</c:v>
                </c:pt>
                <c:pt idx="11">
                  <c:v>WP 4B</c:v>
                </c:pt>
                <c:pt idx="12">
                  <c:v>WP 4C</c:v>
                </c:pt>
                <c:pt idx="13">
                  <c:v>SG 5</c:v>
                </c:pt>
                <c:pt idx="14">
                  <c:v>WP 5A</c:v>
                </c:pt>
                <c:pt idx="15">
                  <c:v>WP 5B</c:v>
                </c:pt>
                <c:pt idx="16">
                  <c:v>WP 5C</c:v>
                </c:pt>
                <c:pt idx="17">
                  <c:v>WP 5D</c:v>
                </c:pt>
                <c:pt idx="18">
                  <c:v>SG 6</c:v>
                </c:pt>
                <c:pt idx="19">
                  <c:v>WP 6A</c:v>
                </c:pt>
                <c:pt idx="20">
                  <c:v>WP 6B</c:v>
                </c:pt>
                <c:pt idx="21">
                  <c:v>WP 6C</c:v>
                </c:pt>
                <c:pt idx="22">
                  <c:v>SG 7</c:v>
                </c:pt>
                <c:pt idx="23">
                  <c:v>WP 7A</c:v>
                </c:pt>
                <c:pt idx="24">
                  <c:v>WP 7B</c:v>
                </c:pt>
                <c:pt idx="25">
                  <c:v>WP 7C</c:v>
                </c:pt>
                <c:pt idx="26">
                  <c:v>WP 7D</c:v>
                </c:pt>
              </c:strCache>
            </c:strRef>
          </c:cat>
          <c:val>
            <c:numRef>
              <c:f>Sheet1!$B$2:$B$28</c:f>
              <c:numCache>
                <c:formatCode>General</c:formatCode>
                <c:ptCount val="27"/>
                <c:pt idx="0">
                  <c:v>141</c:v>
                </c:pt>
                <c:pt idx="1">
                  <c:v>110</c:v>
                </c:pt>
                <c:pt idx="2">
                  <c:v>93</c:v>
                </c:pt>
                <c:pt idx="3">
                  <c:v>109</c:v>
                </c:pt>
                <c:pt idx="4">
                  <c:v>51</c:v>
                </c:pt>
                <c:pt idx="5">
                  <c:v>57</c:v>
                </c:pt>
                <c:pt idx="6">
                  <c:v>53</c:v>
                </c:pt>
                <c:pt idx="7">
                  <c:v>43</c:v>
                </c:pt>
                <c:pt idx="8">
                  <c:v>54</c:v>
                </c:pt>
                <c:pt idx="9">
                  <c:v>208</c:v>
                </c:pt>
                <c:pt idx="10">
                  <c:v>443</c:v>
                </c:pt>
                <c:pt idx="11">
                  <c:v>206</c:v>
                </c:pt>
                <c:pt idx="12">
                  <c:v>347</c:v>
                </c:pt>
                <c:pt idx="13">
                  <c:v>150</c:v>
                </c:pt>
                <c:pt idx="14">
                  <c:v>179</c:v>
                </c:pt>
                <c:pt idx="15">
                  <c:v>183</c:v>
                </c:pt>
                <c:pt idx="16">
                  <c:v>142</c:v>
                </c:pt>
                <c:pt idx="17">
                  <c:v>307</c:v>
                </c:pt>
                <c:pt idx="18">
                  <c:v>117</c:v>
                </c:pt>
                <c:pt idx="19">
                  <c:v>92</c:v>
                </c:pt>
                <c:pt idx="20">
                  <c:v>67</c:v>
                </c:pt>
                <c:pt idx="21">
                  <c:v>78</c:v>
                </c:pt>
                <c:pt idx="22">
                  <c:v>136</c:v>
                </c:pt>
                <c:pt idx="23">
                  <c:v>108</c:v>
                </c:pt>
                <c:pt idx="24">
                  <c:v>106</c:v>
                </c:pt>
                <c:pt idx="25">
                  <c:v>105</c:v>
                </c:pt>
                <c:pt idx="26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E-FF2A-4C36-91DD-C93E9C83027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883584144"/>
        <c:axId val="883574064"/>
      </c:barChart>
      <c:catAx>
        <c:axId val="883584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800" cap="none" dirty="0"/>
                  <a:t>Group</a:t>
                </a:r>
                <a:endParaRPr lang="en-GB" sz="800" dirty="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GB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83574064"/>
        <c:crosses val="autoZero"/>
        <c:auto val="1"/>
        <c:lblAlgn val="ctr"/>
        <c:lblOffset val="100"/>
        <c:noMultiLvlLbl val="0"/>
      </c:catAx>
      <c:valAx>
        <c:axId val="883574064"/>
        <c:scaling>
          <c:orientation val="minMax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800" cap="none" dirty="0"/>
                  <a:t>Number of physical participants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crossAx val="883584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197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64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1064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2128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064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197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64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1064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2128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064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3193</Words>
  <Characters>18206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21357</CharactersWithSpaces>
  <SharedDoc>false</SharedDoc>
  <HLinks>
    <vt:vector size="186" baseType="variant">
      <vt:variant>
        <vt:i4>3014759</vt:i4>
      </vt:variant>
      <vt:variant>
        <vt:i4>87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84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81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78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75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1048580</vt:i4>
      </vt:variant>
      <vt:variant>
        <vt:i4>72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69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66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63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60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57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1441884</vt:i4>
      </vt:variant>
      <vt:variant>
        <vt:i4>51</vt:i4>
      </vt:variant>
      <vt:variant>
        <vt:i4>0</vt:i4>
      </vt:variant>
      <vt:variant>
        <vt:i4>5</vt:i4>
      </vt:variant>
      <vt:variant>
        <vt:lpwstr>http://www.itu.int/osg/csd/wtpf/wtpf2009/</vt:lpwstr>
      </vt:variant>
      <vt:variant>
        <vt:lpwstr/>
      </vt:variant>
      <vt:variant>
        <vt:i4>196698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4653074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852030</vt:i4>
      </vt:variant>
      <vt:variant>
        <vt:i4>24</vt:i4>
      </vt:variant>
      <vt:variant>
        <vt:i4>0</vt:i4>
      </vt:variant>
      <vt:variant>
        <vt:i4>5</vt:i4>
      </vt:variant>
      <vt:variant>
        <vt:lpwstr>http://www.itu.int/_x000b_ITU-R/go/res647</vt:lpwstr>
      </vt:variant>
      <vt:variant>
        <vt:lpwstr/>
      </vt:variant>
      <vt:variant>
        <vt:i4>4653141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8126528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http://www.itu.int/ITU-R/go/_x000b_emergency</vt:lpwstr>
      </vt:variant>
      <vt:variant>
        <vt:lpwstr/>
      </vt:variant>
      <vt:variant>
        <vt:i4>3604537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6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http://www.itu.int/council/C2007/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ADVISORY GROUP</dc:subject>
  <dc:creator>Sinitsyn, Nikita</dc:creator>
  <cp:keywords/>
  <dc:description/>
  <cp:lastModifiedBy>Xue, Kun</cp:lastModifiedBy>
  <cp:revision>2</cp:revision>
  <cp:lastPrinted>2011-05-23T08:58:00Z</cp:lastPrinted>
  <dcterms:created xsi:type="dcterms:W3CDTF">2026-03-23T09:30:00Z</dcterms:created>
  <dcterms:modified xsi:type="dcterms:W3CDTF">2026-03-23T09:30:00Z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