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766"/>
        <w:tblW w:w="9889" w:type="dxa"/>
        <w:tblLayout w:type="fixed"/>
        <w:tblLook w:val="0000" w:firstRow="0" w:lastRow="0" w:firstColumn="0" w:lastColumn="0" w:noHBand="0" w:noVBand="0"/>
      </w:tblPr>
      <w:tblGrid>
        <w:gridCol w:w="6771"/>
        <w:gridCol w:w="3118"/>
      </w:tblGrid>
      <w:tr w:rsidR="00443261" w:rsidRPr="002A2D52" w14:paraId="7707F92B" w14:textId="77777777" w:rsidTr="00443261">
        <w:trPr>
          <w:cantSplit/>
        </w:trPr>
        <w:tc>
          <w:tcPr>
            <w:tcW w:w="6771" w:type="dxa"/>
            <w:vAlign w:val="center"/>
          </w:tcPr>
          <w:p w14:paraId="505CA692" w14:textId="77777777" w:rsidR="00443261" w:rsidRPr="002A2D52" w:rsidRDefault="00443261" w:rsidP="007711EA">
            <w:pPr>
              <w:shd w:val="solid" w:color="FFFFFF" w:fill="FFFFFF"/>
              <w:spacing w:before="360" w:after="240"/>
              <w:rPr>
                <w:rFonts w:ascii="Verdana" w:hAnsi="Verdana"/>
                <w:b/>
                <w:bCs/>
              </w:rPr>
            </w:pPr>
            <w:r w:rsidRPr="002A2D52">
              <w:rPr>
                <w:rFonts w:ascii="Verdana" w:hAnsi="Verdana" w:cs="Times New Roman Bold"/>
                <w:b/>
                <w:sz w:val="25"/>
                <w:szCs w:val="25"/>
              </w:rPr>
              <w:t>Groupe Consultatif des Radiocommunications</w:t>
            </w:r>
            <w:r w:rsidRPr="002A2D52">
              <w:rPr>
                <w:rFonts w:ascii="Verdana" w:hAnsi="Verdana"/>
                <w:b/>
                <w:sz w:val="25"/>
                <w:szCs w:val="25"/>
              </w:rPr>
              <w:br/>
            </w:r>
          </w:p>
        </w:tc>
        <w:tc>
          <w:tcPr>
            <w:tcW w:w="3118" w:type="dxa"/>
          </w:tcPr>
          <w:p w14:paraId="0D6F0463" w14:textId="77777777" w:rsidR="00443261" w:rsidRPr="002A2D52" w:rsidRDefault="007711EA" w:rsidP="004E76DF">
            <w:pPr>
              <w:shd w:val="solid" w:color="FFFFFF" w:fill="FFFFFF"/>
              <w:spacing w:before="0" w:line="240" w:lineRule="atLeast"/>
            </w:pPr>
            <w:r w:rsidRPr="002A2D52">
              <w:rPr>
                <w:noProof/>
                <w:lang w:eastAsia="zh-CN"/>
              </w:rPr>
              <w:drawing>
                <wp:inline distT="0" distB="0" distL="0" distR="0" wp14:anchorId="2AAE74BE" wp14:editId="01C16F60">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D238A" w:rsidRPr="002A2D52" w14:paraId="5B7D7B1E" w14:textId="77777777">
        <w:trPr>
          <w:cantSplit/>
        </w:trPr>
        <w:tc>
          <w:tcPr>
            <w:tcW w:w="6771" w:type="dxa"/>
            <w:tcBorders>
              <w:bottom w:val="single" w:sz="12" w:space="0" w:color="auto"/>
            </w:tcBorders>
          </w:tcPr>
          <w:p w14:paraId="07EED119" w14:textId="77777777" w:rsidR="002D238A" w:rsidRPr="002A2D52" w:rsidRDefault="002D238A" w:rsidP="00773E5E">
            <w:pPr>
              <w:shd w:val="solid" w:color="FFFFFF" w:fill="FFFFFF"/>
              <w:spacing w:before="0" w:after="48"/>
              <w:rPr>
                <w:rFonts w:ascii="Verdana" w:hAnsi="Verdana" w:cs="Times New Roman Bold"/>
                <w:b/>
                <w:sz w:val="22"/>
                <w:szCs w:val="22"/>
              </w:rPr>
            </w:pPr>
          </w:p>
        </w:tc>
        <w:tc>
          <w:tcPr>
            <w:tcW w:w="3118" w:type="dxa"/>
            <w:tcBorders>
              <w:bottom w:val="single" w:sz="12" w:space="0" w:color="auto"/>
            </w:tcBorders>
          </w:tcPr>
          <w:p w14:paraId="6FD863E7" w14:textId="77777777" w:rsidR="002D238A" w:rsidRPr="002A2D52" w:rsidRDefault="002D238A" w:rsidP="00773E5E">
            <w:pPr>
              <w:shd w:val="solid" w:color="FFFFFF" w:fill="FFFFFF"/>
              <w:spacing w:before="0" w:after="48" w:line="240" w:lineRule="atLeast"/>
              <w:rPr>
                <w:sz w:val="22"/>
                <w:szCs w:val="22"/>
              </w:rPr>
            </w:pPr>
          </w:p>
        </w:tc>
      </w:tr>
      <w:tr w:rsidR="002D238A" w:rsidRPr="002A2D52" w14:paraId="203DA6FF" w14:textId="77777777">
        <w:trPr>
          <w:cantSplit/>
        </w:trPr>
        <w:tc>
          <w:tcPr>
            <w:tcW w:w="6771" w:type="dxa"/>
            <w:tcBorders>
              <w:top w:val="single" w:sz="12" w:space="0" w:color="auto"/>
            </w:tcBorders>
          </w:tcPr>
          <w:p w14:paraId="77E924CE" w14:textId="77777777" w:rsidR="002D238A" w:rsidRPr="002A2D52" w:rsidRDefault="002D238A" w:rsidP="00773E5E">
            <w:pPr>
              <w:shd w:val="solid" w:color="FFFFFF" w:fill="FFFFFF"/>
              <w:spacing w:before="0" w:after="48"/>
              <w:rPr>
                <w:rFonts w:ascii="Verdana" w:hAnsi="Verdana" w:cs="Times New Roman Bold"/>
                <w:bCs/>
                <w:sz w:val="22"/>
                <w:szCs w:val="22"/>
              </w:rPr>
            </w:pPr>
          </w:p>
        </w:tc>
        <w:tc>
          <w:tcPr>
            <w:tcW w:w="3118" w:type="dxa"/>
            <w:tcBorders>
              <w:top w:val="single" w:sz="12" w:space="0" w:color="auto"/>
            </w:tcBorders>
          </w:tcPr>
          <w:p w14:paraId="4635FD27" w14:textId="77777777" w:rsidR="002D238A" w:rsidRPr="002A2D52" w:rsidRDefault="002D238A" w:rsidP="00773E5E">
            <w:pPr>
              <w:shd w:val="solid" w:color="FFFFFF" w:fill="FFFFFF"/>
              <w:spacing w:before="0" w:after="48" w:line="240" w:lineRule="atLeast"/>
              <w:rPr>
                <w:rFonts w:ascii="Verdana" w:hAnsi="Verdana"/>
                <w:sz w:val="22"/>
                <w:szCs w:val="22"/>
              </w:rPr>
            </w:pPr>
          </w:p>
        </w:tc>
      </w:tr>
      <w:tr w:rsidR="002D238A" w:rsidRPr="002A2D52" w14:paraId="02D2F329" w14:textId="77777777">
        <w:trPr>
          <w:cantSplit/>
        </w:trPr>
        <w:tc>
          <w:tcPr>
            <w:tcW w:w="6771" w:type="dxa"/>
            <w:vMerge w:val="restart"/>
          </w:tcPr>
          <w:p w14:paraId="783C58B4" w14:textId="77777777" w:rsidR="002D238A" w:rsidRPr="002A2D52" w:rsidRDefault="002D238A" w:rsidP="005031C8">
            <w:pPr>
              <w:shd w:val="solid" w:color="FFFFFF" w:fill="FFFFFF"/>
              <w:spacing w:before="0" w:line="240" w:lineRule="atLeast"/>
              <w:rPr>
                <w:rFonts w:ascii="Verdana" w:hAnsi="Verdana"/>
                <w:sz w:val="20"/>
              </w:rPr>
            </w:pPr>
            <w:bookmarkStart w:id="0" w:name="dnum" w:colFirst="1" w:colLast="1"/>
          </w:p>
        </w:tc>
        <w:tc>
          <w:tcPr>
            <w:tcW w:w="3118" w:type="dxa"/>
          </w:tcPr>
          <w:p w14:paraId="3E23E9F3" w14:textId="0C54F6B7" w:rsidR="002D238A" w:rsidRPr="002A2D52" w:rsidRDefault="000F48C5" w:rsidP="000F48C5">
            <w:pPr>
              <w:shd w:val="solid" w:color="FFFFFF" w:fill="FFFFFF"/>
              <w:spacing w:before="0" w:line="240" w:lineRule="atLeast"/>
              <w:rPr>
                <w:rFonts w:ascii="Verdana" w:hAnsi="Verdana"/>
                <w:sz w:val="20"/>
              </w:rPr>
            </w:pPr>
            <w:r w:rsidRPr="002A2D52">
              <w:rPr>
                <w:rFonts w:ascii="Verdana" w:hAnsi="Verdana"/>
                <w:b/>
                <w:sz w:val="20"/>
              </w:rPr>
              <w:t>Document RAG/</w:t>
            </w:r>
            <w:r w:rsidR="00075E45" w:rsidRPr="002A2D52">
              <w:rPr>
                <w:rFonts w:ascii="Verdana" w:hAnsi="Verdana"/>
                <w:b/>
                <w:sz w:val="20"/>
              </w:rPr>
              <w:t>7</w:t>
            </w:r>
            <w:r w:rsidRPr="002A2D52">
              <w:rPr>
                <w:rFonts w:ascii="Verdana" w:hAnsi="Verdana"/>
                <w:b/>
                <w:sz w:val="20"/>
              </w:rPr>
              <w:t>7-F</w:t>
            </w:r>
          </w:p>
        </w:tc>
      </w:tr>
      <w:tr w:rsidR="002D238A" w:rsidRPr="002A2D52" w14:paraId="70174B5B" w14:textId="77777777">
        <w:trPr>
          <w:cantSplit/>
        </w:trPr>
        <w:tc>
          <w:tcPr>
            <w:tcW w:w="6771" w:type="dxa"/>
            <w:vMerge/>
          </w:tcPr>
          <w:p w14:paraId="71C7243D" w14:textId="77777777" w:rsidR="002D238A" w:rsidRPr="002A2D52" w:rsidRDefault="002D238A" w:rsidP="00773E5E">
            <w:pPr>
              <w:spacing w:before="60"/>
              <w:jc w:val="center"/>
              <w:rPr>
                <w:b/>
                <w:smallCaps/>
                <w:sz w:val="32"/>
              </w:rPr>
            </w:pPr>
            <w:bookmarkStart w:id="1" w:name="ddate" w:colFirst="1" w:colLast="1"/>
            <w:bookmarkEnd w:id="0"/>
          </w:p>
        </w:tc>
        <w:tc>
          <w:tcPr>
            <w:tcW w:w="3118" w:type="dxa"/>
          </w:tcPr>
          <w:p w14:paraId="7FC628C7" w14:textId="2F4529DC" w:rsidR="002D238A" w:rsidRPr="002A2D52" w:rsidRDefault="00075E45" w:rsidP="000F48C5">
            <w:pPr>
              <w:shd w:val="solid" w:color="FFFFFF" w:fill="FFFFFF"/>
              <w:spacing w:before="0" w:line="240" w:lineRule="atLeast"/>
              <w:rPr>
                <w:rFonts w:ascii="Verdana" w:hAnsi="Verdana"/>
                <w:sz w:val="20"/>
              </w:rPr>
            </w:pPr>
            <w:r w:rsidRPr="002A2D52">
              <w:rPr>
                <w:rFonts w:ascii="Verdana" w:hAnsi="Verdana"/>
                <w:b/>
                <w:sz w:val="20"/>
              </w:rPr>
              <w:t>16</w:t>
            </w:r>
            <w:r w:rsidR="000F48C5" w:rsidRPr="002A2D52">
              <w:rPr>
                <w:rFonts w:ascii="Verdana" w:hAnsi="Verdana"/>
                <w:b/>
                <w:sz w:val="20"/>
              </w:rPr>
              <w:t xml:space="preserve"> </w:t>
            </w:r>
            <w:r w:rsidRPr="002A2D52">
              <w:rPr>
                <w:rFonts w:ascii="Verdana" w:hAnsi="Verdana"/>
                <w:b/>
                <w:sz w:val="20"/>
              </w:rPr>
              <w:t>mars</w:t>
            </w:r>
            <w:r w:rsidR="000F48C5" w:rsidRPr="002A2D52">
              <w:rPr>
                <w:rFonts w:ascii="Verdana" w:hAnsi="Verdana"/>
                <w:b/>
                <w:sz w:val="20"/>
              </w:rPr>
              <w:t xml:space="preserve"> 2026</w:t>
            </w:r>
          </w:p>
        </w:tc>
      </w:tr>
      <w:tr w:rsidR="002D238A" w:rsidRPr="002A2D52" w14:paraId="241438E3" w14:textId="77777777">
        <w:trPr>
          <w:cantSplit/>
        </w:trPr>
        <w:tc>
          <w:tcPr>
            <w:tcW w:w="6771" w:type="dxa"/>
            <w:vMerge/>
          </w:tcPr>
          <w:p w14:paraId="48B2E602" w14:textId="77777777" w:rsidR="002D238A" w:rsidRPr="002A2D52" w:rsidRDefault="002D238A" w:rsidP="00773E5E">
            <w:pPr>
              <w:spacing w:before="60"/>
              <w:jc w:val="center"/>
              <w:rPr>
                <w:b/>
                <w:smallCaps/>
                <w:sz w:val="32"/>
              </w:rPr>
            </w:pPr>
            <w:bookmarkStart w:id="2" w:name="dorlang" w:colFirst="1" w:colLast="1"/>
            <w:bookmarkEnd w:id="1"/>
          </w:p>
        </w:tc>
        <w:tc>
          <w:tcPr>
            <w:tcW w:w="3118" w:type="dxa"/>
          </w:tcPr>
          <w:p w14:paraId="122EAFA0" w14:textId="77777777" w:rsidR="002D238A" w:rsidRPr="002A2D52" w:rsidRDefault="000F48C5" w:rsidP="000F48C5">
            <w:pPr>
              <w:shd w:val="solid" w:color="FFFFFF" w:fill="FFFFFF"/>
              <w:spacing w:before="0" w:after="120" w:line="240" w:lineRule="atLeast"/>
              <w:rPr>
                <w:rFonts w:ascii="Verdana" w:hAnsi="Verdana"/>
                <w:sz w:val="20"/>
              </w:rPr>
            </w:pPr>
            <w:proofErr w:type="gramStart"/>
            <w:r w:rsidRPr="002A2D52">
              <w:rPr>
                <w:rFonts w:ascii="Verdana" w:hAnsi="Verdana"/>
                <w:b/>
                <w:sz w:val="20"/>
              </w:rPr>
              <w:t>Original:</w:t>
            </w:r>
            <w:proofErr w:type="gramEnd"/>
            <w:r w:rsidRPr="002A2D52">
              <w:rPr>
                <w:rFonts w:ascii="Verdana" w:hAnsi="Verdana"/>
                <w:b/>
                <w:sz w:val="20"/>
              </w:rPr>
              <w:t xml:space="preserve"> anglais</w:t>
            </w:r>
          </w:p>
        </w:tc>
      </w:tr>
      <w:tr w:rsidR="002D238A" w:rsidRPr="002A2D52" w14:paraId="73FE5D0C" w14:textId="77777777">
        <w:trPr>
          <w:cantSplit/>
        </w:trPr>
        <w:tc>
          <w:tcPr>
            <w:tcW w:w="9889" w:type="dxa"/>
            <w:gridSpan w:val="2"/>
          </w:tcPr>
          <w:p w14:paraId="36D712F0" w14:textId="79FC9C97" w:rsidR="002D238A" w:rsidRPr="002A2D52" w:rsidRDefault="00075E45" w:rsidP="00773E5E">
            <w:pPr>
              <w:pStyle w:val="Source"/>
            </w:pPr>
            <w:bookmarkStart w:id="3" w:name="dsource" w:colFirst="0" w:colLast="0"/>
            <w:bookmarkEnd w:id="2"/>
            <w:r w:rsidRPr="002A2D52">
              <w:t>Arabie saoudite (Royaume d'), Bahreïn (Royaume de), Djibouti (République de), Égypte (République arabe d'), Jordanie (Royaume hachémite de), Koweït</w:t>
            </w:r>
            <w:r w:rsidR="0075366E" w:rsidRPr="002A2D52">
              <w:t> </w:t>
            </w:r>
            <w:r w:rsidRPr="002A2D52">
              <w:t>(État du), Maroc (Royaume du), Tunisie,</w:t>
            </w:r>
            <w:r w:rsidR="00A22D13" w:rsidRPr="002A2D52">
              <w:br/>
            </w:r>
            <w:r w:rsidRPr="002A2D52">
              <w:t>Émirats arabes unis</w:t>
            </w:r>
          </w:p>
        </w:tc>
      </w:tr>
      <w:tr w:rsidR="002D238A" w:rsidRPr="002A2D52" w14:paraId="60645B7E" w14:textId="77777777">
        <w:trPr>
          <w:cantSplit/>
        </w:trPr>
        <w:tc>
          <w:tcPr>
            <w:tcW w:w="9889" w:type="dxa"/>
            <w:gridSpan w:val="2"/>
          </w:tcPr>
          <w:p w14:paraId="004489BA" w14:textId="3CD3873A" w:rsidR="002D238A" w:rsidRPr="002A2D52" w:rsidRDefault="00075E45" w:rsidP="00773E5E">
            <w:pPr>
              <w:pStyle w:val="Title1"/>
            </w:pPr>
            <w:bookmarkStart w:id="4" w:name="dtitle1" w:colFirst="0" w:colLast="0"/>
            <w:bookmarkEnd w:id="3"/>
            <w:r w:rsidRPr="002A2D52">
              <w:t>AMÉLIORer LA STRUCTURE DES commissions</w:t>
            </w:r>
            <w:r w:rsidR="00A22D13" w:rsidRPr="002A2D52">
              <w:br/>
            </w:r>
            <w:r w:rsidRPr="002A2D52">
              <w:t>D'ÉTUDEs</w:t>
            </w:r>
            <w:r w:rsidR="00A22D13" w:rsidRPr="002A2D52">
              <w:t xml:space="preserve"> </w:t>
            </w:r>
            <w:r w:rsidRPr="002A2D52">
              <w:t>dES RADIOCOMMUNICATIONS</w:t>
            </w:r>
          </w:p>
        </w:tc>
      </w:tr>
    </w:tbl>
    <w:bookmarkEnd w:id="4"/>
    <w:p w14:paraId="536920C5" w14:textId="6DB8F299" w:rsidR="000F48C5" w:rsidRPr="002A2D52" w:rsidRDefault="0075366E" w:rsidP="00740508">
      <w:pPr>
        <w:pStyle w:val="Heading1"/>
      </w:pPr>
      <w:r w:rsidRPr="002A2D52">
        <w:t>1</w:t>
      </w:r>
      <w:r w:rsidRPr="002A2D52">
        <w:tab/>
      </w:r>
      <w:r w:rsidR="000F48C5" w:rsidRPr="002A2D52">
        <w:t>Introduction</w:t>
      </w:r>
    </w:p>
    <w:p w14:paraId="2B856271" w14:textId="19F7923E" w:rsidR="00075E45" w:rsidRPr="002A2D52" w:rsidRDefault="00075E45" w:rsidP="00075E45">
      <w:pPr>
        <w:rPr>
          <w:lang w:eastAsia="zh-CN"/>
        </w:rPr>
      </w:pPr>
      <w:bookmarkStart w:id="5" w:name="_Hlk187954263"/>
      <w:r w:rsidRPr="002A2D52">
        <w:rPr>
          <w:lang w:eastAsia="zh-CN"/>
        </w:rPr>
        <w:t xml:space="preserve">À </w:t>
      </w:r>
      <w:r w:rsidR="00877560" w:rsidRPr="002A2D52">
        <w:rPr>
          <w:lang w:eastAsia="zh-CN"/>
        </w:rPr>
        <w:t xml:space="preserve">sa </w:t>
      </w:r>
      <w:r w:rsidRPr="002A2D52">
        <w:rPr>
          <w:lang w:eastAsia="zh-CN"/>
        </w:rPr>
        <w:t xml:space="preserve">32ème réunion, le Groupe consultatif des radiocommunications (GCR) a invité les commissions d'études de l'UIT-R à identifier et signaler les problèmes, chevauchements ou possibilités d'amélioration dans leur domaine de compétence actuel (voir le résumé des conclusions figurant dans la Lettre circulaire </w:t>
      </w:r>
      <w:hyperlink r:id="rId8" w:history="1">
        <w:r w:rsidRPr="002A2D52">
          <w:rPr>
            <w:rStyle w:val="Hyperlink"/>
            <w:lang w:eastAsia="zh-CN"/>
          </w:rPr>
          <w:t>CA/277</w:t>
        </w:r>
      </w:hyperlink>
      <w:r w:rsidRPr="002A2D52">
        <w:rPr>
          <w:lang w:eastAsia="zh-CN"/>
        </w:rPr>
        <w:t>). Cette demande visait à faire en sorte que le mécanisme des commissions d'études de l'UIT-R reste efficace tout en facilitant l'élaboration des produits attendus pour l'AR-27 et la CMR-27, et à déterminer si la structure organisationnelle en place reste bien adaptée pour répondre à l'évolution actuelle des radiocommunications.</w:t>
      </w:r>
    </w:p>
    <w:p w14:paraId="371E45E5" w14:textId="4D43012C" w:rsidR="00075E45" w:rsidRPr="002A2D52" w:rsidRDefault="00075E45" w:rsidP="00075E45">
      <w:pPr>
        <w:rPr>
          <w:lang w:eastAsia="zh-CN"/>
        </w:rPr>
      </w:pPr>
      <w:r w:rsidRPr="002A2D52">
        <w:rPr>
          <w:lang w:eastAsia="zh-CN"/>
        </w:rPr>
        <w:t xml:space="preserve">Comme </w:t>
      </w:r>
      <w:proofErr w:type="gramStart"/>
      <w:r w:rsidRPr="002A2D52">
        <w:rPr>
          <w:lang w:eastAsia="zh-CN"/>
        </w:rPr>
        <w:t>suite à</w:t>
      </w:r>
      <w:proofErr w:type="gramEnd"/>
      <w:r w:rsidRPr="002A2D52">
        <w:rPr>
          <w:lang w:eastAsia="zh-CN"/>
        </w:rPr>
        <w:t xml:space="preserve"> cette demande, le Bureau des radiocommunications (BR) a invité les commissions d</w:t>
      </w:r>
      <w:r w:rsidR="00A06C68" w:rsidRPr="002A2D52">
        <w:rPr>
          <w:lang w:eastAsia="zh-CN"/>
        </w:rPr>
        <w:t>'</w:t>
      </w:r>
      <w:r w:rsidRPr="002A2D52">
        <w:rPr>
          <w:lang w:eastAsia="zh-CN"/>
        </w:rPr>
        <w:t>études à transmettre leurs observations sur les difficultés rencontrées dans la conduite de leurs études, ainsi que les éventuels domaines où l</w:t>
      </w:r>
      <w:r w:rsidR="00A06C68" w:rsidRPr="002A2D52">
        <w:rPr>
          <w:lang w:eastAsia="zh-CN"/>
        </w:rPr>
        <w:t>'</w:t>
      </w:r>
      <w:r w:rsidRPr="002A2D52">
        <w:rPr>
          <w:lang w:eastAsia="zh-CN"/>
        </w:rPr>
        <w:t>efficacité</w:t>
      </w:r>
      <w:r w:rsidRPr="002A2D52">
        <w:t xml:space="preserve"> pourrait être améliorée par </w:t>
      </w:r>
      <w:r w:rsidRPr="002A2D52">
        <w:rPr>
          <w:lang w:eastAsia="zh-CN"/>
        </w:rPr>
        <w:t>une meilleure coordination ou une révision de la structure et des méthodes de travail. Les observations reçues des commissions d'études sont récapitulées à l'Annexe 2 de l'Addendum 1 du Rapport du Directeur du</w:t>
      </w:r>
      <w:r w:rsidR="00A22D13" w:rsidRPr="002A2D52">
        <w:rPr>
          <w:lang w:eastAsia="zh-CN"/>
        </w:rPr>
        <w:t> </w:t>
      </w:r>
      <w:r w:rsidRPr="002A2D52">
        <w:rPr>
          <w:lang w:eastAsia="zh-CN"/>
        </w:rPr>
        <w:t xml:space="preserve">BR à la 33ème réunion du GCR (voir le Document </w:t>
      </w:r>
      <w:hyperlink r:id="rId9" w:history="1">
        <w:r w:rsidRPr="002A2D52">
          <w:rPr>
            <w:rStyle w:val="Hyperlink"/>
            <w:lang w:eastAsia="zh-CN"/>
          </w:rPr>
          <w:t>RAG/58-F</w:t>
        </w:r>
      </w:hyperlink>
      <w:r w:rsidRPr="002A2D52">
        <w:rPr>
          <w:lang w:eastAsia="zh-CN"/>
        </w:rPr>
        <w:t>), qui synthétise les contributions soumises par les différentes commissions d'études au sujet des</w:t>
      </w:r>
      <w:r w:rsidRPr="002A2D52">
        <w:t xml:space="preserve"> </w:t>
      </w:r>
      <w:r w:rsidRPr="002A2D52">
        <w:rPr>
          <w:lang w:eastAsia="zh-CN"/>
        </w:rPr>
        <w:t>problèmes, chevauchements ou possibilités d'amélioration dans leur domaine de compétence actuel.</w:t>
      </w:r>
    </w:p>
    <w:p w14:paraId="1F6C288D" w14:textId="29D3FF30" w:rsidR="00075E45" w:rsidRPr="002A2D52" w:rsidRDefault="00075E45" w:rsidP="00075E45">
      <w:pPr>
        <w:rPr>
          <w:lang w:eastAsia="zh-CN"/>
        </w:rPr>
      </w:pPr>
      <w:r w:rsidRPr="002A2D52">
        <w:rPr>
          <w:lang w:eastAsia="zh-CN"/>
        </w:rPr>
        <w:t xml:space="preserve">Comme il est indiqué à l'Annexe 2, plusieurs commissions d'études ont examiné ces questions lors de leurs réunions et dans le cadre de contributions spécifiques. En particulier, la Commission d'études 4 et la Commission d'études 5 ont examiné des contributions soumises par plusieurs pays sur la question, à savoir les Document </w:t>
      </w:r>
      <w:hyperlink r:id="rId10" w:history="1">
        <w:r w:rsidRPr="002A2D52">
          <w:rPr>
            <w:rStyle w:val="Hyperlink"/>
            <w:lang w:eastAsia="zh-CN"/>
          </w:rPr>
          <w:t>4/47</w:t>
        </w:r>
      </w:hyperlink>
      <w:r w:rsidRPr="002A2D52">
        <w:rPr>
          <w:lang w:eastAsia="zh-CN"/>
        </w:rPr>
        <w:t xml:space="preserve"> et Document </w:t>
      </w:r>
      <w:hyperlink r:id="rId11" w:history="1">
        <w:r w:rsidRPr="002A2D52">
          <w:rPr>
            <w:rStyle w:val="Hyperlink"/>
            <w:lang w:eastAsia="zh-CN"/>
          </w:rPr>
          <w:t>5/96</w:t>
        </w:r>
      </w:hyperlink>
      <w:r w:rsidRPr="002A2D52">
        <w:rPr>
          <w:lang w:eastAsia="zh-CN"/>
        </w:rPr>
        <w:t>, qui indiquent les problèmes, chevauchements ou possibilités d'amélioration dans leur domaine de compétence actuel. Il est ressorti de ces débats que les études relatives aux services par satellite et aux services de Terre sont de plus en plus complexes et qu'une coordination est de plus en plus nécessaire entre les différents domaines techniques.</w:t>
      </w:r>
    </w:p>
    <w:p w14:paraId="135C7235" w14:textId="54597174" w:rsidR="00075E45" w:rsidRPr="002A2D52" w:rsidRDefault="00075E45" w:rsidP="00075E45">
      <w:pPr>
        <w:rPr>
          <w:lang w:eastAsia="zh-CN"/>
        </w:rPr>
      </w:pPr>
      <w:r w:rsidRPr="002A2D52">
        <w:rPr>
          <w:lang w:eastAsia="zh-CN"/>
        </w:rPr>
        <w:t>La Commission d'études 3 a aussi passé en revue les questions intéressant sa structure actuelle, en notant que sa structure n'avait pas connu de révision importante depuis 2007 et estimant qu'il pourrait être opportun de réexaminer celle-ci compte tenu de l'évolution de l'environnement technologique. Par ailleurs, il a été observé lors des débats que l</w:t>
      </w:r>
      <w:r w:rsidR="00A06C68" w:rsidRPr="002A2D52">
        <w:rPr>
          <w:lang w:eastAsia="zh-CN"/>
        </w:rPr>
        <w:t>'</w:t>
      </w:r>
      <w:r w:rsidRPr="002A2D52">
        <w:rPr>
          <w:lang w:eastAsia="zh-CN"/>
        </w:rPr>
        <w:t xml:space="preserve">évolution des technologies de </w:t>
      </w:r>
      <w:proofErr w:type="gramStart"/>
      <w:r w:rsidRPr="002A2D52">
        <w:rPr>
          <w:lang w:eastAsia="zh-CN"/>
        </w:rPr>
        <w:lastRenderedPageBreak/>
        <w:t>radiocommunication</w:t>
      </w:r>
      <w:proofErr w:type="gramEnd"/>
      <w:r w:rsidRPr="002A2D52">
        <w:rPr>
          <w:lang w:eastAsia="zh-CN"/>
        </w:rPr>
        <w:t xml:space="preserve"> modifie toujours plus les contours des services traditionnels et réclame une approche coordonnée entre les commissions d</w:t>
      </w:r>
      <w:r w:rsidR="00A06C68" w:rsidRPr="002A2D52">
        <w:rPr>
          <w:lang w:eastAsia="zh-CN"/>
        </w:rPr>
        <w:t>'</w:t>
      </w:r>
      <w:r w:rsidRPr="002A2D52">
        <w:rPr>
          <w:lang w:eastAsia="zh-CN"/>
        </w:rPr>
        <w:t>études. La Commission d</w:t>
      </w:r>
      <w:r w:rsidR="00A06C68" w:rsidRPr="002A2D52">
        <w:rPr>
          <w:lang w:eastAsia="zh-CN"/>
        </w:rPr>
        <w:t>'</w:t>
      </w:r>
      <w:r w:rsidRPr="002A2D52">
        <w:rPr>
          <w:lang w:eastAsia="zh-CN"/>
        </w:rPr>
        <w:t>études 3 a en outre souligné que ses Recommandations relatives à la propagation (série P) sont d'un apport important pour les travaux des autres commissions d</w:t>
      </w:r>
      <w:r w:rsidR="00A06C68" w:rsidRPr="002A2D52">
        <w:rPr>
          <w:lang w:eastAsia="zh-CN"/>
        </w:rPr>
        <w:t>'</w:t>
      </w:r>
      <w:r w:rsidRPr="002A2D52">
        <w:rPr>
          <w:lang w:eastAsia="zh-CN"/>
        </w:rPr>
        <w:t>études, ce qui illustre l</w:t>
      </w:r>
      <w:r w:rsidR="00A06C68" w:rsidRPr="002A2D52">
        <w:rPr>
          <w:lang w:eastAsia="zh-CN"/>
        </w:rPr>
        <w:t>'</w:t>
      </w:r>
      <w:r w:rsidRPr="002A2D52">
        <w:rPr>
          <w:lang w:eastAsia="zh-CN"/>
        </w:rPr>
        <w:t>interdépendance des études au sein de l</w:t>
      </w:r>
      <w:r w:rsidR="00A06C68" w:rsidRPr="002A2D52">
        <w:rPr>
          <w:lang w:eastAsia="zh-CN"/>
        </w:rPr>
        <w:t>'</w:t>
      </w:r>
      <w:r w:rsidRPr="002A2D52">
        <w:rPr>
          <w:lang w:eastAsia="zh-CN"/>
        </w:rPr>
        <w:t>UIT-R.</w:t>
      </w:r>
    </w:p>
    <w:p w14:paraId="3CC69B20" w14:textId="6E794A1E" w:rsidR="000F48C5" w:rsidRPr="002A2D52" w:rsidRDefault="00075E45" w:rsidP="00075E45">
      <w:r w:rsidRPr="002A2D52">
        <w:rPr>
          <w:lang w:eastAsia="zh-CN"/>
        </w:rPr>
        <w:t>Dans l'ensemble, les observations dont le résumé figure à l'Annexe 2 indiquent qu'en raison de l'évolution rapide des technologies et des services de radiocommunication, la portée, la complexité et l'interdépendance des études de l'UIT-R se sont accrues, en particulier dans des domaines comme les communications par satellite, les systèmes mobiles de Terre et les architectures de réseau émergentes. De plus en plus, ces innovations s'étendent à plusieurs domaines des radiocommunications, ce qui impose aux commissions d'études de coopérer davantage entre elles, dans le cadre de mécanismes comme les notes de liaison et les échanges de résultats d'études. Cela montre que les activités de l</w:t>
      </w:r>
      <w:r w:rsidR="00A06C68" w:rsidRPr="002A2D52">
        <w:rPr>
          <w:lang w:eastAsia="zh-CN"/>
        </w:rPr>
        <w:t>'</w:t>
      </w:r>
      <w:r w:rsidRPr="002A2D52">
        <w:rPr>
          <w:lang w:eastAsia="zh-CN"/>
        </w:rPr>
        <w:t>UIT-R</w:t>
      </w:r>
      <w:r w:rsidRPr="002A2D52">
        <w:t xml:space="preserve"> </w:t>
      </w:r>
      <w:r w:rsidRPr="002A2D52">
        <w:rPr>
          <w:lang w:eastAsia="zh-CN"/>
        </w:rPr>
        <w:t>conservent leur pertinence et restent dynamiques, mais a aussi eu pour effet d'alourdir la charge de travail de certaines commissions d</w:t>
      </w:r>
      <w:r w:rsidR="00A06C68" w:rsidRPr="002A2D52">
        <w:rPr>
          <w:lang w:eastAsia="zh-CN"/>
        </w:rPr>
        <w:t>'</w:t>
      </w:r>
      <w:r w:rsidRPr="002A2D52">
        <w:rPr>
          <w:lang w:eastAsia="zh-CN"/>
        </w:rPr>
        <w:t>études et de leurs groupes de travail. Bien que la nature et la portée des travaux menés ait évolué, la structure générale des commissions d</w:t>
      </w:r>
      <w:r w:rsidR="00A06C68" w:rsidRPr="002A2D52">
        <w:rPr>
          <w:lang w:eastAsia="zh-CN"/>
        </w:rPr>
        <w:t>'</w:t>
      </w:r>
      <w:r w:rsidRPr="002A2D52">
        <w:rPr>
          <w:lang w:eastAsia="zh-CN"/>
        </w:rPr>
        <w:t>études de l</w:t>
      </w:r>
      <w:r w:rsidR="00A06C68" w:rsidRPr="002A2D52">
        <w:rPr>
          <w:lang w:eastAsia="zh-CN"/>
        </w:rPr>
        <w:t>'</w:t>
      </w:r>
      <w:r w:rsidRPr="002A2D52">
        <w:rPr>
          <w:lang w:eastAsia="zh-CN"/>
        </w:rPr>
        <w:t>UIT-R est restée en grande partie inchangée depuis plus de quinze ans, soit l'équivalent de près de quatre cycles de l</w:t>
      </w:r>
      <w:r w:rsidR="00A06C68" w:rsidRPr="002A2D52">
        <w:rPr>
          <w:lang w:eastAsia="zh-CN"/>
        </w:rPr>
        <w:t>'</w:t>
      </w:r>
      <w:r w:rsidRPr="002A2D52">
        <w:rPr>
          <w:lang w:eastAsia="zh-CN"/>
        </w:rPr>
        <w:t>Assemblée des radiocommunications (AR), ce qui pose la question de l'utilité de procéder à un examen périodique de la structure pour garantir que le mécanisme des commissions d'études reste adapté à l'évolution actuelle et future des radiocommunications.</w:t>
      </w:r>
      <w:hyperlink r:id="rId12" w:history="1"/>
    </w:p>
    <w:bookmarkEnd w:id="5"/>
    <w:p w14:paraId="2A39E328" w14:textId="386354AB" w:rsidR="000F48C5" w:rsidRPr="002A2D52" w:rsidRDefault="00F24187" w:rsidP="00F24187">
      <w:pPr>
        <w:pStyle w:val="Heading2"/>
      </w:pPr>
      <w:r w:rsidRPr="002A2D52">
        <w:rPr>
          <w:lang w:eastAsia="zh-CN"/>
        </w:rPr>
        <w:t>2</w:t>
      </w:r>
      <w:r w:rsidRPr="002A2D52">
        <w:rPr>
          <w:lang w:eastAsia="zh-CN"/>
        </w:rPr>
        <w:tab/>
      </w:r>
      <w:r w:rsidR="00075E45" w:rsidRPr="002A2D52">
        <w:rPr>
          <w:lang w:eastAsia="zh-CN"/>
        </w:rPr>
        <w:t>Analyse</w:t>
      </w:r>
    </w:p>
    <w:p w14:paraId="2E6ED0F7" w14:textId="77777777" w:rsidR="00075E45" w:rsidRPr="002A2D52" w:rsidRDefault="00075E45" w:rsidP="00075E45">
      <w:pPr>
        <w:rPr>
          <w:lang w:eastAsia="zh-CN"/>
        </w:rPr>
      </w:pPr>
      <w:r w:rsidRPr="002A2D52">
        <w:rPr>
          <w:lang w:eastAsia="zh-CN"/>
        </w:rPr>
        <w:t>En application de la Résolution UIT-R 4, la structure actuelle des commissions d'études a évolué au fil des sessions de l'Assemblée des radiocommunications pour tenir compte de l'évolution des technologies, des services et des exigences réglementaires du secteur. L'Assemblée des radiocommunications revoit périodiquement le champ d'action et l'organisation des commissions d'études pour faire en sorte que la structure reste adaptée à l'évolution des besoins du secteur des radiocommunications et puisse contribuer efficacement à l'élaboration des produits attendus de la Conférence mondiale des radiocommunications (CMR).</w:t>
      </w:r>
    </w:p>
    <w:p w14:paraId="6C535C69" w14:textId="19C76FF5" w:rsidR="00075E45" w:rsidRPr="002A2D52" w:rsidRDefault="00075E45" w:rsidP="00075E45">
      <w:pPr>
        <w:rPr>
          <w:lang w:eastAsia="zh-CN"/>
        </w:rPr>
      </w:pPr>
      <w:r w:rsidRPr="002A2D52">
        <w:rPr>
          <w:lang w:eastAsia="zh-CN"/>
        </w:rPr>
        <w:t xml:space="preserve">Comme l'illustre la </w:t>
      </w:r>
      <w:r w:rsidR="00890548" w:rsidRPr="002A2D52">
        <w:rPr>
          <w:lang w:eastAsia="zh-CN"/>
        </w:rPr>
        <w:t>F</w:t>
      </w:r>
      <w:r w:rsidRPr="002A2D52">
        <w:rPr>
          <w:lang w:eastAsia="zh-CN"/>
        </w:rPr>
        <w:t xml:space="preserve">igure 1, plusieurs ajustements structurels sont intervenus au fil du temps. On mentionnera parmi ces </w:t>
      </w:r>
      <w:proofErr w:type="gramStart"/>
      <w:r w:rsidRPr="002A2D52">
        <w:rPr>
          <w:lang w:eastAsia="zh-CN"/>
        </w:rPr>
        <w:t>changements:</w:t>
      </w:r>
      <w:proofErr w:type="gramEnd"/>
    </w:p>
    <w:p w14:paraId="550D0953" w14:textId="6ADF41CB" w:rsidR="00075E45" w:rsidRPr="002A2D52" w:rsidRDefault="0076796F" w:rsidP="00075E45">
      <w:pPr>
        <w:pStyle w:val="enumlev1"/>
        <w:rPr>
          <w:lang w:eastAsia="zh-CN"/>
        </w:rPr>
      </w:pPr>
      <w:r w:rsidRPr="002A2D52">
        <w:rPr>
          <w:lang w:eastAsia="zh-CN"/>
        </w:rPr>
        <w:t>•</w:t>
      </w:r>
      <w:r w:rsidRPr="002A2D52">
        <w:rPr>
          <w:lang w:eastAsia="zh-CN"/>
        </w:rPr>
        <w:tab/>
      </w:r>
      <w:r w:rsidR="00075E45" w:rsidRPr="002A2D52">
        <w:rPr>
          <w:lang w:eastAsia="zh-CN"/>
        </w:rPr>
        <w:t xml:space="preserve">le regroupement des activités liées aux études, afin de rationaliser les travaux techniques connexes et d'améliorer la coordination lorsque les sujets sont étroitement liés. Cela a été illustré notamment par l'intégration des anciennes Commissions d'études 10 et 11 dans la Commission d'études 6, qui a permis de regrouper les études relatives aux services de radiodiffusion dans une seule commission d'études et d'améliorer la coordination des activités liées à la </w:t>
      </w:r>
      <w:proofErr w:type="gramStart"/>
      <w:r w:rsidR="00075E45" w:rsidRPr="002A2D52">
        <w:rPr>
          <w:lang w:eastAsia="zh-CN"/>
        </w:rPr>
        <w:t>radiodiffusion;</w:t>
      </w:r>
      <w:proofErr w:type="gramEnd"/>
    </w:p>
    <w:p w14:paraId="702BA59E" w14:textId="10B8D407" w:rsidR="00075E45" w:rsidRPr="002A2D52" w:rsidRDefault="0076796F" w:rsidP="00075E45">
      <w:pPr>
        <w:pStyle w:val="enumlev1"/>
        <w:rPr>
          <w:lang w:eastAsia="zh-CN"/>
        </w:rPr>
      </w:pPr>
      <w:r w:rsidRPr="002A2D52">
        <w:rPr>
          <w:lang w:eastAsia="zh-CN"/>
        </w:rPr>
        <w:t>•</w:t>
      </w:r>
      <w:r w:rsidRPr="002A2D52">
        <w:rPr>
          <w:lang w:eastAsia="zh-CN"/>
        </w:rPr>
        <w:tab/>
      </w:r>
      <w:r w:rsidR="00075E45" w:rsidRPr="002A2D52">
        <w:rPr>
          <w:lang w:eastAsia="zh-CN"/>
        </w:rPr>
        <w:t>la réattribution de responsabilités entre les commissions d'études, ce qui permet de mener les études au sein des commissions les mieux placées pour traiter les nouvelles questions techniques et réglementaires. Cela s'est notamment traduit par la suppression des Commissions d'études 8 et 9, dont les responsabilités ont été redistribuées en modifiant les compétences de la Commission d'études 4 et en créant la Commission d'études 5, de manière à clarifier la distinction entre les études relatives aux services par satellite et aux services de Terre</w:t>
      </w:r>
      <w:r w:rsidR="00A06C68" w:rsidRPr="002A2D52">
        <w:rPr>
          <w:lang w:eastAsia="zh-CN"/>
        </w:rPr>
        <w:t>.</w:t>
      </w:r>
    </w:p>
    <w:p w14:paraId="557D90E3" w14:textId="77777777" w:rsidR="00075E45" w:rsidRPr="002A2D52" w:rsidRDefault="00075E45" w:rsidP="00075E45">
      <w:pPr>
        <w:rPr>
          <w:lang w:eastAsia="zh-CN"/>
        </w:rPr>
      </w:pPr>
      <w:r w:rsidRPr="002A2D52">
        <w:rPr>
          <w:lang w:eastAsia="zh-CN"/>
        </w:rPr>
        <w:t xml:space="preserve">Ces changements passés illustrent aussi le fait que l'amélioration du cadre de l'UIT-R peut prendre différentes </w:t>
      </w:r>
      <w:proofErr w:type="gramStart"/>
      <w:r w:rsidRPr="002A2D52">
        <w:rPr>
          <w:lang w:eastAsia="zh-CN"/>
        </w:rPr>
        <w:t>formes:</w:t>
      </w:r>
      <w:proofErr w:type="gramEnd"/>
      <w:r w:rsidRPr="002A2D52">
        <w:rPr>
          <w:lang w:eastAsia="zh-CN"/>
        </w:rPr>
        <w:t xml:space="preserve"> changements structurels, clarification des mandats, redistribution des thèmes et amélioration de la coordination et des méthodes de travail, notamment, selon la nature du problème constaté.</w:t>
      </w:r>
    </w:p>
    <w:p w14:paraId="361E13CC" w14:textId="77777777" w:rsidR="00075E45" w:rsidRPr="002A2D52" w:rsidRDefault="00075E45" w:rsidP="00075E45">
      <w:pPr>
        <w:pStyle w:val="FigureNo"/>
        <w:spacing w:before="0"/>
        <w:rPr>
          <w:sz w:val="24"/>
          <w:szCs w:val="24"/>
          <w:lang w:val="fr-FR"/>
        </w:rPr>
      </w:pPr>
      <w:r w:rsidRPr="002A2D52">
        <w:rPr>
          <w:sz w:val="24"/>
          <w:szCs w:val="24"/>
          <w:lang w:val="fr-FR"/>
        </w:rPr>
        <w:lastRenderedPageBreak/>
        <w:t>Figure 1</w:t>
      </w:r>
    </w:p>
    <w:p w14:paraId="3AEA4F81" w14:textId="4C752F19" w:rsidR="00075E45" w:rsidRPr="002A2D52" w:rsidRDefault="00075E45" w:rsidP="00A22D13">
      <w:pPr>
        <w:pStyle w:val="Figuretitle"/>
        <w:spacing w:before="120"/>
        <w:rPr>
          <w:lang w:val="fr-FR"/>
        </w:rPr>
      </w:pPr>
      <w:r w:rsidRPr="002A2D52">
        <w:rPr>
          <w:sz w:val="24"/>
          <w:szCs w:val="24"/>
          <w:lang w:val="fr-FR"/>
        </w:rPr>
        <w:t>Changements passés de la structure des commissions d'études</w:t>
      </w:r>
    </w:p>
    <w:p w14:paraId="49F8CBE6" w14:textId="68CECE58" w:rsidR="00075E45" w:rsidRPr="002A2D52" w:rsidRDefault="00075E45" w:rsidP="00A22D13">
      <w:pPr>
        <w:tabs>
          <w:tab w:val="clear" w:pos="794"/>
          <w:tab w:val="clear" w:pos="1191"/>
          <w:tab w:val="clear" w:pos="1588"/>
          <w:tab w:val="clear" w:pos="1985"/>
        </w:tabs>
        <w:overflowPunct/>
        <w:autoSpaceDE/>
        <w:autoSpaceDN/>
        <w:adjustRightInd/>
        <w:spacing w:before="0" w:after="120"/>
        <w:jc w:val="center"/>
        <w:textAlignment w:val="auto"/>
        <w:rPr>
          <w:sz w:val="22"/>
          <w:szCs w:val="18"/>
          <w:lang w:eastAsia="zh-CN"/>
        </w:rPr>
      </w:pPr>
      <w:r w:rsidRPr="002A2D52">
        <w:rPr>
          <w:sz w:val="22"/>
          <w:szCs w:val="18"/>
          <w:lang w:eastAsia="zh-CN"/>
        </w:rPr>
        <w:t>(Données compilées à partir des informations disponibles sur l'application de la Résolution UIT-R 4)</w:t>
      </w:r>
    </w:p>
    <w:p w14:paraId="44B7BB07" w14:textId="4E2C6EB6" w:rsidR="00A22D13" w:rsidRPr="002A2D52" w:rsidRDefault="00A22D13" w:rsidP="0065170E">
      <w:pPr>
        <w:pStyle w:val="Figure"/>
        <w:spacing w:before="120"/>
      </w:pPr>
      <w:r w:rsidRPr="002A2D52">
        <w:rPr>
          <w:noProof/>
          <w:lang w:eastAsia="zh-CN"/>
        </w:rPr>
        <w:drawing>
          <wp:inline distT="0" distB="0" distL="0" distR="0" wp14:anchorId="19A009E5" wp14:editId="51FC0958">
            <wp:extent cx="6120765" cy="177217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0765" cy="1772173"/>
                    </a:xfrm>
                    <a:prstGeom prst="rect">
                      <a:avLst/>
                    </a:prstGeom>
                    <a:noFill/>
                  </pic:spPr>
                </pic:pic>
              </a:graphicData>
            </a:graphic>
          </wp:inline>
        </w:drawing>
      </w:r>
    </w:p>
    <w:p w14:paraId="38214905" w14:textId="77777777" w:rsidR="00075E45" w:rsidRPr="002A2D52" w:rsidRDefault="00075E45" w:rsidP="00A22D13">
      <w:pPr>
        <w:pStyle w:val="Normalaftertitle"/>
        <w:rPr>
          <w:lang w:eastAsia="zh-CN"/>
        </w:rPr>
      </w:pPr>
      <w:r w:rsidRPr="002A2D52">
        <w:rPr>
          <w:lang w:eastAsia="zh-CN"/>
        </w:rPr>
        <w:t xml:space="preserve">Toutefois, depuis la Résolution UIT-R 4-6, la structure des commissions d'études est restée pour l'essentiel </w:t>
      </w:r>
      <w:proofErr w:type="gramStart"/>
      <w:r w:rsidRPr="002A2D52">
        <w:rPr>
          <w:lang w:eastAsia="zh-CN"/>
        </w:rPr>
        <w:t>inchangée;</w:t>
      </w:r>
      <w:proofErr w:type="gramEnd"/>
      <w:r w:rsidRPr="002A2D52">
        <w:rPr>
          <w:lang w:eastAsia="zh-CN"/>
        </w:rPr>
        <w:t xml:space="preserve"> elle consiste en six commissions d'études </w:t>
      </w:r>
      <w:proofErr w:type="gramStart"/>
      <w:r w:rsidRPr="002A2D52">
        <w:rPr>
          <w:lang w:eastAsia="zh-CN"/>
        </w:rPr>
        <w:t>couvrant:</w:t>
      </w:r>
      <w:proofErr w:type="gramEnd"/>
    </w:p>
    <w:p w14:paraId="6FFB191C" w14:textId="3A5CEEEE" w:rsidR="00075E45" w:rsidRPr="002A2D52" w:rsidRDefault="0076796F" w:rsidP="00075E45">
      <w:pPr>
        <w:pStyle w:val="enumlev1"/>
        <w:rPr>
          <w:lang w:eastAsia="zh-CN"/>
        </w:rPr>
      </w:pPr>
      <w:r w:rsidRPr="002A2D52">
        <w:rPr>
          <w:lang w:eastAsia="zh-CN"/>
        </w:rPr>
        <w:t>•</w:t>
      </w:r>
      <w:r w:rsidR="00075E45" w:rsidRPr="002A2D52">
        <w:rPr>
          <w:lang w:eastAsia="zh-CN"/>
        </w:rPr>
        <w:tab/>
        <w:t>La gestion du spectre (CE 1)</w:t>
      </w:r>
    </w:p>
    <w:p w14:paraId="0EFF2E47" w14:textId="2F0318E6" w:rsidR="00075E45" w:rsidRPr="002A2D52" w:rsidRDefault="0076796F" w:rsidP="00075E45">
      <w:pPr>
        <w:pStyle w:val="enumlev1"/>
        <w:rPr>
          <w:lang w:eastAsia="zh-CN"/>
        </w:rPr>
      </w:pPr>
      <w:r w:rsidRPr="002A2D52">
        <w:rPr>
          <w:lang w:eastAsia="zh-CN"/>
        </w:rPr>
        <w:t>•</w:t>
      </w:r>
      <w:r w:rsidR="00075E45" w:rsidRPr="002A2D52">
        <w:rPr>
          <w:lang w:eastAsia="zh-CN"/>
        </w:rPr>
        <w:tab/>
        <w:t>La propagation (CE 3)</w:t>
      </w:r>
    </w:p>
    <w:p w14:paraId="6E9F0ADE" w14:textId="17A40577" w:rsidR="00075E45" w:rsidRPr="002A2D52" w:rsidRDefault="0076796F" w:rsidP="00075E45">
      <w:pPr>
        <w:pStyle w:val="enumlev1"/>
        <w:rPr>
          <w:lang w:eastAsia="zh-CN"/>
        </w:rPr>
      </w:pPr>
      <w:r w:rsidRPr="002A2D52">
        <w:rPr>
          <w:lang w:eastAsia="zh-CN"/>
        </w:rPr>
        <w:t>•</w:t>
      </w:r>
      <w:r w:rsidR="00235CD1" w:rsidRPr="002A2D52">
        <w:rPr>
          <w:lang w:eastAsia="zh-CN"/>
        </w:rPr>
        <w:tab/>
      </w:r>
      <w:r w:rsidR="00075E45" w:rsidRPr="002A2D52">
        <w:rPr>
          <w:lang w:eastAsia="zh-CN"/>
        </w:rPr>
        <w:t>Les services par satellite (CE 4)</w:t>
      </w:r>
    </w:p>
    <w:p w14:paraId="6670E5E0" w14:textId="63777D6D" w:rsidR="00075E45" w:rsidRPr="002A2D52" w:rsidRDefault="0076796F" w:rsidP="00075E45">
      <w:pPr>
        <w:pStyle w:val="enumlev1"/>
        <w:rPr>
          <w:lang w:eastAsia="zh-CN"/>
        </w:rPr>
      </w:pPr>
      <w:r w:rsidRPr="002A2D52">
        <w:rPr>
          <w:lang w:eastAsia="zh-CN"/>
        </w:rPr>
        <w:t>•</w:t>
      </w:r>
      <w:r w:rsidR="00235CD1" w:rsidRPr="002A2D52">
        <w:rPr>
          <w:lang w:eastAsia="zh-CN"/>
        </w:rPr>
        <w:tab/>
      </w:r>
      <w:r w:rsidR="00075E45" w:rsidRPr="002A2D52">
        <w:rPr>
          <w:lang w:eastAsia="zh-CN"/>
        </w:rPr>
        <w:t>Les services de Terre (CE 5)</w:t>
      </w:r>
    </w:p>
    <w:p w14:paraId="142FACB4" w14:textId="622CB469" w:rsidR="00075E45" w:rsidRPr="002A2D52" w:rsidRDefault="0076796F" w:rsidP="00075E45">
      <w:pPr>
        <w:pStyle w:val="enumlev1"/>
        <w:rPr>
          <w:lang w:eastAsia="zh-CN"/>
        </w:rPr>
      </w:pPr>
      <w:r w:rsidRPr="002A2D52">
        <w:rPr>
          <w:lang w:eastAsia="zh-CN"/>
        </w:rPr>
        <w:t>•</w:t>
      </w:r>
      <w:r w:rsidR="00235CD1" w:rsidRPr="002A2D52">
        <w:rPr>
          <w:lang w:eastAsia="zh-CN"/>
        </w:rPr>
        <w:tab/>
      </w:r>
      <w:r w:rsidR="00075E45" w:rsidRPr="002A2D52">
        <w:rPr>
          <w:lang w:eastAsia="zh-CN"/>
        </w:rPr>
        <w:t>Les services de radiodiffusion (CE 6)</w:t>
      </w:r>
    </w:p>
    <w:p w14:paraId="04011F34" w14:textId="17C3A6C9" w:rsidR="00075E45" w:rsidRPr="002A2D52" w:rsidRDefault="0076796F" w:rsidP="00075E45">
      <w:pPr>
        <w:pStyle w:val="enumlev1"/>
        <w:rPr>
          <w:lang w:eastAsia="zh-CN"/>
        </w:rPr>
      </w:pPr>
      <w:r w:rsidRPr="002A2D52">
        <w:rPr>
          <w:lang w:eastAsia="zh-CN"/>
        </w:rPr>
        <w:t>•</w:t>
      </w:r>
      <w:r w:rsidR="00235CD1" w:rsidRPr="002A2D52">
        <w:rPr>
          <w:lang w:eastAsia="zh-CN"/>
        </w:rPr>
        <w:tab/>
      </w:r>
      <w:r w:rsidR="00075E45" w:rsidRPr="002A2D52">
        <w:rPr>
          <w:lang w:eastAsia="zh-CN"/>
        </w:rPr>
        <w:t>Les services scientifiques (CE 7)</w:t>
      </w:r>
    </w:p>
    <w:p w14:paraId="3A16CF01" w14:textId="77777777" w:rsidR="00075E45" w:rsidRPr="002A2D52" w:rsidRDefault="00075E45" w:rsidP="00075E45">
      <w:pPr>
        <w:rPr>
          <w:lang w:eastAsia="zh-CN"/>
        </w:rPr>
      </w:pPr>
      <w:r w:rsidRPr="002A2D52">
        <w:rPr>
          <w:lang w:eastAsia="zh-CN"/>
        </w:rPr>
        <w:t>Si cette longue période de stabilité structurelle a assuré la continuité des activités des commissions d'études, l'évolution rapide des technologies et des services de radiocommunication a profondément changé la nature, la complexité et l'interdépendance des études menées au sein de l'UIT-R. Les nouvelles technologies et les services émergents continuant à se développer, d'autres sujets d'études et responsabilités sont venus s'ajouter au cadre existant des commissions d'études.</w:t>
      </w:r>
    </w:p>
    <w:p w14:paraId="18102D49" w14:textId="61660CBE" w:rsidR="00075E45" w:rsidRPr="002A2D52" w:rsidRDefault="00075E45" w:rsidP="00075E45">
      <w:pPr>
        <w:rPr>
          <w:lang w:eastAsia="zh-CN"/>
        </w:rPr>
      </w:pPr>
      <w:r w:rsidRPr="002A2D52">
        <w:rPr>
          <w:lang w:eastAsia="zh-CN"/>
        </w:rPr>
        <w:t xml:space="preserve">La </w:t>
      </w:r>
      <w:r w:rsidR="002A2D52" w:rsidRPr="002A2D52">
        <w:rPr>
          <w:lang w:eastAsia="zh-CN"/>
        </w:rPr>
        <w:t>F</w:t>
      </w:r>
      <w:r w:rsidRPr="002A2D52">
        <w:rPr>
          <w:lang w:eastAsia="zh-CN"/>
        </w:rPr>
        <w:t>igure 2 présente une analyse des documents de séance des commissions d'études sur plusieurs cycles d'études de la CMR, à partir d'une compilation des contributions soumises au cours des deux</w:t>
      </w:r>
      <w:r w:rsidR="00A06C68" w:rsidRPr="002A2D52">
        <w:rPr>
          <w:lang w:eastAsia="zh-CN"/>
        </w:rPr>
        <w:t> </w:t>
      </w:r>
      <w:r w:rsidRPr="002A2D52">
        <w:rPr>
          <w:lang w:eastAsia="zh-CN"/>
        </w:rPr>
        <w:t>premières années de chaque cycle. D'après cette analyse, une grande partie des contributions est concentrée dans un nombre limité de commissions d'études. Cette tendance met en évidence une répartition inégale de la charge de travail dans la structure de l'UIT-R et témoigne de la complexité croissante de certaines études sur les radiocommunications ainsi que de la participation accrue des Administrations et des membres de secteur dans ces domaines.</w:t>
      </w:r>
    </w:p>
    <w:p w14:paraId="3FA60DC8" w14:textId="77777777" w:rsidR="00075E45" w:rsidRPr="002A2D52" w:rsidRDefault="00075E45" w:rsidP="0065170E">
      <w:pPr>
        <w:pStyle w:val="FigureNo"/>
        <w:spacing w:before="120"/>
        <w:rPr>
          <w:sz w:val="24"/>
          <w:szCs w:val="24"/>
          <w:lang w:val="fr-FR"/>
        </w:rPr>
      </w:pPr>
      <w:r w:rsidRPr="002A2D52">
        <w:rPr>
          <w:sz w:val="24"/>
          <w:szCs w:val="24"/>
          <w:lang w:val="fr-FR"/>
        </w:rPr>
        <w:t>Figure 2</w:t>
      </w:r>
    </w:p>
    <w:p w14:paraId="606B7757" w14:textId="045BCDBD" w:rsidR="00075E45" w:rsidRPr="002A2D52" w:rsidRDefault="00075E45" w:rsidP="00A22D13">
      <w:pPr>
        <w:pStyle w:val="Figuretitle"/>
        <w:rPr>
          <w:sz w:val="24"/>
          <w:szCs w:val="24"/>
          <w:lang w:val="fr-FR"/>
        </w:rPr>
      </w:pPr>
      <w:r w:rsidRPr="002A2D52">
        <w:rPr>
          <w:sz w:val="24"/>
          <w:szCs w:val="24"/>
          <w:lang w:val="fr-FR"/>
        </w:rPr>
        <w:t>Nombre de contributions soumises aux commissions d'études</w:t>
      </w:r>
      <w:r w:rsidR="00A22D13" w:rsidRPr="002A2D52">
        <w:rPr>
          <w:sz w:val="24"/>
          <w:szCs w:val="24"/>
          <w:lang w:val="fr-FR"/>
        </w:rPr>
        <w:br/>
      </w:r>
      <w:r w:rsidRPr="002A2D52">
        <w:rPr>
          <w:sz w:val="24"/>
          <w:szCs w:val="24"/>
          <w:lang w:val="fr-FR"/>
        </w:rPr>
        <w:t>de l'UIT-R</w:t>
      </w:r>
      <w:r w:rsidR="00A22D13" w:rsidRPr="002A2D52">
        <w:rPr>
          <w:sz w:val="24"/>
          <w:szCs w:val="24"/>
          <w:lang w:val="fr-FR"/>
        </w:rPr>
        <w:t xml:space="preserve"> </w:t>
      </w:r>
      <w:r w:rsidRPr="002A2D52">
        <w:rPr>
          <w:sz w:val="24"/>
          <w:szCs w:val="24"/>
          <w:lang w:val="fr-FR"/>
        </w:rPr>
        <w:t>au cours de différents cycles de la CMR</w:t>
      </w:r>
    </w:p>
    <w:p w14:paraId="15CE1B9A" w14:textId="50F06CC7" w:rsidR="00075E45" w:rsidRPr="002A2D52" w:rsidRDefault="00075E45" w:rsidP="00A22D13">
      <w:pPr>
        <w:keepNext/>
        <w:keepLines/>
        <w:spacing w:after="120"/>
        <w:jc w:val="center"/>
        <w:rPr>
          <w:b/>
          <w:lang w:eastAsia="zh-CN"/>
        </w:rPr>
      </w:pPr>
      <w:r w:rsidRPr="002A2D52">
        <w:rPr>
          <w:lang w:eastAsia="zh-CN"/>
        </w:rPr>
        <w:t>(Données compilées à partir de la page web des Commissions d'études de l'UIT-R)</w:t>
      </w:r>
    </w:p>
    <w:p w14:paraId="1F059201" w14:textId="77777777" w:rsidR="00075E45" w:rsidRPr="002A2D52" w:rsidRDefault="00075E45" w:rsidP="0065170E">
      <w:pPr>
        <w:pStyle w:val="Figure"/>
        <w:spacing w:before="0"/>
        <w:rPr>
          <w:lang w:eastAsia="zh-CN"/>
        </w:rPr>
      </w:pPr>
      <w:r w:rsidRPr="002A2D52">
        <w:rPr>
          <w:noProof/>
        </w:rPr>
        <w:drawing>
          <wp:inline distT="0" distB="0" distL="0" distR="0" wp14:anchorId="033B2544" wp14:editId="0F115149">
            <wp:extent cx="6120765" cy="2009803"/>
            <wp:effectExtent l="0" t="0" r="13335" b="9525"/>
            <wp:docPr id="12" name="Chart 12">
              <a:extLst xmlns:a="http://schemas.openxmlformats.org/drawingml/2006/main">
                <a:ext uri="{FF2B5EF4-FFF2-40B4-BE49-F238E27FC236}">
                  <a16:creationId xmlns:a16="http://schemas.microsoft.com/office/drawing/2014/main" id="{58C60865-3391-4FDF-96D3-F28EBC93BE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3BEE68A" w14:textId="77777777" w:rsidR="00075E45" w:rsidRPr="002A2D52" w:rsidRDefault="00075E45" w:rsidP="00A22D13">
      <w:pPr>
        <w:pStyle w:val="Normalaftertitle"/>
        <w:rPr>
          <w:lang w:eastAsia="zh-CN"/>
        </w:rPr>
      </w:pPr>
      <w:r w:rsidRPr="002A2D52">
        <w:rPr>
          <w:lang w:eastAsia="zh-CN"/>
        </w:rPr>
        <w:t xml:space="preserve">Les données compilées depuis la base de données des documents des commissions d'études indiquent ce qui </w:t>
      </w:r>
      <w:proofErr w:type="gramStart"/>
      <w:r w:rsidRPr="002A2D52">
        <w:rPr>
          <w:lang w:eastAsia="zh-CN"/>
        </w:rPr>
        <w:t>suit:</w:t>
      </w:r>
      <w:proofErr w:type="gramEnd"/>
    </w:p>
    <w:p w14:paraId="3D9EFC1F" w14:textId="24DB7CE4" w:rsidR="00075E45" w:rsidRPr="002A2D52" w:rsidRDefault="0076796F" w:rsidP="00235CD1">
      <w:pPr>
        <w:pStyle w:val="enumlev1"/>
        <w:rPr>
          <w:lang w:eastAsia="zh-CN"/>
        </w:rPr>
      </w:pPr>
      <w:r w:rsidRPr="002A2D52">
        <w:rPr>
          <w:lang w:eastAsia="zh-CN"/>
        </w:rPr>
        <w:t>•</w:t>
      </w:r>
      <w:r w:rsidR="00235CD1" w:rsidRPr="002A2D52">
        <w:rPr>
          <w:lang w:eastAsia="zh-CN"/>
        </w:rPr>
        <w:tab/>
      </w:r>
      <w:r w:rsidR="00075E45" w:rsidRPr="002A2D52">
        <w:rPr>
          <w:lang w:eastAsia="zh-CN"/>
        </w:rPr>
        <w:t>La CE 4 et la CE 5 sont les commissions d'études qui reçoivent systématiquement le plus grand nombre de contributions, ce qui témoigne de l'importance croissante des systèmes à satellites et des technologies mobiles de Terre.</w:t>
      </w:r>
    </w:p>
    <w:p w14:paraId="173B0FC0" w14:textId="4C510FAA" w:rsidR="00075E45" w:rsidRPr="002A2D52" w:rsidRDefault="0076796F" w:rsidP="00235CD1">
      <w:pPr>
        <w:pStyle w:val="enumlev1"/>
        <w:rPr>
          <w:lang w:eastAsia="zh-CN"/>
        </w:rPr>
      </w:pPr>
      <w:r w:rsidRPr="002A2D52">
        <w:rPr>
          <w:lang w:eastAsia="zh-CN"/>
        </w:rPr>
        <w:t>•</w:t>
      </w:r>
      <w:r w:rsidR="00235CD1" w:rsidRPr="002A2D52">
        <w:rPr>
          <w:lang w:eastAsia="zh-CN"/>
        </w:rPr>
        <w:tab/>
      </w:r>
      <w:r w:rsidR="00075E45" w:rsidRPr="002A2D52">
        <w:rPr>
          <w:lang w:eastAsia="zh-CN"/>
        </w:rPr>
        <w:t xml:space="preserve">D'autres commissions d'études, notamment la CE 3 et la CE 7, conservent aussi un niveau d'activité important, tandis que celui de la CE </w:t>
      </w:r>
      <w:r w:rsidR="00306C06" w:rsidRPr="002A2D52">
        <w:rPr>
          <w:lang w:eastAsia="zh-CN"/>
        </w:rPr>
        <w:t>1</w:t>
      </w:r>
      <w:r w:rsidR="00075E45" w:rsidRPr="002A2D52">
        <w:rPr>
          <w:lang w:eastAsia="zh-CN"/>
        </w:rPr>
        <w:t xml:space="preserve"> et de la CE</w:t>
      </w:r>
      <w:r w:rsidR="00306C06" w:rsidRPr="002A2D52">
        <w:rPr>
          <w:lang w:eastAsia="zh-CN"/>
        </w:rPr>
        <w:t xml:space="preserve"> 6</w:t>
      </w:r>
      <w:r w:rsidR="00075E45" w:rsidRPr="002A2D52">
        <w:rPr>
          <w:lang w:eastAsia="zh-CN"/>
        </w:rPr>
        <w:t xml:space="preserve"> a diminué.</w:t>
      </w:r>
    </w:p>
    <w:p w14:paraId="4FD7EE19" w14:textId="1352FCAA" w:rsidR="00075E45" w:rsidRPr="002A2D52" w:rsidRDefault="00075E45" w:rsidP="00075E45">
      <w:pPr>
        <w:rPr>
          <w:lang w:eastAsia="zh-CN"/>
        </w:rPr>
      </w:pPr>
      <w:r w:rsidRPr="002A2D52">
        <w:rPr>
          <w:lang w:eastAsia="zh-CN"/>
        </w:rPr>
        <w:t>Ainsi, la structure des commissions d'études est restée en grande partie inchangée pendant une longue période, tandis que leur champ d'action et leur volume de travail ont continué de croître. Dès</w:t>
      </w:r>
      <w:r w:rsidR="00A06C68" w:rsidRPr="002A2D52">
        <w:rPr>
          <w:lang w:eastAsia="zh-CN"/>
        </w:rPr>
        <w:t> </w:t>
      </w:r>
      <w:r w:rsidRPr="002A2D52">
        <w:rPr>
          <w:lang w:eastAsia="zh-CN"/>
        </w:rPr>
        <w:t>lors, la charge de travail de plus en plus élevée n'a pas été redistribuée entre les commissions d'études, les commissions existantes et leurs groupes de travail se retrouvant à devoir traiter un nombre croissant de questions techniques et réglementaires. Cette situation peut exercer de fortes contraintes sur certaines commissions d'études, étant donné, en particulier, le nombre et l'importance des sujets qu'elles ont à traiter, ce qui peut finir par compromettre l'efficacité des travaux et le respect des délais.</w:t>
      </w:r>
    </w:p>
    <w:p w14:paraId="29D61B83" w14:textId="77777777" w:rsidR="00075E45" w:rsidRPr="002A2D52" w:rsidRDefault="00075E45" w:rsidP="00075E45">
      <w:pPr>
        <w:rPr>
          <w:lang w:eastAsia="zh-CN"/>
        </w:rPr>
      </w:pPr>
      <w:r w:rsidRPr="002A2D52">
        <w:rPr>
          <w:lang w:eastAsia="zh-CN"/>
        </w:rPr>
        <w:t>Dans certains cas, les groupes de travail doivent traiter des centaines de contributions en une seule réunion, ce qui représente une contrainte importante pour le calendrier des réunions et le processus de rédaction.</w:t>
      </w:r>
    </w:p>
    <w:p w14:paraId="15EA2FAF" w14:textId="187F7155" w:rsidR="00075E45" w:rsidRPr="002A2D52" w:rsidRDefault="00075E45" w:rsidP="00075E45">
      <w:pPr>
        <w:rPr>
          <w:lang w:eastAsia="zh-CN"/>
        </w:rPr>
      </w:pPr>
      <w:bookmarkStart w:id="6" w:name="_Hlk224834133"/>
      <w:r w:rsidRPr="002A2D52">
        <w:rPr>
          <w:lang w:eastAsia="zh-CN"/>
        </w:rPr>
        <w:t>Le volume croissant des contributions peut également influer sur l'établissement en temps voulu du rapport de la RPC. L'élaboration des textes de la CPM impose aux groupes de travail de passer en revue un grand nombre de contributions techniques, de mener des études de compatibilité et de partage, et de synthétiser les résultats dans des projets de sections du rapport de la CPM tout en disposant d'un temps de réunion relativement court. En raison du nombre élevé de contributions, il s'est avéré parfois difficile d'examiner intégralement et de synthétiser tous les documents en seule réunion. Par exemple, au sein du GT 4A, qui est chargé de plusieurs points de l'ordre du jour de la</w:t>
      </w:r>
      <w:r w:rsidR="0065170E" w:rsidRPr="002A2D52">
        <w:rPr>
          <w:lang w:eastAsia="zh-CN"/>
        </w:rPr>
        <w:t> </w:t>
      </w:r>
      <w:r w:rsidRPr="002A2D52">
        <w:rPr>
          <w:lang w:eastAsia="zh-CN"/>
        </w:rPr>
        <w:t>CMR-27, le nombre élevé des contributions soumises a conduit à des situations où l'examen et la synthèse de certains projets de textes de la RPC et des études connexes n'est pas encore achevé, ce qui témoigne d'une augmentation de la complexité du traitement des contributions à la RPC et de la charge de travail connexe.</w:t>
      </w:r>
    </w:p>
    <w:p w14:paraId="5433FDCD" w14:textId="77777777" w:rsidR="00075E45" w:rsidRPr="002A2D52" w:rsidRDefault="00075E45" w:rsidP="0065170E">
      <w:pPr>
        <w:keepLines/>
        <w:rPr>
          <w:lang w:eastAsia="zh-CN"/>
        </w:rPr>
      </w:pPr>
      <w:r w:rsidRPr="002A2D52">
        <w:rPr>
          <w:lang w:eastAsia="zh-CN"/>
        </w:rPr>
        <w:t>Si le nombre des contributions soumises a nettement augmenté pour certains CE, le nombre de textes approuvés (recommandations, rapports, manuels, etc.) est resté relativement stable ou a seulement diminué dans de faibles proportions.</w:t>
      </w:r>
    </w:p>
    <w:p w14:paraId="699C8846" w14:textId="77777777" w:rsidR="00075E45" w:rsidRPr="002A2D52" w:rsidRDefault="00075E45" w:rsidP="0065170E">
      <w:pPr>
        <w:pStyle w:val="FigureNo"/>
        <w:spacing w:before="240"/>
        <w:rPr>
          <w:sz w:val="24"/>
          <w:szCs w:val="24"/>
          <w:lang w:val="fr-FR"/>
        </w:rPr>
      </w:pPr>
      <w:r w:rsidRPr="002A2D52">
        <w:rPr>
          <w:sz w:val="24"/>
          <w:szCs w:val="24"/>
          <w:lang w:val="fr-FR"/>
        </w:rPr>
        <w:t>Figure 3</w:t>
      </w:r>
    </w:p>
    <w:p w14:paraId="3524C75D" w14:textId="0FFC5F03" w:rsidR="00075E45" w:rsidRPr="002A2D52" w:rsidRDefault="00075E45" w:rsidP="00075E45">
      <w:pPr>
        <w:pStyle w:val="Figuretitle"/>
        <w:spacing w:after="0"/>
        <w:rPr>
          <w:sz w:val="24"/>
          <w:szCs w:val="24"/>
          <w:lang w:val="fr-FR"/>
        </w:rPr>
      </w:pPr>
      <w:r w:rsidRPr="002A2D52">
        <w:rPr>
          <w:sz w:val="24"/>
          <w:szCs w:val="24"/>
          <w:lang w:val="fr-FR"/>
        </w:rPr>
        <w:t>Nombre de textes approuvés par les commissions d'études</w:t>
      </w:r>
      <w:r w:rsidR="0065170E" w:rsidRPr="002A2D52">
        <w:rPr>
          <w:sz w:val="24"/>
          <w:szCs w:val="24"/>
          <w:lang w:val="fr-FR"/>
        </w:rPr>
        <w:br/>
      </w:r>
      <w:r w:rsidRPr="002A2D52">
        <w:rPr>
          <w:sz w:val="24"/>
          <w:szCs w:val="24"/>
          <w:lang w:val="fr-FR"/>
        </w:rPr>
        <w:t>de l'UIT-R au cours des différents cycles de la CMR</w:t>
      </w:r>
    </w:p>
    <w:p w14:paraId="5F00FDC5" w14:textId="5FD5AC90" w:rsidR="00075E45" w:rsidRPr="002A2D52" w:rsidRDefault="00075E45" w:rsidP="0065170E">
      <w:pPr>
        <w:spacing w:after="120"/>
        <w:jc w:val="center"/>
        <w:rPr>
          <w:b/>
          <w:lang w:eastAsia="zh-CN"/>
        </w:rPr>
      </w:pPr>
      <w:r w:rsidRPr="002A2D52">
        <w:rPr>
          <w:lang w:eastAsia="zh-CN"/>
        </w:rPr>
        <w:t>(Données compilées d'après la répartition des textes entre les commissions d'études de l'UIT-R)</w:t>
      </w:r>
    </w:p>
    <w:p w14:paraId="4414573E" w14:textId="77777777" w:rsidR="00075E45" w:rsidRPr="002A2D52" w:rsidRDefault="00075E45" w:rsidP="0065170E">
      <w:pPr>
        <w:pStyle w:val="Figure"/>
        <w:spacing w:before="120"/>
        <w:rPr>
          <w:lang w:eastAsia="zh-CN"/>
        </w:rPr>
      </w:pPr>
      <w:r w:rsidRPr="002A2D52">
        <w:rPr>
          <w:noProof/>
        </w:rPr>
        <w:drawing>
          <wp:inline distT="0" distB="0" distL="0" distR="0" wp14:anchorId="26681E1D" wp14:editId="458C438F">
            <wp:extent cx="6120765" cy="1918654"/>
            <wp:effectExtent l="0" t="0" r="13335" b="5715"/>
            <wp:docPr id="4" name="Chart 4">
              <a:extLst xmlns:a="http://schemas.openxmlformats.org/drawingml/2006/main">
                <a:ext uri="{FF2B5EF4-FFF2-40B4-BE49-F238E27FC236}">
                  <a16:creationId xmlns:a16="http://schemas.microsoft.com/office/drawing/2014/main" id="{C3A9DD68-9A74-4D67-80A3-2500654C89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B63B5D8" w14:textId="0701EB22" w:rsidR="00075E45" w:rsidRPr="002A2D52" w:rsidRDefault="00075E45" w:rsidP="0065170E">
      <w:pPr>
        <w:pStyle w:val="Normalaftertitle"/>
        <w:spacing w:before="240"/>
        <w:rPr>
          <w:lang w:eastAsia="zh-CN"/>
        </w:rPr>
      </w:pPr>
      <w:r w:rsidRPr="002A2D52">
        <w:rPr>
          <w:lang w:eastAsia="zh-CN"/>
        </w:rPr>
        <w:t xml:space="preserve">La </w:t>
      </w:r>
      <w:r w:rsidR="0065170E" w:rsidRPr="002A2D52">
        <w:rPr>
          <w:lang w:eastAsia="zh-CN"/>
        </w:rPr>
        <w:t>F</w:t>
      </w:r>
      <w:r w:rsidRPr="002A2D52">
        <w:rPr>
          <w:lang w:eastAsia="zh-CN"/>
        </w:rPr>
        <w:t xml:space="preserve">igure 3 schématise l'analyse des textes approuvés sur plusieurs cycles d'études, à partir des données compilées pour les deux premières années de chaque cycle. En comparant ces données au volume des contributions, on peut tirer plusieurs </w:t>
      </w:r>
      <w:proofErr w:type="gramStart"/>
      <w:r w:rsidRPr="002A2D52">
        <w:rPr>
          <w:lang w:eastAsia="zh-CN"/>
        </w:rPr>
        <w:t>enseignements:</w:t>
      </w:r>
      <w:proofErr w:type="gramEnd"/>
    </w:p>
    <w:p w14:paraId="1B4414E2" w14:textId="2B3975B4" w:rsidR="00075E45" w:rsidRPr="002A2D52" w:rsidRDefault="0076796F" w:rsidP="0065170E">
      <w:pPr>
        <w:pStyle w:val="enumlev1"/>
        <w:spacing w:before="60"/>
        <w:rPr>
          <w:lang w:eastAsia="zh-CN"/>
        </w:rPr>
      </w:pPr>
      <w:r w:rsidRPr="002A2D52">
        <w:rPr>
          <w:lang w:eastAsia="zh-CN"/>
        </w:rPr>
        <w:t>•</w:t>
      </w:r>
      <w:r w:rsidR="00235CD1" w:rsidRPr="002A2D52">
        <w:rPr>
          <w:lang w:eastAsia="zh-CN"/>
        </w:rPr>
        <w:tab/>
      </w:r>
      <w:r w:rsidR="00075E45" w:rsidRPr="002A2D52">
        <w:rPr>
          <w:lang w:eastAsia="zh-CN"/>
        </w:rPr>
        <w:t xml:space="preserve">Un très grand nombre de documents contributifs est nécessaire pour élaborer un nombre assez limité de produits finals. Ainsi, comme illustré dans la </w:t>
      </w:r>
      <w:r w:rsidR="0065170E" w:rsidRPr="002A2D52">
        <w:rPr>
          <w:lang w:eastAsia="zh-CN"/>
        </w:rPr>
        <w:t>F</w:t>
      </w:r>
      <w:r w:rsidR="00075E45" w:rsidRPr="002A2D52">
        <w:rPr>
          <w:lang w:eastAsia="zh-CN"/>
        </w:rPr>
        <w:t>igure 2, la Commission d'études 5 reçoit plusieurs milliers de contributions au cours d'un cycle d'études, tandis que le nombre de textes approuvés reste limité par comparaison, généralement de l'ordre de quelques centaines.</w:t>
      </w:r>
    </w:p>
    <w:p w14:paraId="1DE1EDC8" w14:textId="6367DEFC" w:rsidR="00075E45" w:rsidRPr="002A2D52" w:rsidRDefault="0076796F" w:rsidP="0065170E">
      <w:pPr>
        <w:pStyle w:val="enumlev1"/>
        <w:spacing w:before="60"/>
        <w:rPr>
          <w:lang w:eastAsia="zh-CN"/>
        </w:rPr>
      </w:pPr>
      <w:r w:rsidRPr="002A2D52">
        <w:rPr>
          <w:lang w:eastAsia="zh-CN"/>
        </w:rPr>
        <w:t>•</w:t>
      </w:r>
      <w:r w:rsidR="00235CD1" w:rsidRPr="002A2D52">
        <w:rPr>
          <w:lang w:eastAsia="zh-CN"/>
        </w:rPr>
        <w:tab/>
      </w:r>
      <w:r w:rsidR="00075E45" w:rsidRPr="002A2D52">
        <w:rPr>
          <w:lang w:eastAsia="zh-CN"/>
        </w:rPr>
        <w:t>L'analyse montre que, si le nombre de contributions a sensiblement augmenté au fil des cycles d'études successifs de la CMR, le nombre de textes approuvés est resté assez limité. La part relative des textes approuvés a donc diminué par rapport à celle des contributions. Par exemple, le volume des contributions soumises à la CE 4 et à la CE 5 est important, mais le nombre de résultats approuvés n'a pas augmenté dans les mêmes proportions, ce qui témoigne de la complexité croissante des études et du degré important de coordination qui est nécessaire entre les Administrations.</w:t>
      </w:r>
    </w:p>
    <w:p w14:paraId="7F6BD6A9" w14:textId="573B0EC2" w:rsidR="00075E45" w:rsidRPr="002A2D52" w:rsidRDefault="00075E45" w:rsidP="0065170E">
      <w:pPr>
        <w:spacing w:before="100"/>
        <w:rPr>
          <w:lang w:eastAsia="zh-CN"/>
        </w:rPr>
      </w:pPr>
      <w:r w:rsidRPr="002A2D52">
        <w:rPr>
          <w:lang w:eastAsia="zh-CN"/>
        </w:rPr>
        <w:t>Cette tendance indique que le processus des études est désormais plus exigeant en ressources, ce qui impose un plus grand effort aux Administrations pour trouver un consensus et achever les produits attendus. Ce constat illustre encore une fois la charge de travail croissante à laquelle doivent faire face certaines commissions d</w:t>
      </w:r>
      <w:r w:rsidR="00A06C68" w:rsidRPr="002A2D52">
        <w:rPr>
          <w:lang w:eastAsia="zh-CN"/>
        </w:rPr>
        <w:t>'</w:t>
      </w:r>
      <w:r w:rsidRPr="002A2D52">
        <w:rPr>
          <w:lang w:eastAsia="zh-CN"/>
        </w:rPr>
        <w:t>études et confirme la nécessité d</w:t>
      </w:r>
      <w:r w:rsidR="00A06C68" w:rsidRPr="002A2D52">
        <w:rPr>
          <w:lang w:eastAsia="zh-CN"/>
        </w:rPr>
        <w:t>'</w:t>
      </w:r>
      <w:r w:rsidRPr="002A2D52">
        <w:rPr>
          <w:lang w:eastAsia="zh-CN"/>
        </w:rPr>
        <w:t>un examen plus général et rigoureux de la nécessité d'améliorations portant sur la structure, les mandats, les mécanismes de coordination, les méthodes de travail ou la répartition des thèmes afin que le cadre de l</w:t>
      </w:r>
      <w:r w:rsidR="00A06C68" w:rsidRPr="002A2D52">
        <w:rPr>
          <w:lang w:eastAsia="zh-CN"/>
        </w:rPr>
        <w:t>'</w:t>
      </w:r>
      <w:r w:rsidRPr="002A2D52">
        <w:rPr>
          <w:lang w:eastAsia="zh-CN"/>
        </w:rPr>
        <w:t>UIT-R reste adapté à l</w:t>
      </w:r>
      <w:r w:rsidR="00A06C68" w:rsidRPr="002A2D52">
        <w:rPr>
          <w:lang w:eastAsia="zh-CN"/>
        </w:rPr>
        <w:t>'</w:t>
      </w:r>
      <w:r w:rsidRPr="002A2D52">
        <w:rPr>
          <w:lang w:eastAsia="zh-CN"/>
        </w:rPr>
        <w:t>évolution du secteur des radiocommunications.</w:t>
      </w:r>
    </w:p>
    <w:p w14:paraId="67171CC2" w14:textId="45CE1F03" w:rsidR="00075E45" w:rsidRPr="002A2D52" w:rsidRDefault="00075E45" w:rsidP="0065170E">
      <w:pPr>
        <w:spacing w:before="100"/>
        <w:rPr>
          <w:lang w:eastAsia="zh-CN"/>
        </w:rPr>
      </w:pPr>
      <w:r w:rsidRPr="002A2D52">
        <w:rPr>
          <w:lang w:eastAsia="zh-CN"/>
        </w:rPr>
        <w:t>Un autre indicateur important de la charge de travail et de la complexité inhérentes au processus des études de l</w:t>
      </w:r>
      <w:r w:rsidR="00A06C68" w:rsidRPr="002A2D52">
        <w:rPr>
          <w:lang w:eastAsia="zh-CN"/>
        </w:rPr>
        <w:t>'</w:t>
      </w:r>
      <w:r w:rsidRPr="002A2D52">
        <w:rPr>
          <w:lang w:eastAsia="zh-CN"/>
        </w:rPr>
        <w:t>UIT-R est le niveau de participation aux réunions des commissions d</w:t>
      </w:r>
      <w:r w:rsidR="00A06C68" w:rsidRPr="002A2D52">
        <w:rPr>
          <w:lang w:eastAsia="zh-CN"/>
        </w:rPr>
        <w:t>'</w:t>
      </w:r>
      <w:r w:rsidRPr="002A2D52">
        <w:rPr>
          <w:lang w:eastAsia="zh-CN"/>
        </w:rPr>
        <w:t>études et des groupes de travail.</w:t>
      </w:r>
    </w:p>
    <w:p w14:paraId="7CB738FB" w14:textId="413BEA68" w:rsidR="00075E45" w:rsidRPr="002A2D52" w:rsidRDefault="00075E45" w:rsidP="0065170E">
      <w:pPr>
        <w:widowControl w:val="0"/>
        <w:spacing w:before="100"/>
        <w:rPr>
          <w:lang w:eastAsia="zh-CN"/>
        </w:rPr>
      </w:pPr>
      <w:r w:rsidRPr="002A2D52">
        <w:rPr>
          <w:lang w:eastAsia="zh-CN"/>
        </w:rPr>
        <w:t>D'après le rapport du Directeur sur les activités des commissions d</w:t>
      </w:r>
      <w:r w:rsidR="00A06C68" w:rsidRPr="002A2D52">
        <w:rPr>
          <w:lang w:eastAsia="zh-CN"/>
        </w:rPr>
        <w:t>'</w:t>
      </w:r>
      <w:r w:rsidRPr="002A2D52">
        <w:rPr>
          <w:lang w:eastAsia="zh-CN"/>
        </w:rPr>
        <w:t>études (voir Add. 1 au Document</w:t>
      </w:r>
      <w:r w:rsidR="0065170E" w:rsidRPr="002A2D52">
        <w:rPr>
          <w:lang w:eastAsia="zh-CN"/>
        </w:rPr>
        <w:t> </w:t>
      </w:r>
      <w:hyperlink r:id="rId16" w:history="1">
        <w:r w:rsidRPr="002A2D52">
          <w:rPr>
            <w:rStyle w:val="Hyperlink"/>
            <w:lang w:eastAsia="zh-CN"/>
          </w:rPr>
          <w:t>RAG/58-F</w:t>
        </w:r>
      </w:hyperlink>
      <w:r w:rsidRPr="002A2D52">
        <w:rPr>
          <w:lang w:eastAsia="zh-CN"/>
        </w:rPr>
        <w:t>), la participation aux réunions de l</w:t>
      </w:r>
      <w:r w:rsidR="00A06C68" w:rsidRPr="002A2D52">
        <w:rPr>
          <w:lang w:eastAsia="zh-CN"/>
        </w:rPr>
        <w:t>'</w:t>
      </w:r>
      <w:r w:rsidRPr="002A2D52">
        <w:rPr>
          <w:lang w:eastAsia="zh-CN"/>
        </w:rPr>
        <w:t>UIT-R a sensiblement augmenté ces dernières années.</w:t>
      </w:r>
    </w:p>
    <w:p w14:paraId="1C11F4B7" w14:textId="77777777" w:rsidR="00075E45" w:rsidRPr="002A2D52" w:rsidRDefault="00075E45" w:rsidP="0065170E">
      <w:pPr>
        <w:pStyle w:val="FigureNo"/>
        <w:spacing w:before="120"/>
        <w:rPr>
          <w:sz w:val="24"/>
          <w:szCs w:val="24"/>
          <w:lang w:val="fr-FR"/>
        </w:rPr>
      </w:pPr>
      <w:r w:rsidRPr="002A2D52">
        <w:rPr>
          <w:sz w:val="24"/>
          <w:szCs w:val="24"/>
          <w:lang w:val="fr-FR"/>
        </w:rPr>
        <w:t>Figure 4</w:t>
      </w:r>
    </w:p>
    <w:p w14:paraId="77E5C9F3" w14:textId="4480DA7E" w:rsidR="00075E45" w:rsidRPr="002A2D52" w:rsidRDefault="00075E45" w:rsidP="00075E45">
      <w:pPr>
        <w:pStyle w:val="Figuretitle"/>
        <w:spacing w:after="0"/>
        <w:rPr>
          <w:sz w:val="24"/>
          <w:szCs w:val="24"/>
          <w:lang w:val="fr-FR"/>
        </w:rPr>
      </w:pPr>
      <w:r w:rsidRPr="002A2D52">
        <w:rPr>
          <w:sz w:val="24"/>
          <w:szCs w:val="24"/>
          <w:lang w:val="fr-FR"/>
        </w:rPr>
        <w:t>Nombre total de participants en présentiel par réunion des</w:t>
      </w:r>
      <w:r w:rsidR="0065170E" w:rsidRPr="002A2D52">
        <w:rPr>
          <w:sz w:val="24"/>
          <w:szCs w:val="24"/>
          <w:lang w:val="fr-FR"/>
        </w:rPr>
        <w:t xml:space="preserve"> </w:t>
      </w:r>
      <w:r w:rsidRPr="002A2D52">
        <w:rPr>
          <w:sz w:val="24"/>
          <w:szCs w:val="24"/>
          <w:lang w:val="fr-FR"/>
        </w:rPr>
        <w:t>commissions</w:t>
      </w:r>
      <w:r w:rsidR="0065170E" w:rsidRPr="002A2D52">
        <w:rPr>
          <w:sz w:val="24"/>
          <w:szCs w:val="24"/>
          <w:lang w:val="fr-FR"/>
        </w:rPr>
        <w:br/>
      </w:r>
      <w:r w:rsidRPr="002A2D52">
        <w:rPr>
          <w:sz w:val="24"/>
          <w:szCs w:val="24"/>
          <w:lang w:val="fr-FR"/>
        </w:rPr>
        <w:t>d</w:t>
      </w:r>
      <w:r w:rsidR="00A06C68" w:rsidRPr="002A2D52">
        <w:rPr>
          <w:sz w:val="24"/>
          <w:szCs w:val="24"/>
          <w:lang w:val="fr-FR"/>
        </w:rPr>
        <w:t>'</w:t>
      </w:r>
      <w:r w:rsidRPr="002A2D52">
        <w:rPr>
          <w:sz w:val="24"/>
          <w:szCs w:val="24"/>
          <w:lang w:val="fr-FR"/>
        </w:rPr>
        <w:t>études et des groupes de travail de l</w:t>
      </w:r>
      <w:r w:rsidR="00A06C68" w:rsidRPr="002A2D52">
        <w:rPr>
          <w:sz w:val="24"/>
          <w:szCs w:val="24"/>
          <w:lang w:val="fr-FR"/>
        </w:rPr>
        <w:t>'</w:t>
      </w:r>
      <w:r w:rsidRPr="002A2D52">
        <w:rPr>
          <w:sz w:val="24"/>
          <w:szCs w:val="24"/>
          <w:lang w:val="fr-FR"/>
        </w:rPr>
        <w:t>UIT-R</w:t>
      </w:r>
    </w:p>
    <w:p w14:paraId="45815554" w14:textId="092D3217" w:rsidR="00075E45" w:rsidRPr="002A2D52" w:rsidRDefault="00075E45" w:rsidP="0065170E">
      <w:pPr>
        <w:jc w:val="center"/>
        <w:rPr>
          <w:b/>
          <w:lang w:eastAsia="zh-CN"/>
        </w:rPr>
      </w:pPr>
      <w:r w:rsidRPr="002A2D52">
        <w:rPr>
          <w:lang w:eastAsia="zh-CN"/>
        </w:rPr>
        <w:t>(Rapport présenté par le BR au GC à ses 32ème et 33ème réunions</w:t>
      </w:r>
      <w:r w:rsidR="0065170E" w:rsidRPr="002A2D52">
        <w:rPr>
          <w:lang w:eastAsia="zh-CN"/>
        </w:rPr>
        <w:br/>
      </w:r>
      <w:r w:rsidRPr="002A2D52">
        <w:rPr>
          <w:lang w:eastAsia="zh-CN"/>
        </w:rPr>
        <w:t>sur les activités des commissions d</w:t>
      </w:r>
      <w:r w:rsidR="00A06C68" w:rsidRPr="002A2D52">
        <w:rPr>
          <w:lang w:eastAsia="zh-CN"/>
        </w:rPr>
        <w:t>'</w:t>
      </w:r>
      <w:r w:rsidRPr="002A2D52">
        <w:rPr>
          <w:lang w:eastAsia="zh-CN"/>
        </w:rPr>
        <w:t>études)</w:t>
      </w:r>
    </w:p>
    <w:p w14:paraId="0DB360A5" w14:textId="35619664" w:rsidR="00075E45" w:rsidRPr="002A2D52" w:rsidRDefault="0065170E" w:rsidP="0065170E">
      <w:pPr>
        <w:jc w:val="center"/>
      </w:pPr>
      <w:r w:rsidRPr="002A2D52">
        <w:t>E</w:t>
      </w:r>
      <w:r w:rsidR="00075E45" w:rsidRPr="002A2D52">
        <w:t>n 2025</w:t>
      </w:r>
    </w:p>
    <w:p w14:paraId="358F4759" w14:textId="77777777" w:rsidR="00075E45" w:rsidRPr="002A2D52" w:rsidRDefault="00075E45" w:rsidP="0065170E">
      <w:pPr>
        <w:pStyle w:val="Figure"/>
        <w:spacing w:before="120"/>
        <w:rPr>
          <w:lang w:eastAsia="zh-CN"/>
        </w:rPr>
      </w:pPr>
      <w:r w:rsidRPr="002A2D52">
        <w:rPr>
          <w:noProof/>
        </w:rPr>
        <w:drawing>
          <wp:inline distT="0" distB="0" distL="0" distR="0" wp14:anchorId="60EC0340" wp14:editId="749192B6">
            <wp:extent cx="6120765" cy="1917700"/>
            <wp:effectExtent l="0" t="0" r="13335" b="6350"/>
            <wp:docPr id="1677447098" name="Chart 1">
              <a:extLst xmlns:a="http://schemas.openxmlformats.org/drawingml/2006/main">
                <a:ext uri="{FF2B5EF4-FFF2-40B4-BE49-F238E27FC236}">
                  <a16:creationId xmlns:a16="http://schemas.microsoft.com/office/drawing/2014/main" id="{E0D01347-FF51-628D-F741-C8B79A42B1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4B0FE04" w14:textId="7103D8D2" w:rsidR="00075E45" w:rsidRPr="002A2D52" w:rsidRDefault="0065170E" w:rsidP="00075E45">
      <w:pPr>
        <w:keepNext/>
        <w:spacing w:before="0"/>
        <w:jc w:val="center"/>
      </w:pPr>
      <w:r w:rsidRPr="002A2D52">
        <w:t>E</w:t>
      </w:r>
      <w:r w:rsidR="00075E45" w:rsidRPr="002A2D52">
        <w:t>n 2024</w:t>
      </w:r>
    </w:p>
    <w:p w14:paraId="250DD3BE" w14:textId="77777777" w:rsidR="00075E45" w:rsidRPr="002A2D52" w:rsidRDefault="00075E45" w:rsidP="0065170E">
      <w:pPr>
        <w:pStyle w:val="Figure"/>
        <w:spacing w:before="120"/>
        <w:rPr>
          <w:lang w:eastAsia="zh-CN"/>
        </w:rPr>
      </w:pPr>
      <w:r w:rsidRPr="002A2D52">
        <w:rPr>
          <w:noProof/>
        </w:rPr>
        <w:drawing>
          <wp:inline distT="0" distB="0" distL="0" distR="0" wp14:anchorId="5DF82FB4" wp14:editId="38A56351">
            <wp:extent cx="6120765" cy="1911350"/>
            <wp:effectExtent l="0" t="0" r="13335" b="12700"/>
            <wp:docPr id="14" name="Chart 1">
              <a:extLst xmlns:a="http://schemas.openxmlformats.org/drawingml/2006/main">
                <a:ext uri="{FF2B5EF4-FFF2-40B4-BE49-F238E27FC236}">
                  <a16:creationId xmlns:a16="http://schemas.microsoft.com/office/drawing/2014/main" id="{E0D01347-FF51-628D-F741-C8B79A42B1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E80F645" w14:textId="29217E77" w:rsidR="00075E45" w:rsidRPr="002A2D52" w:rsidRDefault="00075E45" w:rsidP="0065170E">
      <w:pPr>
        <w:pStyle w:val="Normalaftertitle"/>
        <w:spacing w:before="240"/>
        <w:rPr>
          <w:lang w:eastAsia="zh-CN"/>
        </w:rPr>
      </w:pPr>
      <w:r w:rsidRPr="002A2D52">
        <w:rPr>
          <w:lang w:eastAsia="zh-CN"/>
        </w:rPr>
        <w:t xml:space="preserve">Il ressort de la </w:t>
      </w:r>
      <w:r w:rsidR="0065170E" w:rsidRPr="002A2D52">
        <w:rPr>
          <w:lang w:eastAsia="zh-CN"/>
        </w:rPr>
        <w:t>F</w:t>
      </w:r>
      <w:r w:rsidRPr="002A2D52">
        <w:rPr>
          <w:lang w:eastAsia="zh-CN"/>
        </w:rPr>
        <w:t xml:space="preserve">igure 4 et du rapport du Directeur sur les activités des commissions </w:t>
      </w:r>
      <w:proofErr w:type="gramStart"/>
      <w:r w:rsidRPr="002A2D52">
        <w:rPr>
          <w:lang w:eastAsia="zh-CN"/>
        </w:rPr>
        <w:t>d</w:t>
      </w:r>
      <w:r w:rsidR="00A06C68" w:rsidRPr="002A2D52">
        <w:rPr>
          <w:lang w:eastAsia="zh-CN"/>
        </w:rPr>
        <w:t>'</w:t>
      </w:r>
      <w:r w:rsidRPr="002A2D52">
        <w:rPr>
          <w:lang w:eastAsia="zh-CN"/>
        </w:rPr>
        <w:t>études:</w:t>
      </w:r>
      <w:proofErr w:type="gramEnd"/>
      <w:r w:rsidRPr="002A2D52">
        <w:rPr>
          <w:lang w:eastAsia="zh-CN"/>
        </w:rPr>
        <w:t xml:space="preserve"> </w:t>
      </w:r>
    </w:p>
    <w:p w14:paraId="54746B2A" w14:textId="52B2CEA3" w:rsidR="00075E45" w:rsidRPr="002A2D52" w:rsidRDefault="0076796F" w:rsidP="00235CD1">
      <w:pPr>
        <w:pStyle w:val="enumlev1"/>
        <w:rPr>
          <w:lang w:eastAsia="zh-CN"/>
        </w:rPr>
      </w:pPr>
      <w:r w:rsidRPr="002A2D52">
        <w:rPr>
          <w:lang w:eastAsia="zh-CN"/>
        </w:rPr>
        <w:t>•</w:t>
      </w:r>
      <w:r w:rsidR="00235CD1" w:rsidRPr="002A2D52">
        <w:rPr>
          <w:lang w:eastAsia="zh-CN"/>
        </w:rPr>
        <w:tab/>
      </w:r>
      <w:r w:rsidR="0065170E" w:rsidRPr="002A2D52">
        <w:rPr>
          <w:lang w:eastAsia="zh-CN"/>
        </w:rPr>
        <w:t>q</w:t>
      </w:r>
      <w:r w:rsidR="00075E45" w:rsidRPr="002A2D52">
        <w:rPr>
          <w:lang w:eastAsia="zh-CN"/>
        </w:rPr>
        <w:t xml:space="preserve">ue la participation aux réunions physiques avec participation à distance a considérablement augmenté depuis </w:t>
      </w:r>
      <w:proofErr w:type="gramStart"/>
      <w:r w:rsidR="00075E45" w:rsidRPr="002A2D52">
        <w:rPr>
          <w:lang w:eastAsia="zh-CN"/>
        </w:rPr>
        <w:t>2020</w:t>
      </w:r>
      <w:r w:rsidR="0065170E" w:rsidRPr="002A2D52">
        <w:rPr>
          <w:lang w:eastAsia="zh-CN"/>
        </w:rPr>
        <w:t>;</w:t>
      </w:r>
      <w:proofErr w:type="gramEnd"/>
    </w:p>
    <w:p w14:paraId="114009A5" w14:textId="23FF03DA" w:rsidR="00075E45" w:rsidRPr="002A2D52" w:rsidRDefault="0076796F" w:rsidP="00235CD1">
      <w:pPr>
        <w:pStyle w:val="enumlev1"/>
        <w:rPr>
          <w:lang w:eastAsia="zh-CN"/>
        </w:rPr>
      </w:pPr>
      <w:r w:rsidRPr="002A2D52">
        <w:rPr>
          <w:lang w:eastAsia="zh-CN"/>
        </w:rPr>
        <w:t>•</w:t>
      </w:r>
      <w:r w:rsidR="00235CD1" w:rsidRPr="002A2D52">
        <w:rPr>
          <w:lang w:eastAsia="zh-CN"/>
        </w:rPr>
        <w:tab/>
      </w:r>
      <w:r w:rsidR="0065170E" w:rsidRPr="002A2D52">
        <w:rPr>
          <w:lang w:eastAsia="zh-CN"/>
        </w:rPr>
        <w:t>q</w:t>
      </w:r>
      <w:r w:rsidR="00075E45" w:rsidRPr="002A2D52">
        <w:rPr>
          <w:lang w:eastAsia="zh-CN"/>
        </w:rPr>
        <w:t>ue certains groupes de travail attirent désormais plusieurs centaines de participants par réunion, en particulier dans les commissions d</w:t>
      </w:r>
      <w:r w:rsidR="00A06C68" w:rsidRPr="002A2D52">
        <w:rPr>
          <w:lang w:eastAsia="zh-CN"/>
        </w:rPr>
        <w:t>'</w:t>
      </w:r>
      <w:r w:rsidR="00075E45" w:rsidRPr="002A2D52">
        <w:rPr>
          <w:lang w:eastAsia="zh-CN"/>
        </w:rPr>
        <w:t>études s'occupant des technologies mobiles par satellite et de Terre.</w:t>
      </w:r>
    </w:p>
    <w:p w14:paraId="60BEBB2F" w14:textId="0943936C" w:rsidR="00075E45" w:rsidRPr="002A2D52" w:rsidRDefault="00075E45" w:rsidP="0065170E">
      <w:pPr>
        <w:rPr>
          <w:lang w:eastAsia="zh-CN"/>
        </w:rPr>
      </w:pPr>
      <w:r w:rsidRPr="002A2D52">
        <w:t>C</w:t>
      </w:r>
      <w:r w:rsidRPr="002A2D52">
        <w:rPr>
          <w:lang w:eastAsia="zh-CN"/>
        </w:rPr>
        <w:t>ette augmentation de la participation pose des difficultés d'organisation des réunions et de capacité d'accueil des salles, à plus forte raison que les salles de réunion capable d'accueillir un grand nombre de personnes sont en nombre limité.</w:t>
      </w:r>
    </w:p>
    <w:p w14:paraId="101FD56A" w14:textId="5D1E8926" w:rsidR="00075E45" w:rsidRPr="002A2D52" w:rsidRDefault="00075E45" w:rsidP="00075E45">
      <w:pPr>
        <w:keepNext/>
        <w:rPr>
          <w:lang w:eastAsia="zh-CN"/>
        </w:rPr>
      </w:pPr>
      <w:r w:rsidRPr="002A2D52">
        <w:rPr>
          <w:lang w:eastAsia="zh-CN"/>
        </w:rPr>
        <w:t>L'augmentation de la participation témoigne de l</w:t>
      </w:r>
      <w:r w:rsidR="00A06C68" w:rsidRPr="002A2D52">
        <w:rPr>
          <w:lang w:eastAsia="zh-CN"/>
        </w:rPr>
        <w:t>'</w:t>
      </w:r>
      <w:r w:rsidRPr="002A2D52">
        <w:rPr>
          <w:lang w:eastAsia="zh-CN"/>
        </w:rPr>
        <w:t>importance croissante des études de l</w:t>
      </w:r>
      <w:r w:rsidR="00A06C68" w:rsidRPr="002A2D52">
        <w:rPr>
          <w:lang w:eastAsia="zh-CN"/>
        </w:rPr>
        <w:t>'</w:t>
      </w:r>
      <w:r w:rsidRPr="002A2D52">
        <w:rPr>
          <w:lang w:eastAsia="zh-CN"/>
        </w:rPr>
        <w:t xml:space="preserve">UIT-R pour les administrations, le secteur et les établissements de recherche. Toutefois, elle crée aussi des difficultés supplémentaires, </w:t>
      </w:r>
      <w:proofErr w:type="gramStart"/>
      <w:r w:rsidRPr="002A2D52">
        <w:rPr>
          <w:lang w:eastAsia="zh-CN"/>
        </w:rPr>
        <w:t>notamment:</w:t>
      </w:r>
      <w:proofErr w:type="gramEnd"/>
    </w:p>
    <w:p w14:paraId="304B0718" w14:textId="14322384" w:rsidR="00075E45" w:rsidRPr="002A2D52" w:rsidRDefault="0076796F" w:rsidP="00235CD1">
      <w:pPr>
        <w:pStyle w:val="enumlev1"/>
        <w:rPr>
          <w:lang w:eastAsia="zh-CN"/>
        </w:rPr>
      </w:pPr>
      <w:r w:rsidRPr="002A2D52">
        <w:t>•</w:t>
      </w:r>
      <w:r w:rsidR="00235CD1" w:rsidRPr="002A2D52">
        <w:tab/>
      </w:r>
      <w:r w:rsidR="00075E45" w:rsidRPr="002A2D52">
        <w:t xml:space="preserve">un allongement des débats </w:t>
      </w:r>
      <w:r w:rsidR="00075E45" w:rsidRPr="002A2D52">
        <w:rPr>
          <w:lang w:eastAsia="zh-CN"/>
        </w:rPr>
        <w:t xml:space="preserve">nécessaires pour parvenir à un </w:t>
      </w:r>
      <w:proofErr w:type="gramStart"/>
      <w:r w:rsidR="00075E45" w:rsidRPr="002A2D52">
        <w:rPr>
          <w:lang w:eastAsia="zh-CN"/>
        </w:rPr>
        <w:t>consensus</w:t>
      </w:r>
      <w:r w:rsidR="0065170E" w:rsidRPr="002A2D52">
        <w:rPr>
          <w:lang w:eastAsia="zh-CN"/>
        </w:rPr>
        <w:t>;</w:t>
      </w:r>
      <w:proofErr w:type="gramEnd"/>
    </w:p>
    <w:p w14:paraId="495BF76A" w14:textId="47AD9D1D" w:rsidR="00075E45" w:rsidRPr="002A2D52" w:rsidRDefault="0076796F" w:rsidP="00235CD1">
      <w:pPr>
        <w:pStyle w:val="enumlev1"/>
        <w:rPr>
          <w:lang w:eastAsia="zh-CN"/>
        </w:rPr>
      </w:pPr>
      <w:r w:rsidRPr="002A2D52">
        <w:rPr>
          <w:lang w:eastAsia="zh-CN"/>
        </w:rPr>
        <w:t>•</w:t>
      </w:r>
      <w:r w:rsidR="00235CD1" w:rsidRPr="002A2D52">
        <w:rPr>
          <w:lang w:eastAsia="zh-CN"/>
        </w:rPr>
        <w:tab/>
      </w:r>
      <w:r w:rsidR="00075E45" w:rsidRPr="002A2D52">
        <w:rPr>
          <w:lang w:eastAsia="zh-CN"/>
        </w:rPr>
        <w:t xml:space="preserve">une gestion plus complexe des réunions et des séances de </w:t>
      </w:r>
      <w:proofErr w:type="gramStart"/>
      <w:r w:rsidR="00075E45" w:rsidRPr="002A2D52">
        <w:rPr>
          <w:lang w:eastAsia="zh-CN"/>
        </w:rPr>
        <w:t>rédaction</w:t>
      </w:r>
      <w:r w:rsidR="0065170E" w:rsidRPr="002A2D52">
        <w:rPr>
          <w:lang w:eastAsia="zh-CN"/>
        </w:rPr>
        <w:t>;</w:t>
      </w:r>
      <w:proofErr w:type="gramEnd"/>
    </w:p>
    <w:p w14:paraId="682F7339" w14:textId="0AF8E38F" w:rsidR="00075E45" w:rsidRPr="002A2D52" w:rsidRDefault="0076796F" w:rsidP="00235CD1">
      <w:pPr>
        <w:pStyle w:val="enumlev1"/>
        <w:rPr>
          <w:rFonts w:ascii="Times New Roman Bold" w:hAnsi="Times New Roman Bold" w:cs="Times New Roman Bold"/>
          <w:b/>
          <w:lang w:eastAsia="zh-CN"/>
        </w:rPr>
      </w:pPr>
      <w:r w:rsidRPr="002A2D52">
        <w:rPr>
          <w:lang w:eastAsia="zh-CN"/>
        </w:rPr>
        <w:t>•</w:t>
      </w:r>
      <w:r w:rsidR="00235CD1" w:rsidRPr="002A2D52">
        <w:rPr>
          <w:lang w:eastAsia="zh-CN"/>
        </w:rPr>
        <w:tab/>
      </w:r>
      <w:r w:rsidR="00075E45" w:rsidRPr="002A2D52">
        <w:rPr>
          <w:lang w:eastAsia="zh-CN"/>
        </w:rPr>
        <w:t>des exigences accrues de coordination entre les commissions d'études.</w:t>
      </w:r>
    </w:p>
    <w:p w14:paraId="7F644A1D" w14:textId="388DFF9E" w:rsidR="00075E45" w:rsidRPr="002A2D52" w:rsidRDefault="00075E45" w:rsidP="00075E45">
      <w:pPr>
        <w:rPr>
          <w:lang w:eastAsia="zh-CN"/>
        </w:rPr>
      </w:pPr>
      <w:r w:rsidRPr="002A2D52">
        <w:rPr>
          <w:lang w:eastAsia="zh-CN"/>
        </w:rPr>
        <w:t>Dans ce contexte, il s'agira de procéder à tout examen de façon neutre et analytique, et en tenant compte de l</w:t>
      </w:r>
      <w:r w:rsidR="00A06C68" w:rsidRPr="002A2D52">
        <w:rPr>
          <w:lang w:eastAsia="zh-CN"/>
        </w:rPr>
        <w:t>'</w:t>
      </w:r>
      <w:r w:rsidRPr="002A2D52">
        <w:rPr>
          <w:lang w:eastAsia="zh-CN"/>
        </w:rPr>
        <w:t>ensemble des réponses possibles. En particulier, l</w:t>
      </w:r>
      <w:r w:rsidR="00A06C68" w:rsidRPr="002A2D52">
        <w:rPr>
          <w:lang w:eastAsia="zh-CN"/>
        </w:rPr>
        <w:t>'</w:t>
      </w:r>
      <w:r w:rsidRPr="002A2D52">
        <w:rPr>
          <w:lang w:eastAsia="zh-CN"/>
        </w:rPr>
        <w:t>examen devra évaluer s'il est possible de remédier aux problèmes constatés par une meilleure coordination entre les commissions existantes, une délimitation plus claire des mandats, des méthodes de travail plus efficaces ou une redistribution ciblée des thèmes et des responsabilités, avant de recommander une quelconque réforme structurelle.</w:t>
      </w:r>
    </w:p>
    <w:p w14:paraId="457C36C4" w14:textId="32068A01" w:rsidR="00075E45" w:rsidRPr="002A2D52" w:rsidRDefault="00075E45" w:rsidP="00075E45">
      <w:pPr>
        <w:rPr>
          <w:lang w:eastAsia="zh-CN"/>
        </w:rPr>
      </w:pPr>
      <w:r w:rsidRPr="002A2D52">
        <w:rPr>
          <w:lang w:eastAsia="zh-CN"/>
        </w:rPr>
        <w:t>L'examen devra aussi, dans la mesure du possible, tenir compte de plusieurs indicateurs pour les commissions d'études et les groupes de travail, notamment sur les travaux liés aux conférences, les travaux non liés aux conférences, les contributions, les résultats approuvés, la charge de travail liée aux réunions, les tendances de la participation, les interdépendances entre les groupes et les incidences en ce qui concerne l'appui et les ressources du BR.</w:t>
      </w:r>
      <w:bookmarkEnd w:id="6"/>
    </w:p>
    <w:p w14:paraId="494DDD56" w14:textId="0BB633BA" w:rsidR="00075E45" w:rsidRPr="002A2D52" w:rsidRDefault="004239B9" w:rsidP="004239B9">
      <w:pPr>
        <w:pStyle w:val="Heading1"/>
        <w:rPr>
          <w:lang w:eastAsia="zh-CN"/>
        </w:rPr>
      </w:pPr>
      <w:r w:rsidRPr="002A2D52">
        <w:rPr>
          <w:lang w:eastAsia="zh-CN"/>
        </w:rPr>
        <w:t>3</w:t>
      </w:r>
      <w:r w:rsidRPr="002A2D52">
        <w:rPr>
          <w:lang w:eastAsia="zh-CN"/>
        </w:rPr>
        <w:tab/>
      </w:r>
      <w:r w:rsidR="00075E45" w:rsidRPr="002A2D52">
        <w:rPr>
          <w:lang w:eastAsia="zh-CN"/>
        </w:rPr>
        <w:t>Proposition</w:t>
      </w:r>
    </w:p>
    <w:p w14:paraId="4B3107CE" w14:textId="77777777" w:rsidR="00075E45" w:rsidRPr="002A2D52" w:rsidRDefault="00075E45" w:rsidP="00075E45">
      <w:pPr>
        <w:rPr>
          <w:lang w:eastAsia="zh-CN"/>
        </w:rPr>
      </w:pPr>
      <w:r w:rsidRPr="002A2D52">
        <w:rPr>
          <w:lang w:eastAsia="zh-CN"/>
        </w:rPr>
        <w:t>Afin de permettre un examen structuré de la structure actuelle des commissions d'études de l'UIT-R, le GCR est invité à envisager d'établir un Groupe de travail par correspondance pour étudier les moyens possibles d'améliorer la structure et les méthodes de travail des commissions d'études, compte tenu de l'évolution de l'environnement des radiocommunications et de la charge de travail croissante des commissions d'études. Le Groupe de travail par correspondance mènerait ses travaux conformément aux dispositions pertinentes des Résolutions UIT-R 4-9 et UIT-R 1-9 et examinerait notamment l'évolution des technologies de radiocommunication, l'augmentation du nombre de contributions et de la participation aux activités des commissions d'études et l'interdépendance croissante des études réalisées par les différentes commissions d'études.</w:t>
      </w:r>
    </w:p>
    <w:p w14:paraId="33054254" w14:textId="77777777" w:rsidR="00075E45" w:rsidRPr="002A2D52" w:rsidRDefault="00075E45" w:rsidP="00075E45">
      <w:pPr>
        <w:rPr>
          <w:lang w:eastAsia="zh-CN"/>
        </w:rPr>
      </w:pPr>
      <w:r w:rsidRPr="002A2D52">
        <w:rPr>
          <w:lang w:eastAsia="zh-CN"/>
        </w:rPr>
        <w:t>Le Groupe de travail par correspondance devrait adopter un point de vue neutre quant aux solutions retenues et formuler des conclusions et des options pour les mesures d'amélioration, y compris, selon qu'il conviendra, des mesures non structurelles consistant à améliorer les mécanismes de coordination, à clarifier les mandats, à améliorer les méthodes de travail et à redistribuer certains sujets, ainsi que toute option d'ordre structurel validée par l'analyse.</w:t>
      </w:r>
    </w:p>
    <w:p w14:paraId="6BCE57D8" w14:textId="0C9E9977" w:rsidR="00075E45" w:rsidRPr="002A2D52" w:rsidRDefault="00075E45" w:rsidP="00075E45">
      <w:pPr>
        <w:rPr>
          <w:lang w:eastAsia="zh-CN"/>
        </w:rPr>
      </w:pPr>
      <w:r w:rsidRPr="002A2D52">
        <w:rPr>
          <w:lang w:eastAsia="zh-CN"/>
        </w:rPr>
        <w:t>Afin d'appuyer les travaux du Groupe de travail par correspondance, le Bureau des radiocommunications (BR) est invité à communiquer tous renseignements utiles concernant les exigences, des procédures et des considérations pratiques liées à la structure des Commissions d</w:t>
      </w:r>
      <w:r w:rsidR="00A06C68" w:rsidRPr="002A2D52">
        <w:rPr>
          <w:lang w:eastAsia="zh-CN"/>
        </w:rPr>
        <w:t>'</w:t>
      </w:r>
      <w:r w:rsidRPr="002A2D52">
        <w:rPr>
          <w:lang w:eastAsia="zh-CN"/>
        </w:rPr>
        <w:t>études de l</w:t>
      </w:r>
      <w:r w:rsidR="00A06C68" w:rsidRPr="002A2D52">
        <w:rPr>
          <w:lang w:eastAsia="zh-CN"/>
        </w:rPr>
        <w:t>'</w:t>
      </w:r>
      <w:r w:rsidRPr="002A2D52">
        <w:rPr>
          <w:lang w:eastAsia="zh-CN"/>
        </w:rPr>
        <w:t>UIT-R, y compris les aspects liés à la Résolution UIT-R 4-9. Ces renseignements seront d'un apport important pour les travaux du Groupe de travail par correspondance.</w:t>
      </w:r>
    </w:p>
    <w:p w14:paraId="660CF6AC" w14:textId="6A713334" w:rsidR="00075E45" w:rsidRPr="002A2D52" w:rsidRDefault="00075E45" w:rsidP="00075E45">
      <w:pPr>
        <w:rPr>
          <w:lang w:eastAsia="zh-CN"/>
        </w:rPr>
      </w:pPr>
      <w:r w:rsidRPr="002A2D52">
        <w:rPr>
          <w:lang w:eastAsia="zh-CN"/>
        </w:rPr>
        <w:t>Le BR est également invité à communiquer au Groupe de travail par correspondance, s'il en existe, tout renseignement factuel pouvant l</w:t>
      </w:r>
      <w:r w:rsidR="00A06C68" w:rsidRPr="002A2D52">
        <w:rPr>
          <w:lang w:eastAsia="zh-CN"/>
        </w:rPr>
        <w:t>'</w:t>
      </w:r>
      <w:r w:rsidRPr="002A2D52">
        <w:rPr>
          <w:lang w:eastAsia="zh-CN"/>
        </w:rPr>
        <w:t>aider à réaliser un examen objectif, notamment sur le calendrier des réunions des commissions d</w:t>
      </w:r>
      <w:r w:rsidR="00A06C68" w:rsidRPr="002A2D52">
        <w:rPr>
          <w:lang w:eastAsia="zh-CN"/>
        </w:rPr>
        <w:t>'</w:t>
      </w:r>
      <w:r w:rsidRPr="002A2D52">
        <w:rPr>
          <w:lang w:eastAsia="zh-CN"/>
        </w:rPr>
        <w:t>études et des groupes de travail, la participation, le volume des documents, les produits approuvés et les autres aspects opérationnels à prendre en considération.</w:t>
      </w:r>
    </w:p>
    <w:p w14:paraId="1A601268" w14:textId="77777777" w:rsidR="00075E45" w:rsidRPr="002A2D52" w:rsidRDefault="00075E45" w:rsidP="00075E45">
      <w:pPr>
        <w:rPr>
          <w:lang w:eastAsia="zh-CN"/>
        </w:rPr>
      </w:pPr>
      <w:r w:rsidRPr="002A2D52">
        <w:rPr>
          <w:lang w:eastAsia="zh-CN"/>
        </w:rPr>
        <w:t>Le mandat du Groupe de travail par correspondance figure dans la Pièce jointe du présent document.</w:t>
      </w:r>
    </w:p>
    <w:p w14:paraId="72AEE529" w14:textId="544732EE" w:rsidR="00075E45" w:rsidRPr="002A2D52" w:rsidRDefault="00075E45" w:rsidP="0065170E">
      <w:pPr>
        <w:widowControl w:val="0"/>
        <w:rPr>
          <w:lang w:eastAsia="zh-CN"/>
        </w:rPr>
      </w:pPr>
      <w:r w:rsidRPr="002A2D52">
        <w:rPr>
          <w:lang w:eastAsia="zh-CN"/>
        </w:rPr>
        <w:t>Le Groupe de travail par correspondance rendrait compte de l'issue de ses travaux à la</w:t>
      </w:r>
      <w:r w:rsidR="0065170E" w:rsidRPr="002A2D52">
        <w:rPr>
          <w:lang w:eastAsia="zh-CN"/>
        </w:rPr>
        <w:t> </w:t>
      </w:r>
      <w:r w:rsidRPr="002A2D52">
        <w:rPr>
          <w:lang w:eastAsia="zh-CN"/>
        </w:rPr>
        <w:t>34ème</w:t>
      </w:r>
      <w:r w:rsidR="0055168E" w:rsidRPr="002A2D52">
        <w:rPr>
          <w:lang w:eastAsia="zh-CN"/>
        </w:rPr>
        <w:t> </w:t>
      </w:r>
      <w:r w:rsidRPr="002A2D52">
        <w:rPr>
          <w:lang w:eastAsia="zh-CN"/>
        </w:rPr>
        <w:t>réunion du Groupe consultatif des radiocommunications.</w:t>
      </w:r>
    </w:p>
    <w:p w14:paraId="3A9A5DBD" w14:textId="11DB68C4" w:rsidR="00075E45" w:rsidRPr="002A2D52" w:rsidRDefault="00075E45" w:rsidP="00075E45">
      <w:pPr>
        <w:spacing w:before="1080"/>
      </w:pPr>
      <w:r w:rsidRPr="002A2D52">
        <w:rPr>
          <w:b/>
          <w:bCs/>
        </w:rPr>
        <w:t xml:space="preserve">Pièce </w:t>
      </w:r>
      <w:proofErr w:type="gramStart"/>
      <w:r w:rsidRPr="002A2D52">
        <w:rPr>
          <w:b/>
          <w:bCs/>
        </w:rPr>
        <w:t>jointe:</w:t>
      </w:r>
      <w:proofErr w:type="gramEnd"/>
      <w:r w:rsidRPr="002A2D52">
        <w:rPr>
          <w:b/>
          <w:bCs/>
        </w:rPr>
        <w:tab/>
      </w:r>
      <w:r w:rsidRPr="002A2D52">
        <w:t>1</w:t>
      </w:r>
    </w:p>
    <w:p w14:paraId="4F0B01A3" w14:textId="77777777" w:rsidR="00075E45" w:rsidRPr="002A2D52" w:rsidRDefault="00075E45" w:rsidP="00075E45">
      <w:pPr>
        <w:tabs>
          <w:tab w:val="clear" w:pos="794"/>
          <w:tab w:val="clear" w:pos="1191"/>
          <w:tab w:val="clear" w:pos="1588"/>
          <w:tab w:val="clear" w:pos="1985"/>
        </w:tabs>
        <w:overflowPunct/>
        <w:autoSpaceDE/>
        <w:autoSpaceDN/>
        <w:adjustRightInd/>
        <w:spacing w:before="0"/>
        <w:textAlignment w:val="auto"/>
      </w:pPr>
      <w:r w:rsidRPr="002A2D52">
        <w:br w:type="page"/>
      </w:r>
    </w:p>
    <w:p w14:paraId="744AAC38" w14:textId="77777777" w:rsidR="00075E45" w:rsidRPr="002A2D52" w:rsidRDefault="00075E45" w:rsidP="00075E45">
      <w:pPr>
        <w:pStyle w:val="AnnexNo"/>
        <w:rPr>
          <w:lang w:val="fr-FR"/>
        </w:rPr>
      </w:pPr>
      <w:r w:rsidRPr="002A2D52">
        <w:rPr>
          <w:lang w:val="fr-FR"/>
        </w:rPr>
        <w:t>pièce jointe</w:t>
      </w:r>
    </w:p>
    <w:p w14:paraId="6FBDD0A9" w14:textId="753DDF34" w:rsidR="00075E45" w:rsidRPr="002A2D52" w:rsidRDefault="00075E45" w:rsidP="0065170E">
      <w:pPr>
        <w:pStyle w:val="AnnexNotitle"/>
        <w:spacing w:before="120"/>
      </w:pPr>
      <w:r w:rsidRPr="002A2D52">
        <w:t xml:space="preserve">Mandat du </w:t>
      </w:r>
      <w:bookmarkStart w:id="7" w:name="_Hlk224895225"/>
      <w:r w:rsidRPr="002A2D52">
        <w:t>Groupe de travail par correspondance du GCR</w:t>
      </w:r>
      <w:r w:rsidR="00C561F0" w:rsidRPr="002A2D52">
        <w:br/>
      </w:r>
      <w:r w:rsidRPr="002A2D52">
        <w:t>pour</w:t>
      </w:r>
      <w:r w:rsidR="00C561F0" w:rsidRPr="002A2D52">
        <w:t xml:space="preserve"> </w:t>
      </w:r>
      <w:r w:rsidRPr="002A2D52">
        <w:t>l</w:t>
      </w:r>
      <w:r w:rsidR="00A06C68" w:rsidRPr="002A2D52">
        <w:t>'</w:t>
      </w:r>
      <w:r w:rsidRPr="002A2D52">
        <w:t>amélioration de la structure et du mécanisme des</w:t>
      </w:r>
      <w:r w:rsidR="000D47CC" w:rsidRPr="002A2D52">
        <w:br/>
      </w:r>
      <w:r w:rsidRPr="002A2D52">
        <w:t>commissions d</w:t>
      </w:r>
      <w:r w:rsidR="00A06C68" w:rsidRPr="002A2D52">
        <w:t>'</w:t>
      </w:r>
      <w:r w:rsidRPr="002A2D52">
        <w:t>études des radiocommunications</w:t>
      </w:r>
      <w:bookmarkEnd w:id="7"/>
    </w:p>
    <w:p w14:paraId="5FFAC806" w14:textId="062E7C3C" w:rsidR="00075E45" w:rsidRPr="002A2D52" w:rsidRDefault="00075E45" w:rsidP="00C561F0">
      <w:pPr>
        <w:pStyle w:val="Normalaftertitle"/>
      </w:pPr>
      <w:r w:rsidRPr="002A2D52">
        <w:t>Le</w:t>
      </w:r>
      <w:r w:rsidRPr="002A2D52">
        <w:rPr>
          <w:rFonts w:asciiTheme="minorHAnsi" w:hAnsiTheme="minorHAnsi" w:cs="Arial"/>
          <w:kern w:val="2"/>
          <w:szCs w:val="24"/>
        </w:rPr>
        <w:t xml:space="preserve"> </w:t>
      </w:r>
      <w:r w:rsidRPr="002A2D52">
        <w:t>Groupe de travail par correspondance du GCR</w:t>
      </w:r>
      <w:r w:rsidRPr="002A2D52">
        <w:rPr>
          <w:b/>
          <w:bCs/>
        </w:rPr>
        <w:t xml:space="preserve"> pour l</w:t>
      </w:r>
      <w:r w:rsidR="00A06C68" w:rsidRPr="002A2D52">
        <w:rPr>
          <w:b/>
          <w:bCs/>
        </w:rPr>
        <w:t>'</w:t>
      </w:r>
      <w:r w:rsidRPr="002A2D52">
        <w:rPr>
          <w:b/>
          <w:bCs/>
        </w:rPr>
        <w:t>amélioration de la structure et du mécanisme des commissions d</w:t>
      </w:r>
      <w:r w:rsidR="00A06C68" w:rsidRPr="002A2D52">
        <w:rPr>
          <w:b/>
          <w:bCs/>
        </w:rPr>
        <w:t>'</w:t>
      </w:r>
      <w:r w:rsidRPr="002A2D52">
        <w:rPr>
          <w:b/>
          <w:bCs/>
        </w:rPr>
        <w:t xml:space="preserve">études des radiocommunications </w:t>
      </w:r>
      <w:r w:rsidRPr="002A2D52">
        <w:t>est chargé de mener un examen neutre et factuel du mécanisme des commissions d'études de l</w:t>
      </w:r>
      <w:r w:rsidR="00A06C68" w:rsidRPr="002A2D52">
        <w:t>'</w:t>
      </w:r>
      <w:r w:rsidRPr="002A2D52">
        <w:t>UIT-R et d</w:t>
      </w:r>
      <w:r w:rsidR="00A06C68" w:rsidRPr="002A2D52">
        <w:t>'</w:t>
      </w:r>
      <w:r w:rsidRPr="002A2D52">
        <w:t xml:space="preserve">étudier les moyens possibles d'en améliorer la structure et les méthodes de travail, conformément au mandat </w:t>
      </w:r>
      <w:proofErr w:type="gramStart"/>
      <w:r w:rsidRPr="002A2D52">
        <w:t>suivant:</w:t>
      </w:r>
      <w:proofErr w:type="gramEnd"/>
    </w:p>
    <w:p w14:paraId="32D865EC" w14:textId="2EB09234" w:rsidR="00075E45" w:rsidRPr="002A2D52" w:rsidRDefault="00235CD1" w:rsidP="000D47CC">
      <w:pPr>
        <w:pStyle w:val="enumlev1"/>
      </w:pPr>
      <w:r w:rsidRPr="002A2D52">
        <w:t>–</w:t>
      </w:r>
      <w:r w:rsidRPr="002A2D52">
        <w:tab/>
      </w:r>
      <w:r w:rsidR="00C561F0" w:rsidRPr="002A2D52">
        <w:t>P</w:t>
      </w:r>
      <w:r w:rsidR="00075E45" w:rsidRPr="002A2D52">
        <w:t>asser en revue la structure actuelle des commissions d'études de l'UIT-R, telle que définie dans la Résolution UIT-R 4-9, y compris le champ d'action et les responsabilités attribués à chacune d'entre elles</w:t>
      </w:r>
      <w:r w:rsidR="00C561F0" w:rsidRPr="002A2D52">
        <w:t>.</w:t>
      </w:r>
    </w:p>
    <w:p w14:paraId="32CADD1C" w14:textId="71427213" w:rsidR="00075E45" w:rsidRPr="002A2D52" w:rsidRDefault="00235CD1" w:rsidP="000D47CC">
      <w:pPr>
        <w:pStyle w:val="enumlev1"/>
        <w:rPr>
          <w:rFonts w:cstheme="minorHAnsi"/>
        </w:rPr>
      </w:pPr>
      <w:r w:rsidRPr="002A2D52">
        <w:rPr>
          <w:rFonts w:cstheme="minorHAnsi"/>
        </w:rPr>
        <w:t>–</w:t>
      </w:r>
      <w:r w:rsidRPr="002A2D52">
        <w:rPr>
          <w:rFonts w:cstheme="minorHAnsi"/>
        </w:rPr>
        <w:tab/>
      </w:r>
      <w:r w:rsidR="00C561F0" w:rsidRPr="002A2D52">
        <w:rPr>
          <w:rFonts w:cstheme="minorHAnsi"/>
        </w:rPr>
        <w:t>E</w:t>
      </w:r>
      <w:r w:rsidR="00075E45" w:rsidRPr="002A2D52">
        <w:rPr>
          <w:rFonts w:cstheme="minorHAnsi"/>
        </w:rPr>
        <w:t>xaminer, selon qu'il convient, l'efficacité de la répartition actuelle des tâches entre les commissions d'études et les groupes de travail, notamment pour ce qui est de l'équilibre entre les activités liées et non liées aux conférences</w:t>
      </w:r>
      <w:r w:rsidR="00C561F0" w:rsidRPr="002A2D52">
        <w:rPr>
          <w:rFonts w:cstheme="minorHAnsi"/>
        </w:rPr>
        <w:t>.</w:t>
      </w:r>
    </w:p>
    <w:p w14:paraId="2B9154DD" w14:textId="120CC70D" w:rsidR="00075E45" w:rsidRPr="002A2D52" w:rsidRDefault="00235CD1" w:rsidP="000D47CC">
      <w:pPr>
        <w:pStyle w:val="enumlev1"/>
        <w:rPr>
          <w:rFonts w:cstheme="minorHAnsi"/>
        </w:rPr>
      </w:pPr>
      <w:r w:rsidRPr="002A2D52">
        <w:rPr>
          <w:rFonts w:cstheme="minorHAnsi"/>
        </w:rPr>
        <w:t>–</w:t>
      </w:r>
      <w:r w:rsidRPr="002A2D52">
        <w:rPr>
          <w:rFonts w:cstheme="minorHAnsi"/>
        </w:rPr>
        <w:tab/>
      </w:r>
      <w:r w:rsidR="00C561F0" w:rsidRPr="002A2D52">
        <w:rPr>
          <w:rFonts w:cstheme="minorHAnsi"/>
        </w:rPr>
        <w:t>R</w:t>
      </w:r>
      <w:r w:rsidR="00075E45" w:rsidRPr="002A2D52">
        <w:rPr>
          <w:rFonts w:cstheme="minorHAnsi"/>
        </w:rPr>
        <w:t xml:space="preserve">épertorier les difficultés d'ordre structurel et procédural qui influent sur l'efficacité des études de l'UIT-R, </w:t>
      </w:r>
      <w:proofErr w:type="gramStart"/>
      <w:r w:rsidR="00075E45" w:rsidRPr="002A2D52">
        <w:rPr>
          <w:rFonts w:cstheme="minorHAnsi"/>
        </w:rPr>
        <w:t>notamment:</w:t>
      </w:r>
      <w:proofErr w:type="gramEnd"/>
    </w:p>
    <w:p w14:paraId="01716606" w14:textId="1CF9B9E6" w:rsidR="00075E45" w:rsidRPr="002A2D52" w:rsidRDefault="000D47CC" w:rsidP="000D47CC">
      <w:pPr>
        <w:pStyle w:val="enumlev2"/>
      </w:pPr>
      <w:r w:rsidRPr="002A2D52">
        <w:t>•</w:t>
      </w:r>
      <w:r w:rsidRPr="002A2D52">
        <w:tab/>
      </w:r>
      <w:r w:rsidR="0055168E" w:rsidRPr="002A2D52">
        <w:t>l</w:t>
      </w:r>
      <w:r w:rsidR="00075E45" w:rsidRPr="002A2D52">
        <w:t xml:space="preserve">a charge de travail de certaines commissions </w:t>
      </w:r>
      <w:proofErr w:type="gramStart"/>
      <w:r w:rsidR="00075E45" w:rsidRPr="002A2D52">
        <w:t>d'études</w:t>
      </w:r>
      <w:r w:rsidR="00C561F0" w:rsidRPr="002A2D52">
        <w:t>;</w:t>
      </w:r>
      <w:proofErr w:type="gramEnd"/>
    </w:p>
    <w:p w14:paraId="7663AF72" w14:textId="227BAA96" w:rsidR="00075E45" w:rsidRPr="002A2D52" w:rsidRDefault="000D47CC" w:rsidP="000D47CC">
      <w:pPr>
        <w:pStyle w:val="enumlev2"/>
        <w:rPr>
          <w:rFonts w:cstheme="minorHAnsi"/>
        </w:rPr>
      </w:pPr>
      <w:r w:rsidRPr="002A2D52">
        <w:rPr>
          <w:rFonts w:cstheme="minorHAnsi"/>
        </w:rPr>
        <w:t>•</w:t>
      </w:r>
      <w:r w:rsidRPr="002A2D52">
        <w:rPr>
          <w:rFonts w:cstheme="minorHAnsi"/>
        </w:rPr>
        <w:tab/>
      </w:r>
      <w:r w:rsidR="0055168E" w:rsidRPr="002A2D52">
        <w:rPr>
          <w:rFonts w:cstheme="minorHAnsi"/>
        </w:rPr>
        <w:t>l</w:t>
      </w:r>
      <w:r w:rsidR="00075E45" w:rsidRPr="002A2D52">
        <w:rPr>
          <w:rFonts w:cstheme="minorHAnsi"/>
        </w:rPr>
        <w:t xml:space="preserve">'interdépendance entre les commissions </w:t>
      </w:r>
      <w:proofErr w:type="gramStart"/>
      <w:r w:rsidR="00075E45" w:rsidRPr="002A2D52">
        <w:rPr>
          <w:rFonts w:cstheme="minorHAnsi"/>
        </w:rPr>
        <w:t>d'études</w:t>
      </w:r>
      <w:r w:rsidR="00C561F0" w:rsidRPr="002A2D52">
        <w:rPr>
          <w:rFonts w:cstheme="minorHAnsi"/>
        </w:rPr>
        <w:t>;</w:t>
      </w:r>
      <w:proofErr w:type="gramEnd"/>
    </w:p>
    <w:p w14:paraId="694E9C41" w14:textId="67895483" w:rsidR="00075E45" w:rsidRPr="002A2D52" w:rsidRDefault="000D47CC" w:rsidP="000D47CC">
      <w:pPr>
        <w:pStyle w:val="enumlev2"/>
        <w:rPr>
          <w:rFonts w:cstheme="minorHAnsi"/>
        </w:rPr>
      </w:pPr>
      <w:r w:rsidRPr="002A2D52">
        <w:rPr>
          <w:rFonts w:cstheme="minorHAnsi"/>
        </w:rPr>
        <w:t>•</w:t>
      </w:r>
      <w:r w:rsidRPr="002A2D52">
        <w:rPr>
          <w:rFonts w:cstheme="minorHAnsi"/>
        </w:rPr>
        <w:tab/>
      </w:r>
      <w:r w:rsidR="0055168E" w:rsidRPr="002A2D52">
        <w:rPr>
          <w:rFonts w:cstheme="minorHAnsi"/>
        </w:rPr>
        <w:t>l</w:t>
      </w:r>
      <w:r w:rsidR="00075E45" w:rsidRPr="002A2D52">
        <w:rPr>
          <w:rFonts w:cstheme="minorHAnsi"/>
        </w:rPr>
        <w:t xml:space="preserve">e nombre de contributions et les niveaux de </w:t>
      </w:r>
      <w:proofErr w:type="gramStart"/>
      <w:r w:rsidR="00075E45" w:rsidRPr="002A2D52">
        <w:rPr>
          <w:rFonts w:cstheme="minorHAnsi"/>
        </w:rPr>
        <w:t>participation</w:t>
      </w:r>
      <w:r w:rsidR="00C561F0" w:rsidRPr="002A2D52">
        <w:rPr>
          <w:rFonts w:cstheme="minorHAnsi"/>
        </w:rPr>
        <w:t>;</w:t>
      </w:r>
      <w:proofErr w:type="gramEnd"/>
    </w:p>
    <w:p w14:paraId="07CD47F4" w14:textId="1381AFE7" w:rsidR="00075E45" w:rsidRPr="002A2D52" w:rsidRDefault="000D47CC" w:rsidP="000D47CC">
      <w:pPr>
        <w:pStyle w:val="enumlev2"/>
        <w:rPr>
          <w:rFonts w:cstheme="minorHAnsi"/>
        </w:rPr>
      </w:pPr>
      <w:r w:rsidRPr="002A2D52">
        <w:rPr>
          <w:rFonts w:cstheme="minorHAnsi"/>
        </w:rPr>
        <w:t>•</w:t>
      </w:r>
      <w:r w:rsidRPr="002A2D52">
        <w:rPr>
          <w:rFonts w:cstheme="minorHAnsi"/>
        </w:rPr>
        <w:tab/>
      </w:r>
      <w:r w:rsidR="0055168E" w:rsidRPr="002A2D52">
        <w:rPr>
          <w:rFonts w:cstheme="minorHAnsi"/>
        </w:rPr>
        <w:t>l</w:t>
      </w:r>
      <w:r w:rsidR="00075E45" w:rsidRPr="002A2D52">
        <w:rPr>
          <w:rFonts w:cstheme="minorHAnsi"/>
        </w:rPr>
        <w:t>es technologies émergentes qui nécessitent des compétences interdisciplinaires.</w:t>
      </w:r>
    </w:p>
    <w:p w14:paraId="694E030D" w14:textId="338F92CD" w:rsidR="00075E45" w:rsidRPr="002A2D52" w:rsidRDefault="00AC5D83" w:rsidP="000D47CC">
      <w:pPr>
        <w:pStyle w:val="enumlev1"/>
        <w:rPr>
          <w:rFonts w:cstheme="minorHAnsi"/>
        </w:rPr>
      </w:pPr>
      <w:r w:rsidRPr="002A2D52">
        <w:rPr>
          <w:rFonts w:cstheme="minorHAnsi"/>
        </w:rPr>
        <w:t>–</w:t>
      </w:r>
      <w:r w:rsidRPr="002A2D52">
        <w:rPr>
          <w:rFonts w:cstheme="minorHAnsi"/>
        </w:rPr>
        <w:tab/>
      </w:r>
      <w:r w:rsidR="00C561F0" w:rsidRPr="002A2D52">
        <w:rPr>
          <w:rFonts w:cstheme="minorHAnsi"/>
        </w:rPr>
        <w:t>É</w:t>
      </w:r>
      <w:r w:rsidR="00075E45" w:rsidRPr="002A2D52">
        <w:rPr>
          <w:rFonts w:cstheme="minorHAnsi"/>
        </w:rPr>
        <w:t>valuer si les difficultés constatées peuvent être traitées par des mesures non structurelles, notamment une meilleure coordination, des mandats plus clairs, des méthodes de travail plus efficaces ou la redistribution de certains sujets et de certaines responsabilités entre les commissions existantes</w:t>
      </w:r>
      <w:r w:rsidR="00C561F0" w:rsidRPr="002A2D52">
        <w:rPr>
          <w:rFonts w:cstheme="minorHAnsi"/>
        </w:rPr>
        <w:t>.</w:t>
      </w:r>
    </w:p>
    <w:p w14:paraId="70D7F864" w14:textId="58450FF1" w:rsidR="00075E45" w:rsidRPr="002A2D52" w:rsidRDefault="00AC5D83" w:rsidP="000D47CC">
      <w:pPr>
        <w:pStyle w:val="enumlev1"/>
        <w:rPr>
          <w:rFonts w:cstheme="minorHAnsi"/>
        </w:rPr>
      </w:pPr>
      <w:r w:rsidRPr="002A2D52">
        <w:rPr>
          <w:rFonts w:cstheme="minorHAnsi"/>
        </w:rPr>
        <w:t>–</w:t>
      </w:r>
      <w:r w:rsidRPr="002A2D52">
        <w:rPr>
          <w:rFonts w:cstheme="minorHAnsi"/>
        </w:rPr>
        <w:tab/>
      </w:r>
      <w:r w:rsidR="00C561F0" w:rsidRPr="002A2D52">
        <w:rPr>
          <w:rFonts w:cstheme="minorHAnsi"/>
        </w:rPr>
        <w:t>F</w:t>
      </w:r>
      <w:r w:rsidR="00075E45" w:rsidRPr="002A2D52">
        <w:rPr>
          <w:rFonts w:cstheme="minorHAnsi"/>
        </w:rPr>
        <w:t>ormuler des conclusions et des options possibles pour améliorer l'efficacité, la coordination et la réactivité des études de l'UIT-R, notamment en ce qui concerne les procédures, la coordination, les mandats, la répartition de la charge de travail et, si cela se justifie, les questions d'ordre structurel</w:t>
      </w:r>
      <w:r w:rsidR="00C561F0" w:rsidRPr="002A2D52">
        <w:rPr>
          <w:rFonts w:cstheme="minorHAnsi"/>
        </w:rPr>
        <w:t>.</w:t>
      </w:r>
    </w:p>
    <w:p w14:paraId="2860F909" w14:textId="3F5667E9" w:rsidR="00075E45" w:rsidRPr="002A2D52" w:rsidRDefault="00AC5D83" w:rsidP="000D47CC">
      <w:pPr>
        <w:pStyle w:val="enumlev1"/>
        <w:rPr>
          <w:rFonts w:cstheme="minorHAnsi"/>
        </w:rPr>
      </w:pPr>
      <w:r w:rsidRPr="002A2D52">
        <w:rPr>
          <w:rFonts w:cstheme="minorHAnsi"/>
        </w:rPr>
        <w:t>–</w:t>
      </w:r>
      <w:r w:rsidRPr="002A2D52">
        <w:rPr>
          <w:rFonts w:cstheme="minorHAnsi"/>
        </w:rPr>
        <w:tab/>
      </w:r>
      <w:r w:rsidR="00C561F0" w:rsidRPr="002A2D52">
        <w:rPr>
          <w:rFonts w:cstheme="minorHAnsi"/>
        </w:rPr>
        <w:t>T</w:t>
      </w:r>
      <w:r w:rsidR="00075E45" w:rsidRPr="002A2D52">
        <w:rPr>
          <w:rFonts w:cstheme="minorHAnsi"/>
        </w:rPr>
        <w:t>enir compte autant que faire se peut des renseignements factuels dont il dispose, notamment sur la fréquence et la durée des réunions, le volume des contributions, les produits approuvés, les tendances de la participation, l'interdépendance entre les commissions d'études et les incidences opérationnelles et sur le plan des ressources pour le</w:t>
      </w:r>
      <w:r w:rsidR="0076796F" w:rsidRPr="002A2D52">
        <w:rPr>
          <w:rFonts w:cstheme="minorHAnsi"/>
        </w:rPr>
        <w:t> </w:t>
      </w:r>
      <w:r w:rsidR="00075E45" w:rsidRPr="002A2D52">
        <w:rPr>
          <w:rFonts w:cstheme="minorHAnsi"/>
        </w:rPr>
        <w:t>BR.</w:t>
      </w:r>
    </w:p>
    <w:p w14:paraId="2B3E868B" w14:textId="77777777" w:rsidR="00075E45" w:rsidRPr="002A2D52" w:rsidRDefault="00075E45" w:rsidP="00075E45">
      <w:r w:rsidRPr="002A2D52">
        <w:t xml:space="preserve">Le Groupe de travail par correspondance débutera ses travaux immédiatement après la 33ème réunion du GCR et s'informera auprès du Bureau des radiocommunications (BR) et sollicitera son conseil </w:t>
      </w:r>
      <w:proofErr w:type="gramStart"/>
      <w:r w:rsidRPr="002A2D52">
        <w:t>sur:</w:t>
      </w:r>
      <w:proofErr w:type="gramEnd"/>
    </w:p>
    <w:p w14:paraId="18BC45C9" w14:textId="6EA78E69" w:rsidR="00075E45" w:rsidRPr="002A2D52" w:rsidRDefault="00951232" w:rsidP="00951232">
      <w:pPr>
        <w:pStyle w:val="enumlev1"/>
      </w:pPr>
      <w:r w:rsidRPr="002A2D52">
        <w:t>–</w:t>
      </w:r>
      <w:r w:rsidRPr="002A2D52">
        <w:tab/>
      </w:r>
      <w:r w:rsidR="00075E45" w:rsidRPr="002A2D52">
        <w:t>les conditions de procédure associées à la restructuration des commissions d'études conformément à la Résolution UIT-R 4-</w:t>
      </w:r>
      <w:proofErr w:type="gramStart"/>
      <w:r w:rsidR="00075E45" w:rsidRPr="002A2D52">
        <w:t>9</w:t>
      </w:r>
      <w:r w:rsidR="00C561F0" w:rsidRPr="002A2D52">
        <w:t>;</w:t>
      </w:r>
      <w:proofErr w:type="gramEnd"/>
    </w:p>
    <w:p w14:paraId="09CDE7D8" w14:textId="3B1FA865" w:rsidR="00075E45" w:rsidRPr="002A2D52" w:rsidRDefault="00951232" w:rsidP="00951232">
      <w:pPr>
        <w:pStyle w:val="enumlev1"/>
        <w:rPr>
          <w:rFonts w:cstheme="minorHAnsi"/>
        </w:rPr>
      </w:pPr>
      <w:r w:rsidRPr="002A2D52">
        <w:rPr>
          <w:rFonts w:cstheme="minorHAnsi"/>
        </w:rPr>
        <w:t>–</w:t>
      </w:r>
      <w:r w:rsidRPr="002A2D52">
        <w:rPr>
          <w:rFonts w:cstheme="minorHAnsi"/>
        </w:rPr>
        <w:tab/>
      </w:r>
      <w:r w:rsidR="00075E45" w:rsidRPr="002A2D52">
        <w:rPr>
          <w:rFonts w:cstheme="minorHAnsi"/>
        </w:rPr>
        <w:t xml:space="preserve">les questions pratiques liées à la modification de la structure des commissions </w:t>
      </w:r>
      <w:proofErr w:type="gramStart"/>
      <w:r w:rsidR="00075E45" w:rsidRPr="002A2D52">
        <w:rPr>
          <w:rFonts w:cstheme="minorHAnsi"/>
        </w:rPr>
        <w:t>d'études</w:t>
      </w:r>
      <w:r w:rsidR="00C561F0" w:rsidRPr="002A2D52">
        <w:rPr>
          <w:rFonts w:cstheme="minorHAnsi"/>
        </w:rPr>
        <w:t>;</w:t>
      </w:r>
      <w:proofErr w:type="gramEnd"/>
    </w:p>
    <w:p w14:paraId="3B44094F" w14:textId="403D3411" w:rsidR="00075E45" w:rsidRPr="002A2D52" w:rsidRDefault="00951232" w:rsidP="00951232">
      <w:pPr>
        <w:pStyle w:val="enumlev1"/>
        <w:rPr>
          <w:rFonts w:cstheme="minorHAnsi"/>
        </w:rPr>
      </w:pPr>
      <w:r w:rsidRPr="002A2D52">
        <w:rPr>
          <w:rFonts w:cstheme="minorHAnsi"/>
        </w:rPr>
        <w:t>–</w:t>
      </w:r>
      <w:r w:rsidRPr="002A2D52">
        <w:rPr>
          <w:rFonts w:cstheme="minorHAnsi"/>
        </w:rPr>
        <w:tab/>
      </w:r>
      <w:r w:rsidR="00075E45" w:rsidRPr="002A2D52">
        <w:rPr>
          <w:rFonts w:cstheme="minorHAnsi"/>
        </w:rPr>
        <w:t xml:space="preserve">les mécanismes existants pouvant aider à mieux coordonner la structure actuelle des commissions d'études et à en améliorer </w:t>
      </w:r>
      <w:proofErr w:type="gramStart"/>
      <w:r w:rsidR="00075E45" w:rsidRPr="002A2D52">
        <w:rPr>
          <w:rFonts w:cstheme="minorHAnsi"/>
        </w:rPr>
        <w:t>l'efficacité</w:t>
      </w:r>
      <w:r w:rsidR="00C561F0" w:rsidRPr="002A2D52">
        <w:rPr>
          <w:rFonts w:cstheme="minorHAnsi"/>
        </w:rPr>
        <w:t>;</w:t>
      </w:r>
      <w:proofErr w:type="gramEnd"/>
      <w:r w:rsidR="00075E45" w:rsidRPr="002A2D52">
        <w:rPr>
          <w:rFonts w:cstheme="minorHAnsi"/>
        </w:rPr>
        <w:t xml:space="preserve"> et</w:t>
      </w:r>
    </w:p>
    <w:p w14:paraId="3C25EC3F" w14:textId="772D113A" w:rsidR="00075E45" w:rsidRPr="002A2D52" w:rsidRDefault="00951232" w:rsidP="00951232">
      <w:pPr>
        <w:pStyle w:val="enumlev1"/>
        <w:rPr>
          <w:rFonts w:cstheme="minorHAnsi"/>
        </w:rPr>
      </w:pPr>
      <w:r w:rsidRPr="002A2D52">
        <w:rPr>
          <w:rFonts w:cstheme="minorHAnsi"/>
        </w:rPr>
        <w:t>–</w:t>
      </w:r>
      <w:r w:rsidRPr="002A2D52">
        <w:rPr>
          <w:rFonts w:cstheme="minorHAnsi"/>
        </w:rPr>
        <w:tab/>
      </w:r>
      <w:r w:rsidR="00075E45" w:rsidRPr="002A2D52">
        <w:rPr>
          <w:rFonts w:cstheme="minorHAnsi"/>
        </w:rPr>
        <w:t>toute conséquence sur le plan opérationnel ou organisationnel des ajustements structurels qui pourront être apportés.</w:t>
      </w:r>
    </w:p>
    <w:p w14:paraId="15E510D8" w14:textId="6446E3B2" w:rsidR="00075E45" w:rsidRPr="002A2D52" w:rsidRDefault="00075E45" w:rsidP="00075E45">
      <w:pPr>
        <w:keepNext/>
      </w:pPr>
      <w:r w:rsidRPr="002A2D52">
        <w:t>Le Groupe de travail par correspondance s'efforcera de présenter un rapport complet d'ici à la</w:t>
      </w:r>
      <w:r w:rsidR="00C561F0" w:rsidRPr="002A2D52">
        <w:t> </w:t>
      </w:r>
      <w:r w:rsidRPr="002A2D52">
        <w:t>34ème réunion du GCR. Dans un souci d'efficacité et d'inclusivité, il conviendra de mener les travaux essentiellement par correspondance et dans le cadre de réunions virtuelles, à raison de trois</w:t>
      </w:r>
      <w:r w:rsidR="00C870DF" w:rsidRPr="002A2D52">
        <w:t> </w:t>
      </w:r>
      <w:r w:rsidRPr="002A2D52">
        <w:t>de ces réunions au maximum, conformément aux § A1.3.2.9 et A1.3.2.10 de la Résolution</w:t>
      </w:r>
      <w:r w:rsidR="00C870DF" w:rsidRPr="002A2D52">
        <w:t> </w:t>
      </w:r>
      <w:r w:rsidRPr="002A2D52">
        <w:t>UIT</w:t>
      </w:r>
      <w:r w:rsidR="002A2D52">
        <w:t>-</w:t>
      </w:r>
      <w:r w:rsidRPr="002A2D52">
        <w:t>R</w:t>
      </w:r>
      <w:r w:rsidR="00C870DF" w:rsidRPr="002A2D52">
        <w:t> </w:t>
      </w:r>
      <w:r w:rsidRPr="002A2D52">
        <w:t>1</w:t>
      </w:r>
      <w:r w:rsidR="002A2D52">
        <w:t>-</w:t>
      </w:r>
      <w:r w:rsidRPr="002A2D52">
        <w:t>9.</w:t>
      </w:r>
    </w:p>
    <w:p w14:paraId="0FC3EDC9" w14:textId="649D5599" w:rsidR="00075E45" w:rsidRPr="002A2D52" w:rsidRDefault="00075E45" w:rsidP="00075E45">
      <w:pPr>
        <w:keepNext/>
      </w:pPr>
      <w:r w:rsidRPr="002A2D52">
        <w:t>Le Groupe de travail par correspondance est présidé par XXX (</w:t>
      </w:r>
      <w:proofErr w:type="gramStart"/>
      <w:r w:rsidRPr="002A2D52">
        <w:t>courriel:</w:t>
      </w:r>
      <w:proofErr w:type="gramEnd"/>
      <w:r w:rsidRPr="002A2D52">
        <w:t> </w:t>
      </w:r>
      <w:hyperlink r:id="rId19" w:history="1">
        <w:r w:rsidRPr="002A2D52">
          <w:rPr>
            <w:rStyle w:val="Hyperlink"/>
            <w:rFonts w:asciiTheme="majorBidi" w:hAnsiTheme="majorBidi" w:cstheme="majorBidi"/>
          </w:rPr>
          <w:t>XXX</w:t>
        </w:r>
      </w:hyperlink>
      <w:r w:rsidRPr="002A2D52">
        <w:t>), qui coordonnera les activités et assurera la communication et la soumission en temps opportun du rapport du groupe, 45</w:t>
      </w:r>
      <w:r w:rsidR="00C870DF" w:rsidRPr="002A2D52">
        <w:t> </w:t>
      </w:r>
      <w:r w:rsidRPr="002A2D52">
        <w:t>jours avant la 34ème réunion du GCR.</w:t>
      </w:r>
    </w:p>
    <w:p w14:paraId="6A85FE26" w14:textId="77777777" w:rsidR="00075E45" w:rsidRPr="002A2D52" w:rsidRDefault="00075E45" w:rsidP="00075E45">
      <w:pPr>
        <w:keepNext/>
      </w:pPr>
      <w:r w:rsidRPr="002A2D52">
        <w:t>D'autres informations utiles pour les travaux de ce Groupe de travail par correspondance seront publiées sur la page web du GCR.</w:t>
      </w:r>
    </w:p>
    <w:p w14:paraId="57399FA7" w14:textId="2324B0FB" w:rsidR="00AF2EDC" w:rsidRPr="002A2D52" w:rsidRDefault="00075E45" w:rsidP="00075E45">
      <w:pPr>
        <w:tabs>
          <w:tab w:val="clear" w:pos="794"/>
          <w:tab w:val="clear" w:pos="1191"/>
          <w:tab w:val="clear" w:pos="1588"/>
          <w:tab w:val="clear" w:pos="1985"/>
          <w:tab w:val="left" w:pos="567"/>
          <w:tab w:val="left" w:pos="1134"/>
          <w:tab w:val="left" w:pos="1701"/>
          <w:tab w:val="left" w:pos="2268"/>
          <w:tab w:val="left" w:pos="2835"/>
        </w:tabs>
        <w:jc w:val="center"/>
      </w:pPr>
      <w:r w:rsidRPr="002A2D52">
        <w:t>______________</w:t>
      </w:r>
    </w:p>
    <w:sectPr w:rsidR="00AF2EDC" w:rsidRPr="002A2D52">
      <w:headerReference w:type="even" r:id="rId20"/>
      <w:headerReference w:type="default" r:id="rId21"/>
      <w:footerReference w:type="even" r:id="rId2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032C5" w14:textId="77777777" w:rsidR="000F48C5" w:rsidRDefault="000F48C5">
      <w:r>
        <w:separator/>
      </w:r>
    </w:p>
  </w:endnote>
  <w:endnote w:type="continuationSeparator" w:id="0">
    <w:p w14:paraId="7C8453EF" w14:textId="77777777" w:rsidR="000F48C5" w:rsidRDefault="000F4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10EEA" w14:textId="27BF36D9" w:rsidR="00847AAC" w:rsidRDefault="00A9055C">
    <w:pPr>
      <w:pStyle w:val="Footer"/>
      <w:rPr>
        <w:lang w:val="en-US"/>
      </w:rPr>
    </w:pPr>
    <w:r>
      <w:fldChar w:fldCharType="begin"/>
    </w:r>
    <w:r w:rsidRPr="00A9055C">
      <w:rPr>
        <w:lang w:val="en-US"/>
      </w:rPr>
      <w:instrText xml:space="preserve"> FILENAME \p \* MERGEFORMAT </w:instrText>
    </w:r>
    <w:r>
      <w:fldChar w:fldCharType="separate"/>
    </w:r>
    <w:r w:rsidR="000F48C5">
      <w:rPr>
        <w:lang w:val="en-US"/>
      </w:rPr>
      <w:t>Document1</w:t>
    </w:r>
    <w:r>
      <w:rPr>
        <w:lang w:val="en-US"/>
      </w:rPr>
      <w:fldChar w:fldCharType="end"/>
    </w:r>
    <w:r w:rsidR="00847AAC">
      <w:rPr>
        <w:lang w:val="en-US"/>
      </w:rPr>
      <w:tab/>
    </w:r>
    <w:r w:rsidR="00847AAC">
      <w:fldChar w:fldCharType="begin"/>
    </w:r>
    <w:r w:rsidR="00847AAC">
      <w:instrText xml:space="preserve"> savedate \@ dd.MM.yy </w:instrText>
    </w:r>
    <w:r w:rsidR="00847AAC">
      <w:fldChar w:fldCharType="separate"/>
    </w:r>
    <w:r w:rsidR="00231225">
      <w:t>23.03.26</w:t>
    </w:r>
    <w:r w:rsidR="00847AAC">
      <w:fldChar w:fldCharType="end"/>
    </w:r>
    <w:r w:rsidR="00847AAC">
      <w:rPr>
        <w:lang w:val="en-US"/>
      </w:rPr>
      <w:tab/>
    </w:r>
    <w:r w:rsidR="00847AAC">
      <w:fldChar w:fldCharType="begin"/>
    </w:r>
    <w:r w:rsidR="00847AAC">
      <w:instrText xml:space="preserve"> printdate \@ dd.MM.yy </w:instrText>
    </w:r>
    <w:r w:rsidR="00847AAC">
      <w:fldChar w:fldCharType="separate"/>
    </w:r>
    <w:r w:rsidR="000F48C5">
      <w:t>11.10.99</w:t>
    </w:r>
    <w:r w:rsidR="00847AA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FF194" w14:textId="77777777" w:rsidR="000F48C5" w:rsidRDefault="000F48C5">
      <w:r>
        <w:t>____________________</w:t>
      </w:r>
    </w:p>
  </w:footnote>
  <w:footnote w:type="continuationSeparator" w:id="0">
    <w:p w14:paraId="20ADB813" w14:textId="77777777" w:rsidR="000F48C5" w:rsidRDefault="000F4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0F330" w14:textId="77777777" w:rsidR="00847AAC" w:rsidRDefault="00847AAC">
    <w:pPr>
      <w:pStyle w:val="Header"/>
    </w:pPr>
    <w:r>
      <w:rPr>
        <w:lang w:val="es-ES"/>
      </w:rPr>
      <w:t xml:space="preserve">- </w:t>
    </w:r>
    <w:r w:rsidR="00A9055C">
      <w:fldChar w:fldCharType="begin"/>
    </w:r>
    <w:r w:rsidR="00A9055C">
      <w:instrText xml:space="preserve"> PAGE </w:instrText>
    </w:r>
    <w:r w:rsidR="00A9055C">
      <w:fldChar w:fldCharType="separate"/>
    </w:r>
    <w:r>
      <w:rPr>
        <w:noProof/>
      </w:rPr>
      <w:t>2</w:t>
    </w:r>
    <w:r w:rsidR="00A9055C">
      <w:rPr>
        <w:noProof/>
      </w:rPr>
      <w:fldChar w:fldCharType="end"/>
    </w:r>
    <w:r>
      <w:rPr>
        <w:lang w:val="es-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15A5E" w14:textId="77777777" w:rsidR="00847AAC" w:rsidRDefault="00A9055C" w:rsidP="00925627">
    <w:pPr>
      <w:pStyle w:val="Header"/>
      <w:rPr>
        <w:lang w:val="es-ES"/>
      </w:rPr>
    </w:pPr>
    <w:r>
      <w:fldChar w:fldCharType="begin"/>
    </w:r>
    <w:r>
      <w:instrText xml:space="preserve"> PAGE </w:instrText>
    </w:r>
    <w:r>
      <w:fldChar w:fldCharType="separate"/>
    </w:r>
    <w:r w:rsidR="007711EA">
      <w:rPr>
        <w:noProof/>
      </w:rPr>
      <w:t>2</w:t>
    </w:r>
    <w:r>
      <w:rPr>
        <w:noProof/>
      </w:rPr>
      <w:fldChar w:fldCharType="end"/>
    </w:r>
  </w:p>
  <w:p w14:paraId="31C4885D" w14:textId="683EE298" w:rsidR="00847AAC" w:rsidRDefault="0097156E" w:rsidP="007711EA">
    <w:pPr>
      <w:pStyle w:val="Header"/>
      <w:rPr>
        <w:lang w:val="es-ES"/>
      </w:rPr>
    </w:pPr>
    <w:r>
      <w:rPr>
        <w:lang w:val="es-ES"/>
      </w:rPr>
      <w:t>RAG</w:t>
    </w:r>
    <w:r w:rsidR="00847AAC">
      <w:rPr>
        <w:lang w:val="es-ES"/>
      </w:rPr>
      <w:t>/</w:t>
    </w:r>
    <w:r w:rsidR="00A06C68">
      <w:rPr>
        <w:lang w:val="es-ES"/>
      </w:rPr>
      <w:t>7</w:t>
    </w:r>
    <w:r w:rsidR="00CE1239">
      <w:rPr>
        <w:lang w:val="es-ES"/>
      </w:rPr>
      <w:t>7</w:t>
    </w:r>
    <w:r w:rsidR="00AF2EDC">
      <w:rPr>
        <w:lang w:val="es-ES"/>
      </w:rPr>
      <w:t>-</w:t>
    </w:r>
    <w:r w:rsidR="00847AAC">
      <w:rPr>
        <w:lang w:val="es-ES"/>
      </w:rPr>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57C"/>
    <w:multiLevelType w:val="hybridMultilevel"/>
    <w:tmpl w:val="C2D4B096"/>
    <w:lvl w:ilvl="0" w:tplc="D0841584">
      <w:start w:val="26"/>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97C22"/>
    <w:multiLevelType w:val="hybridMultilevel"/>
    <w:tmpl w:val="E5BE2D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06D5E"/>
    <w:multiLevelType w:val="hybridMultilevel"/>
    <w:tmpl w:val="DBE0B7D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9906590"/>
    <w:multiLevelType w:val="hybridMultilevel"/>
    <w:tmpl w:val="FF04F71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76C5D"/>
    <w:multiLevelType w:val="hybridMultilevel"/>
    <w:tmpl w:val="D65059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50BCB"/>
    <w:multiLevelType w:val="hybridMultilevel"/>
    <w:tmpl w:val="2280D7CC"/>
    <w:lvl w:ilvl="0" w:tplc="1A3CD4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E673EE"/>
    <w:multiLevelType w:val="hybridMultilevel"/>
    <w:tmpl w:val="8AF69AD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2D665C"/>
    <w:multiLevelType w:val="hybridMultilevel"/>
    <w:tmpl w:val="5F9A14B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350FAC"/>
    <w:multiLevelType w:val="hybridMultilevel"/>
    <w:tmpl w:val="C73A86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7A0136"/>
    <w:multiLevelType w:val="hybridMultilevel"/>
    <w:tmpl w:val="6C542D00"/>
    <w:lvl w:ilvl="0" w:tplc="1A3CD41A">
      <w:numFmt w:val="bullet"/>
      <w:lvlText w:val="-"/>
      <w:lvlJc w:val="left"/>
      <w:pPr>
        <w:ind w:left="1154" w:hanging="360"/>
      </w:pPr>
      <w:rPr>
        <w:rFonts w:ascii="Times New Roman" w:eastAsiaTheme="minorHAnsi" w:hAnsi="Times New Roman" w:cs="Times New Roman" w:hint="default"/>
      </w:rPr>
    </w:lvl>
    <w:lvl w:ilvl="1" w:tplc="08090003">
      <w:start w:val="1"/>
      <w:numFmt w:val="bullet"/>
      <w:lvlText w:val="o"/>
      <w:lvlJc w:val="left"/>
      <w:pPr>
        <w:ind w:left="1874" w:hanging="360"/>
      </w:pPr>
      <w:rPr>
        <w:rFonts w:ascii="Courier New" w:hAnsi="Courier New" w:cs="Courier New" w:hint="default"/>
      </w:rPr>
    </w:lvl>
    <w:lvl w:ilvl="2" w:tplc="08090005">
      <w:start w:val="1"/>
      <w:numFmt w:val="bullet"/>
      <w:lvlText w:val=""/>
      <w:lvlJc w:val="left"/>
      <w:pPr>
        <w:ind w:left="2594" w:hanging="360"/>
      </w:pPr>
      <w:rPr>
        <w:rFonts w:ascii="Wingdings" w:hAnsi="Wingdings" w:hint="default"/>
      </w:rPr>
    </w:lvl>
    <w:lvl w:ilvl="3" w:tplc="08090001">
      <w:start w:val="1"/>
      <w:numFmt w:val="bullet"/>
      <w:lvlText w:val=""/>
      <w:lvlJc w:val="left"/>
      <w:pPr>
        <w:ind w:left="3314" w:hanging="360"/>
      </w:pPr>
      <w:rPr>
        <w:rFonts w:ascii="Symbol" w:hAnsi="Symbol" w:hint="default"/>
      </w:rPr>
    </w:lvl>
    <w:lvl w:ilvl="4" w:tplc="08090003">
      <w:start w:val="1"/>
      <w:numFmt w:val="bullet"/>
      <w:lvlText w:val="o"/>
      <w:lvlJc w:val="left"/>
      <w:pPr>
        <w:ind w:left="4034" w:hanging="360"/>
      </w:pPr>
      <w:rPr>
        <w:rFonts w:ascii="Courier New" w:hAnsi="Courier New" w:cs="Courier New" w:hint="default"/>
      </w:rPr>
    </w:lvl>
    <w:lvl w:ilvl="5" w:tplc="08090005">
      <w:start w:val="1"/>
      <w:numFmt w:val="bullet"/>
      <w:lvlText w:val=""/>
      <w:lvlJc w:val="left"/>
      <w:pPr>
        <w:ind w:left="4754" w:hanging="360"/>
      </w:pPr>
      <w:rPr>
        <w:rFonts w:ascii="Wingdings" w:hAnsi="Wingdings" w:hint="default"/>
      </w:rPr>
    </w:lvl>
    <w:lvl w:ilvl="6" w:tplc="08090001">
      <w:start w:val="1"/>
      <w:numFmt w:val="bullet"/>
      <w:lvlText w:val=""/>
      <w:lvlJc w:val="left"/>
      <w:pPr>
        <w:ind w:left="5474" w:hanging="360"/>
      </w:pPr>
      <w:rPr>
        <w:rFonts w:ascii="Symbol" w:hAnsi="Symbol" w:hint="default"/>
      </w:rPr>
    </w:lvl>
    <w:lvl w:ilvl="7" w:tplc="08090003">
      <w:start w:val="1"/>
      <w:numFmt w:val="bullet"/>
      <w:lvlText w:val="o"/>
      <w:lvlJc w:val="left"/>
      <w:pPr>
        <w:ind w:left="6194" w:hanging="360"/>
      </w:pPr>
      <w:rPr>
        <w:rFonts w:ascii="Courier New" w:hAnsi="Courier New" w:cs="Courier New" w:hint="default"/>
      </w:rPr>
    </w:lvl>
    <w:lvl w:ilvl="8" w:tplc="08090005">
      <w:start w:val="1"/>
      <w:numFmt w:val="bullet"/>
      <w:lvlText w:val=""/>
      <w:lvlJc w:val="left"/>
      <w:pPr>
        <w:ind w:left="6914" w:hanging="360"/>
      </w:pPr>
      <w:rPr>
        <w:rFonts w:ascii="Wingdings" w:hAnsi="Wingdings" w:hint="default"/>
      </w:rPr>
    </w:lvl>
  </w:abstractNum>
  <w:abstractNum w:abstractNumId="10" w15:restartNumberingAfterBreak="0">
    <w:nsid w:val="749A0E63"/>
    <w:multiLevelType w:val="hybridMultilevel"/>
    <w:tmpl w:val="37EE16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4067">
    <w:abstractNumId w:val="0"/>
  </w:num>
  <w:num w:numId="2" w16cid:durableId="84428229">
    <w:abstractNumId w:val="3"/>
  </w:num>
  <w:num w:numId="3" w16cid:durableId="1245259226">
    <w:abstractNumId w:val="1"/>
  </w:num>
  <w:num w:numId="4" w16cid:durableId="39326194">
    <w:abstractNumId w:val="10"/>
  </w:num>
  <w:num w:numId="5" w16cid:durableId="1166632360">
    <w:abstractNumId w:val="8"/>
  </w:num>
  <w:num w:numId="6" w16cid:durableId="1847667292">
    <w:abstractNumId w:val="4"/>
  </w:num>
  <w:num w:numId="7" w16cid:durableId="657658973">
    <w:abstractNumId w:val="9"/>
  </w:num>
  <w:num w:numId="8" w16cid:durableId="1230506253">
    <w:abstractNumId w:val="2"/>
  </w:num>
  <w:num w:numId="9" w16cid:durableId="1078210022">
    <w:abstractNumId w:val="5"/>
  </w:num>
  <w:num w:numId="10" w16cid:durableId="45226169">
    <w:abstractNumId w:val="7"/>
  </w:num>
  <w:num w:numId="11" w16cid:durableId="14716322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C5"/>
    <w:rsid w:val="0000789E"/>
    <w:rsid w:val="000640FB"/>
    <w:rsid w:val="00075E45"/>
    <w:rsid w:val="000C06D8"/>
    <w:rsid w:val="000D47CC"/>
    <w:rsid w:val="000F48C5"/>
    <w:rsid w:val="00140AE6"/>
    <w:rsid w:val="00171F0D"/>
    <w:rsid w:val="001978EF"/>
    <w:rsid w:val="001F0434"/>
    <w:rsid w:val="001F5A2D"/>
    <w:rsid w:val="00222A1C"/>
    <w:rsid w:val="002238BE"/>
    <w:rsid w:val="00231225"/>
    <w:rsid w:val="00235CD1"/>
    <w:rsid w:val="00235CFE"/>
    <w:rsid w:val="00287471"/>
    <w:rsid w:val="002A2D52"/>
    <w:rsid w:val="002D238A"/>
    <w:rsid w:val="00306C06"/>
    <w:rsid w:val="003A6CEE"/>
    <w:rsid w:val="003B743F"/>
    <w:rsid w:val="00405FBE"/>
    <w:rsid w:val="004239B9"/>
    <w:rsid w:val="00443261"/>
    <w:rsid w:val="00473AAC"/>
    <w:rsid w:val="00487C0F"/>
    <w:rsid w:val="004E1CCF"/>
    <w:rsid w:val="004E76DF"/>
    <w:rsid w:val="005031C8"/>
    <w:rsid w:val="005207F5"/>
    <w:rsid w:val="00542F3B"/>
    <w:rsid w:val="005430E4"/>
    <w:rsid w:val="0055168E"/>
    <w:rsid w:val="00637B42"/>
    <w:rsid w:val="0065170E"/>
    <w:rsid w:val="00655462"/>
    <w:rsid w:val="0067019B"/>
    <w:rsid w:val="00677EE5"/>
    <w:rsid w:val="006834F3"/>
    <w:rsid w:val="00694DEF"/>
    <w:rsid w:val="00695AE7"/>
    <w:rsid w:val="00696EA5"/>
    <w:rsid w:val="006D3025"/>
    <w:rsid w:val="006E3A43"/>
    <w:rsid w:val="00740508"/>
    <w:rsid w:val="0075366E"/>
    <w:rsid w:val="0076796F"/>
    <w:rsid w:val="007711EA"/>
    <w:rsid w:val="00773E5E"/>
    <w:rsid w:val="007B7686"/>
    <w:rsid w:val="007F167C"/>
    <w:rsid w:val="008069E9"/>
    <w:rsid w:val="00844DBD"/>
    <w:rsid w:val="00847AAC"/>
    <w:rsid w:val="00877560"/>
    <w:rsid w:val="00890548"/>
    <w:rsid w:val="00902253"/>
    <w:rsid w:val="00925627"/>
    <w:rsid w:val="0093101F"/>
    <w:rsid w:val="00944724"/>
    <w:rsid w:val="00951232"/>
    <w:rsid w:val="00962425"/>
    <w:rsid w:val="0097156E"/>
    <w:rsid w:val="009D197B"/>
    <w:rsid w:val="00A06C68"/>
    <w:rsid w:val="00A22D13"/>
    <w:rsid w:val="00A9055C"/>
    <w:rsid w:val="00AB7F92"/>
    <w:rsid w:val="00AC39EE"/>
    <w:rsid w:val="00AC5D83"/>
    <w:rsid w:val="00AF2EDC"/>
    <w:rsid w:val="00B41D84"/>
    <w:rsid w:val="00BA0C7B"/>
    <w:rsid w:val="00BA1484"/>
    <w:rsid w:val="00BC4591"/>
    <w:rsid w:val="00BD4ADA"/>
    <w:rsid w:val="00C561F0"/>
    <w:rsid w:val="00C6077B"/>
    <w:rsid w:val="00C72A86"/>
    <w:rsid w:val="00C837B6"/>
    <w:rsid w:val="00C870DF"/>
    <w:rsid w:val="00CA0321"/>
    <w:rsid w:val="00CC5B9E"/>
    <w:rsid w:val="00CC7208"/>
    <w:rsid w:val="00CE1239"/>
    <w:rsid w:val="00CE6184"/>
    <w:rsid w:val="00D14E42"/>
    <w:rsid w:val="00D228F7"/>
    <w:rsid w:val="00D34E1C"/>
    <w:rsid w:val="00D9260B"/>
    <w:rsid w:val="00D95965"/>
    <w:rsid w:val="00DA0CEB"/>
    <w:rsid w:val="00DC6CF8"/>
    <w:rsid w:val="00DD55EB"/>
    <w:rsid w:val="00DE530E"/>
    <w:rsid w:val="00E17FFD"/>
    <w:rsid w:val="00E2659D"/>
    <w:rsid w:val="00EC0F12"/>
    <w:rsid w:val="00EC26B4"/>
    <w:rsid w:val="00ED59FA"/>
    <w:rsid w:val="00F118ED"/>
    <w:rsid w:val="00F22471"/>
    <w:rsid w:val="00F24187"/>
    <w:rsid w:val="00F775D5"/>
    <w:rsid w:val="00F778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9F84AB6"/>
  <w15:docId w15:val="{4405F505-7B35-4C0A-82D0-6F31105A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link w:val="Heading1Char"/>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Pr>
      <w:position w:val="6"/>
      <w:sz w:val="18"/>
    </w:rPr>
  </w:style>
  <w:style w:type="paragraph" w:styleId="FootnoteText">
    <w:name w:val="footnote text"/>
    <w:basedOn w:val="Note"/>
    <w:semiHidden/>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character" w:customStyle="1" w:styleId="Heading1Char">
    <w:name w:val="Heading 1 Char"/>
    <w:basedOn w:val="DefaultParagraphFont"/>
    <w:link w:val="Heading1"/>
    <w:rsid w:val="000F48C5"/>
    <w:rPr>
      <w:rFonts w:ascii="Times New Roman" w:hAnsi="Times New Roman"/>
      <w:b/>
      <w:sz w:val="24"/>
      <w:lang w:val="fr-FR" w:eastAsia="en-US"/>
    </w:rPr>
  </w:style>
  <w:style w:type="paragraph" w:styleId="ListParagraph">
    <w:name w:val="List Paragraph"/>
    <w:aliases w:val="Recommendation,List Paragraph11,O5,Para_sk,Resume Title,- Bullets"/>
    <w:basedOn w:val="Normal"/>
    <w:link w:val="ListParagraphChar"/>
    <w:uiPriority w:val="34"/>
    <w:qFormat/>
    <w:rsid w:val="000F48C5"/>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val="en-GB" w:eastAsia="ja-JP"/>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locked/>
    <w:rsid w:val="000F48C5"/>
    <w:rPr>
      <w:rFonts w:ascii="Times New Roman" w:eastAsiaTheme="minorEastAsia" w:hAnsi="Times New Roman"/>
      <w:sz w:val="24"/>
      <w:szCs w:val="24"/>
      <w:lang w:val="en-GB" w:eastAsia="ja-JP"/>
    </w:rPr>
  </w:style>
  <w:style w:type="character" w:styleId="Hyperlink">
    <w:name w:val="Hyperlink"/>
    <w:aliases w:val="超级链接,超?级链,CEO_Hyperlink,Style 58,超????,하이퍼링크2,超链接1,하이퍼링크21,超??级链Ú,fL????,fL?级,超??级链,超?级链Ú,’´?级链,’´????,’´??级链Ú,’´??级,超?级链?,Style?,S,超?级链ïÈ,õ±?级链,õ±链ïÈ1,õ±???"/>
    <w:basedOn w:val="DefaultParagraphFont"/>
    <w:qFormat/>
    <w:rsid w:val="001F5A2D"/>
    <w:rPr>
      <w:color w:val="0000FF"/>
      <w:u w:val="single"/>
    </w:rPr>
  </w:style>
  <w:style w:type="character" w:styleId="CommentReference">
    <w:name w:val="annotation reference"/>
    <w:basedOn w:val="DefaultParagraphFont"/>
    <w:semiHidden/>
    <w:unhideWhenUsed/>
    <w:rsid w:val="009D197B"/>
    <w:rPr>
      <w:sz w:val="16"/>
      <w:szCs w:val="16"/>
    </w:rPr>
  </w:style>
  <w:style w:type="paragraph" w:styleId="CommentText">
    <w:name w:val="annotation text"/>
    <w:basedOn w:val="Normal"/>
    <w:link w:val="CommentTextChar"/>
    <w:semiHidden/>
    <w:unhideWhenUsed/>
    <w:rsid w:val="009D197B"/>
    <w:rPr>
      <w:sz w:val="20"/>
    </w:rPr>
  </w:style>
  <w:style w:type="character" w:customStyle="1" w:styleId="CommentTextChar">
    <w:name w:val="Comment Text Char"/>
    <w:basedOn w:val="DefaultParagraphFont"/>
    <w:link w:val="CommentText"/>
    <w:semiHidden/>
    <w:rsid w:val="009D197B"/>
    <w:rPr>
      <w:rFonts w:ascii="Times New Roman" w:hAnsi="Times New Roman"/>
      <w:lang w:val="fr-FR" w:eastAsia="en-US"/>
    </w:rPr>
  </w:style>
  <w:style w:type="paragraph" w:styleId="CommentSubject">
    <w:name w:val="annotation subject"/>
    <w:basedOn w:val="CommentText"/>
    <w:next w:val="CommentText"/>
    <w:link w:val="CommentSubjectChar"/>
    <w:semiHidden/>
    <w:unhideWhenUsed/>
    <w:rsid w:val="009D197B"/>
    <w:rPr>
      <w:b/>
      <w:bCs/>
    </w:rPr>
  </w:style>
  <w:style w:type="character" w:customStyle="1" w:styleId="CommentSubjectChar">
    <w:name w:val="Comment Subject Char"/>
    <w:basedOn w:val="CommentTextChar"/>
    <w:link w:val="CommentSubject"/>
    <w:semiHidden/>
    <w:rsid w:val="009D197B"/>
    <w:rPr>
      <w:rFonts w:ascii="Times New Roman" w:hAnsi="Times New Roman"/>
      <w:b/>
      <w:bCs/>
      <w:lang w:val="fr-FR" w:eastAsia="en-US"/>
    </w:rPr>
  </w:style>
  <w:style w:type="paragraph" w:styleId="Revision">
    <w:name w:val="Revision"/>
    <w:hidden/>
    <w:uiPriority w:val="99"/>
    <w:semiHidden/>
    <w:rsid w:val="009D197B"/>
    <w:rPr>
      <w:rFonts w:ascii="Times New Roman" w:hAnsi="Times New Roman"/>
      <w:sz w:val="24"/>
      <w:lang w:val="fr-FR" w:eastAsia="en-US"/>
    </w:rPr>
  </w:style>
  <w:style w:type="character" w:styleId="FollowedHyperlink">
    <w:name w:val="FollowedHyperlink"/>
    <w:basedOn w:val="DefaultParagraphFont"/>
    <w:semiHidden/>
    <w:unhideWhenUsed/>
    <w:rsid w:val="000640FB"/>
    <w:rPr>
      <w:color w:val="800080" w:themeColor="followedHyperlink"/>
      <w:u w:val="single"/>
    </w:rPr>
  </w:style>
  <w:style w:type="character" w:styleId="UnresolvedMention">
    <w:name w:val="Unresolved Mention"/>
    <w:basedOn w:val="DefaultParagraphFont"/>
    <w:uiPriority w:val="99"/>
    <w:semiHidden/>
    <w:unhideWhenUsed/>
    <w:rsid w:val="000640FB"/>
    <w:rPr>
      <w:color w:val="605E5C"/>
      <w:shd w:val="clear" w:color="auto" w:fill="E1DFDD"/>
    </w:rPr>
  </w:style>
  <w:style w:type="paragraph" w:customStyle="1" w:styleId="Figuretitle">
    <w:name w:val="Figure_title"/>
    <w:basedOn w:val="Normal"/>
    <w:next w:val="Normal"/>
    <w:link w:val="FiguretitleChar"/>
    <w:rsid w:val="00075E45"/>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eastAsiaTheme="minorEastAsia" w:hAnsi="Times New Roman Bold"/>
      <w:b/>
      <w:sz w:val="20"/>
      <w:lang w:val="en-GB"/>
    </w:rPr>
  </w:style>
  <w:style w:type="paragraph" w:customStyle="1" w:styleId="FigureNo">
    <w:name w:val="Figure_No"/>
    <w:basedOn w:val="Normal"/>
    <w:next w:val="Normal"/>
    <w:rsid w:val="00075E45"/>
    <w:pPr>
      <w:keepNext/>
      <w:keepLines/>
      <w:tabs>
        <w:tab w:val="clear" w:pos="794"/>
        <w:tab w:val="clear" w:pos="1191"/>
        <w:tab w:val="clear" w:pos="1588"/>
        <w:tab w:val="clear" w:pos="1985"/>
        <w:tab w:val="left" w:pos="1134"/>
        <w:tab w:val="left" w:pos="1871"/>
        <w:tab w:val="left" w:pos="2268"/>
      </w:tabs>
      <w:spacing w:before="480" w:after="120"/>
      <w:jc w:val="center"/>
    </w:pPr>
    <w:rPr>
      <w:rFonts w:eastAsiaTheme="minorEastAsia"/>
      <w:caps/>
      <w:sz w:val="20"/>
      <w:lang w:val="en-GB"/>
    </w:rPr>
  </w:style>
  <w:style w:type="character" w:customStyle="1" w:styleId="FiguretitleChar">
    <w:name w:val="Figure_title Char"/>
    <w:basedOn w:val="DefaultParagraphFont"/>
    <w:link w:val="Figuretitle"/>
    <w:rsid w:val="00075E45"/>
    <w:rPr>
      <w:rFonts w:ascii="Times New Roman Bold" w:eastAsiaTheme="minorEastAsia" w:hAnsi="Times New Roman Bold"/>
      <w:b/>
      <w:lang w:val="en-GB" w:eastAsia="en-US"/>
    </w:rPr>
  </w:style>
  <w:style w:type="paragraph" w:customStyle="1" w:styleId="AnnexNo">
    <w:name w:val="Annex_No"/>
    <w:basedOn w:val="Normal"/>
    <w:next w:val="Normal"/>
    <w:rsid w:val="00075E45"/>
    <w:pPr>
      <w:keepNext/>
      <w:keepLines/>
      <w:tabs>
        <w:tab w:val="clear" w:pos="794"/>
        <w:tab w:val="clear" w:pos="1191"/>
        <w:tab w:val="clear" w:pos="1588"/>
        <w:tab w:val="clear" w:pos="1985"/>
        <w:tab w:val="left" w:pos="1134"/>
        <w:tab w:val="left" w:pos="1871"/>
        <w:tab w:val="left" w:pos="2268"/>
      </w:tabs>
      <w:spacing w:before="480" w:after="80"/>
      <w:jc w:val="center"/>
      <w:textAlignment w:val="auto"/>
    </w:pPr>
    <w:rPr>
      <w:rFonts w:eastAsiaTheme="minorEastAsia"/>
      <w:caps/>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CA-CIR-0277/fr" TargetMode="External"/><Relationship Id="rId13" Type="http://schemas.openxmlformats.org/officeDocument/2006/relationships/image" Target="media/image2.png"/><Relationship Id="rId18" Type="http://schemas.openxmlformats.org/officeDocument/2006/relationships/chart" Target="charts/chart4.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s://www.itu.int/en/general-secretariat/Pages/ISCG/default.aspx" TargetMode="External"/><Relationship Id="rId17"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hyperlink" Target="https://www.itu.int/md/R23-RAG-C-0058/f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R23-SG05-C-0096/f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hyperlink" Target="https://www.itu.int/md/R23-SG04-C-0047/fr" TargetMode="External"/><Relationship Id="rId19" Type="http://schemas.openxmlformats.org/officeDocument/2006/relationships/hyperlink" Target="mailto:fabghamdi@citc.gov.sa" TargetMode="External"/><Relationship Id="rId4" Type="http://schemas.openxmlformats.org/officeDocument/2006/relationships/webSettings" Target="webSettings.xml"/><Relationship Id="rId9" Type="http://schemas.openxmlformats.org/officeDocument/2006/relationships/hyperlink" Target="https://www.itu.int/md/R23-RAG-C-0058/fr" TargetMode="External"/><Relationship Id="rId14" Type="http://schemas.openxmlformats.org/officeDocument/2006/relationships/chart" Target="charts/chart1.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BR\PF_RAG.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1605;&#1604;&#1601;&#1575;&#1578;%20&#1575;&#1604;&#1591;&#1610;&#1601;\&#1575;&#1583;&#1575;&#1585;&#1577;%20&#1575;&#1604;&#1578;&#1606;&#1587;&#1610;&#1602;%20&#1575;&#1604;&#1583;&#1608;&#1604;&#1610;\&#1575;&#1604;&#1578;&#1606;&#1592;&#1610;&#1605;&#1575;&#1578;%20&#1608;%20&#1575;&#1604;&#1583;&#1585;&#1575;&#1587;&#1575;&#1578;\RAG\33rd%20meeting\SG\SG%20work.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1605;&#1604;&#1601;&#1575;&#1578;%20&#1575;&#1604;&#1591;&#1610;&#1601;\&#1575;&#1583;&#1575;&#1585;&#1577;%20&#1575;&#1604;&#1578;&#1606;&#1587;&#1610;&#1602;%20&#1575;&#1604;&#1583;&#1608;&#1604;&#1610;\&#1575;&#1604;&#1578;&#1606;&#1592;&#1610;&#1605;&#1575;&#1578;%20&#1608;%20&#1575;&#1604;&#1583;&#1585;&#1575;&#1587;&#1575;&#1578;\RAG\33rd%20meeting\SG\SG%20work.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Sheet2!$B$28</c:f>
              <c:strCache>
                <c:ptCount val="1"/>
                <c:pt idx="0">
                  <c:v>2007-2012 (WRC-12)</c:v>
                </c:pt>
              </c:strCache>
            </c:strRef>
          </c:tx>
          <c:spPr>
            <a:solidFill>
              <a:schemeClr val="accent1"/>
            </a:solidFill>
            <a:ln>
              <a:noFill/>
            </a:ln>
            <a:effectLst/>
          </c:spPr>
          <c:invertIfNegative val="0"/>
          <c:cat>
            <c:strRef>
              <c:f>Sheet2!$A$29:$A$34</c:f>
              <c:strCache>
                <c:ptCount val="6"/>
                <c:pt idx="0">
                  <c:v>SG 1</c:v>
                </c:pt>
                <c:pt idx="1">
                  <c:v>SG 3</c:v>
                </c:pt>
                <c:pt idx="2">
                  <c:v>SG 4</c:v>
                </c:pt>
                <c:pt idx="3">
                  <c:v>SG 5</c:v>
                </c:pt>
                <c:pt idx="4">
                  <c:v>SG 6</c:v>
                </c:pt>
                <c:pt idx="5">
                  <c:v>SG 7</c:v>
                </c:pt>
              </c:strCache>
            </c:strRef>
          </c:cat>
          <c:val>
            <c:numRef>
              <c:f>Sheet2!$B$29:$B$34</c:f>
              <c:numCache>
                <c:formatCode>General</c:formatCode>
                <c:ptCount val="6"/>
                <c:pt idx="0">
                  <c:v>516</c:v>
                </c:pt>
                <c:pt idx="1">
                  <c:v>391</c:v>
                </c:pt>
                <c:pt idx="2">
                  <c:v>828</c:v>
                </c:pt>
                <c:pt idx="3">
                  <c:v>1859</c:v>
                </c:pt>
                <c:pt idx="4">
                  <c:v>949</c:v>
                </c:pt>
                <c:pt idx="5">
                  <c:v>572</c:v>
                </c:pt>
              </c:numCache>
            </c:numRef>
          </c:val>
          <c:extLst>
            <c:ext xmlns:c16="http://schemas.microsoft.com/office/drawing/2014/chart" uri="{C3380CC4-5D6E-409C-BE32-E72D297353CC}">
              <c16:uniqueId val="{00000000-1546-4EEF-B5EE-04C50B2189A7}"/>
            </c:ext>
          </c:extLst>
        </c:ser>
        <c:ser>
          <c:idx val="1"/>
          <c:order val="1"/>
          <c:tx>
            <c:strRef>
              <c:f>Sheet2!$C$28</c:f>
              <c:strCache>
                <c:ptCount val="1"/>
                <c:pt idx="0">
                  <c:v>2012-2015 (WRC-15)</c:v>
                </c:pt>
              </c:strCache>
            </c:strRef>
          </c:tx>
          <c:spPr>
            <a:solidFill>
              <a:schemeClr val="accent2"/>
            </a:solidFill>
            <a:ln>
              <a:noFill/>
            </a:ln>
            <a:effectLst/>
          </c:spPr>
          <c:invertIfNegative val="0"/>
          <c:cat>
            <c:strRef>
              <c:f>Sheet2!$A$29:$A$34</c:f>
              <c:strCache>
                <c:ptCount val="6"/>
                <c:pt idx="0">
                  <c:v>SG 1</c:v>
                </c:pt>
                <c:pt idx="1">
                  <c:v>SG 3</c:v>
                </c:pt>
                <c:pt idx="2">
                  <c:v>SG 4</c:v>
                </c:pt>
                <c:pt idx="3">
                  <c:v>SG 5</c:v>
                </c:pt>
                <c:pt idx="4">
                  <c:v>SG 6</c:v>
                </c:pt>
                <c:pt idx="5">
                  <c:v>SG 7</c:v>
                </c:pt>
              </c:strCache>
            </c:strRef>
          </c:cat>
          <c:val>
            <c:numRef>
              <c:f>Sheet2!$C$29:$C$34</c:f>
              <c:numCache>
                <c:formatCode>General</c:formatCode>
                <c:ptCount val="6"/>
                <c:pt idx="0">
                  <c:v>575</c:v>
                </c:pt>
                <c:pt idx="1">
                  <c:v>539</c:v>
                </c:pt>
                <c:pt idx="2">
                  <c:v>1191</c:v>
                </c:pt>
                <c:pt idx="3">
                  <c:v>2763</c:v>
                </c:pt>
                <c:pt idx="4">
                  <c:v>1447</c:v>
                </c:pt>
                <c:pt idx="5">
                  <c:v>949</c:v>
                </c:pt>
              </c:numCache>
            </c:numRef>
          </c:val>
          <c:extLst>
            <c:ext xmlns:c16="http://schemas.microsoft.com/office/drawing/2014/chart" uri="{C3380CC4-5D6E-409C-BE32-E72D297353CC}">
              <c16:uniqueId val="{00000001-1546-4EEF-B5EE-04C50B2189A7}"/>
            </c:ext>
          </c:extLst>
        </c:ser>
        <c:ser>
          <c:idx val="2"/>
          <c:order val="2"/>
          <c:tx>
            <c:strRef>
              <c:f>Sheet2!$D$28</c:f>
              <c:strCache>
                <c:ptCount val="1"/>
                <c:pt idx="0">
                  <c:v>2015-2019 (WRC-19)</c:v>
                </c:pt>
              </c:strCache>
            </c:strRef>
          </c:tx>
          <c:spPr>
            <a:solidFill>
              <a:schemeClr val="accent3"/>
            </a:solidFill>
            <a:ln>
              <a:noFill/>
            </a:ln>
            <a:effectLst/>
          </c:spPr>
          <c:invertIfNegative val="0"/>
          <c:cat>
            <c:strRef>
              <c:f>Sheet2!$A$29:$A$34</c:f>
              <c:strCache>
                <c:ptCount val="6"/>
                <c:pt idx="0">
                  <c:v>SG 1</c:v>
                </c:pt>
                <c:pt idx="1">
                  <c:v>SG 3</c:v>
                </c:pt>
                <c:pt idx="2">
                  <c:v>SG 4</c:v>
                </c:pt>
                <c:pt idx="3">
                  <c:v>SG 5</c:v>
                </c:pt>
                <c:pt idx="4">
                  <c:v>SG 6</c:v>
                </c:pt>
                <c:pt idx="5">
                  <c:v>SG 7</c:v>
                </c:pt>
              </c:strCache>
            </c:strRef>
          </c:cat>
          <c:val>
            <c:numRef>
              <c:f>Sheet2!$D$29:$D$34</c:f>
              <c:numCache>
                <c:formatCode>General</c:formatCode>
                <c:ptCount val="6"/>
                <c:pt idx="0">
                  <c:v>694</c:v>
                </c:pt>
                <c:pt idx="1">
                  <c:v>737</c:v>
                </c:pt>
                <c:pt idx="2">
                  <c:v>908</c:v>
                </c:pt>
                <c:pt idx="3">
                  <c:v>2300</c:v>
                </c:pt>
                <c:pt idx="4">
                  <c:v>989</c:v>
                </c:pt>
                <c:pt idx="5">
                  <c:v>655</c:v>
                </c:pt>
              </c:numCache>
            </c:numRef>
          </c:val>
          <c:extLst>
            <c:ext xmlns:c16="http://schemas.microsoft.com/office/drawing/2014/chart" uri="{C3380CC4-5D6E-409C-BE32-E72D297353CC}">
              <c16:uniqueId val="{00000002-1546-4EEF-B5EE-04C50B2189A7}"/>
            </c:ext>
          </c:extLst>
        </c:ser>
        <c:ser>
          <c:idx val="3"/>
          <c:order val="3"/>
          <c:tx>
            <c:strRef>
              <c:f>Sheet2!$E$28</c:f>
              <c:strCache>
                <c:ptCount val="1"/>
                <c:pt idx="0">
                  <c:v>2019-2023 (WRC-23)</c:v>
                </c:pt>
              </c:strCache>
            </c:strRef>
          </c:tx>
          <c:spPr>
            <a:solidFill>
              <a:schemeClr val="accent4"/>
            </a:solidFill>
            <a:ln>
              <a:noFill/>
            </a:ln>
            <a:effectLst/>
          </c:spPr>
          <c:invertIfNegative val="0"/>
          <c:cat>
            <c:strRef>
              <c:f>Sheet2!$A$29:$A$34</c:f>
              <c:strCache>
                <c:ptCount val="6"/>
                <c:pt idx="0">
                  <c:v>SG 1</c:v>
                </c:pt>
                <c:pt idx="1">
                  <c:v>SG 3</c:v>
                </c:pt>
                <c:pt idx="2">
                  <c:v>SG 4</c:v>
                </c:pt>
                <c:pt idx="3">
                  <c:v>SG 5</c:v>
                </c:pt>
                <c:pt idx="4">
                  <c:v>SG 6</c:v>
                </c:pt>
                <c:pt idx="5">
                  <c:v>SG 7</c:v>
                </c:pt>
              </c:strCache>
            </c:strRef>
          </c:cat>
          <c:val>
            <c:numRef>
              <c:f>Sheet2!$E$29:$E$34</c:f>
              <c:numCache>
                <c:formatCode>General</c:formatCode>
                <c:ptCount val="6"/>
                <c:pt idx="0">
                  <c:v>391</c:v>
                </c:pt>
                <c:pt idx="1">
                  <c:v>676</c:v>
                </c:pt>
                <c:pt idx="2">
                  <c:v>938</c:v>
                </c:pt>
                <c:pt idx="3">
                  <c:v>2771</c:v>
                </c:pt>
                <c:pt idx="4">
                  <c:v>694</c:v>
                </c:pt>
                <c:pt idx="5">
                  <c:v>627</c:v>
                </c:pt>
              </c:numCache>
            </c:numRef>
          </c:val>
          <c:extLst>
            <c:ext xmlns:c16="http://schemas.microsoft.com/office/drawing/2014/chart" uri="{C3380CC4-5D6E-409C-BE32-E72D297353CC}">
              <c16:uniqueId val="{00000003-1546-4EEF-B5EE-04C50B2189A7}"/>
            </c:ext>
          </c:extLst>
        </c:ser>
        <c:ser>
          <c:idx val="4"/>
          <c:order val="4"/>
          <c:tx>
            <c:strRef>
              <c:f>Sheet2!$F$28</c:f>
              <c:strCache>
                <c:ptCount val="1"/>
                <c:pt idx="0">
                  <c:v>2023-2027 (WRC-27)</c:v>
                </c:pt>
              </c:strCache>
            </c:strRef>
          </c:tx>
          <c:spPr>
            <a:solidFill>
              <a:schemeClr val="accent5"/>
            </a:solidFill>
            <a:ln>
              <a:noFill/>
            </a:ln>
            <a:effectLst/>
          </c:spPr>
          <c:invertIfNegative val="0"/>
          <c:cat>
            <c:strRef>
              <c:f>Sheet2!$A$29:$A$34</c:f>
              <c:strCache>
                <c:ptCount val="6"/>
                <c:pt idx="0">
                  <c:v>SG 1</c:v>
                </c:pt>
                <c:pt idx="1">
                  <c:v>SG 3</c:v>
                </c:pt>
                <c:pt idx="2">
                  <c:v>SG 4</c:v>
                </c:pt>
                <c:pt idx="3">
                  <c:v>SG 5</c:v>
                </c:pt>
                <c:pt idx="4">
                  <c:v>SG 6</c:v>
                </c:pt>
                <c:pt idx="5">
                  <c:v>SG 7</c:v>
                </c:pt>
              </c:strCache>
            </c:strRef>
          </c:cat>
          <c:val>
            <c:numRef>
              <c:f>Sheet2!$F$29:$F$34</c:f>
              <c:numCache>
                <c:formatCode>General</c:formatCode>
                <c:ptCount val="6"/>
                <c:pt idx="0">
                  <c:v>267</c:v>
                </c:pt>
                <c:pt idx="1">
                  <c:v>688</c:v>
                </c:pt>
                <c:pt idx="2">
                  <c:v>1588</c:v>
                </c:pt>
                <c:pt idx="3">
                  <c:v>2138</c:v>
                </c:pt>
                <c:pt idx="4">
                  <c:v>614</c:v>
                </c:pt>
                <c:pt idx="5">
                  <c:v>820</c:v>
                </c:pt>
              </c:numCache>
            </c:numRef>
          </c:val>
          <c:extLst>
            <c:ext xmlns:c16="http://schemas.microsoft.com/office/drawing/2014/chart" uri="{C3380CC4-5D6E-409C-BE32-E72D297353CC}">
              <c16:uniqueId val="{00000004-1546-4EEF-B5EE-04C50B2189A7}"/>
            </c:ext>
          </c:extLst>
        </c:ser>
        <c:dLbls>
          <c:showLegendKey val="0"/>
          <c:showVal val="0"/>
          <c:showCatName val="0"/>
          <c:showSerName val="0"/>
          <c:showPercent val="0"/>
          <c:showBubbleSize val="0"/>
        </c:dLbls>
        <c:gapWidth val="219"/>
        <c:axId val="1270705583"/>
        <c:axId val="1270703919"/>
      </c:barChart>
      <c:catAx>
        <c:axId val="12707055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0703919"/>
        <c:crosses val="autoZero"/>
        <c:auto val="1"/>
        <c:lblAlgn val="ctr"/>
        <c:lblOffset val="100"/>
        <c:noMultiLvlLbl val="0"/>
      </c:catAx>
      <c:valAx>
        <c:axId val="12707039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07055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Sheet2!$B$46</c:f>
              <c:strCache>
                <c:ptCount val="1"/>
                <c:pt idx="0">
                  <c:v>2007-2012 (WRC-12)</c:v>
                </c:pt>
              </c:strCache>
            </c:strRef>
          </c:tx>
          <c:spPr>
            <a:solidFill>
              <a:schemeClr val="accent1"/>
            </a:solidFill>
            <a:ln>
              <a:noFill/>
            </a:ln>
            <a:effectLst/>
          </c:spPr>
          <c:invertIfNegative val="0"/>
          <c:cat>
            <c:strRef>
              <c:f>Sheet2!$A$47:$A$52</c:f>
              <c:strCache>
                <c:ptCount val="6"/>
                <c:pt idx="0">
                  <c:v>SG 1</c:v>
                </c:pt>
                <c:pt idx="1">
                  <c:v>SG 3</c:v>
                </c:pt>
                <c:pt idx="2">
                  <c:v>SG 4</c:v>
                </c:pt>
                <c:pt idx="3">
                  <c:v>SG 5</c:v>
                </c:pt>
                <c:pt idx="4">
                  <c:v>SG 6</c:v>
                </c:pt>
                <c:pt idx="5">
                  <c:v>SG 7</c:v>
                </c:pt>
              </c:strCache>
            </c:strRef>
          </c:cat>
          <c:val>
            <c:numRef>
              <c:f>Sheet2!$B$47:$B$52</c:f>
              <c:numCache>
                <c:formatCode>General</c:formatCode>
                <c:ptCount val="6"/>
                <c:pt idx="0">
                  <c:v>16</c:v>
                </c:pt>
                <c:pt idx="1">
                  <c:v>7</c:v>
                </c:pt>
                <c:pt idx="2">
                  <c:v>28</c:v>
                </c:pt>
                <c:pt idx="3">
                  <c:v>51</c:v>
                </c:pt>
                <c:pt idx="4">
                  <c:v>19</c:v>
                </c:pt>
                <c:pt idx="5">
                  <c:v>20</c:v>
                </c:pt>
              </c:numCache>
            </c:numRef>
          </c:val>
          <c:extLst>
            <c:ext xmlns:c16="http://schemas.microsoft.com/office/drawing/2014/chart" uri="{C3380CC4-5D6E-409C-BE32-E72D297353CC}">
              <c16:uniqueId val="{00000000-C8C7-49BC-A711-1ED08CB16851}"/>
            </c:ext>
          </c:extLst>
        </c:ser>
        <c:ser>
          <c:idx val="1"/>
          <c:order val="1"/>
          <c:tx>
            <c:strRef>
              <c:f>Sheet2!$C$46</c:f>
              <c:strCache>
                <c:ptCount val="1"/>
                <c:pt idx="0">
                  <c:v>2012-2015 (WRC-15)</c:v>
                </c:pt>
              </c:strCache>
            </c:strRef>
          </c:tx>
          <c:spPr>
            <a:solidFill>
              <a:schemeClr val="accent2"/>
            </a:solidFill>
            <a:ln>
              <a:noFill/>
            </a:ln>
            <a:effectLst/>
          </c:spPr>
          <c:invertIfNegative val="0"/>
          <c:cat>
            <c:strRef>
              <c:f>Sheet2!$A$47:$A$52</c:f>
              <c:strCache>
                <c:ptCount val="6"/>
                <c:pt idx="0">
                  <c:v>SG 1</c:v>
                </c:pt>
                <c:pt idx="1">
                  <c:v>SG 3</c:v>
                </c:pt>
                <c:pt idx="2">
                  <c:v>SG 4</c:v>
                </c:pt>
                <c:pt idx="3">
                  <c:v>SG 5</c:v>
                </c:pt>
                <c:pt idx="4">
                  <c:v>SG 6</c:v>
                </c:pt>
                <c:pt idx="5">
                  <c:v>SG 7</c:v>
                </c:pt>
              </c:strCache>
            </c:strRef>
          </c:cat>
          <c:val>
            <c:numRef>
              <c:f>Sheet2!$C$47:$C$52</c:f>
              <c:numCache>
                <c:formatCode>General</c:formatCode>
                <c:ptCount val="6"/>
                <c:pt idx="0">
                  <c:v>15</c:v>
                </c:pt>
                <c:pt idx="1">
                  <c:v>7</c:v>
                </c:pt>
                <c:pt idx="2">
                  <c:v>25</c:v>
                </c:pt>
                <c:pt idx="3">
                  <c:v>31</c:v>
                </c:pt>
                <c:pt idx="4">
                  <c:v>13</c:v>
                </c:pt>
                <c:pt idx="5">
                  <c:v>20</c:v>
                </c:pt>
              </c:numCache>
            </c:numRef>
          </c:val>
          <c:extLst>
            <c:ext xmlns:c16="http://schemas.microsoft.com/office/drawing/2014/chart" uri="{C3380CC4-5D6E-409C-BE32-E72D297353CC}">
              <c16:uniqueId val="{00000001-C8C7-49BC-A711-1ED08CB16851}"/>
            </c:ext>
          </c:extLst>
        </c:ser>
        <c:ser>
          <c:idx val="2"/>
          <c:order val="2"/>
          <c:tx>
            <c:strRef>
              <c:f>Sheet2!$D$46</c:f>
              <c:strCache>
                <c:ptCount val="1"/>
                <c:pt idx="0">
                  <c:v>2015-2019 (WRC-19)</c:v>
                </c:pt>
              </c:strCache>
            </c:strRef>
          </c:tx>
          <c:spPr>
            <a:solidFill>
              <a:schemeClr val="accent3"/>
            </a:solidFill>
            <a:ln>
              <a:noFill/>
            </a:ln>
            <a:effectLst/>
          </c:spPr>
          <c:invertIfNegative val="0"/>
          <c:cat>
            <c:strRef>
              <c:f>Sheet2!$A$47:$A$52</c:f>
              <c:strCache>
                <c:ptCount val="6"/>
                <c:pt idx="0">
                  <c:v>SG 1</c:v>
                </c:pt>
                <c:pt idx="1">
                  <c:v>SG 3</c:v>
                </c:pt>
                <c:pt idx="2">
                  <c:v>SG 4</c:v>
                </c:pt>
                <c:pt idx="3">
                  <c:v>SG 5</c:v>
                </c:pt>
                <c:pt idx="4">
                  <c:v>SG 6</c:v>
                </c:pt>
                <c:pt idx="5">
                  <c:v>SG 7</c:v>
                </c:pt>
              </c:strCache>
            </c:strRef>
          </c:cat>
          <c:val>
            <c:numRef>
              <c:f>Sheet2!$D$47:$D$52</c:f>
              <c:numCache>
                <c:formatCode>General</c:formatCode>
                <c:ptCount val="6"/>
                <c:pt idx="0">
                  <c:v>13</c:v>
                </c:pt>
                <c:pt idx="1">
                  <c:v>7</c:v>
                </c:pt>
                <c:pt idx="2">
                  <c:v>8</c:v>
                </c:pt>
                <c:pt idx="3">
                  <c:v>14</c:v>
                </c:pt>
                <c:pt idx="4">
                  <c:v>15</c:v>
                </c:pt>
                <c:pt idx="5">
                  <c:v>18</c:v>
                </c:pt>
              </c:numCache>
            </c:numRef>
          </c:val>
          <c:extLst>
            <c:ext xmlns:c16="http://schemas.microsoft.com/office/drawing/2014/chart" uri="{C3380CC4-5D6E-409C-BE32-E72D297353CC}">
              <c16:uniqueId val="{00000002-C8C7-49BC-A711-1ED08CB16851}"/>
            </c:ext>
          </c:extLst>
        </c:ser>
        <c:ser>
          <c:idx val="3"/>
          <c:order val="3"/>
          <c:tx>
            <c:strRef>
              <c:f>Sheet2!$E$46</c:f>
              <c:strCache>
                <c:ptCount val="1"/>
                <c:pt idx="0">
                  <c:v>2019-2023 (WRC-23)</c:v>
                </c:pt>
              </c:strCache>
            </c:strRef>
          </c:tx>
          <c:spPr>
            <a:solidFill>
              <a:schemeClr val="accent4"/>
            </a:solidFill>
            <a:ln>
              <a:noFill/>
            </a:ln>
            <a:effectLst/>
          </c:spPr>
          <c:invertIfNegative val="0"/>
          <c:cat>
            <c:strRef>
              <c:f>Sheet2!$A$47:$A$52</c:f>
              <c:strCache>
                <c:ptCount val="6"/>
                <c:pt idx="0">
                  <c:v>SG 1</c:v>
                </c:pt>
                <c:pt idx="1">
                  <c:v>SG 3</c:v>
                </c:pt>
                <c:pt idx="2">
                  <c:v>SG 4</c:v>
                </c:pt>
                <c:pt idx="3">
                  <c:v>SG 5</c:v>
                </c:pt>
                <c:pt idx="4">
                  <c:v>SG 6</c:v>
                </c:pt>
                <c:pt idx="5">
                  <c:v>SG 7</c:v>
                </c:pt>
              </c:strCache>
            </c:strRef>
          </c:cat>
          <c:val>
            <c:numRef>
              <c:f>Sheet2!$E$47:$E$52</c:f>
              <c:numCache>
                <c:formatCode>General</c:formatCode>
                <c:ptCount val="6"/>
                <c:pt idx="0">
                  <c:v>10</c:v>
                </c:pt>
                <c:pt idx="1">
                  <c:v>6</c:v>
                </c:pt>
                <c:pt idx="2">
                  <c:v>2</c:v>
                </c:pt>
                <c:pt idx="3">
                  <c:v>10</c:v>
                </c:pt>
                <c:pt idx="4">
                  <c:v>15</c:v>
                </c:pt>
                <c:pt idx="5">
                  <c:v>8</c:v>
                </c:pt>
              </c:numCache>
            </c:numRef>
          </c:val>
          <c:extLst>
            <c:ext xmlns:c16="http://schemas.microsoft.com/office/drawing/2014/chart" uri="{C3380CC4-5D6E-409C-BE32-E72D297353CC}">
              <c16:uniqueId val="{00000003-C8C7-49BC-A711-1ED08CB16851}"/>
            </c:ext>
          </c:extLst>
        </c:ser>
        <c:ser>
          <c:idx val="4"/>
          <c:order val="4"/>
          <c:tx>
            <c:strRef>
              <c:f>Sheet2!$F$46</c:f>
              <c:strCache>
                <c:ptCount val="1"/>
                <c:pt idx="0">
                  <c:v>2023-2027 (WRC-27)</c:v>
                </c:pt>
              </c:strCache>
            </c:strRef>
          </c:tx>
          <c:spPr>
            <a:solidFill>
              <a:schemeClr val="accent5"/>
            </a:solidFill>
            <a:ln>
              <a:noFill/>
            </a:ln>
            <a:effectLst/>
          </c:spPr>
          <c:invertIfNegative val="0"/>
          <c:cat>
            <c:strRef>
              <c:f>Sheet2!$A$47:$A$52</c:f>
              <c:strCache>
                <c:ptCount val="6"/>
                <c:pt idx="0">
                  <c:v>SG 1</c:v>
                </c:pt>
                <c:pt idx="1">
                  <c:v>SG 3</c:v>
                </c:pt>
                <c:pt idx="2">
                  <c:v>SG 4</c:v>
                </c:pt>
                <c:pt idx="3">
                  <c:v>SG 5</c:v>
                </c:pt>
                <c:pt idx="4">
                  <c:v>SG 6</c:v>
                </c:pt>
                <c:pt idx="5">
                  <c:v>SG 7</c:v>
                </c:pt>
              </c:strCache>
            </c:strRef>
          </c:cat>
          <c:val>
            <c:numRef>
              <c:f>Sheet2!$F$47:$F$52</c:f>
              <c:numCache>
                <c:formatCode>General</c:formatCode>
                <c:ptCount val="6"/>
                <c:pt idx="0">
                  <c:v>12</c:v>
                </c:pt>
                <c:pt idx="1">
                  <c:v>22</c:v>
                </c:pt>
                <c:pt idx="2">
                  <c:v>5</c:v>
                </c:pt>
                <c:pt idx="4">
                  <c:v>37</c:v>
                </c:pt>
                <c:pt idx="5">
                  <c:v>1</c:v>
                </c:pt>
              </c:numCache>
            </c:numRef>
          </c:val>
          <c:extLst>
            <c:ext xmlns:c16="http://schemas.microsoft.com/office/drawing/2014/chart" uri="{C3380CC4-5D6E-409C-BE32-E72D297353CC}">
              <c16:uniqueId val="{00000004-C8C7-49BC-A711-1ED08CB16851}"/>
            </c:ext>
          </c:extLst>
        </c:ser>
        <c:dLbls>
          <c:showLegendKey val="0"/>
          <c:showVal val="0"/>
          <c:showCatName val="0"/>
          <c:showSerName val="0"/>
          <c:showPercent val="0"/>
          <c:showBubbleSize val="0"/>
        </c:dLbls>
        <c:gapWidth val="219"/>
        <c:overlap val="-27"/>
        <c:axId val="1256176463"/>
        <c:axId val="1256163567"/>
      </c:barChart>
      <c:catAx>
        <c:axId val="1256176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6163567"/>
        <c:crosses val="autoZero"/>
        <c:auto val="1"/>
        <c:lblAlgn val="ctr"/>
        <c:lblOffset val="100"/>
        <c:noMultiLvlLbl val="0"/>
      </c:catAx>
      <c:valAx>
        <c:axId val="12561635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61764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c:v>
                </c:pt>
              </c:strCache>
            </c:strRef>
          </c:tx>
          <c:spPr>
            <a:solidFill>
              <a:schemeClr val="accent1"/>
            </a:solidFill>
            <a:ln>
              <a:noFill/>
            </a:ln>
            <a:effectLst/>
          </c:spPr>
          <c:invertIfNegative val="0"/>
          <c:dPt>
            <c:idx val="4"/>
            <c:invertIfNegative val="0"/>
            <c:bubble3D val="0"/>
            <c:spPr>
              <a:solidFill>
                <a:srgbClr val="B85410"/>
              </a:solidFill>
              <a:ln>
                <a:noFill/>
              </a:ln>
              <a:effectLst/>
            </c:spPr>
            <c:extLst>
              <c:ext xmlns:c16="http://schemas.microsoft.com/office/drawing/2014/chart" uri="{C3380CC4-5D6E-409C-BE32-E72D297353CC}">
                <c16:uniqueId val="{00000001-164F-4764-A641-1C477736D3EE}"/>
              </c:ext>
            </c:extLst>
          </c:dPt>
          <c:dPt>
            <c:idx val="5"/>
            <c:invertIfNegative val="0"/>
            <c:bubble3D val="0"/>
            <c:spPr>
              <a:solidFill>
                <a:srgbClr val="ED7D31"/>
              </a:solidFill>
              <a:ln>
                <a:noFill/>
              </a:ln>
              <a:effectLst/>
            </c:spPr>
            <c:extLst>
              <c:ext xmlns:c16="http://schemas.microsoft.com/office/drawing/2014/chart" uri="{C3380CC4-5D6E-409C-BE32-E72D297353CC}">
                <c16:uniqueId val="{00000003-164F-4764-A641-1C477736D3EE}"/>
              </c:ext>
            </c:extLst>
          </c:dPt>
          <c:dPt>
            <c:idx val="6"/>
            <c:invertIfNegative val="0"/>
            <c:bubble3D val="0"/>
            <c:spPr>
              <a:solidFill>
                <a:srgbClr val="ED7D31"/>
              </a:solidFill>
              <a:ln>
                <a:noFill/>
              </a:ln>
              <a:effectLst/>
            </c:spPr>
            <c:extLst>
              <c:ext xmlns:c16="http://schemas.microsoft.com/office/drawing/2014/chart" uri="{C3380CC4-5D6E-409C-BE32-E72D297353CC}">
                <c16:uniqueId val="{00000005-164F-4764-A641-1C477736D3EE}"/>
              </c:ext>
            </c:extLst>
          </c:dPt>
          <c:dPt>
            <c:idx val="7"/>
            <c:invertIfNegative val="0"/>
            <c:bubble3D val="0"/>
            <c:spPr>
              <a:solidFill>
                <a:srgbClr val="ED7D31"/>
              </a:solidFill>
              <a:ln>
                <a:noFill/>
              </a:ln>
              <a:effectLst/>
            </c:spPr>
            <c:extLst>
              <c:ext xmlns:c16="http://schemas.microsoft.com/office/drawing/2014/chart" uri="{C3380CC4-5D6E-409C-BE32-E72D297353CC}">
                <c16:uniqueId val="{00000007-164F-4764-A641-1C477736D3EE}"/>
              </c:ext>
            </c:extLst>
          </c:dPt>
          <c:dPt>
            <c:idx val="8"/>
            <c:invertIfNegative val="0"/>
            <c:bubble3D val="0"/>
            <c:spPr>
              <a:solidFill>
                <a:srgbClr val="ED7D31"/>
              </a:solidFill>
              <a:ln>
                <a:noFill/>
              </a:ln>
              <a:effectLst/>
            </c:spPr>
            <c:extLst>
              <c:ext xmlns:c16="http://schemas.microsoft.com/office/drawing/2014/chart" uri="{C3380CC4-5D6E-409C-BE32-E72D297353CC}">
                <c16:uniqueId val="{00000009-164F-4764-A641-1C477736D3EE}"/>
              </c:ext>
            </c:extLst>
          </c:dPt>
          <c:dPt>
            <c:idx val="9"/>
            <c:invertIfNegative val="0"/>
            <c:bubble3D val="0"/>
            <c:spPr>
              <a:solidFill>
                <a:srgbClr val="00823B"/>
              </a:solidFill>
              <a:ln>
                <a:noFill/>
              </a:ln>
              <a:effectLst/>
            </c:spPr>
            <c:extLst>
              <c:ext xmlns:c16="http://schemas.microsoft.com/office/drawing/2014/chart" uri="{C3380CC4-5D6E-409C-BE32-E72D297353CC}">
                <c16:uniqueId val="{0000000B-164F-4764-A641-1C477736D3EE}"/>
              </c:ext>
            </c:extLst>
          </c:dPt>
          <c:dPt>
            <c:idx val="10"/>
            <c:invertIfNegative val="0"/>
            <c:bubble3D val="0"/>
            <c:spPr>
              <a:solidFill>
                <a:srgbClr val="00B050"/>
              </a:solidFill>
              <a:ln>
                <a:noFill/>
              </a:ln>
              <a:effectLst/>
            </c:spPr>
            <c:extLst>
              <c:ext xmlns:c16="http://schemas.microsoft.com/office/drawing/2014/chart" uri="{C3380CC4-5D6E-409C-BE32-E72D297353CC}">
                <c16:uniqueId val="{0000000D-164F-4764-A641-1C477736D3EE}"/>
              </c:ext>
            </c:extLst>
          </c:dPt>
          <c:dPt>
            <c:idx val="11"/>
            <c:invertIfNegative val="0"/>
            <c:bubble3D val="0"/>
            <c:spPr>
              <a:solidFill>
                <a:srgbClr val="00B050"/>
              </a:solidFill>
              <a:ln>
                <a:noFill/>
              </a:ln>
              <a:effectLst/>
            </c:spPr>
            <c:extLst>
              <c:ext xmlns:c16="http://schemas.microsoft.com/office/drawing/2014/chart" uri="{C3380CC4-5D6E-409C-BE32-E72D297353CC}">
                <c16:uniqueId val="{0000000F-164F-4764-A641-1C477736D3EE}"/>
              </c:ext>
            </c:extLst>
          </c:dPt>
          <c:dPt>
            <c:idx val="12"/>
            <c:invertIfNegative val="0"/>
            <c:bubble3D val="0"/>
            <c:spPr>
              <a:solidFill>
                <a:srgbClr val="00B050"/>
              </a:solidFill>
              <a:ln>
                <a:noFill/>
              </a:ln>
              <a:effectLst/>
            </c:spPr>
            <c:extLst>
              <c:ext xmlns:c16="http://schemas.microsoft.com/office/drawing/2014/chart" uri="{C3380CC4-5D6E-409C-BE32-E72D297353CC}">
                <c16:uniqueId val="{00000011-164F-4764-A641-1C477736D3EE}"/>
              </c:ext>
            </c:extLst>
          </c:dPt>
          <c:dPt>
            <c:idx val="13"/>
            <c:invertIfNegative val="0"/>
            <c:bubble3D val="0"/>
            <c:spPr>
              <a:solidFill>
                <a:srgbClr val="532476"/>
              </a:solidFill>
              <a:ln>
                <a:noFill/>
              </a:ln>
              <a:effectLst/>
            </c:spPr>
            <c:extLst>
              <c:ext xmlns:c16="http://schemas.microsoft.com/office/drawing/2014/chart" uri="{C3380CC4-5D6E-409C-BE32-E72D297353CC}">
                <c16:uniqueId val="{00000013-164F-4764-A641-1C477736D3EE}"/>
              </c:ext>
            </c:extLst>
          </c:dPt>
          <c:dPt>
            <c:idx val="14"/>
            <c:invertIfNegative val="0"/>
            <c:bubble3D val="0"/>
            <c:spPr>
              <a:solidFill>
                <a:srgbClr val="7030A0"/>
              </a:solidFill>
              <a:ln>
                <a:noFill/>
              </a:ln>
              <a:effectLst/>
            </c:spPr>
            <c:extLst>
              <c:ext xmlns:c16="http://schemas.microsoft.com/office/drawing/2014/chart" uri="{C3380CC4-5D6E-409C-BE32-E72D297353CC}">
                <c16:uniqueId val="{00000015-164F-4764-A641-1C477736D3EE}"/>
              </c:ext>
            </c:extLst>
          </c:dPt>
          <c:dPt>
            <c:idx val="15"/>
            <c:invertIfNegative val="0"/>
            <c:bubble3D val="0"/>
            <c:spPr>
              <a:solidFill>
                <a:srgbClr val="7030A0"/>
              </a:solidFill>
              <a:ln>
                <a:noFill/>
              </a:ln>
              <a:effectLst/>
            </c:spPr>
            <c:extLst>
              <c:ext xmlns:c16="http://schemas.microsoft.com/office/drawing/2014/chart" uri="{C3380CC4-5D6E-409C-BE32-E72D297353CC}">
                <c16:uniqueId val="{00000017-164F-4764-A641-1C477736D3EE}"/>
              </c:ext>
            </c:extLst>
          </c:dPt>
          <c:dPt>
            <c:idx val="16"/>
            <c:invertIfNegative val="0"/>
            <c:bubble3D val="0"/>
            <c:spPr>
              <a:solidFill>
                <a:srgbClr val="7030A0"/>
              </a:solidFill>
              <a:ln>
                <a:noFill/>
              </a:ln>
              <a:effectLst/>
            </c:spPr>
            <c:extLst>
              <c:ext xmlns:c16="http://schemas.microsoft.com/office/drawing/2014/chart" uri="{C3380CC4-5D6E-409C-BE32-E72D297353CC}">
                <c16:uniqueId val="{00000019-164F-4764-A641-1C477736D3EE}"/>
              </c:ext>
            </c:extLst>
          </c:dPt>
          <c:dPt>
            <c:idx val="17"/>
            <c:invertIfNegative val="0"/>
            <c:bubble3D val="0"/>
            <c:spPr>
              <a:solidFill>
                <a:srgbClr val="7030A0"/>
              </a:solidFill>
              <a:ln>
                <a:noFill/>
              </a:ln>
              <a:effectLst/>
            </c:spPr>
            <c:extLst>
              <c:ext xmlns:c16="http://schemas.microsoft.com/office/drawing/2014/chart" uri="{C3380CC4-5D6E-409C-BE32-E72D297353CC}">
                <c16:uniqueId val="{0000001B-164F-4764-A641-1C477736D3EE}"/>
              </c:ext>
            </c:extLst>
          </c:dPt>
          <c:dPt>
            <c:idx val="18"/>
            <c:invertIfNegative val="0"/>
            <c:bubble3D val="0"/>
            <c:spPr>
              <a:solidFill>
                <a:srgbClr val="A80000"/>
              </a:solidFill>
              <a:ln>
                <a:noFill/>
              </a:ln>
              <a:effectLst/>
            </c:spPr>
            <c:extLst>
              <c:ext xmlns:c16="http://schemas.microsoft.com/office/drawing/2014/chart" uri="{C3380CC4-5D6E-409C-BE32-E72D297353CC}">
                <c16:uniqueId val="{0000001D-164F-4764-A641-1C477736D3EE}"/>
              </c:ext>
            </c:extLst>
          </c:dPt>
          <c:dPt>
            <c:idx val="19"/>
            <c:invertIfNegative val="0"/>
            <c:bubble3D val="0"/>
            <c:spPr>
              <a:solidFill>
                <a:srgbClr val="C00000"/>
              </a:solidFill>
              <a:ln>
                <a:noFill/>
              </a:ln>
              <a:effectLst/>
            </c:spPr>
            <c:extLst>
              <c:ext xmlns:c16="http://schemas.microsoft.com/office/drawing/2014/chart" uri="{C3380CC4-5D6E-409C-BE32-E72D297353CC}">
                <c16:uniqueId val="{0000001F-164F-4764-A641-1C477736D3EE}"/>
              </c:ext>
            </c:extLst>
          </c:dPt>
          <c:dPt>
            <c:idx val="20"/>
            <c:invertIfNegative val="0"/>
            <c:bubble3D val="0"/>
            <c:spPr>
              <a:solidFill>
                <a:srgbClr val="C00000"/>
              </a:solidFill>
              <a:ln>
                <a:noFill/>
              </a:ln>
              <a:effectLst/>
            </c:spPr>
            <c:extLst>
              <c:ext xmlns:c16="http://schemas.microsoft.com/office/drawing/2014/chart" uri="{C3380CC4-5D6E-409C-BE32-E72D297353CC}">
                <c16:uniqueId val="{00000021-164F-4764-A641-1C477736D3EE}"/>
              </c:ext>
            </c:extLst>
          </c:dPt>
          <c:dPt>
            <c:idx val="21"/>
            <c:invertIfNegative val="0"/>
            <c:bubble3D val="0"/>
            <c:spPr>
              <a:solidFill>
                <a:srgbClr val="C00000"/>
              </a:solidFill>
              <a:ln>
                <a:noFill/>
              </a:ln>
              <a:effectLst/>
            </c:spPr>
            <c:extLst>
              <c:ext xmlns:c16="http://schemas.microsoft.com/office/drawing/2014/chart" uri="{C3380CC4-5D6E-409C-BE32-E72D297353CC}">
                <c16:uniqueId val="{00000023-164F-4764-A641-1C477736D3EE}"/>
              </c:ext>
            </c:extLst>
          </c:dPt>
          <c:dPt>
            <c:idx val="22"/>
            <c:invertIfNegative val="0"/>
            <c:bubble3D val="0"/>
            <c:spPr>
              <a:solidFill>
                <a:schemeClr val="bg1">
                  <a:lumMod val="50000"/>
                </a:schemeClr>
              </a:solidFill>
              <a:ln>
                <a:noFill/>
              </a:ln>
              <a:effectLst/>
            </c:spPr>
            <c:extLst>
              <c:ext xmlns:c16="http://schemas.microsoft.com/office/drawing/2014/chart" uri="{C3380CC4-5D6E-409C-BE32-E72D297353CC}">
                <c16:uniqueId val="{00000025-164F-4764-A641-1C477736D3EE}"/>
              </c:ext>
            </c:extLst>
          </c:dPt>
          <c:dPt>
            <c:idx val="23"/>
            <c:invertIfNegative val="0"/>
            <c:bubble3D val="0"/>
            <c:spPr>
              <a:solidFill>
                <a:schemeClr val="bg1">
                  <a:lumMod val="65000"/>
                </a:schemeClr>
              </a:solidFill>
              <a:ln>
                <a:noFill/>
              </a:ln>
              <a:effectLst/>
            </c:spPr>
            <c:extLst>
              <c:ext xmlns:c16="http://schemas.microsoft.com/office/drawing/2014/chart" uri="{C3380CC4-5D6E-409C-BE32-E72D297353CC}">
                <c16:uniqueId val="{00000027-164F-4764-A641-1C477736D3EE}"/>
              </c:ext>
            </c:extLst>
          </c:dPt>
          <c:dPt>
            <c:idx val="24"/>
            <c:invertIfNegative val="0"/>
            <c:bubble3D val="0"/>
            <c:spPr>
              <a:solidFill>
                <a:schemeClr val="bg1">
                  <a:lumMod val="65000"/>
                </a:schemeClr>
              </a:solidFill>
              <a:ln>
                <a:noFill/>
              </a:ln>
              <a:effectLst/>
            </c:spPr>
            <c:extLst>
              <c:ext xmlns:c16="http://schemas.microsoft.com/office/drawing/2014/chart" uri="{C3380CC4-5D6E-409C-BE32-E72D297353CC}">
                <c16:uniqueId val="{00000029-164F-4764-A641-1C477736D3EE}"/>
              </c:ext>
            </c:extLst>
          </c:dPt>
          <c:dPt>
            <c:idx val="25"/>
            <c:invertIfNegative val="0"/>
            <c:bubble3D val="0"/>
            <c:spPr>
              <a:solidFill>
                <a:schemeClr val="bg1">
                  <a:lumMod val="65000"/>
                </a:schemeClr>
              </a:solidFill>
              <a:ln>
                <a:noFill/>
              </a:ln>
              <a:effectLst/>
            </c:spPr>
            <c:extLst>
              <c:ext xmlns:c16="http://schemas.microsoft.com/office/drawing/2014/chart" uri="{C3380CC4-5D6E-409C-BE32-E72D297353CC}">
                <c16:uniqueId val="{0000002B-164F-4764-A641-1C477736D3EE}"/>
              </c:ext>
            </c:extLst>
          </c:dPt>
          <c:dPt>
            <c:idx val="26"/>
            <c:invertIfNegative val="0"/>
            <c:bubble3D val="0"/>
            <c:spPr>
              <a:solidFill>
                <a:schemeClr val="bg1">
                  <a:lumMod val="65000"/>
                </a:schemeClr>
              </a:solidFill>
              <a:ln>
                <a:noFill/>
              </a:ln>
              <a:effectLst/>
            </c:spPr>
            <c:extLst>
              <c:ext xmlns:c16="http://schemas.microsoft.com/office/drawing/2014/chart" uri="{C3380CC4-5D6E-409C-BE32-E72D297353CC}">
                <c16:uniqueId val="{0000002D-164F-4764-A641-1C477736D3EE}"/>
              </c:ext>
            </c:extLst>
          </c:dPt>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Sheet1!$A$2:$A$28</c:f>
              <c:strCache>
                <c:ptCount val="27"/>
                <c:pt idx="0">
                  <c:v>SG 1</c:v>
                </c:pt>
                <c:pt idx="1">
                  <c:v>WP 1A</c:v>
                </c:pt>
                <c:pt idx="2">
                  <c:v>WP 1B</c:v>
                </c:pt>
                <c:pt idx="3">
                  <c:v>WP 1C</c:v>
                </c:pt>
                <c:pt idx="4">
                  <c:v>SG 3</c:v>
                </c:pt>
                <c:pt idx="5">
                  <c:v>WP 3J</c:v>
                </c:pt>
                <c:pt idx="6">
                  <c:v>WP 3K</c:v>
                </c:pt>
                <c:pt idx="7">
                  <c:v>WP 3L</c:v>
                </c:pt>
                <c:pt idx="8">
                  <c:v>WP 3M</c:v>
                </c:pt>
                <c:pt idx="9">
                  <c:v>SG 4</c:v>
                </c:pt>
                <c:pt idx="10">
                  <c:v>WP 4A</c:v>
                </c:pt>
                <c:pt idx="11">
                  <c:v>WP 4B</c:v>
                </c:pt>
                <c:pt idx="12">
                  <c:v>WP 4C</c:v>
                </c:pt>
                <c:pt idx="13">
                  <c:v>SG 5</c:v>
                </c:pt>
                <c:pt idx="14">
                  <c:v>WP 5A</c:v>
                </c:pt>
                <c:pt idx="15">
                  <c:v>WP 5B</c:v>
                </c:pt>
                <c:pt idx="16">
                  <c:v>WP 5C</c:v>
                </c:pt>
                <c:pt idx="17">
                  <c:v>WP 5D</c:v>
                </c:pt>
                <c:pt idx="18">
                  <c:v>SG 6</c:v>
                </c:pt>
                <c:pt idx="19">
                  <c:v>WP 6A</c:v>
                </c:pt>
                <c:pt idx="20">
                  <c:v>WP 6B</c:v>
                </c:pt>
                <c:pt idx="21">
                  <c:v>WP 6C</c:v>
                </c:pt>
                <c:pt idx="22">
                  <c:v>SG 7</c:v>
                </c:pt>
                <c:pt idx="23">
                  <c:v>WP 7A</c:v>
                </c:pt>
                <c:pt idx="24">
                  <c:v>WP 7B</c:v>
                </c:pt>
                <c:pt idx="25">
                  <c:v>WP 7C</c:v>
                </c:pt>
                <c:pt idx="26">
                  <c:v>WP 7D</c:v>
                </c:pt>
              </c:strCache>
            </c:strRef>
          </c:cat>
          <c:val>
            <c:numRef>
              <c:f>Sheet1!$B$2:$B$28</c:f>
              <c:numCache>
                <c:formatCode>General</c:formatCode>
                <c:ptCount val="27"/>
                <c:pt idx="0">
                  <c:v>92</c:v>
                </c:pt>
                <c:pt idx="1">
                  <c:v>89</c:v>
                </c:pt>
                <c:pt idx="2">
                  <c:v>84</c:v>
                </c:pt>
                <c:pt idx="3">
                  <c:v>103</c:v>
                </c:pt>
                <c:pt idx="4">
                  <c:v>57</c:v>
                </c:pt>
                <c:pt idx="5">
                  <c:v>57</c:v>
                </c:pt>
                <c:pt idx="6">
                  <c:v>58</c:v>
                </c:pt>
                <c:pt idx="7">
                  <c:v>56</c:v>
                </c:pt>
                <c:pt idx="8">
                  <c:v>65</c:v>
                </c:pt>
                <c:pt idx="9">
                  <c:v>263</c:v>
                </c:pt>
                <c:pt idx="10">
                  <c:v>422</c:v>
                </c:pt>
                <c:pt idx="11">
                  <c:v>185</c:v>
                </c:pt>
                <c:pt idx="12">
                  <c:v>312</c:v>
                </c:pt>
                <c:pt idx="13">
                  <c:v>144</c:v>
                </c:pt>
                <c:pt idx="14">
                  <c:v>137</c:v>
                </c:pt>
                <c:pt idx="15">
                  <c:v>159</c:v>
                </c:pt>
                <c:pt idx="16">
                  <c:v>108</c:v>
                </c:pt>
                <c:pt idx="17">
                  <c:v>355</c:v>
                </c:pt>
                <c:pt idx="18">
                  <c:v>90</c:v>
                </c:pt>
                <c:pt idx="19">
                  <c:v>90</c:v>
                </c:pt>
                <c:pt idx="20">
                  <c:v>69</c:v>
                </c:pt>
                <c:pt idx="21">
                  <c:v>62</c:v>
                </c:pt>
                <c:pt idx="22">
                  <c:v>93</c:v>
                </c:pt>
                <c:pt idx="23">
                  <c:v>54</c:v>
                </c:pt>
                <c:pt idx="24">
                  <c:v>112</c:v>
                </c:pt>
                <c:pt idx="25">
                  <c:v>116</c:v>
                </c:pt>
                <c:pt idx="26">
                  <c:v>87</c:v>
                </c:pt>
              </c:numCache>
            </c:numRef>
          </c:val>
          <c:extLst>
            <c:ext xmlns:c16="http://schemas.microsoft.com/office/drawing/2014/chart" uri="{C3380CC4-5D6E-409C-BE32-E72D297353CC}">
              <c16:uniqueId val="{0000002E-164F-4764-A641-1C477736D3EE}"/>
            </c:ext>
          </c:extLst>
        </c:ser>
        <c:dLbls>
          <c:dLblPos val="outEnd"/>
          <c:showLegendKey val="0"/>
          <c:showVal val="1"/>
          <c:showCatName val="0"/>
          <c:showSerName val="0"/>
          <c:showPercent val="0"/>
          <c:showBubbleSize val="0"/>
        </c:dLbls>
        <c:gapWidth val="444"/>
        <c:overlap val="-90"/>
        <c:axId val="883584144"/>
        <c:axId val="883574064"/>
      </c:barChart>
      <c:catAx>
        <c:axId val="88358414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cap="all" baseline="0">
                    <a:solidFill>
                      <a:schemeClr val="tx1">
                        <a:lumMod val="65000"/>
                        <a:lumOff val="35000"/>
                      </a:schemeClr>
                    </a:solidFill>
                    <a:latin typeface="+mn-lt"/>
                    <a:ea typeface="+mn-ea"/>
                    <a:cs typeface="+mn-cs"/>
                  </a:defRPr>
                </a:pPr>
                <a:r>
                  <a:rPr lang="en-GB" sz="800" cap="none" dirty="0"/>
                  <a:t>Group</a:t>
                </a:r>
                <a:endParaRPr lang="en-GB" sz="800" dirty="0"/>
              </a:p>
            </c:rich>
          </c:tx>
          <c:overlay val="0"/>
          <c:spPr>
            <a:noFill/>
            <a:ln>
              <a:noFill/>
            </a:ln>
            <a:effectLst/>
          </c:spPr>
          <c:txPr>
            <a:bodyPr rot="0" spcFirstLastPara="1" vertOverflow="ellipsis" vert="horz" wrap="square" anchor="ctr" anchorCtr="1"/>
            <a:lstStyle/>
            <a:p>
              <a:pPr>
                <a:defRPr sz="800" b="0" i="0" u="none" strike="noStrike" kern="1200" cap="all"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500" b="0" i="0" u="none" strike="noStrike" kern="1200" cap="all" spc="120" normalizeH="0" baseline="0">
                <a:solidFill>
                  <a:schemeClr val="tx1">
                    <a:lumMod val="65000"/>
                    <a:lumOff val="35000"/>
                  </a:schemeClr>
                </a:solidFill>
                <a:latin typeface="+mn-lt"/>
                <a:ea typeface="+mn-ea"/>
                <a:cs typeface="+mn-cs"/>
              </a:defRPr>
            </a:pPr>
            <a:endParaRPr lang="en-US"/>
          </a:p>
        </c:txPr>
        <c:crossAx val="883574064"/>
        <c:crosses val="autoZero"/>
        <c:auto val="1"/>
        <c:lblAlgn val="ctr"/>
        <c:lblOffset val="100"/>
        <c:noMultiLvlLbl val="0"/>
      </c:catAx>
      <c:valAx>
        <c:axId val="883574064"/>
        <c:scaling>
          <c:orientation val="minMax"/>
        </c:scaling>
        <c:delete val="1"/>
        <c:axPos val="l"/>
        <c:title>
          <c:tx>
            <c:rich>
              <a:bodyPr rot="-5400000" spcFirstLastPara="1" vertOverflow="ellipsis" vert="horz" wrap="square" anchor="ctr" anchorCtr="1"/>
              <a:lstStyle/>
              <a:p>
                <a:pPr>
                  <a:defRPr sz="800" b="0" i="0" u="none" strike="noStrike" kern="1200" cap="all" baseline="0">
                    <a:solidFill>
                      <a:schemeClr val="tx1">
                        <a:lumMod val="65000"/>
                        <a:lumOff val="35000"/>
                      </a:schemeClr>
                    </a:solidFill>
                    <a:latin typeface="+mn-lt"/>
                    <a:ea typeface="+mn-ea"/>
                    <a:cs typeface="+mn-cs"/>
                  </a:defRPr>
                </a:pPr>
                <a:r>
                  <a:rPr lang="en-GB" sz="800" cap="none" dirty="0"/>
                  <a:t>Number of participants in-person</a:t>
                </a:r>
              </a:p>
            </c:rich>
          </c:tx>
          <c:overlay val="0"/>
          <c:spPr>
            <a:noFill/>
            <a:ln>
              <a:noFill/>
            </a:ln>
            <a:effectLst/>
          </c:spPr>
          <c:txPr>
            <a:bodyPr rot="-5400000" spcFirstLastPara="1" vertOverflow="ellipsis" vert="horz" wrap="square" anchor="ctr" anchorCtr="1"/>
            <a:lstStyle/>
            <a:p>
              <a:pPr>
                <a:defRPr sz="8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88358414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c:v>
                </c:pt>
              </c:strCache>
            </c:strRef>
          </c:tx>
          <c:spPr>
            <a:solidFill>
              <a:schemeClr val="accent1"/>
            </a:solidFill>
            <a:ln>
              <a:noFill/>
            </a:ln>
            <a:effectLst/>
          </c:spPr>
          <c:invertIfNegative val="0"/>
          <c:dPt>
            <c:idx val="4"/>
            <c:invertIfNegative val="0"/>
            <c:bubble3D val="0"/>
            <c:spPr>
              <a:solidFill>
                <a:srgbClr val="B85410"/>
              </a:solidFill>
              <a:ln>
                <a:noFill/>
              </a:ln>
              <a:effectLst/>
            </c:spPr>
            <c:extLst>
              <c:ext xmlns:c16="http://schemas.microsoft.com/office/drawing/2014/chart" uri="{C3380CC4-5D6E-409C-BE32-E72D297353CC}">
                <c16:uniqueId val="{00000001-F23B-4429-8750-123F74029DE9}"/>
              </c:ext>
            </c:extLst>
          </c:dPt>
          <c:dPt>
            <c:idx val="5"/>
            <c:invertIfNegative val="0"/>
            <c:bubble3D val="0"/>
            <c:spPr>
              <a:solidFill>
                <a:srgbClr val="ED7D31"/>
              </a:solidFill>
              <a:ln>
                <a:noFill/>
              </a:ln>
              <a:effectLst/>
            </c:spPr>
            <c:extLst>
              <c:ext xmlns:c16="http://schemas.microsoft.com/office/drawing/2014/chart" uri="{C3380CC4-5D6E-409C-BE32-E72D297353CC}">
                <c16:uniqueId val="{00000003-F23B-4429-8750-123F74029DE9}"/>
              </c:ext>
            </c:extLst>
          </c:dPt>
          <c:dPt>
            <c:idx val="6"/>
            <c:invertIfNegative val="0"/>
            <c:bubble3D val="0"/>
            <c:spPr>
              <a:solidFill>
                <a:srgbClr val="ED7D31"/>
              </a:solidFill>
              <a:ln>
                <a:noFill/>
              </a:ln>
              <a:effectLst/>
            </c:spPr>
            <c:extLst>
              <c:ext xmlns:c16="http://schemas.microsoft.com/office/drawing/2014/chart" uri="{C3380CC4-5D6E-409C-BE32-E72D297353CC}">
                <c16:uniqueId val="{00000005-F23B-4429-8750-123F74029DE9}"/>
              </c:ext>
            </c:extLst>
          </c:dPt>
          <c:dPt>
            <c:idx val="7"/>
            <c:invertIfNegative val="0"/>
            <c:bubble3D val="0"/>
            <c:spPr>
              <a:solidFill>
                <a:srgbClr val="ED7D31"/>
              </a:solidFill>
              <a:ln>
                <a:noFill/>
              </a:ln>
              <a:effectLst/>
            </c:spPr>
            <c:extLst>
              <c:ext xmlns:c16="http://schemas.microsoft.com/office/drawing/2014/chart" uri="{C3380CC4-5D6E-409C-BE32-E72D297353CC}">
                <c16:uniqueId val="{00000007-F23B-4429-8750-123F74029DE9}"/>
              </c:ext>
            </c:extLst>
          </c:dPt>
          <c:dPt>
            <c:idx val="8"/>
            <c:invertIfNegative val="0"/>
            <c:bubble3D val="0"/>
            <c:spPr>
              <a:solidFill>
                <a:srgbClr val="ED7D31"/>
              </a:solidFill>
              <a:ln>
                <a:noFill/>
              </a:ln>
              <a:effectLst/>
            </c:spPr>
            <c:extLst>
              <c:ext xmlns:c16="http://schemas.microsoft.com/office/drawing/2014/chart" uri="{C3380CC4-5D6E-409C-BE32-E72D297353CC}">
                <c16:uniqueId val="{00000009-F23B-4429-8750-123F74029DE9}"/>
              </c:ext>
            </c:extLst>
          </c:dPt>
          <c:dPt>
            <c:idx val="9"/>
            <c:invertIfNegative val="0"/>
            <c:bubble3D val="0"/>
            <c:spPr>
              <a:solidFill>
                <a:srgbClr val="00823B"/>
              </a:solidFill>
              <a:ln>
                <a:noFill/>
              </a:ln>
              <a:effectLst/>
            </c:spPr>
            <c:extLst>
              <c:ext xmlns:c16="http://schemas.microsoft.com/office/drawing/2014/chart" uri="{C3380CC4-5D6E-409C-BE32-E72D297353CC}">
                <c16:uniqueId val="{0000000B-F23B-4429-8750-123F74029DE9}"/>
              </c:ext>
            </c:extLst>
          </c:dPt>
          <c:dPt>
            <c:idx val="10"/>
            <c:invertIfNegative val="0"/>
            <c:bubble3D val="0"/>
            <c:spPr>
              <a:solidFill>
                <a:srgbClr val="00B050"/>
              </a:solidFill>
              <a:ln>
                <a:noFill/>
              </a:ln>
              <a:effectLst/>
            </c:spPr>
            <c:extLst>
              <c:ext xmlns:c16="http://schemas.microsoft.com/office/drawing/2014/chart" uri="{C3380CC4-5D6E-409C-BE32-E72D297353CC}">
                <c16:uniqueId val="{0000000D-F23B-4429-8750-123F74029DE9}"/>
              </c:ext>
            </c:extLst>
          </c:dPt>
          <c:dPt>
            <c:idx val="11"/>
            <c:invertIfNegative val="0"/>
            <c:bubble3D val="0"/>
            <c:spPr>
              <a:solidFill>
                <a:srgbClr val="00B050"/>
              </a:solidFill>
              <a:ln>
                <a:noFill/>
              </a:ln>
              <a:effectLst/>
            </c:spPr>
            <c:extLst>
              <c:ext xmlns:c16="http://schemas.microsoft.com/office/drawing/2014/chart" uri="{C3380CC4-5D6E-409C-BE32-E72D297353CC}">
                <c16:uniqueId val="{0000000F-F23B-4429-8750-123F74029DE9}"/>
              </c:ext>
            </c:extLst>
          </c:dPt>
          <c:dPt>
            <c:idx val="12"/>
            <c:invertIfNegative val="0"/>
            <c:bubble3D val="0"/>
            <c:spPr>
              <a:solidFill>
                <a:srgbClr val="00B050"/>
              </a:solidFill>
              <a:ln>
                <a:noFill/>
              </a:ln>
              <a:effectLst/>
            </c:spPr>
            <c:extLst>
              <c:ext xmlns:c16="http://schemas.microsoft.com/office/drawing/2014/chart" uri="{C3380CC4-5D6E-409C-BE32-E72D297353CC}">
                <c16:uniqueId val="{00000011-F23B-4429-8750-123F74029DE9}"/>
              </c:ext>
            </c:extLst>
          </c:dPt>
          <c:dPt>
            <c:idx val="13"/>
            <c:invertIfNegative val="0"/>
            <c:bubble3D val="0"/>
            <c:spPr>
              <a:solidFill>
                <a:srgbClr val="532476"/>
              </a:solidFill>
              <a:ln>
                <a:noFill/>
              </a:ln>
              <a:effectLst/>
            </c:spPr>
            <c:extLst>
              <c:ext xmlns:c16="http://schemas.microsoft.com/office/drawing/2014/chart" uri="{C3380CC4-5D6E-409C-BE32-E72D297353CC}">
                <c16:uniqueId val="{00000013-F23B-4429-8750-123F74029DE9}"/>
              </c:ext>
            </c:extLst>
          </c:dPt>
          <c:dPt>
            <c:idx val="14"/>
            <c:invertIfNegative val="0"/>
            <c:bubble3D val="0"/>
            <c:spPr>
              <a:solidFill>
                <a:srgbClr val="7030A0"/>
              </a:solidFill>
              <a:ln>
                <a:noFill/>
              </a:ln>
              <a:effectLst/>
            </c:spPr>
            <c:extLst>
              <c:ext xmlns:c16="http://schemas.microsoft.com/office/drawing/2014/chart" uri="{C3380CC4-5D6E-409C-BE32-E72D297353CC}">
                <c16:uniqueId val="{00000015-F23B-4429-8750-123F74029DE9}"/>
              </c:ext>
            </c:extLst>
          </c:dPt>
          <c:dPt>
            <c:idx val="15"/>
            <c:invertIfNegative val="0"/>
            <c:bubble3D val="0"/>
            <c:spPr>
              <a:solidFill>
                <a:srgbClr val="7030A0"/>
              </a:solidFill>
              <a:ln>
                <a:noFill/>
              </a:ln>
              <a:effectLst/>
            </c:spPr>
            <c:extLst>
              <c:ext xmlns:c16="http://schemas.microsoft.com/office/drawing/2014/chart" uri="{C3380CC4-5D6E-409C-BE32-E72D297353CC}">
                <c16:uniqueId val="{00000017-F23B-4429-8750-123F74029DE9}"/>
              </c:ext>
            </c:extLst>
          </c:dPt>
          <c:dPt>
            <c:idx val="16"/>
            <c:invertIfNegative val="0"/>
            <c:bubble3D val="0"/>
            <c:spPr>
              <a:solidFill>
                <a:srgbClr val="7030A0"/>
              </a:solidFill>
              <a:ln>
                <a:noFill/>
              </a:ln>
              <a:effectLst/>
            </c:spPr>
            <c:extLst>
              <c:ext xmlns:c16="http://schemas.microsoft.com/office/drawing/2014/chart" uri="{C3380CC4-5D6E-409C-BE32-E72D297353CC}">
                <c16:uniqueId val="{00000019-F23B-4429-8750-123F74029DE9}"/>
              </c:ext>
            </c:extLst>
          </c:dPt>
          <c:dPt>
            <c:idx val="17"/>
            <c:invertIfNegative val="0"/>
            <c:bubble3D val="0"/>
            <c:spPr>
              <a:solidFill>
                <a:srgbClr val="7030A0"/>
              </a:solidFill>
              <a:ln>
                <a:noFill/>
              </a:ln>
              <a:effectLst/>
            </c:spPr>
            <c:extLst>
              <c:ext xmlns:c16="http://schemas.microsoft.com/office/drawing/2014/chart" uri="{C3380CC4-5D6E-409C-BE32-E72D297353CC}">
                <c16:uniqueId val="{0000001B-F23B-4429-8750-123F74029DE9}"/>
              </c:ext>
            </c:extLst>
          </c:dPt>
          <c:dPt>
            <c:idx val="18"/>
            <c:invertIfNegative val="0"/>
            <c:bubble3D val="0"/>
            <c:spPr>
              <a:solidFill>
                <a:srgbClr val="A80000"/>
              </a:solidFill>
              <a:ln>
                <a:noFill/>
              </a:ln>
              <a:effectLst/>
            </c:spPr>
            <c:extLst>
              <c:ext xmlns:c16="http://schemas.microsoft.com/office/drawing/2014/chart" uri="{C3380CC4-5D6E-409C-BE32-E72D297353CC}">
                <c16:uniqueId val="{0000001D-F23B-4429-8750-123F74029DE9}"/>
              </c:ext>
            </c:extLst>
          </c:dPt>
          <c:dPt>
            <c:idx val="19"/>
            <c:invertIfNegative val="0"/>
            <c:bubble3D val="0"/>
            <c:spPr>
              <a:solidFill>
                <a:srgbClr val="C00000"/>
              </a:solidFill>
              <a:ln>
                <a:noFill/>
              </a:ln>
              <a:effectLst/>
            </c:spPr>
            <c:extLst>
              <c:ext xmlns:c16="http://schemas.microsoft.com/office/drawing/2014/chart" uri="{C3380CC4-5D6E-409C-BE32-E72D297353CC}">
                <c16:uniqueId val="{0000001F-F23B-4429-8750-123F74029DE9}"/>
              </c:ext>
            </c:extLst>
          </c:dPt>
          <c:dPt>
            <c:idx val="20"/>
            <c:invertIfNegative val="0"/>
            <c:bubble3D val="0"/>
            <c:spPr>
              <a:solidFill>
                <a:srgbClr val="C00000"/>
              </a:solidFill>
              <a:ln>
                <a:noFill/>
              </a:ln>
              <a:effectLst/>
            </c:spPr>
            <c:extLst>
              <c:ext xmlns:c16="http://schemas.microsoft.com/office/drawing/2014/chart" uri="{C3380CC4-5D6E-409C-BE32-E72D297353CC}">
                <c16:uniqueId val="{00000021-F23B-4429-8750-123F74029DE9}"/>
              </c:ext>
            </c:extLst>
          </c:dPt>
          <c:dPt>
            <c:idx val="21"/>
            <c:invertIfNegative val="0"/>
            <c:bubble3D val="0"/>
            <c:spPr>
              <a:solidFill>
                <a:srgbClr val="C00000"/>
              </a:solidFill>
              <a:ln>
                <a:noFill/>
              </a:ln>
              <a:effectLst/>
            </c:spPr>
            <c:extLst>
              <c:ext xmlns:c16="http://schemas.microsoft.com/office/drawing/2014/chart" uri="{C3380CC4-5D6E-409C-BE32-E72D297353CC}">
                <c16:uniqueId val="{00000023-F23B-4429-8750-123F74029DE9}"/>
              </c:ext>
            </c:extLst>
          </c:dPt>
          <c:dPt>
            <c:idx val="22"/>
            <c:invertIfNegative val="0"/>
            <c:bubble3D val="0"/>
            <c:spPr>
              <a:solidFill>
                <a:schemeClr val="bg1">
                  <a:lumMod val="50000"/>
                </a:schemeClr>
              </a:solidFill>
              <a:ln>
                <a:noFill/>
              </a:ln>
              <a:effectLst/>
            </c:spPr>
            <c:extLst>
              <c:ext xmlns:c16="http://schemas.microsoft.com/office/drawing/2014/chart" uri="{C3380CC4-5D6E-409C-BE32-E72D297353CC}">
                <c16:uniqueId val="{00000025-F23B-4429-8750-123F74029DE9}"/>
              </c:ext>
            </c:extLst>
          </c:dPt>
          <c:dPt>
            <c:idx val="23"/>
            <c:invertIfNegative val="0"/>
            <c:bubble3D val="0"/>
            <c:spPr>
              <a:solidFill>
                <a:schemeClr val="bg1">
                  <a:lumMod val="65000"/>
                </a:schemeClr>
              </a:solidFill>
              <a:ln>
                <a:noFill/>
              </a:ln>
              <a:effectLst/>
            </c:spPr>
            <c:extLst>
              <c:ext xmlns:c16="http://schemas.microsoft.com/office/drawing/2014/chart" uri="{C3380CC4-5D6E-409C-BE32-E72D297353CC}">
                <c16:uniqueId val="{00000027-F23B-4429-8750-123F74029DE9}"/>
              </c:ext>
            </c:extLst>
          </c:dPt>
          <c:dPt>
            <c:idx val="24"/>
            <c:invertIfNegative val="0"/>
            <c:bubble3D val="0"/>
            <c:spPr>
              <a:solidFill>
                <a:schemeClr val="bg1">
                  <a:lumMod val="65000"/>
                </a:schemeClr>
              </a:solidFill>
              <a:ln>
                <a:noFill/>
              </a:ln>
              <a:effectLst/>
            </c:spPr>
            <c:extLst>
              <c:ext xmlns:c16="http://schemas.microsoft.com/office/drawing/2014/chart" uri="{C3380CC4-5D6E-409C-BE32-E72D297353CC}">
                <c16:uniqueId val="{00000029-F23B-4429-8750-123F74029DE9}"/>
              </c:ext>
            </c:extLst>
          </c:dPt>
          <c:dPt>
            <c:idx val="25"/>
            <c:invertIfNegative val="0"/>
            <c:bubble3D val="0"/>
            <c:spPr>
              <a:solidFill>
                <a:schemeClr val="bg1">
                  <a:lumMod val="65000"/>
                </a:schemeClr>
              </a:solidFill>
              <a:ln>
                <a:noFill/>
              </a:ln>
              <a:effectLst/>
            </c:spPr>
            <c:extLst>
              <c:ext xmlns:c16="http://schemas.microsoft.com/office/drawing/2014/chart" uri="{C3380CC4-5D6E-409C-BE32-E72D297353CC}">
                <c16:uniqueId val="{0000002B-F23B-4429-8750-123F74029DE9}"/>
              </c:ext>
            </c:extLst>
          </c:dPt>
          <c:dPt>
            <c:idx val="26"/>
            <c:invertIfNegative val="0"/>
            <c:bubble3D val="0"/>
            <c:spPr>
              <a:solidFill>
                <a:schemeClr val="bg1">
                  <a:lumMod val="65000"/>
                </a:schemeClr>
              </a:solidFill>
              <a:ln>
                <a:noFill/>
              </a:ln>
              <a:effectLst/>
            </c:spPr>
            <c:extLst>
              <c:ext xmlns:c16="http://schemas.microsoft.com/office/drawing/2014/chart" uri="{C3380CC4-5D6E-409C-BE32-E72D297353CC}">
                <c16:uniqueId val="{0000002D-F23B-4429-8750-123F74029DE9}"/>
              </c:ext>
            </c:extLst>
          </c:dPt>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Sheet1!$A$2:$A$28</c:f>
              <c:strCache>
                <c:ptCount val="27"/>
                <c:pt idx="0">
                  <c:v>SG 1</c:v>
                </c:pt>
                <c:pt idx="1">
                  <c:v>WP 1A</c:v>
                </c:pt>
                <c:pt idx="2">
                  <c:v>WP 1B</c:v>
                </c:pt>
                <c:pt idx="3">
                  <c:v>WP 1C</c:v>
                </c:pt>
                <c:pt idx="4">
                  <c:v>SG 3</c:v>
                </c:pt>
                <c:pt idx="5">
                  <c:v>WP 3J</c:v>
                </c:pt>
                <c:pt idx="6">
                  <c:v>WP 3K</c:v>
                </c:pt>
                <c:pt idx="7">
                  <c:v>WP 3L</c:v>
                </c:pt>
                <c:pt idx="8">
                  <c:v>WP 3M</c:v>
                </c:pt>
                <c:pt idx="9">
                  <c:v>SG 4</c:v>
                </c:pt>
                <c:pt idx="10">
                  <c:v>WP 4A</c:v>
                </c:pt>
                <c:pt idx="11">
                  <c:v>WP 4B</c:v>
                </c:pt>
                <c:pt idx="12">
                  <c:v>WP 4C</c:v>
                </c:pt>
                <c:pt idx="13">
                  <c:v>SG 5</c:v>
                </c:pt>
                <c:pt idx="14">
                  <c:v>WP 5A</c:v>
                </c:pt>
                <c:pt idx="15">
                  <c:v>WP 5B</c:v>
                </c:pt>
                <c:pt idx="16">
                  <c:v>WP 5C</c:v>
                </c:pt>
                <c:pt idx="17">
                  <c:v>WP 5D</c:v>
                </c:pt>
                <c:pt idx="18">
                  <c:v>SG 6</c:v>
                </c:pt>
                <c:pt idx="19">
                  <c:v>WP 6A</c:v>
                </c:pt>
                <c:pt idx="20">
                  <c:v>WP 6B</c:v>
                </c:pt>
                <c:pt idx="21">
                  <c:v>WP 6C</c:v>
                </c:pt>
                <c:pt idx="22">
                  <c:v>SG 7</c:v>
                </c:pt>
                <c:pt idx="23">
                  <c:v>WP 7A</c:v>
                </c:pt>
                <c:pt idx="24">
                  <c:v>WP 7B</c:v>
                </c:pt>
                <c:pt idx="25">
                  <c:v>WP 7C</c:v>
                </c:pt>
                <c:pt idx="26">
                  <c:v>WP 7D</c:v>
                </c:pt>
              </c:strCache>
            </c:strRef>
          </c:cat>
          <c:val>
            <c:numRef>
              <c:f>Sheet1!$B$2:$B$28</c:f>
              <c:numCache>
                <c:formatCode>General</c:formatCode>
                <c:ptCount val="27"/>
                <c:pt idx="0">
                  <c:v>141</c:v>
                </c:pt>
                <c:pt idx="1">
                  <c:v>110</c:v>
                </c:pt>
                <c:pt idx="2">
                  <c:v>93</c:v>
                </c:pt>
                <c:pt idx="3">
                  <c:v>109</c:v>
                </c:pt>
                <c:pt idx="4">
                  <c:v>51</c:v>
                </c:pt>
                <c:pt idx="5">
                  <c:v>57</c:v>
                </c:pt>
                <c:pt idx="6">
                  <c:v>53</c:v>
                </c:pt>
                <c:pt idx="7">
                  <c:v>43</c:v>
                </c:pt>
                <c:pt idx="8">
                  <c:v>54</c:v>
                </c:pt>
                <c:pt idx="9">
                  <c:v>208</c:v>
                </c:pt>
                <c:pt idx="10">
                  <c:v>443</c:v>
                </c:pt>
                <c:pt idx="11">
                  <c:v>206</c:v>
                </c:pt>
                <c:pt idx="12">
                  <c:v>347</c:v>
                </c:pt>
                <c:pt idx="13">
                  <c:v>150</c:v>
                </c:pt>
                <c:pt idx="14">
                  <c:v>179</c:v>
                </c:pt>
                <c:pt idx="15">
                  <c:v>183</c:v>
                </c:pt>
                <c:pt idx="16">
                  <c:v>142</c:v>
                </c:pt>
                <c:pt idx="17">
                  <c:v>307</c:v>
                </c:pt>
                <c:pt idx="18">
                  <c:v>117</c:v>
                </c:pt>
                <c:pt idx="19">
                  <c:v>92</c:v>
                </c:pt>
                <c:pt idx="20">
                  <c:v>67</c:v>
                </c:pt>
                <c:pt idx="21">
                  <c:v>78</c:v>
                </c:pt>
                <c:pt idx="22">
                  <c:v>136</c:v>
                </c:pt>
                <c:pt idx="23">
                  <c:v>108</c:v>
                </c:pt>
                <c:pt idx="24">
                  <c:v>106</c:v>
                </c:pt>
                <c:pt idx="25">
                  <c:v>105</c:v>
                </c:pt>
                <c:pt idx="26">
                  <c:v>85</c:v>
                </c:pt>
              </c:numCache>
            </c:numRef>
          </c:val>
          <c:extLst>
            <c:ext xmlns:c16="http://schemas.microsoft.com/office/drawing/2014/chart" uri="{C3380CC4-5D6E-409C-BE32-E72D297353CC}">
              <c16:uniqueId val="{0000002E-F23B-4429-8750-123F74029DE9}"/>
            </c:ext>
          </c:extLst>
        </c:ser>
        <c:dLbls>
          <c:dLblPos val="outEnd"/>
          <c:showLegendKey val="0"/>
          <c:showVal val="1"/>
          <c:showCatName val="0"/>
          <c:showSerName val="0"/>
          <c:showPercent val="0"/>
          <c:showBubbleSize val="0"/>
        </c:dLbls>
        <c:gapWidth val="444"/>
        <c:overlap val="-90"/>
        <c:axId val="883584144"/>
        <c:axId val="883574064"/>
      </c:barChart>
      <c:catAx>
        <c:axId val="88358414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cap="all" baseline="0">
                    <a:solidFill>
                      <a:schemeClr val="tx1">
                        <a:lumMod val="65000"/>
                        <a:lumOff val="35000"/>
                      </a:schemeClr>
                    </a:solidFill>
                    <a:latin typeface="+mn-lt"/>
                    <a:ea typeface="+mn-ea"/>
                    <a:cs typeface="+mn-cs"/>
                  </a:defRPr>
                </a:pPr>
                <a:r>
                  <a:rPr lang="en-GB" sz="800" cap="none" dirty="0"/>
                  <a:t>Group</a:t>
                </a:r>
                <a:endParaRPr lang="en-GB" sz="800" dirty="0"/>
              </a:p>
            </c:rich>
          </c:tx>
          <c:overlay val="0"/>
          <c:spPr>
            <a:noFill/>
            <a:ln>
              <a:noFill/>
            </a:ln>
            <a:effectLst/>
          </c:spPr>
          <c:txPr>
            <a:bodyPr rot="0" spcFirstLastPara="1" vertOverflow="ellipsis" vert="horz" wrap="square" anchor="ctr" anchorCtr="1"/>
            <a:lstStyle/>
            <a:p>
              <a:pPr>
                <a:defRPr sz="800" b="0" i="0" u="none" strike="noStrike" kern="1200" cap="all"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500" b="0" i="0" u="none" strike="noStrike" kern="1200" cap="all" spc="120" normalizeH="0" baseline="0">
                <a:solidFill>
                  <a:schemeClr val="tx1">
                    <a:lumMod val="65000"/>
                    <a:lumOff val="35000"/>
                  </a:schemeClr>
                </a:solidFill>
                <a:latin typeface="+mn-lt"/>
                <a:ea typeface="+mn-ea"/>
                <a:cs typeface="+mn-cs"/>
              </a:defRPr>
            </a:pPr>
            <a:endParaRPr lang="en-US"/>
          </a:p>
        </c:txPr>
        <c:crossAx val="883574064"/>
        <c:crosses val="autoZero"/>
        <c:auto val="1"/>
        <c:lblAlgn val="ctr"/>
        <c:lblOffset val="100"/>
        <c:noMultiLvlLbl val="0"/>
      </c:catAx>
      <c:valAx>
        <c:axId val="883574064"/>
        <c:scaling>
          <c:orientation val="minMax"/>
        </c:scaling>
        <c:delete val="1"/>
        <c:axPos val="l"/>
        <c:title>
          <c:tx>
            <c:rich>
              <a:bodyPr rot="-5400000" spcFirstLastPara="1" vertOverflow="ellipsis" vert="horz" wrap="square" anchor="ctr" anchorCtr="1"/>
              <a:lstStyle/>
              <a:p>
                <a:pPr>
                  <a:defRPr sz="800" b="0" i="0" u="none" strike="noStrike" kern="1200" cap="all" baseline="0">
                    <a:solidFill>
                      <a:schemeClr val="tx1">
                        <a:lumMod val="65000"/>
                        <a:lumOff val="35000"/>
                      </a:schemeClr>
                    </a:solidFill>
                    <a:latin typeface="+mn-lt"/>
                    <a:ea typeface="+mn-ea"/>
                    <a:cs typeface="+mn-cs"/>
                  </a:defRPr>
                </a:pPr>
                <a:r>
                  <a:rPr lang="en-GB" sz="800" cap="none" dirty="0"/>
                  <a:t>Number of physical participants</a:t>
                </a:r>
              </a:p>
            </c:rich>
          </c:tx>
          <c:overlay val="0"/>
          <c:spPr>
            <a:noFill/>
            <a:ln>
              <a:noFill/>
            </a:ln>
            <a:effectLst/>
          </c:spPr>
          <c:txPr>
            <a:bodyPr rot="-5400000" spcFirstLastPara="1" vertOverflow="ellipsis" vert="horz" wrap="square" anchor="ctr" anchorCtr="1"/>
            <a:lstStyle/>
            <a:p>
              <a:pPr>
                <a:defRPr sz="8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88358414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064"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064"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PF_RAG.dotm</Template>
  <TotalTime>1</TotalTime>
  <Pages>9</Pages>
  <Words>3396</Words>
  <Characters>19360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AMÉLIORER LA STRUCTURE DES COMMISSIONS D'ÉTUDES DES RADIOCOMMUNICATIONS</vt:lpstr>
    </vt:vector>
  </TitlesOfParts>
  <Manager>General Secretariat - Pool</Manager>
  <Company>International Telecommunication Union (ITU)</Company>
  <LinksUpToDate>false</LinksUpToDate>
  <CharactersWithSpaces>22711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GROUPE CONSULTATIF DES RADIOCOMMUNICATIONS</dc:subject>
  <dc:creator>Arabie saoudite (Royaume d'), Bahreïn (Royaume de), Djibouti (République de), Égypte (République arabe d'), Jordanie (Royaume hachémite de), Koweït (État du), Maroc (Royaume du), Tunisie, Émirats arabes unis</dc:creator>
  <cp:keywords>RAG03-1</cp:keywords>
  <dc:description/>
  <cp:lastModifiedBy>Xue, Kun</cp:lastModifiedBy>
  <cp:revision>2</cp:revision>
  <cp:lastPrinted>1999-10-11T14:58:00Z</cp:lastPrinted>
  <dcterms:created xsi:type="dcterms:W3CDTF">2026-03-23T07:42:00Z</dcterms:created>
  <dcterms:modified xsi:type="dcterms:W3CDTF">2026-03-23T07:42:00Z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RAG/77-F</vt:lpwstr>
  </property>
  <property fmtid="{D5CDD505-2E9C-101B-9397-08002B2CF9AE}" pid="3" name="Docdate">
    <vt:lpwstr>16 mars 2026</vt:lpwstr>
  </property>
  <property fmtid="{D5CDD505-2E9C-101B-9397-08002B2CF9AE}" pid="4" name="Docorlang">
    <vt:lpwstr>Original: anglais</vt:lpwstr>
  </property>
  <property fmtid="{D5CDD505-2E9C-101B-9397-08002B2CF9AE}" pid="5" name="Docauthor">
    <vt:lpwstr>Arabie saoudite (Royaume d'), Bahreïn (Royaume de), Djibouti (République de), Égypte (République arabe d'), Jordanie (Royaume hachémite de), Koweït (État du), Maroc (Royaume du), Tunisie, Émirats arabes unis</vt:lpwstr>
  </property>
</Properties>
</file>