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02DC48E8" w14:textId="77777777" w:rsidTr="00EC0BE3">
        <w:trPr>
          <w:cantSplit/>
        </w:trPr>
        <w:tc>
          <w:tcPr>
            <w:tcW w:w="6477" w:type="dxa"/>
            <w:vAlign w:val="center"/>
          </w:tcPr>
          <w:p w14:paraId="3316F81A"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1338BDF6"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6030E5C" wp14:editId="2E4AA5A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559E2C94" w14:textId="77777777" w:rsidTr="00B35BE4">
        <w:trPr>
          <w:cantSplit/>
        </w:trPr>
        <w:tc>
          <w:tcPr>
            <w:tcW w:w="6487" w:type="dxa"/>
            <w:gridSpan w:val="2"/>
            <w:tcBorders>
              <w:bottom w:val="single" w:sz="12" w:space="0" w:color="auto"/>
            </w:tcBorders>
          </w:tcPr>
          <w:p w14:paraId="57E5AB25"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0E3937F" w14:textId="77777777" w:rsidR="0051782D" w:rsidRPr="0051782D" w:rsidRDefault="0051782D" w:rsidP="00B35BE4">
            <w:pPr>
              <w:shd w:val="solid" w:color="FFFFFF" w:fill="FFFFFF"/>
              <w:spacing w:before="0" w:after="48" w:line="240" w:lineRule="atLeast"/>
              <w:rPr>
                <w:sz w:val="22"/>
                <w:szCs w:val="22"/>
                <w:lang w:val="en-US"/>
              </w:rPr>
            </w:pPr>
          </w:p>
        </w:tc>
      </w:tr>
      <w:tr w:rsidR="0051782D" w14:paraId="275B3BA3" w14:textId="77777777" w:rsidTr="00B35BE4">
        <w:trPr>
          <w:cantSplit/>
        </w:trPr>
        <w:tc>
          <w:tcPr>
            <w:tcW w:w="6487" w:type="dxa"/>
            <w:gridSpan w:val="2"/>
            <w:tcBorders>
              <w:top w:val="single" w:sz="12" w:space="0" w:color="auto"/>
            </w:tcBorders>
          </w:tcPr>
          <w:p w14:paraId="30210182"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D43A699" w14:textId="77777777" w:rsidR="0051782D" w:rsidRPr="00710D66" w:rsidRDefault="0051782D" w:rsidP="00B35BE4">
            <w:pPr>
              <w:shd w:val="solid" w:color="FFFFFF" w:fill="FFFFFF"/>
              <w:spacing w:before="0" w:after="48" w:line="240" w:lineRule="atLeast"/>
              <w:rPr>
                <w:lang w:val="en-US"/>
              </w:rPr>
            </w:pPr>
          </w:p>
        </w:tc>
      </w:tr>
      <w:tr w:rsidR="0051782D" w14:paraId="7C033802" w14:textId="77777777" w:rsidTr="00B35BE4">
        <w:trPr>
          <w:cantSplit/>
        </w:trPr>
        <w:tc>
          <w:tcPr>
            <w:tcW w:w="6487" w:type="dxa"/>
            <w:gridSpan w:val="2"/>
            <w:vMerge w:val="restart"/>
          </w:tcPr>
          <w:p w14:paraId="720BA006" w14:textId="77777777" w:rsidR="0051782D" w:rsidRDefault="0051782D" w:rsidP="00B35BE4">
            <w:pPr>
              <w:shd w:val="solid" w:color="FFFFFF" w:fill="FFFFFF"/>
              <w:spacing w:after="240"/>
              <w:rPr>
                <w:sz w:val="20"/>
              </w:rPr>
            </w:pPr>
            <w:bookmarkStart w:id="0" w:name="dnum" w:colFirst="1" w:colLast="1"/>
          </w:p>
        </w:tc>
        <w:tc>
          <w:tcPr>
            <w:tcW w:w="3402" w:type="dxa"/>
          </w:tcPr>
          <w:p w14:paraId="4306EEC8" w14:textId="1C145E38" w:rsidR="0051782D" w:rsidRPr="00885DDD" w:rsidRDefault="00885DDD" w:rsidP="00885DDD">
            <w:pPr>
              <w:shd w:val="solid" w:color="FFFFFF" w:fill="FFFFFF"/>
              <w:spacing w:before="0" w:line="240" w:lineRule="atLeast"/>
              <w:rPr>
                <w:rFonts w:ascii="Verdana" w:hAnsi="Verdana"/>
                <w:sz w:val="20"/>
              </w:rPr>
            </w:pPr>
            <w:r>
              <w:rPr>
                <w:rFonts w:ascii="Verdana" w:hAnsi="Verdana"/>
                <w:b/>
                <w:sz w:val="20"/>
              </w:rPr>
              <w:t>Document RAG/77-E</w:t>
            </w:r>
          </w:p>
        </w:tc>
      </w:tr>
      <w:tr w:rsidR="0051782D" w14:paraId="31FEB137" w14:textId="77777777" w:rsidTr="00B35BE4">
        <w:trPr>
          <w:cantSplit/>
        </w:trPr>
        <w:tc>
          <w:tcPr>
            <w:tcW w:w="6487" w:type="dxa"/>
            <w:gridSpan w:val="2"/>
            <w:vMerge/>
          </w:tcPr>
          <w:p w14:paraId="22889E43" w14:textId="77777777" w:rsidR="0051782D" w:rsidRDefault="0051782D" w:rsidP="00B35BE4">
            <w:pPr>
              <w:spacing w:before="60"/>
              <w:jc w:val="center"/>
              <w:rPr>
                <w:b/>
                <w:smallCaps/>
                <w:sz w:val="32"/>
              </w:rPr>
            </w:pPr>
            <w:bookmarkStart w:id="1" w:name="ddate" w:colFirst="1" w:colLast="1"/>
            <w:bookmarkEnd w:id="0"/>
          </w:p>
        </w:tc>
        <w:tc>
          <w:tcPr>
            <w:tcW w:w="3402" w:type="dxa"/>
          </w:tcPr>
          <w:p w14:paraId="6E2C3BCA" w14:textId="546F4C5B" w:rsidR="0051782D" w:rsidRPr="00885DDD" w:rsidRDefault="00885DDD" w:rsidP="00885DDD">
            <w:pPr>
              <w:shd w:val="solid" w:color="FFFFFF" w:fill="FFFFFF"/>
              <w:spacing w:before="0" w:line="240" w:lineRule="atLeast"/>
              <w:rPr>
                <w:rFonts w:ascii="Verdana" w:hAnsi="Verdana"/>
                <w:sz w:val="20"/>
              </w:rPr>
            </w:pPr>
            <w:r>
              <w:rPr>
                <w:rFonts w:ascii="Verdana" w:hAnsi="Verdana"/>
                <w:b/>
                <w:sz w:val="20"/>
              </w:rPr>
              <w:t>16 March 2026</w:t>
            </w:r>
          </w:p>
        </w:tc>
      </w:tr>
      <w:tr w:rsidR="0051782D" w14:paraId="7500AD2F" w14:textId="77777777" w:rsidTr="00B35BE4">
        <w:trPr>
          <w:cantSplit/>
        </w:trPr>
        <w:tc>
          <w:tcPr>
            <w:tcW w:w="6487" w:type="dxa"/>
            <w:gridSpan w:val="2"/>
            <w:vMerge/>
          </w:tcPr>
          <w:p w14:paraId="12E15623" w14:textId="77777777" w:rsidR="0051782D" w:rsidRDefault="0051782D" w:rsidP="00B35BE4">
            <w:pPr>
              <w:spacing w:before="60"/>
              <w:jc w:val="center"/>
              <w:rPr>
                <w:b/>
                <w:smallCaps/>
                <w:sz w:val="32"/>
              </w:rPr>
            </w:pPr>
            <w:bookmarkStart w:id="2" w:name="dorlang" w:colFirst="1" w:colLast="1"/>
            <w:bookmarkEnd w:id="1"/>
          </w:p>
        </w:tc>
        <w:tc>
          <w:tcPr>
            <w:tcW w:w="3402" w:type="dxa"/>
          </w:tcPr>
          <w:p w14:paraId="69B2374E" w14:textId="4CD119DF" w:rsidR="0051782D" w:rsidRPr="00885DDD" w:rsidRDefault="00885DDD" w:rsidP="00885DDD">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5A0337D2" w14:textId="77777777" w:rsidTr="00B35BE4">
        <w:trPr>
          <w:cantSplit/>
        </w:trPr>
        <w:tc>
          <w:tcPr>
            <w:tcW w:w="9889" w:type="dxa"/>
            <w:gridSpan w:val="3"/>
          </w:tcPr>
          <w:p w14:paraId="3600DBF6" w14:textId="173DC096" w:rsidR="00093C73" w:rsidRDefault="00885DDD" w:rsidP="005B2C58">
            <w:pPr>
              <w:pStyle w:val="Source"/>
            </w:pPr>
            <w:bookmarkStart w:id="3" w:name="dsource" w:colFirst="0" w:colLast="0"/>
            <w:bookmarkEnd w:id="2"/>
            <w:r w:rsidRPr="00885DDD">
              <w:t xml:space="preserve">Saudi Arabia (Kingdom of), Bahrain (Kingdom of), Djibouti (Republic of), Egypt (Arab Republic of), Jordan (Hashemite Kingdom of), Kuwait (State of), </w:t>
            </w:r>
            <w:r w:rsidRPr="00885DDD">
              <w:tab/>
              <w:t>Morocco (Kingdom of), Tunisia, United Arab Emirates</w:t>
            </w:r>
          </w:p>
        </w:tc>
      </w:tr>
      <w:tr w:rsidR="00093C73" w14:paraId="22F7627B" w14:textId="77777777" w:rsidTr="00B35BE4">
        <w:trPr>
          <w:cantSplit/>
        </w:trPr>
        <w:tc>
          <w:tcPr>
            <w:tcW w:w="9889" w:type="dxa"/>
            <w:gridSpan w:val="3"/>
          </w:tcPr>
          <w:p w14:paraId="488149C2" w14:textId="4E444E0F" w:rsidR="00093C73" w:rsidRDefault="00885DDD" w:rsidP="005B2C58">
            <w:pPr>
              <w:pStyle w:val="Title1"/>
            </w:pPr>
            <w:bookmarkStart w:id="4" w:name="dtitle1" w:colFirst="0" w:colLast="0"/>
            <w:bookmarkEnd w:id="3"/>
            <w:r w:rsidRPr="00885DDD">
              <w:t>IMPROVING THE STRUCTURE OF RADIOCOMMUNICATION STUDY GROUPS</w:t>
            </w:r>
          </w:p>
        </w:tc>
      </w:tr>
    </w:tbl>
    <w:bookmarkEnd w:id="4"/>
    <w:p w14:paraId="0F058E6F" w14:textId="01247B90" w:rsidR="00885DDD" w:rsidRDefault="00885DDD" w:rsidP="00885DDD">
      <w:pPr>
        <w:pStyle w:val="Heading1"/>
        <w:rPr>
          <w:lang w:eastAsia="zh-CN"/>
        </w:rPr>
      </w:pPr>
      <w:r w:rsidRPr="00885DDD">
        <w:rPr>
          <w:lang w:eastAsia="zh-CN"/>
        </w:rPr>
        <w:t>1. Introduction</w:t>
      </w:r>
    </w:p>
    <w:p w14:paraId="310F46C7" w14:textId="046AC49E" w:rsidR="00885DDD" w:rsidRDefault="00885DDD" w:rsidP="00885DDD">
      <w:pPr>
        <w:rPr>
          <w:lang w:eastAsia="zh-CN"/>
        </w:rPr>
      </w:pPr>
      <w:r>
        <w:rPr>
          <w:lang w:eastAsia="zh-CN"/>
        </w:rPr>
        <w:t>At its 32nd meeting, the Radiocommunication Advisory Group (RAG) invited ITU-R Study Groups to identify challenges, overlaps, and opportunities for improvement within their current scope of work</w:t>
      </w:r>
      <w:r w:rsidRPr="0042307D">
        <w:rPr>
          <w:color w:val="000000"/>
          <w:szCs w:val="24"/>
          <w:shd w:val="clear" w:color="auto" w:fill="FFFFFF"/>
        </w:rPr>
        <w:t xml:space="preserve"> (see Summary of Conclusions </w:t>
      </w:r>
      <w:hyperlink r:id="rId8" w:history="1">
        <w:r w:rsidRPr="0042307D">
          <w:rPr>
            <w:rStyle w:val="Hyperlink"/>
            <w:szCs w:val="24"/>
            <w:shd w:val="clear" w:color="auto" w:fill="FFFFFF"/>
          </w:rPr>
          <w:t>CA/277</w:t>
        </w:r>
      </w:hyperlink>
      <w:r w:rsidRPr="0042307D">
        <w:rPr>
          <w:color w:val="000000"/>
          <w:szCs w:val="24"/>
          <w:shd w:val="clear" w:color="auto" w:fill="FFFFFF"/>
        </w:rPr>
        <w:t>)</w:t>
      </w:r>
      <w:r>
        <w:rPr>
          <w:lang w:eastAsia="zh-CN"/>
        </w:rPr>
        <w:t>. The aim of this request was to ensure that the ITU-R study framework continues to operate efficiently while supporting the preparation of deliverables for RA-27 and WRC-27, and to assess whether the existing organizational structure remains well suited to address the evolving radiocommunication landscape.</w:t>
      </w:r>
    </w:p>
    <w:p w14:paraId="321B19D5" w14:textId="77777777" w:rsidR="00885DDD" w:rsidRDefault="00885DDD" w:rsidP="00885DDD">
      <w:pPr>
        <w:rPr>
          <w:lang w:eastAsia="zh-CN"/>
        </w:rPr>
      </w:pPr>
      <w:r>
        <w:rPr>
          <w:lang w:eastAsia="zh-CN"/>
        </w:rPr>
        <w:t>In response to this request, the Radiocommunication Bureau (BR) invited the Study Groups to provide feedback on the challenges encountered in conducting their studies, as well as on potential areas where improved coordination or r</w:t>
      </w:r>
      <w:r w:rsidRPr="000931C7">
        <w:rPr>
          <w:lang w:eastAsia="zh-CN"/>
        </w:rPr>
        <w:t>eview of the structure and working</w:t>
      </w:r>
      <w:r>
        <w:rPr>
          <w:lang w:eastAsia="zh-CN"/>
        </w:rPr>
        <w:t xml:space="preserve"> </w:t>
      </w:r>
      <w:r>
        <w:rPr>
          <w:lang w:val="en-US" w:eastAsia="zh-CN"/>
        </w:rPr>
        <w:t xml:space="preserve">method </w:t>
      </w:r>
      <w:r>
        <w:rPr>
          <w:lang w:eastAsia="zh-CN"/>
        </w:rPr>
        <w:t xml:space="preserve">could enhance efficiency. The feedback received from the Study Groups is summarized in </w:t>
      </w:r>
      <w:r>
        <w:t>Annex</w:t>
      </w:r>
      <w:r>
        <w:rPr>
          <w:lang w:eastAsia="zh-CN"/>
        </w:rPr>
        <w:t xml:space="preserve"> 2 to Addendum 1 of the BR Director’s Report to the 33rd meeting of RAG (See </w:t>
      </w:r>
      <w:r w:rsidRPr="008C0879">
        <w:rPr>
          <w:lang w:eastAsia="zh-CN"/>
        </w:rPr>
        <w:t xml:space="preserve">Document </w:t>
      </w:r>
      <w:hyperlink r:id="rId9" w:history="1">
        <w:r w:rsidRPr="008C0879">
          <w:rPr>
            <w:rStyle w:val="Hyperlink"/>
            <w:lang w:eastAsia="zh-CN"/>
          </w:rPr>
          <w:t>RAG/58-E</w:t>
        </w:r>
      </w:hyperlink>
      <w:r>
        <w:rPr>
          <w:lang w:eastAsia="zh-CN"/>
        </w:rPr>
        <w:t xml:space="preserve">), which compiles the inputs provided by the different Study Groups regarding challenges, overlaps, and opportunities for improvement in the current scope of work. </w:t>
      </w:r>
    </w:p>
    <w:p w14:paraId="54BADC8A" w14:textId="77777777" w:rsidR="00885DDD" w:rsidRDefault="00885DDD" w:rsidP="00885DDD">
      <w:pPr>
        <w:rPr>
          <w:lang w:eastAsia="zh-CN"/>
        </w:rPr>
      </w:pPr>
      <w:r>
        <w:rPr>
          <w:lang w:eastAsia="zh-CN"/>
        </w:rPr>
        <w:t xml:space="preserve">As indicated in Annex 2, several Study Groups considered these issues during their meetings and through dedicated contributions. In particular, Study Group 4 and Study Group 5 considered related multi-country input contributions, namely </w:t>
      </w:r>
      <w:hyperlink r:id="rId10" w:history="1">
        <w:r w:rsidRPr="008C0879">
          <w:rPr>
            <w:rStyle w:val="Hyperlink"/>
            <w:lang w:eastAsia="zh-CN"/>
          </w:rPr>
          <w:t>Document 4/47</w:t>
        </w:r>
      </w:hyperlink>
      <w:r>
        <w:rPr>
          <w:lang w:eastAsia="zh-CN"/>
        </w:rPr>
        <w:t xml:space="preserve"> and </w:t>
      </w:r>
      <w:hyperlink r:id="rId11" w:history="1">
        <w:r w:rsidRPr="008C0879">
          <w:rPr>
            <w:rStyle w:val="Hyperlink"/>
            <w:lang w:eastAsia="zh-CN"/>
          </w:rPr>
          <w:t>Document 5/96</w:t>
        </w:r>
      </w:hyperlink>
      <w:r>
        <w:rPr>
          <w:lang w:eastAsia="zh-CN"/>
        </w:rPr>
        <w:t xml:space="preserve">, addressing challenges, overlaps, and potential opportunities for improvement within their respective scopes of work. These discussions highlighted the increasing complexity of studies related to satellite and terrestrial services and the growing need for coordination across different technical domains. </w:t>
      </w:r>
    </w:p>
    <w:p w14:paraId="1FAB8402" w14:textId="77777777" w:rsidR="00885DDD" w:rsidRDefault="00885DDD" w:rsidP="00885DDD">
      <w:pPr>
        <w:rPr>
          <w:lang w:eastAsia="zh-CN"/>
        </w:rPr>
      </w:pPr>
      <w:r>
        <w:rPr>
          <w:lang w:eastAsia="zh-CN"/>
        </w:rPr>
        <w:t xml:space="preserve">Study Group 3 also reviewed issues related to the current Study Group structure, noting that there has been no significant revision to the Study Group structure since 2007 and indicating that a review could therefore be timely </w:t>
      </w:r>
      <w:proofErr w:type="gramStart"/>
      <w:r>
        <w:rPr>
          <w:lang w:eastAsia="zh-CN"/>
        </w:rPr>
        <w:t>in light of</w:t>
      </w:r>
      <w:proofErr w:type="gramEnd"/>
      <w:r>
        <w:rPr>
          <w:lang w:eastAsia="zh-CN"/>
        </w:rPr>
        <w:t xml:space="preserve"> the evolving technological environment. In addition, the discussions referenced the observation that evolving radiocommunication technologies are increasingly pushing traditional service boundaries and requiring a coordinated approach between Study Groups. Study Group 3 further highlighted that its propagation Recommendations (P-series) serve as important inputs to the work of other Study Groups, illustrating the interdependence of studies within ITU-R. </w:t>
      </w:r>
    </w:p>
    <w:p w14:paraId="0789DBB5" w14:textId="11F40D75" w:rsidR="00C2188B" w:rsidRDefault="00885DDD" w:rsidP="00885DDD">
      <w:r w:rsidRPr="00CA4D67">
        <w:rPr>
          <w:lang w:eastAsia="zh-CN"/>
        </w:rPr>
        <w:lastRenderedPageBreak/>
        <w:t xml:space="preserve">Overall, the feedback summarized in Annex 2 indicates that the rapid evolution of radiocommunication technologies and services has expanded the scope, complexity, and interdependence of ITU-R studies, particularly in areas such as satellite communications, terrestrial mobile systems, and emerging network architectures. These developments increasingly span multiple radiocommunication domains and require closer coordination between Study Groups through mechanisms such as liaison statements and exchanges of study results. While this demonstrates the continued relevance and dynamism of ITU-R activities, it has also increased the workload for </w:t>
      </w:r>
      <w:r>
        <w:rPr>
          <w:lang w:eastAsia="zh-CN"/>
        </w:rPr>
        <w:t>some</w:t>
      </w:r>
      <w:r w:rsidRPr="00CA4D67">
        <w:rPr>
          <w:lang w:eastAsia="zh-CN"/>
        </w:rPr>
        <w:t xml:space="preserve"> Study Groups and their Working Parties. Despite these changes in the nature and scale of the work undertaken, </w:t>
      </w:r>
      <w:r>
        <w:t>the</w:t>
      </w:r>
      <w:r w:rsidRPr="00CA4D67">
        <w:rPr>
          <w:lang w:eastAsia="zh-CN"/>
        </w:rPr>
        <w:t xml:space="preserve"> overall ITU-R Study Group structure has remained largely unchanged for more than fifteen years, corresponding to approximately four Radiocommunication Assembly (RA) cycles, raising the question of whether periodic structural review may be beneficial to ensure that the study framework remains aligned with current and future radiocommunication developments.</w:t>
      </w:r>
    </w:p>
    <w:p w14:paraId="5CAE95BD" w14:textId="77777777" w:rsidR="00B82984" w:rsidRPr="00BE10C7" w:rsidRDefault="00B82984" w:rsidP="00B82984">
      <w:pPr>
        <w:pStyle w:val="Heading1"/>
        <w:rPr>
          <w:lang w:eastAsia="zh-CN"/>
        </w:rPr>
      </w:pPr>
      <w:r w:rsidRPr="00BE10C7">
        <w:rPr>
          <w:lang w:eastAsia="zh-CN"/>
        </w:rPr>
        <w:t>2. Discussion</w:t>
      </w:r>
    </w:p>
    <w:p w14:paraId="30B35179" w14:textId="77777777" w:rsidR="00B82984" w:rsidRDefault="00B82984" w:rsidP="00B82984">
      <w:pPr>
        <w:rPr>
          <w:lang w:eastAsia="zh-CN"/>
        </w:rPr>
      </w:pPr>
      <w:r>
        <w:rPr>
          <w:lang w:eastAsia="zh-CN"/>
        </w:rPr>
        <w:t xml:space="preserve">According to Resolution ITU-R 4, the current Study Group structure has evolved through successive Radiocommunication Assemblies </w:t>
      </w:r>
      <w:proofErr w:type="gramStart"/>
      <w:r>
        <w:rPr>
          <w:lang w:eastAsia="zh-CN"/>
        </w:rPr>
        <w:t>in order to</w:t>
      </w:r>
      <w:proofErr w:type="gramEnd"/>
      <w:r>
        <w:rPr>
          <w:lang w:eastAsia="zh-CN"/>
        </w:rPr>
        <w:t xml:space="preserve"> reflect developments in radiocommunication technologies, services, and regulatory requirements. The Radiocommunication Assembly periodically reviews the scope and organization of Study Groups to ensure that the structure remains aligned with the evolving needs of the radiocommunication sector and capable of efficiently supporting the preparation of deliverables for World Radiocommunication Conferences (WRCs).</w:t>
      </w:r>
    </w:p>
    <w:p w14:paraId="6A495251" w14:textId="77777777" w:rsidR="00B82984" w:rsidRDefault="00B82984" w:rsidP="00B82984">
      <w:pPr>
        <w:rPr>
          <w:lang w:eastAsia="zh-CN"/>
        </w:rPr>
      </w:pPr>
      <w:r>
        <w:rPr>
          <w:lang w:eastAsia="zh-CN"/>
        </w:rPr>
        <w:t>As illustrated in Figure 1, several structural adjustments have been introduced over time. These changes included:</w:t>
      </w:r>
    </w:p>
    <w:p w14:paraId="6CEE2E16" w14:textId="4B357B0D" w:rsidR="00F279F5" w:rsidRDefault="00F279F5" w:rsidP="00F279F5">
      <w:pPr>
        <w:pStyle w:val="ListParagraph"/>
        <w:numPr>
          <w:ilvl w:val="0"/>
          <w:numId w:val="12"/>
        </w:numPr>
        <w:rPr>
          <w:lang w:eastAsia="zh-CN"/>
        </w:rPr>
      </w:pPr>
      <w:r>
        <w:rPr>
          <w:lang w:eastAsia="zh-CN"/>
        </w:rPr>
        <w:t xml:space="preserve">the consolidation of study activities </w:t>
      </w:r>
      <w:proofErr w:type="gramStart"/>
      <w:r>
        <w:rPr>
          <w:lang w:eastAsia="zh-CN"/>
        </w:rPr>
        <w:t>in order to</w:t>
      </w:r>
      <w:proofErr w:type="gramEnd"/>
      <w:r>
        <w:rPr>
          <w:lang w:eastAsia="zh-CN"/>
        </w:rPr>
        <w:t xml:space="preserve"> streamline related technical work and improve coordination between closely related topics. An example of this approach was the merging of former Study Groups 10 and 11 into Study Group 6, which consolidated studies related to broadcasting services under a single Study Group and improved coordination of broadcasting-related </w:t>
      </w:r>
      <w:proofErr w:type="gramStart"/>
      <w:r>
        <w:rPr>
          <w:lang w:eastAsia="zh-CN"/>
        </w:rPr>
        <w:t>activities;</w:t>
      </w:r>
      <w:proofErr w:type="gramEnd"/>
    </w:p>
    <w:p w14:paraId="77FF6029" w14:textId="72A4F1CE" w:rsidR="00324B33" w:rsidRDefault="00F279F5" w:rsidP="00F279F5">
      <w:pPr>
        <w:pStyle w:val="ListParagraph"/>
        <w:numPr>
          <w:ilvl w:val="0"/>
          <w:numId w:val="12"/>
        </w:numPr>
        <w:rPr>
          <w:lang w:eastAsia="zh-CN"/>
        </w:rPr>
      </w:pPr>
      <w:r>
        <w:rPr>
          <w:lang w:eastAsia="zh-CN"/>
        </w:rPr>
        <w:t xml:space="preserve">the reassignment of responsibilities among Study Groups, allowing studies to be conducted within the groups best suited to address emerging technical and regulatory issues. This was notably reflected in the removal of Study Groups 8 and 9, where their responsibilities were redistributed through the modification of the scope of Study Group 4 and the establishment of Study Group 5, ensuring a clearer distinction between satellite-related studies and terrestrial </w:t>
      </w:r>
      <w:proofErr w:type="gramStart"/>
      <w:r>
        <w:rPr>
          <w:lang w:eastAsia="zh-CN"/>
        </w:rPr>
        <w:t>services;</w:t>
      </w:r>
      <w:proofErr w:type="gramEnd"/>
    </w:p>
    <w:p w14:paraId="5631AAC1" w14:textId="77777777" w:rsidR="00B82984" w:rsidRDefault="00B82984" w:rsidP="00B82984">
      <w:pPr>
        <w:rPr>
          <w:lang w:eastAsia="zh-CN"/>
        </w:rPr>
      </w:pPr>
      <w:r w:rsidRPr="000931C7">
        <w:rPr>
          <w:lang w:eastAsia="zh-CN"/>
        </w:rPr>
        <w:t>These historical changes also show that improvement of the ITU-R framework may take different forms, including structural changes, clarification of mandates, redistribution of topics, and enhancements to coordination and working methods, depending on the nature of the issue identified.</w:t>
      </w:r>
    </w:p>
    <w:p w14:paraId="3A61A55D" w14:textId="77777777" w:rsidR="006C6253" w:rsidRDefault="006C6253" w:rsidP="00E7590D">
      <w:pPr>
        <w:tabs>
          <w:tab w:val="clear" w:pos="794"/>
          <w:tab w:val="clear" w:pos="1191"/>
          <w:tab w:val="clear" w:pos="1588"/>
          <w:tab w:val="clear" w:pos="1985"/>
        </w:tabs>
        <w:overflowPunct/>
        <w:autoSpaceDE/>
        <w:autoSpaceDN/>
        <w:adjustRightInd/>
        <w:spacing w:before="0"/>
        <w:textAlignment w:val="auto"/>
        <w:rPr>
          <w:sz w:val="22"/>
          <w:szCs w:val="18"/>
          <w:lang w:eastAsia="zh-CN"/>
        </w:rPr>
      </w:pPr>
    </w:p>
    <w:p w14:paraId="2FA742BC" w14:textId="77777777" w:rsidR="006C6253" w:rsidRPr="00342353" w:rsidRDefault="006C6253" w:rsidP="006C6253">
      <w:pPr>
        <w:pStyle w:val="FigureNo"/>
        <w:spacing w:before="0"/>
        <w:rPr>
          <w:sz w:val="24"/>
          <w:szCs w:val="24"/>
        </w:rPr>
      </w:pPr>
      <w:r w:rsidRPr="00342353">
        <w:rPr>
          <w:sz w:val="24"/>
          <w:szCs w:val="24"/>
        </w:rPr>
        <w:lastRenderedPageBreak/>
        <w:t>Figure 1</w:t>
      </w:r>
    </w:p>
    <w:p w14:paraId="3EB7E8C2" w14:textId="77777777" w:rsidR="006C6253" w:rsidRPr="00342353" w:rsidRDefault="006C6253" w:rsidP="006C6253">
      <w:pPr>
        <w:pStyle w:val="Figuretitle"/>
        <w:spacing w:after="0"/>
        <w:rPr>
          <w:sz w:val="24"/>
          <w:szCs w:val="24"/>
        </w:rPr>
      </w:pPr>
      <w:r>
        <w:rPr>
          <w:sz w:val="24"/>
          <w:szCs w:val="24"/>
        </w:rPr>
        <w:t>Historical changes of Study Groups structure over the years</w:t>
      </w:r>
    </w:p>
    <w:p w14:paraId="4EBE6C1F" w14:textId="0C22854E" w:rsidR="00C2188B" w:rsidRDefault="00E7590D" w:rsidP="006C6253">
      <w:pPr>
        <w:tabs>
          <w:tab w:val="clear" w:pos="794"/>
          <w:tab w:val="clear" w:pos="1191"/>
          <w:tab w:val="clear" w:pos="1588"/>
          <w:tab w:val="clear" w:pos="1985"/>
        </w:tabs>
        <w:overflowPunct/>
        <w:autoSpaceDE/>
        <w:autoSpaceDN/>
        <w:adjustRightInd/>
        <w:spacing w:before="0"/>
        <w:jc w:val="center"/>
        <w:textAlignment w:val="auto"/>
        <w:rPr>
          <w:rFonts w:hint="eastAsia"/>
        </w:rPr>
      </w:pPr>
      <w:r>
        <w:rPr>
          <w:noProof/>
          <w:lang w:eastAsia="zh-CN"/>
        </w:rPr>
        <w:drawing>
          <wp:anchor distT="0" distB="0" distL="114300" distR="114300" simplePos="0" relativeHeight="251659264" behindDoc="0" locked="0" layoutInCell="1" allowOverlap="1" wp14:anchorId="15E0E086" wp14:editId="6F124154">
            <wp:simplePos x="0" y="0"/>
            <wp:positionH relativeFrom="margin">
              <wp:posOffset>-68372</wp:posOffset>
            </wp:positionH>
            <wp:positionV relativeFrom="paragraph">
              <wp:posOffset>234899</wp:posOffset>
            </wp:positionV>
            <wp:extent cx="6316498" cy="182880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4898" cy="1839918"/>
                    </a:xfrm>
                    <a:prstGeom prst="rect">
                      <a:avLst/>
                    </a:prstGeom>
                    <a:noFill/>
                  </pic:spPr>
                </pic:pic>
              </a:graphicData>
            </a:graphic>
            <wp14:sizeRelH relativeFrom="page">
              <wp14:pctWidth>0</wp14:pctWidth>
            </wp14:sizeRelH>
            <wp14:sizeRelV relativeFrom="page">
              <wp14:pctHeight>0</wp14:pctHeight>
            </wp14:sizeRelV>
          </wp:anchor>
        </w:drawing>
      </w:r>
      <w:r w:rsidRPr="00342353">
        <w:rPr>
          <w:sz w:val="22"/>
          <w:szCs w:val="18"/>
          <w:lang w:eastAsia="zh-CN"/>
        </w:rPr>
        <w:t xml:space="preserve">(Data compiled from </w:t>
      </w:r>
      <w:r>
        <w:rPr>
          <w:sz w:val="22"/>
          <w:szCs w:val="18"/>
          <w:lang w:eastAsia="zh-CN"/>
        </w:rPr>
        <w:t>available ITU-R 4 resolution</w:t>
      </w:r>
      <w:r w:rsidR="006C6253">
        <w:rPr>
          <w:rFonts w:hint="eastAsia"/>
          <w:sz w:val="22"/>
          <w:szCs w:val="18"/>
          <w:lang w:eastAsia="zh-CN"/>
        </w:rPr>
        <w:t>)</w:t>
      </w:r>
    </w:p>
    <w:p w14:paraId="365B2132" w14:textId="77777777" w:rsidR="008A0CD8" w:rsidRDefault="008A0CD8" w:rsidP="00B1110A">
      <w:pPr>
        <w:keepNext/>
        <w:rPr>
          <w:lang w:eastAsia="zh-CN"/>
        </w:rPr>
      </w:pPr>
    </w:p>
    <w:p w14:paraId="4030D730" w14:textId="77777777" w:rsidR="008A0CD8" w:rsidRDefault="00FE140F" w:rsidP="008A0CD8">
      <w:pPr>
        <w:keepNext/>
        <w:rPr>
          <w:lang w:eastAsia="zh-CN"/>
        </w:rPr>
      </w:pPr>
      <w:r>
        <w:rPr>
          <w:lang w:eastAsia="zh-CN"/>
        </w:rPr>
        <w:t xml:space="preserve">However, since Res. ITU-R 4-6, the </w:t>
      </w:r>
      <w:r>
        <w:t>Study</w:t>
      </w:r>
      <w:r w:rsidRPr="00365EE8">
        <w:rPr>
          <w:lang w:eastAsia="zh-CN"/>
        </w:rPr>
        <w:t xml:space="preserve"> Groups </w:t>
      </w:r>
      <w:r>
        <w:rPr>
          <w:lang w:eastAsia="zh-CN"/>
        </w:rPr>
        <w:t>structure has remained essentially unchanged, consisting of six Study Groups covering:</w:t>
      </w:r>
    </w:p>
    <w:p w14:paraId="5FB074B8" w14:textId="39B3C246" w:rsidR="00D761AB" w:rsidRDefault="00D761AB" w:rsidP="008A0CD8">
      <w:pPr>
        <w:pStyle w:val="ListParagraph"/>
        <w:keepNext/>
        <w:numPr>
          <w:ilvl w:val="0"/>
          <w:numId w:val="21"/>
        </w:numPr>
        <w:rPr>
          <w:lang w:eastAsia="zh-CN"/>
        </w:rPr>
      </w:pPr>
      <w:r>
        <w:rPr>
          <w:lang w:eastAsia="zh-CN"/>
        </w:rPr>
        <w:t>Spectrum management (SG1)</w:t>
      </w:r>
    </w:p>
    <w:p w14:paraId="0F7AAF8E" w14:textId="77777777" w:rsidR="00D761AB" w:rsidRDefault="00D761AB" w:rsidP="00D761AB">
      <w:pPr>
        <w:pStyle w:val="ListParagraph"/>
        <w:numPr>
          <w:ilvl w:val="0"/>
          <w:numId w:val="13"/>
        </w:numPr>
        <w:jc w:val="lowKashida"/>
        <w:rPr>
          <w:lang w:eastAsia="zh-CN"/>
        </w:rPr>
      </w:pPr>
      <w:r>
        <w:rPr>
          <w:lang w:eastAsia="zh-CN"/>
        </w:rPr>
        <w:t>Propagation (SG3)</w:t>
      </w:r>
    </w:p>
    <w:p w14:paraId="70ADA5F6" w14:textId="77777777" w:rsidR="00D761AB" w:rsidRDefault="00D761AB" w:rsidP="00D761AB">
      <w:pPr>
        <w:pStyle w:val="ListParagraph"/>
        <w:numPr>
          <w:ilvl w:val="0"/>
          <w:numId w:val="13"/>
        </w:numPr>
        <w:jc w:val="lowKashida"/>
        <w:rPr>
          <w:lang w:eastAsia="zh-CN"/>
        </w:rPr>
      </w:pPr>
      <w:r>
        <w:rPr>
          <w:lang w:eastAsia="zh-CN"/>
        </w:rPr>
        <w:t>Satellite services (SG4)</w:t>
      </w:r>
    </w:p>
    <w:p w14:paraId="50C4C43B" w14:textId="77777777" w:rsidR="00D761AB" w:rsidRDefault="00D761AB" w:rsidP="00D761AB">
      <w:pPr>
        <w:pStyle w:val="ListParagraph"/>
        <w:numPr>
          <w:ilvl w:val="0"/>
          <w:numId w:val="13"/>
        </w:numPr>
        <w:jc w:val="lowKashida"/>
        <w:rPr>
          <w:lang w:eastAsia="zh-CN"/>
        </w:rPr>
      </w:pPr>
      <w:r>
        <w:rPr>
          <w:lang w:eastAsia="zh-CN"/>
        </w:rPr>
        <w:t>Terrestrial services (SG5)</w:t>
      </w:r>
    </w:p>
    <w:p w14:paraId="27A8DAA2" w14:textId="77777777" w:rsidR="00D761AB" w:rsidRDefault="00D761AB" w:rsidP="00D761AB">
      <w:pPr>
        <w:pStyle w:val="ListParagraph"/>
        <w:numPr>
          <w:ilvl w:val="0"/>
          <w:numId w:val="13"/>
        </w:numPr>
        <w:jc w:val="lowKashida"/>
        <w:rPr>
          <w:lang w:eastAsia="zh-CN"/>
        </w:rPr>
      </w:pPr>
      <w:r>
        <w:rPr>
          <w:lang w:eastAsia="zh-CN"/>
        </w:rPr>
        <w:t>Broadcasting services (SG6)</w:t>
      </w:r>
    </w:p>
    <w:p w14:paraId="13D85278" w14:textId="77777777" w:rsidR="00D761AB" w:rsidRDefault="00D761AB" w:rsidP="00D761AB">
      <w:pPr>
        <w:pStyle w:val="ListParagraph"/>
        <w:numPr>
          <w:ilvl w:val="0"/>
          <w:numId w:val="13"/>
        </w:numPr>
        <w:jc w:val="lowKashida"/>
        <w:rPr>
          <w:lang w:eastAsia="zh-CN"/>
        </w:rPr>
      </w:pPr>
      <w:r>
        <w:rPr>
          <w:lang w:eastAsia="zh-CN"/>
        </w:rPr>
        <w:t>Science services (SG7)</w:t>
      </w:r>
    </w:p>
    <w:p w14:paraId="001F43DA" w14:textId="77777777" w:rsidR="00501523" w:rsidRDefault="00501523" w:rsidP="00501523">
      <w:pPr>
        <w:rPr>
          <w:lang w:eastAsia="zh-CN"/>
        </w:rPr>
      </w:pPr>
      <w:r>
        <w:rPr>
          <w:lang w:eastAsia="zh-CN"/>
        </w:rPr>
        <w:t>While this long period of structural stability has provided continuity in the activities of the Study Groups, the rapid evolution of radiocommunication technologies and services has significantly changed the nature, complexity, and interdependence of studies undertaken within ITU-R. As new technologies and emerging services continue to develop, additional study topics and responsibilities have been introduced within the existing Study Group framework.</w:t>
      </w:r>
    </w:p>
    <w:p w14:paraId="4A7AB020" w14:textId="77777777" w:rsidR="00501523" w:rsidRDefault="00501523" w:rsidP="00501523">
      <w:pPr>
        <w:rPr>
          <w:lang w:eastAsia="zh-CN"/>
        </w:rPr>
      </w:pPr>
      <w:r w:rsidRPr="008C0879">
        <w:rPr>
          <w:lang w:eastAsia="zh-CN"/>
        </w:rPr>
        <w:t>Figure 2 illustrates an analysis of Study Group meeting documentation across several WRC study cycles, based on a compilation of contributions submitted during the first two years of each cycle. The analysis indicates that a large proportion of contributions is concentrated in a limited number of Study Groups. This trend highlights the uneven distribution of workload across the ITU-R structure and reflects both the growing complexity of certain radiocommunication studies and the increased engagement of administrations and sector members in these areas.</w:t>
      </w:r>
    </w:p>
    <w:p w14:paraId="7A17FBF0" w14:textId="77777777" w:rsidR="00B22781" w:rsidRPr="00342353" w:rsidRDefault="00B22781" w:rsidP="00B22781">
      <w:pPr>
        <w:pStyle w:val="FigureNo"/>
        <w:keepLines w:val="0"/>
        <w:spacing w:before="120"/>
        <w:rPr>
          <w:sz w:val="24"/>
          <w:szCs w:val="24"/>
        </w:rPr>
      </w:pPr>
      <w:r w:rsidRPr="00342353">
        <w:rPr>
          <w:sz w:val="24"/>
          <w:szCs w:val="24"/>
        </w:rPr>
        <w:lastRenderedPageBreak/>
        <w:t xml:space="preserve">Figure </w:t>
      </w:r>
      <w:r>
        <w:rPr>
          <w:sz w:val="24"/>
          <w:szCs w:val="24"/>
        </w:rPr>
        <w:t>2</w:t>
      </w:r>
    </w:p>
    <w:p w14:paraId="05292EE6" w14:textId="77777777" w:rsidR="00B22781" w:rsidRPr="00342353" w:rsidRDefault="00B22781" w:rsidP="00B22781">
      <w:pPr>
        <w:pStyle w:val="Figuretitle"/>
        <w:keepLines w:val="0"/>
        <w:spacing w:after="0"/>
        <w:rPr>
          <w:sz w:val="24"/>
          <w:szCs w:val="24"/>
        </w:rPr>
      </w:pPr>
      <w:r w:rsidRPr="005378CE">
        <w:rPr>
          <w:sz w:val="24"/>
          <w:szCs w:val="24"/>
        </w:rPr>
        <w:t xml:space="preserve">Number of Contributions submitted to </w:t>
      </w:r>
      <w:r>
        <w:rPr>
          <w:sz w:val="24"/>
          <w:szCs w:val="24"/>
        </w:rPr>
        <w:t>ITU-R</w:t>
      </w:r>
      <w:r w:rsidRPr="005378CE">
        <w:rPr>
          <w:sz w:val="24"/>
          <w:szCs w:val="24"/>
        </w:rPr>
        <w:t xml:space="preserve"> Study Groups over different WRC Cycles</w:t>
      </w:r>
    </w:p>
    <w:p w14:paraId="37B3AE39" w14:textId="77777777" w:rsidR="006C1202" w:rsidRDefault="006C1202" w:rsidP="006C1202">
      <w:pPr>
        <w:pStyle w:val="Figuretitle"/>
        <w:spacing w:after="0"/>
        <w:rPr>
          <w:rFonts w:ascii="Times New Roman" w:hAnsi="Times New Roman"/>
          <w:b w:val="0"/>
          <w:sz w:val="22"/>
          <w:szCs w:val="18"/>
          <w:lang w:eastAsia="zh-CN"/>
        </w:rPr>
      </w:pPr>
      <w:r w:rsidRPr="00342353">
        <w:rPr>
          <w:rFonts w:ascii="Times New Roman" w:hAnsi="Times New Roman"/>
          <w:b w:val="0"/>
          <w:sz w:val="22"/>
          <w:szCs w:val="18"/>
          <w:lang w:eastAsia="zh-CN"/>
        </w:rPr>
        <w:t xml:space="preserve">(Data compiled from ITU-R </w:t>
      </w:r>
      <w:r>
        <w:rPr>
          <w:rFonts w:ascii="Times New Roman" w:hAnsi="Times New Roman"/>
          <w:b w:val="0"/>
          <w:sz w:val="22"/>
          <w:szCs w:val="18"/>
          <w:lang w:eastAsia="zh-CN"/>
        </w:rPr>
        <w:t xml:space="preserve">SGs </w:t>
      </w:r>
      <w:r w:rsidRPr="00342353">
        <w:rPr>
          <w:rFonts w:ascii="Times New Roman" w:hAnsi="Times New Roman"/>
          <w:b w:val="0"/>
          <w:sz w:val="22"/>
          <w:szCs w:val="18"/>
          <w:lang w:eastAsia="zh-CN"/>
        </w:rPr>
        <w:t>Webpage)</w:t>
      </w:r>
    </w:p>
    <w:p w14:paraId="40A11E96" w14:textId="7DF82F71" w:rsidR="00501523" w:rsidRDefault="00B1110A">
      <w:pPr>
        <w:tabs>
          <w:tab w:val="clear" w:pos="794"/>
          <w:tab w:val="clear" w:pos="1191"/>
          <w:tab w:val="clear" w:pos="1588"/>
          <w:tab w:val="clear" w:pos="1985"/>
        </w:tabs>
        <w:overflowPunct/>
        <w:autoSpaceDE/>
        <w:autoSpaceDN/>
        <w:adjustRightInd/>
        <w:spacing w:before="0"/>
        <w:textAlignment w:val="auto"/>
        <w:rPr>
          <w:lang w:eastAsia="zh-CN"/>
        </w:rPr>
      </w:pPr>
      <w:r>
        <w:rPr>
          <w:noProof/>
        </w:rPr>
        <w:drawing>
          <wp:inline distT="0" distB="0" distL="0" distR="0" wp14:anchorId="3540F90A" wp14:editId="5E2DC3DA">
            <wp:extent cx="6120765" cy="2009803"/>
            <wp:effectExtent l="0" t="0" r="13335" b="9525"/>
            <wp:docPr id="12" name="Chart 12">
              <a:extLst xmlns:a="http://schemas.openxmlformats.org/drawingml/2006/main">
                <a:ext uri="{FF2B5EF4-FFF2-40B4-BE49-F238E27FC236}">
                  <a16:creationId xmlns:a16="http://schemas.microsoft.com/office/drawing/2014/main" id="{58C60865-3391-4FDF-96D3-F28EBC93B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CEFDA4" w14:textId="77777777" w:rsidR="001A3691" w:rsidRDefault="001A3691" w:rsidP="001A3691">
      <w:pPr>
        <w:keepNext/>
        <w:rPr>
          <w:lang w:eastAsia="zh-CN"/>
        </w:rPr>
      </w:pPr>
      <w:r>
        <w:rPr>
          <w:lang w:eastAsia="zh-CN"/>
        </w:rPr>
        <w:t xml:space="preserve">The data compiled from the </w:t>
      </w:r>
      <w:r>
        <w:t>Study</w:t>
      </w:r>
      <w:r w:rsidRPr="00A4786A">
        <w:rPr>
          <w:lang w:eastAsia="zh-CN"/>
        </w:rPr>
        <w:t xml:space="preserve"> Group</w:t>
      </w:r>
      <w:r>
        <w:rPr>
          <w:lang w:eastAsia="zh-CN"/>
        </w:rPr>
        <w:t>s</w:t>
      </w:r>
      <w:r w:rsidRPr="00A4786A">
        <w:rPr>
          <w:lang w:eastAsia="zh-CN"/>
        </w:rPr>
        <w:t xml:space="preserve"> </w:t>
      </w:r>
      <w:r>
        <w:rPr>
          <w:lang w:eastAsia="zh-CN"/>
        </w:rPr>
        <w:t>document database indicate that:</w:t>
      </w:r>
    </w:p>
    <w:p w14:paraId="40C751D6" w14:textId="743D20E5" w:rsidR="00265B2B" w:rsidRDefault="00265B2B" w:rsidP="00265B2B">
      <w:pPr>
        <w:pStyle w:val="ListParagraph"/>
        <w:keepNext/>
        <w:numPr>
          <w:ilvl w:val="0"/>
          <w:numId w:val="22"/>
        </w:numPr>
        <w:rPr>
          <w:lang w:eastAsia="zh-CN"/>
        </w:rPr>
      </w:pPr>
      <w:r>
        <w:rPr>
          <w:lang w:eastAsia="zh-CN"/>
        </w:rPr>
        <w:t>Study Groups SG4 and SG5 consistently receive the largest number of contributions, reflecting the increasing importance of satellite systems and terrestrial mobile technologies.</w:t>
      </w:r>
    </w:p>
    <w:p w14:paraId="1FAF2240" w14:textId="41C051C0" w:rsidR="00972419" w:rsidRDefault="00265B2B" w:rsidP="00265B2B">
      <w:pPr>
        <w:pStyle w:val="ListParagraph"/>
        <w:keepNext/>
        <w:numPr>
          <w:ilvl w:val="0"/>
          <w:numId w:val="22"/>
        </w:numPr>
        <w:rPr>
          <w:lang w:eastAsia="zh-CN"/>
        </w:rPr>
      </w:pPr>
      <w:r>
        <w:rPr>
          <w:lang w:eastAsia="zh-CN"/>
        </w:rPr>
        <w:t>Other Study Groups such as SG3 and SG7 also maintain substantial levels of activity, and SG1 and SG6 have decreased.</w:t>
      </w:r>
    </w:p>
    <w:p w14:paraId="6DBC57E3" w14:textId="77777777" w:rsidR="001A3691" w:rsidRDefault="001A3691" w:rsidP="001A3691">
      <w:pPr>
        <w:rPr>
          <w:lang w:eastAsia="zh-CN"/>
        </w:rPr>
      </w:pPr>
      <w:r w:rsidRPr="00944ECD">
        <w:rPr>
          <w:lang w:eastAsia="zh-CN"/>
        </w:rPr>
        <w:t>As a result, the Study Group structure has remained largely unchanged over an extended period, while the scope and volume of work have continued to expand. Consequently, the increasing workload has not been redistributed across the Study Groups, leaving the existing groups and their Working Parties responsible for addressing a growing range of technical and regulatory issues. This situation may place considerable pressure on certain Study Groups, particularly given the number and importance of the matters they are required to address, which could ultimately affect the efficiency and timeliness of their outputs.</w:t>
      </w:r>
    </w:p>
    <w:p w14:paraId="6D849DA4" w14:textId="77777777" w:rsidR="001A3691" w:rsidRDefault="001A3691" w:rsidP="001A3691">
      <w:pPr>
        <w:rPr>
          <w:lang w:eastAsia="zh-CN"/>
        </w:rPr>
      </w:pPr>
      <w:r>
        <w:rPr>
          <w:lang w:eastAsia="zh-CN"/>
        </w:rPr>
        <w:t>In some cases, Working Parties must process hundreds of contributions during a single meeting, which places significant pressure on meeting schedules and drafting processes.</w:t>
      </w:r>
    </w:p>
    <w:p w14:paraId="13A0984A" w14:textId="77777777" w:rsidR="001A3691" w:rsidRDefault="001A3691" w:rsidP="001A3691">
      <w:pPr>
        <w:rPr>
          <w:lang w:eastAsia="zh-CN"/>
        </w:rPr>
      </w:pPr>
      <w:r w:rsidRPr="006421B2">
        <w:rPr>
          <w:lang w:eastAsia="zh-CN"/>
        </w:rPr>
        <w:t>This growing volume of contributions can also have implications for the timely preparation of CPM</w:t>
      </w:r>
      <w:r>
        <w:rPr>
          <w:lang w:eastAsia="zh-CN"/>
        </w:rPr>
        <w:t xml:space="preserve"> report</w:t>
      </w:r>
      <w:r w:rsidRPr="006421B2">
        <w:rPr>
          <w:lang w:eastAsia="zh-CN"/>
        </w:rPr>
        <w:t xml:space="preserve">. The preparation of CPM text requires Working Parties to review large numbers of technical contributions, conduct compatibility and sharing studies, and consolidate the results into draft CPM sections within relatively limited meeting time. In some cases, the high number of input documents has made it difficult to fully review and consolidate all relevant material within a single meeting. For example, in </w:t>
      </w:r>
      <w:r>
        <w:rPr>
          <w:lang w:eastAsia="zh-CN"/>
        </w:rPr>
        <w:t>WP</w:t>
      </w:r>
      <w:r w:rsidRPr="006421B2">
        <w:rPr>
          <w:lang w:eastAsia="zh-CN"/>
        </w:rPr>
        <w:t xml:space="preserve"> 4</w:t>
      </w:r>
      <w:r>
        <w:rPr>
          <w:lang w:eastAsia="zh-CN"/>
        </w:rPr>
        <w:t>A</w:t>
      </w:r>
      <w:r w:rsidRPr="006421B2">
        <w:rPr>
          <w:lang w:eastAsia="zh-CN"/>
        </w:rPr>
        <w:t>, which is responsible for several WRC-27 agenda items, the large number of submitted contributions has resulted in situations where certain draft CPM texts and related studies still require further review and consolidation, reflecting the increasing complexity and workload associated with preparing CPM inputs.</w:t>
      </w:r>
    </w:p>
    <w:p w14:paraId="12FEFE2A" w14:textId="77777777" w:rsidR="001A3691" w:rsidRDefault="001A3691" w:rsidP="001A3691">
      <w:pPr>
        <w:rPr>
          <w:lang w:eastAsia="zh-CN"/>
        </w:rPr>
      </w:pPr>
      <w:r>
        <w:rPr>
          <w:lang w:eastAsia="zh-CN"/>
        </w:rPr>
        <w:t>While the number of submitted contributions has increased significantly for some SG, the number of approved texts (Recommendations, Reports, Handbooks, etc.) has remained relatively stable or has decreased only modestly.</w:t>
      </w:r>
    </w:p>
    <w:p w14:paraId="7E2908BB" w14:textId="77777777" w:rsidR="000F0ECF" w:rsidRPr="00342353" w:rsidRDefault="000F0ECF" w:rsidP="000F0ECF">
      <w:pPr>
        <w:pStyle w:val="FigureNo"/>
        <w:spacing w:before="120"/>
        <w:rPr>
          <w:sz w:val="24"/>
          <w:szCs w:val="24"/>
        </w:rPr>
      </w:pPr>
      <w:r w:rsidRPr="00342353">
        <w:rPr>
          <w:sz w:val="24"/>
          <w:szCs w:val="24"/>
        </w:rPr>
        <w:lastRenderedPageBreak/>
        <w:t xml:space="preserve">Figure </w:t>
      </w:r>
      <w:r>
        <w:rPr>
          <w:sz w:val="24"/>
          <w:szCs w:val="24"/>
        </w:rPr>
        <w:t>3</w:t>
      </w:r>
    </w:p>
    <w:p w14:paraId="0740FA47" w14:textId="77777777" w:rsidR="000F0ECF" w:rsidRPr="00342353" w:rsidRDefault="000F0ECF" w:rsidP="000F0ECF">
      <w:pPr>
        <w:pStyle w:val="Figuretitle"/>
        <w:spacing w:after="0"/>
        <w:rPr>
          <w:sz w:val="24"/>
          <w:szCs w:val="24"/>
        </w:rPr>
      </w:pPr>
      <w:r w:rsidRPr="005378CE">
        <w:rPr>
          <w:sz w:val="24"/>
          <w:szCs w:val="24"/>
        </w:rPr>
        <w:t xml:space="preserve">Number of </w:t>
      </w:r>
      <w:r>
        <w:rPr>
          <w:sz w:val="24"/>
          <w:szCs w:val="24"/>
        </w:rPr>
        <w:t>Approved Text</w:t>
      </w:r>
      <w:r w:rsidRPr="005378CE">
        <w:rPr>
          <w:sz w:val="24"/>
          <w:szCs w:val="24"/>
        </w:rPr>
        <w:t xml:space="preserve"> </w:t>
      </w:r>
      <w:r>
        <w:rPr>
          <w:sz w:val="24"/>
          <w:szCs w:val="24"/>
        </w:rPr>
        <w:t xml:space="preserve">By ITU-R </w:t>
      </w:r>
      <w:r w:rsidRPr="005378CE">
        <w:rPr>
          <w:sz w:val="24"/>
          <w:szCs w:val="24"/>
        </w:rPr>
        <w:t>Study Groups over different WRC Cycles</w:t>
      </w:r>
    </w:p>
    <w:p w14:paraId="62CE3182" w14:textId="77777777" w:rsidR="000F0ECF" w:rsidRPr="005378CE" w:rsidRDefault="000F0ECF" w:rsidP="000F0ECF">
      <w:pPr>
        <w:pStyle w:val="Figuretitle"/>
        <w:spacing w:after="0"/>
        <w:rPr>
          <w:rFonts w:ascii="Times New Roman" w:hAnsi="Times New Roman"/>
          <w:b w:val="0"/>
          <w:sz w:val="22"/>
          <w:szCs w:val="18"/>
          <w:lang w:eastAsia="zh-CN"/>
        </w:rPr>
      </w:pPr>
      <w:r w:rsidRPr="00342353">
        <w:rPr>
          <w:rFonts w:ascii="Times New Roman" w:hAnsi="Times New Roman"/>
          <w:b w:val="0"/>
          <w:sz w:val="22"/>
          <w:szCs w:val="18"/>
          <w:lang w:eastAsia="zh-CN"/>
        </w:rPr>
        <w:t>(</w:t>
      </w:r>
      <w:r w:rsidRPr="004C52A4">
        <w:rPr>
          <w:rFonts w:ascii="Times New Roman" w:hAnsi="Times New Roman"/>
          <w:b w:val="0"/>
          <w:sz w:val="22"/>
          <w:szCs w:val="18"/>
          <w:lang w:eastAsia="zh-CN"/>
        </w:rPr>
        <w:t xml:space="preserve">Compiled from Assignment of Texts to </w:t>
      </w:r>
      <w:r>
        <w:rPr>
          <w:rFonts w:ascii="Times New Roman" w:hAnsi="Times New Roman"/>
          <w:b w:val="0"/>
          <w:sz w:val="22"/>
          <w:szCs w:val="18"/>
          <w:lang w:eastAsia="zh-CN"/>
        </w:rPr>
        <w:t xml:space="preserve">ITU-R </w:t>
      </w:r>
      <w:r w:rsidRPr="004C52A4">
        <w:rPr>
          <w:rFonts w:ascii="Times New Roman" w:hAnsi="Times New Roman"/>
          <w:b w:val="0"/>
          <w:sz w:val="22"/>
          <w:szCs w:val="18"/>
          <w:lang w:eastAsia="zh-CN"/>
        </w:rPr>
        <w:t>Study Group</w:t>
      </w:r>
      <w:r w:rsidRPr="00342353">
        <w:rPr>
          <w:rFonts w:ascii="Times New Roman" w:hAnsi="Times New Roman"/>
          <w:b w:val="0"/>
          <w:sz w:val="22"/>
          <w:szCs w:val="18"/>
          <w:lang w:eastAsia="zh-CN"/>
        </w:rPr>
        <w:t>)</w:t>
      </w:r>
    </w:p>
    <w:p w14:paraId="07D8F4B7" w14:textId="744BF0CF" w:rsidR="006C6253" w:rsidRDefault="00681641">
      <w:pPr>
        <w:tabs>
          <w:tab w:val="clear" w:pos="794"/>
          <w:tab w:val="clear" w:pos="1191"/>
          <w:tab w:val="clear" w:pos="1588"/>
          <w:tab w:val="clear" w:pos="1985"/>
        </w:tabs>
        <w:overflowPunct/>
        <w:autoSpaceDE/>
        <w:autoSpaceDN/>
        <w:adjustRightInd/>
        <w:spacing w:before="0"/>
        <w:textAlignment w:val="auto"/>
        <w:rPr>
          <w:lang w:eastAsia="zh-CN"/>
        </w:rPr>
      </w:pPr>
      <w:r>
        <w:rPr>
          <w:noProof/>
        </w:rPr>
        <w:drawing>
          <wp:inline distT="0" distB="0" distL="0" distR="0" wp14:anchorId="20621D5A" wp14:editId="7D765359">
            <wp:extent cx="6120765" cy="2009803"/>
            <wp:effectExtent l="0" t="0" r="13335" b="9525"/>
            <wp:docPr id="4" name="Chart 4">
              <a:extLst xmlns:a="http://schemas.openxmlformats.org/drawingml/2006/main">
                <a:ext uri="{FF2B5EF4-FFF2-40B4-BE49-F238E27FC236}">
                  <a16:creationId xmlns:a16="http://schemas.microsoft.com/office/drawing/2014/main" id="{C3A9DD68-9A74-4D67-80A3-2500654C89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FE8419" w14:textId="77777777" w:rsidR="00EA7929" w:rsidRDefault="00EA7929" w:rsidP="00EA7929">
      <w:pPr>
        <w:rPr>
          <w:lang w:eastAsia="zh-CN"/>
        </w:rPr>
      </w:pPr>
      <w:r w:rsidRPr="0013430E">
        <w:rPr>
          <w:lang w:eastAsia="zh-CN"/>
        </w:rPr>
        <w:t xml:space="preserve">Figure 3 illustrates the analysis of approved texts across several study cycles, based on data compiled for the first two years of each cycle, which </w:t>
      </w:r>
      <w:r>
        <w:rPr>
          <w:lang w:eastAsia="zh-CN"/>
        </w:rPr>
        <w:t>when compared with the volume of contributions, it becomes clear that:</w:t>
      </w:r>
    </w:p>
    <w:p w14:paraId="4E7277CA" w14:textId="77777777" w:rsidR="00230F53" w:rsidRDefault="00230F53" w:rsidP="00230F53">
      <w:pPr>
        <w:pStyle w:val="ListParagraph"/>
        <w:numPr>
          <w:ilvl w:val="0"/>
          <w:numId w:val="15"/>
        </w:numPr>
        <w:jc w:val="lowKashida"/>
        <w:rPr>
          <w:lang w:eastAsia="zh-CN"/>
        </w:rPr>
      </w:pPr>
      <w:r w:rsidRPr="000A6882">
        <w:rPr>
          <w:lang w:eastAsia="zh-CN"/>
        </w:rPr>
        <w:t>A very large number of input documents are required to produce a relatively limited number of final deliverables</w:t>
      </w:r>
      <w:r>
        <w:rPr>
          <w:lang w:eastAsia="zh-CN"/>
        </w:rPr>
        <w:t xml:space="preserve">. For example, as illustrated in Figure 2, Study Group 5 receives several thousand contributions during a study cycle, while the number of approved texts remains comparatively limited, typically in the order of a few hundred outputs. </w:t>
      </w:r>
    </w:p>
    <w:p w14:paraId="186A65B1" w14:textId="77777777" w:rsidR="00230F53" w:rsidRDefault="00230F53" w:rsidP="00230F53">
      <w:pPr>
        <w:pStyle w:val="ListParagraph"/>
        <w:numPr>
          <w:ilvl w:val="0"/>
          <w:numId w:val="15"/>
        </w:numPr>
        <w:jc w:val="lowKashida"/>
        <w:rPr>
          <w:lang w:eastAsia="zh-CN"/>
        </w:rPr>
      </w:pPr>
      <w:r w:rsidRPr="000A6882">
        <w:rPr>
          <w:lang w:eastAsia="zh-CN"/>
        </w:rPr>
        <w:t>The analysis shows that while the number of input contributions has increased significantly over successive WRC study cycles, the number of approved outputs has remained relatively limited. This indicates a decreasing ratio between contributions and approved texts. For example, in Study Groups such as SG4 and SG5, a large volume of contributions is submitted; however, this has not been accompanied by a proportional increase in approved outputs, reflecting both the growing complexity of the studies and the extensive coordination required among administrations.</w:t>
      </w:r>
    </w:p>
    <w:p w14:paraId="2A8E4577" w14:textId="77777777" w:rsidR="00EA7929" w:rsidRDefault="00EA7929" w:rsidP="00EA7929">
      <w:pPr>
        <w:rPr>
          <w:lang w:eastAsia="zh-CN"/>
        </w:rPr>
      </w:pPr>
      <w:r>
        <w:rPr>
          <w:lang w:eastAsia="zh-CN"/>
        </w:rPr>
        <w:t xml:space="preserve">This trend suggests that the study process has become more resource-intensive, requiring greater effort from administrations to achieve consensus and finalize deliverables. </w:t>
      </w:r>
      <w:r w:rsidRPr="00A348AF">
        <w:rPr>
          <w:lang w:eastAsia="zh-CN"/>
        </w:rPr>
        <w:t xml:space="preserve">These observations further illustrate the growing workload placed on </w:t>
      </w:r>
      <w:r>
        <w:rPr>
          <w:lang w:eastAsia="zh-CN"/>
        </w:rPr>
        <w:t xml:space="preserve">some </w:t>
      </w:r>
      <w:r w:rsidRPr="00A348AF">
        <w:rPr>
          <w:lang w:eastAsia="zh-CN"/>
        </w:rPr>
        <w:t>Study Group</w:t>
      </w:r>
      <w:r>
        <w:rPr>
          <w:lang w:eastAsia="zh-CN"/>
        </w:rPr>
        <w:t>s</w:t>
      </w:r>
      <w:r w:rsidRPr="00A348AF">
        <w:rPr>
          <w:lang w:eastAsia="zh-CN"/>
        </w:rPr>
        <w:t xml:space="preserve"> and </w:t>
      </w:r>
      <w:r w:rsidRPr="00DC42CD">
        <w:rPr>
          <w:lang w:eastAsia="zh-CN"/>
        </w:rPr>
        <w:t xml:space="preserve">support the need for a broader and evidence-based review of whether improvements may be needed in the structure, mandates, coordination mechanisms, working methods, or distribution of topics </w:t>
      </w:r>
      <w:proofErr w:type="gramStart"/>
      <w:r w:rsidRPr="00DC42CD">
        <w:rPr>
          <w:lang w:eastAsia="zh-CN"/>
        </w:rPr>
        <w:t>in order to</w:t>
      </w:r>
      <w:proofErr w:type="gramEnd"/>
      <w:r w:rsidRPr="00DC42CD">
        <w:rPr>
          <w:lang w:eastAsia="zh-CN"/>
        </w:rPr>
        <w:t xml:space="preserve"> keep the ITU-R framework well aligned with the evolving radiocommunication environment</w:t>
      </w:r>
      <w:r w:rsidRPr="00A348AF">
        <w:rPr>
          <w:lang w:eastAsia="zh-CN"/>
        </w:rPr>
        <w:t>.</w:t>
      </w:r>
    </w:p>
    <w:p w14:paraId="2F0BBAFA" w14:textId="77777777" w:rsidR="00EA7929" w:rsidRDefault="00EA7929" w:rsidP="00EA7929">
      <w:pPr>
        <w:rPr>
          <w:lang w:eastAsia="zh-CN"/>
        </w:rPr>
      </w:pPr>
      <w:r>
        <w:rPr>
          <w:lang w:eastAsia="zh-CN"/>
        </w:rPr>
        <w:t>Another important indicator of workload and complexity within the ITU-R study process is the level of participation in Study Group and Working Party meetings.</w:t>
      </w:r>
    </w:p>
    <w:p w14:paraId="7010CD01" w14:textId="77777777" w:rsidR="00EA7929" w:rsidRDefault="00EA7929" w:rsidP="00EA7929">
      <w:pPr>
        <w:rPr>
          <w:lang w:eastAsia="zh-CN"/>
        </w:rPr>
      </w:pPr>
      <w:r>
        <w:rPr>
          <w:lang w:eastAsia="zh-CN"/>
        </w:rPr>
        <w:t xml:space="preserve">According to the Director’s Report on Study Group Activities (see </w:t>
      </w:r>
      <w:hyperlink r:id="rId15" w:history="1">
        <w:r w:rsidRPr="00042509">
          <w:rPr>
            <w:rStyle w:val="Hyperlink"/>
            <w:lang w:eastAsia="zh-CN"/>
          </w:rPr>
          <w:t>Add 1 to Document RAG/58-E</w:t>
        </w:r>
      </w:hyperlink>
      <w:r>
        <w:rPr>
          <w:lang w:eastAsia="zh-CN"/>
        </w:rPr>
        <w:t xml:space="preserve">), participation in ITU-R meetings has increased significantly in recent years. </w:t>
      </w:r>
    </w:p>
    <w:p w14:paraId="263AA80B" w14:textId="77777777" w:rsidR="00541ABD" w:rsidRPr="007C1CC3" w:rsidRDefault="00541ABD" w:rsidP="00541ABD">
      <w:pPr>
        <w:pStyle w:val="FigureNo"/>
        <w:spacing w:before="120"/>
        <w:rPr>
          <w:sz w:val="24"/>
          <w:szCs w:val="24"/>
        </w:rPr>
      </w:pPr>
      <w:r w:rsidRPr="007C1CC3">
        <w:rPr>
          <w:sz w:val="24"/>
          <w:szCs w:val="24"/>
        </w:rPr>
        <w:lastRenderedPageBreak/>
        <w:t xml:space="preserve">Figure </w:t>
      </w:r>
      <w:r>
        <w:rPr>
          <w:sz w:val="24"/>
          <w:szCs w:val="24"/>
        </w:rPr>
        <w:t>4</w:t>
      </w:r>
    </w:p>
    <w:p w14:paraId="334D8597" w14:textId="77777777" w:rsidR="00541ABD" w:rsidRPr="007C1CC3" w:rsidRDefault="00541ABD" w:rsidP="00541ABD">
      <w:pPr>
        <w:pStyle w:val="Figuretitle"/>
        <w:spacing w:after="0"/>
        <w:rPr>
          <w:sz w:val="24"/>
          <w:szCs w:val="24"/>
        </w:rPr>
      </w:pPr>
      <w:r w:rsidRPr="007C1CC3">
        <w:rPr>
          <w:sz w:val="24"/>
          <w:szCs w:val="24"/>
        </w:rPr>
        <w:t xml:space="preserve">Total number of in-person participation per ITU-R Study Group/Working Party meetings </w:t>
      </w:r>
    </w:p>
    <w:p w14:paraId="400AB24B" w14:textId="77777777" w:rsidR="00541ABD" w:rsidRPr="005378CE" w:rsidRDefault="00541ABD" w:rsidP="00541ABD">
      <w:pPr>
        <w:pStyle w:val="Figuretitle"/>
        <w:spacing w:after="0"/>
        <w:rPr>
          <w:rFonts w:ascii="Times New Roman" w:hAnsi="Times New Roman"/>
          <w:b w:val="0"/>
          <w:sz w:val="22"/>
          <w:szCs w:val="18"/>
          <w:lang w:eastAsia="zh-CN"/>
        </w:rPr>
      </w:pPr>
      <w:r w:rsidRPr="00342353">
        <w:rPr>
          <w:rFonts w:ascii="Times New Roman" w:hAnsi="Times New Roman"/>
          <w:b w:val="0"/>
          <w:sz w:val="22"/>
          <w:szCs w:val="18"/>
          <w:lang w:eastAsia="zh-CN"/>
        </w:rPr>
        <w:t>(</w:t>
      </w:r>
      <w:r w:rsidRPr="007838A6">
        <w:rPr>
          <w:rFonts w:ascii="Times New Roman" w:hAnsi="Times New Roman"/>
          <w:b w:val="0"/>
          <w:sz w:val="22"/>
          <w:szCs w:val="18"/>
          <w:lang w:eastAsia="zh-CN"/>
        </w:rPr>
        <w:t>BR Report on Study Group Activities to the 32</w:t>
      </w:r>
      <w:r w:rsidRPr="000A6882">
        <w:rPr>
          <w:rFonts w:ascii="Times New Roman" w:hAnsi="Times New Roman"/>
          <w:b w:val="0"/>
          <w:sz w:val="22"/>
          <w:szCs w:val="18"/>
          <w:vertAlign w:val="superscript"/>
          <w:lang w:eastAsia="zh-CN"/>
        </w:rPr>
        <w:t>nd</w:t>
      </w:r>
      <w:r w:rsidRPr="007838A6">
        <w:rPr>
          <w:rFonts w:ascii="Times New Roman" w:hAnsi="Times New Roman"/>
          <w:b w:val="0"/>
          <w:sz w:val="22"/>
          <w:szCs w:val="18"/>
          <w:lang w:eastAsia="zh-CN"/>
        </w:rPr>
        <w:t xml:space="preserve"> </w:t>
      </w:r>
      <w:r>
        <w:rPr>
          <w:rFonts w:ascii="Times New Roman" w:hAnsi="Times New Roman"/>
          <w:b w:val="0"/>
          <w:sz w:val="22"/>
          <w:szCs w:val="18"/>
          <w:lang w:eastAsia="zh-CN"/>
        </w:rPr>
        <w:t>&amp; 33</w:t>
      </w:r>
      <w:r w:rsidRPr="000A6882">
        <w:rPr>
          <w:rFonts w:ascii="Times New Roman" w:hAnsi="Times New Roman"/>
          <w:b w:val="0"/>
          <w:sz w:val="22"/>
          <w:szCs w:val="18"/>
          <w:vertAlign w:val="superscript"/>
          <w:lang w:eastAsia="zh-CN"/>
        </w:rPr>
        <w:t>rd</w:t>
      </w:r>
      <w:r>
        <w:rPr>
          <w:rFonts w:ascii="Times New Roman" w:hAnsi="Times New Roman"/>
          <w:b w:val="0"/>
          <w:sz w:val="22"/>
          <w:szCs w:val="18"/>
          <w:lang w:eastAsia="zh-CN"/>
        </w:rPr>
        <w:t xml:space="preserve"> </w:t>
      </w:r>
      <w:r w:rsidRPr="007838A6">
        <w:rPr>
          <w:rFonts w:ascii="Times New Roman" w:hAnsi="Times New Roman"/>
          <w:b w:val="0"/>
          <w:sz w:val="22"/>
          <w:szCs w:val="18"/>
          <w:lang w:eastAsia="zh-CN"/>
        </w:rPr>
        <w:t>RAG meeting</w:t>
      </w:r>
      <w:r w:rsidRPr="00342353">
        <w:rPr>
          <w:rFonts w:ascii="Times New Roman" w:hAnsi="Times New Roman"/>
          <w:b w:val="0"/>
          <w:sz w:val="22"/>
          <w:szCs w:val="18"/>
          <w:lang w:eastAsia="zh-CN"/>
        </w:rPr>
        <w:t>)</w:t>
      </w:r>
    </w:p>
    <w:p w14:paraId="7566C92D" w14:textId="77777777" w:rsidR="00541ABD" w:rsidRPr="007C1CC3" w:rsidRDefault="00541ABD" w:rsidP="00541ABD">
      <w:pPr>
        <w:keepNext/>
        <w:spacing w:before="0"/>
        <w:jc w:val="center"/>
      </w:pPr>
      <w:r>
        <w:t>in 2025</w:t>
      </w:r>
    </w:p>
    <w:p w14:paraId="311C249F" w14:textId="58E873C0" w:rsidR="00C458E6" w:rsidRDefault="00500E15" w:rsidP="00EA7929">
      <w:pPr>
        <w:rPr>
          <w:lang w:eastAsia="zh-CN"/>
        </w:rPr>
      </w:pPr>
      <w:r w:rsidRPr="00C01E41">
        <w:rPr>
          <w:noProof/>
        </w:rPr>
        <w:drawing>
          <wp:inline distT="0" distB="0" distL="0" distR="0" wp14:anchorId="68AD6889" wp14:editId="27728F35">
            <wp:extent cx="6120765" cy="2009803"/>
            <wp:effectExtent l="0" t="0" r="13335" b="9525"/>
            <wp:docPr id="1677447098"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AAC909" w14:textId="77777777" w:rsidR="00AC6775" w:rsidRDefault="00AC6775" w:rsidP="00AC6775">
      <w:pPr>
        <w:keepNext/>
        <w:spacing w:before="0"/>
        <w:jc w:val="center"/>
      </w:pPr>
      <w:r>
        <w:t>in 2024</w:t>
      </w:r>
    </w:p>
    <w:p w14:paraId="535B3C7B" w14:textId="24CF3F38" w:rsidR="00500E15" w:rsidRDefault="006A44AB" w:rsidP="00EA7929">
      <w:pPr>
        <w:rPr>
          <w:lang w:eastAsia="zh-CN"/>
        </w:rPr>
      </w:pPr>
      <w:r w:rsidRPr="00C01E41">
        <w:rPr>
          <w:noProof/>
        </w:rPr>
        <w:drawing>
          <wp:inline distT="0" distB="0" distL="0" distR="0" wp14:anchorId="3DB90B4E" wp14:editId="6AADA972">
            <wp:extent cx="6120765" cy="2009803"/>
            <wp:effectExtent l="0" t="0" r="13335" b="9525"/>
            <wp:docPr id="14"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A7F4F1" w14:textId="77777777" w:rsidR="008470A4" w:rsidRDefault="008470A4" w:rsidP="008470A4">
      <w:pPr>
        <w:keepNext/>
        <w:rPr>
          <w:lang w:eastAsia="zh-CN"/>
        </w:rPr>
      </w:pPr>
      <w:r w:rsidRPr="003D265F">
        <w:rPr>
          <w:lang w:eastAsia="zh-CN"/>
        </w:rPr>
        <w:t xml:space="preserve">Figure </w:t>
      </w:r>
      <w:r>
        <w:rPr>
          <w:lang w:eastAsia="zh-CN"/>
        </w:rPr>
        <w:t>4</w:t>
      </w:r>
      <w:r w:rsidRPr="003D265F">
        <w:rPr>
          <w:lang w:eastAsia="zh-CN"/>
        </w:rPr>
        <w:t xml:space="preserve"> </w:t>
      </w:r>
      <w:r>
        <w:rPr>
          <w:lang w:eastAsia="zh-CN"/>
        </w:rPr>
        <w:t xml:space="preserve">and </w:t>
      </w:r>
      <w:r>
        <w:t>the</w:t>
      </w:r>
      <w:r w:rsidRPr="003D265F">
        <w:rPr>
          <w:lang w:eastAsia="zh-CN"/>
        </w:rPr>
        <w:t xml:space="preserve"> Director’s Report on Study Group Activities illustrates </w:t>
      </w:r>
      <w:r>
        <w:rPr>
          <w:lang w:eastAsia="zh-CN"/>
        </w:rPr>
        <w:t>the following:</w:t>
      </w:r>
    </w:p>
    <w:p w14:paraId="220D7AF1" w14:textId="77777777" w:rsidR="00F60F42" w:rsidRDefault="00F60F42" w:rsidP="00F60F42">
      <w:pPr>
        <w:pStyle w:val="ListParagraph"/>
        <w:keepNext/>
        <w:numPr>
          <w:ilvl w:val="0"/>
          <w:numId w:val="16"/>
        </w:numPr>
        <w:jc w:val="lowKashida"/>
        <w:rPr>
          <w:lang w:eastAsia="zh-CN"/>
        </w:rPr>
      </w:pPr>
      <w:r>
        <w:rPr>
          <w:lang w:eastAsia="zh-CN"/>
        </w:rPr>
        <w:t xml:space="preserve">Participation in physical meetings with remote participation has increased substantially since 2020. </w:t>
      </w:r>
    </w:p>
    <w:p w14:paraId="7A324005" w14:textId="77777777" w:rsidR="00F60F42" w:rsidRDefault="00F60F42" w:rsidP="00F60F42">
      <w:pPr>
        <w:pStyle w:val="ListParagraph"/>
        <w:keepNext/>
        <w:numPr>
          <w:ilvl w:val="0"/>
          <w:numId w:val="16"/>
        </w:numPr>
        <w:jc w:val="lowKashida"/>
        <w:rPr>
          <w:lang w:eastAsia="zh-CN"/>
        </w:rPr>
      </w:pPr>
      <w:r>
        <w:rPr>
          <w:lang w:eastAsia="zh-CN"/>
        </w:rPr>
        <w:t>Some Working Parties now attract several hundred participants per meeting, particularly in Study Groups dealing with satellite and terrestrial mobile technologies.</w:t>
      </w:r>
    </w:p>
    <w:p w14:paraId="7FA50B8D" w14:textId="77777777" w:rsidR="006E7D35" w:rsidRDefault="006E7D35" w:rsidP="006E7D35">
      <w:pPr>
        <w:keepNext/>
        <w:rPr>
          <w:lang w:eastAsia="zh-CN"/>
        </w:rPr>
      </w:pPr>
      <w:r>
        <w:rPr>
          <w:lang w:eastAsia="zh-CN"/>
        </w:rPr>
        <w:t xml:space="preserve">The increase in participation has created challenges in meeting organization and room capacity, especially given the limited number of meeting rooms capable of accommodating large groups. </w:t>
      </w:r>
    </w:p>
    <w:p w14:paraId="79B91FF9" w14:textId="77777777" w:rsidR="006E7D35" w:rsidRDefault="006E7D35" w:rsidP="006E7D35">
      <w:pPr>
        <w:keepNext/>
        <w:rPr>
          <w:lang w:eastAsia="zh-CN"/>
        </w:rPr>
      </w:pPr>
      <w:r>
        <w:rPr>
          <w:lang w:eastAsia="zh-CN"/>
        </w:rPr>
        <w:t>The increase in participation reflects the growing importance of ITU-R studies for administrations, industry, and research institutions. However, it also introduces additional challenges, including:</w:t>
      </w:r>
    </w:p>
    <w:p w14:paraId="36F4C179" w14:textId="77777777" w:rsidR="00952067" w:rsidRDefault="00952067" w:rsidP="00952067">
      <w:pPr>
        <w:pStyle w:val="ListParagraph"/>
        <w:keepNext/>
        <w:numPr>
          <w:ilvl w:val="0"/>
          <w:numId w:val="17"/>
        </w:numPr>
        <w:jc w:val="lowKashida"/>
        <w:rPr>
          <w:lang w:eastAsia="zh-CN"/>
        </w:rPr>
      </w:pPr>
      <w:r>
        <w:rPr>
          <w:lang w:eastAsia="zh-CN"/>
        </w:rPr>
        <w:t>longer discussions required to achieve consensus,</w:t>
      </w:r>
    </w:p>
    <w:p w14:paraId="66AF0730" w14:textId="77777777" w:rsidR="00952067" w:rsidRDefault="00952067" w:rsidP="00952067">
      <w:pPr>
        <w:pStyle w:val="ListParagraph"/>
        <w:keepNext/>
        <w:numPr>
          <w:ilvl w:val="0"/>
          <w:numId w:val="17"/>
        </w:numPr>
        <w:jc w:val="lowKashida"/>
        <w:rPr>
          <w:lang w:eastAsia="zh-CN"/>
        </w:rPr>
      </w:pPr>
      <w:r>
        <w:rPr>
          <w:lang w:eastAsia="zh-CN"/>
        </w:rPr>
        <w:t>increased complexity in managing meetings and drafting sessions,</w:t>
      </w:r>
    </w:p>
    <w:p w14:paraId="63B39A2C" w14:textId="77777777" w:rsidR="00952067" w:rsidRPr="00CF158E" w:rsidRDefault="00952067" w:rsidP="00952067">
      <w:pPr>
        <w:pStyle w:val="ListParagraph"/>
        <w:keepNext/>
        <w:numPr>
          <w:ilvl w:val="0"/>
          <w:numId w:val="17"/>
        </w:numPr>
        <w:spacing w:after="240"/>
        <w:jc w:val="lowKashida"/>
        <w:rPr>
          <w:rFonts w:ascii="Times New Roman Bold" w:hAnsi="Times New Roman Bold" w:cs="Times New Roman Bold"/>
          <w:b/>
          <w:lang w:eastAsia="zh-CN"/>
        </w:rPr>
      </w:pPr>
      <w:r>
        <w:rPr>
          <w:lang w:eastAsia="zh-CN"/>
        </w:rPr>
        <w:t>greater coordination requirements between Study Groups.</w:t>
      </w:r>
    </w:p>
    <w:p w14:paraId="2D89A06D" w14:textId="77777777" w:rsidR="007F4F5C" w:rsidRPr="0009556F" w:rsidRDefault="007F4F5C" w:rsidP="007F4F5C">
      <w:pPr>
        <w:rPr>
          <w:lang w:eastAsia="zh-CN"/>
        </w:rPr>
      </w:pPr>
      <w:r w:rsidRPr="0009556F">
        <w:rPr>
          <w:lang w:eastAsia="zh-CN"/>
        </w:rPr>
        <w:t>In this context, any review should be carried out in a neutral and analytical manner and should consider the full range of possible responses. In particular, the review should assess whether identified issues can be addressed through better coordination between existing groups, clearer delineation of mandates, improved working methods, or targeted redistribution of topics and responsibilities, before recommending any structural reform.</w:t>
      </w:r>
    </w:p>
    <w:p w14:paraId="13DC4374" w14:textId="77777777" w:rsidR="007F4F5C" w:rsidRDefault="007F4F5C" w:rsidP="007F4F5C">
      <w:pPr>
        <w:rPr>
          <w:lang w:eastAsia="zh-CN"/>
        </w:rPr>
      </w:pPr>
      <w:r w:rsidRPr="0009556F">
        <w:rPr>
          <w:lang w:eastAsia="zh-CN"/>
        </w:rPr>
        <w:lastRenderedPageBreak/>
        <w:t>The review should also, to the extent practicable, consider multiple indicators across the Study Groups and Working Parties, including conference-related work, non-conference-related work, contributions, approved outputs, meeting burden, participation trends, interdependencies between groups, and implications for BR support and resources.</w:t>
      </w:r>
    </w:p>
    <w:p w14:paraId="3737A47D" w14:textId="77777777" w:rsidR="00465DDF" w:rsidRPr="00B13419" w:rsidRDefault="00465DDF" w:rsidP="00465DDF">
      <w:pPr>
        <w:pStyle w:val="Heading1"/>
        <w:rPr>
          <w:lang w:eastAsia="zh-CN"/>
        </w:rPr>
      </w:pPr>
      <w:r w:rsidRPr="007C1CC3">
        <w:rPr>
          <w:lang w:eastAsia="zh-CN"/>
        </w:rPr>
        <w:t>3. Proposal</w:t>
      </w:r>
    </w:p>
    <w:p w14:paraId="6CAE32EA" w14:textId="77777777" w:rsidR="00465DDF" w:rsidRDefault="00465DDF" w:rsidP="00465DDF">
      <w:pPr>
        <w:rPr>
          <w:lang w:eastAsia="zh-CN"/>
        </w:rPr>
      </w:pPr>
      <w:proofErr w:type="gramStart"/>
      <w:r w:rsidRPr="007838A6">
        <w:rPr>
          <w:lang w:eastAsia="zh-CN"/>
        </w:rPr>
        <w:t>In order to</w:t>
      </w:r>
      <w:proofErr w:type="gramEnd"/>
      <w:r w:rsidRPr="007838A6">
        <w:rPr>
          <w:lang w:eastAsia="zh-CN"/>
        </w:rPr>
        <w:t xml:space="preserve"> facilitate a structured review of the current ITU-R Study Group structure, RAG is invited to consider establishing a Correspondence Group to examine possible enhancements to the Study Group structure</w:t>
      </w:r>
      <w:r>
        <w:rPr>
          <w:lang w:eastAsia="zh-CN"/>
        </w:rPr>
        <w:t xml:space="preserve"> and working method</w:t>
      </w:r>
      <w:r w:rsidRPr="007838A6">
        <w:rPr>
          <w:lang w:eastAsia="zh-CN"/>
        </w:rPr>
        <w:t xml:space="preserve">, </w:t>
      </w:r>
      <w:proofErr w:type="gramStart"/>
      <w:r w:rsidRPr="007838A6">
        <w:rPr>
          <w:lang w:eastAsia="zh-CN"/>
        </w:rPr>
        <w:t>taking into account</w:t>
      </w:r>
      <w:proofErr w:type="gramEnd"/>
      <w:r w:rsidRPr="007838A6">
        <w:rPr>
          <w:lang w:eastAsia="zh-CN"/>
        </w:rPr>
        <w:t xml:space="preserve"> the evolving radiocommunication environment and the increasing workload of Study Groups. The Correspondence Group would conduct its work in accordance with the relevant provisions of Resolution ITU-R 4-</w:t>
      </w:r>
      <w:proofErr w:type="gramStart"/>
      <w:r w:rsidRPr="007838A6">
        <w:rPr>
          <w:lang w:eastAsia="zh-CN"/>
        </w:rPr>
        <w:t>9</w:t>
      </w:r>
      <w:r>
        <w:rPr>
          <w:lang w:eastAsia="zh-CN"/>
        </w:rPr>
        <w:t xml:space="preserve"> ,</w:t>
      </w:r>
      <w:proofErr w:type="gramEnd"/>
      <w:r>
        <w:rPr>
          <w:lang w:eastAsia="zh-CN"/>
        </w:rPr>
        <w:t xml:space="preserve"> ITU-R 1-9</w:t>
      </w:r>
      <w:r w:rsidRPr="007838A6">
        <w:rPr>
          <w:lang w:eastAsia="zh-CN"/>
        </w:rPr>
        <w:t xml:space="preserve"> and would consider, inter alia, the evolution of radiocommunication technologies, the increasing number of contributions and participation in Study Group activities, and the growing interdependence between studies conducted across different Study Groups.</w:t>
      </w:r>
    </w:p>
    <w:p w14:paraId="71E41D3C" w14:textId="77777777" w:rsidR="00465DDF" w:rsidRDefault="00465DDF" w:rsidP="00465DDF">
      <w:pPr>
        <w:rPr>
          <w:lang w:eastAsia="zh-CN"/>
        </w:rPr>
      </w:pPr>
      <w:r w:rsidRPr="00B03101">
        <w:rPr>
          <w:lang w:eastAsia="zh-CN"/>
        </w:rPr>
        <w:t>The Correspondence Group should adopt a solution-neutral approach and develop findings and options for improvement, including, as appropriate, non-structural measures such as improved coordination mechanisms, clearer mandates, improved working methods, and redistribution of selected topics, as well as any possible structural options were justified by the analysis.</w:t>
      </w:r>
    </w:p>
    <w:p w14:paraId="57428C18" w14:textId="77777777" w:rsidR="00465DDF" w:rsidRDefault="00465DDF" w:rsidP="00465DDF">
      <w:pPr>
        <w:rPr>
          <w:lang w:eastAsia="zh-CN"/>
        </w:rPr>
      </w:pPr>
      <w:proofErr w:type="gramStart"/>
      <w:r>
        <w:rPr>
          <w:lang w:eastAsia="zh-CN"/>
        </w:rPr>
        <w:t>In order to</w:t>
      </w:r>
      <w:proofErr w:type="gramEnd"/>
      <w:r>
        <w:rPr>
          <w:lang w:eastAsia="zh-CN"/>
        </w:rPr>
        <w:t xml:space="preserve"> support the work of the Correspondence Group, the Radiocommunication Bureau (BR) is invited to provide relevant information regarding the requirements, procedures, and practical considerations associated with the ITU-R Study Group structure, including aspects related to Resolution ITU-R 4-9. Such information would serve as an important input to the work of the Correspondence Group.</w:t>
      </w:r>
    </w:p>
    <w:p w14:paraId="2F0553F4" w14:textId="77777777" w:rsidR="00465DDF" w:rsidRDefault="00465DDF" w:rsidP="00465DDF">
      <w:pPr>
        <w:rPr>
          <w:lang w:eastAsia="zh-CN"/>
        </w:rPr>
      </w:pPr>
      <w:r w:rsidRPr="00B03101">
        <w:rPr>
          <w:lang w:eastAsia="zh-CN"/>
        </w:rPr>
        <w:t xml:space="preserve">The BR is also invited, subject to availability, to provide </w:t>
      </w:r>
      <w:proofErr w:type="gramStart"/>
      <w:r w:rsidRPr="00B03101">
        <w:rPr>
          <w:lang w:eastAsia="zh-CN"/>
        </w:rPr>
        <w:t>factual information</w:t>
      </w:r>
      <w:proofErr w:type="gramEnd"/>
      <w:r w:rsidRPr="00B03101">
        <w:rPr>
          <w:lang w:eastAsia="zh-CN"/>
        </w:rPr>
        <w:t xml:space="preserve"> that may assist the Correspondence Group in carrying out an objective review, including information on Study Group and Working Party meeting patterns, participation, document volumes, approved outputs, and other relevant operational considerations.</w:t>
      </w:r>
    </w:p>
    <w:p w14:paraId="7A728C4E" w14:textId="77777777" w:rsidR="00465DDF" w:rsidRDefault="00465DDF" w:rsidP="00465DDF">
      <w:pPr>
        <w:rPr>
          <w:lang w:eastAsia="zh-CN"/>
        </w:rPr>
      </w:pPr>
      <w:r>
        <w:rPr>
          <w:lang w:eastAsia="zh-CN"/>
        </w:rPr>
        <w:t>The Terms of Reference of the Correspondence Group are provided in Attachment to this document.</w:t>
      </w:r>
    </w:p>
    <w:p w14:paraId="177D9648" w14:textId="77777777" w:rsidR="00465DDF" w:rsidRDefault="00465DDF" w:rsidP="00465DDF">
      <w:pPr>
        <w:rPr>
          <w:lang w:eastAsia="zh-CN"/>
        </w:rPr>
      </w:pPr>
      <w:r>
        <w:rPr>
          <w:lang w:eastAsia="zh-CN"/>
        </w:rPr>
        <w:t>The Correspondence Group would report the results of its work to a the 34</w:t>
      </w:r>
      <w:r w:rsidRPr="00A31AEB">
        <w:rPr>
          <w:vertAlign w:val="superscript"/>
          <w:lang w:eastAsia="zh-CN"/>
        </w:rPr>
        <w:t>th</w:t>
      </w:r>
      <w:r>
        <w:rPr>
          <w:lang w:eastAsia="zh-CN"/>
        </w:rPr>
        <w:t xml:space="preserve"> meeting of the Radiocommunication Advisory Group.</w:t>
      </w:r>
    </w:p>
    <w:p w14:paraId="363C37AB" w14:textId="56F137C2" w:rsidR="00C3371F" w:rsidRDefault="004912FE" w:rsidP="004912FE">
      <w:pPr>
        <w:spacing w:before="1080"/>
      </w:pPr>
      <w:r>
        <w:rPr>
          <w:b/>
          <w:bCs/>
        </w:rPr>
        <w:t xml:space="preserve">Attachment: </w:t>
      </w:r>
      <w:r>
        <w:rPr>
          <w:b/>
          <w:bCs/>
        </w:rPr>
        <w:tab/>
      </w:r>
      <w:r>
        <w:t>1</w:t>
      </w:r>
    </w:p>
    <w:p w14:paraId="7EF4E763" w14:textId="77777777" w:rsidR="00C3371F" w:rsidRDefault="00C3371F">
      <w:pPr>
        <w:tabs>
          <w:tab w:val="clear" w:pos="794"/>
          <w:tab w:val="clear" w:pos="1191"/>
          <w:tab w:val="clear" w:pos="1588"/>
          <w:tab w:val="clear" w:pos="1985"/>
        </w:tabs>
        <w:overflowPunct/>
        <w:autoSpaceDE/>
        <w:autoSpaceDN/>
        <w:adjustRightInd/>
        <w:spacing w:before="0"/>
        <w:textAlignment w:val="auto"/>
      </w:pPr>
      <w:r>
        <w:br w:type="page"/>
      </w:r>
    </w:p>
    <w:p w14:paraId="38CA814A" w14:textId="77777777" w:rsidR="00C3371F" w:rsidRDefault="00C3371F" w:rsidP="00C3371F">
      <w:pPr>
        <w:pStyle w:val="AnnexNo"/>
      </w:pPr>
      <w:r>
        <w:lastRenderedPageBreak/>
        <w:t>attachment</w:t>
      </w:r>
    </w:p>
    <w:p w14:paraId="4BCEC4BB" w14:textId="77777777" w:rsidR="00C3371F" w:rsidRDefault="00C3371F" w:rsidP="00C3371F">
      <w:pPr>
        <w:jc w:val="center"/>
        <w:rPr>
          <w:rFonts w:cstheme="minorHAnsi"/>
          <w:b/>
          <w:sz w:val="26"/>
          <w:szCs w:val="26"/>
        </w:rPr>
      </w:pPr>
      <w:r>
        <w:rPr>
          <w:rFonts w:cstheme="minorHAnsi"/>
          <w:b/>
          <w:sz w:val="26"/>
          <w:szCs w:val="26"/>
        </w:rPr>
        <w:t>Terms of Reference of the RAG Correspondence Group</w:t>
      </w:r>
      <w:r>
        <w:rPr>
          <w:rFonts w:cstheme="minorHAnsi"/>
          <w:b/>
          <w:sz w:val="26"/>
          <w:szCs w:val="26"/>
        </w:rPr>
        <w:br/>
        <w:t xml:space="preserve">on Improving the </w:t>
      </w:r>
      <w:r w:rsidRPr="00D62B67">
        <w:rPr>
          <w:rFonts w:cstheme="minorHAnsi"/>
          <w:b/>
          <w:sz w:val="26"/>
          <w:szCs w:val="26"/>
        </w:rPr>
        <w:t>Structure</w:t>
      </w:r>
      <w:r>
        <w:rPr>
          <w:rFonts w:cstheme="minorHAnsi"/>
          <w:b/>
          <w:sz w:val="26"/>
          <w:szCs w:val="26"/>
        </w:rPr>
        <w:t xml:space="preserve"> and Framework</w:t>
      </w:r>
      <w:r w:rsidRPr="00D62B67">
        <w:rPr>
          <w:rFonts w:cstheme="minorHAnsi"/>
          <w:b/>
          <w:sz w:val="26"/>
          <w:szCs w:val="26"/>
        </w:rPr>
        <w:t xml:space="preserve"> of Radiocommunication Study Groups</w:t>
      </w:r>
    </w:p>
    <w:p w14:paraId="565E1366" w14:textId="77777777" w:rsidR="00C3371F" w:rsidRDefault="00C3371F" w:rsidP="00C3371F">
      <w:r>
        <w:t>The Radiocommunication Advisory Group (RAG) Correspondence Group (CG)</w:t>
      </w:r>
      <w:r w:rsidRPr="007D048D">
        <w:rPr>
          <w:b/>
          <w:sz w:val="26"/>
          <w:szCs w:val="26"/>
        </w:rPr>
        <w:t xml:space="preserve"> </w:t>
      </w:r>
      <w:r>
        <w:rPr>
          <w:b/>
          <w:sz w:val="26"/>
          <w:szCs w:val="26"/>
        </w:rPr>
        <w:t xml:space="preserve">on Improving the </w:t>
      </w:r>
      <w:r w:rsidRPr="00D62B67">
        <w:rPr>
          <w:b/>
          <w:sz w:val="26"/>
          <w:szCs w:val="26"/>
        </w:rPr>
        <w:t xml:space="preserve">Structure </w:t>
      </w:r>
      <w:r w:rsidRPr="00A849C9">
        <w:rPr>
          <w:b/>
          <w:sz w:val="26"/>
          <w:szCs w:val="26"/>
        </w:rPr>
        <w:t xml:space="preserve">and </w:t>
      </w:r>
      <w:r>
        <w:rPr>
          <w:b/>
          <w:sz w:val="26"/>
          <w:szCs w:val="26"/>
        </w:rPr>
        <w:t>F</w:t>
      </w:r>
      <w:r w:rsidRPr="00A849C9">
        <w:rPr>
          <w:b/>
          <w:sz w:val="26"/>
          <w:szCs w:val="26"/>
        </w:rPr>
        <w:t xml:space="preserve">ramework </w:t>
      </w:r>
      <w:r w:rsidRPr="00D62B67">
        <w:rPr>
          <w:b/>
          <w:sz w:val="26"/>
          <w:szCs w:val="26"/>
        </w:rPr>
        <w:t>of Radiocommunication Study Group</w:t>
      </w:r>
      <w:r>
        <w:rPr>
          <w:b/>
          <w:sz w:val="26"/>
          <w:szCs w:val="26"/>
        </w:rPr>
        <w:t>s</w:t>
      </w:r>
      <w:r>
        <w:t xml:space="preserve"> is tasked with </w:t>
      </w:r>
      <w:r w:rsidRPr="002E6507">
        <w:t xml:space="preserve">conducting a neutral and evidence-based review of the ITU-R study framework and </w:t>
      </w:r>
      <w:r>
        <w:t xml:space="preserve">exploring potential improvements to the </w:t>
      </w:r>
      <w:r w:rsidRPr="00A31AEB">
        <w:t>ITU-R Study Group structure</w:t>
      </w:r>
      <w:r>
        <w:t xml:space="preserve"> and working method</w:t>
      </w:r>
      <w:r w:rsidRPr="00A31AEB">
        <w:t xml:space="preserve"> </w:t>
      </w:r>
      <w:r>
        <w:t>with the following terms of reference:</w:t>
      </w:r>
    </w:p>
    <w:p w14:paraId="721B053F" w14:textId="77777777" w:rsidR="00C3371F" w:rsidRDefault="00C3371F" w:rsidP="00C3371F">
      <w:pPr>
        <w:pStyle w:val="ListParagraph"/>
        <w:numPr>
          <w:ilvl w:val="0"/>
          <w:numId w:val="18"/>
        </w:numPr>
        <w:tabs>
          <w:tab w:val="left" w:pos="720"/>
        </w:tabs>
        <w:overflowPunct/>
        <w:autoSpaceDE/>
        <w:adjustRightInd/>
        <w:spacing w:before="0" w:after="160" w:line="256" w:lineRule="auto"/>
        <w:jc w:val="lowKashida"/>
        <w:rPr>
          <w:rFonts w:cstheme="minorHAnsi"/>
        </w:rPr>
      </w:pPr>
      <w:r w:rsidRPr="00A31AEB">
        <w:rPr>
          <w:rFonts w:cstheme="minorHAnsi"/>
        </w:rPr>
        <w:t xml:space="preserve">To review the current ITU-R Study Group structure, as defined under Resolution ITU-R 4-9, including the scope and responsibilities assigned to each Study </w:t>
      </w:r>
      <w:proofErr w:type="gramStart"/>
      <w:r w:rsidRPr="00A31AEB">
        <w:rPr>
          <w:rFonts w:cstheme="minorHAnsi"/>
        </w:rPr>
        <w:t>Group;</w:t>
      </w:r>
      <w:proofErr w:type="gramEnd"/>
    </w:p>
    <w:p w14:paraId="11A52FE2" w14:textId="77777777" w:rsidR="00C3371F" w:rsidRPr="00A31AEB" w:rsidRDefault="00C3371F" w:rsidP="00C3371F">
      <w:pPr>
        <w:pStyle w:val="ListParagraph"/>
        <w:numPr>
          <w:ilvl w:val="0"/>
          <w:numId w:val="18"/>
        </w:numPr>
        <w:tabs>
          <w:tab w:val="left" w:pos="720"/>
        </w:tabs>
        <w:overflowPunct/>
        <w:autoSpaceDE/>
        <w:adjustRightInd/>
        <w:spacing w:before="0" w:after="160" w:line="256" w:lineRule="auto"/>
        <w:jc w:val="lowKashida"/>
        <w:rPr>
          <w:rFonts w:cstheme="minorHAnsi"/>
        </w:rPr>
      </w:pPr>
      <w:r w:rsidRPr="0097498B">
        <w:rPr>
          <w:rFonts w:cstheme="minorHAnsi"/>
        </w:rPr>
        <w:t xml:space="preserve">To review, as appropriate, the effectiveness of the current distribution of work among Study Groups and Working Parties, including the balance between conference-related and non-conference-related </w:t>
      </w:r>
      <w:proofErr w:type="gramStart"/>
      <w:r w:rsidRPr="0097498B">
        <w:rPr>
          <w:rFonts w:cstheme="minorHAnsi"/>
        </w:rPr>
        <w:t>activities;</w:t>
      </w:r>
      <w:proofErr w:type="gramEnd"/>
    </w:p>
    <w:p w14:paraId="092ABD75" w14:textId="77777777" w:rsidR="00C3371F" w:rsidRPr="00A31AEB" w:rsidRDefault="00C3371F" w:rsidP="00C3371F">
      <w:pPr>
        <w:pStyle w:val="ListParagraph"/>
        <w:numPr>
          <w:ilvl w:val="0"/>
          <w:numId w:val="18"/>
        </w:numPr>
        <w:tabs>
          <w:tab w:val="left" w:pos="720"/>
        </w:tabs>
        <w:overflowPunct/>
        <w:autoSpaceDE/>
        <w:adjustRightInd/>
        <w:spacing w:before="0" w:after="160" w:line="256" w:lineRule="auto"/>
        <w:rPr>
          <w:rFonts w:cstheme="minorHAnsi"/>
        </w:rPr>
      </w:pPr>
      <w:r w:rsidRPr="00A31AEB">
        <w:rPr>
          <w:rFonts w:cstheme="minorHAnsi"/>
        </w:rPr>
        <w:t>To identify structural and procedural challenges affecting the efficiency of ITU-R studies, including:</w:t>
      </w:r>
    </w:p>
    <w:p w14:paraId="47B2E880" w14:textId="77777777" w:rsidR="00C3371F" w:rsidRPr="00A31AEB" w:rsidRDefault="00C3371F" w:rsidP="00C3371F">
      <w:pPr>
        <w:pStyle w:val="ListParagraph"/>
        <w:numPr>
          <w:ilvl w:val="0"/>
          <w:numId w:val="19"/>
        </w:numPr>
        <w:tabs>
          <w:tab w:val="left" w:pos="720"/>
        </w:tabs>
        <w:overflowPunct/>
        <w:autoSpaceDE/>
        <w:adjustRightInd/>
        <w:spacing w:before="0" w:after="160" w:line="256" w:lineRule="auto"/>
        <w:rPr>
          <w:rFonts w:cstheme="minorHAnsi"/>
        </w:rPr>
      </w:pPr>
      <w:r>
        <w:rPr>
          <w:rFonts w:cstheme="minorHAnsi"/>
        </w:rPr>
        <w:t>W</w:t>
      </w:r>
      <w:r w:rsidRPr="00A31AEB">
        <w:rPr>
          <w:rFonts w:cstheme="minorHAnsi"/>
        </w:rPr>
        <w:t>orkloads in certain Study Groups,</w:t>
      </w:r>
    </w:p>
    <w:p w14:paraId="358E5CC7" w14:textId="77777777" w:rsidR="00C3371F" w:rsidRPr="00A31AEB" w:rsidRDefault="00C3371F" w:rsidP="00C3371F">
      <w:pPr>
        <w:pStyle w:val="ListParagraph"/>
        <w:numPr>
          <w:ilvl w:val="0"/>
          <w:numId w:val="19"/>
        </w:numPr>
        <w:tabs>
          <w:tab w:val="left" w:pos="720"/>
        </w:tabs>
        <w:overflowPunct/>
        <w:autoSpaceDE/>
        <w:adjustRightInd/>
        <w:spacing w:before="0" w:after="160" w:line="256" w:lineRule="auto"/>
        <w:rPr>
          <w:rFonts w:cstheme="minorHAnsi"/>
        </w:rPr>
      </w:pPr>
      <w:r>
        <w:rPr>
          <w:rFonts w:cstheme="minorHAnsi"/>
        </w:rPr>
        <w:t>I</w:t>
      </w:r>
      <w:r w:rsidRPr="00A31AEB">
        <w:rPr>
          <w:rFonts w:cstheme="minorHAnsi"/>
        </w:rPr>
        <w:t>nterdependencies between Study Groups,</w:t>
      </w:r>
    </w:p>
    <w:p w14:paraId="318A15CF" w14:textId="77777777" w:rsidR="00C3371F" w:rsidRPr="00A31AEB" w:rsidRDefault="00C3371F" w:rsidP="00C3371F">
      <w:pPr>
        <w:pStyle w:val="ListParagraph"/>
        <w:numPr>
          <w:ilvl w:val="0"/>
          <w:numId w:val="19"/>
        </w:numPr>
        <w:tabs>
          <w:tab w:val="left" w:pos="720"/>
        </w:tabs>
        <w:overflowPunct/>
        <w:autoSpaceDE/>
        <w:adjustRightInd/>
        <w:spacing w:before="0" w:after="160" w:line="256" w:lineRule="auto"/>
        <w:rPr>
          <w:rFonts w:cstheme="minorHAnsi"/>
        </w:rPr>
      </w:pPr>
      <w:r>
        <w:rPr>
          <w:rFonts w:cstheme="minorHAnsi"/>
        </w:rPr>
        <w:t>N</w:t>
      </w:r>
      <w:r w:rsidRPr="00A31AEB">
        <w:rPr>
          <w:rFonts w:cstheme="minorHAnsi"/>
        </w:rPr>
        <w:t>umber of contributions and participation levels,</w:t>
      </w:r>
    </w:p>
    <w:p w14:paraId="19738609" w14:textId="77777777" w:rsidR="00C3371F" w:rsidRDefault="00C3371F" w:rsidP="00C3371F">
      <w:pPr>
        <w:pStyle w:val="ListParagraph"/>
        <w:numPr>
          <w:ilvl w:val="0"/>
          <w:numId w:val="19"/>
        </w:numPr>
        <w:tabs>
          <w:tab w:val="left" w:pos="720"/>
        </w:tabs>
        <w:overflowPunct/>
        <w:autoSpaceDE/>
        <w:adjustRightInd/>
        <w:spacing w:before="0" w:after="160" w:line="256" w:lineRule="auto"/>
        <w:rPr>
          <w:rFonts w:cstheme="minorHAnsi"/>
        </w:rPr>
      </w:pPr>
      <w:r>
        <w:rPr>
          <w:rFonts w:cstheme="minorHAnsi"/>
        </w:rPr>
        <w:t>E</w:t>
      </w:r>
      <w:r w:rsidRPr="00A31AEB">
        <w:rPr>
          <w:rFonts w:cstheme="minorHAnsi"/>
        </w:rPr>
        <w:t>merging technologies requiring cross-disciplinary expertise.</w:t>
      </w:r>
    </w:p>
    <w:p w14:paraId="7FE9C6F4" w14:textId="77777777" w:rsidR="00C3371F" w:rsidRDefault="00C3371F" w:rsidP="00C3371F">
      <w:pPr>
        <w:pStyle w:val="ListParagraph"/>
        <w:numPr>
          <w:ilvl w:val="0"/>
          <w:numId w:val="18"/>
        </w:numPr>
        <w:tabs>
          <w:tab w:val="left" w:pos="720"/>
        </w:tabs>
        <w:overflowPunct/>
        <w:autoSpaceDE/>
        <w:adjustRightInd/>
        <w:spacing w:before="0" w:after="160" w:line="256" w:lineRule="auto"/>
        <w:rPr>
          <w:rFonts w:cstheme="minorHAnsi"/>
        </w:rPr>
      </w:pPr>
      <w:r w:rsidRPr="0097498B">
        <w:rPr>
          <w:rFonts w:cstheme="minorHAnsi"/>
        </w:rPr>
        <w:t xml:space="preserve">To assess whether identified challenges may be addressed through non-structural measures, including improved coordination, clearer mandates, improved working methods, or redistribution of selected topics and responsibilities among existing </w:t>
      </w:r>
      <w:proofErr w:type="gramStart"/>
      <w:r w:rsidRPr="0097498B">
        <w:rPr>
          <w:rFonts w:cstheme="minorHAnsi"/>
        </w:rPr>
        <w:t>groups;</w:t>
      </w:r>
      <w:proofErr w:type="gramEnd"/>
    </w:p>
    <w:p w14:paraId="46828DFA" w14:textId="77777777" w:rsidR="00C3371F" w:rsidRDefault="00C3371F" w:rsidP="00C3371F">
      <w:pPr>
        <w:pStyle w:val="ListParagraph"/>
        <w:numPr>
          <w:ilvl w:val="0"/>
          <w:numId w:val="18"/>
        </w:numPr>
        <w:tabs>
          <w:tab w:val="left" w:pos="720"/>
        </w:tabs>
        <w:overflowPunct/>
        <w:autoSpaceDE/>
        <w:adjustRightInd/>
        <w:spacing w:before="0" w:after="160" w:line="256" w:lineRule="auto"/>
        <w:rPr>
          <w:rFonts w:cstheme="minorHAnsi"/>
        </w:rPr>
      </w:pPr>
      <w:r w:rsidRPr="00A31AEB">
        <w:rPr>
          <w:rFonts w:cstheme="minorHAnsi"/>
        </w:rPr>
        <w:t xml:space="preserve">To develop </w:t>
      </w:r>
      <w:r w:rsidRPr="001508DE">
        <w:rPr>
          <w:rFonts w:cstheme="minorHAnsi"/>
        </w:rPr>
        <w:t>findings and possible options to improve the efficiency, coordination, and responsiveness of ITU-R studies, including procedural, coordinative, mandate-related, workload-distribution, and, where justified, structural options.</w:t>
      </w:r>
    </w:p>
    <w:p w14:paraId="198D9C18" w14:textId="77777777" w:rsidR="00C3371F" w:rsidRPr="00A31AEB" w:rsidRDefault="00C3371F" w:rsidP="00C3371F">
      <w:pPr>
        <w:pStyle w:val="ListParagraph"/>
        <w:numPr>
          <w:ilvl w:val="0"/>
          <w:numId w:val="18"/>
        </w:numPr>
        <w:tabs>
          <w:tab w:val="left" w:pos="720"/>
        </w:tabs>
        <w:overflowPunct/>
        <w:autoSpaceDE/>
        <w:adjustRightInd/>
        <w:spacing w:before="0" w:after="160" w:line="256" w:lineRule="auto"/>
        <w:jc w:val="lowKashida"/>
        <w:rPr>
          <w:rFonts w:cstheme="minorHAnsi"/>
        </w:rPr>
      </w:pPr>
      <w:r w:rsidRPr="00376F9D">
        <w:rPr>
          <w:rFonts w:cstheme="minorHAnsi"/>
        </w:rPr>
        <w:t xml:space="preserve">To </w:t>
      </w:r>
      <w:proofErr w:type="gramStart"/>
      <w:r w:rsidRPr="00376F9D">
        <w:rPr>
          <w:rFonts w:cstheme="minorHAnsi"/>
        </w:rPr>
        <w:t>take into account</w:t>
      </w:r>
      <w:proofErr w:type="gramEnd"/>
      <w:r w:rsidRPr="00376F9D">
        <w:rPr>
          <w:rFonts w:cstheme="minorHAnsi"/>
        </w:rPr>
        <w:t xml:space="preserve">, to the extent practicable, relevant </w:t>
      </w:r>
      <w:proofErr w:type="gramStart"/>
      <w:r w:rsidRPr="00376F9D">
        <w:rPr>
          <w:rFonts w:cstheme="minorHAnsi"/>
        </w:rPr>
        <w:t>factual information</w:t>
      </w:r>
      <w:proofErr w:type="gramEnd"/>
      <w:r w:rsidRPr="00376F9D">
        <w:rPr>
          <w:rFonts w:cstheme="minorHAnsi"/>
        </w:rPr>
        <w:t xml:space="preserve"> such as meeting frequency and duration, contribution volumes, approved outputs, participation trends, cross-Study Group dependencies, and operational/resource implications for the BR.</w:t>
      </w:r>
    </w:p>
    <w:p w14:paraId="68AA0A40" w14:textId="77777777" w:rsidR="00C3371F" w:rsidRPr="00D62B67" w:rsidRDefault="00C3371F" w:rsidP="00C3371F">
      <w:r>
        <w:t>The CG shall begin its work directly after the 33</w:t>
      </w:r>
      <w:r>
        <w:rPr>
          <w:vertAlign w:val="superscript"/>
        </w:rPr>
        <w:t>rd</w:t>
      </w:r>
      <w:r>
        <w:t xml:space="preserve"> Meeting of the RAG and to</w:t>
      </w:r>
      <w:r w:rsidRPr="00D62B67">
        <w:t xml:space="preserve"> seek information and guidance from the Radiocommunication Bureau (BR) regarding:</w:t>
      </w:r>
    </w:p>
    <w:p w14:paraId="5E5828AB" w14:textId="77777777" w:rsidR="00C3371F" w:rsidRPr="00D62B67" w:rsidRDefault="00C3371F" w:rsidP="00C3371F">
      <w:pPr>
        <w:pStyle w:val="ListParagraph"/>
        <w:numPr>
          <w:ilvl w:val="0"/>
          <w:numId w:val="20"/>
        </w:numPr>
        <w:jc w:val="lowKashida"/>
        <w:rPr>
          <w:rFonts w:cstheme="minorHAnsi"/>
        </w:rPr>
      </w:pPr>
      <w:r>
        <w:rPr>
          <w:rFonts w:cstheme="minorHAnsi"/>
        </w:rPr>
        <w:t>P</w:t>
      </w:r>
      <w:r w:rsidRPr="00D62B67">
        <w:rPr>
          <w:rFonts w:cstheme="minorHAnsi"/>
        </w:rPr>
        <w:t xml:space="preserve">rocedural requirements associated with </w:t>
      </w:r>
      <w:r>
        <w:rPr>
          <w:rFonts w:cstheme="minorHAnsi"/>
        </w:rPr>
        <w:t>re</w:t>
      </w:r>
      <w:r w:rsidRPr="007F0227">
        <w:rPr>
          <w:rFonts w:cstheme="minorHAnsi"/>
        </w:rPr>
        <w:t>structuri</w:t>
      </w:r>
      <w:r>
        <w:rPr>
          <w:rFonts w:cstheme="minorHAnsi"/>
        </w:rPr>
        <w:t xml:space="preserve">ng of </w:t>
      </w:r>
      <w:r w:rsidRPr="007F0227">
        <w:rPr>
          <w:rFonts w:cstheme="minorHAnsi"/>
        </w:rPr>
        <w:t>Study Groups</w:t>
      </w:r>
      <w:r w:rsidRPr="00D62B67">
        <w:rPr>
          <w:rFonts w:cstheme="minorHAnsi"/>
        </w:rPr>
        <w:t xml:space="preserve"> under Resolution ITU-R 4-9,</w:t>
      </w:r>
    </w:p>
    <w:p w14:paraId="771D05C7" w14:textId="77777777" w:rsidR="00C3371F" w:rsidRDefault="00C3371F" w:rsidP="00C3371F">
      <w:pPr>
        <w:pStyle w:val="ListParagraph"/>
        <w:numPr>
          <w:ilvl w:val="0"/>
          <w:numId w:val="20"/>
        </w:numPr>
        <w:jc w:val="lowKashida"/>
        <w:rPr>
          <w:rFonts w:cstheme="minorHAnsi"/>
        </w:rPr>
      </w:pPr>
      <w:r>
        <w:rPr>
          <w:rFonts w:cstheme="minorHAnsi"/>
        </w:rPr>
        <w:t>P</w:t>
      </w:r>
      <w:r w:rsidRPr="00D62B67">
        <w:rPr>
          <w:rFonts w:cstheme="minorHAnsi"/>
        </w:rPr>
        <w:t>ractical considerations for modifying the Study Group structure,</w:t>
      </w:r>
    </w:p>
    <w:p w14:paraId="2F73A572" w14:textId="77777777" w:rsidR="00C3371F" w:rsidRPr="00D62B67" w:rsidRDefault="00C3371F" w:rsidP="00C3371F">
      <w:pPr>
        <w:pStyle w:val="ListParagraph"/>
        <w:numPr>
          <w:ilvl w:val="0"/>
          <w:numId w:val="20"/>
        </w:numPr>
        <w:jc w:val="lowKashida"/>
        <w:rPr>
          <w:rFonts w:cstheme="minorHAnsi"/>
        </w:rPr>
      </w:pPr>
      <w:r w:rsidRPr="00376F9D">
        <w:rPr>
          <w:rFonts w:cstheme="minorHAnsi"/>
        </w:rPr>
        <w:t>Existing mechanisms that may support improved coordination and efficiency within the current Study Group framework.</w:t>
      </w:r>
    </w:p>
    <w:p w14:paraId="029ECD86" w14:textId="77777777" w:rsidR="00C3371F" w:rsidRPr="00D62B67" w:rsidRDefault="00C3371F" w:rsidP="00C3371F">
      <w:pPr>
        <w:pStyle w:val="ListParagraph"/>
        <w:numPr>
          <w:ilvl w:val="0"/>
          <w:numId w:val="20"/>
        </w:numPr>
        <w:jc w:val="lowKashida"/>
        <w:rPr>
          <w:rFonts w:cstheme="minorHAnsi"/>
        </w:rPr>
      </w:pPr>
      <w:r>
        <w:rPr>
          <w:rFonts w:cstheme="minorHAnsi"/>
        </w:rPr>
        <w:t>A</w:t>
      </w:r>
      <w:r w:rsidRPr="00D62B67">
        <w:rPr>
          <w:rFonts w:cstheme="minorHAnsi"/>
        </w:rPr>
        <w:t>ny operational or organizational implications of potential structural adjustments.</w:t>
      </w:r>
    </w:p>
    <w:p w14:paraId="213F4F9E" w14:textId="77777777" w:rsidR="00C3371F" w:rsidRDefault="00C3371F" w:rsidP="00C3371F">
      <w:pPr>
        <w:keepNext/>
      </w:pPr>
      <w:r w:rsidRPr="00D62B67">
        <w:t xml:space="preserve">The CG shall </w:t>
      </w:r>
      <w:r>
        <w:t>aim to submit a comprehensive report by the 34</w:t>
      </w:r>
      <w:r>
        <w:rPr>
          <w:vertAlign w:val="superscript"/>
        </w:rPr>
        <w:t>th</w:t>
      </w:r>
      <w:r>
        <w:t xml:space="preserve"> meeting of the RAG. Work should primarily be conducted through</w:t>
      </w:r>
      <w:r w:rsidRPr="00D62B67">
        <w:t xml:space="preserve"> correspondence and virtual meetings</w:t>
      </w:r>
      <w:r>
        <w:t xml:space="preserve"> </w:t>
      </w:r>
      <w:r w:rsidRPr="000C6324">
        <w:t xml:space="preserve">including no more than three </w:t>
      </w:r>
      <w:r w:rsidRPr="000C6324">
        <w:lastRenderedPageBreak/>
        <w:t>virtual meetings</w:t>
      </w:r>
      <w:r>
        <w:t>, adhering to sections § A1.3.2.9 and § A.1.3.2.10 of Resolution ITU-R 1-9 for efficiency and inclusiveness.</w:t>
      </w:r>
    </w:p>
    <w:p w14:paraId="14DE3440" w14:textId="77777777" w:rsidR="00C3371F" w:rsidRDefault="00C3371F" w:rsidP="00C3371F">
      <w:pPr>
        <w:keepNext/>
      </w:pPr>
      <w:r>
        <w:t xml:space="preserve">The CG is chaired by XXX (e-mail: </w:t>
      </w:r>
      <w:hyperlink r:id="rId18" w:history="1">
        <w:r>
          <w:rPr>
            <w:rStyle w:val="Hyperlink"/>
            <w:rFonts w:cstheme="minorHAnsi"/>
          </w:rPr>
          <w:t>XXX</w:t>
        </w:r>
      </w:hyperlink>
      <w:r>
        <w:t>) who will coordinate the activities and ensure timely communication and submission of the group's report 45 days prior to the 34</w:t>
      </w:r>
      <w:r>
        <w:rPr>
          <w:vertAlign w:val="superscript"/>
        </w:rPr>
        <w:t>th</w:t>
      </w:r>
      <w:r>
        <w:t xml:space="preserve"> meeting of the RAG.</w:t>
      </w:r>
    </w:p>
    <w:p w14:paraId="2B87292F" w14:textId="77777777" w:rsidR="00C3371F" w:rsidRDefault="00C3371F" w:rsidP="00C3371F">
      <w:pPr>
        <w:keepNext/>
      </w:pPr>
      <w:r>
        <w:t>Other relevant information for the work of this Correspondence Group will be provided on the RAG webpage.</w:t>
      </w:r>
    </w:p>
    <w:p w14:paraId="7B43B0CF" w14:textId="77777777" w:rsidR="00C3371F" w:rsidRPr="00896655" w:rsidRDefault="00C3371F" w:rsidP="00C3371F">
      <w:pPr>
        <w:keepNext/>
        <w:spacing w:before="600"/>
        <w:jc w:val="center"/>
      </w:pPr>
      <w:r w:rsidRPr="00896655">
        <w:t>______________</w:t>
      </w:r>
    </w:p>
    <w:p w14:paraId="702A9B02" w14:textId="77777777" w:rsidR="007F4F5C" w:rsidRDefault="007F4F5C">
      <w:pPr>
        <w:tabs>
          <w:tab w:val="clear" w:pos="794"/>
          <w:tab w:val="clear" w:pos="1191"/>
          <w:tab w:val="clear" w:pos="1588"/>
          <w:tab w:val="clear" w:pos="1985"/>
        </w:tabs>
        <w:overflowPunct/>
        <w:autoSpaceDE/>
        <w:autoSpaceDN/>
        <w:adjustRightInd/>
        <w:spacing w:before="0"/>
        <w:textAlignment w:val="auto"/>
        <w:rPr>
          <w:rFonts w:hint="eastAsia"/>
          <w:lang w:eastAsia="zh-CN"/>
        </w:rPr>
      </w:pPr>
    </w:p>
    <w:p w14:paraId="0528D5C5" w14:textId="77777777" w:rsidR="00B70E14" w:rsidRDefault="00B70E14" w:rsidP="00906598"/>
    <w:sectPr w:rsidR="00B70E14" w:rsidSect="00F749FF">
      <w:headerReference w:type="defaul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8265" w14:textId="77777777" w:rsidR="00885DDD" w:rsidRDefault="00885DDD">
      <w:r>
        <w:separator/>
      </w:r>
    </w:p>
  </w:endnote>
  <w:endnote w:type="continuationSeparator" w:id="0">
    <w:p w14:paraId="65C78A8E" w14:textId="77777777" w:rsidR="00885DDD" w:rsidRDefault="008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232B" w14:textId="77777777" w:rsidR="00885DDD" w:rsidRDefault="00885DDD">
      <w:r>
        <w:t>____________________</w:t>
      </w:r>
    </w:p>
  </w:footnote>
  <w:footnote w:type="continuationSeparator" w:id="0">
    <w:p w14:paraId="5B147277" w14:textId="77777777" w:rsidR="00885DDD" w:rsidRDefault="0088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D457"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2C37FD1A" w14:textId="1AE8D6AC" w:rsidR="00C126C1" w:rsidRDefault="00C126C1" w:rsidP="00237E22">
    <w:pPr>
      <w:pStyle w:val="Header"/>
      <w:rPr>
        <w:lang w:val="es-ES"/>
      </w:rPr>
    </w:pPr>
    <w:r>
      <w:rPr>
        <w:lang w:val="es-ES"/>
      </w:rPr>
      <w:t>RAG/</w:t>
    </w:r>
    <w:r w:rsidR="00885DDD">
      <w:rPr>
        <w:rFonts w:hint="eastAsia"/>
        <w:lang w:val="es-ES" w:eastAsia="zh-CN"/>
      </w:rPr>
      <w:t>77</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7C22"/>
    <w:multiLevelType w:val="hybridMultilevel"/>
    <w:tmpl w:val="E5BE2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6D5E"/>
    <w:multiLevelType w:val="hybridMultilevel"/>
    <w:tmpl w:val="DBE0B7D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9906590"/>
    <w:multiLevelType w:val="hybridMultilevel"/>
    <w:tmpl w:val="FF04F7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76C5D"/>
    <w:multiLevelType w:val="hybridMultilevel"/>
    <w:tmpl w:val="D6505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50BCB"/>
    <w:multiLevelType w:val="hybridMultilevel"/>
    <w:tmpl w:val="2280D7CC"/>
    <w:lvl w:ilvl="0" w:tplc="1A3CD4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673EE"/>
    <w:multiLevelType w:val="hybridMultilevel"/>
    <w:tmpl w:val="8AF69AD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F70A6"/>
    <w:multiLevelType w:val="hybridMultilevel"/>
    <w:tmpl w:val="CF9AF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D665C"/>
    <w:multiLevelType w:val="hybridMultilevel"/>
    <w:tmpl w:val="5F9A14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50FAC"/>
    <w:multiLevelType w:val="hybridMultilevel"/>
    <w:tmpl w:val="C73A8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D03A6"/>
    <w:multiLevelType w:val="hybridMultilevel"/>
    <w:tmpl w:val="5CCA1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A0136"/>
    <w:multiLevelType w:val="hybridMultilevel"/>
    <w:tmpl w:val="6C542D00"/>
    <w:lvl w:ilvl="0" w:tplc="1A3CD41A">
      <w:numFmt w:val="bullet"/>
      <w:lvlText w:val="-"/>
      <w:lvlJc w:val="left"/>
      <w:pPr>
        <w:ind w:left="1154" w:hanging="360"/>
      </w:pPr>
      <w:rPr>
        <w:rFonts w:ascii="Times New Roman" w:eastAsiaTheme="minorHAnsi" w:hAnsi="Times New Roman" w:cs="Times New Roman" w:hint="default"/>
      </w:rPr>
    </w:lvl>
    <w:lvl w:ilvl="1" w:tplc="08090003">
      <w:start w:val="1"/>
      <w:numFmt w:val="bullet"/>
      <w:lvlText w:val="o"/>
      <w:lvlJc w:val="left"/>
      <w:pPr>
        <w:ind w:left="1874" w:hanging="360"/>
      </w:pPr>
      <w:rPr>
        <w:rFonts w:ascii="Courier New" w:hAnsi="Courier New" w:cs="Courier New" w:hint="default"/>
      </w:rPr>
    </w:lvl>
    <w:lvl w:ilvl="2" w:tplc="08090005">
      <w:start w:val="1"/>
      <w:numFmt w:val="bullet"/>
      <w:lvlText w:val=""/>
      <w:lvlJc w:val="left"/>
      <w:pPr>
        <w:ind w:left="2594" w:hanging="360"/>
      </w:pPr>
      <w:rPr>
        <w:rFonts w:ascii="Wingdings" w:hAnsi="Wingdings" w:hint="default"/>
      </w:rPr>
    </w:lvl>
    <w:lvl w:ilvl="3" w:tplc="08090001">
      <w:start w:val="1"/>
      <w:numFmt w:val="bullet"/>
      <w:lvlText w:val=""/>
      <w:lvlJc w:val="left"/>
      <w:pPr>
        <w:ind w:left="3314" w:hanging="360"/>
      </w:pPr>
      <w:rPr>
        <w:rFonts w:ascii="Symbol" w:hAnsi="Symbol" w:hint="default"/>
      </w:rPr>
    </w:lvl>
    <w:lvl w:ilvl="4" w:tplc="08090003">
      <w:start w:val="1"/>
      <w:numFmt w:val="bullet"/>
      <w:lvlText w:val="o"/>
      <w:lvlJc w:val="left"/>
      <w:pPr>
        <w:ind w:left="4034" w:hanging="360"/>
      </w:pPr>
      <w:rPr>
        <w:rFonts w:ascii="Courier New" w:hAnsi="Courier New" w:cs="Courier New" w:hint="default"/>
      </w:rPr>
    </w:lvl>
    <w:lvl w:ilvl="5" w:tplc="08090005">
      <w:start w:val="1"/>
      <w:numFmt w:val="bullet"/>
      <w:lvlText w:val=""/>
      <w:lvlJc w:val="left"/>
      <w:pPr>
        <w:ind w:left="4754" w:hanging="360"/>
      </w:pPr>
      <w:rPr>
        <w:rFonts w:ascii="Wingdings" w:hAnsi="Wingdings" w:hint="default"/>
      </w:rPr>
    </w:lvl>
    <w:lvl w:ilvl="6" w:tplc="08090001">
      <w:start w:val="1"/>
      <w:numFmt w:val="bullet"/>
      <w:lvlText w:val=""/>
      <w:lvlJc w:val="left"/>
      <w:pPr>
        <w:ind w:left="5474" w:hanging="360"/>
      </w:pPr>
      <w:rPr>
        <w:rFonts w:ascii="Symbol" w:hAnsi="Symbol" w:hint="default"/>
      </w:rPr>
    </w:lvl>
    <w:lvl w:ilvl="7" w:tplc="08090003">
      <w:start w:val="1"/>
      <w:numFmt w:val="bullet"/>
      <w:lvlText w:val="o"/>
      <w:lvlJc w:val="left"/>
      <w:pPr>
        <w:ind w:left="6194" w:hanging="360"/>
      </w:pPr>
      <w:rPr>
        <w:rFonts w:ascii="Courier New" w:hAnsi="Courier New" w:cs="Courier New" w:hint="default"/>
      </w:rPr>
    </w:lvl>
    <w:lvl w:ilvl="8" w:tplc="08090005">
      <w:start w:val="1"/>
      <w:numFmt w:val="bullet"/>
      <w:lvlText w:val=""/>
      <w:lvlJc w:val="left"/>
      <w:pPr>
        <w:ind w:left="6914" w:hanging="360"/>
      </w:pPr>
      <w:rPr>
        <w:rFonts w:ascii="Wingdings" w:hAnsi="Wingdings" w:hint="default"/>
      </w:rPr>
    </w:lvl>
  </w:abstractNum>
  <w:abstractNum w:abstractNumId="21" w15:restartNumberingAfterBreak="0">
    <w:nsid w:val="749A0E63"/>
    <w:multiLevelType w:val="hybridMultilevel"/>
    <w:tmpl w:val="37EE1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03720">
    <w:abstractNumId w:val="9"/>
  </w:num>
  <w:num w:numId="2" w16cid:durableId="625506732">
    <w:abstractNumId w:val="7"/>
  </w:num>
  <w:num w:numId="3" w16cid:durableId="1409572867">
    <w:abstractNumId w:val="6"/>
  </w:num>
  <w:num w:numId="4" w16cid:durableId="255863643">
    <w:abstractNumId w:val="5"/>
  </w:num>
  <w:num w:numId="5" w16cid:durableId="1688554540">
    <w:abstractNumId w:val="4"/>
  </w:num>
  <w:num w:numId="6" w16cid:durableId="417093874">
    <w:abstractNumId w:val="8"/>
  </w:num>
  <w:num w:numId="7" w16cid:durableId="958947963">
    <w:abstractNumId w:val="3"/>
  </w:num>
  <w:num w:numId="8" w16cid:durableId="930772091">
    <w:abstractNumId w:val="2"/>
  </w:num>
  <w:num w:numId="9" w16cid:durableId="123543551">
    <w:abstractNumId w:val="1"/>
  </w:num>
  <w:num w:numId="10" w16cid:durableId="1410811299">
    <w:abstractNumId w:val="0"/>
  </w:num>
  <w:num w:numId="11" w16cid:durableId="269359496">
    <w:abstractNumId w:val="19"/>
  </w:num>
  <w:num w:numId="12" w16cid:durableId="1423841555">
    <w:abstractNumId w:val="12"/>
  </w:num>
  <w:num w:numId="13" w16cid:durableId="987829365">
    <w:abstractNumId w:val="10"/>
  </w:num>
  <w:num w:numId="14" w16cid:durableId="1028725263">
    <w:abstractNumId w:val="16"/>
  </w:num>
  <w:num w:numId="15" w16cid:durableId="343166780">
    <w:abstractNumId w:val="21"/>
  </w:num>
  <w:num w:numId="16" w16cid:durableId="761953753">
    <w:abstractNumId w:val="18"/>
  </w:num>
  <w:num w:numId="17" w16cid:durableId="668562859">
    <w:abstractNumId w:val="13"/>
  </w:num>
  <w:num w:numId="18" w16cid:durableId="1897400308">
    <w:abstractNumId w:val="20"/>
  </w:num>
  <w:num w:numId="19" w16cid:durableId="1465729341">
    <w:abstractNumId w:val="11"/>
  </w:num>
  <w:num w:numId="20" w16cid:durableId="513962919">
    <w:abstractNumId w:val="14"/>
  </w:num>
  <w:num w:numId="21" w16cid:durableId="1129781150">
    <w:abstractNumId w:val="17"/>
  </w:num>
  <w:num w:numId="22" w16cid:durableId="2081829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DD"/>
    <w:rsid w:val="00093C73"/>
    <w:rsid w:val="000F0ECF"/>
    <w:rsid w:val="000F2431"/>
    <w:rsid w:val="001377D6"/>
    <w:rsid w:val="0015523C"/>
    <w:rsid w:val="001632FD"/>
    <w:rsid w:val="001A3691"/>
    <w:rsid w:val="001E41A0"/>
    <w:rsid w:val="00230F53"/>
    <w:rsid w:val="00237E22"/>
    <w:rsid w:val="00265B2B"/>
    <w:rsid w:val="002774E4"/>
    <w:rsid w:val="002F4DA3"/>
    <w:rsid w:val="00324B33"/>
    <w:rsid w:val="003D068D"/>
    <w:rsid w:val="003E2CE2"/>
    <w:rsid w:val="00420F57"/>
    <w:rsid w:val="00465DDF"/>
    <w:rsid w:val="00481551"/>
    <w:rsid w:val="004912FE"/>
    <w:rsid w:val="004F0848"/>
    <w:rsid w:val="00500E15"/>
    <w:rsid w:val="00501523"/>
    <w:rsid w:val="00507DA3"/>
    <w:rsid w:val="0051782D"/>
    <w:rsid w:val="00541ABD"/>
    <w:rsid w:val="00597657"/>
    <w:rsid w:val="005B2C58"/>
    <w:rsid w:val="00656189"/>
    <w:rsid w:val="00681641"/>
    <w:rsid w:val="006A44AB"/>
    <w:rsid w:val="006B4CFB"/>
    <w:rsid w:val="006C1202"/>
    <w:rsid w:val="006C6253"/>
    <w:rsid w:val="006E7D35"/>
    <w:rsid w:val="00746923"/>
    <w:rsid w:val="007934C9"/>
    <w:rsid w:val="007F4F5C"/>
    <w:rsid w:val="007F55BA"/>
    <w:rsid w:val="00806E63"/>
    <w:rsid w:val="0081028D"/>
    <w:rsid w:val="008470A4"/>
    <w:rsid w:val="00885DDD"/>
    <w:rsid w:val="008A0CD8"/>
    <w:rsid w:val="008B3F50"/>
    <w:rsid w:val="00906598"/>
    <w:rsid w:val="00952067"/>
    <w:rsid w:val="0095426A"/>
    <w:rsid w:val="00971BF2"/>
    <w:rsid w:val="00972419"/>
    <w:rsid w:val="0098351F"/>
    <w:rsid w:val="009D27EC"/>
    <w:rsid w:val="009E2D88"/>
    <w:rsid w:val="00A16CB2"/>
    <w:rsid w:val="00A55D36"/>
    <w:rsid w:val="00AC6775"/>
    <w:rsid w:val="00AF7CE7"/>
    <w:rsid w:val="00B1110A"/>
    <w:rsid w:val="00B22781"/>
    <w:rsid w:val="00B35BE4"/>
    <w:rsid w:val="00B409FB"/>
    <w:rsid w:val="00B52992"/>
    <w:rsid w:val="00B70E14"/>
    <w:rsid w:val="00B82984"/>
    <w:rsid w:val="00C126C1"/>
    <w:rsid w:val="00C2188B"/>
    <w:rsid w:val="00C322C4"/>
    <w:rsid w:val="00C3371F"/>
    <w:rsid w:val="00C458E6"/>
    <w:rsid w:val="00CC1D49"/>
    <w:rsid w:val="00CD4D80"/>
    <w:rsid w:val="00CE366B"/>
    <w:rsid w:val="00CF7532"/>
    <w:rsid w:val="00D211BC"/>
    <w:rsid w:val="00D761AB"/>
    <w:rsid w:val="00DC3B29"/>
    <w:rsid w:val="00DD3BF8"/>
    <w:rsid w:val="00E7590D"/>
    <w:rsid w:val="00EA7929"/>
    <w:rsid w:val="00EC0BE3"/>
    <w:rsid w:val="00F176DA"/>
    <w:rsid w:val="00F279F5"/>
    <w:rsid w:val="00F60F42"/>
    <w:rsid w:val="00F749FF"/>
    <w:rsid w:val="00FC1E29"/>
    <w:rsid w:val="00FE140F"/>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2C9CB"/>
  <w15:docId w15:val="{1123299A-8433-41B4-B2CF-DD317253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aliases w:val="超级链接,超?级链,CEO_Hyperlink,Style 58,超????,하이퍼링크2,超链接1,하이퍼링크21,超??级链Ú,fL????,fL?级,超??级链,超?级链Ú,’´?级链,’´????,’´??级链Ú,’´??级,超?级链?,Style?,S"/>
    <w:basedOn w:val="DefaultParagraphFont"/>
    <w:qFormat/>
    <w:rsid w:val="00885DDD"/>
    <w:rPr>
      <w:color w:val="0000FF"/>
      <w:u w:val="single"/>
    </w:rPr>
  </w:style>
  <w:style w:type="paragraph" w:styleId="ListParagraph">
    <w:name w:val="List Paragraph"/>
    <w:basedOn w:val="Normal"/>
    <w:link w:val="ListParagraphChar"/>
    <w:uiPriority w:val="34"/>
    <w:qFormat/>
    <w:rsid w:val="00B82984"/>
    <w:pPr>
      <w:tabs>
        <w:tab w:val="clear" w:pos="794"/>
        <w:tab w:val="clear" w:pos="1191"/>
        <w:tab w:val="clear" w:pos="1588"/>
        <w:tab w:val="clear" w:pos="1985"/>
        <w:tab w:val="left" w:pos="1134"/>
        <w:tab w:val="left" w:pos="1871"/>
        <w:tab w:val="left" w:pos="2268"/>
      </w:tabs>
      <w:ind w:left="720"/>
      <w:contextualSpacing/>
      <w:textAlignment w:val="auto"/>
    </w:pPr>
    <w:rPr>
      <w:rFonts w:eastAsia="SimSun"/>
    </w:rPr>
  </w:style>
  <w:style w:type="character" w:customStyle="1" w:styleId="ListParagraphChar">
    <w:name w:val="List Paragraph Char"/>
    <w:basedOn w:val="DefaultParagraphFont"/>
    <w:link w:val="ListParagraph"/>
    <w:uiPriority w:val="34"/>
    <w:locked/>
    <w:rsid w:val="00B82984"/>
    <w:rPr>
      <w:rFonts w:ascii="Times New Roman" w:eastAsia="SimSun" w:hAnsi="Times New Roman"/>
      <w:sz w:val="24"/>
      <w:lang w:val="en-GB" w:eastAsia="en-US"/>
    </w:rPr>
  </w:style>
  <w:style w:type="paragraph" w:customStyle="1" w:styleId="Figuretitle">
    <w:name w:val="Figure_title"/>
    <w:basedOn w:val="Normal"/>
    <w:next w:val="Normal"/>
    <w:link w:val="FiguretitleChar"/>
    <w:rsid w:val="00E7590D"/>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customStyle="1" w:styleId="FigureNo">
    <w:name w:val="Figure_No"/>
    <w:basedOn w:val="Normal"/>
    <w:next w:val="Normal"/>
    <w:rsid w:val="00E7590D"/>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character" w:customStyle="1" w:styleId="FiguretitleChar">
    <w:name w:val="Figure_title Char"/>
    <w:basedOn w:val="DefaultParagraphFont"/>
    <w:link w:val="Figuretitle"/>
    <w:rsid w:val="00E7590D"/>
    <w:rPr>
      <w:rFonts w:ascii="Times New Roman Bold" w:hAnsi="Times New Roman Bold"/>
      <w:b/>
      <w:lang w:val="en-GB" w:eastAsia="en-US"/>
    </w:rPr>
  </w:style>
  <w:style w:type="paragraph" w:customStyle="1" w:styleId="AnnexNo">
    <w:name w:val="Annex_No"/>
    <w:basedOn w:val="Normal"/>
    <w:next w:val="Normal"/>
    <w:rsid w:val="00C3371F"/>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7/en" TargetMode="External"/><Relationship Id="rId13" Type="http://schemas.openxmlformats.org/officeDocument/2006/relationships/chart" Target="charts/chart1.xml"/><Relationship Id="rId18" Type="http://schemas.openxmlformats.org/officeDocument/2006/relationships/hyperlink" Target="mailto:fabghamdi@citc.gov.s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23-SG05-C-0096/en" TargetMode="External"/><Relationship Id="rId5" Type="http://schemas.openxmlformats.org/officeDocument/2006/relationships/footnotes" Target="footnotes.xml"/><Relationship Id="rId15" Type="http://schemas.openxmlformats.org/officeDocument/2006/relationships/hyperlink" Target="https://www.itu.int/md/R23-RAG-C-0058/en" TargetMode="External"/><Relationship Id="rId10" Type="http://schemas.openxmlformats.org/officeDocument/2006/relationships/hyperlink" Target="https://www.itu.int/md/R23-SG04-C-0047/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R23-RAG-C-0058/en" TargetMode="Externa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M:\CPDU\Meeting%20Preparation\2026\RAG%202026\Documents\Contributions\PE_RAG.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1605;&#1604;&#1601;&#1575;&#1578;%20&#1575;&#1604;&#1591;&#1610;&#1601;\&#1575;&#1583;&#1575;&#1585;&#1577;%20&#1575;&#1604;&#1578;&#1606;&#1587;&#1610;&#1602;%20&#1575;&#1604;&#1583;&#1608;&#1604;&#1610;\&#1575;&#1604;&#1578;&#1606;&#1592;&#1610;&#1605;&#1575;&#1578;%20&#1608;%20&#1575;&#1604;&#1583;&#1585;&#1575;&#1587;&#1575;&#1578;\RAG\33rd%20meeting\SG\SG%20wor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605;&#1604;&#1601;&#1575;&#1578;%20&#1575;&#1604;&#1591;&#1610;&#1601;\&#1575;&#1583;&#1575;&#1585;&#1577;%20&#1575;&#1604;&#1578;&#1606;&#1587;&#1610;&#1602;%20&#1575;&#1604;&#1583;&#1608;&#1604;&#1610;\&#1575;&#1604;&#1578;&#1606;&#1592;&#1610;&#1605;&#1575;&#1578;%20&#1608;%20&#1575;&#1604;&#1583;&#1585;&#1575;&#1587;&#1575;&#1578;\RAG\33rd%20meeting\SG\SG%20wor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Sheet2!$B$28</c:f>
              <c:strCache>
                <c:ptCount val="1"/>
                <c:pt idx="0">
                  <c:v>2007-2012 (WRC-12)</c:v>
                </c:pt>
              </c:strCache>
            </c:strRef>
          </c:tx>
          <c:spPr>
            <a:solidFill>
              <a:schemeClr val="accent1"/>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Sheet2!$B$29:$B$34</c:f>
              <c:numCache>
                <c:formatCode>General</c:formatCode>
                <c:ptCount val="6"/>
                <c:pt idx="0">
                  <c:v>516</c:v>
                </c:pt>
                <c:pt idx="1">
                  <c:v>391</c:v>
                </c:pt>
                <c:pt idx="2">
                  <c:v>828</c:v>
                </c:pt>
                <c:pt idx="3">
                  <c:v>1859</c:v>
                </c:pt>
                <c:pt idx="4">
                  <c:v>949</c:v>
                </c:pt>
                <c:pt idx="5">
                  <c:v>572</c:v>
                </c:pt>
              </c:numCache>
            </c:numRef>
          </c:val>
          <c:extLst>
            <c:ext xmlns:c16="http://schemas.microsoft.com/office/drawing/2014/chart" uri="{C3380CC4-5D6E-409C-BE32-E72D297353CC}">
              <c16:uniqueId val="{00000000-32CF-4FC6-BC38-E8C0A893536F}"/>
            </c:ext>
          </c:extLst>
        </c:ser>
        <c:ser>
          <c:idx val="1"/>
          <c:order val="1"/>
          <c:tx>
            <c:strRef>
              <c:f>Sheet2!$C$28</c:f>
              <c:strCache>
                <c:ptCount val="1"/>
                <c:pt idx="0">
                  <c:v>2012-2015 (WRC-15)</c:v>
                </c:pt>
              </c:strCache>
            </c:strRef>
          </c:tx>
          <c:spPr>
            <a:solidFill>
              <a:schemeClr val="accent2"/>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Sheet2!$C$29:$C$34</c:f>
              <c:numCache>
                <c:formatCode>General</c:formatCode>
                <c:ptCount val="6"/>
                <c:pt idx="0">
                  <c:v>575</c:v>
                </c:pt>
                <c:pt idx="1">
                  <c:v>539</c:v>
                </c:pt>
                <c:pt idx="2">
                  <c:v>1191</c:v>
                </c:pt>
                <c:pt idx="3">
                  <c:v>2763</c:v>
                </c:pt>
                <c:pt idx="4">
                  <c:v>1447</c:v>
                </c:pt>
                <c:pt idx="5">
                  <c:v>949</c:v>
                </c:pt>
              </c:numCache>
            </c:numRef>
          </c:val>
          <c:extLst>
            <c:ext xmlns:c16="http://schemas.microsoft.com/office/drawing/2014/chart" uri="{C3380CC4-5D6E-409C-BE32-E72D297353CC}">
              <c16:uniqueId val="{00000001-32CF-4FC6-BC38-E8C0A893536F}"/>
            </c:ext>
          </c:extLst>
        </c:ser>
        <c:ser>
          <c:idx val="2"/>
          <c:order val="2"/>
          <c:tx>
            <c:strRef>
              <c:f>Sheet2!$D$28</c:f>
              <c:strCache>
                <c:ptCount val="1"/>
                <c:pt idx="0">
                  <c:v>2015-2019 (WRC-19)</c:v>
                </c:pt>
              </c:strCache>
            </c:strRef>
          </c:tx>
          <c:spPr>
            <a:solidFill>
              <a:schemeClr val="accent3"/>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Sheet2!$D$29:$D$34</c:f>
              <c:numCache>
                <c:formatCode>General</c:formatCode>
                <c:ptCount val="6"/>
                <c:pt idx="0">
                  <c:v>694</c:v>
                </c:pt>
                <c:pt idx="1">
                  <c:v>737</c:v>
                </c:pt>
                <c:pt idx="2">
                  <c:v>908</c:v>
                </c:pt>
                <c:pt idx="3">
                  <c:v>2300</c:v>
                </c:pt>
                <c:pt idx="4">
                  <c:v>989</c:v>
                </c:pt>
                <c:pt idx="5">
                  <c:v>655</c:v>
                </c:pt>
              </c:numCache>
            </c:numRef>
          </c:val>
          <c:extLst>
            <c:ext xmlns:c16="http://schemas.microsoft.com/office/drawing/2014/chart" uri="{C3380CC4-5D6E-409C-BE32-E72D297353CC}">
              <c16:uniqueId val="{00000002-32CF-4FC6-BC38-E8C0A893536F}"/>
            </c:ext>
          </c:extLst>
        </c:ser>
        <c:ser>
          <c:idx val="3"/>
          <c:order val="3"/>
          <c:tx>
            <c:strRef>
              <c:f>Sheet2!$E$28</c:f>
              <c:strCache>
                <c:ptCount val="1"/>
                <c:pt idx="0">
                  <c:v>2019-2023 (WRC-23)</c:v>
                </c:pt>
              </c:strCache>
            </c:strRef>
          </c:tx>
          <c:spPr>
            <a:solidFill>
              <a:schemeClr val="accent4"/>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Sheet2!$E$29:$E$34</c:f>
              <c:numCache>
                <c:formatCode>General</c:formatCode>
                <c:ptCount val="6"/>
                <c:pt idx="0">
                  <c:v>391</c:v>
                </c:pt>
                <c:pt idx="1">
                  <c:v>676</c:v>
                </c:pt>
                <c:pt idx="2">
                  <c:v>938</c:v>
                </c:pt>
                <c:pt idx="3">
                  <c:v>2771</c:v>
                </c:pt>
                <c:pt idx="4">
                  <c:v>694</c:v>
                </c:pt>
                <c:pt idx="5">
                  <c:v>627</c:v>
                </c:pt>
              </c:numCache>
            </c:numRef>
          </c:val>
          <c:extLst>
            <c:ext xmlns:c16="http://schemas.microsoft.com/office/drawing/2014/chart" uri="{C3380CC4-5D6E-409C-BE32-E72D297353CC}">
              <c16:uniqueId val="{00000003-32CF-4FC6-BC38-E8C0A893536F}"/>
            </c:ext>
          </c:extLst>
        </c:ser>
        <c:ser>
          <c:idx val="4"/>
          <c:order val="4"/>
          <c:tx>
            <c:strRef>
              <c:f>Sheet2!$F$28</c:f>
              <c:strCache>
                <c:ptCount val="1"/>
                <c:pt idx="0">
                  <c:v>2023-2027 (WRC-27)</c:v>
                </c:pt>
              </c:strCache>
            </c:strRef>
          </c:tx>
          <c:spPr>
            <a:solidFill>
              <a:schemeClr val="accent5"/>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Sheet2!$F$29:$F$34</c:f>
              <c:numCache>
                <c:formatCode>General</c:formatCode>
                <c:ptCount val="6"/>
                <c:pt idx="0">
                  <c:v>267</c:v>
                </c:pt>
                <c:pt idx="1">
                  <c:v>688</c:v>
                </c:pt>
                <c:pt idx="2">
                  <c:v>1588</c:v>
                </c:pt>
                <c:pt idx="3">
                  <c:v>2138</c:v>
                </c:pt>
                <c:pt idx="4">
                  <c:v>614</c:v>
                </c:pt>
                <c:pt idx="5">
                  <c:v>820</c:v>
                </c:pt>
              </c:numCache>
            </c:numRef>
          </c:val>
          <c:extLst>
            <c:ext xmlns:c16="http://schemas.microsoft.com/office/drawing/2014/chart" uri="{C3380CC4-5D6E-409C-BE32-E72D297353CC}">
              <c16:uniqueId val="{00000004-32CF-4FC6-BC38-E8C0A893536F}"/>
            </c:ext>
          </c:extLst>
        </c:ser>
        <c:dLbls>
          <c:showLegendKey val="0"/>
          <c:showVal val="0"/>
          <c:showCatName val="0"/>
          <c:showSerName val="0"/>
          <c:showPercent val="0"/>
          <c:showBubbleSize val="0"/>
        </c:dLbls>
        <c:gapWidth val="219"/>
        <c:axId val="1270705583"/>
        <c:axId val="1270703919"/>
      </c:barChart>
      <c:catAx>
        <c:axId val="127070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703919"/>
        <c:crosses val="autoZero"/>
        <c:auto val="1"/>
        <c:lblAlgn val="ctr"/>
        <c:lblOffset val="100"/>
        <c:noMultiLvlLbl val="0"/>
      </c:catAx>
      <c:valAx>
        <c:axId val="1270703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70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Sheet2!$B$46</c:f>
              <c:strCache>
                <c:ptCount val="1"/>
                <c:pt idx="0">
                  <c:v>2007-2012 (WRC-12)</c:v>
                </c:pt>
              </c:strCache>
            </c:strRef>
          </c:tx>
          <c:spPr>
            <a:solidFill>
              <a:schemeClr val="accent1"/>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Sheet2!$B$47:$B$52</c:f>
              <c:numCache>
                <c:formatCode>General</c:formatCode>
                <c:ptCount val="6"/>
                <c:pt idx="0">
                  <c:v>16</c:v>
                </c:pt>
                <c:pt idx="1">
                  <c:v>7</c:v>
                </c:pt>
                <c:pt idx="2">
                  <c:v>28</c:v>
                </c:pt>
                <c:pt idx="3">
                  <c:v>51</c:v>
                </c:pt>
                <c:pt idx="4">
                  <c:v>19</c:v>
                </c:pt>
                <c:pt idx="5">
                  <c:v>20</c:v>
                </c:pt>
              </c:numCache>
            </c:numRef>
          </c:val>
          <c:extLst>
            <c:ext xmlns:c16="http://schemas.microsoft.com/office/drawing/2014/chart" uri="{C3380CC4-5D6E-409C-BE32-E72D297353CC}">
              <c16:uniqueId val="{00000000-FF2B-45B2-8E72-F4372E526C30}"/>
            </c:ext>
          </c:extLst>
        </c:ser>
        <c:ser>
          <c:idx val="1"/>
          <c:order val="1"/>
          <c:tx>
            <c:strRef>
              <c:f>Sheet2!$C$46</c:f>
              <c:strCache>
                <c:ptCount val="1"/>
                <c:pt idx="0">
                  <c:v>2012-2015 (WRC-15)</c:v>
                </c:pt>
              </c:strCache>
            </c:strRef>
          </c:tx>
          <c:spPr>
            <a:solidFill>
              <a:schemeClr val="accent2"/>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Sheet2!$C$47:$C$52</c:f>
              <c:numCache>
                <c:formatCode>General</c:formatCode>
                <c:ptCount val="6"/>
                <c:pt idx="0">
                  <c:v>15</c:v>
                </c:pt>
                <c:pt idx="1">
                  <c:v>7</c:v>
                </c:pt>
                <c:pt idx="2">
                  <c:v>25</c:v>
                </c:pt>
                <c:pt idx="3">
                  <c:v>31</c:v>
                </c:pt>
                <c:pt idx="4">
                  <c:v>13</c:v>
                </c:pt>
                <c:pt idx="5">
                  <c:v>20</c:v>
                </c:pt>
              </c:numCache>
            </c:numRef>
          </c:val>
          <c:extLst>
            <c:ext xmlns:c16="http://schemas.microsoft.com/office/drawing/2014/chart" uri="{C3380CC4-5D6E-409C-BE32-E72D297353CC}">
              <c16:uniqueId val="{00000001-FF2B-45B2-8E72-F4372E526C30}"/>
            </c:ext>
          </c:extLst>
        </c:ser>
        <c:ser>
          <c:idx val="2"/>
          <c:order val="2"/>
          <c:tx>
            <c:strRef>
              <c:f>Sheet2!$D$46</c:f>
              <c:strCache>
                <c:ptCount val="1"/>
                <c:pt idx="0">
                  <c:v>2015-2019 (WRC-19)</c:v>
                </c:pt>
              </c:strCache>
            </c:strRef>
          </c:tx>
          <c:spPr>
            <a:solidFill>
              <a:schemeClr val="accent3"/>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Sheet2!$D$47:$D$52</c:f>
              <c:numCache>
                <c:formatCode>General</c:formatCode>
                <c:ptCount val="6"/>
                <c:pt idx="0">
                  <c:v>13</c:v>
                </c:pt>
                <c:pt idx="1">
                  <c:v>7</c:v>
                </c:pt>
                <c:pt idx="2">
                  <c:v>8</c:v>
                </c:pt>
                <c:pt idx="3">
                  <c:v>14</c:v>
                </c:pt>
                <c:pt idx="4">
                  <c:v>15</c:v>
                </c:pt>
                <c:pt idx="5">
                  <c:v>18</c:v>
                </c:pt>
              </c:numCache>
            </c:numRef>
          </c:val>
          <c:extLst>
            <c:ext xmlns:c16="http://schemas.microsoft.com/office/drawing/2014/chart" uri="{C3380CC4-5D6E-409C-BE32-E72D297353CC}">
              <c16:uniqueId val="{00000002-FF2B-45B2-8E72-F4372E526C30}"/>
            </c:ext>
          </c:extLst>
        </c:ser>
        <c:ser>
          <c:idx val="3"/>
          <c:order val="3"/>
          <c:tx>
            <c:strRef>
              <c:f>Sheet2!$E$46</c:f>
              <c:strCache>
                <c:ptCount val="1"/>
                <c:pt idx="0">
                  <c:v>2019-2023 (WRC-23)</c:v>
                </c:pt>
              </c:strCache>
            </c:strRef>
          </c:tx>
          <c:spPr>
            <a:solidFill>
              <a:schemeClr val="accent4"/>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Sheet2!$E$47:$E$52</c:f>
              <c:numCache>
                <c:formatCode>General</c:formatCode>
                <c:ptCount val="6"/>
                <c:pt idx="0">
                  <c:v>10</c:v>
                </c:pt>
                <c:pt idx="1">
                  <c:v>6</c:v>
                </c:pt>
                <c:pt idx="2">
                  <c:v>2</c:v>
                </c:pt>
                <c:pt idx="3">
                  <c:v>10</c:v>
                </c:pt>
                <c:pt idx="4">
                  <c:v>15</c:v>
                </c:pt>
                <c:pt idx="5">
                  <c:v>8</c:v>
                </c:pt>
              </c:numCache>
            </c:numRef>
          </c:val>
          <c:extLst>
            <c:ext xmlns:c16="http://schemas.microsoft.com/office/drawing/2014/chart" uri="{C3380CC4-5D6E-409C-BE32-E72D297353CC}">
              <c16:uniqueId val="{00000003-FF2B-45B2-8E72-F4372E526C30}"/>
            </c:ext>
          </c:extLst>
        </c:ser>
        <c:ser>
          <c:idx val="4"/>
          <c:order val="4"/>
          <c:tx>
            <c:strRef>
              <c:f>Sheet2!$F$46</c:f>
              <c:strCache>
                <c:ptCount val="1"/>
                <c:pt idx="0">
                  <c:v>2023-2027 (WRC-27)</c:v>
                </c:pt>
              </c:strCache>
            </c:strRef>
          </c:tx>
          <c:spPr>
            <a:solidFill>
              <a:schemeClr val="accent5"/>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Sheet2!$F$47:$F$52</c:f>
              <c:numCache>
                <c:formatCode>General</c:formatCode>
                <c:ptCount val="6"/>
                <c:pt idx="0">
                  <c:v>12</c:v>
                </c:pt>
                <c:pt idx="1">
                  <c:v>22</c:v>
                </c:pt>
                <c:pt idx="2">
                  <c:v>5</c:v>
                </c:pt>
                <c:pt idx="4">
                  <c:v>37</c:v>
                </c:pt>
                <c:pt idx="5">
                  <c:v>1</c:v>
                </c:pt>
              </c:numCache>
            </c:numRef>
          </c:val>
          <c:extLst>
            <c:ext xmlns:c16="http://schemas.microsoft.com/office/drawing/2014/chart" uri="{C3380CC4-5D6E-409C-BE32-E72D297353CC}">
              <c16:uniqueId val="{00000004-FF2B-45B2-8E72-F4372E526C30}"/>
            </c:ext>
          </c:extLst>
        </c:ser>
        <c:dLbls>
          <c:showLegendKey val="0"/>
          <c:showVal val="0"/>
          <c:showCatName val="0"/>
          <c:showSerName val="0"/>
          <c:showPercent val="0"/>
          <c:showBubbleSize val="0"/>
        </c:dLbls>
        <c:gapWidth val="219"/>
        <c:overlap val="-27"/>
        <c:axId val="1256176463"/>
        <c:axId val="1256163567"/>
      </c:barChart>
      <c:catAx>
        <c:axId val="1256176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163567"/>
        <c:crosses val="autoZero"/>
        <c:auto val="1"/>
        <c:lblAlgn val="ctr"/>
        <c:lblOffset val="100"/>
        <c:noMultiLvlLbl val="0"/>
      </c:catAx>
      <c:valAx>
        <c:axId val="1256163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176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35D7-4026-8D98-4A66059C9FA6}"/>
              </c:ext>
            </c:extLst>
          </c:dPt>
          <c:dPt>
            <c:idx val="5"/>
            <c:invertIfNegative val="0"/>
            <c:bubble3D val="0"/>
            <c:spPr>
              <a:solidFill>
                <a:srgbClr val="ED7D31"/>
              </a:solidFill>
              <a:ln>
                <a:noFill/>
              </a:ln>
              <a:effectLst/>
            </c:spPr>
            <c:extLst>
              <c:ext xmlns:c16="http://schemas.microsoft.com/office/drawing/2014/chart" uri="{C3380CC4-5D6E-409C-BE32-E72D297353CC}">
                <c16:uniqueId val="{00000003-35D7-4026-8D98-4A66059C9FA6}"/>
              </c:ext>
            </c:extLst>
          </c:dPt>
          <c:dPt>
            <c:idx val="6"/>
            <c:invertIfNegative val="0"/>
            <c:bubble3D val="0"/>
            <c:spPr>
              <a:solidFill>
                <a:srgbClr val="ED7D31"/>
              </a:solidFill>
              <a:ln>
                <a:noFill/>
              </a:ln>
              <a:effectLst/>
            </c:spPr>
            <c:extLst>
              <c:ext xmlns:c16="http://schemas.microsoft.com/office/drawing/2014/chart" uri="{C3380CC4-5D6E-409C-BE32-E72D297353CC}">
                <c16:uniqueId val="{00000005-35D7-4026-8D98-4A66059C9FA6}"/>
              </c:ext>
            </c:extLst>
          </c:dPt>
          <c:dPt>
            <c:idx val="7"/>
            <c:invertIfNegative val="0"/>
            <c:bubble3D val="0"/>
            <c:spPr>
              <a:solidFill>
                <a:srgbClr val="ED7D31"/>
              </a:solidFill>
              <a:ln>
                <a:noFill/>
              </a:ln>
              <a:effectLst/>
            </c:spPr>
            <c:extLst>
              <c:ext xmlns:c16="http://schemas.microsoft.com/office/drawing/2014/chart" uri="{C3380CC4-5D6E-409C-BE32-E72D297353CC}">
                <c16:uniqueId val="{00000007-35D7-4026-8D98-4A66059C9FA6}"/>
              </c:ext>
            </c:extLst>
          </c:dPt>
          <c:dPt>
            <c:idx val="8"/>
            <c:invertIfNegative val="0"/>
            <c:bubble3D val="0"/>
            <c:spPr>
              <a:solidFill>
                <a:srgbClr val="ED7D31"/>
              </a:solidFill>
              <a:ln>
                <a:noFill/>
              </a:ln>
              <a:effectLst/>
            </c:spPr>
            <c:extLst>
              <c:ext xmlns:c16="http://schemas.microsoft.com/office/drawing/2014/chart" uri="{C3380CC4-5D6E-409C-BE32-E72D297353CC}">
                <c16:uniqueId val="{00000009-35D7-4026-8D98-4A66059C9FA6}"/>
              </c:ext>
            </c:extLst>
          </c:dPt>
          <c:dPt>
            <c:idx val="9"/>
            <c:invertIfNegative val="0"/>
            <c:bubble3D val="0"/>
            <c:spPr>
              <a:solidFill>
                <a:srgbClr val="00823B"/>
              </a:solidFill>
              <a:ln>
                <a:noFill/>
              </a:ln>
              <a:effectLst/>
            </c:spPr>
            <c:extLst>
              <c:ext xmlns:c16="http://schemas.microsoft.com/office/drawing/2014/chart" uri="{C3380CC4-5D6E-409C-BE32-E72D297353CC}">
                <c16:uniqueId val="{0000000B-35D7-4026-8D98-4A66059C9FA6}"/>
              </c:ext>
            </c:extLst>
          </c:dPt>
          <c:dPt>
            <c:idx val="10"/>
            <c:invertIfNegative val="0"/>
            <c:bubble3D val="0"/>
            <c:spPr>
              <a:solidFill>
                <a:srgbClr val="00B050"/>
              </a:solidFill>
              <a:ln>
                <a:noFill/>
              </a:ln>
              <a:effectLst/>
            </c:spPr>
            <c:extLst>
              <c:ext xmlns:c16="http://schemas.microsoft.com/office/drawing/2014/chart" uri="{C3380CC4-5D6E-409C-BE32-E72D297353CC}">
                <c16:uniqueId val="{0000000D-35D7-4026-8D98-4A66059C9FA6}"/>
              </c:ext>
            </c:extLst>
          </c:dPt>
          <c:dPt>
            <c:idx val="11"/>
            <c:invertIfNegative val="0"/>
            <c:bubble3D val="0"/>
            <c:spPr>
              <a:solidFill>
                <a:srgbClr val="00B050"/>
              </a:solidFill>
              <a:ln>
                <a:noFill/>
              </a:ln>
              <a:effectLst/>
            </c:spPr>
            <c:extLst>
              <c:ext xmlns:c16="http://schemas.microsoft.com/office/drawing/2014/chart" uri="{C3380CC4-5D6E-409C-BE32-E72D297353CC}">
                <c16:uniqueId val="{0000000F-35D7-4026-8D98-4A66059C9FA6}"/>
              </c:ext>
            </c:extLst>
          </c:dPt>
          <c:dPt>
            <c:idx val="12"/>
            <c:invertIfNegative val="0"/>
            <c:bubble3D val="0"/>
            <c:spPr>
              <a:solidFill>
                <a:srgbClr val="00B050"/>
              </a:solidFill>
              <a:ln>
                <a:noFill/>
              </a:ln>
              <a:effectLst/>
            </c:spPr>
            <c:extLst>
              <c:ext xmlns:c16="http://schemas.microsoft.com/office/drawing/2014/chart" uri="{C3380CC4-5D6E-409C-BE32-E72D297353CC}">
                <c16:uniqueId val="{00000011-35D7-4026-8D98-4A66059C9FA6}"/>
              </c:ext>
            </c:extLst>
          </c:dPt>
          <c:dPt>
            <c:idx val="13"/>
            <c:invertIfNegative val="0"/>
            <c:bubble3D val="0"/>
            <c:spPr>
              <a:solidFill>
                <a:srgbClr val="532476"/>
              </a:solidFill>
              <a:ln>
                <a:noFill/>
              </a:ln>
              <a:effectLst/>
            </c:spPr>
            <c:extLst>
              <c:ext xmlns:c16="http://schemas.microsoft.com/office/drawing/2014/chart" uri="{C3380CC4-5D6E-409C-BE32-E72D297353CC}">
                <c16:uniqueId val="{00000013-35D7-4026-8D98-4A66059C9FA6}"/>
              </c:ext>
            </c:extLst>
          </c:dPt>
          <c:dPt>
            <c:idx val="14"/>
            <c:invertIfNegative val="0"/>
            <c:bubble3D val="0"/>
            <c:spPr>
              <a:solidFill>
                <a:srgbClr val="7030A0"/>
              </a:solidFill>
              <a:ln>
                <a:noFill/>
              </a:ln>
              <a:effectLst/>
            </c:spPr>
            <c:extLst>
              <c:ext xmlns:c16="http://schemas.microsoft.com/office/drawing/2014/chart" uri="{C3380CC4-5D6E-409C-BE32-E72D297353CC}">
                <c16:uniqueId val="{00000015-35D7-4026-8D98-4A66059C9FA6}"/>
              </c:ext>
            </c:extLst>
          </c:dPt>
          <c:dPt>
            <c:idx val="15"/>
            <c:invertIfNegative val="0"/>
            <c:bubble3D val="0"/>
            <c:spPr>
              <a:solidFill>
                <a:srgbClr val="7030A0"/>
              </a:solidFill>
              <a:ln>
                <a:noFill/>
              </a:ln>
              <a:effectLst/>
            </c:spPr>
            <c:extLst>
              <c:ext xmlns:c16="http://schemas.microsoft.com/office/drawing/2014/chart" uri="{C3380CC4-5D6E-409C-BE32-E72D297353CC}">
                <c16:uniqueId val="{00000017-35D7-4026-8D98-4A66059C9FA6}"/>
              </c:ext>
            </c:extLst>
          </c:dPt>
          <c:dPt>
            <c:idx val="16"/>
            <c:invertIfNegative val="0"/>
            <c:bubble3D val="0"/>
            <c:spPr>
              <a:solidFill>
                <a:srgbClr val="7030A0"/>
              </a:solidFill>
              <a:ln>
                <a:noFill/>
              </a:ln>
              <a:effectLst/>
            </c:spPr>
            <c:extLst>
              <c:ext xmlns:c16="http://schemas.microsoft.com/office/drawing/2014/chart" uri="{C3380CC4-5D6E-409C-BE32-E72D297353CC}">
                <c16:uniqueId val="{00000019-35D7-4026-8D98-4A66059C9FA6}"/>
              </c:ext>
            </c:extLst>
          </c:dPt>
          <c:dPt>
            <c:idx val="17"/>
            <c:invertIfNegative val="0"/>
            <c:bubble3D val="0"/>
            <c:spPr>
              <a:solidFill>
                <a:srgbClr val="7030A0"/>
              </a:solidFill>
              <a:ln>
                <a:noFill/>
              </a:ln>
              <a:effectLst/>
            </c:spPr>
            <c:extLst>
              <c:ext xmlns:c16="http://schemas.microsoft.com/office/drawing/2014/chart" uri="{C3380CC4-5D6E-409C-BE32-E72D297353CC}">
                <c16:uniqueId val="{0000001B-35D7-4026-8D98-4A66059C9FA6}"/>
              </c:ext>
            </c:extLst>
          </c:dPt>
          <c:dPt>
            <c:idx val="18"/>
            <c:invertIfNegative val="0"/>
            <c:bubble3D val="0"/>
            <c:spPr>
              <a:solidFill>
                <a:srgbClr val="A80000"/>
              </a:solidFill>
              <a:ln>
                <a:noFill/>
              </a:ln>
              <a:effectLst/>
            </c:spPr>
            <c:extLst>
              <c:ext xmlns:c16="http://schemas.microsoft.com/office/drawing/2014/chart" uri="{C3380CC4-5D6E-409C-BE32-E72D297353CC}">
                <c16:uniqueId val="{0000001D-35D7-4026-8D98-4A66059C9FA6}"/>
              </c:ext>
            </c:extLst>
          </c:dPt>
          <c:dPt>
            <c:idx val="19"/>
            <c:invertIfNegative val="0"/>
            <c:bubble3D val="0"/>
            <c:spPr>
              <a:solidFill>
                <a:srgbClr val="C00000"/>
              </a:solidFill>
              <a:ln>
                <a:noFill/>
              </a:ln>
              <a:effectLst/>
            </c:spPr>
            <c:extLst>
              <c:ext xmlns:c16="http://schemas.microsoft.com/office/drawing/2014/chart" uri="{C3380CC4-5D6E-409C-BE32-E72D297353CC}">
                <c16:uniqueId val="{0000001F-35D7-4026-8D98-4A66059C9FA6}"/>
              </c:ext>
            </c:extLst>
          </c:dPt>
          <c:dPt>
            <c:idx val="20"/>
            <c:invertIfNegative val="0"/>
            <c:bubble3D val="0"/>
            <c:spPr>
              <a:solidFill>
                <a:srgbClr val="C00000"/>
              </a:solidFill>
              <a:ln>
                <a:noFill/>
              </a:ln>
              <a:effectLst/>
            </c:spPr>
            <c:extLst>
              <c:ext xmlns:c16="http://schemas.microsoft.com/office/drawing/2014/chart" uri="{C3380CC4-5D6E-409C-BE32-E72D297353CC}">
                <c16:uniqueId val="{00000021-35D7-4026-8D98-4A66059C9FA6}"/>
              </c:ext>
            </c:extLst>
          </c:dPt>
          <c:dPt>
            <c:idx val="21"/>
            <c:invertIfNegative val="0"/>
            <c:bubble3D val="0"/>
            <c:spPr>
              <a:solidFill>
                <a:srgbClr val="C00000"/>
              </a:solidFill>
              <a:ln>
                <a:noFill/>
              </a:ln>
              <a:effectLst/>
            </c:spPr>
            <c:extLst>
              <c:ext xmlns:c16="http://schemas.microsoft.com/office/drawing/2014/chart" uri="{C3380CC4-5D6E-409C-BE32-E72D297353CC}">
                <c16:uniqueId val="{00000023-35D7-4026-8D98-4A66059C9FA6}"/>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35D7-4026-8D98-4A66059C9FA6}"/>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35D7-4026-8D98-4A66059C9FA6}"/>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35D7-4026-8D98-4A66059C9FA6}"/>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35D7-4026-8D98-4A66059C9FA6}"/>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35D7-4026-8D98-4A66059C9FA6}"/>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SG 1</c:v>
                </c:pt>
                <c:pt idx="1">
                  <c:v>WP 1A</c:v>
                </c:pt>
                <c:pt idx="2">
                  <c:v>WP 1B</c:v>
                </c:pt>
                <c:pt idx="3">
                  <c:v>WP 1C</c:v>
                </c:pt>
                <c:pt idx="4">
                  <c:v>SG 3</c:v>
                </c:pt>
                <c:pt idx="5">
                  <c:v>WP 3J</c:v>
                </c:pt>
                <c:pt idx="6">
                  <c:v>WP 3K</c:v>
                </c:pt>
                <c:pt idx="7">
                  <c:v>WP 3L</c:v>
                </c:pt>
                <c:pt idx="8">
                  <c:v>WP 3M</c:v>
                </c:pt>
                <c:pt idx="9">
                  <c:v>SG 4</c:v>
                </c:pt>
                <c:pt idx="10">
                  <c:v>WP 4A</c:v>
                </c:pt>
                <c:pt idx="11">
                  <c:v>WP 4B</c:v>
                </c:pt>
                <c:pt idx="12">
                  <c:v>WP 4C</c:v>
                </c:pt>
                <c:pt idx="13">
                  <c:v>SG 5</c:v>
                </c:pt>
                <c:pt idx="14">
                  <c:v>WP 5A</c:v>
                </c:pt>
                <c:pt idx="15">
                  <c:v>WP 5B</c:v>
                </c:pt>
                <c:pt idx="16">
                  <c:v>WP 5C</c:v>
                </c:pt>
                <c:pt idx="17">
                  <c:v>WP 5D</c:v>
                </c:pt>
                <c:pt idx="18">
                  <c:v>SG 6</c:v>
                </c:pt>
                <c:pt idx="19">
                  <c:v>WP 6A</c:v>
                </c:pt>
                <c:pt idx="20">
                  <c:v>WP 6B</c:v>
                </c:pt>
                <c:pt idx="21">
                  <c:v>WP 6C</c:v>
                </c:pt>
                <c:pt idx="22">
                  <c:v>SG 7</c:v>
                </c:pt>
                <c:pt idx="23">
                  <c:v>WP 7A</c:v>
                </c:pt>
                <c:pt idx="24">
                  <c:v>WP 7B</c:v>
                </c:pt>
                <c:pt idx="25">
                  <c:v>WP 7C</c:v>
                </c:pt>
                <c:pt idx="26">
                  <c:v>WP 7D</c:v>
                </c:pt>
              </c:strCache>
            </c:strRef>
          </c:cat>
          <c:val>
            <c:numRef>
              <c:f>Sheet1!$B$2:$B$28</c:f>
              <c:numCache>
                <c:formatCode>General</c:formatCode>
                <c:ptCount val="27"/>
                <c:pt idx="0">
                  <c:v>92</c:v>
                </c:pt>
                <c:pt idx="1">
                  <c:v>89</c:v>
                </c:pt>
                <c:pt idx="2">
                  <c:v>84</c:v>
                </c:pt>
                <c:pt idx="3">
                  <c:v>103</c:v>
                </c:pt>
                <c:pt idx="4">
                  <c:v>57</c:v>
                </c:pt>
                <c:pt idx="5">
                  <c:v>57</c:v>
                </c:pt>
                <c:pt idx="6">
                  <c:v>58</c:v>
                </c:pt>
                <c:pt idx="7">
                  <c:v>56</c:v>
                </c:pt>
                <c:pt idx="8">
                  <c:v>65</c:v>
                </c:pt>
                <c:pt idx="9">
                  <c:v>263</c:v>
                </c:pt>
                <c:pt idx="10">
                  <c:v>422</c:v>
                </c:pt>
                <c:pt idx="11">
                  <c:v>185</c:v>
                </c:pt>
                <c:pt idx="12">
                  <c:v>312</c:v>
                </c:pt>
                <c:pt idx="13">
                  <c:v>144</c:v>
                </c:pt>
                <c:pt idx="14">
                  <c:v>137</c:v>
                </c:pt>
                <c:pt idx="15">
                  <c:v>159</c:v>
                </c:pt>
                <c:pt idx="16">
                  <c:v>108</c:v>
                </c:pt>
                <c:pt idx="17">
                  <c:v>355</c:v>
                </c:pt>
                <c:pt idx="18">
                  <c:v>90</c:v>
                </c:pt>
                <c:pt idx="19">
                  <c:v>90</c:v>
                </c:pt>
                <c:pt idx="20">
                  <c:v>69</c:v>
                </c:pt>
                <c:pt idx="21">
                  <c:v>62</c:v>
                </c:pt>
                <c:pt idx="22">
                  <c:v>93</c:v>
                </c:pt>
                <c:pt idx="23">
                  <c:v>54</c:v>
                </c:pt>
                <c:pt idx="24">
                  <c:v>112</c:v>
                </c:pt>
                <c:pt idx="25">
                  <c:v>116</c:v>
                </c:pt>
                <c:pt idx="26">
                  <c:v>87</c:v>
                </c:pt>
              </c:numCache>
            </c:numRef>
          </c:val>
          <c:extLst>
            <c:ext xmlns:c16="http://schemas.microsoft.com/office/drawing/2014/chart" uri="{C3380CC4-5D6E-409C-BE32-E72D297353CC}">
              <c16:uniqueId val="{0000002E-35D7-4026-8D98-4A66059C9FA6}"/>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Group</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n-U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Number of participants in-person</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B8D0-40C0-88B2-188C10B89FF4}"/>
              </c:ext>
            </c:extLst>
          </c:dPt>
          <c:dPt>
            <c:idx val="5"/>
            <c:invertIfNegative val="0"/>
            <c:bubble3D val="0"/>
            <c:spPr>
              <a:solidFill>
                <a:srgbClr val="ED7D31"/>
              </a:solidFill>
              <a:ln>
                <a:noFill/>
              </a:ln>
              <a:effectLst/>
            </c:spPr>
            <c:extLst>
              <c:ext xmlns:c16="http://schemas.microsoft.com/office/drawing/2014/chart" uri="{C3380CC4-5D6E-409C-BE32-E72D297353CC}">
                <c16:uniqueId val="{00000003-B8D0-40C0-88B2-188C10B89FF4}"/>
              </c:ext>
            </c:extLst>
          </c:dPt>
          <c:dPt>
            <c:idx val="6"/>
            <c:invertIfNegative val="0"/>
            <c:bubble3D val="0"/>
            <c:spPr>
              <a:solidFill>
                <a:srgbClr val="ED7D31"/>
              </a:solidFill>
              <a:ln>
                <a:noFill/>
              </a:ln>
              <a:effectLst/>
            </c:spPr>
            <c:extLst>
              <c:ext xmlns:c16="http://schemas.microsoft.com/office/drawing/2014/chart" uri="{C3380CC4-5D6E-409C-BE32-E72D297353CC}">
                <c16:uniqueId val="{00000005-B8D0-40C0-88B2-188C10B89FF4}"/>
              </c:ext>
            </c:extLst>
          </c:dPt>
          <c:dPt>
            <c:idx val="7"/>
            <c:invertIfNegative val="0"/>
            <c:bubble3D val="0"/>
            <c:spPr>
              <a:solidFill>
                <a:srgbClr val="ED7D31"/>
              </a:solidFill>
              <a:ln>
                <a:noFill/>
              </a:ln>
              <a:effectLst/>
            </c:spPr>
            <c:extLst>
              <c:ext xmlns:c16="http://schemas.microsoft.com/office/drawing/2014/chart" uri="{C3380CC4-5D6E-409C-BE32-E72D297353CC}">
                <c16:uniqueId val="{00000007-B8D0-40C0-88B2-188C10B89FF4}"/>
              </c:ext>
            </c:extLst>
          </c:dPt>
          <c:dPt>
            <c:idx val="8"/>
            <c:invertIfNegative val="0"/>
            <c:bubble3D val="0"/>
            <c:spPr>
              <a:solidFill>
                <a:srgbClr val="ED7D31"/>
              </a:solidFill>
              <a:ln>
                <a:noFill/>
              </a:ln>
              <a:effectLst/>
            </c:spPr>
            <c:extLst>
              <c:ext xmlns:c16="http://schemas.microsoft.com/office/drawing/2014/chart" uri="{C3380CC4-5D6E-409C-BE32-E72D297353CC}">
                <c16:uniqueId val="{00000009-B8D0-40C0-88B2-188C10B89FF4}"/>
              </c:ext>
            </c:extLst>
          </c:dPt>
          <c:dPt>
            <c:idx val="9"/>
            <c:invertIfNegative val="0"/>
            <c:bubble3D val="0"/>
            <c:spPr>
              <a:solidFill>
                <a:srgbClr val="00823B"/>
              </a:solidFill>
              <a:ln>
                <a:noFill/>
              </a:ln>
              <a:effectLst/>
            </c:spPr>
            <c:extLst>
              <c:ext xmlns:c16="http://schemas.microsoft.com/office/drawing/2014/chart" uri="{C3380CC4-5D6E-409C-BE32-E72D297353CC}">
                <c16:uniqueId val="{0000000B-B8D0-40C0-88B2-188C10B89FF4}"/>
              </c:ext>
            </c:extLst>
          </c:dPt>
          <c:dPt>
            <c:idx val="10"/>
            <c:invertIfNegative val="0"/>
            <c:bubble3D val="0"/>
            <c:spPr>
              <a:solidFill>
                <a:srgbClr val="00B050"/>
              </a:solidFill>
              <a:ln>
                <a:noFill/>
              </a:ln>
              <a:effectLst/>
            </c:spPr>
            <c:extLst>
              <c:ext xmlns:c16="http://schemas.microsoft.com/office/drawing/2014/chart" uri="{C3380CC4-5D6E-409C-BE32-E72D297353CC}">
                <c16:uniqueId val="{0000000D-B8D0-40C0-88B2-188C10B89FF4}"/>
              </c:ext>
            </c:extLst>
          </c:dPt>
          <c:dPt>
            <c:idx val="11"/>
            <c:invertIfNegative val="0"/>
            <c:bubble3D val="0"/>
            <c:spPr>
              <a:solidFill>
                <a:srgbClr val="00B050"/>
              </a:solidFill>
              <a:ln>
                <a:noFill/>
              </a:ln>
              <a:effectLst/>
            </c:spPr>
            <c:extLst>
              <c:ext xmlns:c16="http://schemas.microsoft.com/office/drawing/2014/chart" uri="{C3380CC4-5D6E-409C-BE32-E72D297353CC}">
                <c16:uniqueId val="{0000000F-B8D0-40C0-88B2-188C10B89FF4}"/>
              </c:ext>
            </c:extLst>
          </c:dPt>
          <c:dPt>
            <c:idx val="12"/>
            <c:invertIfNegative val="0"/>
            <c:bubble3D val="0"/>
            <c:spPr>
              <a:solidFill>
                <a:srgbClr val="00B050"/>
              </a:solidFill>
              <a:ln>
                <a:noFill/>
              </a:ln>
              <a:effectLst/>
            </c:spPr>
            <c:extLst>
              <c:ext xmlns:c16="http://schemas.microsoft.com/office/drawing/2014/chart" uri="{C3380CC4-5D6E-409C-BE32-E72D297353CC}">
                <c16:uniqueId val="{00000011-B8D0-40C0-88B2-188C10B89FF4}"/>
              </c:ext>
            </c:extLst>
          </c:dPt>
          <c:dPt>
            <c:idx val="13"/>
            <c:invertIfNegative val="0"/>
            <c:bubble3D val="0"/>
            <c:spPr>
              <a:solidFill>
                <a:srgbClr val="532476"/>
              </a:solidFill>
              <a:ln>
                <a:noFill/>
              </a:ln>
              <a:effectLst/>
            </c:spPr>
            <c:extLst>
              <c:ext xmlns:c16="http://schemas.microsoft.com/office/drawing/2014/chart" uri="{C3380CC4-5D6E-409C-BE32-E72D297353CC}">
                <c16:uniqueId val="{00000013-B8D0-40C0-88B2-188C10B89FF4}"/>
              </c:ext>
            </c:extLst>
          </c:dPt>
          <c:dPt>
            <c:idx val="14"/>
            <c:invertIfNegative val="0"/>
            <c:bubble3D val="0"/>
            <c:spPr>
              <a:solidFill>
                <a:srgbClr val="7030A0"/>
              </a:solidFill>
              <a:ln>
                <a:noFill/>
              </a:ln>
              <a:effectLst/>
            </c:spPr>
            <c:extLst>
              <c:ext xmlns:c16="http://schemas.microsoft.com/office/drawing/2014/chart" uri="{C3380CC4-5D6E-409C-BE32-E72D297353CC}">
                <c16:uniqueId val="{00000015-B8D0-40C0-88B2-188C10B89FF4}"/>
              </c:ext>
            </c:extLst>
          </c:dPt>
          <c:dPt>
            <c:idx val="15"/>
            <c:invertIfNegative val="0"/>
            <c:bubble3D val="0"/>
            <c:spPr>
              <a:solidFill>
                <a:srgbClr val="7030A0"/>
              </a:solidFill>
              <a:ln>
                <a:noFill/>
              </a:ln>
              <a:effectLst/>
            </c:spPr>
            <c:extLst>
              <c:ext xmlns:c16="http://schemas.microsoft.com/office/drawing/2014/chart" uri="{C3380CC4-5D6E-409C-BE32-E72D297353CC}">
                <c16:uniqueId val="{00000017-B8D0-40C0-88B2-188C10B89FF4}"/>
              </c:ext>
            </c:extLst>
          </c:dPt>
          <c:dPt>
            <c:idx val="16"/>
            <c:invertIfNegative val="0"/>
            <c:bubble3D val="0"/>
            <c:spPr>
              <a:solidFill>
                <a:srgbClr val="7030A0"/>
              </a:solidFill>
              <a:ln>
                <a:noFill/>
              </a:ln>
              <a:effectLst/>
            </c:spPr>
            <c:extLst>
              <c:ext xmlns:c16="http://schemas.microsoft.com/office/drawing/2014/chart" uri="{C3380CC4-5D6E-409C-BE32-E72D297353CC}">
                <c16:uniqueId val="{00000019-B8D0-40C0-88B2-188C10B89FF4}"/>
              </c:ext>
            </c:extLst>
          </c:dPt>
          <c:dPt>
            <c:idx val="17"/>
            <c:invertIfNegative val="0"/>
            <c:bubble3D val="0"/>
            <c:spPr>
              <a:solidFill>
                <a:srgbClr val="7030A0"/>
              </a:solidFill>
              <a:ln>
                <a:noFill/>
              </a:ln>
              <a:effectLst/>
            </c:spPr>
            <c:extLst>
              <c:ext xmlns:c16="http://schemas.microsoft.com/office/drawing/2014/chart" uri="{C3380CC4-5D6E-409C-BE32-E72D297353CC}">
                <c16:uniqueId val="{0000001B-B8D0-40C0-88B2-188C10B89FF4}"/>
              </c:ext>
            </c:extLst>
          </c:dPt>
          <c:dPt>
            <c:idx val="18"/>
            <c:invertIfNegative val="0"/>
            <c:bubble3D val="0"/>
            <c:spPr>
              <a:solidFill>
                <a:srgbClr val="A80000"/>
              </a:solidFill>
              <a:ln>
                <a:noFill/>
              </a:ln>
              <a:effectLst/>
            </c:spPr>
            <c:extLst>
              <c:ext xmlns:c16="http://schemas.microsoft.com/office/drawing/2014/chart" uri="{C3380CC4-5D6E-409C-BE32-E72D297353CC}">
                <c16:uniqueId val="{0000001D-B8D0-40C0-88B2-188C10B89FF4}"/>
              </c:ext>
            </c:extLst>
          </c:dPt>
          <c:dPt>
            <c:idx val="19"/>
            <c:invertIfNegative val="0"/>
            <c:bubble3D val="0"/>
            <c:spPr>
              <a:solidFill>
                <a:srgbClr val="C00000"/>
              </a:solidFill>
              <a:ln>
                <a:noFill/>
              </a:ln>
              <a:effectLst/>
            </c:spPr>
            <c:extLst>
              <c:ext xmlns:c16="http://schemas.microsoft.com/office/drawing/2014/chart" uri="{C3380CC4-5D6E-409C-BE32-E72D297353CC}">
                <c16:uniqueId val="{0000001F-B8D0-40C0-88B2-188C10B89FF4}"/>
              </c:ext>
            </c:extLst>
          </c:dPt>
          <c:dPt>
            <c:idx val="20"/>
            <c:invertIfNegative val="0"/>
            <c:bubble3D val="0"/>
            <c:spPr>
              <a:solidFill>
                <a:srgbClr val="C00000"/>
              </a:solidFill>
              <a:ln>
                <a:noFill/>
              </a:ln>
              <a:effectLst/>
            </c:spPr>
            <c:extLst>
              <c:ext xmlns:c16="http://schemas.microsoft.com/office/drawing/2014/chart" uri="{C3380CC4-5D6E-409C-BE32-E72D297353CC}">
                <c16:uniqueId val="{00000021-B8D0-40C0-88B2-188C10B89FF4}"/>
              </c:ext>
            </c:extLst>
          </c:dPt>
          <c:dPt>
            <c:idx val="21"/>
            <c:invertIfNegative val="0"/>
            <c:bubble3D val="0"/>
            <c:spPr>
              <a:solidFill>
                <a:srgbClr val="C00000"/>
              </a:solidFill>
              <a:ln>
                <a:noFill/>
              </a:ln>
              <a:effectLst/>
            </c:spPr>
            <c:extLst>
              <c:ext xmlns:c16="http://schemas.microsoft.com/office/drawing/2014/chart" uri="{C3380CC4-5D6E-409C-BE32-E72D297353CC}">
                <c16:uniqueId val="{00000023-B8D0-40C0-88B2-188C10B89FF4}"/>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B8D0-40C0-88B2-188C10B89FF4}"/>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B8D0-40C0-88B2-188C10B89FF4}"/>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B8D0-40C0-88B2-188C10B89FF4}"/>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B8D0-40C0-88B2-188C10B89FF4}"/>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B8D0-40C0-88B2-188C10B89FF4}"/>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SG 1</c:v>
                </c:pt>
                <c:pt idx="1">
                  <c:v>WP 1A</c:v>
                </c:pt>
                <c:pt idx="2">
                  <c:v>WP 1B</c:v>
                </c:pt>
                <c:pt idx="3">
                  <c:v>WP 1C</c:v>
                </c:pt>
                <c:pt idx="4">
                  <c:v>SG 3</c:v>
                </c:pt>
                <c:pt idx="5">
                  <c:v>WP 3J</c:v>
                </c:pt>
                <c:pt idx="6">
                  <c:v>WP 3K</c:v>
                </c:pt>
                <c:pt idx="7">
                  <c:v>WP 3L</c:v>
                </c:pt>
                <c:pt idx="8">
                  <c:v>WP 3M</c:v>
                </c:pt>
                <c:pt idx="9">
                  <c:v>SG 4</c:v>
                </c:pt>
                <c:pt idx="10">
                  <c:v>WP 4A</c:v>
                </c:pt>
                <c:pt idx="11">
                  <c:v>WP 4B</c:v>
                </c:pt>
                <c:pt idx="12">
                  <c:v>WP 4C</c:v>
                </c:pt>
                <c:pt idx="13">
                  <c:v>SG 5</c:v>
                </c:pt>
                <c:pt idx="14">
                  <c:v>WP 5A</c:v>
                </c:pt>
                <c:pt idx="15">
                  <c:v>WP 5B</c:v>
                </c:pt>
                <c:pt idx="16">
                  <c:v>WP 5C</c:v>
                </c:pt>
                <c:pt idx="17">
                  <c:v>WP 5D</c:v>
                </c:pt>
                <c:pt idx="18">
                  <c:v>SG 6</c:v>
                </c:pt>
                <c:pt idx="19">
                  <c:v>WP 6A</c:v>
                </c:pt>
                <c:pt idx="20">
                  <c:v>WP 6B</c:v>
                </c:pt>
                <c:pt idx="21">
                  <c:v>WP 6C</c:v>
                </c:pt>
                <c:pt idx="22">
                  <c:v>SG 7</c:v>
                </c:pt>
                <c:pt idx="23">
                  <c:v>WP 7A</c:v>
                </c:pt>
                <c:pt idx="24">
                  <c:v>WP 7B</c:v>
                </c:pt>
                <c:pt idx="25">
                  <c:v>WP 7C</c:v>
                </c:pt>
                <c:pt idx="26">
                  <c:v>WP 7D</c:v>
                </c:pt>
              </c:strCache>
            </c:strRef>
          </c:cat>
          <c:val>
            <c:numRef>
              <c:f>Sheet1!$B$2:$B$28</c:f>
              <c:numCache>
                <c:formatCode>General</c:formatCode>
                <c:ptCount val="27"/>
                <c:pt idx="0">
                  <c:v>141</c:v>
                </c:pt>
                <c:pt idx="1">
                  <c:v>110</c:v>
                </c:pt>
                <c:pt idx="2">
                  <c:v>93</c:v>
                </c:pt>
                <c:pt idx="3">
                  <c:v>109</c:v>
                </c:pt>
                <c:pt idx="4">
                  <c:v>51</c:v>
                </c:pt>
                <c:pt idx="5">
                  <c:v>57</c:v>
                </c:pt>
                <c:pt idx="6">
                  <c:v>53</c:v>
                </c:pt>
                <c:pt idx="7">
                  <c:v>43</c:v>
                </c:pt>
                <c:pt idx="8">
                  <c:v>54</c:v>
                </c:pt>
                <c:pt idx="9">
                  <c:v>208</c:v>
                </c:pt>
                <c:pt idx="10">
                  <c:v>443</c:v>
                </c:pt>
                <c:pt idx="11">
                  <c:v>206</c:v>
                </c:pt>
                <c:pt idx="12">
                  <c:v>347</c:v>
                </c:pt>
                <c:pt idx="13">
                  <c:v>150</c:v>
                </c:pt>
                <c:pt idx="14">
                  <c:v>179</c:v>
                </c:pt>
                <c:pt idx="15">
                  <c:v>183</c:v>
                </c:pt>
                <c:pt idx="16">
                  <c:v>142</c:v>
                </c:pt>
                <c:pt idx="17">
                  <c:v>307</c:v>
                </c:pt>
                <c:pt idx="18">
                  <c:v>117</c:v>
                </c:pt>
                <c:pt idx="19">
                  <c:v>92</c:v>
                </c:pt>
                <c:pt idx="20">
                  <c:v>67</c:v>
                </c:pt>
                <c:pt idx="21">
                  <c:v>78</c:v>
                </c:pt>
                <c:pt idx="22">
                  <c:v>136</c:v>
                </c:pt>
                <c:pt idx="23">
                  <c:v>108</c:v>
                </c:pt>
                <c:pt idx="24">
                  <c:v>106</c:v>
                </c:pt>
                <c:pt idx="25">
                  <c:v>105</c:v>
                </c:pt>
                <c:pt idx="26">
                  <c:v>85</c:v>
                </c:pt>
              </c:numCache>
            </c:numRef>
          </c:val>
          <c:extLst>
            <c:ext xmlns:c16="http://schemas.microsoft.com/office/drawing/2014/chart" uri="{C3380CC4-5D6E-409C-BE32-E72D297353CC}">
              <c16:uniqueId val="{0000002E-B8D0-40C0-88B2-188C10B89FF4}"/>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Group</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n-U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Number of physical participants</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PE_RAG.dotm</Template>
  <TotalTime>0</TotalTime>
  <Pages>9</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Kun</dc:creator>
  <cp:keywords/>
  <dc:description/>
  <cp:lastModifiedBy>Xue, Kun</cp:lastModifiedBy>
  <cp:revision>2</cp:revision>
  <cp:lastPrinted>1999-09-30T15:03:00Z</cp:lastPrinted>
  <dcterms:created xsi:type="dcterms:W3CDTF">2026-03-16T15:37:00Z</dcterms:created>
  <dcterms:modified xsi:type="dcterms:W3CDTF">2026-03-16T15:37:00Z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