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6CD84982" w14:textId="77777777" w:rsidTr="001B4810">
        <w:trPr>
          <w:cantSplit/>
        </w:trPr>
        <w:tc>
          <w:tcPr>
            <w:tcW w:w="6771" w:type="dxa"/>
            <w:vAlign w:val="center"/>
          </w:tcPr>
          <w:p w14:paraId="1F37F1DE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404687E6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4FD9C71" wp14:editId="50677C9B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22BBBE38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08900F4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62F66CE0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7953A5E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77D32F4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39186E7E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557E3BC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191139E2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44E6635A" w14:textId="7DF036DF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4070B6" w:rsidRPr="004070B6">
              <w:rPr>
                <w:rFonts w:ascii="Verdana" w:hAnsi="Verdana"/>
                <w:b/>
                <w:sz w:val="20"/>
                <w:lang w:eastAsia="zh-CN"/>
              </w:rPr>
              <w:t>77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747C8738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66C81117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24448A5B" w14:textId="021E018D" w:rsidR="0051782D" w:rsidRPr="000A4F34" w:rsidRDefault="004070B6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4070B6">
              <w:rPr>
                <w:rFonts w:ascii="Verdana" w:hAnsi="Verdana"/>
                <w:b/>
                <w:sz w:val="20"/>
                <w:lang w:eastAsia="zh-CN"/>
              </w:rPr>
              <w:t>2026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512910" w:rsidRPr="00512910">
              <w:rPr>
                <w:rFonts w:ascii="Verdana" w:hAnsi="SimSun"/>
                <w:b/>
                <w:sz w:val="20"/>
                <w:lang w:eastAsia="zh-CN"/>
              </w:rPr>
              <w:t>3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512910" w:rsidRPr="004070B6">
              <w:rPr>
                <w:rFonts w:ascii="Verdana" w:hAnsi="Verdana"/>
                <w:b/>
                <w:sz w:val="20"/>
                <w:lang w:eastAsia="zh-CN"/>
              </w:rPr>
              <w:t>16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2624C5C3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685C5817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39AC6829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481E01E8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BC38DA6" w14:textId="28FC3924" w:rsidR="00426448" w:rsidRPr="009F189B" w:rsidRDefault="00D11A74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9F189B">
              <w:rPr>
                <w:rFonts w:hint="eastAsia"/>
                <w:bCs/>
                <w:color w:val="000000"/>
                <w:lang w:eastAsia="zh-CN"/>
              </w:rPr>
              <w:t>沙特阿拉伯（王国）、巴林（王国）、吉布提（共和国）、</w:t>
            </w:r>
            <w:r w:rsidR="00035EFD">
              <w:rPr>
                <w:bCs/>
                <w:color w:val="000000"/>
                <w:lang w:val="en-US" w:eastAsia="zh-CN"/>
              </w:rPr>
              <w:br/>
            </w:r>
            <w:r w:rsidRPr="009F189B">
              <w:rPr>
                <w:rFonts w:hint="eastAsia"/>
                <w:bCs/>
                <w:color w:val="000000"/>
                <w:lang w:eastAsia="zh-CN"/>
              </w:rPr>
              <w:t>（阿拉伯）埃及（共和国）、约旦（哈希</w:t>
            </w:r>
            <w:proofErr w:type="gramStart"/>
            <w:r w:rsidRPr="009F189B">
              <w:rPr>
                <w:rFonts w:hint="eastAsia"/>
                <w:bCs/>
                <w:color w:val="000000"/>
                <w:lang w:eastAsia="zh-CN"/>
              </w:rPr>
              <w:t>姆</w:t>
            </w:r>
            <w:proofErr w:type="gramEnd"/>
            <w:r w:rsidRPr="009F189B">
              <w:rPr>
                <w:rFonts w:hint="eastAsia"/>
                <w:bCs/>
                <w:color w:val="000000"/>
                <w:lang w:eastAsia="zh-CN"/>
              </w:rPr>
              <w:t>王国）、科威特（国）、</w:t>
            </w:r>
            <w:r w:rsidR="00035EFD">
              <w:rPr>
                <w:bCs/>
                <w:color w:val="000000"/>
                <w:lang w:val="en-US" w:eastAsia="zh-CN"/>
              </w:rPr>
              <w:br/>
            </w:r>
            <w:r w:rsidRPr="009F189B">
              <w:rPr>
                <w:rFonts w:hint="eastAsia"/>
                <w:bCs/>
                <w:color w:val="000000"/>
                <w:lang w:eastAsia="zh-CN"/>
              </w:rPr>
              <w:t>摩洛哥（王国）、突尼斯、阿拉伯联合酋长国</w:t>
            </w:r>
          </w:p>
        </w:tc>
      </w:tr>
      <w:tr w:rsidR="00BC195C" w:rsidRPr="00D872CB" w14:paraId="0FA54263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423BEAA3" w14:textId="35565EDE" w:rsidR="00E130B3" w:rsidRPr="004070B6" w:rsidRDefault="00512910" w:rsidP="00A36331">
            <w:pPr>
              <w:pStyle w:val="Title1"/>
              <w:rPr>
                <w:szCs w:val="28"/>
                <w:lang w:val="en-CA" w:eastAsia="zh-CN"/>
              </w:rPr>
            </w:pPr>
            <w:bookmarkStart w:id="4" w:name="dtitle1" w:colFirst="0" w:colLast="0"/>
            <w:bookmarkEnd w:id="3"/>
            <w:r w:rsidRPr="00512910">
              <w:rPr>
                <w:rFonts w:hint="eastAsia"/>
                <w:szCs w:val="28"/>
                <w:lang w:eastAsia="zh-CN"/>
              </w:rPr>
              <w:t>改进无线电通信研究组的结构</w:t>
            </w:r>
          </w:p>
        </w:tc>
      </w:tr>
    </w:tbl>
    <w:bookmarkEnd w:id="4"/>
    <w:p w14:paraId="32A212CA" w14:textId="04A32166" w:rsidR="004070B6" w:rsidRPr="004070B6" w:rsidRDefault="004070B6" w:rsidP="00A36331">
      <w:pPr>
        <w:pStyle w:val="Heading1"/>
        <w:rPr>
          <w:lang w:eastAsia="zh-CN"/>
        </w:rPr>
      </w:pPr>
      <w:r w:rsidRPr="004070B6">
        <w:rPr>
          <w:lang w:eastAsia="zh-CN"/>
        </w:rPr>
        <w:t>1</w:t>
      </w:r>
      <w:r w:rsidR="00D96D3D">
        <w:rPr>
          <w:lang w:eastAsia="zh-CN"/>
        </w:rPr>
        <w:tab/>
      </w:r>
      <w:r w:rsidR="00512910">
        <w:rPr>
          <w:rFonts w:hint="eastAsia"/>
          <w:lang w:eastAsia="zh-CN"/>
        </w:rPr>
        <w:t>引言</w:t>
      </w:r>
    </w:p>
    <w:p w14:paraId="0EB7A973" w14:textId="342744F4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无线电通信顾问组</w:t>
      </w:r>
      <w:r w:rsidR="0045000A">
        <w:rPr>
          <w:rFonts w:hint="eastAsia"/>
          <w:lang w:eastAsia="zh-CN"/>
        </w:rPr>
        <w:t>（</w:t>
      </w:r>
      <w:r w:rsidR="0045000A" w:rsidRPr="004070B6">
        <w:rPr>
          <w:lang w:eastAsia="zh-CN"/>
        </w:rPr>
        <w:t>RAG</w:t>
      </w:r>
      <w:r w:rsidR="0045000A">
        <w:rPr>
          <w:rFonts w:hint="eastAsia"/>
          <w:lang w:eastAsia="zh-CN"/>
        </w:rPr>
        <w:t>）在</w:t>
      </w:r>
      <w:r w:rsidRPr="00512910">
        <w:rPr>
          <w:rFonts w:hint="eastAsia"/>
          <w:lang w:eastAsia="zh-CN"/>
        </w:rPr>
        <w:t>其第</w:t>
      </w:r>
      <w:r w:rsidR="0045000A" w:rsidRPr="004070B6">
        <w:rPr>
          <w:lang w:eastAsia="zh-CN"/>
        </w:rPr>
        <w:t>32</w:t>
      </w:r>
      <w:r w:rsidRPr="00512910">
        <w:rPr>
          <w:rFonts w:hint="eastAsia"/>
          <w:lang w:eastAsia="zh-CN"/>
        </w:rPr>
        <w:t>次会议上请</w:t>
      </w:r>
      <w:r w:rsidR="0045000A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各研究组</w:t>
      </w:r>
      <w:r w:rsidR="0045000A" w:rsidRPr="00512910">
        <w:rPr>
          <w:rFonts w:hint="eastAsia"/>
          <w:lang w:eastAsia="zh-CN"/>
        </w:rPr>
        <w:t>确定</w:t>
      </w:r>
      <w:r w:rsidRPr="00512910">
        <w:rPr>
          <w:rFonts w:hint="eastAsia"/>
          <w:lang w:eastAsia="zh-CN"/>
        </w:rPr>
        <w:t>其当前工作范围内</w:t>
      </w:r>
      <w:r w:rsidR="0045000A">
        <w:rPr>
          <w:rFonts w:hint="eastAsia"/>
          <w:lang w:eastAsia="zh-CN"/>
        </w:rPr>
        <w:t>存在的</w:t>
      </w:r>
      <w:r w:rsidRPr="00512910">
        <w:rPr>
          <w:rFonts w:hint="eastAsia"/>
          <w:lang w:eastAsia="zh-CN"/>
        </w:rPr>
        <w:t>挑战、</w:t>
      </w:r>
      <w:r w:rsidR="00D17FD1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重叠和改进机会</w:t>
      </w:r>
      <w:r w:rsidR="0045000A">
        <w:rPr>
          <w:rFonts w:hint="eastAsia"/>
          <w:lang w:eastAsia="zh-CN"/>
        </w:rPr>
        <w:t>（</w:t>
      </w:r>
      <w:r w:rsidR="00D17FD1">
        <w:rPr>
          <w:rFonts w:hint="eastAsia"/>
          <w:lang w:eastAsia="zh-CN"/>
        </w:rPr>
        <w:t>参</w:t>
      </w:r>
      <w:r w:rsidR="0045000A">
        <w:rPr>
          <w:rFonts w:hint="eastAsia"/>
          <w:lang w:eastAsia="zh-CN"/>
        </w:rPr>
        <w:t>见</w:t>
      </w:r>
      <w:r w:rsidR="0045000A" w:rsidRPr="0045000A">
        <w:rPr>
          <w:rFonts w:hint="eastAsia"/>
          <w:lang w:eastAsia="zh-CN"/>
        </w:rPr>
        <w:t>结论摘要</w:t>
      </w:r>
      <w:hyperlink r:id="rId8" w:history="1">
        <w:r w:rsidR="0045000A" w:rsidRPr="004070B6">
          <w:rPr>
            <w:rStyle w:val="Hyperlink"/>
            <w:lang w:eastAsia="zh-CN"/>
          </w:rPr>
          <w:t>CA/277</w:t>
        </w:r>
      </w:hyperlink>
      <w:r w:rsidR="0045000A">
        <w:rPr>
          <w:rFonts w:hint="eastAsia"/>
          <w:lang w:eastAsia="zh-CN"/>
        </w:rPr>
        <w:t>）。</w:t>
      </w:r>
      <w:r w:rsidR="00D17FD1">
        <w:rPr>
          <w:rFonts w:hint="eastAsia"/>
          <w:lang w:eastAsia="zh-CN"/>
        </w:rPr>
        <w:t>提出这一请求的目的是</w:t>
      </w:r>
      <w:r w:rsidRPr="00512910">
        <w:rPr>
          <w:rFonts w:hint="eastAsia"/>
          <w:lang w:eastAsia="zh-CN"/>
        </w:rPr>
        <w:t>确保</w:t>
      </w:r>
      <w:r w:rsidR="0045000A" w:rsidRPr="004070B6">
        <w:rPr>
          <w:lang w:eastAsia="zh-CN"/>
        </w:rPr>
        <w:t>ITU-R</w:t>
      </w:r>
      <w:r w:rsidR="00D17FD1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研究框架</w:t>
      </w:r>
      <w:r w:rsidR="00D17FD1">
        <w:rPr>
          <w:rFonts w:hint="eastAsia"/>
          <w:lang w:eastAsia="zh-CN"/>
        </w:rPr>
        <w:t>在</w:t>
      </w:r>
      <w:r w:rsidR="00D17FD1" w:rsidRPr="00512910">
        <w:rPr>
          <w:rFonts w:hint="eastAsia"/>
          <w:lang w:eastAsia="zh-CN"/>
        </w:rPr>
        <w:t>支持为</w:t>
      </w:r>
      <w:r w:rsidR="00D17FD1" w:rsidRPr="004070B6">
        <w:rPr>
          <w:lang w:eastAsia="zh-CN"/>
        </w:rPr>
        <w:t>RA-27</w:t>
      </w:r>
      <w:r w:rsidR="00D17FD1">
        <w:rPr>
          <w:rFonts w:hint="eastAsia"/>
          <w:lang w:eastAsia="zh-CN"/>
        </w:rPr>
        <w:t>和</w:t>
      </w:r>
      <w:r w:rsidR="00D17FD1" w:rsidRPr="004070B6">
        <w:rPr>
          <w:lang w:eastAsia="zh-CN"/>
        </w:rPr>
        <w:t>WRC-27</w:t>
      </w:r>
      <w:r w:rsidR="00D17FD1">
        <w:rPr>
          <w:rFonts w:hint="eastAsia"/>
          <w:lang w:eastAsia="zh-CN"/>
        </w:rPr>
        <w:t>编制</w:t>
      </w:r>
      <w:r w:rsidR="00D17FD1" w:rsidRPr="00512910">
        <w:rPr>
          <w:rFonts w:hint="eastAsia"/>
          <w:lang w:eastAsia="zh-CN"/>
        </w:rPr>
        <w:t>可交付成果</w:t>
      </w:r>
      <w:r w:rsidR="00D17FD1">
        <w:rPr>
          <w:rFonts w:hint="eastAsia"/>
          <w:lang w:eastAsia="zh-CN"/>
        </w:rPr>
        <w:t>的同时，能够</w:t>
      </w:r>
      <w:r w:rsidRPr="00512910">
        <w:rPr>
          <w:rFonts w:hint="eastAsia"/>
          <w:lang w:eastAsia="zh-CN"/>
        </w:rPr>
        <w:t>继续高效</w:t>
      </w:r>
      <w:r w:rsidR="00D17FD1">
        <w:rPr>
          <w:rFonts w:hint="eastAsia"/>
          <w:lang w:eastAsia="zh-CN"/>
        </w:rPr>
        <w:t>运作</w:t>
      </w:r>
      <w:r w:rsidR="0045000A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并评估现有</w:t>
      </w:r>
      <w:r w:rsidR="00FA66EC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组织结构是否仍</w:t>
      </w:r>
      <w:r w:rsidR="00D17FD1">
        <w:rPr>
          <w:rFonts w:hint="eastAsia"/>
          <w:lang w:eastAsia="zh-CN"/>
        </w:rPr>
        <w:t>能有效</w:t>
      </w:r>
      <w:r w:rsidRPr="00512910">
        <w:rPr>
          <w:rFonts w:hint="eastAsia"/>
          <w:lang w:eastAsia="zh-CN"/>
        </w:rPr>
        <w:t>应对不断变化的无线电通信</w:t>
      </w:r>
      <w:r w:rsidR="00FA66EC">
        <w:rPr>
          <w:rFonts w:hint="eastAsia"/>
          <w:lang w:eastAsia="zh-CN"/>
        </w:rPr>
        <w:t>形势</w:t>
      </w:r>
      <w:r w:rsidR="0045000A">
        <w:rPr>
          <w:rFonts w:hint="eastAsia"/>
          <w:lang w:eastAsia="zh-CN"/>
        </w:rPr>
        <w:t>。</w:t>
      </w:r>
    </w:p>
    <w:p w14:paraId="36EC60FE" w14:textId="7B80D4F5" w:rsidR="004070B6" w:rsidRPr="004070B6" w:rsidRDefault="00787954" w:rsidP="00D963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针对</w:t>
      </w:r>
      <w:r w:rsidR="00512910" w:rsidRPr="00512910">
        <w:rPr>
          <w:rFonts w:hint="eastAsia"/>
          <w:lang w:eastAsia="zh-CN"/>
        </w:rPr>
        <w:t>这一</w:t>
      </w:r>
      <w:r w:rsidR="0045000A">
        <w:rPr>
          <w:rFonts w:hint="eastAsia"/>
          <w:lang w:eastAsia="zh-CN"/>
        </w:rPr>
        <w:t>请求，</w:t>
      </w:r>
      <w:r w:rsidR="00512910" w:rsidRPr="00512910">
        <w:rPr>
          <w:rFonts w:hint="eastAsia"/>
          <w:lang w:eastAsia="zh-CN"/>
        </w:rPr>
        <w:t>无线电通信局</w:t>
      </w:r>
      <w:r w:rsidR="0045000A">
        <w:rPr>
          <w:rFonts w:hint="eastAsia"/>
          <w:lang w:eastAsia="zh-CN"/>
        </w:rPr>
        <w:t>（</w:t>
      </w:r>
      <w:r w:rsidR="0045000A" w:rsidRPr="004070B6">
        <w:rPr>
          <w:lang w:eastAsia="zh-CN"/>
        </w:rPr>
        <w:t>BR</w:t>
      </w:r>
      <w:r w:rsidR="0045000A">
        <w:rPr>
          <w:rFonts w:hint="eastAsia"/>
          <w:lang w:eastAsia="zh-CN"/>
        </w:rPr>
        <w:t>）</w:t>
      </w:r>
      <w:r w:rsidR="00512910" w:rsidRPr="00512910">
        <w:rPr>
          <w:rFonts w:hint="eastAsia"/>
          <w:lang w:eastAsia="zh-CN"/>
        </w:rPr>
        <w:t>请各研究组就开展研究过程中遇到的挑战</w:t>
      </w:r>
      <w:r w:rsidR="00742E11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以及</w:t>
      </w:r>
      <w:r w:rsidR="00742E11">
        <w:rPr>
          <w:rFonts w:hint="eastAsia"/>
          <w:lang w:eastAsia="zh-CN"/>
        </w:rPr>
        <w:t>通过加强</w:t>
      </w:r>
      <w:r w:rsidR="0045000A">
        <w:rPr>
          <w:rFonts w:hint="eastAsia"/>
          <w:lang w:eastAsia="zh-CN"/>
        </w:rPr>
        <w:t>协调或审查结构和</w:t>
      </w:r>
      <w:r w:rsidR="00512910" w:rsidRPr="00512910">
        <w:rPr>
          <w:rFonts w:hint="eastAsia"/>
          <w:lang w:eastAsia="zh-CN"/>
        </w:rPr>
        <w:t>工作方法</w:t>
      </w:r>
      <w:r w:rsidR="00742E11">
        <w:rPr>
          <w:rFonts w:hint="eastAsia"/>
          <w:lang w:eastAsia="zh-CN"/>
        </w:rPr>
        <w:t>能够</w:t>
      </w:r>
      <w:r w:rsidR="00512910" w:rsidRPr="00512910">
        <w:rPr>
          <w:rFonts w:hint="eastAsia"/>
          <w:lang w:eastAsia="zh-CN"/>
        </w:rPr>
        <w:t>提高效率的潜在领域提供反馈</w:t>
      </w:r>
      <w:r>
        <w:rPr>
          <w:rFonts w:hint="eastAsia"/>
          <w:lang w:eastAsia="zh-CN"/>
        </w:rPr>
        <w:t>意见</w:t>
      </w:r>
      <w:r w:rsidR="0045000A">
        <w:rPr>
          <w:rFonts w:hint="eastAsia"/>
          <w:lang w:eastAsia="zh-CN"/>
        </w:rPr>
        <w:t>。</w:t>
      </w:r>
      <w:r w:rsidR="0045000A" w:rsidRPr="004070B6">
        <w:rPr>
          <w:lang w:eastAsia="zh-CN"/>
        </w:rPr>
        <w:t>BR</w:t>
      </w:r>
      <w:r w:rsidR="00512910" w:rsidRPr="00512910">
        <w:rPr>
          <w:rFonts w:hint="eastAsia"/>
          <w:lang w:eastAsia="zh-CN"/>
        </w:rPr>
        <w:t>主任向</w:t>
      </w:r>
      <w:r w:rsidR="0045000A" w:rsidRPr="004070B6">
        <w:rPr>
          <w:lang w:eastAsia="zh-CN"/>
        </w:rPr>
        <w:t>RAG</w:t>
      </w:r>
      <w:r w:rsidR="00512910" w:rsidRPr="00512910">
        <w:rPr>
          <w:rFonts w:hint="eastAsia"/>
          <w:lang w:eastAsia="zh-CN"/>
        </w:rPr>
        <w:t>第</w:t>
      </w:r>
      <w:r w:rsidR="0045000A" w:rsidRPr="004070B6">
        <w:rPr>
          <w:lang w:eastAsia="zh-CN"/>
        </w:rPr>
        <w:t>33</w:t>
      </w:r>
      <w:r w:rsidR="00512910" w:rsidRPr="00512910">
        <w:rPr>
          <w:rFonts w:hint="eastAsia"/>
          <w:lang w:eastAsia="zh-CN"/>
        </w:rPr>
        <w:t>次会议提交的报告</w:t>
      </w:r>
      <w:r w:rsidR="0045000A">
        <w:rPr>
          <w:rFonts w:hint="eastAsia"/>
          <w:lang w:eastAsia="zh-CN"/>
        </w:rPr>
        <w:t>（</w:t>
      </w:r>
      <w:r w:rsidR="0045000A" w:rsidRPr="00512910">
        <w:rPr>
          <w:rFonts w:hint="eastAsia"/>
          <w:lang w:eastAsia="zh-CN"/>
        </w:rPr>
        <w:t>见</w:t>
      </w:r>
      <w:hyperlink r:id="rId9" w:history="1">
        <w:r w:rsidR="0045000A" w:rsidRPr="004070B6">
          <w:rPr>
            <w:rStyle w:val="Hyperlink"/>
            <w:lang w:eastAsia="zh-CN"/>
          </w:rPr>
          <w:t>RAG/58-E</w:t>
        </w:r>
      </w:hyperlink>
      <w:r w:rsidR="0045000A" w:rsidRPr="00512910">
        <w:rPr>
          <w:rFonts w:hint="eastAsia"/>
          <w:lang w:eastAsia="zh-CN"/>
        </w:rPr>
        <w:t>号文件</w:t>
      </w:r>
      <w:r w:rsidR="0045000A">
        <w:rPr>
          <w:rFonts w:hint="eastAsia"/>
          <w:lang w:eastAsia="zh-CN"/>
        </w:rPr>
        <w:t>）</w:t>
      </w:r>
      <w:r w:rsidR="00A11CF3" w:rsidRPr="00A11CF3">
        <w:rPr>
          <w:rFonts w:hint="eastAsia"/>
          <w:lang w:eastAsia="zh-CN"/>
        </w:rPr>
        <w:t>补遗</w:t>
      </w:r>
      <w:r w:rsidR="00A11CF3" w:rsidRPr="004070B6">
        <w:rPr>
          <w:lang w:eastAsia="zh-CN"/>
        </w:rPr>
        <w:t>1</w:t>
      </w:r>
      <w:r w:rsidR="00A11CF3">
        <w:rPr>
          <w:rFonts w:hint="eastAsia"/>
          <w:lang w:eastAsia="zh-CN"/>
        </w:rPr>
        <w:t>的</w:t>
      </w:r>
      <w:r w:rsidR="00512910" w:rsidRPr="00512910">
        <w:rPr>
          <w:rFonts w:hint="eastAsia"/>
          <w:lang w:eastAsia="zh-CN"/>
        </w:rPr>
        <w:t>附件</w:t>
      </w:r>
      <w:r w:rsidR="00A11CF3" w:rsidRPr="004070B6">
        <w:rPr>
          <w:lang w:eastAsia="zh-CN"/>
        </w:rPr>
        <w:t>2</w:t>
      </w:r>
      <w:r w:rsidR="00512910" w:rsidRPr="00512910">
        <w:rPr>
          <w:rFonts w:hint="eastAsia"/>
          <w:lang w:eastAsia="zh-CN"/>
        </w:rPr>
        <w:t>总结了各研究组</w:t>
      </w:r>
      <w:r w:rsidR="00742E11">
        <w:rPr>
          <w:rFonts w:hint="eastAsia"/>
          <w:lang w:eastAsia="zh-CN"/>
        </w:rPr>
        <w:t>提供</w:t>
      </w:r>
      <w:r w:rsidR="00512910" w:rsidRPr="00512910">
        <w:rPr>
          <w:rFonts w:hint="eastAsia"/>
          <w:lang w:eastAsia="zh-CN"/>
        </w:rPr>
        <w:t>的反馈意见</w:t>
      </w:r>
      <w:r w:rsidR="00A11CF3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汇总了各研究组就当前工作范围内</w:t>
      </w:r>
      <w:r w:rsidR="00130097">
        <w:rPr>
          <w:rFonts w:hint="eastAsia"/>
          <w:lang w:eastAsia="zh-CN"/>
        </w:rPr>
        <w:t>存在</w:t>
      </w:r>
      <w:r w:rsidR="00512910" w:rsidRPr="00512910">
        <w:rPr>
          <w:rFonts w:hint="eastAsia"/>
          <w:lang w:eastAsia="zh-CN"/>
        </w:rPr>
        <w:t>的挑战</w:t>
      </w:r>
      <w:r w:rsidR="00A11CF3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工作重叠</w:t>
      </w:r>
      <w:r w:rsidR="00742E11">
        <w:rPr>
          <w:rFonts w:hint="eastAsia"/>
          <w:lang w:eastAsia="zh-CN"/>
        </w:rPr>
        <w:t>及</w:t>
      </w:r>
      <w:r w:rsidR="00A11CF3">
        <w:rPr>
          <w:rFonts w:hint="eastAsia"/>
          <w:lang w:eastAsia="zh-CN"/>
        </w:rPr>
        <w:t>改进</w:t>
      </w:r>
      <w:r w:rsidR="00742E11">
        <w:rPr>
          <w:rFonts w:hint="eastAsia"/>
          <w:lang w:eastAsia="zh-CN"/>
        </w:rPr>
        <w:t>机会</w:t>
      </w:r>
      <w:r w:rsidR="00512910" w:rsidRPr="00512910">
        <w:rPr>
          <w:rFonts w:hint="eastAsia"/>
          <w:lang w:eastAsia="zh-CN"/>
        </w:rPr>
        <w:t>提供的输入意见</w:t>
      </w:r>
      <w:r w:rsidR="00A11CF3" w:rsidRPr="00130097">
        <w:rPr>
          <w:rFonts w:hint="eastAsia"/>
          <w:lang w:eastAsia="zh-CN"/>
        </w:rPr>
        <w:t>。</w:t>
      </w:r>
    </w:p>
    <w:p w14:paraId="2551BD4D" w14:textId="02A90993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如附件</w:t>
      </w:r>
      <w:r w:rsidR="00A11CF3" w:rsidRPr="004070B6">
        <w:rPr>
          <w:lang w:eastAsia="zh-CN"/>
        </w:rPr>
        <w:t>2</w:t>
      </w:r>
      <w:r w:rsidRPr="00512910">
        <w:rPr>
          <w:rFonts w:hint="eastAsia"/>
          <w:lang w:eastAsia="zh-CN"/>
        </w:rPr>
        <w:t>所示</w:t>
      </w:r>
      <w:r w:rsidR="00A11CF3">
        <w:rPr>
          <w:rFonts w:hint="eastAsia"/>
          <w:lang w:eastAsia="zh-CN"/>
        </w:rPr>
        <w:t>，</w:t>
      </w:r>
      <w:r w:rsidR="00742E11">
        <w:rPr>
          <w:rFonts w:hint="eastAsia"/>
          <w:lang w:eastAsia="zh-CN"/>
        </w:rPr>
        <w:t>多个</w:t>
      </w:r>
      <w:r w:rsidRPr="00512910">
        <w:rPr>
          <w:rFonts w:hint="eastAsia"/>
          <w:lang w:eastAsia="zh-CN"/>
        </w:rPr>
        <w:t>研究组在会议</w:t>
      </w:r>
      <w:r w:rsidR="006433BC">
        <w:rPr>
          <w:rFonts w:hint="eastAsia"/>
          <w:lang w:eastAsia="zh-CN"/>
        </w:rPr>
        <w:t>期间</w:t>
      </w:r>
      <w:r w:rsidR="00742E11">
        <w:rPr>
          <w:rFonts w:hint="eastAsia"/>
          <w:lang w:eastAsia="zh-CN"/>
        </w:rPr>
        <w:t>以及</w:t>
      </w:r>
      <w:r w:rsidRPr="00512910">
        <w:rPr>
          <w:rFonts w:hint="eastAsia"/>
          <w:lang w:eastAsia="zh-CN"/>
        </w:rPr>
        <w:t>通过</w:t>
      </w:r>
      <w:r w:rsidR="006433BC">
        <w:rPr>
          <w:rFonts w:hint="eastAsia"/>
          <w:lang w:eastAsia="zh-CN"/>
        </w:rPr>
        <w:t>专门提交的</w:t>
      </w:r>
      <w:r w:rsidR="00742E11" w:rsidRPr="00742E11">
        <w:rPr>
          <w:rFonts w:hint="eastAsia"/>
          <w:lang w:eastAsia="zh-CN"/>
        </w:rPr>
        <w:t>文稿</w:t>
      </w:r>
      <w:r w:rsidR="006433BC">
        <w:rPr>
          <w:rFonts w:hint="eastAsia"/>
          <w:lang w:eastAsia="zh-CN"/>
        </w:rPr>
        <w:t>对</w:t>
      </w:r>
      <w:r w:rsidRPr="00512910">
        <w:rPr>
          <w:rFonts w:hint="eastAsia"/>
          <w:lang w:eastAsia="zh-CN"/>
        </w:rPr>
        <w:t>这些问题</w:t>
      </w:r>
      <w:r w:rsidR="006433BC">
        <w:rPr>
          <w:rFonts w:hint="eastAsia"/>
          <w:lang w:eastAsia="zh-CN"/>
        </w:rPr>
        <w:t>进行了审议</w:t>
      </w:r>
      <w:r w:rsidR="00A11CF3">
        <w:rPr>
          <w:rFonts w:hint="eastAsia"/>
          <w:lang w:eastAsia="zh-CN"/>
        </w:rPr>
        <w:t>。特别是，</w:t>
      </w:r>
      <w:r w:rsidRPr="00512910">
        <w:rPr>
          <w:rFonts w:hint="eastAsia"/>
          <w:lang w:eastAsia="zh-CN"/>
        </w:rPr>
        <w:t>第</w:t>
      </w:r>
      <w:r w:rsidR="00A11CF3" w:rsidRPr="004070B6">
        <w:rPr>
          <w:lang w:eastAsia="zh-CN"/>
        </w:rPr>
        <w:t>4</w:t>
      </w:r>
      <w:r w:rsidR="00A11CF3" w:rsidRPr="00512910">
        <w:rPr>
          <w:rFonts w:hint="eastAsia"/>
          <w:lang w:eastAsia="zh-CN"/>
        </w:rPr>
        <w:t>研究组</w:t>
      </w:r>
      <w:r w:rsidRPr="00512910">
        <w:rPr>
          <w:rFonts w:hint="eastAsia"/>
          <w:lang w:eastAsia="zh-CN"/>
        </w:rPr>
        <w:t>和第</w:t>
      </w:r>
      <w:r w:rsidR="00A11CF3" w:rsidRPr="004070B6">
        <w:rPr>
          <w:lang w:eastAsia="zh-CN"/>
        </w:rPr>
        <w:t>5</w:t>
      </w:r>
      <w:r w:rsidRPr="00512910">
        <w:rPr>
          <w:rFonts w:hint="eastAsia"/>
          <w:lang w:eastAsia="zh-CN"/>
        </w:rPr>
        <w:t>研究组审议了相关的多国输入文稿</w:t>
      </w:r>
      <w:r w:rsidR="00A11CF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即</w:t>
      </w:r>
      <w:hyperlink r:id="rId10" w:history="1">
        <w:r w:rsidR="00A11CF3" w:rsidRPr="00A11CF3">
          <w:rPr>
            <w:rStyle w:val="Hyperlink"/>
            <w:lang w:eastAsia="zh-CN"/>
          </w:rPr>
          <w:t>4/47</w:t>
        </w:r>
        <w:r w:rsidR="00A11CF3">
          <w:rPr>
            <w:rStyle w:val="Hyperlink"/>
            <w:rFonts w:hint="eastAsia"/>
            <w:lang w:eastAsia="zh-CN"/>
          </w:rPr>
          <w:t>号文件</w:t>
        </w:r>
      </w:hyperlink>
      <w:r w:rsidR="00A11CF3">
        <w:rPr>
          <w:rFonts w:hint="eastAsia"/>
          <w:lang w:eastAsia="zh-CN"/>
        </w:rPr>
        <w:t>和</w:t>
      </w:r>
      <w:hyperlink r:id="rId11" w:history="1">
        <w:r w:rsidR="00A11CF3" w:rsidRPr="00A11CF3">
          <w:rPr>
            <w:rStyle w:val="Hyperlink"/>
            <w:lang w:eastAsia="zh-CN"/>
          </w:rPr>
          <w:t>5/96</w:t>
        </w:r>
        <w:r w:rsidR="00A11CF3" w:rsidRPr="00A11CF3">
          <w:rPr>
            <w:rStyle w:val="Hyperlink"/>
            <w:rFonts w:hint="eastAsia"/>
            <w:lang w:eastAsia="zh-CN"/>
          </w:rPr>
          <w:t>号文件</w:t>
        </w:r>
      </w:hyperlink>
      <w:r w:rsidR="00A11CF3">
        <w:rPr>
          <w:rFonts w:hint="eastAsia"/>
          <w:lang w:eastAsia="zh-CN"/>
        </w:rPr>
        <w:t>，</w:t>
      </w:r>
      <w:r w:rsidR="006433BC">
        <w:rPr>
          <w:rFonts w:hint="eastAsia"/>
          <w:lang w:eastAsia="zh-CN"/>
        </w:rPr>
        <w:t>其中探讨了</w:t>
      </w:r>
      <w:r w:rsidRPr="00512910">
        <w:rPr>
          <w:rFonts w:hint="eastAsia"/>
          <w:lang w:eastAsia="zh-CN"/>
        </w:rPr>
        <w:t>各自工作范围内</w:t>
      </w:r>
      <w:r w:rsidR="00742E11">
        <w:rPr>
          <w:rFonts w:hint="eastAsia"/>
          <w:lang w:eastAsia="zh-CN"/>
        </w:rPr>
        <w:t>存在</w:t>
      </w:r>
      <w:r w:rsidRPr="00512910">
        <w:rPr>
          <w:rFonts w:hint="eastAsia"/>
          <w:lang w:eastAsia="zh-CN"/>
        </w:rPr>
        <w:t>的挑战</w:t>
      </w:r>
      <w:r w:rsidR="00A11CF3">
        <w:rPr>
          <w:rFonts w:hint="eastAsia"/>
          <w:lang w:eastAsia="zh-CN"/>
        </w:rPr>
        <w:t>、</w:t>
      </w:r>
      <w:r w:rsidR="00742E11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重叠</w:t>
      </w:r>
      <w:r w:rsidR="00742E11">
        <w:rPr>
          <w:rFonts w:hint="eastAsia"/>
          <w:lang w:eastAsia="zh-CN"/>
        </w:rPr>
        <w:t>以及</w:t>
      </w:r>
      <w:r w:rsidRPr="00512910">
        <w:rPr>
          <w:rFonts w:hint="eastAsia"/>
          <w:lang w:eastAsia="zh-CN"/>
        </w:rPr>
        <w:t>潜在的改进机会</w:t>
      </w:r>
      <w:r w:rsidR="00A11CF3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这些讨论凸显了卫星和地面业务</w:t>
      </w:r>
      <w:r w:rsidR="00742E11">
        <w:rPr>
          <w:rFonts w:hint="eastAsia"/>
          <w:lang w:eastAsia="zh-CN"/>
        </w:rPr>
        <w:t>相关</w:t>
      </w:r>
      <w:r w:rsidRPr="00512910">
        <w:rPr>
          <w:rFonts w:hint="eastAsia"/>
          <w:lang w:eastAsia="zh-CN"/>
        </w:rPr>
        <w:t>研究</w:t>
      </w:r>
      <w:r w:rsidR="00130097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日益复杂</w:t>
      </w:r>
      <w:r w:rsidR="00130097">
        <w:rPr>
          <w:rFonts w:hint="eastAsia"/>
          <w:lang w:eastAsia="zh-CN"/>
        </w:rPr>
        <w:t>性</w:t>
      </w:r>
      <w:r w:rsidR="00A11CF3">
        <w:rPr>
          <w:rFonts w:hint="eastAsia"/>
          <w:lang w:eastAsia="zh-CN"/>
        </w:rPr>
        <w:t>，以及</w:t>
      </w:r>
      <w:r w:rsidR="00A11CF3" w:rsidRPr="00A11CF3">
        <w:rPr>
          <w:rFonts w:hint="eastAsia"/>
          <w:lang w:eastAsia="zh-CN"/>
        </w:rPr>
        <w:t>不同技术领域之间日益增长的协调需求</w:t>
      </w:r>
      <w:r w:rsidR="00A11CF3" w:rsidRPr="00130097">
        <w:rPr>
          <w:rFonts w:hint="eastAsia"/>
          <w:lang w:eastAsia="zh-CN"/>
        </w:rPr>
        <w:t>。</w:t>
      </w:r>
    </w:p>
    <w:p w14:paraId="4BD80252" w14:textId="5FC2B96B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第</w:t>
      </w:r>
      <w:r w:rsidR="00A11CF3" w:rsidRPr="004070B6">
        <w:rPr>
          <w:lang w:eastAsia="zh-CN"/>
        </w:rPr>
        <w:t>3</w:t>
      </w:r>
      <w:r w:rsidRPr="00512910">
        <w:rPr>
          <w:rFonts w:hint="eastAsia"/>
          <w:lang w:eastAsia="zh-CN"/>
        </w:rPr>
        <w:t>研究组还审议了与</w:t>
      </w:r>
      <w:r w:rsidR="00A11CF3">
        <w:rPr>
          <w:rFonts w:hint="eastAsia"/>
          <w:lang w:eastAsia="zh-CN"/>
        </w:rPr>
        <w:t>当前</w:t>
      </w:r>
      <w:r w:rsidRPr="00512910">
        <w:rPr>
          <w:rFonts w:hint="eastAsia"/>
          <w:lang w:eastAsia="zh-CN"/>
        </w:rPr>
        <w:t>研究组结构相关的问题</w:t>
      </w:r>
      <w:r w:rsidR="00A11CF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指出自</w:t>
      </w:r>
      <w:r w:rsidR="00A11CF3" w:rsidRPr="004070B6">
        <w:rPr>
          <w:lang w:eastAsia="zh-CN"/>
        </w:rPr>
        <w:t>2007</w:t>
      </w:r>
      <w:r w:rsidRPr="00512910">
        <w:rPr>
          <w:rFonts w:hint="eastAsia"/>
          <w:lang w:eastAsia="zh-CN"/>
        </w:rPr>
        <w:t>年以来</w:t>
      </w:r>
      <w:r w:rsidR="00A11CF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研究组结构</w:t>
      </w:r>
      <w:r w:rsidR="00A11CF3">
        <w:rPr>
          <w:rFonts w:hint="eastAsia"/>
          <w:lang w:eastAsia="zh-CN"/>
        </w:rPr>
        <w:t>未进行重大调整，</w:t>
      </w:r>
      <w:r w:rsidR="00C06B30">
        <w:rPr>
          <w:rFonts w:hint="eastAsia"/>
          <w:lang w:eastAsia="zh-CN"/>
        </w:rPr>
        <w:t>并表示</w:t>
      </w:r>
      <w:r w:rsidR="00130097">
        <w:rPr>
          <w:rFonts w:hint="eastAsia"/>
          <w:lang w:eastAsia="zh-CN"/>
        </w:rPr>
        <w:t>，</w:t>
      </w:r>
      <w:proofErr w:type="gramStart"/>
      <w:r w:rsidR="00C06B30">
        <w:rPr>
          <w:rFonts w:hint="eastAsia"/>
          <w:lang w:eastAsia="zh-CN"/>
        </w:rPr>
        <w:t>鉴于</w:t>
      </w:r>
      <w:r w:rsidRPr="00512910">
        <w:rPr>
          <w:rFonts w:hint="eastAsia"/>
          <w:lang w:eastAsia="zh-CN"/>
        </w:rPr>
        <w:t>技术</w:t>
      </w:r>
      <w:proofErr w:type="gramEnd"/>
      <w:r w:rsidRPr="00512910">
        <w:rPr>
          <w:rFonts w:hint="eastAsia"/>
          <w:lang w:eastAsia="zh-CN"/>
        </w:rPr>
        <w:t>环境</w:t>
      </w:r>
      <w:r w:rsidR="00C06B30" w:rsidRPr="00512910">
        <w:rPr>
          <w:rFonts w:hint="eastAsia"/>
          <w:lang w:eastAsia="zh-CN"/>
        </w:rPr>
        <w:t>不断</w:t>
      </w:r>
      <w:r w:rsidR="00C06B30">
        <w:rPr>
          <w:rFonts w:hint="eastAsia"/>
          <w:lang w:eastAsia="zh-CN"/>
        </w:rPr>
        <w:t>演进</w:t>
      </w:r>
      <w:r w:rsidR="00A11CF3">
        <w:rPr>
          <w:rFonts w:hint="eastAsia"/>
          <w:lang w:eastAsia="zh-CN"/>
        </w:rPr>
        <w:t>，</w:t>
      </w:r>
      <w:r w:rsidR="00C06B30">
        <w:rPr>
          <w:rFonts w:hint="eastAsia"/>
          <w:lang w:eastAsia="zh-CN"/>
        </w:rPr>
        <w:t>此时</w:t>
      </w:r>
      <w:r w:rsidRPr="00512910">
        <w:rPr>
          <w:rFonts w:hint="eastAsia"/>
          <w:lang w:eastAsia="zh-CN"/>
        </w:rPr>
        <w:t>进行</w:t>
      </w:r>
      <w:r w:rsidR="00A11CF3">
        <w:rPr>
          <w:rFonts w:hint="eastAsia"/>
          <w:lang w:eastAsia="zh-CN"/>
        </w:rPr>
        <w:t>审查</w:t>
      </w:r>
      <w:r w:rsidR="00C06B30">
        <w:rPr>
          <w:rFonts w:hint="eastAsia"/>
          <w:lang w:eastAsia="zh-CN"/>
        </w:rPr>
        <w:t>可能</w:t>
      </w:r>
      <w:r w:rsidR="002155DA" w:rsidRPr="002155DA">
        <w:rPr>
          <w:rFonts w:hint="eastAsia"/>
          <w:lang w:eastAsia="zh-CN"/>
        </w:rPr>
        <w:t>正逢其时</w:t>
      </w:r>
      <w:r w:rsidR="002155DA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此外</w:t>
      </w:r>
      <w:r w:rsidR="002155DA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讨论</w:t>
      </w:r>
      <w:r w:rsidR="000F74EF">
        <w:rPr>
          <w:rFonts w:hint="eastAsia"/>
          <w:lang w:eastAsia="zh-CN"/>
        </w:rPr>
        <w:t>中提到，</w:t>
      </w:r>
      <w:r w:rsidRPr="00512910">
        <w:rPr>
          <w:rFonts w:hint="eastAsia"/>
          <w:lang w:eastAsia="zh-CN"/>
        </w:rPr>
        <w:t>不断发展的无线电通信技术正日益突破传统业务</w:t>
      </w:r>
      <w:r w:rsidR="000F74EF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界限</w:t>
      </w:r>
      <w:r w:rsidR="002155DA">
        <w:rPr>
          <w:rFonts w:hint="eastAsia"/>
          <w:lang w:eastAsia="zh-CN"/>
        </w:rPr>
        <w:t>，</w:t>
      </w:r>
      <w:r w:rsidR="000F74EF">
        <w:rPr>
          <w:rFonts w:hint="eastAsia"/>
          <w:lang w:eastAsia="zh-CN"/>
        </w:rPr>
        <w:t>这要求</w:t>
      </w:r>
      <w:r w:rsidRPr="00512910">
        <w:rPr>
          <w:rFonts w:hint="eastAsia"/>
          <w:lang w:eastAsia="zh-CN"/>
        </w:rPr>
        <w:t>各研究组之间采取协调</w:t>
      </w:r>
      <w:r w:rsidR="000F74EF">
        <w:rPr>
          <w:rFonts w:hint="eastAsia"/>
          <w:lang w:eastAsia="zh-CN"/>
        </w:rPr>
        <w:t>一致</w:t>
      </w:r>
      <w:r w:rsidRPr="00512910">
        <w:rPr>
          <w:rFonts w:hint="eastAsia"/>
          <w:lang w:eastAsia="zh-CN"/>
        </w:rPr>
        <w:t>的</w:t>
      </w:r>
      <w:r w:rsidR="002155DA">
        <w:rPr>
          <w:rFonts w:hint="eastAsia"/>
          <w:lang w:eastAsia="zh-CN"/>
        </w:rPr>
        <w:t>方法。</w:t>
      </w:r>
      <w:r w:rsidRPr="00512910">
        <w:rPr>
          <w:rFonts w:hint="eastAsia"/>
          <w:lang w:eastAsia="zh-CN"/>
        </w:rPr>
        <w:t>第</w:t>
      </w:r>
      <w:r w:rsidR="002155DA" w:rsidRPr="004070B6">
        <w:rPr>
          <w:lang w:eastAsia="zh-CN"/>
        </w:rPr>
        <w:t>3</w:t>
      </w:r>
      <w:r w:rsidRPr="00512910">
        <w:rPr>
          <w:rFonts w:hint="eastAsia"/>
          <w:lang w:eastAsia="zh-CN"/>
        </w:rPr>
        <w:t>研究组进一步强调</w:t>
      </w:r>
      <w:r w:rsidR="002155DA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其传播建议书</w:t>
      </w:r>
      <w:r w:rsidR="002155DA">
        <w:rPr>
          <w:rFonts w:hint="eastAsia"/>
          <w:lang w:eastAsia="zh-CN"/>
        </w:rPr>
        <w:t>（</w:t>
      </w:r>
      <w:r w:rsidR="002155DA" w:rsidRPr="004070B6">
        <w:rPr>
          <w:lang w:eastAsia="zh-CN"/>
        </w:rPr>
        <w:t>P</w:t>
      </w:r>
      <w:r w:rsidR="002155DA" w:rsidRPr="00512910">
        <w:rPr>
          <w:rFonts w:hint="eastAsia"/>
          <w:lang w:eastAsia="zh-CN"/>
        </w:rPr>
        <w:t>系列</w:t>
      </w:r>
      <w:r w:rsidR="002155DA">
        <w:rPr>
          <w:rFonts w:hint="eastAsia"/>
          <w:lang w:eastAsia="zh-CN"/>
        </w:rPr>
        <w:t>）</w:t>
      </w:r>
      <w:r w:rsidR="000F74EF">
        <w:rPr>
          <w:rFonts w:hint="eastAsia"/>
          <w:lang w:eastAsia="zh-CN"/>
        </w:rPr>
        <w:t>为</w:t>
      </w:r>
      <w:r w:rsidRPr="00512910">
        <w:rPr>
          <w:rFonts w:hint="eastAsia"/>
          <w:lang w:eastAsia="zh-CN"/>
        </w:rPr>
        <w:t>其他研究组</w:t>
      </w:r>
      <w:r w:rsidR="000F74EF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工</w:t>
      </w:r>
      <w:r w:rsidRPr="000F74EF">
        <w:rPr>
          <w:rFonts w:hint="eastAsia"/>
          <w:lang w:eastAsia="zh-CN"/>
        </w:rPr>
        <w:t>作</w:t>
      </w:r>
      <w:r w:rsidR="002155DA" w:rsidRPr="000F74EF">
        <w:rPr>
          <w:rFonts w:hint="eastAsia"/>
          <w:lang w:eastAsia="zh-CN"/>
        </w:rPr>
        <w:t>提供了</w:t>
      </w:r>
      <w:r w:rsidRPr="00512910">
        <w:rPr>
          <w:rFonts w:hint="eastAsia"/>
          <w:lang w:eastAsia="zh-CN"/>
        </w:rPr>
        <w:t>重要</w:t>
      </w:r>
      <w:r w:rsidR="0024566D">
        <w:rPr>
          <w:rFonts w:hint="eastAsia"/>
          <w:lang w:eastAsia="zh-CN"/>
        </w:rPr>
        <w:t>参考</w:t>
      </w:r>
      <w:r w:rsidR="002155DA">
        <w:rPr>
          <w:rFonts w:hint="eastAsia"/>
          <w:lang w:eastAsia="zh-CN"/>
        </w:rPr>
        <w:t>，</w:t>
      </w:r>
      <w:r w:rsidR="000F74EF">
        <w:rPr>
          <w:rFonts w:hint="eastAsia"/>
          <w:lang w:eastAsia="zh-CN"/>
        </w:rPr>
        <w:t>这体现</w:t>
      </w:r>
      <w:r w:rsidRPr="00512910">
        <w:rPr>
          <w:rFonts w:hint="eastAsia"/>
          <w:lang w:eastAsia="zh-CN"/>
        </w:rPr>
        <w:t>了</w:t>
      </w:r>
      <w:r w:rsidR="002155DA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内各项研究之间的相互</w:t>
      </w:r>
      <w:r w:rsidR="00130097">
        <w:rPr>
          <w:rFonts w:hint="eastAsia"/>
          <w:lang w:eastAsia="zh-CN"/>
        </w:rPr>
        <w:t>依赖</w:t>
      </w:r>
      <w:r w:rsidRPr="00512910">
        <w:rPr>
          <w:rFonts w:hint="eastAsia"/>
          <w:lang w:eastAsia="zh-CN"/>
        </w:rPr>
        <w:t>关系</w:t>
      </w:r>
      <w:r w:rsidR="002155DA" w:rsidRPr="00130097">
        <w:rPr>
          <w:rFonts w:hint="eastAsia"/>
          <w:lang w:eastAsia="zh-CN"/>
        </w:rPr>
        <w:t>。</w:t>
      </w:r>
    </w:p>
    <w:p w14:paraId="38DDEB57" w14:textId="20CA9398" w:rsidR="004070B6" w:rsidRPr="004070B6" w:rsidRDefault="00512910" w:rsidP="00D963D6">
      <w:pPr>
        <w:ind w:firstLineChars="200" w:firstLine="480"/>
        <w:rPr>
          <w:lang w:eastAsia="zh-CN"/>
        </w:rPr>
      </w:pPr>
      <w:r w:rsidRPr="00601574">
        <w:rPr>
          <w:rFonts w:hint="eastAsia"/>
          <w:lang w:eastAsia="zh-CN"/>
        </w:rPr>
        <w:t>总体而言</w:t>
      </w:r>
      <w:r w:rsidR="009D325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附件</w:t>
      </w:r>
      <w:r w:rsidR="009D3252" w:rsidRPr="004070B6">
        <w:rPr>
          <w:lang w:eastAsia="zh-CN"/>
        </w:rPr>
        <w:t>2</w:t>
      </w:r>
      <w:r w:rsidRPr="00512910">
        <w:rPr>
          <w:rFonts w:hint="eastAsia"/>
          <w:lang w:eastAsia="zh-CN"/>
        </w:rPr>
        <w:t>中总结的反馈</w:t>
      </w:r>
      <w:r w:rsidR="006C16B4">
        <w:rPr>
          <w:rFonts w:hint="eastAsia"/>
          <w:lang w:eastAsia="zh-CN"/>
        </w:rPr>
        <w:t>意见</w:t>
      </w:r>
      <w:r w:rsidRPr="00512910">
        <w:rPr>
          <w:rFonts w:hint="eastAsia"/>
          <w:lang w:eastAsia="zh-CN"/>
        </w:rPr>
        <w:t>表明</w:t>
      </w:r>
      <w:r w:rsidR="009D325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无线电通信技术和业务的快速发展扩大了</w:t>
      </w:r>
      <w:r w:rsidR="009D3252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研究的范围</w:t>
      </w:r>
      <w:r w:rsidR="009D3252">
        <w:rPr>
          <w:rFonts w:hint="eastAsia"/>
          <w:lang w:eastAsia="zh-CN"/>
        </w:rPr>
        <w:t>、增加了</w:t>
      </w:r>
      <w:r w:rsidRPr="00512910">
        <w:rPr>
          <w:rFonts w:hint="eastAsia"/>
          <w:lang w:eastAsia="zh-CN"/>
        </w:rPr>
        <w:t>复杂性和相互</w:t>
      </w:r>
      <w:r w:rsidR="00601574">
        <w:rPr>
          <w:rFonts w:hint="eastAsia"/>
          <w:lang w:eastAsia="zh-CN"/>
        </w:rPr>
        <w:t>依赖</w:t>
      </w:r>
      <w:r w:rsidR="006C16B4" w:rsidRPr="006C16B4">
        <w:rPr>
          <w:rFonts w:hint="eastAsia"/>
          <w:lang w:eastAsia="zh-CN"/>
        </w:rPr>
        <w:t>性</w:t>
      </w:r>
      <w:r w:rsidR="009D325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特别是在</w:t>
      </w:r>
      <w:r w:rsidR="009D3252">
        <w:rPr>
          <w:rFonts w:hint="eastAsia"/>
          <w:lang w:eastAsia="zh-CN"/>
        </w:rPr>
        <w:t>诸如</w:t>
      </w:r>
      <w:r w:rsidRPr="00512910">
        <w:rPr>
          <w:rFonts w:hint="eastAsia"/>
          <w:lang w:eastAsia="zh-CN"/>
        </w:rPr>
        <w:t>卫星通信</w:t>
      </w:r>
      <w:r w:rsidR="009D3252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地面移动系统和新兴网络架构等领域</w:t>
      </w:r>
      <w:r w:rsidR="009D3252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这些发展</w:t>
      </w:r>
      <w:r w:rsidR="00E85F5B">
        <w:rPr>
          <w:rFonts w:hint="eastAsia"/>
          <w:lang w:eastAsia="zh-CN"/>
        </w:rPr>
        <w:t>日益涉及</w:t>
      </w:r>
      <w:r w:rsidRPr="00512910">
        <w:rPr>
          <w:rFonts w:hint="eastAsia"/>
          <w:lang w:eastAsia="zh-CN"/>
        </w:rPr>
        <w:t>多个无线电通信领域</w:t>
      </w:r>
      <w:r w:rsidR="009D325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需要各研究组通过联络声明和研究结果</w:t>
      </w:r>
      <w:r w:rsidR="00B4009E" w:rsidRPr="00512910">
        <w:rPr>
          <w:rFonts w:hint="eastAsia"/>
          <w:lang w:eastAsia="zh-CN"/>
        </w:rPr>
        <w:t>交流</w:t>
      </w:r>
      <w:r w:rsidRPr="00512910">
        <w:rPr>
          <w:rFonts w:hint="eastAsia"/>
          <w:lang w:eastAsia="zh-CN"/>
        </w:rPr>
        <w:t>等机制</w:t>
      </w:r>
      <w:r w:rsidR="00B4009E">
        <w:rPr>
          <w:rFonts w:hint="eastAsia"/>
          <w:lang w:eastAsia="zh-CN"/>
        </w:rPr>
        <w:t>加强</w:t>
      </w:r>
      <w:r w:rsidRPr="00512910">
        <w:rPr>
          <w:rFonts w:hint="eastAsia"/>
          <w:lang w:eastAsia="zh-CN"/>
        </w:rPr>
        <w:t>协调</w:t>
      </w:r>
      <w:r w:rsidR="009D3252">
        <w:rPr>
          <w:rFonts w:hint="eastAsia"/>
          <w:lang w:eastAsia="zh-CN"/>
        </w:rPr>
        <w:t>。</w:t>
      </w:r>
      <w:r w:rsidR="00B4009E">
        <w:rPr>
          <w:rFonts w:hint="eastAsia"/>
          <w:lang w:eastAsia="zh-CN"/>
        </w:rPr>
        <w:t>虽然</w:t>
      </w:r>
      <w:r w:rsidRPr="00512910">
        <w:rPr>
          <w:rFonts w:hint="eastAsia"/>
          <w:lang w:eastAsia="zh-CN"/>
        </w:rPr>
        <w:t>这</w:t>
      </w:r>
      <w:r w:rsidR="00B4009E">
        <w:rPr>
          <w:rFonts w:hint="eastAsia"/>
          <w:lang w:eastAsia="zh-CN"/>
        </w:rPr>
        <w:t>表明</w:t>
      </w:r>
      <w:r w:rsidR="009D3252" w:rsidRPr="004070B6">
        <w:rPr>
          <w:lang w:eastAsia="zh-CN"/>
        </w:rPr>
        <w:t>ITU-R</w:t>
      </w:r>
      <w:r w:rsidR="00B4009E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活动</w:t>
      </w:r>
      <w:r w:rsidR="00B4009E">
        <w:rPr>
          <w:rFonts w:hint="eastAsia"/>
          <w:lang w:eastAsia="zh-CN"/>
        </w:rPr>
        <w:t>仍然具有现实意义且充满</w:t>
      </w:r>
      <w:r w:rsidRPr="00512910">
        <w:rPr>
          <w:rFonts w:hint="eastAsia"/>
          <w:lang w:eastAsia="zh-CN"/>
        </w:rPr>
        <w:t>活力</w:t>
      </w:r>
      <w:r w:rsidR="009D3252">
        <w:rPr>
          <w:rFonts w:hint="eastAsia"/>
          <w:lang w:eastAsia="zh-CN"/>
        </w:rPr>
        <w:t>，</w:t>
      </w:r>
      <w:r w:rsidR="00B4009E">
        <w:rPr>
          <w:rFonts w:hint="eastAsia"/>
          <w:lang w:eastAsia="zh-CN"/>
        </w:rPr>
        <w:t>但也</w:t>
      </w:r>
      <w:r w:rsidRPr="00512910">
        <w:rPr>
          <w:rFonts w:hint="eastAsia"/>
          <w:lang w:eastAsia="zh-CN"/>
        </w:rPr>
        <w:t>增加了</w:t>
      </w:r>
      <w:r w:rsidR="00B4009E">
        <w:rPr>
          <w:rFonts w:hint="eastAsia"/>
          <w:lang w:eastAsia="zh-CN"/>
        </w:rPr>
        <w:t>部分</w:t>
      </w:r>
      <w:r w:rsidRPr="00512910">
        <w:rPr>
          <w:rFonts w:hint="eastAsia"/>
          <w:lang w:eastAsia="zh-CN"/>
        </w:rPr>
        <w:t>研究</w:t>
      </w:r>
      <w:proofErr w:type="gramStart"/>
      <w:r w:rsidRPr="00512910">
        <w:rPr>
          <w:rFonts w:hint="eastAsia"/>
          <w:lang w:eastAsia="zh-CN"/>
        </w:rPr>
        <w:t>组及其</w:t>
      </w:r>
      <w:proofErr w:type="gramEnd"/>
      <w:r w:rsidRPr="00512910">
        <w:rPr>
          <w:rFonts w:hint="eastAsia"/>
          <w:lang w:eastAsia="zh-CN"/>
        </w:rPr>
        <w:t>工作组的工作量</w:t>
      </w:r>
      <w:r w:rsidR="009D3252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尽管</w:t>
      </w:r>
      <w:r w:rsidR="00B4009E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性质和规模发生了这些变化</w:t>
      </w:r>
      <w:r w:rsidR="009D325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但</w:t>
      </w:r>
      <w:r w:rsidR="008B373B">
        <w:rPr>
          <w:lang w:eastAsia="zh-CN"/>
        </w:rPr>
        <w:br/>
      </w:r>
      <w:r w:rsidR="009D3252" w:rsidRPr="004070B6">
        <w:rPr>
          <w:lang w:eastAsia="zh-CN"/>
        </w:rPr>
        <w:t>ITU-R</w:t>
      </w:r>
      <w:r w:rsidR="009D3252" w:rsidRPr="00512910">
        <w:rPr>
          <w:rFonts w:hint="eastAsia"/>
          <w:lang w:eastAsia="zh-CN"/>
        </w:rPr>
        <w:t>研究组的</w:t>
      </w:r>
      <w:r w:rsidR="00B4009E">
        <w:rPr>
          <w:rFonts w:hint="eastAsia"/>
          <w:lang w:eastAsia="zh-CN"/>
        </w:rPr>
        <w:t>整体</w:t>
      </w:r>
      <w:r w:rsidR="009D3252" w:rsidRPr="00512910">
        <w:rPr>
          <w:rFonts w:hint="eastAsia"/>
          <w:lang w:eastAsia="zh-CN"/>
        </w:rPr>
        <w:t>结构</w:t>
      </w:r>
      <w:r w:rsidR="009D3252">
        <w:rPr>
          <w:rFonts w:hint="eastAsia"/>
          <w:lang w:eastAsia="zh-CN"/>
        </w:rPr>
        <w:t>在超过</w:t>
      </w:r>
      <w:r w:rsidRPr="00512910">
        <w:rPr>
          <w:rFonts w:hint="eastAsia"/>
          <w:lang w:eastAsia="zh-CN"/>
        </w:rPr>
        <w:t>十五年</w:t>
      </w:r>
      <w:r w:rsidR="009D3252">
        <w:rPr>
          <w:rFonts w:hint="eastAsia"/>
          <w:lang w:eastAsia="zh-CN"/>
        </w:rPr>
        <w:t>的时间里（</w:t>
      </w:r>
      <w:r w:rsidR="009D3252" w:rsidRPr="00512910">
        <w:rPr>
          <w:rFonts w:hint="eastAsia"/>
          <w:lang w:eastAsia="zh-CN"/>
        </w:rPr>
        <w:t>相当于大约四个无线电通信全会</w:t>
      </w:r>
      <w:r w:rsidR="009D3252">
        <w:rPr>
          <w:rFonts w:hint="eastAsia"/>
          <w:lang w:eastAsia="zh-CN"/>
        </w:rPr>
        <w:t>（</w:t>
      </w:r>
      <w:r w:rsidR="009D3252" w:rsidRPr="004070B6">
        <w:rPr>
          <w:lang w:eastAsia="zh-CN"/>
        </w:rPr>
        <w:t>RA</w:t>
      </w:r>
      <w:r w:rsidR="009D3252">
        <w:rPr>
          <w:rFonts w:hint="eastAsia"/>
          <w:lang w:eastAsia="zh-CN"/>
        </w:rPr>
        <w:t>）</w:t>
      </w:r>
      <w:r w:rsidR="009D3252" w:rsidRPr="00512910">
        <w:rPr>
          <w:rFonts w:hint="eastAsia"/>
          <w:lang w:eastAsia="zh-CN"/>
        </w:rPr>
        <w:t>周</w:t>
      </w:r>
      <w:r w:rsidR="009D3252" w:rsidRPr="00512910">
        <w:rPr>
          <w:rFonts w:hint="eastAsia"/>
          <w:lang w:eastAsia="zh-CN"/>
        </w:rPr>
        <w:lastRenderedPageBreak/>
        <w:t>期</w:t>
      </w:r>
      <w:r w:rsidR="009D3252">
        <w:rPr>
          <w:rFonts w:hint="eastAsia"/>
          <w:lang w:eastAsia="zh-CN"/>
        </w:rPr>
        <w:t>）</w:t>
      </w:r>
      <w:r w:rsidR="00193669" w:rsidRPr="00193669">
        <w:rPr>
          <w:rFonts w:hint="eastAsia"/>
          <w:lang w:eastAsia="zh-CN"/>
        </w:rPr>
        <w:t>基本未发生</w:t>
      </w:r>
      <w:r w:rsidR="00193669">
        <w:rPr>
          <w:rFonts w:hint="eastAsia"/>
          <w:lang w:eastAsia="zh-CN"/>
        </w:rPr>
        <w:t>变化</w:t>
      </w:r>
      <w:r w:rsidR="009D325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这</w:t>
      </w:r>
      <w:r w:rsidR="00B4009E">
        <w:rPr>
          <w:rFonts w:hint="eastAsia"/>
          <w:lang w:eastAsia="zh-CN"/>
        </w:rPr>
        <w:t>引发</w:t>
      </w:r>
      <w:r w:rsidRPr="00512910">
        <w:rPr>
          <w:rFonts w:hint="eastAsia"/>
          <w:lang w:eastAsia="zh-CN"/>
        </w:rPr>
        <w:t>了一个问题</w:t>
      </w:r>
      <w:r w:rsidR="00E85F5B">
        <w:rPr>
          <w:rFonts w:hint="eastAsia"/>
          <w:lang w:eastAsia="zh-CN"/>
        </w:rPr>
        <w:t>：</w:t>
      </w:r>
      <w:r w:rsidRPr="00512910">
        <w:rPr>
          <w:rFonts w:hint="eastAsia"/>
          <w:lang w:eastAsia="zh-CN"/>
        </w:rPr>
        <w:t>定期</w:t>
      </w:r>
      <w:r w:rsidR="00B4009E">
        <w:rPr>
          <w:rFonts w:hint="eastAsia"/>
          <w:lang w:eastAsia="zh-CN"/>
        </w:rPr>
        <w:t>进行</w:t>
      </w:r>
      <w:r w:rsidRPr="00512910">
        <w:rPr>
          <w:rFonts w:hint="eastAsia"/>
          <w:lang w:eastAsia="zh-CN"/>
        </w:rPr>
        <w:t>结构审查是否</w:t>
      </w:r>
      <w:r w:rsidR="00B4009E">
        <w:rPr>
          <w:rFonts w:hint="eastAsia"/>
          <w:lang w:eastAsia="zh-CN"/>
        </w:rPr>
        <w:t>有利</w:t>
      </w:r>
      <w:r w:rsidR="009D3252">
        <w:rPr>
          <w:rFonts w:hint="eastAsia"/>
          <w:lang w:eastAsia="zh-CN"/>
        </w:rPr>
        <w:t>于</w:t>
      </w:r>
      <w:r w:rsidRPr="00512910">
        <w:rPr>
          <w:rFonts w:hint="eastAsia"/>
          <w:lang w:eastAsia="zh-CN"/>
        </w:rPr>
        <w:t>确保研究框架与当前</w:t>
      </w:r>
      <w:r w:rsidR="00E85F5B">
        <w:rPr>
          <w:rFonts w:hint="eastAsia"/>
          <w:lang w:eastAsia="zh-CN"/>
        </w:rPr>
        <w:t>及</w:t>
      </w:r>
      <w:r w:rsidRPr="00512910">
        <w:rPr>
          <w:rFonts w:hint="eastAsia"/>
          <w:lang w:eastAsia="zh-CN"/>
        </w:rPr>
        <w:t>未来的无线电通信发展保持一致</w:t>
      </w:r>
      <w:r w:rsidR="009D3252" w:rsidRPr="00601574">
        <w:rPr>
          <w:rFonts w:hint="eastAsia"/>
          <w:lang w:eastAsia="zh-CN"/>
        </w:rPr>
        <w:t>。</w:t>
      </w:r>
    </w:p>
    <w:p w14:paraId="349A437F" w14:textId="5033B069" w:rsidR="004070B6" w:rsidRPr="004070B6" w:rsidRDefault="004070B6" w:rsidP="00A36331">
      <w:pPr>
        <w:pStyle w:val="Heading1"/>
        <w:rPr>
          <w:lang w:eastAsia="zh-CN"/>
        </w:rPr>
      </w:pPr>
      <w:r w:rsidRPr="004070B6">
        <w:rPr>
          <w:lang w:eastAsia="zh-CN"/>
        </w:rPr>
        <w:t>2</w:t>
      </w:r>
      <w:r w:rsidR="00D96D3D">
        <w:rPr>
          <w:lang w:eastAsia="zh-CN"/>
        </w:rPr>
        <w:tab/>
      </w:r>
      <w:r w:rsidR="00512910" w:rsidRPr="00512910">
        <w:rPr>
          <w:rFonts w:hint="eastAsia"/>
          <w:lang w:eastAsia="zh-CN"/>
        </w:rPr>
        <w:t>讨论</w:t>
      </w:r>
    </w:p>
    <w:p w14:paraId="1D1C1F47" w14:textId="34EF6083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根据</w:t>
      </w:r>
      <w:r w:rsidR="005F3745" w:rsidRPr="004070B6">
        <w:rPr>
          <w:lang w:eastAsia="zh-CN"/>
        </w:rPr>
        <w:t>ITU-R</w:t>
      </w:r>
      <w:r w:rsidR="005F3745" w:rsidRPr="00512910">
        <w:rPr>
          <w:rFonts w:hint="eastAsia"/>
          <w:lang w:eastAsia="zh-CN"/>
        </w:rPr>
        <w:t>第</w:t>
      </w:r>
      <w:r w:rsidR="005F3745" w:rsidRPr="004070B6">
        <w:rPr>
          <w:lang w:eastAsia="zh-CN"/>
        </w:rPr>
        <w:t>4</w:t>
      </w:r>
      <w:r w:rsidRPr="00512910">
        <w:rPr>
          <w:rFonts w:hint="eastAsia"/>
          <w:lang w:eastAsia="zh-CN"/>
        </w:rPr>
        <w:t>号决议</w:t>
      </w:r>
      <w:r w:rsidR="005F3745">
        <w:rPr>
          <w:rFonts w:hint="eastAsia"/>
          <w:lang w:eastAsia="zh-CN"/>
        </w:rPr>
        <w:t>，当前</w:t>
      </w:r>
      <w:r w:rsidRPr="00512910">
        <w:rPr>
          <w:rFonts w:hint="eastAsia"/>
          <w:lang w:eastAsia="zh-CN"/>
        </w:rPr>
        <w:t>的研究组结构</w:t>
      </w:r>
      <w:r w:rsidR="004376A0">
        <w:rPr>
          <w:rFonts w:hint="eastAsia"/>
          <w:lang w:eastAsia="zh-CN"/>
        </w:rPr>
        <w:t>是</w:t>
      </w:r>
      <w:r w:rsidR="00BE78D0">
        <w:rPr>
          <w:rFonts w:hint="eastAsia"/>
          <w:lang w:eastAsia="zh-CN"/>
        </w:rPr>
        <w:t>经过历届</w:t>
      </w:r>
      <w:r w:rsidRPr="00512910">
        <w:rPr>
          <w:rFonts w:hint="eastAsia"/>
          <w:lang w:eastAsia="zh-CN"/>
        </w:rPr>
        <w:t>无线电通信全会</w:t>
      </w:r>
      <w:r w:rsidR="00BE78D0">
        <w:rPr>
          <w:rFonts w:hint="eastAsia"/>
          <w:lang w:eastAsia="zh-CN"/>
        </w:rPr>
        <w:t>逐步</w:t>
      </w:r>
      <w:r w:rsidRPr="00512910">
        <w:rPr>
          <w:rFonts w:hint="eastAsia"/>
          <w:lang w:eastAsia="zh-CN"/>
        </w:rPr>
        <w:t>演进</w:t>
      </w:r>
      <w:r w:rsidR="00BE78D0">
        <w:rPr>
          <w:rFonts w:hint="eastAsia"/>
          <w:lang w:eastAsia="zh-CN"/>
        </w:rPr>
        <w:t>而成的</w:t>
      </w:r>
      <w:r w:rsidR="005F3745">
        <w:rPr>
          <w:rFonts w:hint="eastAsia"/>
          <w:lang w:eastAsia="zh-CN"/>
        </w:rPr>
        <w:t>，</w:t>
      </w:r>
      <w:r w:rsidR="00BE78D0">
        <w:rPr>
          <w:rFonts w:hint="eastAsia"/>
          <w:lang w:eastAsia="zh-CN"/>
        </w:rPr>
        <w:t>旨在</w:t>
      </w:r>
      <w:r w:rsidRPr="00512910">
        <w:rPr>
          <w:rFonts w:hint="eastAsia"/>
          <w:lang w:eastAsia="zh-CN"/>
        </w:rPr>
        <w:t>反映无线电通信技术</w:t>
      </w:r>
      <w:r w:rsidR="005F3745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业务和监管要求的发展</w:t>
      </w:r>
      <w:r w:rsidR="005F3745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无线电通信全会定期审查研究组的范围和组织</w:t>
      </w:r>
      <w:r w:rsidR="004376A0">
        <w:rPr>
          <w:rFonts w:hint="eastAsia"/>
          <w:lang w:eastAsia="zh-CN"/>
        </w:rPr>
        <w:t>架构</w:t>
      </w:r>
      <w:r w:rsidR="005F3745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以确保其结构</w:t>
      </w:r>
      <w:r w:rsidR="00BE78D0">
        <w:rPr>
          <w:rFonts w:hint="eastAsia"/>
          <w:lang w:eastAsia="zh-CN"/>
        </w:rPr>
        <w:t>始终</w:t>
      </w:r>
      <w:r w:rsidRPr="00512910">
        <w:rPr>
          <w:rFonts w:hint="eastAsia"/>
          <w:lang w:eastAsia="zh-CN"/>
        </w:rPr>
        <w:t>与无线电通信</w:t>
      </w:r>
      <w:r w:rsidR="005F3745">
        <w:rPr>
          <w:rFonts w:hint="eastAsia"/>
          <w:lang w:eastAsia="zh-CN"/>
        </w:rPr>
        <w:t>行业</w:t>
      </w:r>
      <w:r w:rsidRPr="00512910">
        <w:rPr>
          <w:rFonts w:hint="eastAsia"/>
          <w:lang w:eastAsia="zh-CN"/>
        </w:rPr>
        <w:t>不断变化的需求保持一致</w:t>
      </w:r>
      <w:r w:rsidR="005F3745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并能够</w:t>
      </w:r>
      <w:r w:rsidR="00BE78D0">
        <w:rPr>
          <w:rFonts w:hint="eastAsia"/>
          <w:lang w:eastAsia="zh-CN"/>
        </w:rPr>
        <w:t>高效地</w:t>
      </w:r>
      <w:r w:rsidRPr="00512910">
        <w:rPr>
          <w:rFonts w:hint="eastAsia"/>
          <w:lang w:eastAsia="zh-CN"/>
        </w:rPr>
        <w:t>支持</w:t>
      </w:r>
      <w:r w:rsidR="00BE78D0">
        <w:rPr>
          <w:rFonts w:hint="eastAsia"/>
          <w:lang w:eastAsia="zh-CN"/>
        </w:rPr>
        <w:t>为</w:t>
      </w:r>
      <w:r w:rsidRPr="00512910">
        <w:rPr>
          <w:rFonts w:hint="eastAsia"/>
          <w:lang w:eastAsia="zh-CN"/>
        </w:rPr>
        <w:t>世界无线电通信大会</w:t>
      </w:r>
      <w:r w:rsidR="005F3745">
        <w:rPr>
          <w:rFonts w:hint="eastAsia"/>
          <w:lang w:eastAsia="zh-CN"/>
        </w:rPr>
        <w:t>（</w:t>
      </w:r>
      <w:r w:rsidR="005F3745" w:rsidRPr="004070B6">
        <w:rPr>
          <w:lang w:eastAsia="zh-CN"/>
        </w:rPr>
        <w:t>WRC</w:t>
      </w:r>
      <w:r w:rsidR="005F3745">
        <w:rPr>
          <w:rFonts w:hint="eastAsia"/>
          <w:lang w:eastAsia="zh-CN"/>
        </w:rPr>
        <w:t>）</w:t>
      </w:r>
      <w:r w:rsidR="004376A0">
        <w:rPr>
          <w:rFonts w:hint="eastAsia"/>
          <w:lang w:eastAsia="zh-CN"/>
        </w:rPr>
        <w:t>编制</w:t>
      </w:r>
      <w:r w:rsidR="005F3745">
        <w:rPr>
          <w:rFonts w:hint="eastAsia"/>
          <w:lang w:eastAsia="zh-CN"/>
        </w:rPr>
        <w:t>可交付</w:t>
      </w:r>
      <w:r w:rsidRPr="00512910">
        <w:rPr>
          <w:rFonts w:hint="eastAsia"/>
          <w:lang w:eastAsia="zh-CN"/>
        </w:rPr>
        <w:t>成果</w:t>
      </w:r>
      <w:r w:rsidR="009D019B" w:rsidRPr="00B60AD3">
        <w:rPr>
          <w:rFonts w:hint="eastAsia"/>
          <w:lang w:eastAsia="zh-CN"/>
        </w:rPr>
        <w:t>。</w:t>
      </w:r>
    </w:p>
    <w:p w14:paraId="5AE8ACD9" w14:textId="640F83E3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如图</w:t>
      </w:r>
      <w:r w:rsidR="004F493A" w:rsidRPr="004070B6">
        <w:rPr>
          <w:lang w:eastAsia="zh-CN"/>
        </w:rPr>
        <w:t>1</w:t>
      </w:r>
      <w:r w:rsidRPr="00512910">
        <w:rPr>
          <w:rFonts w:hint="eastAsia"/>
          <w:lang w:eastAsia="zh-CN"/>
        </w:rPr>
        <w:t>所示</w:t>
      </w:r>
      <w:r w:rsidR="004F493A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随着时间的推移进行了多项结构调整</w:t>
      </w:r>
      <w:r w:rsidR="004F493A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这些</w:t>
      </w:r>
      <w:r w:rsidR="004F493A">
        <w:rPr>
          <w:rFonts w:hint="eastAsia"/>
          <w:lang w:eastAsia="zh-CN"/>
        </w:rPr>
        <w:t>调整</w:t>
      </w:r>
      <w:r w:rsidRPr="00512910">
        <w:rPr>
          <w:rFonts w:hint="eastAsia"/>
          <w:lang w:eastAsia="zh-CN"/>
        </w:rPr>
        <w:t>包括</w:t>
      </w:r>
      <w:r w:rsidR="004F493A">
        <w:rPr>
          <w:rFonts w:hint="eastAsia"/>
          <w:lang w:eastAsia="zh-CN"/>
        </w:rPr>
        <w:t>：</w:t>
      </w:r>
    </w:p>
    <w:p w14:paraId="2B3BFAAB" w14:textId="6CB39746" w:rsidR="004070B6" w:rsidRPr="004070B6" w:rsidRDefault="00D96D3D" w:rsidP="00D96D3D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4376A0">
        <w:rPr>
          <w:rFonts w:hint="eastAsia"/>
          <w:lang w:eastAsia="zh-CN"/>
        </w:rPr>
        <w:t>整合</w:t>
      </w:r>
      <w:r w:rsidR="00512910" w:rsidRPr="00512910">
        <w:rPr>
          <w:rFonts w:hint="eastAsia"/>
          <w:lang w:eastAsia="zh-CN"/>
        </w:rPr>
        <w:t>研究活动</w:t>
      </w:r>
      <w:r w:rsidR="004F493A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以理顺相关技术工作</w:t>
      </w:r>
      <w:r w:rsidR="00A61309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并</w:t>
      </w:r>
      <w:r w:rsidR="004376A0">
        <w:rPr>
          <w:rFonts w:hint="eastAsia"/>
          <w:lang w:eastAsia="zh-CN"/>
        </w:rPr>
        <w:t>加强</w:t>
      </w:r>
      <w:r w:rsidR="00512910" w:rsidRPr="00512910">
        <w:rPr>
          <w:rFonts w:hint="eastAsia"/>
          <w:lang w:eastAsia="zh-CN"/>
        </w:rPr>
        <w:t>密切相关议题之间的协调</w:t>
      </w:r>
      <w:r w:rsidR="004F493A"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这种</w:t>
      </w:r>
      <w:r w:rsidR="00A61309">
        <w:rPr>
          <w:rFonts w:hint="eastAsia"/>
          <w:lang w:eastAsia="zh-CN"/>
        </w:rPr>
        <w:t>做法</w:t>
      </w:r>
      <w:r w:rsidR="00512910" w:rsidRPr="00512910">
        <w:rPr>
          <w:rFonts w:hint="eastAsia"/>
          <w:lang w:eastAsia="zh-CN"/>
        </w:rPr>
        <w:t>的一个</w:t>
      </w:r>
      <w:r w:rsidR="004F493A">
        <w:rPr>
          <w:rFonts w:hint="eastAsia"/>
          <w:lang w:eastAsia="zh-CN"/>
        </w:rPr>
        <w:t>示例</w:t>
      </w:r>
      <w:r w:rsidR="00512910" w:rsidRPr="00512910">
        <w:rPr>
          <w:rFonts w:hint="eastAsia"/>
          <w:lang w:eastAsia="zh-CN"/>
        </w:rPr>
        <w:t>是将原有的第</w:t>
      </w:r>
      <w:r w:rsidR="004F493A" w:rsidRPr="004070B6">
        <w:rPr>
          <w:lang w:eastAsia="zh-CN"/>
        </w:rPr>
        <w:t>10</w:t>
      </w:r>
      <w:r w:rsidR="00512910" w:rsidRPr="00512910">
        <w:rPr>
          <w:rFonts w:hint="eastAsia"/>
          <w:lang w:eastAsia="zh-CN"/>
        </w:rPr>
        <w:t>和</w:t>
      </w:r>
      <w:r w:rsidR="004F493A" w:rsidRPr="00512910">
        <w:rPr>
          <w:rFonts w:hint="eastAsia"/>
          <w:lang w:eastAsia="zh-CN"/>
        </w:rPr>
        <w:t>第</w:t>
      </w:r>
      <w:r w:rsidR="004F493A" w:rsidRPr="004070B6">
        <w:rPr>
          <w:lang w:eastAsia="zh-CN"/>
        </w:rPr>
        <w:t>11</w:t>
      </w:r>
      <w:r w:rsidR="00512910" w:rsidRPr="00512910">
        <w:rPr>
          <w:rFonts w:hint="eastAsia"/>
          <w:lang w:eastAsia="zh-CN"/>
        </w:rPr>
        <w:t>研究组合并为第</w:t>
      </w:r>
      <w:r w:rsidR="004F493A" w:rsidRPr="004070B6">
        <w:rPr>
          <w:lang w:eastAsia="zh-CN"/>
        </w:rPr>
        <w:t>6</w:t>
      </w:r>
      <w:r w:rsidR="00512910" w:rsidRPr="00512910">
        <w:rPr>
          <w:rFonts w:hint="eastAsia"/>
          <w:lang w:eastAsia="zh-CN"/>
        </w:rPr>
        <w:t>研究组</w:t>
      </w:r>
      <w:r w:rsidR="004F493A">
        <w:rPr>
          <w:rFonts w:hint="eastAsia"/>
          <w:lang w:eastAsia="zh-CN"/>
        </w:rPr>
        <w:t>，</w:t>
      </w:r>
      <w:r w:rsidR="00A61309">
        <w:rPr>
          <w:rFonts w:hint="eastAsia"/>
          <w:lang w:eastAsia="zh-CN"/>
        </w:rPr>
        <w:t>从而</w:t>
      </w:r>
      <w:r w:rsidR="00512910" w:rsidRPr="00512910">
        <w:rPr>
          <w:rFonts w:hint="eastAsia"/>
          <w:lang w:eastAsia="zh-CN"/>
        </w:rPr>
        <w:t>将与广播业务</w:t>
      </w:r>
      <w:r w:rsidR="004F493A">
        <w:rPr>
          <w:rFonts w:hint="eastAsia"/>
          <w:lang w:eastAsia="zh-CN"/>
        </w:rPr>
        <w:t>相关</w:t>
      </w:r>
      <w:r w:rsidR="00512910" w:rsidRPr="00512910">
        <w:rPr>
          <w:rFonts w:hint="eastAsia"/>
          <w:lang w:eastAsia="zh-CN"/>
        </w:rPr>
        <w:t>的研究整合到一个研究组中</w:t>
      </w:r>
      <w:r w:rsidR="004F493A">
        <w:rPr>
          <w:rFonts w:hint="eastAsia"/>
          <w:lang w:eastAsia="zh-CN"/>
        </w:rPr>
        <w:t>，</w:t>
      </w:r>
      <w:proofErr w:type="gramStart"/>
      <w:r w:rsidR="00512910" w:rsidRPr="00512910">
        <w:rPr>
          <w:rFonts w:hint="eastAsia"/>
          <w:lang w:eastAsia="zh-CN"/>
        </w:rPr>
        <w:t>并</w:t>
      </w:r>
      <w:r w:rsidR="004376A0">
        <w:rPr>
          <w:rFonts w:hint="eastAsia"/>
          <w:lang w:eastAsia="zh-CN"/>
        </w:rPr>
        <w:t>加强</w:t>
      </w:r>
      <w:r w:rsidR="00512910" w:rsidRPr="00512910">
        <w:rPr>
          <w:rFonts w:hint="eastAsia"/>
          <w:lang w:eastAsia="zh-CN"/>
        </w:rPr>
        <w:t>了广播相关活动的协调</w:t>
      </w:r>
      <w:r w:rsidR="004F493A">
        <w:rPr>
          <w:rFonts w:hint="eastAsia"/>
          <w:lang w:eastAsia="zh-CN"/>
        </w:rPr>
        <w:t>；</w:t>
      </w:r>
      <w:proofErr w:type="gramEnd"/>
    </w:p>
    <w:p w14:paraId="370C32EF" w14:textId="5177E6A8" w:rsidR="004070B6" w:rsidRPr="00B60AD3" w:rsidRDefault="00D96D3D" w:rsidP="00D96D3D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F73D00" w:rsidRPr="00F73D00">
        <w:rPr>
          <w:rFonts w:hint="eastAsia"/>
          <w:lang w:eastAsia="zh-CN"/>
        </w:rPr>
        <w:t>重新分配各研究组的职责</w:t>
      </w:r>
      <w:r w:rsidR="005D54F6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以便</w:t>
      </w:r>
      <w:r w:rsidR="005D54F6" w:rsidRPr="005D54F6">
        <w:rPr>
          <w:rFonts w:hint="eastAsia"/>
          <w:lang w:eastAsia="zh-CN"/>
        </w:rPr>
        <w:t>研究</w:t>
      </w:r>
      <w:r w:rsidR="00A53CD2">
        <w:rPr>
          <w:rFonts w:hint="eastAsia"/>
          <w:lang w:eastAsia="zh-CN"/>
        </w:rPr>
        <w:t>工作在</w:t>
      </w:r>
      <w:r w:rsidR="00512910" w:rsidRPr="00512910">
        <w:rPr>
          <w:rFonts w:hint="eastAsia"/>
          <w:lang w:eastAsia="zh-CN"/>
        </w:rPr>
        <w:t>最适合</w:t>
      </w:r>
      <w:r w:rsidR="005D54F6">
        <w:rPr>
          <w:rFonts w:hint="eastAsia"/>
          <w:lang w:eastAsia="zh-CN"/>
        </w:rPr>
        <w:t>的</w:t>
      </w:r>
      <w:r w:rsidR="005D54F6" w:rsidRPr="00512910">
        <w:rPr>
          <w:rFonts w:hint="eastAsia"/>
          <w:lang w:eastAsia="zh-CN"/>
        </w:rPr>
        <w:t>组内开展</w:t>
      </w:r>
      <w:r w:rsidR="005D54F6">
        <w:rPr>
          <w:rFonts w:hint="eastAsia"/>
          <w:lang w:eastAsia="zh-CN"/>
        </w:rPr>
        <w:t>，以</w:t>
      </w:r>
      <w:r w:rsidR="00A61309">
        <w:rPr>
          <w:rFonts w:hint="eastAsia"/>
          <w:lang w:eastAsia="zh-CN"/>
        </w:rPr>
        <w:t>处理</w:t>
      </w:r>
      <w:r w:rsidR="00512910" w:rsidRPr="00512910">
        <w:rPr>
          <w:rFonts w:hint="eastAsia"/>
          <w:lang w:eastAsia="zh-CN"/>
        </w:rPr>
        <w:t>新出现的技术和监管问题</w:t>
      </w:r>
      <w:r w:rsidR="00652D5E"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这一点</w:t>
      </w:r>
      <w:r w:rsidR="00A53CD2">
        <w:rPr>
          <w:rFonts w:hint="eastAsia"/>
          <w:lang w:eastAsia="zh-CN"/>
        </w:rPr>
        <w:t>从</w:t>
      </w:r>
      <w:r w:rsidR="00A61309">
        <w:rPr>
          <w:rFonts w:hint="eastAsia"/>
          <w:lang w:eastAsia="zh-CN"/>
        </w:rPr>
        <w:t>撤销</w:t>
      </w:r>
      <w:r w:rsidR="00512910" w:rsidRPr="00512910">
        <w:rPr>
          <w:rFonts w:hint="eastAsia"/>
          <w:lang w:eastAsia="zh-CN"/>
        </w:rPr>
        <w:t>第</w:t>
      </w:r>
      <w:r w:rsidR="00A53CD2" w:rsidRPr="004070B6">
        <w:rPr>
          <w:lang w:eastAsia="zh-CN"/>
        </w:rPr>
        <w:t>8</w:t>
      </w:r>
      <w:r w:rsidR="00512910" w:rsidRPr="00512910">
        <w:rPr>
          <w:rFonts w:hint="eastAsia"/>
          <w:lang w:eastAsia="zh-CN"/>
        </w:rPr>
        <w:t>和</w:t>
      </w:r>
      <w:r w:rsidR="00A61309">
        <w:rPr>
          <w:rFonts w:hint="eastAsia"/>
          <w:lang w:eastAsia="zh-CN"/>
        </w:rPr>
        <w:t>第</w:t>
      </w:r>
      <w:r w:rsidR="00A53CD2" w:rsidRPr="004070B6">
        <w:rPr>
          <w:lang w:eastAsia="zh-CN"/>
        </w:rPr>
        <w:t>9</w:t>
      </w:r>
      <w:r w:rsidR="00512910" w:rsidRPr="00512910">
        <w:rPr>
          <w:rFonts w:hint="eastAsia"/>
          <w:lang w:eastAsia="zh-CN"/>
        </w:rPr>
        <w:t>研究组</w:t>
      </w:r>
      <w:r w:rsidR="00A53CD2">
        <w:rPr>
          <w:rFonts w:hint="eastAsia"/>
          <w:lang w:eastAsia="zh-CN"/>
        </w:rPr>
        <w:t>中</w:t>
      </w:r>
      <w:r w:rsidR="00A53CD2" w:rsidRPr="00A53CD2">
        <w:rPr>
          <w:rFonts w:hint="eastAsia"/>
          <w:lang w:eastAsia="zh-CN"/>
        </w:rPr>
        <w:t>体现得尤为明显</w:t>
      </w:r>
      <w:r w:rsidR="00A53CD2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通过修改第</w:t>
      </w:r>
      <w:r w:rsidR="00A53CD2" w:rsidRPr="004070B6">
        <w:rPr>
          <w:lang w:eastAsia="zh-CN"/>
        </w:rPr>
        <w:t>4</w:t>
      </w:r>
      <w:r w:rsidR="00512910" w:rsidRPr="00512910">
        <w:rPr>
          <w:rFonts w:hint="eastAsia"/>
          <w:lang w:eastAsia="zh-CN"/>
        </w:rPr>
        <w:t>研究组的范围</w:t>
      </w:r>
      <w:r w:rsidR="00A61309">
        <w:rPr>
          <w:rFonts w:hint="eastAsia"/>
          <w:lang w:eastAsia="zh-CN"/>
        </w:rPr>
        <w:t>并</w:t>
      </w:r>
      <w:r w:rsidR="00A53CD2">
        <w:rPr>
          <w:rFonts w:hint="eastAsia"/>
          <w:lang w:eastAsia="zh-CN"/>
        </w:rPr>
        <w:t>设立</w:t>
      </w:r>
      <w:r w:rsidR="00512910" w:rsidRPr="00512910">
        <w:rPr>
          <w:rFonts w:hint="eastAsia"/>
          <w:lang w:eastAsia="zh-CN"/>
        </w:rPr>
        <w:t>第</w:t>
      </w:r>
      <w:r w:rsidR="00A53CD2" w:rsidRPr="004070B6">
        <w:rPr>
          <w:lang w:eastAsia="zh-CN"/>
        </w:rPr>
        <w:t>5</w:t>
      </w:r>
      <w:r w:rsidR="00512910" w:rsidRPr="00512910">
        <w:rPr>
          <w:rFonts w:hint="eastAsia"/>
          <w:lang w:eastAsia="zh-CN"/>
        </w:rPr>
        <w:t>研究组</w:t>
      </w:r>
      <w:r w:rsidR="00A53CD2">
        <w:rPr>
          <w:rFonts w:hint="eastAsia"/>
          <w:lang w:eastAsia="zh-CN"/>
        </w:rPr>
        <w:t>，将</w:t>
      </w:r>
      <w:r w:rsidR="00B60AD3">
        <w:rPr>
          <w:rFonts w:hint="eastAsia"/>
          <w:lang w:eastAsia="zh-CN"/>
        </w:rPr>
        <w:t>上述研究组的</w:t>
      </w:r>
      <w:r w:rsidR="00A53CD2">
        <w:rPr>
          <w:rFonts w:hint="eastAsia"/>
          <w:lang w:eastAsia="zh-CN"/>
        </w:rPr>
        <w:t>职责</w:t>
      </w:r>
      <w:r w:rsidR="00512910" w:rsidRPr="00512910">
        <w:rPr>
          <w:rFonts w:hint="eastAsia"/>
          <w:lang w:eastAsia="zh-CN"/>
        </w:rPr>
        <w:t>重新分配</w:t>
      </w:r>
      <w:r w:rsidR="00A53CD2">
        <w:rPr>
          <w:rFonts w:hint="eastAsia"/>
          <w:lang w:eastAsia="zh-CN"/>
        </w:rPr>
        <w:t>，从而确保</w:t>
      </w:r>
      <w:r w:rsidR="00512910" w:rsidRPr="00512910">
        <w:rPr>
          <w:rFonts w:hint="eastAsia"/>
          <w:lang w:eastAsia="zh-CN"/>
        </w:rPr>
        <w:t>卫星相关研究</w:t>
      </w:r>
      <w:r w:rsidR="00A53CD2">
        <w:rPr>
          <w:rFonts w:hint="eastAsia"/>
          <w:lang w:eastAsia="zh-CN"/>
        </w:rPr>
        <w:t>与</w:t>
      </w:r>
      <w:r w:rsidR="00512910" w:rsidRPr="00512910">
        <w:rPr>
          <w:rFonts w:hint="eastAsia"/>
          <w:lang w:eastAsia="zh-CN"/>
        </w:rPr>
        <w:t>地面业务</w:t>
      </w:r>
      <w:r w:rsidR="00A53CD2">
        <w:rPr>
          <w:rFonts w:hint="eastAsia"/>
          <w:lang w:eastAsia="zh-CN"/>
        </w:rPr>
        <w:t>之间</w:t>
      </w:r>
      <w:r w:rsidR="00A53CD2" w:rsidRPr="00A53CD2">
        <w:rPr>
          <w:rFonts w:hint="eastAsia"/>
          <w:lang w:eastAsia="zh-CN"/>
        </w:rPr>
        <w:t>的界限更加清晰</w:t>
      </w:r>
      <w:r w:rsidR="00A53CD2" w:rsidRPr="00B60AD3">
        <w:rPr>
          <w:rFonts w:hint="eastAsia"/>
          <w:lang w:eastAsia="zh-CN"/>
        </w:rPr>
        <w:t>。</w:t>
      </w:r>
    </w:p>
    <w:p w14:paraId="3D3CA78B" w14:textId="16634CB4" w:rsidR="004070B6" w:rsidRPr="004070B6" w:rsidRDefault="00512910" w:rsidP="0075494B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这些历史</w:t>
      </w:r>
      <w:r w:rsidR="00F73D00">
        <w:rPr>
          <w:rFonts w:hint="eastAsia"/>
          <w:lang w:eastAsia="zh-CN"/>
        </w:rPr>
        <w:t>变迁</w:t>
      </w:r>
      <w:r w:rsidRPr="00512910">
        <w:rPr>
          <w:rFonts w:hint="eastAsia"/>
          <w:lang w:eastAsia="zh-CN"/>
        </w:rPr>
        <w:t>还表明</w:t>
      </w:r>
      <w:r w:rsidR="00A53CD2">
        <w:rPr>
          <w:rFonts w:hint="eastAsia"/>
          <w:lang w:eastAsia="zh-CN"/>
        </w:rPr>
        <w:t>，</w:t>
      </w:r>
      <w:r w:rsidR="00A53CD2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框架的改进可</w:t>
      </w:r>
      <w:r w:rsidR="00F73D00">
        <w:rPr>
          <w:rFonts w:hint="eastAsia"/>
          <w:lang w:eastAsia="zh-CN"/>
        </w:rPr>
        <w:t>能</w:t>
      </w:r>
      <w:r w:rsidRPr="00512910">
        <w:rPr>
          <w:rFonts w:hint="eastAsia"/>
          <w:lang w:eastAsia="zh-CN"/>
        </w:rPr>
        <w:t>采取不同形式</w:t>
      </w:r>
      <w:r w:rsidR="00A53CD2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包括结构</w:t>
      </w:r>
      <w:r w:rsidR="00A53CD2">
        <w:rPr>
          <w:rFonts w:hint="eastAsia"/>
          <w:lang w:eastAsia="zh-CN"/>
        </w:rPr>
        <w:t>调整、</w:t>
      </w:r>
      <w:r w:rsidR="00A53CD2" w:rsidRPr="00512910">
        <w:rPr>
          <w:rFonts w:hint="eastAsia"/>
          <w:lang w:eastAsia="zh-CN"/>
        </w:rPr>
        <w:t>澄清</w:t>
      </w:r>
      <w:r w:rsidRPr="00512910">
        <w:rPr>
          <w:rFonts w:hint="eastAsia"/>
          <w:lang w:eastAsia="zh-CN"/>
        </w:rPr>
        <w:t>职责</w:t>
      </w:r>
      <w:r w:rsidR="00A53CD2">
        <w:rPr>
          <w:rFonts w:hint="eastAsia"/>
          <w:lang w:eastAsia="zh-CN"/>
        </w:rPr>
        <w:t>、</w:t>
      </w:r>
      <w:r w:rsidR="00A53CD2" w:rsidRPr="00512910">
        <w:rPr>
          <w:rFonts w:hint="eastAsia"/>
          <w:lang w:eastAsia="zh-CN"/>
        </w:rPr>
        <w:t>重新分配</w:t>
      </w:r>
      <w:r w:rsidRPr="00512910">
        <w:rPr>
          <w:rFonts w:hint="eastAsia"/>
          <w:lang w:eastAsia="zh-CN"/>
        </w:rPr>
        <w:t>议题以及</w:t>
      </w:r>
      <w:r w:rsidR="00A53CD2" w:rsidRPr="00512910">
        <w:rPr>
          <w:rFonts w:hint="eastAsia"/>
          <w:lang w:eastAsia="zh-CN"/>
        </w:rPr>
        <w:t>改进</w:t>
      </w:r>
      <w:r w:rsidRPr="00512910">
        <w:rPr>
          <w:rFonts w:hint="eastAsia"/>
          <w:lang w:eastAsia="zh-CN"/>
        </w:rPr>
        <w:t>协调和工作方法</w:t>
      </w:r>
      <w:r w:rsidR="00F73D00">
        <w:rPr>
          <w:rFonts w:hint="eastAsia"/>
          <w:lang w:eastAsia="zh-CN"/>
        </w:rPr>
        <w:t>，具体取决于</w:t>
      </w:r>
      <w:r w:rsidR="00F73D00" w:rsidRPr="00512910">
        <w:rPr>
          <w:rFonts w:hint="eastAsia"/>
          <w:lang w:eastAsia="zh-CN"/>
        </w:rPr>
        <w:t>所确定</w:t>
      </w:r>
      <w:r w:rsidR="00A325D6">
        <w:rPr>
          <w:rFonts w:hint="eastAsia"/>
          <w:lang w:eastAsia="zh-CN"/>
        </w:rPr>
        <w:t>的</w:t>
      </w:r>
      <w:r w:rsidR="00F73D00" w:rsidRPr="00512910">
        <w:rPr>
          <w:rFonts w:hint="eastAsia"/>
          <w:lang w:eastAsia="zh-CN"/>
        </w:rPr>
        <w:t>问题的性质</w:t>
      </w:r>
      <w:r w:rsidR="00F73D00" w:rsidRPr="00363DF8">
        <w:rPr>
          <w:rFonts w:hint="eastAsia"/>
          <w:lang w:eastAsia="zh-CN"/>
        </w:rPr>
        <w:t>。</w:t>
      </w:r>
    </w:p>
    <w:p w14:paraId="5AF443AE" w14:textId="3389EF55" w:rsidR="004070B6" w:rsidRPr="004070B6" w:rsidRDefault="00C01014" w:rsidP="0075494B">
      <w:pPr>
        <w:pStyle w:val="FigureNo"/>
        <w:spacing w:before="240"/>
        <w:rPr>
          <w:sz w:val="24"/>
          <w:szCs w:val="24"/>
          <w:lang w:eastAsia="zh-CN"/>
        </w:rPr>
      </w:pPr>
      <w:r w:rsidRPr="00512910">
        <w:rPr>
          <w:rFonts w:hint="eastAsia"/>
          <w:sz w:val="24"/>
          <w:szCs w:val="24"/>
          <w:lang w:eastAsia="zh-CN"/>
        </w:rPr>
        <w:t>图</w:t>
      </w:r>
      <w:r w:rsidR="004070B6" w:rsidRPr="004070B6">
        <w:rPr>
          <w:sz w:val="24"/>
          <w:szCs w:val="24"/>
          <w:lang w:eastAsia="zh-CN"/>
        </w:rPr>
        <w:t>1</w:t>
      </w:r>
    </w:p>
    <w:p w14:paraId="67D54F49" w14:textId="66465154" w:rsidR="004070B6" w:rsidRPr="004070B6" w:rsidRDefault="004D0ED4" w:rsidP="00A36331">
      <w:pPr>
        <w:pStyle w:val="Figuretitle"/>
        <w:spacing w:after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多</w:t>
      </w:r>
      <w:r w:rsidR="00512910" w:rsidRPr="00512910">
        <w:rPr>
          <w:rFonts w:hint="eastAsia"/>
          <w:sz w:val="24"/>
          <w:szCs w:val="24"/>
          <w:lang w:eastAsia="zh-CN"/>
        </w:rPr>
        <w:t>年来研究组结构的</w:t>
      </w:r>
      <w:r>
        <w:rPr>
          <w:rFonts w:hint="eastAsia"/>
          <w:sz w:val="24"/>
          <w:szCs w:val="24"/>
          <w:lang w:eastAsia="zh-CN"/>
        </w:rPr>
        <w:t>历史变迁</w:t>
      </w:r>
    </w:p>
    <w:p w14:paraId="73799FAD" w14:textId="7A824C9C" w:rsidR="004070B6" w:rsidRPr="004070B6" w:rsidRDefault="004070B6" w:rsidP="0075494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lang w:eastAsia="zh-CN"/>
        </w:rPr>
      </w:pPr>
      <w:r w:rsidRPr="00A36331">
        <w:rPr>
          <w:rFonts w:eastAsiaTheme="minorEastAsia"/>
          <w:noProof/>
          <w:sz w:val="22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 wp14:anchorId="26588925" wp14:editId="00FDBAB8">
            <wp:simplePos x="0" y="0"/>
            <wp:positionH relativeFrom="margin">
              <wp:posOffset>-68580</wp:posOffset>
            </wp:positionH>
            <wp:positionV relativeFrom="paragraph">
              <wp:posOffset>234950</wp:posOffset>
            </wp:positionV>
            <wp:extent cx="6120765" cy="1772285"/>
            <wp:effectExtent l="0" t="0" r="0" b="0"/>
            <wp:wrapSquare wrapText="bothSides"/>
            <wp:docPr id="9732680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7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10">
        <w:rPr>
          <w:rFonts w:eastAsiaTheme="minorEastAsia" w:hint="eastAsia"/>
          <w:sz w:val="22"/>
          <w:szCs w:val="18"/>
          <w:lang w:eastAsia="zh-CN"/>
        </w:rPr>
        <w:t>（</w:t>
      </w:r>
      <w:r w:rsidR="00DC301F" w:rsidRPr="004D0ED4">
        <w:rPr>
          <w:rFonts w:eastAsiaTheme="minorEastAsia" w:hint="eastAsia"/>
          <w:sz w:val="22"/>
          <w:szCs w:val="18"/>
          <w:lang w:eastAsia="zh-CN"/>
        </w:rPr>
        <w:t>数据</w:t>
      </w:r>
      <w:r w:rsidR="004D0ED4" w:rsidRPr="004D0ED4">
        <w:rPr>
          <w:rFonts w:eastAsiaTheme="minorEastAsia" w:hint="eastAsia"/>
          <w:sz w:val="22"/>
          <w:szCs w:val="18"/>
          <w:lang w:eastAsia="zh-CN"/>
        </w:rPr>
        <w:t>根据</w:t>
      </w:r>
      <w:r w:rsidR="0000248A">
        <w:rPr>
          <w:rFonts w:eastAsiaTheme="minorEastAsia" w:hint="eastAsia"/>
          <w:sz w:val="22"/>
          <w:szCs w:val="18"/>
          <w:lang w:eastAsia="zh-CN"/>
        </w:rPr>
        <w:t>可用</w:t>
      </w:r>
      <w:r w:rsidR="00DC301F">
        <w:rPr>
          <w:rFonts w:eastAsiaTheme="minorEastAsia" w:hint="eastAsia"/>
          <w:sz w:val="22"/>
          <w:szCs w:val="18"/>
          <w:lang w:eastAsia="zh-CN"/>
        </w:rPr>
        <w:t>的</w:t>
      </w:r>
      <w:r w:rsidR="004D0ED4" w:rsidRPr="004070B6">
        <w:rPr>
          <w:rFonts w:eastAsiaTheme="minorEastAsia"/>
          <w:sz w:val="22"/>
          <w:szCs w:val="18"/>
          <w:lang w:eastAsia="zh-CN"/>
        </w:rPr>
        <w:t>ITU-R</w:t>
      </w:r>
      <w:r w:rsidR="004D0ED4">
        <w:rPr>
          <w:rFonts w:eastAsiaTheme="minorEastAsia" w:hint="eastAsia"/>
          <w:sz w:val="22"/>
          <w:szCs w:val="18"/>
          <w:lang w:eastAsia="zh-CN"/>
        </w:rPr>
        <w:t>第</w:t>
      </w:r>
      <w:r w:rsidR="004D0ED4" w:rsidRPr="004070B6">
        <w:rPr>
          <w:rFonts w:eastAsiaTheme="minorEastAsia"/>
          <w:sz w:val="22"/>
          <w:szCs w:val="18"/>
          <w:lang w:eastAsia="zh-CN"/>
        </w:rPr>
        <w:t>4</w:t>
      </w:r>
      <w:r w:rsidR="004D0ED4">
        <w:rPr>
          <w:rFonts w:eastAsiaTheme="minorEastAsia" w:hint="eastAsia"/>
          <w:sz w:val="22"/>
          <w:szCs w:val="18"/>
          <w:lang w:eastAsia="zh-CN"/>
        </w:rPr>
        <w:t>号决议</w:t>
      </w:r>
      <w:r w:rsidR="00363DF8">
        <w:rPr>
          <w:rFonts w:eastAsiaTheme="minorEastAsia" w:hint="eastAsia"/>
          <w:sz w:val="22"/>
          <w:szCs w:val="18"/>
          <w:lang w:eastAsia="zh-CN"/>
        </w:rPr>
        <w:t>整理</w:t>
      </w:r>
      <w:r w:rsidR="00512910">
        <w:rPr>
          <w:rFonts w:eastAsiaTheme="minorEastAsia" w:hint="eastAsia"/>
          <w:sz w:val="22"/>
          <w:szCs w:val="18"/>
          <w:lang w:eastAsia="zh-CN"/>
        </w:rPr>
        <w:t>）</w:t>
      </w:r>
    </w:p>
    <w:p w14:paraId="1BEFB659" w14:textId="65967CDA" w:rsidR="004070B6" w:rsidRPr="004070B6" w:rsidRDefault="00512910" w:rsidP="0075494B">
      <w:pPr>
        <w:spacing w:before="240"/>
        <w:ind w:firstLineChars="200" w:firstLine="480"/>
        <w:rPr>
          <w:lang w:eastAsia="zh-CN"/>
        </w:rPr>
      </w:pPr>
      <w:r w:rsidRPr="0000248A">
        <w:rPr>
          <w:rFonts w:hint="eastAsia"/>
          <w:lang w:eastAsia="zh-CN"/>
        </w:rPr>
        <w:t>然而</w:t>
      </w:r>
      <w:r w:rsidR="00D57430">
        <w:rPr>
          <w:rFonts w:hint="eastAsia"/>
          <w:lang w:eastAsia="zh-CN"/>
        </w:rPr>
        <w:t>，</w:t>
      </w:r>
      <w:r w:rsidR="00D57430" w:rsidRPr="00512910">
        <w:rPr>
          <w:rFonts w:hint="eastAsia"/>
          <w:lang w:eastAsia="zh-CN"/>
        </w:rPr>
        <w:t>自</w:t>
      </w:r>
      <w:r w:rsidR="00D57430" w:rsidRPr="004070B6">
        <w:rPr>
          <w:lang w:eastAsia="zh-CN"/>
        </w:rPr>
        <w:t>ITU-R</w:t>
      </w:r>
      <w:r w:rsidR="00D57430" w:rsidRPr="00512910">
        <w:rPr>
          <w:rFonts w:hint="eastAsia"/>
          <w:lang w:eastAsia="zh-CN"/>
        </w:rPr>
        <w:t>第</w:t>
      </w:r>
      <w:r w:rsidR="00D57430" w:rsidRPr="004070B6">
        <w:rPr>
          <w:lang w:eastAsia="zh-CN"/>
        </w:rPr>
        <w:t>4-6</w:t>
      </w:r>
      <w:r w:rsidRPr="00512910">
        <w:rPr>
          <w:rFonts w:hint="eastAsia"/>
          <w:lang w:eastAsia="zh-CN"/>
        </w:rPr>
        <w:t>号决议</w:t>
      </w:r>
      <w:r w:rsidR="00D57430">
        <w:rPr>
          <w:rFonts w:hint="eastAsia"/>
          <w:lang w:eastAsia="zh-CN"/>
        </w:rPr>
        <w:t>通过以来，</w:t>
      </w:r>
      <w:r w:rsidRPr="00512910">
        <w:rPr>
          <w:rFonts w:hint="eastAsia"/>
          <w:lang w:eastAsia="zh-CN"/>
        </w:rPr>
        <w:t>研究组的结构基本</w:t>
      </w:r>
      <w:r w:rsidR="004420DA">
        <w:rPr>
          <w:rFonts w:hint="eastAsia"/>
          <w:lang w:eastAsia="zh-CN"/>
        </w:rPr>
        <w:t>未发生变化</w:t>
      </w:r>
      <w:r w:rsidR="00D57430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由六个研究组组成</w:t>
      </w:r>
      <w:r w:rsidR="00D57430">
        <w:rPr>
          <w:rFonts w:hint="eastAsia"/>
          <w:lang w:eastAsia="zh-CN"/>
        </w:rPr>
        <w:t>，</w:t>
      </w:r>
      <w:r w:rsidR="0000248A">
        <w:rPr>
          <w:rFonts w:hint="eastAsia"/>
          <w:lang w:eastAsia="zh-CN"/>
        </w:rPr>
        <w:t>涵盖以下领域</w:t>
      </w:r>
      <w:r w:rsidR="00D57430">
        <w:rPr>
          <w:rFonts w:hint="eastAsia"/>
          <w:lang w:eastAsia="zh-CN"/>
        </w:rPr>
        <w:t>：</w:t>
      </w:r>
    </w:p>
    <w:p w14:paraId="5633299B" w14:textId="37A21D6A" w:rsidR="004070B6" w:rsidRPr="004070B6" w:rsidRDefault="0075494B" w:rsidP="0075494B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频谱管理</w:t>
      </w:r>
      <w:r w:rsidR="00D57430">
        <w:rPr>
          <w:rFonts w:hint="eastAsia"/>
          <w:lang w:eastAsia="zh-CN"/>
        </w:rPr>
        <w:t>（第</w:t>
      </w:r>
      <w:r w:rsidR="00D57430" w:rsidRPr="004070B6">
        <w:rPr>
          <w:lang w:eastAsia="zh-CN"/>
        </w:rPr>
        <w:t>1</w:t>
      </w:r>
      <w:r w:rsidR="00D57430">
        <w:rPr>
          <w:rFonts w:hint="eastAsia"/>
          <w:lang w:eastAsia="zh-CN"/>
        </w:rPr>
        <w:t>研究组）</w:t>
      </w:r>
    </w:p>
    <w:p w14:paraId="03CFFEC5" w14:textId="614F3D67" w:rsidR="004070B6" w:rsidRPr="004070B6" w:rsidRDefault="0075494B" w:rsidP="0075494B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传播</w:t>
      </w:r>
      <w:r w:rsidR="00D57430">
        <w:rPr>
          <w:rFonts w:hint="eastAsia"/>
          <w:lang w:eastAsia="zh-CN"/>
        </w:rPr>
        <w:t>（第</w:t>
      </w:r>
      <w:r w:rsidR="00D57430" w:rsidRPr="004070B6">
        <w:rPr>
          <w:lang w:eastAsia="zh-CN"/>
        </w:rPr>
        <w:t>3</w:t>
      </w:r>
      <w:r w:rsidR="00D57430">
        <w:rPr>
          <w:rFonts w:hint="eastAsia"/>
          <w:lang w:eastAsia="zh-CN"/>
        </w:rPr>
        <w:t>研究组）</w:t>
      </w:r>
    </w:p>
    <w:p w14:paraId="5D6D8EC7" w14:textId="37F386B7" w:rsidR="004070B6" w:rsidRPr="004070B6" w:rsidRDefault="0075494B" w:rsidP="0075494B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卫星业务</w:t>
      </w:r>
      <w:r w:rsidR="00D57430">
        <w:rPr>
          <w:rFonts w:hint="eastAsia"/>
          <w:lang w:eastAsia="zh-CN"/>
        </w:rPr>
        <w:t>（第</w:t>
      </w:r>
      <w:r w:rsidR="00D57430" w:rsidRPr="004070B6">
        <w:rPr>
          <w:lang w:eastAsia="zh-CN"/>
        </w:rPr>
        <w:t>4</w:t>
      </w:r>
      <w:r w:rsidR="00D57430">
        <w:rPr>
          <w:rFonts w:hint="eastAsia"/>
          <w:lang w:eastAsia="zh-CN"/>
        </w:rPr>
        <w:t>研究组）</w:t>
      </w:r>
    </w:p>
    <w:p w14:paraId="4F0B3F82" w14:textId="1483DC58" w:rsidR="004070B6" w:rsidRPr="004070B6" w:rsidRDefault="0075494B" w:rsidP="0075494B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地面业务</w:t>
      </w:r>
      <w:r w:rsidR="00D57430">
        <w:rPr>
          <w:rFonts w:hint="eastAsia"/>
          <w:lang w:eastAsia="zh-CN"/>
        </w:rPr>
        <w:t>（第</w:t>
      </w:r>
      <w:r w:rsidR="00D57430" w:rsidRPr="004070B6">
        <w:rPr>
          <w:lang w:eastAsia="zh-CN"/>
        </w:rPr>
        <w:t>5</w:t>
      </w:r>
      <w:r w:rsidR="00D57430">
        <w:rPr>
          <w:rFonts w:hint="eastAsia"/>
          <w:lang w:eastAsia="zh-CN"/>
        </w:rPr>
        <w:t>研究组）</w:t>
      </w:r>
    </w:p>
    <w:p w14:paraId="7D90488C" w14:textId="21A8E8D9" w:rsidR="004070B6" w:rsidRPr="004070B6" w:rsidRDefault="0075494B" w:rsidP="0075494B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广播业务</w:t>
      </w:r>
      <w:r w:rsidR="00D57430">
        <w:rPr>
          <w:rFonts w:hint="eastAsia"/>
          <w:lang w:eastAsia="zh-CN"/>
        </w:rPr>
        <w:t>（第</w:t>
      </w:r>
      <w:r w:rsidR="00D57430" w:rsidRPr="004070B6">
        <w:rPr>
          <w:lang w:eastAsia="zh-CN"/>
        </w:rPr>
        <w:t>6</w:t>
      </w:r>
      <w:r w:rsidR="00D57430">
        <w:rPr>
          <w:rFonts w:hint="eastAsia"/>
          <w:lang w:eastAsia="zh-CN"/>
        </w:rPr>
        <w:t>研究组）</w:t>
      </w:r>
    </w:p>
    <w:p w14:paraId="233C1966" w14:textId="67F98E3E" w:rsidR="004070B6" w:rsidRPr="004070B6" w:rsidRDefault="0075494B" w:rsidP="0075494B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科学业务</w:t>
      </w:r>
      <w:r w:rsidR="00D57430">
        <w:rPr>
          <w:rFonts w:hint="eastAsia"/>
          <w:lang w:eastAsia="zh-CN"/>
        </w:rPr>
        <w:t>（第</w:t>
      </w:r>
      <w:r w:rsidR="00D57430" w:rsidRPr="004070B6">
        <w:rPr>
          <w:lang w:eastAsia="zh-CN"/>
        </w:rPr>
        <w:t>7</w:t>
      </w:r>
      <w:r w:rsidR="00D57430">
        <w:rPr>
          <w:rFonts w:hint="eastAsia"/>
          <w:lang w:eastAsia="zh-CN"/>
        </w:rPr>
        <w:t>研究组）</w:t>
      </w:r>
    </w:p>
    <w:p w14:paraId="53A71F51" w14:textId="766167E9" w:rsidR="004070B6" w:rsidRPr="004070B6" w:rsidRDefault="00512910" w:rsidP="00D963D6">
      <w:pPr>
        <w:ind w:firstLineChars="200" w:firstLine="480"/>
        <w:rPr>
          <w:lang w:eastAsia="zh-CN"/>
        </w:rPr>
      </w:pPr>
      <w:r w:rsidRPr="00B22561">
        <w:rPr>
          <w:rFonts w:hint="eastAsia"/>
          <w:lang w:eastAsia="zh-CN"/>
        </w:rPr>
        <w:lastRenderedPageBreak/>
        <w:t>虽然长期的结构</w:t>
      </w:r>
      <w:r w:rsidRPr="00512910">
        <w:rPr>
          <w:rFonts w:hint="eastAsia"/>
          <w:lang w:eastAsia="zh-CN"/>
        </w:rPr>
        <w:t>稳定</w:t>
      </w:r>
      <w:r w:rsidR="00F4474D">
        <w:rPr>
          <w:rFonts w:hint="eastAsia"/>
          <w:lang w:eastAsia="zh-CN"/>
        </w:rPr>
        <w:t>性确保了</w:t>
      </w:r>
      <w:r w:rsidRPr="00512910">
        <w:rPr>
          <w:rFonts w:hint="eastAsia"/>
          <w:lang w:eastAsia="zh-CN"/>
        </w:rPr>
        <w:t>研究组活动</w:t>
      </w:r>
      <w:r w:rsidR="00F4474D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连续性</w:t>
      </w:r>
      <w:r w:rsidR="00F4474D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但无线电通信技术和业务的快速发展</w:t>
      </w:r>
      <w:r w:rsidR="00F57B70">
        <w:rPr>
          <w:rFonts w:hint="eastAsia"/>
          <w:lang w:eastAsia="zh-CN"/>
        </w:rPr>
        <w:t>已显著</w:t>
      </w:r>
      <w:r w:rsidRPr="00512910">
        <w:rPr>
          <w:rFonts w:hint="eastAsia"/>
          <w:lang w:eastAsia="zh-CN"/>
        </w:rPr>
        <w:t>改变了</w:t>
      </w:r>
      <w:r w:rsidR="00F4474D" w:rsidRPr="004070B6">
        <w:rPr>
          <w:lang w:eastAsia="zh-CN"/>
        </w:rPr>
        <w:t>ITU-R</w:t>
      </w:r>
      <w:r w:rsidR="008E659D">
        <w:rPr>
          <w:rFonts w:hint="eastAsia"/>
          <w:lang w:eastAsia="zh-CN"/>
        </w:rPr>
        <w:t>内</w:t>
      </w:r>
      <w:r w:rsidRPr="00512910">
        <w:rPr>
          <w:rFonts w:hint="eastAsia"/>
          <w:lang w:eastAsia="zh-CN"/>
        </w:rPr>
        <w:t>开展</w:t>
      </w:r>
      <w:r w:rsidR="00F57B70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研究</w:t>
      </w:r>
      <w:r w:rsidR="008E659D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的性质</w:t>
      </w:r>
      <w:r w:rsidR="00F4474D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复杂性和相互</w:t>
      </w:r>
      <w:r w:rsidR="00B22561">
        <w:rPr>
          <w:rFonts w:hint="eastAsia"/>
          <w:lang w:eastAsia="zh-CN"/>
        </w:rPr>
        <w:t>依赖</w:t>
      </w:r>
      <w:r w:rsidRPr="00512910">
        <w:rPr>
          <w:rFonts w:hint="eastAsia"/>
          <w:lang w:eastAsia="zh-CN"/>
        </w:rPr>
        <w:t>性</w:t>
      </w:r>
      <w:r w:rsidR="00F4474D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随着新技术和新兴业务的不断发展</w:t>
      </w:r>
      <w:r w:rsidR="00F4474D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现有</w:t>
      </w:r>
      <w:r w:rsidR="008E659D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研究组框架内引入了</w:t>
      </w:r>
      <w:r w:rsidR="008E659D">
        <w:rPr>
          <w:rFonts w:hint="eastAsia"/>
          <w:lang w:eastAsia="zh-CN"/>
        </w:rPr>
        <w:t>新</w:t>
      </w:r>
      <w:r w:rsidRPr="00512910">
        <w:rPr>
          <w:rFonts w:hint="eastAsia"/>
          <w:lang w:eastAsia="zh-CN"/>
        </w:rPr>
        <w:t>的研究议题和</w:t>
      </w:r>
      <w:r w:rsidR="00F4474D">
        <w:rPr>
          <w:rFonts w:hint="eastAsia"/>
          <w:lang w:eastAsia="zh-CN"/>
        </w:rPr>
        <w:t>职责</w:t>
      </w:r>
      <w:r w:rsidR="00F4474D" w:rsidRPr="00B22561">
        <w:rPr>
          <w:rFonts w:hint="eastAsia"/>
          <w:lang w:eastAsia="zh-CN"/>
        </w:rPr>
        <w:t>。</w:t>
      </w:r>
    </w:p>
    <w:p w14:paraId="4D694848" w14:textId="01E8AE32" w:rsidR="004070B6" w:rsidRPr="004070B6" w:rsidRDefault="00512910" w:rsidP="00D963D6">
      <w:pPr>
        <w:ind w:firstLineChars="200" w:firstLine="480"/>
        <w:rPr>
          <w:lang w:eastAsia="zh-CN"/>
        </w:rPr>
      </w:pPr>
      <w:r w:rsidRPr="00B22561">
        <w:rPr>
          <w:rFonts w:hint="eastAsia"/>
          <w:lang w:eastAsia="zh-CN"/>
        </w:rPr>
        <w:t>图</w:t>
      </w:r>
      <w:r w:rsidR="00C50F6E" w:rsidRPr="00B22561">
        <w:rPr>
          <w:lang w:eastAsia="zh-CN"/>
        </w:rPr>
        <w:t>2</w:t>
      </w:r>
      <w:r w:rsidR="008E659D" w:rsidRPr="00B22561">
        <w:rPr>
          <w:rFonts w:hint="eastAsia"/>
          <w:lang w:eastAsia="zh-CN"/>
        </w:rPr>
        <w:t>展示</w:t>
      </w:r>
      <w:r w:rsidRPr="00B22561">
        <w:rPr>
          <w:rFonts w:hint="eastAsia"/>
          <w:lang w:eastAsia="zh-CN"/>
        </w:rPr>
        <w:t>了对多个</w:t>
      </w:r>
      <w:r w:rsidR="005D6389" w:rsidRPr="00B22561">
        <w:rPr>
          <w:lang w:eastAsia="zh-CN"/>
        </w:rPr>
        <w:t>WRC</w:t>
      </w:r>
      <w:r w:rsidRPr="00512910">
        <w:rPr>
          <w:rFonts w:hint="eastAsia"/>
          <w:lang w:eastAsia="zh-CN"/>
        </w:rPr>
        <w:t>研究周期</w:t>
      </w:r>
      <w:r w:rsidR="008E659D">
        <w:rPr>
          <w:rFonts w:hint="eastAsia"/>
          <w:lang w:eastAsia="zh-CN"/>
        </w:rPr>
        <w:t>内</w:t>
      </w:r>
      <w:r w:rsidRPr="00512910">
        <w:rPr>
          <w:rFonts w:hint="eastAsia"/>
          <w:lang w:eastAsia="zh-CN"/>
        </w:rPr>
        <w:t>研究组会议文件的分析</w:t>
      </w:r>
      <w:r w:rsidR="005D6389">
        <w:rPr>
          <w:rFonts w:hint="eastAsia"/>
          <w:lang w:eastAsia="zh-CN"/>
        </w:rPr>
        <w:t>，</w:t>
      </w:r>
      <w:r w:rsidR="008E659D">
        <w:rPr>
          <w:rFonts w:hint="eastAsia"/>
          <w:lang w:eastAsia="zh-CN"/>
        </w:rPr>
        <w:t>该</w:t>
      </w:r>
      <w:r w:rsidR="005D6389">
        <w:rPr>
          <w:rFonts w:hint="eastAsia"/>
          <w:lang w:eastAsia="zh-CN"/>
        </w:rPr>
        <w:t>分析综合了</w:t>
      </w:r>
      <w:r w:rsidRPr="00512910">
        <w:rPr>
          <w:rFonts w:hint="eastAsia"/>
          <w:lang w:eastAsia="zh-CN"/>
        </w:rPr>
        <w:t>每个周期</w:t>
      </w:r>
      <w:r w:rsidR="008E659D">
        <w:rPr>
          <w:rFonts w:hint="eastAsia"/>
          <w:lang w:eastAsia="zh-CN"/>
        </w:rPr>
        <w:t>最初</w:t>
      </w:r>
      <w:r w:rsidRPr="00512910">
        <w:rPr>
          <w:rFonts w:hint="eastAsia"/>
          <w:lang w:eastAsia="zh-CN"/>
        </w:rPr>
        <w:t>两年提交的文稿</w:t>
      </w:r>
      <w:r w:rsidR="005D6389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分析表明</w:t>
      </w:r>
      <w:r w:rsidR="005D6389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很大一部分文稿集中</w:t>
      </w:r>
      <w:r w:rsidR="008E659D">
        <w:rPr>
          <w:rFonts w:hint="eastAsia"/>
          <w:lang w:eastAsia="zh-CN"/>
        </w:rPr>
        <w:t>于</w:t>
      </w:r>
      <w:r w:rsidR="005D6389">
        <w:rPr>
          <w:rFonts w:hint="eastAsia"/>
          <w:lang w:eastAsia="zh-CN"/>
        </w:rPr>
        <w:t>少数几个</w:t>
      </w:r>
      <w:r w:rsidRPr="00512910">
        <w:rPr>
          <w:rFonts w:hint="eastAsia"/>
          <w:lang w:eastAsia="zh-CN"/>
        </w:rPr>
        <w:t>研究组</w:t>
      </w:r>
      <w:r w:rsidR="005D6389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这一趋势凸显了</w:t>
      </w:r>
      <w:r w:rsidR="00B22561">
        <w:rPr>
          <w:rFonts w:hint="eastAsia"/>
          <w:lang w:eastAsia="zh-CN"/>
        </w:rPr>
        <w:t>整个</w:t>
      </w:r>
      <w:r w:rsidR="005D6389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结构</w:t>
      </w:r>
      <w:r w:rsidR="008E659D">
        <w:rPr>
          <w:rFonts w:hint="eastAsia"/>
          <w:lang w:eastAsia="zh-CN"/>
        </w:rPr>
        <w:t>内</w:t>
      </w:r>
      <w:r w:rsidRPr="00512910">
        <w:rPr>
          <w:rFonts w:hint="eastAsia"/>
          <w:lang w:eastAsia="zh-CN"/>
        </w:rPr>
        <w:t>工作量</w:t>
      </w:r>
      <w:r w:rsidR="005D6389" w:rsidRPr="00512910">
        <w:rPr>
          <w:rFonts w:hint="eastAsia"/>
          <w:lang w:eastAsia="zh-CN"/>
        </w:rPr>
        <w:t>分配</w:t>
      </w:r>
      <w:proofErr w:type="gramStart"/>
      <w:r w:rsidR="005D6389">
        <w:rPr>
          <w:rFonts w:hint="eastAsia"/>
          <w:lang w:eastAsia="zh-CN"/>
        </w:rPr>
        <w:t>不</w:t>
      </w:r>
      <w:proofErr w:type="gramEnd"/>
      <w:r w:rsidR="005D6389">
        <w:rPr>
          <w:rFonts w:hint="eastAsia"/>
          <w:lang w:eastAsia="zh-CN"/>
        </w:rPr>
        <w:t>均衡</w:t>
      </w:r>
      <w:r w:rsidR="00B22561">
        <w:rPr>
          <w:rFonts w:hint="eastAsia"/>
          <w:lang w:eastAsia="zh-CN"/>
        </w:rPr>
        <w:t>的情况</w:t>
      </w:r>
      <w:r w:rsidR="005D6389">
        <w:rPr>
          <w:rFonts w:hint="eastAsia"/>
          <w:lang w:eastAsia="zh-CN"/>
        </w:rPr>
        <w:t>，</w:t>
      </w:r>
      <w:r w:rsidR="00B22561">
        <w:rPr>
          <w:rFonts w:hint="eastAsia"/>
          <w:lang w:eastAsia="zh-CN"/>
        </w:rPr>
        <w:t>这</w:t>
      </w:r>
      <w:r w:rsidR="00F1070E">
        <w:rPr>
          <w:rFonts w:hint="eastAsia"/>
          <w:lang w:eastAsia="zh-CN"/>
        </w:rPr>
        <w:t>既</w:t>
      </w:r>
      <w:r w:rsidRPr="00512910">
        <w:rPr>
          <w:rFonts w:hint="eastAsia"/>
          <w:lang w:eastAsia="zh-CN"/>
        </w:rPr>
        <w:t>反映了某些无线电通信研究</w:t>
      </w:r>
      <w:r w:rsidR="00F1070E">
        <w:rPr>
          <w:rFonts w:hint="eastAsia"/>
          <w:lang w:eastAsia="zh-CN"/>
        </w:rPr>
        <w:t>的</w:t>
      </w:r>
      <w:r w:rsidR="005D6389" w:rsidRPr="00512910">
        <w:rPr>
          <w:rFonts w:hint="eastAsia"/>
          <w:lang w:eastAsia="zh-CN"/>
        </w:rPr>
        <w:t>日益</w:t>
      </w:r>
      <w:r w:rsidRPr="00512910">
        <w:rPr>
          <w:rFonts w:hint="eastAsia"/>
          <w:lang w:eastAsia="zh-CN"/>
        </w:rPr>
        <w:t>复杂</w:t>
      </w:r>
      <w:r w:rsidR="00F1070E">
        <w:rPr>
          <w:rFonts w:hint="eastAsia"/>
          <w:lang w:eastAsia="zh-CN"/>
        </w:rPr>
        <w:t>性</w:t>
      </w:r>
      <w:r w:rsidR="005D6389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也</w:t>
      </w:r>
      <w:r w:rsidR="005D6389">
        <w:rPr>
          <w:rFonts w:hint="eastAsia"/>
          <w:lang w:eastAsia="zh-CN"/>
        </w:rPr>
        <w:t>体现了</w:t>
      </w:r>
      <w:r w:rsidR="008E659D">
        <w:rPr>
          <w:rFonts w:hint="eastAsia"/>
          <w:lang w:eastAsia="zh-CN"/>
        </w:rPr>
        <w:t>各</w:t>
      </w:r>
      <w:r w:rsidRPr="00512910">
        <w:rPr>
          <w:rFonts w:hint="eastAsia"/>
          <w:lang w:eastAsia="zh-CN"/>
        </w:rPr>
        <w:t>主管部门和部门成员</w:t>
      </w:r>
      <w:r w:rsidR="008E659D">
        <w:rPr>
          <w:rFonts w:hint="eastAsia"/>
          <w:lang w:eastAsia="zh-CN"/>
        </w:rPr>
        <w:t>对</w:t>
      </w:r>
      <w:r w:rsidRPr="00512910">
        <w:rPr>
          <w:rFonts w:hint="eastAsia"/>
          <w:lang w:eastAsia="zh-CN"/>
        </w:rPr>
        <w:t>这些领域的参与度</w:t>
      </w:r>
      <w:r w:rsidR="008E659D">
        <w:rPr>
          <w:rFonts w:hint="eastAsia"/>
          <w:lang w:eastAsia="zh-CN"/>
        </w:rPr>
        <w:t>有所提升</w:t>
      </w:r>
      <w:r w:rsidR="005D6389" w:rsidRPr="00B22561">
        <w:rPr>
          <w:rFonts w:hint="eastAsia"/>
          <w:lang w:eastAsia="zh-CN"/>
        </w:rPr>
        <w:t>。</w:t>
      </w:r>
    </w:p>
    <w:p w14:paraId="5B06D489" w14:textId="23AD88CA" w:rsidR="004070B6" w:rsidRPr="004070B6" w:rsidRDefault="005D6389" w:rsidP="00A36331">
      <w:pPr>
        <w:pStyle w:val="FigureNo"/>
        <w:keepLines w:val="0"/>
        <w:spacing w:before="120"/>
        <w:rPr>
          <w:sz w:val="24"/>
          <w:szCs w:val="24"/>
          <w:lang w:eastAsia="zh-CN"/>
        </w:rPr>
      </w:pPr>
      <w:r w:rsidRPr="00512910">
        <w:rPr>
          <w:rFonts w:hint="eastAsia"/>
          <w:sz w:val="24"/>
          <w:szCs w:val="24"/>
          <w:lang w:eastAsia="zh-CN"/>
        </w:rPr>
        <w:t>图</w:t>
      </w:r>
      <w:r w:rsidR="004070B6" w:rsidRPr="004070B6">
        <w:rPr>
          <w:sz w:val="24"/>
          <w:szCs w:val="24"/>
          <w:lang w:eastAsia="zh-CN"/>
        </w:rPr>
        <w:t>2</w:t>
      </w:r>
    </w:p>
    <w:p w14:paraId="30147891" w14:textId="20C7B7D5" w:rsidR="004070B6" w:rsidRPr="004070B6" w:rsidRDefault="00512910" w:rsidP="00A36331">
      <w:pPr>
        <w:pStyle w:val="Figuretitle"/>
        <w:keepLines w:val="0"/>
        <w:spacing w:after="0"/>
        <w:rPr>
          <w:sz w:val="24"/>
          <w:szCs w:val="24"/>
          <w:lang w:eastAsia="zh-CN"/>
        </w:rPr>
      </w:pPr>
      <w:r w:rsidRPr="00512910">
        <w:rPr>
          <w:rFonts w:hint="eastAsia"/>
          <w:sz w:val="24"/>
          <w:szCs w:val="24"/>
          <w:lang w:eastAsia="zh-CN"/>
        </w:rPr>
        <w:t>不同</w:t>
      </w:r>
      <w:r w:rsidR="005D6389" w:rsidRPr="004070B6">
        <w:rPr>
          <w:sz w:val="24"/>
          <w:szCs w:val="24"/>
          <w:lang w:eastAsia="zh-CN"/>
        </w:rPr>
        <w:t>WRC</w:t>
      </w:r>
      <w:r w:rsidRPr="00512910">
        <w:rPr>
          <w:rFonts w:hint="eastAsia"/>
          <w:sz w:val="24"/>
          <w:szCs w:val="24"/>
          <w:lang w:eastAsia="zh-CN"/>
        </w:rPr>
        <w:t>周期内</w:t>
      </w:r>
      <w:r w:rsidR="00F1070E" w:rsidRPr="00512910">
        <w:rPr>
          <w:rFonts w:hint="eastAsia"/>
          <w:sz w:val="24"/>
          <w:szCs w:val="24"/>
          <w:lang w:eastAsia="zh-CN"/>
        </w:rPr>
        <w:t>提交</w:t>
      </w:r>
      <w:r w:rsidR="00F1070E">
        <w:rPr>
          <w:rFonts w:hint="eastAsia"/>
          <w:sz w:val="24"/>
          <w:szCs w:val="24"/>
          <w:lang w:eastAsia="zh-CN"/>
        </w:rPr>
        <w:t>给</w:t>
      </w:r>
      <w:r w:rsidR="005D6389" w:rsidRPr="004070B6">
        <w:rPr>
          <w:sz w:val="24"/>
          <w:szCs w:val="24"/>
          <w:lang w:eastAsia="zh-CN"/>
        </w:rPr>
        <w:t>ITU-R</w:t>
      </w:r>
      <w:r w:rsidR="005D6389">
        <w:rPr>
          <w:rFonts w:hint="eastAsia"/>
          <w:sz w:val="24"/>
          <w:szCs w:val="24"/>
          <w:lang w:eastAsia="zh-CN"/>
        </w:rPr>
        <w:t>各</w:t>
      </w:r>
      <w:r w:rsidRPr="00512910">
        <w:rPr>
          <w:rFonts w:hint="eastAsia"/>
          <w:sz w:val="24"/>
          <w:szCs w:val="24"/>
          <w:lang w:eastAsia="zh-CN"/>
        </w:rPr>
        <w:t>研究组的文稿数量</w:t>
      </w:r>
    </w:p>
    <w:p w14:paraId="1C6222A0" w14:textId="7FC004EB" w:rsidR="004070B6" w:rsidRPr="004070B6" w:rsidRDefault="00512910" w:rsidP="00A36331">
      <w:pPr>
        <w:pStyle w:val="Figuretitle"/>
        <w:spacing w:after="0"/>
        <w:rPr>
          <w:rFonts w:ascii="Times New Roman" w:hAnsi="Times New Roman"/>
          <w:b w:val="0"/>
          <w:sz w:val="22"/>
          <w:szCs w:val="18"/>
          <w:lang w:eastAsia="zh-CN"/>
        </w:rPr>
      </w:pPr>
      <w:r>
        <w:rPr>
          <w:rFonts w:ascii="Times New Roman" w:hAnsi="Times New Roman" w:hint="eastAsia"/>
          <w:b w:val="0"/>
          <w:sz w:val="22"/>
          <w:szCs w:val="18"/>
          <w:lang w:eastAsia="zh-CN"/>
        </w:rPr>
        <w:t>（</w:t>
      </w:r>
      <w:r w:rsidR="00F1070E">
        <w:rPr>
          <w:rFonts w:ascii="Times New Roman" w:hAnsi="Times New Roman" w:hint="eastAsia"/>
          <w:b w:val="0"/>
          <w:sz w:val="22"/>
          <w:szCs w:val="18"/>
          <w:lang w:eastAsia="zh-CN"/>
        </w:rPr>
        <w:t>数据</w:t>
      </w:r>
      <w:r w:rsidR="005D6389">
        <w:rPr>
          <w:rFonts w:ascii="Times New Roman" w:hAnsi="Times New Roman" w:hint="eastAsia"/>
          <w:b w:val="0"/>
          <w:sz w:val="22"/>
          <w:szCs w:val="18"/>
          <w:lang w:eastAsia="zh-CN"/>
        </w:rPr>
        <w:t>根据</w:t>
      </w:r>
      <w:r w:rsidR="005D6389" w:rsidRPr="004070B6">
        <w:rPr>
          <w:rFonts w:ascii="Times New Roman" w:hAnsi="Times New Roman"/>
          <w:b w:val="0"/>
          <w:sz w:val="22"/>
          <w:szCs w:val="18"/>
          <w:lang w:eastAsia="zh-CN"/>
        </w:rPr>
        <w:t>ITU-R</w:t>
      </w:r>
      <w:r w:rsidRPr="00512910">
        <w:rPr>
          <w:rFonts w:ascii="Times New Roman" w:hAnsi="Times New Roman" w:hint="eastAsia"/>
          <w:b w:val="0"/>
          <w:sz w:val="22"/>
          <w:szCs w:val="18"/>
          <w:lang w:eastAsia="zh-CN"/>
        </w:rPr>
        <w:t>研究组网页</w:t>
      </w:r>
      <w:r w:rsidR="00B22561">
        <w:rPr>
          <w:rFonts w:ascii="Times New Roman" w:hAnsi="Times New Roman" w:hint="eastAsia"/>
          <w:b w:val="0"/>
          <w:sz w:val="22"/>
          <w:szCs w:val="18"/>
          <w:lang w:eastAsia="zh-CN"/>
        </w:rPr>
        <w:t>整理</w:t>
      </w:r>
      <w:r>
        <w:rPr>
          <w:rFonts w:ascii="Times New Roman" w:hAnsi="Times New Roman" w:hint="eastAsia"/>
          <w:b w:val="0"/>
          <w:sz w:val="22"/>
          <w:szCs w:val="18"/>
          <w:lang w:eastAsia="zh-CN"/>
        </w:rPr>
        <w:t>）</w:t>
      </w:r>
    </w:p>
    <w:p w14:paraId="59635C43" w14:textId="77777777" w:rsidR="006074E1" w:rsidRPr="006074E1" w:rsidRDefault="006074E1" w:rsidP="006074E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6074E1">
        <w:rPr>
          <w:noProof/>
        </w:rPr>
        <w:drawing>
          <wp:inline distT="0" distB="0" distL="0" distR="0" wp14:anchorId="53D74982" wp14:editId="052BF1E6">
            <wp:extent cx="6120765" cy="2009803"/>
            <wp:effectExtent l="0" t="0" r="13335" b="952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58C60865-3391-4FDF-96D3-F28EBC93B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7F45AF3" w14:textId="419FD926" w:rsidR="004070B6" w:rsidRPr="004070B6" w:rsidRDefault="00C13EB8" w:rsidP="003021FE">
      <w:pPr>
        <w:spacing w:before="24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 w:rsidR="00512910" w:rsidRPr="00512910">
        <w:rPr>
          <w:rFonts w:hint="eastAsia"/>
          <w:lang w:eastAsia="zh-CN"/>
        </w:rPr>
        <w:t>研究组文件数据库</w:t>
      </w:r>
      <w:r>
        <w:rPr>
          <w:rFonts w:hint="eastAsia"/>
          <w:lang w:eastAsia="zh-CN"/>
        </w:rPr>
        <w:t>整理</w:t>
      </w:r>
      <w:r w:rsidR="00512910" w:rsidRPr="00512910">
        <w:rPr>
          <w:rFonts w:hint="eastAsia"/>
          <w:lang w:eastAsia="zh-CN"/>
        </w:rPr>
        <w:t>的数据表明</w:t>
      </w:r>
      <w:r w:rsidR="0067552C">
        <w:rPr>
          <w:rFonts w:hint="eastAsia"/>
          <w:lang w:eastAsia="zh-CN"/>
        </w:rPr>
        <w:t>：</w:t>
      </w:r>
    </w:p>
    <w:p w14:paraId="4451DF7D" w14:textId="38BAC2E2" w:rsidR="004070B6" w:rsidRPr="004070B6" w:rsidRDefault="00847E92" w:rsidP="00847E92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第</w:t>
      </w:r>
      <w:r w:rsidR="00132DF6" w:rsidRPr="004070B6">
        <w:rPr>
          <w:lang w:eastAsia="zh-CN"/>
        </w:rPr>
        <w:t>4</w:t>
      </w:r>
      <w:r w:rsidR="00512910" w:rsidRPr="00512910">
        <w:rPr>
          <w:rFonts w:hint="eastAsia"/>
          <w:lang w:eastAsia="zh-CN"/>
        </w:rPr>
        <w:t>研究组和第</w:t>
      </w:r>
      <w:r w:rsidR="00132DF6" w:rsidRPr="004070B6">
        <w:rPr>
          <w:lang w:eastAsia="zh-CN"/>
        </w:rPr>
        <w:t>5</w:t>
      </w:r>
      <w:r w:rsidR="00512910" w:rsidRPr="00512910">
        <w:rPr>
          <w:rFonts w:hint="eastAsia"/>
          <w:lang w:eastAsia="zh-CN"/>
        </w:rPr>
        <w:t>研究组</w:t>
      </w:r>
      <w:r w:rsidR="00C13EB8">
        <w:rPr>
          <w:rFonts w:hint="eastAsia"/>
          <w:lang w:eastAsia="zh-CN"/>
        </w:rPr>
        <w:t>始终</w:t>
      </w:r>
      <w:r w:rsidR="00512910" w:rsidRPr="00512910">
        <w:rPr>
          <w:rFonts w:hint="eastAsia"/>
          <w:lang w:eastAsia="zh-CN"/>
        </w:rPr>
        <w:t>收到</w:t>
      </w:r>
      <w:r w:rsidR="00C13EB8" w:rsidRPr="00512910">
        <w:rPr>
          <w:rFonts w:hint="eastAsia"/>
          <w:lang w:eastAsia="zh-CN"/>
        </w:rPr>
        <w:t>最多</w:t>
      </w:r>
      <w:r w:rsidR="00512910" w:rsidRPr="00512910">
        <w:rPr>
          <w:rFonts w:hint="eastAsia"/>
          <w:lang w:eastAsia="zh-CN"/>
        </w:rPr>
        <w:t>文稿</w:t>
      </w:r>
      <w:r w:rsidR="00132DF6">
        <w:rPr>
          <w:rFonts w:hint="eastAsia"/>
          <w:lang w:eastAsia="zh-CN"/>
        </w:rPr>
        <w:t>，</w:t>
      </w:r>
      <w:r w:rsidR="00C13EB8">
        <w:rPr>
          <w:rFonts w:hint="eastAsia"/>
          <w:lang w:eastAsia="zh-CN"/>
        </w:rPr>
        <w:t>这</w:t>
      </w:r>
      <w:r w:rsidR="00512910" w:rsidRPr="00512910">
        <w:rPr>
          <w:rFonts w:hint="eastAsia"/>
          <w:lang w:eastAsia="zh-CN"/>
        </w:rPr>
        <w:t>反映出卫星系统和地面移动技术的重要性与日俱增</w:t>
      </w:r>
      <w:r w:rsidR="00132DF6">
        <w:rPr>
          <w:rFonts w:hint="eastAsia"/>
          <w:lang w:eastAsia="zh-CN"/>
        </w:rPr>
        <w:t>。</w:t>
      </w:r>
    </w:p>
    <w:p w14:paraId="13F795A1" w14:textId="0CA4EDE7" w:rsidR="004070B6" w:rsidRPr="00DA0683" w:rsidRDefault="00847E92" w:rsidP="00847E92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C13EB8" w:rsidRPr="00512910">
        <w:rPr>
          <w:rFonts w:hint="eastAsia"/>
          <w:lang w:eastAsia="zh-CN"/>
        </w:rPr>
        <w:t>其他研究组</w:t>
      </w:r>
      <w:r w:rsidR="00C13EB8">
        <w:rPr>
          <w:rFonts w:hint="eastAsia"/>
          <w:lang w:eastAsia="zh-CN"/>
        </w:rPr>
        <w:t>，</w:t>
      </w:r>
      <w:r w:rsidR="00132DF6">
        <w:rPr>
          <w:rFonts w:hint="eastAsia"/>
          <w:lang w:eastAsia="zh-CN"/>
        </w:rPr>
        <w:t>如</w:t>
      </w:r>
      <w:r w:rsidR="00512910" w:rsidRPr="00512910">
        <w:rPr>
          <w:rFonts w:hint="eastAsia"/>
          <w:lang w:eastAsia="zh-CN"/>
        </w:rPr>
        <w:t>第</w:t>
      </w:r>
      <w:r w:rsidR="00132DF6" w:rsidRPr="004070B6">
        <w:rPr>
          <w:lang w:eastAsia="zh-CN"/>
        </w:rPr>
        <w:t>3</w:t>
      </w:r>
      <w:r w:rsidR="00512910" w:rsidRPr="00512910">
        <w:rPr>
          <w:rFonts w:hint="eastAsia"/>
          <w:lang w:eastAsia="zh-CN"/>
        </w:rPr>
        <w:t>研究组和第</w:t>
      </w:r>
      <w:r w:rsidR="00132DF6" w:rsidRPr="004070B6">
        <w:rPr>
          <w:lang w:eastAsia="zh-CN"/>
        </w:rPr>
        <w:t>7</w:t>
      </w:r>
      <w:r w:rsidR="00512910" w:rsidRPr="00512910">
        <w:rPr>
          <w:rFonts w:hint="eastAsia"/>
          <w:lang w:eastAsia="zh-CN"/>
        </w:rPr>
        <w:t>研究组</w:t>
      </w:r>
      <w:r w:rsidR="00C13EB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也保持</w:t>
      </w:r>
      <w:r w:rsidR="00C13EB8">
        <w:rPr>
          <w:rFonts w:hint="eastAsia"/>
          <w:lang w:eastAsia="zh-CN"/>
        </w:rPr>
        <w:t>着相当高的活跃度</w:t>
      </w:r>
      <w:r w:rsidR="00132DF6">
        <w:rPr>
          <w:rFonts w:hint="eastAsia"/>
          <w:lang w:eastAsia="zh-CN"/>
        </w:rPr>
        <w:t>，</w:t>
      </w:r>
      <w:r w:rsidR="00C13EB8">
        <w:rPr>
          <w:rFonts w:hint="eastAsia"/>
          <w:lang w:eastAsia="zh-CN"/>
        </w:rPr>
        <w:t>而</w:t>
      </w:r>
      <w:r w:rsidR="00512910" w:rsidRPr="00512910">
        <w:rPr>
          <w:rFonts w:hint="eastAsia"/>
          <w:lang w:eastAsia="zh-CN"/>
        </w:rPr>
        <w:t>第</w:t>
      </w:r>
      <w:r w:rsidR="00132DF6" w:rsidRPr="004070B6">
        <w:rPr>
          <w:lang w:eastAsia="zh-CN"/>
        </w:rPr>
        <w:t>1</w:t>
      </w:r>
      <w:r w:rsidR="00132DF6" w:rsidRPr="00512910">
        <w:rPr>
          <w:rFonts w:hint="eastAsia"/>
          <w:lang w:eastAsia="zh-CN"/>
        </w:rPr>
        <w:t>研究组</w:t>
      </w:r>
      <w:r w:rsidR="00512910" w:rsidRPr="00512910">
        <w:rPr>
          <w:rFonts w:hint="eastAsia"/>
          <w:lang w:eastAsia="zh-CN"/>
        </w:rPr>
        <w:t>和第</w:t>
      </w:r>
      <w:r w:rsidR="00132DF6" w:rsidRPr="004070B6">
        <w:rPr>
          <w:lang w:eastAsia="zh-CN"/>
        </w:rPr>
        <w:t>6</w:t>
      </w:r>
      <w:r w:rsidR="00512910" w:rsidRPr="00512910">
        <w:rPr>
          <w:rFonts w:hint="eastAsia"/>
          <w:lang w:eastAsia="zh-CN"/>
        </w:rPr>
        <w:t>研究组的</w:t>
      </w:r>
      <w:r w:rsidR="00C13EB8">
        <w:rPr>
          <w:rFonts w:hint="eastAsia"/>
          <w:lang w:eastAsia="zh-CN"/>
        </w:rPr>
        <w:t>活跃度</w:t>
      </w:r>
      <w:r w:rsidR="00512910" w:rsidRPr="00512910">
        <w:rPr>
          <w:rFonts w:hint="eastAsia"/>
          <w:lang w:eastAsia="zh-CN"/>
        </w:rPr>
        <w:t>有所</w:t>
      </w:r>
      <w:r w:rsidR="00C13EB8">
        <w:rPr>
          <w:rFonts w:hint="eastAsia"/>
          <w:lang w:eastAsia="zh-CN"/>
        </w:rPr>
        <w:t>下降</w:t>
      </w:r>
      <w:r w:rsidR="00132DF6" w:rsidRPr="00DA0683">
        <w:rPr>
          <w:rFonts w:hint="eastAsia"/>
          <w:lang w:eastAsia="zh-CN"/>
        </w:rPr>
        <w:t>。</w:t>
      </w:r>
    </w:p>
    <w:p w14:paraId="1C340573" w14:textId="1DC9436F" w:rsidR="004070B6" w:rsidRPr="004070B6" w:rsidRDefault="00512910" w:rsidP="00D963D6">
      <w:pPr>
        <w:ind w:firstLineChars="200" w:firstLine="480"/>
        <w:rPr>
          <w:lang w:eastAsia="zh-CN"/>
        </w:rPr>
      </w:pPr>
      <w:r w:rsidRPr="00DA0683">
        <w:rPr>
          <w:rFonts w:hint="eastAsia"/>
          <w:lang w:eastAsia="zh-CN"/>
        </w:rPr>
        <w:t>因此</w:t>
      </w:r>
      <w:r w:rsidR="00843E0C" w:rsidRPr="00DA068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研究组</w:t>
      </w:r>
      <w:r w:rsidR="00EB76F0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结构在</w:t>
      </w:r>
      <w:r w:rsidR="001F0D67">
        <w:rPr>
          <w:rFonts w:hint="eastAsia"/>
          <w:lang w:eastAsia="zh-CN"/>
        </w:rPr>
        <w:t>相当</w:t>
      </w:r>
      <w:r w:rsidRPr="00512910">
        <w:rPr>
          <w:rFonts w:hint="eastAsia"/>
          <w:lang w:eastAsia="zh-CN"/>
        </w:rPr>
        <w:t>长</w:t>
      </w:r>
      <w:r w:rsidR="001F0D67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一段时间内基本</w:t>
      </w:r>
      <w:r w:rsidR="001F0D67">
        <w:rPr>
          <w:rFonts w:hint="eastAsia"/>
          <w:lang w:eastAsia="zh-CN"/>
        </w:rPr>
        <w:t>未</w:t>
      </w:r>
      <w:r w:rsidR="00C13EB8">
        <w:rPr>
          <w:rFonts w:hint="eastAsia"/>
          <w:lang w:eastAsia="zh-CN"/>
        </w:rPr>
        <w:t>发生变化</w:t>
      </w:r>
      <w:r w:rsidR="001F0D67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而工作范围和</w:t>
      </w:r>
      <w:r w:rsidR="00C13EB8" w:rsidRPr="00512910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量却在</w:t>
      </w:r>
      <w:r w:rsidR="00D4424D">
        <w:rPr>
          <w:rFonts w:hint="eastAsia"/>
          <w:lang w:eastAsia="zh-CN"/>
        </w:rPr>
        <w:t>持续</w:t>
      </w:r>
      <w:r w:rsidRPr="00512910">
        <w:rPr>
          <w:rFonts w:hint="eastAsia"/>
          <w:lang w:eastAsia="zh-CN"/>
        </w:rPr>
        <w:t>扩大</w:t>
      </w:r>
      <w:r w:rsidR="001F0D67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因此</w:t>
      </w:r>
      <w:r w:rsidR="001F0D67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不断增加的工作量并未在各研究组之间重新分配</w:t>
      </w:r>
      <w:r w:rsidR="001F0D67">
        <w:rPr>
          <w:rFonts w:hint="eastAsia"/>
          <w:lang w:eastAsia="zh-CN"/>
        </w:rPr>
        <w:t>，</w:t>
      </w:r>
      <w:r w:rsidR="00D4424D">
        <w:rPr>
          <w:rFonts w:hint="eastAsia"/>
          <w:lang w:eastAsia="zh-CN"/>
        </w:rPr>
        <w:t>导致</w:t>
      </w:r>
      <w:r w:rsidRPr="00512910">
        <w:rPr>
          <w:rFonts w:hint="eastAsia"/>
          <w:lang w:eastAsia="zh-CN"/>
        </w:rPr>
        <w:t>现有</w:t>
      </w:r>
      <w:r w:rsidR="00D4424D">
        <w:rPr>
          <w:rFonts w:hint="eastAsia"/>
          <w:lang w:eastAsia="zh-CN"/>
        </w:rPr>
        <w:t>研究</w:t>
      </w:r>
      <w:proofErr w:type="gramStart"/>
      <w:r w:rsidR="00D4424D">
        <w:rPr>
          <w:rFonts w:hint="eastAsia"/>
          <w:lang w:eastAsia="zh-CN"/>
        </w:rPr>
        <w:t>组</w:t>
      </w:r>
      <w:r w:rsidRPr="00512910">
        <w:rPr>
          <w:rFonts w:hint="eastAsia"/>
          <w:lang w:eastAsia="zh-CN"/>
        </w:rPr>
        <w:t>及其</w:t>
      </w:r>
      <w:proofErr w:type="gramEnd"/>
      <w:r w:rsidRPr="00512910">
        <w:rPr>
          <w:rFonts w:hint="eastAsia"/>
          <w:lang w:eastAsia="zh-CN"/>
        </w:rPr>
        <w:t>工作组负责</w:t>
      </w:r>
      <w:r w:rsidR="001F0D67">
        <w:rPr>
          <w:rFonts w:hint="eastAsia"/>
          <w:lang w:eastAsia="zh-CN"/>
        </w:rPr>
        <w:t>处理的</w:t>
      </w:r>
      <w:r w:rsidR="001F0D67" w:rsidRPr="00512910">
        <w:rPr>
          <w:rFonts w:hint="eastAsia"/>
          <w:lang w:eastAsia="zh-CN"/>
        </w:rPr>
        <w:t>技术和监管问题</w:t>
      </w:r>
      <w:r w:rsidR="00D4424D">
        <w:rPr>
          <w:rFonts w:hint="eastAsia"/>
          <w:lang w:eastAsia="zh-CN"/>
        </w:rPr>
        <w:t>日益广泛</w:t>
      </w:r>
      <w:r w:rsidR="001F0D67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这种情况可能</w:t>
      </w:r>
      <w:r w:rsidR="00C13EB8">
        <w:rPr>
          <w:rFonts w:hint="eastAsia"/>
          <w:lang w:eastAsia="zh-CN"/>
        </w:rPr>
        <w:t>会</w:t>
      </w:r>
      <w:r w:rsidRPr="00512910">
        <w:rPr>
          <w:rFonts w:hint="eastAsia"/>
          <w:lang w:eastAsia="zh-CN"/>
        </w:rPr>
        <w:t>给某些研究</w:t>
      </w:r>
      <w:proofErr w:type="gramStart"/>
      <w:r w:rsidRPr="00512910">
        <w:rPr>
          <w:rFonts w:hint="eastAsia"/>
          <w:lang w:eastAsia="zh-CN"/>
        </w:rPr>
        <w:t>组带来</w:t>
      </w:r>
      <w:proofErr w:type="gramEnd"/>
      <w:r w:rsidRPr="00512910">
        <w:rPr>
          <w:rFonts w:hint="eastAsia"/>
          <w:lang w:eastAsia="zh-CN"/>
        </w:rPr>
        <w:t>相当大的压力</w:t>
      </w:r>
      <w:r w:rsidR="001F0D67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特别是考虑到</w:t>
      </w:r>
      <w:r w:rsidR="00C13EB8">
        <w:rPr>
          <w:rFonts w:hint="eastAsia"/>
          <w:lang w:eastAsia="zh-CN"/>
        </w:rPr>
        <w:t>其</w:t>
      </w:r>
      <w:r w:rsidRPr="00512910">
        <w:rPr>
          <w:rFonts w:hint="eastAsia"/>
          <w:lang w:eastAsia="zh-CN"/>
        </w:rPr>
        <w:t>需要处理</w:t>
      </w:r>
      <w:r w:rsidR="001F0D67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事项数量</w:t>
      </w:r>
      <w:r w:rsidR="00D4424D" w:rsidRPr="00D4424D">
        <w:rPr>
          <w:rFonts w:hint="eastAsia"/>
          <w:lang w:eastAsia="zh-CN"/>
        </w:rPr>
        <w:t>众多且</w:t>
      </w:r>
      <w:r w:rsidR="00D4424D">
        <w:rPr>
          <w:rFonts w:hint="eastAsia"/>
          <w:lang w:eastAsia="zh-CN"/>
        </w:rPr>
        <w:t>至关重要</w:t>
      </w:r>
      <w:r w:rsidR="001F0D67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这最终可能</w:t>
      </w:r>
      <w:r w:rsidR="00D4424D">
        <w:rPr>
          <w:rFonts w:hint="eastAsia"/>
          <w:lang w:eastAsia="zh-CN"/>
        </w:rPr>
        <w:t>会</w:t>
      </w:r>
      <w:r w:rsidRPr="00512910">
        <w:rPr>
          <w:rFonts w:hint="eastAsia"/>
          <w:lang w:eastAsia="zh-CN"/>
        </w:rPr>
        <w:t>影响其输出成果的效率和及时性</w:t>
      </w:r>
      <w:r w:rsidR="001F0D67" w:rsidRPr="00A8452A">
        <w:rPr>
          <w:rFonts w:hint="eastAsia"/>
          <w:lang w:eastAsia="zh-CN"/>
        </w:rPr>
        <w:t>。</w:t>
      </w:r>
    </w:p>
    <w:p w14:paraId="12C1DCF4" w14:textId="178647FC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在</w:t>
      </w:r>
      <w:r w:rsidR="00B44EC4">
        <w:rPr>
          <w:rFonts w:hint="eastAsia"/>
          <w:lang w:eastAsia="zh-CN"/>
        </w:rPr>
        <w:t>一些</w:t>
      </w:r>
      <w:r w:rsidRPr="00512910">
        <w:rPr>
          <w:rFonts w:hint="eastAsia"/>
          <w:lang w:eastAsia="zh-CN"/>
        </w:rPr>
        <w:t>情况下</w:t>
      </w:r>
      <w:r w:rsidR="00E00D05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工作组必须在一次会议上处理数百份文稿</w:t>
      </w:r>
      <w:r w:rsidR="00E00D05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这给会议时间安排和起草</w:t>
      </w:r>
      <w:r w:rsidR="00B44EC4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带来巨大压力</w:t>
      </w:r>
      <w:r w:rsidR="00E00D05">
        <w:rPr>
          <w:rFonts w:hint="eastAsia"/>
          <w:lang w:eastAsia="zh-CN"/>
        </w:rPr>
        <w:t>。</w:t>
      </w:r>
    </w:p>
    <w:p w14:paraId="32463DC1" w14:textId="15218E60" w:rsidR="004070B6" w:rsidRPr="004070B6" w:rsidRDefault="001A5458" w:rsidP="00D963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不断增加的</w:t>
      </w:r>
      <w:r w:rsidR="00512910" w:rsidRPr="00512910">
        <w:rPr>
          <w:rFonts w:hint="eastAsia"/>
          <w:lang w:eastAsia="zh-CN"/>
        </w:rPr>
        <w:t>文稿数量也可能对</w:t>
      </w:r>
      <w:r w:rsidRPr="004070B6">
        <w:rPr>
          <w:lang w:eastAsia="zh-CN"/>
        </w:rPr>
        <w:t>CPM</w:t>
      </w:r>
      <w:r w:rsidR="00512910" w:rsidRPr="00512910">
        <w:rPr>
          <w:rFonts w:hint="eastAsia"/>
          <w:lang w:eastAsia="zh-CN"/>
        </w:rPr>
        <w:t>报告的及时</w:t>
      </w:r>
      <w:r>
        <w:rPr>
          <w:rFonts w:hint="eastAsia"/>
          <w:lang w:eastAsia="zh-CN"/>
        </w:rPr>
        <w:t>编制</w:t>
      </w:r>
      <w:r w:rsidR="00512910" w:rsidRPr="00512910">
        <w:rPr>
          <w:rFonts w:hint="eastAsia"/>
          <w:lang w:eastAsia="zh-CN"/>
        </w:rPr>
        <w:t>产生影响</w:t>
      </w:r>
      <w:r>
        <w:rPr>
          <w:rFonts w:hint="eastAsia"/>
          <w:lang w:eastAsia="zh-CN"/>
        </w:rPr>
        <w:t>。</w:t>
      </w:r>
      <w:r w:rsidRPr="004070B6">
        <w:rPr>
          <w:lang w:eastAsia="zh-CN"/>
        </w:rPr>
        <w:t>CPM</w:t>
      </w:r>
      <w:r w:rsidR="00512910" w:rsidRPr="00512910">
        <w:rPr>
          <w:rFonts w:hint="eastAsia"/>
          <w:lang w:eastAsia="zh-CN"/>
        </w:rPr>
        <w:t>案文</w:t>
      </w:r>
      <w:r w:rsidR="004406B5">
        <w:rPr>
          <w:rFonts w:hint="eastAsia"/>
          <w:lang w:eastAsia="zh-CN"/>
        </w:rPr>
        <w:t>的</w:t>
      </w:r>
      <w:r w:rsidR="004406B5" w:rsidRPr="00512910">
        <w:rPr>
          <w:rFonts w:hint="eastAsia"/>
          <w:lang w:eastAsia="zh-CN"/>
        </w:rPr>
        <w:t>起草</w:t>
      </w:r>
      <w:r w:rsidR="00BF7E89">
        <w:rPr>
          <w:rFonts w:hint="eastAsia"/>
          <w:lang w:eastAsia="zh-CN"/>
        </w:rPr>
        <w:t>要求各</w:t>
      </w:r>
      <w:r w:rsidR="00512910" w:rsidRPr="00512910">
        <w:rPr>
          <w:rFonts w:hint="eastAsia"/>
          <w:lang w:eastAsia="zh-CN"/>
        </w:rPr>
        <w:t>工作组审议大量技术文稿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开展兼容性和共用研究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并</w:t>
      </w:r>
      <w:r w:rsidR="004406B5" w:rsidRPr="00512910">
        <w:rPr>
          <w:rFonts w:hint="eastAsia"/>
          <w:lang w:eastAsia="zh-CN"/>
        </w:rPr>
        <w:t>在相对有限的会议时间内</w:t>
      </w:r>
      <w:r w:rsidR="00512910" w:rsidRPr="00512910">
        <w:rPr>
          <w:rFonts w:hint="eastAsia"/>
          <w:lang w:eastAsia="zh-CN"/>
        </w:rPr>
        <w:t>将结果</w:t>
      </w:r>
      <w:r w:rsidR="004406B5">
        <w:rPr>
          <w:rFonts w:hint="eastAsia"/>
          <w:lang w:eastAsia="zh-CN"/>
        </w:rPr>
        <w:t>整合</w:t>
      </w:r>
      <w:r w:rsidR="00BF7E89">
        <w:rPr>
          <w:rFonts w:hint="eastAsia"/>
          <w:lang w:eastAsia="zh-CN"/>
        </w:rPr>
        <w:t>为报告各</w:t>
      </w:r>
      <w:r w:rsidRPr="00512910">
        <w:rPr>
          <w:rFonts w:hint="eastAsia"/>
          <w:lang w:eastAsia="zh-CN"/>
        </w:rPr>
        <w:t>章节</w:t>
      </w:r>
      <w:r w:rsidR="00512910" w:rsidRPr="00512910">
        <w:rPr>
          <w:rFonts w:hint="eastAsia"/>
          <w:lang w:eastAsia="zh-CN"/>
        </w:rPr>
        <w:t>草案</w:t>
      </w:r>
      <w:r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在</w:t>
      </w:r>
      <w:r w:rsidR="00022F0C">
        <w:rPr>
          <w:rFonts w:hint="eastAsia"/>
          <w:lang w:eastAsia="zh-CN"/>
        </w:rPr>
        <w:t>一</w:t>
      </w:r>
      <w:r w:rsidR="00512910" w:rsidRPr="00512910">
        <w:rPr>
          <w:rFonts w:hint="eastAsia"/>
          <w:lang w:eastAsia="zh-CN"/>
        </w:rPr>
        <w:t>些情况下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由于输入文件数量</w:t>
      </w:r>
      <w:r w:rsidR="00EB290F">
        <w:rPr>
          <w:rFonts w:hint="eastAsia"/>
          <w:lang w:eastAsia="zh-CN"/>
        </w:rPr>
        <w:t>过多</w:t>
      </w:r>
      <w:r>
        <w:rPr>
          <w:rFonts w:hint="eastAsia"/>
          <w:lang w:eastAsia="zh-CN"/>
        </w:rPr>
        <w:t>，</w:t>
      </w:r>
      <w:r w:rsidR="00BF7E89">
        <w:rPr>
          <w:rFonts w:hint="eastAsia"/>
          <w:lang w:eastAsia="zh-CN"/>
        </w:rPr>
        <w:t>难以</w:t>
      </w:r>
      <w:r w:rsidR="00512910" w:rsidRPr="00512910">
        <w:rPr>
          <w:rFonts w:hint="eastAsia"/>
          <w:lang w:eastAsia="zh-CN"/>
        </w:rPr>
        <w:t>在一次会议上全面审议并整合所有相关材料</w:t>
      </w:r>
      <w:r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例如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在负责</w:t>
      </w:r>
      <w:r w:rsidR="00BF7E89">
        <w:rPr>
          <w:rFonts w:hint="eastAsia"/>
          <w:lang w:eastAsia="zh-CN"/>
        </w:rPr>
        <w:t>多个</w:t>
      </w:r>
      <w:r w:rsidRPr="004070B6">
        <w:rPr>
          <w:lang w:eastAsia="zh-CN"/>
        </w:rPr>
        <w:t>WRC-27</w:t>
      </w:r>
      <w:r w:rsidR="00512910" w:rsidRPr="00512910">
        <w:rPr>
          <w:rFonts w:hint="eastAsia"/>
          <w:lang w:eastAsia="zh-CN"/>
        </w:rPr>
        <w:t>议项的</w:t>
      </w:r>
      <w:r w:rsidRPr="004070B6">
        <w:rPr>
          <w:lang w:eastAsia="zh-CN"/>
        </w:rPr>
        <w:t>4A</w:t>
      </w:r>
      <w:r>
        <w:rPr>
          <w:rFonts w:hint="eastAsia"/>
          <w:lang w:eastAsia="zh-CN"/>
        </w:rPr>
        <w:t>工作组</w:t>
      </w:r>
      <w:r w:rsidR="00512910" w:rsidRPr="00EB290F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，</w:t>
      </w:r>
      <w:r w:rsidR="00BF7E89">
        <w:rPr>
          <w:rFonts w:hint="eastAsia"/>
          <w:lang w:eastAsia="zh-CN"/>
        </w:rPr>
        <w:t>由于</w:t>
      </w:r>
      <w:r w:rsidR="00512910" w:rsidRPr="00512910">
        <w:rPr>
          <w:rFonts w:hint="eastAsia"/>
          <w:lang w:eastAsia="zh-CN"/>
        </w:rPr>
        <w:t>提交的</w:t>
      </w:r>
      <w:r w:rsidR="00BF7E89" w:rsidRPr="00512910">
        <w:rPr>
          <w:rFonts w:hint="eastAsia"/>
          <w:lang w:eastAsia="zh-CN"/>
        </w:rPr>
        <w:t>文稿</w:t>
      </w:r>
      <w:r w:rsidR="00BF7E89">
        <w:rPr>
          <w:rFonts w:hint="eastAsia"/>
          <w:lang w:eastAsia="zh-CN"/>
        </w:rPr>
        <w:t>数量庞大，</w:t>
      </w:r>
      <w:r w:rsidR="00512910" w:rsidRPr="00512910">
        <w:rPr>
          <w:rFonts w:hint="eastAsia"/>
          <w:lang w:eastAsia="zh-CN"/>
        </w:rPr>
        <w:t>导致某些</w:t>
      </w:r>
      <w:r w:rsidRPr="004070B6">
        <w:rPr>
          <w:lang w:eastAsia="zh-CN"/>
        </w:rPr>
        <w:t>CPM</w:t>
      </w:r>
      <w:r w:rsidR="00512910" w:rsidRPr="00512910">
        <w:rPr>
          <w:rFonts w:hint="eastAsia"/>
          <w:lang w:eastAsia="zh-CN"/>
        </w:rPr>
        <w:t>案文草案</w:t>
      </w:r>
      <w:r w:rsidR="00BF7E89">
        <w:rPr>
          <w:rFonts w:hint="eastAsia"/>
          <w:lang w:eastAsia="zh-CN"/>
        </w:rPr>
        <w:t>及</w:t>
      </w:r>
      <w:r w:rsidR="00512910" w:rsidRPr="00512910">
        <w:rPr>
          <w:rFonts w:hint="eastAsia"/>
          <w:lang w:eastAsia="zh-CN"/>
        </w:rPr>
        <w:t>相关研究仍需要进一步</w:t>
      </w:r>
      <w:r w:rsidR="00EB290F">
        <w:rPr>
          <w:rFonts w:hint="eastAsia"/>
          <w:lang w:eastAsia="zh-CN"/>
        </w:rPr>
        <w:t>审议</w:t>
      </w:r>
      <w:r w:rsidR="00512910" w:rsidRPr="00512910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整合，</w:t>
      </w:r>
      <w:r w:rsidR="00BF7E89">
        <w:rPr>
          <w:rFonts w:hint="eastAsia"/>
          <w:lang w:eastAsia="zh-CN"/>
        </w:rPr>
        <w:t>这</w:t>
      </w:r>
      <w:r w:rsidR="00512910" w:rsidRPr="00512910">
        <w:rPr>
          <w:rFonts w:hint="eastAsia"/>
          <w:lang w:eastAsia="zh-CN"/>
        </w:rPr>
        <w:t>反映出</w:t>
      </w:r>
      <w:r w:rsidR="00C4447C" w:rsidRPr="004070B6">
        <w:rPr>
          <w:lang w:eastAsia="zh-CN"/>
        </w:rPr>
        <w:t>CPM</w:t>
      </w:r>
      <w:r w:rsidR="00512910" w:rsidRPr="00512910">
        <w:rPr>
          <w:rFonts w:hint="eastAsia"/>
          <w:lang w:eastAsia="zh-CN"/>
        </w:rPr>
        <w:t>输入文件</w:t>
      </w:r>
      <w:r w:rsidR="00BA7E9D">
        <w:rPr>
          <w:rFonts w:hint="eastAsia"/>
          <w:lang w:eastAsia="zh-CN"/>
        </w:rPr>
        <w:t>的</w:t>
      </w:r>
      <w:r w:rsidR="00BF7E89">
        <w:rPr>
          <w:rFonts w:hint="eastAsia"/>
          <w:lang w:eastAsia="zh-CN"/>
        </w:rPr>
        <w:t>编制工作</w:t>
      </w:r>
      <w:r w:rsidR="00C4447C">
        <w:rPr>
          <w:rFonts w:hint="eastAsia"/>
          <w:lang w:eastAsia="zh-CN"/>
        </w:rPr>
        <w:t>所涉及的</w:t>
      </w:r>
      <w:r w:rsidR="00512910" w:rsidRPr="00512910">
        <w:rPr>
          <w:rFonts w:hint="eastAsia"/>
          <w:lang w:eastAsia="zh-CN"/>
        </w:rPr>
        <w:t>复杂性和工作量</w:t>
      </w:r>
      <w:r w:rsidR="00C4447C">
        <w:rPr>
          <w:rFonts w:hint="eastAsia"/>
          <w:lang w:eastAsia="zh-CN"/>
        </w:rPr>
        <w:t>不断</w:t>
      </w:r>
      <w:r w:rsidR="00512910" w:rsidRPr="00512910">
        <w:rPr>
          <w:rFonts w:hint="eastAsia"/>
          <w:lang w:eastAsia="zh-CN"/>
        </w:rPr>
        <w:t>增加</w:t>
      </w:r>
      <w:r w:rsidR="00C4447C" w:rsidRPr="00BA7E9D">
        <w:rPr>
          <w:rFonts w:hint="eastAsia"/>
          <w:lang w:eastAsia="zh-CN"/>
        </w:rPr>
        <w:t>。</w:t>
      </w:r>
    </w:p>
    <w:p w14:paraId="4BBBE908" w14:textId="7B244E66" w:rsidR="004070B6" w:rsidRPr="004070B6" w:rsidRDefault="00810E45" w:rsidP="00D963D6">
      <w:pPr>
        <w:ind w:firstLineChars="200" w:firstLine="480"/>
        <w:rPr>
          <w:lang w:eastAsia="zh-CN"/>
        </w:rPr>
      </w:pPr>
      <w:r w:rsidRPr="00683C9D">
        <w:rPr>
          <w:rFonts w:hint="eastAsia"/>
          <w:lang w:eastAsia="zh-CN"/>
        </w:rPr>
        <w:t>虽然</w:t>
      </w:r>
      <w:r w:rsidR="00C4447C" w:rsidRPr="00683C9D">
        <w:rPr>
          <w:rFonts w:hint="eastAsia"/>
          <w:lang w:eastAsia="zh-CN"/>
        </w:rPr>
        <w:t>一些</w:t>
      </w:r>
      <w:r w:rsidR="00512910" w:rsidRPr="00683C9D">
        <w:rPr>
          <w:rFonts w:hint="eastAsia"/>
          <w:lang w:eastAsia="zh-CN"/>
        </w:rPr>
        <w:t>研究组</w:t>
      </w:r>
      <w:r w:rsidRPr="00683C9D">
        <w:rPr>
          <w:rFonts w:hint="eastAsia"/>
          <w:lang w:eastAsia="zh-CN"/>
        </w:rPr>
        <w:t>收</w:t>
      </w:r>
      <w:r>
        <w:rPr>
          <w:rFonts w:hint="eastAsia"/>
          <w:lang w:eastAsia="zh-CN"/>
        </w:rPr>
        <w:t>到</w:t>
      </w:r>
      <w:r w:rsidR="00512910" w:rsidRPr="00512910">
        <w:rPr>
          <w:rFonts w:hint="eastAsia"/>
          <w:lang w:eastAsia="zh-CN"/>
        </w:rPr>
        <w:t>的文稿数量显著增加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但</w:t>
      </w:r>
      <w:r w:rsidR="000668A0">
        <w:rPr>
          <w:rFonts w:hint="eastAsia"/>
          <w:lang w:eastAsia="zh-CN"/>
        </w:rPr>
        <w:t>最终</w:t>
      </w:r>
      <w:r w:rsidR="00512910" w:rsidRPr="00512910">
        <w:rPr>
          <w:rFonts w:hint="eastAsia"/>
          <w:lang w:eastAsia="zh-CN"/>
        </w:rPr>
        <w:t>批准的案文</w:t>
      </w:r>
      <w:r w:rsidR="00C4447C">
        <w:rPr>
          <w:rFonts w:hint="eastAsia"/>
          <w:lang w:eastAsia="zh-CN"/>
        </w:rPr>
        <w:t>（</w:t>
      </w:r>
      <w:r w:rsidR="00C4447C" w:rsidRPr="00512910">
        <w:rPr>
          <w:rFonts w:hint="eastAsia"/>
          <w:lang w:eastAsia="zh-CN"/>
        </w:rPr>
        <w:t>建议书</w:t>
      </w:r>
      <w:r w:rsidR="00C4447C">
        <w:rPr>
          <w:rFonts w:hint="eastAsia"/>
          <w:lang w:eastAsia="zh-CN"/>
        </w:rPr>
        <w:t>、</w:t>
      </w:r>
      <w:r w:rsidR="00C4447C" w:rsidRPr="00512910">
        <w:rPr>
          <w:rFonts w:hint="eastAsia"/>
          <w:lang w:eastAsia="zh-CN"/>
        </w:rPr>
        <w:t>报告</w:t>
      </w:r>
      <w:r w:rsidR="00C4447C">
        <w:rPr>
          <w:rFonts w:hint="eastAsia"/>
          <w:lang w:eastAsia="zh-CN"/>
        </w:rPr>
        <w:t>、</w:t>
      </w:r>
      <w:r w:rsidR="00C4447C" w:rsidRPr="00512910">
        <w:rPr>
          <w:rFonts w:hint="eastAsia"/>
          <w:lang w:eastAsia="zh-CN"/>
        </w:rPr>
        <w:t>手册等</w:t>
      </w:r>
      <w:r w:rsidR="00C4447C">
        <w:rPr>
          <w:rFonts w:hint="eastAsia"/>
          <w:lang w:eastAsia="zh-CN"/>
        </w:rPr>
        <w:t>）</w:t>
      </w:r>
      <w:r w:rsidR="00512910" w:rsidRPr="00512910">
        <w:rPr>
          <w:rFonts w:hint="eastAsia"/>
          <w:lang w:eastAsia="zh-CN"/>
        </w:rPr>
        <w:t>数量</w:t>
      </w:r>
      <w:r>
        <w:rPr>
          <w:rFonts w:hint="eastAsia"/>
          <w:lang w:eastAsia="zh-CN"/>
        </w:rPr>
        <w:t>却</w:t>
      </w:r>
      <w:r w:rsidR="00512910" w:rsidRPr="00512910">
        <w:rPr>
          <w:rFonts w:hint="eastAsia"/>
          <w:lang w:eastAsia="zh-CN"/>
        </w:rPr>
        <w:t>相对稳定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仅</w:t>
      </w:r>
      <w:r w:rsidR="00512910" w:rsidRPr="00512910">
        <w:rPr>
          <w:rFonts w:hint="eastAsia"/>
          <w:lang w:eastAsia="zh-CN"/>
        </w:rPr>
        <w:t>略有</w:t>
      </w:r>
      <w:r>
        <w:rPr>
          <w:rFonts w:hint="eastAsia"/>
          <w:lang w:eastAsia="zh-CN"/>
        </w:rPr>
        <w:t>减少</w:t>
      </w:r>
      <w:r w:rsidR="00C4447C" w:rsidRPr="00683C9D">
        <w:rPr>
          <w:rFonts w:hint="eastAsia"/>
          <w:lang w:eastAsia="zh-CN"/>
        </w:rPr>
        <w:t>。</w:t>
      </w:r>
    </w:p>
    <w:p w14:paraId="02E7C289" w14:textId="49DB65DC" w:rsidR="004070B6" w:rsidRPr="004070B6" w:rsidRDefault="00FB26E4" w:rsidP="00A36331">
      <w:pPr>
        <w:pStyle w:val="FigureNo"/>
        <w:spacing w:before="120"/>
        <w:rPr>
          <w:sz w:val="24"/>
          <w:szCs w:val="24"/>
          <w:lang w:eastAsia="zh-CN"/>
        </w:rPr>
      </w:pPr>
      <w:r w:rsidRPr="00512910">
        <w:rPr>
          <w:rFonts w:hint="eastAsia"/>
          <w:sz w:val="24"/>
          <w:szCs w:val="24"/>
          <w:lang w:eastAsia="zh-CN"/>
        </w:rPr>
        <w:t>图</w:t>
      </w:r>
      <w:r w:rsidR="004070B6" w:rsidRPr="004070B6">
        <w:rPr>
          <w:sz w:val="24"/>
          <w:szCs w:val="24"/>
          <w:lang w:eastAsia="zh-CN"/>
        </w:rPr>
        <w:t>3</w:t>
      </w:r>
    </w:p>
    <w:p w14:paraId="101EA118" w14:textId="6831EEC2" w:rsidR="004070B6" w:rsidRPr="004070B6" w:rsidRDefault="00512910" w:rsidP="00A36331">
      <w:pPr>
        <w:pStyle w:val="Figuretitle"/>
        <w:spacing w:after="0"/>
        <w:rPr>
          <w:sz w:val="24"/>
          <w:szCs w:val="24"/>
          <w:lang w:eastAsia="zh-CN"/>
        </w:rPr>
      </w:pPr>
      <w:r w:rsidRPr="00512910">
        <w:rPr>
          <w:rFonts w:hint="eastAsia"/>
          <w:sz w:val="24"/>
          <w:szCs w:val="24"/>
          <w:lang w:eastAsia="zh-CN"/>
        </w:rPr>
        <w:t>不同</w:t>
      </w:r>
      <w:r w:rsidR="00FB26E4" w:rsidRPr="004070B6">
        <w:rPr>
          <w:sz w:val="24"/>
          <w:szCs w:val="24"/>
          <w:lang w:eastAsia="zh-CN"/>
        </w:rPr>
        <w:t>WRC</w:t>
      </w:r>
      <w:r w:rsidRPr="00512910">
        <w:rPr>
          <w:rFonts w:hint="eastAsia"/>
          <w:sz w:val="24"/>
          <w:szCs w:val="24"/>
          <w:lang w:eastAsia="zh-CN"/>
        </w:rPr>
        <w:t>周期内</w:t>
      </w:r>
      <w:r w:rsidR="00FB26E4" w:rsidRPr="004070B6">
        <w:rPr>
          <w:sz w:val="24"/>
          <w:szCs w:val="24"/>
          <w:lang w:eastAsia="zh-CN"/>
        </w:rPr>
        <w:t>ITU-R</w:t>
      </w:r>
      <w:r w:rsidR="00FB26E4">
        <w:rPr>
          <w:rFonts w:hint="eastAsia"/>
          <w:sz w:val="24"/>
          <w:szCs w:val="24"/>
          <w:lang w:eastAsia="zh-CN"/>
        </w:rPr>
        <w:t>各</w:t>
      </w:r>
      <w:r w:rsidRPr="00512910">
        <w:rPr>
          <w:rFonts w:hint="eastAsia"/>
          <w:sz w:val="24"/>
          <w:szCs w:val="24"/>
          <w:lang w:eastAsia="zh-CN"/>
        </w:rPr>
        <w:t>研究组</w:t>
      </w:r>
      <w:r w:rsidR="00FB26E4">
        <w:rPr>
          <w:rFonts w:hint="eastAsia"/>
          <w:sz w:val="24"/>
          <w:szCs w:val="24"/>
          <w:lang w:eastAsia="zh-CN"/>
        </w:rPr>
        <w:t>批准的案文</w:t>
      </w:r>
      <w:r w:rsidRPr="00512910">
        <w:rPr>
          <w:rFonts w:hint="eastAsia"/>
          <w:sz w:val="24"/>
          <w:szCs w:val="24"/>
          <w:lang w:eastAsia="zh-CN"/>
        </w:rPr>
        <w:t>数量</w:t>
      </w:r>
    </w:p>
    <w:p w14:paraId="0216C65B" w14:textId="116B378A" w:rsidR="004070B6" w:rsidRPr="004070B6" w:rsidRDefault="00512910" w:rsidP="00A36331">
      <w:pPr>
        <w:pStyle w:val="Figuretitle"/>
        <w:spacing w:after="0"/>
        <w:rPr>
          <w:rFonts w:ascii="Times New Roman" w:hAnsi="Times New Roman"/>
          <w:b w:val="0"/>
          <w:sz w:val="22"/>
          <w:szCs w:val="18"/>
          <w:lang w:eastAsia="zh-CN"/>
        </w:rPr>
      </w:pPr>
      <w:r>
        <w:rPr>
          <w:rFonts w:ascii="Times New Roman" w:hAnsi="Times New Roman" w:hint="eastAsia"/>
          <w:b w:val="0"/>
          <w:sz w:val="22"/>
          <w:szCs w:val="18"/>
          <w:lang w:eastAsia="zh-CN"/>
        </w:rPr>
        <w:t>（</w:t>
      </w:r>
      <w:r w:rsidR="00FB26E4" w:rsidRPr="00FB26E4">
        <w:rPr>
          <w:rFonts w:ascii="Times New Roman" w:hAnsi="Times New Roman" w:hint="eastAsia"/>
          <w:b w:val="0"/>
          <w:sz w:val="22"/>
          <w:szCs w:val="18"/>
          <w:lang w:eastAsia="zh-CN"/>
        </w:rPr>
        <w:t>根据</w:t>
      </w:r>
      <w:r w:rsidR="00FB26E4">
        <w:rPr>
          <w:rFonts w:ascii="Times New Roman" w:hAnsi="Times New Roman" w:hint="eastAsia"/>
          <w:b w:val="0"/>
          <w:sz w:val="22"/>
          <w:szCs w:val="18"/>
          <w:lang w:eastAsia="zh-CN"/>
        </w:rPr>
        <w:t>为</w:t>
      </w:r>
      <w:r w:rsidR="00FB26E4" w:rsidRPr="004070B6">
        <w:rPr>
          <w:rFonts w:ascii="Times New Roman" w:hAnsi="Times New Roman"/>
          <w:b w:val="0"/>
          <w:sz w:val="22"/>
          <w:szCs w:val="18"/>
          <w:lang w:eastAsia="zh-CN"/>
        </w:rPr>
        <w:t>ITU-R</w:t>
      </w:r>
      <w:r w:rsidR="00FB26E4" w:rsidRPr="00FB26E4">
        <w:rPr>
          <w:rFonts w:ascii="Times New Roman" w:hAnsi="Times New Roman" w:hint="eastAsia"/>
          <w:b w:val="0"/>
          <w:sz w:val="22"/>
          <w:szCs w:val="18"/>
          <w:lang w:eastAsia="zh-CN"/>
        </w:rPr>
        <w:t>研究</w:t>
      </w:r>
      <w:proofErr w:type="gramStart"/>
      <w:r w:rsidR="00FB26E4" w:rsidRPr="00FB26E4">
        <w:rPr>
          <w:rFonts w:ascii="Times New Roman" w:hAnsi="Times New Roman" w:hint="eastAsia"/>
          <w:b w:val="0"/>
          <w:sz w:val="22"/>
          <w:szCs w:val="18"/>
          <w:lang w:eastAsia="zh-CN"/>
        </w:rPr>
        <w:t>组分配</w:t>
      </w:r>
      <w:proofErr w:type="gramEnd"/>
      <w:r w:rsidR="00FB26E4" w:rsidRPr="00FB26E4">
        <w:rPr>
          <w:rFonts w:ascii="Times New Roman" w:hAnsi="Times New Roman" w:hint="eastAsia"/>
          <w:b w:val="0"/>
          <w:sz w:val="22"/>
          <w:szCs w:val="18"/>
          <w:lang w:eastAsia="zh-CN"/>
        </w:rPr>
        <w:t>的</w:t>
      </w:r>
      <w:r w:rsidR="00FB26E4">
        <w:rPr>
          <w:rFonts w:ascii="Times New Roman" w:hAnsi="Times New Roman" w:hint="eastAsia"/>
          <w:b w:val="0"/>
          <w:sz w:val="22"/>
          <w:szCs w:val="18"/>
          <w:lang w:eastAsia="zh-CN"/>
        </w:rPr>
        <w:t>案文</w:t>
      </w:r>
      <w:r w:rsidR="00FB26E4" w:rsidRPr="00FB26E4">
        <w:rPr>
          <w:rFonts w:ascii="Times New Roman" w:hAnsi="Times New Roman" w:hint="eastAsia"/>
          <w:b w:val="0"/>
          <w:sz w:val="22"/>
          <w:szCs w:val="18"/>
          <w:lang w:eastAsia="zh-CN"/>
        </w:rPr>
        <w:t>整理</w:t>
      </w:r>
      <w:r>
        <w:rPr>
          <w:rFonts w:ascii="Times New Roman" w:hAnsi="Times New Roman" w:hint="eastAsia"/>
          <w:b w:val="0"/>
          <w:sz w:val="22"/>
          <w:szCs w:val="18"/>
          <w:lang w:eastAsia="zh-CN"/>
        </w:rPr>
        <w:t>）</w:t>
      </w:r>
    </w:p>
    <w:p w14:paraId="6715F025" w14:textId="77777777" w:rsidR="00041EEA" w:rsidRPr="00041EEA" w:rsidRDefault="00041EEA" w:rsidP="00041EE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041EEA">
        <w:rPr>
          <w:noProof/>
        </w:rPr>
        <w:drawing>
          <wp:inline distT="0" distB="0" distL="0" distR="0" wp14:anchorId="4FAAAADC" wp14:editId="61699795">
            <wp:extent cx="6120765" cy="2009803"/>
            <wp:effectExtent l="0" t="0" r="13335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C3A9DD68-9A74-4D67-80A3-2500654C89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78F2F97" w14:textId="76CD24F0" w:rsidR="004070B6" w:rsidRPr="004070B6" w:rsidRDefault="00512910" w:rsidP="00B65F08">
      <w:pPr>
        <w:spacing w:before="240"/>
        <w:ind w:firstLineChars="200" w:firstLine="480"/>
        <w:rPr>
          <w:lang w:eastAsia="zh-CN"/>
        </w:rPr>
      </w:pPr>
      <w:r w:rsidRPr="00D7248A">
        <w:rPr>
          <w:rFonts w:hint="eastAsia"/>
          <w:lang w:eastAsia="zh-CN"/>
        </w:rPr>
        <w:t>图</w:t>
      </w:r>
      <w:r w:rsidR="00FB26E4" w:rsidRPr="00D7248A">
        <w:rPr>
          <w:lang w:eastAsia="zh-CN"/>
        </w:rPr>
        <w:t>3</w:t>
      </w:r>
      <w:r w:rsidR="004500AF">
        <w:rPr>
          <w:rFonts w:hint="eastAsia"/>
          <w:lang w:eastAsia="zh-CN"/>
        </w:rPr>
        <w:t>展示</w:t>
      </w:r>
      <w:r w:rsidRPr="00D7248A">
        <w:rPr>
          <w:rFonts w:hint="eastAsia"/>
          <w:lang w:eastAsia="zh-CN"/>
        </w:rPr>
        <w:t>了对</w:t>
      </w:r>
      <w:r w:rsidR="004500AF">
        <w:rPr>
          <w:rFonts w:hint="eastAsia"/>
          <w:lang w:eastAsia="zh-CN"/>
        </w:rPr>
        <w:t>多个</w:t>
      </w:r>
      <w:r w:rsidRPr="00D7248A">
        <w:rPr>
          <w:rFonts w:hint="eastAsia"/>
          <w:lang w:eastAsia="zh-CN"/>
        </w:rPr>
        <w:t>研究周期</w:t>
      </w:r>
      <w:r w:rsidR="004500AF">
        <w:rPr>
          <w:rFonts w:hint="eastAsia"/>
          <w:lang w:eastAsia="zh-CN"/>
        </w:rPr>
        <w:t>中</w:t>
      </w:r>
      <w:r w:rsidR="00D7248A">
        <w:rPr>
          <w:rFonts w:hint="eastAsia"/>
          <w:lang w:eastAsia="zh-CN"/>
        </w:rPr>
        <w:t>获得</w:t>
      </w:r>
      <w:r w:rsidRPr="00D7248A">
        <w:rPr>
          <w:rFonts w:hint="eastAsia"/>
          <w:lang w:eastAsia="zh-CN"/>
        </w:rPr>
        <w:t>批准</w:t>
      </w:r>
      <w:r w:rsidR="00FB26E4" w:rsidRPr="00D7248A">
        <w:rPr>
          <w:rFonts w:hint="eastAsia"/>
          <w:lang w:eastAsia="zh-CN"/>
        </w:rPr>
        <w:t>的</w:t>
      </w:r>
      <w:r w:rsidRPr="00D7248A">
        <w:rPr>
          <w:rFonts w:hint="eastAsia"/>
          <w:lang w:eastAsia="zh-CN"/>
        </w:rPr>
        <w:t>案文</w:t>
      </w:r>
      <w:r w:rsidR="004500AF">
        <w:rPr>
          <w:rFonts w:hint="eastAsia"/>
          <w:lang w:eastAsia="zh-CN"/>
        </w:rPr>
        <w:t>进行</w:t>
      </w:r>
      <w:r w:rsidRPr="00D7248A">
        <w:rPr>
          <w:rFonts w:hint="eastAsia"/>
          <w:lang w:eastAsia="zh-CN"/>
        </w:rPr>
        <w:t>的分析</w:t>
      </w:r>
      <w:r w:rsidR="00FB26E4">
        <w:rPr>
          <w:rFonts w:hint="eastAsia"/>
          <w:lang w:eastAsia="zh-CN"/>
        </w:rPr>
        <w:t>，</w:t>
      </w:r>
      <w:r w:rsidR="00D7248A">
        <w:rPr>
          <w:rFonts w:hint="eastAsia"/>
          <w:lang w:eastAsia="zh-CN"/>
        </w:rPr>
        <w:t>该</w:t>
      </w:r>
      <w:r w:rsidR="00FB26E4">
        <w:rPr>
          <w:rFonts w:hint="eastAsia"/>
          <w:lang w:eastAsia="zh-CN"/>
        </w:rPr>
        <w:t>分析</w:t>
      </w:r>
      <w:r w:rsidR="00D7248A">
        <w:rPr>
          <w:rFonts w:hint="eastAsia"/>
          <w:lang w:eastAsia="zh-CN"/>
        </w:rPr>
        <w:t>综合了</w:t>
      </w:r>
      <w:r w:rsidR="00FB26E4" w:rsidRPr="00512910">
        <w:rPr>
          <w:rFonts w:hint="eastAsia"/>
          <w:lang w:eastAsia="zh-CN"/>
        </w:rPr>
        <w:t>每个周期</w:t>
      </w:r>
      <w:r w:rsidR="00FB26E4">
        <w:rPr>
          <w:rFonts w:hint="eastAsia"/>
          <w:lang w:eastAsia="zh-CN"/>
        </w:rPr>
        <w:t>最初</w:t>
      </w:r>
      <w:r w:rsidR="00FB26E4" w:rsidRPr="00512910">
        <w:rPr>
          <w:rFonts w:hint="eastAsia"/>
          <w:lang w:eastAsia="zh-CN"/>
        </w:rPr>
        <w:t>两年的</w:t>
      </w:r>
      <w:r w:rsidR="00153102">
        <w:rPr>
          <w:rFonts w:hint="eastAsia"/>
          <w:lang w:eastAsia="zh-CN"/>
        </w:rPr>
        <w:t>汇总</w:t>
      </w:r>
      <w:r w:rsidR="00FB26E4" w:rsidRPr="00512910">
        <w:rPr>
          <w:rFonts w:hint="eastAsia"/>
          <w:lang w:eastAsia="zh-CN"/>
        </w:rPr>
        <w:t>数据</w:t>
      </w:r>
      <w:r w:rsidR="00FB26E4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与文稿数量</w:t>
      </w:r>
      <w:r w:rsidR="004500AF">
        <w:rPr>
          <w:rFonts w:hint="eastAsia"/>
          <w:lang w:eastAsia="zh-CN"/>
        </w:rPr>
        <w:t>相比</w:t>
      </w:r>
      <w:r w:rsidR="00FB26E4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可以</w:t>
      </w:r>
      <w:r w:rsidR="00FB26E4">
        <w:rPr>
          <w:rFonts w:hint="eastAsia"/>
          <w:lang w:eastAsia="zh-CN"/>
        </w:rPr>
        <w:t>明显看出：</w:t>
      </w:r>
    </w:p>
    <w:p w14:paraId="1B216550" w14:textId="797E02A1" w:rsidR="004070B6" w:rsidRPr="004070B6" w:rsidRDefault="00BE7E9A" w:rsidP="00BE7E9A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7B4409">
        <w:rPr>
          <w:rFonts w:hint="eastAsia"/>
          <w:lang w:eastAsia="zh-CN"/>
        </w:rPr>
        <w:t>为</w:t>
      </w:r>
      <w:r w:rsidR="00512910" w:rsidRPr="00512910">
        <w:rPr>
          <w:rFonts w:hint="eastAsia"/>
          <w:lang w:eastAsia="zh-CN"/>
        </w:rPr>
        <w:t>产生</w:t>
      </w:r>
      <w:r w:rsidR="00FC75E8">
        <w:rPr>
          <w:rFonts w:hint="eastAsia"/>
          <w:lang w:eastAsia="zh-CN"/>
        </w:rPr>
        <w:t>数量</w:t>
      </w:r>
      <w:r w:rsidR="00512910" w:rsidRPr="00512910">
        <w:rPr>
          <w:rFonts w:hint="eastAsia"/>
          <w:lang w:eastAsia="zh-CN"/>
        </w:rPr>
        <w:t>相对有限的最终交付成果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需要</w:t>
      </w:r>
      <w:r w:rsidR="00153102" w:rsidRPr="00153102">
        <w:rPr>
          <w:rFonts w:hint="eastAsia"/>
          <w:lang w:eastAsia="zh-CN"/>
        </w:rPr>
        <w:t>数量极其庞大的</w:t>
      </w:r>
      <w:r w:rsidR="00512910" w:rsidRPr="00512910">
        <w:rPr>
          <w:rFonts w:hint="eastAsia"/>
          <w:lang w:eastAsia="zh-CN"/>
        </w:rPr>
        <w:t>输入文件</w:t>
      </w:r>
      <w:r w:rsidR="00FC75E8"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例如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如图</w:t>
      </w:r>
      <w:r w:rsidR="00FC75E8" w:rsidRPr="004070B6">
        <w:rPr>
          <w:lang w:eastAsia="zh-CN"/>
        </w:rPr>
        <w:t>2</w:t>
      </w:r>
      <w:r w:rsidR="00512910" w:rsidRPr="00512910">
        <w:rPr>
          <w:rFonts w:hint="eastAsia"/>
          <w:lang w:eastAsia="zh-CN"/>
        </w:rPr>
        <w:t>所示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第</w:t>
      </w:r>
      <w:r w:rsidR="00FC75E8" w:rsidRPr="004070B6">
        <w:rPr>
          <w:lang w:eastAsia="zh-CN"/>
        </w:rPr>
        <w:t>5</w:t>
      </w:r>
      <w:r w:rsidR="00512910" w:rsidRPr="00512910">
        <w:rPr>
          <w:rFonts w:hint="eastAsia"/>
          <w:lang w:eastAsia="zh-CN"/>
        </w:rPr>
        <w:t>研究组在一个研究期内收到数千份文稿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而</w:t>
      </w:r>
      <w:r w:rsidR="004500AF">
        <w:rPr>
          <w:rFonts w:hint="eastAsia"/>
          <w:lang w:eastAsia="zh-CN"/>
        </w:rPr>
        <w:t>最终</w:t>
      </w:r>
      <w:r w:rsidR="00512910" w:rsidRPr="00512910">
        <w:rPr>
          <w:rFonts w:hint="eastAsia"/>
          <w:lang w:eastAsia="zh-CN"/>
        </w:rPr>
        <w:t>批准的案文数量</w:t>
      </w:r>
      <w:r w:rsidR="004500AF">
        <w:rPr>
          <w:rFonts w:hint="eastAsia"/>
          <w:lang w:eastAsia="zh-CN"/>
        </w:rPr>
        <w:t>却</w:t>
      </w:r>
      <w:r w:rsidR="00512910" w:rsidRPr="00512910">
        <w:rPr>
          <w:rFonts w:hint="eastAsia"/>
          <w:lang w:eastAsia="zh-CN"/>
        </w:rPr>
        <w:t>相对有限</w:t>
      </w:r>
      <w:r w:rsidR="00FC75E8">
        <w:rPr>
          <w:rFonts w:hint="eastAsia"/>
          <w:lang w:eastAsia="zh-CN"/>
        </w:rPr>
        <w:t>，</w:t>
      </w:r>
      <w:r w:rsidR="00512910" w:rsidRPr="00B725E3">
        <w:rPr>
          <w:rFonts w:hint="eastAsia"/>
          <w:lang w:eastAsia="zh-CN"/>
        </w:rPr>
        <w:t>通常只有几百份</w:t>
      </w:r>
      <w:r w:rsidR="00153102" w:rsidRPr="00B725E3">
        <w:rPr>
          <w:rFonts w:hint="eastAsia"/>
          <w:lang w:eastAsia="zh-CN"/>
        </w:rPr>
        <w:t>左右</w:t>
      </w:r>
      <w:r w:rsidR="00FC75E8" w:rsidRPr="00B725E3">
        <w:rPr>
          <w:rFonts w:hint="eastAsia"/>
          <w:lang w:eastAsia="zh-CN"/>
        </w:rPr>
        <w:t>。</w:t>
      </w:r>
      <w:r w:rsidR="004070B6" w:rsidRPr="004070B6">
        <w:rPr>
          <w:lang w:eastAsia="zh-CN"/>
        </w:rPr>
        <w:t xml:space="preserve"> </w:t>
      </w:r>
    </w:p>
    <w:p w14:paraId="6B385D0A" w14:textId="200D0397" w:rsidR="004070B6" w:rsidRPr="00096BC2" w:rsidRDefault="00BE7E9A" w:rsidP="00BE7E9A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分析表明</w:t>
      </w:r>
      <w:r w:rsidR="00FC75E8">
        <w:rPr>
          <w:rFonts w:hint="eastAsia"/>
          <w:lang w:eastAsia="zh-CN"/>
        </w:rPr>
        <w:t>，</w:t>
      </w:r>
      <w:r w:rsidR="00153102">
        <w:rPr>
          <w:rFonts w:hint="eastAsia"/>
          <w:lang w:eastAsia="zh-CN"/>
        </w:rPr>
        <w:t>尽管</w:t>
      </w:r>
      <w:r w:rsidR="004500AF" w:rsidRPr="00512910">
        <w:rPr>
          <w:rFonts w:hint="eastAsia"/>
          <w:lang w:eastAsia="zh-CN"/>
        </w:rPr>
        <w:t>在连续</w:t>
      </w:r>
      <w:r w:rsidR="00A83D12">
        <w:rPr>
          <w:rFonts w:hint="eastAsia"/>
          <w:lang w:eastAsia="zh-CN"/>
        </w:rPr>
        <w:t>数</w:t>
      </w:r>
      <w:r w:rsidR="004500AF">
        <w:rPr>
          <w:rFonts w:hint="eastAsia"/>
          <w:lang w:eastAsia="zh-CN"/>
        </w:rPr>
        <w:t>个</w:t>
      </w:r>
      <w:r w:rsidR="004500AF" w:rsidRPr="004070B6">
        <w:rPr>
          <w:lang w:eastAsia="zh-CN"/>
        </w:rPr>
        <w:t>WRC</w:t>
      </w:r>
      <w:r w:rsidR="004500AF" w:rsidRPr="00512910">
        <w:rPr>
          <w:rFonts w:hint="eastAsia"/>
          <w:lang w:eastAsia="zh-CN"/>
        </w:rPr>
        <w:t>研究</w:t>
      </w:r>
      <w:r w:rsidR="004500AF">
        <w:rPr>
          <w:rFonts w:hint="eastAsia"/>
          <w:lang w:eastAsia="zh-CN"/>
        </w:rPr>
        <w:t>周</w:t>
      </w:r>
      <w:r w:rsidR="004500AF" w:rsidRPr="00512910">
        <w:rPr>
          <w:rFonts w:hint="eastAsia"/>
          <w:lang w:eastAsia="zh-CN"/>
        </w:rPr>
        <w:t>期</w:t>
      </w:r>
      <w:r w:rsidR="004500AF">
        <w:rPr>
          <w:rFonts w:hint="eastAsia"/>
          <w:lang w:eastAsia="zh-CN"/>
        </w:rPr>
        <w:t>中，</w:t>
      </w:r>
      <w:r w:rsidR="00512910" w:rsidRPr="00512910">
        <w:rPr>
          <w:rFonts w:hint="eastAsia"/>
          <w:lang w:eastAsia="zh-CN"/>
        </w:rPr>
        <w:t>输入文稿的数量</w:t>
      </w:r>
      <w:r w:rsidR="004500AF">
        <w:rPr>
          <w:rFonts w:hint="eastAsia"/>
          <w:lang w:eastAsia="zh-CN"/>
        </w:rPr>
        <w:t>显著</w:t>
      </w:r>
      <w:r w:rsidR="00512910" w:rsidRPr="00512910">
        <w:rPr>
          <w:rFonts w:hint="eastAsia"/>
          <w:lang w:eastAsia="zh-CN"/>
        </w:rPr>
        <w:t>增加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但</w:t>
      </w:r>
      <w:r w:rsidR="004500AF">
        <w:rPr>
          <w:rFonts w:hint="eastAsia"/>
          <w:lang w:eastAsia="zh-CN"/>
        </w:rPr>
        <w:t>最终</w:t>
      </w:r>
      <w:r w:rsidR="00512910" w:rsidRPr="00512910">
        <w:rPr>
          <w:rFonts w:hint="eastAsia"/>
          <w:lang w:eastAsia="zh-CN"/>
        </w:rPr>
        <w:t>批准的输出</w:t>
      </w:r>
      <w:r w:rsidR="004500AF">
        <w:rPr>
          <w:rFonts w:hint="eastAsia"/>
          <w:lang w:eastAsia="zh-CN"/>
        </w:rPr>
        <w:t>成果</w:t>
      </w:r>
      <w:r w:rsidR="00512910" w:rsidRPr="00512910">
        <w:rPr>
          <w:rFonts w:hint="eastAsia"/>
          <w:lang w:eastAsia="zh-CN"/>
        </w:rPr>
        <w:t>数量</w:t>
      </w:r>
      <w:r w:rsidR="00394604">
        <w:rPr>
          <w:rFonts w:hint="eastAsia"/>
          <w:lang w:eastAsia="zh-CN"/>
        </w:rPr>
        <w:t>仍然</w:t>
      </w:r>
      <w:r w:rsidR="00512910" w:rsidRPr="00512910">
        <w:rPr>
          <w:rFonts w:hint="eastAsia"/>
          <w:lang w:eastAsia="zh-CN"/>
        </w:rPr>
        <w:t>相对有限</w:t>
      </w:r>
      <w:r w:rsidR="00FC75E8"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这表明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文稿</w:t>
      </w:r>
      <w:r w:rsidR="00394604">
        <w:rPr>
          <w:rFonts w:hint="eastAsia"/>
          <w:lang w:eastAsia="zh-CN"/>
        </w:rPr>
        <w:t>数量</w:t>
      </w:r>
      <w:r w:rsidR="00512910" w:rsidRPr="00512910">
        <w:rPr>
          <w:rFonts w:hint="eastAsia"/>
          <w:lang w:eastAsia="zh-CN"/>
        </w:rPr>
        <w:t>与</w:t>
      </w:r>
      <w:r w:rsidR="00394604">
        <w:rPr>
          <w:rFonts w:hint="eastAsia"/>
          <w:lang w:eastAsia="zh-CN"/>
        </w:rPr>
        <w:t>最终</w:t>
      </w:r>
      <w:r w:rsidR="00512910" w:rsidRPr="00512910">
        <w:rPr>
          <w:rFonts w:hint="eastAsia"/>
          <w:lang w:eastAsia="zh-CN"/>
        </w:rPr>
        <w:t>批准</w:t>
      </w:r>
      <w:r w:rsidR="004500AF">
        <w:rPr>
          <w:rFonts w:hint="eastAsia"/>
          <w:lang w:eastAsia="zh-CN"/>
        </w:rPr>
        <w:t>的</w:t>
      </w:r>
      <w:r w:rsidR="00512910" w:rsidRPr="00512910">
        <w:rPr>
          <w:rFonts w:hint="eastAsia"/>
          <w:lang w:eastAsia="zh-CN"/>
        </w:rPr>
        <w:t>案文</w:t>
      </w:r>
      <w:r w:rsidR="00394604">
        <w:rPr>
          <w:rFonts w:hint="eastAsia"/>
          <w:lang w:eastAsia="zh-CN"/>
        </w:rPr>
        <w:t>数量</w:t>
      </w:r>
      <w:r w:rsidR="00512910" w:rsidRPr="00512910">
        <w:rPr>
          <w:rFonts w:hint="eastAsia"/>
          <w:lang w:eastAsia="zh-CN"/>
        </w:rPr>
        <w:t>之间的</w:t>
      </w:r>
      <w:r w:rsidR="00153102">
        <w:rPr>
          <w:rFonts w:hint="eastAsia"/>
          <w:lang w:eastAsia="zh-CN"/>
        </w:rPr>
        <w:t>比例</w:t>
      </w:r>
      <w:r w:rsidR="00FC75E8">
        <w:rPr>
          <w:rFonts w:hint="eastAsia"/>
          <w:lang w:eastAsia="zh-CN"/>
        </w:rPr>
        <w:t>正在</w:t>
      </w:r>
      <w:r w:rsidR="00512910" w:rsidRPr="00512910">
        <w:rPr>
          <w:rFonts w:hint="eastAsia"/>
          <w:lang w:eastAsia="zh-CN"/>
        </w:rPr>
        <w:t>下降</w:t>
      </w:r>
      <w:r w:rsidR="00FC75E8"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例如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在</w:t>
      </w:r>
      <w:r w:rsidR="00153102">
        <w:rPr>
          <w:rFonts w:hint="eastAsia"/>
          <w:lang w:eastAsia="zh-CN"/>
        </w:rPr>
        <w:t>第</w:t>
      </w:r>
      <w:r w:rsidR="00FC75E8" w:rsidRPr="004070B6">
        <w:rPr>
          <w:lang w:eastAsia="zh-CN"/>
        </w:rPr>
        <w:t>4</w:t>
      </w:r>
      <w:r w:rsidR="00153102" w:rsidRPr="00512910">
        <w:rPr>
          <w:rFonts w:hint="eastAsia"/>
          <w:lang w:eastAsia="zh-CN"/>
        </w:rPr>
        <w:t>研究组</w:t>
      </w:r>
      <w:r w:rsidR="00512910" w:rsidRPr="00512910">
        <w:rPr>
          <w:rFonts w:hint="eastAsia"/>
          <w:lang w:eastAsia="zh-CN"/>
        </w:rPr>
        <w:t>和</w:t>
      </w:r>
      <w:r w:rsidR="00153102">
        <w:rPr>
          <w:rFonts w:hint="eastAsia"/>
          <w:lang w:eastAsia="zh-CN"/>
        </w:rPr>
        <w:t>第</w:t>
      </w:r>
      <w:r w:rsidR="00FC75E8" w:rsidRPr="004070B6">
        <w:rPr>
          <w:lang w:eastAsia="zh-CN"/>
        </w:rPr>
        <w:t>5</w:t>
      </w:r>
      <w:r w:rsidR="00153102" w:rsidRPr="00512910">
        <w:rPr>
          <w:rFonts w:hint="eastAsia"/>
          <w:lang w:eastAsia="zh-CN"/>
        </w:rPr>
        <w:t>研究组</w:t>
      </w:r>
      <w:r w:rsidR="00512910" w:rsidRPr="00512910">
        <w:rPr>
          <w:rFonts w:hint="eastAsia"/>
          <w:lang w:eastAsia="zh-CN"/>
        </w:rPr>
        <w:t>等研究组</w:t>
      </w:r>
      <w:r w:rsidR="00394604">
        <w:rPr>
          <w:rFonts w:hint="eastAsia"/>
          <w:lang w:eastAsia="zh-CN"/>
        </w:rPr>
        <w:t>中</w:t>
      </w:r>
      <w:r w:rsidR="00FC75E8" w:rsidRPr="004500AF">
        <w:rPr>
          <w:rFonts w:hint="eastAsia"/>
          <w:lang w:eastAsia="zh-CN"/>
        </w:rPr>
        <w:t>，</w:t>
      </w:r>
      <w:r w:rsidR="00394604">
        <w:rPr>
          <w:rFonts w:hint="eastAsia"/>
          <w:lang w:eastAsia="zh-CN"/>
        </w:rPr>
        <w:t>提交的</w:t>
      </w:r>
      <w:r w:rsidR="00512910" w:rsidRPr="00512910">
        <w:rPr>
          <w:rFonts w:hint="eastAsia"/>
          <w:lang w:eastAsia="zh-CN"/>
        </w:rPr>
        <w:t>文稿</w:t>
      </w:r>
      <w:r w:rsidR="00394604">
        <w:rPr>
          <w:rFonts w:hint="eastAsia"/>
          <w:lang w:eastAsia="zh-CN"/>
        </w:rPr>
        <w:t>数量庞大</w:t>
      </w:r>
      <w:r w:rsidR="00FC75E8">
        <w:rPr>
          <w:rFonts w:hint="eastAsia"/>
          <w:lang w:eastAsia="zh-CN"/>
        </w:rPr>
        <w:t>；</w:t>
      </w:r>
      <w:r w:rsidR="00512910" w:rsidRPr="00512910">
        <w:rPr>
          <w:rFonts w:hint="eastAsia"/>
          <w:lang w:eastAsia="zh-CN"/>
        </w:rPr>
        <w:t>然而</w:t>
      </w:r>
      <w:r w:rsidR="00FC75E8">
        <w:rPr>
          <w:rFonts w:hint="eastAsia"/>
          <w:lang w:eastAsia="zh-CN"/>
        </w:rPr>
        <w:t>，</w:t>
      </w:r>
      <w:r w:rsidR="00394604">
        <w:rPr>
          <w:rFonts w:hint="eastAsia"/>
          <w:lang w:eastAsia="zh-CN"/>
        </w:rPr>
        <w:t>最终</w:t>
      </w:r>
      <w:r w:rsidR="00FC75E8">
        <w:rPr>
          <w:rFonts w:hint="eastAsia"/>
          <w:lang w:eastAsia="zh-CN"/>
        </w:rPr>
        <w:t>批准</w:t>
      </w:r>
      <w:r w:rsidR="00512910" w:rsidRPr="00512910">
        <w:rPr>
          <w:rFonts w:hint="eastAsia"/>
          <w:lang w:eastAsia="zh-CN"/>
        </w:rPr>
        <w:t>的输出成果</w:t>
      </w:r>
      <w:r w:rsidR="00394604">
        <w:rPr>
          <w:rFonts w:hint="eastAsia"/>
          <w:lang w:eastAsia="zh-CN"/>
        </w:rPr>
        <w:t>并</w:t>
      </w:r>
      <w:r w:rsidR="00153102">
        <w:rPr>
          <w:rFonts w:hint="eastAsia"/>
          <w:lang w:eastAsia="zh-CN"/>
        </w:rPr>
        <w:t>未</w:t>
      </w:r>
      <w:r w:rsidR="00394604">
        <w:rPr>
          <w:rFonts w:hint="eastAsia"/>
          <w:lang w:eastAsia="zh-CN"/>
        </w:rPr>
        <w:t>相应</w:t>
      </w:r>
      <w:r w:rsidR="00512910" w:rsidRPr="00512910">
        <w:rPr>
          <w:rFonts w:hint="eastAsia"/>
          <w:lang w:eastAsia="zh-CN"/>
        </w:rPr>
        <w:t>增加</w:t>
      </w:r>
      <w:r w:rsidR="00FC75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这既反映了研究</w:t>
      </w:r>
      <w:r w:rsidR="00FC75E8">
        <w:rPr>
          <w:rFonts w:hint="eastAsia"/>
          <w:lang w:eastAsia="zh-CN"/>
        </w:rPr>
        <w:t>的</w:t>
      </w:r>
      <w:r w:rsidR="004500AF">
        <w:rPr>
          <w:rFonts w:hint="eastAsia"/>
          <w:lang w:eastAsia="zh-CN"/>
        </w:rPr>
        <w:t>日益</w:t>
      </w:r>
      <w:r w:rsidR="00512910" w:rsidRPr="00512910">
        <w:rPr>
          <w:rFonts w:hint="eastAsia"/>
          <w:lang w:eastAsia="zh-CN"/>
        </w:rPr>
        <w:t>复杂</w:t>
      </w:r>
      <w:r w:rsidR="00FC75E8">
        <w:rPr>
          <w:rFonts w:hint="eastAsia"/>
          <w:lang w:eastAsia="zh-CN"/>
        </w:rPr>
        <w:t>性，</w:t>
      </w:r>
      <w:r w:rsidR="00512910" w:rsidRPr="00512910">
        <w:rPr>
          <w:rFonts w:hint="eastAsia"/>
          <w:lang w:eastAsia="zh-CN"/>
        </w:rPr>
        <w:t>也</w:t>
      </w:r>
      <w:r w:rsidR="004500AF">
        <w:rPr>
          <w:rFonts w:hint="eastAsia"/>
          <w:lang w:eastAsia="zh-CN"/>
        </w:rPr>
        <w:t>体现出</w:t>
      </w:r>
      <w:r w:rsidR="00FC75E8">
        <w:rPr>
          <w:rFonts w:hint="eastAsia"/>
          <w:lang w:eastAsia="zh-CN"/>
        </w:rPr>
        <w:t>各</w:t>
      </w:r>
      <w:r w:rsidR="00512910" w:rsidRPr="00512910">
        <w:rPr>
          <w:rFonts w:hint="eastAsia"/>
          <w:lang w:eastAsia="zh-CN"/>
        </w:rPr>
        <w:t>主管部门之间需要</w:t>
      </w:r>
      <w:r w:rsidR="004500AF">
        <w:rPr>
          <w:rFonts w:hint="eastAsia"/>
          <w:lang w:eastAsia="zh-CN"/>
        </w:rPr>
        <w:t>进行</w:t>
      </w:r>
      <w:r w:rsidR="00512910" w:rsidRPr="00512910">
        <w:rPr>
          <w:rFonts w:hint="eastAsia"/>
          <w:lang w:eastAsia="zh-CN"/>
        </w:rPr>
        <w:t>广泛</w:t>
      </w:r>
      <w:r w:rsidR="00394604">
        <w:rPr>
          <w:rFonts w:hint="eastAsia"/>
          <w:lang w:eastAsia="zh-CN"/>
        </w:rPr>
        <w:t>的</w:t>
      </w:r>
      <w:r w:rsidR="00512910" w:rsidRPr="00512910">
        <w:rPr>
          <w:rFonts w:hint="eastAsia"/>
          <w:lang w:eastAsia="zh-CN"/>
        </w:rPr>
        <w:t>协调</w:t>
      </w:r>
      <w:r w:rsidR="00FC75E8" w:rsidRPr="00096BC2">
        <w:rPr>
          <w:rFonts w:hint="eastAsia"/>
          <w:lang w:eastAsia="zh-CN"/>
        </w:rPr>
        <w:t>。</w:t>
      </w:r>
    </w:p>
    <w:p w14:paraId="6C564490" w14:textId="18A17D18" w:rsidR="004070B6" w:rsidRPr="004070B6" w:rsidRDefault="00512910" w:rsidP="00D963D6">
      <w:pPr>
        <w:ind w:firstLineChars="200" w:firstLine="480"/>
        <w:rPr>
          <w:lang w:eastAsia="zh-CN"/>
        </w:rPr>
      </w:pPr>
      <w:r w:rsidRPr="0036233F">
        <w:rPr>
          <w:rFonts w:hint="eastAsia"/>
          <w:lang w:eastAsia="zh-CN"/>
        </w:rPr>
        <w:t>这一趋势表明</w:t>
      </w:r>
      <w:r w:rsidR="00AE1784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研究</w:t>
      </w:r>
      <w:r w:rsidR="004D497C">
        <w:rPr>
          <w:rFonts w:hint="eastAsia"/>
          <w:lang w:eastAsia="zh-CN"/>
        </w:rPr>
        <w:t>工作</w:t>
      </w:r>
      <w:r w:rsidR="0036233F" w:rsidRPr="0036233F">
        <w:rPr>
          <w:rFonts w:hint="eastAsia"/>
          <w:lang w:eastAsia="zh-CN"/>
        </w:rPr>
        <w:t>对资源的消耗变得更大</w:t>
      </w:r>
      <w:r w:rsidR="00AE1784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需要</w:t>
      </w:r>
      <w:r w:rsidR="004D497C">
        <w:rPr>
          <w:rFonts w:hint="eastAsia"/>
          <w:lang w:eastAsia="zh-CN"/>
        </w:rPr>
        <w:t>各</w:t>
      </w:r>
      <w:r w:rsidRPr="00512910">
        <w:rPr>
          <w:rFonts w:hint="eastAsia"/>
          <w:lang w:eastAsia="zh-CN"/>
        </w:rPr>
        <w:t>主管部门付出更</w:t>
      </w:r>
      <w:r w:rsidR="004D497C">
        <w:rPr>
          <w:rFonts w:hint="eastAsia"/>
          <w:lang w:eastAsia="zh-CN"/>
        </w:rPr>
        <w:t>多</w:t>
      </w:r>
      <w:r w:rsidRPr="00512910">
        <w:rPr>
          <w:rFonts w:hint="eastAsia"/>
          <w:lang w:eastAsia="zh-CN"/>
        </w:rPr>
        <w:t>努力</w:t>
      </w:r>
      <w:r w:rsidR="004D497C">
        <w:rPr>
          <w:rFonts w:hint="eastAsia"/>
          <w:lang w:eastAsia="zh-CN"/>
        </w:rPr>
        <w:t>来</w:t>
      </w:r>
      <w:r w:rsidR="00AE1784">
        <w:rPr>
          <w:rFonts w:hint="eastAsia"/>
          <w:lang w:eastAsia="zh-CN"/>
        </w:rPr>
        <w:t>实现协商一致</w:t>
      </w:r>
      <w:r w:rsidRPr="00512910">
        <w:rPr>
          <w:rFonts w:hint="eastAsia"/>
          <w:lang w:eastAsia="zh-CN"/>
        </w:rPr>
        <w:t>并最终确定</w:t>
      </w:r>
      <w:r w:rsidR="00AE1784">
        <w:rPr>
          <w:rFonts w:hint="eastAsia"/>
          <w:lang w:eastAsia="zh-CN"/>
        </w:rPr>
        <w:t>可交付成果。</w:t>
      </w:r>
      <w:r w:rsidRPr="00512910">
        <w:rPr>
          <w:rFonts w:hint="eastAsia"/>
          <w:lang w:eastAsia="zh-CN"/>
        </w:rPr>
        <w:t>这进一步</w:t>
      </w:r>
      <w:r w:rsidR="004D497C">
        <w:rPr>
          <w:rFonts w:hint="eastAsia"/>
          <w:lang w:eastAsia="zh-CN"/>
        </w:rPr>
        <w:t>说明部分</w:t>
      </w:r>
      <w:r w:rsidRPr="00512910">
        <w:rPr>
          <w:rFonts w:hint="eastAsia"/>
          <w:lang w:eastAsia="zh-CN"/>
        </w:rPr>
        <w:t>研究组的工作量</w:t>
      </w:r>
      <w:r w:rsidR="004D497C">
        <w:rPr>
          <w:rFonts w:hint="eastAsia"/>
          <w:lang w:eastAsia="zh-CN"/>
        </w:rPr>
        <w:t>日益</w:t>
      </w:r>
      <w:r w:rsidR="00AE1784">
        <w:rPr>
          <w:rFonts w:hint="eastAsia"/>
          <w:lang w:eastAsia="zh-CN"/>
        </w:rPr>
        <w:t>增加，同时也印证了有必要</w:t>
      </w:r>
      <w:r w:rsidRPr="00512910">
        <w:rPr>
          <w:rFonts w:hint="eastAsia"/>
          <w:lang w:eastAsia="zh-CN"/>
        </w:rPr>
        <w:t>开展更广泛</w:t>
      </w:r>
      <w:r w:rsidR="004D497C">
        <w:rPr>
          <w:rFonts w:hint="eastAsia"/>
          <w:lang w:eastAsia="zh-CN"/>
        </w:rPr>
        <w:t>且</w:t>
      </w:r>
      <w:r w:rsidRPr="00512910">
        <w:rPr>
          <w:rFonts w:hint="eastAsia"/>
          <w:lang w:eastAsia="zh-CN"/>
        </w:rPr>
        <w:t>基于证据的审查</w:t>
      </w:r>
      <w:r w:rsidR="00B90298">
        <w:rPr>
          <w:rFonts w:hint="eastAsia"/>
          <w:lang w:eastAsia="zh-CN"/>
        </w:rPr>
        <w:t>，以确定</w:t>
      </w:r>
      <w:r w:rsidRPr="00512910">
        <w:rPr>
          <w:rFonts w:hint="eastAsia"/>
          <w:lang w:eastAsia="zh-CN"/>
        </w:rPr>
        <w:t>是否需要</w:t>
      </w:r>
      <w:r w:rsidR="004D497C">
        <w:rPr>
          <w:rFonts w:hint="eastAsia"/>
          <w:lang w:eastAsia="zh-CN"/>
        </w:rPr>
        <w:t>在</w:t>
      </w:r>
      <w:r w:rsidRPr="00512910">
        <w:rPr>
          <w:rFonts w:hint="eastAsia"/>
          <w:lang w:eastAsia="zh-CN"/>
        </w:rPr>
        <w:t>结构</w:t>
      </w:r>
      <w:r w:rsidR="00B90298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职责</w:t>
      </w:r>
      <w:r w:rsidR="00B90298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协调机制</w:t>
      </w:r>
      <w:r w:rsidR="00B90298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工作方法或议题分配</w:t>
      </w:r>
      <w:r w:rsidR="00B90298">
        <w:rPr>
          <w:rFonts w:hint="eastAsia"/>
          <w:lang w:eastAsia="zh-CN"/>
        </w:rPr>
        <w:t>方面</w:t>
      </w:r>
      <w:r w:rsidR="004D497C">
        <w:rPr>
          <w:rFonts w:hint="eastAsia"/>
          <w:lang w:eastAsia="zh-CN"/>
        </w:rPr>
        <w:t>进行</w:t>
      </w:r>
      <w:r w:rsidR="00B90298">
        <w:rPr>
          <w:rFonts w:hint="eastAsia"/>
          <w:lang w:eastAsia="zh-CN"/>
        </w:rPr>
        <w:t>改进，从而</w:t>
      </w:r>
      <w:r w:rsidRPr="00512910">
        <w:rPr>
          <w:rFonts w:hint="eastAsia"/>
          <w:lang w:eastAsia="zh-CN"/>
        </w:rPr>
        <w:t>使</w:t>
      </w:r>
      <w:r w:rsidR="00B90298" w:rsidRPr="004070B6">
        <w:rPr>
          <w:lang w:eastAsia="zh-CN"/>
        </w:rPr>
        <w:t>ITU-R</w:t>
      </w:r>
      <w:r w:rsidR="004D497C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框架与不断</w:t>
      </w:r>
      <w:r w:rsidR="00B90298">
        <w:rPr>
          <w:rFonts w:hint="eastAsia"/>
          <w:lang w:eastAsia="zh-CN"/>
        </w:rPr>
        <w:t>变化</w:t>
      </w:r>
      <w:r w:rsidRPr="00512910">
        <w:rPr>
          <w:rFonts w:hint="eastAsia"/>
          <w:lang w:eastAsia="zh-CN"/>
        </w:rPr>
        <w:t>的无线电通信环境</w:t>
      </w:r>
      <w:r w:rsidR="004D497C">
        <w:rPr>
          <w:rFonts w:hint="eastAsia"/>
          <w:lang w:eastAsia="zh-CN"/>
        </w:rPr>
        <w:t>保持</w:t>
      </w:r>
      <w:r w:rsidRPr="00512910">
        <w:rPr>
          <w:rFonts w:hint="eastAsia"/>
          <w:lang w:eastAsia="zh-CN"/>
        </w:rPr>
        <w:t>良好</w:t>
      </w:r>
      <w:r w:rsidR="004D497C">
        <w:rPr>
          <w:rFonts w:hint="eastAsia"/>
          <w:lang w:eastAsia="zh-CN"/>
        </w:rPr>
        <w:t>契合</w:t>
      </w:r>
      <w:r w:rsidR="00B90298" w:rsidRPr="00091931">
        <w:rPr>
          <w:rFonts w:hint="eastAsia"/>
          <w:lang w:eastAsia="zh-CN"/>
        </w:rPr>
        <w:t>。</w:t>
      </w:r>
    </w:p>
    <w:p w14:paraId="449132EF" w14:textId="0ED0E555" w:rsidR="004070B6" w:rsidRPr="004070B6" w:rsidRDefault="00C45A85" w:rsidP="00D963D6">
      <w:pPr>
        <w:ind w:firstLineChars="200" w:firstLine="480"/>
        <w:rPr>
          <w:lang w:eastAsia="zh-CN"/>
        </w:rPr>
      </w:pPr>
      <w:r w:rsidRPr="004070B6">
        <w:rPr>
          <w:lang w:eastAsia="zh-CN"/>
        </w:rPr>
        <w:t>ITU-R</w:t>
      </w:r>
      <w:r w:rsidR="00512910" w:rsidRPr="00512910">
        <w:rPr>
          <w:rFonts w:hint="eastAsia"/>
          <w:lang w:eastAsia="zh-CN"/>
        </w:rPr>
        <w:t>研究</w:t>
      </w:r>
      <w:r w:rsidR="007C4E7C">
        <w:rPr>
          <w:rFonts w:hint="eastAsia"/>
          <w:lang w:eastAsia="zh-CN"/>
        </w:rPr>
        <w:t>工作</w:t>
      </w:r>
      <w:r w:rsidR="00512910" w:rsidRPr="00512910">
        <w:rPr>
          <w:rFonts w:hint="eastAsia"/>
          <w:lang w:eastAsia="zh-CN"/>
        </w:rPr>
        <w:t>中工作量和复杂性的另一</w:t>
      </w:r>
      <w:r>
        <w:rPr>
          <w:rFonts w:hint="eastAsia"/>
          <w:lang w:eastAsia="zh-CN"/>
        </w:rPr>
        <w:t>个</w:t>
      </w:r>
      <w:r w:rsidR="00512910" w:rsidRPr="00512910">
        <w:rPr>
          <w:rFonts w:hint="eastAsia"/>
          <w:lang w:eastAsia="zh-CN"/>
        </w:rPr>
        <w:t>重要指标是</w:t>
      </w:r>
      <w:r w:rsidR="007C4E7C">
        <w:rPr>
          <w:rFonts w:hint="eastAsia"/>
          <w:lang w:eastAsia="zh-CN"/>
        </w:rPr>
        <w:t>对</w:t>
      </w:r>
      <w:r w:rsidR="00512910" w:rsidRPr="00512910">
        <w:rPr>
          <w:rFonts w:hint="eastAsia"/>
          <w:lang w:eastAsia="zh-CN"/>
        </w:rPr>
        <w:t>研究组</w:t>
      </w:r>
      <w:r w:rsidR="005A27EA">
        <w:rPr>
          <w:rFonts w:hint="eastAsia"/>
          <w:lang w:eastAsia="zh-CN"/>
        </w:rPr>
        <w:t>及</w:t>
      </w:r>
      <w:r w:rsidR="00512910" w:rsidRPr="00512910">
        <w:rPr>
          <w:rFonts w:hint="eastAsia"/>
          <w:lang w:eastAsia="zh-CN"/>
        </w:rPr>
        <w:t>工作组会议的参与程度</w:t>
      </w:r>
      <w:r w:rsidRPr="007C4E7C">
        <w:rPr>
          <w:rFonts w:hint="eastAsia"/>
          <w:lang w:eastAsia="zh-CN"/>
        </w:rPr>
        <w:t>。</w:t>
      </w:r>
    </w:p>
    <w:p w14:paraId="115BE6F3" w14:textId="6D69A018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根据主任</w:t>
      </w:r>
      <w:r w:rsidR="001F3FDD">
        <w:rPr>
          <w:rFonts w:hint="eastAsia"/>
          <w:lang w:eastAsia="zh-CN"/>
        </w:rPr>
        <w:t>关于</w:t>
      </w:r>
      <w:r w:rsidRPr="00512910">
        <w:rPr>
          <w:rFonts w:hint="eastAsia"/>
          <w:lang w:eastAsia="zh-CN"/>
        </w:rPr>
        <w:t>研究组活动</w:t>
      </w:r>
      <w:r w:rsidR="001F3FDD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报告</w:t>
      </w:r>
      <w:r w:rsidR="00C45A85">
        <w:rPr>
          <w:rFonts w:hint="eastAsia"/>
          <w:lang w:eastAsia="zh-CN"/>
        </w:rPr>
        <w:t>（见</w:t>
      </w:r>
      <w:hyperlink r:id="rId15" w:history="1">
        <w:r w:rsidR="00C45A85" w:rsidRPr="00C45A85">
          <w:rPr>
            <w:rStyle w:val="Hyperlink"/>
            <w:lang w:eastAsia="zh-CN"/>
          </w:rPr>
          <w:t>RAG/58-E</w:t>
        </w:r>
        <w:r w:rsidR="00C45A85">
          <w:rPr>
            <w:rStyle w:val="Hyperlink"/>
            <w:rFonts w:hint="eastAsia"/>
            <w:lang w:eastAsia="zh-CN"/>
          </w:rPr>
          <w:t>号文件</w:t>
        </w:r>
        <w:r w:rsidR="00C45A85" w:rsidRPr="00C45A85">
          <w:rPr>
            <w:rStyle w:val="Hyperlink"/>
            <w:rFonts w:hint="eastAsia"/>
            <w:lang w:eastAsia="zh-CN"/>
          </w:rPr>
          <w:t>补遗</w:t>
        </w:r>
        <w:r w:rsidR="00C45A85" w:rsidRPr="00C45A85">
          <w:rPr>
            <w:rStyle w:val="Hyperlink"/>
            <w:lang w:eastAsia="zh-CN"/>
          </w:rPr>
          <w:t>1</w:t>
        </w:r>
      </w:hyperlink>
      <w:r w:rsidR="00C45A85">
        <w:rPr>
          <w:rFonts w:hint="eastAsia"/>
          <w:lang w:eastAsia="zh-CN"/>
        </w:rPr>
        <w:t>），</w:t>
      </w:r>
      <w:r w:rsidRPr="00512910">
        <w:rPr>
          <w:rFonts w:hint="eastAsia"/>
          <w:lang w:eastAsia="zh-CN"/>
        </w:rPr>
        <w:t>近年来</w:t>
      </w:r>
      <w:r w:rsidR="00C45A85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会议的</w:t>
      </w:r>
      <w:r w:rsidR="005A27EA">
        <w:rPr>
          <w:rFonts w:hint="eastAsia"/>
          <w:lang w:eastAsia="zh-CN"/>
        </w:rPr>
        <w:t>参</w:t>
      </w:r>
      <w:r w:rsidRPr="00512910">
        <w:rPr>
          <w:rFonts w:hint="eastAsia"/>
          <w:lang w:eastAsia="zh-CN"/>
        </w:rPr>
        <w:t>会人数显著增加</w:t>
      </w:r>
      <w:r w:rsidR="00C45A85" w:rsidRPr="007C4E7C">
        <w:rPr>
          <w:rFonts w:hint="eastAsia"/>
          <w:lang w:eastAsia="zh-CN"/>
        </w:rPr>
        <w:t>。</w:t>
      </w:r>
      <w:r w:rsidR="004070B6" w:rsidRPr="004070B6">
        <w:rPr>
          <w:lang w:eastAsia="zh-CN"/>
        </w:rPr>
        <w:t xml:space="preserve"> </w:t>
      </w:r>
    </w:p>
    <w:p w14:paraId="0DB7AFE1" w14:textId="0B8612E7" w:rsidR="004070B6" w:rsidRPr="004070B6" w:rsidRDefault="00331841" w:rsidP="00A36331">
      <w:pPr>
        <w:pStyle w:val="FigureNo"/>
        <w:spacing w:before="120"/>
        <w:rPr>
          <w:sz w:val="24"/>
          <w:szCs w:val="24"/>
          <w:lang w:eastAsia="zh-CN"/>
        </w:rPr>
      </w:pPr>
      <w:r w:rsidRPr="00512910">
        <w:rPr>
          <w:rFonts w:hint="eastAsia"/>
          <w:sz w:val="24"/>
          <w:szCs w:val="24"/>
          <w:lang w:eastAsia="zh-CN"/>
        </w:rPr>
        <w:t>图</w:t>
      </w:r>
      <w:r w:rsidR="004070B6" w:rsidRPr="004070B6">
        <w:rPr>
          <w:sz w:val="24"/>
          <w:szCs w:val="24"/>
          <w:lang w:eastAsia="zh-CN"/>
        </w:rPr>
        <w:t>4</w:t>
      </w:r>
    </w:p>
    <w:p w14:paraId="5AE2F5AC" w14:textId="533DEBFD" w:rsidR="004070B6" w:rsidRPr="004070B6" w:rsidRDefault="00331841" w:rsidP="00A36331">
      <w:pPr>
        <w:pStyle w:val="Figuretitle"/>
        <w:spacing w:after="0"/>
        <w:rPr>
          <w:sz w:val="24"/>
          <w:szCs w:val="24"/>
          <w:lang w:eastAsia="zh-CN"/>
        </w:rPr>
      </w:pPr>
      <w:r w:rsidRPr="004070B6">
        <w:rPr>
          <w:sz w:val="24"/>
          <w:szCs w:val="24"/>
          <w:lang w:eastAsia="zh-CN"/>
        </w:rPr>
        <w:t>ITU-R</w:t>
      </w:r>
      <w:r w:rsidR="00512910" w:rsidRPr="00512910">
        <w:rPr>
          <w:rFonts w:hint="eastAsia"/>
          <w:sz w:val="24"/>
          <w:szCs w:val="24"/>
          <w:lang w:eastAsia="zh-CN"/>
        </w:rPr>
        <w:t>研究组</w:t>
      </w:r>
      <w:r w:rsidRPr="004070B6">
        <w:rPr>
          <w:sz w:val="24"/>
          <w:szCs w:val="24"/>
          <w:lang w:eastAsia="zh-CN"/>
        </w:rPr>
        <w:t>/</w:t>
      </w:r>
      <w:r w:rsidR="00512910" w:rsidRPr="00512910">
        <w:rPr>
          <w:rFonts w:hint="eastAsia"/>
          <w:sz w:val="24"/>
          <w:szCs w:val="24"/>
          <w:lang w:eastAsia="zh-CN"/>
        </w:rPr>
        <w:t>工作组</w:t>
      </w:r>
      <w:r w:rsidR="006B051F">
        <w:rPr>
          <w:rFonts w:hint="eastAsia"/>
          <w:sz w:val="24"/>
          <w:szCs w:val="24"/>
          <w:lang w:eastAsia="zh-CN"/>
        </w:rPr>
        <w:t>各次</w:t>
      </w:r>
      <w:r w:rsidR="00512910" w:rsidRPr="00512910">
        <w:rPr>
          <w:rFonts w:hint="eastAsia"/>
          <w:sz w:val="24"/>
          <w:szCs w:val="24"/>
          <w:lang w:eastAsia="zh-CN"/>
        </w:rPr>
        <w:t>会议现场参会</w:t>
      </w:r>
      <w:r w:rsidR="006B051F" w:rsidRPr="00512910">
        <w:rPr>
          <w:rFonts w:hint="eastAsia"/>
          <w:sz w:val="24"/>
          <w:szCs w:val="24"/>
          <w:lang w:eastAsia="zh-CN"/>
        </w:rPr>
        <w:t>总</w:t>
      </w:r>
      <w:r>
        <w:rPr>
          <w:rFonts w:hint="eastAsia"/>
          <w:sz w:val="24"/>
          <w:szCs w:val="24"/>
          <w:lang w:eastAsia="zh-CN"/>
        </w:rPr>
        <w:t>人数</w:t>
      </w:r>
      <w:r w:rsidR="004070B6" w:rsidRPr="004070B6">
        <w:rPr>
          <w:sz w:val="24"/>
          <w:szCs w:val="24"/>
          <w:lang w:eastAsia="zh-CN"/>
        </w:rPr>
        <w:t xml:space="preserve"> </w:t>
      </w:r>
    </w:p>
    <w:p w14:paraId="4FF7A465" w14:textId="753907D2" w:rsidR="004070B6" w:rsidRPr="004070B6" w:rsidRDefault="00512910" w:rsidP="00A36331">
      <w:pPr>
        <w:pStyle w:val="Figuretitle"/>
        <w:spacing w:after="0"/>
        <w:rPr>
          <w:rFonts w:ascii="Times New Roman" w:hAnsi="Times New Roman"/>
          <w:b w:val="0"/>
          <w:sz w:val="22"/>
          <w:szCs w:val="18"/>
          <w:lang w:eastAsia="zh-CN"/>
        </w:rPr>
      </w:pPr>
      <w:r>
        <w:rPr>
          <w:rFonts w:ascii="Times New Roman" w:hAnsi="Times New Roman" w:hint="eastAsia"/>
          <w:b w:val="0"/>
          <w:sz w:val="22"/>
          <w:szCs w:val="18"/>
          <w:lang w:eastAsia="zh-CN"/>
        </w:rPr>
        <w:t>（</w:t>
      </w:r>
      <w:r w:rsidRPr="00512910">
        <w:rPr>
          <w:rFonts w:ascii="Times New Roman" w:hAnsi="Times New Roman" w:hint="eastAsia"/>
          <w:b w:val="0"/>
          <w:sz w:val="22"/>
          <w:szCs w:val="18"/>
          <w:lang w:eastAsia="zh-CN"/>
        </w:rPr>
        <w:t>无线电通信局向</w:t>
      </w:r>
      <w:r w:rsidR="00331841" w:rsidRPr="004070B6">
        <w:rPr>
          <w:rFonts w:ascii="Times New Roman" w:hAnsi="Times New Roman"/>
          <w:b w:val="0"/>
          <w:sz w:val="22"/>
          <w:szCs w:val="18"/>
          <w:lang w:eastAsia="zh-CN"/>
        </w:rPr>
        <w:t>RAG</w:t>
      </w:r>
      <w:r w:rsidRPr="00512910">
        <w:rPr>
          <w:rFonts w:ascii="Times New Roman" w:hAnsi="Times New Roman" w:hint="eastAsia"/>
          <w:b w:val="0"/>
          <w:sz w:val="22"/>
          <w:szCs w:val="18"/>
          <w:lang w:eastAsia="zh-CN"/>
        </w:rPr>
        <w:t>第</w:t>
      </w:r>
      <w:r w:rsidR="00331841" w:rsidRPr="004070B6">
        <w:rPr>
          <w:rFonts w:ascii="Times New Roman" w:hAnsi="Times New Roman"/>
          <w:b w:val="0"/>
          <w:sz w:val="22"/>
          <w:szCs w:val="18"/>
          <w:lang w:eastAsia="zh-CN"/>
        </w:rPr>
        <w:t>32</w:t>
      </w:r>
      <w:r w:rsidR="00E635C8">
        <w:rPr>
          <w:rFonts w:ascii="Times New Roman" w:hAnsi="Times New Roman" w:hint="eastAsia"/>
          <w:b w:val="0"/>
          <w:sz w:val="22"/>
          <w:szCs w:val="18"/>
          <w:lang w:eastAsia="zh-CN"/>
        </w:rPr>
        <w:t>次</w:t>
      </w:r>
      <w:r w:rsidRPr="00512910">
        <w:rPr>
          <w:rFonts w:ascii="Times New Roman" w:hAnsi="Times New Roman" w:hint="eastAsia"/>
          <w:b w:val="0"/>
          <w:sz w:val="22"/>
          <w:szCs w:val="18"/>
          <w:lang w:eastAsia="zh-CN"/>
        </w:rPr>
        <w:t>和</w:t>
      </w:r>
      <w:r w:rsidR="00331841">
        <w:rPr>
          <w:rFonts w:ascii="Times New Roman" w:hAnsi="Times New Roman" w:hint="eastAsia"/>
          <w:b w:val="0"/>
          <w:sz w:val="22"/>
          <w:szCs w:val="18"/>
          <w:lang w:eastAsia="zh-CN"/>
        </w:rPr>
        <w:t>第</w:t>
      </w:r>
      <w:r w:rsidR="00331841" w:rsidRPr="004070B6">
        <w:rPr>
          <w:rFonts w:ascii="Times New Roman" w:hAnsi="Times New Roman"/>
          <w:b w:val="0"/>
          <w:sz w:val="22"/>
          <w:szCs w:val="18"/>
          <w:lang w:eastAsia="zh-CN"/>
        </w:rPr>
        <w:t>33</w:t>
      </w:r>
      <w:r w:rsidRPr="00512910">
        <w:rPr>
          <w:rFonts w:ascii="Times New Roman" w:hAnsi="Times New Roman" w:hint="eastAsia"/>
          <w:b w:val="0"/>
          <w:sz w:val="22"/>
          <w:szCs w:val="18"/>
          <w:lang w:eastAsia="zh-CN"/>
        </w:rPr>
        <w:t>次会议提交的研究组活动报告</w:t>
      </w:r>
      <w:r>
        <w:rPr>
          <w:rFonts w:ascii="Times New Roman" w:hAnsi="Times New Roman" w:hint="eastAsia"/>
          <w:b w:val="0"/>
          <w:sz w:val="22"/>
          <w:szCs w:val="18"/>
          <w:lang w:eastAsia="zh-CN"/>
        </w:rPr>
        <w:t>）</w:t>
      </w:r>
    </w:p>
    <w:p w14:paraId="6A6A9985" w14:textId="29CAE4AC" w:rsidR="004070B6" w:rsidRPr="004070B6" w:rsidRDefault="004070B6" w:rsidP="00BE5415">
      <w:pPr>
        <w:keepNext/>
        <w:spacing w:before="240"/>
        <w:jc w:val="center"/>
        <w:rPr>
          <w:rFonts w:eastAsiaTheme="minorEastAsia"/>
        </w:rPr>
      </w:pPr>
      <w:r w:rsidRPr="004070B6">
        <w:rPr>
          <w:rFonts w:eastAsiaTheme="minorEastAsia"/>
        </w:rPr>
        <w:t>2025</w:t>
      </w:r>
      <w:r w:rsidR="00512910" w:rsidRPr="00512910">
        <w:rPr>
          <w:rFonts w:eastAsiaTheme="minorEastAsia" w:hint="eastAsia"/>
          <w:lang w:eastAsia="zh-CN"/>
        </w:rPr>
        <w:t>年</w:t>
      </w:r>
    </w:p>
    <w:p w14:paraId="1CDECEC0" w14:textId="77777777" w:rsidR="001821E9" w:rsidRPr="001821E9" w:rsidRDefault="001821E9" w:rsidP="001821E9">
      <w:pPr>
        <w:rPr>
          <w:lang w:eastAsia="zh-CN"/>
        </w:rPr>
      </w:pPr>
      <w:r w:rsidRPr="001821E9">
        <w:rPr>
          <w:noProof/>
        </w:rPr>
        <w:drawing>
          <wp:inline distT="0" distB="0" distL="0" distR="0" wp14:anchorId="2AAE59CB" wp14:editId="7DB78381">
            <wp:extent cx="6120765" cy="2009803"/>
            <wp:effectExtent l="0" t="0" r="13335" b="9525"/>
            <wp:docPr id="16774470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01347-FF51-628D-F741-C8B79A42B1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EAE1289" w14:textId="254A6193" w:rsidR="004070B6" w:rsidRPr="004070B6" w:rsidRDefault="004070B6" w:rsidP="00BE5415">
      <w:pPr>
        <w:keepNext/>
        <w:spacing w:before="240"/>
        <w:jc w:val="center"/>
        <w:rPr>
          <w:rFonts w:eastAsiaTheme="minorEastAsia"/>
        </w:rPr>
      </w:pPr>
      <w:r w:rsidRPr="004070B6">
        <w:rPr>
          <w:rFonts w:eastAsiaTheme="minorEastAsia"/>
        </w:rPr>
        <w:t>2024</w:t>
      </w:r>
      <w:r w:rsidR="00512910" w:rsidRPr="00512910">
        <w:rPr>
          <w:rFonts w:eastAsiaTheme="minorEastAsia" w:hint="eastAsia"/>
          <w:lang w:eastAsia="zh-CN"/>
        </w:rPr>
        <w:t>年</w:t>
      </w:r>
    </w:p>
    <w:p w14:paraId="66D3110F" w14:textId="77777777" w:rsidR="001821E9" w:rsidRPr="001821E9" w:rsidRDefault="001821E9" w:rsidP="001821E9">
      <w:pPr>
        <w:rPr>
          <w:lang w:eastAsia="zh-CN"/>
        </w:rPr>
      </w:pPr>
      <w:r w:rsidRPr="001821E9">
        <w:rPr>
          <w:noProof/>
        </w:rPr>
        <w:drawing>
          <wp:inline distT="0" distB="0" distL="0" distR="0" wp14:anchorId="4A426442" wp14:editId="700D22D2">
            <wp:extent cx="6120765" cy="2009803"/>
            <wp:effectExtent l="0" t="0" r="13335" b="9525"/>
            <wp:docPr id="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01347-FF51-628D-F741-C8B79A42B1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1DFFA03" w14:textId="22DF882C" w:rsidR="004070B6" w:rsidRPr="004070B6" w:rsidRDefault="00512910" w:rsidP="00954A70">
      <w:pPr>
        <w:spacing w:before="240"/>
        <w:ind w:firstLineChars="200" w:firstLine="480"/>
        <w:rPr>
          <w:lang w:eastAsia="zh-CN"/>
        </w:rPr>
      </w:pPr>
      <w:r w:rsidRPr="001F3FDD">
        <w:rPr>
          <w:rFonts w:hint="eastAsia"/>
          <w:lang w:eastAsia="zh-CN"/>
        </w:rPr>
        <w:t>图</w:t>
      </w:r>
      <w:r w:rsidR="00EB5896" w:rsidRPr="001F3FDD">
        <w:rPr>
          <w:lang w:eastAsia="zh-CN"/>
        </w:rPr>
        <w:t>4</w:t>
      </w:r>
      <w:r w:rsidRPr="001F3FDD">
        <w:rPr>
          <w:rFonts w:hint="eastAsia"/>
          <w:lang w:eastAsia="zh-CN"/>
        </w:rPr>
        <w:t>和主任</w:t>
      </w:r>
      <w:r w:rsidR="001F3FDD">
        <w:rPr>
          <w:rFonts w:hint="eastAsia"/>
          <w:lang w:eastAsia="zh-CN"/>
        </w:rPr>
        <w:t>关于</w:t>
      </w:r>
      <w:r w:rsidRPr="001F3FDD">
        <w:rPr>
          <w:rFonts w:hint="eastAsia"/>
          <w:lang w:eastAsia="zh-CN"/>
        </w:rPr>
        <w:t>研究组活动</w:t>
      </w:r>
      <w:r w:rsidR="001F3FDD">
        <w:rPr>
          <w:rFonts w:hint="eastAsia"/>
          <w:lang w:eastAsia="zh-CN"/>
        </w:rPr>
        <w:t>的</w:t>
      </w:r>
      <w:r w:rsidRPr="001F3FDD">
        <w:rPr>
          <w:rFonts w:hint="eastAsia"/>
          <w:lang w:eastAsia="zh-CN"/>
        </w:rPr>
        <w:t>报告说明了以下</w:t>
      </w:r>
      <w:r w:rsidR="001F3FDD">
        <w:rPr>
          <w:rFonts w:hint="eastAsia"/>
          <w:lang w:eastAsia="zh-CN"/>
        </w:rPr>
        <w:t>情况</w:t>
      </w:r>
      <w:r w:rsidR="00EB5896" w:rsidRPr="001F3FDD">
        <w:rPr>
          <w:rFonts w:hint="eastAsia"/>
          <w:lang w:eastAsia="zh-CN"/>
        </w:rPr>
        <w:t>：</w:t>
      </w:r>
    </w:p>
    <w:p w14:paraId="5886FFAF" w14:textId="3B75EE07" w:rsidR="004070B6" w:rsidRPr="004070B6" w:rsidRDefault="00BE7E9A" w:rsidP="00BE7E9A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自</w:t>
      </w:r>
      <w:r w:rsidR="008119E8" w:rsidRPr="004070B6">
        <w:rPr>
          <w:lang w:eastAsia="zh-CN"/>
        </w:rPr>
        <w:t>2020</w:t>
      </w:r>
      <w:r w:rsidR="00512910" w:rsidRPr="00512910">
        <w:rPr>
          <w:rFonts w:hint="eastAsia"/>
          <w:lang w:eastAsia="zh-CN"/>
        </w:rPr>
        <w:t>年以来</w:t>
      </w:r>
      <w:r w:rsidR="008119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可远程参会的</w:t>
      </w:r>
      <w:r w:rsidR="008119E8">
        <w:rPr>
          <w:rFonts w:hint="eastAsia"/>
          <w:lang w:eastAsia="zh-CN"/>
        </w:rPr>
        <w:t>面对面</w:t>
      </w:r>
      <w:r w:rsidR="00512910" w:rsidRPr="00512910">
        <w:rPr>
          <w:rFonts w:hint="eastAsia"/>
          <w:lang w:eastAsia="zh-CN"/>
        </w:rPr>
        <w:t>会议</w:t>
      </w:r>
      <w:r w:rsidR="008119E8">
        <w:rPr>
          <w:rFonts w:hint="eastAsia"/>
          <w:lang w:eastAsia="zh-CN"/>
        </w:rPr>
        <w:t>与会</w:t>
      </w:r>
      <w:r w:rsidR="00512910" w:rsidRPr="00512910">
        <w:rPr>
          <w:rFonts w:hint="eastAsia"/>
          <w:lang w:eastAsia="zh-CN"/>
        </w:rPr>
        <w:t>人数</w:t>
      </w:r>
      <w:r w:rsidR="001F3FDD">
        <w:rPr>
          <w:rFonts w:hint="eastAsia"/>
          <w:lang w:eastAsia="zh-CN"/>
        </w:rPr>
        <w:t>大幅</w:t>
      </w:r>
      <w:r w:rsidR="00512910" w:rsidRPr="00512910">
        <w:rPr>
          <w:rFonts w:hint="eastAsia"/>
          <w:lang w:eastAsia="zh-CN"/>
        </w:rPr>
        <w:t>增加</w:t>
      </w:r>
      <w:r w:rsidR="008119E8">
        <w:rPr>
          <w:rFonts w:hint="eastAsia"/>
          <w:lang w:eastAsia="zh-CN"/>
        </w:rPr>
        <w:t>。</w:t>
      </w:r>
    </w:p>
    <w:p w14:paraId="4E0BB810" w14:textId="4F3B92A7" w:rsidR="004070B6" w:rsidRPr="004070B6" w:rsidRDefault="00BE7E9A" w:rsidP="00BE7E9A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一些工作组</w:t>
      </w:r>
      <w:r w:rsidR="001F3FDD">
        <w:rPr>
          <w:rFonts w:hint="eastAsia"/>
          <w:lang w:eastAsia="zh-CN"/>
        </w:rPr>
        <w:t>现在</w:t>
      </w:r>
      <w:r w:rsidR="00512910" w:rsidRPr="00512910">
        <w:rPr>
          <w:rFonts w:hint="eastAsia"/>
          <w:lang w:eastAsia="zh-CN"/>
        </w:rPr>
        <w:t>每次会议</w:t>
      </w:r>
      <w:r w:rsidR="001F3FDD">
        <w:rPr>
          <w:rFonts w:hint="eastAsia"/>
          <w:lang w:eastAsia="zh-CN"/>
        </w:rPr>
        <w:t>都能</w:t>
      </w:r>
      <w:r w:rsidR="00512910" w:rsidRPr="00512910">
        <w:rPr>
          <w:rFonts w:hint="eastAsia"/>
          <w:lang w:eastAsia="zh-CN"/>
        </w:rPr>
        <w:t>吸引数百名与会者</w:t>
      </w:r>
      <w:r w:rsidR="001F3FDD">
        <w:rPr>
          <w:rFonts w:hint="eastAsia"/>
          <w:lang w:eastAsia="zh-CN"/>
        </w:rPr>
        <w:t>参加</w:t>
      </w:r>
      <w:r w:rsidR="008119E8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特别是</w:t>
      </w:r>
      <w:r w:rsidR="001F3FDD">
        <w:rPr>
          <w:rFonts w:hint="eastAsia"/>
          <w:lang w:eastAsia="zh-CN"/>
        </w:rPr>
        <w:t>在</w:t>
      </w:r>
      <w:r w:rsidR="00512910" w:rsidRPr="00512910">
        <w:rPr>
          <w:rFonts w:hint="eastAsia"/>
          <w:lang w:eastAsia="zh-CN"/>
        </w:rPr>
        <w:t>涉及卫星和地面移动技术的研究组</w:t>
      </w:r>
      <w:r w:rsidR="001F3FDD">
        <w:rPr>
          <w:rFonts w:hint="eastAsia"/>
          <w:lang w:eastAsia="zh-CN"/>
        </w:rPr>
        <w:t>中</w:t>
      </w:r>
      <w:r w:rsidR="008119E8" w:rsidRPr="004E5AA2">
        <w:rPr>
          <w:rFonts w:hint="eastAsia"/>
          <w:lang w:eastAsia="zh-CN"/>
        </w:rPr>
        <w:t>。</w:t>
      </w:r>
    </w:p>
    <w:p w14:paraId="32A10F56" w14:textId="2947B5B6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参会人数的增加给会议组织和会议厅容量带来了挑战</w:t>
      </w:r>
      <w:r w:rsidR="008119E8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特别是考虑到</w:t>
      </w:r>
      <w:r w:rsidR="000E3F39">
        <w:rPr>
          <w:rFonts w:hint="eastAsia"/>
          <w:lang w:eastAsia="zh-CN"/>
        </w:rPr>
        <w:t>能够</w:t>
      </w:r>
      <w:r w:rsidRPr="00512910">
        <w:rPr>
          <w:rFonts w:hint="eastAsia"/>
          <w:lang w:eastAsia="zh-CN"/>
        </w:rPr>
        <w:t>容纳大型团体的会议</w:t>
      </w:r>
      <w:r w:rsidR="008119E8">
        <w:rPr>
          <w:rFonts w:hint="eastAsia"/>
          <w:lang w:eastAsia="zh-CN"/>
        </w:rPr>
        <w:t>厅</w:t>
      </w:r>
      <w:r w:rsidRPr="00512910">
        <w:rPr>
          <w:rFonts w:hint="eastAsia"/>
          <w:lang w:eastAsia="zh-CN"/>
        </w:rPr>
        <w:t>数量有限</w:t>
      </w:r>
      <w:r w:rsidR="008119E8" w:rsidRPr="00521E32">
        <w:rPr>
          <w:rFonts w:hint="eastAsia"/>
          <w:lang w:eastAsia="zh-CN"/>
        </w:rPr>
        <w:t>。</w:t>
      </w:r>
      <w:r w:rsidR="004070B6" w:rsidRPr="004070B6">
        <w:rPr>
          <w:lang w:eastAsia="zh-CN"/>
        </w:rPr>
        <w:t xml:space="preserve"> </w:t>
      </w:r>
    </w:p>
    <w:p w14:paraId="67D621B1" w14:textId="10A56F0E" w:rsidR="004070B6" w:rsidRPr="004070B6" w:rsidRDefault="00521E32" w:rsidP="00D963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参与</w:t>
      </w:r>
      <w:r w:rsidR="008A5E9F">
        <w:rPr>
          <w:rFonts w:hint="eastAsia"/>
          <w:lang w:eastAsia="zh-CN"/>
        </w:rPr>
        <w:t>度的提高</w:t>
      </w:r>
      <w:r w:rsidR="00512910" w:rsidRPr="00512910">
        <w:rPr>
          <w:rFonts w:hint="eastAsia"/>
          <w:lang w:eastAsia="zh-CN"/>
        </w:rPr>
        <w:t>反映了</w:t>
      </w:r>
      <w:r w:rsidR="006F06C5" w:rsidRPr="004070B6">
        <w:rPr>
          <w:lang w:eastAsia="zh-CN"/>
        </w:rPr>
        <w:t>ITU-R</w:t>
      </w:r>
      <w:r w:rsidR="00512910" w:rsidRPr="00512910">
        <w:rPr>
          <w:rFonts w:hint="eastAsia"/>
          <w:lang w:eastAsia="zh-CN"/>
        </w:rPr>
        <w:t>研究</w:t>
      </w:r>
      <w:r w:rsidR="008A5E9F">
        <w:rPr>
          <w:rFonts w:hint="eastAsia"/>
          <w:lang w:eastAsia="zh-CN"/>
        </w:rPr>
        <w:t>工作</w:t>
      </w:r>
      <w:r w:rsidR="000E3F39">
        <w:rPr>
          <w:rFonts w:hint="eastAsia"/>
          <w:lang w:eastAsia="zh-CN"/>
        </w:rPr>
        <w:t>对各</w:t>
      </w:r>
      <w:r w:rsidR="00512910" w:rsidRPr="00512910">
        <w:rPr>
          <w:rFonts w:hint="eastAsia"/>
          <w:lang w:eastAsia="zh-CN"/>
        </w:rPr>
        <w:t>主管部门</w:t>
      </w:r>
      <w:r w:rsidR="006F06C5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业界和研究机构的重要性</w:t>
      </w:r>
      <w:r w:rsidR="000E3F39">
        <w:rPr>
          <w:rFonts w:hint="eastAsia"/>
          <w:lang w:eastAsia="zh-CN"/>
        </w:rPr>
        <w:t>与日俱增</w:t>
      </w:r>
      <w:r w:rsidR="006F06C5">
        <w:rPr>
          <w:rFonts w:hint="eastAsia"/>
          <w:lang w:eastAsia="zh-CN"/>
        </w:rPr>
        <w:t>。</w:t>
      </w:r>
      <w:r w:rsidR="00512910" w:rsidRPr="00512910">
        <w:rPr>
          <w:rFonts w:hint="eastAsia"/>
          <w:lang w:eastAsia="zh-CN"/>
        </w:rPr>
        <w:t>然而</w:t>
      </w:r>
      <w:r w:rsidR="006F06C5">
        <w:rPr>
          <w:rFonts w:hint="eastAsia"/>
          <w:lang w:eastAsia="zh-CN"/>
        </w:rPr>
        <w:t>，这</w:t>
      </w:r>
      <w:r w:rsidR="00512910" w:rsidRPr="00512910">
        <w:rPr>
          <w:rFonts w:hint="eastAsia"/>
          <w:lang w:eastAsia="zh-CN"/>
        </w:rPr>
        <w:t>也带来了</w:t>
      </w:r>
      <w:r w:rsidR="008A5E9F">
        <w:rPr>
          <w:rFonts w:hint="eastAsia"/>
          <w:lang w:eastAsia="zh-CN"/>
        </w:rPr>
        <w:t>新的</w:t>
      </w:r>
      <w:r w:rsidR="00512910" w:rsidRPr="00512910">
        <w:rPr>
          <w:rFonts w:hint="eastAsia"/>
          <w:lang w:eastAsia="zh-CN"/>
        </w:rPr>
        <w:t>挑战</w:t>
      </w:r>
      <w:r w:rsidR="006F06C5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包括</w:t>
      </w:r>
      <w:r w:rsidR="006F06C5">
        <w:rPr>
          <w:rFonts w:hint="eastAsia"/>
          <w:lang w:eastAsia="zh-CN"/>
        </w:rPr>
        <w:t>：</w:t>
      </w:r>
    </w:p>
    <w:p w14:paraId="1CD78022" w14:textId="33ECC0B4" w:rsidR="004070B6" w:rsidRPr="004070B6" w:rsidRDefault="00DA0F51" w:rsidP="00DA0F51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BC6718">
        <w:rPr>
          <w:rFonts w:hint="eastAsia"/>
          <w:lang w:eastAsia="zh-CN"/>
        </w:rPr>
        <w:t>实现协商一致</w:t>
      </w:r>
      <w:r w:rsidR="008A5E9F">
        <w:rPr>
          <w:rFonts w:hint="eastAsia"/>
          <w:lang w:eastAsia="zh-CN"/>
        </w:rPr>
        <w:t>所需的</w:t>
      </w:r>
      <w:r w:rsidR="008A5E9F" w:rsidRPr="00512910">
        <w:rPr>
          <w:rFonts w:hint="eastAsia"/>
          <w:lang w:eastAsia="zh-CN"/>
        </w:rPr>
        <w:t>讨论时间</w:t>
      </w:r>
      <w:r w:rsidR="00512910" w:rsidRPr="00512910">
        <w:rPr>
          <w:rFonts w:hint="eastAsia"/>
          <w:lang w:eastAsia="zh-CN"/>
        </w:rPr>
        <w:t>更长</w:t>
      </w:r>
      <w:r w:rsidR="00BC6718">
        <w:rPr>
          <w:rFonts w:hint="eastAsia"/>
          <w:lang w:eastAsia="zh-CN"/>
        </w:rPr>
        <w:t>，</w:t>
      </w:r>
    </w:p>
    <w:p w14:paraId="125B635C" w14:textId="1CA995A1" w:rsidR="004070B6" w:rsidRPr="004070B6" w:rsidRDefault="00DA0F51" w:rsidP="00DA0F51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会议和起草会议的</w:t>
      </w:r>
      <w:r w:rsidR="008A5E9F">
        <w:rPr>
          <w:rFonts w:hint="eastAsia"/>
          <w:lang w:eastAsia="zh-CN"/>
        </w:rPr>
        <w:t>管理更加</w:t>
      </w:r>
      <w:r w:rsidR="00512910" w:rsidRPr="00512910">
        <w:rPr>
          <w:rFonts w:hint="eastAsia"/>
          <w:lang w:eastAsia="zh-CN"/>
        </w:rPr>
        <w:t>复杂</w:t>
      </w:r>
      <w:r w:rsidR="001D2C83">
        <w:rPr>
          <w:rFonts w:hint="eastAsia"/>
          <w:lang w:eastAsia="zh-CN"/>
        </w:rPr>
        <w:t>，</w:t>
      </w:r>
    </w:p>
    <w:p w14:paraId="56FF6D14" w14:textId="30DE0BF8" w:rsidR="004070B6" w:rsidRPr="00DA0F51" w:rsidRDefault="00DA0F51" w:rsidP="00DA0F51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8A5E9F" w:rsidRPr="00521E32">
        <w:rPr>
          <w:rFonts w:hint="eastAsia"/>
          <w:lang w:eastAsia="zh-CN"/>
        </w:rPr>
        <w:t>各</w:t>
      </w:r>
      <w:r w:rsidR="00512910" w:rsidRPr="00521E32">
        <w:rPr>
          <w:rFonts w:hint="eastAsia"/>
          <w:lang w:eastAsia="zh-CN"/>
        </w:rPr>
        <w:t>研究组之间</w:t>
      </w:r>
      <w:r w:rsidR="008A5E9F" w:rsidRPr="00521E32">
        <w:rPr>
          <w:rFonts w:hint="eastAsia"/>
          <w:lang w:eastAsia="zh-CN"/>
        </w:rPr>
        <w:t>的协调要求更高</w:t>
      </w:r>
      <w:r w:rsidR="001D2C83" w:rsidRPr="00521E32">
        <w:rPr>
          <w:rFonts w:hint="eastAsia"/>
          <w:lang w:eastAsia="zh-CN"/>
        </w:rPr>
        <w:t>。</w:t>
      </w:r>
    </w:p>
    <w:p w14:paraId="20087BFF" w14:textId="5222A37F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在</w:t>
      </w:r>
      <w:r w:rsidR="00AF4659">
        <w:rPr>
          <w:rFonts w:hint="eastAsia"/>
          <w:lang w:eastAsia="zh-CN"/>
        </w:rPr>
        <w:t>此背景下</w:t>
      </w:r>
      <w:r w:rsidR="001D2C8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任何审查</w:t>
      </w:r>
      <w:r w:rsidR="0011241B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都应以中立和分析</w:t>
      </w:r>
      <w:r w:rsidR="001D2C83">
        <w:rPr>
          <w:rFonts w:hint="eastAsia"/>
          <w:lang w:eastAsia="zh-CN"/>
        </w:rPr>
        <w:t>性</w:t>
      </w:r>
      <w:r w:rsidRPr="00512910">
        <w:rPr>
          <w:rFonts w:hint="eastAsia"/>
          <w:lang w:eastAsia="zh-CN"/>
        </w:rPr>
        <w:t>的方式进行</w:t>
      </w:r>
      <w:r w:rsidR="001D2C8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并应考虑</w:t>
      </w:r>
      <w:r w:rsidR="0011241B">
        <w:rPr>
          <w:rFonts w:hint="eastAsia"/>
          <w:lang w:eastAsia="zh-CN"/>
        </w:rPr>
        <w:t>各种</w:t>
      </w:r>
      <w:r w:rsidRPr="00512910">
        <w:rPr>
          <w:rFonts w:hint="eastAsia"/>
          <w:lang w:eastAsia="zh-CN"/>
        </w:rPr>
        <w:t>可能的</w:t>
      </w:r>
      <w:r w:rsidR="0011241B">
        <w:rPr>
          <w:rFonts w:hint="eastAsia"/>
          <w:lang w:eastAsia="zh-CN"/>
        </w:rPr>
        <w:t>应对方案</w:t>
      </w:r>
      <w:r w:rsidR="001D2C83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特别是</w:t>
      </w:r>
      <w:r w:rsidR="001D2C8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在提出任何结构</w:t>
      </w:r>
      <w:r w:rsidR="0011241B">
        <w:rPr>
          <w:rFonts w:hint="eastAsia"/>
          <w:lang w:eastAsia="zh-CN"/>
        </w:rPr>
        <w:t>性</w:t>
      </w:r>
      <w:r w:rsidRPr="00512910">
        <w:rPr>
          <w:rFonts w:hint="eastAsia"/>
          <w:lang w:eastAsia="zh-CN"/>
        </w:rPr>
        <w:t>改革建议之前</w:t>
      </w:r>
      <w:r w:rsidR="001D2C83">
        <w:rPr>
          <w:rFonts w:hint="eastAsia"/>
          <w:lang w:eastAsia="zh-CN"/>
        </w:rPr>
        <w:t>，</w:t>
      </w:r>
      <w:r w:rsidR="00AF4659">
        <w:rPr>
          <w:rFonts w:hint="eastAsia"/>
          <w:lang w:eastAsia="zh-CN"/>
        </w:rPr>
        <w:t>审查</w:t>
      </w:r>
      <w:r w:rsidRPr="00512910">
        <w:rPr>
          <w:rFonts w:hint="eastAsia"/>
          <w:lang w:eastAsia="zh-CN"/>
        </w:rPr>
        <w:t>工作应评估是否</w:t>
      </w:r>
      <w:r w:rsidR="0011241B">
        <w:rPr>
          <w:rFonts w:hint="eastAsia"/>
          <w:lang w:eastAsia="zh-CN"/>
        </w:rPr>
        <w:t>可</w:t>
      </w:r>
      <w:r w:rsidRPr="00512910">
        <w:rPr>
          <w:rFonts w:hint="eastAsia"/>
          <w:lang w:eastAsia="zh-CN"/>
        </w:rPr>
        <w:t>通过</w:t>
      </w:r>
      <w:r w:rsidR="0011241B">
        <w:rPr>
          <w:rFonts w:hint="eastAsia"/>
          <w:lang w:eastAsia="zh-CN"/>
        </w:rPr>
        <w:t>加强</w:t>
      </w:r>
      <w:r w:rsidRPr="00512910">
        <w:rPr>
          <w:rFonts w:hint="eastAsia"/>
          <w:lang w:eastAsia="zh-CN"/>
        </w:rPr>
        <w:t>现有</w:t>
      </w:r>
      <w:r w:rsidR="001D2C83">
        <w:rPr>
          <w:rFonts w:hint="eastAsia"/>
          <w:lang w:eastAsia="zh-CN"/>
        </w:rPr>
        <w:t>各</w:t>
      </w:r>
      <w:r w:rsidRPr="00512910">
        <w:rPr>
          <w:rFonts w:hint="eastAsia"/>
          <w:lang w:eastAsia="zh-CN"/>
        </w:rPr>
        <w:t>组之间的协调</w:t>
      </w:r>
      <w:r w:rsidR="001D2C83">
        <w:rPr>
          <w:rFonts w:hint="eastAsia"/>
          <w:lang w:eastAsia="zh-CN"/>
        </w:rPr>
        <w:t>、</w:t>
      </w:r>
      <w:r w:rsidRPr="0011241B">
        <w:rPr>
          <w:rFonts w:hint="eastAsia"/>
          <w:lang w:eastAsia="zh-CN"/>
        </w:rPr>
        <w:t>更明确</w:t>
      </w:r>
      <w:r w:rsidR="0011241B" w:rsidRPr="0011241B">
        <w:rPr>
          <w:rFonts w:hint="eastAsia"/>
          <w:lang w:eastAsia="zh-CN"/>
        </w:rPr>
        <w:t>地界定</w:t>
      </w:r>
      <w:r w:rsidRPr="0011241B">
        <w:rPr>
          <w:rFonts w:hint="eastAsia"/>
          <w:lang w:eastAsia="zh-CN"/>
        </w:rPr>
        <w:t>职责</w:t>
      </w:r>
      <w:r w:rsidR="001D2C83" w:rsidRPr="0011241B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改进工作方法或有针对性地重新分配议题和职责等方式</w:t>
      </w:r>
      <w:r w:rsidR="0011241B">
        <w:rPr>
          <w:rFonts w:hint="eastAsia"/>
          <w:lang w:eastAsia="zh-CN"/>
        </w:rPr>
        <w:t>来</w:t>
      </w:r>
      <w:r w:rsidRPr="00512910">
        <w:rPr>
          <w:rFonts w:hint="eastAsia"/>
          <w:lang w:eastAsia="zh-CN"/>
        </w:rPr>
        <w:t>解决</w:t>
      </w:r>
      <w:r w:rsidR="00EC0E7A">
        <w:rPr>
          <w:rFonts w:hint="eastAsia"/>
          <w:lang w:eastAsia="zh-CN"/>
        </w:rPr>
        <w:t>所</w:t>
      </w:r>
      <w:r w:rsidR="0011241B" w:rsidRPr="00512910">
        <w:rPr>
          <w:rFonts w:hint="eastAsia"/>
          <w:lang w:eastAsia="zh-CN"/>
        </w:rPr>
        <w:t>确定的问题</w:t>
      </w:r>
      <w:r w:rsidR="0011241B" w:rsidRPr="009C0DA4">
        <w:rPr>
          <w:rFonts w:hint="eastAsia"/>
          <w:lang w:eastAsia="zh-CN"/>
        </w:rPr>
        <w:t>。</w:t>
      </w:r>
    </w:p>
    <w:p w14:paraId="0089B66A" w14:textId="08E07F57" w:rsidR="004070B6" w:rsidRPr="004070B6" w:rsidRDefault="001B72B2" w:rsidP="00D963D6">
      <w:pPr>
        <w:ind w:firstLineChars="200" w:firstLine="480"/>
        <w:rPr>
          <w:lang w:eastAsia="zh-CN"/>
        </w:rPr>
      </w:pPr>
      <w:r w:rsidRPr="00E85E9E">
        <w:rPr>
          <w:rFonts w:hint="eastAsia"/>
          <w:lang w:eastAsia="zh-CN"/>
        </w:rPr>
        <w:t>审查工作</w:t>
      </w:r>
      <w:r w:rsidR="00512910" w:rsidRPr="00E85E9E">
        <w:rPr>
          <w:rFonts w:hint="eastAsia"/>
          <w:lang w:eastAsia="zh-CN"/>
        </w:rPr>
        <w:t>还应</w:t>
      </w:r>
      <w:r w:rsidR="004870EF" w:rsidRPr="00E85E9E">
        <w:rPr>
          <w:rFonts w:hint="eastAsia"/>
          <w:lang w:eastAsia="zh-CN"/>
        </w:rPr>
        <w:t>在</w:t>
      </w:r>
      <w:r w:rsidR="004870EF">
        <w:rPr>
          <w:rFonts w:hint="eastAsia"/>
          <w:lang w:eastAsia="zh-CN"/>
        </w:rPr>
        <w:t>可行范围内，综合</w:t>
      </w:r>
      <w:r w:rsidR="00512910" w:rsidRPr="00512910">
        <w:rPr>
          <w:rFonts w:hint="eastAsia"/>
          <w:lang w:eastAsia="zh-CN"/>
        </w:rPr>
        <w:t>考虑各研究组和工作组的多项指标</w:t>
      </w:r>
      <w:r w:rsidR="004870EF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包括大会相关工作</w:t>
      </w:r>
      <w:r w:rsidR="004870EF">
        <w:rPr>
          <w:rFonts w:hint="eastAsia"/>
          <w:lang w:eastAsia="zh-CN"/>
        </w:rPr>
        <w:t>、</w:t>
      </w:r>
      <w:proofErr w:type="gramStart"/>
      <w:r w:rsidR="004870EF">
        <w:rPr>
          <w:rFonts w:hint="eastAsia"/>
          <w:lang w:eastAsia="zh-CN"/>
        </w:rPr>
        <w:t>非</w:t>
      </w:r>
      <w:r w:rsidR="00512910" w:rsidRPr="00512910">
        <w:rPr>
          <w:rFonts w:hint="eastAsia"/>
          <w:lang w:eastAsia="zh-CN"/>
        </w:rPr>
        <w:t>大会</w:t>
      </w:r>
      <w:proofErr w:type="gramEnd"/>
      <w:r w:rsidR="004870EF">
        <w:rPr>
          <w:rFonts w:hint="eastAsia"/>
          <w:lang w:eastAsia="zh-CN"/>
        </w:rPr>
        <w:t>相关</w:t>
      </w:r>
      <w:r w:rsidR="00512910" w:rsidRPr="00512910">
        <w:rPr>
          <w:rFonts w:hint="eastAsia"/>
          <w:lang w:eastAsia="zh-CN"/>
        </w:rPr>
        <w:t>工作</w:t>
      </w:r>
      <w:r w:rsidR="004870EF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文稿</w:t>
      </w:r>
      <w:r w:rsidR="004870EF"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已</w:t>
      </w:r>
      <w:r w:rsidR="00512910" w:rsidRPr="00512910">
        <w:rPr>
          <w:rFonts w:hint="eastAsia"/>
          <w:lang w:eastAsia="zh-CN"/>
        </w:rPr>
        <w:t>批准的输出成果</w:t>
      </w:r>
      <w:r w:rsidR="004870EF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会议负担</w:t>
      </w:r>
      <w:r w:rsidR="004870EF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参与趋势</w:t>
      </w:r>
      <w:r w:rsidR="004870EF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各组之间的相互</w:t>
      </w:r>
      <w:r w:rsidR="0061057A">
        <w:rPr>
          <w:rFonts w:hint="eastAsia"/>
          <w:lang w:eastAsia="zh-CN"/>
        </w:rPr>
        <w:t>依赖</w:t>
      </w:r>
      <w:r>
        <w:rPr>
          <w:rFonts w:hint="eastAsia"/>
          <w:lang w:eastAsia="zh-CN"/>
        </w:rPr>
        <w:t>关系</w:t>
      </w:r>
      <w:r w:rsidR="00512910" w:rsidRPr="00512910">
        <w:rPr>
          <w:rFonts w:hint="eastAsia"/>
          <w:lang w:eastAsia="zh-CN"/>
        </w:rPr>
        <w:t>以及对</w:t>
      </w:r>
      <w:r w:rsidR="004870EF" w:rsidRPr="004070B6">
        <w:rPr>
          <w:lang w:eastAsia="zh-CN"/>
        </w:rPr>
        <w:t>BR</w:t>
      </w:r>
      <w:r w:rsidR="00512910" w:rsidRPr="00512910">
        <w:rPr>
          <w:rFonts w:hint="eastAsia"/>
          <w:lang w:eastAsia="zh-CN"/>
        </w:rPr>
        <w:t>支持和资源的影响</w:t>
      </w:r>
      <w:r w:rsidR="004870EF" w:rsidRPr="00E85E9E">
        <w:rPr>
          <w:rFonts w:hint="eastAsia"/>
          <w:lang w:eastAsia="zh-CN"/>
        </w:rPr>
        <w:t>。</w:t>
      </w:r>
    </w:p>
    <w:p w14:paraId="3E27ACA4" w14:textId="0BB55FED" w:rsidR="004070B6" w:rsidRPr="004070B6" w:rsidRDefault="004070B6" w:rsidP="00A36331">
      <w:pPr>
        <w:pStyle w:val="Heading1"/>
        <w:rPr>
          <w:lang w:eastAsia="zh-CN"/>
        </w:rPr>
      </w:pPr>
      <w:r w:rsidRPr="004070B6">
        <w:rPr>
          <w:lang w:eastAsia="zh-CN"/>
        </w:rPr>
        <w:t>3</w:t>
      </w:r>
      <w:r w:rsidR="00093A98">
        <w:rPr>
          <w:lang w:eastAsia="zh-CN"/>
        </w:rPr>
        <w:tab/>
      </w:r>
      <w:r w:rsidR="00512910" w:rsidRPr="00512910">
        <w:rPr>
          <w:rFonts w:hint="eastAsia"/>
          <w:lang w:eastAsia="zh-CN"/>
        </w:rPr>
        <w:t>提案</w:t>
      </w:r>
    </w:p>
    <w:p w14:paraId="1316E8E6" w14:textId="6E87B9FF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为便于对</w:t>
      </w:r>
      <w:r w:rsidR="000E00E7">
        <w:rPr>
          <w:rFonts w:hint="eastAsia"/>
          <w:lang w:eastAsia="zh-CN"/>
        </w:rPr>
        <w:t>当前</w:t>
      </w:r>
      <w:r w:rsidR="001C57D3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研究组结构进行</w:t>
      </w:r>
      <w:r w:rsidR="001C57D3">
        <w:rPr>
          <w:rFonts w:hint="eastAsia"/>
          <w:lang w:eastAsia="zh-CN"/>
        </w:rPr>
        <w:t>系统</w:t>
      </w:r>
      <w:r w:rsidRPr="00512910">
        <w:rPr>
          <w:rFonts w:hint="eastAsia"/>
          <w:lang w:eastAsia="zh-CN"/>
        </w:rPr>
        <w:t>性</w:t>
      </w:r>
      <w:r w:rsidR="001C57D3">
        <w:rPr>
          <w:rFonts w:hint="eastAsia"/>
          <w:lang w:eastAsia="zh-CN"/>
        </w:rPr>
        <w:t>审查</w:t>
      </w:r>
      <w:r w:rsidR="00A944C0">
        <w:rPr>
          <w:rFonts w:hint="eastAsia"/>
          <w:lang w:eastAsia="zh-CN"/>
        </w:rPr>
        <w:t>，并</w:t>
      </w:r>
      <w:r w:rsidR="00A944C0" w:rsidRPr="00512910">
        <w:rPr>
          <w:rFonts w:hint="eastAsia"/>
          <w:lang w:eastAsia="zh-CN"/>
        </w:rPr>
        <w:t>考虑到不断</w:t>
      </w:r>
      <w:r w:rsidR="00A944C0">
        <w:rPr>
          <w:rFonts w:hint="eastAsia"/>
          <w:lang w:eastAsia="zh-CN"/>
        </w:rPr>
        <w:t>变化</w:t>
      </w:r>
      <w:r w:rsidR="00A944C0" w:rsidRPr="00512910">
        <w:rPr>
          <w:rFonts w:hint="eastAsia"/>
          <w:lang w:eastAsia="zh-CN"/>
        </w:rPr>
        <w:t>的无线电通信环境</w:t>
      </w:r>
      <w:r w:rsidR="00A944C0">
        <w:rPr>
          <w:rFonts w:hint="eastAsia"/>
          <w:lang w:eastAsia="zh-CN"/>
        </w:rPr>
        <w:t>以及</w:t>
      </w:r>
      <w:r w:rsidR="00A944C0" w:rsidRPr="00512910">
        <w:rPr>
          <w:rFonts w:hint="eastAsia"/>
          <w:lang w:eastAsia="zh-CN"/>
        </w:rPr>
        <w:t>研究</w:t>
      </w:r>
      <w:proofErr w:type="gramStart"/>
      <w:r w:rsidR="00A944C0" w:rsidRPr="00512910">
        <w:rPr>
          <w:rFonts w:hint="eastAsia"/>
          <w:lang w:eastAsia="zh-CN"/>
        </w:rPr>
        <w:t>组日益</w:t>
      </w:r>
      <w:proofErr w:type="gramEnd"/>
      <w:r w:rsidR="00A944C0">
        <w:rPr>
          <w:rFonts w:hint="eastAsia"/>
          <w:lang w:eastAsia="zh-CN"/>
        </w:rPr>
        <w:t>繁重</w:t>
      </w:r>
      <w:r w:rsidR="00A944C0" w:rsidRPr="00512910">
        <w:rPr>
          <w:rFonts w:hint="eastAsia"/>
          <w:lang w:eastAsia="zh-CN"/>
        </w:rPr>
        <w:t>的工作量</w:t>
      </w:r>
      <w:r w:rsidR="00A944C0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请</w:t>
      </w:r>
      <w:r w:rsidR="001C57D3" w:rsidRPr="004070B6">
        <w:rPr>
          <w:lang w:eastAsia="zh-CN"/>
        </w:rPr>
        <w:t>RAG</w:t>
      </w:r>
      <w:r w:rsidRPr="00512910">
        <w:rPr>
          <w:rFonts w:hint="eastAsia"/>
          <w:lang w:eastAsia="zh-CN"/>
        </w:rPr>
        <w:t>考虑</w:t>
      </w:r>
      <w:r w:rsidR="00A944C0">
        <w:rPr>
          <w:rFonts w:hint="eastAsia"/>
          <w:lang w:eastAsia="zh-CN"/>
        </w:rPr>
        <w:t>设立</w:t>
      </w:r>
      <w:r w:rsidRPr="00512910">
        <w:rPr>
          <w:rFonts w:hint="eastAsia"/>
          <w:lang w:eastAsia="zh-CN"/>
        </w:rPr>
        <w:t>一个信函通信组</w:t>
      </w:r>
      <w:r w:rsidR="001C57D3">
        <w:rPr>
          <w:rFonts w:hint="eastAsia"/>
          <w:lang w:eastAsia="zh-CN"/>
        </w:rPr>
        <w:t>，</w:t>
      </w:r>
      <w:r w:rsidR="00A944C0">
        <w:rPr>
          <w:rFonts w:hint="eastAsia"/>
          <w:lang w:eastAsia="zh-CN"/>
        </w:rPr>
        <w:t>以探讨</w:t>
      </w:r>
      <w:r w:rsidR="007317ED" w:rsidRPr="00512910">
        <w:rPr>
          <w:rFonts w:hint="eastAsia"/>
          <w:lang w:eastAsia="zh-CN"/>
        </w:rPr>
        <w:t>改进</w:t>
      </w:r>
      <w:r w:rsidRPr="00512910">
        <w:rPr>
          <w:rFonts w:hint="eastAsia"/>
          <w:lang w:eastAsia="zh-CN"/>
        </w:rPr>
        <w:t>研究组结构和工作方法的</w:t>
      </w:r>
      <w:r w:rsidR="001C57D3">
        <w:rPr>
          <w:rFonts w:hint="eastAsia"/>
          <w:lang w:eastAsia="zh-CN"/>
        </w:rPr>
        <w:t>可能方案。</w:t>
      </w:r>
      <w:r w:rsidR="00A944C0">
        <w:rPr>
          <w:rFonts w:hint="eastAsia"/>
          <w:lang w:eastAsia="zh-CN"/>
        </w:rPr>
        <w:t>该</w:t>
      </w:r>
      <w:r w:rsidR="001C57D3" w:rsidRPr="001C57D3">
        <w:rPr>
          <w:rFonts w:hint="eastAsia"/>
          <w:lang w:eastAsia="zh-CN"/>
        </w:rPr>
        <w:t>信函</w:t>
      </w:r>
      <w:proofErr w:type="gramStart"/>
      <w:r w:rsidR="001C57D3" w:rsidRPr="001C57D3">
        <w:rPr>
          <w:rFonts w:hint="eastAsia"/>
          <w:lang w:eastAsia="zh-CN"/>
        </w:rPr>
        <w:t>通信组</w:t>
      </w:r>
      <w:proofErr w:type="gramEnd"/>
      <w:r w:rsidRPr="00512910">
        <w:rPr>
          <w:rFonts w:hint="eastAsia"/>
          <w:lang w:eastAsia="zh-CN"/>
        </w:rPr>
        <w:t>将根据</w:t>
      </w:r>
      <w:r w:rsidR="001C57D3" w:rsidRPr="004070B6">
        <w:rPr>
          <w:lang w:eastAsia="zh-CN"/>
        </w:rPr>
        <w:t>ITU-R</w:t>
      </w:r>
      <w:r w:rsidR="001C57D3">
        <w:rPr>
          <w:rFonts w:hint="eastAsia"/>
          <w:lang w:eastAsia="zh-CN"/>
        </w:rPr>
        <w:t>第</w:t>
      </w:r>
      <w:r w:rsidR="001C57D3" w:rsidRPr="004070B6">
        <w:rPr>
          <w:lang w:eastAsia="zh-CN"/>
        </w:rPr>
        <w:t>4-9</w:t>
      </w:r>
      <w:r w:rsidR="001C57D3" w:rsidRPr="00512910">
        <w:rPr>
          <w:rFonts w:hint="eastAsia"/>
          <w:lang w:eastAsia="zh-CN"/>
        </w:rPr>
        <w:t>号决议</w:t>
      </w:r>
      <w:r w:rsidR="00A944C0">
        <w:rPr>
          <w:rFonts w:hint="eastAsia"/>
          <w:lang w:eastAsia="zh-CN"/>
        </w:rPr>
        <w:t>和</w:t>
      </w:r>
      <w:r w:rsidR="001C57D3" w:rsidRPr="004070B6">
        <w:rPr>
          <w:lang w:eastAsia="zh-CN"/>
        </w:rPr>
        <w:t>ITU-R</w:t>
      </w:r>
      <w:r w:rsidR="001C57D3" w:rsidRPr="00512910">
        <w:rPr>
          <w:rFonts w:hint="eastAsia"/>
          <w:lang w:eastAsia="zh-CN"/>
        </w:rPr>
        <w:t>第</w:t>
      </w:r>
      <w:r w:rsidR="001C57D3" w:rsidRPr="004070B6">
        <w:rPr>
          <w:lang w:eastAsia="zh-CN"/>
        </w:rPr>
        <w:t>1-9</w:t>
      </w:r>
      <w:r w:rsidR="001C57D3" w:rsidRPr="00512910">
        <w:rPr>
          <w:rFonts w:hint="eastAsia"/>
          <w:lang w:eastAsia="zh-CN"/>
        </w:rPr>
        <w:t>号决议</w:t>
      </w:r>
      <w:r w:rsidRPr="00512910">
        <w:rPr>
          <w:rFonts w:hint="eastAsia"/>
          <w:lang w:eastAsia="zh-CN"/>
        </w:rPr>
        <w:t>的相关规定开展工作</w:t>
      </w:r>
      <w:r w:rsidR="001C57D3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并</w:t>
      </w:r>
      <w:r w:rsidR="00A944C0">
        <w:rPr>
          <w:rFonts w:hint="eastAsia"/>
          <w:lang w:eastAsia="zh-CN"/>
        </w:rPr>
        <w:t>特别</w:t>
      </w:r>
      <w:r w:rsidR="004205C1">
        <w:rPr>
          <w:rFonts w:hint="eastAsia"/>
          <w:lang w:eastAsia="zh-CN"/>
        </w:rPr>
        <w:t>考虑</w:t>
      </w:r>
      <w:r w:rsidRPr="00512910">
        <w:rPr>
          <w:rFonts w:hint="eastAsia"/>
          <w:lang w:eastAsia="zh-CN"/>
        </w:rPr>
        <w:t>无线电通信技术的发展</w:t>
      </w:r>
      <w:r w:rsidR="001C57D3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研究组活动的文稿和参与</w:t>
      </w:r>
      <w:r w:rsidR="004205C1">
        <w:rPr>
          <w:rFonts w:hint="eastAsia"/>
          <w:lang w:eastAsia="zh-CN"/>
        </w:rPr>
        <w:t>人数</w:t>
      </w:r>
      <w:r w:rsidR="00A944C0">
        <w:rPr>
          <w:rFonts w:hint="eastAsia"/>
          <w:lang w:eastAsia="zh-CN"/>
        </w:rPr>
        <w:t>不断</w:t>
      </w:r>
      <w:r w:rsidRPr="00512910">
        <w:rPr>
          <w:rFonts w:hint="eastAsia"/>
          <w:lang w:eastAsia="zh-CN"/>
        </w:rPr>
        <w:t>增加以及</w:t>
      </w:r>
      <w:r w:rsidR="00A944C0">
        <w:rPr>
          <w:rFonts w:hint="eastAsia"/>
          <w:lang w:eastAsia="zh-CN"/>
        </w:rPr>
        <w:t>不同</w:t>
      </w:r>
      <w:r w:rsidRPr="00512910">
        <w:rPr>
          <w:rFonts w:hint="eastAsia"/>
          <w:lang w:eastAsia="zh-CN"/>
        </w:rPr>
        <w:t>研究组所开展</w:t>
      </w:r>
      <w:r w:rsidR="004205C1">
        <w:rPr>
          <w:rFonts w:hint="eastAsia"/>
          <w:lang w:eastAsia="zh-CN"/>
        </w:rPr>
        <w:t>的</w:t>
      </w:r>
      <w:r w:rsidRPr="00512910">
        <w:rPr>
          <w:rFonts w:hint="eastAsia"/>
          <w:lang w:eastAsia="zh-CN"/>
        </w:rPr>
        <w:t>研究</w:t>
      </w:r>
      <w:r w:rsidR="00A944C0">
        <w:rPr>
          <w:rFonts w:hint="eastAsia"/>
          <w:lang w:eastAsia="zh-CN"/>
        </w:rPr>
        <w:t>工作</w:t>
      </w:r>
      <w:r w:rsidRPr="00512910">
        <w:rPr>
          <w:rFonts w:hint="eastAsia"/>
          <w:lang w:eastAsia="zh-CN"/>
        </w:rPr>
        <w:t>之间</w:t>
      </w:r>
      <w:r w:rsidR="004205C1" w:rsidRPr="004205C1">
        <w:rPr>
          <w:rFonts w:hint="eastAsia"/>
          <w:lang w:eastAsia="zh-CN"/>
        </w:rPr>
        <w:t>日益加深的相互</w:t>
      </w:r>
      <w:r w:rsidR="007317ED">
        <w:rPr>
          <w:rFonts w:hint="eastAsia"/>
          <w:lang w:eastAsia="zh-CN"/>
        </w:rPr>
        <w:t>依赖</w:t>
      </w:r>
      <w:r w:rsidR="004205C1" w:rsidRPr="004205C1">
        <w:rPr>
          <w:rFonts w:hint="eastAsia"/>
          <w:lang w:eastAsia="zh-CN"/>
        </w:rPr>
        <w:t>关系</w:t>
      </w:r>
      <w:r w:rsidR="00A944C0">
        <w:rPr>
          <w:rFonts w:hint="eastAsia"/>
          <w:lang w:eastAsia="zh-CN"/>
        </w:rPr>
        <w:t>等</w:t>
      </w:r>
      <w:r w:rsidR="004205C1" w:rsidRPr="007317ED">
        <w:rPr>
          <w:rFonts w:hint="eastAsia"/>
          <w:lang w:eastAsia="zh-CN"/>
        </w:rPr>
        <w:t>。</w:t>
      </w:r>
    </w:p>
    <w:p w14:paraId="70F16BE9" w14:textId="57D6C2A9" w:rsidR="004070B6" w:rsidRPr="004070B6" w:rsidRDefault="003038E9" w:rsidP="00D963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</w:t>
      </w:r>
      <w:r w:rsidRPr="003038E9">
        <w:rPr>
          <w:rFonts w:hint="eastAsia"/>
          <w:lang w:eastAsia="zh-CN"/>
        </w:rPr>
        <w:t>信函</w:t>
      </w:r>
      <w:proofErr w:type="gramStart"/>
      <w:r w:rsidRPr="003038E9">
        <w:rPr>
          <w:rFonts w:hint="eastAsia"/>
          <w:lang w:eastAsia="zh-CN"/>
        </w:rPr>
        <w:t>通信组</w:t>
      </w:r>
      <w:proofErr w:type="gramEnd"/>
      <w:r w:rsidR="00512910" w:rsidRPr="00512910">
        <w:rPr>
          <w:rFonts w:hint="eastAsia"/>
          <w:lang w:eastAsia="zh-CN"/>
        </w:rPr>
        <w:t>应采取解决方案中立的</w:t>
      </w:r>
      <w:r w:rsidR="0040406E">
        <w:rPr>
          <w:rFonts w:hint="eastAsia"/>
          <w:lang w:eastAsia="zh-CN"/>
        </w:rPr>
        <w:t>立场</w:t>
      </w:r>
      <w:r>
        <w:rPr>
          <w:rFonts w:hint="eastAsia"/>
          <w:lang w:eastAsia="zh-CN"/>
        </w:rPr>
        <w:t>，总结</w:t>
      </w:r>
      <w:r w:rsidR="0087137B">
        <w:rPr>
          <w:rFonts w:hint="eastAsia"/>
          <w:lang w:eastAsia="zh-CN"/>
        </w:rPr>
        <w:t>审查</w:t>
      </w:r>
      <w:r w:rsidR="00512910" w:rsidRPr="00512910">
        <w:rPr>
          <w:rFonts w:hint="eastAsia"/>
          <w:lang w:eastAsia="zh-CN"/>
        </w:rPr>
        <w:t>结果</w:t>
      </w:r>
      <w:r>
        <w:rPr>
          <w:rFonts w:hint="eastAsia"/>
          <w:lang w:eastAsia="zh-CN"/>
        </w:rPr>
        <w:t>并提出</w:t>
      </w:r>
      <w:r w:rsidR="00512910" w:rsidRPr="00512910">
        <w:rPr>
          <w:rFonts w:hint="eastAsia"/>
          <w:lang w:eastAsia="zh-CN"/>
        </w:rPr>
        <w:t>改进方案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包括酌情采取非结构性措施</w:t>
      </w:r>
      <w:r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如</w:t>
      </w:r>
      <w:r w:rsidR="0040406E">
        <w:rPr>
          <w:rFonts w:hint="eastAsia"/>
          <w:lang w:eastAsia="zh-CN"/>
        </w:rPr>
        <w:t>完善</w:t>
      </w:r>
      <w:r w:rsidR="00512910" w:rsidRPr="00512910">
        <w:rPr>
          <w:rFonts w:hint="eastAsia"/>
          <w:lang w:eastAsia="zh-CN"/>
        </w:rPr>
        <w:t>协调机制</w:t>
      </w:r>
      <w:r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明确</w:t>
      </w:r>
      <w:r>
        <w:rPr>
          <w:rFonts w:hint="eastAsia"/>
          <w:lang w:eastAsia="zh-CN"/>
        </w:rPr>
        <w:t>职责、</w:t>
      </w:r>
      <w:r w:rsidR="00512910" w:rsidRPr="00512910">
        <w:rPr>
          <w:rFonts w:hint="eastAsia"/>
          <w:lang w:eastAsia="zh-CN"/>
        </w:rPr>
        <w:t>改进工作方法</w:t>
      </w:r>
      <w:r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重新分配</w:t>
      </w:r>
      <w:r w:rsidR="00B11FCA">
        <w:rPr>
          <w:rFonts w:hint="eastAsia"/>
          <w:lang w:eastAsia="zh-CN"/>
        </w:rPr>
        <w:t>特定</w:t>
      </w:r>
      <w:r w:rsidR="00512910" w:rsidRPr="00512910">
        <w:rPr>
          <w:rFonts w:hint="eastAsia"/>
          <w:lang w:eastAsia="zh-CN"/>
        </w:rPr>
        <w:t>议题以及分析</w:t>
      </w:r>
      <w:r w:rsidR="0040406E">
        <w:rPr>
          <w:rFonts w:hint="eastAsia"/>
          <w:lang w:eastAsia="zh-CN"/>
        </w:rPr>
        <w:t>结果支持的任何可能的</w:t>
      </w:r>
      <w:r w:rsidR="00512910" w:rsidRPr="00512910">
        <w:rPr>
          <w:rFonts w:hint="eastAsia"/>
          <w:lang w:eastAsia="zh-CN"/>
        </w:rPr>
        <w:t>结构</w:t>
      </w:r>
      <w:r>
        <w:rPr>
          <w:rFonts w:hint="eastAsia"/>
          <w:lang w:eastAsia="zh-CN"/>
        </w:rPr>
        <w:t>性</w:t>
      </w:r>
      <w:r w:rsidR="00512910" w:rsidRPr="00512910">
        <w:rPr>
          <w:rFonts w:hint="eastAsia"/>
          <w:lang w:eastAsia="zh-CN"/>
        </w:rPr>
        <w:t>方案</w:t>
      </w:r>
      <w:r w:rsidRPr="00B11FCA">
        <w:rPr>
          <w:rFonts w:hint="eastAsia"/>
          <w:lang w:eastAsia="zh-CN"/>
        </w:rPr>
        <w:t>。</w:t>
      </w:r>
    </w:p>
    <w:p w14:paraId="78C5B7DC" w14:textId="24917885" w:rsidR="004070B6" w:rsidRPr="004070B6" w:rsidRDefault="00512910" w:rsidP="00D963D6">
      <w:pPr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为支持</w:t>
      </w:r>
      <w:r w:rsidR="009538C1" w:rsidRPr="009538C1">
        <w:rPr>
          <w:rFonts w:hint="eastAsia"/>
          <w:lang w:eastAsia="zh-CN"/>
        </w:rPr>
        <w:t>信函</w:t>
      </w:r>
      <w:proofErr w:type="gramStart"/>
      <w:r w:rsidR="009538C1" w:rsidRPr="009538C1">
        <w:rPr>
          <w:rFonts w:hint="eastAsia"/>
          <w:lang w:eastAsia="zh-CN"/>
        </w:rPr>
        <w:t>通信组</w:t>
      </w:r>
      <w:proofErr w:type="gramEnd"/>
      <w:r w:rsidRPr="00512910">
        <w:rPr>
          <w:rFonts w:hint="eastAsia"/>
          <w:lang w:eastAsia="zh-CN"/>
        </w:rPr>
        <w:t>的工作</w:t>
      </w:r>
      <w:r w:rsidR="009538C1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请</w:t>
      </w:r>
      <w:r w:rsidR="009538C1" w:rsidRPr="009538C1">
        <w:rPr>
          <w:rFonts w:hint="eastAsia"/>
          <w:lang w:eastAsia="zh-CN"/>
        </w:rPr>
        <w:t>无线电通信局</w:t>
      </w:r>
      <w:r w:rsidR="009538C1">
        <w:rPr>
          <w:rFonts w:hint="eastAsia"/>
          <w:lang w:eastAsia="zh-CN"/>
        </w:rPr>
        <w:t>（</w:t>
      </w:r>
      <w:r w:rsidR="009538C1" w:rsidRPr="004070B6">
        <w:rPr>
          <w:lang w:eastAsia="zh-CN"/>
        </w:rPr>
        <w:t>BR</w:t>
      </w:r>
      <w:r w:rsidR="009538C1">
        <w:rPr>
          <w:rFonts w:hint="eastAsia"/>
          <w:lang w:eastAsia="zh-CN"/>
        </w:rPr>
        <w:t>）</w:t>
      </w:r>
      <w:r w:rsidRPr="00512910">
        <w:rPr>
          <w:rFonts w:hint="eastAsia"/>
          <w:lang w:eastAsia="zh-CN"/>
        </w:rPr>
        <w:t>提供有关</w:t>
      </w:r>
      <w:r w:rsidR="009538C1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研究组结构</w:t>
      </w:r>
      <w:r w:rsidR="009538C1">
        <w:rPr>
          <w:rFonts w:hint="eastAsia"/>
          <w:lang w:eastAsia="zh-CN"/>
        </w:rPr>
        <w:t>相关</w:t>
      </w:r>
      <w:r w:rsidRPr="00512910">
        <w:rPr>
          <w:rFonts w:hint="eastAsia"/>
          <w:lang w:eastAsia="zh-CN"/>
        </w:rPr>
        <w:t>要求</w:t>
      </w:r>
      <w:r w:rsidR="009538C1">
        <w:rPr>
          <w:rFonts w:hint="eastAsia"/>
          <w:lang w:eastAsia="zh-CN"/>
        </w:rPr>
        <w:t>、</w:t>
      </w:r>
      <w:r w:rsidRPr="00512910">
        <w:rPr>
          <w:rFonts w:hint="eastAsia"/>
          <w:lang w:eastAsia="zh-CN"/>
        </w:rPr>
        <w:t>程序</w:t>
      </w:r>
      <w:r w:rsidR="00E97D5D">
        <w:rPr>
          <w:rFonts w:hint="eastAsia"/>
          <w:lang w:eastAsia="zh-CN"/>
        </w:rPr>
        <w:t>及</w:t>
      </w:r>
      <w:r w:rsidRPr="00512910">
        <w:rPr>
          <w:rFonts w:hint="eastAsia"/>
          <w:lang w:eastAsia="zh-CN"/>
        </w:rPr>
        <w:t>实际考虑</w:t>
      </w:r>
      <w:r w:rsidR="00E97D5D">
        <w:rPr>
          <w:rFonts w:hint="eastAsia"/>
          <w:lang w:eastAsia="zh-CN"/>
        </w:rPr>
        <w:t>因素</w:t>
      </w:r>
      <w:r w:rsidRPr="00512910">
        <w:rPr>
          <w:rFonts w:hint="eastAsia"/>
          <w:lang w:eastAsia="zh-CN"/>
        </w:rPr>
        <w:t>的</w:t>
      </w:r>
      <w:r w:rsidR="00021AE5">
        <w:rPr>
          <w:rFonts w:hint="eastAsia"/>
          <w:lang w:eastAsia="zh-CN"/>
        </w:rPr>
        <w:t>相关</w:t>
      </w:r>
      <w:r w:rsidRPr="00512910">
        <w:rPr>
          <w:rFonts w:hint="eastAsia"/>
          <w:lang w:eastAsia="zh-CN"/>
        </w:rPr>
        <w:t>信息</w:t>
      </w:r>
      <w:r w:rsidR="009538C1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包括与</w:t>
      </w:r>
      <w:r w:rsidR="009538C1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第</w:t>
      </w:r>
      <w:r w:rsidR="009538C1" w:rsidRPr="004070B6">
        <w:rPr>
          <w:lang w:eastAsia="zh-CN"/>
        </w:rPr>
        <w:t>4-9</w:t>
      </w:r>
      <w:r w:rsidRPr="00512910">
        <w:rPr>
          <w:rFonts w:hint="eastAsia"/>
          <w:lang w:eastAsia="zh-CN"/>
        </w:rPr>
        <w:t>号决议相关的方面</w:t>
      </w:r>
      <w:r w:rsidR="009538C1">
        <w:rPr>
          <w:rFonts w:hint="eastAsia"/>
          <w:lang w:eastAsia="zh-CN"/>
        </w:rPr>
        <w:t>。</w:t>
      </w:r>
      <w:r w:rsidRPr="00512910">
        <w:rPr>
          <w:rFonts w:hint="eastAsia"/>
          <w:lang w:eastAsia="zh-CN"/>
        </w:rPr>
        <w:t>这些信息将为</w:t>
      </w:r>
      <w:r w:rsidR="009538C1" w:rsidRPr="009538C1">
        <w:rPr>
          <w:rFonts w:hint="eastAsia"/>
          <w:lang w:eastAsia="zh-CN"/>
        </w:rPr>
        <w:t>信函</w:t>
      </w:r>
      <w:proofErr w:type="gramStart"/>
      <w:r w:rsidR="009538C1" w:rsidRPr="009538C1">
        <w:rPr>
          <w:rFonts w:hint="eastAsia"/>
          <w:lang w:eastAsia="zh-CN"/>
        </w:rPr>
        <w:t>通信组</w:t>
      </w:r>
      <w:proofErr w:type="gramEnd"/>
      <w:r w:rsidRPr="00512910">
        <w:rPr>
          <w:rFonts w:hint="eastAsia"/>
          <w:lang w:eastAsia="zh-CN"/>
        </w:rPr>
        <w:t>的工作提供重要</w:t>
      </w:r>
      <w:r w:rsidR="00021AE5">
        <w:rPr>
          <w:rFonts w:hint="eastAsia"/>
          <w:lang w:eastAsia="zh-CN"/>
        </w:rPr>
        <w:t>参考</w:t>
      </w:r>
      <w:r w:rsidR="009538C1" w:rsidRPr="00B11FCA">
        <w:rPr>
          <w:rFonts w:hint="eastAsia"/>
          <w:lang w:eastAsia="zh-CN"/>
        </w:rPr>
        <w:t>。</w:t>
      </w:r>
    </w:p>
    <w:p w14:paraId="542B7A9E" w14:textId="01E38EC5" w:rsidR="004070B6" w:rsidRPr="004070B6" w:rsidRDefault="0091327A" w:rsidP="00D963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此外，还</w:t>
      </w:r>
      <w:r w:rsidR="00512910" w:rsidRPr="00512910">
        <w:rPr>
          <w:rFonts w:hint="eastAsia"/>
          <w:lang w:eastAsia="zh-CN"/>
        </w:rPr>
        <w:t>请</w:t>
      </w:r>
      <w:r w:rsidR="0006139D" w:rsidRPr="009538C1">
        <w:rPr>
          <w:rFonts w:hint="eastAsia"/>
          <w:lang w:eastAsia="zh-CN"/>
        </w:rPr>
        <w:t>无线电通信局</w:t>
      </w:r>
      <w:r w:rsidR="00BC727E">
        <w:rPr>
          <w:rFonts w:hint="eastAsia"/>
          <w:lang w:eastAsia="zh-CN"/>
        </w:rPr>
        <w:t>在条件允许的</w:t>
      </w:r>
      <w:r w:rsidR="00512910" w:rsidRPr="00512910">
        <w:rPr>
          <w:rFonts w:hint="eastAsia"/>
          <w:lang w:eastAsia="zh-CN"/>
        </w:rPr>
        <w:t>情况</w:t>
      </w:r>
      <w:r w:rsidR="00BC727E">
        <w:rPr>
          <w:rFonts w:hint="eastAsia"/>
          <w:lang w:eastAsia="zh-CN"/>
        </w:rPr>
        <w:t>下</w:t>
      </w:r>
      <w:r w:rsidR="0006139D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提供有助于</w:t>
      </w:r>
      <w:r w:rsidR="0006139D" w:rsidRPr="0006139D">
        <w:rPr>
          <w:rFonts w:hint="eastAsia"/>
          <w:lang w:eastAsia="zh-CN"/>
        </w:rPr>
        <w:t>信函</w:t>
      </w:r>
      <w:proofErr w:type="gramStart"/>
      <w:r w:rsidR="0006139D" w:rsidRPr="0006139D">
        <w:rPr>
          <w:rFonts w:hint="eastAsia"/>
          <w:lang w:eastAsia="zh-CN"/>
        </w:rPr>
        <w:t>通信组</w:t>
      </w:r>
      <w:proofErr w:type="gramEnd"/>
      <w:r w:rsidR="007B16C8">
        <w:rPr>
          <w:rFonts w:hint="eastAsia"/>
          <w:lang w:eastAsia="zh-CN"/>
        </w:rPr>
        <w:t>进行</w:t>
      </w:r>
      <w:r w:rsidR="00512910" w:rsidRPr="00512910">
        <w:rPr>
          <w:rFonts w:hint="eastAsia"/>
          <w:lang w:eastAsia="zh-CN"/>
        </w:rPr>
        <w:t>客观</w:t>
      </w:r>
      <w:r w:rsidR="0006139D">
        <w:rPr>
          <w:rFonts w:hint="eastAsia"/>
          <w:lang w:eastAsia="zh-CN"/>
        </w:rPr>
        <w:t>审查</w:t>
      </w:r>
      <w:r w:rsidR="00512910" w:rsidRPr="00512910">
        <w:rPr>
          <w:rFonts w:hint="eastAsia"/>
          <w:lang w:eastAsia="zh-CN"/>
        </w:rPr>
        <w:t>的事实信息</w:t>
      </w:r>
      <w:r w:rsidR="0006139D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包括</w:t>
      </w:r>
      <w:r w:rsidR="00BC727E">
        <w:rPr>
          <w:rFonts w:hint="eastAsia"/>
          <w:lang w:eastAsia="zh-CN"/>
        </w:rPr>
        <w:t>关于</w:t>
      </w:r>
      <w:r w:rsidR="00512910" w:rsidRPr="00512910">
        <w:rPr>
          <w:rFonts w:hint="eastAsia"/>
          <w:lang w:eastAsia="zh-CN"/>
        </w:rPr>
        <w:t>研究组</w:t>
      </w:r>
      <w:r w:rsidR="00BC727E">
        <w:rPr>
          <w:rFonts w:hint="eastAsia"/>
          <w:lang w:eastAsia="zh-CN"/>
        </w:rPr>
        <w:t>及</w:t>
      </w:r>
      <w:r w:rsidR="00512910" w:rsidRPr="00512910">
        <w:rPr>
          <w:rFonts w:hint="eastAsia"/>
          <w:lang w:eastAsia="zh-CN"/>
        </w:rPr>
        <w:t>工作组会议模式</w:t>
      </w:r>
      <w:r w:rsidR="0006139D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参</w:t>
      </w:r>
      <w:r>
        <w:rPr>
          <w:rFonts w:hint="eastAsia"/>
          <w:lang w:eastAsia="zh-CN"/>
        </w:rPr>
        <w:t>会</w:t>
      </w:r>
      <w:r w:rsidR="00512910" w:rsidRPr="00512910">
        <w:rPr>
          <w:rFonts w:hint="eastAsia"/>
          <w:lang w:eastAsia="zh-CN"/>
        </w:rPr>
        <w:t>情况</w:t>
      </w:r>
      <w:r w:rsidR="0006139D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文件</w:t>
      </w:r>
      <w:r>
        <w:rPr>
          <w:rFonts w:hint="eastAsia"/>
          <w:lang w:eastAsia="zh-CN"/>
        </w:rPr>
        <w:t>数量</w:t>
      </w:r>
      <w:r w:rsidR="0006139D">
        <w:rPr>
          <w:rFonts w:hint="eastAsia"/>
          <w:lang w:eastAsia="zh-CN"/>
        </w:rPr>
        <w:t>、</w:t>
      </w:r>
      <w:r w:rsidR="00BC727E">
        <w:rPr>
          <w:rFonts w:hint="eastAsia"/>
          <w:lang w:eastAsia="zh-CN"/>
        </w:rPr>
        <w:t>已</w:t>
      </w:r>
      <w:r w:rsidR="00512910" w:rsidRPr="00512910">
        <w:rPr>
          <w:rFonts w:hint="eastAsia"/>
          <w:lang w:eastAsia="zh-CN"/>
        </w:rPr>
        <w:t>批准的输出成果</w:t>
      </w:r>
      <w:r w:rsidR="00BC727E">
        <w:rPr>
          <w:rFonts w:hint="eastAsia"/>
          <w:lang w:eastAsia="zh-CN"/>
        </w:rPr>
        <w:t>以及</w:t>
      </w:r>
      <w:r w:rsidR="00512910" w:rsidRPr="00512910">
        <w:rPr>
          <w:rFonts w:hint="eastAsia"/>
          <w:lang w:eastAsia="zh-CN"/>
        </w:rPr>
        <w:t>其他相关运作考虑</w:t>
      </w:r>
      <w:r w:rsidR="00BC727E">
        <w:rPr>
          <w:rFonts w:hint="eastAsia"/>
          <w:lang w:eastAsia="zh-CN"/>
        </w:rPr>
        <w:t>因素</w:t>
      </w:r>
      <w:r w:rsidR="00512910" w:rsidRPr="00512910">
        <w:rPr>
          <w:rFonts w:hint="eastAsia"/>
          <w:lang w:eastAsia="zh-CN"/>
        </w:rPr>
        <w:t>的信息</w:t>
      </w:r>
      <w:r w:rsidR="0006139D" w:rsidRPr="007B16C8">
        <w:rPr>
          <w:rFonts w:hint="eastAsia"/>
          <w:lang w:eastAsia="zh-CN"/>
        </w:rPr>
        <w:t>。</w:t>
      </w:r>
    </w:p>
    <w:p w14:paraId="230BD771" w14:textId="069C9E36" w:rsidR="004070B6" w:rsidRPr="004070B6" w:rsidRDefault="00434372" w:rsidP="00D963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</w:t>
      </w:r>
      <w:r w:rsidRPr="00434372">
        <w:rPr>
          <w:rFonts w:hint="eastAsia"/>
          <w:lang w:eastAsia="zh-CN"/>
        </w:rPr>
        <w:t>信函</w:t>
      </w:r>
      <w:proofErr w:type="gramStart"/>
      <w:r w:rsidRPr="00434372">
        <w:rPr>
          <w:rFonts w:hint="eastAsia"/>
          <w:lang w:eastAsia="zh-CN"/>
        </w:rPr>
        <w:t>通信组</w:t>
      </w:r>
      <w:proofErr w:type="gramEnd"/>
      <w:r w:rsidR="00512910" w:rsidRPr="00512910">
        <w:rPr>
          <w:rFonts w:hint="eastAsia"/>
          <w:lang w:eastAsia="zh-CN"/>
        </w:rPr>
        <w:t>的职责范围见本文件后附资料</w:t>
      </w:r>
      <w:r>
        <w:rPr>
          <w:rFonts w:hint="eastAsia"/>
          <w:lang w:eastAsia="zh-CN"/>
        </w:rPr>
        <w:t>。</w:t>
      </w:r>
    </w:p>
    <w:p w14:paraId="1854CDF0" w14:textId="6104B17A" w:rsidR="004070B6" w:rsidRPr="004070B6" w:rsidRDefault="00434372" w:rsidP="00D963D6">
      <w:pPr>
        <w:ind w:firstLineChars="200" w:firstLine="480"/>
        <w:rPr>
          <w:lang w:eastAsia="zh-CN"/>
        </w:rPr>
      </w:pPr>
      <w:r w:rsidRPr="00434372">
        <w:rPr>
          <w:rFonts w:hint="eastAsia"/>
          <w:lang w:eastAsia="zh-CN"/>
        </w:rPr>
        <w:t>信函</w:t>
      </w:r>
      <w:proofErr w:type="gramStart"/>
      <w:r w:rsidRPr="00434372">
        <w:rPr>
          <w:rFonts w:hint="eastAsia"/>
          <w:lang w:eastAsia="zh-CN"/>
        </w:rPr>
        <w:t>通信组</w:t>
      </w:r>
      <w:proofErr w:type="gramEnd"/>
      <w:r w:rsidR="00512910" w:rsidRPr="00512910">
        <w:rPr>
          <w:rFonts w:hint="eastAsia"/>
          <w:lang w:eastAsia="zh-CN"/>
        </w:rPr>
        <w:t>将向</w:t>
      </w:r>
      <w:r w:rsidRPr="00434372">
        <w:rPr>
          <w:rFonts w:hint="eastAsia"/>
          <w:lang w:eastAsia="zh-CN"/>
        </w:rPr>
        <w:t>无线电通信顾问组</w:t>
      </w:r>
      <w:r w:rsidR="00512910" w:rsidRPr="00512910">
        <w:rPr>
          <w:rFonts w:hint="eastAsia"/>
          <w:lang w:eastAsia="zh-CN"/>
        </w:rPr>
        <w:t>第</w:t>
      </w:r>
      <w:r w:rsidRPr="004070B6">
        <w:rPr>
          <w:lang w:eastAsia="zh-CN"/>
        </w:rPr>
        <w:t>34</w:t>
      </w:r>
      <w:r w:rsidR="00512910" w:rsidRPr="00512910">
        <w:rPr>
          <w:rFonts w:hint="eastAsia"/>
          <w:lang w:eastAsia="zh-CN"/>
        </w:rPr>
        <w:t>次会议报告其工作结果</w:t>
      </w:r>
      <w:r w:rsidRPr="007B16C8">
        <w:rPr>
          <w:rFonts w:hint="eastAsia"/>
          <w:lang w:eastAsia="zh-CN"/>
        </w:rPr>
        <w:t>。</w:t>
      </w:r>
    </w:p>
    <w:p w14:paraId="086D3965" w14:textId="482DB4A7" w:rsidR="004070B6" w:rsidRPr="004070B6" w:rsidRDefault="00512910" w:rsidP="00A36331">
      <w:pPr>
        <w:spacing w:before="1080"/>
        <w:rPr>
          <w:rFonts w:eastAsiaTheme="minorEastAsia"/>
          <w:lang w:eastAsia="zh-CN"/>
        </w:rPr>
      </w:pPr>
      <w:r w:rsidRPr="00512910">
        <w:rPr>
          <w:rFonts w:eastAsiaTheme="minorEastAsia" w:hint="eastAsia"/>
          <w:b/>
          <w:bCs/>
          <w:lang w:eastAsia="zh-CN"/>
        </w:rPr>
        <w:t>后附资料</w:t>
      </w:r>
      <w:r w:rsidR="00434372">
        <w:rPr>
          <w:rFonts w:eastAsiaTheme="minorEastAsia" w:hint="eastAsia"/>
          <w:b/>
          <w:bCs/>
          <w:lang w:eastAsia="zh-CN"/>
        </w:rPr>
        <w:t>：</w:t>
      </w:r>
      <w:r w:rsidR="004070B6" w:rsidRPr="004070B6">
        <w:rPr>
          <w:rFonts w:eastAsiaTheme="minorEastAsia"/>
          <w:lang w:eastAsia="zh-CN"/>
        </w:rPr>
        <w:tab/>
        <w:t>1</w:t>
      </w:r>
      <w:r w:rsidR="00434372">
        <w:rPr>
          <w:rFonts w:eastAsiaTheme="minorEastAsia" w:hint="eastAsia"/>
          <w:lang w:eastAsia="zh-CN"/>
        </w:rPr>
        <w:t>件</w:t>
      </w:r>
    </w:p>
    <w:p w14:paraId="613F9CEC" w14:textId="77777777" w:rsidR="004070B6" w:rsidRPr="004070B6" w:rsidRDefault="004070B6" w:rsidP="004070B6">
      <w:pPr>
        <w:rPr>
          <w:lang w:eastAsia="zh-CN"/>
        </w:rPr>
      </w:pPr>
      <w:r w:rsidRPr="004070B6">
        <w:rPr>
          <w:lang w:eastAsia="zh-CN"/>
        </w:rPr>
        <w:br w:type="page"/>
      </w:r>
    </w:p>
    <w:p w14:paraId="5DBC98B9" w14:textId="5A5B80C6" w:rsidR="004070B6" w:rsidRPr="009A3937" w:rsidRDefault="00512910" w:rsidP="009A3937">
      <w:pPr>
        <w:pStyle w:val="AppendixNotitle"/>
        <w:rPr>
          <w:lang w:eastAsia="zh-CN"/>
        </w:rPr>
      </w:pPr>
      <w:r w:rsidRPr="00512910">
        <w:rPr>
          <w:rFonts w:hint="eastAsia"/>
          <w:lang w:eastAsia="zh-CN"/>
        </w:rPr>
        <w:t>后</w:t>
      </w:r>
      <w:proofErr w:type="gramStart"/>
      <w:r w:rsidRPr="00512910">
        <w:rPr>
          <w:rFonts w:hint="eastAsia"/>
          <w:lang w:eastAsia="zh-CN"/>
        </w:rPr>
        <w:t>附资料</w:t>
      </w:r>
      <w:proofErr w:type="gramEnd"/>
      <w:r w:rsidR="009A3937">
        <w:rPr>
          <w:lang w:eastAsia="zh-CN"/>
        </w:rPr>
        <w:br/>
      </w:r>
      <w:r w:rsidR="009A3937">
        <w:rPr>
          <w:lang w:eastAsia="zh-CN"/>
        </w:rPr>
        <w:br/>
      </w:r>
      <w:r w:rsidR="004070B6" w:rsidRPr="009A3937">
        <w:rPr>
          <w:lang w:eastAsia="zh-CN"/>
        </w:rPr>
        <w:t>RAG</w:t>
      </w:r>
      <w:r w:rsidRPr="009A3937">
        <w:rPr>
          <w:rFonts w:hint="eastAsia"/>
          <w:lang w:eastAsia="zh-CN"/>
        </w:rPr>
        <w:t>改进无线电通信研究组结构</w:t>
      </w:r>
      <w:r w:rsidR="007670F0" w:rsidRPr="009A3937">
        <w:rPr>
          <w:rFonts w:hint="eastAsia"/>
          <w:lang w:eastAsia="zh-CN"/>
        </w:rPr>
        <w:t>及</w:t>
      </w:r>
      <w:r w:rsidRPr="009A3937">
        <w:rPr>
          <w:rFonts w:hint="eastAsia"/>
          <w:lang w:eastAsia="zh-CN"/>
        </w:rPr>
        <w:t>框架</w:t>
      </w:r>
      <w:r w:rsidR="0034416F" w:rsidRPr="009A3937">
        <w:rPr>
          <w:rFonts w:hint="eastAsia"/>
          <w:lang w:eastAsia="zh-CN"/>
        </w:rPr>
        <w:t>信函</w:t>
      </w:r>
      <w:proofErr w:type="gramStart"/>
      <w:r w:rsidR="0034416F" w:rsidRPr="009A3937">
        <w:rPr>
          <w:rFonts w:hint="eastAsia"/>
          <w:lang w:eastAsia="zh-CN"/>
        </w:rPr>
        <w:t>通信组</w:t>
      </w:r>
      <w:proofErr w:type="gramEnd"/>
      <w:r w:rsidRPr="009A3937">
        <w:rPr>
          <w:rFonts w:hint="eastAsia"/>
          <w:lang w:eastAsia="zh-CN"/>
        </w:rPr>
        <w:t>的职责范围</w:t>
      </w:r>
    </w:p>
    <w:p w14:paraId="273BCB7F" w14:textId="3A98A0EA" w:rsidR="004070B6" w:rsidRPr="004070B6" w:rsidRDefault="00512910" w:rsidP="009A3937">
      <w:pPr>
        <w:spacing w:before="240"/>
        <w:ind w:firstLineChars="200" w:firstLine="480"/>
        <w:rPr>
          <w:lang w:eastAsia="zh-CN"/>
        </w:rPr>
      </w:pPr>
      <w:r w:rsidRPr="00512910">
        <w:rPr>
          <w:rFonts w:hint="eastAsia"/>
          <w:lang w:eastAsia="zh-CN"/>
        </w:rPr>
        <w:t>无线电通信顾问组</w:t>
      </w:r>
      <w:r w:rsidR="00023441">
        <w:rPr>
          <w:rFonts w:hint="eastAsia"/>
          <w:lang w:eastAsia="zh-CN"/>
        </w:rPr>
        <w:t>（</w:t>
      </w:r>
      <w:r w:rsidR="00023441" w:rsidRPr="004070B6">
        <w:rPr>
          <w:lang w:eastAsia="zh-CN"/>
        </w:rPr>
        <w:t>RAG</w:t>
      </w:r>
      <w:r w:rsidR="00023441">
        <w:rPr>
          <w:rFonts w:hint="eastAsia"/>
          <w:lang w:eastAsia="zh-CN"/>
        </w:rPr>
        <w:t>）</w:t>
      </w:r>
      <w:r w:rsidRPr="00023441">
        <w:rPr>
          <w:rFonts w:hint="eastAsia"/>
          <w:b/>
          <w:bCs/>
          <w:lang w:eastAsia="zh-CN"/>
        </w:rPr>
        <w:t>改进无线电通信研究组结构</w:t>
      </w:r>
      <w:r w:rsidR="007670F0">
        <w:rPr>
          <w:rFonts w:hint="eastAsia"/>
          <w:b/>
          <w:bCs/>
          <w:lang w:eastAsia="zh-CN"/>
        </w:rPr>
        <w:t>及</w:t>
      </w:r>
      <w:r w:rsidRPr="00023441">
        <w:rPr>
          <w:rFonts w:hint="eastAsia"/>
          <w:b/>
          <w:bCs/>
          <w:lang w:eastAsia="zh-CN"/>
        </w:rPr>
        <w:t>框架</w:t>
      </w:r>
      <w:r w:rsidR="00023441" w:rsidRPr="00023441">
        <w:rPr>
          <w:rFonts w:hint="eastAsia"/>
          <w:lang w:eastAsia="zh-CN"/>
        </w:rPr>
        <w:t>信函通信组</w:t>
      </w:r>
      <w:r w:rsidR="00023441">
        <w:rPr>
          <w:rFonts w:hint="eastAsia"/>
          <w:lang w:eastAsia="zh-CN"/>
        </w:rPr>
        <w:t>（</w:t>
      </w:r>
      <w:r w:rsidR="00023441" w:rsidRPr="004070B6">
        <w:rPr>
          <w:lang w:eastAsia="zh-CN"/>
        </w:rPr>
        <w:t>CG</w:t>
      </w:r>
      <w:r w:rsidR="00023441">
        <w:rPr>
          <w:rFonts w:hint="eastAsia"/>
          <w:lang w:eastAsia="zh-CN"/>
        </w:rPr>
        <w:t>）</w:t>
      </w:r>
      <w:r w:rsidRPr="00512910">
        <w:rPr>
          <w:rFonts w:hint="eastAsia"/>
          <w:lang w:eastAsia="zh-CN"/>
        </w:rPr>
        <w:t>的任务是对</w:t>
      </w:r>
      <w:r w:rsidR="00023441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的研究框架进行中立</w:t>
      </w:r>
      <w:r w:rsidR="00023441">
        <w:rPr>
          <w:rFonts w:hint="eastAsia"/>
          <w:lang w:eastAsia="zh-CN"/>
        </w:rPr>
        <w:t>且</w:t>
      </w:r>
      <w:r w:rsidRPr="00512910">
        <w:rPr>
          <w:rFonts w:hint="eastAsia"/>
          <w:lang w:eastAsia="zh-CN"/>
        </w:rPr>
        <w:t>基于证据的审查</w:t>
      </w:r>
      <w:r w:rsidR="00023441">
        <w:rPr>
          <w:rFonts w:hint="eastAsia"/>
          <w:lang w:eastAsia="zh-CN"/>
        </w:rPr>
        <w:t>，</w:t>
      </w:r>
      <w:r w:rsidRPr="00512910">
        <w:rPr>
          <w:rFonts w:hint="eastAsia"/>
          <w:lang w:eastAsia="zh-CN"/>
        </w:rPr>
        <w:t>并探索</w:t>
      </w:r>
      <w:r w:rsidR="00B01657" w:rsidRPr="00512910">
        <w:rPr>
          <w:rFonts w:hint="eastAsia"/>
          <w:lang w:eastAsia="zh-CN"/>
        </w:rPr>
        <w:t>改进</w:t>
      </w:r>
      <w:r w:rsidR="00023441" w:rsidRPr="004070B6">
        <w:rPr>
          <w:lang w:eastAsia="zh-CN"/>
        </w:rPr>
        <w:t>ITU-R</w:t>
      </w:r>
      <w:r w:rsidRPr="00512910">
        <w:rPr>
          <w:rFonts w:hint="eastAsia"/>
          <w:lang w:eastAsia="zh-CN"/>
        </w:rPr>
        <w:t>研究组结构和工作方法</w:t>
      </w:r>
      <w:r w:rsidR="00023441">
        <w:rPr>
          <w:rFonts w:hint="eastAsia"/>
          <w:lang w:eastAsia="zh-CN"/>
        </w:rPr>
        <w:t>的潜在方案，其</w:t>
      </w:r>
      <w:r w:rsidRPr="00512910">
        <w:rPr>
          <w:rFonts w:hint="eastAsia"/>
          <w:lang w:eastAsia="zh-CN"/>
        </w:rPr>
        <w:t>职责范围如下</w:t>
      </w:r>
      <w:r w:rsidR="00023441">
        <w:rPr>
          <w:rFonts w:hint="eastAsia"/>
          <w:lang w:eastAsia="zh-CN"/>
        </w:rPr>
        <w:t>：</w:t>
      </w:r>
    </w:p>
    <w:p w14:paraId="3BFA9C41" w14:textId="4E08E04D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9A41BF">
        <w:rPr>
          <w:rFonts w:hint="eastAsia"/>
          <w:lang w:eastAsia="zh-CN"/>
        </w:rPr>
        <w:t>审查</w:t>
      </w:r>
      <w:r w:rsidR="009A41BF" w:rsidRPr="004070B6">
        <w:rPr>
          <w:lang w:eastAsia="zh-CN"/>
        </w:rPr>
        <w:t>ITU-R</w:t>
      </w:r>
      <w:r w:rsidR="00512910" w:rsidRPr="00512910">
        <w:rPr>
          <w:rFonts w:hint="eastAsia"/>
          <w:lang w:eastAsia="zh-CN"/>
        </w:rPr>
        <w:t>第</w:t>
      </w:r>
      <w:r w:rsidR="009A41BF" w:rsidRPr="004070B6">
        <w:rPr>
          <w:lang w:eastAsia="zh-CN"/>
        </w:rPr>
        <w:t>4-9</w:t>
      </w:r>
      <w:r w:rsidR="00512910" w:rsidRPr="00512910">
        <w:rPr>
          <w:rFonts w:hint="eastAsia"/>
          <w:lang w:eastAsia="zh-CN"/>
        </w:rPr>
        <w:t>号决议确定的</w:t>
      </w:r>
      <w:r w:rsidR="007670F0">
        <w:rPr>
          <w:rFonts w:hint="eastAsia"/>
          <w:lang w:eastAsia="zh-CN"/>
        </w:rPr>
        <w:t>当前</w:t>
      </w:r>
      <w:r w:rsidR="009A41BF" w:rsidRPr="004070B6">
        <w:rPr>
          <w:lang w:eastAsia="zh-CN"/>
        </w:rPr>
        <w:t>ITU-R</w:t>
      </w:r>
      <w:r w:rsidR="00512910" w:rsidRPr="00512910">
        <w:rPr>
          <w:rFonts w:hint="eastAsia"/>
          <w:lang w:eastAsia="zh-CN"/>
        </w:rPr>
        <w:t>研究组</w:t>
      </w:r>
      <w:r w:rsidR="00B151C5">
        <w:rPr>
          <w:rFonts w:hint="eastAsia"/>
          <w:lang w:eastAsia="zh-CN"/>
        </w:rPr>
        <w:t>的</w:t>
      </w:r>
      <w:r w:rsidR="00512910" w:rsidRPr="00512910">
        <w:rPr>
          <w:rFonts w:hint="eastAsia"/>
          <w:lang w:eastAsia="zh-CN"/>
        </w:rPr>
        <w:t>结构</w:t>
      </w:r>
      <w:r w:rsidR="009A41BF">
        <w:rPr>
          <w:rFonts w:hint="eastAsia"/>
          <w:lang w:eastAsia="zh-CN"/>
        </w:rPr>
        <w:t>，</w:t>
      </w:r>
      <w:proofErr w:type="gramStart"/>
      <w:r w:rsidR="00512910" w:rsidRPr="00512910">
        <w:rPr>
          <w:rFonts w:hint="eastAsia"/>
          <w:lang w:eastAsia="zh-CN"/>
        </w:rPr>
        <w:t>包括</w:t>
      </w:r>
      <w:r w:rsidR="009A41BF" w:rsidRPr="00512910">
        <w:rPr>
          <w:rFonts w:hint="eastAsia"/>
          <w:lang w:eastAsia="zh-CN"/>
        </w:rPr>
        <w:t>各研究组</w:t>
      </w:r>
      <w:r w:rsidR="009A41BF">
        <w:rPr>
          <w:rFonts w:hint="eastAsia"/>
          <w:lang w:eastAsia="zh-CN"/>
        </w:rPr>
        <w:t>的范围和职责；</w:t>
      </w:r>
      <w:proofErr w:type="gramEnd"/>
    </w:p>
    <w:p w14:paraId="184950A4" w14:textId="0B8FC50E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酌情</w:t>
      </w:r>
      <w:r w:rsidR="00FE059E">
        <w:rPr>
          <w:rFonts w:hint="eastAsia"/>
          <w:lang w:eastAsia="zh-CN"/>
        </w:rPr>
        <w:t>审查当前</w:t>
      </w:r>
      <w:r w:rsidR="00512910" w:rsidRPr="00512910">
        <w:rPr>
          <w:rFonts w:hint="eastAsia"/>
          <w:lang w:eastAsia="zh-CN"/>
        </w:rPr>
        <w:t>各研究组</w:t>
      </w:r>
      <w:r w:rsidR="00B151C5">
        <w:rPr>
          <w:rFonts w:hint="eastAsia"/>
          <w:lang w:eastAsia="zh-CN"/>
        </w:rPr>
        <w:t>及</w:t>
      </w:r>
      <w:r w:rsidR="00512910" w:rsidRPr="00512910">
        <w:rPr>
          <w:rFonts w:hint="eastAsia"/>
          <w:lang w:eastAsia="zh-CN"/>
        </w:rPr>
        <w:t>工作组之间工作分配的有效性</w:t>
      </w:r>
      <w:r w:rsidR="00FE059E">
        <w:rPr>
          <w:rFonts w:hint="eastAsia"/>
          <w:lang w:eastAsia="zh-CN"/>
        </w:rPr>
        <w:t>，</w:t>
      </w:r>
      <w:proofErr w:type="gramStart"/>
      <w:r w:rsidR="00512910" w:rsidRPr="00512910">
        <w:rPr>
          <w:rFonts w:hint="eastAsia"/>
          <w:lang w:eastAsia="zh-CN"/>
        </w:rPr>
        <w:t>包括大会相关</w:t>
      </w:r>
      <w:r w:rsidR="00FE059E">
        <w:rPr>
          <w:rFonts w:hint="eastAsia"/>
          <w:lang w:eastAsia="zh-CN"/>
        </w:rPr>
        <w:t>活动</w:t>
      </w:r>
      <w:r w:rsidR="00512910" w:rsidRPr="00512910">
        <w:rPr>
          <w:rFonts w:hint="eastAsia"/>
          <w:lang w:eastAsia="zh-CN"/>
        </w:rPr>
        <w:t>和</w:t>
      </w:r>
      <w:r w:rsidR="00FE059E">
        <w:rPr>
          <w:rFonts w:hint="eastAsia"/>
          <w:lang w:eastAsia="zh-CN"/>
        </w:rPr>
        <w:t>非</w:t>
      </w:r>
      <w:r w:rsidR="00512910" w:rsidRPr="00512910">
        <w:rPr>
          <w:rFonts w:hint="eastAsia"/>
          <w:lang w:eastAsia="zh-CN"/>
        </w:rPr>
        <w:t>大会</w:t>
      </w:r>
      <w:r w:rsidR="00FE059E">
        <w:rPr>
          <w:rFonts w:hint="eastAsia"/>
          <w:lang w:eastAsia="zh-CN"/>
        </w:rPr>
        <w:t>相关</w:t>
      </w:r>
      <w:r w:rsidR="00512910" w:rsidRPr="00512910">
        <w:rPr>
          <w:rFonts w:hint="eastAsia"/>
          <w:lang w:eastAsia="zh-CN"/>
        </w:rPr>
        <w:t>活动之间</w:t>
      </w:r>
      <w:r w:rsidR="00340C8C">
        <w:rPr>
          <w:rFonts w:hint="eastAsia"/>
          <w:lang w:eastAsia="zh-CN"/>
        </w:rPr>
        <w:t>的</w:t>
      </w:r>
      <w:r w:rsidR="00512910" w:rsidRPr="00512910">
        <w:rPr>
          <w:rFonts w:hint="eastAsia"/>
          <w:lang w:eastAsia="zh-CN"/>
        </w:rPr>
        <w:t>平衡</w:t>
      </w:r>
      <w:r w:rsidR="00FE059E">
        <w:rPr>
          <w:rFonts w:hint="eastAsia"/>
          <w:lang w:eastAsia="zh-CN"/>
        </w:rPr>
        <w:t>；</w:t>
      </w:r>
      <w:proofErr w:type="gramEnd"/>
    </w:p>
    <w:p w14:paraId="4FA7740D" w14:textId="2587552C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确定影响</w:t>
      </w:r>
      <w:r w:rsidR="00DD7357" w:rsidRPr="004070B6">
        <w:rPr>
          <w:lang w:eastAsia="zh-CN"/>
        </w:rPr>
        <w:t>ITU-R</w:t>
      </w:r>
      <w:r w:rsidR="00512910" w:rsidRPr="00512910">
        <w:rPr>
          <w:rFonts w:hint="eastAsia"/>
          <w:lang w:eastAsia="zh-CN"/>
        </w:rPr>
        <w:t>研究</w:t>
      </w:r>
      <w:r w:rsidR="007670F0">
        <w:rPr>
          <w:rFonts w:hint="eastAsia"/>
          <w:lang w:eastAsia="zh-CN"/>
        </w:rPr>
        <w:t>工作</w:t>
      </w:r>
      <w:r w:rsidR="00512910" w:rsidRPr="00512910">
        <w:rPr>
          <w:rFonts w:hint="eastAsia"/>
          <w:lang w:eastAsia="zh-CN"/>
        </w:rPr>
        <w:t>效率的结构</w:t>
      </w:r>
      <w:r w:rsidR="00DD7357">
        <w:rPr>
          <w:rFonts w:hint="eastAsia"/>
          <w:lang w:eastAsia="zh-CN"/>
        </w:rPr>
        <w:t>性</w:t>
      </w:r>
      <w:r w:rsidR="00512910" w:rsidRPr="00512910">
        <w:rPr>
          <w:rFonts w:hint="eastAsia"/>
          <w:lang w:eastAsia="zh-CN"/>
        </w:rPr>
        <w:t>和程序性挑战</w:t>
      </w:r>
      <w:r w:rsidR="00DD7357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包括</w:t>
      </w:r>
      <w:r w:rsidR="00DD7357">
        <w:rPr>
          <w:rFonts w:hint="eastAsia"/>
          <w:lang w:eastAsia="zh-CN"/>
        </w:rPr>
        <w:t>：</w:t>
      </w:r>
    </w:p>
    <w:p w14:paraId="661BF3B5" w14:textId="56E6DFE5" w:rsidR="004070B6" w:rsidRPr="004070B6" w:rsidRDefault="00093A98" w:rsidP="00093A98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某些研究组的工作量</w:t>
      </w:r>
      <w:r w:rsidR="00597B58">
        <w:rPr>
          <w:rFonts w:hint="eastAsia"/>
          <w:lang w:eastAsia="zh-CN"/>
        </w:rPr>
        <w:t>，</w:t>
      </w:r>
    </w:p>
    <w:p w14:paraId="5961508D" w14:textId="50311DC2" w:rsidR="004070B6" w:rsidRPr="004070B6" w:rsidRDefault="00093A98" w:rsidP="00093A98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研究组之间的相互</w:t>
      </w:r>
      <w:r w:rsidR="00B01657">
        <w:rPr>
          <w:rFonts w:hint="eastAsia"/>
          <w:lang w:eastAsia="zh-CN"/>
        </w:rPr>
        <w:t>依</w:t>
      </w:r>
      <w:r w:rsidR="00B01657" w:rsidRPr="00B80926">
        <w:rPr>
          <w:rFonts w:hint="eastAsia"/>
          <w:lang w:eastAsia="zh-CN"/>
        </w:rPr>
        <w:t>赖关系</w:t>
      </w:r>
      <w:r w:rsidR="00597B58">
        <w:rPr>
          <w:rFonts w:hint="eastAsia"/>
          <w:lang w:eastAsia="zh-CN"/>
        </w:rPr>
        <w:t>，</w:t>
      </w:r>
    </w:p>
    <w:p w14:paraId="055C1D59" w14:textId="074F6D27" w:rsidR="004070B6" w:rsidRPr="004070B6" w:rsidRDefault="00093A98" w:rsidP="00093A98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512910">
        <w:rPr>
          <w:rFonts w:hint="eastAsia"/>
          <w:lang w:eastAsia="zh-CN"/>
        </w:rPr>
        <w:t>文稿数量和参与程度</w:t>
      </w:r>
      <w:r w:rsidR="00597B58">
        <w:rPr>
          <w:rFonts w:hint="eastAsia"/>
          <w:lang w:eastAsia="zh-CN"/>
        </w:rPr>
        <w:t>，</w:t>
      </w:r>
    </w:p>
    <w:p w14:paraId="39DE96EE" w14:textId="0D1B2433" w:rsidR="004070B6" w:rsidRPr="00B151C5" w:rsidRDefault="00093A98" w:rsidP="00093A98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val="en-US" w:eastAsia="zh-CN"/>
        </w:rPr>
        <w:tab/>
      </w:r>
      <w:r w:rsidR="00512910" w:rsidRPr="00B151C5">
        <w:rPr>
          <w:rFonts w:hint="eastAsia"/>
          <w:lang w:eastAsia="zh-CN"/>
        </w:rPr>
        <w:t>需要跨学科专业知识的新兴技术</w:t>
      </w:r>
      <w:r w:rsidR="00597B58" w:rsidRPr="00B151C5">
        <w:rPr>
          <w:rFonts w:hint="eastAsia"/>
          <w:lang w:eastAsia="zh-CN"/>
        </w:rPr>
        <w:t>。</w:t>
      </w:r>
    </w:p>
    <w:p w14:paraId="2B50F9C2" w14:textId="15920951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512910" w:rsidRPr="006324A9">
        <w:rPr>
          <w:rFonts w:hint="eastAsia"/>
          <w:lang w:eastAsia="zh-CN"/>
        </w:rPr>
        <w:t>评估</w:t>
      </w:r>
      <w:r w:rsidR="00B01657" w:rsidRPr="006324A9">
        <w:rPr>
          <w:rFonts w:hint="eastAsia"/>
          <w:lang w:eastAsia="zh-CN"/>
        </w:rPr>
        <w:t>所确定</w:t>
      </w:r>
      <w:r w:rsidR="00B01657" w:rsidRPr="00512910">
        <w:rPr>
          <w:rFonts w:hint="eastAsia"/>
          <w:lang w:eastAsia="zh-CN"/>
        </w:rPr>
        <w:t>的挑战</w:t>
      </w:r>
      <w:r w:rsidR="00512910" w:rsidRPr="00512910">
        <w:rPr>
          <w:rFonts w:hint="eastAsia"/>
          <w:lang w:eastAsia="zh-CN"/>
        </w:rPr>
        <w:t>是否可通过非结构性措施</w:t>
      </w:r>
      <w:r w:rsidR="00B01657">
        <w:rPr>
          <w:rFonts w:hint="eastAsia"/>
          <w:lang w:eastAsia="zh-CN"/>
        </w:rPr>
        <w:t>加以解决</w:t>
      </w:r>
      <w:r w:rsidR="00AE726F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包括</w:t>
      </w:r>
      <w:r w:rsidR="00C00898">
        <w:rPr>
          <w:rFonts w:hint="eastAsia"/>
          <w:lang w:eastAsia="zh-CN"/>
        </w:rPr>
        <w:t>加强</w:t>
      </w:r>
      <w:r w:rsidR="00512910" w:rsidRPr="00512910">
        <w:rPr>
          <w:rFonts w:hint="eastAsia"/>
          <w:lang w:eastAsia="zh-CN"/>
        </w:rPr>
        <w:t>协调</w:t>
      </w:r>
      <w:r w:rsidR="00AE726F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明确</w:t>
      </w:r>
      <w:r w:rsidR="00AE726F">
        <w:rPr>
          <w:rFonts w:hint="eastAsia"/>
          <w:lang w:eastAsia="zh-CN"/>
        </w:rPr>
        <w:t>职责、</w:t>
      </w:r>
      <w:proofErr w:type="gramStart"/>
      <w:r w:rsidR="00512910" w:rsidRPr="00512910">
        <w:rPr>
          <w:rFonts w:hint="eastAsia"/>
          <w:lang w:eastAsia="zh-CN"/>
        </w:rPr>
        <w:t>改进工作方法或在现有各组之间重新分配</w:t>
      </w:r>
      <w:r w:rsidR="00B80926" w:rsidRPr="00880C00">
        <w:rPr>
          <w:rFonts w:hint="eastAsia"/>
          <w:lang w:eastAsia="zh-CN"/>
        </w:rPr>
        <w:t>特定</w:t>
      </w:r>
      <w:r w:rsidR="00512910" w:rsidRPr="00880C00">
        <w:rPr>
          <w:rFonts w:hint="eastAsia"/>
          <w:lang w:eastAsia="zh-CN"/>
        </w:rPr>
        <w:t>议</w:t>
      </w:r>
      <w:r w:rsidR="00512910" w:rsidRPr="00512910">
        <w:rPr>
          <w:rFonts w:hint="eastAsia"/>
          <w:lang w:eastAsia="zh-CN"/>
        </w:rPr>
        <w:t>题和</w:t>
      </w:r>
      <w:r w:rsidR="0087137B">
        <w:rPr>
          <w:rFonts w:hint="eastAsia"/>
          <w:lang w:eastAsia="zh-CN"/>
        </w:rPr>
        <w:t>职责；</w:t>
      </w:r>
      <w:proofErr w:type="gramEnd"/>
    </w:p>
    <w:p w14:paraId="5C8A6463" w14:textId="1E7C274B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87137B">
        <w:rPr>
          <w:rFonts w:hint="eastAsia"/>
          <w:lang w:eastAsia="zh-CN"/>
        </w:rPr>
        <w:t>总结审查</w:t>
      </w:r>
      <w:r w:rsidR="00512910" w:rsidRPr="00512910">
        <w:rPr>
          <w:rFonts w:hint="eastAsia"/>
          <w:lang w:eastAsia="zh-CN"/>
        </w:rPr>
        <w:t>结果</w:t>
      </w:r>
      <w:r w:rsidR="0087137B">
        <w:rPr>
          <w:rFonts w:hint="eastAsia"/>
          <w:lang w:eastAsia="zh-CN"/>
        </w:rPr>
        <w:t>并提出</w:t>
      </w:r>
      <w:r w:rsidR="0046083A">
        <w:rPr>
          <w:rFonts w:hint="eastAsia"/>
          <w:lang w:eastAsia="zh-CN"/>
        </w:rPr>
        <w:t>旨在</w:t>
      </w:r>
      <w:r w:rsidR="00512910" w:rsidRPr="00512910">
        <w:rPr>
          <w:rFonts w:hint="eastAsia"/>
          <w:lang w:eastAsia="zh-CN"/>
        </w:rPr>
        <w:t>提高</w:t>
      </w:r>
      <w:r w:rsidR="0087137B" w:rsidRPr="004070B6">
        <w:rPr>
          <w:lang w:eastAsia="zh-CN"/>
        </w:rPr>
        <w:t>ITU-R</w:t>
      </w:r>
      <w:r w:rsidR="00512910" w:rsidRPr="00512910">
        <w:rPr>
          <w:rFonts w:hint="eastAsia"/>
          <w:lang w:eastAsia="zh-CN"/>
        </w:rPr>
        <w:t>研究</w:t>
      </w:r>
      <w:r w:rsidR="00C00898">
        <w:rPr>
          <w:rFonts w:hint="eastAsia"/>
          <w:lang w:eastAsia="zh-CN"/>
        </w:rPr>
        <w:t>工作</w:t>
      </w:r>
      <w:r w:rsidR="00512910" w:rsidRPr="00512910">
        <w:rPr>
          <w:rFonts w:hint="eastAsia"/>
          <w:lang w:eastAsia="zh-CN"/>
        </w:rPr>
        <w:t>的效率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协调性和响应</w:t>
      </w:r>
      <w:r w:rsidR="00B01657">
        <w:rPr>
          <w:rFonts w:hint="eastAsia"/>
          <w:lang w:eastAsia="zh-CN"/>
        </w:rPr>
        <w:t>能力</w:t>
      </w:r>
      <w:r w:rsidR="0087137B">
        <w:rPr>
          <w:rFonts w:hint="eastAsia"/>
          <w:lang w:eastAsia="zh-CN"/>
        </w:rPr>
        <w:t>的可能方案，</w:t>
      </w:r>
      <w:r w:rsidR="00512910" w:rsidRPr="00512910">
        <w:rPr>
          <w:rFonts w:hint="eastAsia"/>
          <w:lang w:eastAsia="zh-CN"/>
        </w:rPr>
        <w:t>包括程序性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协调性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职责相关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工作量分配</w:t>
      </w:r>
      <w:r w:rsidR="00B01657">
        <w:rPr>
          <w:rFonts w:hint="eastAsia"/>
          <w:lang w:eastAsia="zh-CN"/>
        </w:rPr>
        <w:t>方面的方案，</w:t>
      </w:r>
      <w:r w:rsidR="00512910" w:rsidRPr="00512910">
        <w:rPr>
          <w:rFonts w:hint="eastAsia"/>
          <w:lang w:eastAsia="zh-CN"/>
        </w:rPr>
        <w:t>以及</w:t>
      </w:r>
      <w:r w:rsidR="00512910" w:rsidRPr="00C00898">
        <w:rPr>
          <w:rFonts w:hint="eastAsia"/>
          <w:lang w:eastAsia="zh-CN"/>
        </w:rPr>
        <w:t>在合理情况</w:t>
      </w:r>
      <w:r w:rsidR="00512910" w:rsidRPr="005843C8">
        <w:rPr>
          <w:rFonts w:hint="eastAsia"/>
          <w:lang w:eastAsia="zh-CN"/>
        </w:rPr>
        <w:t>下</w:t>
      </w:r>
      <w:r w:rsidR="00B7768E" w:rsidRPr="005843C8">
        <w:rPr>
          <w:rFonts w:hint="eastAsia"/>
          <w:lang w:eastAsia="zh-CN"/>
        </w:rPr>
        <w:t>提出</w:t>
      </w:r>
      <w:r w:rsidR="00512910" w:rsidRPr="00512910">
        <w:rPr>
          <w:rFonts w:hint="eastAsia"/>
          <w:lang w:eastAsia="zh-CN"/>
        </w:rPr>
        <w:t>的结构性</w:t>
      </w:r>
      <w:r w:rsidR="0087137B">
        <w:rPr>
          <w:rFonts w:hint="eastAsia"/>
          <w:lang w:eastAsia="zh-CN"/>
        </w:rPr>
        <w:t>方案。</w:t>
      </w:r>
    </w:p>
    <w:p w14:paraId="443A0CCC" w14:textId="1BFC2AEF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87137B">
        <w:rPr>
          <w:rFonts w:hint="eastAsia"/>
          <w:lang w:eastAsia="zh-CN"/>
        </w:rPr>
        <w:t>在可行范围内</w:t>
      </w:r>
      <w:r w:rsidR="00F8259D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考虑到相关事实信息</w:t>
      </w:r>
      <w:r w:rsidR="0087137B">
        <w:rPr>
          <w:rFonts w:hint="eastAsia"/>
          <w:lang w:eastAsia="zh-CN"/>
        </w:rPr>
        <w:t>，</w:t>
      </w:r>
      <w:r w:rsidR="00512910" w:rsidRPr="00512910">
        <w:rPr>
          <w:rFonts w:hint="eastAsia"/>
          <w:lang w:eastAsia="zh-CN"/>
        </w:rPr>
        <w:t>如会议频次和会期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文稿数量</w:t>
      </w:r>
      <w:r w:rsidR="0087137B">
        <w:rPr>
          <w:rFonts w:hint="eastAsia"/>
          <w:lang w:eastAsia="zh-CN"/>
        </w:rPr>
        <w:t>、</w:t>
      </w:r>
      <w:r w:rsidR="00C00898">
        <w:rPr>
          <w:rFonts w:hint="eastAsia"/>
          <w:lang w:eastAsia="zh-CN"/>
        </w:rPr>
        <w:t>已</w:t>
      </w:r>
      <w:r w:rsidR="00512910" w:rsidRPr="00512910">
        <w:rPr>
          <w:rFonts w:hint="eastAsia"/>
          <w:lang w:eastAsia="zh-CN"/>
        </w:rPr>
        <w:t>批准的输出成果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参与趋势</w:t>
      </w:r>
      <w:r w:rsidR="0087137B">
        <w:rPr>
          <w:rFonts w:hint="eastAsia"/>
          <w:lang w:eastAsia="zh-CN"/>
        </w:rPr>
        <w:t>、</w:t>
      </w:r>
      <w:r w:rsidR="00512910" w:rsidRPr="00512910">
        <w:rPr>
          <w:rFonts w:hint="eastAsia"/>
          <w:lang w:eastAsia="zh-CN"/>
        </w:rPr>
        <w:t>跨研究组</w:t>
      </w:r>
      <w:r w:rsidR="00512910" w:rsidRPr="00F8259D">
        <w:rPr>
          <w:rFonts w:hint="eastAsia"/>
          <w:lang w:eastAsia="zh-CN"/>
        </w:rPr>
        <w:t>依赖关</w:t>
      </w:r>
      <w:r w:rsidR="00512910" w:rsidRPr="00512910">
        <w:rPr>
          <w:rFonts w:hint="eastAsia"/>
          <w:lang w:eastAsia="zh-CN"/>
        </w:rPr>
        <w:t>系以及对</w:t>
      </w:r>
      <w:r w:rsidR="0087137B" w:rsidRPr="0087137B">
        <w:rPr>
          <w:rFonts w:hint="eastAsia"/>
          <w:lang w:eastAsia="zh-CN"/>
        </w:rPr>
        <w:t>无线电通信局</w:t>
      </w:r>
      <w:r w:rsidR="00512910" w:rsidRPr="00512910">
        <w:rPr>
          <w:rFonts w:hint="eastAsia"/>
          <w:lang w:eastAsia="zh-CN"/>
        </w:rPr>
        <w:t>的</w:t>
      </w:r>
      <w:r w:rsidR="00C00898">
        <w:rPr>
          <w:rFonts w:hint="eastAsia"/>
          <w:lang w:eastAsia="zh-CN"/>
        </w:rPr>
        <w:t>运作</w:t>
      </w:r>
      <w:r w:rsidR="0087137B" w:rsidRPr="004070B6">
        <w:rPr>
          <w:lang w:eastAsia="zh-CN"/>
        </w:rPr>
        <w:t>/</w:t>
      </w:r>
      <w:r w:rsidR="00512910" w:rsidRPr="00512910">
        <w:rPr>
          <w:rFonts w:hint="eastAsia"/>
          <w:lang w:eastAsia="zh-CN"/>
        </w:rPr>
        <w:t>资源影响</w:t>
      </w:r>
      <w:r w:rsidR="0087137B" w:rsidRPr="009E36B3">
        <w:rPr>
          <w:rFonts w:hint="eastAsia"/>
          <w:lang w:eastAsia="zh-CN"/>
        </w:rPr>
        <w:t>。</w:t>
      </w:r>
    </w:p>
    <w:p w14:paraId="0209B7FE" w14:textId="1B9A663A" w:rsidR="004070B6" w:rsidRPr="004070B6" w:rsidRDefault="008A0A72" w:rsidP="00D963D6">
      <w:pPr>
        <w:ind w:firstLineChars="200" w:firstLine="480"/>
        <w:rPr>
          <w:lang w:eastAsia="zh-CN"/>
        </w:rPr>
      </w:pPr>
      <w:r w:rsidRPr="008A0A72">
        <w:rPr>
          <w:rFonts w:hint="eastAsia"/>
          <w:lang w:eastAsia="zh-CN"/>
        </w:rPr>
        <w:t>信函</w:t>
      </w:r>
      <w:proofErr w:type="gramStart"/>
      <w:r w:rsidRPr="008A0A72">
        <w:rPr>
          <w:rFonts w:hint="eastAsia"/>
          <w:lang w:eastAsia="zh-CN"/>
        </w:rPr>
        <w:t>通信组</w:t>
      </w:r>
      <w:proofErr w:type="gramEnd"/>
      <w:r w:rsidR="00094183" w:rsidRPr="00094183">
        <w:rPr>
          <w:rFonts w:hint="eastAsia"/>
          <w:lang w:eastAsia="zh-CN"/>
        </w:rPr>
        <w:t>在</w:t>
      </w:r>
      <w:r w:rsidRPr="004070B6">
        <w:rPr>
          <w:lang w:eastAsia="zh-CN"/>
        </w:rPr>
        <w:t>RAG</w:t>
      </w:r>
      <w:r w:rsidR="00094183" w:rsidRPr="00094183">
        <w:rPr>
          <w:rFonts w:hint="eastAsia"/>
          <w:lang w:eastAsia="zh-CN"/>
        </w:rPr>
        <w:t>第</w:t>
      </w:r>
      <w:r w:rsidRPr="004070B6">
        <w:rPr>
          <w:lang w:eastAsia="zh-CN"/>
        </w:rPr>
        <w:t>33</w:t>
      </w:r>
      <w:r w:rsidR="00094183" w:rsidRPr="00094183">
        <w:rPr>
          <w:rFonts w:hint="eastAsia"/>
          <w:lang w:eastAsia="zh-CN"/>
        </w:rPr>
        <w:t>次会议</w:t>
      </w:r>
      <w:r>
        <w:rPr>
          <w:rFonts w:hint="eastAsia"/>
          <w:lang w:eastAsia="zh-CN"/>
        </w:rPr>
        <w:t>结束</w:t>
      </w:r>
      <w:r w:rsidR="00094183" w:rsidRPr="00094183">
        <w:rPr>
          <w:rFonts w:hint="eastAsia"/>
          <w:lang w:eastAsia="zh-CN"/>
        </w:rPr>
        <w:t>后立即开始工作</w:t>
      </w:r>
      <w:r>
        <w:rPr>
          <w:rFonts w:hint="eastAsia"/>
          <w:lang w:eastAsia="zh-CN"/>
        </w:rPr>
        <w:t>，</w:t>
      </w:r>
      <w:r w:rsidR="00094183" w:rsidRPr="00094183">
        <w:rPr>
          <w:rFonts w:hint="eastAsia"/>
          <w:lang w:eastAsia="zh-CN"/>
        </w:rPr>
        <w:t>并就以下方面向</w:t>
      </w:r>
      <w:r w:rsidRPr="008A0A72">
        <w:rPr>
          <w:rFonts w:hint="eastAsia"/>
          <w:lang w:eastAsia="zh-CN"/>
        </w:rPr>
        <w:t>无线电通信局</w:t>
      </w:r>
      <w:r>
        <w:rPr>
          <w:rFonts w:hint="eastAsia"/>
          <w:lang w:eastAsia="zh-CN"/>
        </w:rPr>
        <w:t>（</w:t>
      </w:r>
      <w:r w:rsidRPr="004070B6">
        <w:rPr>
          <w:lang w:eastAsia="zh-CN"/>
        </w:rPr>
        <w:t>BR</w:t>
      </w:r>
      <w:r>
        <w:rPr>
          <w:rFonts w:hint="eastAsia"/>
          <w:lang w:eastAsia="zh-CN"/>
        </w:rPr>
        <w:t>）</w:t>
      </w:r>
      <w:r w:rsidR="00094183" w:rsidRPr="00094183">
        <w:rPr>
          <w:rFonts w:hint="eastAsia"/>
          <w:lang w:eastAsia="zh-CN"/>
        </w:rPr>
        <w:t>寻求信息和指导</w:t>
      </w:r>
      <w:r>
        <w:rPr>
          <w:rFonts w:hint="eastAsia"/>
          <w:lang w:eastAsia="zh-CN"/>
        </w:rPr>
        <w:t>：</w:t>
      </w:r>
    </w:p>
    <w:p w14:paraId="49E4427F" w14:textId="2B1E5439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461516">
        <w:rPr>
          <w:rFonts w:hint="eastAsia"/>
          <w:lang w:eastAsia="zh-CN"/>
        </w:rPr>
        <w:t>根据</w:t>
      </w:r>
      <w:r w:rsidR="008A0A72" w:rsidRPr="004070B6">
        <w:rPr>
          <w:lang w:eastAsia="zh-CN"/>
        </w:rPr>
        <w:t>ITU-R</w:t>
      </w:r>
      <w:r w:rsidR="00094183" w:rsidRPr="00094183">
        <w:rPr>
          <w:rFonts w:hint="eastAsia"/>
          <w:lang w:eastAsia="zh-CN"/>
        </w:rPr>
        <w:t>第</w:t>
      </w:r>
      <w:r w:rsidR="008A0A72" w:rsidRPr="004070B6">
        <w:rPr>
          <w:lang w:eastAsia="zh-CN"/>
        </w:rPr>
        <w:t>4-9</w:t>
      </w:r>
      <w:r w:rsidR="00094183" w:rsidRPr="00094183">
        <w:rPr>
          <w:rFonts w:hint="eastAsia"/>
          <w:lang w:eastAsia="zh-CN"/>
        </w:rPr>
        <w:t>号决议</w:t>
      </w:r>
      <w:r w:rsidR="00461516">
        <w:rPr>
          <w:rFonts w:hint="eastAsia"/>
          <w:lang w:eastAsia="zh-CN"/>
        </w:rPr>
        <w:t>进行</w:t>
      </w:r>
      <w:r w:rsidR="00094183" w:rsidRPr="00094183">
        <w:rPr>
          <w:rFonts w:hint="eastAsia"/>
          <w:lang w:eastAsia="zh-CN"/>
        </w:rPr>
        <w:t>研究组重组的程序要求</w:t>
      </w:r>
      <w:r w:rsidR="008A0A72">
        <w:rPr>
          <w:rFonts w:hint="eastAsia"/>
          <w:lang w:eastAsia="zh-CN"/>
        </w:rPr>
        <w:t>，</w:t>
      </w:r>
    </w:p>
    <w:p w14:paraId="54D7D6F5" w14:textId="4591EADE" w:rsidR="004070B6" w:rsidRPr="004070B6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094183" w:rsidRPr="00094183">
        <w:rPr>
          <w:rFonts w:hint="eastAsia"/>
          <w:lang w:eastAsia="zh-CN"/>
        </w:rPr>
        <w:t>修改研究组结构的实际考虑</w:t>
      </w:r>
      <w:r w:rsidR="00461516">
        <w:rPr>
          <w:rFonts w:hint="eastAsia"/>
          <w:lang w:eastAsia="zh-CN"/>
        </w:rPr>
        <w:t>因素</w:t>
      </w:r>
      <w:r w:rsidR="00D97C9E">
        <w:rPr>
          <w:rFonts w:hint="eastAsia"/>
          <w:lang w:eastAsia="zh-CN"/>
        </w:rPr>
        <w:t>，</w:t>
      </w:r>
    </w:p>
    <w:p w14:paraId="775E5728" w14:textId="09EC3087" w:rsidR="004070B6" w:rsidRPr="009E36B3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461516" w:rsidRPr="009E36B3">
        <w:rPr>
          <w:rFonts w:hint="eastAsia"/>
          <w:lang w:eastAsia="zh-CN"/>
        </w:rPr>
        <w:t>支持</w:t>
      </w:r>
      <w:r w:rsidR="00094183" w:rsidRPr="009E36B3">
        <w:rPr>
          <w:rFonts w:hint="eastAsia"/>
          <w:lang w:eastAsia="zh-CN"/>
        </w:rPr>
        <w:t>在当前研究组框架内</w:t>
      </w:r>
      <w:r w:rsidR="00AC3017" w:rsidRPr="009E36B3">
        <w:rPr>
          <w:rFonts w:hint="eastAsia"/>
          <w:lang w:eastAsia="zh-CN"/>
        </w:rPr>
        <w:t>加强</w:t>
      </w:r>
      <w:r w:rsidR="00094183" w:rsidRPr="009E36B3">
        <w:rPr>
          <w:rFonts w:hint="eastAsia"/>
          <w:lang w:eastAsia="zh-CN"/>
        </w:rPr>
        <w:t>协调</w:t>
      </w:r>
      <w:r w:rsidR="00461516" w:rsidRPr="009E36B3">
        <w:rPr>
          <w:rFonts w:hint="eastAsia"/>
          <w:lang w:eastAsia="zh-CN"/>
        </w:rPr>
        <w:t>并</w:t>
      </w:r>
      <w:r w:rsidR="00094183" w:rsidRPr="009E36B3">
        <w:rPr>
          <w:rFonts w:hint="eastAsia"/>
          <w:lang w:eastAsia="zh-CN"/>
        </w:rPr>
        <w:t>提高效率的现有机制</w:t>
      </w:r>
      <w:r w:rsidR="00D97C9E" w:rsidRPr="009E36B3">
        <w:rPr>
          <w:rFonts w:hint="eastAsia"/>
          <w:lang w:eastAsia="zh-CN"/>
        </w:rPr>
        <w:t>，</w:t>
      </w:r>
    </w:p>
    <w:p w14:paraId="794297C8" w14:textId="450E5168" w:rsidR="004070B6" w:rsidRPr="009E36B3" w:rsidRDefault="00093A98" w:rsidP="00093A9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val="en-US" w:eastAsia="zh-CN"/>
        </w:rPr>
        <w:tab/>
      </w:r>
      <w:r w:rsidR="00094183" w:rsidRPr="009E36B3">
        <w:rPr>
          <w:rFonts w:hint="eastAsia"/>
          <w:lang w:eastAsia="zh-CN"/>
        </w:rPr>
        <w:t>潜在结构调整</w:t>
      </w:r>
      <w:r w:rsidR="00461516" w:rsidRPr="009E36B3">
        <w:rPr>
          <w:rFonts w:hint="eastAsia"/>
          <w:lang w:eastAsia="zh-CN"/>
        </w:rPr>
        <w:t>的任何</w:t>
      </w:r>
      <w:r w:rsidR="00AC3017" w:rsidRPr="009E36B3">
        <w:rPr>
          <w:rFonts w:hint="eastAsia"/>
          <w:lang w:eastAsia="zh-CN"/>
        </w:rPr>
        <w:t>运作</w:t>
      </w:r>
      <w:r w:rsidR="00094183" w:rsidRPr="009E36B3">
        <w:rPr>
          <w:rFonts w:hint="eastAsia"/>
          <w:lang w:eastAsia="zh-CN"/>
        </w:rPr>
        <w:t>或组织影响</w:t>
      </w:r>
      <w:r w:rsidR="00D97C9E" w:rsidRPr="009E36B3">
        <w:rPr>
          <w:rFonts w:hint="eastAsia"/>
          <w:lang w:eastAsia="zh-CN"/>
        </w:rPr>
        <w:t>。</w:t>
      </w:r>
    </w:p>
    <w:p w14:paraId="0AC5D669" w14:textId="0A26C447" w:rsidR="004070B6" w:rsidRPr="004070B6" w:rsidRDefault="00D97C9E" w:rsidP="00D963D6">
      <w:pPr>
        <w:ind w:firstLineChars="200" w:firstLine="480"/>
        <w:rPr>
          <w:lang w:eastAsia="zh-CN"/>
        </w:rPr>
      </w:pPr>
      <w:r w:rsidRPr="00D97C9E">
        <w:rPr>
          <w:rFonts w:hint="eastAsia"/>
          <w:lang w:eastAsia="zh-CN"/>
        </w:rPr>
        <w:t>信函</w:t>
      </w:r>
      <w:proofErr w:type="gramStart"/>
      <w:r w:rsidRPr="00D97C9E">
        <w:rPr>
          <w:rFonts w:hint="eastAsia"/>
          <w:lang w:eastAsia="zh-CN"/>
        </w:rPr>
        <w:t>通信组</w:t>
      </w:r>
      <w:proofErr w:type="gramEnd"/>
      <w:r w:rsidR="00094183" w:rsidRPr="00094183">
        <w:rPr>
          <w:rFonts w:hint="eastAsia"/>
          <w:lang w:eastAsia="zh-CN"/>
        </w:rPr>
        <w:t>的目标是在</w:t>
      </w:r>
      <w:r w:rsidRPr="004070B6">
        <w:rPr>
          <w:lang w:eastAsia="zh-CN"/>
        </w:rPr>
        <w:t>RAG</w:t>
      </w:r>
      <w:r w:rsidR="00094183" w:rsidRPr="00094183">
        <w:rPr>
          <w:rFonts w:hint="eastAsia"/>
          <w:lang w:eastAsia="zh-CN"/>
        </w:rPr>
        <w:t>第</w:t>
      </w:r>
      <w:r w:rsidRPr="004070B6">
        <w:rPr>
          <w:lang w:eastAsia="zh-CN"/>
        </w:rPr>
        <w:t>34</w:t>
      </w:r>
      <w:r w:rsidR="00094183" w:rsidRPr="00094183">
        <w:rPr>
          <w:rFonts w:hint="eastAsia"/>
          <w:lang w:eastAsia="zh-CN"/>
        </w:rPr>
        <w:t>次会议之前提交一份综合报告</w:t>
      </w:r>
      <w:r>
        <w:rPr>
          <w:rFonts w:hint="eastAsia"/>
          <w:lang w:eastAsia="zh-CN"/>
        </w:rPr>
        <w:t>。为提高</w:t>
      </w:r>
      <w:r w:rsidRPr="00094183">
        <w:rPr>
          <w:rFonts w:hint="eastAsia"/>
          <w:lang w:eastAsia="zh-CN"/>
        </w:rPr>
        <w:t>效率</w:t>
      </w:r>
      <w:r w:rsidR="0006209A">
        <w:rPr>
          <w:rFonts w:hint="eastAsia"/>
          <w:lang w:eastAsia="zh-CN"/>
        </w:rPr>
        <w:t>和</w:t>
      </w:r>
      <w:r w:rsidRPr="00094183">
        <w:rPr>
          <w:rFonts w:hint="eastAsia"/>
          <w:lang w:eastAsia="zh-CN"/>
        </w:rPr>
        <w:t>包容性</w:t>
      </w:r>
      <w:r>
        <w:rPr>
          <w:rFonts w:hint="eastAsia"/>
          <w:lang w:eastAsia="zh-CN"/>
        </w:rPr>
        <w:t>，</w:t>
      </w:r>
      <w:r w:rsidR="00094183" w:rsidRPr="00094183">
        <w:rPr>
          <w:rFonts w:hint="eastAsia"/>
          <w:lang w:eastAsia="zh-CN"/>
        </w:rPr>
        <w:t>工作应主要通过信函</w:t>
      </w:r>
      <w:r>
        <w:rPr>
          <w:rFonts w:hint="eastAsia"/>
          <w:lang w:eastAsia="zh-CN"/>
        </w:rPr>
        <w:t>方式</w:t>
      </w:r>
      <w:r w:rsidR="00094183" w:rsidRPr="00094183">
        <w:rPr>
          <w:rFonts w:hint="eastAsia"/>
          <w:lang w:eastAsia="zh-CN"/>
        </w:rPr>
        <w:t>和虚拟会议</w:t>
      </w:r>
      <w:r w:rsidR="0006209A" w:rsidRPr="00094183">
        <w:rPr>
          <w:rFonts w:hint="eastAsia"/>
          <w:lang w:eastAsia="zh-CN"/>
        </w:rPr>
        <w:t>进行</w:t>
      </w:r>
      <w:r w:rsidR="0006209A">
        <w:rPr>
          <w:rFonts w:hint="eastAsia"/>
          <w:lang w:eastAsia="zh-CN"/>
        </w:rPr>
        <w:t>，其中</w:t>
      </w:r>
      <w:r w:rsidR="0006209A" w:rsidRPr="00094183">
        <w:rPr>
          <w:rFonts w:hint="eastAsia"/>
          <w:lang w:eastAsia="zh-CN"/>
        </w:rPr>
        <w:t>虚拟会议</w:t>
      </w:r>
      <w:r w:rsidRPr="00094183">
        <w:rPr>
          <w:rFonts w:hint="eastAsia"/>
          <w:lang w:eastAsia="zh-CN"/>
        </w:rPr>
        <w:t>不超过三次</w:t>
      </w:r>
      <w:r>
        <w:rPr>
          <w:rFonts w:hint="eastAsia"/>
          <w:lang w:eastAsia="zh-CN"/>
        </w:rPr>
        <w:t>，</w:t>
      </w:r>
      <w:r w:rsidR="00094183" w:rsidRPr="00094183">
        <w:rPr>
          <w:rFonts w:hint="eastAsia"/>
          <w:lang w:eastAsia="zh-CN"/>
        </w:rPr>
        <w:t>并遵守</w:t>
      </w:r>
      <w:r w:rsidRPr="004070B6">
        <w:rPr>
          <w:lang w:eastAsia="zh-CN"/>
        </w:rPr>
        <w:t>ITU-R</w:t>
      </w:r>
      <w:r w:rsidR="00094183" w:rsidRPr="00094183">
        <w:rPr>
          <w:rFonts w:hint="eastAsia"/>
          <w:lang w:eastAsia="zh-CN"/>
        </w:rPr>
        <w:t>第</w:t>
      </w:r>
      <w:r w:rsidRPr="004070B6">
        <w:rPr>
          <w:lang w:eastAsia="zh-CN"/>
        </w:rPr>
        <w:t>1-9</w:t>
      </w:r>
      <w:r w:rsidR="00094183" w:rsidRPr="00094183">
        <w:rPr>
          <w:rFonts w:hint="eastAsia"/>
          <w:lang w:eastAsia="zh-CN"/>
        </w:rPr>
        <w:t>号</w:t>
      </w:r>
      <w:proofErr w:type="gramStart"/>
      <w:r w:rsidR="00094183" w:rsidRPr="00094183">
        <w:rPr>
          <w:rFonts w:hint="eastAsia"/>
          <w:lang w:eastAsia="zh-CN"/>
        </w:rPr>
        <w:t>决议第</w:t>
      </w:r>
      <w:proofErr w:type="gramEnd"/>
      <w:r w:rsidRPr="004070B6">
        <w:rPr>
          <w:lang w:eastAsia="zh-CN"/>
        </w:rPr>
        <w:t>A1.3.2.9</w:t>
      </w:r>
      <w:r>
        <w:rPr>
          <w:rFonts w:hint="eastAsia"/>
          <w:lang w:eastAsia="zh-CN"/>
        </w:rPr>
        <w:t>段</w:t>
      </w:r>
      <w:r w:rsidR="00094183" w:rsidRPr="00094183">
        <w:rPr>
          <w:rFonts w:hint="eastAsia"/>
          <w:lang w:eastAsia="zh-CN"/>
        </w:rPr>
        <w:t>和第</w:t>
      </w:r>
      <w:r w:rsidRPr="004070B6">
        <w:rPr>
          <w:lang w:eastAsia="zh-CN"/>
        </w:rPr>
        <w:t>A.1.3.2.10</w:t>
      </w:r>
      <w:r>
        <w:rPr>
          <w:rFonts w:hint="eastAsia"/>
          <w:lang w:eastAsia="zh-CN"/>
        </w:rPr>
        <w:t>段</w:t>
      </w:r>
      <w:r w:rsidR="00094183" w:rsidRPr="00094183">
        <w:rPr>
          <w:rFonts w:hint="eastAsia"/>
          <w:lang w:eastAsia="zh-CN"/>
        </w:rPr>
        <w:t>的规定</w:t>
      </w:r>
      <w:r>
        <w:rPr>
          <w:rFonts w:hint="eastAsia"/>
          <w:lang w:eastAsia="zh-CN"/>
        </w:rPr>
        <w:t>。</w:t>
      </w:r>
    </w:p>
    <w:p w14:paraId="62BF2C45" w14:textId="3B8BD466" w:rsidR="004070B6" w:rsidRPr="004070B6" w:rsidRDefault="00705C9E" w:rsidP="00D963D6">
      <w:pPr>
        <w:ind w:firstLineChars="200" w:firstLine="480"/>
        <w:rPr>
          <w:lang w:eastAsia="zh-CN"/>
        </w:rPr>
      </w:pPr>
      <w:r w:rsidRPr="00D97C9E">
        <w:rPr>
          <w:rFonts w:hint="eastAsia"/>
          <w:lang w:eastAsia="zh-CN"/>
        </w:rPr>
        <w:t>信函</w:t>
      </w:r>
      <w:proofErr w:type="gramStart"/>
      <w:r w:rsidRPr="00D97C9E">
        <w:rPr>
          <w:rFonts w:hint="eastAsia"/>
          <w:lang w:eastAsia="zh-CN"/>
        </w:rPr>
        <w:t>通信组</w:t>
      </w:r>
      <w:proofErr w:type="gramEnd"/>
      <w:r w:rsidR="00094183" w:rsidRPr="00094183">
        <w:rPr>
          <w:rFonts w:hint="eastAsia"/>
          <w:lang w:eastAsia="zh-CN"/>
        </w:rPr>
        <w:t>由</w:t>
      </w:r>
      <w:r w:rsidRPr="004070B6">
        <w:rPr>
          <w:lang w:eastAsia="zh-CN"/>
        </w:rPr>
        <w:t>XXX</w:t>
      </w:r>
      <w:r>
        <w:rPr>
          <w:rFonts w:hint="eastAsia"/>
          <w:lang w:eastAsia="zh-CN"/>
        </w:rPr>
        <w:t>（</w:t>
      </w:r>
      <w:r w:rsidRPr="00094183">
        <w:rPr>
          <w:rFonts w:hint="eastAsia"/>
          <w:lang w:eastAsia="zh-CN"/>
        </w:rPr>
        <w:t>电子邮件</w:t>
      </w:r>
      <w:r>
        <w:rPr>
          <w:rFonts w:hint="eastAsia"/>
          <w:lang w:eastAsia="zh-CN"/>
        </w:rPr>
        <w:t>：</w:t>
      </w:r>
      <w:hyperlink r:id="rId18" w:history="1">
        <w:r w:rsidRPr="004070B6">
          <w:rPr>
            <w:rStyle w:val="Hyperlink"/>
            <w:lang w:eastAsia="zh-CN"/>
          </w:rPr>
          <w:t>XXX</w:t>
        </w:r>
      </w:hyperlink>
      <w:r>
        <w:rPr>
          <w:rFonts w:hint="eastAsia"/>
          <w:lang w:eastAsia="zh-CN"/>
        </w:rPr>
        <w:t>）</w:t>
      </w:r>
      <w:r w:rsidR="00094183" w:rsidRPr="00094183">
        <w:rPr>
          <w:rFonts w:hint="eastAsia"/>
          <w:lang w:eastAsia="zh-CN"/>
        </w:rPr>
        <w:t>担任主席</w:t>
      </w:r>
      <w:r>
        <w:rPr>
          <w:rFonts w:hint="eastAsia"/>
          <w:lang w:eastAsia="zh-CN"/>
        </w:rPr>
        <w:t>，</w:t>
      </w:r>
      <w:r w:rsidR="00094183" w:rsidRPr="00094183">
        <w:rPr>
          <w:rFonts w:hint="eastAsia"/>
          <w:lang w:eastAsia="zh-CN"/>
        </w:rPr>
        <w:t>负责协调各项活动</w:t>
      </w:r>
      <w:r>
        <w:rPr>
          <w:rFonts w:hint="eastAsia"/>
          <w:lang w:eastAsia="zh-CN"/>
        </w:rPr>
        <w:t>，</w:t>
      </w:r>
      <w:r w:rsidR="00094183" w:rsidRPr="00094183">
        <w:rPr>
          <w:rFonts w:hint="eastAsia"/>
          <w:lang w:eastAsia="zh-CN"/>
        </w:rPr>
        <w:t>确保及时沟通并在</w:t>
      </w:r>
      <w:r w:rsidRPr="004070B6">
        <w:rPr>
          <w:lang w:eastAsia="zh-CN"/>
        </w:rPr>
        <w:t>RAG</w:t>
      </w:r>
      <w:r w:rsidR="00094183" w:rsidRPr="00094183">
        <w:rPr>
          <w:rFonts w:hint="eastAsia"/>
          <w:lang w:eastAsia="zh-CN"/>
        </w:rPr>
        <w:t>第</w:t>
      </w:r>
      <w:r w:rsidRPr="004070B6">
        <w:rPr>
          <w:lang w:eastAsia="zh-CN"/>
        </w:rPr>
        <w:t>34</w:t>
      </w:r>
      <w:r w:rsidR="00094183" w:rsidRPr="00094183">
        <w:rPr>
          <w:rFonts w:hint="eastAsia"/>
          <w:lang w:eastAsia="zh-CN"/>
        </w:rPr>
        <w:t>次会议召开的</w:t>
      </w:r>
      <w:r w:rsidRPr="004070B6">
        <w:rPr>
          <w:lang w:eastAsia="zh-CN"/>
        </w:rPr>
        <w:t>45</w:t>
      </w:r>
      <w:r w:rsidR="00094183" w:rsidRPr="00094183">
        <w:rPr>
          <w:rFonts w:hint="eastAsia"/>
          <w:lang w:eastAsia="zh-CN"/>
        </w:rPr>
        <w:t>天前提交</w:t>
      </w:r>
      <w:r w:rsidRPr="00D97C9E">
        <w:rPr>
          <w:rFonts w:hint="eastAsia"/>
          <w:lang w:eastAsia="zh-CN"/>
        </w:rPr>
        <w:t>信函</w:t>
      </w:r>
      <w:proofErr w:type="gramStart"/>
      <w:r w:rsidRPr="00D97C9E">
        <w:rPr>
          <w:rFonts w:hint="eastAsia"/>
          <w:lang w:eastAsia="zh-CN"/>
        </w:rPr>
        <w:t>通信组</w:t>
      </w:r>
      <w:proofErr w:type="gramEnd"/>
      <w:r w:rsidR="00094183" w:rsidRPr="00094183">
        <w:rPr>
          <w:rFonts w:hint="eastAsia"/>
          <w:lang w:eastAsia="zh-CN"/>
        </w:rPr>
        <w:t>的报告</w:t>
      </w:r>
      <w:r>
        <w:rPr>
          <w:rFonts w:hint="eastAsia"/>
          <w:lang w:eastAsia="zh-CN"/>
        </w:rPr>
        <w:t>。</w:t>
      </w:r>
    </w:p>
    <w:p w14:paraId="5B1240C3" w14:textId="07BC3DBB" w:rsidR="004070B6" w:rsidRPr="004070B6" w:rsidRDefault="00094183" w:rsidP="00D963D6">
      <w:pPr>
        <w:ind w:firstLineChars="200" w:firstLine="480"/>
        <w:rPr>
          <w:lang w:eastAsia="zh-CN"/>
        </w:rPr>
      </w:pPr>
      <w:r w:rsidRPr="00094183">
        <w:rPr>
          <w:rFonts w:hint="eastAsia"/>
          <w:lang w:eastAsia="zh-CN"/>
        </w:rPr>
        <w:t>有关信函</w:t>
      </w:r>
      <w:proofErr w:type="gramStart"/>
      <w:r w:rsidRPr="00094183">
        <w:rPr>
          <w:rFonts w:hint="eastAsia"/>
          <w:lang w:eastAsia="zh-CN"/>
        </w:rPr>
        <w:t>通信组</w:t>
      </w:r>
      <w:proofErr w:type="gramEnd"/>
      <w:r w:rsidRPr="00094183">
        <w:rPr>
          <w:rFonts w:hint="eastAsia"/>
          <w:lang w:eastAsia="zh-CN"/>
        </w:rPr>
        <w:t>工作的其他相关信息将</w:t>
      </w:r>
      <w:r w:rsidR="00705C9E">
        <w:rPr>
          <w:rFonts w:hint="eastAsia"/>
          <w:lang w:eastAsia="zh-CN"/>
        </w:rPr>
        <w:t>发布</w:t>
      </w:r>
      <w:r w:rsidRPr="00094183">
        <w:rPr>
          <w:rFonts w:hint="eastAsia"/>
          <w:lang w:eastAsia="zh-CN"/>
        </w:rPr>
        <w:t>在</w:t>
      </w:r>
      <w:r w:rsidR="00705C9E" w:rsidRPr="004070B6">
        <w:rPr>
          <w:lang w:eastAsia="zh-CN"/>
        </w:rPr>
        <w:t>RAG</w:t>
      </w:r>
      <w:r w:rsidRPr="00094183">
        <w:rPr>
          <w:rFonts w:hint="eastAsia"/>
          <w:lang w:eastAsia="zh-CN"/>
        </w:rPr>
        <w:t>网页上</w:t>
      </w:r>
      <w:r w:rsidR="00705C9E">
        <w:rPr>
          <w:rFonts w:hint="eastAsia"/>
          <w:lang w:eastAsia="zh-CN"/>
        </w:rPr>
        <w:t>。</w:t>
      </w:r>
    </w:p>
    <w:p w14:paraId="422C01C4" w14:textId="77777777" w:rsidR="004070B6" w:rsidRDefault="004070B6" w:rsidP="004070B6">
      <w:pPr>
        <w:rPr>
          <w:lang w:eastAsia="zh-CN"/>
        </w:rPr>
      </w:pPr>
    </w:p>
    <w:p w14:paraId="7A83BA50" w14:textId="77777777" w:rsidR="00F3257D" w:rsidRDefault="00F3257D" w:rsidP="00406CB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jc w:val="center"/>
      </w:pPr>
      <w:r w:rsidRPr="00094183">
        <w:t>______________</w:t>
      </w:r>
    </w:p>
    <w:sectPr w:rsidR="00F3257D" w:rsidSect="00A5181E">
      <w:headerReference w:type="defaul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EE47" w14:textId="77777777" w:rsidR="007019AE" w:rsidRDefault="007019AE">
      <w:r>
        <w:separator/>
      </w:r>
    </w:p>
  </w:endnote>
  <w:endnote w:type="continuationSeparator" w:id="0">
    <w:p w14:paraId="4F4DDD25" w14:textId="77777777" w:rsidR="007019AE" w:rsidRDefault="0070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DD80" w14:textId="77777777" w:rsidR="007019AE" w:rsidRDefault="007019AE">
      <w:r>
        <w:t>____________________</w:t>
      </w:r>
    </w:p>
  </w:footnote>
  <w:footnote w:type="continuationSeparator" w:id="0">
    <w:p w14:paraId="320C4000" w14:textId="77777777" w:rsidR="007019AE" w:rsidRDefault="0070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1148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15E5BD11" w14:textId="4C4F53A9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A36331">
      <w:rPr>
        <w:rFonts w:hint="eastAsia"/>
        <w:lang w:val="es-ES" w:eastAsia="zh-CN"/>
      </w:rPr>
      <w:t>77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7C22"/>
    <w:multiLevelType w:val="hybridMultilevel"/>
    <w:tmpl w:val="E5BE2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06D5E"/>
    <w:multiLevelType w:val="hybridMultilevel"/>
    <w:tmpl w:val="DBE0B7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06590"/>
    <w:multiLevelType w:val="hybridMultilevel"/>
    <w:tmpl w:val="FF04F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76C5D"/>
    <w:multiLevelType w:val="hybridMultilevel"/>
    <w:tmpl w:val="D6505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50BCB"/>
    <w:multiLevelType w:val="hybridMultilevel"/>
    <w:tmpl w:val="2280D7CC"/>
    <w:lvl w:ilvl="0" w:tplc="1A3CD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1E673EE"/>
    <w:multiLevelType w:val="hybridMultilevel"/>
    <w:tmpl w:val="8AF69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2D665C"/>
    <w:multiLevelType w:val="hybridMultilevel"/>
    <w:tmpl w:val="5F9A1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50FAC"/>
    <w:multiLevelType w:val="hybridMultilevel"/>
    <w:tmpl w:val="C73A8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7A0136"/>
    <w:multiLevelType w:val="hybridMultilevel"/>
    <w:tmpl w:val="6C542D00"/>
    <w:lvl w:ilvl="0" w:tplc="1A3CD41A">
      <w:numFmt w:val="bullet"/>
      <w:lvlText w:val="-"/>
      <w:lvlJc w:val="left"/>
      <w:pPr>
        <w:ind w:left="1154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49A0E63"/>
    <w:multiLevelType w:val="hybridMultilevel"/>
    <w:tmpl w:val="37EE1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5350">
    <w:abstractNumId w:val="9"/>
  </w:num>
  <w:num w:numId="2" w16cid:durableId="68815321">
    <w:abstractNumId w:val="7"/>
  </w:num>
  <w:num w:numId="3" w16cid:durableId="997537134">
    <w:abstractNumId w:val="6"/>
  </w:num>
  <w:num w:numId="4" w16cid:durableId="1840269401">
    <w:abstractNumId w:val="5"/>
  </w:num>
  <w:num w:numId="5" w16cid:durableId="460151431">
    <w:abstractNumId w:val="4"/>
  </w:num>
  <w:num w:numId="6" w16cid:durableId="492650614">
    <w:abstractNumId w:val="8"/>
  </w:num>
  <w:num w:numId="7" w16cid:durableId="1363824551">
    <w:abstractNumId w:val="3"/>
  </w:num>
  <w:num w:numId="8" w16cid:durableId="105321230">
    <w:abstractNumId w:val="2"/>
  </w:num>
  <w:num w:numId="9" w16cid:durableId="1736706593">
    <w:abstractNumId w:val="1"/>
  </w:num>
  <w:num w:numId="10" w16cid:durableId="347367726">
    <w:abstractNumId w:val="0"/>
  </w:num>
  <w:num w:numId="11" w16cid:durableId="1304776383">
    <w:abstractNumId w:val="19"/>
  </w:num>
  <w:num w:numId="12" w16cid:durableId="81493338">
    <w:abstractNumId w:val="34"/>
  </w:num>
  <w:num w:numId="13" w16cid:durableId="860357900">
    <w:abstractNumId w:val="36"/>
  </w:num>
  <w:num w:numId="14" w16cid:durableId="990720083">
    <w:abstractNumId w:val="32"/>
  </w:num>
  <w:num w:numId="15" w16cid:durableId="1564366927">
    <w:abstractNumId w:val="28"/>
  </w:num>
  <w:num w:numId="16" w16cid:durableId="1367682372">
    <w:abstractNumId w:val="35"/>
  </w:num>
  <w:num w:numId="17" w16cid:durableId="1811097815">
    <w:abstractNumId w:val="26"/>
  </w:num>
  <w:num w:numId="18" w16cid:durableId="368916519">
    <w:abstractNumId w:val="11"/>
  </w:num>
  <w:num w:numId="19" w16cid:durableId="349335721">
    <w:abstractNumId w:val="17"/>
  </w:num>
  <w:num w:numId="20" w16cid:durableId="1204056664">
    <w:abstractNumId w:val="18"/>
  </w:num>
  <w:num w:numId="21" w16cid:durableId="398601592">
    <w:abstractNumId w:val="22"/>
  </w:num>
  <w:num w:numId="22" w16cid:durableId="173425560">
    <w:abstractNumId w:val="37"/>
  </w:num>
  <w:num w:numId="23" w16cid:durableId="1784767957">
    <w:abstractNumId w:val="29"/>
  </w:num>
  <w:num w:numId="24" w16cid:durableId="1135489920">
    <w:abstractNumId w:val="30"/>
  </w:num>
  <w:num w:numId="25" w16cid:durableId="553545943">
    <w:abstractNumId w:val="13"/>
  </w:num>
  <w:num w:numId="26" w16cid:durableId="1251738256">
    <w:abstractNumId w:val="24"/>
  </w:num>
  <w:num w:numId="27" w16cid:durableId="1800879491">
    <w:abstractNumId w:val="15"/>
  </w:num>
  <w:num w:numId="28" w16cid:durableId="202254724">
    <w:abstractNumId w:val="21"/>
  </w:num>
  <w:num w:numId="29" w16cid:durableId="393741077">
    <w:abstractNumId w:val="25"/>
    <w:lvlOverride w:ilvl="0">
      <w:lvl w:ilvl="0" w:tplc="D61471D8"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30" w16cid:durableId="734931278">
    <w:abstractNumId w:val="14"/>
  </w:num>
  <w:num w:numId="31" w16cid:durableId="851187215">
    <w:abstractNumId w:val="27"/>
  </w:num>
  <w:num w:numId="32" w16cid:durableId="1405295641">
    <w:abstractNumId w:val="10"/>
  </w:num>
  <w:num w:numId="33" w16cid:durableId="1074276095">
    <w:abstractNumId w:val="23"/>
  </w:num>
  <w:num w:numId="34" w16cid:durableId="448819745">
    <w:abstractNumId w:val="38"/>
  </w:num>
  <w:num w:numId="35" w16cid:durableId="1179001605">
    <w:abstractNumId w:val="31"/>
  </w:num>
  <w:num w:numId="36" w16cid:durableId="199124288">
    <w:abstractNumId w:val="16"/>
  </w:num>
  <w:num w:numId="37" w16cid:durableId="1517382254">
    <w:abstractNumId w:val="33"/>
  </w:num>
  <w:num w:numId="38" w16cid:durableId="1179389278">
    <w:abstractNumId w:val="12"/>
  </w:num>
  <w:num w:numId="39" w16cid:durableId="1801244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7D"/>
    <w:rsid w:val="0000248A"/>
    <w:rsid w:val="000042BF"/>
    <w:rsid w:val="00020106"/>
    <w:rsid w:val="00021007"/>
    <w:rsid w:val="00021AE5"/>
    <w:rsid w:val="00022F0C"/>
    <w:rsid w:val="00023441"/>
    <w:rsid w:val="00034C59"/>
    <w:rsid w:val="00035EFD"/>
    <w:rsid w:val="00041EEA"/>
    <w:rsid w:val="0006139D"/>
    <w:rsid w:val="0006209A"/>
    <w:rsid w:val="00062FA4"/>
    <w:rsid w:val="0006614B"/>
    <w:rsid w:val="000668A0"/>
    <w:rsid w:val="00082FBE"/>
    <w:rsid w:val="00084871"/>
    <w:rsid w:val="00085541"/>
    <w:rsid w:val="00087881"/>
    <w:rsid w:val="00091931"/>
    <w:rsid w:val="00093A98"/>
    <w:rsid w:val="00093C73"/>
    <w:rsid w:val="00094183"/>
    <w:rsid w:val="00096BC2"/>
    <w:rsid w:val="000A0059"/>
    <w:rsid w:val="000A4F34"/>
    <w:rsid w:val="000A5F9E"/>
    <w:rsid w:val="000B0A4F"/>
    <w:rsid w:val="000B4D42"/>
    <w:rsid w:val="000C0FEC"/>
    <w:rsid w:val="000E00E7"/>
    <w:rsid w:val="000E3F39"/>
    <w:rsid w:val="000E785B"/>
    <w:rsid w:val="000F275A"/>
    <w:rsid w:val="000F3718"/>
    <w:rsid w:val="000F74EF"/>
    <w:rsid w:val="00107E5A"/>
    <w:rsid w:val="0011241B"/>
    <w:rsid w:val="001225B1"/>
    <w:rsid w:val="001225EE"/>
    <w:rsid w:val="00127306"/>
    <w:rsid w:val="00130097"/>
    <w:rsid w:val="00130A81"/>
    <w:rsid w:val="00130B50"/>
    <w:rsid w:val="00132DF6"/>
    <w:rsid w:val="0013473D"/>
    <w:rsid w:val="001368A7"/>
    <w:rsid w:val="00145997"/>
    <w:rsid w:val="00147382"/>
    <w:rsid w:val="00152B3F"/>
    <w:rsid w:val="00153102"/>
    <w:rsid w:val="001539C7"/>
    <w:rsid w:val="001551D2"/>
    <w:rsid w:val="0016486E"/>
    <w:rsid w:val="00164A74"/>
    <w:rsid w:val="00166041"/>
    <w:rsid w:val="001722B2"/>
    <w:rsid w:val="00175850"/>
    <w:rsid w:val="00182082"/>
    <w:rsid w:val="001821E9"/>
    <w:rsid w:val="00193669"/>
    <w:rsid w:val="00193A09"/>
    <w:rsid w:val="00194AD3"/>
    <w:rsid w:val="0019729C"/>
    <w:rsid w:val="001A5458"/>
    <w:rsid w:val="001A5A4C"/>
    <w:rsid w:val="001B032E"/>
    <w:rsid w:val="001B4810"/>
    <w:rsid w:val="001B72B2"/>
    <w:rsid w:val="001C0A43"/>
    <w:rsid w:val="001C57D3"/>
    <w:rsid w:val="001D2334"/>
    <w:rsid w:val="001D2C83"/>
    <w:rsid w:val="001D2E57"/>
    <w:rsid w:val="001D6E77"/>
    <w:rsid w:val="001E5A76"/>
    <w:rsid w:val="001E692F"/>
    <w:rsid w:val="001E7277"/>
    <w:rsid w:val="001F0D67"/>
    <w:rsid w:val="001F3FDD"/>
    <w:rsid w:val="001F6763"/>
    <w:rsid w:val="001F75CD"/>
    <w:rsid w:val="0020573C"/>
    <w:rsid w:val="00213AE0"/>
    <w:rsid w:val="002155DA"/>
    <w:rsid w:val="00221367"/>
    <w:rsid w:val="00232F5F"/>
    <w:rsid w:val="00236FBE"/>
    <w:rsid w:val="00244613"/>
    <w:rsid w:val="0024566D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1FE"/>
    <w:rsid w:val="00302A9B"/>
    <w:rsid w:val="00303349"/>
    <w:rsid w:val="003038E9"/>
    <w:rsid w:val="0030740E"/>
    <w:rsid w:val="003221F3"/>
    <w:rsid w:val="00327401"/>
    <w:rsid w:val="0033041D"/>
    <w:rsid w:val="00331841"/>
    <w:rsid w:val="00333980"/>
    <w:rsid w:val="00340C8C"/>
    <w:rsid w:val="00342405"/>
    <w:rsid w:val="00342659"/>
    <w:rsid w:val="0034416F"/>
    <w:rsid w:val="0034529C"/>
    <w:rsid w:val="00361609"/>
    <w:rsid w:val="0036233F"/>
    <w:rsid w:val="00363AF1"/>
    <w:rsid w:val="00363DF8"/>
    <w:rsid w:val="00364117"/>
    <w:rsid w:val="003653BC"/>
    <w:rsid w:val="00370DA9"/>
    <w:rsid w:val="00371A3D"/>
    <w:rsid w:val="003859B4"/>
    <w:rsid w:val="00392390"/>
    <w:rsid w:val="00394604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02CF"/>
    <w:rsid w:val="003E25CA"/>
    <w:rsid w:val="003E4E3F"/>
    <w:rsid w:val="003F2683"/>
    <w:rsid w:val="003F5A64"/>
    <w:rsid w:val="0040406E"/>
    <w:rsid w:val="00405539"/>
    <w:rsid w:val="00405F35"/>
    <w:rsid w:val="00406282"/>
    <w:rsid w:val="00406CB5"/>
    <w:rsid w:val="004070B6"/>
    <w:rsid w:val="00411DE5"/>
    <w:rsid w:val="004205C1"/>
    <w:rsid w:val="0042612F"/>
    <w:rsid w:val="00426448"/>
    <w:rsid w:val="00432D7F"/>
    <w:rsid w:val="00434372"/>
    <w:rsid w:val="0043586E"/>
    <w:rsid w:val="004376A0"/>
    <w:rsid w:val="004406B5"/>
    <w:rsid w:val="004420DA"/>
    <w:rsid w:val="0045000A"/>
    <w:rsid w:val="004500AF"/>
    <w:rsid w:val="0045496A"/>
    <w:rsid w:val="004557A7"/>
    <w:rsid w:val="00460615"/>
    <w:rsid w:val="0046083A"/>
    <w:rsid w:val="00461516"/>
    <w:rsid w:val="0046370D"/>
    <w:rsid w:val="00465907"/>
    <w:rsid w:val="00465D72"/>
    <w:rsid w:val="004673F1"/>
    <w:rsid w:val="00474CCC"/>
    <w:rsid w:val="0048494D"/>
    <w:rsid w:val="004870EF"/>
    <w:rsid w:val="00491D13"/>
    <w:rsid w:val="00492483"/>
    <w:rsid w:val="00493C4A"/>
    <w:rsid w:val="004974DE"/>
    <w:rsid w:val="004976C5"/>
    <w:rsid w:val="004A07A2"/>
    <w:rsid w:val="004A1A78"/>
    <w:rsid w:val="004A3347"/>
    <w:rsid w:val="004B468C"/>
    <w:rsid w:val="004C1105"/>
    <w:rsid w:val="004D08EB"/>
    <w:rsid w:val="004D0ED4"/>
    <w:rsid w:val="004D497C"/>
    <w:rsid w:val="004E4FAE"/>
    <w:rsid w:val="004E5AA2"/>
    <w:rsid w:val="004E5C20"/>
    <w:rsid w:val="004E5C65"/>
    <w:rsid w:val="004F3435"/>
    <w:rsid w:val="004F493A"/>
    <w:rsid w:val="0050528F"/>
    <w:rsid w:val="00507D0A"/>
    <w:rsid w:val="00512910"/>
    <w:rsid w:val="00512F81"/>
    <w:rsid w:val="00513BEA"/>
    <w:rsid w:val="0051782D"/>
    <w:rsid w:val="005205CD"/>
    <w:rsid w:val="00521E32"/>
    <w:rsid w:val="00522272"/>
    <w:rsid w:val="00530E11"/>
    <w:rsid w:val="0053462E"/>
    <w:rsid w:val="0054691E"/>
    <w:rsid w:val="00552474"/>
    <w:rsid w:val="0055452F"/>
    <w:rsid w:val="00561A8F"/>
    <w:rsid w:val="00562977"/>
    <w:rsid w:val="005659EF"/>
    <w:rsid w:val="00566120"/>
    <w:rsid w:val="0057042F"/>
    <w:rsid w:val="00576A0F"/>
    <w:rsid w:val="005843C8"/>
    <w:rsid w:val="00584584"/>
    <w:rsid w:val="00585978"/>
    <w:rsid w:val="00587D68"/>
    <w:rsid w:val="00590785"/>
    <w:rsid w:val="00591E9F"/>
    <w:rsid w:val="00597B58"/>
    <w:rsid w:val="005A27EA"/>
    <w:rsid w:val="005A7A9C"/>
    <w:rsid w:val="005B1147"/>
    <w:rsid w:val="005C0293"/>
    <w:rsid w:val="005C0B5E"/>
    <w:rsid w:val="005C190E"/>
    <w:rsid w:val="005C6906"/>
    <w:rsid w:val="005C78A9"/>
    <w:rsid w:val="005D4564"/>
    <w:rsid w:val="005D4F78"/>
    <w:rsid w:val="005D54F6"/>
    <w:rsid w:val="005D6389"/>
    <w:rsid w:val="005D6EC1"/>
    <w:rsid w:val="005E40CA"/>
    <w:rsid w:val="005E6891"/>
    <w:rsid w:val="005F0CAC"/>
    <w:rsid w:val="005F3745"/>
    <w:rsid w:val="005F4A85"/>
    <w:rsid w:val="00601574"/>
    <w:rsid w:val="0060404C"/>
    <w:rsid w:val="00606766"/>
    <w:rsid w:val="006074E1"/>
    <w:rsid w:val="0060773B"/>
    <w:rsid w:val="0061057A"/>
    <w:rsid w:val="00614DF9"/>
    <w:rsid w:val="00617963"/>
    <w:rsid w:val="006311E7"/>
    <w:rsid w:val="006324A9"/>
    <w:rsid w:val="00634DF4"/>
    <w:rsid w:val="00641306"/>
    <w:rsid w:val="00642979"/>
    <w:rsid w:val="006433BC"/>
    <w:rsid w:val="006476FF"/>
    <w:rsid w:val="00652764"/>
    <w:rsid w:val="00652D5E"/>
    <w:rsid w:val="00653323"/>
    <w:rsid w:val="0065517E"/>
    <w:rsid w:val="006556D9"/>
    <w:rsid w:val="00664647"/>
    <w:rsid w:val="00665AB9"/>
    <w:rsid w:val="00667F5B"/>
    <w:rsid w:val="0067552C"/>
    <w:rsid w:val="00683C7F"/>
    <w:rsid w:val="00683C9D"/>
    <w:rsid w:val="00690DAD"/>
    <w:rsid w:val="00693E5D"/>
    <w:rsid w:val="00695C92"/>
    <w:rsid w:val="0069621F"/>
    <w:rsid w:val="006A0FAB"/>
    <w:rsid w:val="006A3E35"/>
    <w:rsid w:val="006A3FBE"/>
    <w:rsid w:val="006A4BD4"/>
    <w:rsid w:val="006A7022"/>
    <w:rsid w:val="006B051F"/>
    <w:rsid w:val="006B16EA"/>
    <w:rsid w:val="006C16B4"/>
    <w:rsid w:val="006D0022"/>
    <w:rsid w:val="006D0CA1"/>
    <w:rsid w:val="006D36FE"/>
    <w:rsid w:val="006D3CED"/>
    <w:rsid w:val="006D43D7"/>
    <w:rsid w:val="006D57D6"/>
    <w:rsid w:val="006E5B7C"/>
    <w:rsid w:val="006E6364"/>
    <w:rsid w:val="006F06C5"/>
    <w:rsid w:val="006F0D51"/>
    <w:rsid w:val="006F2E6E"/>
    <w:rsid w:val="006F31AB"/>
    <w:rsid w:val="007019AE"/>
    <w:rsid w:val="007029A5"/>
    <w:rsid w:val="00705C9E"/>
    <w:rsid w:val="00723E69"/>
    <w:rsid w:val="00725BEA"/>
    <w:rsid w:val="00726BD1"/>
    <w:rsid w:val="00730A2A"/>
    <w:rsid w:val="007317ED"/>
    <w:rsid w:val="00742E11"/>
    <w:rsid w:val="0074537E"/>
    <w:rsid w:val="00747D24"/>
    <w:rsid w:val="0075494B"/>
    <w:rsid w:val="0075704C"/>
    <w:rsid w:val="00757BB1"/>
    <w:rsid w:val="007669B2"/>
    <w:rsid w:val="007670F0"/>
    <w:rsid w:val="00767544"/>
    <w:rsid w:val="00777351"/>
    <w:rsid w:val="00787954"/>
    <w:rsid w:val="007A299C"/>
    <w:rsid w:val="007A31FF"/>
    <w:rsid w:val="007A6C4A"/>
    <w:rsid w:val="007B16C8"/>
    <w:rsid w:val="007B4409"/>
    <w:rsid w:val="007B56C2"/>
    <w:rsid w:val="007B7525"/>
    <w:rsid w:val="007C0529"/>
    <w:rsid w:val="007C0CCC"/>
    <w:rsid w:val="007C4E7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0E45"/>
    <w:rsid w:val="008119E8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3E0C"/>
    <w:rsid w:val="0084602B"/>
    <w:rsid w:val="00847E2F"/>
    <w:rsid w:val="00847E92"/>
    <w:rsid w:val="008552AB"/>
    <w:rsid w:val="008558A1"/>
    <w:rsid w:val="00855B4C"/>
    <w:rsid w:val="00857695"/>
    <w:rsid w:val="00861C2D"/>
    <w:rsid w:val="0087115D"/>
    <w:rsid w:val="0087137B"/>
    <w:rsid w:val="008744E4"/>
    <w:rsid w:val="00880C00"/>
    <w:rsid w:val="0088263F"/>
    <w:rsid w:val="0088755C"/>
    <w:rsid w:val="008954AA"/>
    <w:rsid w:val="008A0A72"/>
    <w:rsid w:val="008A56A5"/>
    <w:rsid w:val="008A5E9F"/>
    <w:rsid w:val="008B06FC"/>
    <w:rsid w:val="008B373B"/>
    <w:rsid w:val="008C1346"/>
    <w:rsid w:val="008C34A4"/>
    <w:rsid w:val="008C7B07"/>
    <w:rsid w:val="008D06A4"/>
    <w:rsid w:val="008E11BE"/>
    <w:rsid w:val="008E659D"/>
    <w:rsid w:val="008F1F07"/>
    <w:rsid w:val="008F50C1"/>
    <w:rsid w:val="008F60D1"/>
    <w:rsid w:val="00903039"/>
    <w:rsid w:val="00906FEE"/>
    <w:rsid w:val="0091120B"/>
    <w:rsid w:val="00912356"/>
    <w:rsid w:val="0091327A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38C1"/>
    <w:rsid w:val="009540C3"/>
    <w:rsid w:val="00954917"/>
    <w:rsid w:val="00954A70"/>
    <w:rsid w:val="00964285"/>
    <w:rsid w:val="0097307C"/>
    <w:rsid w:val="0098015B"/>
    <w:rsid w:val="009A13C5"/>
    <w:rsid w:val="009A3937"/>
    <w:rsid w:val="009A3FE6"/>
    <w:rsid w:val="009A41BF"/>
    <w:rsid w:val="009B51E5"/>
    <w:rsid w:val="009B5FCA"/>
    <w:rsid w:val="009C0DA4"/>
    <w:rsid w:val="009C0DC9"/>
    <w:rsid w:val="009C16F8"/>
    <w:rsid w:val="009C521B"/>
    <w:rsid w:val="009D019B"/>
    <w:rsid w:val="009D3252"/>
    <w:rsid w:val="009E36B3"/>
    <w:rsid w:val="009F189B"/>
    <w:rsid w:val="009F6C40"/>
    <w:rsid w:val="00A038FA"/>
    <w:rsid w:val="00A054E3"/>
    <w:rsid w:val="00A05E32"/>
    <w:rsid w:val="00A06654"/>
    <w:rsid w:val="00A07083"/>
    <w:rsid w:val="00A11CF3"/>
    <w:rsid w:val="00A16CB2"/>
    <w:rsid w:val="00A177BA"/>
    <w:rsid w:val="00A23E26"/>
    <w:rsid w:val="00A25EC7"/>
    <w:rsid w:val="00A27ECF"/>
    <w:rsid w:val="00A325D6"/>
    <w:rsid w:val="00A32C3E"/>
    <w:rsid w:val="00A36331"/>
    <w:rsid w:val="00A363F4"/>
    <w:rsid w:val="00A42068"/>
    <w:rsid w:val="00A43ACF"/>
    <w:rsid w:val="00A43DC2"/>
    <w:rsid w:val="00A47E56"/>
    <w:rsid w:val="00A50605"/>
    <w:rsid w:val="00A5181E"/>
    <w:rsid w:val="00A53CD2"/>
    <w:rsid w:val="00A61309"/>
    <w:rsid w:val="00A620A1"/>
    <w:rsid w:val="00A636C2"/>
    <w:rsid w:val="00A6419B"/>
    <w:rsid w:val="00A660E0"/>
    <w:rsid w:val="00A70937"/>
    <w:rsid w:val="00A83D12"/>
    <w:rsid w:val="00A8452A"/>
    <w:rsid w:val="00A87C9B"/>
    <w:rsid w:val="00A941E2"/>
    <w:rsid w:val="00A944C0"/>
    <w:rsid w:val="00AA5CA5"/>
    <w:rsid w:val="00AB1F17"/>
    <w:rsid w:val="00AB5C70"/>
    <w:rsid w:val="00AB6919"/>
    <w:rsid w:val="00AB6D53"/>
    <w:rsid w:val="00AB7ADF"/>
    <w:rsid w:val="00AC2193"/>
    <w:rsid w:val="00AC3017"/>
    <w:rsid w:val="00AC76AF"/>
    <w:rsid w:val="00AC7BAB"/>
    <w:rsid w:val="00AD21E9"/>
    <w:rsid w:val="00AD5D1A"/>
    <w:rsid w:val="00AE1784"/>
    <w:rsid w:val="00AE3B65"/>
    <w:rsid w:val="00AE40E0"/>
    <w:rsid w:val="00AE726F"/>
    <w:rsid w:val="00AF0B82"/>
    <w:rsid w:val="00AF24A8"/>
    <w:rsid w:val="00AF4659"/>
    <w:rsid w:val="00B01657"/>
    <w:rsid w:val="00B11BA5"/>
    <w:rsid w:val="00B11FCA"/>
    <w:rsid w:val="00B1508A"/>
    <w:rsid w:val="00B151C5"/>
    <w:rsid w:val="00B22561"/>
    <w:rsid w:val="00B22889"/>
    <w:rsid w:val="00B25A3A"/>
    <w:rsid w:val="00B4009E"/>
    <w:rsid w:val="00B41587"/>
    <w:rsid w:val="00B41DCB"/>
    <w:rsid w:val="00B44EC4"/>
    <w:rsid w:val="00B523C6"/>
    <w:rsid w:val="00B52992"/>
    <w:rsid w:val="00B57898"/>
    <w:rsid w:val="00B60AD3"/>
    <w:rsid w:val="00B62CF3"/>
    <w:rsid w:val="00B651DB"/>
    <w:rsid w:val="00B65F08"/>
    <w:rsid w:val="00B725E3"/>
    <w:rsid w:val="00B76AE3"/>
    <w:rsid w:val="00B77421"/>
    <w:rsid w:val="00B7768E"/>
    <w:rsid w:val="00B80926"/>
    <w:rsid w:val="00B865B8"/>
    <w:rsid w:val="00B90298"/>
    <w:rsid w:val="00B9093E"/>
    <w:rsid w:val="00B90D98"/>
    <w:rsid w:val="00B925F8"/>
    <w:rsid w:val="00BA5299"/>
    <w:rsid w:val="00BA7E9D"/>
    <w:rsid w:val="00BB099B"/>
    <w:rsid w:val="00BB3DBA"/>
    <w:rsid w:val="00BB4ADA"/>
    <w:rsid w:val="00BB60B1"/>
    <w:rsid w:val="00BC195C"/>
    <w:rsid w:val="00BC3ACA"/>
    <w:rsid w:val="00BC3C94"/>
    <w:rsid w:val="00BC42EE"/>
    <w:rsid w:val="00BC5A4A"/>
    <w:rsid w:val="00BC6718"/>
    <w:rsid w:val="00BC727E"/>
    <w:rsid w:val="00BC72C9"/>
    <w:rsid w:val="00BD05A7"/>
    <w:rsid w:val="00BD2F5F"/>
    <w:rsid w:val="00BD41C7"/>
    <w:rsid w:val="00BD7223"/>
    <w:rsid w:val="00BE163D"/>
    <w:rsid w:val="00BE1942"/>
    <w:rsid w:val="00BE1F57"/>
    <w:rsid w:val="00BE5415"/>
    <w:rsid w:val="00BE5A75"/>
    <w:rsid w:val="00BE78D0"/>
    <w:rsid w:val="00BE7E9A"/>
    <w:rsid w:val="00BF7E89"/>
    <w:rsid w:val="00C00898"/>
    <w:rsid w:val="00C01014"/>
    <w:rsid w:val="00C0211F"/>
    <w:rsid w:val="00C06B30"/>
    <w:rsid w:val="00C13EB8"/>
    <w:rsid w:val="00C226F4"/>
    <w:rsid w:val="00C25047"/>
    <w:rsid w:val="00C3076D"/>
    <w:rsid w:val="00C30A3C"/>
    <w:rsid w:val="00C4447C"/>
    <w:rsid w:val="00C45A85"/>
    <w:rsid w:val="00C50F6E"/>
    <w:rsid w:val="00C53641"/>
    <w:rsid w:val="00C60AC9"/>
    <w:rsid w:val="00C77784"/>
    <w:rsid w:val="00C84F17"/>
    <w:rsid w:val="00C879BF"/>
    <w:rsid w:val="00C94697"/>
    <w:rsid w:val="00CB2BE8"/>
    <w:rsid w:val="00CB7F4E"/>
    <w:rsid w:val="00CC1C81"/>
    <w:rsid w:val="00CC4CF9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11A74"/>
    <w:rsid w:val="00D17FD1"/>
    <w:rsid w:val="00D22D5C"/>
    <w:rsid w:val="00D33A41"/>
    <w:rsid w:val="00D4424D"/>
    <w:rsid w:val="00D476FB"/>
    <w:rsid w:val="00D57430"/>
    <w:rsid w:val="00D57861"/>
    <w:rsid w:val="00D6793C"/>
    <w:rsid w:val="00D7248A"/>
    <w:rsid w:val="00D72A39"/>
    <w:rsid w:val="00D73E6C"/>
    <w:rsid w:val="00D769B3"/>
    <w:rsid w:val="00D77F6A"/>
    <w:rsid w:val="00D80A4C"/>
    <w:rsid w:val="00D80CF5"/>
    <w:rsid w:val="00D8149F"/>
    <w:rsid w:val="00D83981"/>
    <w:rsid w:val="00D872CB"/>
    <w:rsid w:val="00D91C7F"/>
    <w:rsid w:val="00D963D6"/>
    <w:rsid w:val="00D96D3D"/>
    <w:rsid w:val="00D97C9E"/>
    <w:rsid w:val="00DA0683"/>
    <w:rsid w:val="00DA0F51"/>
    <w:rsid w:val="00DC301F"/>
    <w:rsid w:val="00DC74D8"/>
    <w:rsid w:val="00DC75E8"/>
    <w:rsid w:val="00DD7357"/>
    <w:rsid w:val="00DE29D4"/>
    <w:rsid w:val="00DF0D07"/>
    <w:rsid w:val="00DF3D87"/>
    <w:rsid w:val="00DF44DA"/>
    <w:rsid w:val="00E00D05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3A58"/>
    <w:rsid w:val="00E55989"/>
    <w:rsid w:val="00E56657"/>
    <w:rsid w:val="00E62C6E"/>
    <w:rsid w:val="00E635C8"/>
    <w:rsid w:val="00E77CA1"/>
    <w:rsid w:val="00E8377A"/>
    <w:rsid w:val="00E85E9E"/>
    <w:rsid w:val="00E85F5B"/>
    <w:rsid w:val="00E91301"/>
    <w:rsid w:val="00E947BF"/>
    <w:rsid w:val="00E96E00"/>
    <w:rsid w:val="00E979BD"/>
    <w:rsid w:val="00E97D5D"/>
    <w:rsid w:val="00EA1892"/>
    <w:rsid w:val="00EB0ED5"/>
    <w:rsid w:val="00EB290F"/>
    <w:rsid w:val="00EB5896"/>
    <w:rsid w:val="00EB76F0"/>
    <w:rsid w:val="00EC0E7A"/>
    <w:rsid w:val="00EC640E"/>
    <w:rsid w:val="00ED13A2"/>
    <w:rsid w:val="00ED5D07"/>
    <w:rsid w:val="00ED70DA"/>
    <w:rsid w:val="00EE44D4"/>
    <w:rsid w:val="00EF0218"/>
    <w:rsid w:val="00EF42D3"/>
    <w:rsid w:val="00EF6A54"/>
    <w:rsid w:val="00F1070E"/>
    <w:rsid w:val="00F1110E"/>
    <w:rsid w:val="00F237B0"/>
    <w:rsid w:val="00F3257D"/>
    <w:rsid w:val="00F349E0"/>
    <w:rsid w:val="00F36311"/>
    <w:rsid w:val="00F36FFF"/>
    <w:rsid w:val="00F41BC0"/>
    <w:rsid w:val="00F41D8C"/>
    <w:rsid w:val="00F4474D"/>
    <w:rsid w:val="00F502A8"/>
    <w:rsid w:val="00F50FD6"/>
    <w:rsid w:val="00F5472A"/>
    <w:rsid w:val="00F5795F"/>
    <w:rsid w:val="00F57B70"/>
    <w:rsid w:val="00F64817"/>
    <w:rsid w:val="00F659D0"/>
    <w:rsid w:val="00F725E1"/>
    <w:rsid w:val="00F73D00"/>
    <w:rsid w:val="00F8259D"/>
    <w:rsid w:val="00F83718"/>
    <w:rsid w:val="00F9582A"/>
    <w:rsid w:val="00F97338"/>
    <w:rsid w:val="00FA66EC"/>
    <w:rsid w:val="00FA7006"/>
    <w:rsid w:val="00FB1E59"/>
    <w:rsid w:val="00FB26E4"/>
    <w:rsid w:val="00FB29A3"/>
    <w:rsid w:val="00FB630E"/>
    <w:rsid w:val="00FB7E87"/>
    <w:rsid w:val="00FC36D2"/>
    <w:rsid w:val="00FC3D94"/>
    <w:rsid w:val="00FC75E8"/>
    <w:rsid w:val="00FD4917"/>
    <w:rsid w:val="00FE059E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55F41"/>
  <w15:docId w15:val="{DACB2E7D-48E2-43F7-8A52-467E493B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70B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3633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textAlignment w:val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36331"/>
    <w:rPr>
      <w:rFonts w:ascii="Times New Roman" w:hAnsi="Times New Roman"/>
      <w:sz w:val="24"/>
      <w:lang w:val="en-GB" w:eastAsia="en-US"/>
    </w:rPr>
  </w:style>
  <w:style w:type="paragraph" w:customStyle="1" w:styleId="FigureNo">
    <w:name w:val="Figure_No"/>
    <w:basedOn w:val="Normal"/>
    <w:next w:val="Normal"/>
    <w:rsid w:val="00A36331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eastAsiaTheme="minorEastAsia"/>
      <w:caps/>
      <w:sz w:val="20"/>
    </w:rPr>
  </w:style>
  <w:style w:type="paragraph" w:customStyle="1" w:styleId="Figuretitle">
    <w:name w:val="Figure_title"/>
    <w:basedOn w:val="Normal"/>
    <w:next w:val="Normal"/>
    <w:link w:val="FiguretitleChar"/>
    <w:rsid w:val="00A36331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eastAsiaTheme="minorEastAsia" w:hAnsi="Times New Roman Bold"/>
      <w:b/>
      <w:sz w:val="20"/>
    </w:rPr>
  </w:style>
  <w:style w:type="character" w:customStyle="1" w:styleId="FiguretitleChar">
    <w:name w:val="Figure_title Char"/>
    <w:basedOn w:val="DefaultParagraphFont"/>
    <w:link w:val="Figuretitle"/>
    <w:rsid w:val="00A36331"/>
    <w:rPr>
      <w:rFonts w:ascii="Times New Roman Bold" w:eastAsiaTheme="minorEastAsia" w:hAnsi="Times New Roman Bold"/>
      <w:b/>
      <w:lang w:val="en-GB" w:eastAsia="en-US"/>
    </w:rPr>
  </w:style>
  <w:style w:type="paragraph" w:customStyle="1" w:styleId="AnnexNo">
    <w:name w:val="Annex_No"/>
    <w:basedOn w:val="Normal"/>
    <w:next w:val="Normal"/>
    <w:rsid w:val="00A36331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  <w:textAlignment w:val="auto"/>
    </w:pPr>
    <w:rPr>
      <w:rFonts w:eastAsiaTheme="minorEastAsia"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n" TargetMode="External"/><Relationship Id="rId13" Type="http://schemas.openxmlformats.org/officeDocument/2006/relationships/chart" Target="charts/chart1.xml"/><Relationship Id="rId18" Type="http://schemas.openxmlformats.org/officeDocument/2006/relationships/hyperlink" Target="mailto:fabghamdi@citc.gov.s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23-SG05-C-009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R23-RAG-C-0058/en" TargetMode="External"/><Relationship Id="rId10" Type="http://schemas.openxmlformats.org/officeDocument/2006/relationships/hyperlink" Target="https://www.itu.int/md/R23-SG04-C-0047/e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58/en" TargetMode="External"/><Relationship Id="rId14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1605;&#1604;&#1601;&#1575;&#1578;%20&#1575;&#1604;&#1591;&#1610;&#1601;\&#1575;&#1583;&#1575;&#1585;&#1577;%20&#1575;&#1604;&#1578;&#1606;&#1587;&#1610;&#1602;%20&#1575;&#1604;&#1583;&#1608;&#1604;&#1610;\&#1575;&#1604;&#1578;&#1606;&#1592;&#1610;&#1605;&#1575;&#1578;%20&#1608;%20&#1575;&#1604;&#1583;&#1585;&#1575;&#1587;&#1575;&#1578;\RAG\33rd%20meeting\SG\SG%20wor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&#1605;&#1604;&#1601;&#1575;&#1578;%20&#1575;&#1604;&#1591;&#1610;&#1601;\&#1575;&#1583;&#1575;&#1585;&#1577;%20&#1575;&#1604;&#1578;&#1606;&#1587;&#1610;&#1602;%20&#1575;&#1604;&#1583;&#1608;&#1604;&#1610;\&#1575;&#1604;&#1578;&#1606;&#1592;&#1610;&#1605;&#1575;&#1578;%20&#1608;%20&#1575;&#1604;&#1583;&#1585;&#1575;&#1587;&#1575;&#1578;\RAG\33rd%20meeting\SG\SG%20wor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Sheet2!$B$28</c:f>
              <c:strCache>
                <c:ptCount val="1"/>
                <c:pt idx="0">
                  <c:v>2007-2012 (WRC-12)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Sheet2!$B$29:$B$34</c:f>
              <c:numCache>
                <c:formatCode>General</c:formatCode>
                <c:ptCount val="6"/>
                <c:pt idx="0">
                  <c:v>516</c:v>
                </c:pt>
                <c:pt idx="1">
                  <c:v>391</c:v>
                </c:pt>
                <c:pt idx="2">
                  <c:v>828</c:v>
                </c:pt>
                <c:pt idx="3">
                  <c:v>1859</c:v>
                </c:pt>
                <c:pt idx="4">
                  <c:v>949</c:v>
                </c:pt>
                <c:pt idx="5">
                  <c:v>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02-4185-9100-1C15A3E5B445}"/>
            </c:ext>
          </c:extLst>
        </c:ser>
        <c:ser>
          <c:idx val="1"/>
          <c:order val="1"/>
          <c:tx>
            <c:strRef>
              <c:f>Sheet2!$C$28</c:f>
              <c:strCache>
                <c:ptCount val="1"/>
                <c:pt idx="0">
                  <c:v>2012-2015 (WRC-15)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Sheet2!$C$29:$C$34</c:f>
              <c:numCache>
                <c:formatCode>General</c:formatCode>
                <c:ptCount val="6"/>
                <c:pt idx="0">
                  <c:v>575</c:v>
                </c:pt>
                <c:pt idx="1">
                  <c:v>539</c:v>
                </c:pt>
                <c:pt idx="2">
                  <c:v>1191</c:v>
                </c:pt>
                <c:pt idx="3">
                  <c:v>2763</c:v>
                </c:pt>
                <c:pt idx="4">
                  <c:v>1447</c:v>
                </c:pt>
                <c:pt idx="5">
                  <c:v>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02-4185-9100-1C15A3E5B445}"/>
            </c:ext>
          </c:extLst>
        </c:ser>
        <c:ser>
          <c:idx val="2"/>
          <c:order val="2"/>
          <c:tx>
            <c:strRef>
              <c:f>Sheet2!$D$28</c:f>
              <c:strCache>
                <c:ptCount val="1"/>
                <c:pt idx="0">
                  <c:v>2015-2019 (WRC-19)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Sheet2!$D$29:$D$34</c:f>
              <c:numCache>
                <c:formatCode>General</c:formatCode>
                <c:ptCount val="6"/>
                <c:pt idx="0">
                  <c:v>694</c:v>
                </c:pt>
                <c:pt idx="1">
                  <c:v>737</c:v>
                </c:pt>
                <c:pt idx="2">
                  <c:v>908</c:v>
                </c:pt>
                <c:pt idx="3">
                  <c:v>2300</c:v>
                </c:pt>
                <c:pt idx="4">
                  <c:v>989</c:v>
                </c:pt>
                <c:pt idx="5">
                  <c:v>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02-4185-9100-1C15A3E5B445}"/>
            </c:ext>
          </c:extLst>
        </c:ser>
        <c:ser>
          <c:idx val="3"/>
          <c:order val="3"/>
          <c:tx>
            <c:strRef>
              <c:f>Sheet2!$E$28</c:f>
              <c:strCache>
                <c:ptCount val="1"/>
                <c:pt idx="0">
                  <c:v>2019-2023 (WRC-23)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Sheet2!$E$29:$E$34</c:f>
              <c:numCache>
                <c:formatCode>General</c:formatCode>
                <c:ptCount val="6"/>
                <c:pt idx="0">
                  <c:v>391</c:v>
                </c:pt>
                <c:pt idx="1">
                  <c:v>676</c:v>
                </c:pt>
                <c:pt idx="2">
                  <c:v>938</c:v>
                </c:pt>
                <c:pt idx="3">
                  <c:v>2771</c:v>
                </c:pt>
                <c:pt idx="4">
                  <c:v>694</c:v>
                </c:pt>
                <c:pt idx="5">
                  <c:v>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02-4185-9100-1C15A3E5B445}"/>
            </c:ext>
          </c:extLst>
        </c:ser>
        <c:ser>
          <c:idx val="4"/>
          <c:order val="4"/>
          <c:tx>
            <c:strRef>
              <c:f>Sheet2!$F$28</c:f>
              <c:strCache>
                <c:ptCount val="1"/>
                <c:pt idx="0">
                  <c:v>2023-2027 (WRC-27)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Sheet2!$F$29:$F$34</c:f>
              <c:numCache>
                <c:formatCode>General</c:formatCode>
                <c:ptCount val="6"/>
                <c:pt idx="0">
                  <c:v>267</c:v>
                </c:pt>
                <c:pt idx="1">
                  <c:v>688</c:v>
                </c:pt>
                <c:pt idx="2">
                  <c:v>1588</c:v>
                </c:pt>
                <c:pt idx="3">
                  <c:v>2138</c:v>
                </c:pt>
                <c:pt idx="4">
                  <c:v>614</c:v>
                </c:pt>
                <c:pt idx="5">
                  <c:v>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02-4185-9100-1C15A3E5B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70705583"/>
        <c:axId val="1270703919"/>
      </c:barChart>
      <c:catAx>
        <c:axId val="1270705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0703919"/>
        <c:crosses val="autoZero"/>
        <c:auto val="1"/>
        <c:lblAlgn val="ctr"/>
        <c:lblOffset val="100"/>
        <c:noMultiLvlLbl val="0"/>
      </c:catAx>
      <c:valAx>
        <c:axId val="127070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0705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Sheet2!$B$46</c:f>
              <c:strCache>
                <c:ptCount val="1"/>
                <c:pt idx="0">
                  <c:v>2007-2012 (WRC-12)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Sheet2!$B$47:$B$52</c:f>
              <c:numCache>
                <c:formatCode>General</c:formatCode>
                <c:ptCount val="6"/>
                <c:pt idx="0">
                  <c:v>16</c:v>
                </c:pt>
                <c:pt idx="1">
                  <c:v>7</c:v>
                </c:pt>
                <c:pt idx="2">
                  <c:v>28</c:v>
                </c:pt>
                <c:pt idx="3">
                  <c:v>51</c:v>
                </c:pt>
                <c:pt idx="4">
                  <c:v>19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0C-4665-B02E-E4D73D73DA45}"/>
            </c:ext>
          </c:extLst>
        </c:ser>
        <c:ser>
          <c:idx val="1"/>
          <c:order val="1"/>
          <c:tx>
            <c:strRef>
              <c:f>Sheet2!$C$46</c:f>
              <c:strCache>
                <c:ptCount val="1"/>
                <c:pt idx="0">
                  <c:v>2012-2015 (WRC-15)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Sheet2!$C$47:$C$52</c:f>
              <c:numCache>
                <c:formatCode>General</c:formatCode>
                <c:ptCount val="6"/>
                <c:pt idx="0">
                  <c:v>15</c:v>
                </c:pt>
                <c:pt idx="1">
                  <c:v>7</c:v>
                </c:pt>
                <c:pt idx="2">
                  <c:v>25</c:v>
                </c:pt>
                <c:pt idx="3">
                  <c:v>31</c:v>
                </c:pt>
                <c:pt idx="4">
                  <c:v>13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0C-4665-B02E-E4D73D73DA45}"/>
            </c:ext>
          </c:extLst>
        </c:ser>
        <c:ser>
          <c:idx val="2"/>
          <c:order val="2"/>
          <c:tx>
            <c:strRef>
              <c:f>Sheet2!$D$46</c:f>
              <c:strCache>
                <c:ptCount val="1"/>
                <c:pt idx="0">
                  <c:v>2015-2019 (WRC-19)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Sheet2!$D$47:$D$52</c:f>
              <c:numCache>
                <c:formatCode>General</c:formatCode>
                <c:ptCount val="6"/>
                <c:pt idx="0">
                  <c:v>13</c:v>
                </c:pt>
                <c:pt idx="1">
                  <c:v>7</c:v>
                </c:pt>
                <c:pt idx="2">
                  <c:v>8</c:v>
                </c:pt>
                <c:pt idx="3">
                  <c:v>14</c:v>
                </c:pt>
                <c:pt idx="4">
                  <c:v>15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0C-4665-B02E-E4D73D73DA45}"/>
            </c:ext>
          </c:extLst>
        </c:ser>
        <c:ser>
          <c:idx val="3"/>
          <c:order val="3"/>
          <c:tx>
            <c:strRef>
              <c:f>Sheet2!$E$46</c:f>
              <c:strCache>
                <c:ptCount val="1"/>
                <c:pt idx="0">
                  <c:v>2019-2023 (WRC-23)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Sheet2!$E$47:$E$52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2</c:v>
                </c:pt>
                <c:pt idx="3">
                  <c:v>10</c:v>
                </c:pt>
                <c:pt idx="4">
                  <c:v>15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0C-4665-B02E-E4D73D73DA45}"/>
            </c:ext>
          </c:extLst>
        </c:ser>
        <c:ser>
          <c:idx val="4"/>
          <c:order val="4"/>
          <c:tx>
            <c:strRef>
              <c:f>Sheet2!$F$46</c:f>
              <c:strCache>
                <c:ptCount val="1"/>
                <c:pt idx="0">
                  <c:v>2023-2027 (WRC-27)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Sheet2!$F$47:$F$52</c:f>
              <c:numCache>
                <c:formatCode>General</c:formatCode>
                <c:ptCount val="6"/>
                <c:pt idx="0">
                  <c:v>12</c:v>
                </c:pt>
                <c:pt idx="1">
                  <c:v>22</c:v>
                </c:pt>
                <c:pt idx="2">
                  <c:v>5</c:v>
                </c:pt>
                <c:pt idx="4">
                  <c:v>37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0C-4665-B02E-E4D73D73D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6176463"/>
        <c:axId val="1256163567"/>
      </c:barChart>
      <c:catAx>
        <c:axId val="1256176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6163567"/>
        <c:crosses val="autoZero"/>
        <c:auto val="1"/>
        <c:lblAlgn val="ctr"/>
        <c:lblOffset val="100"/>
        <c:noMultiLvlLbl val="0"/>
      </c:catAx>
      <c:valAx>
        <c:axId val="1256163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6176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Physical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B8541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82-43FD-BA8E-56D70C297FA1}"/>
              </c:ext>
            </c:extLst>
          </c:dPt>
          <c:dPt>
            <c:idx val="5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882-43FD-BA8E-56D70C297FA1}"/>
              </c:ext>
            </c:extLst>
          </c:dPt>
          <c:dPt>
            <c:idx val="6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882-43FD-BA8E-56D70C297FA1}"/>
              </c:ext>
            </c:extLst>
          </c:dPt>
          <c:dPt>
            <c:idx val="7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882-43FD-BA8E-56D70C297FA1}"/>
              </c:ext>
            </c:extLst>
          </c:dPt>
          <c:dPt>
            <c:idx val="8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882-43FD-BA8E-56D70C297FA1}"/>
              </c:ext>
            </c:extLst>
          </c:dPt>
          <c:dPt>
            <c:idx val="9"/>
            <c:invertIfNegative val="0"/>
            <c:bubble3D val="0"/>
            <c:spPr>
              <a:solidFill>
                <a:srgbClr val="00823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882-43FD-BA8E-56D70C297FA1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882-43FD-BA8E-56D70C297FA1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882-43FD-BA8E-56D70C297FA1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882-43FD-BA8E-56D70C297FA1}"/>
              </c:ext>
            </c:extLst>
          </c:dPt>
          <c:dPt>
            <c:idx val="13"/>
            <c:invertIfNegative val="0"/>
            <c:bubble3D val="0"/>
            <c:spPr>
              <a:solidFill>
                <a:srgbClr val="53247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882-43FD-BA8E-56D70C297FA1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882-43FD-BA8E-56D70C297FA1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882-43FD-BA8E-56D70C297FA1}"/>
              </c:ext>
            </c:extLst>
          </c:dPt>
          <c:dPt>
            <c:idx val="1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1882-43FD-BA8E-56D70C297FA1}"/>
              </c:ext>
            </c:extLst>
          </c:dPt>
          <c:dPt>
            <c:idx val="1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1882-43FD-BA8E-56D70C297FA1}"/>
              </c:ext>
            </c:extLst>
          </c:dPt>
          <c:dPt>
            <c:idx val="18"/>
            <c:invertIfNegative val="0"/>
            <c:bubble3D val="0"/>
            <c:spPr>
              <a:solidFill>
                <a:srgbClr val="A8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1882-43FD-BA8E-56D70C297FA1}"/>
              </c:ext>
            </c:extLst>
          </c:dPt>
          <c:dPt>
            <c:idx val="1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1882-43FD-BA8E-56D70C297FA1}"/>
              </c:ext>
            </c:extLst>
          </c:dPt>
          <c:dPt>
            <c:idx val="2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1882-43FD-BA8E-56D70C297FA1}"/>
              </c:ext>
            </c:extLst>
          </c:dPt>
          <c:dPt>
            <c:idx val="2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1882-43FD-BA8E-56D70C297FA1}"/>
              </c:ext>
            </c:extLst>
          </c:dPt>
          <c:dPt>
            <c:idx val="22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1882-43FD-BA8E-56D70C297FA1}"/>
              </c:ext>
            </c:extLst>
          </c:dPt>
          <c:dPt>
            <c:idx val="2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1882-43FD-BA8E-56D70C297FA1}"/>
              </c:ext>
            </c:extLst>
          </c:dPt>
          <c:dPt>
            <c:idx val="2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1882-43FD-BA8E-56D70C297FA1}"/>
              </c:ext>
            </c:extLst>
          </c:dPt>
          <c:dPt>
            <c:idx val="25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1882-43FD-BA8E-56D70C297FA1}"/>
              </c:ext>
            </c:extLst>
          </c:dPt>
          <c:dPt>
            <c:idx val="2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1882-43FD-BA8E-56D70C297F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Sheet1!$A$2:$A$28</c:f>
              <c:strCache>
                <c:ptCount val="27"/>
                <c:pt idx="0">
                  <c:v>SG 1</c:v>
                </c:pt>
                <c:pt idx="1">
                  <c:v>WP 1A</c:v>
                </c:pt>
                <c:pt idx="2">
                  <c:v>WP 1B</c:v>
                </c:pt>
                <c:pt idx="3">
                  <c:v>WP 1C</c:v>
                </c:pt>
                <c:pt idx="4">
                  <c:v>SG 3</c:v>
                </c:pt>
                <c:pt idx="5">
                  <c:v>WP 3J</c:v>
                </c:pt>
                <c:pt idx="6">
                  <c:v>WP 3K</c:v>
                </c:pt>
                <c:pt idx="7">
                  <c:v>WP 3L</c:v>
                </c:pt>
                <c:pt idx="8">
                  <c:v>WP 3M</c:v>
                </c:pt>
                <c:pt idx="9">
                  <c:v>SG 4</c:v>
                </c:pt>
                <c:pt idx="10">
                  <c:v>WP 4A</c:v>
                </c:pt>
                <c:pt idx="11">
                  <c:v>WP 4B</c:v>
                </c:pt>
                <c:pt idx="12">
                  <c:v>WP 4C</c:v>
                </c:pt>
                <c:pt idx="13">
                  <c:v>SG 5</c:v>
                </c:pt>
                <c:pt idx="14">
                  <c:v>WP 5A</c:v>
                </c:pt>
                <c:pt idx="15">
                  <c:v>WP 5B</c:v>
                </c:pt>
                <c:pt idx="16">
                  <c:v>WP 5C</c:v>
                </c:pt>
                <c:pt idx="17">
                  <c:v>WP 5D</c:v>
                </c:pt>
                <c:pt idx="18">
                  <c:v>SG 6</c:v>
                </c:pt>
                <c:pt idx="19">
                  <c:v>WP 6A</c:v>
                </c:pt>
                <c:pt idx="20">
                  <c:v>WP 6B</c:v>
                </c:pt>
                <c:pt idx="21">
                  <c:v>WP 6C</c:v>
                </c:pt>
                <c:pt idx="22">
                  <c:v>SG 7</c:v>
                </c:pt>
                <c:pt idx="23">
                  <c:v>WP 7A</c:v>
                </c:pt>
                <c:pt idx="24">
                  <c:v>WP 7B</c:v>
                </c:pt>
                <c:pt idx="25">
                  <c:v>WP 7C</c:v>
                </c:pt>
                <c:pt idx="26">
                  <c:v>WP 7D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92</c:v>
                </c:pt>
                <c:pt idx="1">
                  <c:v>89</c:v>
                </c:pt>
                <c:pt idx="2">
                  <c:v>84</c:v>
                </c:pt>
                <c:pt idx="3">
                  <c:v>103</c:v>
                </c:pt>
                <c:pt idx="4">
                  <c:v>57</c:v>
                </c:pt>
                <c:pt idx="5">
                  <c:v>57</c:v>
                </c:pt>
                <c:pt idx="6">
                  <c:v>58</c:v>
                </c:pt>
                <c:pt idx="7">
                  <c:v>56</c:v>
                </c:pt>
                <c:pt idx="8">
                  <c:v>65</c:v>
                </c:pt>
                <c:pt idx="9">
                  <c:v>263</c:v>
                </c:pt>
                <c:pt idx="10">
                  <c:v>422</c:v>
                </c:pt>
                <c:pt idx="11">
                  <c:v>185</c:v>
                </c:pt>
                <c:pt idx="12">
                  <c:v>312</c:v>
                </c:pt>
                <c:pt idx="13">
                  <c:v>144</c:v>
                </c:pt>
                <c:pt idx="14">
                  <c:v>137</c:v>
                </c:pt>
                <c:pt idx="15">
                  <c:v>159</c:v>
                </c:pt>
                <c:pt idx="16">
                  <c:v>108</c:v>
                </c:pt>
                <c:pt idx="17">
                  <c:v>355</c:v>
                </c:pt>
                <c:pt idx="18">
                  <c:v>90</c:v>
                </c:pt>
                <c:pt idx="19">
                  <c:v>90</c:v>
                </c:pt>
                <c:pt idx="20">
                  <c:v>69</c:v>
                </c:pt>
                <c:pt idx="21">
                  <c:v>62</c:v>
                </c:pt>
                <c:pt idx="22">
                  <c:v>93</c:v>
                </c:pt>
                <c:pt idx="23">
                  <c:v>54</c:v>
                </c:pt>
                <c:pt idx="24">
                  <c:v>112</c:v>
                </c:pt>
                <c:pt idx="25">
                  <c:v>116</c:v>
                </c:pt>
                <c:pt idx="26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1882-43FD-BA8E-56D70C297F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83584144"/>
        <c:axId val="883574064"/>
      </c:barChart>
      <c:catAx>
        <c:axId val="88358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Group</a:t>
                </a:r>
                <a:endParaRPr lang="en-GB" sz="8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3574064"/>
        <c:crosses val="autoZero"/>
        <c:auto val="1"/>
        <c:lblAlgn val="ctr"/>
        <c:lblOffset val="100"/>
        <c:noMultiLvlLbl val="0"/>
      </c:catAx>
      <c:valAx>
        <c:axId val="8835740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Number of participants in-person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88358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Physical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B8541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2D0-43A8-9553-3D5E8209D337}"/>
              </c:ext>
            </c:extLst>
          </c:dPt>
          <c:dPt>
            <c:idx val="5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2D0-43A8-9553-3D5E8209D337}"/>
              </c:ext>
            </c:extLst>
          </c:dPt>
          <c:dPt>
            <c:idx val="6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2D0-43A8-9553-3D5E8209D337}"/>
              </c:ext>
            </c:extLst>
          </c:dPt>
          <c:dPt>
            <c:idx val="7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2D0-43A8-9553-3D5E8209D337}"/>
              </c:ext>
            </c:extLst>
          </c:dPt>
          <c:dPt>
            <c:idx val="8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2D0-43A8-9553-3D5E8209D337}"/>
              </c:ext>
            </c:extLst>
          </c:dPt>
          <c:dPt>
            <c:idx val="9"/>
            <c:invertIfNegative val="0"/>
            <c:bubble3D val="0"/>
            <c:spPr>
              <a:solidFill>
                <a:srgbClr val="00823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2D0-43A8-9553-3D5E8209D337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2D0-43A8-9553-3D5E8209D337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2D0-43A8-9553-3D5E8209D337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2D0-43A8-9553-3D5E8209D337}"/>
              </c:ext>
            </c:extLst>
          </c:dPt>
          <c:dPt>
            <c:idx val="13"/>
            <c:invertIfNegative val="0"/>
            <c:bubble3D val="0"/>
            <c:spPr>
              <a:solidFill>
                <a:srgbClr val="53247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2D0-43A8-9553-3D5E8209D337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2D0-43A8-9553-3D5E8209D337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2D0-43A8-9553-3D5E8209D337}"/>
              </c:ext>
            </c:extLst>
          </c:dPt>
          <c:dPt>
            <c:idx val="1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12D0-43A8-9553-3D5E8209D337}"/>
              </c:ext>
            </c:extLst>
          </c:dPt>
          <c:dPt>
            <c:idx val="1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12D0-43A8-9553-3D5E8209D337}"/>
              </c:ext>
            </c:extLst>
          </c:dPt>
          <c:dPt>
            <c:idx val="18"/>
            <c:invertIfNegative val="0"/>
            <c:bubble3D val="0"/>
            <c:spPr>
              <a:solidFill>
                <a:srgbClr val="A8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12D0-43A8-9553-3D5E8209D337}"/>
              </c:ext>
            </c:extLst>
          </c:dPt>
          <c:dPt>
            <c:idx val="1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12D0-43A8-9553-3D5E8209D337}"/>
              </c:ext>
            </c:extLst>
          </c:dPt>
          <c:dPt>
            <c:idx val="2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12D0-43A8-9553-3D5E8209D337}"/>
              </c:ext>
            </c:extLst>
          </c:dPt>
          <c:dPt>
            <c:idx val="2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12D0-43A8-9553-3D5E8209D337}"/>
              </c:ext>
            </c:extLst>
          </c:dPt>
          <c:dPt>
            <c:idx val="22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12D0-43A8-9553-3D5E8209D337}"/>
              </c:ext>
            </c:extLst>
          </c:dPt>
          <c:dPt>
            <c:idx val="2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12D0-43A8-9553-3D5E8209D337}"/>
              </c:ext>
            </c:extLst>
          </c:dPt>
          <c:dPt>
            <c:idx val="2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12D0-43A8-9553-3D5E8209D337}"/>
              </c:ext>
            </c:extLst>
          </c:dPt>
          <c:dPt>
            <c:idx val="25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12D0-43A8-9553-3D5E8209D337}"/>
              </c:ext>
            </c:extLst>
          </c:dPt>
          <c:dPt>
            <c:idx val="2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12D0-43A8-9553-3D5E8209D3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Sheet1!$A$2:$A$28</c:f>
              <c:strCache>
                <c:ptCount val="27"/>
                <c:pt idx="0">
                  <c:v>SG 1</c:v>
                </c:pt>
                <c:pt idx="1">
                  <c:v>WP 1A</c:v>
                </c:pt>
                <c:pt idx="2">
                  <c:v>WP 1B</c:v>
                </c:pt>
                <c:pt idx="3">
                  <c:v>WP 1C</c:v>
                </c:pt>
                <c:pt idx="4">
                  <c:v>SG 3</c:v>
                </c:pt>
                <c:pt idx="5">
                  <c:v>WP 3J</c:v>
                </c:pt>
                <c:pt idx="6">
                  <c:v>WP 3K</c:v>
                </c:pt>
                <c:pt idx="7">
                  <c:v>WP 3L</c:v>
                </c:pt>
                <c:pt idx="8">
                  <c:v>WP 3M</c:v>
                </c:pt>
                <c:pt idx="9">
                  <c:v>SG 4</c:v>
                </c:pt>
                <c:pt idx="10">
                  <c:v>WP 4A</c:v>
                </c:pt>
                <c:pt idx="11">
                  <c:v>WP 4B</c:v>
                </c:pt>
                <c:pt idx="12">
                  <c:v>WP 4C</c:v>
                </c:pt>
                <c:pt idx="13">
                  <c:v>SG 5</c:v>
                </c:pt>
                <c:pt idx="14">
                  <c:v>WP 5A</c:v>
                </c:pt>
                <c:pt idx="15">
                  <c:v>WP 5B</c:v>
                </c:pt>
                <c:pt idx="16">
                  <c:v>WP 5C</c:v>
                </c:pt>
                <c:pt idx="17">
                  <c:v>WP 5D</c:v>
                </c:pt>
                <c:pt idx="18">
                  <c:v>SG 6</c:v>
                </c:pt>
                <c:pt idx="19">
                  <c:v>WP 6A</c:v>
                </c:pt>
                <c:pt idx="20">
                  <c:v>WP 6B</c:v>
                </c:pt>
                <c:pt idx="21">
                  <c:v>WP 6C</c:v>
                </c:pt>
                <c:pt idx="22">
                  <c:v>SG 7</c:v>
                </c:pt>
                <c:pt idx="23">
                  <c:v>WP 7A</c:v>
                </c:pt>
                <c:pt idx="24">
                  <c:v>WP 7B</c:v>
                </c:pt>
                <c:pt idx="25">
                  <c:v>WP 7C</c:v>
                </c:pt>
                <c:pt idx="26">
                  <c:v>WP 7D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141</c:v>
                </c:pt>
                <c:pt idx="1">
                  <c:v>110</c:v>
                </c:pt>
                <c:pt idx="2">
                  <c:v>93</c:v>
                </c:pt>
                <c:pt idx="3">
                  <c:v>109</c:v>
                </c:pt>
                <c:pt idx="4">
                  <c:v>51</c:v>
                </c:pt>
                <c:pt idx="5">
                  <c:v>57</c:v>
                </c:pt>
                <c:pt idx="6">
                  <c:v>53</c:v>
                </c:pt>
                <c:pt idx="7">
                  <c:v>43</c:v>
                </c:pt>
                <c:pt idx="8">
                  <c:v>54</c:v>
                </c:pt>
                <c:pt idx="9">
                  <c:v>208</c:v>
                </c:pt>
                <c:pt idx="10">
                  <c:v>443</c:v>
                </c:pt>
                <c:pt idx="11">
                  <c:v>206</c:v>
                </c:pt>
                <c:pt idx="12">
                  <c:v>347</c:v>
                </c:pt>
                <c:pt idx="13">
                  <c:v>150</c:v>
                </c:pt>
                <c:pt idx="14">
                  <c:v>179</c:v>
                </c:pt>
                <c:pt idx="15">
                  <c:v>183</c:v>
                </c:pt>
                <c:pt idx="16">
                  <c:v>142</c:v>
                </c:pt>
                <c:pt idx="17">
                  <c:v>307</c:v>
                </c:pt>
                <c:pt idx="18">
                  <c:v>117</c:v>
                </c:pt>
                <c:pt idx="19">
                  <c:v>92</c:v>
                </c:pt>
                <c:pt idx="20">
                  <c:v>67</c:v>
                </c:pt>
                <c:pt idx="21">
                  <c:v>78</c:v>
                </c:pt>
                <c:pt idx="22">
                  <c:v>136</c:v>
                </c:pt>
                <c:pt idx="23">
                  <c:v>108</c:v>
                </c:pt>
                <c:pt idx="24">
                  <c:v>106</c:v>
                </c:pt>
                <c:pt idx="25">
                  <c:v>105</c:v>
                </c:pt>
                <c:pt idx="26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12D0-43A8-9553-3D5E8209D3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83584144"/>
        <c:axId val="883574064"/>
      </c:barChart>
      <c:catAx>
        <c:axId val="88358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Group</a:t>
                </a:r>
                <a:endParaRPr lang="en-GB" sz="8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3574064"/>
        <c:crosses val="autoZero"/>
        <c:auto val="1"/>
        <c:lblAlgn val="ctr"/>
        <c:lblOffset val="100"/>
        <c:noMultiLvlLbl val="0"/>
      </c:catAx>
      <c:valAx>
        <c:axId val="8835740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Number of physical participants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88358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1</TotalTime>
  <Pages>7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5719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LING-C(JL)</dc:creator>
  <cp:keywords/>
  <dc:description/>
  <cp:lastModifiedBy>Xue, Kun</cp:lastModifiedBy>
  <cp:revision>2</cp:revision>
  <cp:lastPrinted>2011-05-04T08:20:00Z</cp:lastPrinted>
  <dcterms:created xsi:type="dcterms:W3CDTF">2026-03-19T10:18:00Z</dcterms:created>
  <dcterms:modified xsi:type="dcterms:W3CDTF">2026-03-19T10:18:00Z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