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14:paraId="72F7600C" w14:textId="77777777" w:rsidTr="00890B30">
        <w:trPr>
          <w:cantSplit/>
        </w:trPr>
        <w:tc>
          <w:tcPr>
            <w:tcW w:w="6772" w:type="dxa"/>
            <w:vAlign w:val="center"/>
          </w:tcPr>
          <w:p w14:paraId="54988E74" w14:textId="77777777"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</w:p>
        </w:tc>
        <w:tc>
          <w:tcPr>
            <w:tcW w:w="3117" w:type="dxa"/>
            <w:vAlign w:val="center"/>
          </w:tcPr>
          <w:p w14:paraId="7B9DE216" w14:textId="77777777"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54BE6746" wp14:editId="278CBB61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14:paraId="4FE6E3B6" w14:textId="77777777" w:rsidTr="00890B30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14:paraId="172CA885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2749A90B" w14:textId="77777777"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14:paraId="3B6030BD" w14:textId="77777777" w:rsidTr="00890B30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14:paraId="67BA995A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7C9A0289" w14:textId="77777777"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6E291F" w:rsidRPr="002A127E" w14:paraId="368A68B8" w14:textId="77777777" w:rsidTr="00890B30">
        <w:trPr>
          <w:cantSplit/>
        </w:trPr>
        <w:tc>
          <w:tcPr>
            <w:tcW w:w="6772" w:type="dxa"/>
            <w:vMerge w:val="restart"/>
          </w:tcPr>
          <w:p w14:paraId="743A9CF2" w14:textId="77777777" w:rsidR="006E291F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14:paraId="07A3EB66" w14:textId="0713650B" w:rsidR="006E291F" w:rsidRPr="00890B30" w:rsidRDefault="00890B30" w:rsidP="00890B3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RAG/74-S</w:t>
            </w:r>
          </w:p>
        </w:tc>
      </w:tr>
      <w:tr w:rsidR="006E291F" w:rsidRPr="002A127E" w14:paraId="13F26905" w14:textId="77777777" w:rsidTr="00890B30">
        <w:trPr>
          <w:cantSplit/>
        </w:trPr>
        <w:tc>
          <w:tcPr>
            <w:tcW w:w="6772" w:type="dxa"/>
            <w:vMerge/>
          </w:tcPr>
          <w:p w14:paraId="76E02B50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14:paraId="10EA9F6A" w14:textId="0E180AA0" w:rsidR="006E291F" w:rsidRPr="00890B30" w:rsidRDefault="00890B30" w:rsidP="00890B3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16 de marzo de 2026</w:t>
            </w:r>
          </w:p>
        </w:tc>
      </w:tr>
      <w:tr w:rsidR="006E291F" w:rsidRPr="002A127E" w14:paraId="78ECE3E9" w14:textId="77777777" w:rsidTr="00890B30">
        <w:trPr>
          <w:cantSplit/>
        </w:trPr>
        <w:tc>
          <w:tcPr>
            <w:tcW w:w="6772" w:type="dxa"/>
            <w:vMerge/>
          </w:tcPr>
          <w:p w14:paraId="55B3B18B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14:paraId="69AEFB55" w14:textId="4B5C555F" w:rsidR="006E291F" w:rsidRPr="00890B30" w:rsidRDefault="00890B30" w:rsidP="00890B30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E291F" w14:paraId="4AD5545B" w14:textId="77777777" w:rsidTr="008F0106">
        <w:trPr>
          <w:cantSplit/>
        </w:trPr>
        <w:tc>
          <w:tcPr>
            <w:tcW w:w="9889" w:type="dxa"/>
            <w:gridSpan w:val="2"/>
          </w:tcPr>
          <w:p w14:paraId="32F06166" w14:textId="3043EEA9" w:rsidR="006E291F" w:rsidRDefault="00890B30" w:rsidP="00CB7A43">
            <w:pPr>
              <w:pStyle w:val="Source"/>
            </w:pPr>
            <w:bookmarkStart w:id="3" w:name="dsource" w:colFirst="0" w:colLast="0"/>
            <w:bookmarkEnd w:id="2"/>
            <w:r>
              <w:t>Federación de Rusia</w:t>
            </w:r>
          </w:p>
        </w:tc>
      </w:tr>
      <w:tr w:rsidR="006E291F" w14:paraId="4DA83583" w14:textId="77777777" w:rsidTr="008F0106">
        <w:trPr>
          <w:cantSplit/>
        </w:trPr>
        <w:tc>
          <w:tcPr>
            <w:tcW w:w="9889" w:type="dxa"/>
            <w:gridSpan w:val="2"/>
          </w:tcPr>
          <w:p w14:paraId="7511F9C7" w14:textId="5E20BBF4" w:rsidR="006E291F" w:rsidRDefault="00890B30" w:rsidP="00CB7A43">
            <w:pPr>
              <w:pStyle w:val="Title1"/>
            </w:pPr>
            <w:bookmarkStart w:id="4" w:name="dtitle1" w:colFirst="0" w:colLast="0"/>
            <w:bookmarkEnd w:id="3"/>
            <w:r>
              <w:rPr>
                <w:color w:val="000000"/>
                <w:lang w:val="es-ES"/>
              </w:rPr>
              <w:t>INDICADORES DE RENDIMIENTO ADICIONALES</w:t>
            </w:r>
            <w:r>
              <w:rPr>
                <w:color w:val="000000"/>
                <w:lang w:val="es-ES"/>
              </w:rPr>
              <w:br/>
              <w:t>PARA EL PLAN ESTRATÉGICO 2028-2031</w:t>
            </w:r>
          </w:p>
        </w:tc>
      </w:tr>
    </w:tbl>
    <w:bookmarkEnd w:id="4"/>
    <w:p w14:paraId="3D345A41" w14:textId="77777777" w:rsidR="00890B30" w:rsidRPr="00481070" w:rsidRDefault="00890B30" w:rsidP="00890B30">
      <w:pPr>
        <w:pStyle w:val="Headingb"/>
        <w:rPr>
          <w:lang w:val="es-ES"/>
        </w:rPr>
      </w:pPr>
      <w:r>
        <w:rPr>
          <w:lang w:val="es-ES"/>
        </w:rPr>
        <w:t>Introducción</w:t>
      </w:r>
    </w:p>
    <w:p w14:paraId="1C773227" w14:textId="77777777" w:rsidR="00890B30" w:rsidRPr="00481070" w:rsidRDefault="00890B30" w:rsidP="00890B30">
      <w:pPr>
        <w:rPr>
          <w:lang w:val="es-ES"/>
        </w:rPr>
      </w:pPr>
      <w:r>
        <w:rPr>
          <w:lang w:val="es-ES"/>
        </w:rPr>
        <w:t>En su reunión especial celebrada el 9 de diciembre de 2025, el GAR examinó, entre otras cuestiones, los indicadores de rendimiento para el Plan Estratégico 2028-2031. Ha identificado como objetivo clave del Sector UIT-R los siguientes:</w:t>
      </w:r>
    </w:p>
    <w:p w14:paraId="23CBC109" w14:textId="3617CFD7" w:rsidR="00890B30" w:rsidRPr="00481070" w:rsidRDefault="00890B30" w:rsidP="00890B30">
      <w:pPr>
        <w:rPr>
          <w:lang w:val="es-ES"/>
        </w:rPr>
      </w:pPr>
      <w:r>
        <w:rPr>
          <w:lang w:val="es-ES"/>
        </w:rPr>
        <w:t>Actualización del Registro Internacional de Frecuencias para que refleje la utilización real de conformidad con las características y los parámetros publicados, teniendo en cuenta las disposiciones pertinentes del Reglamento de Radiocomunicaciones, en particular la Sección</w:t>
      </w:r>
      <w:r w:rsidR="00EC0833">
        <w:rPr>
          <w:lang w:val="es-ES"/>
        </w:rPr>
        <w:t> </w:t>
      </w:r>
      <w:r>
        <w:rPr>
          <w:lang w:val="es-ES"/>
        </w:rPr>
        <w:t>II del Artículo 13 del Reglamento de Radiocomunicaciones.</w:t>
      </w:r>
    </w:p>
    <w:p w14:paraId="5AB938F4" w14:textId="77777777" w:rsidR="00890B30" w:rsidRPr="00481070" w:rsidRDefault="00890B30" w:rsidP="00890B30">
      <w:pPr>
        <w:rPr>
          <w:lang w:val="es-ES"/>
        </w:rPr>
      </w:pPr>
      <w:r>
        <w:rPr>
          <w:lang w:val="es-ES"/>
        </w:rPr>
        <w:t>Este objetivo fundamental fue apoyado por la Administración de la Federación de Rusia y algunas otras administraciones.</w:t>
      </w:r>
    </w:p>
    <w:p w14:paraId="0ECADBCF" w14:textId="2841AD99" w:rsidR="00890B30" w:rsidRPr="00481070" w:rsidRDefault="00890B30" w:rsidP="00890B30">
      <w:pPr>
        <w:rPr>
          <w:lang w:val="es-ES"/>
        </w:rPr>
      </w:pPr>
      <w:r>
        <w:rPr>
          <w:lang w:val="es-ES"/>
        </w:rPr>
        <w:t>Sin embargo, la reunión no pudo definir indicadores que pudieran medir el logro de este objetivo, y esta propuesta general se envió al Grupo de Trabajo del Consejo sobre los Planes Estratégico y Financiero para 2028</w:t>
      </w:r>
      <w:r w:rsidR="00EC0833">
        <w:rPr>
          <w:lang w:val="es-ES"/>
        </w:rPr>
        <w:noBreakHyphen/>
      </w:r>
      <w:r>
        <w:rPr>
          <w:lang w:val="es-ES"/>
        </w:rPr>
        <w:t>2031 para su consideración mediante una declaración de coordinación.</w:t>
      </w:r>
    </w:p>
    <w:p w14:paraId="175F4EA5" w14:textId="77777777" w:rsidR="00890B30" w:rsidRPr="00481070" w:rsidRDefault="00890B30" w:rsidP="00890B30">
      <w:pPr>
        <w:pStyle w:val="Headingb"/>
        <w:rPr>
          <w:lang w:val="es-ES"/>
        </w:rPr>
      </w:pPr>
      <w:r>
        <w:rPr>
          <w:lang w:val="es-ES"/>
        </w:rPr>
        <w:t>Descripción de la cuestión</w:t>
      </w:r>
    </w:p>
    <w:p w14:paraId="3E58DD7E" w14:textId="77777777" w:rsidR="00890B30" w:rsidRPr="00481070" w:rsidRDefault="00890B30" w:rsidP="00890B30">
      <w:pPr>
        <w:rPr>
          <w:lang w:val="es-ES"/>
        </w:rPr>
      </w:pPr>
      <w:r>
        <w:rPr>
          <w:lang w:val="es-ES"/>
        </w:rPr>
        <w:t>A este respecto, le invitamos a tomar nota de la siguiente información adicional sobre este asunto.</w:t>
      </w:r>
    </w:p>
    <w:p w14:paraId="72360489" w14:textId="77777777" w:rsidR="00890B30" w:rsidRPr="00481070" w:rsidRDefault="00890B30" w:rsidP="00890B30">
      <w:pPr>
        <w:rPr>
          <w:lang w:val="es-ES"/>
        </w:rPr>
      </w:pPr>
      <w:r>
        <w:rPr>
          <w:lang w:val="es-ES"/>
        </w:rPr>
        <w:t>El mantenimiento del Registro Internacional de Frecuencias consta normalmente de:</w:t>
      </w:r>
    </w:p>
    <w:p w14:paraId="1D58ECD7" w14:textId="03DDE9D7" w:rsidR="00890B30" w:rsidRPr="00481070" w:rsidRDefault="00890B30" w:rsidP="00890B30">
      <w:pPr>
        <w:pStyle w:val="enumlev1"/>
        <w:rPr>
          <w:lang w:val="es-ES"/>
        </w:rPr>
      </w:pPr>
      <w:r>
        <w:rPr>
          <w:lang w:val="es-ES"/>
        </w:rPr>
        <w:t>1)</w:t>
      </w:r>
      <w:r>
        <w:rPr>
          <w:lang w:val="es-ES"/>
        </w:rPr>
        <w:tab/>
        <w:t>Notificación de nuevas asignaciones de frecuencias por las administraciones.</w:t>
      </w:r>
    </w:p>
    <w:p w14:paraId="7782AB53" w14:textId="0930A45E" w:rsidR="00890B30" w:rsidRPr="00481070" w:rsidRDefault="00890B30" w:rsidP="00890B30">
      <w:pPr>
        <w:pStyle w:val="enumlev1"/>
        <w:rPr>
          <w:lang w:val="es-ES"/>
        </w:rPr>
      </w:pPr>
      <w:r>
        <w:rPr>
          <w:lang w:val="es-ES"/>
        </w:rPr>
        <w:t>2)</w:t>
      </w:r>
      <w:r>
        <w:rPr>
          <w:lang w:val="es-ES"/>
        </w:rPr>
        <w:tab/>
        <w:t>Notificación por las administraciones de los parámetros modificados de las asignaciones de frecuencias ya inscritas en el Registro Internacional de Frecuencias.</w:t>
      </w:r>
    </w:p>
    <w:p w14:paraId="6AF38A55" w14:textId="3B719964" w:rsidR="00890B30" w:rsidRPr="00481070" w:rsidRDefault="00890B30" w:rsidP="00890B30">
      <w:pPr>
        <w:pStyle w:val="enumlev1"/>
        <w:rPr>
          <w:lang w:val="es-ES"/>
        </w:rPr>
      </w:pPr>
      <w:r>
        <w:rPr>
          <w:lang w:val="es-ES"/>
        </w:rPr>
        <w:t>3)</w:t>
      </w:r>
      <w:r>
        <w:rPr>
          <w:lang w:val="es-ES"/>
        </w:rPr>
        <w:tab/>
        <w:t>Supresión de asignaciones de frecuencias que ya no están en funcionamiento.</w:t>
      </w:r>
    </w:p>
    <w:p w14:paraId="1C0ED066" w14:textId="3360650A" w:rsidR="00890B30" w:rsidRPr="00481070" w:rsidRDefault="00890B30" w:rsidP="00890B30">
      <w:pPr>
        <w:pStyle w:val="enumlev1"/>
        <w:rPr>
          <w:lang w:val="es-ES"/>
        </w:rPr>
      </w:pPr>
      <w:r>
        <w:rPr>
          <w:lang w:val="es-ES"/>
        </w:rPr>
        <w:t>4)</w:t>
      </w:r>
      <w:r>
        <w:rPr>
          <w:lang w:val="es-ES"/>
        </w:rPr>
        <w:tab/>
        <w:t>Mantener la coherencia de las asignaciones inscritas con los cambios en las atribuciones efectuados por las CMR.</w:t>
      </w:r>
    </w:p>
    <w:p w14:paraId="7F5D93B8" w14:textId="0F1F8BDA" w:rsidR="00890B30" w:rsidRPr="00481070" w:rsidRDefault="00890B30" w:rsidP="00890B30">
      <w:pPr>
        <w:pStyle w:val="enumlev1"/>
        <w:rPr>
          <w:lang w:val="es-ES"/>
        </w:rPr>
      </w:pPr>
      <w:r>
        <w:rPr>
          <w:lang w:val="es-ES"/>
        </w:rPr>
        <w:t>5)</w:t>
      </w:r>
      <w:r>
        <w:rPr>
          <w:lang w:val="es-ES"/>
        </w:rPr>
        <w:tab/>
        <w:t>Mantener la coherencia entre los parámetros notificados y los parámetros reales de las asignaciones de frecuencias.</w:t>
      </w:r>
    </w:p>
    <w:p w14:paraId="43F902AA" w14:textId="7AAD8645" w:rsidR="00890B30" w:rsidRPr="00481070" w:rsidRDefault="00890B30" w:rsidP="00890B30">
      <w:pPr>
        <w:rPr>
          <w:lang w:val="es-ES"/>
        </w:rPr>
      </w:pPr>
      <w:r>
        <w:rPr>
          <w:lang w:val="es-ES"/>
        </w:rPr>
        <w:t>Las actividades indicadas en los puntos 1 y 2 supra están cubiertas por el indicador existente «Número de asignaciones de frecuencias ... inscritas en el Registro Internacional de Frecuencias»</w:t>
      </w:r>
      <w:r w:rsidR="00EC0833">
        <w:rPr>
          <w:lang w:val="es-ES"/>
        </w:rPr>
        <w:t>.</w:t>
      </w:r>
    </w:p>
    <w:p w14:paraId="42E8014F" w14:textId="77777777" w:rsidR="00890B30" w:rsidRPr="00481070" w:rsidRDefault="00890B30" w:rsidP="00890B30">
      <w:pPr>
        <w:rPr>
          <w:lang w:val="es-ES"/>
        </w:rPr>
      </w:pPr>
      <w:r>
        <w:rPr>
          <w:lang w:val="es-ES"/>
        </w:rPr>
        <w:t>La actividad del punto 3 ya está cubierta por el indicador existente «Número de asignaciones de frecuencia que han sido suprimidas».</w:t>
      </w:r>
    </w:p>
    <w:p w14:paraId="59870D76" w14:textId="77777777" w:rsidR="00890B30" w:rsidRPr="00481070" w:rsidRDefault="00890B30" w:rsidP="00890B30">
      <w:pPr>
        <w:pStyle w:val="Headingb"/>
        <w:rPr>
          <w:lang w:val="es-ES"/>
        </w:rPr>
      </w:pPr>
      <w:r>
        <w:rPr>
          <w:lang w:val="es-ES"/>
        </w:rPr>
        <w:lastRenderedPageBreak/>
        <w:t>Propuesta</w:t>
      </w:r>
    </w:p>
    <w:p w14:paraId="2D1C58EF" w14:textId="77777777" w:rsidR="00890B30" w:rsidRPr="00481070" w:rsidRDefault="00890B30" w:rsidP="00890B30">
      <w:pPr>
        <w:rPr>
          <w:lang w:val="es-ES"/>
        </w:rPr>
      </w:pPr>
      <w:r>
        <w:rPr>
          <w:lang w:val="es-ES"/>
        </w:rPr>
        <w:t>En cuanto a las actividades indicadas en los puntos 4 y 5 anteriores, el GAR puede considerar la posible introducción de los dos nuevos indicadores:</w:t>
      </w:r>
    </w:p>
    <w:p w14:paraId="338CA656" w14:textId="257A4CBD" w:rsidR="00890B30" w:rsidRPr="00481070" w:rsidRDefault="00890B30" w:rsidP="00890B30">
      <w:pPr>
        <w:pStyle w:val="enumlev1"/>
        <w:rPr>
          <w:lang w:val="es-ES"/>
        </w:rPr>
      </w:pPr>
      <w:r>
        <w:rPr>
          <w:lang w:val="es-ES"/>
        </w:rPr>
        <w:t>1)</w:t>
      </w:r>
      <w:r>
        <w:rPr>
          <w:lang w:val="es-ES"/>
        </w:rPr>
        <w:tab/>
        <w:t>Número de asignaciones cuyas conclusiones han sido revisadas con arreglo al número</w:t>
      </w:r>
      <w:r w:rsidR="00EC0833">
        <w:rPr>
          <w:lang w:val="es-ES"/>
        </w:rPr>
        <w:t> </w:t>
      </w:r>
      <w:r>
        <w:rPr>
          <w:lang w:val="es-ES"/>
        </w:rPr>
        <w:t>11.50 del RR»</w:t>
      </w:r>
      <w:r w:rsidR="00EC0833">
        <w:rPr>
          <w:lang w:val="es-ES"/>
        </w:rPr>
        <w:t>.</w:t>
      </w:r>
    </w:p>
    <w:p w14:paraId="35D5FF18" w14:textId="5FDEA488" w:rsidR="00890B30" w:rsidRPr="00481070" w:rsidRDefault="00890B30" w:rsidP="00890B30">
      <w:pPr>
        <w:pStyle w:val="enumlev1"/>
        <w:rPr>
          <w:lang w:val="es-ES"/>
        </w:rPr>
      </w:pPr>
      <w:r>
        <w:rPr>
          <w:lang w:val="es-ES"/>
        </w:rPr>
        <w:t>2)</w:t>
      </w:r>
      <w:r>
        <w:rPr>
          <w:lang w:val="es-ES"/>
        </w:rPr>
        <w:tab/>
        <w:t>Número de casos tramitados por la BR con arreglo al número</w:t>
      </w:r>
      <w:r w:rsidR="00EC0833">
        <w:rPr>
          <w:lang w:val="es-ES"/>
        </w:rPr>
        <w:t> </w:t>
      </w:r>
      <w:r>
        <w:rPr>
          <w:lang w:val="es-ES"/>
        </w:rPr>
        <w:t>13.6 del RR»</w:t>
      </w:r>
      <w:r w:rsidR="00EC0833">
        <w:rPr>
          <w:lang w:val="es-ES"/>
        </w:rPr>
        <w:t>.</w:t>
      </w:r>
    </w:p>
    <w:p w14:paraId="6DA80AFE" w14:textId="77777777" w:rsidR="00890B30" w:rsidRPr="00481070" w:rsidRDefault="00890B30" w:rsidP="00890B30">
      <w:pPr>
        <w:spacing w:after="240"/>
        <w:rPr>
          <w:lang w:val="es-ES"/>
        </w:rPr>
      </w:pPr>
      <w:r>
        <w:rPr>
          <w:lang w:val="es-ES"/>
        </w:rPr>
        <w:t>Con la división en indicadores espaciales y terrenales y la indicación de las fuentes de información, los indicadores resultantes serían los siguientes: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69"/>
        <w:gridCol w:w="3260"/>
      </w:tblGrid>
      <w:tr w:rsidR="00890B30" w:rsidRPr="00481070" w14:paraId="49E28A16" w14:textId="77777777" w:rsidTr="00E92021">
        <w:tc>
          <w:tcPr>
            <w:tcW w:w="6269" w:type="dxa"/>
          </w:tcPr>
          <w:p w14:paraId="2AA0BAA5" w14:textId="109FFF42" w:rsidR="00890B30" w:rsidRPr="00506634" w:rsidRDefault="00506634" w:rsidP="00EC083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es-ES"/>
              </w:rPr>
            </w:pPr>
            <w:r w:rsidRPr="00506634">
              <w:rPr>
                <w:color w:val="000000"/>
                <w:lang w:val="es-ES"/>
              </w:rPr>
              <w:t>Mantenimiento del Registro Internacional de Frecuencias para los servicios espaciales, actualizado para reflejar la utilización real de conformidad con las características y los parámetros publicados, medido de la siguiente manera:</w:t>
            </w:r>
          </w:p>
          <w:p w14:paraId="704A3C4E" w14:textId="7522D674" w:rsidR="00890B30" w:rsidRPr="00481070" w:rsidRDefault="00890B30" w:rsidP="00EC0833">
            <w:pPr>
              <w:overflowPunct/>
              <w:autoSpaceDE/>
              <w:autoSpaceDN/>
              <w:adjustRightInd/>
              <w:textAlignment w:val="auto"/>
              <w:rPr>
                <w:lang w:val="es-ES"/>
              </w:rPr>
            </w:pPr>
            <w:r>
              <w:rPr>
                <w:color w:val="000000"/>
                <w:lang w:val="es-ES"/>
              </w:rPr>
              <w:t>Número de asignaciones de frecuencias cuyas conclusiones se han examinado anualmente de conformidad con el número</w:t>
            </w:r>
            <w:r w:rsidR="00EC0833">
              <w:rPr>
                <w:color w:val="000000"/>
                <w:lang w:val="es-ES"/>
              </w:rPr>
              <w:t> </w:t>
            </w:r>
            <w:r>
              <w:rPr>
                <w:color w:val="000000"/>
                <w:lang w:val="es-ES"/>
              </w:rPr>
              <w:t>11.50 del RR.</w:t>
            </w:r>
          </w:p>
          <w:p w14:paraId="6AF864DC" w14:textId="446F5CAD" w:rsidR="00890B30" w:rsidRPr="00481070" w:rsidRDefault="00890B30" w:rsidP="00EC0833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lang w:val="es-ES"/>
              </w:rPr>
            </w:pPr>
            <w:r>
              <w:rPr>
                <w:color w:val="000000"/>
                <w:lang w:val="es-ES"/>
              </w:rPr>
              <w:t>Número de casos tramitados anualmente por la BR con arreglo al número</w:t>
            </w:r>
            <w:r w:rsidR="00EC0833">
              <w:rPr>
                <w:color w:val="000000"/>
                <w:lang w:val="es-ES"/>
              </w:rPr>
              <w:t> </w:t>
            </w:r>
            <w:r>
              <w:rPr>
                <w:color w:val="000000"/>
                <w:lang w:val="es-ES"/>
              </w:rPr>
              <w:t>3.6 del RR.</w:t>
            </w:r>
          </w:p>
        </w:tc>
        <w:tc>
          <w:tcPr>
            <w:tcW w:w="3260" w:type="dxa"/>
          </w:tcPr>
          <w:p w14:paraId="564234BF" w14:textId="77777777" w:rsidR="00890B30" w:rsidRPr="00481070" w:rsidRDefault="00890B30" w:rsidP="00EC0833">
            <w:pPr>
              <w:overflowPunct/>
              <w:autoSpaceDE/>
              <w:autoSpaceDN/>
              <w:adjustRightInd/>
              <w:textAlignment w:val="auto"/>
              <w:rPr>
                <w:lang w:val="es-ES"/>
              </w:rPr>
            </w:pPr>
            <w:r>
              <w:rPr>
                <w:color w:val="000000"/>
                <w:lang w:val="es-ES"/>
              </w:rPr>
              <w:t>Registro Internacional de Frecuencias</w:t>
            </w:r>
          </w:p>
          <w:p w14:paraId="3C5B29E6" w14:textId="77777777" w:rsidR="00890B30" w:rsidRPr="00481070" w:rsidRDefault="00890B30" w:rsidP="00506634">
            <w:pPr>
              <w:overflowPunct/>
              <w:autoSpaceDE/>
              <w:autoSpaceDN/>
              <w:adjustRightInd/>
              <w:spacing w:before="720"/>
              <w:textAlignment w:val="auto"/>
              <w:rPr>
                <w:lang w:val="es-ES"/>
              </w:rPr>
            </w:pPr>
            <w:r>
              <w:rPr>
                <w:color w:val="000000"/>
                <w:lang w:val="es-ES"/>
              </w:rPr>
              <w:t>Ficheros RRB/BR</w:t>
            </w:r>
          </w:p>
          <w:p w14:paraId="10633B31" w14:textId="77777777" w:rsidR="00890B30" w:rsidRPr="00481070" w:rsidRDefault="00890B30" w:rsidP="00E92021">
            <w:pPr>
              <w:overflowPunct/>
              <w:autoSpaceDE/>
              <w:autoSpaceDN/>
              <w:adjustRightInd/>
              <w:spacing w:before="0"/>
              <w:textAlignment w:val="auto"/>
              <w:rPr>
                <w:lang w:val="es-ES"/>
              </w:rPr>
            </w:pPr>
          </w:p>
        </w:tc>
      </w:tr>
      <w:tr w:rsidR="00890B30" w:rsidRPr="00481070" w14:paraId="31EE6AC3" w14:textId="77777777" w:rsidTr="00E92021">
        <w:tc>
          <w:tcPr>
            <w:tcW w:w="6269" w:type="dxa"/>
          </w:tcPr>
          <w:p w14:paraId="02B7AA62" w14:textId="77777777" w:rsidR="00506634" w:rsidRPr="00506634" w:rsidRDefault="00506634" w:rsidP="00506634">
            <w:pPr>
              <w:rPr>
                <w:lang w:val="es-ES"/>
              </w:rPr>
            </w:pPr>
            <w:r w:rsidRPr="00506634">
              <w:rPr>
                <w:lang w:val="es-ES"/>
              </w:rPr>
              <w:t>Mantenimiento del Registro Internacional de Frecuencias para los servicios terrenales, actualizado para reflejar el uso real de conformidad con las características y los parámetros publicados, medidos de la siguiente manera:</w:t>
            </w:r>
          </w:p>
          <w:p w14:paraId="0B8C31C6" w14:textId="50A6118C" w:rsidR="00890B30" w:rsidRPr="00481070" w:rsidRDefault="00890B30" w:rsidP="00EC0833">
            <w:pPr>
              <w:overflowPunct/>
              <w:autoSpaceDE/>
              <w:autoSpaceDN/>
              <w:adjustRightInd/>
              <w:textAlignment w:val="auto"/>
              <w:rPr>
                <w:lang w:val="es-ES"/>
              </w:rPr>
            </w:pPr>
            <w:r>
              <w:rPr>
                <w:color w:val="000000"/>
                <w:lang w:val="es-ES"/>
              </w:rPr>
              <w:t>Número de asignaciones de frecuencias cuyas conclusiones se han examinado anualmente de conformidad con el número</w:t>
            </w:r>
            <w:r w:rsidR="00EC0833">
              <w:rPr>
                <w:color w:val="000000"/>
                <w:lang w:val="es-ES"/>
              </w:rPr>
              <w:t> </w:t>
            </w:r>
            <w:r>
              <w:rPr>
                <w:color w:val="000000"/>
                <w:lang w:val="es-ES"/>
              </w:rPr>
              <w:t>11.50 del RR.</w:t>
            </w:r>
          </w:p>
          <w:p w14:paraId="1C5E3686" w14:textId="19021462" w:rsidR="00890B30" w:rsidRPr="00481070" w:rsidRDefault="00890B30" w:rsidP="00EC0833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lang w:val="es-ES"/>
              </w:rPr>
            </w:pPr>
            <w:r>
              <w:rPr>
                <w:color w:val="000000"/>
                <w:lang w:val="es-ES"/>
              </w:rPr>
              <w:t>Número de casos tramitados anualmente por la BR con arreglo al número</w:t>
            </w:r>
            <w:r w:rsidR="00EC0833">
              <w:rPr>
                <w:color w:val="000000"/>
                <w:lang w:val="es-ES"/>
              </w:rPr>
              <w:t> </w:t>
            </w:r>
            <w:r>
              <w:rPr>
                <w:color w:val="000000"/>
                <w:lang w:val="es-ES"/>
              </w:rPr>
              <w:t>13.6 del RR.</w:t>
            </w:r>
          </w:p>
        </w:tc>
        <w:tc>
          <w:tcPr>
            <w:tcW w:w="3260" w:type="dxa"/>
          </w:tcPr>
          <w:p w14:paraId="655E71FE" w14:textId="77777777" w:rsidR="00890B30" w:rsidRPr="00481070" w:rsidRDefault="00890B30" w:rsidP="00EC0833">
            <w:pPr>
              <w:overflowPunct/>
              <w:autoSpaceDE/>
              <w:autoSpaceDN/>
              <w:adjustRightInd/>
              <w:textAlignment w:val="auto"/>
              <w:rPr>
                <w:lang w:val="es-ES"/>
              </w:rPr>
            </w:pPr>
            <w:r>
              <w:rPr>
                <w:color w:val="000000"/>
                <w:lang w:val="es-ES"/>
              </w:rPr>
              <w:t>Registro Internacional de Frecuencias</w:t>
            </w:r>
          </w:p>
          <w:p w14:paraId="0DC79988" w14:textId="77777777" w:rsidR="00890B30" w:rsidRPr="00481070" w:rsidRDefault="00890B30" w:rsidP="00EC0833">
            <w:pPr>
              <w:overflowPunct/>
              <w:autoSpaceDE/>
              <w:autoSpaceDN/>
              <w:adjustRightInd/>
              <w:spacing w:before="720"/>
              <w:textAlignment w:val="auto"/>
              <w:rPr>
                <w:lang w:val="es-ES"/>
              </w:rPr>
            </w:pPr>
            <w:r>
              <w:rPr>
                <w:color w:val="000000"/>
                <w:lang w:val="es-ES"/>
              </w:rPr>
              <w:t>Ficheros RRB/BR</w:t>
            </w:r>
          </w:p>
          <w:p w14:paraId="3D599D25" w14:textId="77777777" w:rsidR="00890B30" w:rsidRPr="00481070" w:rsidRDefault="00890B30" w:rsidP="00E92021">
            <w:pPr>
              <w:overflowPunct/>
              <w:autoSpaceDE/>
              <w:autoSpaceDN/>
              <w:adjustRightInd/>
              <w:spacing w:before="0"/>
              <w:textAlignment w:val="auto"/>
              <w:rPr>
                <w:lang w:val="es-ES"/>
              </w:rPr>
            </w:pPr>
          </w:p>
        </w:tc>
      </w:tr>
    </w:tbl>
    <w:p w14:paraId="4919C3EC" w14:textId="1CBAC6F5" w:rsidR="00494752" w:rsidRDefault="00890B30" w:rsidP="00890B30">
      <w:pPr>
        <w:rPr>
          <w:lang w:val="es-ES"/>
        </w:rPr>
      </w:pPr>
      <w:r>
        <w:rPr>
          <w:lang w:val="es-ES"/>
        </w:rPr>
        <w:t>El Grupo Asesor de Radiocomunicaciones (GAR) podría presentar esta información adicional en la próxima reunión del Grupo de Trabajo del Consejo sobre los Planes Estratégico y Financiero para</w:t>
      </w:r>
      <w:r w:rsidR="00EC0833">
        <w:rPr>
          <w:lang w:val="es-ES"/>
        </w:rPr>
        <w:t> </w:t>
      </w:r>
      <w:r>
        <w:rPr>
          <w:lang w:val="es-ES"/>
        </w:rPr>
        <w:t>2028</w:t>
      </w:r>
      <w:r w:rsidR="00EC0833">
        <w:rPr>
          <w:lang w:val="es-ES"/>
        </w:rPr>
        <w:noBreakHyphen/>
      </w:r>
      <w:r>
        <w:rPr>
          <w:lang w:val="es-ES"/>
        </w:rPr>
        <w:t>2031.</w:t>
      </w:r>
    </w:p>
    <w:p w14:paraId="24044DE5" w14:textId="77777777" w:rsidR="00890B30" w:rsidRPr="00EC0833" w:rsidRDefault="00890B30" w:rsidP="00411C49">
      <w:pPr>
        <w:pStyle w:val="Reasons"/>
        <w:rPr>
          <w:lang w:val="es-ES"/>
        </w:rPr>
      </w:pPr>
    </w:p>
    <w:p w14:paraId="4C72CD21" w14:textId="3AB267ED" w:rsidR="00890B30" w:rsidRPr="00890B30" w:rsidRDefault="00890B30" w:rsidP="00890B30">
      <w:pPr>
        <w:jc w:val="center"/>
      </w:pPr>
      <w:r>
        <w:t>______________</w:t>
      </w:r>
    </w:p>
    <w:sectPr w:rsidR="00890B30" w:rsidRPr="00890B30" w:rsidSect="004D6C09">
      <w:headerReference w:type="default" r:id="rId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02C7" w14:textId="77777777" w:rsidR="00890B30" w:rsidRDefault="00890B30">
      <w:r>
        <w:separator/>
      </w:r>
    </w:p>
  </w:endnote>
  <w:endnote w:type="continuationSeparator" w:id="0">
    <w:p w14:paraId="3515946B" w14:textId="77777777" w:rsidR="00890B30" w:rsidRDefault="0089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F81B" w14:textId="77777777" w:rsidR="00890B30" w:rsidRDefault="00890B30">
      <w:r>
        <w:t>____________________</w:t>
      </w:r>
    </w:p>
  </w:footnote>
  <w:footnote w:type="continuationSeparator" w:id="0">
    <w:p w14:paraId="0DBB4616" w14:textId="77777777" w:rsidR="00890B30" w:rsidRDefault="0089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B92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737D23" w14:textId="60E7C689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616601">
      <w:rPr>
        <w:lang w:val="es-ES"/>
      </w:rPr>
      <w:t>/</w:t>
    </w:r>
    <w:r w:rsidR="00890B30">
      <w:rPr>
        <w:lang w:val="es-ES"/>
      </w:rPr>
      <w:t>74</w:t>
    </w:r>
    <w:r w:rsidR="00616601">
      <w:rPr>
        <w:lang w:val="es-ES"/>
      </w:rP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5078E"/>
    <w:multiLevelType w:val="hybridMultilevel"/>
    <w:tmpl w:val="33DAA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38D4"/>
    <w:multiLevelType w:val="multilevel"/>
    <w:tmpl w:val="C9FC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C1C69"/>
    <w:multiLevelType w:val="hybridMultilevel"/>
    <w:tmpl w:val="38E0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34163">
    <w:abstractNumId w:val="2"/>
  </w:num>
  <w:num w:numId="2" w16cid:durableId="574512064">
    <w:abstractNumId w:val="0"/>
  </w:num>
  <w:num w:numId="3" w16cid:durableId="1527600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30"/>
    <w:rsid w:val="000C62BA"/>
    <w:rsid w:val="000D756D"/>
    <w:rsid w:val="0012592F"/>
    <w:rsid w:val="001F2F50"/>
    <w:rsid w:val="0029547E"/>
    <w:rsid w:val="0031432E"/>
    <w:rsid w:val="0034043B"/>
    <w:rsid w:val="00414D8B"/>
    <w:rsid w:val="00482905"/>
    <w:rsid w:val="00494752"/>
    <w:rsid w:val="004D6C09"/>
    <w:rsid w:val="00506634"/>
    <w:rsid w:val="00506D03"/>
    <w:rsid w:val="0057336B"/>
    <w:rsid w:val="005A2195"/>
    <w:rsid w:val="005D3E02"/>
    <w:rsid w:val="00610642"/>
    <w:rsid w:val="00616601"/>
    <w:rsid w:val="00646EEF"/>
    <w:rsid w:val="00663829"/>
    <w:rsid w:val="006A42AB"/>
    <w:rsid w:val="006B5313"/>
    <w:rsid w:val="006E291F"/>
    <w:rsid w:val="00706691"/>
    <w:rsid w:val="008506C9"/>
    <w:rsid w:val="00890B30"/>
    <w:rsid w:val="008C13E6"/>
    <w:rsid w:val="008F0106"/>
    <w:rsid w:val="00924B63"/>
    <w:rsid w:val="00982618"/>
    <w:rsid w:val="009C205E"/>
    <w:rsid w:val="00A0579C"/>
    <w:rsid w:val="00A7663C"/>
    <w:rsid w:val="00AB4BAD"/>
    <w:rsid w:val="00B32E51"/>
    <w:rsid w:val="00C837F0"/>
    <w:rsid w:val="00CB7A43"/>
    <w:rsid w:val="00CF4CAC"/>
    <w:rsid w:val="00D51E1E"/>
    <w:rsid w:val="00DE5FAA"/>
    <w:rsid w:val="00DE77E6"/>
    <w:rsid w:val="00E72EA7"/>
    <w:rsid w:val="00EA4101"/>
    <w:rsid w:val="00EC0833"/>
    <w:rsid w:val="00F23715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1E4F9"/>
  <w15:docId w15:val="{9CC8B5E2-EC48-48CF-A008-BB414373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uiPriority w:val="59"/>
    <w:rsid w:val="00890B30"/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890B30"/>
    <w:rPr>
      <w:rFonts w:ascii="Times New Roman" w:hAnsi="Times New Roman"/>
      <w:b/>
      <w:sz w:val="24"/>
      <w:lang w:val="es-ES_tradnl" w:eastAsia="en-US"/>
    </w:rPr>
  </w:style>
  <w:style w:type="paragraph" w:customStyle="1" w:styleId="Reasons">
    <w:name w:val="Reasons"/>
    <w:basedOn w:val="Normal"/>
    <w:qFormat/>
    <w:rsid w:val="00890B3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BR\PS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PS_RAG.dotm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INDICADORES DE RENDIMIENTO ADICIONALES PARA EL PLAN ESTRATÉGICO 2028-2031</vt:lpstr>
    </vt:vector>
  </TitlesOfParts>
  <Manager>General Secretariat - Pool</Manager>
  <Company>International Telecommunication Union (ITU)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GRUPO ASESOR DE RADIOCOMUNICACIONES</dc:subject>
  <dc:creator>Federación de Rusia</dc:creator>
  <cp:keywords/>
  <dc:description/>
  <cp:lastModifiedBy>Xue, Kun</cp:lastModifiedBy>
  <cp:revision>2</cp:revision>
  <cp:lastPrinted>1993-02-18T11:12:00Z</cp:lastPrinted>
  <dcterms:created xsi:type="dcterms:W3CDTF">2026-03-17T15:45:00Z</dcterms:created>
  <dcterms:modified xsi:type="dcterms:W3CDTF">2026-03-17T15:45:00Z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RAG/74-S</vt:lpwstr>
  </property>
  <property fmtid="{D5CDD505-2E9C-101B-9397-08002B2CF9AE}" pid="3" name="Docdate">
    <vt:lpwstr>16 de marzo de 2026</vt:lpwstr>
  </property>
  <property fmtid="{D5CDD505-2E9C-101B-9397-08002B2CF9AE}" pid="4" name="Docorlang">
    <vt:lpwstr>Original: inglés</vt:lpwstr>
  </property>
  <property fmtid="{D5CDD505-2E9C-101B-9397-08002B2CF9AE}" pid="5" name="Docauthor">
    <vt:lpwstr>Federación de Rusia</vt:lpwstr>
  </property>
</Properties>
</file>