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EB6F34" w14:paraId="404F4723" w14:textId="77777777" w:rsidTr="0020275A">
        <w:trPr>
          <w:cantSplit/>
        </w:trPr>
        <w:tc>
          <w:tcPr>
            <w:tcW w:w="6771" w:type="dxa"/>
            <w:vAlign w:val="center"/>
          </w:tcPr>
          <w:p w14:paraId="60F6E5E5" w14:textId="58F1B153" w:rsidR="0020275A" w:rsidRPr="00EB6F34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EB6F34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118" w:type="dxa"/>
            <w:vAlign w:val="center"/>
          </w:tcPr>
          <w:p w14:paraId="7ADE617F" w14:textId="77777777" w:rsidR="0020275A" w:rsidRPr="00EB6F34" w:rsidRDefault="00B239A0" w:rsidP="00083244">
            <w:pPr>
              <w:shd w:val="solid" w:color="FFFFFF" w:fill="FFFFFF"/>
              <w:spacing w:before="0"/>
              <w:jc w:val="righ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4C2CA8F1" wp14:editId="685A0C0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EB6F34" w14:paraId="7E087D0E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C68E940" w14:textId="77777777" w:rsidR="0051782D" w:rsidRPr="00EB6F34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1FC9066E" w14:textId="77777777" w:rsidR="0051782D" w:rsidRPr="00EB6F34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EB6F34" w14:paraId="0872C45C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26B26CC9" w14:textId="77777777" w:rsidR="0051782D" w:rsidRPr="00EB6F34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60427AC" w14:textId="77777777" w:rsidR="0051782D" w:rsidRPr="00EB6F34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EB6F34" w14:paraId="75F3E95C" w14:textId="77777777" w:rsidTr="00675D35">
        <w:trPr>
          <w:cantSplit/>
        </w:trPr>
        <w:tc>
          <w:tcPr>
            <w:tcW w:w="6771" w:type="dxa"/>
            <w:vMerge w:val="restart"/>
          </w:tcPr>
          <w:p w14:paraId="35E3ACDA" w14:textId="77777777" w:rsidR="0051782D" w:rsidRPr="00EB6F34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7A6B0035" w14:textId="4B010C46" w:rsidR="0051782D" w:rsidRPr="00EB6F34" w:rsidRDefault="006262A3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EB6F34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EB6F34">
              <w:rPr>
                <w:rFonts w:ascii="Verdana" w:hAnsi="Verdana"/>
                <w:b/>
                <w:sz w:val="18"/>
                <w:szCs w:val="18"/>
              </w:rPr>
              <w:t xml:space="preserve"> RAG/</w:t>
            </w:r>
            <w:r w:rsidR="00F2543E">
              <w:rPr>
                <w:rFonts w:ascii="Verdana" w:hAnsi="Verdana"/>
                <w:b/>
                <w:sz w:val="18"/>
                <w:szCs w:val="18"/>
                <w:lang w:val="en-US"/>
              </w:rPr>
              <w:t>74</w:t>
            </w:r>
            <w:r w:rsidR="00BD7223" w:rsidRPr="00EB6F34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EB6F34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FB6D5F" w14:paraId="421ACEC0" w14:textId="77777777" w:rsidTr="00675D35">
        <w:trPr>
          <w:cantSplit/>
        </w:trPr>
        <w:tc>
          <w:tcPr>
            <w:tcW w:w="6771" w:type="dxa"/>
            <w:vMerge/>
          </w:tcPr>
          <w:p w14:paraId="294C7538" w14:textId="77777777" w:rsidR="0051782D" w:rsidRPr="00EB6F34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7539B67D" w14:textId="295352D9" w:rsidR="0051782D" w:rsidRPr="00EB6F34" w:rsidRDefault="00F2543E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16 </w:t>
            </w:r>
            <w:r>
              <w:rPr>
                <w:rFonts w:ascii="Verdana" w:hAnsi="Verdana"/>
                <w:b/>
                <w:sz w:val="18"/>
                <w:szCs w:val="18"/>
              </w:rPr>
              <w:t>марта 2026</w:t>
            </w:r>
            <w:r w:rsidR="006262A3" w:rsidRPr="00EB6F34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FB6D5F" w14:paraId="51708A0C" w14:textId="77777777" w:rsidTr="00675D35">
        <w:trPr>
          <w:cantSplit/>
        </w:trPr>
        <w:tc>
          <w:tcPr>
            <w:tcW w:w="6771" w:type="dxa"/>
            <w:vMerge/>
          </w:tcPr>
          <w:p w14:paraId="197A609D" w14:textId="77777777" w:rsidR="0051782D" w:rsidRPr="00EB6F34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06D917BE" w14:textId="1F005D64" w:rsidR="0051782D" w:rsidRPr="00F2543E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EB6F34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F2543E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FB6D5F" w14:paraId="191280A9" w14:textId="77777777" w:rsidTr="00675D35">
        <w:trPr>
          <w:cantSplit/>
        </w:trPr>
        <w:tc>
          <w:tcPr>
            <w:tcW w:w="9889" w:type="dxa"/>
            <w:gridSpan w:val="2"/>
          </w:tcPr>
          <w:p w14:paraId="656CC6C6" w14:textId="6147BA9B" w:rsidR="00093C73" w:rsidRPr="00EB6F34" w:rsidRDefault="00F2543E" w:rsidP="00BF4A10">
            <w:pPr>
              <w:pStyle w:val="Source"/>
            </w:pPr>
            <w:bookmarkStart w:id="3" w:name="dsource" w:colFirst="0" w:colLast="0"/>
            <w:bookmarkEnd w:id="2"/>
            <w:r w:rsidRPr="008E2747">
              <w:t xml:space="preserve">Российская </w:t>
            </w:r>
            <w:r w:rsidRPr="00BF4A10">
              <w:t>Федерация</w:t>
            </w:r>
          </w:p>
        </w:tc>
      </w:tr>
      <w:tr w:rsidR="00093C73" w:rsidRPr="00FB6D5F" w14:paraId="751408BE" w14:textId="77777777" w:rsidTr="00675D35">
        <w:trPr>
          <w:cantSplit/>
        </w:trPr>
        <w:tc>
          <w:tcPr>
            <w:tcW w:w="9889" w:type="dxa"/>
            <w:gridSpan w:val="2"/>
          </w:tcPr>
          <w:p w14:paraId="75DE87FE" w14:textId="5552F14D" w:rsidR="00093C73" w:rsidRPr="00EB6F34" w:rsidRDefault="00F2543E" w:rsidP="00BF4A10">
            <w:pPr>
              <w:pStyle w:val="Title1"/>
            </w:pPr>
            <w:bookmarkStart w:id="4" w:name="dtitle1" w:colFirst="0" w:colLast="0"/>
            <w:bookmarkEnd w:id="3"/>
            <w:r w:rsidRPr="008E2747">
              <w:t xml:space="preserve">ДОПОЛНИТЕЛЬНЫЕ ПОКАЗАТЕЛИ </w:t>
            </w:r>
            <w:r w:rsidRPr="00BF4A10">
              <w:t>ДЕЯТЕЛЬНОСТИ</w:t>
            </w:r>
            <w:r w:rsidRPr="008E2747">
              <w:t xml:space="preserve"> ДЛЯ</w:t>
            </w:r>
            <w:r w:rsidR="00BF4A10">
              <w:t> </w:t>
            </w:r>
            <w:r w:rsidRPr="008E2747">
              <w:t>СТРАТЕГИЧЕСКОГО</w:t>
            </w:r>
            <w:r w:rsidR="00BF4A10">
              <w:t> </w:t>
            </w:r>
            <w:r w:rsidRPr="008E2747">
              <w:t>ПЛАНА НА 2028−2031 ГОДЫ</w:t>
            </w:r>
          </w:p>
        </w:tc>
      </w:tr>
    </w:tbl>
    <w:bookmarkEnd w:id="4"/>
    <w:p w14:paraId="7A350E02" w14:textId="23331038" w:rsidR="00F2543E" w:rsidRPr="00610F09" w:rsidRDefault="00F2543E" w:rsidP="00BF4A10">
      <w:pPr>
        <w:pStyle w:val="Headingb"/>
        <w:spacing w:before="360"/>
        <w:rPr>
          <w:lang w:val="ru-RU" w:eastAsia="zh-CN"/>
        </w:rPr>
      </w:pPr>
      <w:r w:rsidRPr="00610F09">
        <w:rPr>
          <w:lang w:val="ru-RU" w:eastAsia="zh-CN"/>
        </w:rPr>
        <w:t>Введение</w:t>
      </w:r>
    </w:p>
    <w:p w14:paraId="60676F11" w14:textId="77777777" w:rsidR="00F2543E" w:rsidRPr="00F2543E" w:rsidRDefault="00F2543E" w:rsidP="00F2543E">
      <w:pPr>
        <w:rPr>
          <w:lang w:eastAsia="zh-CN"/>
        </w:rPr>
      </w:pPr>
      <w:r w:rsidRPr="00F2543E">
        <w:rPr>
          <w:lang w:eastAsia="zh-CN"/>
        </w:rPr>
        <w:t>На специальной сессии КГР, состоявшейся 9 декабря 2025 года, были рассмотрены, среди прочего, показатели деятельности для Стратегического плана на 2028–2031 годы. В качестве одной из ключевых задач Сектора МСЭ-R была определена следующая задача:</w:t>
      </w:r>
    </w:p>
    <w:p w14:paraId="7B1CC141" w14:textId="77777777" w:rsidR="00F2543E" w:rsidRPr="00F2543E" w:rsidRDefault="00F2543E" w:rsidP="00F2543E">
      <w:pPr>
        <w:rPr>
          <w:lang w:eastAsia="zh-CN"/>
        </w:rPr>
      </w:pPr>
      <w:r w:rsidRPr="00F2543E">
        <w:rPr>
          <w:lang w:eastAsia="zh-CN"/>
        </w:rPr>
        <w:t>Поддержание МСРЧ в актуальном состоянии, с тем чтобы отражать фактическое использование в соответствии с опубликованными характеристиками/параметрами, принимая во внимание соответствующие положения Регламента радиосвязи, в частности раздел II Статьи 13 Регламента радиосвязи.</w:t>
      </w:r>
    </w:p>
    <w:p w14:paraId="192ED1E7" w14:textId="77777777" w:rsidR="00F2543E" w:rsidRPr="00F2543E" w:rsidRDefault="00F2543E" w:rsidP="00F2543E">
      <w:pPr>
        <w:rPr>
          <w:lang w:eastAsia="zh-CN"/>
        </w:rPr>
      </w:pPr>
      <w:r w:rsidRPr="00F2543E">
        <w:rPr>
          <w:lang w:eastAsia="zh-CN"/>
        </w:rPr>
        <w:t>Эта ключевая задача получила поддержку администрации Российской Федерации и ряда других администраций.</w:t>
      </w:r>
    </w:p>
    <w:p w14:paraId="343744FD" w14:textId="77777777" w:rsidR="00F2543E" w:rsidRPr="00F2543E" w:rsidRDefault="00F2543E" w:rsidP="00F2543E">
      <w:pPr>
        <w:rPr>
          <w:lang w:eastAsia="zh-CN"/>
        </w:rPr>
      </w:pPr>
      <w:r w:rsidRPr="00F2543E">
        <w:rPr>
          <w:lang w:eastAsia="zh-CN"/>
        </w:rPr>
        <w:t>Однако собрание не смогло определить показатели, с помощью которых можно было бы измерить выполнение этой задачи, и это общее предложение было направлено для рассмотрения Рабочей группе Совета по разработке Стратегического и Финансового планов на 2028–2031 годы посредством заявления о взаимодействии.</w:t>
      </w:r>
    </w:p>
    <w:p w14:paraId="475E6EFC" w14:textId="77777777" w:rsidR="00F2543E" w:rsidRPr="00610F09" w:rsidRDefault="00F2543E" w:rsidP="00BF4A10">
      <w:pPr>
        <w:pStyle w:val="Headingb"/>
        <w:rPr>
          <w:lang w:val="ru-RU" w:eastAsia="zh-CN"/>
        </w:rPr>
      </w:pPr>
      <w:r w:rsidRPr="00610F09">
        <w:rPr>
          <w:lang w:val="ru-RU" w:eastAsia="zh-CN"/>
        </w:rPr>
        <w:t>Описание вопроса</w:t>
      </w:r>
    </w:p>
    <w:p w14:paraId="0CD4818E" w14:textId="77777777" w:rsidR="00F2543E" w:rsidRPr="00F2543E" w:rsidRDefault="00F2543E" w:rsidP="00F2543E">
      <w:pPr>
        <w:rPr>
          <w:lang w:eastAsia="zh-CN"/>
        </w:rPr>
      </w:pPr>
      <w:r w:rsidRPr="00F2543E">
        <w:rPr>
          <w:lang w:eastAsia="zh-CN"/>
        </w:rPr>
        <w:t>В связи с вышеизложенным предлагается принять к сведению следующую дополнительную информацию по данному вопросу.</w:t>
      </w:r>
    </w:p>
    <w:p w14:paraId="4F7AED6A" w14:textId="77777777" w:rsidR="00F2543E" w:rsidRPr="00F2543E" w:rsidRDefault="00F2543E" w:rsidP="00F2543E">
      <w:pPr>
        <w:rPr>
          <w:lang w:eastAsia="zh-CN"/>
        </w:rPr>
      </w:pPr>
      <w:r w:rsidRPr="00F2543E">
        <w:rPr>
          <w:lang w:eastAsia="zh-CN"/>
        </w:rPr>
        <w:t>Ведение МСРЧ, главным образом, предполагает:</w:t>
      </w:r>
    </w:p>
    <w:p w14:paraId="39F2EAA1" w14:textId="4776704D" w:rsidR="00F2543E" w:rsidRPr="00F2543E" w:rsidRDefault="00BF4A10" w:rsidP="00BF4A10">
      <w:pPr>
        <w:pStyle w:val="enumlev1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 w:rsidR="00F2543E" w:rsidRPr="00F2543E">
        <w:rPr>
          <w:lang w:eastAsia="zh-CN"/>
        </w:rPr>
        <w:t>заявление администрациями новых частотных присвоений;</w:t>
      </w:r>
    </w:p>
    <w:p w14:paraId="371FE447" w14:textId="2DC12BBD" w:rsidR="00F2543E" w:rsidRPr="00F2543E" w:rsidRDefault="00BF4A10" w:rsidP="00BF4A10">
      <w:pPr>
        <w:pStyle w:val="enumlev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F2543E" w:rsidRPr="00F2543E">
        <w:rPr>
          <w:lang w:eastAsia="zh-CN"/>
        </w:rPr>
        <w:t>заявление администрациями об изменении параметров частотных присвоений, уже зарегистрированных в МСРЧ;</w:t>
      </w:r>
    </w:p>
    <w:p w14:paraId="5D853DB3" w14:textId="2F88F2E7" w:rsidR="00F2543E" w:rsidRPr="00F2543E" w:rsidRDefault="00BF4A10" w:rsidP="00BF4A10">
      <w:pPr>
        <w:pStyle w:val="enumlev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F2543E" w:rsidRPr="00F2543E">
        <w:rPr>
          <w:lang w:eastAsia="zh-CN"/>
        </w:rPr>
        <w:t>исключение частотных присвоений, которые более не используются;</w:t>
      </w:r>
    </w:p>
    <w:p w14:paraId="5B9CE7EC" w14:textId="0202E3FF" w:rsidR="00F2543E" w:rsidRPr="00F2543E" w:rsidRDefault="00BF4A10" w:rsidP="00BF4A10">
      <w:pPr>
        <w:pStyle w:val="enumlev1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</w:r>
      <w:r w:rsidR="00F2543E" w:rsidRPr="00F2543E">
        <w:rPr>
          <w:lang w:eastAsia="zh-CN"/>
        </w:rPr>
        <w:t>обеспечение соответствия зарегистрированных присвоений изменениям, внесенным ВКР в отношении распределений;</w:t>
      </w:r>
    </w:p>
    <w:p w14:paraId="2D7A3827" w14:textId="202CCFEF" w:rsidR="00F2543E" w:rsidRPr="00F2543E" w:rsidRDefault="00BF4A10" w:rsidP="00BF4A10">
      <w:pPr>
        <w:pStyle w:val="enumlev1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</w:r>
      <w:r w:rsidR="00F2543E" w:rsidRPr="00F2543E">
        <w:rPr>
          <w:lang w:eastAsia="zh-CN"/>
        </w:rPr>
        <w:t>обеспечение соответствия между заявленными и реальными параметрами частотных присвоений.</w:t>
      </w:r>
    </w:p>
    <w:p w14:paraId="44C90DD4" w14:textId="1A5A6432" w:rsidR="00F2543E" w:rsidRPr="00F2543E" w:rsidRDefault="00F2543E" w:rsidP="00F2543E">
      <w:pPr>
        <w:rPr>
          <w:lang w:eastAsia="zh-CN"/>
        </w:rPr>
      </w:pPr>
      <w:r w:rsidRPr="00F2543E">
        <w:rPr>
          <w:lang w:eastAsia="zh-CN"/>
        </w:rPr>
        <w:t>Работа, указанная в пунктах 1 и 2</w:t>
      </w:r>
      <w:r w:rsidR="00B37FFE">
        <w:rPr>
          <w:lang w:eastAsia="zh-CN"/>
        </w:rPr>
        <w:t>,</w:t>
      </w:r>
      <w:r w:rsidRPr="00F2543E">
        <w:rPr>
          <w:lang w:eastAsia="zh-CN"/>
        </w:rPr>
        <w:t xml:space="preserve"> выше, измеряется существующим показателем "Количество частотных присвоений, которые [...] регистрируются в МСРЧ".</w:t>
      </w:r>
    </w:p>
    <w:p w14:paraId="702459CD" w14:textId="77777777" w:rsidR="00F2543E" w:rsidRPr="00F2543E" w:rsidRDefault="00F2543E" w:rsidP="00F2543E">
      <w:pPr>
        <w:rPr>
          <w:lang w:eastAsia="zh-CN"/>
        </w:rPr>
      </w:pPr>
      <w:r w:rsidRPr="00F2543E">
        <w:rPr>
          <w:lang w:eastAsia="zh-CN"/>
        </w:rPr>
        <w:t>Работа, указанная в пункте 3, уже измеряется существующим показателем "Количество частотных присвоений, исключенных [из МСРЧ]".</w:t>
      </w:r>
    </w:p>
    <w:p w14:paraId="3D95FADE" w14:textId="77777777" w:rsidR="00F2543E" w:rsidRPr="00610F09" w:rsidRDefault="00F2543E" w:rsidP="00BF4A10">
      <w:pPr>
        <w:pStyle w:val="Headingb"/>
        <w:rPr>
          <w:lang w:val="ru-RU" w:eastAsia="zh-CN"/>
        </w:rPr>
      </w:pPr>
      <w:r w:rsidRPr="00610F09">
        <w:rPr>
          <w:lang w:val="ru-RU" w:eastAsia="zh-CN"/>
        </w:rPr>
        <w:lastRenderedPageBreak/>
        <w:t>Предложение</w:t>
      </w:r>
    </w:p>
    <w:p w14:paraId="3DC5F7FB" w14:textId="18C28425" w:rsidR="00F2543E" w:rsidRPr="00F2543E" w:rsidRDefault="00F2543E" w:rsidP="00F2543E">
      <w:pPr>
        <w:rPr>
          <w:lang w:eastAsia="zh-CN"/>
        </w:rPr>
      </w:pPr>
      <w:r w:rsidRPr="00F2543E">
        <w:rPr>
          <w:lang w:eastAsia="zh-CN"/>
        </w:rPr>
        <w:t>Что касается деятельности в рамках пунктов 4 и 5</w:t>
      </w:r>
      <w:r w:rsidR="00B37FFE">
        <w:rPr>
          <w:lang w:eastAsia="zh-CN"/>
        </w:rPr>
        <w:t>,</w:t>
      </w:r>
      <w:r w:rsidRPr="00F2543E">
        <w:rPr>
          <w:lang w:eastAsia="zh-CN"/>
        </w:rPr>
        <w:t xml:space="preserve"> выше, то КГР может рассмотреть возможность введения двух новых показателей:</w:t>
      </w:r>
    </w:p>
    <w:p w14:paraId="6EC73026" w14:textId="665FC272" w:rsidR="00F2543E" w:rsidRPr="00F2543E" w:rsidRDefault="00BF4A10" w:rsidP="00BF4A10">
      <w:pPr>
        <w:pStyle w:val="enumlev1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 w:rsidR="00F2543E" w:rsidRPr="00F2543E">
        <w:rPr>
          <w:lang w:eastAsia="zh-CN"/>
        </w:rPr>
        <w:t>количество присвоений, заключения по которым были пересмотрены в соответствии с п. 11.50 РР;</w:t>
      </w:r>
    </w:p>
    <w:p w14:paraId="6A8F0515" w14:textId="2C51AA54" w:rsidR="00F2543E" w:rsidRPr="00F2543E" w:rsidRDefault="00BF4A10" w:rsidP="00BF4A10">
      <w:pPr>
        <w:pStyle w:val="enumlev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F2543E" w:rsidRPr="00F2543E">
        <w:rPr>
          <w:lang w:eastAsia="zh-CN"/>
        </w:rPr>
        <w:t>количество случаев, обработанных БР согласно п. 13.6 РР.</w:t>
      </w:r>
    </w:p>
    <w:p w14:paraId="0BC2EA66" w14:textId="77777777" w:rsidR="00F2543E" w:rsidRPr="00F2543E" w:rsidRDefault="00F2543E" w:rsidP="00BF4A10">
      <w:pPr>
        <w:spacing w:after="120"/>
        <w:rPr>
          <w:lang w:eastAsia="zh-CN"/>
        </w:rPr>
      </w:pPr>
      <w:r w:rsidRPr="00F2543E">
        <w:rPr>
          <w:lang w:eastAsia="zh-CN"/>
        </w:rPr>
        <w:t>В случае дифференцирования показателей для космических и наземных систем и с учетом указания источников информации, в итоге, возможна следующая формулировка показателей: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69"/>
        <w:gridCol w:w="3260"/>
      </w:tblGrid>
      <w:tr w:rsidR="00F2543E" w:rsidRPr="00F2543E" w14:paraId="33B4DC60" w14:textId="77777777" w:rsidTr="004A631F">
        <w:tc>
          <w:tcPr>
            <w:tcW w:w="6269" w:type="dxa"/>
          </w:tcPr>
          <w:p w14:paraId="5265F143" w14:textId="2BF41C4D" w:rsidR="00F2543E" w:rsidRPr="00F2543E" w:rsidRDefault="00F2543E" w:rsidP="00F2543E">
            <w:pPr>
              <w:rPr>
                <w:lang w:eastAsia="zh-CN"/>
              </w:rPr>
            </w:pPr>
            <w:r w:rsidRPr="00F2543E">
              <w:rPr>
                <w:lang w:eastAsia="zh-CN"/>
              </w:rPr>
              <w:t>Поддержание МСРЧ для космических служб в актуальном состоянии, с тем чтобы отражать фактическое использование в соответствии с опубликованными характеристиками/</w:t>
            </w:r>
            <w:r w:rsidR="00BF4A10">
              <w:rPr>
                <w:lang w:eastAsia="zh-CN"/>
              </w:rPr>
              <w:t xml:space="preserve"> </w:t>
            </w:r>
            <w:r w:rsidRPr="00F2543E">
              <w:rPr>
                <w:lang w:eastAsia="zh-CN"/>
              </w:rPr>
              <w:t>параметрами. Для измерения используются:</w:t>
            </w:r>
          </w:p>
          <w:p w14:paraId="1CA3DE57" w14:textId="77777777" w:rsidR="00F2543E" w:rsidRPr="00F2543E" w:rsidRDefault="00F2543E" w:rsidP="00F2543E">
            <w:pPr>
              <w:rPr>
                <w:lang w:eastAsia="zh-CN"/>
              </w:rPr>
            </w:pPr>
            <w:r w:rsidRPr="00F2543E">
              <w:rPr>
                <w:lang w:eastAsia="zh-CN"/>
              </w:rPr>
              <w:t>Ежегодное количество частотных присвоений, заключения по которым были пересмотрены в соответствии с п. 11.50 РР.</w:t>
            </w:r>
          </w:p>
          <w:p w14:paraId="559581BA" w14:textId="2E443070" w:rsidR="00F2543E" w:rsidRPr="00F2543E" w:rsidRDefault="00F2543E" w:rsidP="00BF4A10">
            <w:pPr>
              <w:spacing w:after="120"/>
              <w:rPr>
                <w:lang w:eastAsia="zh-CN"/>
              </w:rPr>
            </w:pPr>
            <w:r w:rsidRPr="00F2543E">
              <w:rPr>
                <w:lang w:eastAsia="zh-CN"/>
              </w:rPr>
              <w:t>Ежегодное количество случаев, обработанных БР согласно п.</w:t>
            </w:r>
            <w:r w:rsidR="00BF4A10">
              <w:rPr>
                <w:lang w:eastAsia="zh-CN"/>
              </w:rPr>
              <w:t> </w:t>
            </w:r>
            <w:r w:rsidRPr="00F2543E">
              <w:rPr>
                <w:lang w:eastAsia="zh-CN"/>
              </w:rPr>
              <w:t>13.6 РР.</w:t>
            </w:r>
          </w:p>
        </w:tc>
        <w:tc>
          <w:tcPr>
            <w:tcW w:w="3260" w:type="dxa"/>
          </w:tcPr>
          <w:p w14:paraId="639E9968" w14:textId="77777777" w:rsidR="00F2543E" w:rsidRPr="00F2543E" w:rsidRDefault="00F2543E" w:rsidP="00F2543E">
            <w:pPr>
              <w:rPr>
                <w:lang w:eastAsia="zh-CN"/>
              </w:rPr>
            </w:pPr>
            <w:r w:rsidRPr="00F2543E">
              <w:rPr>
                <w:lang w:eastAsia="zh-CN"/>
              </w:rPr>
              <w:t>МСРЧ</w:t>
            </w:r>
          </w:p>
          <w:p w14:paraId="364FEFF2" w14:textId="02735718" w:rsidR="00F2543E" w:rsidRPr="00F2543E" w:rsidRDefault="00F2543E" w:rsidP="008C4291">
            <w:pPr>
              <w:spacing w:before="920"/>
              <w:rPr>
                <w:lang w:eastAsia="zh-CN"/>
              </w:rPr>
            </w:pPr>
            <w:r w:rsidRPr="00F2543E">
              <w:rPr>
                <w:lang w:eastAsia="zh-CN"/>
              </w:rPr>
              <w:t>Файлы РРК/БР</w:t>
            </w:r>
          </w:p>
        </w:tc>
      </w:tr>
      <w:tr w:rsidR="00F2543E" w:rsidRPr="00F2543E" w14:paraId="26B70003" w14:textId="77777777" w:rsidTr="004A631F">
        <w:tc>
          <w:tcPr>
            <w:tcW w:w="6269" w:type="dxa"/>
          </w:tcPr>
          <w:p w14:paraId="3C7710F6" w14:textId="4D205D5C" w:rsidR="00F2543E" w:rsidRPr="00F2543E" w:rsidRDefault="00F2543E" w:rsidP="00F2543E">
            <w:pPr>
              <w:rPr>
                <w:lang w:eastAsia="zh-CN"/>
              </w:rPr>
            </w:pPr>
            <w:r w:rsidRPr="00F2543E">
              <w:rPr>
                <w:lang w:eastAsia="zh-CN"/>
              </w:rPr>
              <w:t>Поддержание МСРЧ для наземных служб в актуальном состоянии, с тем чтобы отражать фактическое использование в соответствии с опубликованными характеристиками/</w:t>
            </w:r>
            <w:r w:rsidR="003E428F">
              <w:rPr>
                <w:lang w:eastAsia="zh-CN"/>
              </w:rPr>
              <w:t xml:space="preserve"> </w:t>
            </w:r>
            <w:r w:rsidRPr="00F2543E">
              <w:rPr>
                <w:lang w:eastAsia="zh-CN"/>
              </w:rPr>
              <w:t>параметрами. Для измерения используются:</w:t>
            </w:r>
          </w:p>
          <w:p w14:paraId="2ECA8038" w14:textId="77777777" w:rsidR="00F2543E" w:rsidRPr="00F2543E" w:rsidRDefault="00F2543E" w:rsidP="00F2543E">
            <w:pPr>
              <w:rPr>
                <w:lang w:eastAsia="zh-CN"/>
              </w:rPr>
            </w:pPr>
            <w:r w:rsidRPr="00F2543E">
              <w:rPr>
                <w:lang w:eastAsia="zh-CN"/>
              </w:rPr>
              <w:t>Ежегодное количество частотных присвоений, заключения по которым были пересмотрены в соответствии с п. 11.50 РР.</w:t>
            </w:r>
          </w:p>
          <w:p w14:paraId="29A5AEE6" w14:textId="6887D2AB" w:rsidR="00F2543E" w:rsidRPr="00F2543E" w:rsidRDefault="00F2543E" w:rsidP="00BF4A10">
            <w:pPr>
              <w:spacing w:after="120"/>
              <w:rPr>
                <w:lang w:eastAsia="zh-CN"/>
              </w:rPr>
            </w:pPr>
            <w:r w:rsidRPr="00F2543E">
              <w:rPr>
                <w:lang w:eastAsia="zh-CN"/>
              </w:rPr>
              <w:t>Ежегодное количество случаев, обработанных БР согласно п.</w:t>
            </w:r>
            <w:r w:rsidR="00BF4A10">
              <w:rPr>
                <w:lang w:eastAsia="zh-CN"/>
              </w:rPr>
              <w:t> </w:t>
            </w:r>
            <w:r w:rsidRPr="00F2543E">
              <w:rPr>
                <w:lang w:eastAsia="zh-CN"/>
              </w:rPr>
              <w:t>13.6 РР.</w:t>
            </w:r>
          </w:p>
        </w:tc>
        <w:tc>
          <w:tcPr>
            <w:tcW w:w="3260" w:type="dxa"/>
          </w:tcPr>
          <w:p w14:paraId="54337D21" w14:textId="77777777" w:rsidR="00F2543E" w:rsidRPr="00F2543E" w:rsidRDefault="00F2543E" w:rsidP="00F2543E">
            <w:pPr>
              <w:rPr>
                <w:lang w:eastAsia="zh-CN"/>
              </w:rPr>
            </w:pPr>
            <w:r w:rsidRPr="00F2543E">
              <w:rPr>
                <w:lang w:eastAsia="zh-CN"/>
              </w:rPr>
              <w:t>МСРЧ</w:t>
            </w:r>
          </w:p>
          <w:p w14:paraId="605B396D" w14:textId="1DE0F2BC" w:rsidR="00F2543E" w:rsidRPr="00F2543E" w:rsidRDefault="00F2543E" w:rsidP="008C4291">
            <w:pPr>
              <w:spacing w:before="920"/>
              <w:rPr>
                <w:lang w:eastAsia="zh-CN"/>
              </w:rPr>
            </w:pPr>
            <w:r w:rsidRPr="00F2543E">
              <w:rPr>
                <w:lang w:eastAsia="zh-CN"/>
              </w:rPr>
              <w:t>Файлы РРК/БР</w:t>
            </w:r>
          </w:p>
        </w:tc>
      </w:tr>
    </w:tbl>
    <w:p w14:paraId="66DCD093" w14:textId="3837BB7C" w:rsidR="00F2543E" w:rsidRPr="00F2543E" w:rsidRDefault="00F2543E" w:rsidP="00F2543E">
      <w:pPr>
        <w:rPr>
          <w:lang w:eastAsia="zh-CN"/>
        </w:rPr>
      </w:pPr>
      <w:r w:rsidRPr="00F2543E">
        <w:rPr>
          <w:lang w:eastAsia="zh-CN"/>
        </w:rPr>
        <w:t>Консультативная группа по радиосвязи (КГР) может представить эту дополнительную информацию на следующем собрании Рабочей группы Совета по разработке Стратегического и Финансового планов на 2028–2031 годы.</w:t>
      </w:r>
    </w:p>
    <w:p w14:paraId="24C3C74C" w14:textId="77777777" w:rsidR="00BF4A10" w:rsidRDefault="00BF4A10" w:rsidP="00BF4A10">
      <w:pPr>
        <w:spacing w:before="720"/>
        <w:jc w:val="center"/>
      </w:pPr>
      <w:r>
        <w:t>______________</w:t>
      </w:r>
    </w:p>
    <w:sectPr w:rsidR="00BF4A10" w:rsidSect="005409F7">
      <w:headerReference w:type="default" r:id="rId8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16C4" w14:textId="77777777" w:rsidR="008138D7" w:rsidRDefault="008138D7">
      <w:r>
        <w:separator/>
      </w:r>
    </w:p>
  </w:endnote>
  <w:endnote w:type="continuationSeparator" w:id="0">
    <w:p w14:paraId="23223FDC" w14:textId="77777777" w:rsidR="008138D7" w:rsidRDefault="0081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3B24" w14:textId="77777777" w:rsidR="008138D7" w:rsidRDefault="008138D7">
      <w:r>
        <w:t>____________________</w:t>
      </w:r>
    </w:p>
  </w:footnote>
  <w:footnote w:type="continuationSeparator" w:id="0">
    <w:p w14:paraId="0C424AD3" w14:textId="77777777" w:rsidR="008138D7" w:rsidRDefault="00813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F222" w14:textId="456F19F5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B239A0">
      <w:rPr>
        <w:noProof/>
      </w:rPr>
      <w:t>2</w:t>
    </w:r>
    <w:r>
      <w:fldChar w:fldCharType="end"/>
    </w:r>
    <w:r>
      <w:rPr>
        <w:lang w:val="es-ES"/>
      </w:rPr>
      <w:br/>
      <w:t>RAG/</w:t>
    </w:r>
    <w:r w:rsidR="00F2543E">
      <w:rPr>
        <w:lang w:val="ru-RU"/>
      </w:rPr>
      <w:t>74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5078E"/>
    <w:multiLevelType w:val="hybridMultilevel"/>
    <w:tmpl w:val="33DAA2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20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C1C69"/>
    <w:multiLevelType w:val="hybridMultilevel"/>
    <w:tmpl w:val="38E04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22923774">
    <w:abstractNumId w:val="9"/>
  </w:num>
  <w:num w:numId="2" w16cid:durableId="1289313154">
    <w:abstractNumId w:val="7"/>
  </w:num>
  <w:num w:numId="3" w16cid:durableId="1383941754">
    <w:abstractNumId w:val="6"/>
  </w:num>
  <w:num w:numId="4" w16cid:durableId="1361275096">
    <w:abstractNumId w:val="5"/>
  </w:num>
  <w:num w:numId="5" w16cid:durableId="447705835">
    <w:abstractNumId w:val="4"/>
  </w:num>
  <w:num w:numId="6" w16cid:durableId="2059207916">
    <w:abstractNumId w:val="8"/>
  </w:num>
  <w:num w:numId="7" w16cid:durableId="1509523081">
    <w:abstractNumId w:val="3"/>
  </w:num>
  <w:num w:numId="8" w16cid:durableId="244726040">
    <w:abstractNumId w:val="2"/>
  </w:num>
  <w:num w:numId="9" w16cid:durableId="346563373">
    <w:abstractNumId w:val="1"/>
  </w:num>
  <w:num w:numId="10" w16cid:durableId="1997957507">
    <w:abstractNumId w:val="0"/>
  </w:num>
  <w:num w:numId="11" w16cid:durableId="300159765">
    <w:abstractNumId w:val="18"/>
  </w:num>
  <w:num w:numId="12" w16cid:durableId="595216913">
    <w:abstractNumId w:val="34"/>
  </w:num>
  <w:num w:numId="13" w16cid:durableId="1093279484">
    <w:abstractNumId w:val="36"/>
  </w:num>
  <w:num w:numId="14" w16cid:durableId="564880629">
    <w:abstractNumId w:val="29"/>
  </w:num>
  <w:num w:numId="15" w16cid:durableId="1145002106">
    <w:abstractNumId w:val="26"/>
  </w:num>
  <w:num w:numId="16" w16cid:durableId="342974423">
    <w:abstractNumId w:val="35"/>
  </w:num>
  <w:num w:numId="17" w16cid:durableId="729420735">
    <w:abstractNumId w:val="25"/>
  </w:num>
  <w:num w:numId="18" w16cid:durableId="656694255">
    <w:abstractNumId w:val="10"/>
  </w:num>
  <w:num w:numId="19" w16cid:durableId="574782374">
    <w:abstractNumId w:val="15"/>
  </w:num>
  <w:num w:numId="20" w16cid:durableId="685406548">
    <w:abstractNumId w:val="17"/>
  </w:num>
  <w:num w:numId="21" w16cid:durableId="774330747">
    <w:abstractNumId w:val="23"/>
  </w:num>
  <w:num w:numId="22" w16cid:durableId="1648432178">
    <w:abstractNumId w:val="39"/>
  </w:num>
  <w:num w:numId="23" w16cid:durableId="2083063634">
    <w:abstractNumId w:val="27"/>
  </w:num>
  <w:num w:numId="24" w16cid:durableId="1597059632">
    <w:abstractNumId w:val="28"/>
  </w:num>
  <w:num w:numId="25" w16cid:durableId="2001544929">
    <w:abstractNumId w:val="12"/>
  </w:num>
  <w:num w:numId="26" w16cid:durableId="461383696">
    <w:abstractNumId w:val="24"/>
  </w:num>
  <w:num w:numId="27" w16cid:durableId="1079794869">
    <w:abstractNumId w:val="14"/>
  </w:num>
  <w:num w:numId="28" w16cid:durableId="1925146528">
    <w:abstractNumId w:val="42"/>
  </w:num>
  <w:num w:numId="29" w16cid:durableId="1433741333">
    <w:abstractNumId w:val="21"/>
  </w:num>
  <w:num w:numId="30" w16cid:durableId="61832829">
    <w:abstractNumId w:val="32"/>
  </w:num>
  <w:num w:numId="31" w16cid:durableId="879362486">
    <w:abstractNumId w:val="37"/>
  </w:num>
  <w:num w:numId="32" w16cid:durableId="178859641">
    <w:abstractNumId w:val="22"/>
  </w:num>
  <w:num w:numId="33" w16cid:durableId="528182138">
    <w:abstractNumId w:val="20"/>
  </w:num>
  <w:num w:numId="34" w16cid:durableId="1817255639">
    <w:abstractNumId w:val="41"/>
  </w:num>
  <w:num w:numId="35" w16cid:durableId="1462840724">
    <w:abstractNumId w:val="33"/>
  </w:num>
  <w:num w:numId="36" w16cid:durableId="2631539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25802171">
    <w:abstractNumId w:val="19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4624600">
    <w:abstractNumId w:val="13"/>
  </w:num>
  <w:num w:numId="39" w16cid:durableId="819924141">
    <w:abstractNumId w:val="40"/>
  </w:num>
  <w:num w:numId="40" w16cid:durableId="1463692761">
    <w:abstractNumId w:val="11"/>
  </w:num>
  <w:num w:numId="41" w16cid:durableId="393892452">
    <w:abstractNumId w:val="31"/>
  </w:num>
  <w:num w:numId="42" w16cid:durableId="904608081">
    <w:abstractNumId w:val="38"/>
  </w:num>
  <w:num w:numId="43" w16cid:durableId="18934197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9C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65C9"/>
    <w:rsid w:val="00047081"/>
    <w:rsid w:val="00050979"/>
    <w:rsid w:val="00055FEE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738C"/>
    <w:rsid w:val="000E036E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B41BD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5F7A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28F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CE6"/>
    <w:rsid w:val="004C6851"/>
    <w:rsid w:val="004C6B2A"/>
    <w:rsid w:val="004D1784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4016"/>
    <w:rsid w:val="0060773B"/>
    <w:rsid w:val="00610F09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C1EBA"/>
    <w:rsid w:val="007C3994"/>
    <w:rsid w:val="007C4F8B"/>
    <w:rsid w:val="007D1EFB"/>
    <w:rsid w:val="007E206B"/>
    <w:rsid w:val="007E730A"/>
    <w:rsid w:val="007F087F"/>
    <w:rsid w:val="007F28FE"/>
    <w:rsid w:val="007F42B2"/>
    <w:rsid w:val="007F4426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4291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2C16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AA5"/>
    <w:rsid w:val="00A50E68"/>
    <w:rsid w:val="00A56060"/>
    <w:rsid w:val="00A56CFB"/>
    <w:rsid w:val="00A620A1"/>
    <w:rsid w:val="00A6373C"/>
    <w:rsid w:val="00A66E4C"/>
    <w:rsid w:val="00A71784"/>
    <w:rsid w:val="00A7469A"/>
    <w:rsid w:val="00A84AEC"/>
    <w:rsid w:val="00A9373B"/>
    <w:rsid w:val="00A93DC8"/>
    <w:rsid w:val="00A941E2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207FF"/>
    <w:rsid w:val="00B239A0"/>
    <w:rsid w:val="00B25A3A"/>
    <w:rsid w:val="00B277C7"/>
    <w:rsid w:val="00B326CB"/>
    <w:rsid w:val="00B37FFE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912A0"/>
    <w:rsid w:val="00B958A7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A10"/>
    <w:rsid w:val="00BF4ECD"/>
    <w:rsid w:val="00BF5D79"/>
    <w:rsid w:val="00C06656"/>
    <w:rsid w:val="00C07CB6"/>
    <w:rsid w:val="00C102CC"/>
    <w:rsid w:val="00C226F4"/>
    <w:rsid w:val="00C23957"/>
    <w:rsid w:val="00C25047"/>
    <w:rsid w:val="00C251DA"/>
    <w:rsid w:val="00C30A3C"/>
    <w:rsid w:val="00C3184E"/>
    <w:rsid w:val="00C53997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AC3"/>
    <w:rsid w:val="00CA784A"/>
    <w:rsid w:val="00CB007C"/>
    <w:rsid w:val="00CB2312"/>
    <w:rsid w:val="00CB5A5C"/>
    <w:rsid w:val="00CB7F4E"/>
    <w:rsid w:val="00CC0991"/>
    <w:rsid w:val="00CC0F47"/>
    <w:rsid w:val="00CC3661"/>
    <w:rsid w:val="00CD107B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63CD7"/>
    <w:rsid w:val="00D769B3"/>
    <w:rsid w:val="00D805D1"/>
    <w:rsid w:val="00D80A4C"/>
    <w:rsid w:val="00D8149F"/>
    <w:rsid w:val="00D83773"/>
    <w:rsid w:val="00D83981"/>
    <w:rsid w:val="00D84743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489B"/>
    <w:rsid w:val="00DC5051"/>
    <w:rsid w:val="00DE27E2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5D90"/>
    <w:rsid w:val="00EF6791"/>
    <w:rsid w:val="00EF6E54"/>
    <w:rsid w:val="00F07E56"/>
    <w:rsid w:val="00F10CEC"/>
    <w:rsid w:val="00F12444"/>
    <w:rsid w:val="00F13BA3"/>
    <w:rsid w:val="00F15FFB"/>
    <w:rsid w:val="00F17801"/>
    <w:rsid w:val="00F179DC"/>
    <w:rsid w:val="00F17AA1"/>
    <w:rsid w:val="00F2543E"/>
    <w:rsid w:val="00F25FF5"/>
    <w:rsid w:val="00F30153"/>
    <w:rsid w:val="00F30F45"/>
    <w:rsid w:val="00F349E0"/>
    <w:rsid w:val="00F34F9C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818E8"/>
    <w:rsid w:val="00F84FB7"/>
    <w:rsid w:val="00F85331"/>
    <w:rsid w:val="00F90561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59E1C2A"/>
  <w15:docId w15:val="{4BCC6E34-D6A4-4E09-9DD6-E3115560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3507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ADVISORY GROUP</dc:subject>
  <dc:creator>Director, Radiocommunication Bureau</dc:creator>
  <cp:keywords/>
  <dc:description/>
  <cp:lastModifiedBy>Xue, Kun</cp:lastModifiedBy>
  <cp:revision>2</cp:revision>
  <cp:lastPrinted>2011-05-23T08:58:00Z</cp:lastPrinted>
  <dcterms:created xsi:type="dcterms:W3CDTF">2026-03-19T16:13:00Z</dcterms:created>
  <dcterms:modified xsi:type="dcterms:W3CDTF">2026-03-19T16:13:00Z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