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14:paraId="27044471" w14:textId="77777777" w:rsidTr="00443261">
        <w:trPr>
          <w:cantSplit/>
        </w:trPr>
        <w:tc>
          <w:tcPr>
            <w:tcW w:w="6771" w:type="dxa"/>
            <w:vAlign w:val="center"/>
          </w:tcPr>
          <w:p w14:paraId="5B820616" w14:textId="77777777" w:rsidR="00443261" w:rsidRPr="002D238A" w:rsidRDefault="00443261" w:rsidP="007711EA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2D238A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2D238A">
              <w:rPr>
                <w:rFonts w:ascii="Verdana" w:hAnsi="Verdana"/>
                <w:b/>
                <w:sz w:val="25"/>
                <w:szCs w:val="25"/>
              </w:rPr>
              <w:br/>
            </w:r>
          </w:p>
        </w:tc>
        <w:tc>
          <w:tcPr>
            <w:tcW w:w="3118" w:type="dxa"/>
          </w:tcPr>
          <w:p w14:paraId="2630539C" w14:textId="77777777" w:rsidR="00443261" w:rsidRDefault="007711EA" w:rsidP="004E76DF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3A471AC3" wp14:editId="54DA8BB9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51782D" w14:paraId="08C0EC7D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9C26270" w14:textId="77777777" w:rsidR="002D238A" w:rsidRPr="0051782D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61475626" w14:textId="77777777" w:rsidR="002D238A" w:rsidRPr="0051782D" w:rsidRDefault="002D238A" w:rsidP="00773E5E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238A" w:rsidRPr="00710D66" w14:paraId="0C16C243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6C3D3479" w14:textId="77777777" w:rsidR="002D238A" w:rsidRPr="0051782D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3130796" w14:textId="77777777" w:rsidR="002D238A" w:rsidRPr="002D238A" w:rsidRDefault="002D238A" w:rsidP="00773E5E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2D238A" w:rsidRPr="002A127E" w14:paraId="03F18DE0" w14:textId="77777777">
        <w:trPr>
          <w:cantSplit/>
        </w:trPr>
        <w:tc>
          <w:tcPr>
            <w:tcW w:w="6771" w:type="dxa"/>
            <w:vMerge w:val="restart"/>
          </w:tcPr>
          <w:p w14:paraId="602743BB" w14:textId="77777777" w:rsidR="002D238A" w:rsidRPr="005031C8" w:rsidRDefault="002D238A" w:rsidP="005031C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5D5E4107" w14:textId="5F7936CB" w:rsidR="002D238A" w:rsidRPr="00AA2611" w:rsidRDefault="00AA2611" w:rsidP="00773E5E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AA2611">
              <w:rPr>
                <w:rFonts w:ascii="Verdana" w:hAnsi="Verdana"/>
                <w:b/>
                <w:bCs/>
                <w:sz w:val="20"/>
              </w:rPr>
              <w:t>Document RAG/74-F</w:t>
            </w:r>
          </w:p>
        </w:tc>
      </w:tr>
      <w:tr w:rsidR="002D238A" w:rsidRPr="002A127E" w14:paraId="480B38E7" w14:textId="77777777">
        <w:trPr>
          <w:cantSplit/>
        </w:trPr>
        <w:tc>
          <w:tcPr>
            <w:tcW w:w="6771" w:type="dxa"/>
            <w:vMerge/>
          </w:tcPr>
          <w:p w14:paraId="64DC862A" w14:textId="77777777" w:rsidR="002D238A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7B13F782" w14:textId="7EBECA2F" w:rsidR="002D238A" w:rsidRPr="00AA2611" w:rsidRDefault="00AA2611" w:rsidP="00773E5E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AA2611">
              <w:rPr>
                <w:rFonts w:ascii="Verdana" w:hAnsi="Verdana"/>
                <w:b/>
                <w:bCs/>
                <w:sz w:val="20"/>
              </w:rPr>
              <w:t>16 mars 2026</w:t>
            </w:r>
          </w:p>
        </w:tc>
      </w:tr>
      <w:tr w:rsidR="002D238A" w:rsidRPr="002A127E" w14:paraId="726B9296" w14:textId="77777777">
        <w:trPr>
          <w:cantSplit/>
        </w:trPr>
        <w:tc>
          <w:tcPr>
            <w:tcW w:w="6771" w:type="dxa"/>
            <w:vMerge/>
          </w:tcPr>
          <w:p w14:paraId="7192C75D" w14:textId="77777777" w:rsidR="002D238A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26F725A3" w14:textId="50239B72" w:rsidR="002D238A" w:rsidRPr="00AA2611" w:rsidRDefault="00AA2611" w:rsidP="00773E5E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AA2611">
              <w:rPr>
                <w:rFonts w:ascii="Verdana" w:hAnsi="Verdana"/>
                <w:b/>
                <w:bCs/>
                <w:sz w:val="20"/>
              </w:rPr>
              <w:t>Original: anglais</w:t>
            </w:r>
          </w:p>
        </w:tc>
      </w:tr>
      <w:tr w:rsidR="002D238A" w14:paraId="6A3594AF" w14:textId="77777777">
        <w:trPr>
          <w:cantSplit/>
        </w:trPr>
        <w:tc>
          <w:tcPr>
            <w:tcW w:w="9889" w:type="dxa"/>
            <w:gridSpan w:val="2"/>
          </w:tcPr>
          <w:p w14:paraId="23E3836C" w14:textId="7FD0372B" w:rsidR="002D238A" w:rsidRDefault="00AA2611" w:rsidP="00773E5E">
            <w:pPr>
              <w:pStyle w:val="Source"/>
            </w:pPr>
            <w:bookmarkStart w:id="3" w:name="dsource" w:colFirst="0" w:colLast="0"/>
            <w:bookmarkEnd w:id="2"/>
            <w:r w:rsidRPr="00AA2611">
              <w:t>Fédération de Russie</w:t>
            </w:r>
          </w:p>
        </w:tc>
      </w:tr>
      <w:tr w:rsidR="002D238A" w14:paraId="247B636A" w14:textId="77777777">
        <w:trPr>
          <w:cantSplit/>
        </w:trPr>
        <w:tc>
          <w:tcPr>
            <w:tcW w:w="9889" w:type="dxa"/>
            <w:gridSpan w:val="2"/>
          </w:tcPr>
          <w:p w14:paraId="2495DE3C" w14:textId="38B21A4E" w:rsidR="002D238A" w:rsidRDefault="00AA2611" w:rsidP="00773E5E">
            <w:pPr>
              <w:pStyle w:val="Title1"/>
            </w:pPr>
            <w:bookmarkStart w:id="4" w:name="dtitle1" w:colFirst="0" w:colLast="0"/>
            <w:bookmarkEnd w:id="3"/>
            <w:r w:rsidRPr="00AA2611">
              <w:t xml:space="preserve">INDICATEURS DE PERFORMANCE SUPPLÉMENTAIRES CONCERNANT </w:t>
            </w:r>
            <w:r>
              <w:br/>
            </w:r>
            <w:r w:rsidRPr="00AA2611">
              <w:t>LE PLAN STRATÉGIQUE POUR 2028-2031</w:t>
            </w:r>
          </w:p>
        </w:tc>
      </w:tr>
    </w:tbl>
    <w:bookmarkEnd w:id="4"/>
    <w:p w14:paraId="7F0FA3C1" w14:textId="77777777" w:rsidR="00AA2611" w:rsidRPr="00DE788A" w:rsidRDefault="00AA2611" w:rsidP="00AA2611">
      <w:pPr>
        <w:pStyle w:val="Headingb"/>
      </w:pPr>
      <w:r>
        <w:t>Introduction</w:t>
      </w:r>
    </w:p>
    <w:p w14:paraId="160A1741" w14:textId="26AE2EF5" w:rsidR="00AA2611" w:rsidRPr="00DE788A" w:rsidRDefault="00AA2611" w:rsidP="00AA2611">
      <w:r>
        <w:t>À sa séance spéciale du 9 décembre 2025, le Groupe consultatif des radiocommunications (GCR) a examiné, entre autres questions, les indicateurs de performance concernant le Plan stratégique pour la période 2028-2031. Il a déterminé que l</w:t>
      </w:r>
      <w:r w:rsidR="00E67D93">
        <w:t>'</w:t>
      </w:r>
      <w:r>
        <w:t>élément ci-après figurait parmi les principaux objectifs du Secteur des radiocommunications de l'UIT (UIT-R):</w:t>
      </w:r>
    </w:p>
    <w:p w14:paraId="1C2AE112" w14:textId="40E0A157" w:rsidR="00AA2611" w:rsidRPr="00A314D7" w:rsidRDefault="00AA2611" w:rsidP="00AA2611">
      <w:r>
        <w:t>Tenue à jour du Fichier de référence international des fréquences pour tenir compte de l</w:t>
      </w:r>
      <w:r w:rsidR="00E67D93">
        <w:t>'</w:t>
      </w:r>
      <w:r>
        <w:t>utilisation réelle conformément aux caractéristiques/paramètres publiés, eu égard aux dispositions pertinentes du Règlement des radiocommunications, en particulier de la Section II de l</w:t>
      </w:r>
      <w:r w:rsidR="00E67D93">
        <w:t>'</w:t>
      </w:r>
      <w:r>
        <w:t>Article 13 dudit Règlement.</w:t>
      </w:r>
    </w:p>
    <w:p w14:paraId="34093BD1" w14:textId="2E596AC8" w:rsidR="00AA2611" w:rsidRPr="00DE788A" w:rsidRDefault="00AA2611" w:rsidP="00AA2611">
      <w:r>
        <w:t>Cet objectif principal a reçu l'appui de l'Administration de la Fédération de Russie et d</w:t>
      </w:r>
      <w:r w:rsidR="00E67D93">
        <w:t>'</w:t>
      </w:r>
      <w:r>
        <w:t>autres administrations.</w:t>
      </w:r>
    </w:p>
    <w:p w14:paraId="61489751" w14:textId="6C76D60E" w:rsidR="00AA2611" w:rsidRPr="00A314D7" w:rsidRDefault="00AA2611" w:rsidP="00AA2611">
      <w:r>
        <w:t>Toutefois, les participants n</w:t>
      </w:r>
      <w:r w:rsidR="00E67D93">
        <w:t>'</w:t>
      </w:r>
      <w:r>
        <w:t>ont pas été en mesure de définir des indicateurs permettant de mesurer la réalisation de cet objectif, et cette proposition de portée générale a été transmise par une note de liaison au Groupe de travail du Conseil chargé d</w:t>
      </w:r>
      <w:r w:rsidR="00E67D93">
        <w:t>'</w:t>
      </w:r>
      <w:r>
        <w:t>élaborer le Plan stratégique et le Plan financier pour la période 2028-2031, qui devra l</w:t>
      </w:r>
      <w:r w:rsidR="00E67D93">
        <w:t>'</w:t>
      </w:r>
      <w:r>
        <w:t>examiner.</w:t>
      </w:r>
    </w:p>
    <w:p w14:paraId="38E1E8D3" w14:textId="77777777" w:rsidR="00AA2611" w:rsidRPr="00DE788A" w:rsidRDefault="00AA2611" w:rsidP="00AA2611">
      <w:pPr>
        <w:pStyle w:val="Headingb"/>
      </w:pPr>
      <w:r>
        <w:t>Description de la question</w:t>
      </w:r>
    </w:p>
    <w:p w14:paraId="4DADBDCB" w14:textId="77777777" w:rsidR="00AA2611" w:rsidRPr="00DE788A" w:rsidRDefault="00AA2611" w:rsidP="00AA2611">
      <w:r>
        <w:t>À cet égard, il conviendra de prendre note des informations complémentaires suivantes.</w:t>
      </w:r>
    </w:p>
    <w:p w14:paraId="1D56F81A" w14:textId="65F2374E" w:rsidR="00AA2611" w:rsidRPr="00DE788A" w:rsidRDefault="00AA2611" w:rsidP="00AA2611">
      <w:r>
        <w:t>La tenue à jour du Fichier de référence</w:t>
      </w:r>
      <w:r w:rsidR="00296F22">
        <w:t xml:space="preserve"> </w:t>
      </w:r>
      <w:r>
        <w:t>international des fréquences comprend généralement:</w:t>
      </w:r>
    </w:p>
    <w:p w14:paraId="2C78D1BE" w14:textId="4573F118" w:rsidR="00AA2611" w:rsidRPr="00DE788A" w:rsidRDefault="00AA2611" w:rsidP="00AA2611">
      <w:pPr>
        <w:pStyle w:val="enumlev1"/>
      </w:pPr>
      <w:r>
        <w:t>1)</w:t>
      </w:r>
      <w:r>
        <w:tab/>
      </w:r>
      <w:r w:rsidR="00296F22">
        <w:t>l</w:t>
      </w:r>
      <w:r>
        <w:t>a notification de nouvelles assignations de fréquence par les administrations</w:t>
      </w:r>
      <w:r w:rsidR="00296F22">
        <w:t>;</w:t>
      </w:r>
    </w:p>
    <w:p w14:paraId="321326C3" w14:textId="5089E7CB" w:rsidR="00AA2611" w:rsidRPr="00DE788A" w:rsidRDefault="00AA2611" w:rsidP="00AA2611">
      <w:pPr>
        <w:pStyle w:val="enumlev1"/>
      </w:pPr>
      <w:r>
        <w:t>2)</w:t>
      </w:r>
      <w:r>
        <w:tab/>
      </w:r>
      <w:r w:rsidR="00296F22">
        <w:t>l</w:t>
      </w:r>
      <w:r>
        <w:t>a notification par les administrations des paramètres modifiés des assignations de fréquence déjà inscrites dans le Fichier de référence</w:t>
      </w:r>
      <w:r w:rsidR="00296F22">
        <w:t>;</w:t>
      </w:r>
    </w:p>
    <w:p w14:paraId="23C2DE49" w14:textId="4C8E6948" w:rsidR="00AA2611" w:rsidRPr="00DE788A" w:rsidRDefault="00AA2611" w:rsidP="00AA2611">
      <w:pPr>
        <w:pStyle w:val="enumlev1"/>
      </w:pPr>
      <w:r>
        <w:t>3)</w:t>
      </w:r>
      <w:r>
        <w:tab/>
      </w:r>
      <w:r w:rsidR="00296F22">
        <w:t>l</w:t>
      </w:r>
      <w:r>
        <w:t>a suppression des assignations de fréquence qui ne sont plus en service</w:t>
      </w:r>
      <w:r w:rsidR="00296F22">
        <w:t>;</w:t>
      </w:r>
    </w:p>
    <w:p w14:paraId="05D64906" w14:textId="63F34036" w:rsidR="00AA2611" w:rsidRPr="00DE788A" w:rsidRDefault="00AA2611" w:rsidP="00AA2611">
      <w:pPr>
        <w:pStyle w:val="enumlev1"/>
      </w:pPr>
      <w:r>
        <w:t>4)</w:t>
      </w:r>
      <w:r>
        <w:tab/>
      </w:r>
      <w:r w:rsidR="00296F22">
        <w:t>l</w:t>
      </w:r>
      <w:r>
        <w:t xml:space="preserve">e maintien de la cohérence entre les assignations inscrites et les modifications apportées aux attributions par les </w:t>
      </w:r>
      <w:r w:rsidR="00296F22">
        <w:t>c</w:t>
      </w:r>
      <w:r>
        <w:t>onférences mondiales des radiocommunications</w:t>
      </w:r>
      <w:r w:rsidR="00296F22">
        <w:t>;</w:t>
      </w:r>
    </w:p>
    <w:p w14:paraId="08BC2EFE" w14:textId="5D228A95" w:rsidR="00AA2611" w:rsidRPr="00DE788A" w:rsidRDefault="00AA2611" w:rsidP="00AA2611">
      <w:pPr>
        <w:pStyle w:val="enumlev1"/>
      </w:pPr>
      <w:r>
        <w:t>5)</w:t>
      </w:r>
      <w:r>
        <w:tab/>
      </w:r>
      <w:r w:rsidR="00296F22">
        <w:t>l</w:t>
      </w:r>
      <w:r>
        <w:t>e maintien de la cohérence entre les paramètres notifiés et les paramètres réels des assignations de fréquence.</w:t>
      </w:r>
    </w:p>
    <w:p w14:paraId="36638883" w14:textId="5BF045A1" w:rsidR="00AA2611" w:rsidRPr="00DE788A" w:rsidRDefault="00AA2611" w:rsidP="00AA2611">
      <w:r>
        <w:t>Les activités visées aux points 1 et 2 ci-dessus sont couvertes par l</w:t>
      </w:r>
      <w:r w:rsidR="00E67D93">
        <w:t>'</w:t>
      </w:r>
      <w:r>
        <w:t xml:space="preserve">indicateur intitulé </w:t>
      </w:r>
      <w:r w:rsidR="00E67D93">
        <w:t>«</w:t>
      </w:r>
      <w:r>
        <w:t>Nombre</w:t>
      </w:r>
      <w:r w:rsidR="0017656E">
        <w:t> </w:t>
      </w:r>
      <w:r>
        <w:t>d</w:t>
      </w:r>
      <w:r w:rsidR="00E67D93">
        <w:t>'</w:t>
      </w:r>
      <w:r>
        <w:t>assignations de fréquence [...] inscrites dans le Fichier de référence</w:t>
      </w:r>
      <w:r w:rsidR="00E67D93">
        <w:t>»</w:t>
      </w:r>
      <w:r>
        <w:t>.</w:t>
      </w:r>
    </w:p>
    <w:p w14:paraId="2378D2F2" w14:textId="54F54155" w:rsidR="00AA2611" w:rsidRPr="00DE788A" w:rsidRDefault="00AA2611" w:rsidP="00AA2611">
      <w:r>
        <w:lastRenderedPageBreak/>
        <w:t>L</w:t>
      </w:r>
      <w:r w:rsidR="00E67D93">
        <w:t>'</w:t>
      </w:r>
      <w:r>
        <w:t>activité visée au point 3 est quant à elle couverte par l</w:t>
      </w:r>
      <w:r w:rsidR="00E67D93">
        <w:t>'</w:t>
      </w:r>
      <w:r>
        <w:t xml:space="preserve">indicateur intitulé </w:t>
      </w:r>
      <w:r w:rsidR="00E67D93">
        <w:t>«</w:t>
      </w:r>
      <w:r>
        <w:t>Nombre d</w:t>
      </w:r>
      <w:r w:rsidR="00E67D93">
        <w:t>'</w:t>
      </w:r>
      <w:r>
        <w:t>assignations de fréquence qui ont été supprimées</w:t>
      </w:r>
      <w:r w:rsidR="00E67D93">
        <w:t>»</w:t>
      </w:r>
      <w:r>
        <w:t>.</w:t>
      </w:r>
    </w:p>
    <w:p w14:paraId="6D416115" w14:textId="77777777" w:rsidR="00AA2611" w:rsidRPr="00DE788A" w:rsidRDefault="00AA2611" w:rsidP="00AA2611">
      <w:pPr>
        <w:pStyle w:val="Headingb"/>
      </w:pPr>
      <w:r>
        <w:t>Proposition</w:t>
      </w:r>
    </w:p>
    <w:p w14:paraId="0036544D" w14:textId="0C2D3221" w:rsidR="00AA2611" w:rsidRPr="00DE788A" w:rsidRDefault="00AA2611" w:rsidP="00AA2611">
      <w:r>
        <w:t>En ce qui concerne les activités visées aux points 4 et 5 ci-dessus, le GCR voudra peut</w:t>
      </w:r>
      <w:r w:rsidR="00296F22">
        <w:noBreakHyphen/>
      </w:r>
      <w:r>
        <w:t>être envisager la possibilité d</w:t>
      </w:r>
      <w:r w:rsidR="00E67D93">
        <w:t>'</w:t>
      </w:r>
      <w:r>
        <w:t>introduire les deux nouveaux indicateurs</w:t>
      </w:r>
      <w:r w:rsidR="00296F22">
        <w:t xml:space="preserve"> </w:t>
      </w:r>
      <w:r>
        <w:t>suivants:</w:t>
      </w:r>
    </w:p>
    <w:p w14:paraId="3F4CB037" w14:textId="74208722" w:rsidR="00AA2611" w:rsidRPr="00DE788A" w:rsidRDefault="00AA2611" w:rsidP="00AA2611">
      <w:pPr>
        <w:pStyle w:val="enumlev1"/>
      </w:pPr>
      <w:r>
        <w:t>1)</w:t>
      </w:r>
      <w:r>
        <w:tab/>
      </w:r>
      <w:r w:rsidR="00E67D93">
        <w:t>«</w:t>
      </w:r>
      <w:r>
        <w:t>Nombre d</w:t>
      </w:r>
      <w:r w:rsidR="00E67D93">
        <w:t>'</w:t>
      </w:r>
      <w:r>
        <w:t>assignations pour lesquelles les conclusions ont fait l'objet d'un examen au titre du numéro 11.50 du RR</w:t>
      </w:r>
      <w:r w:rsidR="00E67D93">
        <w:t>»</w:t>
      </w:r>
      <w:r>
        <w:t>.</w:t>
      </w:r>
    </w:p>
    <w:p w14:paraId="7C110831" w14:textId="7C41CEAA" w:rsidR="00AA2611" w:rsidRPr="00DE788A" w:rsidRDefault="00AA2611" w:rsidP="00AA2611">
      <w:pPr>
        <w:pStyle w:val="enumlev1"/>
      </w:pPr>
      <w:r>
        <w:t>2)</w:t>
      </w:r>
      <w:r>
        <w:tab/>
      </w:r>
      <w:r w:rsidR="00E67D93">
        <w:t>«</w:t>
      </w:r>
      <w:r>
        <w:t>Nombre de cas traités par le BR au titre du numéro 13.6 du RR</w:t>
      </w:r>
      <w:r w:rsidR="00E67D93">
        <w:t>»</w:t>
      </w:r>
      <w:r>
        <w:t>.</w:t>
      </w:r>
    </w:p>
    <w:p w14:paraId="347442B4" w14:textId="06B11BFF" w:rsidR="00AA2611" w:rsidRPr="00DE788A" w:rsidRDefault="00AA2611" w:rsidP="00AA2611">
      <w:pPr>
        <w:spacing w:after="120"/>
      </w:pPr>
      <w:r>
        <w:t>Compte tenu de la nécessité de faire une distinction entre les indicateurs pour les services spatiaux et les indicateurs pour les services de Terre et d'indiquer les sources d</w:t>
      </w:r>
      <w:r w:rsidR="00E67D93">
        <w:t>'</w:t>
      </w:r>
      <w:r>
        <w:t>information, il en résulterait les indicateurs suivants: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69"/>
        <w:gridCol w:w="3260"/>
      </w:tblGrid>
      <w:tr w:rsidR="00AA2611" w:rsidRPr="002A2326" w14:paraId="3FCD81B0" w14:textId="77777777" w:rsidTr="000F4C03">
        <w:tc>
          <w:tcPr>
            <w:tcW w:w="6269" w:type="dxa"/>
          </w:tcPr>
          <w:p w14:paraId="20044E99" w14:textId="77777777" w:rsidR="00AA2611" w:rsidRPr="00296F22" w:rsidRDefault="00AA2611" w:rsidP="00296F22">
            <w:r w:rsidRPr="00296F22">
              <w:t>Tenue à jour du Fichier de référence, en ce qui concerne les services spatiaux, pour tenir compte de l'utilisation réelle conformément aux caractéristiques/paramètres publiés, exprimée en:</w:t>
            </w:r>
          </w:p>
          <w:p w14:paraId="438D4FBE" w14:textId="188FA669" w:rsidR="00AA2611" w:rsidRPr="00296F22" w:rsidRDefault="00296F22" w:rsidP="00296F22">
            <w:r>
              <w:t>n</w:t>
            </w:r>
            <w:r w:rsidR="00AA2611" w:rsidRPr="00296F22">
              <w:t>ombre d'assignations de fréquence pour lesquelles les conclusions ont fait l'objet d'un examen au titre du numéro</w:t>
            </w:r>
            <w:r>
              <w:t> </w:t>
            </w:r>
            <w:r w:rsidR="00AA2611" w:rsidRPr="00296F22">
              <w:t>11.50, sur une base annuelle</w:t>
            </w:r>
            <w:r>
              <w:t>;</w:t>
            </w:r>
          </w:p>
          <w:p w14:paraId="1F3905B7" w14:textId="613E20E9" w:rsidR="00AA2611" w:rsidRPr="00296F22" w:rsidRDefault="00296F22" w:rsidP="00296F22">
            <w:r>
              <w:t>n</w:t>
            </w:r>
            <w:r w:rsidR="00AA2611" w:rsidRPr="00296F22">
              <w:t>ombre de cas traités par le BR au titre du numéro 13.6 du</w:t>
            </w:r>
            <w:r>
              <w:t> </w:t>
            </w:r>
            <w:r w:rsidR="00AA2611" w:rsidRPr="00296F22">
              <w:t>RR, sur une base annuelle.</w:t>
            </w:r>
          </w:p>
        </w:tc>
        <w:tc>
          <w:tcPr>
            <w:tcW w:w="3260" w:type="dxa"/>
          </w:tcPr>
          <w:p w14:paraId="641C5462" w14:textId="2B852D50" w:rsidR="00AA2611" w:rsidRPr="00296F22" w:rsidRDefault="00AA2611" w:rsidP="00296F22">
            <w:r w:rsidRPr="00296F22">
              <w:t>Fichier de référence international des fréquences</w:t>
            </w:r>
          </w:p>
          <w:p w14:paraId="3ECFAA85" w14:textId="5F44CAD6" w:rsidR="00AA2611" w:rsidRPr="00296F22" w:rsidRDefault="00AA2611" w:rsidP="00296F22">
            <w:pPr>
              <w:spacing w:before="720"/>
            </w:pPr>
            <w:r w:rsidRPr="00296F22">
              <w:t>Fichiers du RRB/BR</w:t>
            </w:r>
          </w:p>
        </w:tc>
      </w:tr>
      <w:tr w:rsidR="00AA2611" w:rsidRPr="002A2326" w14:paraId="263C4D54" w14:textId="77777777" w:rsidTr="000F4C03">
        <w:tc>
          <w:tcPr>
            <w:tcW w:w="6269" w:type="dxa"/>
          </w:tcPr>
          <w:p w14:paraId="49F520D1" w14:textId="77777777" w:rsidR="00AA2611" w:rsidRPr="00296F22" w:rsidRDefault="00AA2611" w:rsidP="00296F22">
            <w:r w:rsidRPr="00296F22">
              <w:t>Tenue à jour du Fichier de référence, en ce qui concerne les services de Terre, pour tenir compte de l'utilisation réelle conformément aux caractéristiques/paramètres publiés, exprimée en:</w:t>
            </w:r>
          </w:p>
          <w:p w14:paraId="7368C777" w14:textId="7B82D56B" w:rsidR="00AA2611" w:rsidRPr="00296F22" w:rsidRDefault="00296F22" w:rsidP="00296F22">
            <w:r>
              <w:t>n</w:t>
            </w:r>
            <w:r w:rsidR="00AA2611" w:rsidRPr="00296F22">
              <w:t>ombre d'assignations de fréquence pour lesquelles les conclusions ont fait l'objet d'un examen au titre du numéro</w:t>
            </w:r>
            <w:r>
              <w:t> </w:t>
            </w:r>
            <w:r w:rsidR="00AA2611" w:rsidRPr="00296F22">
              <w:t>11.50, sur une base annuelle</w:t>
            </w:r>
            <w:r>
              <w:t>;</w:t>
            </w:r>
          </w:p>
          <w:p w14:paraId="15B920A9" w14:textId="7B20A014" w:rsidR="00AA2611" w:rsidRPr="00296F22" w:rsidRDefault="00296F22" w:rsidP="00296F22">
            <w:pPr>
              <w:spacing w:after="120"/>
            </w:pPr>
            <w:r>
              <w:t>n</w:t>
            </w:r>
            <w:r w:rsidR="00AA2611" w:rsidRPr="00296F22">
              <w:t>ombre de cas traités par le BR au titre du numéro 13.6 du</w:t>
            </w:r>
            <w:r>
              <w:t> </w:t>
            </w:r>
            <w:r w:rsidR="00AA2611" w:rsidRPr="00296F22">
              <w:t>RR, sur une base annuelle.</w:t>
            </w:r>
          </w:p>
        </w:tc>
        <w:tc>
          <w:tcPr>
            <w:tcW w:w="3260" w:type="dxa"/>
          </w:tcPr>
          <w:p w14:paraId="7A26B3C1" w14:textId="77777777" w:rsidR="00AA2611" w:rsidRPr="00296F22" w:rsidRDefault="00AA2611" w:rsidP="00296F22">
            <w:r w:rsidRPr="00296F22">
              <w:t>Fichier de référence international des fréquences</w:t>
            </w:r>
          </w:p>
          <w:p w14:paraId="0B8FC9C5" w14:textId="45AED597" w:rsidR="00AA2611" w:rsidRPr="00296F22" w:rsidRDefault="00AA2611" w:rsidP="00296F22">
            <w:pPr>
              <w:spacing w:before="720"/>
            </w:pPr>
            <w:r w:rsidRPr="00296F22">
              <w:t>Fichiers du RRB/BR</w:t>
            </w:r>
          </w:p>
        </w:tc>
      </w:tr>
    </w:tbl>
    <w:p w14:paraId="3640C435" w14:textId="3592EBDD" w:rsidR="00AA2611" w:rsidRPr="00DE788A" w:rsidRDefault="00AA2611" w:rsidP="00AA2611">
      <w:r>
        <w:t>Le GCR voudra peut-être présenter ces informations complémentaires à la prochaine réunion du Groupe de travail du Conseil chargé d</w:t>
      </w:r>
      <w:r w:rsidR="00E67D93">
        <w:t>'</w:t>
      </w:r>
      <w:r>
        <w:t>élaborer le Plan stratégique et le Plan financier pour la période 2028-2031.</w:t>
      </w:r>
    </w:p>
    <w:p w14:paraId="56AC029F" w14:textId="1D3E1AED" w:rsidR="008069E9" w:rsidRDefault="00AA2611" w:rsidP="00AA2611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600"/>
        <w:jc w:val="center"/>
      </w:pPr>
      <w:r>
        <w:t>______________</w:t>
      </w:r>
    </w:p>
    <w:sectPr w:rsidR="008069E9">
      <w:headerReference w:type="even" r:id="rId8"/>
      <w:headerReference w:type="default" r:id="rId9"/>
      <w:footerReference w:type="even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D846" w14:textId="77777777" w:rsidR="006C74B5" w:rsidRDefault="006C74B5">
      <w:r>
        <w:separator/>
      </w:r>
    </w:p>
  </w:endnote>
  <w:endnote w:type="continuationSeparator" w:id="0">
    <w:p w14:paraId="19958732" w14:textId="77777777" w:rsidR="006C74B5" w:rsidRDefault="006C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8E87" w14:textId="0492F4A3" w:rsidR="00847AAC" w:rsidRPr="00C92E39" w:rsidRDefault="00A9055C">
    <w:pPr>
      <w:pStyle w:val="Footer"/>
      <w:rPr>
        <w:lang w:val="it-IT"/>
      </w:rPr>
    </w:pPr>
    <w:r>
      <w:fldChar w:fldCharType="begin"/>
    </w:r>
    <w:r w:rsidRPr="00C92E39">
      <w:rPr>
        <w:lang w:val="it-IT"/>
      </w:rPr>
      <w:instrText xml:space="preserve"> FILENAME \p \* MERGEFORMAT </w:instrText>
    </w:r>
    <w:r>
      <w:fldChar w:fldCharType="separate"/>
    </w:r>
    <w:r w:rsidR="00296F22" w:rsidRPr="00C92E39">
      <w:rPr>
        <w:lang w:val="it-IT"/>
      </w:rPr>
      <w:t>P:\FRA\gDoc\BR\RAG\2600622F.docx</w:t>
    </w:r>
    <w:r>
      <w:rPr>
        <w:lang w:val="en-US"/>
      </w:rPr>
      <w:fldChar w:fldCharType="end"/>
    </w:r>
    <w:r w:rsidR="00847AAC" w:rsidRPr="00C92E39">
      <w:rPr>
        <w:lang w:val="it-IT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C92E39">
      <w:t>17.03.26</w:t>
    </w:r>
    <w:r w:rsidR="00847AAC">
      <w:fldChar w:fldCharType="end"/>
    </w:r>
    <w:r w:rsidR="00847AAC" w:rsidRPr="00C92E39">
      <w:rPr>
        <w:lang w:val="it-IT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296F22">
      <w:t>11.10.99</w:t>
    </w:r>
    <w:r w:rsidR="00847A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5DB1" w14:textId="77777777" w:rsidR="006C74B5" w:rsidRDefault="006C74B5">
      <w:r>
        <w:t>____________________</w:t>
      </w:r>
    </w:p>
  </w:footnote>
  <w:footnote w:type="continuationSeparator" w:id="0">
    <w:p w14:paraId="35C8A69D" w14:textId="77777777" w:rsidR="006C74B5" w:rsidRDefault="006C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EBD2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B352" w14:textId="77777777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7711EA">
      <w:rPr>
        <w:noProof/>
      </w:rPr>
      <w:t>2</w:t>
    </w:r>
    <w:r>
      <w:rPr>
        <w:noProof/>
      </w:rPr>
      <w:fldChar w:fldCharType="end"/>
    </w:r>
  </w:p>
  <w:p w14:paraId="193F223D" w14:textId="27D0EA4A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847AAC">
      <w:rPr>
        <w:lang w:val="es-ES"/>
      </w:rPr>
      <w:t>/</w:t>
    </w:r>
    <w:r w:rsidR="00AA2611">
      <w:rPr>
        <w:lang w:val="es-ES"/>
      </w:rPr>
      <w:t>74</w:t>
    </w:r>
    <w:r w:rsidR="00AF2EDC">
      <w:rPr>
        <w:lang w:val="es-ES"/>
      </w:rPr>
      <w:t>-</w:t>
    </w:r>
    <w:r w:rsidR="00847AAC">
      <w:rPr>
        <w:lang w:val="es-ES"/>
      </w:rPr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5078E"/>
    <w:multiLevelType w:val="hybridMultilevel"/>
    <w:tmpl w:val="33DAA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C1C69"/>
    <w:multiLevelType w:val="hybridMultilevel"/>
    <w:tmpl w:val="38E0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08081">
    <w:abstractNumId w:val="1"/>
  </w:num>
  <w:num w:numId="2" w16cid:durableId="189341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B5"/>
    <w:rsid w:val="000C06D8"/>
    <w:rsid w:val="00140AE6"/>
    <w:rsid w:val="0017656E"/>
    <w:rsid w:val="001E37FC"/>
    <w:rsid w:val="00222A1C"/>
    <w:rsid w:val="00296F22"/>
    <w:rsid w:val="002D238A"/>
    <w:rsid w:val="003A6CEE"/>
    <w:rsid w:val="00405FBE"/>
    <w:rsid w:val="00443261"/>
    <w:rsid w:val="004E1CCF"/>
    <w:rsid w:val="004E76DF"/>
    <w:rsid w:val="005031C8"/>
    <w:rsid w:val="005207F5"/>
    <w:rsid w:val="005430E4"/>
    <w:rsid w:val="0067019B"/>
    <w:rsid w:val="00677EE5"/>
    <w:rsid w:val="00694DEF"/>
    <w:rsid w:val="006C74B5"/>
    <w:rsid w:val="00706691"/>
    <w:rsid w:val="007711EA"/>
    <w:rsid w:val="00773E5E"/>
    <w:rsid w:val="008069E9"/>
    <w:rsid w:val="00847AAC"/>
    <w:rsid w:val="00902253"/>
    <w:rsid w:val="00925627"/>
    <w:rsid w:val="0093101F"/>
    <w:rsid w:val="0097156E"/>
    <w:rsid w:val="00A9055C"/>
    <w:rsid w:val="00AA2611"/>
    <w:rsid w:val="00AB7F92"/>
    <w:rsid w:val="00AC39EE"/>
    <w:rsid w:val="00AE65B3"/>
    <w:rsid w:val="00AF2EDC"/>
    <w:rsid w:val="00B41D84"/>
    <w:rsid w:val="00BA0C7B"/>
    <w:rsid w:val="00BC4591"/>
    <w:rsid w:val="00C72A86"/>
    <w:rsid w:val="00C92E39"/>
    <w:rsid w:val="00CC5B9E"/>
    <w:rsid w:val="00CC7208"/>
    <w:rsid w:val="00CE6184"/>
    <w:rsid w:val="00CF54BA"/>
    <w:rsid w:val="00D228F7"/>
    <w:rsid w:val="00D34E1C"/>
    <w:rsid w:val="00D95965"/>
    <w:rsid w:val="00DD55EB"/>
    <w:rsid w:val="00E2659D"/>
    <w:rsid w:val="00E67D93"/>
    <w:rsid w:val="00EC0F12"/>
    <w:rsid w:val="00ED59FA"/>
    <w:rsid w:val="00F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E3102"/>
  <w15:docId w15:val="{90B6AA9F-7B3B-4FCF-B85F-8808D6E9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uiPriority w:val="59"/>
    <w:rsid w:val="00AA2611"/>
    <w:rPr>
      <w:rFonts w:eastAsia="SimSu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A2611"/>
    <w:rPr>
      <w:rFonts w:ascii="Times New Roman" w:hAnsi="Times New Roman"/>
      <w:b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BR\PF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PF_RAG.dotm</Template>
  <TotalTime>16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INDICATEURS DE PERFORMANCE SUPPLÉMENTAIRES CONCERNANT LE PLAN STRATÉGIQUE POUR 2028-2031</dc:title>
  <dc:subject>GROUPE CONSULTATIF DES RADIOCOMMUNICATIONS</dc:subject>
  <dc:creator>Fédération de Russie</dc:creator>
  <cp:keywords>RAG03-1</cp:keywords>
  <dc:description>Document RAG/74-F  For: _x000d_Document date: 16 mars 2026_x000d_Saved by ITU51017658 at 4:17:22 PM on 3/17/2026</dc:description>
  <cp:lastModifiedBy>Xue, Kun</cp:lastModifiedBy>
  <cp:revision>2</cp:revision>
  <cp:lastPrinted>1999-10-11T14:58:00Z</cp:lastPrinted>
  <dcterms:created xsi:type="dcterms:W3CDTF">2026-03-17T16:01:00Z</dcterms:created>
  <dcterms:modified xsi:type="dcterms:W3CDTF">2026-03-17T16:01:00Z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RAG/74-F</vt:lpwstr>
  </property>
  <property fmtid="{D5CDD505-2E9C-101B-9397-08002B2CF9AE}" pid="3" name="Docdate">
    <vt:lpwstr>16 mars 2026</vt:lpwstr>
  </property>
  <property fmtid="{D5CDD505-2E9C-101B-9397-08002B2CF9AE}" pid="4" name="Docorlang">
    <vt:lpwstr>Original: anglais</vt:lpwstr>
  </property>
  <property fmtid="{D5CDD505-2E9C-101B-9397-08002B2CF9AE}" pid="5" name="Docauthor">
    <vt:lpwstr>Fédération de Russie</vt:lpwstr>
  </property>
</Properties>
</file>