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91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14:paraId="29EBD4F0" w14:textId="77777777" w:rsidTr="7F7D2664">
        <w:trPr>
          <w:cantSplit/>
        </w:trPr>
        <w:tc>
          <w:tcPr>
            <w:tcW w:w="6477" w:type="dxa"/>
            <w:vAlign w:val="center"/>
          </w:tcPr>
          <w:p w14:paraId="0E73BCD5" w14:textId="6D56D4B5" w:rsidR="00EC0BE3" w:rsidRPr="0051782D" w:rsidRDefault="00EC0BE3" w:rsidP="007653AF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FD4E76">
              <w:rPr>
                <w:rFonts w:ascii="Verdana" w:eastAsia="Times New Roman" w:hAnsi="Verdana" w:cs="Times New Roman Bold"/>
                <w:b/>
                <w:sz w:val="26"/>
                <w:szCs w:val="26"/>
                <w:lang w:val="en-US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12" w:type="dxa"/>
            <w:gridSpan w:val="2"/>
            <w:vAlign w:val="center"/>
          </w:tcPr>
          <w:p w14:paraId="091FF44D" w14:textId="77777777" w:rsidR="00EC0BE3" w:rsidRDefault="00C126C1" w:rsidP="007653AF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0DCB81A" wp14:editId="6E8F89D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7EEB28FB" w14:textId="77777777" w:rsidTr="7F7D266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5754C00C" w14:textId="77777777" w:rsidR="0051782D" w:rsidRPr="0051782D" w:rsidRDefault="0051782D" w:rsidP="007653A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958636D" w14:textId="77777777" w:rsidR="0051782D" w:rsidRPr="0051782D" w:rsidRDefault="0051782D" w:rsidP="007653AF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7D00" w14:paraId="653F22AE" w14:textId="77777777" w:rsidTr="7F7D266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1E9023F7" w14:textId="77777777" w:rsidR="00757D00" w:rsidRPr="0051782D" w:rsidRDefault="00757D00" w:rsidP="00757D00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AC07B19" w14:textId="31EF3444" w:rsidR="00757D00" w:rsidRPr="00710D66" w:rsidRDefault="00757D00" w:rsidP="00757D00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757D00" w14:paraId="30F64E70" w14:textId="77777777" w:rsidTr="7F7D2664">
        <w:trPr>
          <w:cantSplit/>
        </w:trPr>
        <w:tc>
          <w:tcPr>
            <w:tcW w:w="6487" w:type="dxa"/>
            <w:gridSpan w:val="2"/>
            <w:vMerge w:val="restart"/>
          </w:tcPr>
          <w:p w14:paraId="42225AAE" w14:textId="77777777" w:rsidR="00757D00" w:rsidRDefault="00757D00" w:rsidP="00757D00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3AFDAD83" w14:textId="71BFC66C" w:rsidR="00757D00" w:rsidRPr="001A0041" w:rsidRDefault="00757D00" w:rsidP="00757D0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RAG/</w:t>
            </w:r>
            <w:r w:rsidR="002261FD">
              <w:rPr>
                <w:rFonts w:ascii="Verdana" w:hAnsi="Verdana"/>
                <w:b/>
                <w:sz w:val="20"/>
              </w:rPr>
              <w:t>7</w:t>
            </w:r>
            <w:r w:rsidR="00D17754">
              <w:rPr>
                <w:rFonts w:ascii="Verdana" w:hAnsi="Verdana" w:hint="eastAsia"/>
                <w:b/>
                <w:sz w:val="20"/>
                <w:lang w:eastAsia="zh-CN"/>
              </w:rPr>
              <w:t>4</w:t>
            </w:r>
            <w:r>
              <w:rPr>
                <w:rFonts w:ascii="Verdana" w:hAnsi="Verdana"/>
                <w:b/>
                <w:sz w:val="20"/>
              </w:rPr>
              <w:t>-E</w:t>
            </w:r>
          </w:p>
        </w:tc>
      </w:tr>
      <w:tr w:rsidR="00757D00" w14:paraId="73C3C199" w14:textId="77777777" w:rsidTr="7F7D2664">
        <w:trPr>
          <w:cantSplit/>
        </w:trPr>
        <w:tc>
          <w:tcPr>
            <w:tcW w:w="6487" w:type="dxa"/>
            <w:gridSpan w:val="2"/>
            <w:vMerge/>
          </w:tcPr>
          <w:p w14:paraId="742BDBFA" w14:textId="77777777" w:rsidR="00757D00" w:rsidRDefault="00757D00" w:rsidP="00757D00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51A2F5FD" w14:textId="24ABABDD" w:rsidR="00757D00" w:rsidRPr="001A0041" w:rsidRDefault="002261FD" w:rsidP="00757D0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16</w:t>
            </w:r>
            <w:r w:rsidR="006137E6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March</w:t>
            </w:r>
            <w:r w:rsidR="006137E6">
              <w:rPr>
                <w:rFonts w:ascii="Verdana" w:hAnsi="Verdana"/>
                <w:b/>
                <w:sz w:val="20"/>
              </w:rPr>
              <w:t xml:space="preserve"> 2026</w:t>
            </w:r>
          </w:p>
        </w:tc>
      </w:tr>
      <w:tr w:rsidR="00757D00" w14:paraId="2A70EAD6" w14:textId="77777777" w:rsidTr="7F7D2664">
        <w:trPr>
          <w:cantSplit/>
        </w:trPr>
        <w:tc>
          <w:tcPr>
            <w:tcW w:w="6487" w:type="dxa"/>
            <w:gridSpan w:val="2"/>
            <w:vMerge/>
          </w:tcPr>
          <w:p w14:paraId="37E710DB" w14:textId="77777777" w:rsidR="00757D00" w:rsidRDefault="00757D00" w:rsidP="00757D00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367E6838" w14:textId="15DC7248" w:rsidR="00757D00" w:rsidRPr="001A0041" w:rsidRDefault="00FD4E76" w:rsidP="00757D00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757D00" w14:paraId="67CF20AF" w14:textId="77777777" w:rsidTr="7F7D2664">
        <w:trPr>
          <w:cantSplit/>
        </w:trPr>
        <w:tc>
          <w:tcPr>
            <w:tcW w:w="9889" w:type="dxa"/>
            <w:gridSpan w:val="3"/>
          </w:tcPr>
          <w:tbl>
            <w:tblPr>
              <w:tblpPr w:leftFromText="180" w:rightFromText="180" w:horzAnchor="margin" w:tblpY="-615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757D00" w14:paraId="68DC1573" w14:textId="77777777" w:rsidTr="7F7D2664">
              <w:trPr>
                <w:cantSplit/>
              </w:trPr>
              <w:tc>
                <w:tcPr>
                  <w:tcW w:w="9889" w:type="dxa"/>
                </w:tcPr>
                <w:p w14:paraId="259F3C61" w14:textId="7A1048D7" w:rsidR="00757D00" w:rsidRPr="00C61CB6" w:rsidRDefault="00D17754" w:rsidP="00FD4E76">
                  <w:pPr>
                    <w:pStyle w:val="Source"/>
                  </w:pPr>
                  <w:bookmarkStart w:id="3" w:name="dsource" w:colFirst="0" w:colLast="0"/>
                  <w:bookmarkEnd w:id="2"/>
                  <w:r w:rsidRPr="00D17754">
                    <w:rPr>
                      <w:rFonts w:eastAsia="Times New Roman"/>
                      <w:lang w:val="en-US"/>
                    </w:rPr>
                    <w:t>Russian Federation</w:t>
                  </w:r>
                </w:p>
              </w:tc>
            </w:tr>
            <w:tr w:rsidR="00757D00" w14:paraId="3CCAA1A5" w14:textId="77777777" w:rsidTr="7F7D2664">
              <w:trPr>
                <w:cantSplit/>
              </w:trPr>
              <w:tc>
                <w:tcPr>
                  <w:tcW w:w="9889" w:type="dxa"/>
                </w:tcPr>
                <w:p w14:paraId="6B51D0F8" w14:textId="4152A38D" w:rsidR="00757D00" w:rsidRPr="00E30829" w:rsidRDefault="00D17754" w:rsidP="00D02896">
                  <w:pPr>
                    <w:pStyle w:val="Title1"/>
                  </w:pPr>
                  <w:r w:rsidRPr="00D17754">
                    <w:rPr>
                      <w:rFonts w:eastAsia="Times New Roman"/>
                    </w:rPr>
                    <w:t xml:space="preserve">ADDITIONAL PERFORMANCE INDICATORS FOR </w:t>
                  </w:r>
                  <w:r>
                    <w:rPr>
                      <w:rFonts w:eastAsiaTheme="minorEastAsia"/>
                      <w:lang w:eastAsia="zh-CN"/>
                    </w:rPr>
                    <w:br/>
                  </w:r>
                  <w:r w:rsidRPr="00D17754">
                    <w:rPr>
                      <w:rFonts w:eastAsia="Times New Roman"/>
                    </w:rPr>
                    <w:t>STRATEGIC PLAN 2028-2031</w:t>
                  </w:r>
                </w:p>
              </w:tc>
            </w:tr>
          </w:tbl>
          <w:p w14:paraId="48EDD9F3" w14:textId="77777777" w:rsidR="00757D00" w:rsidRDefault="00757D00" w:rsidP="00021AF4">
            <w:pPr>
              <w:pStyle w:val="Source"/>
              <w:spacing w:before="0" w:after="0"/>
            </w:pPr>
          </w:p>
        </w:tc>
      </w:tr>
      <w:bookmarkEnd w:id="3"/>
    </w:tbl>
    <w:p w14:paraId="67B46E9B" w14:textId="77777777" w:rsidR="00DC50F3" w:rsidRDefault="00DC50F3" w:rsidP="00FD4E76">
      <w:pPr>
        <w:pStyle w:val="Heading1"/>
      </w:pPr>
    </w:p>
    <w:p w14:paraId="11C23E4D" w14:textId="77777777" w:rsidR="00D17754" w:rsidRDefault="00D17754" w:rsidP="00D17754">
      <w:pPr>
        <w:pStyle w:val="Heading1"/>
      </w:pPr>
      <w:r w:rsidRPr="002A2326">
        <w:t>Introduction</w:t>
      </w:r>
    </w:p>
    <w:p w14:paraId="28BB7382" w14:textId="77777777" w:rsidR="00D17754" w:rsidRPr="002A2326" w:rsidRDefault="00D17754" w:rsidP="00D17754">
      <w:r w:rsidRPr="002A2326">
        <w:t>The Special Session of the RAG held on 9 December 2025 considered, among other issues, performance indicators for strategic plan 2028-2031. It has identified the following as a key objective of the ITU-R Sector:</w:t>
      </w:r>
    </w:p>
    <w:p w14:paraId="3A4B18D8" w14:textId="77777777" w:rsidR="00D17754" w:rsidRPr="002A2326" w:rsidRDefault="00D17754" w:rsidP="00D17754">
      <w:r w:rsidRPr="002A2326">
        <w:t xml:space="preserve">Maintenance of the MIFR, </w:t>
      </w:r>
      <w:proofErr w:type="gramStart"/>
      <w:r w:rsidRPr="002A2326">
        <w:t>up-to-date</w:t>
      </w:r>
      <w:proofErr w:type="gramEnd"/>
      <w:r w:rsidRPr="002A2326">
        <w:t xml:space="preserve"> to reflect the actual use in conformity with published characteristics/parameters </w:t>
      </w:r>
      <w:proofErr w:type="gramStart"/>
      <w:r w:rsidRPr="002A2326">
        <w:t>taking into account</w:t>
      </w:r>
      <w:proofErr w:type="gramEnd"/>
      <w:r w:rsidRPr="002A2326">
        <w:t xml:space="preserve"> relevant provisions of the Radio Regulations in particular Section II of Article 13 of the Radio Regulations.</w:t>
      </w:r>
    </w:p>
    <w:p w14:paraId="6E04EF68" w14:textId="77777777" w:rsidR="00D17754" w:rsidRPr="002A2326" w:rsidRDefault="00D17754" w:rsidP="00D17754">
      <w:r w:rsidRPr="002A2326">
        <w:t>This key objective was supported by the Administration of Russian Federation and some other administrations.</w:t>
      </w:r>
    </w:p>
    <w:p w14:paraId="4E6159EC" w14:textId="77777777" w:rsidR="00D17754" w:rsidRDefault="00D17754" w:rsidP="00D17754">
      <w:r w:rsidRPr="002A2326">
        <w:t xml:space="preserve">However, the meeting </w:t>
      </w:r>
      <w:proofErr w:type="gramStart"/>
      <w:r w:rsidRPr="002A2326">
        <w:t>was not able to</w:t>
      </w:r>
      <w:proofErr w:type="gramEnd"/>
      <w:r w:rsidRPr="002A2326">
        <w:t xml:space="preserve"> define indicators that could measure the attainment of this objective, and this general proposal was sent to the Council Working Group for strategic and financial plans 2028-2031 for consideration through a liaison statement.</w:t>
      </w:r>
    </w:p>
    <w:p w14:paraId="7592A273" w14:textId="77777777" w:rsidR="00D17754" w:rsidRPr="002A2326" w:rsidRDefault="00D17754" w:rsidP="00D17754">
      <w:pPr>
        <w:pStyle w:val="Heading1"/>
        <w:rPr>
          <w:lang w:val="ru-RU"/>
        </w:rPr>
      </w:pPr>
      <w:r>
        <w:t>Description of the issue</w:t>
      </w:r>
    </w:p>
    <w:p w14:paraId="156F038D" w14:textId="77777777" w:rsidR="00D17754" w:rsidRPr="002A2326" w:rsidRDefault="00D17754" w:rsidP="00D17754">
      <w:r w:rsidRPr="002A2326">
        <w:t>In this respect, you are invited to note the following additional information on the issue.</w:t>
      </w:r>
    </w:p>
    <w:p w14:paraId="5EE7EFBE" w14:textId="77777777" w:rsidR="00D17754" w:rsidRPr="002A2326" w:rsidRDefault="00D17754" w:rsidP="00D17754">
      <w:r w:rsidRPr="002A2326">
        <w:t>Maintenance the MIFR normally consists of:</w:t>
      </w:r>
    </w:p>
    <w:p w14:paraId="7A746D1A" w14:textId="5B8FBB53" w:rsidR="00D17754" w:rsidRDefault="00D17754" w:rsidP="00176692">
      <w:pPr>
        <w:numPr>
          <w:ilvl w:val="0"/>
          <w:numId w:val="28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</w:pPr>
      <w:r>
        <w:t>Notification of new frequency assignments, by administrations.</w:t>
      </w:r>
    </w:p>
    <w:p w14:paraId="5F8A8697" w14:textId="3B678A9F" w:rsidR="00D17754" w:rsidRDefault="00D17754" w:rsidP="00176692">
      <w:pPr>
        <w:numPr>
          <w:ilvl w:val="0"/>
          <w:numId w:val="28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</w:pPr>
      <w:r>
        <w:t>Notification of modified parameters of the frequency assignments already recorded in the MIFR, by administrations.</w:t>
      </w:r>
    </w:p>
    <w:p w14:paraId="605A2A57" w14:textId="145FFE16" w:rsidR="00D17754" w:rsidRDefault="00D17754" w:rsidP="00176692">
      <w:pPr>
        <w:numPr>
          <w:ilvl w:val="0"/>
          <w:numId w:val="28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</w:pPr>
      <w:r>
        <w:t>Suppression of frequency assignments no longer in operation.</w:t>
      </w:r>
    </w:p>
    <w:p w14:paraId="7E17437D" w14:textId="72BB7260" w:rsidR="00D17754" w:rsidRDefault="00D17754" w:rsidP="00176692">
      <w:pPr>
        <w:numPr>
          <w:ilvl w:val="0"/>
          <w:numId w:val="28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</w:pPr>
      <w:r>
        <w:t>Keeping consistency of the recorded assignments with changes in allocations made by WRCs.</w:t>
      </w:r>
    </w:p>
    <w:p w14:paraId="3FB687EE" w14:textId="3298CCA0" w:rsidR="00D17754" w:rsidRDefault="00D17754" w:rsidP="00176692">
      <w:pPr>
        <w:numPr>
          <w:ilvl w:val="0"/>
          <w:numId w:val="28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</w:pPr>
      <w:r>
        <w:t>Keeping consistency between notified and real parameters of frequency assignments.</w:t>
      </w:r>
    </w:p>
    <w:p w14:paraId="2CCB0180" w14:textId="4C8259A9" w:rsidR="00D17754" w:rsidRPr="002A2326" w:rsidRDefault="00D17754" w:rsidP="00D17754">
      <w:r w:rsidRPr="002A2326">
        <w:t>The activities under items 1 and 2 above are covered by the existing indicator “Number of frequency assignments … recorded in the MIFR”</w:t>
      </w:r>
    </w:p>
    <w:p w14:paraId="03056857" w14:textId="77777777" w:rsidR="00D17754" w:rsidRPr="002A2326" w:rsidRDefault="00D17754" w:rsidP="00D17754">
      <w:r w:rsidRPr="002A2326">
        <w:lastRenderedPageBreak/>
        <w:t>The activity under item 3 is already covered by the existing indicator “Number of frequency assignments that have been suppressed.”</w:t>
      </w:r>
    </w:p>
    <w:p w14:paraId="0180871C" w14:textId="77777777" w:rsidR="00D17754" w:rsidRPr="002A2326" w:rsidRDefault="00D17754" w:rsidP="00D17754">
      <w:pPr>
        <w:pStyle w:val="Heading1"/>
      </w:pPr>
      <w:r w:rsidRPr="002A2326">
        <w:t>Proposal</w:t>
      </w:r>
    </w:p>
    <w:p w14:paraId="3ACBE4D0" w14:textId="77777777" w:rsidR="00D17754" w:rsidRPr="002A2326" w:rsidRDefault="00D17754" w:rsidP="00D17754">
      <w:r w:rsidRPr="002A2326">
        <w:t>As for the activities under items 4 and 5 above, RAG may consider a possible introduction of the two new indicators:</w:t>
      </w:r>
    </w:p>
    <w:p w14:paraId="3B15CD68" w14:textId="77777777" w:rsidR="00D17754" w:rsidRPr="002A2326" w:rsidRDefault="00D17754" w:rsidP="00176692">
      <w:pPr>
        <w:numPr>
          <w:ilvl w:val="0"/>
          <w:numId w:val="3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</w:pPr>
      <w:r w:rsidRPr="002A2326">
        <w:t>Number of assignments, whose findings have been reviewed under RR No. 11.50”</w:t>
      </w:r>
    </w:p>
    <w:p w14:paraId="4E75F150" w14:textId="77777777" w:rsidR="00D17754" w:rsidRPr="002A2326" w:rsidRDefault="00D17754" w:rsidP="00176692">
      <w:pPr>
        <w:numPr>
          <w:ilvl w:val="0"/>
          <w:numId w:val="3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</w:pPr>
      <w:r w:rsidRPr="002A2326">
        <w:t>Number of cases treated by BR under RR No. 13.6”</w:t>
      </w:r>
    </w:p>
    <w:p w14:paraId="1DB75E6F" w14:textId="77777777" w:rsidR="00D17754" w:rsidRPr="002A2326" w:rsidRDefault="00D17754" w:rsidP="00D17754">
      <w:r w:rsidRPr="002A2326">
        <w:t>With the split into space and terrestrial indicators and indication of sources of information, the resulting indicators would be as follows:</w:t>
      </w:r>
    </w:p>
    <w:p w14:paraId="1EAE9008" w14:textId="77777777" w:rsidR="00D17754" w:rsidRPr="002A2326" w:rsidRDefault="00D17754" w:rsidP="00D177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9"/>
        <w:gridCol w:w="3260"/>
      </w:tblGrid>
      <w:tr w:rsidR="00D17754" w:rsidRPr="002A2326" w14:paraId="5BEEF99D" w14:textId="77777777" w:rsidTr="00064DFD">
        <w:tc>
          <w:tcPr>
            <w:tcW w:w="6269" w:type="dxa"/>
          </w:tcPr>
          <w:p w14:paraId="29D8563A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2A2326">
              <w:t xml:space="preserve">Maintenance of the MIFR for space services, </w:t>
            </w:r>
            <w:proofErr w:type="gramStart"/>
            <w:r w:rsidRPr="002A2326">
              <w:t>up-to-date</w:t>
            </w:r>
            <w:proofErr w:type="gramEnd"/>
            <w:r w:rsidRPr="002A2326">
              <w:t xml:space="preserve"> to reflect the actual use in conformity with published characteristics/parameters, measured as:</w:t>
            </w:r>
          </w:p>
          <w:p w14:paraId="6B70C84F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</w:p>
          <w:p w14:paraId="60C16559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2A2326">
              <w:t>Number of frequency assignments, whose findings have been reviewed pursuant to RR No. 11.50, on a yearly basis.</w:t>
            </w:r>
          </w:p>
          <w:p w14:paraId="765A01D6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 w:after="120"/>
              <w:textAlignment w:val="auto"/>
            </w:pPr>
            <w:r w:rsidRPr="002A2326">
              <w:t>Number of cases treated by BR under RR No. 13.6, on a yearly basis.</w:t>
            </w:r>
          </w:p>
        </w:tc>
        <w:tc>
          <w:tcPr>
            <w:tcW w:w="3260" w:type="dxa"/>
          </w:tcPr>
          <w:p w14:paraId="76056E44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2A2326">
              <w:t>MIFR</w:t>
            </w:r>
          </w:p>
          <w:p w14:paraId="49642CE6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</w:p>
          <w:p w14:paraId="231B59AF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2A2326">
              <w:t> </w:t>
            </w:r>
          </w:p>
          <w:p w14:paraId="6B4C5827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</w:p>
          <w:p w14:paraId="6ADEB83E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2A2326">
              <w:t>RRB/BR files</w:t>
            </w:r>
          </w:p>
          <w:p w14:paraId="7D4F07E6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</w:p>
        </w:tc>
      </w:tr>
      <w:tr w:rsidR="00D17754" w:rsidRPr="002A2326" w14:paraId="35DAE7E5" w14:textId="77777777" w:rsidTr="00064DFD">
        <w:tc>
          <w:tcPr>
            <w:tcW w:w="6269" w:type="dxa"/>
          </w:tcPr>
          <w:p w14:paraId="79EAEDFF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2A2326">
              <w:t xml:space="preserve">Maintenance of the MIFR for terrestrial services, </w:t>
            </w:r>
            <w:proofErr w:type="gramStart"/>
            <w:r w:rsidRPr="002A2326">
              <w:t>up-to-date</w:t>
            </w:r>
            <w:proofErr w:type="gramEnd"/>
            <w:r w:rsidRPr="002A2326">
              <w:t xml:space="preserve"> to reflect the actual use in conformity with published characteristics/parameters, measured as:</w:t>
            </w:r>
          </w:p>
          <w:p w14:paraId="44B95A67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</w:p>
          <w:p w14:paraId="15CE0A8C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2A2326">
              <w:t>Number of frequency assignments, whose findings have been reviewed pursuant to RR No. 11.50, on a yearly basis.</w:t>
            </w:r>
          </w:p>
          <w:p w14:paraId="1C774A45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 w:after="120"/>
              <w:textAlignment w:val="auto"/>
            </w:pPr>
            <w:r w:rsidRPr="002A2326">
              <w:t>Number of cases treated by BR under RR No. 13.6, on a yearly basis.</w:t>
            </w:r>
          </w:p>
        </w:tc>
        <w:tc>
          <w:tcPr>
            <w:tcW w:w="3260" w:type="dxa"/>
          </w:tcPr>
          <w:p w14:paraId="2768EF64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2A2326">
              <w:t>MIFR</w:t>
            </w:r>
          </w:p>
          <w:p w14:paraId="7FB49D40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</w:p>
          <w:p w14:paraId="4F019CDB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</w:p>
          <w:p w14:paraId="0BEB5A19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</w:p>
          <w:p w14:paraId="5EEC3112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  <w:r w:rsidRPr="002A2326">
              <w:t>RRB/BR files</w:t>
            </w:r>
          </w:p>
          <w:p w14:paraId="26235E07" w14:textId="77777777" w:rsidR="00D17754" w:rsidRPr="002A2326" w:rsidRDefault="00D17754" w:rsidP="00064DFD">
            <w:pPr>
              <w:overflowPunct/>
              <w:autoSpaceDE/>
              <w:autoSpaceDN/>
              <w:adjustRightInd/>
              <w:spacing w:before="0"/>
              <w:textAlignment w:val="auto"/>
            </w:pPr>
          </w:p>
        </w:tc>
      </w:tr>
    </w:tbl>
    <w:p w14:paraId="29FEFC42" w14:textId="77777777" w:rsidR="00D17754" w:rsidRPr="002A2326" w:rsidRDefault="00D17754" w:rsidP="00D17754"/>
    <w:p w14:paraId="36202F11" w14:textId="77777777" w:rsidR="00D17754" w:rsidRPr="002A2326" w:rsidRDefault="00D17754" w:rsidP="00D17754">
      <w:r w:rsidRPr="002A2326">
        <w:t xml:space="preserve">Radiocommunication Advisory Group (RAG) may be presents this additional information at the next meeting of the Council Working Group for strategic and financial plans 2028-2031. </w:t>
      </w:r>
    </w:p>
    <w:p w14:paraId="2503AC41" w14:textId="77777777" w:rsidR="00CD4658" w:rsidRPr="00896655" w:rsidRDefault="00CD4658" w:rsidP="00783FC6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600"/>
        <w:jc w:val="center"/>
      </w:pPr>
      <w:r w:rsidRPr="00896655">
        <w:t>______________</w:t>
      </w:r>
    </w:p>
    <w:p w14:paraId="0A650770" w14:textId="77777777" w:rsidR="00381A43" w:rsidRDefault="00381A43" w:rsidP="00381A43"/>
    <w:sectPr w:rsidR="00381A43" w:rsidSect="001D7B5E">
      <w:headerReference w:type="default" r:id="rId12"/>
      <w:pgSz w:w="11907" w:h="16840" w:code="9"/>
      <w:pgMar w:top="1089" w:right="1089" w:bottom="1089" w:left="1089" w:header="482" w:footer="48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36C2" w14:textId="77777777" w:rsidR="00607281" w:rsidRDefault="00607281">
      <w:r>
        <w:separator/>
      </w:r>
    </w:p>
  </w:endnote>
  <w:endnote w:type="continuationSeparator" w:id="0">
    <w:p w14:paraId="79B0C013" w14:textId="77777777" w:rsidR="00607281" w:rsidRDefault="0060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E903" w14:textId="77777777" w:rsidR="00607281" w:rsidRDefault="00607281">
      <w:r>
        <w:t>____________________</w:t>
      </w:r>
    </w:p>
  </w:footnote>
  <w:footnote w:type="continuationSeparator" w:id="0">
    <w:p w14:paraId="266FA69F" w14:textId="77777777" w:rsidR="00607281" w:rsidRDefault="0060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DDAF" w14:textId="404B7409" w:rsidR="00B202BE" w:rsidRDefault="00613030" w:rsidP="00B202BE">
    <w:pPr>
      <w:pStyle w:val="Header"/>
    </w:pPr>
    <w:r>
      <w:rPr>
        <w:rFonts w:hint="eastAsia"/>
        <w:lang w:eastAsia="zh-CN"/>
      </w:rPr>
      <w:t xml:space="preserve">- </w:t>
    </w:r>
    <w:sdt>
      <w:sdtPr>
        <w:id w:val="14915921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202BE">
          <w:fldChar w:fldCharType="begin"/>
        </w:r>
        <w:r w:rsidR="00B202BE">
          <w:instrText xml:space="preserve"> PAGE   \* MERGEFORMAT </w:instrText>
        </w:r>
        <w:r w:rsidR="00B202BE">
          <w:fldChar w:fldCharType="separate"/>
        </w:r>
        <w:r w:rsidR="00B202BE">
          <w:rPr>
            <w:noProof/>
          </w:rPr>
          <w:t>2</w:t>
        </w:r>
        <w:r w:rsidR="00B202BE">
          <w:rPr>
            <w:noProof/>
          </w:rPr>
          <w:fldChar w:fldCharType="end"/>
        </w:r>
        <w:r>
          <w:rPr>
            <w:rFonts w:hint="eastAsia"/>
            <w:noProof/>
            <w:lang w:eastAsia="zh-CN"/>
          </w:rPr>
          <w:t xml:space="preserve"> -</w:t>
        </w:r>
      </w:sdtContent>
    </w:sdt>
  </w:p>
  <w:p w14:paraId="543723EB" w14:textId="79C17572" w:rsidR="001D7B5E" w:rsidRDefault="00B202BE">
    <w:pPr>
      <w:pStyle w:val="Header"/>
    </w:pPr>
    <w:r>
      <w:rPr>
        <w:lang w:val="es-ES"/>
      </w:rPr>
      <w:t>RAG/</w:t>
    </w:r>
    <w:r w:rsidR="002261FD">
      <w:rPr>
        <w:lang w:val="es-ES"/>
      </w:rPr>
      <w:t>7</w:t>
    </w:r>
    <w:r w:rsidR="00D17754">
      <w:rPr>
        <w:rFonts w:hint="eastAsia"/>
        <w:lang w:val="es-ES" w:eastAsia="zh-CN"/>
      </w:rPr>
      <w:t>4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C657C"/>
    <w:multiLevelType w:val="hybridMultilevel"/>
    <w:tmpl w:val="C2D4B096"/>
    <w:lvl w:ilvl="0" w:tplc="D0841584">
      <w:start w:val="2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D5010"/>
    <w:multiLevelType w:val="hybridMultilevel"/>
    <w:tmpl w:val="FFFFFFFF"/>
    <w:lvl w:ilvl="0" w:tplc="69AEA2E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BB251B"/>
    <w:multiLevelType w:val="hybridMultilevel"/>
    <w:tmpl w:val="F094E8E2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F7C25"/>
    <w:multiLevelType w:val="hybridMultilevel"/>
    <w:tmpl w:val="FFFFFFFF"/>
    <w:lvl w:ilvl="0" w:tplc="F74CC03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C1377E"/>
    <w:multiLevelType w:val="multilevel"/>
    <w:tmpl w:val="5B1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F5078E"/>
    <w:multiLevelType w:val="hybridMultilevel"/>
    <w:tmpl w:val="33DAA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66839"/>
    <w:multiLevelType w:val="hybridMultilevel"/>
    <w:tmpl w:val="26CA97EC"/>
    <w:lvl w:ilvl="0" w:tplc="180A77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966588"/>
    <w:multiLevelType w:val="hybridMultilevel"/>
    <w:tmpl w:val="ABA8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34E92"/>
    <w:multiLevelType w:val="multilevel"/>
    <w:tmpl w:val="026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976B8D"/>
    <w:multiLevelType w:val="hybridMultilevel"/>
    <w:tmpl w:val="F6B63262"/>
    <w:lvl w:ilvl="0" w:tplc="D61471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84F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3C72335E"/>
    <w:multiLevelType w:val="hybridMultilevel"/>
    <w:tmpl w:val="CBC8660A"/>
    <w:lvl w:ilvl="0" w:tplc="A9AA8A1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7A6592"/>
    <w:multiLevelType w:val="multilevel"/>
    <w:tmpl w:val="BE60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067691"/>
    <w:multiLevelType w:val="multilevel"/>
    <w:tmpl w:val="D3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3F083E"/>
    <w:multiLevelType w:val="hybridMultilevel"/>
    <w:tmpl w:val="FFFFFFFF"/>
    <w:lvl w:ilvl="0" w:tplc="FEA6F4C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53865F7"/>
    <w:multiLevelType w:val="hybridMultilevel"/>
    <w:tmpl w:val="B7F60724"/>
    <w:lvl w:ilvl="0" w:tplc="2D28C90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C1C69"/>
    <w:multiLevelType w:val="hybridMultilevel"/>
    <w:tmpl w:val="38E0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8288C"/>
    <w:multiLevelType w:val="hybridMultilevel"/>
    <w:tmpl w:val="A8929D4A"/>
    <w:lvl w:ilvl="0" w:tplc="9D4CF0F6">
      <w:start w:val="1"/>
      <w:numFmt w:val="decimal"/>
      <w:lvlText w:val="%1."/>
      <w:lvlJc w:val="left"/>
      <w:pPr>
        <w:ind w:left="1185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 w15:restartNumberingAfterBreak="0">
    <w:nsid w:val="757D115E"/>
    <w:multiLevelType w:val="hybridMultilevel"/>
    <w:tmpl w:val="F7F8842C"/>
    <w:lvl w:ilvl="0" w:tplc="180A77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949B8"/>
    <w:multiLevelType w:val="hybridMultilevel"/>
    <w:tmpl w:val="A2F41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12E40"/>
    <w:multiLevelType w:val="hybridMultilevel"/>
    <w:tmpl w:val="B64284D8"/>
    <w:lvl w:ilvl="0" w:tplc="0EC86B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84551">
    <w:abstractNumId w:val="9"/>
  </w:num>
  <w:num w:numId="2" w16cid:durableId="19362824">
    <w:abstractNumId w:val="7"/>
  </w:num>
  <w:num w:numId="3" w16cid:durableId="746223419">
    <w:abstractNumId w:val="6"/>
  </w:num>
  <w:num w:numId="4" w16cid:durableId="1466125449">
    <w:abstractNumId w:val="5"/>
  </w:num>
  <w:num w:numId="5" w16cid:durableId="768891147">
    <w:abstractNumId w:val="4"/>
  </w:num>
  <w:num w:numId="6" w16cid:durableId="976884544">
    <w:abstractNumId w:val="8"/>
  </w:num>
  <w:num w:numId="7" w16cid:durableId="1739286051">
    <w:abstractNumId w:val="3"/>
  </w:num>
  <w:num w:numId="8" w16cid:durableId="495073834">
    <w:abstractNumId w:val="2"/>
  </w:num>
  <w:num w:numId="9" w16cid:durableId="344484630">
    <w:abstractNumId w:val="1"/>
  </w:num>
  <w:num w:numId="10" w16cid:durableId="750200522">
    <w:abstractNumId w:val="0"/>
  </w:num>
  <w:num w:numId="11" w16cid:durableId="2142727558">
    <w:abstractNumId w:val="30"/>
  </w:num>
  <w:num w:numId="12" w16cid:durableId="1267880576">
    <w:abstractNumId w:val="20"/>
  </w:num>
  <w:num w:numId="13" w16cid:durableId="786697793">
    <w:abstractNumId w:val="21"/>
  </w:num>
  <w:num w:numId="14" w16cid:durableId="876937294">
    <w:abstractNumId w:val="24"/>
  </w:num>
  <w:num w:numId="15" w16cid:durableId="1474785962">
    <w:abstractNumId w:val="11"/>
  </w:num>
  <w:num w:numId="16" w16cid:durableId="795875257">
    <w:abstractNumId w:val="13"/>
  </w:num>
  <w:num w:numId="17" w16cid:durableId="1233419907">
    <w:abstractNumId w:val="25"/>
  </w:num>
  <w:num w:numId="18" w16cid:durableId="322634125">
    <w:abstractNumId w:val="22"/>
  </w:num>
  <w:num w:numId="19" w16cid:durableId="1851917942">
    <w:abstractNumId w:val="14"/>
  </w:num>
  <w:num w:numId="20" w16cid:durableId="1637222026">
    <w:abstractNumId w:val="18"/>
  </w:num>
  <w:num w:numId="21" w16cid:durableId="2014524449">
    <w:abstractNumId w:val="23"/>
  </w:num>
  <w:num w:numId="22" w16cid:durableId="393741077">
    <w:abstractNumId w:val="19"/>
  </w:num>
  <w:num w:numId="23" w16cid:durableId="1272974193">
    <w:abstractNumId w:val="12"/>
  </w:num>
  <w:num w:numId="24" w16cid:durableId="1365667908">
    <w:abstractNumId w:val="16"/>
  </w:num>
  <w:num w:numId="25" w16cid:durableId="292714233">
    <w:abstractNumId w:val="28"/>
  </w:num>
  <w:num w:numId="26" w16cid:durableId="772476574">
    <w:abstractNumId w:val="10"/>
  </w:num>
  <w:num w:numId="27" w16cid:durableId="1614441336">
    <w:abstractNumId w:val="17"/>
  </w:num>
  <w:num w:numId="28" w16cid:durableId="904608081">
    <w:abstractNumId w:val="26"/>
  </w:num>
  <w:num w:numId="29" w16cid:durableId="1233001976">
    <w:abstractNumId w:val="29"/>
  </w:num>
  <w:num w:numId="30" w16cid:durableId="882715348">
    <w:abstractNumId w:val="27"/>
  </w:num>
  <w:num w:numId="31" w16cid:durableId="18934197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15E11"/>
    <w:rsid w:val="00021AF4"/>
    <w:rsid w:val="000331D4"/>
    <w:rsid w:val="00042EE0"/>
    <w:rsid w:val="00043F0F"/>
    <w:rsid w:val="00046AE0"/>
    <w:rsid w:val="00052C46"/>
    <w:rsid w:val="00061FEA"/>
    <w:rsid w:val="00067727"/>
    <w:rsid w:val="000717E0"/>
    <w:rsid w:val="000802AF"/>
    <w:rsid w:val="00093C73"/>
    <w:rsid w:val="000A1105"/>
    <w:rsid w:val="000B2BBF"/>
    <w:rsid w:val="000B6416"/>
    <w:rsid w:val="000D0E73"/>
    <w:rsid w:val="000F2431"/>
    <w:rsid w:val="000F5E92"/>
    <w:rsid w:val="000F5EE3"/>
    <w:rsid w:val="00106049"/>
    <w:rsid w:val="00112BAC"/>
    <w:rsid w:val="00121596"/>
    <w:rsid w:val="00126A8A"/>
    <w:rsid w:val="00130859"/>
    <w:rsid w:val="00136D06"/>
    <w:rsid w:val="001373CE"/>
    <w:rsid w:val="001377D6"/>
    <w:rsid w:val="001442DA"/>
    <w:rsid w:val="00160E41"/>
    <w:rsid w:val="00162AE6"/>
    <w:rsid w:val="001632FD"/>
    <w:rsid w:val="0017240A"/>
    <w:rsid w:val="00176692"/>
    <w:rsid w:val="0018382B"/>
    <w:rsid w:val="001A0041"/>
    <w:rsid w:val="001B4187"/>
    <w:rsid w:val="001D7B5E"/>
    <w:rsid w:val="001E2444"/>
    <w:rsid w:val="001E3F68"/>
    <w:rsid w:val="001E41A0"/>
    <w:rsid w:val="001F50AE"/>
    <w:rsid w:val="002261FD"/>
    <w:rsid w:val="00237E22"/>
    <w:rsid w:val="00247BF3"/>
    <w:rsid w:val="00256F06"/>
    <w:rsid w:val="002606A9"/>
    <w:rsid w:val="002774E4"/>
    <w:rsid w:val="00283F0E"/>
    <w:rsid w:val="00295197"/>
    <w:rsid w:val="002A4293"/>
    <w:rsid w:val="002A7418"/>
    <w:rsid w:val="002B39C3"/>
    <w:rsid w:val="002C3E57"/>
    <w:rsid w:val="002C701A"/>
    <w:rsid w:val="002D45E7"/>
    <w:rsid w:val="002D75C6"/>
    <w:rsid w:val="002E7C63"/>
    <w:rsid w:val="002F4DA3"/>
    <w:rsid w:val="00322A4C"/>
    <w:rsid w:val="00323DD6"/>
    <w:rsid w:val="00355F8E"/>
    <w:rsid w:val="00356C28"/>
    <w:rsid w:val="00364469"/>
    <w:rsid w:val="0036785F"/>
    <w:rsid w:val="00381A43"/>
    <w:rsid w:val="0039021B"/>
    <w:rsid w:val="003A7259"/>
    <w:rsid w:val="003C210D"/>
    <w:rsid w:val="003D068D"/>
    <w:rsid w:val="003D1F53"/>
    <w:rsid w:val="003E2CE2"/>
    <w:rsid w:val="003F3688"/>
    <w:rsid w:val="003F6958"/>
    <w:rsid w:val="003F7691"/>
    <w:rsid w:val="00420F57"/>
    <w:rsid w:val="004268F5"/>
    <w:rsid w:val="00432EB0"/>
    <w:rsid w:val="00443EE4"/>
    <w:rsid w:val="0045289A"/>
    <w:rsid w:val="00474781"/>
    <w:rsid w:val="00475E44"/>
    <w:rsid w:val="00481551"/>
    <w:rsid w:val="00492985"/>
    <w:rsid w:val="004A003C"/>
    <w:rsid w:val="004A1960"/>
    <w:rsid w:val="004A2094"/>
    <w:rsid w:val="004A2EC3"/>
    <w:rsid w:val="004B07E8"/>
    <w:rsid w:val="004B6F40"/>
    <w:rsid w:val="004B7477"/>
    <w:rsid w:val="004C13CE"/>
    <w:rsid w:val="004C1C73"/>
    <w:rsid w:val="004C3694"/>
    <w:rsid w:val="004D61DB"/>
    <w:rsid w:val="004D76E4"/>
    <w:rsid w:val="004F0848"/>
    <w:rsid w:val="00507DA3"/>
    <w:rsid w:val="0051782D"/>
    <w:rsid w:val="0052049B"/>
    <w:rsid w:val="0053749A"/>
    <w:rsid w:val="005402FC"/>
    <w:rsid w:val="005452BA"/>
    <w:rsid w:val="00583D9D"/>
    <w:rsid w:val="00591D83"/>
    <w:rsid w:val="005964B4"/>
    <w:rsid w:val="00597657"/>
    <w:rsid w:val="005A5619"/>
    <w:rsid w:val="005B2C58"/>
    <w:rsid w:val="005B66BD"/>
    <w:rsid w:val="005C7377"/>
    <w:rsid w:val="005D15B8"/>
    <w:rsid w:val="005E07E0"/>
    <w:rsid w:val="005E1F03"/>
    <w:rsid w:val="00603A02"/>
    <w:rsid w:val="00607281"/>
    <w:rsid w:val="00612723"/>
    <w:rsid w:val="00613030"/>
    <w:rsid w:val="006137E6"/>
    <w:rsid w:val="00617ED0"/>
    <w:rsid w:val="0064224F"/>
    <w:rsid w:val="00653AA7"/>
    <w:rsid w:val="00656189"/>
    <w:rsid w:val="006641DF"/>
    <w:rsid w:val="00674A12"/>
    <w:rsid w:val="0067756F"/>
    <w:rsid w:val="00686C57"/>
    <w:rsid w:val="006949BD"/>
    <w:rsid w:val="006B4CFB"/>
    <w:rsid w:val="006B5DF7"/>
    <w:rsid w:val="006C73AE"/>
    <w:rsid w:val="006D20EF"/>
    <w:rsid w:val="006E22DE"/>
    <w:rsid w:val="006E6D37"/>
    <w:rsid w:val="006F5D49"/>
    <w:rsid w:val="006F741F"/>
    <w:rsid w:val="0072412F"/>
    <w:rsid w:val="00746923"/>
    <w:rsid w:val="007513D1"/>
    <w:rsid w:val="00753179"/>
    <w:rsid w:val="007550F3"/>
    <w:rsid w:val="007556C7"/>
    <w:rsid w:val="00757D00"/>
    <w:rsid w:val="00762732"/>
    <w:rsid w:val="007653AF"/>
    <w:rsid w:val="0077339F"/>
    <w:rsid w:val="00783FC6"/>
    <w:rsid w:val="00786385"/>
    <w:rsid w:val="007934C9"/>
    <w:rsid w:val="007A3406"/>
    <w:rsid w:val="007B1D2C"/>
    <w:rsid w:val="007C33D0"/>
    <w:rsid w:val="007C3E09"/>
    <w:rsid w:val="007D348A"/>
    <w:rsid w:val="007F55BA"/>
    <w:rsid w:val="007F64A8"/>
    <w:rsid w:val="00803130"/>
    <w:rsid w:val="00806E63"/>
    <w:rsid w:val="0081028D"/>
    <w:rsid w:val="00815753"/>
    <w:rsid w:val="00831680"/>
    <w:rsid w:val="008326EC"/>
    <w:rsid w:val="00844465"/>
    <w:rsid w:val="00855A6E"/>
    <w:rsid w:val="00875971"/>
    <w:rsid w:val="008771B7"/>
    <w:rsid w:val="00882705"/>
    <w:rsid w:val="0089535A"/>
    <w:rsid w:val="00896655"/>
    <w:rsid w:val="008A004A"/>
    <w:rsid w:val="008A11BF"/>
    <w:rsid w:val="008A1A93"/>
    <w:rsid w:val="008A3BC4"/>
    <w:rsid w:val="008B3F50"/>
    <w:rsid w:val="008B44A1"/>
    <w:rsid w:val="008B73A6"/>
    <w:rsid w:val="008D1BF5"/>
    <w:rsid w:val="0090330B"/>
    <w:rsid w:val="00903F9B"/>
    <w:rsid w:val="00906598"/>
    <w:rsid w:val="00914476"/>
    <w:rsid w:val="00926E84"/>
    <w:rsid w:val="00940F8A"/>
    <w:rsid w:val="00951421"/>
    <w:rsid w:val="00952E61"/>
    <w:rsid w:val="0095426A"/>
    <w:rsid w:val="00955595"/>
    <w:rsid w:val="0096427A"/>
    <w:rsid w:val="00971BF2"/>
    <w:rsid w:val="00977B6A"/>
    <w:rsid w:val="0099676A"/>
    <w:rsid w:val="009B53BE"/>
    <w:rsid w:val="009C4526"/>
    <w:rsid w:val="009D27EC"/>
    <w:rsid w:val="009E082F"/>
    <w:rsid w:val="009E44A8"/>
    <w:rsid w:val="00A0498C"/>
    <w:rsid w:val="00A16CB2"/>
    <w:rsid w:val="00A27AE5"/>
    <w:rsid w:val="00A33B66"/>
    <w:rsid w:val="00A342DB"/>
    <w:rsid w:val="00A3484A"/>
    <w:rsid w:val="00A36D5E"/>
    <w:rsid w:val="00A51065"/>
    <w:rsid w:val="00A5256B"/>
    <w:rsid w:val="00A56A39"/>
    <w:rsid w:val="00A57D5A"/>
    <w:rsid w:val="00A73F02"/>
    <w:rsid w:val="00A96264"/>
    <w:rsid w:val="00AB2F36"/>
    <w:rsid w:val="00AC6EAF"/>
    <w:rsid w:val="00AD1711"/>
    <w:rsid w:val="00AF7CE7"/>
    <w:rsid w:val="00B202BE"/>
    <w:rsid w:val="00B23631"/>
    <w:rsid w:val="00B33926"/>
    <w:rsid w:val="00B35BE4"/>
    <w:rsid w:val="00B409FB"/>
    <w:rsid w:val="00B41B59"/>
    <w:rsid w:val="00B52992"/>
    <w:rsid w:val="00B536C3"/>
    <w:rsid w:val="00B62F45"/>
    <w:rsid w:val="00B636E2"/>
    <w:rsid w:val="00B65088"/>
    <w:rsid w:val="00B70E14"/>
    <w:rsid w:val="00B76A4A"/>
    <w:rsid w:val="00B8132D"/>
    <w:rsid w:val="00B87BD7"/>
    <w:rsid w:val="00BB7410"/>
    <w:rsid w:val="00BD4119"/>
    <w:rsid w:val="00BF12A7"/>
    <w:rsid w:val="00BF35B0"/>
    <w:rsid w:val="00C07B76"/>
    <w:rsid w:val="00C126C1"/>
    <w:rsid w:val="00C127B9"/>
    <w:rsid w:val="00C20FCC"/>
    <w:rsid w:val="00C2188B"/>
    <w:rsid w:val="00C322C4"/>
    <w:rsid w:val="00C3437D"/>
    <w:rsid w:val="00C34FB5"/>
    <w:rsid w:val="00C3645A"/>
    <w:rsid w:val="00C405DB"/>
    <w:rsid w:val="00C47FF4"/>
    <w:rsid w:val="00C50DA1"/>
    <w:rsid w:val="00C54C1E"/>
    <w:rsid w:val="00C5512E"/>
    <w:rsid w:val="00C61CB6"/>
    <w:rsid w:val="00C96969"/>
    <w:rsid w:val="00CA638F"/>
    <w:rsid w:val="00CB3BBE"/>
    <w:rsid w:val="00CB6F60"/>
    <w:rsid w:val="00CC0858"/>
    <w:rsid w:val="00CC1D49"/>
    <w:rsid w:val="00CD4658"/>
    <w:rsid w:val="00CD4D80"/>
    <w:rsid w:val="00CE366B"/>
    <w:rsid w:val="00CF5F42"/>
    <w:rsid w:val="00CF7532"/>
    <w:rsid w:val="00D02896"/>
    <w:rsid w:val="00D03E43"/>
    <w:rsid w:val="00D10BFB"/>
    <w:rsid w:val="00D17754"/>
    <w:rsid w:val="00D20461"/>
    <w:rsid w:val="00D211BC"/>
    <w:rsid w:val="00D221BF"/>
    <w:rsid w:val="00D253FC"/>
    <w:rsid w:val="00D362DC"/>
    <w:rsid w:val="00D44F39"/>
    <w:rsid w:val="00D47177"/>
    <w:rsid w:val="00D512A8"/>
    <w:rsid w:val="00D5739C"/>
    <w:rsid w:val="00D664A9"/>
    <w:rsid w:val="00D764D7"/>
    <w:rsid w:val="00D914A8"/>
    <w:rsid w:val="00D93087"/>
    <w:rsid w:val="00D95F54"/>
    <w:rsid w:val="00DA029A"/>
    <w:rsid w:val="00DA1182"/>
    <w:rsid w:val="00DA6C42"/>
    <w:rsid w:val="00DC3B29"/>
    <w:rsid w:val="00DC50F3"/>
    <w:rsid w:val="00DD3BF8"/>
    <w:rsid w:val="00DE0B7B"/>
    <w:rsid w:val="00DE1F83"/>
    <w:rsid w:val="00DE540D"/>
    <w:rsid w:val="00DF2391"/>
    <w:rsid w:val="00E13304"/>
    <w:rsid w:val="00E27CE1"/>
    <w:rsid w:val="00E420B0"/>
    <w:rsid w:val="00E45480"/>
    <w:rsid w:val="00E73893"/>
    <w:rsid w:val="00E836F8"/>
    <w:rsid w:val="00E90E2C"/>
    <w:rsid w:val="00E940EC"/>
    <w:rsid w:val="00EC0BE3"/>
    <w:rsid w:val="00EE1306"/>
    <w:rsid w:val="00EE4EB2"/>
    <w:rsid w:val="00EE538D"/>
    <w:rsid w:val="00F12B1B"/>
    <w:rsid w:val="00F176DA"/>
    <w:rsid w:val="00F32290"/>
    <w:rsid w:val="00F40439"/>
    <w:rsid w:val="00F54293"/>
    <w:rsid w:val="00F54AB4"/>
    <w:rsid w:val="00F63561"/>
    <w:rsid w:val="00F66B51"/>
    <w:rsid w:val="00F749FF"/>
    <w:rsid w:val="00F87070"/>
    <w:rsid w:val="00F94553"/>
    <w:rsid w:val="00F969A5"/>
    <w:rsid w:val="00F97931"/>
    <w:rsid w:val="00FA429B"/>
    <w:rsid w:val="00FB0A45"/>
    <w:rsid w:val="00FB1F70"/>
    <w:rsid w:val="00FC1E29"/>
    <w:rsid w:val="00FD4E76"/>
    <w:rsid w:val="00FE56BC"/>
    <w:rsid w:val="00FF1290"/>
    <w:rsid w:val="7F7D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AB457"/>
  <w15:docId w15:val="{586B3DE5-824E-40F5-BF07-E1FE2DD1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link w:val="enumlev1Char"/>
    <w:qFormat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te"/>
    <w:link w:val="FootnoteTextChar"/>
    <w:uiPriority w:val="99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uiPriority w:val="99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uiPriority w:val="99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qFormat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qFormat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link w:val="Title1Char"/>
    <w:qFormat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39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39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customStyle="1" w:styleId="Docnumber">
    <w:name w:val="Docnumber"/>
    <w:basedOn w:val="Normal"/>
    <w:link w:val="DocnumberChar"/>
    <w:qFormat/>
    <w:rsid w:val="00762732"/>
    <w:pPr>
      <w:jc w:val="right"/>
    </w:pPr>
    <w:rPr>
      <w:b/>
      <w:sz w:val="32"/>
    </w:rPr>
  </w:style>
  <w:style w:type="character" w:customStyle="1" w:styleId="DocnumberChar">
    <w:name w:val="Docnumber Char"/>
    <w:link w:val="Docnumber"/>
    <w:rsid w:val="00762732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qFormat/>
    <w:rsid w:val="00762732"/>
    <w:rPr>
      <w:color w:val="0000FF"/>
      <w:u w:val="single"/>
    </w:rPr>
  </w:style>
  <w:style w:type="paragraph" w:customStyle="1" w:styleId="LSDeadline">
    <w:name w:val="LSDeadline"/>
    <w:basedOn w:val="Normal"/>
    <w:next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762732"/>
  </w:style>
  <w:style w:type="paragraph" w:customStyle="1" w:styleId="LSForInfo">
    <w:name w:val="LSForInfo"/>
    <w:basedOn w:val="Normal"/>
    <w:next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bCs/>
      <w:szCs w:val="24"/>
      <w:lang w:eastAsia="ja-JP"/>
    </w:rPr>
  </w:style>
  <w:style w:type="paragraph" w:customStyle="1" w:styleId="VenueDate">
    <w:name w:val="VenueDat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TSBHeaderQuestion">
    <w:name w:val="TSBHeaderQuestion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ummary">
    <w:name w:val="TSBHeaderSummary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LSApproval">
    <w:name w:val="LSApproval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TSBHeaderRight14">
    <w:name w:val="TSBHeaderRight14"/>
    <w:basedOn w:val="Normal"/>
    <w:qFormat/>
    <w:rsid w:val="00762732"/>
    <w:pPr>
      <w:jc w:val="right"/>
    </w:pPr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7627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ourceChar">
    <w:name w:val="Source Char"/>
    <w:link w:val="Source"/>
    <w:locked/>
    <w:rsid w:val="00762732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qFormat/>
    <w:locked/>
    <w:rsid w:val="00762732"/>
    <w:rPr>
      <w:rFonts w:ascii="Times New Roman" w:hAnsi="Times New Roman"/>
      <w:caps/>
      <w:sz w:val="28"/>
      <w:lang w:val="en-GB" w:eastAsia="en-US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5A56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5A5619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5A5619"/>
    <w:rPr>
      <w:color w:val="808080"/>
    </w:rPr>
  </w:style>
  <w:style w:type="character" w:customStyle="1" w:styleId="markedcontent">
    <w:name w:val="markedcontent"/>
    <w:basedOn w:val="DefaultParagraphFont"/>
    <w:rsid w:val="007F64A8"/>
  </w:style>
  <w:style w:type="character" w:styleId="FollowedHyperlink">
    <w:name w:val="FollowedHyperlink"/>
    <w:basedOn w:val="DefaultParagraphFont"/>
    <w:semiHidden/>
    <w:unhideWhenUsed/>
    <w:rsid w:val="001D7B5E"/>
    <w:rPr>
      <w:color w:val="800080" w:themeColor="followedHyperlink"/>
      <w:u w:val="single"/>
    </w:rPr>
  </w:style>
  <w:style w:type="character" w:customStyle="1" w:styleId="enumlev1Char">
    <w:name w:val="enumlev1 Char"/>
    <w:link w:val="enumlev1"/>
    <w:locked/>
    <w:rsid w:val="00A5256B"/>
    <w:rPr>
      <w:rFonts w:ascii="Times New Roman" w:hAnsi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45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0330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eastAsia="zh-CN"/>
    </w:rPr>
  </w:style>
  <w:style w:type="paragraph" w:customStyle="1" w:styleId="Committee">
    <w:name w:val="Committee"/>
    <w:basedOn w:val="Normal"/>
    <w:uiPriority w:val="99"/>
    <w:qFormat/>
    <w:rsid w:val="00C54C1E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styleId="Emphasis">
    <w:name w:val="Emphasis"/>
    <w:basedOn w:val="DefaultParagraphFont"/>
    <w:uiPriority w:val="20"/>
    <w:qFormat/>
    <w:rsid w:val="009B53BE"/>
    <w:rPr>
      <w:i/>
      <w:iCs/>
    </w:rPr>
  </w:style>
  <w:style w:type="paragraph" w:customStyle="1" w:styleId="AnnexNoTitle0">
    <w:name w:val="Annex_NoTitle"/>
    <w:basedOn w:val="Normal"/>
    <w:next w:val="Normal"/>
    <w:rsid w:val="009B53BE"/>
    <w:pPr>
      <w:keepNext/>
      <w:keepLines/>
      <w:overflowPunct/>
      <w:autoSpaceDE/>
      <w:autoSpaceDN/>
      <w:adjustRightInd/>
      <w:spacing w:before="720"/>
      <w:jc w:val="center"/>
      <w:textAlignment w:val="auto"/>
      <w:outlineLvl w:val="0"/>
    </w:pPr>
    <w:rPr>
      <w:b/>
      <w:sz w:val="28"/>
      <w:szCs w:val="24"/>
      <w:lang w:eastAsia="ja-JP"/>
    </w:rPr>
  </w:style>
  <w:style w:type="paragraph" w:styleId="Revision">
    <w:name w:val="Revision"/>
    <w:hidden/>
    <w:uiPriority w:val="99"/>
    <w:semiHidden/>
    <w:rsid w:val="00955595"/>
    <w:rPr>
      <w:rFonts w:ascii="Times New Roman" w:hAnsi="Times New Roman"/>
      <w:sz w:val="24"/>
      <w:lang w:val="en-GB" w:eastAsia="en-US"/>
    </w:rPr>
  </w:style>
  <w:style w:type="paragraph" w:customStyle="1" w:styleId="AnnexNo">
    <w:name w:val="Annex_No"/>
    <w:basedOn w:val="Normal"/>
    <w:next w:val="Normal"/>
    <w:rsid w:val="00381A4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Times New Roman"/>
      <w:caps/>
      <w:sz w:val="28"/>
    </w:rPr>
  </w:style>
  <w:style w:type="paragraph" w:customStyle="1" w:styleId="Annextitle">
    <w:name w:val="Annex_title"/>
    <w:basedOn w:val="Normal"/>
    <w:next w:val="Normal"/>
    <w:rsid w:val="00381A4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Times New Roman" w:hAnsi="Times New Roman Bold"/>
      <w:b/>
      <w:sz w:val="28"/>
    </w:rPr>
  </w:style>
  <w:style w:type="table" w:styleId="GridTable4">
    <w:name w:val="Grid Table 4"/>
    <w:basedOn w:val="TableNormal"/>
    <w:uiPriority w:val="49"/>
    <w:rsid w:val="00CD4658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7556C7"/>
    <w:rPr>
      <w:rFonts w:ascii="Times New Roman" w:hAnsi="Times New Roman"/>
      <w:b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7556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56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56C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eate a new document." ma:contentTypeScope="" ma:versionID="36e020b8d31cad381b798e47a6cf4eaa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84aa0a7b1d621276db037f8c250184a6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F909F-E883-4758-915A-B96CF17AB70D}">
  <ds:schemaRefs>
    <ds:schemaRef ds:uri="http://purl.org/dc/terms/"/>
    <ds:schemaRef ds:uri="http://www.w3.org/XML/1998/namespace"/>
    <ds:schemaRef ds:uri="ad0d4407-0c86-4168-aef5-7e5ed32f9eb2"/>
    <ds:schemaRef ds:uri="b793da9a-8d8a-4824-945d-2346bcf27de4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D4F7B-B6CC-48AE-A985-6DAC9B47F3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2E4F64-F7E6-48F2-9817-521E78BFE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8</TotalTime>
  <Pages>2</Pages>
  <Words>473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Faure</dc:creator>
  <cp:keywords/>
  <dc:description/>
  <cp:lastModifiedBy>Xue, Kun</cp:lastModifiedBy>
  <cp:revision>4</cp:revision>
  <cp:lastPrinted>1999-09-30T15:03:00Z</cp:lastPrinted>
  <dcterms:created xsi:type="dcterms:W3CDTF">2026-03-16T09:44:00Z</dcterms:created>
  <dcterms:modified xsi:type="dcterms:W3CDTF">2026-03-16T10:10:00Z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0x010100FD4F6660A0379C4F9667852F9D86F5EE</vt:lpwstr>
  </property>
  <property fmtid="{D5CDD505-2E9C-101B-9397-08002B2CF9AE}" pid="7" name="GrammarlyDocumentId">
    <vt:lpwstr>8a31c0163ce0c74e353d9bfea60f356b0c845296a4fa3fadd09e82a5687a6683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