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63E70676" w14:textId="77777777" w:rsidTr="00553F66">
        <w:trPr>
          <w:cantSplit/>
          <w:trHeight w:val="20"/>
        </w:trPr>
        <w:tc>
          <w:tcPr>
            <w:tcW w:w="6619" w:type="dxa"/>
          </w:tcPr>
          <w:p w14:paraId="7C2867EF"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35283E33"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09217E1F" wp14:editId="64F01DB0">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22EC871E" w14:textId="77777777" w:rsidTr="00553F66">
        <w:trPr>
          <w:cantSplit/>
          <w:trHeight w:val="20"/>
        </w:trPr>
        <w:tc>
          <w:tcPr>
            <w:tcW w:w="6619" w:type="dxa"/>
            <w:tcBorders>
              <w:bottom w:val="single" w:sz="12" w:space="0" w:color="auto"/>
            </w:tcBorders>
          </w:tcPr>
          <w:p w14:paraId="30EFD833"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7C45F59D" w14:textId="77777777" w:rsidR="00280E04" w:rsidRPr="00A9645C" w:rsidRDefault="00280E04" w:rsidP="002F3031">
            <w:pPr>
              <w:spacing w:before="0" w:line="120" w:lineRule="auto"/>
              <w:rPr>
                <w:lang w:bidi="ar-EG"/>
              </w:rPr>
            </w:pPr>
          </w:p>
        </w:tc>
      </w:tr>
      <w:tr w:rsidR="00280E04" w14:paraId="4409D9C0" w14:textId="77777777" w:rsidTr="00553F66">
        <w:trPr>
          <w:cantSplit/>
          <w:trHeight w:val="20"/>
        </w:trPr>
        <w:tc>
          <w:tcPr>
            <w:tcW w:w="6619" w:type="dxa"/>
            <w:tcBorders>
              <w:top w:val="single" w:sz="12" w:space="0" w:color="auto"/>
            </w:tcBorders>
          </w:tcPr>
          <w:p w14:paraId="67083FC5"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42835969" w14:textId="77777777" w:rsidR="00280E04" w:rsidRPr="00BD6EF3" w:rsidRDefault="00280E04" w:rsidP="00D44350">
            <w:pPr>
              <w:pStyle w:val="Adress"/>
              <w:framePr w:hSpace="0" w:wrap="auto" w:xAlign="left" w:yAlign="inline"/>
            </w:pPr>
          </w:p>
        </w:tc>
      </w:tr>
      <w:tr w:rsidR="0030601A" w14:paraId="7117A3E2" w14:textId="77777777" w:rsidTr="00553F66">
        <w:trPr>
          <w:cantSplit/>
        </w:trPr>
        <w:tc>
          <w:tcPr>
            <w:tcW w:w="6619" w:type="dxa"/>
            <w:vMerge w:val="restart"/>
          </w:tcPr>
          <w:p w14:paraId="48F374F7"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3EDAF5E2" w14:textId="18B2C546"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034E36">
              <w:t>72</w:t>
            </w:r>
            <w:r w:rsidRPr="0012545F">
              <w:t>-A</w:t>
            </w:r>
          </w:p>
        </w:tc>
      </w:tr>
      <w:tr w:rsidR="0030601A" w14:paraId="3001F734" w14:textId="77777777" w:rsidTr="00553F66">
        <w:trPr>
          <w:cantSplit/>
        </w:trPr>
        <w:tc>
          <w:tcPr>
            <w:tcW w:w="6619" w:type="dxa"/>
            <w:vMerge/>
          </w:tcPr>
          <w:p w14:paraId="32F70B90"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4A8373E5" w14:textId="453C5EEB" w:rsidR="0030601A" w:rsidRPr="0012545F" w:rsidRDefault="00034E36" w:rsidP="0030601A">
            <w:pPr>
              <w:pStyle w:val="Adress"/>
              <w:framePr w:hSpace="0" w:wrap="auto" w:xAlign="left" w:yAlign="inline"/>
              <w:spacing w:before="20" w:after="20"/>
              <w:rPr>
                <w:rtl/>
              </w:rPr>
            </w:pPr>
            <w:r>
              <w:t>16</w:t>
            </w:r>
            <w:r w:rsidR="0030601A" w:rsidRPr="0012545F">
              <w:rPr>
                <w:rFonts w:hint="cs"/>
                <w:rtl/>
              </w:rPr>
              <w:t xml:space="preserve"> </w:t>
            </w:r>
            <w:r>
              <w:rPr>
                <w:rFonts w:hint="cs"/>
                <w:rtl/>
              </w:rPr>
              <w:t xml:space="preserve">مارس </w:t>
            </w:r>
            <w:r w:rsidR="00C81441">
              <w:t>2026</w:t>
            </w:r>
          </w:p>
        </w:tc>
      </w:tr>
      <w:tr w:rsidR="0030601A" w14:paraId="0B76D3C0" w14:textId="77777777" w:rsidTr="00553F66">
        <w:trPr>
          <w:cantSplit/>
        </w:trPr>
        <w:tc>
          <w:tcPr>
            <w:tcW w:w="6619" w:type="dxa"/>
            <w:vMerge/>
          </w:tcPr>
          <w:p w14:paraId="567545A7"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6BFE079C"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49E9CED3" w14:textId="77777777" w:rsidTr="00553F66">
        <w:trPr>
          <w:cantSplit/>
        </w:trPr>
        <w:tc>
          <w:tcPr>
            <w:tcW w:w="9672" w:type="dxa"/>
            <w:gridSpan w:val="2"/>
          </w:tcPr>
          <w:p w14:paraId="68A62BC3" w14:textId="48510C77" w:rsidR="00764079" w:rsidRPr="00E621A3" w:rsidRDefault="00034E36" w:rsidP="00034E36">
            <w:pPr>
              <w:pStyle w:val="Source"/>
              <w:rPr>
                <w:rFonts w:hint="cs"/>
                <w:rtl/>
              </w:rPr>
            </w:pPr>
            <w:r w:rsidRPr="00034E36">
              <w:rPr>
                <w:rtl/>
                <w:lang w:bidi="ar-SA"/>
              </w:rPr>
              <w:t>المملكة العربية السعودية</w:t>
            </w:r>
          </w:p>
        </w:tc>
      </w:tr>
      <w:tr w:rsidR="00764079" w14:paraId="6E4F6BF5" w14:textId="77777777" w:rsidTr="00553F66">
        <w:trPr>
          <w:cantSplit/>
        </w:trPr>
        <w:tc>
          <w:tcPr>
            <w:tcW w:w="9672" w:type="dxa"/>
            <w:gridSpan w:val="2"/>
          </w:tcPr>
          <w:p w14:paraId="29B05F94" w14:textId="726485B0" w:rsidR="00764079" w:rsidRPr="00BD6EF3" w:rsidRDefault="00034E36" w:rsidP="00034E36">
            <w:pPr>
              <w:pStyle w:val="Title1"/>
              <w:spacing w:before="240"/>
            </w:pPr>
            <w:r w:rsidRPr="00034E36">
              <w:rPr>
                <w:rtl/>
                <w:lang w:bidi="ar-SA"/>
              </w:rPr>
              <w:t xml:space="preserve">مقترح لتحديث اختصاصات فريق العمل بالمراسلة التابع </w:t>
            </w:r>
            <w:r>
              <w:rPr>
                <w:rtl/>
                <w:lang w:bidi="ar-SA"/>
              </w:rPr>
              <w:br/>
            </w:r>
            <w:r w:rsidRPr="00034E36">
              <w:rPr>
                <w:rtl/>
                <w:lang w:bidi="ar-SA"/>
              </w:rPr>
              <w:t xml:space="preserve">للفريق الاستشاري للاتصالات الراديوية والمعني بتحسين عملية </w:t>
            </w:r>
            <w:r>
              <w:rPr>
                <w:rtl/>
                <w:lang w:bidi="ar-SA"/>
              </w:rPr>
              <w:br/>
            </w:r>
            <w:r w:rsidRPr="00034E36">
              <w:rPr>
                <w:rtl/>
                <w:lang w:bidi="ar-SA"/>
              </w:rPr>
              <w:t xml:space="preserve">الاجتماع التحضيري للمؤتمر </w:t>
            </w:r>
            <w:r>
              <w:rPr>
                <w:lang w:bidi="ar-SA"/>
              </w:rPr>
              <w:t>(RAG CG</w:t>
            </w:r>
            <w:r>
              <w:rPr>
                <w:lang w:bidi="ar-SA"/>
              </w:rPr>
              <w:noBreakHyphen/>
              <w:t>CPM)</w:t>
            </w:r>
          </w:p>
        </w:tc>
      </w:tr>
      <w:tr w:rsidR="0012545F" w14:paraId="6DC2A25D" w14:textId="77777777" w:rsidTr="00553F66">
        <w:trPr>
          <w:cantSplit/>
        </w:trPr>
        <w:tc>
          <w:tcPr>
            <w:tcW w:w="9672" w:type="dxa"/>
            <w:gridSpan w:val="2"/>
          </w:tcPr>
          <w:p w14:paraId="77ED82DF" w14:textId="77777777" w:rsidR="0012545F" w:rsidRDefault="0012545F" w:rsidP="0012545F">
            <w:pPr>
              <w:rPr>
                <w:rtl/>
              </w:rPr>
            </w:pPr>
          </w:p>
        </w:tc>
      </w:tr>
    </w:tbl>
    <w:p w14:paraId="2872E3CD" w14:textId="77777777" w:rsidR="00034E36" w:rsidRPr="00034E36" w:rsidRDefault="00034E36" w:rsidP="00034E36">
      <w:pPr>
        <w:pStyle w:val="Heading1"/>
        <w:rPr>
          <w:rFonts w:hint="cs"/>
          <w:rtl/>
          <w:lang w:val="ar-SA"/>
        </w:rPr>
      </w:pPr>
      <w:r w:rsidRPr="00034E36">
        <w:rPr>
          <w:rtl/>
        </w:rPr>
        <w:t>1</w:t>
      </w:r>
      <w:r w:rsidRPr="00034E36">
        <w:rPr>
          <w:rtl/>
        </w:rPr>
        <w:tab/>
        <w:t>مقدمة</w:t>
      </w:r>
    </w:p>
    <w:p w14:paraId="5A9A0603" w14:textId="756B8C26" w:rsidR="00034E36" w:rsidRPr="00034E36" w:rsidRDefault="00034E36" w:rsidP="00034E36">
      <w:pPr>
        <w:rPr>
          <w:lang w:val="ar-SA" w:bidi="ar-EG"/>
        </w:rPr>
      </w:pPr>
      <w:r w:rsidRPr="00034E36">
        <w:rPr>
          <w:rtl/>
        </w:rPr>
        <w:t xml:space="preserve">أنشأ الفريق الاستشاري للاتصالات الراديوية </w:t>
      </w:r>
      <w:r w:rsidRPr="00034E36">
        <w:rPr>
          <w:lang w:bidi="ar-EG"/>
        </w:rPr>
        <w:t>(RAG)</w:t>
      </w:r>
      <w:r w:rsidRPr="00034E36">
        <w:rPr>
          <w:rtl/>
        </w:rPr>
        <w:t xml:space="preserve"> في اجتماعه الحادي والثلاثين فريق العمل بالمراسلة المعني بتحسين عملية الاجتماع التحضيري للمؤتمر </w:t>
      </w:r>
      <w:r w:rsidRPr="00034E36">
        <w:rPr>
          <w:lang w:bidi="ar-EG"/>
        </w:rPr>
        <w:t>(RAG CG</w:t>
      </w:r>
      <w:r w:rsidRPr="00034E36">
        <w:rPr>
          <w:lang w:bidi="ar-EG"/>
        </w:rPr>
        <w:noBreakHyphen/>
        <w:t>CPM)</w:t>
      </w:r>
      <w:r w:rsidRPr="00034E36">
        <w:rPr>
          <w:rtl/>
        </w:rPr>
        <w:t>، وركزت اختصاصاته على استعراض الدورة الثانية للاجتماع التحضيري للمؤتمر وتحديد مجالات التحسين الإجرائي في إعداد تقرير الاجتماع التحضيري للمؤتمر. ونقح الفريق الاستشاري لاحقاً في اجتماعه الثاني والثلاثين الاختصاصات من أجل التركيز بصورة خاصة على مراجعة وتحسين القرار ITU-R 2-9، بما في ذلك النظر في أي تعديلات تترتب على ذلك.</w:t>
      </w:r>
    </w:p>
    <w:p w14:paraId="61E5996C" w14:textId="736B53FB" w:rsidR="00034E36" w:rsidRPr="00034E36" w:rsidRDefault="00034E36" w:rsidP="00034E36">
      <w:pPr>
        <w:rPr>
          <w:lang w:val="ar-SA" w:bidi="ar-EG"/>
        </w:rPr>
      </w:pPr>
      <w:r w:rsidRPr="00034E36">
        <w:rPr>
          <w:rtl/>
        </w:rPr>
        <w:t>وبناء</w:t>
      </w:r>
      <w:r w:rsidR="00C617C4">
        <w:rPr>
          <w:rFonts w:hint="cs"/>
          <w:rtl/>
        </w:rPr>
        <w:t>ً</w:t>
      </w:r>
      <w:r w:rsidRPr="00034E36">
        <w:rPr>
          <w:rtl/>
        </w:rPr>
        <w:t xml:space="preserve"> على هذه الولاية الموسعة، يشير تقرير الرئيس إلى الاجتماع الثالث والثلاثين للفريق الاستشاري للاتصالات الراديوية [</w:t>
      </w:r>
      <w:hyperlink r:id="rId13" w:history="1">
        <w:r w:rsidRPr="00034E36">
          <w:rPr>
            <w:rStyle w:val="Hyperlink"/>
            <w:lang w:bidi="ar-EG"/>
          </w:rPr>
          <w:t>RAG/65</w:t>
        </w:r>
      </w:hyperlink>
      <w:r w:rsidRPr="00034E36">
        <w:rPr>
          <w:rtl/>
        </w:rPr>
        <w:t>] إلى أن فريق العمل بالمراسلة تلقى عدداً كبيراً من المساهمات. وبناء</w:t>
      </w:r>
      <w:r>
        <w:rPr>
          <w:rFonts w:hint="cs"/>
          <w:rtl/>
        </w:rPr>
        <w:t>ً</w:t>
      </w:r>
      <w:r w:rsidRPr="00034E36">
        <w:rPr>
          <w:rtl/>
        </w:rPr>
        <w:t xml:space="preserve"> على ذلك، تستلزم مراجعة هذه المساهمات وتجميعها ووضع مشروع مجموعة ثابتة من التعديلات المقترح إدخالها على القرار ITU-R 2-9 وقتاً كافياً. ومع ذلك، في ضوء جدول أعمال المكثف للفريق الاستشاري للاتصالات الراديوية والمسؤوليات المسندة إليه، يبدو أن الوقت المتاح خلال اجتماعاته غير كافٍ لفريق العمل بالمراسلة كي ينظر في هذه المساهمات على نحو ملائم ويضع مشروعاً موحداً ومنظماً جيداً بشأن القرار المُراجع. ونتيجة لذلك، قد لا تسمح معالجة المقترحات المعقدة والمترابطة من خلال المراسلة وحدها بالتقارب في الوقت المناسب، لا سيما عندما تقترح المساهمات نهجاً مختلفة</w:t>
      </w:r>
      <w:r>
        <w:rPr>
          <w:rFonts w:hint="cs"/>
          <w:rtl/>
        </w:rPr>
        <w:t xml:space="preserve"> </w:t>
      </w:r>
      <w:r w:rsidRPr="00034E36">
        <w:rPr>
          <w:rtl/>
        </w:rPr>
        <w:t>- ومتضاربة في بعض الحالات</w:t>
      </w:r>
      <w:r>
        <w:rPr>
          <w:rFonts w:hint="cs"/>
          <w:rtl/>
        </w:rPr>
        <w:t xml:space="preserve"> </w:t>
      </w:r>
      <w:r w:rsidRPr="00034E36">
        <w:rPr>
          <w:rtl/>
        </w:rPr>
        <w:t>- مما يجعل من الصعب التوصل إلى نص واحد متسق.</w:t>
      </w:r>
      <w:hyperlink r:id="rId14" w:history="1"/>
    </w:p>
    <w:p w14:paraId="403BB97F" w14:textId="77777777" w:rsidR="00034E36" w:rsidRPr="00034E36" w:rsidRDefault="00034E36" w:rsidP="00034E36">
      <w:pPr>
        <w:rPr>
          <w:lang w:val="ar-SA" w:bidi="ar-EG"/>
        </w:rPr>
      </w:pPr>
      <w:r w:rsidRPr="00034E36">
        <w:rPr>
          <w:rtl/>
        </w:rPr>
        <w:t>وفي هذا السياق، من شأن تزويد فريق العمل بالمراسلة بولاية أوضح، إلى جانب فرص مخصصة لإجراء مناقشات مركَّزة ومنظَّمة، أن يدعم التوفيق بين الآراء المختلفة ويسهل التقارب حول مشروع موحد ومنظم جيداً ويعزز مجمل كفاءة وفعالية عملية الاجتماع التحضيري للمؤتمر تحت إشراف الفريق الاستشاري للاتصالات الراديوية. ويدل هذا الأمر على أن الاختصاصات الحالية لفريق العمل بالمراسلة غير كافية وستستفيد من تحسينات إضافية.</w:t>
      </w:r>
    </w:p>
    <w:p w14:paraId="4E48213E" w14:textId="77777777" w:rsidR="00034E36" w:rsidRPr="00034E36" w:rsidRDefault="00034E36" w:rsidP="00034E36">
      <w:pPr>
        <w:rPr>
          <w:lang w:bidi="ar-EG"/>
        </w:rPr>
      </w:pPr>
      <w:r w:rsidRPr="00034E36">
        <w:rPr>
          <w:lang w:bidi="ar-EG"/>
        </w:rPr>
        <w:br w:type="page"/>
      </w:r>
    </w:p>
    <w:p w14:paraId="403014C6" w14:textId="77777777" w:rsidR="00034E36" w:rsidRPr="00034E36" w:rsidRDefault="00034E36" w:rsidP="00034E36">
      <w:pPr>
        <w:pStyle w:val="Heading1"/>
        <w:rPr>
          <w:rFonts w:hint="cs"/>
          <w:lang w:val="ar-SA"/>
        </w:rPr>
      </w:pPr>
      <w:r w:rsidRPr="00034E36">
        <w:rPr>
          <w:rtl/>
          <w:lang w:val="ar-SA"/>
        </w:rPr>
        <w:lastRenderedPageBreak/>
        <w:t>2</w:t>
      </w:r>
      <w:r w:rsidRPr="00034E36">
        <w:rPr>
          <w:rtl/>
          <w:lang w:val="ar-SA"/>
        </w:rPr>
        <w:tab/>
        <w:t>المقترح</w:t>
      </w:r>
    </w:p>
    <w:p w14:paraId="0F99D430" w14:textId="76733F4E" w:rsidR="00034E36" w:rsidRPr="00034E36" w:rsidRDefault="00034E36" w:rsidP="00034E36">
      <w:pPr>
        <w:rPr>
          <w:lang w:val="ar-SA" w:bidi="ar-EG"/>
        </w:rPr>
      </w:pPr>
      <w:r w:rsidRPr="00034E36">
        <w:rPr>
          <w:rtl/>
        </w:rPr>
        <w:t>تقترح المملكة العربية السعودية أن يُحَدِّث الاجتماع الثالث والثلاثون للفريق الاستشاري للاتصالات الراديوية اختصاصات فريق العمل</w:t>
      </w:r>
      <w:r>
        <w:rPr>
          <w:rFonts w:hint="cs"/>
          <w:rtl/>
        </w:rPr>
        <w:t xml:space="preserve"> </w:t>
      </w:r>
      <w:r w:rsidRPr="00034E36">
        <w:rPr>
          <w:rtl/>
        </w:rPr>
        <w:t xml:space="preserve">بالمراسلة المعني بتحسين عملية الاجتماع التحضيري للمؤتمر </w:t>
      </w:r>
      <w:r w:rsidRPr="00034E36">
        <w:rPr>
          <w:lang w:bidi="ar-EG"/>
        </w:rPr>
        <w:t>(RAG CG</w:t>
      </w:r>
      <w:r w:rsidRPr="00034E36">
        <w:rPr>
          <w:lang w:bidi="ar-EG"/>
        </w:rPr>
        <w:noBreakHyphen/>
        <w:t>CPM)</w:t>
      </w:r>
      <w:r w:rsidRPr="00034E36">
        <w:rPr>
          <w:rtl/>
        </w:rPr>
        <w:t xml:space="preserve"> كي ينص صراحةً على أنه يجوز للفريق، بالإضافة إلى العمل بالمراسلة، عقد اجتماعات مخصصة بعد انعقاد اجتماع الفريق الاستشاري، حسب الضرورة، سعياً إلى إحراز تقدم واستكمال أعماله المتعلقة بتوحيد مشروع النص بشأن تعديلات القرار ITU-R 2-9. وبالتالي، ستمكِّن الاختصاصات المحدَّثة الفريق من الجمع بين المراسلات المتبادلة والمناقشة المركزة عند الحاجة، من أجل التوصل إلى نتيجة موحدة وقابلة للتنفيذ كي ينظر فيها الفريق الاستشاري للاتصالات الراديوية ضمن الإطار الزمني المتاح.</w:t>
      </w:r>
    </w:p>
    <w:p w14:paraId="1B6DEA44" w14:textId="77777777" w:rsidR="00034E36" w:rsidRPr="00034E36" w:rsidRDefault="00034E36" w:rsidP="00034E36">
      <w:pPr>
        <w:spacing w:before="1540"/>
        <w:rPr>
          <w:lang w:val="ar-SA" w:bidi="ar-EG"/>
        </w:rPr>
      </w:pPr>
      <w:r w:rsidRPr="00034E36">
        <w:rPr>
          <w:b/>
          <w:bCs/>
          <w:rtl/>
        </w:rPr>
        <w:t>المرفق</w:t>
      </w:r>
      <w:r w:rsidRPr="00034E36">
        <w:rPr>
          <w:b/>
          <w:bCs/>
          <w:lang w:bidi="ar-EG"/>
        </w:rPr>
        <w:t>:</w:t>
      </w:r>
      <w:r w:rsidRPr="00034E36">
        <w:rPr>
          <w:rtl/>
        </w:rPr>
        <w:t xml:space="preserve"> </w:t>
      </w:r>
      <w:r w:rsidRPr="00034E36">
        <w:rPr>
          <w:rtl/>
        </w:rPr>
        <w:tab/>
        <w:t>1</w:t>
      </w:r>
    </w:p>
    <w:p w14:paraId="62C0E85A" w14:textId="77777777" w:rsidR="00034E36" w:rsidRPr="00034E36" w:rsidRDefault="00034E36" w:rsidP="00034E36">
      <w:pPr>
        <w:rPr>
          <w:lang w:bidi="ar-EG"/>
        </w:rPr>
      </w:pPr>
      <w:r w:rsidRPr="00034E36">
        <w:rPr>
          <w:lang w:bidi="ar-EG"/>
        </w:rPr>
        <w:br w:type="page"/>
      </w:r>
    </w:p>
    <w:p w14:paraId="1D9EA0A2" w14:textId="77777777" w:rsidR="00034E36" w:rsidRPr="00C617C4" w:rsidRDefault="00034E36" w:rsidP="00C617C4">
      <w:pPr>
        <w:pStyle w:val="AppendixNo"/>
        <w:rPr>
          <w:b/>
          <w:lang w:val="en-US"/>
        </w:rPr>
      </w:pPr>
      <w:r w:rsidRPr="00034E36">
        <w:rPr>
          <w:rtl/>
        </w:rPr>
        <w:lastRenderedPageBreak/>
        <w:t>المرفق</w:t>
      </w:r>
    </w:p>
    <w:p w14:paraId="69853BD1" w14:textId="0AA75010" w:rsidR="00034E36" w:rsidRPr="00034E36" w:rsidRDefault="00034E36" w:rsidP="00C617C4">
      <w:pPr>
        <w:pStyle w:val="Appendixtitle"/>
        <w:rPr>
          <w:lang w:val="ar-SA" w:bidi="ar-EG"/>
        </w:rPr>
      </w:pPr>
      <w:r w:rsidRPr="00034E36">
        <w:rPr>
          <w:rtl/>
        </w:rPr>
        <w:t xml:space="preserve">اختصاصات فريق العمل بالمراسلة التابع للفريق الاستشاري للاتصالات الراديوية </w:t>
      </w:r>
      <w:r w:rsidR="00C617C4">
        <w:rPr>
          <w:rtl/>
        </w:rPr>
        <w:br/>
      </w:r>
      <w:r w:rsidRPr="00034E36">
        <w:rPr>
          <w:rtl/>
        </w:rPr>
        <w:t>والمعني بتحسين عملية الاجتماع التحضيري للمؤتمر</w:t>
      </w:r>
      <w:r w:rsidR="00381DEB">
        <w:rPr>
          <w:rFonts w:hint="cs"/>
          <w:rtl/>
        </w:rPr>
        <w:t xml:space="preserve"> </w:t>
      </w:r>
      <w:r w:rsidR="00381DEB">
        <w:t>(CPM)</w:t>
      </w:r>
    </w:p>
    <w:p w14:paraId="3754C061" w14:textId="77777777" w:rsidR="00034E36" w:rsidRPr="00034E36" w:rsidRDefault="00034E36" w:rsidP="00034E36">
      <w:pPr>
        <w:rPr>
          <w:lang w:val="ar-SA" w:bidi="ar-EG"/>
        </w:rPr>
      </w:pPr>
      <w:r w:rsidRPr="00034E36">
        <w:rPr>
          <w:rtl/>
        </w:rPr>
        <w:t xml:space="preserve">‏يُكلَّف فريق العمل بالمراسلة </w:t>
      </w:r>
      <w:r w:rsidRPr="00034E36">
        <w:rPr>
          <w:lang w:bidi="ar-EG"/>
        </w:rPr>
        <w:t>(CG)</w:t>
      </w:r>
      <w:r w:rsidRPr="00034E36">
        <w:rPr>
          <w:rtl/>
        </w:rPr>
        <w:t xml:space="preserve"> التابع للفريق الاستشاري للاتصالات الراديوية </w:t>
      </w:r>
      <w:r w:rsidRPr="00034E36">
        <w:rPr>
          <w:lang w:bidi="ar-EG"/>
        </w:rPr>
        <w:t>(‎RAG)</w:t>
      </w:r>
      <w:r w:rsidRPr="00034E36">
        <w:rPr>
          <w:rtl/>
        </w:rPr>
        <w:t xml:space="preserve"> بتحري التحسينات الممكنة لعملية الاجتماع التحضيري للمؤتمر </w:t>
      </w:r>
      <w:r w:rsidRPr="00034E36">
        <w:rPr>
          <w:lang w:bidi="ar-EG"/>
        </w:rPr>
        <w:t>(‎CPM)</w:t>
      </w:r>
      <w:r w:rsidRPr="00034E36">
        <w:rPr>
          <w:rtl/>
        </w:rPr>
        <w:t>، بأداء الاختصاصين التاليين:‎</w:t>
      </w:r>
    </w:p>
    <w:p w14:paraId="496521F4" w14:textId="77777777" w:rsidR="00034E36" w:rsidRPr="00034E36" w:rsidRDefault="00034E36" w:rsidP="00C617C4">
      <w:pPr>
        <w:pStyle w:val="enumlev1"/>
        <w:rPr>
          <w:lang w:val="ar-SA" w:bidi="ar-EG"/>
        </w:rPr>
      </w:pPr>
      <w:r w:rsidRPr="00034E36">
        <w:rPr>
          <w:lang w:bidi="ar-EG"/>
        </w:rPr>
        <w:t>–</w:t>
      </w:r>
      <w:r w:rsidRPr="00034E36">
        <w:rPr>
          <w:rtl/>
        </w:rPr>
        <w:tab/>
        <w:t xml:space="preserve">مواصلة استعراض عملية الاجتماع التحضيري للمؤتمر بغية تحسين عملية وأهداف الدورة الثانية للاجتماع التحضيري للمؤتمر، ويشمل ذلك تنفيذ أي تحسينات إجرائية تتعلق بإعداد تقرير </w:t>
      </w:r>
      <w:proofErr w:type="gramStart"/>
      <w:r w:rsidRPr="00034E36">
        <w:rPr>
          <w:rtl/>
        </w:rPr>
        <w:t>الاجتماع؛</w:t>
      </w:r>
      <w:proofErr w:type="gramEnd"/>
    </w:p>
    <w:p w14:paraId="47D469E1" w14:textId="2D1AFD8F" w:rsidR="00034E36" w:rsidRPr="00034E36" w:rsidRDefault="00034E36" w:rsidP="00C617C4">
      <w:pPr>
        <w:pStyle w:val="enumlev1"/>
        <w:rPr>
          <w:lang w:val="ar-SA" w:bidi="ar-EG"/>
        </w:rPr>
      </w:pPr>
      <w:r w:rsidRPr="00034E36">
        <w:rPr>
          <w:lang w:bidi="ar-EG"/>
        </w:rPr>
        <w:t>–</w:t>
      </w:r>
      <w:r w:rsidRPr="00034E36">
        <w:rPr>
          <w:rtl/>
        </w:rPr>
        <w:tab/>
        <w:t xml:space="preserve">ومن ثَم، بحث كيفية تعديل القرار </w:t>
      </w:r>
      <w:hyperlink r:id="rId15" w:history="1">
        <w:r w:rsidR="00C617C4" w:rsidRPr="00C617C4">
          <w:rPr>
            <w:rStyle w:val="Hyperlink"/>
          </w:rPr>
          <w:t>ITU-R 2-9</w:t>
        </w:r>
      </w:hyperlink>
      <w:r w:rsidRPr="00034E36">
        <w:rPr>
          <w:rtl/>
        </w:rPr>
        <w:t xml:space="preserve"> (‏بشأن الاجتماع التحضيري للمؤتمر) ليشمل نتائج الاستعراض المشار إليه أعلاه.‎</w:t>
      </w:r>
      <w:hyperlink r:id="rId16" w:history="1"/>
    </w:p>
    <w:p w14:paraId="3AEEA738" w14:textId="52C77780" w:rsidR="00034E36" w:rsidRPr="00034E36" w:rsidRDefault="00034E36" w:rsidP="00034E36">
      <w:pPr>
        <w:rPr>
          <w:lang w:val="ar-SA" w:bidi="ar-EG"/>
        </w:rPr>
      </w:pPr>
      <w:r w:rsidRPr="00034E36">
        <w:rPr>
          <w:rtl/>
        </w:rPr>
        <w:t>‏ويواصل فريق العمل بالمراسلة مباشرة أعماله بُعيْد اختتام الاجتماع الثالث والثلاثين للفريق الاستشاري للاتصالات الراديوية ويستهدف تقديم تقرير شامل في موعد أقصاه الاجتماع الرابع والثلاثين للفريق الاستشاري. وينبغي أن تنفَّذ الأعمال أساساً بعقد ما لا يزيد عن ثلاثة اجتماعات افتراضية، تقيُّداً بأحكام الفقرتين</w:t>
      </w:r>
      <w:r w:rsidR="00C617C4">
        <w:rPr>
          <w:rFonts w:hint="cs"/>
          <w:rtl/>
          <w:lang w:bidi="ar-EG"/>
        </w:rPr>
        <w:t xml:space="preserve"> </w:t>
      </w:r>
      <w:r w:rsidR="00C617C4">
        <w:rPr>
          <w:lang w:bidi="ar-EG"/>
        </w:rPr>
        <w:t>9.2.3.A1</w:t>
      </w:r>
      <w:r w:rsidRPr="00034E36">
        <w:rPr>
          <w:rtl/>
        </w:rPr>
        <w:t xml:space="preserve"> و</w:t>
      </w:r>
      <w:r w:rsidR="00C617C4">
        <w:t>10.2.3.A1</w:t>
      </w:r>
      <w:r w:rsidRPr="00034E36">
        <w:rPr>
          <w:rtl/>
        </w:rPr>
        <w:t xml:space="preserve"> من القرار ‎ITU-R 1-9 ‏لضمان تحقيق الكفاءة والشمول.‎</w:t>
      </w:r>
    </w:p>
    <w:p w14:paraId="7091D7F2" w14:textId="647FDC4A" w:rsidR="00034E36" w:rsidRPr="00034E36" w:rsidRDefault="00034E36" w:rsidP="00C617C4">
      <w:pPr>
        <w:rPr>
          <w:lang w:val="ar-SA" w:bidi="ar-EG"/>
        </w:rPr>
      </w:pPr>
      <w:r w:rsidRPr="00034E36">
        <w:rPr>
          <w:rtl/>
        </w:rPr>
        <w:t xml:space="preserve">‏ويرأس فريقَ العمل بالمراسلة السيد فهد الغامدي (البريد الإلكتروني: </w:t>
      </w:r>
      <w:hyperlink r:id="rId17" w:history="1">
        <w:r w:rsidR="00C617C4" w:rsidRPr="00C617C4">
          <w:rPr>
            <w:rStyle w:val="Hyperlink"/>
            <w:lang w:val="en-GB"/>
          </w:rPr>
          <w:t>fabghamdi@citc.gov.sa</w:t>
        </w:r>
      </w:hyperlink>
      <w:r w:rsidR="00C617C4">
        <w:rPr>
          <w:rFonts w:hint="cs"/>
          <w:rtl/>
        </w:rPr>
        <w:t>)</w:t>
      </w:r>
      <w:r w:rsidRPr="00034E36">
        <w:rPr>
          <w:rtl/>
        </w:rPr>
        <w:t>، ويتولى تنسيق الأنشطة وضمان التواصل في الوقت المناسب وضمان تقديم تقرير الفريق قبل موعد الاجتماع الرابع والثلاثين للفريق الاستشاري بخمسة وأربعين يوماً.‎</w:t>
      </w:r>
      <w:hyperlink r:id="rId18" w:history="1"/>
    </w:p>
    <w:p w14:paraId="5EDBC5A4" w14:textId="26165F7E" w:rsidR="00EE60E9" w:rsidRDefault="00034E36" w:rsidP="00034E36">
      <w:pPr>
        <w:rPr>
          <w:lang w:bidi="ar-EG"/>
        </w:rPr>
      </w:pPr>
      <w:r w:rsidRPr="00034E36">
        <w:rPr>
          <w:rtl/>
        </w:rPr>
        <w:t>‏وستقدَّم في الصفحة الإلكترونية للفريق الاستشاري معلومات أخرى تتعلق بعمل فريق العمل بالمراسلة.</w:t>
      </w:r>
    </w:p>
    <w:p w14:paraId="1F89EBA3"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9"/>
      <w:headerReference w:type="default" r:id="rId20"/>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AEDB" w14:textId="77777777" w:rsidR="00034E36" w:rsidRDefault="00034E36" w:rsidP="002919E1">
      <w:r>
        <w:separator/>
      </w:r>
    </w:p>
    <w:p w14:paraId="1943E61F" w14:textId="77777777" w:rsidR="00034E36" w:rsidRDefault="00034E36" w:rsidP="002919E1"/>
    <w:p w14:paraId="5CDFEF94" w14:textId="77777777" w:rsidR="00034E36" w:rsidRDefault="00034E36" w:rsidP="002919E1"/>
    <w:p w14:paraId="15F6E313" w14:textId="77777777" w:rsidR="00034E36" w:rsidRDefault="00034E36"/>
  </w:endnote>
  <w:endnote w:type="continuationSeparator" w:id="0">
    <w:p w14:paraId="21C45D38" w14:textId="77777777" w:rsidR="00034E36" w:rsidRDefault="00034E36" w:rsidP="002919E1">
      <w:r>
        <w:continuationSeparator/>
      </w:r>
    </w:p>
    <w:p w14:paraId="0538FF8B" w14:textId="77777777" w:rsidR="00034E36" w:rsidRDefault="00034E36" w:rsidP="002919E1"/>
    <w:p w14:paraId="76B034EF" w14:textId="77777777" w:rsidR="00034E36" w:rsidRDefault="00034E36" w:rsidP="002919E1"/>
    <w:p w14:paraId="60EBB2ED" w14:textId="77777777" w:rsidR="00034E36" w:rsidRDefault="00034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CC24" w14:textId="77777777" w:rsidR="00034E36" w:rsidRDefault="00034E36" w:rsidP="002919E1">
      <w:r>
        <w:separator/>
      </w:r>
    </w:p>
  </w:footnote>
  <w:footnote w:type="continuationSeparator" w:id="0">
    <w:p w14:paraId="6A7C1A73" w14:textId="77777777" w:rsidR="00034E36" w:rsidRDefault="00034E36" w:rsidP="002919E1">
      <w:r>
        <w:continuationSeparator/>
      </w:r>
    </w:p>
    <w:p w14:paraId="360FAAFC" w14:textId="77777777" w:rsidR="00034E36" w:rsidRDefault="00034E36" w:rsidP="002919E1"/>
    <w:p w14:paraId="121F4D08" w14:textId="77777777" w:rsidR="00034E36" w:rsidRDefault="00034E36" w:rsidP="002919E1"/>
    <w:p w14:paraId="55DAEA52" w14:textId="77777777" w:rsidR="00034E36" w:rsidRDefault="00034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254E" w14:textId="77777777" w:rsidR="00281F5F" w:rsidRDefault="00281F5F" w:rsidP="002919E1"/>
  <w:p w14:paraId="7AE7E0F2" w14:textId="77777777" w:rsidR="00281F5F" w:rsidRDefault="00281F5F" w:rsidP="002919E1"/>
  <w:p w14:paraId="2CADAC49"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A483" w14:textId="555F301B"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034E36">
      <w:rPr>
        <w:rStyle w:val="PageNumber"/>
      </w:rPr>
      <w:t>72</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B275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C4F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EA5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3404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6045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36"/>
    <w:rsid w:val="00011021"/>
    <w:rsid w:val="000114EC"/>
    <w:rsid w:val="00011F8C"/>
    <w:rsid w:val="00022B74"/>
    <w:rsid w:val="0002327C"/>
    <w:rsid w:val="00034B65"/>
    <w:rsid w:val="00034E36"/>
    <w:rsid w:val="00040C94"/>
    <w:rsid w:val="000425FC"/>
    <w:rsid w:val="00044D43"/>
    <w:rsid w:val="00051907"/>
    <w:rsid w:val="00075A3F"/>
    <w:rsid w:val="000A1B16"/>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67364"/>
    <w:rsid w:val="001903B2"/>
    <w:rsid w:val="001B5953"/>
    <w:rsid w:val="001D746E"/>
    <w:rsid w:val="001E190C"/>
    <w:rsid w:val="001E51EE"/>
    <w:rsid w:val="001E54F6"/>
    <w:rsid w:val="001E5A8C"/>
    <w:rsid w:val="001E6923"/>
    <w:rsid w:val="00201A0A"/>
    <w:rsid w:val="002075D4"/>
    <w:rsid w:val="00211B2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601A"/>
    <w:rsid w:val="00311E3F"/>
    <w:rsid w:val="00314B1E"/>
    <w:rsid w:val="0033737F"/>
    <w:rsid w:val="00353652"/>
    <w:rsid w:val="003569E1"/>
    <w:rsid w:val="003815E2"/>
    <w:rsid w:val="00381DEB"/>
    <w:rsid w:val="00381FAD"/>
    <w:rsid w:val="00382A66"/>
    <w:rsid w:val="003923B1"/>
    <w:rsid w:val="0039465C"/>
    <w:rsid w:val="003965FE"/>
    <w:rsid w:val="003B27AD"/>
    <w:rsid w:val="003B4A8D"/>
    <w:rsid w:val="003B4F23"/>
    <w:rsid w:val="003C12F6"/>
    <w:rsid w:val="003C3A13"/>
    <w:rsid w:val="003E02EF"/>
    <w:rsid w:val="003E1D90"/>
    <w:rsid w:val="00400CD4"/>
    <w:rsid w:val="004147B9"/>
    <w:rsid w:val="00422C0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716B1D"/>
    <w:rsid w:val="007248EC"/>
    <w:rsid w:val="00726744"/>
    <w:rsid w:val="00731150"/>
    <w:rsid w:val="00731749"/>
    <w:rsid w:val="00734E41"/>
    <w:rsid w:val="007351CE"/>
    <w:rsid w:val="00736DCC"/>
    <w:rsid w:val="00741855"/>
    <w:rsid w:val="00742B73"/>
    <w:rsid w:val="00751251"/>
    <w:rsid w:val="00754431"/>
    <w:rsid w:val="007610E7"/>
    <w:rsid w:val="00764079"/>
    <w:rsid w:val="00770AA0"/>
    <w:rsid w:val="00771F7E"/>
    <w:rsid w:val="00773E9C"/>
    <w:rsid w:val="00776F6B"/>
    <w:rsid w:val="00777694"/>
    <w:rsid w:val="00786A7E"/>
    <w:rsid w:val="007A0802"/>
    <w:rsid w:val="007B1FCA"/>
    <w:rsid w:val="007C2C12"/>
    <w:rsid w:val="007C3CFA"/>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51718"/>
    <w:rsid w:val="00960962"/>
    <w:rsid w:val="00972CE0"/>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5B65"/>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7D44"/>
    <w:rsid w:val="00BD6291"/>
    <w:rsid w:val="00BD6EF3"/>
    <w:rsid w:val="00BE69C3"/>
    <w:rsid w:val="00C1165E"/>
    <w:rsid w:val="00C22074"/>
    <w:rsid w:val="00C2377B"/>
    <w:rsid w:val="00C34E09"/>
    <w:rsid w:val="00C3693C"/>
    <w:rsid w:val="00C449F7"/>
    <w:rsid w:val="00C53F6F"/>
    <w:rsid w:val="00C5489D"/>
    <w:rsid w:val="00C617C4"/>
    <w:rsid w:val="00C71759"/>
    <w:rsid w:val="00C81441"/>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25120"/>
    <w:rsid w:val="00D36C5E"/>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7387"/>
    <w:rsid w:val="00DF2A6A"/>
    <w:rsid w:val="00DF3B72"/>
    <w:rsid w:val="00E10821"/>
    <w:rsid w:val="00E2489D"/>
    <w:rsid w:val="00E26520"/>
    <w:rsid w:val="00E26732"/>
    <w:rsid w:val="00E343A3"/>
    <w:rsid w:val="00E47277"/>
    <w:rsid w:val="00E51BFA"/>
    <w:rsid w:val="00E6129E"/>
    <w:rsid w:val="00E621A3"/>
    <w:rsid w:val="00E833BC"/>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C4003"/>
  <w15:docId w15:val="{59F17D47-47C3-4C86-B34A-695C8147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23-RAG-C-0065/en" TargetMode="External"/><Relationship Id="rId18" Type="http://schemas.openxmlformats.org/officeDocument/2006/relationships/hyperlink" Target="mailto:fabghamdi@citc.gov.s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fabghamdi@citc.gov.sa" TargetMode="External"/><Relationship Id="rId2" Type="http://schemas.openxmlformats.org/officeDocument/2006/relationships/customXml" Target="../customXml/item2.xml"/><Relationship Id="rId16" Type="http://schemas.openxmlformats.org/officeDocument/2006/relationships/hyperlink" Target="https://www.itu.int/pub/R-RES-R.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pub/R-RES-R.2"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R23-RAG-C-0065/e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R%20(BR)\PA_RAG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4.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PA_RAG26.dotx</Template>
  <TotalTime>14</TotalTime>
  <Pages>3</Pages>
  <Words>575</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Arabic_I.R</dc:creator>
  <cp:keywords>WRC-12</cp:keywords>
  <cp:lastModifiedBy>Arabic_I.R</cp:lastModifiedBy>
  <cp:revision>3</cp:revision>
  <cp:lastPrinted>2019-06-26T10:10:00Z</cp:lastPrinted>
  <dcterms:created xsi:type="dcterms:W3CDTF">2026-03-25T09:12:00Z</dcterms:created>
  <dcterms:modified xsi:type="dcterms:W3CDTF">2026-03-25T09:27:00Z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